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5D" w:rsidRDefault="008A2E0C" w:rsidP="008A2E0C">
      <w:pPr>
        <w:jc w:val="right"/>
      </w:pPr>
      <w:r>
        <w:t xml:space="preserve">č.j. MPO </w:t>
      </w:r>
      <w:sdt>
        <w:sdtPr>
          <w:id w:val="698980590"/>
          <w:placeholder>
            <w:docPart w:val="D5758F17A782477E820B9313EB425A92"/>
          </w:placeholder>
        </w:sdtPr>
        <w:sdtContent>
          <w:r>
            <w:t>15786/2022</w:t>
          </w:r>
        </w:sdtContent>
      </w:sdt>
    </w:p>
    <w:p w:rsid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Pr="00581A5D" w:rsidRDefault="00581A5D" w:rsidP="00581A5D">
      <w:pPr>
        <w:pStyle w:val="Nzev"/>
        <w:rPr>
          <w:rFonts w:asciiTheme="minorHAnsi" w:hAnsiTheme="minorHAnsi" w:cstheme="minorHAnsi"/>
        </w:rPr>
      </w:pPr>
      <w:r w:rsidRPr="00581A5D">
        <w:rPr>
          <w:rFonts w:asciiTheme="minorHAnsi" w:hAnsiTheme="minorHAnsi" w:cstheme="minorHAnsi"/>
        </w:rPr>
        <w:t>Zpráva o stavu přípravy a realizace Národního plánu obnovy, Moderni</w:t>
      </w:r>
      <w:bookmarkStart w:id="0" w:name="_GoBack"/>
      <w:bookmarkEnd w:id="0"/>
      <w:r w:rsidRPr="00581A5D">
        <w:rPr>
          <w:rFonts w:asciiTheme="minorHAnsi" w:hAnsiTheme="minorHAnsi" w:cstheme="minorHAnsi"/>
        </w:rPr>
        <w:t xml:space="preserve">začního fondu a Fondu pro spravedlivou transformaci </w:t>
      </w:r>
    </w:p>
    <w:p w:rsidR="00581A5D" w:rsidRP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P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P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Default="00581A5D" w:rsidP="00581A5D"/>
    <w:p w:rsidR="00581A5D" w:rsidRDefault="00581A5D" w:rsidP="00581A5D"/>
    <w:p w:rsidR="00581A5D" w:rsidRDefault="00581A5D" w:rsidP="00581A5D"/>
    <w:p w:rsidR="00581A5D" w:rsidRDefault="00581A5D" w:rsidP="00581A5D"/>
    <w:p w:rsidR="00581A5D" w:rsidRDefault="00581A5D" w:rsidP="00581A5D"/>
    <w:p w:rsidR="00581A5D" w:rsidRDefault="00581A5D" w:rsidP="00581A5D"/>
    <w:p w:rsidR="00581A5D" w:rsidRDefault="00581A5D" w:rsidP="00581A5D"/>
    <w:p w:rsidR="00581A5D" w:rsidRDefault="00581A5D" w:rsidP="00581A5D"/>
    <w:p w:rsidR="00581A5D" w:rsidRPr="00581A5D" w:rsidRDefault="00581A5D" w:rsidP="00581A5D"/>
    <w:p w:rsidR="00581A5D" w:rsidRP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P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Pr="00581A5D" w:rsidRDefault="00581A5D" w:rsidP="00581A5D">
      <w:pPr>
        <w:pStyle w:val="Nzev"/>
        <w:rPr>
          <w:rFonts w:asciiTheme="minorHAnsi" w:hAnsiTheme="minorHAnsi" w:cstheme="minorHAnsi"/>
        </w:rPr>
      </w:pPr>
    </w:p>
    <w:p w:rsidR="00581A5D" w:rsidRPr="00581A5D" w:rsidRDefault="0015738F" w:rsidP="00581A5D">
      <w:pPr>
        <w:rPr>
          <w:rFonts w:cstheme="minorHAnsi"/>
        </w:rPr>
      </w:pPr>
      <w:r>
        <w:rPr>
          <w:rFonts w:cstheme="minorHAnsi"/>
        </w:rPr>
        <w:t>10</w:t>
      </w:r>
      <w:r w:rsidR="00581A5D" w:rsidRPr="00581A5D">
        <w:rPr>
          <w:rFonts w:cstheme="minorHAnsi"/>
        </w:rPr>
        <w:t>. března 2022</w:t>
      </w:r>
    </w:p>
    <w:p w:rsidR="00581A5D" w:rsidRPr="00581A5D" w:rsidRDefault="00581A5D" w:rsidP="00581A5D">
      <w:pPr>
        <w:rPr>
          <w:rFonts w:cstheme="minorHAnsi"/>
        </w:rPr>
      </w:pPr>
    </w:p>
    <w:p w:rsidR="00581A5D" w:rsidRPr="00581A5D" w:rsidRDefault="00581A5D" w:rsidP="00581A5D">
      <w:pPr>
        <w:rPr>
          <w:rFonts w:cstheme="minorHAnsi"/>
        </w:rPr>
      </w:pPr>
      <w:r w:rsidRPr="00581A5D">
        <w:rPr>
          <w:rFonts w:cstheme="minorHAnsi"/>
        </w:rPr>
        <w:t>Připravilo Ministerstvo průmyslu a obchodu ve spolupráci s odbornými útvary Ministerstva pro místní rozvoj a Ministerstva životního prostředí</w:t>
      </w:r>
      <w:r w:rsidRPr="00581A5D">
        <w:rPr>
          <w:rFonts w:cstheme="minorHAnsi"/>
        </w:rPr>
        <w:br w:type="page"/>
      </w:r>
    </w:p>
    <w:p w:rsidR="00713948" w:rsidRDefault="00581A5D" w:rsidP="00581A5D">
      <w:pPr>
        <w:pStyle w:val="Nzev"/>
      </w:pPr>
      <w:r>
        <w:lastRenderedPageBreak/>
        <w:t>Národní plán obnovy</w:t>
      </w:r>
    </w:p>
    <w:p w:rsidR="00581A5D" w:rsidRPr="00581A5D" w:rsidRDefault="00581A5D" w:rsidP="00581A5D">
      <w:pPr>
        <w:pStyle w:val="Podnadpis"/>
      </w:pPr>
      <w:r>
        <w:t>Připravilo Ministerstvo průmyslu a obchodu</w:t>
      </w:r>
    </w:p>
    <w:p w:rsidR="00581A5D" w:rsidRDefault="00581A5D" w:rsidP="00245F51">
      <w:pPr>
        <w:pStyle w:val="Nadpis1"/>
        <w:spacing w:before="240"/>
        <w:jc w:val="both"/>
        <w:rPr>
          <w:rFonts w:asciiTheme="minorHAnsi" w:hAnsiTheme="minorHAnsi" w:cstheme="minorHAnsi"/>
        </w:rPr>
      </w:pPr>
    </w:p>
    <w:p w:rsidR="00160EEE" w:rsidRPr="00581A5D" w:rsidRDefault="00581A5D" w:rsidP="00581A5D">
      <w:pPr>
        <w:pStyle w:val="Nadpis1"/>
        <w:jc w:val="both"/>
      </w:pPr>
      <w:r w:rsidRPr="00581A5D">
        <w:t>Úvod – shrnutí situace</w:t>
      </w:r>
    </w:p>
    <w:p w:rsidR="00C71881" w:rsidRPr="00581A5D" w:rsidRDefault="00C71881" w:rsidP="00581A5D">
      <w:pPr>
        <w:jc w:val="both"/>
      </w:pPr>
      <w:r w:rsidRPr="00581A5D">
        <w:t>Národní plán obnovy</w:t>
      </w:r>
      <w:r w:rsidR="00236BCE" w:rsidRPr="00581A5D">
        <w:t xml:space="preserve"> (NPO)</w:t>
      </w:r>
      <w:r w:rsidR="005B6998" w:rsidRPr="00581A5D">
        <w:t xml:space="preserve"> je programem přímo řízeným Evropskou komisí. </w:t>
      </w:r>
      <w:r w:rsidR="00B21962" w:rsidRPr="00581A5D">
        <w:t>P</w:t>
      </w:r>
      <w:r w:rsidRPr="00581A5D">
        <w:t xml:space="preserve">ro Českou republiku </w:t>
      </w:r>
      <w:r w:rsidR="00B21962" w:rsidRPr="00581A5D">
        <w:t xml:space="preserve">představuje jedinečnou příležitost čerpat </w:t>
      </w:r>
      <w:r w:rsidRPr="00581A5D">
        <w:t>z evropských zdrojů</w:t>
      </w:r>
      <w:r w:rsidR="0070160E" w:rsidRPr="00581A5D">
        <w:t xml:space="preserve"> (Nástroj pro oživení a odolnost)</w:t>
      </w:r>
      <w:r w:rsidRPr="00581A5D">
        <w:t xml:space="preserve"> </w:t>
      </w:r>
      <w:r w:rsidR="00B21962" w:rsidRPr="00581A5D">
        <w:t xml:space="preserve">granty ve výši </w:t>
      </w:r>
      <w:r w:rsidRPr="00581A5D">
        <w:t xml:space="preserve">až </w:t>
      </w:r>
      <w:r w:rsidR="009D3988" w:rsidRPr="00581A5D">
        <w:t>180</w:t>
      </w:r>
      <w:r w:rsidRPr="00581A5D">
        <w:t xml:space="preserve"> mld. </w:t>
      </w:r>
      <w:r w:rsidR="008247A9" w:rsidRPr="00581A5D">
        <w:t>Kč na</w:t>
      </w:r>
      <w:r w:rsidR="00010744" w:rsidRPr="00581A5D">
        <w:t xml:space="preserve"> </w:t>
      </w:r>
      <w:r w:rsidRPr="00581A5D">
        <w:t>obnov</w:t>
      </w:r>
      <w:r w:rsidR="00010744" w:rsidRPr="00581A5D">
        <w:t>ení</w:t>
      </w:r>
      <w:r w:rsidRPr="00581A5D">
        <w:t xml:space="preserve"> ekonomiky a společnosti po pandemii COVID</w:t>
      </w:r>
      <w:r w:rsidR="00EE3BB4" w:rsidRPr="00581A5D">
        <w:t>-</w:t>
      </w:r>
      <w:r w:rsidRPr="00581A5D">
        <w:t>19 a trvalé zvýšení jejich odolnosti na obdobné nenadálé krizové situace.</w:t>
      </w:r>
    </w:p>
    <w:p w:rsidR="00304EBE" w:rsidRPr="00581A5D" w:rsidRDefault="00B21962" w:rsidP="00581A5D">
      <w:pPr>
        <w:jc w:val="both"/>
      </w:pPr>
      <w:r w:rsidRPr="00581A5D">
        <w:t>Český plán pro oživení a odolnost</w:t>
      </w:r>
      <w:r w:rsidR="00304EBE" w:rsidRPr="00581A5D">
        <w:t xml:space="preserve"> byl schválen na jednání vlády dne 17.</w:t>
      </w:r>
      <w:r w:rsidR="00EB0216" w:rsidRPr="00581A5D">
        <w:t xml:space="preserve"> </w:t>
      </w:r>
      <w:r w:rsidR="00304EBE" w:rsidRPr="00581A5D">
        <w:t>5.</w:t>
      </w:r>
      <w:r w:rsidR="00EB0216" w:rsidRPr="00581A5D">
        <w:t xml:space="preserve"> </w:t>
      </w:r>
      <w:r w:rsidR="00304EBE" w:rsidRPr="00581A5D">
        <w:t>2021, posléze Evropskou komisí (19.</w:t>
      </w:r>
      <w:r w:rsidR="00EB0216" w:rsidRPr="00581A5D">
        <w:t xml:space="preserve"> </w:t>
      </w:r>
      <w:r w:rsidR="00304EBE" w:rsidRPr="00581A5D">
        <w:t>7.</w:t>
      </w:r>
      <w:r w:rsidR="00EB0216" w:rsidRPr="00581A5D">
        <w:t xml:space="preserve"> </w:t>
      </w:r>
      <w:r w:rsidR="00304EBE" w:rsidRPr="00581A5D">
        <w:t>2021) a v neposlední řadě Radou ECOFIN (</w:t>
      </w:r>
      <w:r w:rsidRPr="00581A5D">
        <w:t>6</w:t>
      </w:r>
      <w:r w:rsidR="00304EBE" w:rsidRPr="00581A5D">
        <w:t>.</w:t>
      </w:r>
      <w:r w:rsidR="00EB0216" w:rsidRPr="00581A5D">
        <w:t xml:space="preserve"> </w:t>
      </w:r>
      <w:r w:rsidR="00304EBE" w:rsidRPr="00581A5D">
        <w:t>9.</w:t>
      </w:r>
      <w:r w:rsidR="00EB0216" w:rsidRPr="00581A5D">
        <w:t xml:space="preserve"> </w:t>
      </w:r>
      <w:r w:rsidR="00304EBE" w:rsidRPr="00581A5D">
        <w:t>2021)</w:t>
      </w:r>
      <w:r w:rsidR="003A0C4A" w:rsidRPr="00581A5D">
        <w:t>. V</w:t>
      </w:r>
      <w:r w:rsidR="001C121E" w:rsidRPr="00581A5D">
        <w:t> </w:t>
      </w:r>
      <w:r w:rsidR="003A0C4A" w:rsidRPr="00581A5D">
        <w:t>návaznosti</w:t>
      </w:r>
      <w:r w:rsidR="001C121E" w:rsidRPr="00581A5D">
        <w:t xml:space="preserve"> na</w:t>
      </w:r>
      <w:r w:rsidR="003A0C4A" w:rsidRPr="00581A5D">
        <w:t xml:space="preserve"> ujednání bylo Evropskou komisí dne 28.</w:t>
      </w:r>
      <w:r w:rsidR="00EB0216" w:rsidRPr="00581A5D">
        <w:t xml:space="preserve"> </w:t>
      </w:r>
      <w:r w:rsidR="003A0C4A" w:rsidRPr="00581A5D">
        <w:t>9.</w:t>
      </w:r>
      <w:r w:rsidR="00EB0216" w:rsidRPr="00581A5D">
        <w:t xml:space="preserve"> </w:t>
      </w:r>
      <w:r w:rsidR="003A0C4A" w:rsidRPr="00581A5D">
        <w:t>2021 České republice vyplaceno 13 % z celkové finanční částky</w:t>
      </w:r>
      <w:r w:rsidRPr="00581A5D">
        <w:t xml:space="preserve"> v rámci nástroje</w:t>
      </w:r>
      <w:r w:rsidR="003A0C4A" w:rsidRPr="00581A5D">
        <w:t xml:space="preserve">, </w:t>
      </w:r>
      <w:r w:rsidRPr="00581A5D">
        <w:t>která</w:t>
      </w:r>
      <w:r w:rsidR="007E4B4D" w:rsidRPr="00581A5D">
        <w:t xml:space="preserve"> pomůže zahájit</w:t>
      </w:r>
      <w:r w:rsidR="003A0C4A" w:rsidRPr="00581A5D">
        <w:t xml:space="preserve"> provádění zásadních investičních a reformních opatření.  </w:t>
      </w:r>
    </w:p>
    <w:p w:rsidR="007D45CD" w:rsidRPr="00581A5D" w:rsidRDefault="00304EBE" w:rsidP="00581A5D">
      <w:pPr>
        <w:jc w:val="both"/>
      </w:pPr>
      <w:r w:rsidRPr="00581A5D">
        <w:t>Základem plánu jsou</w:t>
      </w:r>
      <w:r w:rsidR="00010744" w:rsidRPr="00581A5D">
        <w:t xml:space="preserve"> refor</w:t>
      </w:r>
      <w:r w:rsidRPr="00581A5D">
        <w:t>my</w:t>
      </w:r>
      <w:r w:rsidR="00010744" w:rsidRPr="00581A5D">
        <w:t xml:space="preserve"> a investic</w:t>
      </w:r>
      <w:r w:rsidRPr="00581A5D">
        <w:t>e</w:t>
      </w:r>
      <w:r w:rsidR="00010744" w:rsidRPr="00581A5D">
        <w:t xml:space="preserve">, </w:t>
      </w:r>
      <w:r w:rsidRPr="00581A5D">
        <w:t xml:space="preserve">které </w:t>
      </w:r>
      <w:r w:rsidR="003A0C4A" w:rsidRPr="00581A5D">
        <w:t>vycházejí ze stávající situace českého hospodářství, dlouhodobých trendů, dopadů úpadku způsobeného pandemií a dalších vládních strategických dokumentů</w:t>
      </w:r>
      <w:r w:rsidR="007E4B4D" w:rsidRPr="00581A5D">
        <w:t>. Reformy a investice zahrnuté do Národního plánu obnovy</w:t>
      </w:r>
      <w:r w:rsidR="003A0C4A" w:rsidRPr="00581A5D">
        <w:t xml:space="preserve"> byly rozděleny do</w:t>
      </w:r>
      <w:r w:rsidR="00010744" w:rsidRPr="00581A5D">
        <w:t xml:space="preserve"> šest</w:t>
      </w:r>
      <w:r w:rsidR="003A0C4A" w:rsidRPr="00581A5D">
        <w:t>i</w:t>
      </w:r>
      <w:r w:rsidR="00010744" w:rsidRPr="00581A5D">
        <w:t xml:space="preserve"> pilířů: Digitální transformace (27 854 mil. Kč), fyzická infrastruktura a zelená </w:t>
      </w:r>
      <w:proofErr w:type="spellStart"/>
      <w:r w:rsidR="00010744" w:rsidRPr="00581A5D">
        <w:t>tranzice</w:t>
      </w:r>
      <w:proofErr w:type="spellEnd"/>
      <w:r w:rsidR="00010744" w:rsidRPr="00581A5D">
        <w:t xml:space="preserve"> (85 182 mil. Kč), vzdělávání a trh práce (41 006 mil. Kč), instituce a regulace a podpora podnikání v reakci na COVID-19 (10 895 mil. Kč), výzkum, vývoj a inovace (13</w:t>
      </w:r>
      <w:r w:rsidR="00EB0216" w:rsidRPr="00581A5D">
        <w:t> </w:t>
      </w:r>
      <w:r w:rsidR="00010744" w:rsidRPr="00581A5D">
        <w:t>200 mil. Kč) a zdraví a odolnost obyvatel (12 441 mil. Kč).</w:t>
      </w:r>
    </w:p>
    <w:p w:rsidR="007D45CD" w:rsidRPr="00581A5D" w:rsidRDefault="007D45CD" w:rsidP="00581A5D">
      <w:pPr>
        <w:jc w:val="both"/>
      </w:pPr>
      <w:r w:rsidRPr="00581A5D">
        <w:t>Příkladem úspěšně splněných milníků</w:t>
      </w:r>
      <w:r w:rsidR="001C121E" w:rsidRPr="00581A5D">
        <w:t xml:space="preserve"> a cílů</w:t>
      </w:r>
      <w:r w:rsidRPr="00581A5D">
        <w:t xml:space="preserve"> jsou: </w:t>
      </w:r>
    </w:p>
    <w:p w:rsidR="007D45CD" w:rsidRPr="00581A5D" w:rsidRDefault="007D45CD" w:rsidP="00581A5D">
      <w:pPr>
        <w:pStyle w:val="Odstavecseseznamem"/>
        <w:numPr>
          <w:ilvl w:val="0"/>
          <w:numId w:val="53"/>
        </w:numPr>
        <w:jc w:val="both"/>
      </w:pPr>
      <w:r w:rsidRPr="00581A5D">
        <w:t xml:space="preserve">digitální zařízení zakoupená školami pro účely </w:t>
      </w:r>
      <w:r w:rsidR="00E85A9C" w:rsidRPr="00581A5D">
        <w:t>distančního vzdělávání</w:t>
      </w:r>
      <w:r w:rsidRPr="00581A5D">
        <w:t xml:space="preserve"> (MŠMT), </w:t>
      </w:r>
    </w:p>
    <w:p w:rsidR="007D45CD" w:rsidRPr="00581A5D" w:rsidRDefault="007D45CD" w:rsidP="00581A5D">
      <w:pPr>
        <w:pStyle w:val="Odstavecseseznamem"/>
        <w:numPr>
          <w:ilvl w:val="0"/>
          <w:numId w:val="53"/>
        </w:numPr>
        <w:jc w:val="both"/>
      </w:pPr>
      <w:r w:rsidRPr="00581A5D">
        <w:t xml:space="preserve">vstup nového stavebního zákona v platnost (MMR), </w:t>
      </w:r>
    </w:p>
    <w:p w:rsidR="007D45CD" w:rsidRPr="00581A5D" w:rsidRDefault="007D45CD" w:rsidP="00581A5D">
      <w:pPr>
        <w:pStyle w:val="Odstavecseseznamem"/>
        <w:numPr>
          <w:ilvl w:val="0"/>
          <w:numId w:val="53"/>
        </w:numPr>
        <w:jc w:val="both"/>
      </w:pPr>
      <w:r w:rsidRPr="00581A5D">
        <w:t>přijetí zákona o soudech a soudcích (</w:t>
      </w:r>
      <w:proofErr w:type="spellStart"/>
      <w:r w:rsidRPr="00581A5D">
        <w:t>MSp</w:t>
      </w:r>
      <w:proofErr w:type="spellEnd"/>
      <w:r w:rsidRPr="00581A5D">
        <w:t xml:space="preserve">), </w:t>
      </w:r>
    </w:p>
    <w:p w:rsidR="001C121E" w:rsidRPr="00581A5D" w:rsidRDefault="007D45CD" w:rsidP="00581A5D">
      <w:pPr>
        <w:pStyle w:val="Odstavecseseznamem"/>
        <w:numPr>
          <w:ilvl w:val="0"/>
          <w:numId w:val="53"/>
        </w:numPr>
        <w:jc w:val="both"/>
      </w:pPr>
      <w:r w:rsidRPr="00581A5D">
        <w:t xml:space="preserve">přijetí programové dokumentace na podporu systémů veřejného osvětlení (MPO), </w:t>
      </w:r>
    </w:p>
    <w:p w:rsidR="001C121E" w:rsidRPr="00581A5D" w:rsidRDefault="007D45CD" w:rsidP="00581A5D">
      <w:pPr>
        <w:pStyle w:val="Odstavecseseznamem"/>
        <w:numPr>
          <w:ilvl w:val="0"/>
          <w:numId w:val="53"/>
        </w:numPr>
        <w:jc w:val="both"/>
      </w:pPr>
      <w:r w:rsidRPr="00581A5D">
        <w:t xml:space="preserve">dopracování strategie Cirkulární Česko 2040 (MŽP), </w:t>
      </w:r>
    </w:p>
    <w:p w:rsidR="007D45CD" w:rsidRPr="00581A5D" w:rsidRDefault="007D45CD" w:rsidP="00581A5D">
      <w:pPr>
        <w:pStyle w:val="Odstavecseseznamem"/>
        <w:numPr>
          <w:ilvl w:val="0"/>
          <w:numId w:val="53"/>
        </w:numPr>
        <w:jc w:val="both"/>
      </w:pPr>
      <w:r w:rsidRPr="00581A5D">
        <w:t>přijetí strategie střednědobé pro Národní rozvojovou banku jejími akcionáři (MPO, MMR, MF).</w:t>
      </w:r>
    </w:p>
    <w:p w:rsidR="00C71881" w:rsidRPr="00581A5D" w:rsidRDefault="00C71881" w:rsidP="00581A5D">
      <w:pPr>
        <w:jc w:val="both"/>
      </w:pPr>
      <w:r w:rsidRPr="00581A5D">
        <w:t xml:space="preserve">Vyplácení finančních prostředků ze strany Evropské komise je podmíněno splněním </w:t>
      </w:r>
      <w:r w:rsidR="00EE3BB4" w:rsidRPr="00581A5D">
        <w:t xml:space="preserve">milníků a </w:t>
      </w:r>
      <w:r w:rsidRPr="00581A5D">
        <w:t>cílů</w:t>
      </w:r>
      <w:r w:rsidR="00F17992" w:rsidRPr="00581A5D">
        <w:t xml:space="preserve">, </w:t>
      </w:r>
      <w:r w:rsidR="00ED3DCD" w:rsidRPr="00581A5D">
        <w:t>které prokáží</w:t>
      </w:r>
      <w:r w:rsidRPr="00581A5D">
        <w:t> úspěšnou realizac</w:t>
      </w:r>
      <w:r w:rsidR="00ED3DCD" w:rsidRPr="00581A5D">
        <w:t>i</w:t>
      </w:r>
      <w:r w:rsidRPr="00581A5D">
        <w:t xml:space="preserve"> jednotlivých reforem a investic</w:t>
      </w:r>
      <w:r w:rsidR="00FE4646" w:rsidRPr="00581A5D">
        <w:t xml:space="preserve"> s</w:t>
      </w:r>
      <w:r w:rsidR="00244F4E" w:rsidRPr="00581A5D">
        <w:t xml:space="preserve"> nejzazším</w:t>
      </w:r>
      <w:r w:rsidR="00FE4646" w:rsidRPr="00581A5D">
        <w:t> termínem do 30.</w:t>
      </w:r>
      <w:r w:rsidR="00EE3BB4" w:rsidRPr="00581A5D">
        <w:t xml:space="preserve"> června </w:t>
      </w:r>
      <w:r w:rsidR="00FE4646" w:rsidRPr="00581A5D">
        <w:t>2026</w:t>
      </w:r>
      <w:r w:rsidRPr="00581A5D">
        <w:t xml:space="preserve">. </w:t>
      </w:r>
      <w:r w:rsidR="00ED3DCD" w:rsidRPr="00581A5D">
        <w:t>Za p</w:t>
      </w:r>
      <w:r w:rsidRPr="00581A5D">
        <w:t xml:space="preserve">lnění </w:t>
      </w:r>
      <w:r w:rsidR="00EE3BB4" w:rsidRPr="00581A5D">
        <w:t>milníků a cílů</w:t>
      </w:r>
      <w:r w:rsidR="00ED3DCD" w:rsidRPr="00581A5D">
        <w:t xml:space="preserve"> odpovídají </w:t>
      </w:r>
      <w:r w:rsidR="00767194" w:rsidRPr="00581A5D">
        <w:t xml:space="preserve">jednotlivé </w:t>
      </w:r>
      <w:r w:rsidR="00ED3DCD" w:rsidRPr="00581A5D">
        <w:t>rezorty</w:t>
      </w:r>
      <w:r w:rsidR="003E3F42" w:rsidRPr="00581A5D">
        <w:t>, v roli vlastníků komponent,</w:t>
      </w:r>
      <w:r w:rsidR="00ED3DCD" w:rsidRPr="00581A5D">
        <w:t xml:space="preserve"> a</w:t>
      </w:r>
      <w:r w:rsidRPr="00581A5D">
        <w:t xml:space="preserve"> je třeba zajistit průběžně jejich vykazování </w:t>
      </w:r>
      <w:r w:rsidR="00FE4646" w:rsidRPr="00581A5D">
        <w:t>s půlroční frekvencí</w:t>
      </w:r>
      <w:r w:rsidRPr="00581A5D">
        <w:t xml:space="preserve">. </w:t>
      </w:r>
    </w:p>
    <w:p w:rsidR="00CD0C5D" w:rsidRPr="00581A5D" w:rsidRDefault="005B6998" w:rsidP="00581A5D">
      <w:pPr>
        <w:jc w:val="both"/>
      </w:pPr>
      <w:r w:rsidRPr="00581A5D">
        <w:t>Aktuálně Česká republika</w:t>
      </w:r>
      <w:r w:rsidR="00FE4646" w:rsidRPr="00581A5D">
        <w:t xml:space="preserve"> </w:t>
      </w:r>
      <w:r w:rsidR="00EE3BB4" w:rsidRPr="00581A5D">
        <w:t xml:space="preserve">prostřednictvím </w:t>
      </w:r>
      <w:r w:rsidR="00FE4646" w:rsidRPr="00581A5D">
        <w:t>Ministerstv</w:t>
      </w:r>
      <w:r w:rsidR="00EE3BB4" w:rsidRPr="00581A5D">
        <w:t>a</w:t>
      </w:r>
      <w:r w:rsidR="00FE4646" w:rsidRPr="00581A5D">
        <w:t xml:space="preserve"> průmyslu a obchodu</w:t>
      </w:r>
      <w:r w:rsidR="00A40F6B" w:rsidRPr="00581A5D">
        <w:t>,</w:t>
      </w:r>
      <w:r w:rsidR="00FE4646" w:rsidRPr="00581A5D">
        <w:t xml:space="preserve"> jakožto koordinačního orgánu, </w:t>
      </w:r>
      <w:r w:rsidRPr="00581A5D">
        <w:t xml:space="preserve">vyjednává s Evropskou komisí </w:t>
      </w:r>
      <w:r w:rsidR="00A40F6B" w:rsidRPr="00581A5D">
        <w:t xml:space="preserve">schválení </w:t>
      </w:r>
      <w:r w:rsidRPr="00581A5D">
        <w:t xml:space="preserve">tzv. </w:t>
      </w:r>
      <w:r w:rsidR="00A40F6B" w:rsidRPr="00581A5D">
        <w:t>P</w:t>
      </w:r>
      <w:r w:rsidRPr="00581A5D">
        <w:t>rovozní</w:t>
      </w:r>
      <w:r w:rsidR="001C121E" w:rsidRPr="00581A5D">
        <w:t>ho</w:t>
      </w:r>
      <w:r w:rsidRPr="00581A5D">
        <w:t xml:space="preserve"> ujednání. Tento dokument specifikuje </w:t>
      </w:r>
      <w:r w:rsidR="00244F4E" w:rsidRPr="00581A5D">
        <w:t>verifikační mechanismy</w:t>
      </w:r>
      <w:r w:rsidRPr="00581A5D">
        <w:t xml:space="preserve"> jednotlivých </w:t>
      </w:r>
      <w:r w:rsidR="00EE3BB4" w:rsidRPr="00581A5D">
        <w:t>milníků a cílů</w:t>
      </w:r>
      <w:r w:rsidRPr="00581A5D">
        <w:t xml:space="preserve"> a navazuje na Prováděcí </w:t>
      </w:r>
      <w:r w:rsidR="00353E7B" w:rsidRPr="00581A5D">
        <w:t>r</w:t>
      </w:r>
      <w:r w:rsidRPr="00581A5D">
        <w:t xml:space="preserve">ozhodnutí Rady </w:t>
      </w:r>
      <w:r w:rsidR="00353E7B" w:rsidRPr="00581A5D">
        <w:t>(</w:t>
      </w:r>
      <w:r w:rsidRPr="00581A5D">
        <w:t>EU</w:t>
      </w:r>
      <w:r w:rsidR="00353E7B" w:rsidRPr="00581A5D">
        <w:t>)</w:t>
      </w:r>
      <w:r w:rsidR="001B7D62" w:rsidRPr="00581A5D">
        <w:t xml:space="preserve"> - CID</w:t>
      </w:r>
      <w:r w:rsidRPr="00581A5D">
        <w:t>. Dokument je nutné schválit do 30.</w:t>
      </w:r>
      <w:r w:rsidR="00EE3BB4" w:rsidRPr="00581A5D">
        <w:t xml:space="preserve"> června </w:t>
      </w:r>
      <w:r w:rsidRPr="00581A5D">
        <w:t>2022</w:t>
      </w:r>
      <w:r w:rsidR="007549B5" w:rsidRPr="00581A5D">
        <w:t>.</w:t>
      </w:r>
      <w:r w:rsidRPr="00581A5D">
        <w:t xml:space="preserve"> Evropská komise </w:t>
      </w:r>
      <w:r w:rsidR="00675E44" w:rsidRPr="00581A5D">
        <w:t>schválení ujednání</w:t>
      </w:r>
      <w:r w:rsidRPr="00581A5D">
        <w:t xml:space="preserve"> přiřazuje vysokou prioritu</w:t>
      </w:r>
      <w:r w:rsidR="00A40F6B" w:rsidRPr="00581A5D">
        <w:t xml:space="preserve">, </w:t>
      </w:r>
      <w:r w:rsidR="00EE3BB4" w:rsidRPr="00581A5D">
        <w:t xml:space="preserve">tudíž </w:t>
      </w:r>
      <w:r w:rsidRPr="00581A5D">
        <w:t>jednání</w:t>
      </w:r>
      <w:r w:rsidR="00ED3DCD" w:rsidRPr="00581A5D">
        <w:t xml:space="preserve"> probíhají velmi</w:t>
      </w:r>
      <w:r w:rsidRPr="00581A5D">
        <w:t xml:space="preserve"> intenzivn</w:t>
      </w:r>
      <w:r w:rsidR="00ED3DCD" w:rsidRPr="00581A5D">
        <w:t>ě</w:t>
      </w:r>
      <w:r w:rsidRPr="00581A5D">
        <w:t xml:space="preserve">. </w:t>
      </w:r>
    </w:p>
    <w:p w:rsidR="007D45CD" w:rsidRPr="00581A5D" w:rsidRDefault="00244F4E" w:rsidP="00581A5D">
      <w:pPr>
        <w:jc w:val="both"/>
      </w:pPr>
      <w:r w:rsidRPr="00581A5D">
        <w:t xml:space="preserve">I přes </w:t>
      </w:r>
      <w:r w:rsidR="00675E44" w:rsidRPr="00581A5D">
        <w:t>níže</w:t>
      </w:r>
      <w:r w:rsidRPr="00581A5D">
        <w:t xml:space="preserve"> popsaná rizika je nutné z pozice ČR zajistit</w:t>
      </w:r>
      <w:r w:rsidR="00675E44" w:rsidRPr="00581A5D">
        <w:t xml:space="preserve"> řádné</w:t>
      </w:r>
      <w:r w:rsidRPr="00581A5D">
        <w:t xml:space="preserve"> plnění všech milníků a cílů, jež jsou uvedeny v</w:t>
      </w:r>
      <w:r w:rsidR="001B7D62" w:rsidRPr="00581A5D">
        <w:t> CID.</w:t>
      </w:r>
      <w:r w:rsidR="00CD0C5D" w:rsidRPr="00581A5D">
        <w:t xml:space="preserve"> </w:t>
      </w:r>
      <w:r w:rsidRPr="00581A5D">
        <w:t xml:space="preserve">Evropská komise při misi do ČR upozornila všechny vlastníky komponent, jež jsou odpovědní za realizaci, na fakt, že </w:t>
      </w:r>
      <w:r w:rsidR="001B7D62" w:rsidRPr="00581A5D">
        <w:t>CID</w:t>
      </w:r>
      <w:r w:rsidRPr="00581A5D">
        <w:t xml:space="preserve"> je závazn</w:t>
      </w:r>
      <w:r w:rsidR="001B7D62" w:rsidRPr="00581A5D">
        <w:t>ý</w:t>
      </w:r>
      <w:r w:rsidRPr="00581A5D">
        <w:t xml:space="preserve"> a </w:t>
      </w:r>
      <w:r w:rsidR="001B7D62" w:rsidRPr="00581A5D">
        <w:t xml:space="preserve">je </w:t>
      </w:r>
      <w:r w:rsidRPr="00581A5D">
        <w:t xml:space="preserve">třeba se plně soustředit na implementaci všech milníků a cílů, aby byl </w:t>
      </w:r>
      <w:r w:rsidR="001B7D62" w:rsidRPr="00581A5D">
        <w:t>CID</w:t>
      </w:r>
      <w:r w:rsidRPr="00581A5D">
        <w:t xml:space="preserve"> naplněn. </w:t>
      </w:r>
      <w:r w:rsidR="00CD0C5D" w:rsidRPr="00581A5D">
        <w:lastRenderedPageBreak/>
        <w:t>V</w:t>
      </w:r>
      <w:r w:rsidRPr="00581A5D">
        <w:t xml:space="preserve"> případě nenaplnění hrozí </w:t>
      </w:r>
      <w:r w:rsidR="001B7D62" w:rsidRPr="00581A5D">
        <w:t>ztráta části</w:t>
      </w:r>
      <w:r w:rsidR="007D45CD" w:rsidRPr="00581A5D">
        <w:t xml:space="preserve"> finančních příspěvků z</w:t>
      </w:r>
      <w:r w:rsidR="001B7D62" w:rsidRPr="00581A5D">
        <w:t> </w:t>
      </w:r>
      <w:r w:rsidR="007D45CD" w:rsidRPr="00581A5D">
        <w:t>RRF</w:t>
      </w:r>
      <w:r w:rsidR="001B7D62" w:rsidRPr="00581A5D">
        <w:t>, přičemž její výši v tuto chvíli není možné vyčíslit. Bude se odvíjet o</w:t>
      </w:r>
      <w:r w:rsidR="00675E44" w:rsidRPr="00581A5D">
        <w:t>d</w:t>
      </w:r>
      <w:r w:rsidR="001B7D62" w:rsidRPr="00581A5D">
        <w:t xml:space="preserve"> toho, zda se bude jednat o reformní krok či o investici a vyčíslení ztráty finančních prostředků se bude odvíjet i od celkové významnosti a dopadu v rámci NPO a ČR.</w:t>
      </w:r>
      <w:r w:rsidR="007D45CD" w:rsidRPr="00581A5D">
        <w:t xml:space="preserve"> </w:t>
      </w:r>
    </w:p>
    <w:p w:rsidR="0070160E" w:rsidRPr="00581A5D" w:rsidRDefault="00CD0C5D" w:rsidP="00581A5D">
      <w:pPr>
        <w:jc w:val="both"/>
      </w:pPr>
      <w:r w:rsidRPr="00581A5D">
        <w:t>Vzhledem k tomu, že</w:t>
      </w:r>
      <w:r w:rsidR="007D45CD" w:rsidRPr="00581A5D">
        <w:t xml:space="preserve"> NPO je </w:t>
      </w:r>
      <w:r w:rsidR="001B7D62" w:rsidRPr="00581A5D">
        <w:t>projekt s pevně stanovenými termíny, které jsou velmi krátké, panuje všeobecná obava ze strany EK</w:t>
      </w:r>
      <w:r w:rsidR="002E1F52" w:rsidRPr="00581A5D">
        <w:t xml:space="preserve"> o splnění takto rozsáhlého plánu, jakým disponuje ČR. V porovnání s jinými členskými státy (a vzhledem k alokaci pro ČR) je náš plán jedním z nejrozsáhlejších, co do počtu milníků a cílů.</w:t>
      </w:r>
      <w:r w:rsidR="005B6998" w:rsidRPr="00581A5D">
        <w:t xml:space="preserve"> </w:t>
      </w:r>
      <w:r w:rsidR="001B7D62" w:rsidRPr="00581A5D">
        <w:t>Pokud jde o</w:t>
      </w:r>
      <w:r w:rsidR="002E1F52" w:rsidRPr="00581A5D">
        <w:t xml:space="preserve"> </w:t>
      </w:r>
      <w:r w:rsidR="001B7D62" w:rsidRPr="00581A5D">
        <w:t>úpravy CID, plánuje se nyní</w:t>
      </w:r>
      <w:r w:rsidR="002E1F52" w:rsidRPr="00581A5D">
        <w:t xml:space="preserve"> tento krok</w:t>
      </w:r>
      <w:r w:rsidR="001B7D62" w:rsidRPr="00581A5D">
        <w:t xml:space="preserve"> pouze v </w:t>
      </w:r>
      <w:r w:rsidR="0070160E" w:rsidRPr="00581A5D">
        <w:t>souvislosti s</w:t>
      </w:r>
      <w:r w:rsidR="001B7D62" w:rsidRPr="00581A5D">
        <w:t xml:space="preserve"> úpravou</w:t>
      </w:r>
      <w:r w:rsidR="0070160E" w:rsidRPr="00581A5D">
        <w:t xml:space="preserve"> finanční alokace</w:t>
      </w:r>
      <w:r w:rsidR="001B7D62" w:rsidRPr="00581A5D">
        <w:t xml:space="preserve">. </w:t>
      </w:r>
      <w:r w:rsidRPr="00581A5D">
        <w:t xml:space="preserve"> Ministerstvo průmyslu a obchodu </w:t>
      </w:r>
      <w:r w:rsidR="001B7D62" w:rsidRPr="00581A5D">
        <w:t xml:space="preserve">se ztotožňuje s názorem EK a klade maximální důraz na </w:t>
      </w:r>
      <w:r w:rsidR="007D45CD" w:rsidRPr="00581A5D">
        <w:t xml:space="preserve">implementaci </w:t>
      </w:r>
      <w:r w:rsidR="00BB44AD" w:rsidRPr="00581A5D">
        <w:t xml:space="preserve">všech stanovených </w:t>
      </w:r>
      <w:r w:rsidR="007D45CD" w:rsidRPr="00581A5D">
        <w:t>reforem a investic</w:t>
      </w:r>
      <w:r w:rsidR="002E1F52" w:rsidRPr="00581A5D">
        <w:t xml:space="preserve">. Je nutné soustředit se na první milníky a cíle a první žádost o </w:t>
      </w:r>
      <w:r w:rsidR="00BB44AD" w:rsidRPr="00581A5D">
        <w:t>výplatu finančních prostředků</w:t>
      </w:r>
      <w:r w:rsidR="002E1F52" w:rsidRPr="00581A5D">
        <w:t xml:space="preserve"> a </w:t>
      </w:r>
      <w:r w:rsidR="007D45CD" w:rsidRPr="00581A5D">
        <w:t>postupovat dle současného znění CID s cílem splnění maximálního počtu cílů/milníků závazných pro rok 2022</w:t>
      </w:r>
      <w:r w:rsidR="002E1F52" w:rsidRPr="00581A5D">
        <w:t xml:space="preserve"> a 2023</w:t>
      </w:r>
      <w:r w:rsidR="007D45CD" w:rsidRPr="00581A5D">
        <w:t>.</w:t>
      </w:r>
      <w:r w:rsidRPr="00581A5D">
        <w:t xml:space="preserve"> </w:t>
      </w:r>
    </w:p>
    <w:p w:rsidR="007D45CD" w:rsidRPr="00581A5D" w:rsidRDefault="004757A8" w:rsidP="00581A5D">
      <w:pPr>
        <w:jc w:val="both"/>
      </w:pPr>
      <w:r w:rsidRPr="00581A5D">
        <w:t xml:space="preserve">Vlastníci komponent </w:t>
      </w:r>
      <w:r w:rsidR="00BB44AD" w:rsidRPr="00581A5D">
        <w:t>musí dát</w:t>
      </w:r>
      <w:r w:rsidR="001B4630" w:rsidRPr="00581A5D">
        <w:t xml:space="preserve"> realizaci Národního plánu obnovy prioritu. Jedná se o 179 mld. Kč, které můžeme z Evropské unie získat, ale je nutné splnit to, </w:t>
      </w:r>
      <w:r w:rsidR="00BB44AD" w:rsidRPr="00581A5D">
        <w:t xml:space="preserve">k čemu se Česká republika zavázala </w:t>
      </w:r>
      <w:r w:rsidR="00766482" w:rsidRPr="00581A5D">
        <w:t xml:space="preserve">a </w:t>
      </w:r>
      <w:r w:rsidR="001B4630" w:rsidRPr="00581A5D">
        <w:t>co již bylo závazně stanoveno</w:t>
      </w:r>
      <w:r w:rsidR="00766482" w:rsidRPr="00581A5D">
        <w:t xml:space="preserve"> v CID.</w:t>
      </w:r>
      <w:r w:rsidR="001B4630" w:rsidRPr="00581A5D">
        <w:t xml:space="preserve"> </w:t>
      </w:r>
      <w:r w:rsidR="00766482" w:rsidRPr="00581A5D">
        <w:t>Z</w:t>
      </w:r>
      <w:r w:rsidR="001B4630" w:rsidRPr="00581A5D">
        <w:t xml:space="preserve">ejména je třeba </w:t>
      </w:r>
      <w:r w:rsidR="00766482" w:rsidRPr="00581A5D">
        <w:t xml:space="preserve">se </w:t>
      </w:r>
      <w:r w:rsidR="001B4630" w:rsidRPr="00581A5D">
        <w:t xml:space="preserve">soustředit na milníky a cíle spojené s první a druhou žádostí o </w:t>
      </w:r>
      <w:r w:rsidR="00766482" w:rsidRPr="00581A5D">
        <w:t>výplatu finančních prostředků</w:t>
      </w:r>
      <w:r w:rsidR="001B4630" w:rsidRPr="00581A5D">
        <w:t>. V této souvislosti je klíčových, tzv. 8 milníků v reformě č. 5 v komponentě Ministerstva spravedlnosti. Tyto milníky musí být beze zbytku naplněny a jsou podmínkou pro podání jakékoliv žádosti o platbu finančních prostředků z Nástroje pro oživení a odolnost.</w:t>
      </w:r>
      <w:r w:rsidRPr="00581A5D">
        <w:t xml:space="preserve"> </w:t>
      </w:r>
    </w:p>
    <w:p w:rsidR="00160EEE" w:rsidRPr="00581A5D" w:rsidRDefault="00581A5D" w:rsidP="00581A5D">
      <w:pPr>
        <w:pStyle w:val="Nadpis1"/>
        <w:jc w:val="both"/>
      </w:pPr>
      <w:r w:rsidRPr="00581A5D">
        <w:t>Rizika spojená s</w:t>
      </w:r>
      <w:r w:rsidR="007D45CD" w:rsidRPr="00581A5D">
        <w:t> </w:t>
      </w:r>
      <w:r w:rsidRPr="00581A5D">
        <w:t>neplněním milníků a cílů</w:t>
      </w:r>
    </w:p>
    <w:p w:rsidR="00E32973" w:rsidRPr="00581A5D" w:rsidRDefault="003E3F42" w:rsidP="00581A5D">
      <w:pPr>
        <w:jc w:val="both"/>
      </w:pPr>
      <w:r w:rsidRPr="00581A5D">
        <w:t xml:space="preserve">Ministerstvo průmyslu a obchodu, resp. </w:t>
      </w:r>
      <w:proofErr w:type="spellStart"/>
      <w:r w:rsidR="00E32973" w:rsidRPr="00581A5D">
        <w:t>Delivery</w:t>
      </w:r>
      <w:proofErr w:type="spellEnd"/>
      <w:r w:rsidR="00E32973" w:rsidRPr="00581A5D">
        <w:t xml:space="preserve"> unit připravuje centrální informační systém pro sběr dat a podkladů k</w:t>
      </w:r>
      <w:r w:rsidR="00ED3DCD" w:rsidRPr="00581A5D">
        <w:t xml:space="preserve"> vyk</w:t>
      </w:r>
      <w:r w:rsidR="00766482" w:rsidRPr="00581A5D">
        <w:t>a</w:t>
      </w:r>
      <w:r w:rsidR="00ED3DCD" w:rsidRPr="00581A5D">
        <w:t>z</w:t>
      </w:r>
      <w:r w:rsidR="00766482" w:rsidRPr="00581A5D">
        <w:t>ov</w:t>
      </w:r>
      <w:r w:rsidR="00ED3DCD" w:rsidRPr="00581A5D">
        <w:t>ání</w:t>
      </w:r>
      <w:r w:rsidR="00E32973" w:rsidRPr="00581A5D">
        <w:t xml:space="preserve"> plnění </w:t>
      </w:r>
      <w:r w:rsidR="001C121E" w:rsidRPr="00581A5D">
        <w:t>milníků a cílů</w:t>
      </w:r>
      <w:r w:rsidR="00E32973" w:rsidRPr="00581A5D">
        <w:t xml:space="preserve">, který by měl maximálně usnadnit </w:t>
      </w:r>
      <w:r w:rsidR="00ED3DCD" w:rsidRPr="00581A5D">
        <w:t xml:space="preserve">práci </w:t>
      </w:r>
      <w:r w:rsidR="00E32973" w:rsidRPr="00581A5D">
        <w:t>vlastníkům komponent. V současné době je finalizováno analytické zadání pro dodavatelskou firmu.</w:t>
      </w:r>
    </w:p>
    <w:p w:rsidR="005B6998" w:rsidRPr="00581A5D" w:rsidRDefault="005B6998" w:rsidP="00581A5D">
      <w:pPr>
        <w:jc w:val="both"/>
      </w:pPr>
      <w:proofErr w:type="spellStart"/>
      <w:r w:rsidRPr="00581A5D">
        <w:t>Delivery</w:t>
      </w:r>
      <w:proofErr w:type="spellEnd"/>
      <w:r w:rsidRPr="00581A5D">
        <w:t xml:space="preserve"> unit provedla v uplynulých týdnech </w:t>
      </w:r>
      <w:r w:rsidR="001B4630" w:rsidRPr="00581A5D">
        <w:t xml:space="preserve">inventuru stavu realizace Národního plánu obnovy prostřednictvím </w:t>
      </w:r>
      <w:r w:rsidRPr="00581A5D">
        <w:t>dotazovací</w:t>
      </w:r>
      <w:r w:rsidR="001B4630" w:rsidRPr="00581A5D">
        <w:t>ho</w:t>
      </w:r>
      <w:r w:rsidRPr="00581A5D">
        <w:t xml:space="preserve"> šetření mezi vlastníky komponent</w:t>
      </w:r>
      <w:r w:rsidR="0070160E" w:rsidRPr="00581A5D">
        <w:t xml:space="preserve">. Závěrem z tohoto šetření je kategorizace </w:t>
      </w:r>
      <w:r w:rsidR="003E3F42" w:rsidRPr="00581A5D">
        <w:t xml:space="preserve">milníků a </w:t>
      </w:r>
      <w:r w:rsidR="0070160E" w:rsidRPr="00581A5D">
        <w:t>cílů do tří skupin:</w:t>
      </w:r>
    </w:p>
    <w:p w:rsidR="0070160E" w:rsidRPr="00581A5D" w:rsidRDefault="00ED3DCD" w:rsidP="00581A5D">
      <w:pPr>
        <w:jc w:val="both"/>
      </w:pPr>
      <w:r w:rsidRPr="00581A5D">
        <w:t>U p</w:t>
      </w:r>
      <w:r w:rsidR="0070160E" w:rsidRPr="00581A5D">
        <w:t>rvní skupin</w:t>
      </w:r>
      <w:r w:rsidRPr="00581A5D">
        <w:t>y</w:t>
      </w:r>
      <w:r w:rsidR="0070160E" w:rsidRPr="00581A5D">
        <w:t xml:space="preserve"> </w:t>
      </w:r>
      <w:r w:rsidR="003E3F42" w:rsidRPr="00581A5D">
        <w:t>milníků a cílů</w:t>
      </w:r>
      <w:r w:rsidRPr="00581A5D">
        <w:t xml:space="preserve"> vlastníci komponent</w:t>
      </w:r>
      <w:r w:rsidR="0070160E" w:rsidRPr="00581A5D">
        <w:t xml:space="preserve"> nevyžaduj</w:t>
      </w:r>
      <w:r w:rsidRPr="00581A5D">
        <w:t>í</w:t>
      </w:r>
      <w:r w:rsidR="0070160E" w:rsidRPr="00581A5D">
        <w:t xml:space="preserve"> změnu Prováděcího rozhodnutí Rady</w:t>
      </w:r>
      <w:r w:rsidR="00766482" w:rsidRPr="00581A5D">
        <w:t xml:space="preserve"> (CID)</w:t>
      </w:r>
      <w:r w:rsidR="0070160E" w:rsidRPr="00581A5D">
        <w:t>. Někteří deklarují potřebu menšího časového posunu</w:t>
      </w:r>
      <w:r w:rsidR="001B4630" w:rsidRPr="00581A5D">
        <w:t xml:space="preserve"> </w:t>
      </w:r>
      <w:r w:rsidR="0070160E" w:rsidRPr="00581A5D">
        <w:t>termínu ke splnění</w:t>
      </w:r>
      <w:r w:rsidR="001B4630" w:rsidRPr="00581A5D">
        <w:t xml:space="preserve"> – cca 3-6 měsíců</w:t>
      </w:r>
      <w:r w:rsidR="0070160E" w:rsidRPr="00581A5D">
        <w:t xml:space="preserve">. Do této skupiny patří 67 % </w:t>
      </w:r>
      <w:r w:rsidR="003E3F42" w:rsidRPr="00581A5D">
        <w:t>milníků a cílů</w:t>
      </w:r>
      <w:r w:rsidR="0070160E" w:rsidRPr="00581A5D">
        <w:t>.</w:t>
      </w:r>
    </w:p>
    <w:p w:rsidR="0070160E" w:rsidRPr="00581A5D" w:rsidRDefault="00ED3DCD" w:rsidP="00581A5D">
      <w:pPr>
        <w:jc w:val="both"/>
      </w:pPr>
      <w:r w:rsidRPr="00581A5D">
        <w:t>U d</w:t>
      </w:r>
      <w:r w:rsidR="0070160E" w:rsidRPr="00581A5D">
        <w:t>ruh</w:t>
      </w:r>
      <w:r w:rsidRPr="00581A5D">
        <w:t>é</w:t>
      </w:r>
      <w:r w:rsidR="0070160E" w:rsidRPr="00581A5D">
        <w:t xml:space="preserve"> skupin</w:t>
      </w:r>
      <w:r w:rsidRPr="00581A5D">
        <w:t xml:space="preserve">y </w:t>
      </w:r>
      <w:r w:rsidR="003E3F42" w:rsidRPr="00581A5D">
        <w:t>milníků a cílů</w:t>
      </w:r>
      <w:r w:rsidRPr="00581A5D">
        <w:t xml:space="preserve"> žádají vlastníci komponent </w:t>
      </w:r>
      <w:r w:rsidR="0070160E" w:rsidRPr="00581A5D">
        <w:t xml:space="preserve">o dodatečné finanční prostředky </w:t>
      </w:r>
      <w:r w:rsidRPr="00581A5D">
        <w:t xml:space="preserve">(ať již </w:t>
      </w:r>
      <w:r w:rsidR="0070160E" w:rsidRPr="00581A5D">
        <w:t xml:space="preserve">z Nástroje pro oživení a odolnost nebo </w:t>
      </w:r>
      <w:r w:rsidR="003E3F42" w:rsidRPr="00581A5D">
        <w:t xml:space="preserve">ze </w:t>
      </w:r>
      <w:r w:rsidR="0070160E" w:rsidRPr="00581A5D">
        <w:t>státního rozpočtu</w:t>
      </w:r>
      <w:r w:rsidRPr="00581A5D">
        <w:t>)</w:t>
      </w:r>
      <w:r w:rsidR="0070160E" w:rsidRPr="00581A5D">
        <w:t xml:space="preserve">. Tato skupina pokrývá 15 % </w:t>
      </w:r>
      <w:r w:rsidR="003E3F42" w:rsidRPr="00581A5D">
        <w:t>milníků a cílů</w:t>
      </w:r>
      <w:r w:rsidR="0070160E" w:rsidRPr="00581A5D">
        <w:t xml:space="preserve">. Do této skupiny patří také </w:t>
      </w:r>
      <w:r w:rsidR="003E3F42" w:rsidRPr="00581A5D">
        <w:t>milníky a cíle</w:t>
      </w:r>
      <w:r w:rsidR="0070160E" w:rsidRPr="00581A5D">
        <w:t>, které byly určeny pro plné financování ze státního rozpočtu.</w:t>
      </w:r>
    </w:p>
    <w:p w:rsidR="00DF6EC8" w:rsidRPr="00581A5D" w:rsidRDefault="0070160E" w:rsidP="00581A5D">
      <w:pPr>
        <w:jc w:val="both"/>
      </w:pPr>
      <w:r w:rsidRPr="00581A5D">
        <w:t xml:space="preserve">Třetí skupina, </w:t>
      </w:r>
      <w:r w:rsidR="001B4630" w:rsidRPr="00581A5D">
        <w:t xml:space="preserve">je skupina milníků a cílů, </w:t>
      </w:r>
      <w:r w:rsidRPr="00581A5D">
        <w:t xml:space="preserve">která </w:t>
      </w:r>
      <w:r w:rsidR="001B4630" w:rsidRPr="00581A5D">
        <w:t xml:space="preserve">identifikuje významnější nároky na změny CID, ať už z hlediska </w:t>
      </w:r>
      <w:r w:rsidR="00DF6EC8" w:rsidRPr="00581A5D">
        <w:t xml:space="preserve">termínů </w:t>
      </w:r>
      <w:r w:rsidR="001B4630" w:rsidRPr="00581A5D">
        <w:t xml:space="preserve">či </w:t>
      </w:r>
      <w:r w:rsidR="00DF6EC8" w:rsidRPr="00581A5D">
        <w:t xml:space="preserve">podmínek plnění, </w:t>
      </w:r>
      <w:r w:rsidR="001B4630" w:rsidRPr="00581A5D">
        <w:t xml:space="preserve">případně eviduje požadavky na změnu </w:t>
      </w:r>
      <w:r w:rsidR="00DF6EC8" w:rsidRPr="00581A5D">
        <w:t xml:space="preserve">definic </w:t>
      </w:r>
      <w:r w:rsidR="00353E7B" w:rsidRPr="00581A5D">
        <w:t>milníků a cílů</w:t>
      </w:r>
      <w:r w:rsidR="00DF6EC8" w:rsidRPr="00581A5D">
        <w:t xml:space="preserve"> včetně jejich textace. Tato skupina rovněž vyžaduje dodatečné finanční prostředky z Nástroje pro oživení a odolnost nebo </w:t>
      </w:r>
      <w:r w:rsidR="001F74FE" w:rsidRPr="00581A5D">
        <w:t xml:space="preserve">ze </w:t>
      </w:r>
      <w:r w:rsidR="00DF6EC8" w:rsidRPr="00581A5D">
        <w:t>státního rozpočtu.</w:t>
      </w:r>
    </w:p>
    <w:p w:rsidR="00BB1DDE" w:rsidRPr="00581A5D" w:rsidRDefault="00FC5C16" w:rsidP="00581A5D">
      <w:pPr>
        <w:jc w:val="both"/>
        <w:rPr>
          <w:rFonts w:eastAsia="Times New Roman"/>
          <w:color w:val="FFFF00"/>
        </w:rPr>
      </w:pPr>
      <w:r w:rsidRPr="00581A5D">
        <w:rPr>
          <w:rFonts w:eastAsia="Times New Roman"/>
        </w:rPr>
        <w:t xml:space="preserve">Obecně </w:t>
      </w:r>
      <w:r w:rsidR="00543CA9" w:rsidRPr="00581A5D">
        <w:rPr>
          <w:rFonts w:eastAsia="Times New Roman"/>
        </w:rPr>
        <w:t xml:space="preserve">lze </w:t>
      </w:r>
      <w:r w:rsidRPr="00581A5D">
        <w:rPr>
          <w:rFonts w:eastAsia="Times New Roman"/>
        </w:rPr>
        <w:t>v</w:t>
      </w:r>
      <w:r w:rsidR="00DF6EC8" w:rsidRPr="00581A5D">
        <w:rPr>
          <w:rFonts w:eastAsia="Times New Roman"/>
        </w:rPr>
        <w:t xml:space="preserve"> každém resortu nalézt </w:t>
      </w:r>
      <w:r w:rsidR="00353E7B" w:rsidRPr="00581A5D">
        <w:rPr>
          <w:rFonts w:eastAsia="Times New Roman"/>
        </w:rPr>
        <w:t>reformy a investice</w:t>
      </w:r>
      <w:r w:rsidR="00DF6EC8" w:rsidRPr="00581A5D">
        <w:rPr>
          <w:rFonts w:eastAsia="Times New Roman"/>
        </w:rPr>
        <w:t>, které díky úrovni schopnosti plnit</w:t>
      </w:r>
      <w:r w:rsidR="00353E7B" w:rsidRPr="00581A5D">
        <w:rPr>
          <w:rFonts w:eastAsia="Times New Roman"/>
        </w:rPr>
        <w:t xml:space="preserve"> nebo </w:t>
      </w:r>
      <w:r w:rsidR="00DF6EC8" w:rsidRPr="00581A5D">
        <w:rPr>
          <w:rFonts w:eastAsia="Times New Roman"/>
        </w:rPr>
        <w:t>neplnit milníky</w:t>
      </w:r>
      <w:r w:rsidR="00353E7B" w:rsidRPr="00581A5D">
        <w:rPr>
          <w:rFonts w:eastAsia="Times New Roman"/>
        </w:rPr>
        <w:t xml:space="preserve"> a </w:t>
      </w:r>
      <w:r w:rsidR="00DF6EC8" w:rsidRPr="00581A5D">
        <w:rPr>
          <w:rFonts w:eastAsia="Times New Roman"/>
        </w:rPr>
        <w:t xml:space="preserve">cíle, spadají do </w:t>
      </w:r>
      <w:r w:rsidR="00353E7B" w:rsidRPr="00581A5D">
        <w:rPr>
          <w:rFonts w:eastAsia="Times New Roman"/>
        </w:rPr>
        <w:t>dvou i tří</w:t>
      </w:r>
      <w:r w:rsidR="00ED3DCD" w:rsidRPr="00581A5D">
        <w:rPr>
          <w:rFonts w:eastAsia="Times New Roman"/>
        </w:rPr>
        <w:t xml:space="preserve"> výše uvedených</w:t>
      </w:r>
      <w:r w:rsidR="00DF6EC8" w:rsidRPr="00581A5D">
        <w:rPr>
          <w:rFonts w:eastAsia="Times New Roman"/>
        </w:rPr>
        <w:t xml:space="preserve"> skupin.</w:t>
      </w:r>
      <w:r w:rsidR="007D45CD" w:rsidRPr="00581A5D">
        <w:rPr>
          <w:rFonts w:eastAsia="Times New Roman"/>
        </w:rPr>
        <w:t xml:space="preserve"> Konkrétní příklady u jednotlivých rezortů jsou popsány níže v textu.</w:t>
      </w:r>
      <w:r w:rsidR="007D45CD" w:rsidRPr="00581A5D">
        <w:rPr>
          <w:rFonts w:eastAsia="Times New Roman"/>
          <w:color w:val="FFFF00"/>
        </w:rPr>
        <w:t xml:space="preserve"> </w:t>
      </w:r>
    </w:p>
    <w:p w:rsidR="00FC5C16" w:rsidRPr="00581A5D" w:rsidRDefault="00DF6EC8" w:rsidP="00581A5D">
      <w:pPr>
        <w:jc w:val="both"/>
        <w:rPr>
          <w:rFonts w:eastAsia="Times New Roman"/>
        </w:rPr>
      </w:pPr>
      <w:r w:rsidRPr="00581A5D">
        <w:rPr>
          <w:rFonts w:eastAsia="Times New Roman"/>
        </w:rPr>
        <w:t xml:space="preserve">U některých </w:t>
      </w:r>
      <w:r w:rsidR="00353E7B" w:rsidRPr="00581A5D">
        <w:rPr>
          <w:rFonts w:eastAsia="Times New Roman"/>
        </w:rPr>
        <w:t>milníků a cílů</w:t>
      </w:r>
      <w:r w:rsidRPr="00581A5D">
        <w:rPr>
          <w:rFonts w:eastAsia="Times New Roman"/>
        </w:rPr>
        <w:t xml:space="preserve"> se můžeme setkat s požadavkem na zrušení celý</w:t>
      </w:r>
      <w:r w:rsidR="00ED3DCD" w:rsidRPr="00581A5D">
        <w:rPr>
          <w:rFonts w:eastAsia="Times New Roman"/>
        </w:rPr>
        <w:t>ch</w:t>
      </w:r>
      <w:r w:rsidRPr="00581A5D">
        <w:rPr>
          <w:rFonts w:eastAsia="Times New Roman"/>
        </w:rPr>
        <w:t xml:space="preserve"> částí Národního plánu obnovy, tj. celých reforem</w:t>
      </w:r>
      <w:r w:rsidR="00353E7B" w:rsidRPr="00581A5D">
        <w:rPr>
          <w:rFonts w:eastAsia="Times New Roman"/>
        </w:rPr>
        <w:t xml:space="preserve"> nebo </w:t>
      </w:r>
      <w:r w:rsidRPr="00581A5D">
        <w:rPr>
          <w:rFonts w:eastAsia="Times New Roman"/>
        </w:rPr>
        <w:t xml:space="preserve">investic nebo zrušení vybraných milníků a cílů. Za nejvíce kritickou považujeme situaci </w:t>
      </w:r>
      <w:r w:rsidRPr="00581A5D">
        <w:rPr>
          <w:rFonts w:eastAsia="Times New Roman"/>
        </w:rPr>
        <w:lastRenderedPageBreak/>
        <w:t>u komponent 1.1 a 1.2</w:t>
      </w:r>
      <w:r w:rsidR="00607355" w:rsidRPr="00581A5D">
        <w:rPr>
          <w:rFonts w:eastAsia="Times New Roman"/>
        </w:rPr>
        <w:t xml:space="preserve"> (digitalizace systémů státní správy, </w:t>
      </w:r>
      <w:r w:rsidR="001C121E" w:rsidRPr="00581A5D">
        <w:rPr>
          <w:rFonts w:eastAsia="Times New Roman"/>
        </w:rPr>
        <w:t xml:space="preserve">resp. </w:t>
      </w:r>
      <w:r w:rsidR="00607355" w:rsidRPr="00581A5D">
        <w:rPr>
          <w:rFonts w:eastAsia="Times New Roman"/>
        </w:rPr>
        <w:t>digitalizace služeb pro občany a podnikatele)</w:t>
      </w:r>
      <w:r w:rsidRPr="00581A5D">
        <w:rPr>
          <w:rFonts w:eastAsia="Times New Roman"/>
        </w:rPr>
        <w:t xml:space="preserve">, kde je vlastníkem </w:t>
      </w:r>
      <w:r w:rsidR="00D95650" w:rsidRPr="00581A5D">
        <w:rPr>
          <w:rFonts w:eastAsia="Times New Roman"/>
        </w:rPr>
        <w:t>Ministerstvo vnitra</w:t>
      </w:r>
      <w:r w:rsidRPr="00581A5D">
        <w:rPr>
          <w:rFonts w:eastAsia="Times New Roman"/>
        </w:rPr>
        <w:t>. Dle vyjádření tohoto resortu až 30 % aktivit (reforem</w:t>
      </w:r>
      <w:r w:rsidR="00D95650" w:rsidRPr="00581A5D">
        <w:rPr>
          <w:rFonts w:eastAsia="Times New Roman"/>
        </w:rPr>
        <w:t xml:space="preserve"> a </w:t>
      </w:r>
      <w:r w:rsidRPr="00581A5D">
        <w:rPr>
          <w:rFonts w:eastAsia="Times New Roman"/>
        </w:rPr>
        <w:t xml:space="preserve">investic) má ohroženo splnění </w:t>
      </w:r>
      <w:r w:rsidR="00D95650" w:rsidRPr="00581A5D">
        <w:rPr>
          <w:rFonts w:eastAsia="Times New Roman"/>
        </w:rPr>
        <w:t>milníků a cílů</w:t>
      </w:r>
      <w:r w:rsidRPr="00581A5D">
        <w:rPr>
          <w:rFonts w:eastAsia="Times New Roman"/>
        </w:rPr>
        <w:t xml:space="preserve"> a je nutné je zásadně přepracovat, </w:t>
      </w:r>
      <w:r w:rsidR="00D95650" w:rsidRPr="00581A5D">
        <w:rPr>
          <w:rFonts w:eastAsia="Times New Roman"/>
        </w:rPr>
        <w:t xml:space="preserve">což vyžaduje změnu </w:t>
      </w:r>
      <w:r w:rsidRPr="00581A5D">
        <w:rPr>
          <w:rFonts w:eastAsia="Times New Roman"/>
        </w:rPr>
        <w:t>v</w:t>
      </w:r>
      <w:r w:rsidR="00FC5C16" w:rsidRPr="00581A5D">
        <w:rPr>
          <w:rFonts w:eastAsia="Times New Roman"/>
        </w:rPr>
        <w:t> textu CID</w:t>
      </w:r>
      <w:r w:rsidR="00ED3DCD" w:rsidRPr="00581A5D">
        <w:rPr>
          <w:rFonts w:eastAsia="Times New Roman"/>
        </w:rPr>
        <w:t xml:space="preserve">, </w:t>
      </w:r>
      <w:r w:rsidR="00D95650" w:rsidRPr="00581A5D">
        <w:rPr>
          <w:rFonts w:eastAsia="Times New Roman"/>
        </w:rPr>
        <w:t>resp</w:t>
      </w:r>
      <w:r w:rsidR="00ED3DCD" w:rsidRPr="00581A5D">
        <w:rPr>
          <w:rFonts w:eastAsia="Times New Roman"/>
        </w:rPr>
        <w:t xml:space="preserve">. </w:t>
      </w:r>
      <w:r w:rsidR="00D95650" w:rsidRPr="00581A5D">
        <w:rPr>
          <w:rFonts w:eastAsia="Times New Roman"/>
        </w:rPr>
        <w:t>Provozním ujednání</w:t>
      </w:r>
      <w:r w:rsidRPr="00581A5D">
        <w:rPr>
          <w:rFonts w:eastAsia="Times New Roman"/>
        </w:rPr>
        <w:t>.</w:t>
      </w:r>
      <w:r w:rsidR="007D45CD" w:rsidRPr="00581A5D">
        <w:rPr>
          <w:rFonts w:eastAsia="Times New Roman"/>
        </w:rPr>
        <w:t xml:space="preserve"> </w:t>
      </w:r>
    </w:p>
    <w:p w:rsidR="00DF6EC8" w:rsidRPr="00581A5D" w:rsidRDefault="00FC5C16" w:rsidP="00581A5D">
      <w:pPr>
        <w:jc w:val="both"/>
        <w:rPr>
          <w:rFonts w:eastAsia="Times New Roman"/>
        </w:rPr>
      </w:pPr>
      <w:r w:rsidRPr="00581A5D">
        <w:rPr>
          <w:rFonts w:eastAsia="Times New Roman"/>
        </w:rPr>
        <w:t xml:space="preserve">Z pohledu času, tj. milníků a cílů, které jsou ohroženy v první žádosti o </w:t>
      </w:r>
      <w:r w:rsidR="0097328D" w:rsidRPr="00581A5D">
        <w:rPr>
          <w:rFonts w:eastAsia="Times New Roman"/>
        </w:rPr>
        <w:t>výplatu finančních prostředků</w:t>
      </w:r>
      <w:r w:rsidRPr="00581A5D">
        <w:rPr>
          <w:rFonts w:eastAsia="Times New Roman"/>
        </w:rPr>
        <w:t>, je nutné zmínit</w:t>
      </w:r>
      <w:r w:rsidR="007D45CD" w:rsidRPr="00581A5D">
        <w:rPr>
          <w:rFonts w:eastAsia="Times New Roman"/>
        </w:rPr>
        <w:t xml:space="preserve"> cíl </w:t>
      </w:r>
      <w:r w:rsidRPr="00581A5D">
        <w:rPr>
          <w:rFonts w:eastAsia="Times New Roman"/>
        </w:rPr>
        <w:t>č. 131 Ministerstva zemědělství, kde má být do 1. kvartálu 2022 zadáno</w:t>
      </w:r>
      <w:r w:rsidR="0097328D" w:rsidRPr="00581A5D">
        <w:rPr>
          <w:rFonts w:eastAsia="Times New Roman"/>
        </w:rPr>
        <w:t xml:space="preserve"> </w:t>
      </w:r>
      <w:r w:rsidRPr="00581A5D">
        <w:rPr>
          <w:rFonts w:eastAsia="Times New Roman"/>
        </w:rPr>
        <w:t xml:space="preserve">oznámení 40 vítězných projektů týkajících se protipovodňové ochrany. Kolegové z Ministerstva zemědělství na plnění cíle intenzivně pracují, ale </w:t>
      </w:r>
      <w:r w:rsidR="007D45CD" w:rsidRPr="00581A5D">
        <w:rPr>
          <w:rFonts w:eastAsia="Times New Roman"/>
        </w:rPr>
        <w:t>do</w:t>
      </w:r>
      <w:r w:rsidR="0097328D" w:rsidRPr="00581A5D">
        <w:rPr>
          <w:rFonts w:eastAsia="Times New Roman"/>
        </w:rPr>
        <w:t>po</w:t>
      </w:r>
      <w:r w:rsidR="007D45CD" w:rsidRPr="00581A5D">
        <w:rPr>
          <w:rFonts w:eastAsia="Times New Roman"/>
        </w:rPr>
        <w:t xml:space="preserve">sud </w:t>
      </w:r>
      <w:r w:rsidR="0097328D" w:rsidRPr="00581A5D">
        <w:rPr>
          <w:rFonts w:eastAsia="Times New Roman"/>
        </w:rPr>
        <w:t xml:space="preserve">je </w:t>
      </w:r>
      <w:r w:rsidR="007D45CD" w:rsidRPr="00581A5D">
        <w:rPr>
          <w:rFonts w:eastAsia="Times New Roman"/>
        </w:rPr>
        <w:t>splněno 3</w:t>
      </w:r>
      <w:r w:rsidRPr="00581A5D">
        <w:rPr>
          <w:rFonts w:eastAsia="Times New Roman"/>
        </w:rPr>
        <w:t>7 z těchto vítězných projektů a předkladatelů nabídek</w:t>
      </w:r>
      <w:r w:rsidR="007D45CD" w:rsidRPr="00581A5D">
        <w:rPr>
          <w:rFonts w:eastAsia="Times New Roman"/>
        </w:rPr>
        <w:t xml:space="preserve">, u dalších </w:t>
      </w:r>
      <w:r w:rsidRPr="00581A5D">
        <w:rPr>
          <w:rFonts w:eastAsia="Times New Roman"/>
        </w:rPr>
        <w:t xml:space="preserve">je </w:t>
      </w:r>
      <w:r w:rsidR="007D45CD" w:rsidRPr="00581A5D">
        <w:rPr>
          <w:rFonts w:eastAsia="Times New Roman"/>
        </w:rPr>
        <w:t>nutné zopakovat zadávací řízení</w:t>
      </w:r>
      <w:r w:rsidRPr="00581A5D">
        <w:rPr>
          <w:rFonts w:eastAsia="Times New Roman"/>
        </w:rPr>
        <w:t xml:space="preserve"> (např. z důvodu zásahu ÚOHS či nepřihlášení žádného účastníka)</w:t>
      </w:r>
      <w:r w:rsidR="007D45CD" w:rsidRPr="00581A5D">
        <w:rPr>
          <w:rFonts w:eastAsia="Times New Roman"/>
        </w:rPr>
        <w:t>.</w:t>
      </w:r>
    </w:p>
    <w:p w:rsidR="00D95650" w:rsidRPr="00581A5D" w:rsidRDefault="00DF6EC8" w:rsidP="00581A5D">
      <w:pPr>
        <w:jc w:val="both"/>
        <w:rPr>
          <w:rFonts w:eastAsia="Times New Roman"/>
        </w:rPr>
      </w:pPr>
      <w:r w:rsidRPr="00581A5D">
        <w:rPr>
          <w:rFonts w:eastAsia="Times New Roman"/>
        </w:rPr>
        <w:t>Za kritickou</w:t>
      </w:r>
      <w:r w:rsidR="00A354B7" w:rsidRPr="00581A5D">
        <w:rPr>
          <w:rFonts w:eastAsia="Times New Roman"/>
        </w:rPr>
        <w:t>,</w:t>
      </w:r>
      <w:r w:rsidR="00FC5C16" w:rsidRPr="00581A5D">
        <w:rPr>
          <w:rFonts w:eastAsia="Times New Roman"/>
        </w:rPr>
        <w:t xml:space="preserve"> z hlediska realizovatelnosti</w:t>
      </w:r>
      <w:r w:rsidR="00A354B7" w:rsidRPr="00581A5D">
        <w:rPr>
          <w:rFonts w:eastAsia="Times New Roman"/>
        </w:rPr>
        <w:t>,</w:t>
      </w:r>
      <w:r w:rsidRPr="00581A5D">
        <w:rPr>
          <w:rFonts w:eastAsia="Times New Roman"/>
        </w:rPr>
        <w:t xml:space="preserve"> považujeme i situaci u komponent, které mají být plně financovány ze státního rozpočtu, a to především s ohledem na nedostate</w:t>
      </w:r>
      <w:r w:rsidR="00ED3DCD" w:rsidRPr="00581A5D">
        <w:rPr>
          <w:rFonts w:eastAsia="Times New Roman"/>
        </w:rPr>
        <w:t>k</w:t>
      </w:r>
      <w:r w:rsidR="00252BFE" w:rsidRPr="00581A5D">
        <w:rPr>
          <w:rFonts w:eastAsia="Times New Roman"/>
        </w:rPr>
        <w:t xml:space="preserve"> přidělených</w:t>
      </w:r>
      <w:r w:rsidRPr="00581A5D">
        <w:rPr>
          <w:rFonts w:eastAsia="Times New Roman"/>
        </w:rPr>
        <w:t xml:space="preserve"> finanční</w:t>
      </w:r>
      <w:r w:rsidR="00ED3DCD" w:rsidRPr="00581A5D">
        <w:rPr>
          <w:rFonts w:eastAsia="Times New Roman"/>
        </w:rPr>
        <w:t>ch</w:t>
      </w:r>
      <w:r w:rsidRPr="00581A5D">
        <w:rPr>
          <w:rFonts w:eastAsia="Times New Roman"/>
        </w:rPr>
        <w:t xml:space="preserve"> prostředk</w:t>
      </w:r>
      <w:r w:rsidR="00ED3DCD" w:rsidRPr="00581A5D">
        <w:rPr>
          <w:rFonts w:eastAsia="Times New Roman"/>
        </w:rPr>
        <w:t>ů</w:t>
      </w:r>
      <w:r w:rsidR="00252BFE" w:rsidRPr="00581A5D">
        <w:rPr>
          <w:rFonts w:eastAsia="Times New Roman"/>
        </w:rPr>
        <w:t>.</w:t>
      </w:r>
      <w:r w:rsidR="00D95650" w:rsidRPr="00581A5D">
        <w:rPr>
          <w:rFonts w:eastAsia="Times New Roman"/>
        </w:rPr>
        <w:t xml:space="preserve"> </w:t>
      </w:r>
      <w:r w:rsidR="00FC5C16" w:rsidRPr="00581A5D">
        <w:rPr>
          <w:rFonts w:eastAsia="Times New Roman"/>
        </w:rPr>
        <w:t>Ovšem tyto komponenty jsou vázány pouze na státní rozpočet a jejich realizace neohrožuje celý Národní plán obnovy, resp. jeho část schválenou Evropskou komisí. P</w:t>
      </w:r>
      <w:r w:rsidR="002F1B05" w:rsidRPr="00581A5D">
        <w:rPr>
          <w:rFonts w:eastAsia="Times New Roman"/>
        </w:rPr>
        <w:t xml:space="preserve">řesněji řečeno nesplnění milníků a cílů </w:t>
      </w:r>
      <w:r w:rsidR="00FC5C16" w:rsidRPr="00581A5D">
        <w:rPr>
          <w:rFonts w:eastAsia="Times New Roman"/>
        </w:rPr>
        <w:t xml:space="preserve">u komponent hrazených čistě ze státního rozpočtu </w:t>
      </w:r>
      <w:r w:rsidR="002F1B05" w:rsidRPr="00581A5D">
        <w:rPr>
          <w:rFonts w:eastAsia="Times New Roman"/>
        </w:rPr>
        <w:t xml:space="preserve">nepovede k pozastavení plateb z unijních zdrojů. </w:t>
      </w:r>
    </w:p>
    <w:p w:rsidR="00DF6EC8" w:rsidRPr="00581A5D" w:rsidRDefault="00252BFE" w:rsidP="00581A5D">
      <w:pPr>
        <w:jc w:val="both"/>
        <w:rPr>
          <w:rFonts w:eastAsia="Times New Roman"/>
        </w:rPr>
      </w:pPr>
      <w:r w:rsidRPr="00581A5D">
        <w:rPr>
          <w:rFonts w:eastAsia="Times New Roman"/>
        </w:rPr>
        <w:t>Situac</w:t>
      </w:r>
      <w:r w:rsidR="00ED3DCD" w:rsidRPr="00581A5D">
        <w:rPr>
          <w:rFonts w:eastAsia="Times New Roman"/>
        </w:rPr>
        <w:t>i</w:t>
      </w:r>
      <w:r w:rsidRPr="00581A5D">
        <w:rPr>
          <w:rFonts w:eastAsia="Times New Roman"/>
        </w:rPr>
        <w:t xml:space="preserve"> dále zhoršuje aktuální vývoj inflace a rychlý růst cen ve všech odvětvích, především ve stavebnictví, které je klíčové pro realizaci </w:t>
      </w:r>
      <w:r w:rsidR="00365E5C" w:rsidRPr="00581A5D">
        <w:rPr>
          <w:rFonts w:eastAsia="Times New Roman"/>
        </w:rPr>
        <w:t xml:space="preserve">některých </w:t>
      </w:r>
      <w:r w:rsidRPr="00581A5D">
        <w:rPr>
          <w:rFonts w:eastAsia="Times New Roman"/>
        </w:rPr>
        <w:t>investic.</w:t>
      </w:r>
      <w:r w:rsidR="00365E5C" w:rsidRPr="00581A5D">
        <w:rPr>
          <w:rFonts w:eastAsia="Times New Roman"/>
        </w:rPr>
        <w:t xml:space="preserve"> Celkovou realizovatelnost a potřebu finančních prostředků ovlivňuje i růst cen energií. V souvislosti s tímto je nutné zmínit, že schválením CID již byly stanoveny finanční částky k jednotlivým žádostem o platbu, které Evropská unie vyplatí do ČR při splnění všech milníků a cílů. Tato částka reflektuje stav v době přípravy Národního plánu obnovy, ale další náklady spojené s realizací či s navýšením cen jsou k tíži členského státu, tedy ČR. </w:t>
      </w:r>
    </w:p>
    <w:p w:rsidR="00F17992" w:rsidRPr="00581A5D" w:rsidRDefault="00F17992" w:rsidP="00581A5D">
      <w:pPr>
        <w:jc w:val="both"/>
        <w:rPr>
          <w:b/>
        </w:rPr>
      </w:pPr>
      <w:r w:rsidRPr="00581A5D">
        <w:rPr>
          <w:b/>
        </w:rPr>
        <w:t>Shrnutí:</w:t>
      </w:r>
    </w:p>
    <w:p w:rsidR="007D45CD" w:rsidRPr="00581A5D" w:rsidRDefault="007D45CD" w:rsidP="00581A5D">
      <w:pPr>
        <w:jc w:val="both"/>
      </w:pPr>
      <w:r w:rsidRPr="00581A5D">
        <w:t xml:space="preserve">Pro ČR vyplývá z výše uvedených skutečností </w:t>
      </w:r>
      <w:r w:rsidR="00365E5C" w:rsidRPr="00581A5D">
        <w:t xml:space="preserve">povinnost zahájit bezodkladně implementaci plánu na všech úrovních. Je důležité se soustředit na první a druhou žádost o </w:t>
      </w:r>
      <w:r w:rsidR="00E06E5E" w:rsidRPr="00581A5D">
        <w:t>výplatu finančních prostředků</w:t>
      </w:r>
      <w:r w:rsidR="00365E5C" w:rsidRPr="00581A5D">
        <w:t xml:space="preserve"> a milníky a cíle v ní </w:t>
      </w:r>
      <w:r w:rsidR="00E06E5E" w:rsidRPr="00581A5D">
        <w:t>zahrnuté</w:t>
      </w:r>
      <w:r w:rsidR="00365E5C" w:rsidRPr="00581A5D">
        <w:t xml:space="preserve">. </w:t>
      </w:r>
      <w:r w:rsidRPr="00581A5D">
        <w:t xml:space="preserve">Finanční objem, který </w:t>
      </w:r>
      <w:r w:rsidR="00365E5C" w:rsidRPr="00581A5D">
        <w:t xml:space="preserve">připadá na první žádost o </w:t>
      </w:r>
      <w:r w:rsidR="00E06E5E" w:rsidRPr="00581A5D">
        <w:t>výplatu finančních prostředků ve výši</w:t>
      </w:r>
      <w:r w:rsidR="00365E5C" w:rsidRPr="00581A5D">
        <w:t xml:space="preserve"> 1 066 888 563 EUR. </w:t>
      </w:r>
      <w:r w:rsidRPr="00581A5D">
        <w:t xml:space="preserve">Dalších </w:t>
      </w:r>
      <w:r w:rsidR="00365E5C" w:rsidRPr="00581A5D">
        <w:t>807 375 129 EUR má být součástí</w:t>
      </w:r>
      <w:r w:rsidRPr="00581A5D">
        <w:t xml:space="preserve"> následující žádosti o </w:t>
      </w:r>
      <w:r w:rsidR="00E06E5E" w:rsidRPr="00581A5D">
        <w:t>výplatu finančních prostředků</w:t>
      </w:r>
      <w:r w:rsidRPr="00581A5D">
        <w:t>.</w:t>
      </w:r>
      <w:r w:rsidR="00365E5C" w:rsidRPr="00581A5D">
        <w:t xml:space="preserve"> Jako nejrizikovější lze vnímat komponenty 1.1 a 1.2, které jsou spojeny s digitalizací. Vlastník komponenty deklaroval, že je ohroženo až 30 % milníků a cílů, které má nyní v rámci NPO realizovat. Jako nejrizikovější faktor při realizaci se jeví u mnohých komponent růst cen a s tím spojené náklady na rozpočet. České komponenty nejsou nyní realizovány, protože resorty nemají prostředky ve svých kapitolách na jejich realizaci. </w:t>
      </w:r>
    </w:p>
    <w:p w:rsidR="007D45CD" w:rsidRPr="00581A5D" w:rsidRDefault="007D45CD" w:rsidP="00581A5D">
      <w:pPr>
        <w:jc w:val="both"/>
        <w:rPr>
          <w:b/>
        </w:rPr>
      </w:pPr>
      <w:r w:rsidRPr="00581A5D">
        <w:rPr>
          <w:b/>
        </w:rPr>
        <w:t>Návrh opatření</w:t>
      </w:r>
      <w:r w:rsidR="00F17992" w:rsidRPr="00581A5D">
        <w:rPr>
          <w:b/>
        </w:rPr>
        <w:t xml:space="preserve"> pro eliminaci rizik</w:t>
      </w:r>
      <w:r w:rsidRPr="00581A5D">
        <w:rPr>
          <w:b/>
        </w:rPr>
        <w:t>:</w:t>
      </w:r>
    </w:p>
    <w:p w:rsidR="00365E5C" w:rsidRPr="00581A5D" w:rsidRDefault="00365E5C" w:rsidP="00581A5D">
      <w:pPr>
        <w:pStyle w:val="Odstavecseseznamem"/>
        <w:numPr>
          <w:ilvl w:val="0"/>
          <w:numId w:val="54"/>
        </w:numPr>
        <w:jc w:val="both"/>
      </w:pPr>
      <w:r w:rsidRPr="00581A5D">
        <w:t>Usnesením vlády zavázat všechny resorty k implementaci N</w:t>
      </w:r>
      <w:r w:rsidR="008F5B53" w:rsidRPr="00581A5D">
        <w:t>PO s důrazem na omezený čas a na závaznost Prováděcího rozhodnutí Rady (EU).</w:t>
      </w:r>
    </w:p>
    <w:p w:rsidR="007D45CD" w:rsidRPr="00581A5D" w:rsidRDefault="00365E5C" w:rsidP="00581A5D">
      <w:pPr>
        <w:pStyle w:val="Odstavecseseznamem"/>
        <w:numPr>
          <w:ilvl w:val="0"/>
          <w:numId w:val="54"/>
        </w:numPr>
        <w:jc w:val="both"/>
      </w:pPr>
      <w:r w:rsidRPr="00581A5D">
        <w:t>Zajištění finančních prostředků ze státního rozpočtu na dofinancování potřebných nákladů u realizace jednotlivých komponent.</w:t>
      </w:r>
    </w:p>
    <w:p w:rsidR="00160EEE" w:rsidRPr="00581A5D" w:rsidRDefault="00581A5D" w:rsidP="00581A5D">
      <w:pPr>
        <w:pStyle w:val="Nadpis1"/>
        <w:jc w:val="both"/>
      </w:pPr>
      <w:r w:rsidRPr="00581A5D">
        <w:t>Rizika spojená s implementační strukturou</w:t>
      </w:r>
    </w:p>
    <w:p w:rsidR="00E32973" w:rsidRPr="00581A5D" w:rsidRDefault="005B6998" w:rsidP="00581A5D">
      <w:pPr>
        <w:jc w:val="both"/>
      </w:pPr>
      <w:r w:rsidRPr="00581A5D">
        <w:t xml:space="preserve">Do implementace je zapojeno celkem 11 ministerstev v postavení vlastníků komponent, </w:t>
      </w:r>
      <w:r w:rsidR="008F5B53" w:rsidRPr="00581A5D">
        <w:t>Odbor koordinace (</w:t>
      </w:r>
      <w:proofErr w:type="spellStart"/>
      <w:r w:rsidRPr="00581A5D">
        <w:t>Delivery</w:t>
      </w:r>
      <w:proofErr w:type="spellEnd"/>
      <w:r w:rsidRPr="00581A5D">
        <w:t xml:space="preserve"> unit</w:t>
      </w:r>
      <w:r w:rsidR="008F5B53" w:rsidRPr="00581A5D">
        <w:t>)</w:t>
      </w:r>
      <w:r w:rsidRPr="00581A5D">
        <w:t xml:space="preserve"> jako koordinační orgán na </w:t>
      </w:r>
      <w:r w:rsidR="00694C2A" w:rsidRPr="00581A5D">
        <w:t>Ministerstvu průmyslu a obchodu</w:t>
      </w:r>
      <w:r w:rsidRPr="00581A5D">
        <w:t>.</w:t>
      </w:r>
      <w:r w:rsidR="008F5B53" w:rsidRPr="00581A5D">
        <w:t xml:space="preserve"> </w:t>
      </w:r>
      <w:r w:rsidR="00694C2A" w:rsidRPr="00581A5D">
        <w:t>Ministerstvo financí</w:t>
      </w:r>
      <w:r w:rsidR="008F5B53" w:rsidRPr="00581A5D">
        <w:t xml:space="preserve"> zajišťující auditní činnosti. Tyto subjekty jsou ukotveny v usnesení vlády č. 467 ze 17. května 2021</w:t>
      </w:r>
      <w:r w:rsidR="00E32973" w:rsidRPr="00581A5D">
        <w:t xml:space="preserve">. </w:t>
      </w:r>
    </w:p>
    <w:p w:rsidR="00252BFE" w:rsidRPr="00581A5D" w:rsidRDefault="008F5B53" w:rsidP="00581A5D">
      <w:pPr>
        <w:jc w:val="both"/>
      </w:pPr>
      <w:r w:rsidRPr="00581A5D">
        <w:lastRenderedPageBreak/>
        <w:t>Evropská komise velmi často při jednáních s </w:t>
      </w:r>
      <w:proofErr w:type="spellStart"/>
      <w:r w:rsidRPr="00581A5D">
        <w:t>Delivery</w:t>
      </w:r>
      <w:proofErr w:type="spellEnd"/>
      <w:r w:rsidRPr="00581A5D">
        <w:t xml:space="preserve"> unit poukazovala na roztříštěný systém řízení, který je v rámci České republiky. </w:t>
      </w:r>
      <w:proofErr w:type="spellStart"/>
      <w:r w:rsidR="00252BFE" w:rsidRPr="00581A5D">
        <w:t>Delivery</w:t>
      </w:r>
      <w:proofErr w:type="spellEnd"/>
      <w:r w:rsidR="00252BFE" w:rsidRPr="00581A5D">
        <w:t xml:space="preserve"> unit </w:t>
      </w:r>
      <w:r w:rsidRPr="00581A5D">
        <w:t>je v roli národního koordinátora</w:t>
      </w:r>
      <w:r w:rsidR="000650E3" w:rsidRPr="00581A5D">
        <w:t>, ale</w:t>
      </w:r>
      <w:r w:rsidRPr="00581A5D">
        <w:t xml:space="preserve"> není řídícím orgánem, tak jak je zvykem v jiných členských státech. Řídící funkci v ČR zastává </w:t>
      </w:r>
      <w:r w:rsidR="000650E3" w:rsidRPr="00581A5D">
        <w:t>Ř</w:t>
      </w:r>
      <w:r w:rsidRPr="00581A5D">
        <w:t xml:space="preserve">ídící výbor, který je tvořen vlastníky komponent. Vlastníci tak prakticky rozhodují o celém NPO a nemají nad sebou další subjekt, který by řídící funkci uplatňoval. </w:t>
      </w:r>
      <w:r w:rsidR="00245F51" w:rsidRPr="00581A5D">
        <w:t>Fakticky rozhodovací pravomoc patří pověřeným náměstkům jednotlivých re</w:t>
      </w:r>
      <w:r w:rsidRPr="00581A5D">
        <w:t>s</w:t>
      </w:r>
      <w:r w:rsidR="00245F51" w:rsidRPr="00581A5D">
        <w:t>ortů</w:t>
      </w:r>
      <w:r w:rsidRPr="00581A5D">
        <w:t xml:space="preserve">, kteří vystupují v roli vlastníků komponent, přičemž na resortech je běžné, že za realizaci </w:t>
      </w:r>
      <w:r w:rsidR="000650E3" w:rsidRPr="00581A5D">
        <w:t>dále z</w:t>
      </w:r>
      <w:r w:rsidRPr="00581A5D">
        <w:t xml:space="preserve">odpovídají i 3-4 náměstci. Ale bez toho, aniž by tuto činnost někdo dále zastřešoval uvnitř resortu. To </w:t>
      </w:r>
      <w:r w:rsidR="000650E3" w:rsidRPr="00581A5D">
        <w:t xml:space="preserve">zásadně </w:t>
      </w:r>
      <w:r w:rsidRPr="00581A5D">
        <w:t xml:space="preserve">ztěžuje komunikační procesy uvnitř i vně resortu. </w:t>
      </w:r>
      <w:r w:rsidR="00D60BAE" w:rsidRPr="00581A5D">
        <w:t xml:space="preserve"> </w:t>
      </w:r>
      <w:r w:rsidR="00236BCE" w:rsidRPr="00581A5D">
        <w:t xml:space="preserve"> </w:t>
      </w:r>
    </w:p>
    <w:p w:rsidR="00F17992" w:rsidRPr="00581A5D" w:rsidRDefault="00245F51" w:rsidP="00581A5D">
      <w:pPr>
        <w:jc w:val="both"/>
      </w:pPr>
      <w:r w:rsidRPr="00581A5D">
        <w:t xml:space="preserve">Problematickou oblastí, kterou je nutné dořešit na národní úrovni, nadále zůstává </w:t>
      </w:r>
      <w:r w:rsidR="00907D81" w:rsidRPr="00581A5D">
        <w:t xml:space="preserve">8 milníků, které se zaměřují především na </w:t>
      </w:r>
      <w:r w:rsidR="00236BCE" w:rsidRPr="00581A5D">
        <w:t xml:space="preserve">oblast předcházení </w:t>
      </w:r>
      <w:r w:rsidRPr="00581A5D">
        <w:t>střet</w:t>
      </w:r>
      <w:r w:rsidR="00236BCE" w:rsidRPr="00581A5D">
        <w:t>u</w:t>
      </w:r>
      <w:r w:rsidRPr="00581A5D">
        <w:t xml:space="preserve"> zájmů</w:t>
      </w:r>
      <w:r w:rsidR="00907D81" w:rsidRPr="00581A5D">
        <w:t>, na úpravu definice skutečného vlastnictví v souladu s čl. 3 bodu 6 směrnice 2015/849 ve znění směrnice 2018/843</w:t>
      </w:r>
      <w:r w:rsidRPr="00581A5D">
        <w:t xml:space="preserve">. </w:t>
      </w:r>
      <w:r w:rsidR="00907D81" w:rsidRPr="00581A5D">
        <w:t>V rámci implementace komponent NPO je nutné</w:t>
      </w:r>
      <w:r w:rsidRPr="00581A5D">
        <w:t xml:space="preserve"> nastavit kontrolní mechanismy, jak střetu zájmů předcházet a jakým způsobem zajistit kontrolní mechanismy, které dokáží odhalit porušení zákona č. 159/2006 Sb., o střetu zájmů</w:t>
      </w:r>
      <w:r w:rsidR="008F5B53" w:rsidRPr="00581A5D">
        <w:t xml:space="preserve"> a zároveň i porušení</w:t>
      </w:r>
      <w:r w:rsidR="00907D81" w:rsidRPr="00581A5D">
        <w:t xml:space="preserve"> čl. 61 finančního nařízení.</w:t>
      </w:r>
      <w:r w:rsidR="008F5B53" w:rsidRPr="00581A5D">
        <w:t xml:space="preserve"> </w:t>
      </w:r>
      <w:r w:rsidR="00E32973" w:rsidRPr="00581A5D">
        <w:t xml:space="preserve">Pokud jde o definici skutečných majitelů, </w:t>
      </w:r>
      <w:r w:rsidR="00236BCE" w:rsidRPr="00581A5D">
        <w:t xml:space="preserve">Ministerstvo spravedlnosti </w:t>
      </w:r>
      <w:r w:rsidR="00907D81" w:rsidRPr="00581A5D">
        <w:t>po jednáních s EK připustilo možnost změny zákona o skutečných majitelích. Připravovan</w:t>
      </w:r>
      <w:r w:rsidR="002E4E81" w:rsidRPr="00581A5D">
        <w:t xml:space="preserve">á </w:t>
      </w:r>
      <w:r w:rsidR="00907D81" w:rsidRPr="00581A5D">
        <w:t>změn</w:t>
      </w:r>
      <w:r w:rsidR="002E4E81" w:rsidRPr="00581A5D">
        <w:t>a</w:t>
      </w:r>
      <w:r w:rsidR="00907D81" w:rsidRPr="00581A5D">
        <w:t xml:space="preserve"> a novelizace bude</w:t>
      </w:r>
      <w:r w:rsidR="002E4E81" w:rsidRPr="00581A5D">
        <w:t xml:space="preserve"> průběžně</w:t>
      </w:r>
      <w:r w:rsidR="00907D81" w:rsidRPr="00581A5D">
        <w:t xml:space="preserve"> konzultována s Evropskou komisí.  </w:t>
      </w:r>
      <w:r w:rsidR="00236BCE" w:rsidRPr="00581A5D">
        <w:t xml:space="preserve"> </w:t>
      </w:r>
    </w:p>
    <w:p w:rsidR="00BB1DDE" w:rsidRPr="00581A5D" w:rsidRDefault="00245F51" w:rsidP="00581A5D">
      <w:pPr>
        <w:jc w:val="both"/>
        <w:rPr>
          <w:highlight w:val="yellow"/>
        </w:rPr>
      </w:pPr>
      <w:r w:rsidRPr="00581A5D">
        <w:t>Další problematickou oblastí, která je opakovaně vyjasňována na jednání s Evropskou komisí</w:t>
      </w:r>
      <w:r w:rsidR="00724D45" w:rsidRPr="00581A5D">
        <w:t>,</w:t>
      </w:r>
      <w:r w:rsidRPr="00581A5D">
        <w:t xml:space="preserve"> je také zásada </w:t>
      </w:r>
      <w:r w:rsidR="00236BCE" w:rsidRPr="00581A5D">
        <w:t xml:space="preserve">významně neškodit (do no </w:t>
      </w:r>
      <w:proofErr w:type="spellStart"/>
      <w:r w:rsidR="00236BCE" w:rsidRPr="00581A5D">
        <w:t>significant</w:t>
      </w:r>
      <w:proofErr w:type="spellEnd"/>
      <w:r w:rsidR="00236BCE" w:rsidRPr="00581A5D">
        <w:t xml:space="preserve"> </w:t>
      </w:r>
      <w:proofErr w:type="spellStart"/>
      <w:r w:rsidR="008247A9" w:rsidRPr="00581A5D">
        <w:t>harm</w:t>
      </w:r>
      <w:proofErr w:type="spellEnd"/>
      <w:r w:rsidR="008247A9" w:rsidRPr="00581A5D">
        <w:t>,</w:t>
      </w:r>
      <w:r w:rsidR="00236BCE" w:rsidRPr="00581A5D">
        <w:t xml:space="preserve"> DNSH)</w:t>
      </w:r>
      <w:r w:rsidRPr="00581A5D">
        <w:t xml:space="preserve">, kde je cílem, aby investice a reformy </w:t>
      </w:r>
      <w:r w:rsidR="00907D81" w:rsidRPr="00581A5D">
        <w:t xml:space="preserve">významně nepoškozovaly životní prostředí a byly v souladu se zásadami a principy EU v této oblasti, tj. </w:t>
      </w:r>
      <w:r w:rsidR="00E8687F" w:rsidRPr="00581A5D">
        <w:t>vedly ke snížení dopadů na životní prostředí.</w:t>
      </w:r>
      <w:r w:rsidR="005B59B7" w:rsidRPr="00581A5D">
        <w:t xml:space="preserve"> </w:t>
      </w:r>
      <w:r w:rsidR="00907D81" w:rsidRPr="00581A5D">
        <w:t xml:space="preserve">Je plně v kompetenci vlastníků komponent, aby v rámci svých cílů definovali způsob prokazování a dokládání </w:t>
      </w:r>
      <w:r w:rsidR="005B59B7" w:rsidRPr="00581A5D">
        <w:t>minimalizac</w:t>
      </w:r>
      <w:r w:rsidR="00907D81" w:rsidRPr="00581A5D">
        <w:t>e</w:t>
      </w:r>
      <w:r w:rsidR="005B59B7" w:rsidRPr="00581A5D">
        <w:t xml:space="preserve"> environmentálních dopadů aktivit.</w:t>
      </w:r>
      <w:r w:rsidR="008247A9" w:rsidRPr="00581A5D">
        <w:rPr>
          <w:highlight w:val="yellow"/>
        </w:rPr>
        <w:t xml:space="preserve"> </w:t>
      </w:r>
    </w:p>
    <w:p w:rsidR="00245F51" w:rsidRPr="00581A5D" w:rsidRDefault="008247A9" w:rsidP="00581A5D">
      <w:pPr>
        <w:jc w:val="both"/>
      </w:pPr>
      <w:r w:rsidRPr="00581A5D">
        <w:t>Hlavními riziky v této oblasti je</w:t>
      </w:r>
      <w:r w:rsidR="00907D81" w:rsidRPr="00581A5D">
        <w:t xml:space="preserve"> faktor času. Je na vlastníkovi, aby doložil plnění zásady významně nepoškodit životní prostřední, a to různými způsoby. N</w:t>
      </w:r>
      <w:r w:rsidRPr="00581A5D">
        <w:t>apř. prostřednictvím Posudku vlivu na životní prostředí</w:t>
      </w:r>
      <w:r w:rsidR="00907D81" w:rsidRPr="00581A5D">
        <w:t xml:space="preserve">, </w:t>
      </w:r>
      <w:r w:rsidRPr="00581A5D">
        <w:t>tzv. E.I.A., výpočtů energetické účinnosti, dokladů o recyklaci stavební suti apod.</w:t>
      </w:r>
      <w:r w:rsidR="008B3825" w:rsidRPr="00581A5D">
        <w:t xml:space="preserve"> T</w:t>
      </w:r>
      <w:r w:rsidRPr="00581A5D">
        <w:t xml:space="preserve">yto procesy </w:t>
      </w:r>
      <w:r w:rsidR="008B3825" w:rsidRPr="00581A5D">
        <w:t>mohou vést</w:t>
      </w:r>
      <w:r w:rsidRPr="00581A5D">
        <w:t xml:space="preserve"> k významnému oddálení jak zahájení stavebních projektů, tak i zadávacího řízení na dodavatele těchto staveb, neboť </w:t>
      </w:r>
      <w:r w:rsidR="008B3825" w:rsidRPr="00581A5D">
        <w:t>již v době zadávání řízení a výběru je nutné počítat s dodržováním principů významně nepoškozovat.</w:t>
      </w:r>
    </w:p>
    <w:p w:rsidR="008D38AD" w:rsidRPr="00581A5D" w:rsidRDefault="008D38AD" w:rsidP="00581A5D">
      <w:pPr>
        <w:jc w:val="both"/>
        <w:rPr>
          <w:highlight w:val="yellow"/>
        </w:rPr>
      </w:pPr>
      <w:r w:rsidRPr="00581A5D">
        <w:t xml:space="preserve">Problémem je také neustálená výkladová praxe na úrovni Evropské komise, která se stále vyvíjí v návaznosti na dotazy ze strany členských </w:t>
      </w:r>
      <w:r w:rsidR="00FE4646" w:rsidRPr="00581A5D">
        <w:t>států,</w:t>
      </w:r>
      <w:r w:rsidRPr="00581A5D">
        <w:t xml:space="preserve"> a ne vždy je v dílčích bodech zcela konzistentní. Některé výklady mohou být v čase ze strany Evropské komise přehodnoceny</w:t>
      </w:r>
      <w:r w:rsidR="008B3825" w:rsidRPr="00581A5D">
        <w:t xml:space="preserve">, event. významně zpřesněny. </w:t>
      </w:r>
    </w:p>
    <w:p w:rsidR="008247A9" w:rsidRPr="00581A5D" w:rsidRDefault="00935451" w:rsidP="00581A5D">
      <w:pPr>
        <w:jc w:val="both"/>
        <w:rPr>
          <w:rFonts w:eastAsia="Times New Roman"/>
        </w:rPr>
      </w:pPr>
      <w:r w:rsidRPr="00581A5D">
        <w:rPr>
          <w:rFonts w:eastAsia="Times New Roman"/>
          <w:b/>
        </w:rPr>
        <w:t>Shrnutí:</w:t>
      </w:r>
      <w:r w:rsidRPr="00581A5D">
        <w:rPr>
          <w:rFonts w:eastAsia="Times New Roman"/>
        </w:rPr>
        <w:t xml:space="preserve"> </w:t>
      </w:r>
    </w:p>
    <w:p w:rsidR="008247A9" w:rsidRPr="00581A5D" w:rsidRDefault="008247A9" w:rsidP="00581A5D">
      <w:pPr>
        <w:jc w:val="both"/>
        <w:rPr>
          <w:rFonts w:eastAsia="Times New Roman"/>
        </w:rPr>
      </w:pPr>
      <w:r w:rsidRPr="00581A5D">
        <w:rPr>
          <w:rFonts w:eastAsia="Times New Roman"/>
        </w:rPr>
        <w:t xml:space="preserve">Rizikem </w:t>
      </w:r>
      <w:r w:rsidR="008B3825" w:rsidRPr="00581A5D">
        <w:rPr>
          <w:rFonts w:eastAsia="Times New Roman"/>
        </w:rPr>
        <w:t xml:space="preserve">v oblasti implementace je aplikace relativně nových, a ještě neustálených podmínek (např. významně nepoškozovat </w:t>
      </w:r>
      <w:r w:rsidR="00552190" w:rsidRPr="00581A5D">
        <w:rPr>
          <w:rFonts w:eastAsia="Times New Roman"/>
        </w:rPr>
        <w:t>–</w:t>
      </w:r>
      <w:r w:rsidR="008F3C13" w:rsidRPr="00581A5D">
        <w:rPr>
          <w:rFonts w:eastAsia="Times New Roman"/>
        </w:rPr>
        <w:t xml:space="preserve"> </w:t>
      </w:r>
      <w:r w:rsidR="008B3825" w:rsidRPr="00581A5D">
        <w:rPr>
          <w:rFonts w:eastAsia="Times New Roman"/>
        </w:rPr>
        <w:t>DNSH</w:t>
      </w:r>
      <w:r w:rsidR="00552190" w:rsidRPr="00581A5D">
        <w:rPr>
          <w:rFonts w:eastAsia="Times New Roman"/>
        </w:rPr>
        <w:t>)</w:t>
      </w:r>
      <w:r w:rsidR="008B3825" w:rsidRPr="00581A5D">
        <w:rPr>
          <w:rFonts w:eastAsia="Times New Roman"/>
        </w:rPr>
        <w:t xml:space="preserve">. Tyto postupy je nutné zohledňovat již v průběhu nastavování výzev, zadávání výběrových řízení a je velmi těžké je při špatném nastavení </w:t>
      </w:r>
      <w:r w:rsidR="008F3C13" w:rsidRPr="00581A5D">
        <w:rPr>
          <w:rFonts w:eastAsia="Times New Roman"/>
        </w:rPr>
        <w:t>na</w:t>
      </w:r>
      <w:r w:rsidR="008B3825" w:rsidRPr="00581A5D">
        <w:rPr>
          <w:rFonts w:eastAsia="Times New Roman"/>
        </w:rPr>
        <w:t>pravovat. Dalším rizikovým faktorem při implementaci je omezený čas na realizaci, který se aplikací některých speciálních podmínek, může dále zkracovat.</w:t>
      </w:r>
    </w:p>
    <w:p w:rsidR="008247A9" w:rsidRPr="00581A5D" w:rsidRDefault="008247A9" w:rsidP="00581A5D">
      <w:pPr>
        <w:jc w:val="both"/>
        <w:rPr>
          <w:rFonts w:eastAsia="Times New Roman"/>
          <w:b/>
        </w:rPr>
      </w:pPr>
      <w:r w:rsidRPr="00581A5D">
        <w:rPr>
          <w:rFonts w:eastAsia="Times New Roman"/>
          <w:b/>
        </w:rPr>
        <w:t xml:space="preserve">Návrh opatření pro eliminaci rizik: </w:t>
      </w:r>
    </w:p>
    <w:p w:rsidR="008247A9" w:rsidRPr="00581A5D" w:rsidRDefault="008247A9" w:rsidP="00581A5D">
      <w:pPr>
        <w:jc w:val="both"/>
        <w:rPr>
          <w:rFonts w:eastAsia="Times New Roman"/>
        </w:rPr>
      </w:pPr>
      <w:r w:rsidRPr="00581A5D">
        <w:rPr>
          <w:rFonts w:eastAsia="Times New Roman"/>
        </w:rPr>
        <w:t xml:space="preserve">Trvalé průběžné zapojení pracovníků EK do přípravy dokumentů pro účely implementace NPO. </w:t>
      </w:r>
      <w:r w:rsidR="008B3825" w:rsidRPr="00581A5D">
        <w:rPr>
          <w:rFonts w:eastAsia="Times New Roman"/>
        </w:rPr>
        <w:t xml:space="preserve">Sdílení všech vytvořených dokumentů s EK (a to zejména z úrovně vlastníků komponent), abychom předcházeli pozdějším </w:t>
      </w:r>
      <w:r w:rsidR="008B3825" w:rsidRPr="00581A5D">
        <w:rPr>
          <w:rFonts w:eastAsia="Times New Roman"/>
        </w:rPr>
        <w:lastRenderedPageBreak/>
        <w:t>konstatováním chyb. V tomto ohledu je nutné se zaměřit zejména na princip DNSH a na střet zájmů a jeho řešení na jednotlivých resortech.</w:t>
      </w:r>
    </w:p>
    <w:p w:rsidR="00316B00" w:rsidRPr="00581A5D" w:rsidRDefault="00581A5D" w:rsidP="00581A5D">
      <w:pPr>
        <w:pStyle w:val="Nadpis1"/>
        <w:jc w:val="both"/>
      </w:pPr>
      <w:r w:rsidRPr="00581A5D">
        <w:t>Rizika spojená s lidskými zdroji</w:t>
      </w:r>
      <w:r w:rsidR="00316B00" w:rsidRPr="00581A5D">
        <w:t xml:space="preserve"> </w:t>
      </w:r>
    </w:p>
    <w:p w:rsidR="00316B00" w:rsidRPr="00581A5D" w:rsidRDefault="00252BFE" w:rsidP="00581A5D">
      <w:pPr>
        <w:jc w:val="both"/>
      </w:pPr>
      <w:r w:rsidRPr="00581A5D">
        <w:t xml:space="preserve">Vlastníci komponent dlouhodobě </w:t>
      </w:r>
      <w:r w:rsidR="008B3825" w:rsidRPr="00581A5D">
        <w:t xml:space="preserve">poukazují </w:t>
      </w:r>
      <w:r w:rsidRPr="00581A5D">
        <w:t xml:space="preserve">na </w:t>
      </w:r>
      <w:r w:rsidR="00316B00" w:rsidRPr="00581A5D">
        <w:t>nedostatek personálních kapacit a technického vybavení</w:t>
      </w:r>
      <w:r w:rsidRPr="00581A5D">
        <w:t>. Za zásadní problém považují neexistenci tzv. technické asistence, tj. vyčleněných finančních prostředků, z nichž by bylo možné financovat mzdy, nákup materiálu, služeb a vybavení pro potřeby zaměstnanců</w:t>
      </w:r>
      <w:r w:rsidR="005B59B7" w:rsidRPr="00581A5D">
        <w:t xml:space="preserve"> na všech úrovních</w:t>
      </w:r>
      <w:r w:rsidRPr="00581A5D">
        <w:t xml:space="preserve"> implementační struktury. </w:t>
      </w:r>
      <w:r w:rsidR="007A3648" w:rsidRPr="00581A5D">
        <w:t xml:space="preserve">Řešení nepřináší ani tzv. </w:t>
      </w:r>
      <w:proofErr w:type="spellStart"/>
      <w:r w:rsidR="007A3648" w:rsidRPr="00581A5D">
        <w:t>Technical</w:t>
      </w:r>
      <w:proofErr w:type="spellEnd"/>
      <w:r w:rsidR="007A3648" w:rsidRPr="00581A5D">
        <w:t xml:space="preserve"> </w:t>
      </w:r>
      <w:r w:rsidR="00D60BAE" w:rsidRPr="00581A5D">
        <w:t>S</w:t>
      </w:r>
      <w:r w:rsidR="009B038E" w:rsidRPr="00581A5D">
        <w:t>upport</w:t>
      </w:r>
      <w:r w:rsidR="007A3648" w:rsidRPr="00581A5D">
        <w:t xml:space="preserve"> </w:t>
      </w:r>
      <w:r w:rsidR="00D60BAE" w:rsidRPr="00581A5D">
        <w:t>I</w:t>
      </w:r>
      <w:r w:rsidR="007A3648" w:rsidRPr="00581A5D">
        <w:t>nstrument</w:t>
      </w:r>
      <w:r w:rsidR="00D60BAE" w:rsidRPr="00581A5D">
        <w:t xml:space="preserve"> Evropské komise</w:t>
      </w:r>
      <w:r w:rsidR="007A3648" w:rsidRPr="00581A5D">
        <w:t>, protože ten lze využít pouze na nákup externích služeb</w:t>
      </w:r>
      <w:r w:rsidR="005B59B7" w:rsidRPr="00581A5D">
        <w:t>, o jeho využití rozhoduje přímo Evropská komise</w:t>
      </w:r>
      <w:r w:rsidR="009B17E3" w:rsidRPr="00581A5D">
        <w:t xml:space="preserve"> a k úhradě mzdových prostředků nebo pořízení technického vybavení jej využít nelze.</w:t>
      </w:r>
    </w:p>
    <w:p w:rsidR="00604E5E" w:rsidRPr="00581A5D" w:rsidRDefault="00920991" w:rsidP="00581A5D">
      <w:pPr>
        <w:jc w:val="both"/>
      </w:pPr>
      <w:r w:rsidRPr="00581A5D">
        <w:t>Problém spočívá také ve skutečnosti, že zaměstnanci se zkušeností</w:t>
      </w:r>
      <w:r w:rsidR="008D38AD" w:rsidRPr="00581A5D">
        <w:t xml:space="preserve"> </w:t>
      </w:r>
      <w:r w:rsidR="00627600" w:rsidRPr="00581A5D">
        <w:t>z operačních</w:t>
      </w:r>
      <w:r w:rsidR="008D38AD" w:rsidRPr="00581A5D">
        <w:t xml:space="preserve"> programů kofinancovaných EU, jsou obvykle ze 100 % své služební doby přiřazeni na agendu daného operačního programu a nemohou se tedy zapojit do implementace </w:t>
      </w:r>
      <w:r w:rsidR="00D60BAE" w:rsidRPr="00581A5D">
        <w:t>NPO</w:t>
      </w:r>
      <w:r w:rsidR="008B3825" w:rsidRPr="00581A5D">
        <w:t xml:space="preserve">, aniž by ohrozili uznatelnost nákladů z programů, z nichž jsou hrazeni. </w:t>
      </w:r>
      <w:r w:rsidR="00604E5E" w:rsidRPr="00581A5D">
        <w:t xml:space="preserve"> </w:t>
      </w:r>
    </w:p>
    <w:p w:rsidR="00604E5E" w:rsidRPr="00581A5D" w:rsidRDefault="008B3825" w:rsidP="00581A5D">
      <w:pPr>
        <w:jc w:val="both"/>
      </w:pPr>
      <w:r w:rsidRPr="00581A5D">
        <w:t>NPO je krátkodobý projekt s trváním do roku 2026. Je tedy žádoucí, aby bylo v soulad</w:t>
      </w:r>
      <w:r w:rsidR="00795E08" w:rsidRPr="00581A5D">
        <w:t>u</w:t>
      </w:r>
      <w:r w:rsidRPr="00581A5D">
        <w:t xml:space="preserve"> s projektovým řízení alokováno dostatečné množství personálních kapacit na jeho implementaci. </w:t>
      </w:r>
      <w:r w:rsidR="00121102" w:rsidRPr="00581A5D">
        <w:t xml:space="preserve">Je dlouhodobě neudržitelné, aby vlastníci komponent </w:t>
      </w:r>
      <w:r w:rsidR="00807BE6" w:rsidRPr="00581A5D">
        <w:t>vykrývali nedostatečné kapacity přesouváním úkolů z NPO na zaměstnance, kteří se dlouhodobě věnují jiným agendám</w:t>
      </w:r>
      <w:r w:rsidRPr="00581A5D">
        <w:t xml:space="preserve"> a NPO tak tvoří 10-15 % z pracovní náplně (vedle běžné agendy)</w:t>
      </w:r>
      <w:r w:rsidR="00807BE6" w:rsidRPr="00581A5D">
        <w:t xml:space="preserve">. </w:t>
      </w:r>
      <w:r w:rsidR="00795E08" w:rsidRPr="00581A5D">
        <w:t xml:space="preserve">Protože </w:t>
      </w:r>
      <w:r w:rsidR="00807BE6" w:rsidRPr="00581A5D">
        <w:t xml:space="preserve">se nemohou </w:t>
      </w:r>
      <w:r w:rsidR="00795E08" w:rsidRPr="00581A5D">
        <w:t xml:space="preserve">implementaci </w:t>
      </w:r>
      <w:r w:rsidR="00807BE6" w:rsidRPr="00581A5D">
        <w:t>NPO naplno věnovat</w:t>
      </w:r>
      <w:r w:rsidR="005B59B7" w:rsidRPr="00581A5D">
        <w:t xml:space="preserve"> a</w:t>
      </w:r>
      <w:r w:rsidR="00552190" w:rsidRPr="00581A5D">
        <w:t> </w:t>
      </w:r>
      <w:r w:rsidR="00807BE6" w:rsidRPr="00581A5D">
        <w:t>je ohroženo plnění termínů</w:t>
      </w:r>
      <w:r w:rsidR="005B59B7" w:rsidRPr="00581A5D">
        <w:t xml:space="preserve">, </w:t>
      </w:r>
      <w:r w:rsidR="00935451" w:rsidRPr="00581A5D">
        <w:t>milníků a cílů</w:t>
      </w:r>
      <w:r w:rsidR="00604E5E" w:rsidRPr="00581A5D">
        <w:t>.</w:t>
      </w:r>
      <w:r w:rsidR="00807BE6" w:rsidRPr="00581A5D">
        <w:t xml:space="preserve"> </w:t>
      </w:r>
    </w:p>
    <w:p w:rsidR="00D56FAB" w:rsidRPr="00581A5D" w:rsidRDefault="00D56FAB" w:rsidP="00581A5D">
      <w:pPr>
        <w:jc w:val="both"/>
      </w:pPr>
      <w:r w:rsidRPr="00581A5D">
        <w:t>Na dlouhodobé zajištění odborníků pro implementaci NPO</w:t>
      </w:r>
      <w:r w:rsidR="005B59B7" w:rsidRPr="00581A5D">
        <w:t xml:space="preserve"> (a jejich stabilizaci v týmech)</w:t>
      </w:r>
      <w:r w:rsidRPr="00581A5D">
        <w:t xml:space="preserve"> je třeba zajistit </w:t>
      </w:r>
      <w:r w:rsidR="00604E5E" w:rsidRPr="00581A5D">
        <w:t xml:space="preserve">dostatečné personální kapacity, ať v rámci resortu či systemizací nových pracovních míst. </w:t>
      </w:r>
    </w:p>
    <w:p w:rsidR="00935451" w:rsidRPr="00581A5D" w:rsidRDefault="00935451" w:rsidP="00581A5D">
      <w:pPr>
        <w:jc w:val="both"/>
      </w:pPr>
      <w:r w:rsidRPr="00581A5D">
        <w:rPr>
          <w:b/>
        </w:rPr>
        <w:t>Shrnutí:</w:t>
      </w:r>
      <w:r w:rsidRPr="00581A5D">
        <w:t xml:space="preserve"> </w:t>
      </w:r>
    </w:p>
    <w:p w:rsidR="008247A9" w:rsidRPr="00581A5D" w:rsidRDefault="00604E5E" w:rsidP="00581A5D">
      <w:pPr>
        <w:jc w:val="both"/>
      </w:pPr>
      <w:r w:rsidRPr="00581A5D">
        <w:t>Z důvodů neexistence technické podpory z tohoto fondu je r</w:t>
      </w:r>
      <w:r w:rsidR="008247A9" w:rsidRPr="00581A5D">
        <w:t xml:space="preserve">izikem nedostatek kvalifikovaných zaměstnanců, kteří by se mohli dlouhodobě a efektivně věnovat agendě NPO. </w:t>
      </w:r>
      <w:r w:rsidRPr="00581A5D">
        <w:t xml:space="preserve">Nedostatečná alokace pracovníků na administraci Národního plánu obnovy může v celku ohrozit plnění celého plánu. </w:t>
      </w:r>
    </w:p>
    <w:p w:rsidR="008247A9" w:rsidRPr="00581A5D" w:rsidRDefault="008247A9" w:rsidP="00581A5D">
      <w:pPr>
        <w:jc w:val="both"/>
        <w:rPr>
          <w:b/>
        </w:rPr>
      </w:pPr>
      <w:r w:rsidRPr="00581A5D">
        <w:rPr>
          <w:b/>
        </w:rPr>
        <w:t xml:space="preserve">Návrh opatření pro eliminaci rizik: </w:t>
      </w:r>
    </w:p>
    <w:p w:rsidR="008247A9" w:rsidRPr="00581A5D" w:rsidRDefault="00604E5E" w:rsidP="00581A5D">
      <w:pPr>
        <w:jc w:val="both"/>
      </w:pPr>
      <w:r w:rsidRPr="00581A5D">
        <w:t xml:space="preserve">Zajištění </w:t>
      </w:r>
      <w:r w:rsidR="007E0F4A" w:rsidRPr="00581A5D">
        <w:t xml:space="preserve">dostatečných </w:t>
      </w:r>
      <w:r w:rsidRPr="00581A5D">
        <w:t>personálních kapacit na administraci a implementaci.</w:t>
      </w:r>
    </w:p>
    <w:p w:rsidR="00316B00" w:rsidRPr="00581A5D" w:rsidRDefault="00581A5D" w:rsidP="00581A5D">
      <w:pPr>
        <w:pStyle w:val="Nadpis1"/>
        <w:jc w:val="both"/>
      </w:pPr>
      <w:r w:rsidRPr="00581A5D">
        <w:t>Rizika spojená s finančními zdroji</w:t>
      </w:r>
    </w:p>
    <w:p w:rsidR="00316B00" w:rsidRPr="00581A5D" w:rsidRDefault="00252BFE" w:rsidP="00581A5D">
      <w:pPr>
        <w:jc w:val="both"/>
      </w:pPr>
      <w:r w:rsidRPr="00581A5D">
        <w:t>Pokud jde o finanční zdroje</w:t>
      </w:r>
      <w:r w:rsidR="00604E5E" w:rsidRPr="00581A5D">
        <w:t>, tak tato problematika se prolíná s již výše zmíněnými okruhy. Vlastníci komponent musí zajistit prostředky zejména na</w:t>
      </w:r>
      <w:r w:rsidRPr="00581A5D">
        <w:t>:</w:t>
      </w:r>
    </w:p>
    <w:p w:rsidR="00252BFE" w:rsidRPr="00116A1B" w:rsidRDefault="00252BFE" w:rsidP="00581A5D">
      <w:pPr>
        <w:pStyle w:val="Odstavecseseznamem"/>
        <w:numPr>
          <w:ilvl w:val="0"/>
          <w:numId w:val="55"/>
        </w:numPr>
        <w:jc w:val="both"/>
      </w:pPr>
      <w:r w:rsidRPr="00116A1B">
        <w:t>dofinancování DPH,</w:t>
      </w:r>
      <w:r w:rsidR="008D38AD" w:rsidRPr="00116A1B">
        <w:t xml:space="preserve"> kde DPH </w:t>
      </w:r>
      <w:r w:rsidR="00116A1B" w:rsidRPr="00116A1B">
        <w:t>není</w:t>
      </w:r>
      <w:r w:rsidR="00604E5E" w:rsidRPr="00116A1B">
        <w:t xml:space="preserve"> zahrnuto do</w:t>
      </w:r>
      <w:r w:rsidR="00116A1B" w:rsidRPr="00116A1B">
        <w:t xml:space="preserve"> nákladů</w:t>
      </w:r>
      <w:r w:rsidR="00604E5E" w:rsidRPr="00116A1B">
        <w:t xml:space="preserve"> Národního plánu obnovy, které EU proplácí</w:t>
      </w:r>
      <w:r w:rsidR="00935451" w:rsidRPr="00116A1B">
        <w:t xml:space="preserve"> </w:t>
      </w:r>
      <w:r w:rsidR="008D38AD" w:rsidRPr="00116A1B">
        <w:t>a</w:t>
      </w:r>
      <w:r w:rsidR="00116A1B" w:rsidRPr="00116A1B">
        <w:t> </w:t>
      </w:r>
      <w:r w:rsidR="008D38AD" w:rsidRPr="00116A1B">
        <w:t>je nutné je</w:t>
      </w:r>
      <w:r w:rsidR="00935451" w:rsidRPr="00116A1B">
        <w:t>j</w:t>
      </w:r>
      <w:r w:rsidR="008D38AD" w:rsidRPr="00116A1B">
        <w:t xml:space="preserve"> vždy krýt ze zdrojů </w:t>
      </w:r>
      <w:r w:rsidR="00935451" w:rsidRPr="00116A1B">
        <w:t>příjemců nebo ze státního rozpočtu</w:t>
      </w:r>
      <w:r w:rsidR="003303AC" w:rsidRPr="00116A1B">
        <w:t>;</w:t>
      </w:r>
      <w:r w:rsidR="008D38AD" w:rsidRPr="00116A1B">
        <w:t xml:space="preserve"> </w:t>
      </w:r>
    </w:p>
    <w:p w:rsidR="00252BFE" w:rsidRPr="00581A5D" w:rsidRDefault="00252BFE" w:rsidP="00581A5D">
      <w:pPr>
        <w:pStyle w:val="Odstavecseseznamem"/>
        <w:numPr>
          <w:ilvl w:val="0"/>
          <w:numId w:val="55"/>
        </w:numPr>
        <w:jc w:val="both"/>
      </w:pPr>
      <w:r w:rsidRPr="00581A5D">
        <w:t>dofinancování zvýšených cen v důsledku inflace. Aktuální inflace se pohybuje na úrovni 9,9</w:t>
      </w:r>
      <w:r w:rsidR="00935451" w:rsidRPr="00581A5D">
        <w:t> </w:t>
      </w:r>
      <w:r w:rsidRPr="00581A5D">
        <w:t>%</w:t>
      </w:r>
      <w:r w:rsidR="003303AC" w:rsidRPr="00581A5D">
        <w:t>, což významně narušuje finanční plány připravené před více než rokem</w:t>
      </w:r>
      <w:r w:rsidR="005B59B7" w:rsidRPr="00581A5D">
        <w:t>;</w:t>
      </w:r>
    </w:p>
    <w:p w:rsidR="00252BFE" w:rsidRPr="00581A5D" w:rsidRDefault="00252BFE" w:rsidP="00581A5D">
      <w:pPr>
        <w:pStyle w:val="Odstavecseseznamem"/>
        <w:numPr>
          <w:ilvl w:val="0"/>
          <w:numId w:val="55"/>
        </w:numPr>
        <w:jc w:val="both"/>
      </w:pPr>
      <w:r w:rsidRPr="00581A5D">
        <w:t>technické zajištění realizace</w:t>
      </w:r>
      <w:r w:rsidR="003303AC" w:rsidRPr="00581A5D">
        <w:t xml:space="preserve"> (informační </w:t>
      </w:r>
      <w:r w:rsidR="00C24946" w:rsidRPr="00581A5D">
        <w:t xml:space="preserve">a </w:t>
      </w:r>
      <w:r w:rsidR="003303AC" w:rsidRPr="00581A5D">
        <w:t>kancelářská technika pro nové pracovníky zapojené do implementace NPO)</w:t>
      </w:r>
      <w:r w:rsidR="005B59B7" w:rsidRPr="00581A5D">
        <w:t>;</w:t>
      </w:r>
    </w:p>
    <w:p w:rsidR="00252BFE" w:rsidRPr="00581A5D" w:rsidRDefault="00252BFE" w:rsidP="00581A5D">
      <w:pPr>
        <w:pStyle w:val="Odstavecseseznamem"/>
        <w:numPr>
          <w:ilvl w:val="0"/>
          <w:numId w:val="55"/>
        </w:numPr>
        <w:jc w:val="both"/>
      </w:pPr>
      <w:r w:rsidRPr="00581A5D">
        <w:t>personální kapacity (tj. mzd</w:t>
      </w:r>
      <w:r w:rsidR="003303AC" w:rsidRPr="00581A5D">
        <w:t>ové prostředky pro nové pracovníky</w:t>
      </w:r>
      <w:r w:rsidRPr="00581A5D">
        <w:t>).</w:t>
      </w:r>
    </w:p>
    <w:p w:rsidR="00252BFE" w:rsidRPr="00581A5D" w:rsidRDefault="00604E5E" w:rsidP="00581A5D">
      <w:pPr>
        <w:jc w:val="both"/>
      </w:pPr>
      <w:r w:rsidRPr="00581A5D">
        <w:t>Vlastníci komponent přitom deklarují, že v kapitolách jednotlivých resortů nejsou doda</w:t>
      </w:r>
      <w:r w:rsidR="00252BFE" w:rsidRPr="00581A5D">
        <w:t xml:space="preserve">tečné finanční požadavky </w:t>
      </w:r>
      <w:r w:rsidRPr="00581A5D">
        <w:t xml:space="preserve">na zajištění těchto požadavků a opakovaně se obrací na koordinační orgán </w:t>
      </w:r>
      <w:r w:rsidR="00002432" w:rsidRPr="00581A5D">
        <w:t xml:space="preserve">i na Ministerstvo financí </w:t>
      </w:r>
      <w:r w:rsidR="00002432" w:rsidRPr="00581A5D">
        <w:lastRenderedPageBreak/>
        <w:t>s požadavky na zajištění dalších zdrojů na pokrytí výdajů, které nejsou hrazeny z Nástroje na oživení a odolnost.</w:t>
      </w:r>
    </w:p>
    <w:p w:rsidR="008247A9" w:rsidRPr="00581A5D" w:rsidRDefault="004757A8" w:rsidP="00581A5D">
      <w:pPr>
        <w:jc w:val="both"/>
      </w:pPr>
      <w:r w:rsidRPr="00581A5D">
        <w:rPr>
          <w:b/>
        </w:rPr>
        <w:t>Shrnutí:</w:t>
      </w:r>
      <w:r w:rsidRPr="00581A5D">
        <w:t xml:space="preserve"> </w:t>
      </w:r>
    </w:p>
    <w:p w:rsidR="004757A8" w:rsidRPr="00581A5D" w:rsidRDefault="008247A9" w:rsidP="00581A5D">
      <w:pPr>
        <w:jc w:val="both"/>
      </w:pPr>
      <w:r w:rsidRPr="00581A5D">
        <w:t>Rizikem je nedostatek finančních zdrojů v</w:t>
      </w:r>
      <w:r w:rsidR="00002432" w:rsidRPr="00581A5D">
        <w:t> kapitolách resortů (vlastníků komponent) na zajištění výdajů spojených s implementací (DPH, růst cen apod.)</w:t>
      </w:r>
      <w:r w:rsidRPr="00581A5D">
        <w:t>.</w:t>
      </w:r>
    </w:p>
    <w:p w:rsidR="008247A9" w:rsidRPr="00581A5D" w:rsidRDefault="008247A9" w:rsidP="00581A5D">
      <w:pPr>
        <w:jc w:val="both"/>
        <w:rPr>
          <w:b/>
        </w:rPr>
      </w:pPr>
      <w:r w:rsidRPr="00581A5D">
        <w:rPr>
          <w:b/>
        </w:rPr>
        <w:t xml:space="preserve">Návrh opatření pro eliminaci rizik: </w:t>
      </w:r>
    </w:p>
    <w:p w:rsidR="008247A9" w:rsidRPr="00581A5D" w:rsidRDefault="00002432" w:rsidP="00581A5D">
      <w:pPr>
        <w:jc w:val="both"/>
      </w:pPr>
      <w:r w:rsidRPr="00581A5D">
        <w:t>Uložit Ministerstvu financí a vlastníkům komponent (resortů) povinnost zajistit finanční prostředky na krytí výdajů spojených s implementací, které nejsou hrazeny z Nástroje pro oživení a odolnost.</w:t>
      </w:r>
    </w:p>
    <w:p w:rsidR="00160EEE" w:rsidRPr="00581A5D" w:rsidRDefault="00581A5D" w:rsidP="00581A5D">
      <w:pPr>
        <w:pStyle w:val="Nadpis1"/>
        <w:jc w:val="both"/>
      </w:pPr>
      <w:r w:rsidRPr="00581A5D">
        <w:t xml:space="preserve">Příležitosti a výzvy </w:t>
      </w:r>
      <w:r>
        <w:t>NPO</w:t>
      </w:r>
      <w:r w:rsidRPr="00581A5D">
        <w:t xml:space="preserve"> do budoucna</w:t>
      </w:r>
    </w:p>
    <w:p w:rsidR="00252BFE" w:rsidRPr="00581A5D" w:rsidRDefault="008D38AD" w:rsidP="00581A5D">
      <w:pPr>
        <w:jc w:val="both"/>
      </w:pPr>
      <w:r w:rsidRPr="00581A5D">
        <w:t>V </w:t>
      </w:r>
      <w:r w:rsidR="00316B00" w:rsidRPr="00581A5D">
        <w:t>květnu</w:t>
      </w:r>
      <w:r w:rsidRPr="00581A5D">
        <w:t xml:space="preserve"> 2022</w:t>
      </w:r>
      <w:r w:rsidR="00316B00" w:rsidRPr="00581A5D">
        <w:t xml:space="preserve"> lze očekávat navýšení </w:t>
      </w:r>
      <w:r w:rsidRPr="00581A5D">
        <w:t>finanční alokace</w:t>
      </w:r>
      <w:r w:rsidR="005B59B7" w:rsidRPr="00581A5D">
        <w:t xml:space="preserve"> z</w:t>
      </w:r>
      <w:r w:rsidRPr="00581A5D">
        <w:t xml:space="preserve"> RRF</w:t>
      </w:r>
      <w:r w:rsidR="00316B00" w:rsidRPr="00581A5D">
        <w:t xml:space="preserve"> pro ČR o </w:t>
      </w:r>
      <w:r w:rsidR="00002432" w:rsidRPr="00581A5D">
        <w:t>cca 580 mil. EUR</w:t>
      </w:r>
      <w:r w:rsidRPr="00581A5D">
        <w:t>.</w:t>
      </w:r>
      <w:r w:rsidR="00C146BD" w:rsidRPr="00581A5D">
        <w:t xml:space="preserve"> </w:t>
      </w:r>
      <w:r w:rsidR="00002432" w:rsidRPr="00581A5D">
        <w:t xml:space="preserve">Dle doporučení EK by tato částka měla být využita na plnění NPO. Evropská komise označila NPO za málo ambiciózní v oblasti reforem a Česká republika by při navýšení finanční alokace měla do Národního plánu obnovy zahrnout zejména reformy v souladu s doporučeními pro členský stát (CSR), v souladu se zelenou </w:t>
      </w:r>
      <w:proofErr w:type="spellStart"/>
      <w:r w:rsidR="00002432" w:rsidRPr="00581A5D">
        <w:t>tranzicí</w:t>
      </w:r>
      <w:proofErr w:type="spellEnd"/>
      <w:r w:rsidR="00002432" w:rsidRPr="00581A5D">
        <w:t>, a to</w:t>
      </w:r>
      <w:r w:rsidRPr="00581A5D">
        <w:t xml:space="preserve"> včetně návazných </w:t>
      </w:r>
      <w:r w:rsidR="004757A8" w:rsidRPr="00581A5D">
        <w:t>milníků a cílů</w:t>
      </w:r>
      <w:r w:rsidRPr="00581A5D">
        <w:t>. To bude klást vyšší nároky na dotčené vlastníky komponent, kteří budou nuceni převzít odpovědnost za tyto dodatečné reformy, související náklady a zajistit dodatečné lidské zdroje na jejich implementaci.</w:t>
      </w:r>
      <w:r w:rsidR="00316B00" w:rsidRPr="00581A5D">
        <w:t xml:space="preserve"> </w:t>
      </w:r>
    </w:p>
    <w:p w:rsidR="008247A9" w:rsidRPr="00581A5D" w:rsidRDefault="00002432" w:rsidP="00581A5D">
      <w:pPr>
        <w:jc w:val="both"/>
        <w:rPr>
          <w:rFonts w:eastAsia="Times New Roman"/>
        </w:rPr>
      </w:pPr>
      <w:r w:rsidRPr="00581A5D">
        <w:rPr>
          <w:rFonts w:eastAsia="Times New Roman"/>
        </w:rPr>
        <w:t>NPO je nástroje</w:t>
      </w:r>
      <w:r w:rsidR="004B3A50" w:rsidRPr="00581A5D">
        <w:rPr>
          <w:rFonts w:eastAsia="Times New Roman"/>
        </w:rPr>
        <w:t>m</w:t>
      </w:r>
      <w:r w:rsidRPr="00581A5D">
        <w:rPr>
          <w:rFonts w:eastAsia="Times New Roman"/>
        </w:rPr>
        <w:t xml:space="preserve"> pro oživení ekonomiky</w:t>
      </w:r>
      <w:r w:rsidR="00A935DD" w:rsidRPr="00581A5D">
        <w:rPr>
          <w:rFonts w:eastAsia="Times New Roman"/>
        </w:rPr>
        <w:t xml:space="preserve"> za použití dodatečných finančních příspěvků z Nástroje na oživení a odolnost</w:t>
      </w:r>
      <w:r w:rsidRPr="00581A5D">
        <w:rPr>
          <w:rFonts w:eastAsia="Times New Roman"/>
        </w:rPr>
        <w:t xml:space="preserve">. Jedná se o příležitost pro občany ČR, pro podniky i státní správu s cílem vytvořit odolnější a lepší životní a ekonomické prostředí se schopností </w:t>
      </w:r>
      <w:r w:rsidR="00A935DD" w:rsidRPr="00581A5D">
        <w:rPr>
          <w:rFonts w:eastAsia="Times New Roman"/>
        </w:rPr>
        <w:t>přiměřeně reagovat na další krizové situace, které mohou v budoucnu postihnout ČR a EU.</w:t>
      </w:r>
      <w:r w:rsidRPr="00581A5D">
        <w:rPr>
          <w:rFonts w:eastAsia="Times New Roman"/>
        </w:rPr>
        <w:t xml:space="preserve">  </w:t>
      </w:r>
      <w:r w:rsidR="008247A9" w:rsidRPr="00581A5D">
        <w:rPr>
          <w:rFonts w:eastAsia="Times New Roman"/>
        </w:rPr>
        <w:t xml:space="preserve"> </w:t>
      </w:r>
    </w:p>
    <w:p w:rsidR="00316B00" w:rsidRPr="00581A5D" w:rsidRDefault="004757A8" w:rsidP="00581A5D">
      <w:pPr>
        <w:pStyle w:val="Nadpis1"/>
        <w:jc w:val="both"/>
      </w:pPr>
      <w:bookmarkStart w:id="1" w:name="_Hlk94613025"/>
      <w:r w:rsidRPr="00581A5D">
        <w:t>S</w:t>
      </w:r>
      <w:r w:rsidR="00581A5D" w:rsidRPr="00581A5D">
        <w:t>hrnutí</w:t>
      </w:r>
      <w:r w:rsidRPr="00581A5D">
        <w:t xml:space="preserve"> </w:t>
      </w:r>
      <w:r w:rsidR="00581A5D" w:rsidRPr="00581A5D">
        <w:t>návrhů řešení nastolených problémů</w:t>
      </w:r>
    </w:p>
    <w:p w:rsidR="008D38AD" w:rsidRPr="00581A5D" w:rsidRDefault="00A935DD" w:rsidP="00581A5D">
      <w:pPr>
        <w:jc w:val="both"/>
      </w:pPr>
      <w:bookmarkStart w:id="2" w:name="_Hlk97724028"/>
      <w:r w:rsidRPr="00581A5D">
        <w:t xml:space="preserve">Je nutné na všech resortech </w:t>
      </w:r>
      <w:proofErr w:type="spellStart"/>
      <w:r w:rsidRPr="00581A5D">
        <w:t>zavnímat</w:t>
      </w:r>
      <w:proofErr w:type="spellEnd"/>
      <w:r w:rsidRPr="00581A5D">
        <w:t xml:space="preserve"> důležitost tohoto nástroje. Národní plán obnovy je prioritou a je nutné jej začít </w:t>
      </w:r>
      <w:r w:rsidR="000515A5">
        <w:t xml:space="preserve">plně </w:t>
      </w:r>
      <w:r w:rsidRPr="00581A5D">
        <w:t xml:space="preserve">realizovat, zejména s ohledem na nejbližší žádosti o </w:t>
      </w:r>
      <w:r w:rsidR="00FF6BF8" w:rsidRPr="00581A5D">
        <w:t>výplatu finančních prostředků</w:t>
      </w:r>
      <w:r w:rsidRPr="00581A5D">
        <w:t xml:space="preserve">. Vzhledem k časovému rámci není prostor pro další prodlevy či váhavost v implementaci. Je důležité zmínit princip kolektivní viny, tj. provázanost plánu. Nesplnění milníků a cílů může ohrozit nejen resort, který dané nesplní, ale i další řešitele v rámci NPO.  </w:t>
      </w:r>
      <w:proofErr w:type="spellStart"/>
      <w:r w:rsidRPr="00581A5D">
        <w:t>Delivery</w:t>
      </w:r>
      <w:proofErr w:type="spellEnd"/>
      <w:r w:rsidRPr="00581A5D">
        <w:t xml:space="preserve"> unit z tohoto důvodu eskaluje problematiku NPO na úroveň vlády a v připravovaném usnesení, které shrnuje výsledky inventury a</w:t>
      </w:r>
      <w:r w:rsidR="00027362" w:rsidRPr="00581A5D">
        <w:t> </w:t>
      </w:r>
      <w:r w:rsidRPr="00581A5D">
        <w:t>identifikovaná rizika navrhuje</w:t>
      </w:r>
      <w:r w:rsidR="005B59B7" w:rsidRPr="00581A5D">
        <w:t>:</w:t>
      </w:r>
    </w:p>
    <w:p w:rsidR="006E1656" w:rsidRPr="00581A5D" w:rsidRDefault="00A935DD" w:rsidP="00581A5D">
      <w:pPr>
        <w:pStyle w:val="Odstavecseseznamem"/>
        <w:numPr>
          <w:ilvl w:val="0"/>
          <w:numId w:val="56"/>
        </w:numPr>
        <w:jc w:val="both"/>
      </w:pPr>
      <w:r w:rsidRPr="00581A5D">
        <w:t xml:space="preserve">silnější koordinaci v rámci resortů. Stanovení 1 odpovědné osoby za resort; </w:t>
      </w:r>
    </w:p>
    <w:p w:rsidR="00A935DD" w:rsidRPr="00581A5D" w:rsidRDefault="00A935DD" w:rsidP="00581A5D">
      <w:pPr>
        <w:pStyle w:val="Odstavecseseznamem"/>
        <w:numPr>
          <w:ilvl w:val="0"/>
          <w:numId w:val="56"/>
        </w:numPr>
        <w:jc w:val="both"/>
      </w:pPr>
      <w:r w:rsidRPr="00581A5D">
        <w:t>pravidelné zajištění informování vlády o stavu realizace NPO;</w:t>
      </w:r>
    </w:p>
    <w:p w:rsidR="00A935DD" w:rsidRDefault="00A935DD" w:rsidP="00581A5D">
      <w:pPr>
        <w:pStyle w:val="Odstavecseseznamem"/>
        <w:numPr>
          <w:ilvl w:val="0"/>
          <w:numId w:val="56"/>
        </w:numPr>
        <w:jc w:val="both"/>
      </w:pPr>
      <w:r w:rsidRPr="00581A5D">
        <w:t>pověřit Ministerstvo financí ve spolupráci s vlastníky komponent vyřešením otázky financování výdajů spojených s realizací NPO (DPH, růst cen, personální kapacity aj.) vč. financování tzv. českých komponent</w:t>
      </w:r>
      <w:bookmarkEnd w:id="2"/>
    </w:p>
    <w:p w:rsidR="00581A5D" w:rsidRDefault="00581A5D">
      <w:pPr>
        <w:spacing w:after="200" w:line="276" w:lineRule="auto"/>
      </w:pPr>
      <w:r>
        <w:br w:type="page"/>
      </w:r>
    </w:p>
    <w:p w:rsidR="00E24363" w:rsidRDefault="00E24363" w:rsidP="00E24363">
      <w:pPr>
        <w:pStyle w:val="Nzev"/>
      </w:pPr>
      <w:r>
        <w:lastRenderedPageBreak/>
        <w:t>Modernizační fond</w:t>
      </w:r>
    </w:p>
    <w:p w:rsidR="00E24363" w:rsidRDefault="00E24363" w:rsidP="00E24363">
      <w:pPr>
        <w:pStyle w:val="Podnadpis"/>
      </w:pPr>
      <w:r>
        <w:t>Připravilo Ministerstvo životního prostředí</w:t>
      </w:r>
    </w:p>
    <w:p w:rsidR="00E24363" w:rsidRPr="00E24363" w:rsidRDefault="00E24363" w:rsidP="00E24363"/>
    <w:p w:rsidR="00E24363" w:rsidRDefault="00E24363" w:rsidP="00E24363">
      <w:pPr>
        <w:jc w:val="both"/>
      </w:pPr>
      <w:r>
        <w:t xml:space="preserve">Modernizační fond vznikl na základě čl. </w:t>
      </w:r>
      <w:proofErr w:type="gramStart"/>
      <w:r>
        <w:t>10d</w:t>
      </w:r>
      <w:proofErr w:type="gramEnd"/>
      <w:r>
        <w:t xml:space="preserve"> Směrnice Evropského parlamentu a Rady 2003/87/ES ze dne 13. října 2003 o vytvoření systému pro obchodování s povolenkami na emise skleníkových plynů v Unii a o změně směrnice Rady 96/61/ES, v platném znění. Směrnice je implementována do českého právního řádu zákonem č. 1/2020 Sb., kterým se mění zákon č. 383/2012 Sb. o podmínkách obchodování s povolenkami na emise skleníkových plynů. Prováděcím předpisem ke směrnici o Modernizačním fondu je nařízení Komise (EU) 2020/1001 ze dne 9. července 2020, kterým se stanoví prováděcí pravidla ke směrnici Evropského parlamentu a Rady 2003/87/ES, pokud jde o fungování Modernizačního fondu </w:t>
      </w:r>
      <w:r>
        <w:rPr>
          <w:b/>
        </w:rPr>
        <w:t xml:space="preserve">na podporu </w:t>
      </w:r>
      <w:r>
        <w:rPr>
          <w:b/>
          <w:u w:val="single"/>
        </w:rPr>
        <w:t>investic</w:t>
      </w:r>
      <w:r w:rsidRPr="00E24363">
        <w:rPr>
          <w:b/>
        </w:rPr>
        <w:t xml:space="preserve"> </w:t>
      </w:r>
      <w:r>
        <w:rPr>
          <w:b/>
        </w:rPr>
        <w:t>do modernizace energetických soustav a zlepšení energetické účinnosti vybraných členských států.</w:t>
      </w:r>
    </w:p>
    <w:p w:rsidR="00E24363" w:rsidRDefault="00E24363" w:rsidP="00E24363">
      <w:pPr>
        <w:jc w:val="both"/>
      </w:pPr>
      <w:r>
        <w:t xml:space="preserve">Za účelem dosažení stanovených energeticko-klimatických cílů jsou stanoveny následující </w:t>
      </w:r>
      <w:r>
        <w:rPr>
          <w:b/>
          <w:u w:val="single"/>
        </w:rPr>
        <w:t>prioritní</w:t>
      </w:r>
      <w:r>
        <w:rPr>
          <w:b/>
        </w:rPr>
        <w:t xml:space="preserve"> </w:t>
      </w:r>
      <w:r>
        <w:t>oblasti Modernizačního fondu, které mají zaujímat minimálně 70 % finančních prostředků vyhrazených fondu: výroba a využívání elektřiny z obnovitelných zdrojů, zlepšení energetické účinnosti, skladování energie, modernizace energetických soustav včetně sítí dálkového vytápění, sítí pro distribuci elektřiny a rozšíření propojení mezi členskými státy, podpora spravedlivé transformace v regionech závislých na těžbě uhlí. Nanejvýš 30 % celkové dostupné alokace pro Modernizační fond mohou čerpat „</w:t>
      </w:r>
      <w:r>
        <w:rPr>
          <w:b/>
          <w:u w:val="single"/>
        </w:rPr>
        <w:t>neprioritní</w:t>
      </w:r>
      <w:r>
        <w:t>“ projekty, jejichž zaměření nemusí nutně spadat do výše uvedených oblastí. Avšak tyto projekty musí přispívat k modernizaci energetiky a zlepšení energetické účinnosti či snižování/úsporám emisí skleníkových plynů v členských státech a rovněž musí být v souladu s cíli směrnice 2003/87/ES, jakož i s cíli politiky EU v oblasti klimatu a energetiky do roku 2030 a dlouhodobými cíli vyjádřenými v Pařížské dohodě</w:t>
      </w:r>
      <w:r>
        <w:rPr>
          <w:rStyle w:val="Znakapoznpodarou"/>
        </w:rPr>
        <w:footnoteReference w:id="1"/>
      </w:r>
      <w:r>
        <w:t xml:space="preserve">. </w:t>
      </w:r>
    </w:p>
    <w:p w:rsidR="00E24363" w:rsidRDefault="00E24363" w:rsidP="00E24363">
      <w:pPr>
        <w:jc w:val="both"/>
        <w:rPr>
          <w:color w:val="000000"/>
        </w:rPr>
      </w:pPr>
      <w:r>
        <w:t xml:space="preserve">Programový dokument Modernizačního fondu ČR byl schválen Vládou ČR v lednu 2021. Obsahuje celkem </w:t>
      </w:r>
      <w:r>
        <w:rPr>
          <w:b/>
        </w:rPr>
        <w:t>9 programů podpory</w:t>
      </w:r>
      <w:r>
        <w:t xml:space="preserve">, </w:t>
      </w:r>
      <w:r>
        <w:rPr>
          <w:b/>
        </w:rPr>
        <w:t>z nichž tři,</w:t>
      </w:r>
      <w:r>
        <w:t xml:space="preserve"> pro dekarbonizaci ekonomiky nejdůležitější, se zaměřením na výstavbu obnovitelných zdrojů, teplárenství a průmysl, </w:t>
      </w:r>
      <w:r>
        <w:rPr>
          <w:b/>
        </w:rPr>
        <w:t>se podařilo spustit již v roce 2021</w:t>
      </w:r>
      <w:r>
        <w:t>.</w:t>
      </w:r>
      <w:r>
        <w:rPr>
          <w:rStyle w:val="Znakapoznpodarou"/>
        </w:rPr>
        <w:footnoteReference w:id="2"/>
      </w:r>
    </w:p>
    <w:p w:rsidR="00E24363" w:rsidRDefault="00E24363" w:rsidP="00E24363">
      <w:pPr>
        <w:pStyle w:val="Nadpis1"/>
      </w:pPr>
      <w:r>
        <w:t>Financování Modernizačního fondu</w:t>
      </w:r>
    </w:p>
    <w:p w:rsidR="00E24363" w:rsidRDefault="00E24363" w:rsidP="00E24363">
      <w:pPr>
        <w:jc w:val="both"/>
      </w:pPr>
      <w:r>
        <w:t xml:space="preserve">Modernizační fond je </w:t>
      </w:r>
      <w:r>
        <w:rPr>
          <w:b/>
        </w:rPr>
        <w:t>financován z výnosů prodeje emisních povolenek</w:t>
      </w:r>
      <w:r>
        <w:t xml:space="preserve"> na aukcích. </w:t>
      </w:r>
      <w:r>
        <w:rPr>
          <w:b/>
        </w:rPr>
        <w:t xml:space="preserve">Predikce celkového množství prostředků </w:t>
      </w:r>
      <w:r>
        <w:t xml:space="preserve">určených pro Modernizační fond do roku 2030 jsou vzhledem k povaze získávání těchto prostředků </w:t>
      </w:r>
      <w:r>
        <w:rPr>
          <w:b/>
        </w:rPr>
        <w:t>velice obtížné</w:t>
      </w:r>
      <w:r>
        <w:t xml:space="preserve"> a mění se v čase. Původní předpoklad při cenách povolenek 35 </w:t>
      </w:r>
      <w:proofErr w:type="gramStart"/>
      <w:r>
        <w:t>Euro</w:t>
      </w:r>
      <w:proofErr w:type="gramEnd"/>
      <w:r>
        <w:t xml:space="preserve"> na začátku roku 2021 byl 150 miliard Kč pro ČR. Vliv na budoucí ceny povolenek mohou mít plánované</w:t>
      </w:r>
      <w:r>
        <w:rPr>
          <w:rStyle w:val="Znakapoznpodarou"/>
        </w:rPr>
        <w:footnoteReference w:id="3"/>
      </w:r>
      <w:r>
        <w:t xml:space="preserve"> i neplánované revize směrnice EU ETS, pokles či růst cen komodit (především fosilních paliv), popř. změny v politické či geopolitické situaci. Současné odhady objemu Modernizačního fondu v ČR se pohybují v rozmezí 250-400 miliard </w:t>
      </w:r>
      <w:proofErr w:type="gramStart"/>
      <w:r>
        <w:t>Kč  do</w:t>
      </w:r>
      <w:proofErr w:type="gramEnd"/>
      <w:r>
        <w:t xml:space="preserve"> roku 2030. </w:t>
      </w:r>
    </w:p>
    <w:p w:rsidR="00E24363" w:rsidRDefault="00E24363" w:rsidP="00E24363">
      <w:pPr>
        <w:jc w:val="both"/>
      </w:pPr>
      <w:r>
        <w:t>Prostředky získané z aukcí jsou uvolňovány postupně dvakrát ročně na základě žádostí podaných na Evropskou investiční banku (EIB). Rozhodující úlohu hraje tzv. Investiční výbor (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) EIB, </w:t>
      </w:r>
      <w:r>
        <w:lastRenderedPageBreak/>
        <w:t xml:space="preserve">kde má ČR (stejně jako ostatní přijímací </w:t>
      </w:r>
      <w:proofErr w:type="gramStart"/>
      <w:r>
        <w:t>země)  2</w:t>
      </w:r>
      <w:proofErr w:type="gramEnd"/>
      <w:r>
        <w:t xml:space="preserve"> zástupce. Žádosti o financování z EU úrovně podává Státní fond životního prostředí (SFŽP) ve spolupráci s MŽP. </w:t>
      </w:r>
    </w:p>
    <w:p w:rsidR="00E24363" w:rsidRDefault="00E24363" w:rsidP="00E24363">
      <w:pPr>
        <w:pStyle w:val="Nadpis1"/>
      </w:pPr>
      <w:r>
        <w:t>Administrace Modernizačního fondu</w:t>
      </w:r>
    </w:p>
    <w:p w:rsidR="00E24363" w:rsidRDefault="00E24363" w:rsidP="00E24363">
      <w:pPr>
        <w:jc w:val="both"/>
      </w:pPr>
      <w:r>
        <w:t xml:space="preserve">Na národní úrovni jsou hlavními organizačními útvary, které se podílí na přípravě a na administraci Modernizačního fondu: </w:t>
      </w:r>
    </w:p>
    <w:p w:rsidR="00E24363" w:rsidRDefault="00E24363" w:rsidP="00E24363">
      <w:pPr>
        <w:pStyle w:val="Odstavecseseznamem"/>
        <w:numPr>
          <w:ilvl w:val="0"/>
          <w:numId w:val="5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9" w:lineRule="auto"/>
        <w:jc w:val="both"/>
      </w:pPr>
      <w:r>
        <w:t>a) Výbor pro Modernizační fond složený se zástupců MŽP, SFŽP ČR, MPO a MF. Výbor projednává znění podmínek jednotlivých programů a výzev a po jeho odsouhlasení jsou předkládány ke schválení ministryni životního prostředí.</w:t>
      </w:r>
    </w:p>
    <w:p w:rsidR="00E24363" w:rsidRDefault="00E24363" w:rsidP="00E24363">
      <w:pPr>
        <w:pStyle w:val="Odstavecseseznamem"/>
        <w:numPr>
          <w:ilvl w:val="0"/>
          <w:numId w:val="5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9" w:lineRule="auto"/>
        <w:jc w:val="both"/>
      </w:pPr>
      <w:r>
        <w:t xml:space="preserve">b) Platforma pro Modernizační fond, kterou tvoří zástupci zainteresovaných subjektů z řad orgánů státní správy, profesních svazů, odborné veřejnosti a dalších partnerů. </w:t>
      </w:r>
    </w:p>
    <w:p w:rsidR="00E24363" w:rsidRDefault="00E24363" w:rsidP="00E24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b/>
        </w:rPr>
        <w:t xml:space="preserve">Zprostředkujícím subjektem podpory je SFŽP ČR, </w:t>
      </w:r>
      <w:r>
        <w:t>který je administrátorem projektových žádostí /projektové dokumentace a zároveň je odpovědný za přípravu podmínek podpory a jednotlivých výzev.</w:t>
      </w:r>
    </w:p>
    <w:p w:rsidR="00E24363" w:rsidRDefault="00E24363" w:rsidP="00E24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t xml:space="preserve">Rozhodnutí o podpoře jednotlivých projektů vydává ministryně životního prostředí na základě doporučení Rady SFŽP. </w:t>
      </w:r>
    </w:p>
    <w:p w:rsidR="00E24363" w:rsidRDefault="00E24363" w:rsidP="00E24363">
      <w:pPr>
        <w:pStyle w:val="Nadpis1"/>
      </w:pPr>
      <w:r>
        <w:t>Vyhlášené výzvy</w:t>
      </w:r>
    </w:p>
    <w:p w:rsidR="00E24363" w:rsidRDefault="00E24363" w:rsidP="00E24363">
      <w:pPr>
        <w:jc w:val="both"/>
        <w:rPr>
          <w:b/>
        </w:rPr>
      </w:pPr>
      <w:r>
        <w:t>V roce 2021 byly vyhlášeny první výzvy Modernizačního fondu.</w:t>
      </w:r>
      <w:r>
        <w:rPr>
          <w:b/>
        </w:rPr>
        <w:t xml:space="preserve"> V současné době jsou všechny výzvy již uzavřené</w:t>
      </w:r>
      <w:r>
        <w:t xml:space="preserve">.  </w:t>
      </w:r>
    </w:p>
    <w:p w:rsidR="00E24363" w:rsidRDefault="00E24363" w:rsidP="00E24363">
      <w:pPr>
        <w:jc w:val="both"/>
      </w:pPr>
      <w:r>
        <w:t>Přehled výzev Modernizačního fondu ČR vyhlášené v roce 2021:</w:t>
      </w:r>
    </w:p>
    <w:tbl>
      <w:tblPr>
        <w:tblStyle w:val="Mkatabulky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835"/>
        <w:gridCol w:w="2551"/>
        <w:gridCol w:w="1559"/>
      </w:tblGrid>
      <w:tr w:rsidR="00E24363" w:rsidTr="00E24363">
        <w:trPr>
          <w:trHeight w:val="300"/>
        </w:trPr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4" w:space="0" w:color="auto"/>
            </w:tcBorders>
            <w:shd w:val="clear" w:color="D9D9D9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Výzva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Termín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363" w:rsidRDefault="00E24363" w:rsidP="000E41CD">
            <w:pPr>
              <w:spacing w:line="57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Alokace</w:t>
            </w:r>
          </w:p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(mil. Kč)</w:t>
            </w:r>
          </w:p>
        </w:tc>
      </w:tr>
      <w:tr w:rsidR="00E24363" w:rsidTr="00E24363">
        <w:trPr>
          <w:trHeight w:val="615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D9D9D9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Program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D9D9D9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č. výzvy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D9D9D9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Oblast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3" w:rsidRDefault="00E24363" w:rsidP="000E41C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3" w:rsidRDefault="00E24363" w:rsidP="000E41CD"/>
        </w:tc>
      </w:tr>
      <w:tr w:rsidR="00E24363" w:rsidTr="00E24363">
        <w:trPr>
          <w:trHeight w:val="300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HEAT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01/2021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prioritní - podlimitní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26.4.2021 - 14.1.2022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700</w:t>
            </w:r>
          </w:p>
        </w:tc>
      </w:tr>
      <w:tr w:rsidR="00E24363" w:rsidTr="000E41CD">
        <w:trPr>
          <w:trHeight w:val="300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01/2021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neprioritní - podlimitní</w:t>
            </w:r>
            <w:proofErr w:type="gramEnd"/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26.4.2021 - 14.1.2022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700</w:t>
            </w:r>
          </w:p>
        </w:tc>
      </w:tr>
      <w:tr w:rsidR="00E24363" w:rsidTr="000E41CD">
        <w:trPr>
          <w:trHeight w:val="315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02/2021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nadlimitní 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26.4.2021 - 26.10.2021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5000</w:t>
            </w:r>
          </w:p>
        </w:tc>
      </w:tr>
      <w:tr w:rsidR="00E24363" w:rsidTr="000E41CD">
        <w:trPr>
          <w:trHeight w:val="300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RES+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01/2021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FVE do 1MW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31.5.2021 - 28.2.2022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1000</w:t>
            </w:r>
          </w:p>
        </w:tc>
      </w:tr>
      <w:tr w:rsidR="00E24363" w:rsidTr="000E41CD">
        <w:trPr>
          <w:trHeight w:val="315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02/2021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FVE nad 1 MW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31.5.2021 - 29.10.2021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3500</w:t>
            </w:r>
          </w:p>
        </w:tc>
      </w:tr>
      <w:tr w:rsidR="00E24363" w:rsidTr="000E41CD">
        <w:trPr>
          <w:trHeight w:val="300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ENERG ETS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01/2021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zdroje - prioritní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- podlimitní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30.6.2021 - 31.1.2022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400</w:t>
            </w:r>
          </w:p>
        </w:tc>
      </w:tr>
      <w:tr w:rsidR="00E24363" w:rsidTr="000E41CD">
        <w:trPr>
          <w:trHeight w:val="300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01/2021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zdroje - neprioritní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- podlimitní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30.6.2021 - 31.1.2022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1000</w:t>
            </w:r>
          </w:p>
        </w:tc>
      </w:tr>
      <w:tr w:rsidR="00E24363" w:rsidTr="000E41CD">
        <w:trPr>
          <w:trHeight w:val="300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02/2021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technologie - podlimitní</w:t>
            </w:r>
            <w:proofErr w:type="gramEnd"/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30.6.2021 - 31.1.2022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1000</w:t>
            </w:r>
          </w:p>
        </w:tc>
      </w:tr>
      <w:tr w:rsidR="00E24363" w:rsidTr="000E41CD">
        <w:trPr>
          <w:trHeight w:val="315"/>
        </w:trPr>
        <w:tc>
          <w:tcPr>
            <w:tcW w:w="14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2F2F2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03/2021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nadlimitní 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30.6.2021 - 16.11.2021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4363" w:rsidRDefault="00E24363" w:rsidP="000E41CD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5000</w:t>
            </w:r>
          </w:p>
        </w:tc>
      </w:tr>
    </w:tbl>
    <w:p w:rsidR="00E24363" w:rsidRDefault="00E24363" w:rsidP="00E24363">
      <w:pPr>
        <w:rPr>
          <w:b/>
          <w:sz w:val="24"/>
        </w:rPr>
      </w:pPr>
    </w:p>
    <w:p w:rsidR="00E24363" w:rsidRDefault="00E24363" w:rsidP="00E24363">
      <w:pPr>
        <w:pStyle w:val="Nadpis1"/>
      </w:pPr>
      <w:r>
        <w:t>Schválené projekty</w:t>
      </w:r>
    </w:p>
    <w:p w:rsidR="00E24363" w:rsidRDefault="00E24363" w:rsidP="00E24363">
      <w:pPr>
        <w:jc w:val="both"/>
        <w:rPr>
          <w:b/>
        </w:rPr>
      </w:pPr>
      <w:r>
        <w:t xml:space="preserve">V roce 2021 bylo schváleno celkem </w:t>
      </w:r>
      <w:r>
        <w:rPr>
          <w:b/>
        </w:rPr>
        <w:t>26 projektů v programech HEAT a RES+ s celkovým objemem podpory ve výši 1,559 mil. Kč.</w:t>
      </w:r>
      <w:r>
        <w:t xml:space="preserve"> </w:t>
      </w:r>
      <w:r>
        <w:rPr>
          <w:b/>
        </w:rPr>
        <w:t>Seznam dalších schválených projektů bude zveřejněn v březnu 2022.</w:t>
      </w:r>
    </w:p>
    <w:p w:rsidR="00E24363" w:rsidRDefault="00E24363" w:rsidP="00E24363">
      <w:pPr>
        <w:pStyle w:val="Nadpis1"/>
      </w:pPr>
      <w:r>
        <w:lastRenderedPageBreak/>
        <w:t>Nejbližší plány</w:t>
      </w:r>
    </w:p>
    <w:p w:rsidR="00E24363" w:rsidRDefault="00E24363" w:rsidP="00E24363">
      <w:pPr>
        <w:jc w:val="both"/>
      </w:pPr>
      <w:r>
        <w:t xml:space="preserve">V současné době probíhají práce v pracovních týmech věnujících se jednak vyhodnocení ukončených výzev a jejich znovu-vyhlášení a dále také přípravě dalších programů Modernizačního fondu. Znovu vyhlášeny budou výzvy v programech HEAT, RES+ a ENERG ETS. Aktuálně probíhá revize nastavení podmínek. Vyhlášení výzev je plánováno na 2. čtvrtletí roku 2022. Součástí výzev RES+ bude i možnost akumulace vyrobené energie z FVE do vodíku (podpora pořízení elektrolyzéru). V rámci programu RES+ je dále plánována podpora individuálních projektů zaměřených na geotermální elektrárny. </w:t>
      </w:r>
    </w:p>
    <w:p w:rsidR="00E24363" w:rsidRDefault="00E24363" w:rsidP="00E24363">
      <w:pPr>
        <w:jc w:val="both"/>
      </w:pPr>
      <w:r>
        <w:t xml:space="preserve">V dubnu 2022 plánujeme vyhlášení 2 nových výzev v rámci programu RES pro komunální </w:t>
      </w:r>
      <w:proofErr w:type="gramStart"/>
      <w:r>
        <w:t>projekty - výhradně</w:t>
      </w:r>
      <w:proofErr w:type="gramEnd"/>
      <w:r>
        <w:t xml:space="preserve"> pro sdružené projekty, kde v rámci jednoho projektu bude podporována pouze skupina projektů s více odběrnými nebo předávacími místy. Celkový instalovaný výkon sdružených projektů nebude omezen. Individuální instalace však nesmí překročit 1 MW. Druhá výzva bude pro malé obce do 3000 obyvatel.</w:t>
      </w:r>
    </w:p>
    <w:p w:rsidR="00E24363" w:rsidRDefault="00E24363" w:rsidP="00E24363">
      <w:pPr>
        <w:jc w:val="both"/>
      </w:pPr>
      <w:r>
        <w:t xml:space="preserve">Dále je v plánu spuštění programu </w:t>
      </w:r>
      <w:proofErr w:type="spellStart"/>
      <w:r>
        <w:t>ENERGov</w:t>
      </w:r>
      <w:proofErr w:type="spellEnd"/>
      <w:r>
        <w:t>, který se zaměří na energetické úspory veřejných budov v Praze, kde se doplní stávající podpora z NPO a OPŽP.</w:t>
      </w:r>
    </w:p>
    <w:p w:rsidR="00E24363" w:rsidRDefault="00E24363" w:rsidP="00E24363">
      <w:pPr>
        <w:jc w:val="both"/>
      </w:pPr>
      <w:r>
        <w:t xml:space="preserve">V rámci programu </w:t>
      </w:r>
      <w:proofErr w:type="spellStart"/>
      <w:r>
        <w:t>TRANSGov</w:t>
      </w:r>
      <w:proofErr w:type="spellEnd"/>
      <w:r>
        <w:t xml:space="preserve"> diskutujeme podmínky nastavení podpory zaměřené na pořízení kolejových drážních vozidel na alternativní pohon.  Později plánujeme také spustit program </w:t>
      </w:r>
      <w:proofErr w:type="spellStart"/>
      <w:r>
        <w:t>TRANSCom</w:t>
      </w:r>
      <w:proofErr w:type="spellEnd"/>
      <w:r>
        <w:t xml:space="preserve"> pro určitý typ vozidel podnikatelských subjektů na alternativní pohon, které nejsou momentálně podporovány v jiných programech.</w:t>
      </w:r>
    </w:p>
    <w:p w:rsidR="00E24363" w:rsidRDefault="00E24363" w:rsidP="00E24363">
      <w:pPr>
        <w:jc w:val="both"/>
      </w:pPr>
      <w:r>
        <w:t xml:space="preserve">Program KOMUNERG by se měl zaměřit na podporu komunitní </w:t>
      </w:r>
      <w:proofErr w:type="gramStart"/>
      <w:r>
        <w:t>energetiky - energetických</w:t>
      </w:r>
      <w:proofErr w:type="gramEnd"/>
      <w:r>
        <w:t xml:space="preserve"> společenství. V nastavování programu zatím narážíme na legislativní </w:t>
      </w:r>
      <w:proofErr w:type="gramStart"/>
      <w:r>
        <w:t>nedostatky - nový</w:t>
      </w:r>
      <w:proofErr w:type="gramEnd"/>
      <w:r>
        <w:t xml:space="preserve"> energetický zákon, který připravuje MPO. Nicméně, zakládání energetických společenství aktuálně podpoří </w:t>
      </w:r>
      <w:proofErr w:type="gramStart"/>
      <w:r>
        <w:t>NPO - komponenta</w:t>
      </w:r>
      <w:proofErr w:type="gramEnd"/>
      <w:r>
        <w:t xml:space="preserve"> (program NZU) v gesci MŽP.  V rámci Modernizačního fondu bude zatím komunitní energetika podporována alespoň výzvami zaměřenými na výstavbu fyzické infrastruktury zejm. v rámci programu RES+.</w:t>
      </w:r>
    </w:p>
    <w:p w:rsidR="00E24363" w:rsidRDefault="00E24363" w:rsidP="00E24363">
      <w:pPr>
        <w:jc w:val="both"/>
      </w:pPr>
      <w:r>
        <w:t xml:space="preserve">V návaznosti na vygenerované bíle místo podpory bude otevřen program LIGHTPUB zaměřený na rekonstrukci a modernizaci veřejného </w:t>
      </w:r>
      <w:proofErr w:type="gramStart"/>
      <w:r>
        <w:t>osvětlení - aktuálně</w:t>
      </w:r>
      <w:proofErr w:type="gramEnd"/>
      <w:r>
        <w:t xml:space="preserve"> speciálně pro obce v národních parcích.   </w:t>
      </w:r>
    </w:p>
    <w:p w:rsidR="00E24363" w:rsidRDefault="00E24363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</w:pPr>
      <w:r>
        <w:br w:type="page"/>
      </w:r>
    </w:p>
    <w:p w:rsidR="00E24363" w:rsidRDefault="00116A1B" w:rsidP="00E24363">
      <w:pPr>
        <w:pStyle w:val="Nzev"/>
      </w:pPr>
      <w:r>
        <w:lastRenderedPageBreak/>
        <w:t>Fond pro spravedlivou transformaci</w:t>
      </w:r>
    </w:p>
    <w:p w:rsidR="00E24363" w:rsidRPr="00E24363" w:rsidRDefault="00E24363" w:rsidP="00E24363">
      <w:pPr>
        <w:pStyle w:val="Podnadpis"/>
      </w:pPr>
      <w:r>
        <w:t>Připravilo Ministerstvo životního prostředí a Ministerstvo pro místní rozvoj</w:t>
      </w:r>
    </w:p>
    <w:p w:rsidR="00E24363" w:rsidRDefault="00E24363" w:rsidP="00E24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720"/>
        </w:tabs>
        <w:spacing w:after="0" w:line="240" w:lineRule="auto"/>
      </w:pPr>
      <w:r>
        <w:t> </w:t>
      </w:r>
    </w:p>
    <w:p w:rsidR="00E24363" w:rsidRDefault="00E24363" w:rsidP="00E24363">
      <w:pPr>
        <w:jc w:val="both"/>
      </w:pPr>
      <w:r>
        <w:t xml:space="preserve">První návrh nového Fondu pro spravedlivou transformaci představila Evropská komise na začátku roku 2020. Během roku docházelo k poměrně překotným změnám legislativy s ohledem na evropský rozpočet a balíček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 jako reakci na pandemii COVID-19. V polovině roku 2020 pak česká vláda rozhodla o rozdělení gescí – MŽP dostalo na starost přípravu samostatného programu financovaného z Fondu pro spravedlivou transformaci – </w:t>
      </w:r>
      <w:r>
        <w:rPr>
          <w:b/>
        </w:rPr>
        <w:t>Operačního programu Spravedlivá transformace</w:t>
      </w:r>
      <w:r>
        <w:t>. MMR má za úkol připravit Plán spravedlivé územní transformace, který je nezbytný pro čerpání prostředků z programu.</w:t>
      </w:r>
    </w:p>
    <w:p w:rsidR="00E24363" w:rsidRDefault="00E24363" w:rsidP="00E24363">
      <w:pPr>
        <w:jc w:val="both"/>
      </w:pPr>
      <w:r>
        <w:t>Operační program Spravedlivá transformace se řadí k dalším programům financovaných z EU fondů, které spadají pod</w:t>
      </w:r>
      <w:r>
        <w:rPr>
          <w:b/>
        </w:rPr>
        <w:t xml:space="preserve"> Dohodu o partnerství.</w:t>
      </w:r>
      <w:r>
        <w:t xml:space="preserve"> Dohodu o partnerství MMR předložilo Evropské komisi ke schválení v prosinci minulého roku a od té doby probíhá její formální projednávání. Bez schválené dohody o partnerství, nebude možné schválit ani Operační program Spravedlivá transformace.</w:t>
      </w:r>
    </w:p>
    <w:p w:rsidR="00E24363" w:rsidRDefault="00E24363" w:rsidP="00E24363">
      <w:pPr>
        <w:jc w:val="both"/>
      </w:pPr>
      <w:r>
        <w:t>Samotný program byl do 1. března v </w:t>
      </w:r>
      <w:r>
        <w:rPr>
          <w:b/>
        </w:rPr>
        <w:t>mezirezortním připomínkovém řízení</w:t>
      </w:r>
      <w:r>
        <w:t>. Očekáváme, že program spolu s Plánem spravedlivé územní transformace předložíme Evropské komisi v polovině března. Následně proběhne formální dialog, který by měl vést ke schválení programu i plánu. Očekáváme, že program by mohl být schválený do poloviny roku 2022 spolu s ostatními programy pod Dohodou o partnerství.</w:t>
      </w:r>
    </w:p>
    <w:p w:rsidR="00E24363" w:rsidRDefault="00E24363" w:rsidP="00E24363">
      <w:pPr>
        <w:jc w:val="both"/>
      </w:pPr>
      <w:r>
        <w:t>Vedle tohoto procesu zároveň běží proces posouzení vlivů koncepce na životní prostředí (</w:t>
      </w:r>
      <w:r>
        <w:rPr>
          <w:b/>
        </w:rPr>
        <w:t>SEA</w:t>
      </w:r>
      <w:r>
        <w:t>). Vydání kladného stanovisko bude jedním z předpokladů pro schválení programu ze strany EK.</w:t>
      </w:r>
    </w:p>
    <w:p w:rsidR="00E24363" w:rsidRDefault="00E24363" w:rsidP="00E24363">
      <w:pPr>
        <w:jc w:val="both"/>
      </w:pPr>
      <w:r>
        <w:t xml:space="preserve">V rámci procesu přípravy programu klademe důraz na zapojení </w:t>
      </w:r>
      <w:r>
        <w:rPr>
          <w:b/>
        </w:rPr>
        <w:t>krajů</w:t>
      </w:r>
      <w:r>
        <w:t>. Kraje proto z velké části určují věcné zaměření programu a mají možnosti program uzpůsobit svým prioritám v transformačním procesu.  </w:t>
      </w:r>
    </w:p>
    <w:p w:rsidR="00E24363" w:rsidRDefault="00E24363" w:rsidP="00E24363">
      <w:pPr>
        <w:jc w:val="both"/>
      </w:pPr>
      <w:r>
        <w:t xml:space="preserve">Pro naplnění principu partnerství MMR vytvořilo </w:t>
      </w:r>
      <w:r>
        <w:rPr>
          <w:b/>
        </w:rPr>
        <w:t>transformační platformu</w:t>
      </w:r>
      <w:r>
        <w:t>, jejíž členové mají možnost vznášet přímé podněty a návrhy k zaměření programu. Platforma se doposud sešla celkem osmkrát. Kromě toho probíhají i jednání tematických pracovních skupin, které mají za cíl řešit detailní nastavení podmínek, komplementaritu s ostatními programy apod.</w:t>
      </w:r>
    </w:p>
    <w:p w:rsidR="00E24363" w:rsidRDefault="00E24363" w:rsidP="00E24363">
      <w:pPr>
        <w:jc w:val="both"/>
      </w:pPr>
      <w:r>
        <w:t xml:space="preserve">Pokračuje také příprava </w:t>
      </w:r>
      <w:r>
        <w:rPr>
          <w:b/>
        </w:rPr>
        <w:t>projektů strategického významu</w:t>
      </w:r>
      <w:r>
        <w:t xml:space="preserve">, které program zahrnuje na základě doporučení regionálních stálých konferencí. Celkem program zahrnuje 35 takových projektů. Z prostředků SFŽP jsme v loňském roce vyhlásili výzvu na podporu přípravy těchto projektů – do výzvy se přihlásilo celkem 27 projektů. Zbývající projekty se většinou nepřihlásily kvůli vyčerpanému limitu podpory de </w:t>
      </w:r>
      <w:proofErr w:type="spellStart"/>
      <w:r>
        <w:t>minimis</w:t>
      </w:r>
      <w:proofErr w:type="spellEnd"/>
      <w:r>
        <w:t>. U všech projektů v tuto chvíli probíhá příprava studií proveditelnosti s cílem zahájit jejich fyzickou realizaci co nejdříve.</w:t>
      </w:r>
    </w:p>
    <w:p w:rsidR="00E24363" w:rsidRDefault="00E24363" w:rsidP="00E24363">
      <w:pPr>
        <w:jc w:val="both"/>
      </w:pPr>
      <w:r>
        <w:t xml:space="preserve">V rámci realizace programu bude uzavřená </w:t>
      </w:r>
      <w:r>
        <w:rPr>
          <w:b/>
        </w:rPr>
        <w:t>horizontální spolupráce</w:t>
      </w:r>
      <w:r>
        <w:t xml:space="preserve"> mezi MŽP a Agenturou </w:t>
      </w:r>
      <w:proofErr w:type="spellStart"/>
      <w:r>
        <w:rPr>
          <w:b/>
        </w:rPr>
        <w:t>CzechInvest</w:t>
      </w:r>
      <w:proofErr w:type="spellEnd"/>
      <w:r>
        <w:t xml:space="preserve">. Vláda vzala uzavření této spolupráce na vědomí a v tuto chvíli se řeší detaily smlouvy. Smyslem spolupráce je zvýšit poradenskou pomoc podnikatelům v uhelných regionech. </w:t>
      </w:r>
    </w:p>
    <w:p w:rsidR="00581A5D" w:rsidRPr="00581A5D" w:rsidRDefault="00581A5D" w:rsidP="00E24363"/>
    <w:bookmarkEnd w:id="1"/>
    <w:p w:rsidR="00316B00" w:rsidRPr="00581A5D" w:rsidRDefault="00316B00" w:rsidP="00245F51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sectPr w:rsidR="00316B00" w:rsidRPr="00581A5D" w:rsidSect="00E2436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5E" w:rsidRDefault="00604E5E" w:rsidP="00677FE0">
      <w:pPr>
        <w:spacing w:after="0" w:line="240" w:lineRule="auto"/>
      </w:pPr>
      <w:r>
        <w:separator/>
      </w:r>
    </w:p>
  </w:endnote>
  <w:endnote w:type="continuationSeparator" w:id="0">
    <w:p w:rsidR="00604E5E" w:rsidRDefault="00604E5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719879"/>
      <w:docPartObj>
        <w:docPartGallery w:val="Page Numbers (Bottom of Page)"/>
        <w:docPartUnique/>
      </w:docPartObj>
    </w:sdtPr>
    <w:sdtEndPr/>
    <w:sdtContent>
      <w:p w:rsidR="00E24363" w:rsidRDefault="00E243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4E5E" w:rsidRDefault="00604E5E" w:rsidP="00E243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5E" w:rsidRDefault="00604E5E" w:rsidP="00677FE0">
      <w:pPr>
        <w:spacing w:after="0" w:line="240" w:lineRule="auto"/>
      </w:pPr>
      <w:r>
        <w:separator/>
      </w:r>
    </w:p>
  </w:footnote>
  <w:footnote w:type="continuationSeparator" w:id="0">
    <w:p w:rsidR="00604E5E" w:rsidRDefault="00604E5E" w:rsidP="00677FE0">
      <w:pPr>
        <w:spacing w:after="0" w:line="240" w:lineRule="auto"/>
      </w:pPr>
      <w:r>
        <w:continuationSeparator/>
      </w:r>
    </w:p>
  </w:footnote>
  <w:footnote w:id="1">
    <w:p w:rsidR="00E24363" w:rsidRDefault="00E24363" w:rsidP="00E24363">
      <w:pPr>
        <w:pStyle w:val="Textpoznpodarou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Příklady prioritních nebo neprioritních projektů jsou uvedeny v </w:t>
      </w:r>
      <w:proofErr w:type="spellStart"/>
      <w:r>
        <w:rPr>
          <w:sz w:val="18"/>
        </w:rPr>
        <w:t>Assessment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Guidance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Document</w:t>
      </w:r>
      <w:proofErr w:type="spellEnd"/>
      <w:r>
        <w:rPr>
          <w:sz w:val="18"/>
        </w:rPr>
        <w:t xml:space="preserve"> od EIB </w:t>
      </w:r>
      <w:hyperlink r:id="rId1" w:tooltip="https://modernisationfund.eu/wp-content/uploads/2021/03/Assessment-Guidance-Document-plus-Appendix-1-and-2-for-publication.pdf" w:history="1">
        <w:r>
          <w:rPr>
            <w:rStyle w:val="Hypertextovodkaz"/>
            <w:sz w:val="18"/>
          </w:rPr>
          <w:t>https://modernisationfund.eu/wp-content/uploads/2021/03/Assessment-Guidance-Document-plus-Appendix-1-and-2-for-publication.pdf</w:t>
        </w:r>
      </w:hyperlink>
      <w:r>
        <w:rPr>
          <w:sz w:val="18"/>
        </w:rPr>
        <w:t xml:space="preserve"> </w:t>
      </w:r>
    </w:p>
  </w:footnote>
  <w:footnote w:id="2">
    <w:p w:rsidR="00E24363" w:rsidRDefault="00E24363" w:rsidP="00E24363">
      <w:pPr>
        <w:pStyle w:val="Textpoznpodarou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Více informací o jednotlivých programech ke stažení zde: </w:t>
      </w:r>
      <w:hyperlink r:id="rId2" w:tooltip="https://www.sfzp.cz/dotace-a-pujcky/modernizacni-fond/programy/" w:history="1">
        <w:r>
          <w:rPr>
            <w:rStyle w:val="Hypertextovodkaz"/>
            <w:sz w:val="18"/>
          </w:rPr>
          <w:t>https://www.sfzp.cz/dotace-a-pujcky/modernizacni-fond/programy/</w:t>
        </w:r>
      </w:hyperlink>
      <w:r>
        <w:rPr>
          <w:sz w:val="18"/>
        </w:rPr>
        <w:t xml:space="preserve"> </w:t>
      </w:r>
    </w:p>
  </w:footnote>
  <w:footnote w:id="3">
    <w:p w:rsidR="00E24363" w:rsidRDefault="00E24363" w:rsidP="00E24363">
      <w:pPr>
        <w:pStyle w:val="Textpoznpodarou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Např. revize směrnice EU ETS je plánována v rámci balíčku Fit </w:t>
      </w:r>
      <w:proofErr w:type="spellStart"/>
      <w:r>
        <w:rPr>
          <w:sz w:val="18"/>
        </w:rPr>
        <w:t>for</w:t>
      </w:r>
      <w:proofErr w:type="spellEnd"/>
      <w:r>
        <w:rPr>
          <w:sz w:val="18"/>
        </w:rPr>
        <w:t xml:space="preserve"> 55; dle návrhů by došlo například k navýšení prostředků určených pro Modernizační fond v rámci článku 10 směrnice, zároveň by ale došlo ke zvýšení tempa poklesu množství povolenek v aukcích – aktuálně 2,2 % ročně.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9F534F3"/>
    <w:multiLevelType w:val="hybridMultilevel"/>
    <w:tmpl w:val="4E50B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0F0B56EC"/>
    <w:multiLevelType w:val="hybridMultilevel"/>
    <w:tmpl w:val="F55A4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4CF7FF8"/>
    <w:multiLevelType w:val="hybridMultilevel"/>
    <w:tmpl w:val="577C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8326DF5"/>
    <w:multiLevelType w:val="hybridMultilevel"/>
    <w:tmpl w:val="E6AE4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C285B"/>
    <w:multiLevelType w:val="hybridMultilevel"/>
    <w:tmpl w:val="B73A9EF8"/>
    <w:lvl w:ilvl="0" w:tplc="30E6621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6AE89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2E32F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E8698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B4AC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ED281D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E8425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5B8D4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A0853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 w15:restartNumberingAfterBreak="0">
    <w:nsid w:val="191872DA"/>
    <w:multiLevelType w:val="multilevel"/>
    <w:tmpl w:val="E8A48D7C"/>
    <w:numStyleLink w:val="VariantaA-sla"/>
  </w:abstractNum>
  <w:abstractNum w:abstractNumId="23" w15:restartNumberingAfterBreak="0">
    <w:nsid w:val="19987FCF"/>
    <w:multiLevelType w:val="multilevel"/>
    <w:tmpl w:val="0D8ABE32"/>
    <w:numStyleLink w:val="VariantaB-sla"/>
  </w:abstractNum>
  <w:abstractNum w:abstractNumId="24" w15:restartNumberingAfterBreak="0">
    <w:nsid w:val="1D3068A6"/>
    <w:multiLevelType w:val="multilevel"/>
    <w:tmpl w:val="3320A8B2"/>
    <w:numStyleLink w:val="VariantaB-odrky"/>
  </w:abstractNum>
  <w:abstractNum w:abstractNumId="25" w15:restartNumberingAfterBreak="0">
    <w:nsid w:val="1D464EC2"/>
    <w:multiLevelType w:val="multilevel"/>
    <w:tmpl w:val="E8BAE50A"/>
    <w:numStyleLink w:val="VariantaA-odrky"/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2DDF1032"/>
    <w:multiLevelType w:val="hybridMultilevel"/>
    <w:tmpl w:val="3E769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5471DA"/>
    <w:multiLevelType w:val="hybridMultilevel"/>
    <w:tmpl w:val="D1E27074"/>
    <w:lvl w:ilvl="0" w:tplc="6C044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4931DC"/>
    <w:multiLevelType w:val="hybridMultilevel"/>
    <w:tmpl w:val="B3F2E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5131EF"/>
    <w:multiLevelType w:val="multilevel"/>
    <w:tmpl w:val="E8A48D7C"/>
    <w:numStyleLink w:val="VariantaA-sla"/>
  </w:abstractNum>
  <w:abstractNum w:abstractNumId="35" w15:restartNumberingAfterBreak="0">
    <w:nsid w:val="3A9407C0"/>
    <w:multiLevelType w:val="hybridMultilevel"/>
    <w:tmpl w:val="11C2A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C5DF6"/>
    <w:multiLevelType w:val="hybridMultilevel"/>
    <w:tmpl w:val="E82A2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E4147"/>
    <w:multiLevelType w:val="hybridMultilevel"/>
    <w:tmpl w:val="1D7C9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C061D5"/>
    <w:multiLevelType w:val="hybridMultilevel"/>
    <w:tmpl w:val="109A6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06389"/>
    <w:multiLevelType w:val="multilevel"/>
    <w:tmpl w:val="E8BAE50A"/>
    <w:numStyleLink w:val="VariantaA-odrky"/>
  </w:abstractNum>
  <w:abstractNum w:abstractNumId="4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3290926"/>
    <w:multiLevelType w:val="multilevel"/>
    <w:tmpl w:val="E8BAE50A"/>
    <w:numStyleLink w:val="VariantaA-odrky"/>
  </w:abstractNum>
  <w:abstractNum w:abstractNumId="42" w15:restartNumberingAfterBreak="0">
    <w:nsid w:val="533902EA"/>
    <w:multiLevelType w:val="multilevel"/>
    <w:tmpl w:val="E8BAE50A"/>
    <w:numStyleLink w:val="VariantaA-odrky"/>
  </w:abstractNum>
  <w:abstractNum w:abstractNumId="43" w15:restartNumberingAfterBreak="0">
    <w:nsid w:val="571C11E2"/>
    <w:multiLevelType w:val="multilevel"/>
    <w:tmpl w:val="E8A48D7C"/>
    <w:numStyleLink w:val="VariantaA-sla"/>
  </w:abstractNum>
  <w:abstractNum w:abstractNumId="4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5" w15:restartNumberingAfterBreak="0">
    <w:nsid w:val="5AF35F43"/>
    <w:multiLevelType w:val="multilevel"/>
    <w:tmpl w:val="0D8ABE32"/>
    <w:numStyleLink w:val="VariantaB-sla"/>
  </w:abstractNum>
  <w:abstractNum w:abstractNumId="46" w15:restartNumberingAfterBreak="0">
    <w:nsid w:val="66EE7A75"/>
    <w:multiLevelType w:val="hybridMultilevel"/>
    <w:tmpl w:val="6DCE0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7661F1"/>
    <w:multiLevelType w:val="hybridMultilevel"/>
    <w:tmpl w:val="F4E8151A"/>
    <w:lvl w:ilvl="0" w:tplc="000C26AC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913A3C"/>
    <w:multiLevelType w:val="multilevel"/>
    <w:tmpl w:val="78BE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B9121B"/>
    <w:multiLevelType w:val="hybridMultilevel"/>
    <w:tmpl w:val="F07C7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978B8"/>
    <w:multiLevelType w:val="hybridMultilevel"/>
    <w:tmpl w:val="1B76D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7171E"/>
    <w:multiLevelType w:val="hybridMultilevel"/>
    <w:tmpl w:val="3760A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C4605"/>
    <w:multiLevelType w:val="hybridMultilevel"/>
    <w:tmpl w:val="CBBEE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3D2209"/>
    <w:multiLevelType w:val="multilevel"/>
    <w:tmpl w:val="DF74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4"/>
  </w:num>
  <w:num w:numId="3">
    <w:abstractNumId w:val="24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40"/>
  </w:num>
  <w:num w:numId="7">
    <w:abstractNumId w:val="7"/>
  </w:num>
  <w:num w:numId="8">
    <w:abstractNumId w:val="4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4"/>
  </w:num>
  <w:num w:numId="15">
    <w:abstractNumId w:val="3"/>
  </w:num>
  <w:num w:numId="16">
    <w:abstractNumId w:val="40"/>
  </w:num>
  <w:num w:numId="17">
    <w:abstractNumId w:val="25"/>
  </w:num>
  <w:num w:numId="18">
    <w:abstractNumId w:val="6"/>
  </w:num>
  <w:num w:numId="19">
    <w:abstractNumId w:val="13"/>
  </w:num>
  <w:num w:numId="20">
    <w:abstractNumId w:val="8"/>
  </w:num>
  <w:num w:numId="21">
    <w:abstractNumId w:val="34"/>
  </w:num>
  <w:num w:numId="22">
    <w:abstractNumId w:val="10"/>
  </w:num>
  <w:num w:numId="23">
    <w:abstractNumId w:val="26"/>
  </w:num>
  <w:num w:numId="24">
    <w:abstractNumId w:val="12"/>
  </w:num>
  <w:num w:numId="25">
    <w:abstractNumId w:val="18"/>
  </w:num>
  <w:num w:numId="26">
    <w:abstractNumId w:val="39"/>
  </w:num>
  <w:num w:numId="27">
    <w:abstractNumId w:val="30"/>
  </w:num>
  <w:num w:numId="28">
    <w:abstractNumId w:val="29"/>
  </w:num>
  <w:num w:numId="29">
    <w:abstractNumId w:val="23"/>
  </w:num>
  <w:num w:numId="30">
    <w:abstractNumId w:val="41"/>
  </w:num>
  <w:num w:numId="31">
    <w:abstractNumId w:val="45"/>
  </w:num>
  <w:num w:numId="32">
    <w:abstractNumId w:val="27"/>
  </w:num>
  <w:num w:numId="33">
    <w:abstractNumId w:val="22"/>
  </w:num>
  <w:num w:numId="34">
    <w:abstractNumId w:val="9"/>
  </w:num>
  <w:num w:numId="35">
    <w:abstractNumId w:val="28"/>
  </w:num>
  <w:num w:numId="36">
    <w:abstractNumId w:val="15"/>
  </w:num>
  <w:num w:numId="37">
    <w:abstractNumId w:val="3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2"/>
  </w:num>
  <w:num w:numId="41">
    <w:abstractNumId w:val="49"/>
  </w:num>
  <w:num w:numId="42">
    <w:abstractNumId w:val="31"/>
  </w:num>
  <w:num w:numId="43">
    <w:abstractNumId w:val="53"/>
  </w:num>
  <w:num w:numId="44">
    <w:abstractNumId w:val="48"/>
  </w:num>
  <w:num w:numId="45">
    <w:abstractNumId w:val="20"/>
  </w:num>
  <w:num w:numId="46">
    <w:abstractNumId w:val="51"/>
  </w:num>
  <w:num w:numId="47">
    <w:abstractNumId w:val="37"/>
  </w:num>
  <w:num w:numId="48">
    <w:abstractNumId w:val="38"/>
  </w:num>
  <w:num w:numId="49">
    <w:abstractNumId w:val="50"/>
  </w:num>
  <w:num w:numId="50">
    <w:abstractNumId w:val="11"/>
  </w:num>
  <w:num w:numId="51">
    <w:abstractNumId w:val="47"/>
  </w:num>
  <w:num w:numId="52">
    <w:abstractNumId w:val="14"/>
  </w:num>
  <w:num w:numId="53">
    <w:abstractNumId w:val="17"/>
  </w:num>
  <w:num w:numId="54">
    <w:abstractNumId w:val="46"/>
  </w:num>
  <w:num w:numId="55">
    <w:abstractNumId w:val="35"/>
  </w:num>
  <w:num w:numId="56">
    <w:abstractNumId w:val="36"/>
  </w:num>
  <w:num w:numId="57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EE"/>
    <w:rsid w:val="00002432"/>
    <w:rsid w:val="00010744"/>
    <w:rsid w:val="00012439"/>
    <w:rsid w:val="00015306"/>
    <w:rsid w:val="0002674B"/>
    <w:rsid w:val="00027362"/>
    <w:rsid w:val="0004162E"/>
    <w:rsid w:val="00041855"/>
    <w:rsid w:val="0004786B"/>
    <w:rsid w:val="000515A5"/>
    <w:rsid w:val="00063405"/>
    <w:rsid w:val="000650E3"/>
    <w:rsid w:val="000809B9"/>
    <w:rsid w:val="00090B40"/>
    <w:rsid w:val="00095A0A"/>
    <w:rsid w:val="000B1B3D"/>
    <w:rsid w:val="000C1BC2"/>
    <w:rsid w:val="000C4CAF"/>
    <w:rsid w:val="000C74E1"/>
    <w:rsid w:val="000D0B05"/>
    <w:rsid w:val="00116A1B"/>
    <w:rsid w:val="00121102"/>
    <w:rsid w:val="00121485"/>
    <w:rsid w:val="001244C7"/>
    <w:rsid w:val="001268B0"/>
    <w:rsid w:val="00134903"/>
    <w:rsid w:val="0015738F"/>
    <w:rsid w:val="00160EEE"/>
    <w:rsid w:val="0018051B"/>
    <w:rsid w:val="001B1E4A"/>
    <w:rsid w:val="001B4630"/>
    <w:rsid w:val="001B7D62"/>
    <w:rsid w:val="001C121E"/>
    <w:rsid w:val="001D27C0"/>
    <w:rsid w:val="001E585B"/>
    <w:rsid w:val="001E74C3"/>
    <w:rsid w:val="001F6937"/>
    <w:rsid w:val="001F74FE"/>
    <w:rsid w:val="00220DE3"/>
    <w:rsid w:val="00226132"/>
    <w:rsid w:val="00236BCE"/>
    <w:rsid w:val="00244F4E"/>
    <w:rsid w:val="00245F51"/>
    <w:rsid w:val="002519F0"/>
    <w:rsid w:val="0025290D"/>
    <w:rsid w:val="00252BFE"/>
    <w:rsid w:val="00260372"/>
    <w:rsid w:val="00262DAF"/>
    <w:rsid w:val="00272E42"/>
    <w:rsid w:val="00285AED"/>
    <w:rsid w:val="002E1F52"/>
    <w:rsid w:val="002E2442"/>
    <w:rsid w:val="002E4E81"/>
    <w:rsid w:val="002F0E8C"/>
    <w:rsid w:val="002F1B05"/>
    <w:rsid w:val="00304EBE"/>
    <w:rsid w:val="00310FA0"/>
    <w:rsid w:val="00316B00"/>
    <w:rsid w:val="00320481"/>
    <w:rsid w:val="003250CB"/>
    <w:rsid w:val="003303AC"/>
    <w:rsid w:val="00353E7B"/>
    <w:rsid w:val="00363201"/>
    <w:rsid w:val="00365E5C"/>
    <w:rsid w:val="003711FA"/>
    <w:rsid w:val="0039063C"/>
    <w:rsid w:val="003A0C4A"/>
    <w:rsid w:val="003A46A8"/>
    <w:rsid w:val="003A51AA"/>
    <w:rsid w:val="003B565A"/>
    <w:rsid w:val="003D00A1"/>
    <w:rsid w:val="003E3F42"/>
    <w:rsid w:val="0041427F"/>
    <w:rsid w:val="004509E5"/>
    <w:rsid w:val="00451C2F"/>
    <w:rsid w:val="004757A8"/>
    <w:rsid w:val="00486FB9"/>
    <w:rsid w:val="004B3A50"/>
    <w:rsid w:val="004C212A"/>
    <w:rsid w:val="00500232"/>
    <w:rsid w:val="00504668"/>
    <w:rsid w:val="00512250"/>
    <w:rsid w:val="00543CA9"/>
    <w:rsid w:val="005455E1"/>
    <w:rsid w:val="005502BD"/>
    <w:rsid w:val="00550594"/>
    <w:rsid w:val="00552190"/>
    <w:rsid w:val="00556787"/>
    <w:rsid w:val="00581A5D"/>
    <w:rsid w:val="00582276"/>
    <w:rsid w:val="005B59B7"/>
    <w:rsid w:val="005B6998"/>
    <w:rsid w:val="005C2560"/>
    <w:rsid w:val="005F7585"/>
    <w:rsid w:val="00604E5E"/>
    <w:rsid w:val="00605759"/>
    <w:rsid w:val="00607355"/>
    <w:rsid w:val="00627600"/>
    <w:rsid w:val="00650C6C"/>
    <w:rsid w:val="00652FE6"/>
    <w:rsid w:val="00667898"/>
    <w:rsid w:val="00675E44"/>
    <w:rsid w:val="00677FE0"/>
    <w:rsid w:val="00694C2A"/>
    <w:rsid w:val="00696497"/>
    <w:rsid w:val="006D04EF"/>
    <w:rsid w:val="006E1656"/>
    <w:rsid w:val="006E2FB0"/>
    <w:rsid w:val="006F6323"/>
    <w:rsid w:val="0070160E"/>
    <w:rsid w:val="007102D2"/>
    <w:rsid w:val="00713948"/>
    <w:rsid w:val="00724C0A"/>
    <w:rsid w:val="00724D45"/>
    <w:rsid w:val="0072604A"/>
    <w:rsid w:val="00753A27"/>
    <w:rsid w:val="007549B5"/>
    <w:rsid w:val="00766482"/>
    <w:rsid w:val="00767194"/>
    <w:rsid w:val="0079342A"/>
    <w:rsid w:val="00795E08"/>
    <w:rsid w:val="007A3648"/>
    <w:rsid w:val="007B4949"/>
    <w:rsid w:val="007D45CD"/>
    <w:rsid w:val="007E0F4A"/>
    <w:rsid w:val="007E4B4D"/>
    <w:rsid w:val="007F0BC6"/>
    <w:rsid w:val="00807BE6"/>
    <w:rsid w:val="008247A9"/>
    <w:rsid w:val="00825E4A"/>
    <w:rsid w:val="00831374"/>
    <w:rsid w:val="00857580"/>
    <w:rsid w:val="00865238"/>
    <w:rsid w:val="008667BF"/>
    <w:rsid w:val="00895645"/>
    <w:rsid w:val="008A2E0C"/>
    <w:rsid w:val="008A7851"/>
    <w:rsid w:val="008B3825"/>
    <w:rsid w:val="008C3782"/>
    <w:rsid w:val="008D38AD"/>
    <w:rsid w:val="008D4A32"/>
    <w:rsid w:val="008D593A"/>
    <w:rsid w:val="008E7760"/>
    <w:rsid w:val="008F3C13"/>
    <w:rsid w:val="008F5B53"/>
    <w:rsid w:val="00907D81"/>
    <w:rsid w:val="00920991"/>
    <w:rsid w:val="00922001"/>
    <w:rsid w:val="00922C17"/>
    <w:rsid w:val="00935451"/>
    <w:rsid w:val="00942DDD"/>
    <w:rsid w:val="009516A8"/>
    <w:rsid w:val="0097328D"/>
    <w:rsid w:val="0097705C"/>
    <w:rsid w:val="009B038E"/>
    <w:rsid w:val="009B17E3"/>
    <w:rsid w:val="009D1EC9"/>
    <w:rsid w:val="009D3988"/>
    <w:rsid w:val="009F393D"/>
    <w:rsid w:val="009F7F46"/>
    <w:rsid w:val="00A000BF"/>
    <w:rsid w:val="00A0587E"/>
    <w:rsid w:val="00A05A0A"/>
    <w:rsid w:val="00A178B3"/>
    <w:rsid w:val="00A275BC"/>
    <w:rsid w:val="00A27617"/>
    <w:rsid w:val="00A354B7"/>
    <w:rsid w:val="00A40F6B"/>
    <w:rsid w:val="00A464B4"/>
    <w:rsid w:val="00A63D6B"/>
    <w:rsid w:val="00A84B52"/>
    <w:rsid w:val="00A8660F"/>
    <w:rsid w:val="00A935DD"/>
    <w:rsid w:val="00A95C48"/>
    <w:rsid w:val="00AA7056"/>
    <w:rsid w:val="00AB1F44"/>
    <w:rsid w:val="00AB31C6"/>
    <w:rsid w:val="00AB523B"/>
    <w:rsid w:val="00AD7E40"/>
    <w:rsid w:val="00B1477A"/>
    <w:rsid w:val="00B20993"/>
    <w:rsid w:val="00B21962"/>
    <w:rsid w:val="00B31AF7"/>
    <w:rsid w:val="00B42E96"/>
    <w:rsid w:val="00B50EE6"/>
    <w:rsid w:val="00B51736"/>
    <w:rsid w:val="00B52185"/>
    <w:rsid w:val="00B9753A"/>
    <w:rsid w:val="00BB1317"/>
    <w:rsid w:val="00BB1DDE"/>
    <w:rsid w:val="00BB44AD"/>
    <w:rsid w:val="00BB479C"/>
    <w:rsid w:val="00BC4720"/>
    <w:rsid w:val="00BC7033"/>
    <w:rsid w:val="00BD75A2"/>
    <w:rsid w:val="00C146BD"/>
    <w:rsid w:val="00C2017A"/>
    <w:rsid w:val="00C2026B"/>
    <w:rsid w:val="00C20470"/>
    <w:rsid w:val="00C24946"/>
    <w:rsid w:val="00C34B2F"/>
    <w:rsid w:val="00C4641B"/>
    <w:rsid w:val="00C6690E"/>
    <w:rsid w:val="00C703C5"/>
    <w:rsid w:val="00C71881"/>
    <w:rsid w:val="00C805F2"/>
    <w:rsid w:val="00C96EFE"/>
    <w:rsid w:val="00CC5E40"/>
    <w:rsid w:val="00CD0C5D"/>
    <w:rsid w:val="00D1569F"/>
    <w:rsid w:val="00D20B1E"/>
    <w:rsid w:val="00D22462"/>
    <w:rsid w:val="00D230AC"/>
    <w:rsid w:val="00D32489"/>
    <w:rsid w:val="00D3349E"/>
    <w:rsid w:val="00D56FAB"/>
    <w:rsid w:val="00D60BAE"/>
    <w:rsid w:val="00D73CB8"/>
    <w:rsid w:val="00D95650"/>
    <w:rsid w:val="00DA05C1"/>
    <w:rsid w:val="00DA7591"/>
    <w:rsid w:val="00DF6EC8"/>
    <w:rsid w:val="00E06E5E"/>
    <w:rsid w:val="00E24363"/>
    <w:rsid w:val="00E32798"/>
    <w:rsid w:val="00E32973"/>
    <w:rsid w:val="00E33CC8"/>
    <w:rsid w:val="00E42E66"/>
    <w:rsid w:val="00E51C91"/>
    <w:rsid w:val="00E667C1"/>
    <w:rsid w:val="00E85A9C"/>
    <w:rsid w:val="00E8687F"/>
    <w:rsid w:val="00EB0216"/>
    <w:rsid w:val="00EC3F88"/>
    <w:rsid w:val="00ED36D8"/>
    <w:rsid w:val="00ED3DCD"/>
    <w:rsid w:val="00EE3BB4"/>
    <w:rsid w:val="00EE6BD7"/>
    <w:rsid w:val="00F0689D"/>
    <w:rsid w:val="00F17992"/>
    <w:rsid w:val="00FB01B5"/>
    <w:rsid w:val="00FC5C16"/>
    <w:rsid w:val="00FE46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3CB18"/>
  <w15:chartTrackingRefBased/>
  <w15:docId w15:val="{9A02E5C2-03D4-4E1D-AD27-F9CE5E7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BB4"/>
    <w:rPr>
      <w:rFonts w:ascii="Segoe UI" w:hAnsi="Segoe UI" w:cs="Segoe UI"/>
      <w:color w:val="000000" w:themeColor="text1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1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744"/>
    <w:rPr>
      <w:b/>
      <w:bCs/>
    </w:rPr>
  </w:style>
  <w:style w:type="table" w:styleId="Mkatabulky">
    <w:name w:val="Table Grid"/>
    <w:basedOn w:val="Normlntabulka"/>
    <w:uiPriority w:val="59"/>
    <w:rsid w:val="00E243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4363"/>
    <w:pPr>
      <w:spacing w:after="0" w:line="240" w:lineRule="auto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43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4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fzp.cz/dotace-a-pujcky/modernizacni-fond/programy/" TargetMode="External"/><Relationship Id="rId1" Type="http://schemas.openxmlformats.org/officeDocument/2006/relationships/hyperlink" Target="https://modernisationfund.eu/wp-content/uploads/2021/03/Assessment-Guidance-Document-plus-Appendix-1-and-2-for-publica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758F17A782477E820B9313EB425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A647B-3CC8-4197-9ABF-3205C550EE74}"/>
      </w:docPartPr>
      <w:docPartBody>
        <w:p w:rsidR="00000000" w:rsidRDefault="00465801" w:rsidP="00465801">
          <w:pPr>
            <w:pStyle w:val="D5758F17A782477E820B9313EB425A92"/>
          </w:pPr>
          <w:r w:rsidRPr="00E279A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01"/>
    <w:rsid w:val="004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5801"/>
    <w:rPr>
      <w:color w:val="808080"/>
    </w:rPr>
  </w:style>
  <w:style w:type="paragraph" w:customStyle="1" w:styleId="D5758F17A782477E820B9313EB425A92">
    <w:name w:val="D5758F17A782477E820B9313EB425A92"/>
    <w:rsid w:val="00465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B31B-BB8B-4414-A500-7DE0881D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51E44661.dotm</Template>
  <TotalTime>30</TotalTime>
  <Pages>11</Pages>
  <Words>4318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Pavel</dc:creator>
  <cp:keywords/>
  <dc:description/>
  <cp:lastModifiedBy>Hronza Martin</cp:lastModifiedBy>
  <cp:revision>4</cp:revision>
  <cp:lastPrinted>2022-03-09T10:01:00Z</cp:lastPrinted>
  <dcterms:created xsi:type="dcterms:W3CDTF">2022-03-09T11:14:00Z</dcterms:created>
  <dcterms:modified xsi:type="dcterms:W3CDTF">2022-03-09T12:18:00Z</dcterms:modified>
</cp:coreProperties>
</file>