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FC05" w14:textId="355227CF" w:rsidR="007A70CE" w:rsidRPr="007A70CE" w:rsidRDefault="005A6B49" w:rsidP="005A6B49">
      <w:pPr>
        <w:spacing w:after="0"/>
        <w:jc w:val="center"/>
        <w:rPr>
          <w:b/>
          <w:bCs/>
          <w:sz w:val="28"/>
          <w:szCs w:val="28"/>
        </w:rPr>
      </w:pPr>
      <w:r w:rsidRPr="00AA6D9E">
        <w:rPr>
          <w:b/>
          <w:bCs/>
          <w:sz w:val="32"/>
          <w:szCs w:val="32"/>
        </w:rPr>
        <w:t>TRANSPOZIČNÍ NOVELA ZÁKONÍKU PRÁCE</w:t>
      </w:r>
      <w:r>
        <w:rPr>
          <w:b/>
          <w:bCs/>
          <w:sz w:val="32"/>
          <w:szCs w:val="32"/>
        </w:rPr>
        <w:t xml:space="preserve"> – PODKLAD PRO JEDNÁNÍ TRIPARTITY</w:t>
      </w:r>
    </w:p>
    <w:p w14:paraId="2CBF6BCB" w14:textId="77777777" w:rsidR="006809F4" w:rsidRDefault="006809F4" w:rsidP="007A70CE">
      <w:pPr>
        <w:pStyle w:val="Odstavecseseznamem"/>
        <w:numPr>
          <w:ilvl w:val="0"/>
          <w:numId w:val="1"/>
        </w:numPr>
        <w:spacing w:before="240"/>
        <w:jc w:val="both"/>
        <w:rPr>
          <w:i/>
          <w:iCs/>
        </w:rPr>
      </w:pPr>
      <w:r>
        <w:rPr>
          <w:b/>
          <w:bCs/>
        </w:rPr>
        <w:t>Meziresortní p</w:t>
      </w:r>
      <w:r w:rsidRPr="009A3924">
        <w:rPr>
          <w:b/>
          <w:bCs/>
        </w:rPr>
        <w:t xml:space="preserve">řipomínkové řízení </w:t>
      </w:r>
      <w:r w:rsidR="00AA6D9E" w:rsidRPr="007A70CE">
        <w:rPr>
          <w:i/>
          <w:iCs/>
        </w:rPr>
        <w:t xml:space="preserve">od </w:t>
      </w:r>
      <w:r w:rsidR="00AA6D9E" w:rsidRPr="007A70CE">
        <w:rPr>
          <w:b/>
          <w:bCs/>
          <w:i/>
          <w:iCs/>
        </w:rPr>
        <w:t>12. 9.</w:t>
      </w:r>
      <w:r w:rsidR="00AA6D9E" w:rsidRPr="007A70CE">
        <w:rPr>
          <w:i/>
          <w:iCs/>
        </w:rPr>
        <w:t xml:space="preserve"> do </w:t>
      </w:r>
      <w:r w:rsidR="00AA6D9E" w:rsidRPr="007A70CE">
        <w:rPr>
          <w:b/>
          <w:bCs/>
          <w:i/>
          <w:iCs/>
        </w:rPr>
        <w:t>11. 10. 2022</w:t>
      </w:r>
      <w:r>
        <w:rPr>
          <w:i/>
          <w:iCs/>
        </w:rPr>
        <w:t>.</w:t>
      </w:r>
    </w:p>
    <w:p w14:paraId="4A1B6BC5" w14:textId="02801F4D" w:rsidR="00960975" w:rsidRPr="007C5117" w:rsidRDefault="006809F4" w:rsidP="006809F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13CCF">
        <w:t xml:space="preserve">Materiál byl rozeslán na </w:t>
      </w:r>
      <w:r w:rsidRPr="006809F4">
        <w:rPr>
          <w:b/>
          <w:bCs/>
        </w:rPr>
        <w:t>107 připomínkových míst</w:t>
      </w:r>
      <w:r w:rsidRPr="00613CCF">
        <w:t xml:space="preserve">, připomínky uplatnilo 73 připomínkových míst, z toho </w:t>
      </w:r>
      <w:r w:rsidRPr="006809F4">
        <w:rPr>
          <w:b/>
          <w:bCs/>
        </w:rPr>
        <w:t>63 míst uplatnilo zásadní připomínky</w:t>
      </w:r>
      <w:r>
        <w:rPr>
          <w:b/>
          <w:bCs/>
        </w:rPr>
        <w:t xml:space="preserve"> </w:t>
      </w:r>
      <w:r w:rsidRPr="007A70CE">
        <w:rPr>
          <w:i/>
          <w:iCs/>
        </w:rPr>
        <w:t>(soc. partneři, resorty, kraje, další instituce…)</w:t>
      </w:r>
      <w:r w:rsidRPr="00613CCF">
        <w:t>, 10 míst uplatnilo pouze doporučující připomínky</w:t>
      </w:r>
      <w:r>
        <w:t xml:space="preserve"> </w:t>
      </w:r>
      <w:r w:rsidR="00AA6D9E" w:rsidRPr="006809F4">
        <w:rPr>
          <w:rFonts w:cstheme="minorHAnsi"/>
          <w:i/>
          <w:iCs/>
        </w:rPr>
        <w:t>→</w:t>
      </w:r>
      <w:r w:rsidR="00AA6D9E" w:rsidRPr="006809F4">
        <w:rPr>
          <w:i/>
          <w:iCs/>
        </w:rPr>
        <w:t xml:space="preserve"> </w:t>
      </w:r>
      <w:r w:rsidR="00AA6D9E" w:rsidRPr="006809F4">
        <w:rPr>
          <w:b/>
          <w:bCs/>
          <w:i/>
          <w:iCs/>
          <w:u w:val="single"/>
        </w:rPr>
        <w:t>nutno nyní vypořádat</w:t>
      </w:r>
      <w:r>
        <w:rPr>
          <w:i/>
          <w:iCs/>
        </w:rPr>
        <w:t xml:space="preserve">. </w:t>
      </w:r>
    </w:p>
    <w:p w14:paraId="083D8FAA" w14:textId="77777777" w:rsidR="007C5117" w:rsidRPr="006809F4" w:rsidRDefault="007C5117" w:rsidP="007C5117">
      <w:pPr>
        <w:pStyle w:val="Odstavecseseznamem"/>
        <w:ind w:left="360"/>
        <w:jc w:val="both"/>
        <w:rPr>
          <w:b/>
          <w:bCs/>
        </w:rPr>
      </w:pPr>
    </w:p>
    <w:p w14:paraId="082DCA65" w14:textId="264AF54D" w:rsidR="007A70CE" w:rsidRPr="007A70CE" w:rsidRDefault="007A70CE" w:rsidP="007A70CE">
      <w:pPr>
        <w:jc w:val="center"/>
        <w:rPr>
          <w:b/>
          <w:bCs/>
          <w:sz w:val="26"/>
          <w:szCs w:val="26"/>
          <w:u w:val="single"/>
        </w:rPr>
      </w:pPr>
      <w:r w:rsidRPr="007A70CE">
        <w:rPr>
          <w:b/>
          <w:bCs/>
          <w:sz w:val="26"/>
          <w:szCs w:val="26"/>
          <w:u w:val="single"/>
        </w:rPr>
        <w:t xml:space="preserve">NAVRŽENÉ </w:t>
      </w:r>
      <w:r w:rsidR="00D74C2E">
        <w:rPr>
          <w:b/>
          <w:bCs/>
          <w:sz w:val="26"/>
          <w:szCs w:val="26"/>
          <w:u w:val="single"/>
        </w:rPr>
        <w:t xml:space="preserve">ZÁSADNÍ </w:t>
      </w:r>
      <w:r w:rsidRPr="007A70CE">
        <w:rPr>
          <w:b/>
          <w:bCs/>
          <w:sz w:val="26"/>
          <w:szCs w:val="26"/>
          <w:u w:val="single"/>
        </w:rPr>
        <w:t>ÚPRAVY V REAKCI NA PŘIPOMÍNKY UPLATNĚNÉ V MPŘ</w:t>
      </w:r>
    </w:p>
    <w:p w14:paraId="23B82DA1" w14:textId="44971DC1" w:rsidR="003466D4" w:rsidRPr="00960975" w:rsidRDefault="003466D4" w:rsidP="0034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960975">
        <w:rPr>
          <w:b/>
          <w:bCs/>
          <w:sz w:val="24"/>
          <w:szCs w:val="24"/>
        </w:rPr>
        <w:t>1) Informační povinnost při vzniku pracovněprávního vztahu (§ 37 a 37a ZP)</w:t>
      </w:r>
    </w:p>
    <w:p w14:paraId="40E00526" w14:textId="77777777" w:rsidR="006F1104" w:rsidRPr="000463B2" w:rsidRDefault="003466D4" w:rsidP="006F1104">
      <w:pPr>
        <w:pStyle w:val="Odstavecseseznamem"/>
        <w:numPr>
          <w:ilvl w:val="0"/>
          <w:numId w:val="21"/>
        </w:numPr>
        <w:ind w:left="567"/>
        <w:jc w:val="both"/>
        <w:rPr>
          <w:b/>
          <w:bCs/>
        </w:rPr>
      </w:pPr>
      <w:r w:rsidRPr="000463B2">
        <w:t xml:space="preserve">bude zavedena </w:t>
      </w:r>
      <w:r w:rsidRPr="000463B2">
        <w:rPr>
          <w:b/>
          <w:bCs/>
        </w:rPr>
        <w:t>zvláštní úprava informační povinnosti při uzavření DPP/DPČ</w:t>
      </w:r>
      <w:r w:rsidRPr="000463B2">
        <w:t>, která bude obsažena v § 77 zákoníku práce</w:t>
      </w:r>
      <w:r w:rsidR="006F1104" w:rsidRPr="000463B2">
        <w:t>;</w:t>
      </w:r>
    </w:p>
    <w:p w14:paraId="28CED677" w14:textId="77777777" w:rsidR="006F1104" w:rsidRPr="000463B2" w:rsidRDefault="006F1104" w:rsidP="006F1104">
      <w:pPr>
        <w:pStyle w:val="Odstavecseseznamem"/>
        <w:numPr>
          <w:ilvl w:val="0"/>
          <w:numId w:val="21"/>
        </w:numPr>
        <w:ind w:left="567"/>
        <w:jc w:val="both"/>
        <w:rPr>
          <w:b/>
          <w:bCs/>
        </w:rPr>
      </w:pPr>
      <w:r w:rsidRPr="000463B2">
        <w:rPr>
          <w:rFonts w:cstheme="minorHAnsi"/>
        </w:rPr>
        <w:t xml:space="preserve">bude vypuštěna povinnost informování o </w:t>
      </w:r>
      <w:r w:rsidRPr="000463B2">
        <w:rPr>
          <w:rFonts w:cstheme="minorHAnsi"/>
          <w:b/>
          <w:bCs/>
        </w:rPr>
        <w:t>neplatnosti rozvázání pracovního poměru.</w:t>
      </w:r>
    </w:p>
    <w:p w14:paraId="0DB33DF9" w14:textId="430080DD" w:rsidR="00116CA4" w:rsidRPr="00960975" w:rsidRDefault="00116CA4" w:rsidP="0011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960975">
        <w:rPr>
          <w:b/>
          <w:bCs/>
          <w:sz w:val="24"/>
          <w:szCs w:val="24"/>
        </w:rPr>
        <w:t>2) Dohody o pracích konaných mimo pracovní poměr</w:t>
      </w:r>
      <w:r w:rsidR="006F1104" w:rsidRPr="00960975">
        <w:rPr>
          <w:b/>
          <w:bCs/>
          <w:sz w:val="24"/>
          <w:szCs w:val="24"/>
        </w:rPr>
        <w:t xml:space="preserve"> (DPČ a DPP)</w:t>
      </w:r>
    </w:p>
    <w:p w14:paraId="7411AC84" w14:textId="2D484CC2" w:rsidR="00116CA4" w:rsidRPr="000F2C50" w:rsidRDefault="00116CA4" w:rsidP="00116CA4">
      <w:pPr>
        <w:jc w:val="both"/>
        <w:rPr>
          <w:b/>
          <w:bCs/>
        </w:rPr>
      </w:pPr>
      <w:r w:rsidRPr="000F2C50">
        <w:rPr>
          <w:b/>
          <w:bCs/>
          <w:u w:val="single"/>
        </w:rPr>
        <w:t>I. ROZVRHOVÁNÍ PRACOVNÍ DOBY</w:t>
      </w:r>
      <w:r w:rsidRPr="000F2C50">
        <w:rPr>
          <w:b/>
          <w:bCs/>
        </w:rPr>
        <w:t xml:space="preserve"> </w:t>
      </w:r>
      <w:r w:rsidR="006F1104">
        <w:rPr>
          <w:b/>
          <w:bCs/>
        </w:rPr>
        <w:t xml:space="preserve"> </w:t>
      </w:r>
    </w:p>
    <w:p w14:paraId="65144906" w14:textId="055C7787" w:rsidR="00116CA4" w:rsidRPr="000463B2" w:rsidRDefault="00116CA4" w:rsidP="00116CA4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0463B2">
        <w:rPr>
          <w:b/>
          <w:bCs/>
        </w:rPr>
        <w:t>zaměstnavatel v případě DPP a DPČ bude povinen rozvrhovat pracovní dobu</w:t>
      </w:r>
      <w:r w:rsidRPr="000463B2">
        <w:t xml:space="preserve"> </w:t>
      </w:r>
      <w:r w:rsidRPr="000463B2">
        <w:rPr>
          <w:rFonts w:cstheme="minorHAnsi"/>
        </w:rPr>
        <w:t>→</w:t>
      </w:r>
      <w:r w:rsidRPr="000463B2">
        <w:t xml:space="preserve"> předvídatelný pracovní režim </w:t>
      </w:r>
      <w:r w:rsidRPr="000463B2">
        <w:rPr>
          <w:rFonts w:cstheme="minorHAnsi"/>
        </w:rPr>
        <w:t>→</w:t>
      </w:r>
      <w:r w:rsidRPr="000463B2">
        <w:t xml:space="preserve"> netřeba zavádět českému právu cizí konstrukt ref. hodin a dnů</w:t>
      </w:r>
      <w:r w:rsidR="006F1104" w:rsidRPr="000463B2">
        <w:t>;</w:t>
      </w:r>
    </w:p>
    <w:p w14:paraId="56425BCC" w14:textId="55C4D5F7" w:rsidR="00116CA4" w:rsidRPr="000463B2" w:rsidRDefault="00116CA4" w:rsidP="00116CA4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0463B2">
        <w:rPr>
          <w:b/>
          <w:bCs/>
        </w:rPr>
        <w:t xml:space="preserve">zaměstnavatel nemusí předem rozvrhnout pracovní dobu na celý týden nebo dokonce celé vyrovnávací období - pokud zaměstnavatel potřebuje ad hoc rozvrhovat pracovní dobu dle svých aktuálních potřeb, postačí, aby zaměstnanci v dostatečném předstihu případně rozvrhl i jen jednu směnu </w:t>
      </w:r>
      <w:r w:rsidRPr="000463B2">
        <w:t>(tj. určí, že v určitý den bude zaměstnanec pracovat od – do)</w:t>
      </w:r>
      <w:r w:rsidR="000463B2">
        <w:t>;</w:t>
      </w:r>
    </w:p>
    <w:p w14:paraId="4AC87B2C" w14:textId="71860ADD" w:rsidR="00116CA4" w:rsidRPr="000463B2" w:rsidRDefault="00116CA4" w:rsidP="00116CA4">
      <w:pPr>
        <w:pStyle w:val="Odstavecseseznamem"/>
        <w:numPr>
          <w:ilvl w:val="0"/>
          <w:numId w:val="18"/>
        </w:numPr>
        <w:jc w:val="both"/>
        <w:rPr>
          <w:b/>
          <w:bCs/>
          <w:i/>
          <w:iCs/>
        </w:rPr>
      </w:pPr>
      <w:r w:rsidRPr="000463B2">
        <w:rPr>
          <w:b/>
          <w:bCs/>
        </w:rPr>
        <w:t>zaměstnavatel nadále nemá povinnost zaměstnanci přidělovat práci v určitém garantovaném rozsahu, ledaže by se k tomu v rámci DPP či DPČ zavázal</w:t>
      </w:r>
      <w:r w:rsidRPr="000463B2">
        <w:t xml:space="preserve">, např. u DPČ tedy nadále bude možné ujednání „až 20 hodin týdně“. </w:t>
      </w:r>
      <w:r w:rsidRPr="000463B2">
        <w:rPr>
          <w:i/>
          <w:iCs/>
        </w:rPr>
        <w:t>V této souvislosti upozorňujeme, že se zaměstnavatelé zavázali projednat s odbory jejich požadavek na garanci přidělení části sjednané pracovní doby v rámci DPČ (tzv. problém zero hours contracts)</w:t>
      </w:r>
      <w:r w:rsidR="007A70CE" w:rsidRPr="000463B2">
        <w:rPr>
          <w:i/>
          <w:iCs/>
        </w:rPr>
        <w:t>;</w:t>
      </w:r>
    </w:p>
    <w:p w14:paraId="082A2D91" w14:textId="3E5BC6DB" w:rsidR="00116CA4" w:rsidRPr="000463B2" w:rsidRDefault="00116CA4" w:rsidP="00116CA4">
      <w:pPr>
        <w:pStyle w:val="Odstavecseseznamem"/>
        <w:numPr>
          <w:ilvl w:val="0"/>
          <w:numId w:val="18"/>
        </w:numPr>
        <w:jc w:val="both"/>
      </w:pPr>
      <w:r w:rsidRPr="000463B2">
        <w:rPr>
          <w:b/>
          <w:bCs/>
        </w:rPr>
        <w:t xml:space="preserve">lhůta pro seznámení zaměstnance s rozvrhem činí 3 dny předem </w:t>
      </w:r>
      <w:r w:rsidRPr="000463B2">
        <w:t>(tj. 72 hodin před začátkem směny, který je takto určen – původní návrh činil 7 dní),</w:t>
      </w:r>
      <w:r w:rsidRPr="000463B2">
        <w:rPr>
          <w:b/>
          <w:bCs/>
        </w:rPr>
        <w:t xml:space="preserve"> ledaže se zaměstnanec se zaměstnavatelem dohodnou na jiné době seznámení</w:t>
      </w:r>
      <w:r w:rsidRPr="000463B2">
        <w:t xml:space="preserve">, tj. i na kratší době seznámení - dohoda může být </w:t>
      </w:r>
      <w:r w:rsidRPr="000463B2">
        <w:rPr>
          <w:u w:val="single"/>
        </w:rPr>
        <w:t>paušální</w:t>
      </w:r>
      <w:r w:rsidRPr="000463B2">
        <w:t xml:space="preserve"> (výkladem jako minimální požadavek lze dovodit 24 hodin předem), anebo </w:t>
      </w:r>
      <w:r w:rsidRPr="000463B2">
        <w:rPr>
          <w:u w:val="single"/>
        </w:rPr>
        <w:t>individuální pro každý konkrétní případ</w:t>
      </w:r>
      <w:r w:rsidRPr="000463B2">
        <w:t>, kdy je možné dohodnout se na změně i krátce před začátkem směny (např. zaměstnanec nestíhá dorazit na určený čas, tudíž na jeho žádost dojde k posunu celé směny) či dokonce v průběhu směny (např. zaměstnavatel potřebuje, aby zaměstnanec pracoval o hodinu déle, zaměstnanec s tímto souhlasí a práci vykoná)</w:t>
      </w:r>
      <w:r w:rsidR="007A70CE" w:rsidRPr="000463B2">
        <w:t>;</w:t>
      </w:r>
    </w:p>
    <w:p w14:paraId="5522BA56" w14:textId="1427B17A" w:rsidR="00116CA4" w:rsidRPr="000463B2" w:rsidRDefault="00116CA4" w:rsidP="00116CA4">
      <w:pPr>
        <w:pStyle w:val="Odstavecseseznamem"/>
        <w:numPr>
          <w:ilvl w:val="0"/>
          <w:numId w:val="18"/>
        </w:numPr>
        <w:jc w:val="both"/>
      </w:pPr>
      <w:r w:rsidRPr="000463B2">
        <w:rPr>
          <w:b/>
          <w:bCs/>
        </w:rPr>
        <w:t xml:space="preserve">i v případě DPP a DPČ je možný režim pružného rozvržení pracovní doby nebo režim v rámci § 317 ZP, kdy si zaměstnanec při např. výkonu práce z domova rozvrhuje pracovní dobu sám podle svých potřeb </w:t>
      </w:r>
      <w:r w:rsidRPr="000463B2">
        <w:t>(zaměstnavatel zde může zakotvit určité mantinely</w:t>
      </w:r>
      <w:r w:rsidR="000F6CC2" w:rsidRPr="000463B2">
        <w:t xml:space="preserve"> rozvrhování, což je žádoucí</w:t>
      </w:r>
      <w:r w:rsidRPr="000463B2">
        <w:t>)</w:t>
      </w:r>
      <w:r w:rsidR="007A70CE" w:rsidRPr="000463B2">
        <w:t>.</w:t>
      </w:r>
    </w:p>
    <w:p w14:paraId="30536AF5" w14:textId="636EC222" w:rsidR="00116CA4" w:rsidRDefault="00116CA4" w:rsidP="00116CA4">
      <w:pPr>
        <w:jc w:val="both"/>
        <w:rPr>
          <w:b/>
          <w:bCs/>
          <w:u w:val="single"/>
        </w:rPr>
      </w:pPr>
      <w:r w:rsidRPr="000F2C50">
        <w:rPr>
          <w:b/>
          <w:bCs/>
          <w:u w:val="single"/>
        </w:rPr>
        <w:t>II. PŘEKÁŽKY V</w:t>
      </w:r>
      <w:r w:rsidR="006F1104">
        <w:rPr>
          <w:b/>
          <w:bCs/>
          <w:u w:val="single"/>
        </w:rPr>
        <w:t> </w:t>
      </w:r>
      <w:r w:rsidRPr="000F2C50">
        <w:rPr>
          <w:b/>
          <w:bCs/>
          <w:u w:val="single"/>
        </w:rPr>
        <w:t>PRÁCI</w:t>
      </w:r>
    </w:p>
    <w:p w14:paraId="0B3AFA32" w14:textId="522B53E6" w:rsidR="00116CA4" w:rsidRPr="000463B2" w:rsidRDefault="00116CA4" w:rsidP="00116CA4">
      <w:pPr>
        <w:pStyle w:val="Odstavecseseznamem"/>
        <w:numPr>
          <w:ilvl w:val="0"/>
          <w:numId w:val="17"/>
        </w:numPr>
        <w:jc w:val="both"/>
      </w:pPr>
      <w:r w:rsidRPr="000463B2">
        <w:rPr>
          <w:b/>
          <w:bCs/>
        </w:rPr>
        <w:t xml:space="preserve">nově bude v případě překážek v práci na straně zaměstnance podle nařízení vlády č. 590/2006 Sb. </w:t>
      </w:r>
      <w:r w:rsidRPr="000463B2">
        <w:t>(ošetření u lékaře, svatba, pohřeb)</w:t>
      </w:r>
      <w:r w:rsidRPr="000463B2">
        <w:rPr>
          <w:b/>
          <w:bCs/>
        </w:rPr>
        <w:t xml:space="preserve"> a překážek v práci z důvodu obecného zájmu </w:t>
      </w:r>
      <w:r w:rsidRPr="000463B2">
        <w:t xml:space="preserve">(darování krve, tábory atd.) </w:t>
      </w:r>
      <w:r w:rsidRPr="000463B2">
        <w:rPr>
          <w:b/>
          <w:bCs/>
        </w:rPr>
        <w:t xml:space="preserve">zaměstnanci náležet pracovní volno, tj. zaměstnavatel musí jeho nepřítomnost z těchto důvodů omluvit, </w:t>
      </w:r>
      <w:r w:rsidRPr="000463B2">
        <w:t>nicméně náhrada odměny zaměstnanci u těchto překážek nenáleží</w:t>
      </w:r>
      <w:r w:rsidRPr="000463B2">
        <w:rPr>
          <w:b/>
          <w:bCs/>
        </w:rPr>
        <w:t xml:space="preserve"> </w:t>
      </w:r>
      <w:r w:rsidRPr="000463B2">
        <w:t>(ledaže se k tomu zaměstnavatel např. zaváže v kol. smlouvě či si to stanoví ve vnitřním předpisu)</w:t>
      </w:r>
      <w:r w:rsidR="007A70CE" w:rsidRPr="000463B2">
        <w:t>;</w:t>
      </w:r>
    </w:p>
    <w:p w14:paraId="709D04B0" w14:textId="349F20BA" w:rsidR="00116CA4" w:rsidRPr="000463B2" w:rsidRDefault="00116CA4" w:rsidP="00116CA4">
      <w:pPr>
        <w:pStyle w:val="Odstavecseseznamem"/>
        <w:numPr>
          <w:ilvl w:val="0"/>
          <w:numId w:val="17"/>
        </w:numPr>
        <w:jc w:val="both"/>
      </w:pPr>
      <w:r w:rsidRPr="000463B2">
        <w:rPr>
          <w:b/>
          <w:bCs/>
        </w:rPr>
        <w:t xml:space="preserve">ve vztahu k DPP </w:t>
      </w:r>
      <w:r w:rsidRPr="000463B2">
        <w:t>(nikoliv DPČ)</w:t>
      </w:r>
      <w:r w:rsidRPr="000463B2">
        <w:rPr>
          <w:b/>
          <w:bCs/>
        </w:rPr>
        <w:t xml:space="preserve"> </w:t>
      </w:r>
      <w:r w:rsidRPr="000463B2">
        <w:t>bude stanoveno, že do celoročního limitu 300 hodin</w:t>
      </w:r>
      <w:r w:rsidRPr="000463B2">
        <w:rPr>
          <w:b/>
          <w:bCs/>
        </w:rPr>
        <w:t xml:space="preserve"> </w:t>
      </w:r>
      <w:r w:rsidRPr="000463B2">
        <w:t>(max. rozsah práce konaný na základě DPP) se tzv. náhradní doby podle § 348 odst. 1 zákoníku práce nezapočítávají</w:t>
      </w:r>
      <w:r w:rsidRPr="000463B2">
        <w:rPr>
          <w:b/>
          <w:bCs/>
        </w:rPr>
        <w:t xml:space="preserve"> </w:t>
      </w:r>
      <w:r w:rsidRPr="000463B2">
        <w:t xml:space="preserve">(nebude-li tedy např. </w:t>
      </w:r>
      <w:r w:rsidRPr="000463B2">
        <w:lastRenderedPageBreak/>
        <w:t xml:space="preserve">zaměstnanec pracovat z důvodu nastalé překážky v práci či čerpání dovolené, takto zameškaná hodina se mu do limitu 300 hodin nezapočte </w:t>
      </w:r>
      <w:r w:rsidRPr="000463B2">
        <w:rPr>
          <w:rFonts w:cstheme="minorHAnsi"/>
        </w:rPr>
        <w:t>→</w:t>
      </w:r>
      <w:r w:rsidRPr="000463B2">
        <w:t xml:space="preserve"> limit 300 hodin se bude vztahovat výhradně k výkonu práce)</w:t>
      </w:r>
      <w:r w:rsidR="007A70CE" w:rsidRPr="000463B2">
        <w:t>.</w:t>
      </w:r>
    </w:p>
    <w:p w14:paraId="33689737" w14:textId="4B743F90" w:rsidR="00116CA4" w:rsidRPr="00960975" w:rsidRDefault="00116CA4" w:rsidP="0011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960975">
        <w:rPr>
          <w:b/>
          <w:bCs/>
          <w:sz w:val="24"/>
          <w:szCs w:val="24"/>
        </w:rPr>
        <w:t>3) Dovolená u dohod o pracích konaných mimo pracovní poměr</w:t>
      </w:r>
    </w:p>
    <w:p w14:paraId="1C6B5ADF" w14:textId="55EDE283" w:rsidR="003466D4" w:rsidRPr="00960975" w:rsidRDefault="00960975" w:rsidP="007C5117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Pr="00960975">
        <w:rPr>
          <w:b/>
          <w:bCs/>
          <w:u w:val="single"/>
        </w:rPr>
        <w:t>ZÁKLADNÍ PARAMETRY NAVRŽENÉ ÚPRAVY DOVOLENÉ U DPP A DPČ</w:t>
      </w:r>
    </w:p>
    <w:p w14:paraId="52BDD5C6" w14:textId="57BEEE56" w:rsidR="00FA1E6C" w:rsidRPr="000463B2" w:rsidRDefault="00FA1E6C" w:rsidP="003466D4">
      <w:pPr>
        <w:pStyle w:val="Odstavecseseznamem"/>
        <w:numPr>
          <w:ilvl w:val="0"/>
          <w:numId w:val="13"/>
        </w:numPr>
        <w:spacing w:after="60" w:line="276" w:lineRule="auto"/>
        <w:ind w:left="567" w:hanging="425"/>
        <w:jc w:val="both"/>
        <w:rPr>
          <w:rFonts w:ascii="Calibri" w:hAnsi="Calibri" w:cs="Calibri"/>
          <w:shd w:val="clear" w:color="auto" w:fill="FFFFFF"/>
        </w:rPr>
      </w:pPr>
      <w:r w:rsidRPr="000463B2">
        <w:t>zakotvení</w:t>
      </w:r>
      <w:r w:rsidRPr="000463B2">
        <w:rPr>
          <w:b/>
          <w:bCs/>
        </w:rPr>
        <w:t xml:space="preserve"> práva na dovolenou </w:t>
      </w:r>
      <w:r w:rsidRPr="000463B2">
        <w:t>pro zaměstnance s DPP a DPČ</w:t>
      </w:r>
    </w:p>
    <w:p w14:paraId="0B9CF6C0" w14:textId="585512C4" w:rsidR="003466D4" w:rsidRPr="000463B2" w:rsidRDefault="003466D4" w:rsidP="003466D4">
      <w:pPr>
        <w:pStyle w:val="Odstavecseseznamem"/>
        <w:numPr>
          <w:ilvl w:val="0"/>
          <w:numId w:val="13"/>
        </w:numPr>
        <w:spacing w:after="60" w:line="276" w:lineRule="auto"/>
        <w:ind w:left="567" w:hanging="425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právo na dovolenou bude náležet za stejných podmínek, jako je tomu u zaměstnanců v pracovním poměru</w:t>
      </w:r>
      <w:r w:rsidRPr="000463B2">
        <w:rPr>
          <w:rFonts w:ascii="Calibri" w:hAnsi="Calibri" w:cs="Calibri"/>
          <w:shd w:val="clear" w:color="auto" w:fill="FFFFFF"/>
        </w:rPr>
        <w:t xml:space="preserve"> → jednoduchost, zaměstnavatelé již tato pravidla znají</w:t>
      </w:r>
      <w:r w:rsidR="005A6B49" w:rsidRPr="000463B2">
        <w:rPr>
          <w:rFonts w:ascii="Calibri" w:hAnsi="Calibri" w:cs="Calibri"/>
          <w:shd w:val="clear" w:color="auto" w:fill="FFFFFF"/>
        </w:rPr>
        <w:t>;</w:t>
      </w:r>
    </w:p>
    <w:p w14:paraId="1FB2CCAA" w14:textId="77777777" w:rsidR="003466D4" w:rsidRPr="000463B2" w:rsidRDefault="003466D4" w:rsidP="003466D4">
      <w:pPr>
        <w:pStyle w:val="Odstavecseseznamem"/>
        <w:numPr>
          <w:ilvl w:val="0"/>
          <w:numId w:val="13"/>
        </w:numPr>
        <w:spacing w:after="60" w:line="276" w:lineRule="auto"/>
        <w:ind w:left="567" w:hanging="425"/>
        <w:jc w:val="both"/>
        <w:rPr>
          <w:rFonts w:ascii="Calibri" w:hAnsi="Calibri" w:cs="Calibri"/>
          <w:u w:val="single"/>
          <w:shd w:val="clear" w:color="auto" w:fill="FFFFFF"/>
        </w:rPr>
      </w:pPr>
      <w:r w:rsidRPr="000463B2">
        <w:rPr>
          <w:rFonts w:ascii="Calibri" w:hAnsi="Calibri" w:cs="Calibri"/>
          <w:b/>
          <w:bCs/>
          <w:u w:val="single"/>
          <w:shd w:val="clear" w:color="auto" w:fill="FFFFFF"/>
        </w:rPr>
        <w:t>výpočet délky dovolené za daný kal. rok závisí na:</w:t>
      </w:r>
      <w:r w:rsidRPr="000463B2">
        <w:rPr>
          <w:rFonts w:ascii="Calibri" w:hAnsi="Calibri" w:cs="Calibri"/>
          <w:u w:val="single"/>
          <w:shd w:val="clear" w:color="auto" w:fill="FFFFFF"/>
        </w:rPr>
        <w:t xml:space="preserve"> </w:t>
      </w:r>
    </w:p>
    <w:p w14:paraId="29624FFB" w14:textId="500268FA" w:rsidR="003466D4" w:rsidRPr="000463B2" w:rsidRDefault="003466D4" w:rsidP="003466D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délce týdenní pracovní doby zaměstnance (TPD) – výhradně pro účely dovolené bude určena fiktivní TPD v délce 20 hodin týdně, a to jak pro DPP, tak DPČ</w:t>
      </w:r>
      <w:r w:rsidR="005A6B49" w:rsidRPr="000463B2">
        <w:rPr>
          <w:rFonts w:ascii="Calibri" w:hAnsi="Calibri" w:cs="Calibri"/>
          <w:b/>
          <w:bCs/>
          <w:shd w:val="clear" w:color="auto" w:fill="FFFFFF"/>
        </w:rPr>
        <w:t>;</w:t>
      </w:r>
    </w:p>
    <w:p w14:paraId="3BA308D4" w14:textId="679FE619" w:rsidR="003466D4" w:rsidRPr="000463B2" w:rsidRDefault="003466D4" w:rsidP="003466D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počtu celých odpracovaných násobků této TPD</w:t>
      </w:r>
      <w:r w:rsidR="000463B2">
        <w:rPr>
          <w:rFonts w:ascii="Calibri" w:hAnsi="Calibri" w:cs="Calibri"/>
          <w:b/>
          <w:bCs/>
          <w:shd w:val="clear" w:color="auto" w:fill="FFFFFF"/>
        </w:rPr>
        <w:t>;</w:t>
      </w:r>
    </w:p>
    <w:p w14:paraId="78969324" w14:textId="7C4B49AF" w:rsidR="003466D4" w:rsidRPr="000463B2" w:rsidRDefault="003466D4" w:rsidP="003466D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výměře dovolené</w:t>
      </w:r>
      <w:r w:rsidRPr="000463B2">
        <w:rPr>
          <w:rFonts w:ascii="Calibri" w:hAnsi="Calibri" w:cs="Calibri"/>
          <w:shd w:val="clear" w:color="auto" w:fill="FFFFFF"/>
        </w:rPr>
        <w:t xml:space="preserve"> (výměra dovolené činí nejméně 4 týdny, u „platové sféry“ 5 týdnů, u pedagogických pracovníků a akademických pracovníků VŠ 8 týdnů)</w:t>
      </w:r>
      <w:r w:rsidR="005A6B49" w:rsidRPr="000463B2">
        <w:rPr>
          <w:rFonts w:ascii="Calibri" w:hAnsi="Calibri" w:cs="Calibri"/>
          <w:shd w:val="clear" w:color="auto" w:fill="FFFFFF"/>
        </w:rPr>
        <w:t>;</w:t>
      </w:r>
    </w:p>
    <w:p w14:paraId="4397BC05" w14:textId="77777777" w:rsidR="003466D4" w:rsidRPr="000463B2" w:rsidRDefault="003466D4" w:rsidP="003466D4">
      <w:pPr>
        <w:pStyle w:val="Odstavecseseznamem"/>
        <w:numPr>
          <w:ilvl w:val="0"/>
          <w:numId w:val="13"/>
        </w:numPr>
        <w:spacing w:after="0" w:line="276" w:lineRule="auto"/>
        <w:ind w:left="567" w:hanging="425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shd w:val="clear" w:color="auto" w:fill="FFFFFF"/>
        </w:rPr>
        <w:t xml:space="preserve">k výpočtu se použije tzv. </w:t>
      </w:r>
      <w:r w:rsidRPr="000463B2">
        <w:rPr>
          <w:rFonts w:ascii="Calibri" w:hAnsi="Calibri" w:cs="Calibri"/>
          <w:b/>
          <w:bCs/>
          <w:shd w:val="clear" w:color="auto" w:fill="FFFFFF"/>
        </w:rPr>
        <w:t>univerzální vzorec</w:t>
      </w:r>
      <w:r w:rsidRPr="000463B2">
        <w:rPr>
          <w:rFonts w:ascii="Calibri" w:hAnsi="Calibri" w:cs="Calibri"/>
          <w:shd w:val="clear" w:color="auto" w:fill="FFFFFF"/>
        </w:rPr>
        <w:t xml:space="preserve"> ve tvaru: </w:t>
      </w:r>
    </w:p>
    <w:p w14:paraId="2F14F40B" w14:textId="77777777" w:rsidR="003466D4" w:rsidRPr="000463B2" w:rsidRDefault="003466D4" w:rsidP="00116CA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567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0463B2">
        <w:rPr>
          <w:rFonts w:ascii="Calibri" w:hAnsi="Calibri" w:cs="Calibri"/>
          <w:b/>
          <w:bCs/>
          <w:highlight w:val="lightGray"/>
          <w:shd w:val="clear" w:color="auto" w:fill="FFFFFF"/>
        </w:rPr>
        <w:t>počet celých odpracovaných násobků TPD/52 × TPD × výměra dovolené</w:t>
      </w:r>
    </w:p>
    <w:p w14:paraId="0FF150CA" w14:textId="77777777" w:rsidR="003466D4" w:rsidRPr="000463B2" w:rsidRDefault="003466D4" w:rsidP="003466D4">
      <w:pPr>
        <w:pStyle w:val="Odstavecseseznamem"/>
        <w:numPr>
          <w:ilvl w:val="0"/>
          <w:numId w:val="13"/>
        </w:numPr>
        <w:spacing w:before="240" w:after="60" w:line="276" w:lineRule="auto"/>
        <w:ind w:left="567" w:hanging="425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u w:val="single"/>
          <w:shd w:val="clear" w:color="auto" w:fill="FFFFFF"/>
        </w:rPr>
        <w:t>vznik dovolené za daný kal. rok je vždy podmíněn splněním 2 podmínek</w:t>
      </w:r>
      <w:r w:rsidRPr="000463B2">
        <w:rPr>
          <w:rFonts w:ascii="Calibri" w:hAnsi="Calibri" w:cs="Calibri"/>
          <w:shd w:val="clear" w:color="auto" w:fill="FFFFFF"/>
        </w:rPr>
        <w:t xml:space="preserve">: </w:t>
      </w:r>
    </w:p>
    <w:p w14:paraId="37B51ED0" w14:textId="77777777" w:rsidR="003466D4" w:rsidRPr="000463B2" w:rsidRDefault="003466D4" w:rsidP="003466D4">
      <w:pPr>
        <w:pStyle w:val="Odstavecseseznamem"/>
        <w:numPr>
          <w:ilvl w:val="0"/>
          <w:numId w:val="15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shd w:val="clear" w:color="auto" w:fill="FFFFFF"/>
        </w:rPr>
        <w:t xml:space="preserve">zaměstnancův pracovněprávní vztah v daném kal. roce nepřetržitě trval po dobu alespoň </w:t>
      </w:r>
      <w:r w:rsidRPr="000463B2">
        <w:rPr>
          <w:rFonts w:ascii="Calibri" w:hAnsi="Calibri" w:cs="Calibri"/>
          <w:b/>
          <w:bCs/>
          <w:shd w:val="clear" w:color="auto" w:fill="FFFFFF"/>
        </w:rPr>
        <w:t>28 kal. dní</w:t>
      </w:r>
      <w:r w:rsidRPr="000463B2">
        <w:rPr>
          <w:rFonts w:ascii="Calibri" w:hAnsi="Calibri" w:cs="Calibri"/>
          <w:shd w:val="clear" w:color="auto" w:fill="FFFFFF"/>
        </w:rPr>
        <w:t xml:space="preserve"> </w:t>
      </w:r>
    </w:p>
    <w:p w14:paraId="3A6BEBB4" w14:textId="77777777" w:rsidR="003466D4" w:rsidRPr="000463B2" w:rsidRDefault="003466D4" w:rsidP="003466D4">
      <w:pPr>
        <w:pStyle w:val="Odstavecseseznamem"/>
        <w:numPr>
          <w:ilvl w:val="0"/>
          <w:numId w:val="15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shd w:val="clear" w:color="auto" w:fill="FFFFFF"/>
        </w:rPr>
        <w:t xml:space="preserve">zaměstnanec odpracoval pro účely </w:t>
      </w:r>
      <w:r w:rsidRPr="000463B2">
        <w:rPr>
          <w:rFonts w:ascii="Calibri" w:hAnsi="Calibri" w:cs="Calibri"/>
          <w:b/>
          <w:bCs/>
          <w:shd w:val="clear" w:color="auto" w:fill="FFFFFF"/>
        </w:rPr>
        <w:t>dovolené alespoň 4násobek TPD, tj. 80 hodin</w:t>
      </w:r>
    </w:p>
    <w:p w14:paraId="593E1F92" w14:textId="1FDDF910" w:rsidR="003466D4" w:rsidRPr="000463B2" w:rsidRDefault="003466D4" w:rsidP="003466D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pro čerpání i krácení dovolené se užijí stejná pravidla jako v případě pracovního poměru</w:t>
      </w:r>
      <w:r w:rsidR="005A6B49" w:rsidRPr="000463B2">
        <w:rPr>
          <w:rFonts w:ascii="Calibri" w:hAnsi="Calibri" w:cs="Calibri"/>
          <w:b/>
          <w:bCs/>
          <w:shd w:val="clear" w:color="auto" w:fill="FFFFFF"/>
        </w:rPr>
        <w:t>;</w:t>
      </w:r>
    </w:p>
    <w:p w14:paraId="3F4E134F" w14:textId="18E87C1D" w:rsidR="003466D4" w:rsidRPr="000463B2" w:rsidRDefault="003466D4" w:rsidP="003466D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>nebude-li dovolená během trvání pracovněprávního vztahu vyčerpána, bude při jeho skončení pouze „proplacena“</w:t>
      </w:r>
      <w:r w:rsidR="000463B2">
        <w:rPr>
          <w:rFonts w:ascii="Calibri" w:hAnsi="Calibri" w:cs="Calibri"/>
          <w:b/>
          <w:bCs/>
          <w:shd w:val="clear" w:color="auto" w:fill="FFFFFF"/>
        </w:rPr>
        <w:t>;</w:t>
      </w:r>
    </w:p>
    <w:p w14:paraId="21094C44" w14:textId="1E1368E4" w:rsidR="003466D4" w:rsidRPr="000463B2" w:rsidRDefault="003466D4" w:rsidP="003466D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="Calibri" w:hAnsi="Calibri" w:cs="Calibri"/>
          <w:shd w:val="clear" w:color="auto" w:fill="FFFFFF"/>
        </w:rPr>
      </w:pPr>
      <w:r w:rsidRPr="000463B2">
        <w:rPr>
          <w:rFonts w:ascii="Calibri" w:hAnsi="Calibri" w:cs="Calibri"/>
          <w:b/>
          <w:bCs/>
          <w:shd w:val="clear" w:color="auto" w:fill="FFFFFF"/>
        </w:rPr>
        <w:t xml:space="preserve">předpokládaná účinnost </w:t>
      </w:r>
      <w:r w:rsidR="005A6B49" w:rsidRPr="000463B2">
        <w:rPr>
          <w:rFonts w:ascii="Calibri" w:hAnsi="Calibri" w:cs="Calibri"/>
          <w:b/>
          <w:bCs/>
          <w:shd w:val="clear" w:color="auto" w:fill="FFFFFF"/>
        </w:rPr>
        <w:t xml:space="preserve">zavedení práva na dovolenou </w:t>
      </w:r>
      <w:r w:rsidRPr="000463B2">
        <w:rPr>
          <w:rFonts w:ascii="Calibri" w:hAnsi="Calibri" w:cs="Calibri"/>
          <w:b/>
          <w:bCs/>
          <w:shd w:val="clear" w:color="auto" w:fill="FFFFFF"/>
        </w:rPr>
        <w:t>k 1. 1. 2024</w:t>
      </w:r>
      <w:r w:rsidR="005A6B49" w:rsidRPr="000463B2">
        <w:rPr>
          <w:rFonts w:ascii="Calibri" w:hAnsi="Calibri" w:cs="Calibri"/>
          <w:b/>
          <w:bCs/>
          <w:shd w:val="clear" w:color="auto" w:fill="FFFFFF"/>
        </w:rPr>
        <w:t>.</w:t>
      </w:r>
    </w:p>
    <w:p w14:paraId="5209878B" w14:textId="77777777" w:rsidR="00960975" w:rsidRPr="00116CA4" w:rsidRDefault="00960975" w:rsidP="00960975">
      <w:pPr>
        <w:pStyle w:val="Odstavecseseznamem"/>
        <w:spacing w:after="60" w:line="276" w:lineRule="auto"/>
        <w:ind w:left="502"/>
        <w:jc w:val="both"/>
        <w:rPr>
          <w:rFonts w:ascii="Calibri" w:hAnsi="Calibri" w:cs="Calibri"/>
          <w:shd w:val="clear" w:color="auto" w:fill="FFFFFF"/>
        </w:rPr>
      </w:pPr>
    </w:p>
    <w:p w14:paraId="4FF176FF" w14:textId="45ABA710" w:rsidR="006F1104" w:rsidRPr="00960975" w:rsidRDefault="006F1104" w:rsidP="006F1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sz w:val="24"/>
          <w:szCs w:val="24"/>
        </w:rPr>
      </w:pPr>
      <w:r w:rsidRPr="00960975">
        <w:rPr>
          <w:b/>
          <w:bCs/>
          <w:sz w:val="24"/>
          <w:szCs w:val="24"/>
        </w:rPr>
        <w:t>4) Výkon práce na dálku</w:t>
      </w:r>
    </w:p>
    <w:p w14:paraId="12F3D83A" w14:textId="256ADA8E" w:rsidR="00116CA4" w:rsidRDefault="00116CA4" w:rsidP="00116CA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Pr="0069294A">
        <w:rPr>
          <w:b/>
          <w:bCs/>
          <w:u w:val="single"/>
        </w:rPr>
        <w:t>DOHODA O PRÁCI NA DÁLKU</w:t>
      </w:r>
    </w:p>
    <w:p w14:paraId="2D38E937" w14:textId="3BD645CB" w:rsidR="00116CA4" w:rsidRPr="000463B2" w:rsidRDefault="00116CA4" w:rsidP="00116CA4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  <w:bCs/>
          <w:u w:val="single"/>
        </w:rPr>
      </w:pPr>
      <w:r w:rsidRPr="000463B2">
        <w:t>zákon</w:t>
      </w:r>
      <w:r w:rsidRPr="000463B2">
        <w:rPr>
          <w:b/>
          <w:bCs/>
        </w:rPr>
        <w:t xml:space="preserve"> </w:t>
      </w:r>
      <w:r w:rsidR="00960975" w:rsidRPr="000463B2">
        <w:t>nebude vymezovat</w:t>
      </w:r>
      <w:r w:rsidRPr="000463B2">
        <w:rPr>
          <w:b/>
          <w:bCs/>
        </w:rPr>
        <w:t xml:space="preserve"> podstatné náležitosti této dohody </w:t>
      </w:r>
      <w:r w:rsidRPr="000463B2">
        <w:t>- v důvodové zprávě bude rozvedeno, jaká ujednání je praktické do dohody o práci na dálku zahrnout</w:t>
      </w:r>
      <w:r w:rsidR="00960975" w:rsidRPr="000463B2">
        <w:t>;</w:t>
      </w:r>
    </w:p>
    <w:p w14:paraId="7B57B6E6" w14:textId="1995A6E1" w:rsidR="00116CA4" w:rsidRPr="000463B2" w:rsidRDefault="00116CA4" w:rsidP="00116CA4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  <w:bCs/>
          <w:u w:val="single"/>
        </w:rPr>
      </w:pPr>
      <w:r w:rsidRPr="000463B2">
        <w:t>závazek z dohody o práci na dálku lze</w:t>
      </w:r>
      <w:r w:rsidRPr="000463B2">
        <w:rPr>
          <w:b/>
          <w:bCs/>
        </w:rPr>
        <w:t xml:space="preserve"> rozvázat písemnou dohodou </w:t>
      </w:r>
      <w:r w:rsidRPr="000463B2">
        <w:t>anebo jej</w:t>
      </w:r>
      <w:r w:rsidRPr="000463B2">
        <w:rPr>
          <w:b/>
          <w:bCs/>
        </w:rPr>
        <w:t xml:space="preserve"> písemně vypovědět z jakéhokoliv důvodu nebo bez udání důvodu s 15denní výpovědní dobou běžící ode dne doručení výpovědi</w:t>
      </w:r>
      <w:r w:rsidR="000463B2">
        <w:rPr>
          <w:b/>
          <w:bCs/>
        </w:rPr>
        <w:t>;</w:t>
      </w:r>
    </w:p>
    <w:p w14:paraId="6F10802D" w14:textId="4AE9E444" w:rsidR="00116CA4" w:rsidRPr="000463B2" w:rsidRDefault="00116CA4" w:rsidP="00116CA4">
      <w:pPr>
        <w:pStyle w:val="Odstavecseseznamem"/>
        <w:numPr>
          <w:ilvl w:val="0"/>
          <w:numId w:val="22"/>
        </w:numPr>
        <w:spacing w:after="0" w:line="276" w:lineRule="auto"/>
        <w:jc w:val="both"/>
      </w:pPr>
      <w:r w:rsidRPr="000463B2">
        <w:rPr>
          <w:b/>
          <w:bCs/>
        </w:rPr>
        <w:t>možnost zaměstnavatele podle ve výjimečných případech v návaznosti na opatření orgánu veřejné moci nařídit zaměstnanci výkon práce na dálku zůstává zachována</w:t>
      </w:r>
      <w:r w:rsidRPr="000463B2">
        <w:t xml:space="preserve">; </w:t>
      </w:r>
    </w:p>
    <w:p w14:paraId="3EF41BA1" w14:textId="77777777" w:rsidR="00116CA4" w:rsidRPr="00225CFE" w:rsidRDefault="00116CA4" w:rsidP="00116CA4">
      <w:pPr>
        <w:spacing w:after="0" w:line="276" w:lineRule="auto"/>
        <w:jc w:val="both"/>
      </w:pPr>
    </w:p>
    <w:p w14:paraId="35D4C7C1" w14:textId="6E49A57C" w:rsidR="00116CA4" w:rsidRPr="0069294A" w:rsidRDefault="00116CA4" w:rsidP="00116CA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II. </w:t>
      </w:r>
      <w:r w:rsidRPr="0069294A">
        <w:rPr>
          <w:b/>
          <w:bCs/>
          <w:u w:val="single"/>
        </w:rPr>
        <w:t>PAUŠÁLNÍ NÁHRADA NÁKLADŮ</w:t>
      </w:r>
      <w:r w:rsidR="00960975">
        <w:rPr>
          <w:b/>
          <w:bCs/>
          <w:u w:val="single"/>
        </w:rPr>
        <w:t xml:space="preserve"> </w:t>
      </w:r>
    </w:p>
    <w:p w14:paraId="3F000FE7" w14:textId="6DC1230F" w:rsidR="00116CA4" w:rsidRPr="00641035" w:rsidRDefault="00116CA4" w:rsidP="00116CA4">
      <w:pPr>
        <w:pStyle w:val="Odstavecseseznamem"/>
        <w:numPr>
          <w:ilvl w:val="0"/>
          <w:numId w:val="24"/>
        </w:numPr>
        <w:spacing w:after="0" w:line="276" w:lineRule="auto"/>
        <w:jc w:val="both"/>
      </w:pPr>
      <w:r w:rsidRPr="00641035">
        <w:t>účelem je zjednodušit povinnost zaměstnavatele k náhradě nákladů vzniklých v souvislosti s prací na dálku → vybrané obvyklé druhy nákladů zahrnuté do paušální částky</w:t>
      </w:r>
      <w:r>
        <w:t xml:space="preserve"> (j</w:t>
      </w:r>
      <w:r w:rsidRPr="00641035">
        <w:t xml:space="preserve">edná se o plyn, elektřinu, pevná paliva, dodávku tepla </w:t>
      </w:r>
      <w:r>
        <w:t>/</w:t>
      </w:r>
      <w:r w:rsidRPr="00641035">
        <w:t>dálkové vytápění a centralizované poskytování teplé vody, dodávku vody z vodovodů a vodáren a odvádění odpadních vod, odvoz odpadních vod a čištění jímek a odvoz komunálního odpadu</w:t>
      </w:r>
      <w:r>
        <w:t>)</w:t>
      </w:r>
      <w:r w:rsidRPr="00641035">
        <w:t xml:space="preserve">, </w:t>
      </w:r>
      <w:r>
        <w:t xml:space="preserve">jsou problematické z hlediska jejich konkrétního prokazování, proto se stanoví minimální paušální částka, </w:t>
      </w:r>
      <w:r w:rsidRPr="00641035">
        <w:t>aniž by se připouštěla odchylná smluvní úprava jejich rozsahu, resp. nižší výše. Z poskytované paušální částky nelze náklady na jmenované druhy energií a</w:t>
      </w:r>
      <w:r>
        <w:t> </w:t>
      </w:r>
      <w:r w:rsidRPr="00641035">
        <w:t>služeb vyjmout, zároveň ovšem není zaměstnavatel povinen je hradit ve vyšší výši, byť by reálné náklady zaměstnance na některou z nich skutečně vyšší byly</w:t>
      </w:r>
      <w:r w:rsidR="007A70CE">
        <w:t>;</w:t>
      </w:r>
    </w:p>
    <w:p w14:paraId="006EF421" w14:textId="0499AB15" w:rsidR="00116CA4" w:rsidRPr="00641035" w:rsidRDefault="00116CA4" w:rsidP="00116CA4">
      <w:pPr>
        <w:pStyle w:val="Odstavecseseznamem"/>
        <w:numPr>
          <w:ilvl w:val="0"/>
          <w:numId w:val="23"/>
        </w:numPr>
        <w:spacing w:after="0" w:line="276" w:lineRule="auto"/>
        <w:jc w:val="both"/>
      </w:pPr>
      <w:r w:rsidRPr="00641035">
        <w:lastRenderedPageBreak/>
        <w:t xml:space="preserve">paušální náhrada nákladů do výše stanovené právním předpisem </w:t>
      </w:r>
      <w:r w:rsidRPr="0069294A">
        <w:rPr>
          <w:b/>
          <w:bCs/>
        </w:rPr>
        <w:t>nebude podléhat dani z příjmu</w:t>
      </w:r>
      <w:r w:rsidRPr="00641035">
        <w:t xml:space="preserve"> – na základě navržené změny zákona o dani z příjmů nebude příjmem ze závislé činnosti a předmětem daně (zaměstnavatel v soukromé sféře bude moci poskytnout částku i vyšší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r w:rsidRPr="00641035">
        <w:t xml:space="preserve">rozdíl zdanění </w:t>
      </w:r>
      <w:r>
        <w:t>podléhá</w:t>
      </w:r>
      <w:r w:rsidRPr="00641035">
        <w:t>)</w:t>
      </w:r>
      <w:r w:rsidR="007A70CE">
        <w:t>;</w:t>
      </w:r>
    </w:p>
    <w:p w14:paraId="3B9835FC" w14:textId="4EAAAC1D" w:rsidR="00116CA4" w:rsidRPr="007123EA" w:rsidRDefault="00116CA4" w:rsidP="00116CA4">
      <w:pPr>
        <w:pStyle w:val="Odstavecseseznamem"/>
        <w:numPr>
          <w:ilvl w:val="0"/>
          <w:numId w:val="23"/>
        </w:numPr>
        <w:spacing w:after="0" w:line="276" w:lineRule="auto"/>
        <w:jc w:val="both"/>
      </w:pPr>
      <w:r w:rsidRPr="007123EA">
        <w:t xml:space="preserve">MPSV rovněž zvažuje otázku </w:t>
      </w:r>
      <w:r w:rsidRPr="007123EA">
        <w:rPr>
          <w:b/>
          <w:bCs/>
        </w:rPr>
        <w:t>splatnosti paušální částky</w:t>
      </w:r>
      <w:r w:rsidRPr="007123EA">
        <w:t xml:space="preserve"> upravit výslovně, a to např. nejzazším termínem splatnosti, který se použije podpůrně v případech, kdy nebude uzavřena dohoda o termínu dřívějším</w:t>
      </w:r>
      <w:r w:rsidR="007A70CE">
        <w:t>.</w:t>
      </w:r>
    </w:p>
    <w:p w14:paraId="595BCD87" w14:textId="77777777" w:rsidR="00116CA4" w:rsidRDefault="00116CA4" w:rsidP="00116CA4">
      <w:pPr>
        <w:pStyle w:val="Odstavecseseznamem"/>
        <w:spacing w:after="0" w:line="276" w:lineRule="auto"/>
        <w:ind w:left="502"/>
        <w:jc w:val="both"/>
        <w:rPr>
          <w:rFonts w:eastAsia="Times New Roman"/>
        </w:rPr>
      </w:pPr>
    </w:p>
    <w:p w14:paraId="31E89633" w14:textId="77777777" w:rsidR="00116CA4" w:rsidRPr="0069294A" w:rsidRDefault="00116CA4" w:rsidP="00116CA4">
      <w:pPr>
        <w:spacing w:after="0" w:line="276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III. </w:t>
      </w:r>
      <w:r w:rsidRPr="0069294A">
        <w:rPr>
          <w:rFonts w:eastAsia="Times New Roman"/>
          <w:b/>
          <w:bCs/>
          <w:u w:val="single"/>
        </w:rPr>
        <w:t>ZAJIŠTĚNÍ KONTAKTU S OSTATNÍMI ZAMĚST</w:t>
      </w:r>
      <w:r>
        <w:rPr>
          <w:rFonts w:eastAsia="Times New Roman"/>
          <w:b/>
          <w:bCs/>
          <w:u w:val="single"/>
        </w:rPr>
        <w:t>N</w:t>
      </w:r>
      <w:r w:rsidRPr="0069294A">
        <w:rPr>
          <w:rFonts w:eastAsia="Times New Roman"/>
          <w:b/>
          <w:bCs/>
          <w:u w:val="single"/>
        </w:rPr>
        <w:t>ANCI, ZAJIŠTĚNÍ TECHNICKÉHO VYBAVENÍ, POVINNOST K OCHRANĚ DAT</w:t>
      </w:r>
    </w:p>
    <w:p w14:paraId="42D6FA6B" w14:textId="77777777" w:rsidR="00116CA4" w:rsidRDefault="00116CA4" w:rsidP="00116CA4">
      <w:pPr>
        <w:pStyle w:val="Odstavecseseznamem"/>
        <w:spacing w:after="0" w:line="276" w:lineRule="auto"/>
        <w:ind w:left="644"/>
        <w:jc w:val="both"/>
        <w:rPr>
          <w:rFonts w:eastAsia="Times New Roman"/>
        </w:rPr>
      </w:pPr>
    </w:p>
    <w:p w14:paraId="4C51B72F" w14:textId="47FBE62A" w:rsidR="00116CA4" w:rsidRPr="000463B2" w:rsidRDefault="000463B2" w:rsidP="00116CA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</w:rPr>
        <w:t>Uvedené povinnosti zaměstnavatele budou</w:t>
      </w:r>
      <w:r w:rsidR="00116CA4" w:rsidRPr="000463B2">
        <w:rPr>
          <w:rFonts w:eastAsia="Times New Roman"/>
        </w:rPr>
        <w:t xml:space="preserve"> </w:t>
      </w:r>
      <w:r>
        <w:rPr>
          <w:rFonts w:eastAsia="Times New Roman"/>
        </w:rPr>
        <w:t>bez náhrady</w:t>
      </w:r>
      <w:r w:rsidR="00116CA4" w:rsidRPr="000463B2">
        <w:rPr>
          <w:rFonts w:eastAsia="Times New Roman"/>
        </w:rPr>
        <w:t xml:space="preserve"> vypuštěny v návaznosti na uplatněné zásadní připomínky</w:t>
      </w:r>
      <w:r w:rsidR="007A70CE" w:rsidRPr="000463B2">
        <w:rPr>
          <w:rFonts w:eastAsia="Times New Roman"/>
        </w:rPr>
        <w:t>.</w:t>
      </w:r>
      <w:r w:rsidR="00116CA4" w:rsidRPr="000463B2">
        <w:rPr>
          <w:rFonts w:eastAsia="Times New Roman"/>
        </w:rPr>
        <w:t xml:space="preserve"> </w:t>
      </w:r>
    </w:p>
    <w:p w14:paraId="75ED5785" w14:textId="77777777" w:rsidR="00116CA4" w:rsidRPr="0069294A" w:rsidRDefault="00116CA4" w:rsidP="00116CA4">
      <w:pPr>
        <w:pStyle w:val="Odstavecseseznamem"/>
        <w:spacing w:after="0" w:line="276" w:lineRule="auto"/>
        <w:ind w:left="644"/>
        <w:jc w:val="both"/>
        <w:rPr>
          <w:rFonts w:eastAsia="Times New Roman"/>
          <w:b/>
          <w:bCs/>
          <w:u w:val="single"/>
        </w:rPr>
      </w:pPr>
    </w:p>
    <w:p w14:paraId="2D43742A" w14:textId="662681AD" w:rsidR="00116CA4" w:rsidRPr="0069294A" w:rsidRDefault="00116CA4" w:rsidP="00116CA4">
      <w:pPr>
        <w:spacing w:line="276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IV. </w:t>
      </w:r>
      <w:r w:rsidRPr="0069294A">
        <w:rPr>
          <w:rFonts w:eastAsia="Times New Roman"/>
          <w:b/>
          <w:bCs/>
          <w:u w:val="single"/>
        </w:rPr>
        <w:t>VÝLUKY V PŘÍPADĚ TZV. SAMOROZVRHOVÁNÍ PRACOVNÍ DOBY ZAMĚSTNANCEM</w:t>
      </w:r>
      <w:r w:rsidR="007A70CE">
        <w:rPr>
          <w:rFonts w:eastAsia="Times New Roman"/>
          <w:b/>
          <w:bCs/>
          <w:u w:val="single"/>
        </w:rPr>
        <w:t xml:space="preserve"> </w:t>
      </w:r>
    </w:p>
    <w:p w14:paraId="0FCC4A00" w14:textId="6A8F2021" w:rsidR="00116CA4" w:rsidRPr="000463B2" w:rsidRDefault="00116CA4" w:rsidP="00116CA4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eastAsia="Times New Roman"/>
        </w:rPr>
      </w:pPr>
      <w:r w:rsidRPr="000463B2">
        <w:rPr>
          <w:rFonts w:eastAsia="Times New Roman"/>
        </w:rPr>
        <w:t xml:space="preserve">s ohledem </w:t>
      </w:r>
      <w:r w:rsidR="000463B2">
        <w:rPr>
          <w:rFonts w:eastAsia="Times New Roman"/>
        </w:rPr>
        <w:t xml:space="preserve">připomínky </w:t>
      </w:r>
      <w:r w:rsidRPr="000463B2">
        <w:rPr>
          <w:rFonts w:eastAsia="Times New Roman"/>
        </w:rPr>
        <w:t xml:space="preserve">je zvažována varianta, že </w:t>
      </w:r>
      <w:r w:rsidRPr="000463B2">
        <w:rPr>
          <w:rFonts w:eastAsia="Times New Roman"/>
          <w:b/>
          <w:bCs/>
        </w:rPr>
        <w:t>výslovné vyloučení vybraných tzv. režimových příplatků při práci na dálku nebude do návrhu zahrnuto s tím, že</w:t>
      </w:r>
      <w:r w:rsidR="00FA1E6C" w:rsidRPr="000463B2">
        <w:rPr>
          <w:rFonts w:eastAsia="Times New Roman"/>
          <w:b/>
          <w:bCs/>
        </w:rPr>
        <w:t> </w:t>
      </w:r>
      <w:r w:rsidRPr="000463B2">
        <w:rPr>
          <w:rFonts w:eastAsia="Times New Roman"/>
          <w:b/>
          <w:bCs/>
        </w:rPr>
        <w:t>zaměstnavatel bude mít sám v rámci dohody o práci na dálku možnost stanovit podmínky, za nichž bude vykonávána</w:t>
      </w:r>
      <w:r w:rsidR="007A70CE" w:rsidRPr="000463B2">
        <w:rPr>
          <w:rFonts w:eastAsia="Times New Roman"/>
          <w:b/>
          <w:bCs/>
        </w:rPr>
        <w:t>;</w:t>
      </w:r>
      <w:r w:rsidRPr="000463B2">
        <w:rPr>
          <w:rFonts w:eastAsia="Times New Roman"/>
        </w:rPr>
        <w:t xml:space="preserve"> </w:t>
      </w:r>
    </w:p>
    <w:p w14:paraId="2B3F9434" w14:textId="686F1DFD" w:rsidR="00116CA4" w:rsidRPr="000463B2" w:rsidRDefault="00116CA4" w:rsidP="00116CA4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eastAsia="Times New Roman"/>
        </w:rPr>
      </w:pPr>
      <w:r w:rsidRPr="000463B2">
        <w:rPr>
          <w:rFonts w:eastAsia="Times New Roman"/>
        </w:rPr>
        <w:t>vypuštění selektivních výluk jednotlivých příplatků je v souladu s principem smluvní volnosti a zaměstnavatel bude mít možnost v rámci dohody vyloučit i jiné režimy, které v současných výlukách nejsou zahrnuty (např. práci v noci, v sobotu apod.)</w:t>
      </w:r>
      <w:r w:rsidR="007A70CE" w:rsidRPr="000463B2">
        <w:rPr>
          <w:rFonts w:eastAsia="Times New Roman"/>
        </w:rPr>
        <w:t>.</w:t>
      </w:r>
    </w:p>
    <w:p w14:paraId="41255D31" w14:textId="77777777" w:rsidR="00116CA4" w:rsidRPr="0069294A" w:rsidRDefault="00116CA4" w:rsidP="00116CA4">
      <w:pPr>
        <w:spacing w:after="0" w:line="276" w:lineRule="auto"/>
        <w:jc w:val="both"/>
        <w:rPr>
          <w:rFonts w:eastAsia="Times New Roman"/>
        </w:rPr>
      </w:pPr>
    </w:p>
    <w:p w14:paraId="5174F385" w14:textId="77777777" w:rsidR="00116CA4" w:rsidRPr="0069294A" w:rsidRDefault="00116CA4" w:rsidP="00116CA4">
      <w:pPr>
        <w:spacing w:line="276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V. </w:t>
      </w:r>
      <w:r w:rsidRPr="0069294A">
        <w:rPr>
          <w:rFonts w:eastAsia="Times New Roman"/>
          <w:b/>
          <w:bCs/>
          <w:u w:val="single"/>
        </w:rPr>
        <w:t>OBECNÁ ŽÁDOST JAKÉHOKOLIV ZAMĚSTNANCE O PRÁCI NA DÁLKU</w:t>
      </w:r>
    </w:p>
    <w:p w14:paraId="0EAF238A" w14:textId="0E8EC6D1" w:rsidR="00116CA4" w:rsidRPr="000463B2" w:rsidRDefault="00116CA4" w:rsidP="00116CA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eastAsia="Times New Roman"/>
        </w:rPr>
      </w:pPr>
      <w:r w:rsidRPr="000463B2">
        <w:rPr>
          <w:rFonts w:eastAsia="Times New Roman"/>
        </w:rPr>
        <w:t xml:space="preserve">bude </w:t>
      </w:r>
      <w:r w:rsidR="000463B2" w:rsidRPr="000463B2">
        <w:rPr>
          <w:rFonts w:eastAsia="Times New Roman"/>
        </w:rPr>
        <w:t>bez náhrady</w:t>
      </w:r>
      <w:r w:rsidRPr="000463B2">
        <w:rPr>
          <w:rFonts w:eastAsia="Times New Roman"/>
        </w:rPr>
        <w:t xml:space="preserve"> vypuštěn</w:t>
      </w:r>
      <w:r w:rsidR="000463B2" w:rsidRPr="000463B2">
        <w:rPr>
          <w:rFonts w:eastAsia="Times New Roman"/>
        </w:rPr>
        <w:t>o</w:t>
      </w:r>
      <w:r w:rsidRPr="000463B2">
        <w:rPr>
          <w:rFonts w:eastAsia="Times New Roman"/>
        </w:rPr>
        <w:t xml:space="preserve"> v návaznosti na uplatněné zásadní připomínky</w:t>
      </w:r>
      <w:r w:rsidR="005A6B49" w:rsidRPr="000463B2">
        <w:rPr>
          <w:rFonts w:eastAsia="Times New Roman"/>
        </w:rPr>
        <w:t>.</w:t>
      </w:r>
    </w:p>
    <w:p w14:paraId="6FF32006" w14:textId="77777777" w:rsidR="00116CA4" w:rsidRPr="00846AC7" w:rsidRDefault="00116CA4" w:rsidP="00116CA4">
      <w:pPr>
        <w:spacing w:after="0" w:line="276" w:lineRule="auto"/>
        <w:jc w:val="both"/>
        <w:rPr>
          <w:rFonts w:eastAsia="Times New Roman"/>
        </w:rPr>
      </w:pPr>
    </w:p>
    <w:p w14:paraId="5D207D8A" w14:textId="7B2B538C" w:rsidR="00116CA4" w:rsidRDefault="00116CA4" w:rsidP="00116CA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VI. ŽÁDOST URČITÝCH SKUPIN ZAMĚSTNANCŮ O VÝKON PRÁCE NA DÁLKU</w:t>
      </w:r>
    </w:p>
    <w:p w14:paraId="427CFE9C" w14:textId="0C49E4B5" w:rsidR="00116CA4" w:rsidRPr="000463B2" w:rsidRDefault="007A70CE" w:rsidP="00116CA4">
      <w:pPr>
        <w:pStyle w:val="Odstavecseseznamem"/>
        <w:numPr>
          <w:ilvl w:val="0"/>
          <w:numId w:val="25"/>
        </w:numPr>
        <w:jc w:val="both"/>
      </w:pPr>
      <w:r w:rsidRPr="000463B2">
        <w:rPr>
          <w:b/>
          <w:bCs/>
        </w:rPr>
        <w:t>snížení věku z navržených 15 let</w:t>
      </w:r>
      <w:r w:rsidRPr="000463B2">
        <w:t xml:space="preserve"> - </w:t>
      </w:r>
      <w:r w:rsidR="00116CA4" w:rsidRPr="000463B2">
        <w:t>těhotné ženy, osoby pečující o osoby závislé na pomoci jiné fyzické osoby a</w:t>
      </w:r>
      <w:r w:rsidR="00FA1E6C" w:rsidRPr="000463B2">
        <w:t> </w:t>
      </w:r>
      <w:r w:rsidR="00116CA4" w:rsidRPr="000463B2">
        <w:t xml:space="preserve">zaměstnanci pečující o dítě do věku 8 let (včetně), </w:t>
      </w:r>
      <w:r w:rsidR="00116CA4" w:rsidRPr="000463B2">
        <w:rPr>
          <w:b/>
          <w:bCs/>
        </w:rPr>
        <w:t>budou moci písemně požádat o výkon práce na dálku</w:t>
      </w:r>
      <w:r w:rsidRPr="000463B2">
        <w:rPr>
          <w:b/>
          <w:bCs/>
        </w:rPr>
        <w:t>;</w:t>
      </w:r>
      <w:r w:rsidR="00116CA4" w:rsidRPr="000463B2">
        <w:t xml:space="preserve"> </w:t>
      </w:r>
    </w:p>
    <w:p w14:paraId="50407A97" w14:textId="242206A2" w:rsidR="00116CA4" w:rsidRPr="000463B2" w:rsidRDefault="007A70CE" w:rsidP="00116CA4">
      <w:pPr>
        <w:pStyle w:val="Odstavecseseznamem"/>
        <w:numPr>
          <w:ilvl w:val="0"/>
          <w:numId w:val="25"/>
        </w:numPr>
        <w:jc w:val="both"/>
        <w:rPr>
          <w:b/>
          <w:bCs/>
        </w:rPr>
      </w:pPr>
      <w:r w:rsidRPr="000463B2">
        <w:rPr>
          <w:b/>
          <w:bCs/>
        </w:rPr>
        <w:t>n</w:t>
      </w:r>
      <w:r w:rsidR="000463B2">
        <w:rPr>
          <w:b/>
          <w:bCs/>
        </w:rPr>
        <w:t xml:space="preserve">a práci na dálku nebude právní nárok, </w:t>
      </w:r>
      <w:r w:rsidR="00116CA4" w:rsidRPr="000463B2">
        <w:rPr>
          <w:b/>
          <w:bCs/>
        </w:rPr>
        <w:t xml:space="preserve">pokud zaměstnavatel žádosti nevyhoví, což </w:t>
      </w:r>
      <w:r w:rsidR="00116CA4" w:rsidRPr="000463B2">
        <w:t>není jeho povinnost, písemně to žadateli odůvodní</w:t>
      </w:r>
      <w:r w:rsidRPr="000463B2">
        <w:t>;</w:t>
      </w:r>
    </w:p>
    <w:p w14:paraId="54ABDD7A" w14:textId="2A74703B" w:rsidR="00116CA4" w:rsidRPr="000463B2" w:rsidRDefault="00116CA4" w:rsidP="00116CA4">
      <w:pPr>
        <w:pStyle w:val="Odstavecseseznamem"/>
        <w:numPr>
          <w:ilvl w:val="0"/>
          <w:numId w:val="25"/>
        </w:numPr>
        <w:jc w:val="both"/>
      </w:pPr>
      <w:r w:rsidRPr="000463B2">
        <w:t>v případě vyhovění žádosti bude se zaměstnancem uzavřena dohoda o práci na dálku</w:t>
      </w:r>
      <w:r w:rsidR="007A70CE" w:rsidRPr="000463B2">
        <w:t>.</w:t>
      </w:r>
    </w:p>
    <w:p w14:paraId="32570196" w14:textId="3F1F8894" w:rsidR="003466D4" w:rsidRDefault="003466D4" w:rsidP="002B25F0">
      <w:pPr>
        <w:jc w:val="both"/>
        <w:rPr>
          <w:b/>
          <w:bCs/>
          <w:sz w:val="24"/>
          <w:szCs w:val="24"/>
          <w:u w:val="single"/>
        </w:rPr>
      </w:pPr>
    </w:p>
    <w:p w14:paraId="68021E78" w14:textId="77777777" w:rsidR="00C179B4" w:rsidRPr="00724221" w:rsidRDefault="00C179B4" w:rsidP="00AA6D9E">
      <w:pPr>
        <w:jc w:val="both"/>
        <w:rPr>
          <w:sz w:val="24"/>
          <w:szCs w:val="24"/>
        </w:rPr>
      </w:pPr>
    </w:p>
    <w:sectPr w:rsidR="00C179B4" w:rsidRPr="00724221" w:rsidSect="006809F4"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BF8"/>
    <w:multiLevelType w:val="hybridMultilevel"/>
    <w:tmpl w:val="72DCF68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2E6247"/>
    <w:multiLevelType w:val="hybridMultilevel"/>
    <w:tmpl w:val="68CCF020"/>
    <w:lvl w:ilvl="0" w:tplc="8E501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90"/>
    <w:multiLevelType w:val="hybridMultilevel"/>
    <w:tmpl w:val="8A041E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62F"/>
    <w:multiLevelType w:val="hybridMultilevel"/>
    <w:tmpl w:val="62C47C5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90866E">
      <w:start w:val="1"/>
      <w:numFmt w:val="decimal"/>
      <w:lvlText w:val="%2."/>
      <w:lvlJc w:val="left"/>
      <w:pPr>
        <w:ind w:left="928" w:hanging="360"/>
      </w:pPr>
      <w:rPr>
        <w:rFonts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26B0"/>
    <w:multiLevelType w:val="hybridMultilevel"/>
    <w:tmpl w:val="430EEDAC"/>
    <w:lvl w:ilvl="0" w:tplc="92066F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bCs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866CA"/>
    <w:multiLevelType w:val="hybridMultilevel"/>
    <w:tmpl w:val="EEE09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0E0E0C"/>
    <w:multiLevelType w:val="hybridMultilevel"/>
    <w:tmpl w:val="176E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595"/>
    <w:multiLevelType w:val="hybridMultilevel"/>
    <w:tmpl w:val="41F608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3BD13B3"/>
    <w:multiLevelType w:val="hybridMultilevel"/>
    <w:tmpl w:val="E3C0DC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944C52"/>
    <w:multiLevelType w:val="hybridMultilevel"/>
    <w:tmpl w:val="5A32A7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2FA"/>
    <w:multiLevelType w:val="hybridMultilevel"/>
    <w:tmpl w:val="607AA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323A"/>
    <w:multiLevelType w:val="hybridMultilevel"/>
    <w:tmpl w:val="457034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5BCD"/>
    <w:multiLevelType w:val="hybridMultilevel"/>
    <w:tmpl w:val="7BAAA9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3133"/>
    <w:multiLevelType w:val="hybridMultilevel"/>
    <w:tmpl w:val="7A56B8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7D6C"/>
    <w:multiLevelType w:val="hybridMultilevel"/>
    <w:tmpl w:val="D458D5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81FBF"/>
    <w:multiLevelType w:val="hybridMultilevel"/>
    <w:tmpl w:val="52DE7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20570"/>
    <w:multiLevelType w:val="hybridMultilevel"/>
    <w:tmpl w:val="873EF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6452"/>
    <w:multiLevelType w:val="hybridMultilevel"/>
    <w:tmpl w:val="D50252FA"/>
    <w:lvl w:ilvl="0" w:tplc="ADBEC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022"/>
    <w:multiLevelType w:val="hybridMultilevel"/>
    <w:tmpl w:val="51BA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3576"/>
    <w:multiLevelType w:val="hybridMultilevel"/>
    <w:tmpl w:val="918AD23A"/>
    <w:lvl w:ilvl="0" w:tplc="8CB47E76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72954B7"/>
    <w:multiLevelType w:val="hybridMultilevel"/>
    <w:tmpl w:val="74DCACEA"/>
    <w:lvl w:ilvl="0" w:tplc="ADBEC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63787"/>
    <w:multiLevelType w:val="hybridMultilevel"/>
    <w:tmpl w:val="BE14BCE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21C6CF6"/>
    <w:multiLevelType w:val="hybridMultilevel"/>
    <w:tmpl w:val="E61C3B8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4437E40"/>
    <w:multiLevelType w:val="hybridMultilevel"/>
    <w:tmpl w:val="61E88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C7D31"/>
    <w:multiLevelType w:val="hybridMultilevel"/>
    <w:tmpl w:val="C41025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A8D4BFC"/>
    <w:multiLevelType w:val="hybridMultilevel"/>
    <w:tmpl w:val="3FAE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7AE7"/>
    <w:multiLevelType w:val="hybridMultilevel"/>
    <w:tmpl w:val="A580B5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17"/>
  </w:num>
  <w:num w:numId="8">
    <w:abstractNumId w:val="9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25"/>
  </w:num>
  <w:num w:numId="14">
    <w:abstractNumId w:val="3"/>
  </w:num>
  <w:num w:numId="15">
    <w:abstractNumId w:val="19"/>
  </w:num>
  <w:num w:numId="16">
    <w:abstractNumId w:val="24"/>
  </w:num>
  <w:num w:numId="17">
    <w:abstractNumId w:val="7"/>
  </w:num>
  <w:num w:numId="18">
    <w:abstractNumId w:val="8"/>
  </w:num>
  <w:num w:numId="19">
    <w:abstractNumId w:val="22"/>
  </w:num>
  <w:num w:numId="20">
    <w:abstractNumId w:val="26"/>
  </w:num>
  <w:num w:numId="21">
    <w:abstractNumId w:val="6"/>
  </w:num>
  <w:num w:numId="22">
    <w:abstractNumId w:val="0"/>
  </w:num>
  <w:num w:numId="23">
    <w:abstractNumId w:val="21"/>
  </w:num>
  <w:num w:numId="24">
    <w:abstractNumId w:val="5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9E"/>
    <w:rsid w:val="00017E19"/>
    <w:rsid w:val="00030793"/>
    <w:rsid w:val="0003356F"/>
    <w:rsid w:val="00041953"/>
    <w:rsid w:val="000428F8"/>
    <w:rsid w:val="000463B2"/>
    <w:rsid w:val="00047F47"/>
    <w:rsid w:val="00067A05"/>
    <w:rsid w:val="00095B02"/>
    <w:rsid w:val="000B7ABE"/>
    <w:rsid w:val="000C6FCD"/>
    <w:rsid w:val="000F008D"/>
    <w:rsid w:val="000F6CC2"/>
    <w:rsid w:val="0010105B"/>
    <w:rsid w:val="00112D80"/>
    <w:rsid w:val="00116CA4"/>
    <w:rsid w:val="0015307D"/>
    <w:rsid w:val="0016626E"/>
    <w:rsid w:val="001E5101"/>
    <w:rsid w:val="002302B5"/>
    <w:rsid w:val="00251B7C"/>
    <w:rsid w:val="00264800"/>
    <w:rsid w:val="002743DC"/>
    <w:rsid w:val="002768F9"/>
    <w:rsid w:val="002810D3"/>
    <w:rsid w:val="00284B55"/>
    <w:rsid w:val="002B25F0"/>
    <w:rsid w:val="002E7076"/>
    <w:rsid w:val="002F09F1"/>
    <w:rsid w:val="002F353A"/>
    <w:rsid w:val="00340522"/>
    <w:rsid w:val="003466D4"/>
    <w:rsid w:val="00392FA4"/>
    <w:rsid w:val="003C4A06"/>
    <w:rsid w:val="003D1DBC"/>
    <w:rsid w:val="003E2317"/>
    <w:rsid w:val="003F5CB9"/>
    <w:rsid w:val="00413E26"/>
    <w:rsid w:val="00420BBC"/>
    <w:rsid w:val="004F3826"/>
    <w:rsid w:val="00537762"/>
    <w:rsid w:val="00572BD1"/>
    <w:rsid w:val="00572CC6"/>
    <w:rsid w:val="00585C31"/>
    <w:rsid w:val="005971B7"/>
    <w:rsid w:val="005A6B49"/>
    <w:rsid w:val="005C10CC"/>
    <w:rsid w:val="005C4F52"/>
    <w:rsid w:val="005D2DFC"/>
    <w:rsid w:val="0061328C"/>
    <w:rsid w:val="006809F4"/>
    <w:rsid w:val="006F1104"/>
    <w:rsid w:val="00724221"/>
    <w:rsid w:val="007462A3"/>
    <w:rsid w:val="00752045"/>
    <w:rsid w:val="00757517"/>
    <w:rsid w:val="00777F1C"/>
    <w:rsid w:val="0079317A"/>
    <w:rsid w:val="007A34E9"/>
    <w:rsid w:val="007A70CE"/>
    <w:rsid w:val="007C25D2"/>
    <w:rsid w:val="007C5117"/>
    <w:rsid w:val="007F3F4D"/>
    <w:rsid w:val="007F7F14"/>
    <w:rsid w:val="00805698"/>
    <w:rsid w:val="008A5955"/>
    <w:rsid w:val="008B42E2"/>
    <w:rsid w:val="00904D85"/>
    <w:rsid w:val="00935048"/>
    <w:rsid w:val="009541CA"/>
    <w:rsid w:val="00960975"/>
    <w:rsid w:val="00993B5D"/>
    <w:rsid w:val="009B7761"/>
    <w:rsid w:val="009D3693"/>
    <w:rsid w:val="00A572D9"/>
    <w:rsid w:val="00A87875"/>
    <w:rsid w:val="00AA6D9E"/>
    <w:rsid w:val="00AB6041"/>
    <w:rsid w:val="00B679F7"/>
    <w:rsid w:val="00BB1FB7"/>
    <w:rsid w:val="00BE51B1"/>
    <w:rsid w:val="00C179B4"/>
    <w:rsid w:val="00C44452"/>
    <w:rsid w:val="00C472DE"/>
    <w:rsid w:val="00C778D6"/>
    <w:rsid w:val="00C914AF"/>
    <w:rsid w:val="00C92CE2"/>
    <w:rsid w:val="00CE066F"/>
    <w:rsid w:val="00D20EC8"/>
    <w:rsid w:val="00D70A16"/>
    <w:rsid w:val="00D74C2E"/>
    <w:rsid w:val="00DA2A08"/>
    <w:rsid w:val="00E15960"/>
    <w:rsid w:val="00E16489"/>
    <w:rsid w:val="00E36B05"/>
    <w:rsid w:val="00E56A0F"/>
    <w:rsid w:val="00E6123E"/>
    <w:rsid w:val="00E66E60"/>
    <w:rsid w:val="00EB707A"/>
    <w:rsid w:val="00EE0B6F"/>
    <w:rsid w:val="00F15FF0"/>
    <w:rsid w:val="00F23C88"/>
    <w:rsid w:val="00F34C7E"/>
    <w:rsid w:val="00F55329"/>
    <w:rsid w:val="00FA0BAF"/>
    <w:rsid w:val="00F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AAA"/>
  <w15:docId w15:val="{E9BC185C-0F3E-4DD7-8FE5-E9A455F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D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F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6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25C6-CD29-4504-9774-5D7CF1F4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Košnar Michael JUDr. (MPSV)</dc:creator>
  <cp:lastModifiedBy>Horna Vladimír Mgr. (MPSV)</cp:lastModifiedBy>
  <cp:revision>4</cp:revision>
  <dcterms:created xsi:type="dcterms:W3CDTF">2022-11-08T16:16:00Z</dcterms:created>
  <dcterms:modified xsi:type="dcterms:W3CDTF">2022-11-08T17:01:00Z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8e49091d323a551482ab7f5604a790985a78e2b96cebda285ac1e966db3ca631</vt:lpwstr>
  </property>
</Properties>
</file>