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985D4" w14:textId="77777777" w:rsidR="005E6000" w:rsidRPr="009A219F" w:rsidRDefault="005E6000" w:rsidP="009A219F">
      <w:pP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bookmarkStart w:id="0" w:name="_Toc430939345"/>
      <w:bookmarkStart w:id="1" w:name="_Toc172883007"/>
      <w:r w:rsidRPr="009A219F">
        <w:rPr>
          <w:rFonts w:ascii="Arial" w:hAnsi="Arial" w:cs="Arial"/>
          <w:b/>
          <w:bCs/>
          <w:sz w:val="24"/>
          <w:szCs w:val="24"/>
        </w:rPr>
        <w:t>„Zpráva o situaci v zemědělství a čerpání dotací“</w:t>
      </w:r>
    </w:p>
    <w:p w14:paraId="1C5E9255" w14:textId="62C451B1" w:rsidR="009A219F" w:rsidRPr="009A219F" w:rsidRDefault="009A219F" w:rsidP="009A219F">
      <w:pPr>
        <w:pBdr>
          <w:top w:val="single" w:sz="4" w:space="1" w:color="auto"/>
          <w:left w:val="single" w:sz="4" w:space="4" w:color="auto"/>
          <w:bottom w:val="single" w:sz="4" w:space="1" w:color="auto"/>
          <w:right w:val="single" w:sz="4" w:space="4" w:color="auto"/>
        </w:pBdr>
        <w:jc w:val="center"/>
        <w:rPr>
          <w:rFonts w:ascii="Arial" w:hAnsi="Arial" w:cs="Arial"/>
          <w:i/>
          <w:iCs/>
          <w:caps/>
        </w:rPr>
      </w:pPr>
      <w:bookmarkStart w:id="2" w:name="_Hlk177722760"/>
      <w:bookmarkEnd w:id="2"/>
      <w:r w:rsidRPr="009A219F">
        <w:rPr>
          <w:rFonts w:ascii="Arial" w:hAnsi="Arial" w:cs="Arial"/>
          <w:i/>
          <w:iCs/>
          <w:caps/>
        </w:rPr>
        <w:t xml:space="preserve">Plenární schůze </w:t>
      </w:r>
      <w:r w:rsidR="001E567F">
        <w:rPr>
          <w:rFonts w:ascii="Arial" w:hAnsi="Arial" w:cs="Arial"/>
          <w:i/>
          <w:iCs/>
          <w:caps/>
        </w:rPr>
        <w:t>RHSD</w:t>
      </w:r>
      <w:r w:rsidRPr="009A219F">
        <w:rPr>
          <w:rFonts w:ascii="Arial" w:hAnsi="Arial" w:cs="Arial"/>
          <w:i/>
          <w:iCs/>
          <w:caps/>
        </w:rPr>
        <w:t xml:space="preserve"> - 15. října 2024</w:t>
      </w:r>
    </w:p>
    <w:p w14:paraId="42E2A4E7" w14:textId="32A201F3" w:rsidR="005E6000" w:rsidRPr="00A320C9" w:rsidRDefault="005E6000" w:rsidP="00B14794">
      <w:pPr>
        <w:pStyle w:val="Nadpis2"/>
        <w:keepLines w:val="0"/>
        <w:numPr>
          <w:ilvl w:val="0"/>
          <w:numId w:val="9"/>
        </w:numPr>
        <w:spacing w:before="240" w:after="120"/>
        <w:rPr>
          <w:rFonts w:ascii="Arial" w:hAnsi="Arial" w:cs="Arial"/>
          <w:color w:val="3A7C22" w:themeColor="accent6" w:themeShade="BF"/>
          <w:sz w:val="28"/>
          <w:szCs w:val="28"/>
        </w:rPr>
      </w:pPr>
      <w:r w:rsidRPr="00A320C9">
        <w:rPr>
          <w:rFonts w:ascii="Arial" w:hAnsi="Arial" w:cs="Arial"/>
          <w:color w:val="3A7C22" w:themeColor="accent6" w:themeShade="BF"/>
          <w:sz w:val="28"/>
          <w:szCs w:val="28"/>
        </w:rPr>
        <w:t>Stav sektoru</w:t>
      </w:r>
      <w:bookmarkEnd w:id="0"/>
      <w:bookmarkEnd w:id="1"/>
      <w:r w:rsidRPr="00A320C9">
        <w:rPr>
          <w:rFonts w:ascii="Arial" w:hAnsi="Arial" w:cs="Arial"/>
          <w:color w:val="3A7C22" w:themeColor="accent6" w:themeShade="BF"/>
          <w:sz w:val="28"/>
          <w:szCs w:val="28"/>
        </w:rPr>
        <w:t xml:space="preserve"> zemědělství</w:t>
      </w:r>
    </w:p>
    <w:p w14:paraId="0BDCFC2D" w14:textId="28C78EE1" w:rsidR="005E6000" w:rsidRPr="00B108B7" w:rsidRDefault="005E6000" w:rsidP="00B14794">
      <w:pPr>
        <w:spacing w:before="120" w:after="0" w:line="276" w:lineRule="auto"/>
        <w:jc w:val="both"/>
        <w:rPr>
          <w:rFonts w:ascii="Arial" w:hAnsi="Arial" w:cs="Arial"/>
        </w:rPr>
      </w:pPr>
      <w:r w:rsidRPr="733FA05C">
        <w:rPr>
          <w:rFonts w:ascii="Arial" w:hAnsi="Arial" w:cs="Arial"/>
        </w:rPr>
        <w:t xml:space="preserve">Zemědělství představuje národohospodářské odvětví, které kromě své funkce v produkci </w:t>
      </w:r>
      <w:r w:rsidR="00E07602">
        <w:rPr>
          <w:rFonts w:ascii="Arial" w:hAnsi="Arial" w:cs="Arial"/>
        </w:rPr>
        <w:t xml:space="preserve">komodit </w:t>
      </w:r>
      <w:r w:rsidRPr="733FA05C">
        <w:rPr>
          <w:rFonts w:ascii="Arial" w:hAnsi="Arial" w:cs="Arial"/>
        </w:rPr>
        <w:t>pro potravinářské a nepotravinářské užití sehrává svou společensky mimořádnou úlohu ve vztahu ke všem složkám životního prostředí, k formování a údržbě české krajiny a</w:t>
      </w:r>
      <w:r>
        <w:rPr>
          <w:rFonts w:ascii="Arial" w:hAnsi="Arial" w:cs="Arial"/>
        </w:rPr>
        <w:t> </w:t>
      </w:r>
      <w:r w:rsidRPr="733FA05C">
        <w:rPr>
          <w:rFonts w:ascii="Arial" w:hAnsi="Arial" w:cs="Arial"/>
        </w:rPr>
        <w:t>v neposlední řadě k zachování a rozvoji českého venkova. Trvale udržitelný rozvoj zemědělství, představující vyvážený rozvoj jeho tzv. produkčních i mimoprodukčních funkcí, se zejména v souvislosti s</w:t>
      </w:r>
      <w:r>
        <w:rPr>
          <w:rFonts w:ascii="Arial" w:hAnsi="Arial" w:cs="Arial"/>
        </w:rPr>
        <w:t> dopady klimatické změny</w:t>
      </w:r>
      <w:r w:rsidRPr="733FA05C">
        <w:rPr>
          <w:rFonts w:ascii="Arial" w:hAnsi="Arial" w:cs="Arial"/>
        </w:rPr>
        <w:t>, nových geopolitických změn a napětí a</w:t>
      </w:r>
      <w:r>
        <w:rPr>
          <w:rFonts w:ascii="Arial" w:hAnsi="Arial" w:cs="Arial"/>
        </w:rPr>
        <w:t> </w:t>
      </w:r>
      <w:r w:rsidRPr="733FA05C">
        <w:rPr>
          <w:rFonts w:ascii="Arial" w:hAnsi="Arial" w:cs="Arial"/>
        </w:rPr>
        <w:t>dalších předpokládaných společenských změn stále ostřeji stává naprostou strategickou nezbytností.  Ekonomický význam zemědělství v národním hospodářství je tak nutno vnímat i</w:t>
      </w:r>
      <w:r>
        <w:rPr>
          <w:rFonts w:ascii="Arial" w:hAnsi="Arial" w:cs="Arial"/>
        </w:rPr>
        <w:t> </w:t>
      </w:r>
      <w:r w:rsidRPr="733FA05C">
        <w:rPr>
          <w:rFonts w:ascii="Arial" w:hAnsi="Arial" w:cs="Arial"/>
        </w:rPr>
        <w:t xml:space="preserve">v kontextu jeho mimoprodukčních funkcí. S trvale udržitelným využitím </w:t>
      </w:r>
      <w:r>
        <w:rPr>
          <w:rFonts w:ascii="Arial" w:hAnsi="Arial" w:cs="Arial"/>
        </w:rPr>
        <w:t>ZPF</w:t>
      </w:r>
      <w:r w:rsidRPr="733FA05C">
        <w:rPr>
          <w:rFonts w:ascii="Arial" w:hAnsi="Arial" w:cs="Arial"/>
        </w:rPr>
        <w:t>, který zabírá zhruba 53 % výměry republiky, představuje proto zemědělství jedno ze strategických odvětví národního hospodářství.</w:t>
      </w:r>
    </w:p>
    <w:p w14:paraId="37C2FE0D" w14:textId="77777777" w:rsidR="005E6000" w:rsidRPr="006466C4" w:rsidRDefault="005E6000" w:rsidP="00B14794">
      <w:pPr>
        <w:spacing w:before="120" w:line="276" w:lineRule="auto"/>
        <w:ind w:right="-2"/>
        <w:jc w:val="both"/>
        <w:rPr>
          <w:rFonts w:ascii="Arial" w:hAnsi="Arial" w:cs="Arial"/>
        </w:rPr>
      </w:pPr>
      <w:r w:rsidRPr="006466C4">
        <w:rPr>
          <w:rFonts w:ascii="Arial" w:hAnsi="Arial" w:cs="Arial"/>
        </w:rPr>
        <w:t>Význam zemědělství v národním hospodářství, měřený jeho podílem na hrubé přidané hodnotě a zaměstnanosti, obdobně jako ve všech ostatních členských zemích EU, od roku 2014 osciluje v závislosti zejména na vývoji cen zemědělských výrobců (CZV) mezi 1–2 %. V</w:t>
      </w:r>
      <w:r>
        <w:rPr>
          <w:rFonts w:ascii="Arial" w:hAnsi="Arial" w:cs="Arial"/>
        </w:rPr>
        <w:t> </w:t>
      </w:r>
      <w:r w:rsidRPr="006466C4">
        <w:rPr>
          <w:rFonts w:ascii="Arial" w:hAnsi="Arial" w:cs="Arial"/>
        </w:rPr>
        <w:t>důsledku rychlejšího poklesu počtu pracovníků v zemědělství a jejich podílu v celkové zaměstnanosti (v současnosti kolem 1,9 %) v porovnání s vývojem produkce se produktivita práce v zemědělství postupně přibližuje průměru národního hospodářství.</w:t>
      </w:r>
    </w:p>
    <w:p w14:paraId="4E98F8F0" w14:textId="77777777" w:rsidR="005E6000" w:rsidRPr="00952DB7" w:rsidRDefault="005E6000" w:rsidP="00B14794">
      <w:pPr>
        <w:spacing w:before="120" w:line="276" w:lineRule="auto"/>
        <w:ind w:right="-2"/>
        <w:jc w:val="both"/>
        <w:rPr>
          <w:rFonts w:ascii="Arial" w:hAnsi="Arial" w:cs="Arial"/>
        </w:rPr>
      </w:pPr>
      <w:r w:rsidRPr="006466C4">
        <w:rPr>
          <w:rFonts w:ascii="Arial" w:hAnsi="Arial" w:cs="Arial"/>
        </w:rPr>
        <w:t>Pokud se sektor zemědělství bude měřit včetně dodavatelských a odběratelských odvětví (výrobky, které byly vyrobeny pro sektor zemědělství a výrobky, které jsou vyrobeny sektorem zemědělství pro potřeby ostatních sektorů), význam zemědělství, jakožto samotného sektoru dle CZ NACE 01, vzroste na průměrných 5 % a v případě součtu sektorů zemědělství (01), lesnictví (02) a rybolov a akvakultura (03), je podíl sektoru dlouhodobě na hodnotách HDP kolem 6,5 %. V nejširším měřítku tzv. Agrokomplexu, kdy se k zemědělskému sektoru, lesnictví, rybolovu a akvakultuře ještě připočítávají i sektory výroby nápojů a potravin (CZ NACE 10 a 11), potom tvoří tento podíl včetně dodavatelských a odběratelských odvětví přes 11 % na celkovém HDP.</w:t>
      </w:r>
      <w:r w:rsidRPr="39F56F42">
        <w:rPr>
          <w:rFonts w:ascii="Arial" w:hAnsi="Arial" w:cs="Arial"/>
        </w:rPr>
        <w:t xml:space="preserve"> </w:t>
      </w:r>
    </w:p>
    <w:p w14:paraId="5D92DC36" w14:textId="77777777" w:rsidR="005E6000" w:rsidRPr="00952DB7" w:rsidRDefault="005E6000" w:rsidP="00B14794">
      <w:pPr>
        <w:spacing w:before="120" w:line="276" w:lineRule="auto"/>
        <w:ind w:right="-2"/>
        <w:jc w:val="both"/>
        <w:rPr>
          <w:rFonts w:ascii="Arial" w:hAnsi="Arial" w:cs="Arial"/>
        </w:rPr>
      </w:pPr>
      <w:r w:rsidRPr="39F56F42">
        <w:rPr>
          <w:rFonts w:ascii="Arial" w:hAnsi="Arial" w:cs="Arial"/>
        </w:rPr>
        <w:t xml:space="preserve">Celková výměra </w:t>
      </w:r>
      <w:r>
        <w:rPr>
          <w:rFonts w:ascii="Arial" w:hAnsi="Arial" w:cs="Arial"/>
        </w:rPr>
        <w:t>ZPF</w:t>
      </w:r>
      <w:r w:rsidRPr="39F56F42">
        <w:rPr>
          <w:rFonts w:ascii="Arial" w:hAnsi="Arial" w:cs="Arial"/>
        </w:rPr>
        <w:t xml:space="preserve"> dosahuje 4,2 mil. ha. Hlavní produkční potenciál českého zemědělství, který je spojen s dotacemi a je registrován v LPIS, však při každoročním snižování představuje výměru zhruba 3,5 mil. ha z. p., při více než 70 % zornění. Stupeň zornění zůstává v porovnání se zeměmi EU s obdobnými půdně klimatickými podmínkami vyšší. Zhruba 57 % z. p. se nachází v oblastech s přírodním znevýhodněním (LFA, resp. ANC). Stupňující se dopady klimatické změny však postupně odkrývají další problémové oblasti, zejména oblasti s dlouhodobějšími negativními účinky sucha (jižní Morava, Žatecko, Polabí).  </w:t>
      </w:r>
    </w:p>
    <w:p w14:paraId="6616F954" w14:textId="77777777" w:rsidR="005E6000" w:rsidRDefault="005E6000" w:rsidP="00B14794">
      <w:pPr>
        <w:spacing w:before="120" w:line="276" w:lineRule="auto"/>
        <w:ind w:right="-2"/>
        <w:jc w:val="both"/>
        <w:rPr>
          <w:rFonts w:ascii="Arial" w:hAnsi="Arial" w:cs="Arial"/>
        </w:rPr>
      </w:pPr>
      <w:r w:rsidRPr="39F56F42">
        <w:rPr>
          <w:rFonts w:ascii="Arial" w:hAnsi="Arial" w:cs="Arial"/>
        </w:rPr>
        <w:t>Vývoj domácí soběstačnosti, tj. úrovně produkce českého zemědělství v porovnání s domácí poptávkou u rozhodujících komodit viz následující Graf 1 a Graf 2.</w:t>
      </w:r>
    </w:p>
    <w:p w14:paraId="6BEEA6FB" w14:textId="77777777" w:rsidR="005E6000" w:rsidRDefault="005E6000" w:rsidP="00B14794">
      <w:pPr>
        <w:spacing w:before="120" w:line="276" w:lineRule="auto"/>
        <w:ind w:right="-2"/>
        <w:jc w:val="both"/>
        <w:rPr>
          <w:rFonts w:ascii="Arial" w:hAnsi="Arial" w:cs="Arial"/>
        </w:rPr>
      </w:pPr>
    </w:p>
    <w:p w14:paraId="491142D5" w14:textId="77777777" w:rsidR="005E6000" w:rsidRDefault="005E6000" w:rsidP="00B14794">
      <w:pPr>
        <w:spacing w:before="120" w:line="276" w:lineRule="auto"/>
        <w:ind w:right="-2"/>
        <w:jc w:val="both"/>
        <w:rPr>
          <w:rFonts w:ascii="Arial" w:hAnsi="Arial" w:cs="Arial"/>
        </w:rPr>
      </w:pPr>
    </w:p>
    <w:p w14:paraId="688DFB5E" w14:textId="77777777" w:rsidR="00A320C9" w:rsidRDefault="00A320C9" w:rsidP="00B14794">
      <w:pPr>
        <w:spacing w:before="120" w:line="276" w:lineRule="auto"/>
        <w:ind w:right="-2"/>
        <w:jc w:val="both"/>
        <w:rPr>
          <w:rFonts w:ascii="Arial" w:hAnsi="Arial" w:cs="Arial"/>
        </w:rPr>
      </w:pPr>
    </w:p>
    <w:p w14:paraId="50BBFC32" w14:textId="77777777" w:rsidR="005E6000" w:rsidRPr="00952DB7" w:rsidRDefault="005E6000" w:rsidP="005E6000">
      <w:pPr>
        <w:spacing w:before="120" w:line="276" w:lineRule="auto"/>
        <w:ind w:right="-2"/>
        <w:rPr>
          <w:rFonts w:ascii="Arial" w:hAnsi="Arial" w:cs="Arial"/>
        </w:rPr>
      </w:pPr>
    </w:p>
    <w:p w14:paraId="1A67F312" w14:textId="0496509F" w:rsidR="005E6000" w:rsidRDefault="005E6000" w:rsidP="005E6000">
      <w:pPr>
        <w:rPr>
          <w:rFonts w:ascii="Arial" w:hAnsi="Arial" w:cs="Arial"/>
          <w:i/>
          <w:iCs/>
        </w:rPr>
      </w:pPr>
      <w:bookmarkStart w:id="3" w:name="_Toc447116344"/>
      <w:bookmarkStart w:id="4" w:name="_Toc172615299"/>
      <w:bookmarkStart w:id="5" w:name="_Toc172883179"/>
      <w:r w:rsidRPr="00F07CB7">
        <w:rPr>
          <w:rFonts w:ascii="Arial" w:hAnsi="Arial" w:cs="Arial"/>
          <w:i/>
          <w:iCs/>
        </w:rPr>
        <w:lastRenderedPageBreak/>
        <w:t xml:space="preserve">Graf </w:t>
      </w:r>
      <w:r w:rsidRPr="00F07CB7">
        <w:rPr>
          <w:rFonts w:ascii="Arial" w:hAnsi="Arial" w:cs="Arial"/>
          <w:i/>
          <w:iCs/>
        </w:rPr>
        <w:fldChar w:fldCharType="begin"/>
      </w:r>
      <w:r w:rsidRPr="00F07CB7">
        <w:rPr>
          <w:rFonts w:ascii="Arial" w:hAnsi="Arial" w:cs="Arial"/>
          <w:i/>
          <w:iCs/>
        </w:rPr>
        <w:instrText xml:space="preserve"> SEQ Graf \* ARABIC </w:instrText>
      </w:r>
      <w:r w:rsidRPr="00F07CB7">
        <w:rPr>
          <w:rFonts w:ascii="Arial" w:hAnsi="Arial" w:cs="Arial"/>
          <w:i/>
          <w:iCs/>
        </w:rPr>
        <w:fldChar w:fldCharType="separate"/>
      </w:r>
      <w:r w:rsidR="002E6503">
        <w:rPr>
          <w:rFonts w:ascii="Arial" w:hAnsi="Arial" w:cs="Arial"/>
          <w:i/>
          <w:iCs/>
          <w:noProof/>
        </w:rPr>
        <w:t>1</w:t>
      </w:r>
      <w:r w:rsidRPr="00F07CB7">
        <w:rPr>
          <w:rFonts w:ascii="Arial" w:hAnsi="Arial" w:cs="Arial"/>
          <w:i/>
          <w:iCs/>
        </w:rPr>
        <w:fldChar w:fldCharType="end"/>
      </w:r>
      <w:r w:rsidRPr="00F07CB7">
        <w:rPr>
          <w:rFonts w:ascii="Arial" w:hAnsi="Arial" w:cs="Arial"/>
          <w:i/>
          <w:iCs/>
        </w:rPr>
        <w:t>Vývoj míry soběstačnosti hlavních rostlinných komodit v ČR v %</w:t>
      </w:r>
      <w:bookmarkEnd w:id="3"/>
      <w:bookmarkEnd w:id="4"/>
      <w:bookmarkEnd w:id="5"/>
    </w:p>
    <w:p w14:paraId="20E4AE11" w14:textId="77777777" w:rsidR="005E6000" w:rsidRPr="008076F4" w:rsidRDefault="005E6000" w:rsidP="005E6000">
      <w:pPr>
        <w:rPr>
          <w:rFonts w:ascii="Arial" w:hAnsi="Arial" w:cs="Arial"/>
        </w:rPr>
      </w:pPr>
      <w:r>
        <w:rPr>
          <w:noProof/>
          <w:shd w:val="clear" w:color="auto" w:fill="E6E6E6"/>
        </w:rPr>
        <w:drawing>
          <wp:inline distT="0" distB="0" distL="0" distR="0" wp14:anchorId="0DC647F4" wp14:editId="0AC30681">
            <wp:extent cx="5727940" cy="2587924"/>
            <wp:effectExtent l="0" t="0" r="6350" b="3175"/>
            <wp:docPr id="166" name="Graf 166">
              <a:extLst xmlns:a="http://schemas.openxmlformats.org/drawingml/2006/main">
                <a:ext uri="{FF2B5EF4-FFF2-40B4-BE49-F238E27FC236}">
                  <a16:creationId xmlns:a16="http://schemas.microsoft.com/office/drawing/2014/main" id="{B6B5C748-1A85-4BD5-A002-282EF22C27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F68250" w14:textId="77777777" w:rsidR="005E6000" w:rsidRPr="00E7765E" w:rsidRDefault="005E6000" w:rsidP="005E6000">
      <w:pPr>
        <w:pStyle w:val="NadpisGraf"/>
        <w:rPr>
          <w:sz w:val="16"/>
          <w:szCs w:val="16"/>
        </w:rPr>
      </w:pPr>
      <w:bookmarkStart w:id="6" w:name="_Toc447116345"/>
      <w:r w:rsidRPr="00E7765E">
        <w:rPr>
          <w:sz w:val="16"/>
          <w:szCs w:val="16"/>
        </w:rPr>
        <w:t>Zdroj: Zprávy o stavu zemědělství ČR (MZe, 2009–2014), výpočty ÚZEI, 2023</w:t>
      </w:r>
      <w:bookmarkEnd w:id="6"/>
    </w:p>
    <w:p w14:paraId="24F5AB97" w14:textId="77777777" w:rsidR="005E6000" w:rsidRDefault="005E6000" w:rsidP="005E6000">
      <w:pPr>
        <w:rPr>
          <w:rFonts w:ascii="Arial" w:hAnsi="Arial" w:cs="Arial"/>
          <w:i/>
          <w:iCs/>
        </w:rPr>
      </w:pPr>
      <w:bookmarkStart w:id="7" w:name="_Toc447116346"/>
      <w:bookmarkStart w:id="8" w:name="_Toc172615300"/>
    </w:p>
    <w:p w14:paraId="7FC48024" w14:textId="5E236FCB" w:rsidR="005E6000" w:rsidRPr="00E20232" w:rsidRDefault="005E6000" w:rsidP="005E6000">
      <w:pPr>
        <w:rPr>
          <w:rFonts w:ascii="Arial" w:hAnsi="Arial" w:cs="Arial"/>
          <w:i/>
          <w:iCs/>
        </w:rPr>
      </w:pPr>
      <w:bookmarkStart w:id="9" w:name="_Toc172883180"/>
      <w:r w:rsidRPr="00F07CB7">
        <w:rPr>
          <w:rFonts w:ascii="Arial" w:hAnsi="Arial" w:cs="Arial"/>
          <w:i/>
          <w:iCs/>
        </w:rPr>
        <w:t xml:space="preserve">Graf </w:t>
      </w:r>
      <w:r w:rsidRPr="00F07CB7">
        <w:rPr>
          <w:rFonts w:ascii="Arial" w:hAnsi="Arial" w:cs="Arial"/>
          <w:i/>
          <w:iCs/>
        </w:rPr>
        <w:fldChar w:fldCharType="begin"/>
      </w:r>
      <w:r w:rsidRPr="00F07CB7">
        <w:rPr>
          <w:rFonts w:ascii="Arial" w:hAnsi="Arial" w:cs="Arial"/>
          <w:i/>
          <w:iCs/>
        </w:rPr>
        <w:instrText xml:space="preserve"> SEQ Graf \* ARABIC </w:instrText>
      </w:r>
      <w:r w:rsidRPr="00F07CB7">
        <w:rPr>
          <w:rFonts w:ascii="Arial" w:hAnsi="Arial" w:cs="Arial"/>
          <w:i/>
          <w:iCs/>
        </w:rPr>
        <w:fldChar w:fldCharType="separate"/>
      </w:r>
      <w:r w:rsidR="002E6503">
        <w:rPr>
          <w:rFonts w:ascii="Arial" w:hAnsi="Arial" w:cs="Arial"/>
          <w:i/>
          <w:iCs/>
          <w:noProof/>
        </w:rPr>
        <w:t>2</w:t>
      </w:r>
      <w:r w:rsidRPr="00F07CB7">
        <w:rPr>
          <w:rFonts w:ascii="Arial" w:hAnsi="Arial" w:cs="Arial"/>
          <w:i/>
          <w:iCs/>
        </w:rPr>
        <w:fldChar w:fldCharType="end"/>
      </w:r>
      <w:r w:rsidRPr="00F07CB7">
        <w:rPr>
          <w:rFonts w:ascii="Arial" w:hAnsi="Arial" w:cs="Arial"/>
          <w:i/>
          <w:iCs/>
        </w:rPr>
        <w:t xml:space="preserve"> Vývoj míry soběstačnosti hlavních živočišných komodit v ČR v %</w:t>
      </w:r>
      <w:bookmarkEnd w:id="7"/>
      <w:bookmarkEnd w:id="9"/>
    </w:p>
    <w:p w14:paraId="3074DF70" w14:textId="77777777" w:rsidR="005E6000" w:rsidRPr="008076F4" w:rsidRDefault="005E6000" w:rsidP="005E6000">
      <w:r>
        <w:rPr>
          <w:noProof/>
          <w:shd w:val="clear" w:color="auto" w:fill="E6E6E6"/>
        </w:rPr>
        <w:drawing>
          <wp:inline distT="0" distB="0" distL="0" distR="0" wp14:anchorId="76DD3271" wp14:editId="1EE50001">
            <wp:extent cx="5631000" cy="3157268"/>
            <wp:effectExtent l="0" t="0" r="8255" b="5080"/>
            <wp:docPr id="167" name="Graf 167">
              <a:extLst xmlns:a="http://schemas.openxmlformats.org/drawingml/2006/main">
                <a:ext uri="{FF2B5EF4-FFF2-40B4-BE49-F238E27FC236}">
                  <a16:creationId xmlns:a16="http://schemas.microsoft.com/office/drawing/2014/main" id="{36136F94-3E7D-4670-943A-8E406DAC78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8"/>
    </w:p>
    <w:p w14:paraId="0EAC96FE" w14:textId="77777777" w:rsidR="005E6000" w:rsidRPr="00E7765E" w:rsidRDefault="005E6000" w:rsidP="00B14794">
      <w:pPr>
        <w:spacing w:line="276" w:lineRule="auto"/>
        <w:ind w:left="539" w:hanging="539"/>
        <w:jc w:val="both"/>
        <w:rPr>
          <w:rFonts w:ascii="Arial" w:hAnsi="Arial" w:cs="Arial"/>
          <w:i/>
          <w:iCs/>
          <w:sz w:val="16"/>
          <w:szCs w:val="16"/>
        </w:rPr>
      </w:pPr>
      <w:r w:rsidRPr="00E7765E">
        <w:rPr>
          <w:rFonts w:ascii="Arial" w:hAnsi="Arial" w:cs="Arial"/>
          <w:i/>
          <w:iCs/>
          <w:sz w:val="16"/>
          <w:szCs w:val="16"/>
        </w:rPr>
        <w:t>Zdroj: Zprávy o stavu zemědělství ČR (MZe, 2009–2014), výpočty ÚZEI, 2023</w:t>
      </w:r>
    </w:p>
    <w:p w14:paraId="0E2956CF" w14:textId="77777777" w:rsidR="005E6000" w:rsidRPr="00952DB7" w:rsidRDefault="005E6000" w:rsidP="00B14794">
      <w:pPr>
        <w:spacing w:before="120" w:line="276" w:lineRule="auto"/>
        <w:ind w:right="-2"/>
        <w:jc w:val="both"/>
        <w:rPr>
          <w:rFonts w:ascii="Arial" w:hAnsi="Arial" w:cs="Arial"/>
        </w:rPr>
      </w:pPr>
      <w:r w:rsidRPr="39F56F42">
        <w:rPr>
          <w:rFonts w:ascii="Arial" w:hAnsi="Arial" w:cs="Arial"/>
        </w:rPr>
        <w:t>Z grafů 1 a 2 a z Tab. 1 je zřejmé, že od vstoupení ČR na jednotný trh EU a do rámce podpor a dalších podmínek Společné zemědělské politiky EU (SZP) dochází od roku 2004, při jinak výrazném zlepšování důchodové situace zemědělských podniků a životní úrovně českých zemědělců, k prohlubování strukturální nerovnováhy. Jde zejména o změny ve struktuře výroby a do značné míry i o změny ve vztahu zemědělství k přírodním zdrojům.</w:t>
      </w:r>
    </w:p>
    <w:p w14:paraId="62F3F014" w14:textId="77777777" w:rsidR="005E6000" w:rsidRPr="00952DB7" w:rsidRDefault="005E6000" w:rsidP="00B14794">
      <w:pPr>
        <w:spacing w:before="120" w:line="276" w:lineRule="auto"/>
        <w:ind w:right="-2"/>
        <w:jc w:val="both"/>
        <w:rPr>
          <w:rFonts w:ascii="Arial" w:hAnsi="Arial" w:cs="Arial"/>
        </w:rPr>
      </w:pPr>
      <w:r w:rsidRPr="39F56F42">
        <w:rPr>
          <w:rFonts w:ascii="Arial" w:hAnsi="Arial" w:cs="Arial"/>
        </w:rPr>
        <w:t>Positivním jevem je pokračující mírně se zvyšující produktivita a efektivnost českého zemědělství. Podíl mezispotřeby (tj. zejména variabilních vstupů) na produkci se z více než 72</w:t>
      </w:r>
      <w:r>
        <w:rPr>
          <w:rFonts w:ascii="Arial" w:hAnsi="Arial" w:cs="Arial"/>
        </w:rPr>
        <w:t> </w:t>
      </w:r>
      <w:r w:rsidRPr="39F56F42">
        <w:rPr>
          <w:rFonts w:ascii="Arial" w:hAnsi="Arial" w:cs="Arial"/>
        </w:rPr>
        <w:t xml:space="preserve">% v roce 2012 snížil v letech 2020-21 na zhruba 65 %. Intenzita využití zdrojů měřená </w:t>
      </w:r>
      <w:r w:rsidRPr="39F56F42">
        <w:rPr>
          <w:rFonts w:ascii="Arial" w:hAnsi="Arial" w:cs="Arial"/>
        </w:rPr>
        <w:lastRenderedPageBreak/>
        <w:t>hodnotou produkce v běžných cenách na ha z. p. se proti průměru let 2012-14 zvýšila z 27 tis. Kč na 42 tis. Kč v průměru let 2018-21, i když stále nedosahuje průměru zemí EU.</w:t>
      </w:r>
    </w:p>
    <w:p w14:paraId="434E27E6" w14:textId="77777777" w:rsidR="005E6000" w:rsidRPr="00952DB7" w:rsidRDefault="005E6000" w:rsidP="00B14794">
      <w:pPr>
        <w:spacing w:before="120" w:line="276" w:lineRule="auto"/>
        <w:ind w:right="-2"/>
        <w:jc w:val="both"/>
        <w:rPr>
          <w:rFonts w:ascii="Arial" w:hAnsi="Arial" w:cs="Arial"/>
        </w:rPr>
      </w:pPr>
      <w:r w:rsidRPr="39F56F42">
        <w:rPr>
          <w:rFonts w:ascii="Arial" w:hAnsi="Arial" w:cs="Arial"/>
        </w:rPr>
        <w:t xml:space="preserve">Připisování odstupu od zemí EU 15 v těchto oblastech nerovné výše přímých plateb není </w:t>
      </w:r>
      <w:r>
        <w:rPr>
          <w:rFonts w:ascii="Arial" w:hAnsi="Arial" w:cs="Arial"/>
        </w:rPr>
        <w:br/>
      </w:r>
      <w:r w:rsidRPr="39F56F42">
        <w:rPr>
          <w:rFonts w:ascii="Arial" w:hAnsi="Arial" w:cs="Arial"/>
        </w:rPr>
        <w:t>v souladu s podílem podpor na tvorbě hrubé zemědělské produkce, kde se ČR nijak nevymyká (kolem 22-24 % v posledních letech) míře podpory v uvedeném regionu EU 15. Podobně to</w:t>
      </w:r>
      <w:r>
        <w:rPr>
          <w:rFonts w:ascii="Arial" w:hAnsi="Arial" w:cs="Arial"/>
        </w:rPr>
        <w:t> </w:t>
      </w:r>
      <w:r w:rsidRPr="39F56F42">
        <w:rPr>
          <w:rFonts w:ascii="Arial" w:hAnsi="Arial" w:cs="Arial"/>
        </w:rPr>
        <w:t xml:space="preserve">platí při vyjádření výše podpor v paritě kupní síly. </w:t>
      </w:r>
    </w:p>
    <w:p w14:paraId="55CD5F66" w14:textId="2BECC0AC" w:rsidR="005E6000" w:rsidRPr="005E6000" w:rsidRDefault="005C684C" w:rsidP="00B14794">
      <w:pPr>
        <w:spacing w:before="120" w:line="276" w:lineRule="auto"/>
        <w:ind w:right="-2"/>
        <w:jc w:val="both"/>
        <w:rPr>
          <w:rFonts w:ascii="Arial" w:hAnsi="Arial" w:cs="Arial"/>
        </w:rPr>
      </w:pPr>
      <w:r>
        <w:rPr>
          <w:rFonts w:ascii="Arial" w:hAnsi="Arial" w:cs="Arial"/>
        </w:rPr>
        <w:t>P</w:t>
      </w:r>
      <w:r w:rsidR="005E6000" w:rsidRPr="39F56F42">
        <w:rPr>
          <w:rFonts w:ascii="Arial" w:hAnsi="Arial" w:cs="Arial"/>
        </w:rPr>
        <w:t>odpory zemědělským podnikům ovšem významně ovlivňují vývoj struktury a</w:t>
      </w:r>
      <w:r w:rsidR="005E6000">
        <w:rPr>
          <w:rFonts w:ascii="Arial" w:hAnsi="Arial" w:cs="Arial"/>
        </w:rPr>
        <w:t> </w:t>
      </w:r>
      <w:r w:rsidR="005E6000" w:rsidRPr="39F56F42">
        <w:rPr>
          <w:rFonts w:ascii="Arial" w:hAnsi="Arial" w:cs="Arial"/>
        </w:rPr>
        <w:t>efektivnosti českého zemědělství.  Tyto podpory se v období 2018-2021 (v průměru kolem 50 mld. Kč) nominálně proti období před vstupem ČR do EU téměř 4krát zvýšily (viz graf 2). Strukturálně jde přitom o mimořádně vysoký podíl podpor příjmů a vstupů na celkových podporách (73-80 % po roce 2012). Podíl všech provozních podpor v čisté přidané hodnotě zemědělských podniků (55-60 % v období 2018-21) je v porovnání s naprostou většinou zemí EU vysoký a svědčí o pokračující ekonomicky „nezdravé“ závislosti českých podniků více na</w:t>
      </w:r>
      <w:r w:rsidR="005E6000">
        <w:rPr>
          <w:rFonts w:ascii="Arial" w:hAnsi="Arial" w:cs="Arial"/>
        </w:rPr>
        <w:t> </w:t>
      </w:r>
      <w:r w:rsidR="005E6000" w:rsidRPr="39F56F42">
        <w:rPr>
          <w:rFonts w:ascii="Arial" w:hAnsi="Arial" w:cs="Arial"/>
        </w:rPr>
        <w:t>podporách než na podmínkách trhu, kde obecně převažuje tržní síla podniků zpracovatelských odvětví.</w:t>
      </w:r>
      <w:bookmarkStart w:id="10" w:name="_Toc447116347"/>
      <w:bookmarkStart w:id="11" w:name="_Toc172615301"/>
    </w:p>
    <w:p w14:paraId="42D1A18C" w14:textId="77777777" w:rsidR="005E6000" w:rsidRDefault="005E6000" w:rsidP="00B14794">
      <w:pPr>
        <w:pStyle w:val="Titulek"/>
        <w:rPr>
          <w:rFonts w:ascii="Arial" w:hAnsi="Arial" w:cs="Arial"/>
          <w:i/>
          <w:iCs/>
        </w:rPr>
      </w:pPr>
    </w:p>
    <w:p w14:paraId="7F2F5B5C" w14:textId="48BBCB30" w:rsidR="005E6000" w:rsidRPr="00F07CB7" w:rsidRDefault="005E6000" w:rsidP="00B14794">
      <w:pPr>
        <w:pStyle w:val="Titulek"/>
        <w:rPr>
          <w:rFonts w:ascii="Arial" w:hAnsi="Arial" w:cs="Arial"/>
          <w:i/>
          <w:iCs/>
        </w:rPr>
      </w:pPr>
      <w:bookmarkStart w:id="12" w:name="_Toc172883181"/>
      <w:r w:rsidRPr="00F07CB7">
        <w:rPr>
          <w:rFonts w:ascii="Arial" w:hAnsi="Arial" w:cs="Arial"/>
          <w:i/>
          <w:iCs/>
        </w:rPr>
        <w:t xml:space="preserve">Graf </w:t>
      </w:r>
      <w:r w:rsidRPr="00F07CB7">
        <w:rPr>
          <w:rFonts w:ascii="Arial" w:hAnsi="Arial" w:cs="Arial"/>
          <w:i/>
          <w:iCs/>
        </w:rPr>
        <w:fldChar w:fldCharType="begin"/>
      </w:r>
      <w:r w:rsidRPr="00F07CB7">
        <w:rPr>
          <w:rFonts w:ascii="Arial" w:hAnsi="Arial" w:cs="Arial"/>
          <w:i/>
          <w:iCs/>
        </w:rPr>
        <w:instrText xml:space="preserve"> SEQ Graf \* ARABIC </w:instrText>
      </w:r>
      <w:r w:rsidRPr="00F07CB7">
        <w:rPr>
          <w:rFonts w:ascii="Arial" w:hAnsi="Arial" w:cs="Arial"/>
          <w:i/>
          <w:iCs/>
        </w:rPr>
        <w:fldChar w:fldCharType="separate"/>
      </w:r>
      <w:r w:rsidR="002E6503">
        <w:rPr>
          <w:rFonts w:ascii="Arial" w:hAnsi="Arial" w:cs="Arial"/>
          <w:i/>
          <w:iCs/>
          <w:noProof/>
        </w:rPr>
        <w:t>3</w:t>
      </w:r>
      <w:r w:rsidRPr="00F07CB7">
        <w:rPr>
          <w:rFonts w:ascii="Arial" w:hAnsi="Arial" w:cs="Arial"/>
          <w:i/>
          <w:iCs/>
        </w:rPr>
        <w:fldChar w:fldCharType="end"/>
      </w:r>
      <w:r w:rsidRPr="00F07CB7">
        <w:rPr>
          <w:rFonts w:ascii="Arial" w:hAnsi="Arial" w:cs="Arial"/>
          <w:i/>
          <w:iCs/>
        </w:rPr>
        <w:t xml:space="preserve"> Podpory zemědělským podnikům (mil. Kč, b. c.)</w:t>
      </w:r>
      <w:bookmarkEnd w:id="10"/>
      <w:bookmarkEnd w:id="11"/>
      <w:bookmarkEnd w:id="12"/>
    </w:p>
    <w:p w14:paraId="56D0E104" w14:textId="77777777" w:rsidR="005E6000" w:rsidRPr="008076F4" w:rsidRDefault="005E6000" w:rsidP="00B14794">
      <w:pPr>
        <w:pStyle w:val="NadpisGraf"/>
      </w:pPr>
      <w:r>
        <w:rPr>
          <w:noProof/>
          <w:color w:val="2B579A"/>
          <w:shd w:val="clear" w:color="auto" w:fill="E6E6E6"/>
        </w:rPr>
        <w:drawing>
          <wp:inline distT="0" distB="0" distL="0" distR="0" wp14:anchorId="523DF004" wp14:editId="2D2DB880">
            <wp:extent cx="5555673" cy="3512127"/>
            <wp:effectExtent l="0" t="0" r="6985" b="12700"/>
            <wp:docPr id="168" name="Graf 168">
              <a:extLst xmlns:a="http://schemas.openxmlformats.org/drawingml/2006/main">
                <a:ext uri="{FF2B5EF4-FFF2-40B4-BE49-F238E27FC236}">
                  <a16:creationId xmlns:a16="http://schemas.microsoft.com/office/drawing/2014/main" id="{A4B082A4-FD80-F998-0192-9ECC5B4EE6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553564" w14:textId="77777777" w:rsidR="005E6000" w:rsidRPr="0036533D" w:rsidRDefault="005E6000" w:rsidP="00B14794">
      <w:pPr>
        <w:spacing w:line="276" w:lineRule="auto"/>
        <w:jc w:val="both"/>
        <w:rPr>
          <w:rFonts w:ascii="Arial" w:hAnsi="Arial" w:cs="Arial"/>
          <w:i/>
          <w:iCs/>
          <w:sz w:val="16"/>
          <w:szCs w:val="16"/>
        </w:rPr>
      </w:pPr>
      <w:r w:rsidRPr="0036533D">
        <w:rPr>
          <w:rFonts w:ascii="Arial" w:hAnsi="Arial" w:cs="Arial"/>
          <w:i/>
          <w:iCs/>
          <w:sz w:val="16"/>
          <w:szCs w:val="16"/>
        </w:rPr>
        <w:t xml:space="preserve">Poznámka: Podpora </w:t>
      </w:r>
      <w:r w:rsidRPr="00693D5C">
        <w:rPr>
          <w:rFonts w:ascii="Arial" w:hAnsi="Arial" w:cs="Arial"/>
          <w:i/>
          <w:iCs/>
          <w:sz w:val="16"/>
          <w:szCs w:val="16"/>
        </w:rPr>
        <w:t>obnovitelných zdrojů energie</w:t>
      </w:r>
      <w:r>
        <w:rPr>
          <w:rFonts w:ascii="Arial" w:hAnsi="Arial" w:cs="Arial"/>
          <w:i/>
          <w:iCs/>
          <w:sz w:val="16"/>
          <w:szCs w:val="16"/>
        </w:rPr>
        <w:t xml:space="preserve"> (OZE)</w:t>
      </w:r>
      <w:r w:rsidRPr="0036533D">
        <w:rPr>
          <w:rFonts w:ascii="Arial" w:hAnsi="Arial" w:cs="Arial"/>
          <w:i/>
          <w:iCs/>
          <w:sz w:val="16"/>
          <w:szCs w:val="16"/>
        </w:rPr>
        <w:t xml:space="preserve"> – BPS není podporou zemědělství, ale podporou výroby energie z obnovitelných zdrojů, v tomto případě z BPS v režimu 24 hodin denně, která není v současnosti schopna tržně konkurovat bez podpory. </w:t>
      </w:r>
    </w:p>
    <w:p w14:paraId="2DEDF620" w14:textId="77777777" w:rsidR="005E6000" w:rsidRPr="0036533D" w:rsidRDefault="005E6000" w:rsidP="00B14794">
      <w:pPr>
        <w:spacing w:line="276" w:lineRule="auto"/>
        <w:jc w:val="both"/>
        <w:rPr>
          <w:rFonts w:ascii="Arial" w:hAnsi="Arial" w:cs="Arial"/>
          <w:i/>
          <w:iCs/>
          <w:sz w:val="16"/>
          <w:szCs w:val="16"/>
        </w:rPr>
      </w:pPr>
      <w:r w:rsidRPr="0036533D">
        <w:rPr>
          <w:rFonts w:ascii="Arial" w:hAnsi="Arial" w:cs="Arial"/>
          <w:i/>
          <w:iCs/>
          <w:sz w:val="16"/>
          <w:szCs w:val="16"/>
        </w:rPr>
        <w:t xml:space="preserve"> Zdroj: Zprávy o stavu zemědělství ČR 2002–2022, MZe, databáze podpor ÚZEI</w:t>
      </w:r>
    </w:p>
    <w:p w14:paraId="1D07F754" w14:textId="77777777" w:rsidR="005E6000" w:rsidRDefault="005E6000" w:rsidP="00B14794">
      <w:pPr>
        <w:spacing w:before="120" w:line="276" w:lineRule="auto"/>
        <w:ind w:right="-2"/>
        <w:jc w:val="both"/>
        <w:rPr>
          <w:rFonts w:ascii="Arial" w:hAnsi="Arial" w:cs="Arial"/>
        </w:rPr>
      </w:pPr>
    </w:p>
    <w:p w14:paraId="55A812DA" w14:textId="77777777" w:rsidR="005E6000" w:rsidRPr="0066717F" w:rsidRDefault="005E6000" w:rsidP="00B14794">
      <w:pPr>
        <w:spacing w:before="120" w:line="276" w:lineRule="auto"/>
        <w:ind w:right="-2"/>
        <w:jc w:val="both"/>
        <w:rPr>
          <w:rFonts w:ascii="Arial" w:hAnsi="Arial" w:cs="Arial"/>
        </w:rPr>
      </w:pPr>
      <w:r w:rsidRPr="39F56F42">
        <w:rPr>
          <w:rFonts w:ascii="Arial" w:hAnsi="Arial" w:cs="Arial"/>
        </w:rPr>
        <w:t xml:space="preserve">Chování podniků se tak do značné míry přizpůsobovalo zaměření a podmínkám získávání podpor, což mj. ústilo do změn ve struktuře výroby (viz tab. 1), tj. celkového snižování rozměru živočišné výroby, výměry rostlinných komodit, více náročných na množství a kvalitu práce, včetně nároků na pracovní síly (zelenina, ovoce), a </w:t>
      </w:r>
      <w:r w:rsidRPr="0066717F">
        <w:rPr>
          <w:rFonts w:ascii="Arial" w:hAnsi="Arial" w:cs="Arial"/>
        </w:rPr>
        <w:t>v důsledku snižování rozsahu</w:t>
      </w:r>
      <w:r>
        <w:rPr>
          <w:rFonts w:ascii="Arial" w:hAnsi="Arial" w:cs="Arial"/>
        </w:rPr>
        <w:t xml:space="preserve"> živočišné </w:t>
      </w:r>
      <w:r>
        <w:rPr>
          <w:rFonts w:ascii="Arial" w:hAnsi="Arial" w:cs="Arial"/>
        </w:rPr>
        <w:lastRenderedPageBreak/>
        <w:t>výroby (</w:t>
      </w:r>
      <w:r w:rsidRPr="0066717F">
        <w:rPr>
          <w:rFonts w:ascii="Arial" w:hAnsi="Arial" w:cs="Arial"/>
        </w:rPr>
        <w:t>ŽV</w:t>
      </w:r>
      <w:r>
        <w:rPr>
          <w:rFonts w:ascii="Arial" w:hAnsi="Arial" w:cs="Arial"/>
        </w:rPr>
        <w:t>)</w:t>
      </w:r>
      <w:r w:rsidRPr="0066717F">
        <w:rPr>
          <w:rFonts w:ascii="Arial" w:hAnsi="Arial" w:cs="Arial"/>
        </w:rPr>
        <w:t xml:space="preserve"> také výměry krmných plodin na </w:t>
      </w:r>
      <w:r>
        <w:rPr>
          <w:rFonts w:ascii="Arial" w:hAnsi="Arial" w:cs="Arial"/>
        </w:rPr>
        <w:t>orné půdě (</w:t>
      </w:r>
      <w:r w:rsidRPr="0066717F">
        <w:rPr>
          <w:rFonts w:ascii="Arial" w:hAnsi="Arial" w:cs="Arial"/>
        </w:rPr>
        <w:t>o. p.</w:t>
      </w:r>
      <w:r>
        <w:rPr>
          <w:rFonts w:ascii="Arial" w:hAnsi="Arial" w:cs="Arial"/>
        </w:rPr>
        <w:t xml:space="preserve">). </w:t>
      </w:r>
      <w:r w:rsidRPr="0066717F">
        <w:rPr>
          <w:rStyle w:val="Znakapoznpodarou"/>
          <w:rFonts w:ascii="Arial" w:hAnsi="Arial" w:cs="Arial"/>
        </w:rPr>
        <w:footnoteReference w:id="1"/>
      </w:r>
      <w:r w:rsidRPr="0066717F">
        <w:rPr>
          <w:rFonts w:ascii="Arial" w:hAnsi="Arial" w:cs="Arial"/>
        </w:rPr>
        <w:t xml:space="preserve"> Důsledkem vysokého podílu provozních podpor bylo snižování tlaku na zvyšování efektivnosti a produktivity výroby, sdružování podniků pro zlepšování jejich pozice na trhu apod.  Naproti tomu investiční podpory, i když zdaleka nedosahují úrovně provozních podpor, přispěly k technické a technologické modernizaci českého zemědělství.</w:t>
      </w:r>
    </w:p>
    <w:p w14:paraId="2BE81E06" w14:textId="77777777" w:rsidR="005E6000" w:rsidRDefault="005E6000" w:rsidP="00B14794">
      <w:pPr>
        <w:spacing w:before="120" w:line="276" w:lineRule="auto"/>
        <w:ind w:right="-2"/>
        <w:jc w:val="both"/>
        <w:rPr>
          <w:rFonts w:ascii="Arial" w:hAnsi="Arial" w:cs="Arial"/>
        </w:rPr>
      </w:pPr>
      <w:r w:rsidRPr="39F56F42">
        <w:rPr>
          <w:rFonts w:ascii="Arial" w:hAnsi="Arial" w:cs="Arial"/>
        </w:rPr>
        <w:t>Celkové podpory jsou přitom z hlediska regionálního, velikosti podniků a struktury výroby nerovnoměrně alokovány, což se promítá jak do výraznějších rozdílů v úrovni ČPH/AWU mezi jednotlivými kategoriemi podniků, tak do rozdílů mezi souhrnnými rentabilitami hlavních komodit, což je patrné z grafu 4.</w:t>
      </w:r>
    </w:p>
    <w:p w14:paraId="2DDBBA13" w14:textId="77777777" w:rsidR="005E6000" w:rsidRDefault="005E6000" w:rsidP="00B14794">
      <w:pPr>
        <w:pStyle w:val="Titulek"/>
        <w:rPr>
          <w:rFonts w:ascii="Arial" w:hAnsi="Arial" w:cs="Arial"/>
          <w:i/>
          <w:iCs/>
        </w:rPr>
      </w:pPr>
      <w:bookmarkStart w:id="13" w:name="_Toc172615302"/>
      <w:bookmarkStart w:id="14" w:name="_Hlk146276037"/>
    </w:p>
    <w:p w14:paraId="617E3754" w14:textId="25B6D518" w:rsidR="005E6000" w:rsidRPr="00F07CB7" w:rsidRDefault="005E6000" w:rsidP="00B14794">
      <w:pPr>
        <w:pStyle w:val="Titulek"/>
        <w:rPr>
          <w:rFonts w:ascii="Arial" w:hAnsi="Arial" w:cs="Arial"/>
          <w:i/>
          <w:iCs/>
        </w:rPr>
      </w:pPr>
      <w:bookmarkStart w:id="15" w:name="_Toc172883182"/>
      <w:r w:rsidRPr="00F07CB7">
        <w:rPr>
          <w:rFonts w:ascii="Arial" w:hAnsi="Arial" w:cs="Arial"/>
          <w:i/>
          <w:iCs/>
        </w:rPr>
        <w:t xml:space="preserve">Graf </w:t>
      </w:r>
      <w:r w:rsidRPr="00F07CB7">
        <w:rPr>
          <w:rFonts w:ascii="Arial" w:hAnsi="Arial" w:cs="Arial"/>
          <w:i/>
          <w:iCs/>
        </w:rPr>
        <w:fldChar w:fldCharType="begin"/>
      </w:r>
      <w:r w:rsidRPr="00F07CB7">
        <w:rPr>
          <w:rFonts w:ascii="Arial" w:hAnsi="Arial" w:cs="Arial"/>
          <w:i/>
          <w:iCs/>
        </w:rPr>
        <w:instrText xml:space="preserve"> SEQ Graf \* ARABIC </w:instrText>
      </w:r>
      <w:r w:rsidRPr="00F07CB7">
        <w:rPr>
          <w:rFonts w:ascii="Arial" w:hAnsi="Arial" w:cs="Arial"/>
          <w:i/>
          <w:iCs/>
        </w:rPr>
        <w:fldChar w:fldCharType="separate"/>
      </w:r>
      <w:r w:rsidR="002E6503">
        <w:rPr>
          <w:rFonts w:ascii="Arial" w:hAnsi="Arial" w:cs="Arial"/>
          <w:i/>
          <w:iCs/>
          <w:noProof/>
        </w:rPr>
        <w:t>4</w:t>
      </w:r>
      <w:r w:rsidRPr="00F07CB7">
        <w:rPr>
          <w:rFonts w:ascii="Arial" w:hAnsi="Arial" w:cs="Arial"/>
          <w:i/>
          <w:iCs/>
        </w:rPr>
        <w:fldChar w:fldCharType="end"/>
      </w:r>
      <w:r w:rsidRPr="00F07CB7">
        <w:rPr>
          <w:rFonts w:ascii="Arial" w:hAnsi="Arial" w:cs="Arial"/>
          <w:i/>
          <w:iCs/>
        </w:rPr>
        <w:t xml:space="preserve"> Porovnání souhrnné rentability vybraných komodit RV a ŽV u 1/3 nadprůměrných a 1/3 podprůměrných podniků (průměr za roky 2018-2021)</w:t>
      </w:r>
      <w:bookmarkEnd w:id="13"/>
      <w:bookmarkEnd w:id="15"/>
    </w:p>
    <w:bookmarkEnd w:id="14"/>
    <w:p w14:paraId="421D8CD9" w14:textId="77777777" w:rsidR="005E6000" w:rsidRDefault="005E6000" w:rsidP="00B14794">
      <w:pPr>
        <w:ind w:right="-2"/>
        <w:jc w:val="both"/>
      </w:pPr>
      <w:r>
        <w:rPr>
          <w:noProof/>
        </w:rPr>
        <w:drawing>
          <wp:inline distT="0" distB="0" distL="0" distR="0" wp14:anchorId="4E0BC151" wp14:editId="340430D2">
            <wp:extent cx="5742308" cy="3505200"/>
            <wp:effectExtent l="0" t="0" r="0" b="0"/>
            <wp:docPr id="1624600676" name="Picture 1624600676" descr="Obsah obrázku text, snímek obrazovky, Vykreslený graf,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4600676"/>
                    <pic:cNvPicPr/>
                  </pic:nvPicPr>
                  <pic:blipFill>
                    <a:blip r:embed="rId11">
                      <a:extLst>
                        <a:ext uri="{28A0092B-C50C-407E-A947-70E740481C1C}">
                          <a14:useLocalDpi xmlns:a14="http://schemas.microsoft.com/office/drawing/2010/main" val="0"/>
                        </a:ext>
                      </a:extLst>
                    </a:blip>
                    <a:stretch>
                      <a:fillRect/>
                    </a:stretch>
                  </pic:blipFill>
                  <pic:spPr>
                    <a:xfrm>
                      <a:off x="0" y="0"/>
                      <a:ext cx="5742308" cy="3505200"/>
                    </a:xfrm>
                    <a:prstGeom prst="rect">
                      <a:avLst/>
                    </a:prstGeom>
                  </pic:spPr>
                </pic:pic>
              </a:graphicData>
            </a:graphic>
          </wp:inline>
        </w:drawing>
      </w:r>
    </w:p>
    <w:p w14:paraId="02B139ED" w14:textId="77777777" w:rsidR="005E6000" w:rsidRPr="00C348B1" w:rsidRDefault="005E6000" w:rsidP="00B14794">
      <w:pPr>
        <w:spacing w:after="0"/>
        <w:ind w:right="-2"/>
        <w:jc w:val="both"/>
        <w:rPr>
          <w:rFonts w:ascii="Arial" w:hAnsi="Arial" w:cs="Arial"/>
          <w:i/>
          <w:iCs/>
          <w:sz w:val="16"/>
          <w:szCs w:val="16"/>
        </w:rPr>
      </w:pPr>
      <w:r w:rsidRPr="00C348B1">
        <w:rPr>
          <w:rFonts w:ascii="Arial" w:hAnsi="Arial" w:cs="Arial"/>
          <w:i/>
          <w:iCs/>
          <w:sz w:val="16"/>
          <w:szCs w:val="16"/>
        </w:rPr>
        <w:t xml:space="preserve">Pozn.: Souhrnná rentabilita = (CZV (tržby) + provozní podpory) /náklady. </w:t>
      </w:r>
    </w:p>
    <w:p w14:paraId="6407EB73" w14:textId="77777777" w:rsidR="005E6000" w:rsidRPr="00C348B1" w:rsidRDefault="005E6000" w:rsidP="00B14794">
      <w:pPr>
        <w:spacing w:after="0"/>
        <w:ind w:right="-2"/>
        <w:jc w:val="both"/>
        <w:rPr>
          <w:rFonts w:ascii="Arial" w:hAnsi="Arial" w:cs="Arial"/>
          <w:i/>
          <w:iCs/>
          <w:sz w:val="16"/>
          <w:szCs w:val="16"/>
        </w:rPr>
      </w:pPr>
      <w:r w:rsidRPr="00C348B1">
        <w:rPr>
          <w:rFonts w:ascii="Arial" w:hAnsi="Arial" w:cs="Arial"/>
          <w:i/>
          <w:iCs/>
          <w:sz w:val="16"/>
          <w:szCs w:val="16"/>
        </w:rPr>
        <w:t>Zdroj: Databáze výběrového šetření nákladů komodit ÚZEI</w:t>
      </w:r>
    </w:p>
    <w:p w14:paraId="1BBB611C" w14:textId="65AF8FEA" w:rsidR="005E6000" w:rsidRPr="005E6000" w:rsidRDefault="005E6000" w:rsidP="00B14794">
      <w:pPr>
        <w:spacing w:before="120" w:line="276" w:lineRule="auto"/>
        <w:ind w:right="-2"/>
        <w:jc w:val="both"/>
        <w:rPr>
          <w:rFonts w:ascii="Arial" w:hAnsi="Arial" w:cs="Arial"/>
        </w:rPr>
      </w:pPr>
      <w:r w:rsidRPr="0066717F">
        <w:rPr>
          <w:rFonts w:ascii="Arial" w:hAnsi="Arial" w:cs="Arial"/>
        </w:rPr>
        <w:t>Zhruba jedna třetina českých podniků má u hlavních komodit dobrou, v EU dostačující konkurenční výkonnost a rentabilitu. V této souvislosti hraje v porovnání s vyspělejšími zeměmi EU roli i dosavadní relativně nízká, neustále se však zvyšující cena práce a zejména půdy</w:t>
      </w:r>
      <w:r w:rsidRPr="0066717F">
        <w:rPr>
          <w:rStyle w:val="Znakapoznpodarou"/>
          <w:rFonts w:ascii="Arial" w:hAnsi="Arial" w:cs="Arial"/>
        </w:rPr>
        <w:footnoteReference w:id="2"/>
      </w:r>
      <w:r w:rsidRPr="0066717F">
        <w:rPr>
          <w:rFonts w:ascii="Arial" w:hAnsi="Arial" w:cs="Arial"/>
        </w:rPr>
        <w:t xml:space="preserve"> (pachtovné na úrovni 43,1 % průměru EU v roce 2021). Proti tomu působí v českém </w:t>
      </w:r>
      <w:r w:rsidRPr="0066717F">
        <w:rPr>
          <w:rFonts w:ascii="Arial" w:hAnsi="Arial" w:cs="Arial"/>
        </w:rPr>
        <w:lastRenderedPageBreak/>
        <w:t xml:space="preserve">zemědělství stále asi třetina podniků, která v podstatě přežívá jen díky důchodovým podporám. Významnou roli zde hraje mj. úroveň managementu, kde přetrvává nezbytnost generační obměny. </w:t>
      </w:r>
      <w:bookmarkStart w:id="16" w:name="_Toc172615275"/>
    </w:p>
    <w:p w14:paraId="7E89251E" w14:textId="0B1AB987" w:rsidR="005E6000" w:rsidRPr="00F07CB7" w:rsidRDefault="005E6000" w:rsidP="00B14794">
      <w:pPr>
        <w:pStyle w:val="Titulek"/>
        <w:rPr>
          <w:rFonts w:ascii="Arial" w:hAnsi="Arial" w:cs="Arial"/>
          <w:i/>
          <w:iCs/>
        </w:rPr>
      </w:pPr>
      <w:bookmarkStart w:id="17" w:name="_Toc172883220"/>
      <w:r w:rsidRPr="00F07CB7">
        <w:rPr>
          <w:rFonts w:ascii="Arial" w:hAnsi="Arial" w:cs="Arial"/>
          <w:i/>
          <w:iCs/>
        </w:rPr>
        <w:t xml:space="preserve">Tabulka </w:t>
      </w:r>
      <w:r w:rsidRPr="00F07CB7">
        <w:rPr>
          <w:rFonts w:ascii="Arial" w:hAnsi="Arial" w:cs="Arial"/>
          <w:i/>
          <w:iCs/>
        </w:rPr>
        <w:fldChar w:fldCharType="begin"/>
      </w:r>
      <w:r w:rsidRPr="00F07CB7">
        <w:rPr>
          <w:rFonts w:ascii="Arial" w:hAnsi="Arial" w:cs="Arial"/>
          <w:i/>
          <w:iCs/>
        </w:rPr>
        <w:instrText xml:space="preserve"> SEQ Tabulka \* ARABIC </w:instrText>
      </w:r>
      <w:r w:rsidRPr="00F07CB7">
        <w:rPr>
          <w:rFonts w:ascii="Arial" w:hAnsi="Arial" w:cs="Arial"/>
          <w:i/>
          <w:iCs/>
        </w:rPr>
        <w:fldChar w:fldCharType="separate"/>
      </w:r>
      <w:r w:rsidR="002E6503">
        <w:rPr>
          <w:rFonts w:ascii="Arial" w:hAnsi="Arial" w:cs="Arial"/>
          <w:i/>
          <w:iCs/>
          <w:noProof/>
        </w:rPr>
        <w:t>1</w:t>
      </w:r>
      <w:r w:rsidRPr="00F07CB7">
        <w:rPr>
          <w:rFonts w:ascii="Arial" w:hAnsi="Arial" w:cs="Arial"/>
          <w:i/>
          <w:iCs/>
        </w:rPr>
        <w:fldChar w:fldCharType="end"/>
      </w:r>
      <w:r w:rsidRPr="00F07CB7">
        <w:rPr>
          <w:rFonts w:ascii="Arial" w:hAnsi="Arial" w:cs="Arial"/>
          <w:i/>
          <w:iCs/>
        </w:rPr>
        <w:t xml:space="preserve"> Změny ve struktuře výroby po vstupu do EU</w:t>
      </w:r>
      <w:bookmarkEnd w:id="16"/>
      <w:bookmarkEnd w:id="17"/>
    </w:p>
    <w:tbl>
      <w:tblPr>
        <w:tblW w:w="9075" w:type="dxa"/>
        <w:tblInd w:w="-23" w:type="dxa"/>
        <w:tblCellMar>
          <w:left w:w="70" w:type="dxa"/>
          <w:right w:w="70" w:type="dxa"/>
        </w:tblCellMar>
        <w:tblLook w:val="04A0" w:firstRow="1" w:lastRow="0" w:firstColumn="1" w:lastColumn="0" w:noHBand="0" w:noVBand="1"/>
      </w:tblPr>
      <w:tblGrid>
        <w:gridCol w:w="2624"/>
        <w:gridCol w:w="960"/>
        <w:gridCol w:w="960"/>
        <w:gridCol w:w="960"/>
        <w:gridCol w:w="960"/>
        <w:gridCol w:w="1333"/>
        <w:gridCol w:w="1278"/>
      </w:tblGrid>
      <w:tr w:rsidR="005E6000" w:rsidRPr="00ED02BE" w14:paraId="44B04136" w14:textId="77777777" w:rsidTr="00EE42FE">
        <w:trPr>
          <w:trHeight w:val="615"/>
        </w:trPr>
        <w:tc>
          <w:tcPr>
            <w:tcW w:w="2624" w:type="dxa"/>
            <w:tcBorders>
              <w:top w:val="double" w:sz="6" w:space="0" w:color="auto"/>
              <w:left w:val="double" w:sz="6" w:space="0" w:color="auto"/>
              <w:bottom w:val="nil"/>
              <w:right w:val="single" w:sz="4" w:space="0" w:color="auto"/>
            </w:tcBorders>
            <w:shd w:val="clear" w:color="auto" w:fill="auto"/>
            <w:noWrap/>
            <w:vAlign w:val="center"/>
            <w:hideMark/>
          </w:tcPr>
          <w:p w14:paraId="6E61E7B5" w14:textId="77777777" w:rsidR="005E6000" w:rsidRPr="00ED02BE" w:rsidRDefault="005E6000" w:rsidP="00B14794">
            <w:pPr>
              <w:spacing w:before="120"/>
              <w:jc w:val="both"/>
              <w:rPr>
                <w:rFonts w:ascii="Calibri" w:hAnsi="Calibri" w:cs="Calibri"/>
                <w:b/>
                <w:bCs/>
                <w:color w:val="000000"/>
              </w:rPr>
            </w:pPr>
            <w:r w:rsidRPr="39F56F42">
              <w:rPr>
                <w:rFonts w:ascii="Calibri" w:hAnsi="Calibri" w:cs="Calibri"/>
                <w:b/>
                <w:bCs/>
                <w:color w:val="000000" w:themeColor="text1"/>
              </w:rPr>
              <w:t>Plodiny, kategorie zvířat</w:t>
            </w:r>
          </w:p>
        </w:tc>
        <w:tc>
          <w:tcPr>
            <w:tcW w:w="960" w:type="dxa"/>
            <w:tcBorders>
              <w:top w:val="double" w:sz="6" w:space="0" w:color="auto"/>
              <w:left w:val="nil"/>
              <w:bottom w:val="nil"/>
              <w:right w:val="single" w:sz="8" w:space="0" w:color="auto"/>
            </w:tcBorders>
            <w:shd w:val="clear" w:color="auto" w:fill="auto"/>
            <w:noWrap/>
            <w:vAlign w:val="center"/>
            <w:hideMark/>
          </w:tcPr>
          <w:p w14:paraId="3D02F5AD" w14:textId="77777777" w:rsidR="005E6000" w:rsidRPr="00ED02BE" w:rsidRDefault="005E6000" w:rsidP="00B14794">
            <w:pPr>
              <w:spacing w:before="120"/>
              <w:jc w:val="both"/>
              <w:rPr>
                <w:rFonts w:ascii="Calibri" w:hAnsi="Calibri" w:cs="Calibri"/>
                <w:b/>
                <w:bCs/>
                <w:color w:val="000000"/>
              </w:rPr>
            </w:pPr>
            <w:r w:rsidRPr="39F56F42">
              <w:rPr>
                <w:rFonts w:ascii="Calibri" w:hAnsi="Calibri" w:cs="Calibri"/>
                <w:b/>
                <w:bCs/>
                <w:color w:val="000000" w:themeColor="text1"/>
              </w:rPr>
              <w:t>MJ</w:t>
            </w:r>
          </w:p>
        </w:tc>
        <w:tc>
          <w:tcPr>
            <w:tcW w:w="960" w:type="dxa"/>
            <w:tcBorders>
              <w:top w:val="double" w:sz="6" w:space="0" w:color="auto"/>
              <w:left w:val="nil"/>
              <w:bottom w:val="nil"/>
              <w:right w:val="single" w:sz="4" w:space="0" w:color="auto"/>
            </w:tcBorders>
            <w:shd w:val="clear" w:color="auto" w:fill="auto"/>
            <w:noWrap/>
            <w:vAlign w:val="center"/>
            <w:hideMark/>
          </w:tcPr>
          <w:p w14:paraId="3597CF7B" w14:textId="77777777" w:rsidR="005E6000" w:rsidRPr="00ED02BE" w:rsidRDefault="005E6000" w:rsidP="00B14794">
            <w:pPr>
              <w:spacing w:before="120"/>
              <w:jc w:val="both"/>
              <w:rPr>
                <w:rFonts w:ascii="Calibri" w:hAnsi="Calibri" w:cs="Calibri"/>
                <w:b/>
                <w:bCs/>
                <w:color w:val="000000"/>
              </w:rPr>
            </w:pPr>
            <w:r w:rsidRPr="39F56F42">
              <w:rPr>
                <w:rFonts w:ascii="Calibri" w:hAnsi="Calibri" w:cs="Calibri"/>
                <w:b/>
                <w:bCs/>
                <w:color w:val="000000" w:themeColor="text1"/>
              </w:rPr>
              <w:t>2001-3</w:t>
            </w:r>
          </w:p>
        </w:tc>
        <w:tc>
          <w:tcPr>
            <w:tcW w:w="960" w:type="dxa"/>
            <w:tcBorders>
              <w:top w:val="double" w:sz="6" w:space="0" w:color="auto"/>
              <w:left w:val="nil"/>
              <w:bottom w:val="nil"/>
              <w:right w:val="single" w:sz="4" w:space="0" w:color="auto"/>
            </w:tcBorders>
            <w:shd w:val="clear" w:color="auto" w:fill="auto"/>
            <w:noWrap/>
            <w:vAlign w:val="center"/>
            <w:hideMark/>
          </w:tcPr>
          <w:p w14:paraId="1BFF6F29" w14:textId="77777777" w:rsidR="005E6000" w:rsidRPr="00ED02BE" w:rsidRDefault="005E6000" w:rsidP="00B14794">
            <w:pPr>
              <w:spacing w:before="120"/>
              <w:jc w:val="both"/>
              <w:rPr>
                <w:rFonts w:ascii="Calibri" w:hAnsi="Calibri" w:cs="Calibri"/>
                <w:b/>
                <w:bCs/>
                <w:color w:val="000000"/>
              </w:rPr>
            </w:pPr>
            <w:r w:rsidRPr="39F56F42">
              <w:rPr>
                <w:rFonts w:ascii="Calibri" w:hAnsi="Calibri" w:cs="Calibri"/>
                <w:b/>
                <w:bCs/>
                <w:color w:val="000000" w:themeColor="text1"/>
              </w:rPr>
              <w:t>2012-14</w:t>
            </w:r>
          </w:p>
        </w:tc>
        <w:tc>
          <w:tcPr>
            <w:tcW w:w="960" w:type="dxa"/>
            <w:tcBorders>
              <w:top w:val="double" w:sz="6" w:space="0" w:color="auto"/>
              <w:left w:val="nil"/>
              <w:bottom w:val="nil"/>
              <w:right w:val="single" w:sz="4" w:space="0" w:color="auto"/>
            </w:tcBorders>
            <w:shd w:val="clear" w:color="auto" w:fill="auto"/>
            <w:noWrap/>
            <w:vAlign w:val="center"/>
            <w:hideMark/>
          </w:tcPr>
          <w:p w14:paraId="31584AB1" w14:textId="77777777" w:rsidR="005E6000" w:rsidRPr="00ED02BE" w:rsidRDefault="005E6000" w:rsidP="00B14794">
            <w:pPr>
              <w:spacing w:before="120"/>
              <w:jc w:val="both"/>
              <w:rPr>
                <w:rFonts w:ascii="Calibri" w:hAnsi="Calibri" w:cs="Calibri"/>
                <w:b/>
                <w:bCs/>
                <w:color w:val="000000"/>
              </w:rPr>
            </w:pPr>
            <w:r w:rsidRPr="39F56F42">
              <w:rPr>
                <w:rFonts w:ascii="Calibri" w:hAnsi="Calibri" w:cs="Calibri"/>
                <w:b/>
                <w:bCs/>
                <w:color w:val="000000" w:themeColor="text1"/>
              </w:rPr>
              <w:t>2015-21</w:t>
            </w:r>
          </w:p>
        </w:tc>
        <w:tc>
          <w:tcPr>
            <w:tcW w:w="1333" w:type="dxa"/>
            <w:tcBorders>
              <w:top w:val="double" w:sz="6" w:space="0" w:color="auto"/>
              <w:left w:val="nil"/>
              <w:bottom w:val="nil"/>
              <w:right w:val="single" w:sz="4" w:space="0" w:color="auto"/>
            </w:tcBorders>
            <w:shd w:val="clear" w:color="auto" w:fill="auto"/>
            <w:vAlign w:val="center"/>
            <w:hideMark/>
          </w:tcPr>
          <w:p w14:paraId="23363721" w14:textId="77777777" w:rsidR="005E6000" w:rsidRPr="00ED02BE" w:rsidRDefault="005E6000" w:rsidP="00B14794">
            <w:pPr>
              <w:spacing w:before="120"/>
              <w:jc w:val="both"/>
              <w:rPr>
                <w:rFonts w:ascii="Calibri" w:hAnsi="Calibri" w:cs="Calibri"/>
                <w:b/>
                <w:bCs/>
                <w:color w:val="000000"/>
              </w:rPr>
            </w:pPr>
            <w:r w:rsidRPr="39F56F42">
              <w:rPr>
                <w:rFonts w:ascii="Calibri" w:hAnsi="Calibri" w:cs="Calibri"/>
                <w:b/>
                <w:bCs/>
                <w:color w:val="000000" w:themeColor="text1"/>
              </w:rPr>
              <w:t>Index 2015-21/2001-03</w:t>
            </w:r>
          </w:p>
        </w:tc>
        <w:tc>
          <w:tcPr>
            <w:tcW w:w="1278" w:type="dxa"/>
            <w:tcBorders>
              <w:top w:val="double" w:sz="6" w:space="0" w:color="auto"/>
              <w:left w:val="nil"/>
              <w:bottom w:val="nil"/>
              <w:right w:val="double" w:sz="6" w:space="0" w:color="auto"/>
            </w:tcBorders>
            <w:shd w:val="clear" w:color="auto" w:fill="auto"/>
            <w:vAlign w:val="center"/>
            <w:hideMark/>
          </w:tcPr>
          <w:p w14:paraId="71EDA3C2" w14:textId="77777777" w:rsidR="005E6000" w:rsidRPr="00ED02BE" w:rsidRDefault="005E6000" w:rsidP="00B14794">
            <w:pPr>
              <w:spacing w:before="120"/>
              <w:jc w:val="both"/>
              <w:rPr>
                <w:rFonts w:ascii="Calibri" w:hAnsi="Calibri" w:cs="Calibri"/>
                <w:b/>
                <w:bCs/>
                <w:color w:val="000000"/>
              </w:rPr>
            </w:pPr>
            <w:r w:rsidRPr="39F56F42">
              <w:rPr>
                <w:rFonts w:ascii="Calibri" w:hAnsi="Calibri" w:cs="Calibri"/>
                <w:b/>
                <w:bCs/>
                <w:color w:val="000000" w:themeColor="text1"/>
              </w:rPr>
              <w:t>Index 2015-21/2012-14</w:t>
            </w:r>
          </w:p>
        </w:tc>
      </w:tr>
      <w:tr w:rsidR="005E6000" w:rsidRPr="00ED02BE" w14:paraId="63AFD58B" w14:textId="77777777" w:rsidTr="00EE42FE">
        <w:trPr>
          <w:trHeight w:val="300"/>
        </w:trPr>
        <w:tc>
          <w:tcPr>
            <w:tcW w:w="2624" w:type="dxa"/>
            <w:tcBorders>
              <w:top w:val="single" w:sz="8" w:space="0" w:color="auto"/>
              <w:left w:val="double" w:sz="6" w:space="0" w:color="auto"/>
              <w:bottom w:val="single" w:sz="4" w:space="0" w:color="auto"/>
              <w:right w:val="single" w:sz="4" w:space="0" w:color="auto"/>
            </w:tcBorders>
            <w:shd w:val="clear" w:color="auto" w:fill="auto"/>
            <w:noWrap/>
            <w:vAlign w:val="bottom"/>
            <w:hideMark/>
          </w:tcPr>
          <w:p w14:paraId="38C298A6"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Obiloviny celkem</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1C66DE97"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tis. ha</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317608DE"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1548,5</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183F0777"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1425,7</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450E1967"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1355,1</w:t>
            </w:r>
          </w:p>
        </w:tc>
        <w:tc>
          <w:tcPr>
            <w:tcW w:w="1333" w:type="dxa"/>
            <w:tcBorders>
              <w:top w:val="single" w:sz="8" w:space="0" w:color="auto"/>
              <w:left w:val="nil"/>
              <w:bottom w:val="single" w:sz="4" w:space="0" w:color="auto"/>
              <w:right w:val="single" w:sz="4" w:space="0" w:color="auto"/>
            </w:tcBorders>
            <w:shd w:val="clear" w:color="auto" w:fill="auto"/>
            <w:noWrap/>
            <w:vAlign w:val="bottom"/>
            <w:hideMark/>
          </w:tcPr>
          <w:p w14:paraId="48F14E99"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87,5</w:t>
            </w:r>
          </w:p>
        </w:tc>
        <w:tc>
          <w:tcPr>
            <w:tcW w:w="1278" w:type="dxa"/>
            <w:tcBorders>
              <w:top w:val="single" w:sz="8" w:space="0" w:color="auto"/>
              <w:left w:val="nil"/>
              <w:bottom w:val="single" w:sz="4" w:space="0" w:color="auto"/>
              <w:right w:val="double" w:sz="6" w:space="0" w:color="auto"/>
            </w:tcBorders>
            <w:shd w:val="clear" w:color="auto" w:fill="auto"/>
            <w:noWrap/>
            <w:vAlign w:val="bottom"/>
            <w:hideMark/>
          </w:tcPr>
          <w:p w14:paraId="6C6116AD"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95,0</w:t>
            </w:r>
          </w:p>
        </w:tc>
      </w:tr>
      <w:tr w:rsidR="005E6000" w:rsidRPr="00ED02BE" w14:paraId="7C5A2095" w14:textId="77777777" w:rsidTr="00EE42FE">
        <w:trPr>
          <w:trHeight w:val="300"/>
        </w:trPr>
        <w:tc>
          <w:tcPr>
            <w:tcW w:w="2624" w:type="dxa"/>
            <w:tcBorders>
              <w:top w:val="nil"/>
              <w:left w:val="double" w:sz="6" w:space="0" w:color="auto"/>
              <w:bottom w:val="single" w:sz="4" w:space="0" w:color="auto"/>
              <w:right w:val="single" w:sz="4" w:space="0" w:color="auto"/>
            </w:tcBorders>
            <w:shd w:val="clear" w:color="auto" w:fill="auto"/>
            <w:noWrap/>
            <w:vAlign w:val="bottom"/>
            <w:hideMark/>
          </w:tcPr>
          <w:p w14:paraId="6BA02882"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 xml:space="preserve"> - pšenice</w:t>
            </w:r>
          </w:p>
        </w:tc>
        <w:tc>
          <w:tcPr>
            <w:tcW w:w="960" w:type="dxa"/>
            <w:tcBorders>
              <w:top w:val="nil"/>
              <w:left w:val="nil"/>
              <w:bottom w:val="single" w:sz="4" w:space="0" w:color="auto"/>
              <w:right w:val="single" w:sz="8" w:space="0" w:color="auto"/>
            </w:tcBorders>
            <w:shd w:val="clear" w:color="auto" w:fill="auto"/>
            <w:noWrap/>
            <w:vAlign w:val="bottom"/>
            <w:hideMark/>
          </w:tcPr>
          <w:p w14:paraId="7A3EFC75"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tis. ha</w:t>
            </w:r>
          </w:p>
        </w:tc>
        <w:tc>
          <w:tcPr>
            <w:tcW w:w="960" w:type="dxa"/>
            <w:tcBorders>
              <w:top w:val="nil"/>
              <w:left w:val="nil"/>
              <w:bottom w:val="single" w:sz="4" w:space="0" w:color="auto"/>
              <w:right w:val="single" w:sz="4" w:space="0" w:color="auto"/>
            </w:tcBorders>
            <w:shd w:val="clear" w:color="auto" w:fill="auto"/>
            <w:noWrap/>
            <w:vAlign w:val="bottom"/>
            <w:hideMark/>
          </w:tcPr>
          <w:p w14:paraId="5D6810CF"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806,8</w:t>
            </w:r>
          </w:p>
        </w:tc>
        <w:tc>
          <w:tcPr>
            <w:tcW w:w="960" w:type="dxa"/>
            <w:tcBorders>
              <w:top w:val="nil"/>
              <w:left w:val="nil"/>
              <w:bottom w:val="single" w:sz="4" w:space="0" w:color="auto"/>
              <w:right w:val="single" w:sz="4" w:space="0" w:color="auto"/>
            </w:tcBorders>
            <w:shd w:val="clear" w:color="auto" w:fill="auto"/>
            <w:noWrap/>
            <w:vAlign w:val="bottom"/>
            <w:hideMark/>
          </w:tcPr>
          <w:p w14:paraId="7C59BC39"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826,9</w:t>
            </w:r>
          </w:p>
        </w:tc>
        <w:tc>
          <w:tcPr>
            <w:tcW w:w="960" w:type="dxa"/>
            <w:tcBorders>
              <w:top w:val="nil"/>
              <w:left w:val="nil"/>
              <w:bottom w:val="single" w:sz="4" w:space="0" w:color="auto"/>
              <w:right w:val="single" w:sz="4" w:space="0" w:color="auto"/>
            </w:tcBorders>
            <w:shd w:val="clear" w:color="auto" w:fill="auto"/>
            <w:noWrap/>
            <w:vAlign w:val="bottom"/>
            <w:hideMark/>
          </w:tcPr>
          <w:p w14:paraId="1996CD8C"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820,6</w:t>
            </w:r>
          </w:p>
        </w:tc>
        <w:tc>
          <w:tcPr>
            <w:tcW w:w="1333" w:type="dxa"/>
            <w:tcBorders>
              <w:top w:val="nil"/>
              <w:left w:val="nil"/>
              <w:bottom w:val="single" w:sz="4" w:space="0" w:color="auto"/>
              <w:right w:val="single" w:sz="4" w:space="0" w:color="auto"/>
            </w:tcBorders>
            <w:shd w:val="clear" w:color="auto" w:fill="auto"/>
            <w:noWrap/>
            <w:vAlign w:val="bottom"/>
            <w:hideMark/>
          </w:tcPr>
          <w:p w14:paraId="49582AA2"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101,7</w:t>
            </w:r>
          </w:p>
        </w:tc>
        <w:tc>
          <w:tcPr>
            <w:tcW w:w="1278" w:type="dxa"/>
            <w:tcBorders>
              <w:top w:val="nil"/>
              <w:left w:val="nil"/>
              <w:bottom w:val="single" w:sz="4" w:space="0" w:color="auto"/>
              <w:right w:val="double" w:sz="6" w:space="0" w:color="auto"/>
            </w:tcBorders>
            <w:shd w:val="clear" w:color="auto" w:fill="auto"/>
            <w:noWrap/>
            <w:vAlign w:val="bottom"/>
            <w:hideMark/>
          </w:tcPr>
          <w:p w14:paraId="56685A39"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99,2</w:t>
            </w:r>
          </w:p>
        </w:tc>
      </w:tr>
      <w:tr w:rsidR="005E6000" w:rsidRPr="00ED02BE" w14:paraId="31055B62" w14:textId="77777777" w:rsidTr="00EE42FE">
        <w:trPr>
          <w:trHeight w:val="300"/>
        </w:trPr>
        <w:tc>
          <w:tcPr>
            <w:tcW w:w="2624" w:type="dxa"/>
            <w:tcBorders>
              <w:top w:val="nil"/>
              <w:left w:val="double" w:sz="6" w:space="0" w:color="auto"/>
              <w:bottom w:val="single" w:sz="4" w:space="0" w:color="auto"/>
              <w:right w:val="single" w:sz="4" w:space="0" w:color="auto"/>
            </w:tcBorders>
            <w:shd w:val="clear" w:color="auto" w:fill="auto"/>
            <w:noWrap/>
            <w:vAlign w:val="bottom"/>
            <w:hideMark/>
          </w:tcPr>
          <w:p w14:paraId="28A0F934"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 xml:space="preserve"> - ječmen</w:t>
            </w:r>
          </w:p>
        </w:tc>
        <w:tc>
          <w:tcPr>
            <w:tcW w:w="960" w:type="dxa"/>
            <w:tcBorders>
              <w:top w:val="nil"/>
              <w:left w:val="nil"/>
              <w:bottom w:val="single" w:sz="4" w:space="0" w:color="auto"/>
              <w:right w:val="single" w:sz="8" w:space="0" w:color="auto"/>
            </w:tcBorders>
            <w:shd w:val="clear" w:color="auto" w:fill="auto"/>
            <w:noWrap/>
            <w:vAlign w:val="bottom"/>
            <w:hideMark/>
          </w:tcPr>
          <w:p w14:paraId="42850A25"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tis. ha</w:t>
            </w:r>
          </w:p>
        </w:tc>
        <w:tc>
          <w:tcPr>
            <w:tcW w:w="960" w:type="dxa"/>
            <w:tcBorders>
              <w:top w:val="nil"/>
              <w:left w:val="nil"/>
              <w:bottom w:val="single" w:sz="4" w:space="0" w:color="auto"/>
              <w:right w:val="single" w:sz="4" w:space="0" w:color="auto"/>
            </w:tcBorders>
            <w:shd w:val="clear" w:color="auto" w:fill="auto"/>
            <w:noWrap/>
            <w:vAlign w:val="bottom"/>
            <w:hideMark/>
          </w:tcPr>
          <w:p w14:paraId="04E30782"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511,1</w:t>
            </w:r>
          </w:p>
        </w:tc>
        <w:tc>
          <w:tcPr>
            <w:tcW w:w="960" w:type="dxa"/>
            <w:tcBorders>
              <w:top w:val="nil"/>
              <w:left w:val="nil"/>
              <w:bottom w:val="single" w:sz="4" w:space="0" w:color="auto"/>
              <w:right w:val="single" w:sz="4" w:space="0" w:color="auto"/>
            </w:tcBorders>
            <w:shd w:val="clear" w:color="auto" w:fill="auto"/>
            <w:noWrap/>
            <w:vAlign w:val="bottom"/>
            <w:hideMark/>
          </w:tcPr>
          <w:p w14:paraId="14A3C671"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360,6</w:t>
            </w:r>
          </w:p>
        </w:tc>
        <w:tc>
          <w:tcPr>
            <w:tcW w:w="960" w:type="dxa"/>
            <w:tcBorders>
              <w:top w:val="nil"/>
              <w:left w:val="nil"/>
              <w:bottom w:val="single" w:sz="4" w:space="0" w:color="auto"/>
              <w:right w:val="single" w:sz="4" w:space="0" w:color="auto"/>
            </w:tcBorders>
            <w:shd w:val="clear" w:color="auto" w:fill="auto"/>
            <w:noWrap/>
            <w:vAlign w:val="bottom"/>
            <w:hideMark/>
          </w:tcPr>
          <w:p w14:paraId="6A00AA13"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331,8</w:t>
            </w:r>
          </w:p>
        </w:tc>
        <w:tc>
          <w:tcPr>
            <w:tcW w:w="1333" w:type="dxa"/>
            <w:tcBorders>
              <w:top w:val="nil"/>
              <w:left w:val="nil"/>
              <w:bottom w:val="single" w:sz="4" w:space="0" w:color="auto"/>
              <w:right w:val="single" w:sz="4" w:space="0" w:color="auto"/>
            </w:tcBorders>
            <w:shd w:val="clear" w:color="auto" w:fill="auto"/>
            <w:noWrap/>
            <w:vAlign w:val="bottom"/>
            <w:hideMark/>
          </w:tcPr>
          <w:p w14:paraId="3689909E"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64,9</w:t>
            </w:r>
          </w:p>
        </w:tc>
        <w:tc>
          <w:tcPr>
            <w:tcW w:w="1278" w:type="dxa"/>
            <w:tcBorders>
              <w:top w:val="nil"/>
              <w:left w:val="nil"/>
              <w:bottom w:val="single" w:sz="4" w:space="0" w:color="auto"/>
              <w:right w:val="double" w:sz="6" w:space="0" w:color="auto"/>
            </w:tcBorders>
            <w:shd w:val="clear" w:color="auto" w:fill="auto"/>
            <w:noWrap/>
            <w:vAlign w:val="bottom"/>
            <w:hideMark/>
          </w:tcPr>
          <w:p w14:paraId="567DBE96"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92,0</w:t>
            </w:r>
          </w:p>
        </w:tc>
      </w:tr>
      <w:tr w:rsidR="005E6000" w:rsidRPr="00ED02BE" w14:paraId="4E41DD0D" w14:textId="77777777" w:rsidTr="00EE42FE">
        <w:trPr>
          <w:trHeight w:val="300"/>
        </w:trPr>
        <w:tc>
          <w:tcPr>
            <w:tcW w:w="2624" w:type="dxa"/>
            <w:tcBorders>
              <w:top w:val="nil"/>
              <w:left w:val="double" w:sz="6" w:space="0" w:color="auto"/>
              <w:bottom w:val="single" w:sz="4" w:space="0" w:color="auto"/>
              <w:right w:val="single" w:sz="4" w:space="0" w:color="auto"/>
            </w:tcBorders>
            <w:shd w:val="clear" w:color="auto" w:fill="auto"/>
            <w:noWrap/>
            <w:vAlign w:val="bottom"/>
            <w:hideMark/>
          </w:tcPr>
          <w:p w14:paraId="358F7EBE"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 xml:space="preserve"> - kukuřice</w:t>
            </w:r>
          </w:p>
        </w:tc>
        <w:tc>
          <w:tcPr>
            <w:tcW w:w="960" w:type="dxa"/>
            <w:tcBorders>
              <w:top w:val="nil"/>
              <w:left w:val="nil"/>
              <w:bottom w:val="single" w:sz="4" w:space="0" w:color="auto"/>
              <w:right w:val="single" w:sz="8" w:space="0" w:color="auto"/>
            </w:tcBorders>
            <w:shd w:val="clear" w:color="auto" w:fill="auto"/>
            <w:noWrap/>
            <w:vAlign w:val="bottom"/>
            <w:hideMark/>
          </w:tcPr>
          <w:p w14:paraId="5CFE0514"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tis. ha</w:t>
            </w:r>
          </w:p>
        </w:tc>
        <w:tc>
          <w:tcPr>
            <w:tcW w:w="960" w:type="dxa"/>
            <w:tcBorders>
              <w:top w:val="nil"/>
              <w:left w:val="nil"/>
              <w:bottom w:val="single" w:sz="4" w:space="0" w:color="auto"/>
              <w:right w:val="single" w:sz="4" w:space="0" w:color="auto"/>
            </w:tcBorders>
            <w:shd w:val="clear" w:color="auto" w:fill="auto"/>
            <w:noWrap/>
            <w:vAlign w:val="bottom"/>
            <w:hideMark/>
          </w:tcPr>
          <w:p w14:paraId="1815CA1A"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72,6</w:t>
            </w:r>
          </w:p>
        </w:tc>
        <w:tc>
          <w:tcPr>
            <w:tcW w:w="960" w:type="dxa"/>
            <w:tcBorders>
              <w:top w:val="nil"/>
              <w:left w:val="nil"/>
              <w:bottom w:val="single" w:sz="4" w:space="0" w:color="auto"/>
              <w:right w:val="single" w:sz="4" w:space="0" w:color="auto"/>
            </w:tcBorders>
            <w:shd w:val="clear" w:color="auto" w:fill="auto"/>
            <w:noWrap/>
            <w:vAlign w:val="bottom"/>
            <w:hideMark/>
          </w:tcPr>
          <w:p w14:paraId="16F70843"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105</w:t>
            </w:r>
          </w:p>
        </w:tc>
        <w:tc>
          <w:tcPr>
            <w:tcW w:w="960" w:type="dxa"/>
            <w:tcBorders>
              <w:top w:val="nil"/>
              <w:left w:val="nil"/>
              <w:bottom w:val="single" w:sz="4" w:space="0" w:color="auto"/>
              <w:right w:val="single" w:sz="4" w:space="0" w:color="auto"/>
            </w:tcBorders>
            <w:shd w:val="clear" w:color="auto" w:fill="auto"/>
            <w:noWrap/>
            <w:vAlign w:val="bottom"/>
            <w:hideMark/>
          </w:tcPr>
          <w:p w14:paraId="1E04AA63"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85,5</w:t>
            </w:r>
          </w:p>
        </w:tc>
        <w:tc>
          <w:tcPr>
            <w:tcW w:w="1333" w:type="dxa"/>
            <w:tcBorders>
              <w:top w:val="nil"/>
              <w:left w:val="nil"/>
              <w:bottom w:val="single" w:sz="4" w:space="0" w:color="auto"/>
              <w:right w:val="single" w:sz="4" w:space="0" w:color="auto"/>
            </w:tcBorders>
            <w:shd w:val="clear" w:color="auto" w:fill="auto"/>
            <w:noWrap/>
            <w:vAlign w:val="bottom"/>
            <w:hideMark/>
          </w:tcPr>
          <w:p w14:paraId="34096CB6"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117,8</w:t>
            </w:r>
          </w:p>
        </w:tc>
        <w:tc>
          <w:tcPr>
            <w:tcW w:w="1278" w:type="dxa"/>
            <w:tcBorders>
              <w:top w:val="nil"/>
              <w:left w:val="nil"/>
              <w:bottom w:val="single" w:sz="4" w:space="0" w:color="auto"/>
              <w:right w:val="double" w:sz="6" w:space="0" w:color="auto"/>
            </w:tcBorders>
            <w:shd w:val="clear" w:color="auto" w:fill="auto"/>
            <w:noWrap/>
            <w:vAlign w:val="bottom"/>
            <w:hideMark/>
          </w:tcPr>
          <w:p w14:paraId="689C464D"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81,4</w:t>
            </w:r>
          </w:p>
        </w:tc>
      </w:tr>
      <w:tr w:rsidR="005E6000" w:rsidRPr="00ED02BE" w14:paraId="1638BDC9" w14:textId="77777777" w:rsidTr="00EE42FE">
        <w:trPr>
          <w:trHeight w:val="300"/>
        </w:trPr>
        <w:tc>
          <w:tcPr>
            <w:tcW w:w="2624" w:type="dxa"/>
            <w:tcBorders>
              <w:top w:val="nil"/>
              <w:left w:val="double" w:sz="6" w:space="0" w:color="auto"/>
              <w:bottom w:val="single" w:sz="4" w:space="0" w:color="auto"/>
              <w:right w:val="single" w:sz="4" w:space="0" w:color="auto"/>
            </w:tcBorders>
            <w:shd w:val="clear" w:color="auto" w:fill="auto"/>
            <w:noWrap/>
            <w:vAlign w:val="bottom"/>
            <w:hideMark/>
          </w:tcPr>
          <w:p w14:paraId="4FCA16D6"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Luskoviny</w:t>
            </w:r>
          </w:p>
        </w:tc>
        <w:tc>
          <w:tcPr>
            <w:tcW w:w="960" w:type="dxa"/>
            <w:tcBorders>
              <w:top w:val="nil"/>
              <w:left w:val="nil"/>
              <w:bottom w:val="single" w:sz="4" w:space="0" w:color="auto"/>
              <w:right w:val="single" w:sz="8" w:space="0" w:color="auto"/>
            </w:tcBorders>
            <w:shd w:val="clear" w:color="auto" w:fill="auto"/>
            <w:noWrap/>
            <w:vAlign w:val="bottom"/>
            <w:hideMark/>
          </w:tcPr>
          <w:p w14:paraId="16DAE4CA"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tis. ha</w:t>
            </w:r>
          </w:p>
        </w:tc>
        <w:tc>
          <w:tcPr>
            <w:tcW w:w="960" w:type="dxa"/>
            <w:tcBorders>
              <w:top w:val="nil"/>
              <w:left w:val="nil"/>
              <w:bottom w:val="single" w:sz="4" w:space="0" w:color="auto"/>
              <w:right w:val="single" w:sz="4" w:space="0" w:color="auto"/>
            </w:tcBorders>
            <w:shd w:val="clear" w:color="auto" w:fill="auto"/>
            <w:noWrap/>
            <w:vAlign w:val="bottom"/>
            <w:hideMark/>
          </w:tcPr>
          <w:p w14:paraId="6687D313"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34,3</w:t>
            </w:r>
          </w:p>
        </w:tc>
        <w:tc>
          <w:tcPr>
            <w:tcW w:w="960" w:type="dxa"/>
            <w:tcBorders>
              <w:top w:val="nil"/>
              <w:left w:val="nil"/>
              <w:bottom w:val="single" w:sz="4" w:space="0" w:color="auto"/>
              <w:right w:val="single" w:sz="4" w:space="0" w:color="auto"/>
            </w:tcBorders>
            <w:shd w:val="clear" w:color="auto" w:fill="auto"/>
            <w:noWrap/>
            <w:vAlign w:val="bottom"/>
            <w:hideMark/>
          </w:tcPr>
          <w:p w14:paraId="03B97ADD"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19,4</w:t>
            </w:r>
          </w:p>
        </w:tc>
        <w:tc>
          <w:tcPr>
            <w:tcW w:w="960" w:type="dxa"/>
            <w:tcBorders>
              <w:top w:val="nil"/>
              <w:left w:val="nil"/>
              <w:bottom w:val="single" w:sz="4" w:space="0" w:color="auto"/>
              <w:right w:val="single" w:sz="4" w:space="0" w:color="auto"/>
            </w:tcBorders>
            <w:shd w:val="clear" w:color="auto" w:fill="auto"/>
            <w:noWrap/>
            <w:vAlign w:val="bottom"/>
            <w:hideMark/>
          </w:tcPr>
          <w:p w14:paraId="7DAB2688"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38,0</w:t>
            </w:r>
          </w:p>
        </w:tc>
        <w:tc>
          <w:tcPr>
            <w:tcW w:w="1333" w:type="dxa"/>
            <w:tcBorders>
              <w:top w:val="nil"/>
              <w:left w:val="nil"/>
              <w:bottom w:val="single" w:sz="4" w:space="0" w:color="auto"/>
              <w:right w:val="single" w:sz="4" w:space="0" w:color="auto"/>
            </w:tcBorders>
            <w:shd w:val="clear" w:color="auto" w:fill="auto"/>
            <w:noWrap/>
            <w:vAlign w:val="bottom"/>
            <w:hideMark/>
          </w:tcPr>
          <w:p w14:paraId="29F21CBA"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111,1</w:t>
            </w:r>
          </w:p>
        </w:tc>
        <w:tc>
          <w:tcPr>
            <w:tcW w:w="1278" w:type="dxa"/>
            <w:tcBorders>
              <w:top w:val="nil"/>
              <w:left w:val="nil"/>
              <w:bottom w:val="single" w:sz="4" w:space="0" w:color="auto"/>
              <w:right w:val="double" w:sz="6" w:space="0" w:color="auto"/>
            </w:tcBorders>
            <w:shd w:val="clear" w:color="auto" w:fill="auto"/>
            <w:noWrap/>
            <w:vAlign w:val="bottom"/>
            <w:hideMark/>
          </w:tcPr>
          <w:p w14:paraId="4844E602"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196,1</w:t>
            </w:r>
          </w:p>
        </w:tc>
      </w:tr>
      <w:tr w:rsidR="005E6000" w:rsidRPr="00ED02BE" w14:paraId="4A1A14C0" w14:textId="77777777" w:rsidTr="00EE42FE">
        <w:trPr>
          <w:trHeight w:val="300"/>
        </w:trPr>
        <w:tc>
          <w:tcPr>
            <w:tcW w:w="2624" w:type="dxa"/>
            <w:tcBorders>
              <w:top w:val="nil"/>
              <w:left w:val="double" w:sz="6" w:space="0" w:color="auto"/>
              <w:bottom w:val="single" w:sz="4" w:space="0" w:color="auto"/>
              <w:right w:val="single" w:sz="4" w:space="0" w:color="auto"/>
            </w:tcBorders>
            <w:shd w:val="clear" w:color="auto" w:fill="auto"/>
            <w:noWrap/>
            <w:vAlign w:val="bottom"/>
            <w:hideMark/>
          </w:tcPr>
          <w:p w14:paraId="19D58071"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Brambory</w:t>
            </w:r>
          </w:p>
        </w:tc>
        <w:tc>
          <w:tcPr>
            <w:tcW w:w="960" w:type="dxa"/>
            <w:tcBorders>
              <w:top w:val="nil"/>
              <w:left w:val="nil"/>
              <w:bottom w:val="single" w:sz="4" w:space="0" w:color="auto"/>
              <w:right w:val="single" w:sz="8" w:space="0" w:color="auto"/>
            </w:tcBorders>
            <w:shd w:val="clear" w:color="auto" w:fill="auto"/>
            <w:noWrap/>
            <w:vAlign w:val="bottom"/>
            <w:hideMark/>
          </w:tcPr>
          <w:p w14:paraId="2EAD4046"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tis. ha</w:t>
            </w:r>
          </w:p>
        </w:tc>
        <w:tc>
          <w:tcPr>
            <w:tcW w:w="960" w:type="dxa"/>
            <w:tcBorders>
              <w:top w:val="nil"/>
              <w:left w:val="nil"/>
              <w:bottom w:val="single" w:sz="4" w:space="0" w:color="auto"/>
              <w:right w:val="single" w:sz="4" w:space="0" w:color="auto"/>
            </w:tcBorders>
            <w:shd w:val="clear" w:color="auto" w:fill="auto"/>
            <w:noWrap/>
            <w:vAlign w:val="bottom"/>
            <w:hideMark/>
          </w:tcPr>
          <w:p w14:paraId="4787935F"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77,5</w:t>
            </w:r>
          </w:p>
        </w:tc>
        <w:tc>
          <w:tcPr>
            <w:tcW w:w="960" w:type="dxa"/>
            <w:tcBorders>
              <w:top w:val="nil"/>
              <w:left w:val="nil"/>
              <w:bottom w:val="single" w:sz="4" w:space="0" w:color="auto"/>
              <w:right w:val="single" w:sz="4" w:space="0" w:color="auto"/>
            </w:tcBorders>
            <w:shd w:val="clear" w:color="auto" w:fill="auto"/>
            <w:noWrap/>
            <w:vAlign w:val="bottom"/>
            <w:hideMark/>
          </w:tcPr>
          <w:p w14:paraId="372D8A77"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29,8</w:t>
            </w:r>
          </w:p>
        </w:tc>
        <w:tc>
          <w:tcPr>
            <w:tcW w:w="960" w:type="dxa"/>
            <w:tcBorders>
              <w:top w:val="nil"/>
              <w:left w:val="nil"/>
              <w:bottom w:val="single" w:sz="4" w:space="0" w:color="auto"/>
              <w:right w:val="single" w:sz="4" w:space="0" w:color="auto"/>
            </w:tcBorders>
            <w:shd w:val="clear" w:color="auto" w:fill="auto"/>
            <w:noWrap/>
            <w:vAlign w:val="bottom"/>
            <w:hideMark/>
          </w:tcPr>
          <w:p w14:paraId="6925C0BC"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29,2</w:t>
            </w:r>
          </w:p>
        </w:tc>
        <w:tc>
          <w:tcPr>
            <w:tcW w:w="1333" w:type="dxa"/>
            <w:tcBorders>
              <w:top w:val="nil"/>
              <w:left w:val="nil"/>
              <w:bottom w:val="single" w:sz="4" w:space="0" w:color="auto"/>
              <w:right w:val="single" w:sz="4" w:space="0" w:color="auto"/>
            </w:tcBorders>
            <w:shd w:val="clear" w:color="auto" w:fill="auto"/>
            <w:noWrap/>
            <w:vAlign w:val="bottom"/>
            <w:hideMark/>
          </w:tcPr>
          <w:p w14:paraId="685FCD67"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37,7</w:t>
            </w:r>
          </w:p>
        </w:tc>
        <w:tc>
          <w:tcPr>
            <w:tcW w:w="1278" w:type="dxa"/>
            <w:tcBorders>
              <w:top w:val="nil"/>
              <w:left w:val="nil"/>
              <w:bottom w:val="single" w:sz="4" w:space="0" w:color="auto"/>
              <w:right w:val="double" w:sz="6" w:space="0" w:color="auto"/>
            </w:tcBorders>
            <w:shd w:val="clear" w:color="auto" w:fill="auto"/>
            <w:noWrap/>
            <w:vAlign w:val="bottom"/>
            <w:hideMark/>
          </w:tcPr>
          <w:p w14:paraId="3E57D1D8"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98,0</w:t>
            </w:r>
          </w:p>
        </w:tc>
      </w:tr>
      <w:tr w:rsidR="005E6000" w:rsidRPr="00ED02BE" w14:paraId="717C86B0" w14:textId="77777777" w:rsidTr="00EE42FE">
        <w:trPr>
          <w:trHeight w:val="300"/>
        </w:trPr>
        <w:tc>
          <w:tcPr>
            <w:tcW w:w="2624" w:type="dxa"/>
            <w:tcBorders>
              <w:top w:val="nil"/>
              <w:left w:val="double" w:sz="6" w:space="0" w:color="auto"/>
              <w:bottom w:val="single" w:sz="4" w:space="0" w:color="auto"/>
              <w:right w:val="single" w:sz="4" w:space="0" w:color="auto"/>
            </w:tcBorders>
            <w:shd w:val="clear" w:color="auto" w:fill="auto"/>
            <w:noWrap/>
            <w:vAlign w:val="bottom"/>
            <w:hideMark/>
          </w:tcPr>
          <w:p w14:paraId="659AD5F3"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Cukrovka</w:t>
            </w:r>
          </w:p>
        </w:tc>
        <w:tc>
          <w:tcPr>
            <w:tcW w:w="960" w:type="dxa"/>
            <w:tcBorders>
              <w:top w:val="nil"/>
              <w:left w:val="nil"/>
              <w:bottom w:val="single" w:sz="4" w:space="0" w:color="auto"/>
              <w:right w:val="single" w:sz="8" w:space="0" w:color="auto"/>
            </w:tcBorders>
            <w:shd w:val="clear" w:color="auto" w:fill="auto"/>
            <w:noWrap/>
            <w:vAlign w:val="bottom"/>
            <w:hideMark/>
          </w:tcPr>
          <w:p w14:paraId="000EC112"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tis. ha</w:t>
            </w:r>
          </w:p>
        </w:tc>
        <w:tc>
          <w:tcPr>
            <w:tcW w:w="960" w:type="dxa"/>
            <w:tcBorders>
              <w:top w:val="nil"/>
              <w:left w:val="nil"/>
              <w:bottom w:val="single" w:sz="4" w:space="0" w:color="auto"/>
              <w:right w:val="single" w:sz="4" w:space="0" w:color="auto"/>
            </w:tcBorders>
            <w:shd w:val="clear" w:color="auto" w:fill="auto"/>
            <w:noWrap/>
            <w:vAlign w:val="bottom"/>
            <w:hideMark/>
          </w:tcPr>
          <w:p w14:paraId="51117155"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77,5</w:t>
            </w:r>
          </w:p>
        </w:tc>
        <w:tc>
          <w:tcPr>
            <w:tcW w:w="960" w:type="dxa"/>
            <w:tcBorders>
              <w:top w:val="nil"/>
              <w:left w:val="nil"/>
              <w:bottom w:val="single" w:sz="4" w:space="0" w:color="auto"/>
              <w:right w:val="single" w:sz="4" w:space="0" w:color="auto"/>
            </w:tcBorders>
            <w:shd w:val="clear" w:color="auto" w:fill="auto"/>
            <w:noWrap/>
            <w:vAlign w:val="bottom"/>
            <w:hideMark/>
          </w:tcPr>
          <w:p w14:paraId="2535A0A6"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63,2</w:t>
            </w:r>
          </w:p>
        </w:tc>
        <w:tc>
          <w:tcPr>
            <w:tcW w:w="960" w:type="dxa"/>
            <w:tcBorders>
              <w:top w:val="nil"/>
              <w:left w:val="nil"/>
              <w:bottom w:val="single" w:sz="4" w:space="0" w:color="auto"/>
              <w:right w:val="single" w:sz="4" w:space="0" w:color="auto"/>
            </w:tcBorders>
            <w:shd w:val="clear" w:color="auto" w:fill="auto"/>
            <w:noWrap/>
            <w:vAlign w:val="bottom"/>
            <w:hideMark/>
          </w:tcPr>
          <w:p w14:paraId="1560CE75"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62,0</w:t>
            </w:r>
          </w:p>
        </w:tc>
        <w:tc>
          <w:tcPr>
            <w:tcW w:w="1333" w:type="dxa"/>
            <w:tcBorders>
              <w:top w:val="nil"/>
              <w:left w:val="nil"/>
              <w:bottom w:val="single" w:sz="4" w:space="0" w:color="auto"/>
              <w:right w:val="single" w:sz="4" w:space="0" w:color="auto"/>
            </w:tcBorders>
            <w:shd w:val="clear" w:color="auto" w:fill="auto"/>
            <w:noWrap/>
            <w:vAlign w:val="bottom"/>
            <w:hideMark/>
          </w:tcPr>
          <w:p w14:paraId="3DDD234A"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80,0</w:t>
            </w:r>
          </w:p>
        </w:tc>
        <w:tc>
          <w:tcPr>
            <w:tcW w:w="1278" w:type="dxa"/>
            <w:tcBorders>
              <w:top w:val="nil"/>
              <w:left w:val="nil"/>
              <w:bottom w:val="single" w:sz="4" w:space="0" w:color="auto"/>
              <w:right w:val="double" w:sz="6" w:space="0" w:color="auto"/>
            </w:tcBorders>
            <w:shd w:val="clear" w:color="auto" w:fill="auto"/>
            <w:noWrap/>
            <w:vAlign w:val="bottom"/>
            <w:hideMark/>
          </w:tcPr>
          <w:p w14:paraId="679F9DFB"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98,1</w:t>
            </w:r>
          </w:p>
        </w:tc>
      </w:tr>
      <w:tr w:rsidR="005E6000" w:rsidRPr="00ED02BE" w14:paraId="08D2FC5D" w14:textId="77777777" w:rsidTr="00EE42FE">
        <w:trPr>
          <w:trHeight w:val="300"/>
        </w:trPr>
        <w:tc>
          <w:tcPr>
            <w:tcW w:w="2624" w:type="dxa"/>
            <w:tcBorders>
              <w:top w:val="nil"/>
              <w:left w:val="double" w:sz="6" w:space="0" w:color="auto"/>
              <w:bottom w:val="single" w:sz="4" w:space="0" w:color="auto"/>
              <w:right w:val="single" w:sz="4" w:space="0" w:color="auto"/>
            </w:tcBorders>
            <w:shd w:val="clear" w:color="auto" w:fill="auto"/>
            <w:noWrap/>
            <w:vAlign w:val="bottom"/>
            <w:hideMark/>
          </w:tcPr>
          <w:p w14:paraId="51480C57"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Pícniny na o. p.</w:t>
            </w:r>
          </w:p>
        </w:tc>
        <w:tc>
          <w:tcPr>
            <w:tcW w:w="960" w:type="dxa"/>
            <w:tcBorders>
              <w:top w:val="nil"/>
              <w:left w:val="nil"/>
              <w:bottom w:val="single" w:sz="4" w:space="0" w:color="auto"/>
              <w:right w:val="single" w:sz="8" w:space="0" w:color="auto"/>
            </w:tcBorders>
            <w:shd w:val="clear" w:color="auto" w:fill="auto"/>
            <w:noWrap/>
            <w:vAlign w:val="bottom"/>
            <w:hideMark/>
          </w:tcPr>
          <w:p w14:paraId="540E4FEE"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tis. ha</w:t>
            </w:r>
          </w:p>
        </w:tc>
        <w:tc>
          <w:tcPr>
            <w:tcW w:w="960" w:type="dxa"/>
            <w:tcBorders>
              <w:top w:val="nil"/>
              <w:left w:val="nil"/>
              <w:bottom w:val="single" w:sz="4" w:space="0" w:color="auto"/>
              <w:right w:val="single" w:sz="4" w:space="0" w:color="auto"/>
            </w:tcBorders>
            <w:shd w:val="clear" w:color="auto" w:fill="auto"/>
            <w:noWrap/>
            <w:vAlign w:val="bottom"/>
            <w:hideMark/>
          </w:tcPr>
          <w:p w14:paraId="441D2DA2"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292,8</w:t>
            </w:r>
          </w:p>
        </w:tc>
        <w:tc>
          <w:tcPr>
            <w:tcW w:w="960" w:type="dxa"/>
            <w:tcBorders>
              <w:top w:val="nil"/>
              <w:left w:val="nil"/>
              <w:bottom w:val="single" w:sz="4" w:space="0" w:color="auto"/>
              <w:right w:val="single" w:sz="4" w:space="0" w:color="auto"/>
            </w:tcBorders>
            <w:shd w:val="clear" w:color="auto" w:fill="auto"/>
            <w:noWrap/>
            <w:vAlign w:val="bottom"/>
            <w:hideMark/>
          </w:tcPr>
          <w:p w14:paraId="2E6C8754"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171,2</w:t>
            </w:r>
          </w:p>
        </w:tc>
        <w:tc>
          <w:tcPr>
            <w:tcW w:w="960" w:type="dxa"/>
            <w:tcBorders>
              <w:top w:val="nil"/>
              <w:left w:val="nil"/>
              <w:bottom w:val="single" w:sz="4" w:space="0" w:color="auto"/>
              <w:right w:val="single" w:sz="4" w:space="0" w:color="auto"/>
            </w:tcBorders>
            <w:shd w:val="clear" w:color="auto" w:fill="auto"/>
            <w:noWrap/>
            <w:vAlign w:val="bottom"/>
            <w:hideMark/>
          </w:tcPr>
          <w:p w14:paraId="14907570"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199,2</w:t>
            </w:r>
          </w:p>
        </w:tc>
        <w:tc>
          <w:tcPr>
            <w:tcW w:w="1333" w:type="dxa"/>
            <w:tcBorders>
              <w:top w:val="nil"/>
              <w:left w:val="nil"/>
              <w:bottom w:val="single" w:sz="4" w:space="0" w:color="auto"/>
              <w:right w:val="single" w:sz="4" w:space="0" w:color="auto"/>
            </w:tcBorders>
            <w:shd w:val="clear" w:color="auto" w:fill="auto"/>
            <w:noWrap/>
            <w:vAlign w:val="bottom"/>
            <w:hideMark/>
          </w:tcPr>
          <w:p w14:paraId="04F60DF3"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68,0</w:t>
            </w:r>
          </w:p>
        </w:tc>
        <w:tc>
          <w:tcPr>
            <w:tcW w:w="1278" w:type="dxa"/>
            <w:tcBorders>
              <w:top w:val="nil"/>
              <w:left w:val="nil"/>
              <w:bottom w:val="single" w:sz="4" w:space="0" w:color="auto"/>
              <w:right w:val="double" w:sz="6" w:space="0" w:color="auto"/>
            </w:tcBorders>
            <w:shd w:val="clear" w:color="auto" w:fill="auto"/>
            <w:noWrap/>
            <w:vAlign w:val="bottom"/>
            <w:hideMark/>
          </w:tcPr>
          <w:p w14:paraId="6E81E8F5"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116,4</w:t>
            </w:r>
          </w:p>
        </w:tc>
      </w:tr>
      <w:tr w:rsidR="005E6000" w:rsidRPr="00ED02BE" w14:paraId="53C48D5C" w14:textId="77777777" w:rsidTr="00EE42FE">
        <w:trPr>
          <w:trHeight w:val="300"/>
        </w:trPr>
        <w:tc>
          <w:tcPr>
            <w:tcW w:w="2624" w:type="dxa"/>
            <w:tcBorders>
              <w:top w:val="nil"/>
              <w:left w:val="double" w:sz="6" w:space="0" w:color="auto"/>
              <w:bottom w:val="single" w:sz="4" w:space="0" w:color="auto"/>
              <w:right w:val="single" w:sz="4" w:space="0" w:color="auto"/>
            </w:tcBorders>
            <w:shd w:val="clear" w:color="auto" w:fill="auto"/>
            <w:noWrap/>
            <w:vAlign w:val="bottom"/>
            <w:hideMark/>
          </w:tcPr>
          <w:p w14:paraId="21282AEB"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Olejniny</w:t>
            </w:r>
          </w:p>
        </w:tc>
        <w:tc>
          <w:tcPr>
            <w:tcW w:w="960" w:type="dxa"/>
            <w:tcBorders>
              <w:top w:val="nil"/>
              <w:left w:val="nil"/>
              <w:bottom w:val="single" w:sz="4" w:space="0" w:color="auto"/>
              <w:right w:val="single" w:sz="8" w:space="0" w:color="auto"/>
            </w:tcBorders>
            <w:shd w:val="clear" w:color="auto" w:fill="auto"/>
            <w:noWrap/>
            <w:vAlign w:val="bottom"/>
            <w:hideMark/>
          </w:tcPr>
          <w:p w14:paraId="1D033684"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tis. ha</w:t>
            </w:r>
          </w:p>
        </w:tc>
        <w:tc>
          <w:tcPr>
            <w:tcW w:w="960" w:type="dxa"/>
            <w:tcBorders>
              <w:top w:val="nil"/>
              <w:left w:val="nil"/>
              <w:bottom w:val="single" w:sz="4" w:space="0" w:color="auto"/>
              <w:right w:val="single" w:sz="4" w:space="0" w:color="auto"/>
            </w:tcBorders>
            <w:shd w:val="clear" w:color="auto" w:fill="auto"/>
            <w:noWrap/>
            <w:vAlign w:val="bottom"/>
            <w:hideMark/>
          </w:tcPr>
          <w:p w14:paraId="1F4F21D3"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421,1</w:t>
            </w:r>
          </w:p>
        </w:tc>
        <w:tc>
          <w:tcPr>
            <w:tcW w:w="960" w:type="dxa"/>
            <w:tcBorders>
              <w:top w:val="nil"/>
              <w:left w:val="nil"/>
              <w:bottom w:val="single" w:sz="4" w:space="0" w:color="auto"/>
              <w:right w:val="single" w:sz="4" w:space="0" w:color="auto"/>
            </w:tcBorders>
            <w:shd w:val="clear" w:color="auto" w:fill="auto"/>
            <w:noWrap/>
            <w:vAlign w:val="bottom"/>
            <w:hideMark/>
          </w:tcPr>
          <w:p w14:paraId="39D15426"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474</w:t>
            </w:r>
          </w:p>
        </w:tc>
        <w:tc>
          <w:tcPr>
            <w:tcW w:w="960" w:type="dxa"/>
            <w:tcBorders>
              <w:top w:val="nil"/>
              <w:left w:val="nil"/>
              <w:bottom w:val="single" w:sz="4" w:space="0" w:color="auto"/>
              <w:right w:val="single" w:sz="4" w:space="0" w:color="auto"/>
            </w:tcBorders>
            <w:shd w:val="clear" w:color="auto" w:fill="auto"/>
            <w:noWrap/>
            <w:vAlign w:val="bottom"/>
            <w:hideMark/>
          </w:tcPr>
          <w:p w14:paraId="2E960DFF"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461,8</w:t>
            </w:r>
          </w:p>
        </w:tc>
        <w:tc>
          <w:tcPr>
            <w:tcW w:w="1333" w:type="dxa"/>
            <w:tcBorders>
              <w:top w:val="nil"/>
              <w:left w:val="nil"/>
              <w:bottom w:val="single" w:sz="4" w:space="0" w:color="auto"/>
              <w:right w:val="single" w:sz="4" w:space="0" w:color="auto"/>
            </w:tcBorders>
            <w:shd w:val="clear" w:color="auto" w:fill="auto"/>
            <w:noWrap/>
            <w:vAlign w:val="bottom"/>
            <w:hideMark/>
          </w:tcPr>
          <w:p w14:paraId="4DA3C175"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109,7</w:t>
            </w:r>
          </w:p>
        </w:tc>
        <w:tc>
          <w:tcPr>
            <w:tcW w:w="1278" w:type="dxa"/>
            <w:tcBorders>
              <w:top w:val="nil"/>
              <w:left w:val="nil"/>
              <w:bottom w:val="single" w:sz="4" w:space="0" w:color="auto"/>
              <w:right w:val="double" w:sz="6" w:space="0" w:color="auto"/>
            </w:tcBorders>
            <w:shd w:val="clear" w:color="auto" w:fill="auto"/>
            <w:noWrap/>
            <w:vAlign w:val="bottom"/>
            <w:hideMark/>
          </w:tcPr>
          <w:p w14:paraId="1E418CD5"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97,4</w:t>
            </w:r>
          </w:p>
        </w:tc>
      </w:tr>
      <w:tr w:rsidR="005E6000" w:rsidRPr="00ED02BE" w14:paraId="1A45AF27" w14:textId="77777777" w:rsidTr="00EE42FE">
        <w:trPr>
          <w:trHeight w:val="300"/>
        </w:trPr>
        <w:tc>
          <w:tcPr>
            <w:tcW w:w="2624" w:type="dxa"/>
            <w:tcBorders>
              <w:top w:val="nil"/>
              <w:left w:val="double" w:sz="6" w:space="0" w:color="auto"/>
              <w:bottom w:val="single" w:sz="4" w:space="0" w:color="auto"/>
              <w:right w:val="single" w:sz="4" w:space="0" w:color="auto"/>
            </w:tcBorders>
            <w:shd w:val="clear" w:color="auto" w:fill="auto"/>
            <w:noWrap/>
            <w:vAlign w:val="bottom"/>
            <w:hideMark/>
          </w:tcPr>
          <w:p w14:paraId="366FF54A"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Mák modrý</w:t>
            </w:r>
          </w:p>
        </w:tc>
        <w:tc>
          <w:tcPr>
            <w:tcW w:w="960" w:type="dxa"/>
            <w:tcBorders>
              <w:top w:val="nil"/>
              <w:left w:val="nil"/>
              <w:bottom w:val="single" w:sz="4" w:space="0" w:color="auto"/>
              <w:right w:val="single" w:sz="8" w:space="0" w:color="auto"/>
            </w:tcBorders>
            <w:shd w:val="clear" w:color="auto" w:fill="auto"/>
            <w:noWrap/>
            <w:vAlign w:val="bottom"/>
            <w:hideMark/>
          </w:tcPr>
          <w:p w14:paraId="0021DCD2"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tis. ha</w:t>
            </w:r>
          </w:p>
        </w:tc>
        <w:tc>
          <w:tcPr>
            <w:tcW w:w="960" w:type="dxa"/>
            <w:tcBorders>
              <w:top w:val="nil"/>
              <w:left w:val="nil"/>
              <w:bottom w:val="single" w:sz="4" w:space="0" w:color="auto"/>
              <w:right w:val="single" w:sz="4" w:space="0" w:color="auto"/>
            </w:tcBorders>
            <w:shd w:val="clear" w:color="auto" w:fill="auto"/>
            <w:noWrap/>
            <w:vAlign w:val="bottom"/>
            <w:hideMark/>
          </w:tcPr>
          <w:p w14:paraId="2E211BF6"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33,7</w:t>
            </w:r>
          </w:p>
        </w:tc>
        <w:tc>
          <w:tcPr>
            <w:tcW w:w="960" w:type="dxa"/>
            <w:tcBorders>
              <w:top w:val="nil"/>
              <w:left w:val="nil"/>
              <w:bottom w:val="single" w:sz="4" w:space="0" w:color="auto"/>
              <w:right w:val="single" w:sz="4" w:space="0" w:color="auto"/>
            </w:tcBorders>
            <w:shd w:val="clear" w:color="auto" w:fill="auto"/>
            <w:noWrap/>
            <w:vAlign w:val="bottom"/>
            <w:hideMark/>
          </w:tcPr>
          <w:p w14:paraId="473A84A2"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21,9</w:t>
            </w:r>
          </w:p>
        </w:tc>
        <w:tc>
          <w:tcPr>
            <w:tcW w:w="960" w:type="dxa"/>
            <w:tcBorders>
              <w:top w:val="nil"/>
              <w:left w:val="nil"/>
              <w:bottom w:val="single" w:sz="4" w:space="0" w:color="auto"/>
              <w:right w:val="single" w:sz="4" w:space="0" w:color="auto"/>
            </w:tcBorders>
            <w:shd w:val="clear" w:color="auto" w:fill="auto"/>
            <w:noWrap/>
            <w:vAlign w:val="bottom"/>
            <w:hideMark/>
          </w:tcPr>
          <w:p w14:paraId="2AFF2208"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35,3</w:t>
            </w:r>
          </w:p>
        </w:tc>
        <w:tc>
          <w:tcPr>
            <w:tcW w:w="1333" w:type="dxa"/>
            <w:tcBorders>
              <w:top w:val="nil"/>
              <w:left w:val="nil"/>
              <w:bottom w:val="single" w:sz="4" w:space="0" w:color="auto"/>
              <w:right w:val="single" w:sz="4" w:space="0" w:color="auto"/>
            </w:tcBorders>
            <w:shd w:val="clear" w:color="auto" w:fill="auto"/>
            <w:noWrap/>
            <w:vAlign w:val="bottom"/>
            <w:hideMark/>
          </w:tcPr>
          <w:p w14:paraId="18C944F5"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104,7</w:t>
            </w:r>
          </w:p>
        </w:tc>
        <w:tc>
          <w:tcPr>
            <w:tcW w:w="1278" w:type="dxa"/>
            <w:tcBorders>
              <w:top w:val="nil"/>
              <w:left w:val="nil"/>
              <w:bottom w:val="single" w:sz="4" w:space="0" w:color="auto"/>
              <w:right w:val="double" w:sz="6" w:space="0" w:color="auto"/>
            </w:tcBorders>
            <w:shd w:val="clear" w:color="auto" w:fill="auto"/>
            <w:noWrap/>
            <w:vAlign w:val="bottom"/>
            <w:hideMark/>
          </w:tcPr>
          <w:p w14:paraId="7C671962"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161,2</w:t>
            </w:r>
          </w:p>
        </w:tc>
      </w:tr>
      <w:tr w:rsidR="005E6000" w:rsidRPr="00ED02BE" w14:paraId="575D0A53" w14:textId="77777777" w:rsidTr="00EE42FE">
        <w:trPr>
          <w:trHeight w:val="300"/>
        </w:trPr>
        <w:tc>
          <w:tcPr>
            <w:tcW w:w="2624" w:type="dxa"/>
            <w:tcBorders>
              <w:top w:val="nil"/>
              <w:left w:val="double" w:sz="6" w:space="0" w:color="auto"/>
              <w:bottom w:val="single" w:sz="4" w:space="0" w:color="auto"/>
              <w:right w:val="single" w:sz="4" w:space="0" w:color="auto"/>
            </w:tcBorders>
            <w:shd w:val="clear" w:color="auto" w:fill="auto"/>
            <w:noWrap/>
            <w:vAlign w:val="bottom"/>
            <w:hideMark/>
          </w:tcPr>
          <w:p w14:paraId="7E5D2A08"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Len setý olejný</w:t>
            </w:r>
          </w:p>
        </w:tc>
        <w:tc>
          <w:tcPr>
            <w:tcW w:w="960" w:type="dxa"/>
            <w:tcBorders>
              <w:top w:val="nil"/>
              <w:left w:val="nil"/>
              <w:bottom w:val="single" w:sz="4" w:space="0" w:color="auto"/>
              <w:right w:val="single" w:sz="8" w:space="0" w:color="auto"/>
            </w:tcBorders>
            <w:shd w:val="clear" w:color="auto" w:fill="auto"/>
            <w:noWrap/>
            <w:vAlign w:val="bottom"/>
            <w:hideMark/>
          </w:tcPr>
          <w:p w14:paraId="57225DF4"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tis. ha</w:t>
            </w:r>
          </w:p>
        </w:tc>
        <w:tc>
          <w:tcPr>
            <w:tcW w:w="960" w:type="dxa"/>
            <w:tcBorders>
              <w:top w:val="nil"/>
              <w:left w:val="nil"/>
              <w:bottom w:val="single" w:sz="4" w:space="0" w:color="auto"/>
              <w:right w:val="single" w:sz="4" w:space="0" w:color="auto"/>
            </w:tcBorders>
            <w:shd w:val="clear" w:color="auto" w:fill="auto"/>
            <w:noWrap/>
            <w:vAlign w:val="bottom"/>
            <w:hideMark/>
          </w:tcPr>
          <w:p w14:paraId="5C7B4CF4"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3,6</w:t>
            </w:r>
          </w:p>
        </w:tc>
        <w:tc>
          <w:tcPr>
            <w:tcW w:w="960" w:type="dxa"/>
            <w:tcBorders>
              <w:top w:val="nil"/>
              <w:left w:val="nil"/>
              <w:bottom w:val="single" w:sz="4" w:space="0" w:color="auto"/>
              <w:right w:val="single" w:sz="4" w:space="0" w:color="auto"/>
            </w:tcBorders>
            <w:shd w:val="clear" w:color="auto" w:fill="auto"/>
            <w:noWrap/>
            <w:vAlign w:val="bottom"/>
            <w:hideMark/>
          </w:tcPr>
          <w:p w14:paraId="01441B64"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1,7</w:t>
            </w:r>
          </w:p>
        </w:tc>
        <w:tc>
          <w:tcPr>
            <w:tcW w:w="960" w:type="dxa"/>
            <w:tcBorders>
              <w:top w:val="nil"/>
              <w:left w:val="nil"/>
              <w:bottom w:val="single" w:sz="4" w:space="0" w:color="auto"/>
              <w:right w:val="single" w:sz="4" w:space="0" w:color="auto"/>
            </w:tcBorders>
            <w:shd w:val="clear" w:color="auto" w:fill="auto"/>
            <w:noWrap/>
            <w:vAlign w:val="bottom"/>
            <w:hideMark/>
          </w:tcPr>
          <w:p w14:paraId="2CDB6A46"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1,5</w:t>
            </w:r>
          </w:p>
        </w:tc>
        <w:tc>
          <w:tcPr>
            <w:tcW w:w="1333" w:type="dxa"/>
            <w:tcBorders>
              <w:top w:val="nil"/>
              <w:left w:val="nil"/>
              <w:bottom w:val="single" w:sz="4" w:space="0" w:color="auto"/>
              <w:right w:val="single" w:sz="4" w:space="0" w:color="auto"/>
            </w:tcBorders>
            <w:shd w:val="clear" w:color="auto" w:fill="auto"/>
            <w:noWrap/>
            <w:vAlign w:val="bottom"/>
            <w:hideMark/>
          </w:tcPr>
          <w:p w14:paraId="7888D9F1"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41,7</w:t>
            </w:r>
          </w:p>
        </w:tc>
        <w:tc>
          <w:tcPr>
            <w:tcW w:w="1278" w:type="dxa"/>
            <w:tcBorders>
              <w:top w:val="nil"/>
              <w:left w:val="nil"/>
              <w:bottom w:val="single" w:sz="4" w:space="0" w:color="auto"/>
              <w:right w:val="double" w:sz="6" w:space="0" w:color="auto"/>
            </w:tcBorders>
            <w:shd w:val="clear" w:color="auto" w:fill="auto"/>
            <w:noWrap/>
            <w:vAlign w:val="bottom"/>
            <w:hideMark/>
          </w:tcPr>
          <w:p w14:paraId="351DE814"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88,2</w:t>
            </w:r>
          </w:p>
        </w:tc>
      </w:tr>
      <w:tr w:rsidR="005E6000" w:rsidRPr="00ED02BE" w14:paraId="4FE9CC24" w14:textId="77777777" w:rsidTr="00EE42FE">
        <w:trPr>
          <w:trHeight w:val="300"/>
        </w:trPr>
        <w:tc>
          <w:tcPr>
            <w:tcW w:w="2624" w:type="dxa"/>
            <w:tcBorders>
              <w:top w:val="nil"/>
              <w:left w:val="double" w:sz="6" w:space="0" w:color="auto"/>
              <w:bottom w:val="single" w:sz="4" w:space="0" w:color="auto"/>
              <w:right w:val="single" w:sz="4" w:space="0" w:color="auto"/>
            </w:tcBorders>
            <w:shd w:val="clear" w:color="auto" w:fill="auto"/>
            <w:noWrap/>
            <w:vAlign w:val="bottom"/>
            <w:hideMark/>
          </w:tcPr>
          <w:p w14:paraId="276201CC"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Zelenina</w:t>
            </w:r>
          </w:p>
        </w:tc>
        <w:tc>
          <w:tcPr>
            <w:tcW w:w="960" w:type="dxa"/>
            <w:tcBorders>
              <w:top w:val="nil"/>
              <w:left w:val="nil"/>
              <w:bottom w:val="single" w:sz="4" w:space="0" w:color="auto"/>
              <w:right w:val="single" w:sz="8" w:space="0" w:color="auto"/>
            </w:tcBorders>
            <w:shd w:val="clear" w:color="auto" w:fill="auto"/>
            <w:noWrap/>
            <w:vAlign w:val="bottom"/>
            <w:hideMark/>
          </w:tcPr>
          <w:p w14:paraId="75EBBB4F"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tis. ha</w:t>
            </w:r>
          </w:p>
        </w:tc>
        <w:tc>
          <w:tcPr>
            <w:tcW w:w="960" w:type="dxa"/>
            <w:tcBorders>
              <w:top w:val="nil"/>
              <w:left w:val="nil"/>
              <w:bottom w:val="single" w:sz="4" w:space="0" w:color="auto"/>
              <w:right w:val="single" w:sz="4" w:space="0" w:color="auto"/>
            </w:tcBorders>
            <w:shd w:val="clear" w:color="auto" w:fill="auto"/>
            <w:noWrap/>
            <w:vAlign w:val="bottom"/>
            <w:hideMark/>
          </w:tcPr>
          <w:p w14:paraId="6F7DBB7C"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20,3</w:t>
            </w:r>
          </w:p>
        </w:tc>
        <w:tc>
          <w:tcPr>
            <w:tcW w:w="960" w:type="dxa"/>
            <w:tcBorders>
              <w:top w:val="nil"/>
              <w:left w:val="nil"/>
              <w:bottom w:val="single" w:sz="4" w:space="0" w:color="auto"/>
              <w:right w:val="single" w:sz="4" w:space="0" w:color="auto"/>
            </w:tcBorders>
            <w:shd w:val="clear" w:color="auto" w:fill="auto"/>
            <w:noWrap/>
            <w:vAlign w:val="bottom"/>
            <w:hideMark/>
          </w:tcPr>
          <w:p w14:paraId="458E7291"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12,9</w:t>
            </w:r>
          </w:p>
        </w:tc>
        <w:tc>
          <w:tcPr>
            <w:tcW w:w="960" w:type="dxa"/>
            <w:tcBorders>
              <w:top w:val="nil"/>
              <w:left w:val="nil"/>
              <w:bottom w:val="single" w:sz="4" w:space="0" w:color="auto"/>
              <w:right w:val="single" w:sz="4" w:space="0" w:color="auto"/>
            </w:tcBorders>
            <w:shd w:val="clear" w:color="auto" w:fill="auto"/>
            <w:noWrap/>
            <w:vAlign w:val="bottom"/>
            <w:hideMark/>
          </w:tcPr>
          <w:p w14:paraId="04CDFB86"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14,5</w:t>
            </w:r>
          </w:p>
        </w:tc>
        <w:tc>
          <w:tcPr>
            <w:tcW w:w="1333" w:type="dxa"/>
            <w:tcBorders>
              <w:top w:val="nil"/>
              <w:left w:val="nil"/>
              <w:bottom w:val="single" w:sz="4" w:space="0" w:color="auto"/>
              <w:right w:val="single" w:sz="4" w:space="0" w:color="auto"/>
            </w:tcBorders>
            <w:shd w:val="clear" w:color="auto" w:fill="auto"/>
            <w:noWrap/>
            <w:vAlign w:val="bottom"/>
            <w:hideMark/>
          </w:tcPr>
          <w:p w14:paraId="6D36E4CC"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71,4</w:t>
            </w:r>
          </w:p>
        </w:tc>
        <w:tc>
          <w:tcPr>
            <w:tcW w:w="1278" w:type="dxa"/>
            <w:tcBorders>
              <w:top w:val="nil"/>
              <w:left w:val="nil"/>
              <w:bottom w:val="single" w:sz="4" w:space="0" w:color="auto"/>
              <w:right w:val="double" w:sz="6" w:space="0" w:color="auto"/>
            </w:tcBorders>
            <w:shd w:val="clear" w:color="auto" w:fill="auto"/>
            <w:noWrap/>
            <w:vAlign w:val="bottom"/>
            <w:hideMark/>
          </w:tcPr>
          <w:p w14:paraId="6DF44AE3"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112,4</w:t>
            </w:r>
          </w:p>
        </w:tc>
      </w:tr>
      <w:tr w:rsidR="005E6000" w:rsidRPr="00ED02BE" w14:paraId="0BD20676" w14:textId="77777777" w:rsidTr="00EE42FE">
        <w:trPr>
          <w:trHeight w:val="300"/>
        </w:trPr>
        <w:tc>
          <w:tcPr>
            <w:tcW w:w="2624" w:type="dxa"/>
            <w:tcBorders>
              <w:top w:val="nil"/>
              <w:left w:val="double" w:sz="6" w:space="0" w:color="auto"/>
              <w:bottom w:val="single" w:sz="4" w:space="0" w:color="auto"/>
              <w:right w:val="single" w:sz="4" w:space="0" w:color="auto"/>
            </w:tcBorders>
            <w:shd w:val="clear" w:color="auto" w:fill="auto"/>
            <w:noWrap/>
            <w:vAlign w:val="bottom"/>
            <w:hideMark/>
          </w:tcPr>
          <w:p w14:paraId="57496DA6"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Trvalé kultury</w:t>
            </w:r>
          </w:p>
        </w:tc>
        <w:tc>
          <w:tcPr>
            <w:tcW w:w="960" w:type="dxa"/>
            <w:tcBorders>
              <w:top w:val="nil"/>
              <w:left w:val="nil"/>
              <w:bottom w:val="single" w:sz="4" w:space="0" w:color="auto"/>
              <w:right w:val="single" w:sz="8" w:space="0" w:color="auto"/>
            </w:tcBorders>
            <w:shd w:val="clear" w:color="auto" w:fill="auto"/>
            <w:noWrap/>
            <w:vAlign w:val="bottom"/>
            <w:hideMark/>
          </w:tcPr>
          <w:p w14:paraId="37005AB6"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tis. ha</w:t>
            </w:r>
          </w:p>
        </w:tc>
        <w:tc>
          <w:tcPr>
            <w:tcW w:w="960" w:type="dxa"/>
            <w:tcBorders>
              <w:top w:val="nil"/>
              <w:left w:val="nil"/>
              <w:bottom w:val="single" w:sz="4" w:space="0" w:color="auto"/>
              <w:right w:val="single" w:sz="4" w:space="0" w:color="auto"/>
            </w:tcBorders>
            <w:shd w:val="clear" w:color="auto" w:fill="auto"/>
            <w:noWrap/>
            <w:vAlign w:val="bottom"/>
            <w:hideMark/>
          </w:tcPr>
          <w:p w14:paraId="23A4D70E"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33,9</w:t>
            </w:r>
          </w:p>
        </w:tc>
        <w:tc>
          <w:tcPr>
            <w:tcW w:w="960" w:type="dxa"/>
            <w:tcBorders>
              <w:top w:val="nil"/>
              <w:left w:val="nil"/>
              <w:bottom w:val="single" w:sz="4" w:space="0" w:color="auto"/>
              <w:right w:val="single" w:sz="4" w:space="0" w:color="auto"/>
            </w:tcBorders>
            <w:shd w:val="clear" w:color="auto" w:fill="auto"/>
            <w:noWrap/>
            <w:vAlign w:val="bottom"/>
            <w:hideMark/>
          </w:tcPr>
          <w:p w14:paraId="05DAECE3"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36,6</w:t>
            </w:r>
          </w:p>
        </w:tc>
        <w:tc>
          <w:tcPr>
            <w:tcW w:w="960" w:type="dxa"/>
            <w:tcBorders>
              <w:top w:val="nil"/>
              <w:left w:val="nil"/>
              <w:bottom w:val="single" w:sz="4" w:space="0" w:color="auto"/>
              <w:right w:val="single" w:sz="4" w:space="0" w:color="auto"/>
            </w:tcBorders>
            <w:shd w:val="clear" w:color="auto" w:fill="auto"/>
            <w:noWrap/>
            <w:vAlign w:val="bottom"/>
            <w:hideMark/>
          </w:tcPr>
          <w:p w14:paraId="3ABE67CE"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33,9</w:t>
            </w:r>
          </w:p>
        </w:tc>
        <w:tc>
          <w:tcPr>
            <w:tcW w:w="1333" w:type="dxa"/>
            <w:tcBorders>
              <w:top w:val="nil"/>
              <w:left w:val="nil"/>
              <w:bottom w:val="single" w:sz="4" w:space="0" w:color="auto"/>
              <w:right w:val="single" w:sz="4" w:space="0" w:color="auto"/>
            </w:tcBorders>
            <w:shd w:val="clear" w:color="auto" w:fill="auto"/>
            <w:noWrap/>
            <w:vAlign w:val="bottom"/>
            <w:hideMark/>
          </w:tcPr>
          <w:p w14:paraId="35A10B2D"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100,0</w:t>
            </w:r>
          </w:p>
        </w:tc>
        <w:tc>
          <w:tcPr>
            <w:tcW w:w="1278" w:type="dxa"/>
            <w:tcBorders>
              <w:top w:val="nil"/>
              <w:left w:val="nil"/>
              <w:bottom w:val="single" w:sz="4" w:space="0" w:color="auto"/>
              <w:right w:val="double" w:sz="6" w:space="0" w:color="auto"/>
            </w:tcBorders>
            <w:shd w:val="clear" w:color="auto" w:fill="auto"/>
            <w:noWrap/>
            <w:vAlign w:val="bottom"/>
            <w:hideMark/>
          </w:tcPr>
          <w:p w14:paraId="7E367FCE"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92,6</w:t>
            </w:r>
          </w:p>
        </w:tc>
      </w:tr>
      <w:tr w:rsidR="005E6000" w:rsidRPr="00ED02BE" w14:paraId="2DD8CCB5" w14:textId="77777777" w:rsidTr="00EE42FE">
        <w:trPr>
          <w:trHeight w:val="315"/>
        </w:trPr>
        <w:tc>
          <w:tcPr>
            <w:tcW w:w="2624" w:type="dxa"/>
            <w:tcBorders>
              <w:top w:val="nil"/>
              <w:left w:val="double" w:sz="6" w:space="0" w:color="auto"/>
              <w:bottom w:val="single" w:sz="8" w:space="0" w:color="auto"/>
              <w:right w:val="single" w:sz="4" w:space="0" w:color="auto"/>
            </w:tcBorders>
            <w:shd w:val="clear" w:color="auto" w:fill="auto"/>
            <w:noWrap/>
            <w:vAlign w:val="bottom"/>
            <w:hideMark/>
          </w:tcPr>
          <w:p w14:paraId="134EA3D4"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TTP</w:t>
            </w:r>
          </w:p>
        </w:tc>
        <w:tc>
          <w:tcPr>
            <w:tcW w:w="960" w:type="dxa"/>
            <w:tcBorders>
              <w:top w:val="nil"/>
              <w:left w:val="nil"/>
              <w:bottom w:val="single" w:sz="8" w:space="0" w:color="auto"/>
              <w:right w:val="single" w:sz="8" w:space="0" w:color="auto"/>
            </w:tcBorders>
            <w:shd w:val="clear" w:color="auto" w:fill="auto"/>
            <w:noWrap/>
            <w:vAlign w:val="bottom"/>
            <w:hideMark/>
          </w:tcPr>
          <w:p w14:paraId="4AEFB004"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tis. ha</w:t>
            </w:r>
          </w:p>
        </w:tc>
        <w:tc>
          <w:tcPr>
            <w:tcW w:w="960" w:type="dxa"/>
            <w:tcBorders>
              <w:top w:val="nil"/>
              <w:left w:val="nil"/>
              <w:bottom w:val="single" w:sz="8" w:space="0" w:color="auto"/>
              <w:right w:val="single" w:sz="4" w:space="0" w:color="auto"/>
            </w:tcBorders>
            <w:shd w:val="clear" w:color="auto" w:fill="auto"/>
            <w:noWrap/>
            <w:vAlign w:val="bottom"/>
            <w:hideMark/>
          </w:tcPr>
          <w:p w14:paraId="6840658A"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872,6</w:t>
            </w:r>
          </w:p>
        </w:tc>
        <w:tc>
          <w:tcPr>
            <w:tcW w:w="960" w:type="dxa"/>
            <w:tcBorders>
              <w:top w:val="nil"/>
              <w:left w:val="nil"/>
              <w:bottom w:val="single" w:sz="8" w:space="0" w:color="auto"/>
              <w:right w:val="single" w:sz="4" w:space="0" w:color="auto"/>
            </w:tcBorders>
            <w:shd w:val="clear" w:color="auto" w:fill="auto"/>
            <w:noWrap/>
            <w:vAlign w:val="bottom"/>
            <w:hideMark/>
          </w:tcPr>
          <w:p w14:paraId="0984420B"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958,5</w:t>
            </w:r>
          </w:p>
        </w:tc>
        <w:tc>
          <w:tcPr>
            <w:tcW w:w="960" w:type="dxa"/>
            <w:tcBorders>
              <w:top w:val="nil"/>
              <w:left w:val="nil"/>
              <w:bottom w:val="single" w:sz="8" w:space="0" w:color="auto"/>
              <w:right w:val="single" w:sz="4" w:space="0" w:color="auto"/>
            </w:tcBorders>
            <w:shd w:val="clear" w:color="auto" w:fill="auto"/>
            <w:noWrap/>
            <w:vAlign w:val="bottom"/>
            <w:hideMark/>
          </w:tcPr>
          <w:p w14:paraId="31E64A7B"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968,0</w:t>
            </w:r>
          </w:p>
        </w:tc>
        <w:tc>
          <w:tcPr>
            <w:tcW w:w="1333" w:type="dxa"/>
            <w:tcBorders>
              <w:top w:val="nil"/>
              <w:left w:val="nil"/>
              <w:bottom w:val="single" w:sz="8" w:space="0" w:color="auto"/>
              <w:right w:val="single" w:sz="4" w:space="0" w:color="auto"/>
            </w:tcBorders>
            <w:shd w:val="clear" w:color="auto" w:fill="auto"/>
            <w:noWrap/>
            <w:vAlign w:val="bottom"/>
            <w:hideMark/>
          </w:tcPr>
          <w:p w14:paraId="6AC42A25"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71,4</w:t>
            </w:r>
          </w:p>
        </w:tc>
        <w:tc>
          <w:tcPr>
            <w:tcW w:w="1278" w:type="dxa"/>
            <w:tcBorders>
              <w:top w:val="nil"/>
              <w:left w:val="nil"/>
              <w:bottom w:val="single" w:sz="8" w:space="0" w:color="auto"/>
              <w:right w:val="double" w:sz="6" w:space="0" w:color="auto"/>
            </w:tcBorders>
            <w:shd w:val="clear" w:color="auto" w:fill="auto"/>
            <w:noWrap/>
            <w:vAlign w:val="bottom"/>
            <w:hideMark/>
          </w:tcPr>
          <w:p w14:paraId="0291C901"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101,0</w:t>
            </w:r>
          </w:p>
        </w:tc>
      </w:tr>
      <w:tr w:rsidR="005E6000" w:rsidRPr="00ED02BE" w14:paraId="64111A29" w14:textId="77777777" w:rsidTr="00EE42FE">
        <w:trPr>
          <w:trHeight w:val="300"/>
        </w:trPr>
        <w:tc>
          <w:tcPr>
            <w:tcW w:w="2624" w:type="dxa"/>
            <w:tcBorders>
              <w:top w:val="nil"/>
              <w:left w:val="double" w:sz="6" w:space="0" w:color="auto"/>
              <w:bottom w:val="single" w:sz="4" w:space="0" w:color="auto"/>
              <w:right w:val="single" w:sz="4" w:space="0" w:color="auto"/>
            </w:tcBorders>
            <w:shd w:val="clear" w:color="auto" w:fill="auto"/>
            <w:noWrap/>
            <w:vAlign w:val="bottom"/>
            <w:hideMark/>
          </w:tcPr>
          <w:p w14:paraId="71320F13"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Dojnice</w:t>
            </w:r>
          </w:p>
        </w:tc>
        <w:tc>
          <w:tcPr>
            <w:tcW w:w="960" w:type="dxa"/>
            <w:tcBorders>
              <w:top w:val="nil"/>
              <w:left w:val="nil"/>
              <w:bottom w:val="single" w:sz="4" w:space="0" w:color="auto"/>
              <w:right w:val="single" w:sz="8" w:space="0" w:color="auto"/>
            </w:tcBorders>
            <w:shd w:val="clear" w:color="auto" w:fill="auto"/>
            <w:noWrap/>
            <w:vAlign w:val="bottom"/>
            <w:hideMark/>
          </w:tcPr>
          <w:p w14:paraId="28793C26"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tis. ks</w:t>
            </w:r>
          </w:p>
        </w:tc>
        <w:tc>
          <w:tcPr>
            <w:tcW w:w="960" w:type="dxa"/>
            <w:tcBorders>
              <w:top w:val="nil"/>
              <w:left w:val="nil"/>
              <w:bottom w:val="single" w:sz="4" w:space="0" w:color="auto"/>
              <w:right w:val="single" w:sz="4" w:space="0" w:color="auto"/>
            </w:tcBorders>
            <w:shd w:val="clear" w:color="auto" w:fill="auto"/>
            <w:noWrap/>
            <w:vAlign w:val="bottom"/>
            <w:hideMark/>
          </w:tcPr>
          <w:p w14:paraId="4E05352D"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473,3</w:t>
            </w:r>
          </w:p>
        </w:tc>
        <w:tc>
          <w:tcPr>
            <w:tcW w:w="960" w:type="dxa"/>
            <w:tcBorders>
              <w:top w:val="nil"/>
              <w:left w:val="nil"/>
              <w:bottom w:val="single" w:sz="4" w:space="0" w:color="auto"/>
              <w:right w:val="single" w:sz="4" w:space="0" w:color="auto"/>
            </w:tcBorders>
            <w:shd w:val="clear" w:color="auto" w:fill="auto"/>
            <w:noWrap/>
            <w:vAlign w:val="bottom"/>
            <w:hideMark/>
          </w:tcPr>
          <w:p w14:paraId="38D5E21B"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370,7</w:t>
            </w:r>
          </w:p>
        </w:tc>
        <w:tc>
          <w:tcPr>
            <w:tcW w:w="960" w:type="dxa"/>
            <w:tcBorders>
              <w:top w:val="nil"/>
              <w:left w:val="nil"/>
              <w:bottom w:val="single" w:sz="4" w:space="0" w:color="auto"/>
              <w:right w:val="single" w:sz="4" w:space="0" w:color="auto"/>
            </w:tcBorders>
            <w:shd w:val="clear" w:color="auto" w:fill="auto"/>
            <w:noWrap/>
            <w:vAlign w:val="bottom"/>
            <w:hideMark/>
          </w:tcPr>
          <w:p w14:paraId="004FE8B9"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363,7</w:t>
            </w:r>
          </w:p>
        </w:tc>
        <w:tc>
          <w:tcPr>
            <w:tcW w:w="1333" w:type="dxa"/>
            <w:tcBorders>
              <w:top w:val="nil"/>
              <w:left w:val="nil"/>
              <w:bottom w:val="single" w:sz="4" w:space="0" w:color="auto"/>
              <w:right w:val="single" w:sz="4" w:space="0" w:color="auto"/>
            </w:tcBorders>
            <w:shd w:val="clear" w:color="auto" w:fill="auto"/>
            <w:noWrap/>
            <w:vAlign w:val="bottom"/>
            <w:hideMark/>
          </w:tcPr>
          <w:p w14:paraId="149FBC8E"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76,8</w:t>
            </w:r>
          </w:p>
        </w:tc>
        <w:tc>
          <w:tcPr>
            <w:tcW w:w="1278" w:type="dxa"/>
            <w:tcBorders>
              <w:top w:val="nil"/>
              <w:left w:val="nil"/>
              <w:bottom w:val="single" w:sz="4" w:space="0" w:color="auto"/>
              <w:right w:val="double" w:sz="6" w:space="0" w:color="auto"/>
            </w:tcBorders>
            <w:shd w:val="clear" w:color="auto" w:fill="auto"/>
            <w:noWrap/>
            <w:vAlign w:val="bottom"/>
            <w:hideMark/>
          </w:tcPr>
          <w:p w14:paraId="4F1141AB"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98,1</w:t>
            </w:r>
          </w:p>
        </w:tc>
      </w:tr>
      <w:tr w:rsidR="005E6000" w:rsidRPr="00ED02BE" w14:paraId="1A5D5322" w14:textId="77777777" w:rsidTr="00EE42FE">
        <w:trPr>
          <w:trHeight w:val="300"/>
        </w:trPr>
        <w:tc>
          <w:tcPr>
            <w:tcW w:w="2624" w:type="dxa"/>
            <w:tcBorders>
              <w:top w:val="nil"/>
              <w:left w:val="double" w:sz="6" w:space="0" w:color="auto"/>
              <w:bottom w:val="single" w:sz="4" w:space="0" w:color="auto"/>
              <w:right w:val="single" w:sz="4" w:space="0" w:color="auto"/>
            </w:tcBorders>
            <w:shd w:val="clear" w:color="auto" w:fill="auto"/>
            <w:noWrap/>
            <w:vAlign w:val="bottom"/>
            <w:hideMark/>
          </w:tcPr>
          <w:p w14:paraId="7F258F87"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Krávy BTPM</w:t>
            </w:r>
          </w:p>
        </w:tc>
        <w:tc>
          <w:tcPr>
            <w:tcW w:w="960" w:type="dxa"/>
            <w:tcBorders>
              <w:top w:val="nil"/>
              <w:left w:val="nil"/>
              <w:bottom w:val="single" w:sz="4" w:space="0" w:color="auto"/>
              <w:right w:val="single" w:sz="8" w:space="0" w:color="auto"/>
            </w:tcBorders>
            <w:shd w:val="clear" w:color="auto" w:fill="auto"/>
            <w:noWrap/>
            <w:vAlign w:val="bottom"/>
            <w:hideMark/>
          </w:tcPr>
          <w:p w14:paraId="5F0018D0"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tis. ks</w:t>
            </w:r>
          </w:p>
        </w:tc>
        <w:tc>
          <w:tcPr>
            <w:tcW w:w="960" w:type="dxa"/>
            <w:tcBorders>
              <w:top w:val="nil"/>
              <w:left w:val="nil"/>
              <w:bottom w:val="single" w:sz="4" w:space="0" w:color="auto"/>
              <w:right w:val="single" w:sz="4" w:space="0" w:color="auto"/>
            </w:tcBorders>
            <w:shd w:val="clear" w:color="auto" w:fill="auto"/>
            <w:noWrap/>
            <w:vAlign w:val="bottom"/>
            <w:hideMark/>
          </w:tcPr>
          <w:p w14:paraId="21C4DD9F"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102,2</w:t>
            </w:r>
          </w:p>
        </w:tc>
        <w:tc>
          <w:tcPr>
            <w:tcW w:w="960" w:type="dxa"/>
            <w:tcBorders>
              <w:top w:val="nil"/>
              <w:left w:val="nil"/>
              <w:bottom w:val="single" w:sz="4" w:space="0" w:color="auto"/>
              <w:right w:val="single" w:sz="4" w:space="0" w:color="auto"/>
            </w:tcBorders>
            <w:shd w:val="clear" w:color="auto" w:fill="auto"/>
            <w:noWrap/>
            <w:vAlign w:val="bottom"/>
            <w:hideMark/>
          </w:tcPr>
          <w:p w14:paraId="1876F27C"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184,7</w:t>
            </w:r>
          </w:p>
        </w:tc>
        <w:tc>
          <w:tcPr>
            <w:tcW w:w="960" w:type="dxa"/>
            <w:tcBorders>
              <w:top w:val="nil"/>
              <w:left w:val="nil"/>
              <w:bottom w:val="single" w:sz="4" w:space="0" w:color="auto"/>
              <w:right w:val="single" w:sz="4" w:space="0" w:color="auto"/>
            </w:tcBorders>
            <w:shd w:val="clear" w:color="auto" w:fill="auto"/>
            <w:noWrap/>
            <w:vAlign w:val="bottom"/>
            <w:hideMark/>
          </w:tcPr>
          <w:p w14:paraId="26412ABB"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218,9</w:t>
            </w:r>
          </w:p>
        </w:tc>
        <w:tc>
          <w:tcPr>
            <w:tcW w:w="1333" w:type="dxa"/>
            <w:tcBorders>
              <w:top w:val="nil"/>
              <w:left w:val="nil"/>
              <w:bottom w:val="single" w:sz="4" w:space="0" w:color="auto"/>
              <w:right w:val="single" w:sz="4" w:space="0" w:color="auto"/>
            </w:tcBorders>
            <w:shd w:val="clear" w:color="auto" w:fill="auto"/>
            <w:noWrap/>
            <w:vAlign w:val="bottom"/>
            <w:hideMark/>
          </w:tcPr>
          <w:p w14:paraId="2D111DCE"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214,2</w:t>
            </w:r>
          </w:p>
        </w:tc>
        <w:tc>
          <w:tcPr>
            <w:tcW w:w="1278" w:type="dxa"/>
            <w:tcBorders>
              <w:top w:val="nil"/>
              <w:left w:val="nil"/>
              <w:bottom w:val="single" w:sz="4" w:space="0" w:color="auto"/>
              <w:right w:val="double" w:sz="6" w:space="0" w:color="auto"/>
            </w:tcBorders>
            <w:shd w:val="clear" w:color="auto" w:fill="auto"/>
            <w:noWrap/>
            <w:vAlign w:val="bottom"/>
            <w:hideMark/>
          </w:tcPr>
          <w:p w14:paraId="04B12176"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118,5</w:t>
            </w:r>
          </w:p>
        </w:tc>
      </w:tr>
      <w:tr w:rsidR="005E6000" w:rsidRPr="00ED02BE" w14:paraId="15A7A9BA" w14:textId="77777777" w:rsidTr="00EE42FE">
        <w:trPr>
          <w:trHeight w:val="300"/>
        </w:trPr>
        <w:tc>
          <w:tcPr>
            <w:tcW w:w="2624" w:type="dxa"/>
            <w:tcBorders>
              <w:top w:val="nil"/>
              <w:left w:val="double" w:sz="6" w:space="0" w:color="auto"/>
              <w:bottom w:val="single" w:sz="4" w:space="0" w:color="auto"/>
              <w:right w:val="single" w:sz="4" w:space="0" w:color="auto"/>
            </w:tcBorders>
            <w:shd w:val="clear" w:color="auto" w:fill="auto"/>
            <w:noWrap/>
            <w:vAlign w:val="bottom"/>
            <w:hideMark/>
          </w:tcPr>
          <w:p w14:paraId="094AF9B9"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Prasata</w:t>
            </w:r>
          </w:p>
        </w:tc>
        <w:tc>
          <w:tcPr>
            <w:tcW w:w="960" w:type="dxa"/>
            <w:tcBorders>
              <w:top w:val="nil"/>
              <w:left w:val="nil"/>
              <w:bottom w:val="single" w:sz="4" w:space="0" w:color="auto"/>
              <w:right w:val="single" w:sz="8" w:space="0" w:color="auto"/>
            </w:tcBorders>
            <w:shd w:val="clear" w:color="auto" w:fill="auto"/>
            <w:noWrap/>
            <w:vAlign w:val="bottom"/>
            <w:hideMark/>
          </w:tcPr>
          <w:p w14:paraId="1C5AF4CB"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tis. ks</w:t>
            </w:r>
          </w:p>
        </w:tc>
        <w:tc>
          <w:tcPr>
            <w:tcW w:w="960" w:type="dxa"/>
            <w:tcBorders>
              <w:top w:val="nil"/>
              <w:left w:val="nil"/>
              <w:bottom w:val="single" w:sz="4" w:space="0" w:color="auto"/>
              <w:right w:val="single" w:sz="4" w:space="0" w:color="auto"/>
            </w:tcBorders>
            <w:shd w:val="clear" w:color="auto" w:fill="auto"/>
            <w:noWrap/>
            <w:vAlign w:val="bottom"/>
            <w:hideMark/>
          </w:tcPr>
          <w:p w14:paraId="686DC744"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3 424,5</w:t>
            </w:r>
          </w:p>
        </w:tc>
        <w:tc>
          <w:tcPr>
            <w:tcW w:w="960" w:type="dxa"/>
            <w:tcBorders>
              <w:top w:val="nil"/>
              <w:left w:val="nil"/>
              <w:bottom w:val="single" w:sz="4" w:space="0" w:color="auto"/>
              <w:right w:val="single" w:sz="4" w:space="0" w:color="auto"/>
            </w:tcBorders>
            <w:shd w:val="clear" w:color="auto" w:fill="auto"/>
            <w:noWrap/>
            <w:vAlign w:val="bottom"/>
            <w:hideMark/>
          </w:tcPr>
          <w:p w14:paraId="56826C65"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1 594,2</w:t>
            </w:r>
          </w:p>
        </w:tc>
        <w:tc>
          <w:tcPr>
            <w:tcW w:w="960" w:type="dxa"/>
            <w:tcBorders>
              <w:top w:val="nil"/>
              <w:left w:val="nil"/>
              <w:bottom w:val="single" w:sz="4" w:space="0" w:color="auto"/>
              <w:right w:val="single" w:sz="4" w:space="0" w:color="auto"/>
            </w:tcBorders>
            <w:shd w:val="clear" w:color="auto" w:fill="auto"/>
            <w:noWrap/>
            <w:vAlign w:val="bottom"/>
            <w:hideMark/>
          </w:tcPr>
          <w:p w14:paraId="64853FB9"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1 539,9</w:t>
            </w:r>
          </w:p>
        </w:tc>
        <w:tc>
          <w:tcPr>
            <w:tcW w:w="1333" w:type="dxa"/>
            <w:tcBorders>
              <w:top w:val="nil"/>
              <w:left w:val="nil"/>
              <w:bottom w:val="single" w:sz="4" w:space="0" w:color="auto"/>
              <w:right w:val="single" w:sz="4" w:space="0" w:color="auto"/>
            </w:tcBorders>
            <w:shd w:val="clear" w:color="auto" w:fill="auto"/>
            <w:noWrap/>
            <w:vAlign w:val="bottom"/>
            <w:hideMark/>
          </w:tcPr>
          <w:p w14:paraId="66EA7EA9"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45,0</w:t>
            </w:r>
          </w:p>
        </w:tc>
        <w:tc>
          <w:tcPr>
            <w:tcW w:w="1278" w:type="dxa"/>
            <w:tcBorders>
              <w:top w:val="nil"/>
              <w:left w:val="nil"/>
              <w:bottom w:val="single" w:sz="4" w:space="0" w:color="auto"/>
              <w:right w:val="double" w:sz="6" w:space="0" w:color="auto"/>
            </w:tcBorders>
            <w:shd w:val="clear" w:color="auto" w:fill="auto"/>
            <w:noWrap/>
            <w:vAlign w:val="bottom"/>
            <w:hideMark/>
          </w:tcPr>
          <w:p w14:paraId="4D0A0D29"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96,6</w:t>
            </w:r>
          </w:p>
        </w:tc>
      </w:tr>
      <w:tr w:rsidR="005E6000" w:rsidRPr="00ED02BE" w14:paraId="680C158A" w14:textId="77777777" w:rsidTr="00EE42FE">
        <w:trPr>
          <w:trHeight w:val="300"/>
        </w:trPr>
        <w:tc>
          <w:tcPr>
            <w:tcW w:w="2624" w:type="dxa"/>
            <w:tcBorders>
              <w:top w:val="nil"/>
              <w:left w:val="double" w:sz="6" w:space="0" w:color="auto"/>
              <w:bottom w:val="single" w:sz="4" w:space="0" w:color="auto"/>
              <w:right w:val="single" w:sz="4" w:space="0" w:color="auto"/>
            </w:tcBorders>
            <w:shd w:val="clear" w:color="auto" w:fill="auto"/>
            <w:noWrap/>
            <w:vAlign w:val="bottom"/>
            <w:hideMark/>
          </w:tcPr>
          <w:p w14:paraId="5C26F127"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Ovce a kozy</w:t>
            </w:r>
          </w:p>
        </w:tc>
        <w:tc>
          <w:tcPr>
            <w:tcW w:w="960" w:type="dxa"/>
            <w:tcBorders>
              <w:top w:val="nil"/>
              <w:left w:val="nil"/>
              <w:bottom w:val="single" w:sz="4" w:space="0" w:color="auto"/>
              <w:right w:val="single" w:sz="8" w:space="0" w:color="auto"/>
            </w:tcBorders>
            <w:shd w:val="clear" w:color="auto" w:fill="auto"/>
            <w:noWrap/>
            <w:vAlign w:val="bottom"/>
            <w:hideMark/>
          </w:tcPr>
          <w:p w14:paraId="5CFE41EE"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tis. ks</w:t>
            </w:r>
          </w:p>
        </w:tc>
        <w:tc>
          <w:tcPr>
            <w:tcW w:w="960" w:type="dxa"/>
            <w:tcBorders>
              <w:top w:val="nil"/>
              <w:left w:val="nil"/>
              <w:bottom w:val="single" w:sz="4" w:space="0" w:color="auto"/>
              <w:right w:val="single" w:sz="4" w:space="0" w:color="auto"/>
            </w:tcBorders>
            <w:shd w:val="clear" w:color="auto" w:fill="auto"/>
            <w:noWrap/>
            <w:vAlign w:val="bottom"/>
            <w:hideMark/>
          </w:tcPr>
          <w:p w14:paraId="21341C5B"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109</w:t>
            </w:r>
          </w:p>
        </w:tc>
        <w:tc>
          <w:tcPr>
            <w:tcW w:w="960" w:type="dxa"/>
            <w:tcBorders>
              <w:top w:val="nil"/>
              <w:left w:val="nil"/>
              <w:bottom w:val="single" w:sz="4" w:space="0" w:color="auto"/>
              <w:right w:val="single" w:sz="4" w:space="0" w:color="auto"/>
            </w:tcBorders>
            <w:shd w:val="clear" w:color="auto" w:fill="auto"/>
            <w:noWrap/>
            <w:vAlign w:val="bottom"/>
            <w:hideMark/>
          </w:tcPr>
          <w:p w14:paraId="6730A12E"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246</w:t>
            </w:r>
          </w:p>
        </w:tc>
        <w:tc>
          <w:tcPr>
            <w:tcW w:w="960" w:type="dxa"/>
            <w:tcBorders>
              <w:top w:val="nil"/>
              <w:left w:val="nil"/>
              <w:bottom w:val="single" w:sz="4" w:space="0" w:color="auto"/>
              <w:right w:val="single" w:sz="4" w:space="0" w:color="auto"/>
            </w:tcBorders>
            <w:shd w:val="clear" w:color="auto" w:fill="auto"/>
            <w:noWrap/>
            <w:vAlign w:val="bottom"/>
            <w:hideMark/>
          </w:tcPr>
          <w:p w14:paraId="4FA43E8C"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240</w:t>
            </w:r>
          </w:p>
        </w:tc>
        <w:tc>
          <w:tcPr>
            <w:tcW w:w="1333" w:type="dxa"/>
            <w:tcBorders>
              <w:top w:val="nil"/>
              <w:left w:val="nil"/>
              <w:bottom w:val="single" w:sz="4" w:space="0" w:color="auto"/>
              <w:right w:val="single" w:sz="4" w:space="0" w:color="auto"/>
            </w:tcBorders>
            <w:shd w:val="clear" w:color="auto" w:fill="auto"/>
            <w:noWrap/>
            <w:vAlign w:val="bottom"/>
            <w:hideMark/>
          </w:tcPr>
          <w:p w14:paraId="6B005CB8"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220,2</w:t>
            </w:r>
          </w:p>
        </w:tc>
        <w:tc>
          <w:tcPr>
            <w:tcW w:w="1278" w:type="dxa"/>
            <w:tcBorders>
              <w:top w:val="nil"/>
              <w:left w:val="nil"/>
              <w:bottom w:val="single" w:sz="4" w:space="0" w:color="auto"/>
              <w:right w:val="double" w:sz="6" w:space="0" w:color="auto"/>
            </w:tcBorders>
            <w:shd w:val="clear" w:color="auto" w:fill="auto"/>
            <w:noWrap/>
            <w:vAlign w:val="bottom"/>
            <w:hideMark/>
          </w:tcPr>
          <w:p w14:paraId="07F1F336"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97,6</w:t>
            </w:r>
          </w:p>
        </w:tc>
      </w:tr>
      <w:tr w:rsidR="005E6000" w:rsidRPr="00ED02BE" w14:paraId="233C006C" w14:textId="77777777" w:rsidTr="00EE42FE">
        <w:trPr>
          <w:trHeight w:val="315"/>
        </w:trPr>
        <w:tc>
          <w:tcPr>
            <w:tcW w:w="2624" w:type="dxa"/>
            <w:tcBorders>
              <w:top w:val="nil"/>
              <w:left w:val="double" w:sz="6" w:space="0" w:color="auto"/>
              <w:bottom w:val="double" w:sz="6" w:space="0" w:color="auto"/>
              <w:right w:val="single" w:sz="4" w:space="0" w:color="auto"/>
            </w:tcBorders>
            <w:shd w:val="clear" w:color="auto" w:fill="auto"/>
            <w:noWrap/>
            <w:vAlign w:val="bottom"/>
            <w:hideMark/>
          </w:tcPr>
          <w:p w14:paraId="32A32E71"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Drůbež</w:t>
            </w:r>
          </w:p>
        </w:tc>
        <w:tc>
          <w:tcPr>
            <w:tcW w:w="960" w:type="dxa"/>
            <w:tcBorders>
              <w:top w:val="nil"/>
              <w:left w:val="nil"/>
              <w:bottom w:val="double" w:sz="6" w:space="0" w:color="auto"/>
              <w:right w:val="single" w:sz="8" w:space="0" w:color="auto"/>
            </w:tcBorders>
            <w:shd w:val="clear" w:color="auto" w:fill="auto"/>
            <w:noWrap/>
            <w:vAlign w:val="bottom"/>
            <w:hideMark/>
          </w:tcPr>
          <w:p w14:paraId="393980B0"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mil. ks</w:t>
            </w:r>
          </w:p>
        </w:tc>
        <w:tc>
          <w:tcPr>
            <w:tcW w:w="960" w:type="dxa"/>
            <w:tcBorders>
              <w:top w:val="nil"/>
              <w:left w:val="nil"/>
              <w:bottom w:val="double" w:sz="6" w:space="0" w:color="auto"/>
              <w:right w:val="single" w:sz="4" w:space="0" w:color="auto"/>
            </w:tcBorders>
            <w:shd w:val="clear" w:color="auto" w:fill="auto"/>
            <w:noWrap/>
            <w:vAlign w:val="bottom"/>
            <w:hideMark/>
          </w:tcPr>
          <w:p w14:paraId="6E0ABF65"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28,6</w:t>
            </w:r>
          </w:p>
        </w:tc>
        <w:tc>
          <w:tcPr>
            <w:tcW w:w="960" w:type="dxa"/>
            <w:tcBorders>
              <w:top w:val="nil"/>
              <w:left w:val="nil"/>
              <w:bottom w:val="double" w:sz="6" w:space="0" w:color="auto"/>
              <w:right w:val="single" w:sz="4" w:space="0" w:color="auto"/>
            </w:tcBorders>
            <w:shd w:val="clear" w:color="auto" w:fill="auto"/>
            <w:noWrap/>
            <w:vAlign w:val="bottom"/>
            <w:hideMark/>
          </w:tcPr>
          <w:p w14:paraId="2D5D6F44"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21,8</w:t>
            </w:r>
          </w:p>
        </w:tc>
        <w:tc>
          <w:tcPr>
            <w:tcW w:w="960" w:type="dxa"/>
            <w:tcBorders>
              <w:top w:val="nil"/>
              <w:left w:val="nil"/>
              <w:bottom w:val="double" w:sz="6" w:space="0" w:color="auto"/>
              <w:right w:val="single" w:sz="4" w:space="0" w:color="auto"/>
            </w:tcBorders>
            <w:shd w:val="clear" w:color="auto" w:fill="auto"/>
            <w:noWrap/>
            <w:vAlign w:val="bottom"/>
            <w:hideMark/>
          </w:tcPr>
          <w:p w14:paraId="74825AFE"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22,7</w:t>
            </w:r>
          </w:p>
        </w:tc>
        <w:tc>
          <w:tcPr>
            <w:tcW w:w="1333" w:type="dxa"/>
            <w:tcBorders>
              <w:top w:val="nil"/>
              <w:left w:val="nil"/>
              <w:bottom w:val="double" w:sz="6" w:space="0" w:color="auto"/>
              <w:right w:val="single" w:sz="4" w:space="0" w:color="auto"/>
            </w:tcBorders>
            <w:shd w:val="clear" w:color="auto" w:fill="auto"/>
            <w:noWrap/>
            <w:vAlign w:val="bottom"/>
            <w:hideMark/>
          </w:tcPr>
          <w:p w14:paraId="47E9B391"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79,4</w:t>
            </w:r>
          </w:p>
        </w:tc>
        <w:tc>
          <w:tcPr>
            <w:tcW w:w="1278" w:type="dxa"/>
            <w:tcBorders>
              <w:top w:val="nil"/>
              <w:left w:val="nil"/>
              <w:bottom w:val="double" w:sz="6" w:space="0" w:color="auto"/>
              <w:right w:val="double" w:sz="6" w:space="0" w:color="auto"/>
            </w:tcBorders>
            <w:shd w:val="clear" w:color="auto" w:fill="auto"/>
            <w:noWrap/>
            <w:vAlign w:val="bottom"/>
            <w:hideMark/>
          </w:tcPr>
          <w:p w14:paraId="6B9A8DBA" w14:textId="77777777" w:rsidR="005E6000" w:rsidRPr="00ED02BE" w:rsidRDefault="005E6000" w:rsidP="00B14794">
            <w:pPr>
              <w:spacing w:before="120"/>
              <w:jc w:val="both"/>
              <w:rPr>
                <w:rFonts w:ascii="Calibri" w:hAnsi="Calibri" w:cs="Calibri"/>
                <w:color w:val="000000"/>
              </w:rPr>
            </w:pPr>
            <w:r w:rsidRPr="39F56F42">
              <w:rPr>
                <w:rFonts w:ascii="Calibri" w:hAnsi="Calibri" w:cs="Calibri"/>
                <w:color w:val="000000" w:themeColor="text1"/>
              </w:rPr>
              <w:t>104,0</w:t>
            </w:r>
          </w:p>
        </w:tc>
      </w:tr>
    </w:tbl>
    <w:p w14:paraId="4FE8FFC8" w14:textId="77777777" w:rsidR="005E6000" w:rsidRPr="002F4F33" w:rsidRDefault="005E6000" w:rsidP="00B14794">
      <w:pPr>
        <w:spacing w:before="120" w:line="276" w:lineRule="auto"/>
        <w:ind w:right="-2"/>
        <w:jc w:val="both"/>
        <w:rPr>
          <w:rFonts w:ascii="Arial" w:hAnsi="Arial" w:cs="Arial"/>
          <w:sz w:val="16"/>
          <w:szCs w:val="16"/>
        </w:rPr>
      </w:pPr>
      <w:r w:rsidRPr="002F4F33">
        <w:rPr>
          <w:rFonts w:ascii="Arial" w:hAnsi="Arial" w:cs="Arial"/>
          <w:sz w:val="16"/>
          <w:szCs w:val="16"/>
        </w:rPr>
        <w:t>Zdroj:</w:t>
      </w:r>
      <w:r w:rsidRPr="002F4F33">
        <w:rPr>
          <w:rFonts w:ascii="Arial" w:hAnsi="Arial" w:cs="Arial"/>
          <w:spacing w:val="-4"/>
          <w:sz w:val="16"/>
          <w:szCs w:val="16"/>
        </w:rPr>
        <w:t xml:space="preserve"> </w:t>
      </w:r>
      <w:r w:rsidRPr="002F4F33">
        <w:rPr>
          <w:rFonts w:ascii="Arial" w:hAnsi="Arial" w:cs="Arial"/>
          <w:sz w:val="16"/>
          <w:szCs w:val="16"/>
        </w:rPr>
        <w:t>ČSÚ,</w:t>
      </w:r>
      <w:r w:rsidRPr="002F4F33">
        <w:rPr>
          <w:rFonts w:ascii="Arial" w:hAnsi="Arial" w:cs="Arial"/>
          <w:spacing w:val="-5"/>
          <w:sz w:val="16"/>
          <w:szCs w:val="16"/>
        </w:rPr>
        <w:t xml:space="preserve"> </w:t>
      </w:r>
      <w:r w:rsidRPr="002F4F33">
        <w:rPr>
          <w:rFonts w:ascii="Arial" w:hAnsi="Arial" w:cs="Arial"/>
          <w:spacing w:val="-2"/>
          <w:sz w:val="16"/>
          <w:szCs w:val="16"/>
        </w:rPr>
        <w:t>2023.</w:t>
      </w:r>
    </w:p>
    <w:p w14:paraId="38A97F9D" w14:textId="77777777" w:rsidR="005E6000" w:rsidRDefault="005E6000" w:rsidP="00B14794">
      <w:pPr>
        <w:spacing w:before="120" w:line="276" w:lineRule="auto"/>
        <w:ind w:right="-2"/>
        <w:jc w:val="both"/>
        <w:rPr>
          <w:rFonts w:ascii="Arial" w:hAnsi="Arial" w:cs="Arial"/>
        </w:rPr>
      </w:pPr>
    </w:p>
    <w:p w14:paraId="59916959" w14:textId="77777777" w:rsidR="005E6000" w:rsidRPr="0066717F" w:rsidRDefault="005E6000" w:rsidP="00B14794">
      <w:pPr>
        <w:spacing w:before="120" w:line="276" w:lineRule="auto"/>
        <w:ind w:right="-2"/>
        <w:jc w:val="both"/>
        <w:rPr>
          <w:rFonts w:ascii="Arial" w:hAnsi="Arial" w:cs="Arial"/>
        </w:rPr>
      </w:pPr>
      <w:r w:rsidRPr="0066717F">
        <w:rPr>
          <w:rFonts w:ascii="Arial" w:hAnsi="Arial" w:cs="Arial"/>
        </w:rPr>
        <w:lastRenderedPageBreak/>
        <w:t>Vysoký, avšak postupně se snižující podíl pronajaté půdy (v průměru 72,7 %; přičemž vyšší než v ČR je jen v malém počtu zemí EU, např. na Slovensku, ve Francii a Belgii) a najaté práce (podle EUROSTAT 2021 70,2 %, zatímco v EU 27 kromě Slovenska s nejvyšším podílem přesahuje hranici 50 % ještě Dánsko, Estonsko a Španělsko, blíží se jí Německo a</w:t>
      </w:r>
      <w:r>
        <w:rPr>
          <w:rFonts w:ascii="Arial" w:hAnsi="Arial" w:cs="Arial"/>
        </w:rPr>
        <w:t> </w:t>
      </w:r>
      <w:r w:rsidRPr="0066717F">
        <w:rPr>
          <w:rFonts w:ascii="Arial" w:hAnsi="Arial" w:cs="Arial"/>
        </w:rPr>
        <w:t xml:space="preserve">Nizozemsko) v českých podnicích obecně omezuje do určité míry jejich „manévrovací prostor“ zejména při řízení peněžních toků a zvyšuje nároky a náklady na management práce a půdy. Tyto podíly se zvyšují započtením půdy pronajaté od osob, jež jsou spoluvlastníky podniků (akcionářů, členů družstev, společníků) a podobně je tomu u pracovního vstupu prováděného spoluvlastníky (jedná se v tomto případě </w:t>
      </w:r>
      <w:r w:rsidRPr="39F56F42">
        <w:rPr>
          <w:rFonts w:ascii="Arial" w:hAnsi="Arial" w:cs="Arial"/>
          <w:i/>
          <w:iCs/>
        </w:rPr>
        <w:t>de facto</w:t>
      </w:r>
      <w:r w:rsidRPr="0066717F">
        <w:rPr>
          <w:rFonts w:ascii="Arial" w:hAnsi="Arial" w:cs="Arial"/>
        </w:rPr>
        <w:t xml:space="preserve"> o sebe zaměstnané osoby). Provedené analýzy ukazují, že podíl najaté práce ve většině zemí EU narůstá a úzce souvisí s ekonomickou velikostí podniků</w:t>
      </w:r>
      <w:r w:rsidRPr="0066717F">
        <w:rPr>
          <w:rStyle w:val="Znakapoznpodarou"/>
          <w:rFonts w:ascii="Arial" w:hAnsi="Arial" w:cs="Arial"/>
        </w:rPr>
        <w:footnoteReference w:id="3"/>
      </w:r>
      <w:r w:rsidRPr="0066717F">
        <w:rPr>
          <w:rFonts w:ascii="Arial" w:hAnsi="Arial" w:cs="Arial"/>
        </w:rPr>
        <w:t xml:space="preserve"> (tato se v období 2016-2020 v ČR snížila, v drtivé většině zemí vzrostla, ekonomicky největší podniky jsou v Nizozemsku, Dánsku a Belgii, ČR je na</w:t>
      </w:r>
      <w:r>
        <w:rPr>
          <w:rFonts w:ascii="Arial" w:hAnsi="Arial" w:cs="Arial"/>
        </w:rPr>
        <w:t> </w:t>
      </w:r>
      <w:r w:rsidRPr="0066717F">
        <w:rPr>
          <w:rFonts w:ascii="Arial" w:hAnsi="Arial" w:cs="Arial"/>
        </w:rPr>
        <w:t>čtvrtém místě). Úroveň mezd v českém zemědělství se dlouhodobě pohybuje kolem 80 % průměru národního hospodářství a tento podíl (určitá příjmová disparita) patří v EU mezi nejvyšší. Rostoucím problémem je nedostatek pracovníků, zejména v odvětvích více náročných na množství a kvalitu práce (ovoce, zelenina ad.), které se snaží podniky řešit cestou automatizace a robotizace, tzv. samosběry produkce apod.</w:t>
      </w:r>
    </w:p>
    <w:p w14:paraId="3A8367D4" w14:textId="77777777" w:rsidR="005E6000" w:rsidRPr="0066717F" w:rsidRDefault="005E6000" w:rsidP="00B14794">
      <w:pPr>
        <w:spacing w:before="120" w:line="276" w:lineRule="auto"/>
        <w:ind w:right="-2"/>
        <w:jc w:val="both"/>
        <w:rPr>
          <w:rFonts w:ascii="Arial" w:hAnsi="Arial" w:cs="Arial"/>
        </w:rPr>
      </w:pPr>
      <w:r w:rsidRPr="39F56F42">
        <w:rPr>
          <w:rFonts w:ascii="Arial" w:hAnsi="Arial" w:cs="Arial"/>
        </w:rPr>
        <w:t>Náklady zemědělských komodit jsou stále výrazněji ovlivňovány environmentálními požadavky na produkční postupy, nutnými investicemi do moderních technologií a vztahy k dodavatelům vstupů, zejména energií a hnojiv. Trh zemědělské produkce ovlivňují vztahy k navazujícím článkům řetězce, jejich efektivnost, míra vzájemné konkurence navazujících článků a rozsah i</w:t>
      </w:r>
      <w:r>
        <w:rPr>
          <w:rFonts w:ascii="Arial" w:hAnsi="Arial" w:cs="Arial"/>
        </w:rPr>
        <w:t> </w:t>
      </w:r>
      <w:r w:rsidRPr="39F56F42">
        <w:rPr>
          <w:rFonts w:ascii="Arial" w:hAnsi="Arial" w:cs="Arial"/>
        </w:rPr>
        <w:t>kvalita jejich koncových trhů. Jde především o prvotní zpracovatele komodit (jatka, mlékárny ad.), logisticky vázané větší měrou na domácí surovinu, jejichž kapacita, ale i efektivnost ve</w:t>
      </w:r>
      <w:r>
        <w:rPr>
          <w:rFonts w:ascii="Arial" w:hAnsi="Arial" w:cs="Arial"/>
        </w:rPr>
        <w:t> </w:t>
      </w:r>
      <w:r w:rsidRPr="39F56F42">
        <w:rPr>
          <w:rFonts w:ascii="Arial" w:hAnsi="Arial" w:cs="Arial"/>
        </w:rPr>
        <w:t>srovnání s vyspělejšími zeměmi EU je stále nižší a přenáší se někdy do nižších CZV nakupované domácí suroviny. Zemědělci proto hledají také jiné cesty odbytu své produkce, včetně vývozu suroviny, využívání segmentů trhu typu „krátkých řetězců“ či vertikál v podnicích holdingového charakteru. Na druhou stranu je charakteristická relativně malá rozvinutost odbytových organizací prvovýrobců, avšak při existenci několika dobře fungujících odbytových organizací v sektorech mléka, ovoce, a zeleniny.</w:t>
      </w:r>
    </w:p>
    <w:p w14:paraId="5E330A74" w14:textId="77777777" w:rsidR="005E6000" w:rsidRPr="0066717F" w:rsidRDefault="005E6000" w:rsidP="00B14794">
      <w:pPr>
        <w:spacing w:before="120" w:line="276" w:lineRule="auto"/>
        <w:ind w:right="-2"/>
        <w:jc w:val="both"/>
        <w:rPr>
          <w:rFonts w:ascii="Arial" w:hAnsi="Arial" w:cs="Arial"/>
        </w:rPr>
      </w:pPr>
      <w:r w:rsidRPr="0066717F">
        <w:rPr>
          <w:rFonts w:ascii="Arial" w:hAnsi="Arial" w:cs="Arial"/>
        </w:rPr>
        <w:t xml:space="preserve">Produkce z českého ekologického zemědělství a navazující trh biopotravin se </w:t>
      </w:r>
      <w:r>
        <w:rPr>
          <w:rFonts w:ascii="Arial" w:hAnsi="Arial" w:cs="Arial"/>
        </w:rPr>
        <w:t>neustále rozvíjí, ačkoli podíl dovážených biopotravin zůstává nadále vysoký</w:t>
      </w:r>
      <w:r w:rsidRPr="0066717F">
        <w:rPr>
          <w:rFonts w:ascii="Arial" w:hAnsi="Arial" w:cs="Arial"/>
        </w:rPr>
        <w:t xml:space="preserve">. </w:t>
      </w:r>
      <w:r w:rsidRPr="00AF28BF">
        <w:rPr>
          <w:rFonts w:ascii="Arial" w:hAnsi="Arial" w:cs="Arial"/>
        </w:rPr>
        <w:t xml:space="preserve">Většina EZ se v ČR realizuje extenzivním </w:t>
      </w:r>
      <w:r>
        <w:rPr>
          <w:rFonts w:ascii="Arial" w:hAnsi="Arial" w:cs="Arial"/>
        </w:rPr>
        <w:t xml:space="preserve">chovem dobytka na </w:t>
      </w:r>
      <w:r w:rsidRPr="00AF28BF">
        <w:rPr>
          <w:rFonts w:ascii="Arial" w:hAnsi="Arial" w:cs="Arial"/>
        </w:rPr>
        <w:t>TTP</w:t>
      </w:r>
      <w:r>
        <w:rPr>
          <w:rFonts w:ascii="Arial" w:hAnsi="Arial" w:cs="Arial"/>
        </w:rPr>
        <w:t xml:space="preserve">, přičemž bohužel stále významná </w:t>
      </w:r>
      <w:r w:rsidRPr="00AF28BF">
        <w:rPr>
          <w:rFonts w:ascii="Arial" w:hAnsi="Arial" w:cs="Arial"/>
        </w:rPr>
        <w:t xml:space="preserve">část produkce EZ </w:t>
      </w:r>
      <w:r>
        <w:rPr>
          <w:rFonts w:ascii="Arial" w:hAnsi="Arial" w:cs="Arial"/>
        </w:rPr>
        <w:t xml:space="preserve">se </w:t>
      </w:r>
      <w:r w:rsidRPr="00AF28BF">
        <w:rPr>
          <w:rFonts w:ascii="Arial" w:hAnsi="Arial" w:cs="Arial"/>
        </w:rPr>
        <w:t>realizuje z</w:t>
      </w:r>
      <w:r>
        <w:rPr>
          <w:rFonts w:ascii="Arial" w:hAnsi="Arial" w:cs="Arial"/>
        </w:rPr>
        <w:t> </w:t>
      </w:r>
      <w:r w:rsidRPr="00AF28BF">
        <w:rPr>
          <w:rFonts w:ascii="Arial" w:hAnsi="Arial" w:cs="Arial"/>
        </w:rPr>
        <w:t xml:space="preserve">ekonomických důvodů bez označení „bio“. </w:t>
      </w:r>
      <w:r>
        <w:rPr>
          <w:rFonts w:ascii="Arial" w:hAnsi="Arial" w:cs="Arial"/>
        </w:rPr>
        <w:t xml:space="preserve">Dlouhodobě dochází k nárůstu </w:t>
      </w:r>
      <w:r w:rsidRPr="0066717F">
        <w:rPr>
          <w:rFonts w:ascii="Arial" w:hAnsi="Arial" w:cs="Arial"/>
        </w:rPr>
        <w:t>ploch obhospodařovaných v režimu ekologického zemědělství</w:t>
      </w:r>
      <w:r>
        <w:rPr>
          <w:rFonts w:ascii="Arial" w:hAnsi="Arial" w:cs="Arial"/>
        </w:rPr>
        <w:t>.</w:t>
      </w:r>
      <w:r w:rsidRPr="0066717F">
        <w:rPr>
          <w:rStyle w:val="Znakapoznpodarou"/>
          <w:rFonts w:ascii="Arial" w:hAnsi="Arial" w:cs="Arial"/>
        </w:rPr>
        <w:footnoteReference w:id="4"/>
      </w:r>
      <w:r>
        <w:rPr>
          <w:rFonts w:ascii="Arial" w:hAnsi="Arial" w:cs="Arial"/>
        </w:rPr>
        <w:t xml:space="preserve"> Dlouhodobě u nás v EZ dominují trvalé travní porosty (TTP), což je dáno strukturou oblastí, v nichž se EZ</w:t>
      </w:r>
      <w:r w:rsidRPr="00AF28BF">
        <w:rPr>
          <w:rFonts w:ascii="Arial" w:hAnsi="Arial" w:cs="Arial"/>
        </w:rPr>
        <w:t xml:space="preserve"> </w:t>
      </w:r>
      <w:r>
        <w:rPr>
          <w:rFonts w:ascii="Arial" w:hAnsi="Arial" w:cs="Arial"/>
        </w:rPr>
        <w:t>provozuje</w:t>
      </w:r>
      <w:r w:rsidRPr="008164B1">
        <w:footnoteReference w:id="5"/>
      </w:r>
      <w:r>
        <w:rPr>
          <w:rFonts w:ascii="Arial" w:hAnsi="Arial" w:cs="Arial"/>
        </w:rPr>
        <w:t>,</w:t>
      </w:r>
      <w:r w:rsidRPr="002F12FD">
        <w:rPr>
          <w:rFonts w:ascii="Arial" w:hAnsi="Arial" w:cs="Arial"/>
        </w:rPr>
        <w:t xml:space="preserve"> </w:t>
      </w:r>
      <w:r>
        <w:rPr>
          <w:rFonts w:ascii="Arial" w:hAnsi="Arial" w:cs="Arial"/>
        </w:rPr>
        <w:t>v </w:t>
      </w:r>
      <w:r w:rsidRPr="002F12FD">
        <w:rPr>
          <w:rFonts w:ascii="Arial" w:hAnsi="Arial" w:cs="Arial"/>
        </w:rPr>
        <w:t xml:space="preserve">posledních letech je </w:t>
      </w:r>
      <w:r>
        <w:rPr>
          <w:rFonts w:ascii="Arial" w:hAnsi="Arial" w:cs="Arial"/>
        </w:rPr>
        <w:t xml:space="preserve">však </w:t>
      </w:r>
      <w:r w:rsidRPr="002F12FD">
        <w:rPr>
          <w:rFonts w:ascii="Arial" w:hAnsi="Arial" w:cs="Arial"/>
        </w:rPr>
        <w:t>patrný pozitivní trend nárůstu ploch orné půdy</w:t>
      </w:r>
      <w:r>
        <w:rPr>
          <w:rFonts w:ascii="Arial" w:hAnsi="Arial" w:cs="Arial"/>
        </w:rPr>
        <w:t>, jejíž výměra se za posledních 10 let více než zdvojnásobila</w:t>
      </w:r>
      <w:r w:rsidRPr="002F12FD">
        <w:rPr>
          <w:rFonts w:ascii="Arial" w:hAnsi="Arial" w:cs="Arial"/>
        </w:rPr>
        <w:t>. Ke konci roku 202</w:t>
      </w:r>
      <w:r>
        <w:rPr>
          <w:rFonts w:ascii="Arial" w:hAnsi="Arial" w:cs="Arial"/>
        </w:rPr>
        <w:t>3</w:t>
      </w:r>
      <w:r w:rsidRPr="002F12FD">
        <w:rPr>
          <w:rFonts w:ascii="Arial" w:hAnsi="Arial" w:cs="Arial"/>
        </w:rPr>
        <w:t xml:space="preserve"> tvořila orná půda </w:t>
      </w:r>
      <w:r>
        <w:rPr>
          <w:rFonts w:ascii="Arial" w:hAnsi="Arial" w:cs="Arial"/>
        </w:rPr>
        <w:t xml:space="preserve">již </w:t>
      </w:r>
      <w:r w:rsidRPr="002F12FD">
        <w:rPr>
          <w:rFonts w:ascii="Arial" w:hAnsi="Arial" w:cs="Arial"/>
        </w:rPr>
        <w:t xml:space="preserve">pětinu </w:t>
      </w:r>
      <w:r w:rsidRPr="002F12FD">
        <w:rPr>
          <w:rFonts w:ascii="Arial" w:hAnsi="Arial" w:cs="Arial"/>
        </w:rPr>
        <w:lastRenderedPageBreak/>
        <w:t>celkové výměry v EZ (</w:t>
      </w:r>
      <w:r>
        <w:rPr>
          <w:rFonts w:ascii="Arial" w:hAnsi="Arial" w:cs="Arial"/>
        </w:rPr>
        <w:t>120 531</w:t>
      </w:r>
      <w:r w:rsidRPr="002F12FD">
        <w:rPr>
          <w:rFonts w:ascii="Arial" w:hAnsi="Arial" w:cs="Arial"/>
        </w:rPr>
        <w:t xml:space="preserve"> ha), což je zatím nejvyšší dosažený podíl v historii vývoje</w:t>
      </w:r>
      <w:r>
        <w:rPr>
          <w:rFonts w:ascii="Arial" w:hAnsi="Arial" w:cs="Arial"/>
        </w:rPr>
        <w:t xml:space="preserve">. V posledních letech meziročně narůstají stavy skotu, podíl dojnic zůstává však nízký. U chovu ovcí a koz dochází v posledních letech k poklesu, který koreluje i poklesem jejich celkových stavů, avšak dochází k nárůstu ekologických chovů prasat a zejména drůbeže – od roku 2017 vzrostly jejich stavy v EZ o více než polovinu. </w:t>
      </w:r>
      <w:r w:rsidRPr="0066717F">
        <w:rPr>
          <w:rFonts w:ascii="Arial" w:hAnsi="Arial" w:cs="Arial"/>
        </w:rPr>
        <w:t xml:space="preserve"> Objem produkce bioproduktů a biopotravin se tak zvyšuje, roste i poptávka po nich, avšak nabídka českých zemědělců je stále limitována</w:t>
      </w:r>
      <w:r w:rsidRPr="008164B1">
        <w:footnoteReference w:id="6"/>
      </w:r>
      <w:r w:rsidRPr="0066717F">
        <w:rPr>
          <w:rFonts w:ascii="Arial" w:hAnsi="Arial" w:cs="Arial"/>
        </w:rPr>
        <w:t xml:space="preserve">. Navíc v důsledku chybějících zpracovatelských kapacit </w:t>
      </w:r>
      <w:r>
        <w:rPr>
          <w:rFonts w:ascii="Arial" w:hAnsi="Arial" w:cs="Arial"/>
        </w:rPr>
        <w:t xml:space="preserve">a efektivních odbytových cest </w:t>
      </w:r>
      <w:r w:rsidRPr="0066717F">
        <w:rPr>
          <w:rFonts w:ascii="Arial" w:hAnsi="Arial" w:cs="Arial"/>
        </w:rPr>
        <w:t>je i</w:t>
      </w:r>
      <w:r>
        <w:rPr>
          <w:rFonts w:ascii="Arial" w:hAnsi="Arial" w:cs="Arial"/>
        </w:rPr>
        <w:t> </w:t>
      </w:r>
      <w:r w:rsidRPr="0066717F">
        <w:rPr>
          <w:rFonts w:ascii="Arial" w:hAnsi="Arial" w:cs="Arial"/>
        </w:rPr>
        <w:t>nadále část české bioprodukce zpracovávána jako konvenční</w:t>
      </w:r>
      <w:r w:rsidRPr="008164B1">
        <w:footnoteReference w:id="7"/>
      </w:r>
      <w:r w:rsidRPr="0066717F">
        <w:rPr>
          <w:rFonts w:ascii="Arial" w:hAnsi="Arial" w:cs="Arial"/>
        </w:rPr>
        <w:t>, případně vyvezena jako surovina do zahraničí. Rozvoji domácího zpracování a vybudování fungujících distributorských sítí brání zejména nízká pop</w:t>
      </w:r>
      <w:r>
        <w:rPr>
          <w:rFonts w:ascii="Arial" w:hAnsi="Arial" w:cs="Arial"/>
        </w:rPr>
        <w:t>t</w:t>
      </w:r>
      <w:r w:rsidRPr="0066717F">
        <w:rPr>
          <w:rFonts w:ascii="Arial" w:hAnsi="Arial" w:cs="Arial"/>
        </w:rPr>
        <w:t>ávka po biopotravinách ze strany spotřebitelů</w:t>
      </w:r>
      <w:r w:rsidRPr="008164B1">
        <w:footnoteReference w:id="8"/>
      </w:r>
      <w:r w:rsidRPr="0066717F">
        <w:rPr>
          <w:rFonts w:ascii="Arial" w:hAnsi="Arial" w:cs="Arial"/>
        </w:rPr>
        <w:t xml:space="preserve">, </w:t>
      </w:r>
      <w:r w:rsidRPr="008164B1">
        <w:rPr>
          <w:rFonts w:ascii="Arial" w:hAnsi="Arial" w:cs="Arial"/>
        </w:rPr>
        <w:t>negativně ovlivněná vysokou inflací, pandemií covid-19, válkou na Ukrajině, životními náklady a snižující se koupěschopností obyvatelstva.</w:t>
      </w:r>
      <w:r w:rsidRPr="0066717F">
        <w:rPr>
          <w:rFonts w:ascii="Arial" w:hAnsi="Arial" w:cs="Arial"/>
        </w:rPr>
        <w:t xml:space="preserve">    </w:t>
      </w:r>
    </w:p>
    <w:p w14:paraId="6724E732" w14:textId="433A1018" w:rsidR="005E6000" w:rsidRDefault="005E6000" w:rsidP="00B14794">
      <w:pPr>
        <w:spacing w:before="120" w:line="276" w:lineRule="auto"/>
        <w:ind w:right="-2"/>
        <w:jc w:val="both"/>
        <w:rPr>
          <w:rFonts w:ascii="Arial" w:hAnsi="Arial" w:cs="Arial"/>
        </w:rPr>
      </w:pPr>
      <w:r w:rsidRPr="2B7F22BF">
        <w:rPr>
          <w:rFonts w:ascii="Arial" w:hAnsi="Arial" w:cs="Arial"/>
        </w:rPr>
        <w:t>Dosavadní environmentální podmínky poskytování provozních podpor, jako jsou Cross Compliance – PPH</w:t>
      </w:r>
      <w:r>
        <w:rPr>
          <w:rFonts w:ascii="Arial" w:hAnsi="Arial" w:cs="Arial"/>
        </w:rPr>
        <w:t xml:space="preserve"> (</w:t>
      </w:r>
      <w:r w:rsidRPr="00003796">
        <w:rPr>
          <w:rFonts w:ascii="Arial" w:hAnsi="Arial" w:cs="Arial"/>
        </w:rPr>
        <w:t>povinné požadavky na hospodaření</w:t>
      </w:r>
      <w:r>
        <w:rPr>
          <w:rFonts w:ascii="Arial" w:hAnsi="Arial" w:cs="Arial"/>
        </w:rPr>
        <w:t>)</w:t>
      </w:r>
      <w:r w:rsidRPr="2B7F22BF">
        <w:rPr>
          <w:rFonts w:ascii="Arial" w:hAnsi="Arial" w:cs="Arial"/>
        </w:rPr>
        <w:t xml:space="preserve"> a DZES) a platby typu Platba na</w:t>
      </w:r>
      <w:r>
        <w:rPr>
          <w:rFonts w:ascii="Arial" w:hAnsi="Arial" w:cs="Arial"/>
        </w:rPr>
        <w:t> </w:t>
      </w:r>
      <w:r w:rsidRPr="2B7F22BF">
        <w:rPr>
          <w:rFonts w:ascii="Arial" w:hAnsi="Arial" w:cs="Arial"/>
        </w:rPr>
        <w:t>zemědělské postupy příznivé pro klima a ŽP (tzv. ozelenění), resp. od roku 2023 zavedené Režimy pro klima a ŽP, AEKO, EZ ad. ke stimulaci produkce ekosystémových služeb, usilují o žádoucí změny a zlepšení vztahu zemědělství k životnímu prostředí. V porovnání s výchozím stavem roku 2012 se situace sice mírně zlepšuje, problémy s kvalitou půdy a vody, se zhoršováním vodního režimu krajiny a ztrátami biodiverzity pokračují</w:t>
      </w:r>
      <w:r w:rsidR="00CA1201">
        <w:rPr>
          <w:rFonts w:ascii="Arial" w:hAnsi="Arial" w:cs="Arial"/>
        </w:rPr>
        <w:t>.</w:t>
      </w:r>
      <w:r w:rsidRPr="2B7F22BF">
        <w:rPr>
          <w:rFonts w:ascii="Arial" w:hAnsi="Arial" w:cs="Arial"/>
        </w:rPr>
        <w:t xml:space="preserve"> </w:t>
      </w:r>
      <w:r w:rsidRPr="008164B1">
        <w:rPr>
          <w:rFonts w:ascii="Arial" w:hAnsi="Arial" w:cs="Arial"/>
        </w:rPr>
        <w:t xml:space="preserve">Na kvalitu půdy a vodního režimu nadále negativně působí některé nevhodné způsoby obdělávání půdy a při snižování živočišné výroby také nedostatek organického hnojení, resp. snižování diverzity užití půdy zastoupením krmných plodin na o. p. </w:t>
      </w:r>
      <w:r w:rsidRPr="2B7F22BF">
        <w:rPr>
          <w:rFonts w:ascii="Arial" w:hAnsi="Arial" w:cs="Arial"/>
        </w:rPr>
        <w:t xml:space="preserve"> Pozitivně naopak působí trvalý růst výměry z. p. s EZ, integrovaným zemědělstvím a dalšími plochami poskytujícími ekosystémové služby. </w:t>
      </w:r>
      <w:r w:rsidRPr="2B7F22BF">
        <w:rPr>
          <w:rFonts w:ascii="Arial" w:hAnsi="Arial" w:cs="Arial"/>
        </w:rPr>
        <w:lastRenderedPageBreak/>
        <w:t xml:space="preserve">Pomáhá i provádění pozemkových úprav, jejichž realizace však nedosahuje žádoucího stavu (v současnosti jsou komplexní a jednoduché pozemkové úpravy provedeny na 40,8 % výměry </w:t>
      </w:r>
      <w:r>
        <w:rPr>
          <w:rFonts w:ascii="Arial" w:hAnsi="Arial" w:cs="Arial"/>
        </w:rPr>
        <w:t>ZPF</w:t>
      </w:r>
      <w:r w:rsidRPr="2B7F22BF">
        <w:rPr>
          <w:rFonts w:ascii="Arial" w:hAnsi="Arial" w:cs="Arial"/>
        </w:rPr>
        <w:t xml:space="preserve">, na dalších zhruba 11,9 % této půdy jsou pozemkové úpravy v současnosti v řešení). Pozitivně také působí zmenšující se souvislá výměra jedné plodiny na dílech půdních bloků s výměrou nad 30 ha, resp. 10 ha na plochách SEO od roku 2023.  </w:t>
      </w:r>
    </w:p>
    <w:p w14:paraId="74317CD0" w14:textId="77777777" w:rsidR="000C5008" w:rsidRDefault="000C5008" w:rsidP="00B14794">
      <w:pPr>
        <w:spacing w:before="120" w:line="276" w:lineRule="auto"/>
        <w:ind w:right="-2"/>
        <w:jc w:val="both"/>
        <w:rPr>
          <w:rFonts w:ascii="Arial" w:hAnsi="Arial" w:cs="Arial"/>
        </w:rPr>
      </w:pPr>
    </w:p>
    <w:p w14:paraId="768E3B14" w14:textId="18E594B4" w:rsidR="0067509F" w:rsidRPr="000C5008" w:rsidRDefault="002932B6" w:rsidP="000C5008">
      <w:pPr>
        <w:pStyle w:val="Odstavecseseznamem"/>
        <w:numPr>
          <w:ilvl w:val="1"/>
          <w:numId w:val="20"/>
        </w:numPr>
        <w:spacing w:before="120" w:after="60"/>
        <w:jc w:val="both"/>
        <w:rPr>
          <w:rFonts w:ascii="Arial" w:hAnsi="Arial" w:cs="Arial"/>
          <w:b/>
          <w:bCs/>
          <w:color w:val="0070C0"/>
        </w:rPr>
      </w:pPr>
      <w:r>
        <w:rPr>
          <w:rFonts w:ascii="Arial" w:hAnsi="Arial" w:cs="Arial"/>
          <w:b/>
          <w:bCs/>
          <w:color w:val="0070C0"/>
        </w:rPr>
        <w:t>E</w:t>
      </w:r>
      <w:r w:rsidR="0067509F" w:rsidRPr="000C5008">
        <w:rPr>
          <w:rFonts w:ascii="Arial" w:hAnsi="Arial" w:cs="Arial"/>
          <w:b/>
          <w:bCs/>
          <w:color w:val="0070C0"/>
        </w:rPr>
        <w:t>konomick</w:t>
      </w:r>
      <w:r>
        <w:rPr>
          <w:rFonts w:ascii="Arial" w:hAnsi="Arial" w:cs="Arial"/>
          <w:b/>
          <w:bCs/>
          <w:color w:val="0070C0"/>
        </w:rPr>
        <w:t>a</w:t>
      </w:r>
      <w:r w:rsidR="0067509F" w:rsidRPr="000C5008">
        <w:rPr>
          <w:rFonts w:ascii="Arial" w:hAnsi="Arial" w:cs="Arial"/>
          <w:b/>
          <w:bCs/>
          <w:color w:val="0070C0"/>
        </w:rPr>
        <w:t xml:space="preserve"> situace v zemědělství ČR</w:t>
      </w:r>
    </w:p>
    <w:p w14:paraId="09344356" w14:textId="53C9F921" w:rsidR="0067509F" w:rsidRDefault="0067509F" w:rsidP="0067509F">
      <w:pPr>
        <w:jc w:val="both"/>
        <w:rPr>
          <w:rFonts w:ascii="Arial" w:hAnsi="Arial" w:cs="Arial"/>
        </w:rPr>
      </w:pPr>
      <w:r w:rsidRPr="00D77CE9">
        <w:rPr>
          <w:rFonts w:ascii="Arial" w:hAnsi="Arial" w:cs="Arial"/>
        </w:rPr>
        <w:t>Agrární sektor byl v roce 2023 i nadále ovlivněn geopolitickou situací ve svět</w:t>
      </w:r>
      <w:r w:rsidR="009B2324">
        <w:rPr>
          <w:rFonts w:ascii="Arial" w:hAnsi="Arial" w:cs="Arial"/>
        </w:rPr>
        <w:t>ě</w:t>
      </w:r>
      <w:r w:rsidRPr="00D77CE9">
        <w:rPr>
          <w:rFonts w:ascii="Arial" w:hAnsi="Arial" w:cs="Arial"/>
        </w:rPr>
        <w:t xml:space="preserve"> a dozvuky energetické krize</w:t>
      </w:r>
      <w:r>
        <w:rPr>
          <w:rFonts w:ascii="Arial" w:hAnsi="Arial" w:cs="Arial"/>
        </w:rPr>
        <w:t>. I nadále pokračoval růst spotřebitelských cen, i když průměrná míra inflace meziročně klesla.</w:t>
      </w:r>
      <w:r w:rsidR="002932B6">
        <w:rPr>
          <w:rFonts w:ascii="Arial" w:hAnsi="Arial" w:cs="Arial"/>
        </w:rPr>
        <w:t xml:space="preserve"> </w:t>
      </w:r>
      <w:r>
        <w:rPr>
          <w:rFonts w:ascii="Arial" w:hAnsi="Arial" w:cs="Arial"/>
        </w:rPr>
        <w:t xml:space="preserve">V základních běžných cenách meziročně poklesl podíl zemědělství včetně lesnictví a rybolovu na 1,75 %, samotné zemědělství pak na 1,42 %. </w:t>
      </w:r>
    </w:p>
    <w:p w14:paraId="3507EBC5" w14:textId="77777777" w:rsidR="0067509F" w:rsidRDefault="0067509F" w:rsidP="0067509F">
      <w:pPr>
        <w:jc w:val="both"/>
        <w:rPr>
          <w:rFonts w:ascii="Arial" w:hAnsi="Arial" w:cs="Arial"/>
        </w:rPr>
      </w:pPr>
      <w:r>
        <w:rPr>
          <w:rFonts w:ascii="Arial" w:hAnsi="Arial" w:cs="Arial"/>
        </w:rPr>
        <w:t>Hodnota produkce zemědělského odvětví (PZO) v roce 2023 meziročně poklesla na hodnotu 176,9 mld. Kč. Negativní vývoj se projevil u rostlinné produkce, kde došlo k meziročnímu snížení na 94,9 mld. Kč. Naopak pozitivní trend byl zaznamenán u živočišné produkce, která vzrostla na 70,6, mld. Kč a dosáhl tak nejvyšší hodnoty za posledních 5 let. Díky propadu rostlinné produkce došlo také k meziročnímu snížení podnikatelského důchodu „DU2“ na 14,0 mld. Kč.</w:t>
      </w:r>
    </w:p>
    <w:p w14:paraId="0BECC0E2" w14:textId="77777777" w:rsidR="0067509F" w:rsidRDefault="0067509F" w:rsidP="0067509F">
      <w:pPr>
        <w:jc w:val="both"/>
        <w:rPr>
          <w:rFonts w:ascii="Arial" w:hAnsi="Arial" w:cs="Arial"/>
        </w:rPr>
      </w:pPr>
      <w:r>
        <w:rPr>
          <w:rFonts w:ascii="Arial" w:hAnsi="Arial" w:cs="Arial"/>
        </w:rPr>
        <w:t>V rostlinné výrobě došlo k meziročnímu snížení cen výrobků o 13,7 %. Důvodem bylo zejména snížení cen obilovin a olejnin o 28,8, %. CZV krmné pšenice meziročně kleslo o 22,9 %.</w:t>
      </w:r>
    </w:p>
    <w:p w14:paraId="14B04930" w14:textId="34606C0A" w:rsidR="0067509F" w:rsidRDefault="0067509F" w:rsidP="0067509F">
      <w:pPr>
        <w:jc w:val="both"/>
        <w:rPr>
          <w:rFonts w:ascii="Arial" w:hAnsi="Arial" w:cs="Arial"/>
        </w:rPr>
      </w:pPr>
      <w:r>
        <w:rPr>
          <w:rFonts w:ascii="Arial" w:hAnsi="Arial" w:cs="Arial"/>
        </w:rPr>
        <w:t>V živočišné výrobě, zahrnující hospodářská zvířata i živočišné výrobky se průměrná CZV zvýšila v porovnání s rokem 2022 o 7,0 %. Nejvíce vzrostla cena vajec, meziročně o 28,6 %, nejméně pak průměrná cena mléka.</w:t>
      </w:r>
    </w:p>
    <w:p w14:paraId="49F47AEC" w14:textId="7455CB62" w:rsidR="0067509F" w:rsidRDefault="0067509F" w:rsidP="0067509F">
      <w:pPr>
        <w:jc w:val="both"/>
        <w:rPr>
          <w:rFonts w:ascii="Arial" w:hAnsi="Arial" w:cs="Arial"/>
        </w:rPr>
      </w:pPr>
      <w:r>
        <w:rPr>
          <w:rFonts w:ascii="Arial" w:hAnsi="Arial" w:cs="Arial"/>
        </w:rPr>
        <w:t>Ceny zemědělských výrobců klesly na 94,0 % úrovně roku 2022. Ceny průmyslových výrobců potravinářských výrobků, nápojů a tabáku. meziročně klesly o 0,3 % a spotřebitelské ceny potravin (včetně nealkoholických nápojů) se zvýšili o 11,5%</w:t>
      </w:r>
      <w:r w:rsidR="005812F7">
        <w:rPr>
          <w:rFonts w:ascii="Arial" w:hAnsi="Arial" w:cs="Arial"/>
        </w:rPr>
        <w:t>.</w:t>
      </w:r>
    </w:p>
    <w:p w14:paraId="38F35CC8" w14:textId="52DEC3FC" w:rsidR="0067509F" w:rsidRDefault="002932B6" w:rsidP="0067509F">
      <w:pPr>
        <w:jc w:val="both"/>
        <w:rPr>
          <w:rFonts w:ascii="Arial" w:hAnsi="Arial" w:cs="Arial"/>
        </w:rPr>
      </w:pPr>
      <w:r>
        <w:rPr>
          <w:rFonts w:ascii="Arial" w:hAnsi="Arial" w:cs="Arial"/>
        </w:rPr>
        <w:t>Pozitivní byl vývoj týkající se o</w:t>
      </w:r>
      <w:r w:rsidR="0067509F">
        <w:rPr>
          <w:rFonts w:ascii="Arial" w:hAnsi="Arial" w:cs="Arial"/>
        </w:rPr>
        <w:t>brat</w:t>
      </w:r>
      <w:r>
        <w:rPr>
          <w:rFonts w:ascii="Arial" w:hAnsi="Arial" w:cs="Arial"/>
        </w:rPr>
        <w:t>u</w:t>
      </w:r>
      <w:r w:rsidR="0067509F">
        <w:rPr>
          <w:rFonts w:ascii="Arial" w:hAnsi="Arial" w:cs="Arial"/>
        </w:rPr>
        <w:t xml:space="preserve"> českého agrárního obchodu</w:t>
      </w:r>
      <w:r>
        <w:rPr>
          <w:rFonts w:ascii="Arial" w:hAnsi="Arial" w:cs="Arial"/>
        </w:rPr>
        <w:t>, který</w:t>
      </w:r>
      <w:r w:rsidR="0067509F">
        <w:rPr>
          <w:rFonts w:ascii="Arial" w:hAnsi="Arial" w:cs="Arial"/>
        </w:rPr>
        <w:t xml:space="preserve"> se v roce 2023 meziročně zvýšil o 9,1 % na 650,5 mld. Kč. Export meziročně vzrostl o 11,4 % na 306,1 mld. Kč. Import vzrostl o 7,0 % na 344,3 mld. Kč.</w:t>
      </w:r>
    </w:p>
    <w:p w14:paraId="2E59483E" w14:textId="1658020C" w:rsidR="003078E0" w:rsidRDefault="003078E0" w:rsidP="0067509F">
      <w:pPr>
        <w:jc w:val="both"/>
        <w:rPr>
          <w:rFonts w:ascii="Arial" w:hAnsi="Arial" w:cs="Arial"/>
        </w:rPr>
      </w:pPr>
      <w:r>
        <w:rPr>
          <w:rFonts w:ascii="Arial" w:hAnsi="Arial" w:cs="Arial"/>
        </w:rPr>
        <w:t xml:space="preserve">Počet pracovníků v zemědělství </w:t>
      </w:r>
      <w:r w:rsidR="00E07108">
        <w:rPr>
          <w:rFonts w:ascii="Arial" w:hAnsi="Arial" w:cs="Arial"/>
        </w:rPr>
        <w:t>ČR tvořil 1,9 % v celkové struktuře zaměstnan</w:t>
      </w:r>
      <w:r w:rsidR="00BC231E">
        <w:rPr>
          <w:rFonts w:ascii="Arial" w:hAnsi="Arial" w:cs="Arial"/>
        </w:rPr>
        <w:t>osti</w:t>
      </w:r>
      <w:r w:rsidR="00C93996">
        <w:rPr>
          <w:rFonts w:ascii="Arial" w:hAnsi="Arial" w:cs="Arial"/>
        </w:rPr>
        <w:t xml:space="preserve"> národního hospodářství. V roce 2023 zůstává stabilní a tvoř</w:t>
      </w:r>
      <w:r w:rsidR="00E4344A">
        <w:rPr>
          <w:rFonts w:ascii="Arial" w:hAnsi="Arial" w:cs="Arial"/>
        </w:rPr>
        <w:t>il 95,4 tis.</w:t>
      </w:r>
    </w:p>
    <w:p w14:paraId="56D38BAC" w14:textId="77777777" w:rsidR="0098453D" w:rsidRDefault="0098453D" w:rsidP="0067509F">
      <w:pPr>
        <w:jc w:val="both"/>
        <w:rPr>
          <w:rFonts w:ascii="Arial" w:hAnsi="Arial" w:cs="Arial"/>
        </w:rPr>
      </w:pPr>
    </w:p>
    <w:p w14:paraId="43C9371E" w14:textId="2D77F62B" w:rsidR="0098453D" w:rsidRPr="000C5008" w:rsidRDefault="0098453D" w:rsidP="000C5008">
      <w:pPr>
        <w:pStyle w:val="Odstavecseseznamem"/>
        <w:numPr>
          <w:ilvl w:val="1"/>
          <w:numId w:val="20"/>
        </w:numPr>
        <w:spacing w:before="120" w:after="60"/>
        <w:jc w:val="both"/>
        <w:rPr>
          <w:rFonts w:ascii="Arial" w:hAnsi="Arial" w:cs="Arial"/>
          <w:b/>
          <w:bCs/>
          <w:color w:val="0070C0"/>
        </w:rPr>
      </w:pPr>
      <w:r w:rsidRPr="000C5008">
        <w:rPr>
          <w:rFonts w:ascii="Arial" w:hAnsi="Arial" w:cs="Arial"/>
          <w:b/>
          <w:bCs/>
          <w:color w:val="0070C0"/>
        </w:rPr>
        <w:t xml:space="preserve">Predikce vývoje cen u </w:t>
      </w:r>
      <w:r w:rsidR="00C55016" w:rsidRPr="000C5008">
        <w:rPr>
          <w:rFonts w:ascii="Arial" w:hAnsi="Arial" w:cs="Arial"/>
          <w:b/>
          <w:bCs/>
          <w:color w:val="0070C0"/>
        </w:rPr>
        <w:t>vybraných komodit – obiloviny, olejniny, sektor mléka, prasat a drůbeže</w:t>
      </w:r>
    </w:p>
    <w:p w14:paraId="26F1A296" w14:textId="77777777" w:rsidR="00C55016" w:rsidRDefault="00C55016" w:rsidP="0067509F">
      <w:pPr>
        <w:jc w:val="both"/>
        <w:rPr>
          <w:rFonts w:ascii="Arial" w:hAnsi="Arial" w:cs="Arial"/>
          <w:b/>
          <w:bCs/>
        </w:rPr>
      </w:pPr>
    </w:p>
    <w:p w14:paraId="346E0EB7" w14:textId="388D78C9" w:rsidR="00C55016" w:rsidRDefault="003D1471" w:rsidP="0067509F">
      <w:pPr>
        <w:jc w:val="both"/>
        <w:rPr>
          <w:rFonts w:ascii="Arial" w:hAnsi="Arial" w:cs="Arial"/>
          <w:b/>
          <w:bCs/>
        </w:rPr>
      </w:pPr>
      <w:r>
        <w:rPr>
          <w:rFonts w:ascii="Arial" w:hAnsi="Arial" w:cs="Arial"/>
          <w:b/>
          <w:bCs/>
        </w:rPr>
        <w:t>Obiloviny</w:t>
      </w:r>
    </w:p>
    <w:p w14:paraId="6F30D891" w14:textId="77777777" w:rsidR="003D1471" w:rsidRPr="000355A6" w:rsidRDefault="003D1471" w:rsidP="003D1471">
      <w:pPr>
        <w:spacing w:after="0"/>
        <w:jc w:val="both"/>
        <w:rPr>
          <w:rFonts w:ascii="Arial" w:hAnsi="Arial" w:cs="Arial"/>
        </w:rPr>
      </w:pPr>
      <w:r w:rsidRPr="000355A6">
        <w:rPr>
          <w:rFonts w:ascii="Arial" w:hAnsi="Arial" w:cs="Arial"/>
        </w:rPr>
        <w:t>Celková produkce obilovin dosáhla výše 7 095 tis. tun při dosaženém průměrném hektarovém výnosu 5,87 t/ha. Při porovnání s loňským průměrným výnosem základních obilovin, ten letošní je zhruba o 2,0 % nižší, tj. o 0,12 t/ha. Přesto takto vysoká sklizeň základních obilovin je pro letošní rok dostačující pro zajištění domácí spotřeby obilovin, která se dlouhodobě pohybuje ve výši kolem 5 mil. tun.</w:t>
      </w:r>
    </w:p>
    <w:p w14:paraId="0753F7BA" w14:textId="3869C04A" w:rsidR="00830DC6" w:rsidRDefault="004F0346" w:rsidP="0067509F">
      <w:pPr>
        <w:jc w:val="both"/>
        <w:rPr>
          <w:rFonts w:ascii="Arial" w:hAnsi="Arial" w:cs="Arial"/>
        </w:rPr>
      </w:pPr>
      <w:r>
        <w:rPr>
          <w:rFonts w:ascii="Arial" w:hAnsi="Arial" w:cs="Arial"/>
        </w:rPr>
        <w:t xml:space="preserve">Vývoj tuzemských cen přenice ozimé závisí především na </w:t>
      </w:r>
      <w:r w:rsidR="00B571C8">
        <w:rPr>
          <w:rFonts w:ascii="Arial" w:hAnsi="Arial" w:cs="Arial"/>
        </w:rPr>
        <w:t>vývoji cen světového trhu. V roce 2022 dosahovaly ceny extrémních</w:t>
      </w:r>
      <w:r w:rsidR="00BB118A">
        <w:rPr>
          <w:rFonts w:ascii="Arial" w:hAnsi="Arial" w:cs="Arial"/>
        </w:rPr>
        <w:t xml:space="preserve"> hladin, v roce 2023 až do srpna t.r. převážně klesal</w:t>
      </w:r>
      <w:r w:rsidR="00164AE2">
        <w:rPr>
          <w:rFonts w:ascii="Arial" w:hAnsi="Arial" w:cs="Arial"/>
        </w:rPr>
        <w:t>y až na předválečnou úroveň.</w:t>
      </w:r>
      <w:r w:rsidR="003061B6">
        <w:rPr>
          <w:rFonts w:ascii="Arial" w:hAnsi="Arial" w:cs="Arial"/>
        </w:rPr>
        <w:t xml:space="preserve"> </w:t>
      </w:r>
    </w:p>
    <w:p w14:paraId="79DA6069" w14:textId="77777777" w:rsidR="00BC7847" w:rsidRDefault="00BC7847" w:rsidP="00BC7847">
      <w:pPr>
        <w:spacing w:after="0" w:line="240" w:lineRule="auto"/>
        <w:jc w:val="both"/>
        <w:rPr>
          <w:rFonts w:ascii="Arial" w:hAnsi="Arial" w:cs="Arial"/>
          <w:b/>
          <w:bCs/>
          <w:i/>
          <w:iCs/>
        </w:rPr>
      </w:pPr>
    </w:p>
    <w:p w14:paraId="51A65E28" w14:textId="371B54BC" w:rsidR="002F7A97" w:rsidRPr="00BC7847" w:rsidRDefault="00EA7B1E" w:rsidP="00BC7847">
      <w:pPr>
        <w:spacing w:after="0" w:line="240" w:lineRule="auto"/>
        <w:jc w:val="both"/>
        <w:rPr>
          <w:rFonts w:ascii="Arial" w:hAnsi="Arial" w:cs="Arial"/>
          <w:b/>
          <w:bCs/>
          <w:i/>
          <w:iCs/>
        </w:rPr>
      </w:pPr>
      <w:r>
        <w:rPr>
          <w:rFonts w:ascii="Arial" w:hAnsi="Arial" w:cs="Arial"/>
          <w:b/>
          <w:bCs/>
          <w:i/>
          <w:iCs/>
        </w:rPr>
        <w:t xml:space="preserve">Tabulka 1: </w:t>
      </w:r>
      <w:r w:rsidR="00BC7847" w:rsidRPr="000355A6">
        <w:rPr>
          <w:rFonts w:ascii="Arial" w:hAnsi="Arial" w:cs="Arial"/>
          <w:b/>
          <w:bCs/>
          <w:i/>
          <w:iCs/>
        </w:rPr>
        <w:t>Porovnání srpnové CZV k ceně meziměsíční, meziroční a ceně před invazí</w:t>
      </w:r>
    </w:p>
    <w:p w14:paraId="4F07525D" w14:textId="09E49F7C" w:rsidR="00FE38FB" w:rsidRDefault="002F7A97" w:rsidP="0067509F">
      <w:pPr>
        <w:jc w:val="both"/>
        <w:rPr>
          <w:rFonts w:ascii="Arial" w:eastAsia="Times New Roman" w:hAnsi="Arial" w:cs="Arial"/>
          <w:i/>
          <w:kern w:val="18"/>
          <w:sz w:val="16"/>
          <w:szCs w:val="16"/>
          <w:lang w:eastAsia="cs-CZ"/>
        </w:rPr>
      </w:pPr>
      <w:r w:rsidRPr="000355A6">
        <w:rPr>
          <w:noProof/>
        </w:rPr>
        <w:drawing>
          <wp:inline distT="0" distB="0" distL="0" distR="0" wp14:anchorId="23895110" wp14:editId="478B0ACB">
            <wp:extent cx="5760720" cy="1382795"/>
            <wp:effectExtent l="0" t="0" r="0" b="8255"/>
            <wp:docPr id="63434912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382795"/>
                    </a:xfrm>
                    <a:prstGeom prst="rect">
                      <a:avLst/>
                    </a:prstGeom>
                    <a:noFill/>
                    <a:ln>
                      <a:noFill/>
                    </a:ln>
                  </pic:spPr>
                </pic:pic>
              </a:graphicData>
            </a:graphic>
          </wp:inline>
        </w:drawing>
      </w:r>
      <w:r w:rsidR="00FE38FB" w:rsidRPr="000355A6">
        <w:rPr>
          <w:rFonts w:ascii="Arial" w:eastAsia="Times New Roman" w:hAnsi="Arial" w:cs="Arial"/>
          <w:i/>
          <w:kern w:val="18"/>
          <w:sz w:val="16"/>
          <w:szCs w:val="16"/>
          <w:lang w:eastAsia="cs-CZ"/>
        </w:rPr>
        <w:t>Pramen: ČSÚ, propočet MZe.</w:t>
      </w:r>
    </w:p>
    <w:p w14:paraId="4DADC01A" w14:textId="538A5BD8" w:rsidR="006A0373" w:rsidRDefault="00B5467A" w:rsidP="00E17868">
      <w:pPr>
        <w:jc w:val="both"/>
        <w:rPr>
          <w:rFonts w:ascii="Arial" w:hAnsi="Arial" w:cs="Arial"/>
        </w:rPr>
      </w:pPr>
      <w:r>
        <w:rPr>
          <w:rFonts w:ascii="Arial" w:hAnsi="Arial" w:cs="Arial"/>
        </w:rPr>
        <w:t>Vzhledem k dostatečné nabídce obilovin</w:t>
      </w:r>
      <w:r w:rsidR="00F60605">
        <w:rPr>
          <w:rFonts w:ascii="Arial" w:hAnsi="Arial" w:cs="Arial"/>
        </w:rPr>
        <w:t xml:space="preserve"> na světovém trhu lze v následujících měsících očekávat spíše mírný pokles cen. Ve střednědobém horizontu do roku 2027 se předpokládá </w:t>
      </w:r>
      <w:r w:rsidR="003C0AEA">
        <w:rPr>
          <w:rFonts w:ascii="Arial" w:hAnsi="Arial" w:cs="Arial"/>
        </w:rPr>
        <w:t>jejich stagnace na předválečnou úroveň.</w:t>
      </w:r>
      <w:r w:rsidR="002932B6">
        <w:rPr>
          <w:rFonts w:ascii="Arial" w:hAnsi="Arial" w:cs="Arial"/>
        </w:rPr>
        <w:t xml:space="preserve"> </w:t>
      </w:r>
      <w:r w:rsidR="00293C80">
        <w:rPr>
          <w:rFonts w:ascii="Arial" w:hAnsi="Arial" w:cs="Arial"/>
        </w:rPr>
        <w:t xml:space="preserve">Očekávané nižší </w:t>
      </w:r>
      <w:r w:rsidR="00726D12">
        <w:rPr>
          <w:rFonts w:ascii="Arial" w:hAnsi="Arial" w:cs="Arial"/>
        </w:rPr>
        <w:t>reálné ceny povedou patrně ke snížení produkce tuzemských pěstitelů.</w:t>
      </w:r>
      <w:r w:rsidR="00B05FEE" w:rsidRPr="00B05FEE">
        <w:rPr>
          <w:rFonts w:cs="Arial"/>
        </w:rPr>
        <w:t xml:space="preserve"> </w:t>
      </w:r>
      <w:r w:rsidR="00B05FEE" w:rsidRPr="006A0373">
        <w:rPr>
          <w:rFonts w:ascii="Arial" w:hAnsi="Arial" w:cs="Arial"/>
        </w:rPr>
        <w:t>Pšenice dlouhodobě dosahuje stabilních výnosů s mírně rostoucím trendem a její rentabilita je relativně stabilní. V dalších letech je očekáván mírný nárůst hektarového výnosu, plochy budou naopak</w:t>
      </w:r>
      <w:r w:rsidR="00510B15" w:rsidRPr="006A0373">
        <w:rPr>
          <w:rFonts w:ascii="Arial" w:hAnsi="Arial" w:cs="Arial"/>
        </w:rPr>
        <w:t xml:space="preserve"> pravděpodobně klesat.</w:t>
      </w:r>
      <w:r w:rsidR="006A0373" w:rsidRPr="006A0373">
        <w:rPr>
          <w:rFonts w:ascii="Arial" w:hAnsi="Arial" w:cs="Arial"/>
        </w:rPr>
        <w:t xml:space="preserve"> Úroveň produkce v dalších letech bude ovlivňovat poptávka zejména po krmivech, výnos pak míra využití nových technologií.</w:t>
      </w:r>
    </w:p>
    <w:p w14:paraId="2AE60488" w14:textId="77777777" w:rsidR="00E17868" w:rsidRPr="006A0373" w:rsidRDefault="00E17868" w:rsidP="00E17868">
      <w:pPr>
        <w:jc w:val="both"/>
        <w:rPr>
          <w:rFonts w:ascii="Arial" w:hAnsi="Arial" w:cs="Arial"/>
        </w:rPr>
      </w:pPr>
    </w:p>
    <w:p w14:paraId="1261DB14" w14:textId="0E393D6F" w:rsidR="00293C80" w:rsidRDefault="006A31FD" w:rsidP="0067509F">
      <w:pPr>
        <w:jc w:val="both"/>
        <w:rPr>
          <w:rFonts w:ascii="Arial" w:hAnsi="Arial" w:cs="Arial"/>
          <w:b/>
          <w:bCs/>
        </w:rPr>
      </w:pPr>
      <w:r w:rsidRPr="006A31FD">
        <w:rPr>
          <w:rFonts w:ascii="Arial" w:hAnsi="Arial" w:cs="Arial"/>
          <w:b/>
          <w:bCs/>
        </w:rPr>
        <w:t>Olejniny</w:t>
      </w:r>
    </w:p>
    <w:p w14:paraId="3F45F1D3" w14:textId="3F5B1768" w:rsidR="006A31FD" w:rsidRDefault="00303B1B" w:rsidP="002932B6">
      <w:pPr>
        <w:spacing w:after="0"/>
        <w:jc w:val="both"/>
        <w:rPr>
          <w:rFonts w:ascii="Arial" w:hAnsi="Arial" w:cs="Arial"/>
        </w:rPr>
      </w:pPr>
      <w:r w:rsidRPr="004E2C4B">
        <w:rPr>
          <w:rFonts w:ascii="Arial" w:hAnsi="Arial" w:cs="Arial"/>
        </w:rPr>
        <w:t xml:space="preserve">Produkce řepky olejky dosáhla </w:t>
      </w:r>
      <w:r>
        <w:rPr>
          <w:rFonts w:ascii="Arial" w:hAnsi="Arial" w:cs="Arial"/>
        </w:rPr>
        <w:t xml:space="preserve">v letošním roce </w:t>
      </w:r>
      <w:r w:rsidRPr="004E2C4B">
        <w:rPr>
          <w:rFonts w:ascii="Arial" w:hAnsi="Arial" w:cs="Arial"/>
        </w:rPr>
        <w:t>téměř 961,5 tis. tun při průměrném výnosu 2,80 t/ha.</w:t>
      </w:r>
      <w:r w:rsidR="002932B6">
        <w:rPr>
          <w:rFonts w:ascii="Arial" w:hAnsi="Arial" w:cs="Arial"/>
        </w:rPr>
        <w:t xml:space="preserve"> </w:t>
      </w:r>
      <w:r w:rsidR="00A65A3A">
        <w:rPr>
          <w:rFonts w:ascii="Arial" w:hAnsi="Arial" w:cs="Arial"/>
        </w:rPr>
        <w:t xml:space="preserve">Vývoj tuzemských cen řepky olejné závisí především na vývoji cen světového trhu. V roce 2022 dosahovaly ceny extrémních hladin, v roce 2023 až do </w:t>
      </w:r>
      <w:r w:rsidR="00223FCE">
        <w:rPr>
          <w:rFonts w:ascii="Arial" w:hAnsi="Arial" w:cs="Arial"/>
        </w:rPr>
        <w:t>února</w:t>
      </w:r>
      <w:r w:rsidR="00A65A3A">
        <w:rPr>
          <w:rFonts w:ascii="Arial" w:hAnsi="Arial" w:cs="Arial"/>
        </w:rPr>
        <w:t xml:space="preserve"> t.r. převážně klesaly </w:t>
      </w:r>
      <w:r w:rsidR="00223FCE">
        <w:rPr>
          <w:rFonts w:ascii="Arial" w:hAnsi="Arial" w:cs="Arial"/>
        </w:rPr>
        <w:t>na výrazně nižší než</w:t>
      </w:r>
      <w:r w:rsidR="00A65A3A">
        <w:rPr>
          <w:rFonts w:ascii="Arial" w:hAnsi="Arial" w:cs="Arial"/>
        </w:rPr>
        <w:t xml:space="preserve"> předválečnou úroveň.</w:t>
      </w:r>
      <w:r w:rsidR="002B0CD8" w:rsidRPr="002B0CD8">
        <w:rPr>
          <w:rFonts w:ascii="Arial" w:hAnsi="Arial" w:cs="Arial"/>
        </w:rPr>
        <w:t xml:space="preserve"> </w:t>
      </w:r>
      <w:r w:rsidR="002B0CD8">
        <w:rPr>
          <w:rFonts w:ascii="Arial" w:hAnsi="Arial" w:cs="Arial"/>
        </w:rPr>
        <w:t xml:space="preserve">CZV řepkového semena dosáhla v roce 2023 cenové hladiny </w:t>
      </w:r>
      <w:r w:rsidR="00FB69EB">
        <w:rPr>
          <w:rFonts w:ascii="Arial" w:hAnsi="Arial" w:cs="Arial"/>
        </w:rPr>
        <w:t>11 904</w:t>
      </w:r>
      <w:r w:rsidR="002B0CD8">
        <w:rPr>
          <w:rFonts w:ascii="Arial" w:hAnsi="Arial" w:cs="Arial"/>
        </w:rPr>
        <w:t xml:space="preserve"> Kč/t a meziročně klesla o </w:t>
      </w:r>
      <w:r w:rsidR="00BE7179">
        <w:rPr>
          <w:rFonts w:ascii="Arial" w:hAnsi="Arial" w:cs="Arial"/>
        </w:rPr>
        <w:t>10,1</w:t>
      </w:r>
      <w:r w:rsidR="002B0CD8">
        <w:rPr>
          <w:rFonts w:ascii="Arial" w:hAnsi="Arial" w:cs="Arial"/>
        </w:rPr>
        <w:t xml:space="preserve"> %</w:t>
      </w:r>
      <w:r w:rsidR="009E7EF8">
        <w:rPr>
          <w:rFonts w:ascii="Arial" w:hAnsi="Arial" w:cs="Arial"/>
        </w:rPr>
        <w:t xml:space="preserve">. </w:t>
      </w:r>
    </w:p>
    <w:p w14:paraId="56B447B4" w14:textId="77777777" w:rsidR="004B5B7C" w:rsidRPr="002345B3" w:rsidRDefault="004B5B7C" w:rsidP="004B5B7C">
      <w:pPr>
        <w:spacing w:after="0" w:line="240" w:lineRule="auto"/>
        <w:jc w:val="both"/>
        <w:rPr>
          <w:rFonts w:ascii="Arial" w:hAnsi="Arial" w:cs="Arial"/>
        </w:rPr>
      </w:pPr>
      <w:r w:rsidRPr="006D3198">
        <w:rPr>
          <w:rFonts w:ascii="Arial" w:hAnsi="Arial" w:cs="Arial"/>
        </w:rPr>
        <w:t xml:space="preserve">Na základě výběrového cenového šetření SZIF průměrná nákupní cena řepky pomalu mírně </w:t>
      </w:r>
      <w:r w:rsidRPr="002F7B27">
        <w:rPr>
          <w:rFonts w:ascii="Arial" w:hAnsi="Arial" w:cs="Arial"/>
        </w:rPr>
        <w:t>roste, ve 38. týdnu roku 2024 byla na 12 544Kč/t (bez DPH; bez dopravních a manipulačních</w:t>
      </w:r>
      <w:r w:rsidRPr="006D3198">
        <w:rPr>
          <w:rFonts w:ascii="Arial" w:hAnsi="Arial" w:cs="Arial"/>
        </w:rPr>
        <w:t xml:space="preserve"> nákladů).</w:t>
      </w:r>
    </w:p>
    <w:p w14:paraId="2767DDCA" w14:textId="77777777" w:rsidR="004B5B7C" w:rsidRDefault="004B5B7C" w:rsidP="002932B6">
      <w:pPr>
        <w:spacing w:after="0"/>
        <w:jc w:val="both"/>
        <w:rPr>
          <w:rFonts w:ascii="Arial" w:hAnsi="Arial" w:cs="Arial"/>
        </w:rPr>
      </w:pPr>
    </w:p>
    <w:p w14:paraId="13602F30" w14:textId="77777777" w:rsidR="002932B6" w:rsidRDefault="002932B6" w:rsidP="002932B6">
      <w:pPr>
        <w:spacing w:after="0"/>
        <w:jc w:val="both"/>
        <w:rPr>
          <w:rFonts w:ascii="Arial" w:hAnsi="Arial" w:cs="Arial"/>
        </w:rPr>
      </w:pPr>
    </w:p>
    <w:p w14:paraId="2300D385" w14:textId="4FB0EF40" w:rsidR="00BA10E0" w:rsidRPr="002345B3" w:rsidRDefault="00EA7B1E" w:rsidP="00BA10E0">
      <w:pPr>
        <w:spacing w:after="0"/>
        <w:rPr>
          <w:rFonts w:ascii="Arial" w:hAnsi="Arial" w:cs="Arial"/>
          <w:b/>
          <w:i/>
          <w:iCs/>
        </w:rPr>
      </w:pPr>
      <w:r>
        <w:rPr>
          <w:rFonts w:ascii="Arial" w:hAnsi="Arial" w:cs="Arial"/>
          <w:b/>
          <w:i/>
          <w:iCs/>
        </w:rPr>
        <w:t xml:space="preserve">Tabulka 2: </w:t>
      </w:r>
      <w:r w:rsidR="00BA10E0" w:rsidRPr="002345B3">
        <w:rPr>
          <w:rFonts w:ascii="Arial" w:hAnsi="Arial" w:cs="Arial"/>
          <w:b/>
          <w:i/>
          <w:iCs/>
        </w:rPr>
        <w:t>Průměrné roční CZV ostatních olejnin v Kč/t (bez DPH) za kalendářní rok</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284"/>
        <w:gridCol w:w="682"/>
        <w:gridCol w:w="683"/>
        <w:gridCol w:w="682"/>
        <w:gridCol w:w="683"/>
        <w:gridCol w:w="682"/>
        <w:gridCol w:w="682"/>
        <w:gridCol w:w="683"/>
        <w:gridCol w:w="682"/>
        <w:gridCol w:w="682"/>
        <w:gridCol w:w="683"/>
        <w:gridCol w:w="720"/>
      </w:tblGrid>
      <w:tr w:rsidR="008B2840" w:rsidRPr="002345B3" w14:paraId="3381A6DC" w14:textId="77777777" w:rsidTr="00D10F4D">
        <w:trPr>
          <w:cantSplit/>
          <w:trHeight w:val="98"/>
        </w:trPr>
        <w:tc>
          <w:tcPr>
            <w:tcW w:w="727" w:type="pct"/>
            <w:shd w:val="clear" w:color="auto" w:fill="B3E5A1" w:themeFill="accent6" w:themeFillTint="66"/>
          </w:tcPr>
          <w:p w14:paraId="626B72A8" w14:textId="77777777" w:rsidR="008B2840" w:rsidRPr="002345B3" w:rsidRDefault="008B2840" w:rsidP="00E751F6">
            <w:pPr>
              <w:spacing w:line="240" w:lineRule="exact"/>
              <w:jc w:val="center"/>
              <w:rPr>
                <w:rFonts w:eastAsia="Times New Roman" w:cstheme="minorHAnsi"/>
                <w:b/>
                <w:sz w:val="18"/>
                <w:szCs w:val="18"/>
                <w:lang w:eastAsia="cs-CZ"/>
              </w:rPr>
            </w:pPr>
            <w:r w:rsidRPr="002345B3">
              <w:rPr>
                <w:rFonts w:eastAsia="Times New Roman" w:cstheme="minorHAnsi"/>
                <w:b/>
                <w:sz w:val="18"/>
                <w:szCs w:val="18"/>
                <w:lang w:eastAsia="cs-CZ"/>
              </w:rPr>
              <w:t>Kalendářní rok</w:t>
            </w:r>
          </w:p>
        </w:tc>
        <w:tc>
          <w:tcPr>
            <w:tcW w:w="386" w:type="pct"/>
            <w:shd w:val="clear" w:color="auto" w:fill="B3E5A1" w:themeFill="accent6" w:themeFillTint="66"/>
            <w:vAlign w:val="center"/>
          </w:tcPr>
          <w:p w14:paraId="4F1A8ED7" w14:textId="77777777" w:rsidR="008B2840" w:rsidRPr="002345B3" w:rsidRDefault="008B2840" w:rsidP="00E751F6">
            <w:pPr>
              <w:spacing w:line="240" w:lineRule="exact"/>
              <w:jc w:val="center"/>
              <w:rPr>
                <w:rFonts w:eastAsia="Times New Roman" w:cstheme="minorHAnsi"/>
                <w:b/>
                <w:sz w:val="18"/>
                <w:szCs w:val="18"/>
                <w:lang w:eastAsia="cs-CZ"/>
              </w:rPr>
            </w:pPr>
            <w:r w:rsidRPr="002345B3">
              <w:rPr>
                <w:rFonts w:eastAsia="Times New Roman" w:cstheme="minorHAnsi"/>
                <w:b/>
                <w:sz w:val="18"/>
                <w:szCs w:val="18"/>
                <w:lang w:eastAsia="cs-CZ"/>
              </w:rPr>
              <w:t>2014</w:t>
            </w:r>
          </w:p>
        </w:tc>
        <w:tc>
          <w:tcPr>
            <w:tcW w:w="387" w:type="pct"/>
            <w:shd w:val="clear" w:color="auto" w:fill="B3E5A1" w:themeFill="accent6" w:themeFillTint="66"/>
            <w:vAlign w:val="center"/>
          </w:tcPr>
          <w:p w14:paraId="48E6B8F4" w14:textId="77777777" w:rsidR="008B2840" w:rsidRPr="002345B3" w:rsidRDefault="008B2840" w:rsidP="00E751F6">
            <w:pPr>
              <w:spacing w:line="240" w:lineRule="exact"/>
              <w:jc w:val="center"/>
              <w:rPr>
                <w:rFonts w:eastAsia="Times New Roman" w:cstheme="minorHAnsi"/>
                <w:b/>
                <w:sz w:val="18"/>
                <w:szCs w:val="18"/>
                <w:lang w:eastAsia="cs-CZ"/>
              </w:rPr>
            </w:pPr>
            <w:r w:rsidRPr="002345B3">
              <w:rPr>
                <w:rFonts w:eastAsia="Times New Roman" w:cstheme="minorHAnsi"/>
                <w:b/>
                <w:sz w:val="18"/>
                <w:szCs w:val="18"/>
                <w:lang w:eastAsia="cs-CZ"/>
              </w:rPr>
              <w:t>2015</w:t>
            </w:r>
          </w:p>
        </w:tc>
        <w:tc>
          <w:tcPr>
            <w:tcW w:w="386" w:type="pct"/>
            <w:shd w:val="clear" w:color="auto" w:fill="B3E5A1" w:themeFill="accent6" w:themeFillTint="66"/>
            <w:vAlign w:val="center"/>
          </w:tcPr>
          <w:p w14:paraId="5652433A" w14:textId="77777777" w:rsidR="008B2840" w:rsidRPr="002345B3" w:rsidRDefault="008B2840" w:rsidP="00E751F6">
            <w:pPr>
              <w:spacing w:line="240" w:lineRule="exact"/>
              <w:jc w:val="center"/>
              <w:rPr>
                <w:rFonts w:eastAsia="Times New Roman" w:cstheme="minorHAnsi"/>
                <w:b/>
                <w:sz w:val="18"/>
                <w:szCs w:val="18"/>
                <w:lang w:eastAsia="cs-CZ"/>
              </w:rPr>
            </w:pPr>
            <w:r w:rsidRPr="002345B3">
              <w:rPr>
                <w:rFonts w:eastAsia="Times New Roman" w:cstheme="minorHAnsi"/>
                <w:b/>
                <w:sz w:val="18"/>
                <w:szCs w:val="18"/>
                <w:lang w:eastAsia="cs-CZ"/>
              </w:rPr>
              <w:t>2016</w:t>
            </w:r>
          </w:p>
        </w:tc>
        <w:tc>
          <w:tcPr>
            <w:tcW w:w="387" w:type="pct"/>
            <w:shd w:val="clear" w:color="auto" w:fill="B3E5A1" w:themeFill="accent6" w:themeFillTint="66"/>
            <w:vAlign w:val="center"/>
          </w:tcPr>
          <w:p w14:paraId="2CE9F910" w14:textId="77777777" w:rsidR="008B2840" w:rsidRPr="002345B3" w:rsidRDefault="008B2840" w:rsidP="00E751F6">
            <w:pPr>
              <w:spacing w:line="240" w:lineRule="exact"/>
              <w:jc w:val="center"/>
              <w:rPr>
                <w:rFonts w:eastAsia="Times New Roman" w:cstheme="minorHAnsi"/>
                <w:b/>
                <w:sz w:val="18"/>
                <w:szCs w:val="18"/>
                <w:lang w:eastAsia="cs-CZ"/>
              </w:rPr>
            </w:pPr>
            <w:r w:rsidRPr="002345B3">
              <w:rPr>
                <w:rFonts w:eastAsia="Times New Roman" w:cstheme="minorHAnsi"/>
                <w:b/>
                <w:sz w:val="18"/>
                <w:szCs w:val="18"/>
                <w:lang w:eastAsia="cs-CZ"/>
              </w:rPr>
              <w:t>2017</w:t>
            </w:r>
          </w:p>
        </w:tc>
        <w:tc>
          <w:tcPr>
            <w:tcW w:w="386" w:type="pct"/>
            <w:shd w:val="clear" w:color="auto" w:fill="B3E5A1" w:themeFill="accent6" w:themeFillTint="66"/>
            <w:vAlign w:val="center"/>
          </w:tcPr>
          <w:p w14:paraId="2704B15B" w14:textId="77777777" w:rsidR="008B2840" w:rsidRPr="002345B3" w:rsidRDefault="008B2840" w:rsidP="00E751F6">
            <w:pPr>
              <w:spacing w:line="240" w:lineRule="exact"/>
              <w:jc w:val="center"/>
              <w:rPr>
                <w:rFonts w:eastAsia="Times New Roman" w:cstheme="minorHAnsi"/>
                <w:b/>
                <w:sz w:val="18"/>
                <w:szCs w:val="18"/>
                <w:lang w:eastAsia="cs-CZ"/>
              </w:rPr>
            </w:pPr>
            <w:r w:rsidRPr="002345B3">
              <w:rPr>
                <w:rFonts w:eastAsia="Times New Roman" w:cstheme="minorHAnsi"/>
                <w:b/>
                <w:sz w:val="18"/>
                <w:szCs w:val="18"/>
                <w:lang w:eastAsia="cs-CZ"/>
              </w:rPr>
              <w:t>2018</w:t>
            </w:r>
          </w:p>
        </w:tc>
        <w:tc>
          <w:tcPr>
            <w:tcW w:w="386" w:type="pct"/>
            <w:shd w:val="clear" w:color="auto" w:fill="B3E5A1" w:themeFill="accent6" w:themeFillTint="66"/>
            <w:vAlign w:val="center"/>
          </w:tcPr>
          <w:p w14:paraId="7A14C207" w14:textId="77777777" w:rsidR="008B2840" w:rsidRPr="002345B3" w:rsidRDefault="008B2840" w:rsidP="00E751F6">
            <w:pPr>
              <w:spacing w:line="240" w:lineRule="exact"/>
              <w:jc w:val="center"/>
              <w:rPr>
                <w:rFonts w:eastAsia="Times New Roman" w:cstheme="minorHAnsi"/>
                <w:b/>
                <w:sz w:val="18"/>
                <w:szCs w:val="18"/>
                <w:lang w:eastAsia="cs-CZ"/>
              </w:rPr>
            </w:pPr>
            <w:r w:rsidRPr="002345B3">
              <w:rPr>
                <w:rFonts w:eastAsia="Times New Roman" w:cstheme="minorHAnsi"/>
                <w:b/>
                <w:sz w:val="18"/>
                <w:szCs w:val="18"/>
                <w:lang w:eastAsia="cs-CZ"/>
              </w:rPr>
              <w:t>2019</w:t>
            </w:r>
          </w:p>
        </w:tc>
        <w:tc>
          <w:tcPr>
            <w:tcW w:w="387" w:type="pct"/>
            <w:shd w:val="clear" w:color="auto" w:fill="B3E5A1" w:themeFill="accent6" w:themeFillTint="66"/>
            <w:vAlign w:val="center"/>
          </w:tcPr>
          <w:p w14:paraId="09647BCF" w14:textId="77777777" w:rsidR="008B2840" w:rsidRPr="002345B3" w:rsidRDefault="008B2840" w:rsidP="00E751F6">
            <w:pPr>
              <w:spacing w:line="240" w:lineRule="exact"/>
              <w:jc w:val="center"/>
              <w:rPr>
                <w:rFonts w:eastAsia="Times New Roman" w:cstheme="minorHAnsi"/>
                <w:b/>
                <w:sz w:val="18"/>
                <w:szCs w:val="18"/>
                <w:lang w:eastAsia="cs-CZ"/>
              </w:rPr>
            </w:pPr>
            <w:r w:rsidRPr="002345B3">
              <w:rPr>
                <w:rFonts w:eastAsia="Times New Roman" w:cstheme="minorHAnsi"/>
                <w:b/>
                <w:sz w:val="18"/>
                <w:szCs w:val="18"/>
                <w:lang w:eastAsia="cs-CZ"/>
              </w:rPr>
              <w:t>2020</w:t>
            </w:r>
          </w:p>
        </w:tc>
        <w:tc>
          <w:tcPr>
            <w:tcW w:w="386" w:type="pct"/>
            <w:shd w:val="clear" w:color="auto" w:fill="B3E5A1" w:themeFill="accent6" w:themeFillTint="66"/>
            <w:vAlign w:val="center"/>
          </w:tcPr>
          <w:p w14:paraId="6EEE7203" w14:textId="77777777" w:rsidR="008B2840" w:rsidRPr="002345B3" w:rsidRDefault="008B2840" w:rsidP="00E751F6">
            <w:pPr>
              <w:spacing w:line="240" w:lineRule="exact"/>
              <w:jc w:val="center"/>
              <w:rPr>
                <w:rFonts w:eastAsia="Times New Roman" w:cstheme="minorHAnsi"/>
                <w:b/>
                <w:sz w:val="18"/>
                <w:szCs w:val="18"/>
                <w:lang w:eastAsia="cs-CZ"/>
              </w:rPr>
            </w:pPr>
            <w:r w:rsidRPr="002345B3">
              <w:rPr>
                <w:rFonts w:eastAsia="Times New Roman" w:cstheme="minorHAnsi"/>
                <w:b/>
                <w:sz w:val="18"/>
                <w:szCs w:val="18"/>
                <w:lang w:eastAsia="cs-CZ"/>
              </w:rPr>
              <w:t>2021</w:t>
            </w:r>
          </w:p>
        </w:tc>
        <w:tc>
          <w:tcPr>
            <w:tcW w:w="386" w:type="pct"/>
            <w:shd w:val="clear" w:color="auto" w:fill="B3E5A1" w:themeFill="accent6" w:themeFillTint="66"/>
            <w:vAlign w:val="center"/>
          </w:tcPr>
          <w:p w14:paraId="4C98D7AC" w14:textId="77777777" w:rsidR="008B2840" w:rsidRPr="002345B3" w:rsidRDefault="008B2840" w:rsidP="00E751F6">
            <w:pPr>
              <w:spacing w:line="240" w:lineRule="exact"/>
              <w:jc w:val="center"/>
              <w:rPr>
                <w:rFonts w:eastAsia="Times New Roman" w:cstheme="minorHAnsi"/>
                <w:b/>
                <w:sz w:val="18"/>
                <w:szCs w:val="18"/>
                <w:lang w:eastAsia="cs-CZ"/>
              </w:rPr>
            </w:pPr>
            <w:r w:rsidRPr="002345B3">
              <w:rPr>
                <w:rFonts w:eastAsia="Times New Roman" w:cstheme="minorHAnsi"/>
                <w:b/>
                <w:sz w:val="18"/>
                <w:szCs w:val="18"/>
                <w:lang w:eastAsia="cs-CZ"/>
              </w:rPr>
              <w:t>2022</w:t>
            </w:r>
          </w:p>
        </w:tc>
        <w:tc>
          <w:tcPr>
            <w:tcW w:w="387" w:type="pct"/>
            <w:shd w:val="clear" w:color="auto" w:fill="B3E5A1" w:themeFill="accent6" w:themeFillTint="66"/>
            <w:vAlign w:val="center"/>
          </w:tcPr>
          <w:p w14:paraId="1E96C19F" w14:textId="77777777" w:rsidR="008B2840" w:rsidRPr="002345B3" w:rsidRDefault="008B2840" w:rsidP="00E751F6">
            <w:pPr>
              <w:spacing w:line="240" w:lineRule="exact"/>
              <w:jc w:val="center"/>
              <w:rPr>
                <w:rFonts w:eastAsia="Times New Roman" w:cstheme="minorHAnsi"/>
                <w:b/>
                <w:sz w:val="18"/>
                <w:szCs w:val="18"/>
                <w:lang w:eastAsia="cs-CZ"/>
              </w:rPr>
            </w:pPr>
            <w:r w:rsidRPr="002345B3">
              <w:rPr>
                <w:rFonts w:eastAsia="Times New Roman" w:cstheme="minorHAnsi"/>
                <w:b/>
                <w:sz w:val="18"/>
                <w:szCs w:val="18"/>
                <w:lang w:eastAsia="cs-CZ"/>
              </w:rPr>
              <w:t>2023</w:t>
            </w:r>
          </w:p>
        </w:tc>
        <w:tc>
          <w:tcPr>
            <w:tcW w:w="408" w:type="pct"/>
            <w:shd w:val="clear" w:color="auto" w:fill="B3E5A1" w:themeFill="accent6" w:themeFillTint="66"/>
          </w:tcPr>
          <w:p w14:paraId="188EA5F7" w14:textId="77777777" w:rsidR="008B2840" w:rsidRPr="002345B3" w:rsidRDefault="008B2840" w:rsidP="00E751F6">
            <w:pPr>
              <w:spacing w:line="240" w:lineRule="exact"/>
              <w:jc w:val="center"/>
              <w:rPr>
                <w:rFonts w:eastAsia="Times New Roman" w:cstheme="minorHAnsi"/>
                <w:b/>
                <w:sz w:val="18"/>
                <w:szCs w:val="18"/>
                <w:lang w:eastAsia="cs-CZ"/>
              </w:rPr>
            </w:pPr>
            <w:r w:rsidRPr="002345B3">
              <w:rPr>
                <w:rFonts w:eastAsia="Times New Roman" w:cstheme="minorHAnsi"/>
                <w:b/>
                <w:sz w:val="18"/>
                <w:szCs w:val="18"/>
                <w:lang w:eastAsia="cs-CZ"/>
              </w:rPr>
              <w:t>2024*</w:t>
            </w:r>
          </w:p>
        </w:tc>
      </w:tr>
      <w:tr w:rsidR="008B2840" w:rsidRPr="002345B3" w14:paraId="2B9DDB95" w14:textId="77777777" w:rsidTr="00D10F4D">
        <w:trPr>
          <w:cantSplit/>
          <w:trHeight w:val="75"/>
        </w:trPr>
        <w:tc>
          <w:tcPr>
            <w:tcW w:w="727" w:type="pct"/>
            <w:shd w:val="clear" w:color="auto" w:fill="auto"/>
            <w:vAlign w:val="bottom"/>
          </w:tcPr>
          <w:p w14:paraId="0FEB0D42" w14:textId="77777777" w:rsidR="008B2840" w:rsidRPr="002345B3" w:rsidRDefault="008B2840" w:rsidP="00E751F6">
            <w:pPr>
              <w:spacing w:after="0" w:line="240" w:lineRule="exact"/>
              <w:jc w:val="center"/>
              <w:rPr>
                <w:rFonts w:eastAsia="Times New Roman" w:cstheme="minorHAnsi"/>
                <w:b/>
                <w:sz w:val="18"/>
                <w:szCs w:val="18"/>
                <w:lang w:eastAsia="cs-CZ"/>
              </w:rPr>
            </w:pPr>
            <w:r w:rsidRPr="002345B3">
              <w:rPr>
                <w:rFonts w:eastAsia="Times New Roman" w:cstheme="minorHAnsi"/>
                <w:b/>
                <w:sz w:val="18"/>
                <w:szCs w:val="18"/>
                <w:lang w:eastAsia="cs-CZ"/>
              </w:rPr>
              <w:t>Slunečnice</w:t>
            </w:r>
          </w:p>
        </w:tc>
        <w:tc>
          <w:tcPr>
            <w:tcW w:w="386" w:type="pct"/>
            <w:shd w:val="clear" w:color="auto" w:fill="auto"/>
            <w:vAlign w:val="center"/>
          </w:tcPr>
          <w:p w14:paraId="47684D74"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8 447</w:t>
            </w:r>
          </w:p>
        </w:tc>
        <w:tc>
          <w:tcPr>
            <w:tcW w:w="387" w:type="pct"/>
            <w:shd w:val="clear" w:color="auto" w:fill="auto"/>
            <w:vAlign w:val="center"/>
          </w:tcPr>
          <w:p w14:paraId="077048FD"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8 892</w:t>
            </w:r>
          </w:p>
        </w:tc>
        <w:tc>
          <w:tcPr>
            <w:tcW w:w="386" w:type="pct"/>
            <w:shd w:val="clear" w:color="auto" w:fill="auto"/>
            <w:vAlign w:val="center"/>
          </w:tcPr>
          <w:p w14:paraId="79ACD052"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9 652</w:t>
            </w:r>
          </w:p>
        </w:tc>
        <w:tc>
          <w:tcPr>
            <w:tcW w:w="387" w:type="pct"/>
            <w:shd w:val="clear" w:color="auto" w:fill="auto"/>
            <w:vAlign w:val="center"/>
          </w:tcPr>
          <w:p w14:paraId="75C0E5C1"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8 940</w:t>
            </w:r>
          </w:p>
        </w:tc>
        <w:tc>
          <w:tcPr>
            <w:tcW w:w="386" w:type="pct"/>
            <w:shd w:val="clear" w:color="auto" w:fill="auto"/>
            <w:vAlign w:val="center"/>
          </w:tcPr>
          <w:p w14:paraId="043B02A5"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7 876</w:t>
            </w:r>
          </w:p>
        </w:tc>
        <w:tc>
          <w:tcPr>
            <w:tcW w:w="386" w:type="pct"/>
            <w:shd w:val="clear" w:color="auto" w:fill="auto"/>
            <w:vAlign w:val="center"/>
          </w:tcPr>
          <w:p w14:paraId="66E12C36"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7 477</w:t>
            </w:r>
          </w:p>
        </w:tc>
        <w:tc>
          <w:tcPr>
            <w:tcW w:w="387" w:type="pct"/>
            <w:shd w:val="clear" w:color="auto" w:fill="auto"/>
            <w:vAlign w:val="center"/>
          </w:tcPr>
          <w:p w14:paraId="6769FD44"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9 185</w:t>
            </w:r>
          </w:p>
        </w:tc>
        <w:tc>
          <w:tcPr>
            <w:tcW w:w="386" w:type="pct"/>
            <w:shd w:val="clear" w:color="auto" w:fill="auto"/>
            <w:vAlign w:val="center"/>
          </w:tcPr>
          <w:p w14:paraId="6825F7E3"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11 145</w:t>
            </w:r>
          </w:p>
        </w:tc>
        <w:tc>
          <w:tcPr>
            <w:tcW w:w="386" w:type="pct"/>
            <w:shd w:val="clear" w:color="auto" w:fill="auto"/>
            <w:vAlign w:val="center"/>
          </w:tcPr>
          <w:p w14:paraId="13A3A5AC"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13 857</w:t>
            </w:r>
          </w:p>
        </w:tc>
        <w:tc>
          <w:tcPr>
            <w:tcW w:w="387" w:type="pct"/>
            <w:vAlign w:val="center"/>
          </w:tcPr>
          <w:p w14:paraId="081761AC"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10 584</w:t>
            </w:r>
          </w:p>
        </w:tc>
        <w:tc>
          <w:tcPr>
            <w:tcW w:w="408" w:type="pct"/>
          </w:tcPr>
          <w:p w14:paraId="040AC114"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8 241</w:t>
            </w:r>
          </w:p>
        </w:tc>
      </w:tr>
      <w:tr w:rsidR="008B2840" w:rsidRPr="002345B3" w14:paraId="5A150159" w14:textId="77777777" w:rsidTr="00D10F4D">
        <w:trPr>
          <w:cantSplit/>
          <w:trHeight w:val="75"/>
        </w:trPr>
        <w:tc>
          <w:tcPr>
            <w:tcW w:w="727" w:type="pct"/>
            <w:shd w:val="clear" w:color="auto" w:fill="auto"/>
            <w:vAlign w:val="bottom"/>
          </w:tcPr>
          <w:p w14:paraId="61FDA943" w14:textId="77777777" w:rsidR="008B2840" w:rsidRPr="002345B3" w:rsidRDefault="008B2840" w:rsidP="00E751F6">
            <w:pPr>
              <w:spacing w:after="0" w:line="240" w:lineRule="exact"/>
              <w:jc w:val="center"/>
              <w:rPr>
                <w:rFonts w:eastAsia="Times New Roman" w:cstheme="minorHAnsi"/>
                <w:b/>
                <w:sz w:val="18"/>
                <w:szCs w:val="18"/>
                <w:lang w:eastAsia="cs-CZ"/>
              </w:rPr>
            </w:pPr>
            <w:r w:rsidRPr="002345B3">
              <w:rPr>
                <w:rFonts w:eastAsia="Times New Roman" w:cstheme="minorHAnsi"/>
                <w:b/>
                <w:sz w:val="18"/>
                <w:szCs w:val="18"/>
                <w:lang w:eastAsia="cs-CZ"/>
              </w:rPr>
              <w:t>Mák</w:t>
            </w:r>
          </w:p>
        </w:tc>
        <w:tc>
          <w:tcPr>
            <w:tcW w:w="386" w:type="pct"/>
            <w:shd w:val="clear" w:color="auto" w:fill="auto"/>
            <w:vAlign w:val="center"/>
          </w:tcPr>
          <w:p w14:paraId="5B5349C7"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58 588</w:t>
            </w:r>
          </w:p>
        </w:tc>
        <w:tc>
          <w:tcPr>
            <w:tcW w:w="387" w:type="pct"/>
            <w:shd w:val="clear" w:color="auto" w:fill="auto"/>
            <w:vAlign w:val="center"/>
          </w:tcPr>
          <w:p w14:paraId="25423A5A"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43 890</w:t>
            </w:r>
          </w:p>
        </w:tc>
        <w:tc>
          <w:tcPr>
            <w:tcW w:w="386" w:type="pct"/>
            <w:shd w:val="clear" w:color="auto" w:fill="auto"/>
            <w:vAlign w:val="center"/>
          </w:tcPr>
          <w:p w14:paraId="78C5471D"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33 369</w:t>
            </w:r>
          </w:p>
        </w:tc>
        <w:tc>
          <w:tcPr>
            <w:tcW w:w="387" w:type="pct"/>
            <w:shd w:val="clear" w:color="auto" w:fill="auto"/>
            <w:vAlign w:val="center"/>
          </w:tcPr>
          <w:p w14:paraId="43461B1F"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34 760</w:t>
            </w:r>
          </w:p>
        </w:tc>
        <w:tc>
          <w:tcPr>
            <w:tcW w:w="386" w:type="pct"/>
            <w:shd w:val="clear" w:color="auto" w:fill="auto"/>
            <w:vAlign w:val="center"/>
          </w:tcPr>
          <w:p w14:paraId="738B4A34"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61 882</w:t>
            </w:r>
          </w:p>
        </w:tc>
        <w:tc>
          <w:tcPr>
            <w:tcW w:w="386" w:type="pct"/>
            <w:shd w:val="clear" w:color="auto" w:fill="auto"/>
            <w:vAlign w:val="center"/>
          </w:tcPr>
          <w:p w14:paraId="41AA93D8"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70 262</w:t>
            </w:r>
          </w:p>
        </w:tc>
        <w:tc>
          <w:tcPr>
            <w:tcW w:w="387" w:type="pct"/>
            <w:shd w:val="clear" w:color="auto" w:fill="auto"/>
            <w:vAlign w:val="center"/>
          </w:tcPr>
          <w:p w14:paraId="47F68F20"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60 362</w:t>
            </w:r>
          </w:p>
        </w:tc>
        <w:tc>
          <w:tcPr>
            <w:tcW w:w="386" w:type="pct"/>
            <w:shd w:val="clear" w:color="auto" w:fill="auto"/>
            <w:vAlign w:val="center"/>
          </w:tcPr>
          <w:p w14:paraId="58DD874E"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41 427</w:t>
            </w:r>
          </w:p>
        </w:tc>
        <w:tc>
          <w:tcPr>
            <w:tcW w:w="386" w:type="pct"/>
            <w:shd w:val="clear" w:color="auto" w:fill="auto"/>
            <w:vAlign w:val="center"/>
          </w:tcPr>
          <w:p w14:paraId="459C9C85"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49 479</w:t>
            </w:r>
          </w:p>
        </w:tc>
        <w:tc>
          <w:tcPr>
            <w:tcW w:w="387" w:type="pct"/>
            <w:vAlign w:val="center"/>
          </w:tcPr>
          <w:p w14:paraId="242D6459"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49 159</w:t>
            </w:r>
          </w:p>
        </w:tc>
        <w:tc>
          <w:tcPr>
            <w:tcW w:w="408" w:type="pct"/>
          </w:tcPr>
          <w:p w14:paraId="7C6F6F7D"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62 504</w:t>
            </w:r>
          </w:p>
        </w:tc>
      </w:tr>
      <w:tr w:rsidR="008B2840" w:rsidRPr="002345B3" w14:paraId="288C6100" w14:textId="77777777" w:rsidTr="00D10F4D">
        <w:trPr>
          <w:cantSplit/>
          <w:trHeight w:val="75"/>
        </w:trPr>
        <w:tc>
          <w:tcPr>
            <w:tcW w:w="727" w:type="pct"/>
            <w:shd w:val="clear" w:color="auto" w:fill="auto"/>
            <w:vAlign w:val="bottom"/>
          </w:tcPr>
          <w:p w14:paraId="72E1A5BF" w14:textId="77777777" w:rsidR="008B2840" w:rsidRPr="002345B3" w:rsidRDefault="008B2840" w:rsidP="00E751F6">
            <w:pPr>
              <w:spacing w:after="0" w:line="240" w:lineRule="exact"/>
              <w:jc w:val="center"/>
              <w:rPr>
                <w:rFonts w:eastAsia="Times New Roman" w:cstheme="minorHAnsi"/>
                <w:b/>
                <w:sz w:val="18"/>
                <w:szCs w:val="18"/>
                <w:lang w:eastAsia="cs-CZ"/>
              </w:rPr>
            </w:pPr>
            <w:r w:rsidRPr="002345B3">
              <w:rPr>
                <w:rFonts w:eastAsia="Times New Roman" w:cstheme="minorHAnsi"/>
                <w:b/>
                <w:sz w:val="18"/>
                <w:szCs w:val="18"/>
                <w:lang w:eastAsia="cs-CZ"/>
              </w:rPr>
              <w:t>Sója</w:t>
            </w:r>
          </w:p>
        </w:tc>
        <w:tc>
          <w:tcPr>
            <w:tcW w:w="386" w:type="pct"/>
            <w:shd w:val="clear" w:color="auto" w:fill="auto"/>
            <w:vAlign w:val="center"/>
          </w:tcPr>
          <w:p w14:paraId="55A0783D"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w:t>
            </w:r>
          </w:p>
        </w:tc>
        <w:tc>
          <w:tcPr>
            <w:tcW w:w="387" w:type="pct"/>
            <w:shd w:val="clear" w:color="auto" w:fill="auto"/>
            <w:vAlign w:val="center"/>
          </w:tcPr>
          <w:p w14:paraId="08318CB6"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w:t>
            </w:r>
          </w:p>
        </w:tc>
        <w:tc>
          <w:tcPr>
            <w:tcW w:w="386" w:type="pct"/>
            <w:shd w:val="clear" w:color="auto" w:fill="auto"/>
            <w:vAlign w:val="center"/>
          </w:tcPr>
          <w:p w14:paraId="6FEFDFB5"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w:t>
            </w:r>
          </w:p>
        </w:tc>
        <w:tc>
          <w:tcPr>
            <w:tcW w:w="387" w:type="pct"/>
            <w:shd w:val="clear" w:color="auto" w:fill="auto"/>
            <w:vAlign w:val="center"/>
          </w:tcPr>
          <w:p w14:paraId="6066086E"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w:t>
            </w:r>
          </w:p>
        </w:tc>
        <w:tc>
          <w:tcPr>
            <w:tcW w:w="386" w:type="pct"/>
            <w:shd w:val="clear" w:color="auto" w:fill="auto"/>
            <w:vAlign w:val="center"/>
          </w:tcPr>
          <w:p w14:paraId="455E5088"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9 230</w:t>
            </w:r>
          </w:p>
        </w:tc>
        <w:tc>
          <w:tcPr>
            <w:tcW w:w="386" w:type="pct"/>
            <w:shd w:val="clear" w:color="auto" w:fill="auto"/>
            <w:vAlign w:val="center"/>
          </w:tcPr>
          <w:p w14:paraId="4E4452D0"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8 687</w:t>
            </w:r>
          </w:p>
        </w:tc>
        <w:tc>
          <w:tcPr>
            <w:tcW w:w="387" w:type="pct"/>
            <w:shd w:val="clear" w:color="auto" w:fill="auto"/>
            <w:vAlign w:val="center"/>
          </w:tcPr>
          <w:p w14:paraId="2E29D480"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9 173</w:t>
            </w:r>
          </w:p>
        </w:tc>
        <w:tc>
          <w:tcPr>
            <w:tcW w:w="386" w:type="pct"/>
            <w:shd w:val="clear" w:color="auto" w:fill="auto"/>
            <w:vAlign w:val="center"/>
          </w:tcPr>
          <w:p w14:paraId="15C9EB4C"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10 666</w:t>
            </w:r>
          </w:p>
        </w:tc>
        <w:tc>
          <w:tcPr>
            <w:tcW w:w="386" w:type="pct"/>
            <w:shd w:val="clear" w:color="auto" w:fill="auto"/>
            <w:vAlign w:val="center"/>
          </w:tcPr>
          <w:p w14:paraId="7E54904E"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14 880</w:t>
            </w:r>
          </w:p>
        </w:tc>
        <w:tc>
          <w:tcPr>
            <w:tcW w:w="387" w:type="pct"/>
            <w:vAlign w:val="center"/>
          </w:tcPr>
          <w:p w14:paraId="0D310E67"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12 707</w:t>
            </w:r>
          </w:p>
        </w:tc>
        <w:tc>
          <w:tcPr>
            <w:tcW w:w="408" w:type="pct"/>
          </w:tcPr>
          <w:p w14:paraId="2E0247E1"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10 973</w:t>
            </w:r>
          </w:p>
        </w:tc>
      </w:tr>
      <w:tr w:rsidR="008B2840" w:rsidRPr="002345B3" w14:paraId="7605FBD1" w14:textId="77777777" w:rsidTr="00D10F4D">
        <w:trPr>
          <w:cantSplit/>
          <w:trHeight w:val="75"/>
        </w:trPr>
        <w:tc>
          <w:tcPr>
            <w:tcW w:w="727" w:type="pct"/>
            <w:shd w:val="clear" w:color="auto" w:fill="auto"/>
            <w:vAlign w:val="bottom"/>
          </w:tcPr>
          <w:p w14:paraId="2C7203CF" w14:textId="77777777" w:rsidR="008B2840" w:rsidRPr="002345B3" w:rsidRDefault="008B2840" w:rsidP="00E751F6">
            <w:pPr>
              <w:spacing w:after="0" w:line="240" w:lineRule="exact"/>
              <w:jc w:val="center"/>
              <w:rPr>
                <w:rFonts w:eastAsia="Times New Roman" w:cstheme="minorHAnsi"/>
                <w:b/>
                <w:sz w:val="18"/>
                <w:szCs w:val="18"/>
                <w:lang w:eastAsia="cs-CZ"/>
              </w:rPr>
            </w:pPr>
            <w:r w:rsidRPr="002345B3">
              <w:rPr>
                <w:rFonts w:eastAsia="Times New Roman" w:cstheme="minorHAnsi"/>
                <w:b/>
                <w:sz w:val="18"/>
                <w:szCs w:val="18"/>
                <w:lang w:eastAsia="cs-CZ"/>
              </w:rPr>
              <w:t>Hořčice</w:t>
            </w:r>
          </w:p>
        </w:tc>
        <w:tc>
          <w:tcPr>
            <w:tcW w:w="386" w:type="pct"/>
            <w:shd w:val="clear" w:color="auto" w:fill="auto"/>
            <w:vAlign w:val="center"/>
          </w:tcPr>
          <w:p w14:paraId="2D08E8A1"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18 694</w:t>
            </w:r>
          </w:p>
        </w:tc>
        <w:tc>
          <w:tcPr>
            <w:tcW w:w="387" w:type="pct"/>
            <w:shd w:val="clear" w:color="auto" w:fill="auto"/>
            <w:vAlign w:val="center"/>
          </w:tcPr>
          <w:p w14:paraId="49D12674"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16 327</w:t>
            </w:r>
          </w:p>
        </w:tc>
        <w:tc>
          <w:tcPr>
            <w:tcW w:w="386" w:type="pct"/>
            <w:shd w:val="clear" w:color="auto" w:fill="auto"/>
            <w:vAlign w:val="center"/>
          </w:tcPr>
          <w:p w14:paraId="77BD124B"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15 339</w:t>
            </w:r>
          </w:p>
        </w:tc>
        <w:tc>
          <w:tcPr>
            <w:tcW w:w="387" w:type="pct"/>
            <w:shd w:val="clear" w:color="auto" w:fill="auto"/>
            <w:vAlign w:val="center"/>
          </w:tcPr>
          <w:p w14:paraId="2B73C580"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15 058</w:t>
            </w:r>
          </w:p>
        </w:tc>
        <w:tc>
          <w:tcPr>
            <w:tcW w:w="386" w:type="pct"/>
            <w:shd w:val="clear" w:color="auto" w:fill="auto"/>
            <w:vAlign w:val="center"/>
          </w:tcPr>
          <w:p w14:paraId="136C9BE4"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15 555</w:t>
            </w:r>
          </w:p>
        </w:tc>
        <w:tc>
          <w:tcPr>
            <w:tcW w:w="386" w:type="pct"/>
            <w:shd w:val="clear" w:color="auto" w:fill="auto"/>
            <w:vAlign w:val="center"/>
          </w:tcPr>
          <w:p w14:paraId="48A52BE1"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16 698</w:t>
            </w:r>
          </w:p>
        </w:tc>
        <w:tc>
          <w:tcPr>
            <w:tcW w:w="387" w:type="pct"/>
            <w:shd w:val="clear" w:color="auto" w:fill="auto"/>
            <w:vAlign w:val="center"/>
          </w:tcPr>
          <w:p w14:paraId="03913D78"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16 481</w:t>
            </w:r>
          </w:p>
        </w:tc>
        <w:tc>
          <w:tcPr>
            <w:tcW w:w="386" w:type="pct"/>
            <w:shd w:val="clear" w:color="auto" w:fill="auto"/>
            <w:vAlign w:val="center"/>
          </w:tcPr>
          <w:p w14:paraId="75EFD931"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16 098</w:t>
            </w:r>
          </w:p>
        </w:tc>
        <w:tc>
          <w:tcPr>
            <w:tcW w:w="386" w:type="pct"/>
            <w:shd w:val="clear" w:color="auto" w:fill="auto"/>
            <w:vAlign w:val="center"/>
          </w:tcPr>
          <w:p w14:paraId="0D6C1A46"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25 038</w:t>
            </w:r>
          </w:p>
        </w:tc>
        <w:tc>
          <w:tcPr>
            <w:tcW w:w="387" w:type="pct"/>
            <w:vAlign w:val="center"/>
          </w:tcPr>
          <w:p w14:paraId="0738B172"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24 469</w:t>
            </w:r>
          </w:p>
        </w:tc>
        <w:tc>
          <w:tcPr>
            <w:tcW w:w="408" w:type="pct"/>
          </w:tcPr>
          <w:p w14:paraId="24FC16DE"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21 117</w:t>
            </w:r>
          </w:p>
        </w:tc>
      </w:tr>
      <w:tr w:rsidR="008B2840" w:rsidRPr="002345B3" w14:paraId="6D575E15" w14:textId="77777777" w:rsidTr="00D10F4D">
        <w:trPr>
          <w:cantSplit/>
          <w:trHeight w:val="75"/>
        </w:trPr>
        <w:tc>
          <w:tcPr>
            <w:tcW w:w="727" w:type="pct"/>
            <w:shd w:val="clear" w:color="auto" w:fill="auto"/>
            <w:vAlign w:val="bottom"/>
          </w:tcPr>
          <w:p w14:paraId="5E9A7177" w14:textId="77777777" w:rsidR="008B2840" w:rsidRPr="002345B3" w:rsidRDefault="008B2840" w:rsidP="00E751F6">
            <w:pPr>
              <w:spacing w:after="0" w:line="240" w:lineRule="exact"/>
              <w:jc w:val="center"/>
              <w:rPr>
                <w:rFonts w:eastAsia="Times New Roman" w:cstheme="minorHAnsi"/>
                <w:b/>
                <w:sz w:val="18"/>
                <w:szCs w:val="18"/>
                <w:lang w:eastAsia="cs-CZ"/>
              </w:rPr>
            </w:pPr>
            <w:r w:rsidRPr="002345B3">
              <w:rPr>
                <w:rFonts w:eastAsia="Times New Roman" w:cstheme="minorHAnsi"/>
                <w:b/>
                <w:sz w:val="18"/>
                <w:szCs w:val="18"/>
                <w:lang w:eastAsia="cs-CZ"/>
              </w:rPr>
              <w:t>Len</w:t>
            </w:r>
            <w:r w:rsidRPr="002345B3">
              <w:rPr>
                <w:rFonts w:eastAsia="Times New Roman" w:cstheme="minorHAnsi"/>
                <w:b/>
                <w:sz w:val="18"/>
                <w:szCs w:val="18"/>
                <w:vertAlign w:val="superscript"/>
                <w:lang w:eastAsia="cs-CZ"/>
              </w:rPr>
              <w:t>1)</w:t>
            </w:r>
          </w:p>
        </w:tc>
        <w:tc>
          <w:tcPr>
            <w:tcW w:w="386" w:type="pct"/>
            <w:shd w:val="clear" w:color="auto" w:fill="auto"/>
            <w:vAlign w:val="center"/>
          </w:tcPr>
          <w:p w14:paraId="65FFDBD6"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17 632</w:t>
            </w:r>
          </w:p>
        </w:tc>
        <w:tc>
          <w:tcPr>
            <w:tcW w:w="387" w:type="pct"/>
            <w:shd w:val="clear" w:color="auto" w:fill="auto"/>
            <w:vAlign w:val="center"/>
          </w:tcPr>
          <w:p w14:paraId="23A19961"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17 961</w:t>
            </w:r>
          </w:p>
        </w:tc>
        <w:tc>
          <w:tcPr>
            <w:tcW w:w="386" w:type="pct"/>
            <w:shd w:val="clear" w:color="auto" w:fill="auto"/>
            <w:vAlign w:val="center"/>
          </w:tcPr>
          <w:p w14:paraId="0985E2A7"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17 434</w:t>
            </w:r>
          </w:p>
        </w:tc>
        <w:tc>
          <w:tcPr>
            <w:tcW w:w="387" w:type="pct"/>
            <w:shd w:val="clear" w:color="auto" w:fill="auto"/>
            <w:vAlign w:val="center"/>
          </w:tcPr>
          <w:p w14:paraId="7054CDEC"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15 308</w:t>
            </w:r>
          </w:p>
        </w:tc>
        <w:tc>
          <w:tcPr>
            <w:tcW w:w="386" w:type="pct"/>
            <w:shd w:val="clear" w:color="auto" w:fill="auto"/>
            <w:vAlign w:val="center"/>
          </w:tcPr>
          <w:p w14:paraId="006CCBDA"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13 505</w:t>
            </w:r>
          </w:p>
        </w:tc>
        <w:tc>
          <w:tcPr>
            <w:tcW w:w="386" w:type="pct"/>
            <w:shd w:val="clear" w:color="auto" w:fill="auto"/>
            <w:vAlign w:val="center"/>
          </w:tcPr>
          <w:p w14:paraId="68D51A13"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14 026</w:t>
            </w:r>
          </w:p>
        </w:tc>
        <w:tc>
          <w:tcPr>
            <w:tcW w:w="387" w:type="pct"/>
            <w:shd w:val="clear" w:color="auto" w:fill="auto"/>
            <w:vAlign w:val="center"/>
          </w:tcPr>
          <w:p w14:paraId="5256275D"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15 711</w:t>
            </w:r>
          </w:p>
        </w:tc>
        <w:tc>
          <w:tcPr>
            <w:tcW w:w="386" w:type="pct"/>
            <w:shd w:val="clear" w:color="auto" w:fill="auto"/>
            <w:vAlign w:val="center"/>
          </w:tcPr>
          <w:p w14:paraId="4E3105A2"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16 066</w:t>
            </w:r>
          </w:p>
        </w:tc>
        <w:tc>
          <w:tcPr>
            <w:tcW w:w="386" w:type="pct"/>
            <w:shd w:val="clear" w:color="auto" w:fill="auto"/>
            <w:vAlign w:val="center"/>
          </w:tcPr>
          <w:p w14:paraId="49B1F271"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24 298</w:t>
            </w:r>
          </w:p>
        </w:tc>
        <w:tc>
          <w:tcPr>
            <w:tcW w:w="387" w:type="pct"/>
            <w:vAlign w:val="center"/>
          </w:tcPr>
          <w:p w14:paraId="4AAEA3AE"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22 710</w:t>
            </w:r>
          </w:p>
        </w:tc>
        <w:tc>
          <w:tcPr>
            <w:tcW w:w="408" w:type="pct"/>
          </w:tcPr>
          <w:p w14:paraId="28CA20C1" w14:textId="77777777" w:rsidR="008B2840" w:rsidRPr="002345B3" w:rsidRDefault="008B2840" w:rsidP="00E751F6">
            <w:pPr>
              <w:spacing w:after="0"/>
              <w:jc w:val="center"/>
              <w:rPr>
                <w:rFonts w:eastAsia="Times New Roman" w:cstheme="minorHAnsi"/>
                <w:sz w:val="18"/>
                <w:szCs w:val="18"/>
                <w:lang w:val="en-GB" w:eastAsia="cs-CZ"/>
              </w:rPr>
            </w:pPr>
            <w:r w:rsidRPr="002345B3">
              <w:rPr>
                <w:rFonts w:eastAsia="Times New Roman" w:cstheme="minorHAnsi"/>
                <w:sz w:val="18"/>
                <w:szCs w:val="18"/>
                <w:lang w:val="en-GB" w:eastAsia="cs-CZ"/>
              </w:rPr>
              <w:t>14 671</w:t>
            </w:r>
          </w:p>
        </w:tc>
      </w:tr>
    </w:tbl>
    <w:p w14:paraId="3E43F395" w14:textId="77777777" w:rsidR="00D10F4D" w:rsidRPr="002345B3" w:rsidRDefault="00D10F4D" w:rsidP="00D10F4D">
      <w:pPr>
        <w:spacing w:after="0"/>
        <w:rPr>
          <w:rFonts w:ascii="Arial" w:hAnsi="Arial" w:cs="Arial"/>
          <w:i/>
          <w:sz w:val="18"/>
          <w:szCs w:val="18"/>
        </w:rPr>
      </w:pPr>
      <w:r w:rsidRPr="002345B3">
        <w:rPr>
          <w:rFonts w:ascii="Arial" w:hAnsi="Arial" w:cs="Arial"/>
          <w:i/>
          <w:sz w:val="18"/>
          <w:szCs w:val="18"/>
        </w:rPr>
        <w:t>Pramen: ČSÚ, *data k 8/2024.</w:t>
      </w:r>
    </w:p>
    <w:p w14:paraId="4FE47F02" w14:textId="77777777" w:rsidR="00D10F4D" w:rsidRPr="004E2C4B" w:rsidRDefault="00D10F4D" w:rsidP="00D10F4D">
      <w:pPr>
        <w:spacing w:after="0" w:line="240" w:lineRule="auto"/>
        <w:jc w:val="both"/>
        <w:rPr>
          <w:rFonts w:ascii="Arial" w:hAnsi="Arial" w:cs="Arial"/>
          <w:i/>
          <w:iCs/>
          <w:sz w:val="18"/>
          <w:szCs w:val="18"/>
        </w:rPr>
      </w:pPr>
      <w:r w:rsidRPr="002345B3">
        <w:rPr>
          <w:rFonts w:ascii="Arial" w:hAnsi="Arial" w:cs="Arial"/>
          <w:i/>
          <w:iCs/>
          <w:sz w:val="18"/>
          <w:szCs w:val="18"/>
        </w:rPr>
        <w:t xml:space="preserve">Poznámka: Průměrné ceny jsou bez DPH, dopravních nákladů a neobsahují žádné další doplatky a příplatky. </w:t>
      </w:r>
      <w:r w:rsidRPr="002345B3">
        <w:rPr>
          <w:rFonts w:ascii="Arial" w:hAnsi="Arial" w:cs="Arial"/>
          <w:i/>
          <w:iCs/>
          <w:sz w:val="18"/>
          <w:szCs w:val="18"/>
          <w:vertAlign w:val="superscript"/>
        </w:rPr>
        <w:t>1)</w:t>
      </w:r>
      <w:r w:rsidRPr="002345B3">
        <w:rPr>
          <w:rFonts w:ascii="Arial" w:hAnsi="Arial" w:cs="Arial"/>
          <w:i/>
          <w:iCs/>
          <w:sz w:val="18"/>
          <w:szCs w:val="18"/>
        </w:rPr>
        <w:t>pro technické zpracování. i.d. individuální (důvěrný) údaj.</w:t>
      </w:r>
    </w:p>
    <w:p w14:paraId="7AF1A2D6" w14:textId="77777777" w:rsidR="00BA10E0" w:rsidRPr="006A31FD" w:rsidRDefault="00BA10E0" w:rsidP="0067509F">
      <w:pPr>
        <w:jc w:val="both"/>
        <w:rPr>
          <w:rFonts w:ascii="Arial" w:hAnsi="Arial" w:cs="Arial"/>
          <w:b/>
          <w:bCs/>
        </w:rPr>
      </w:pPr>
    </w:p>
    <w:p w14:paraId="74442D64" w14:textId="3B859720" w:rsidR="0067509F" w:rsidRPr="00911044" w:rsidRDefault="00AD2EE0" w:rsidP="003F111B">
      <w:pPr>
        <w:spacing w:before="120" w:line="276" w:lineRule="auto"/>
        <w:ind w:right="-2"/>
        <w:jc w:val="both"/>
        <w:rPr>
          <w:rFonts w:ascii="Arial" w:hAnsi="Arial" w:cs="Arial"/>
        </w:rPr>
      </w:pPr>
      <w:r>
        <w:rPr>
          <w:rFonts w:ascii="Arial" w:hAnsi="Arial" w:cs="Arial"/>
        </w:rPr>
        <w:t>Od března tohoto roku ceny</w:t>
      </w:r>
      <w:r w:rsidR="007914CC">
        <w:rPr>
          <w:rFonts w:ascii="Arial" w:hAnsi="Arial" w:cs="Arial"/>
        </w:rPr>
        <w:t xml:space="preserve"> řepky olejné</w:t>
      </w:r>
      <w:r>
        <w:rPr>
          <w:rFonts w:ascii="Arial" w:hAnsi="Arial" w:cs="Arial"/>
        </w:rPr>
        <w:t xml:space="preserve"> mírně vzrostli. </w:t>
      </w:r>
      <w:r w:rsidR="00F51F65">
        <w:rPr>
          <w:rFonts w:ascii="Arial" w:hAnsi="Arial" w:cs="Arial"/>
        </w:rPr>
        <w:t>V</w:t>
      </w:r>
      <w:r w:rsidR="00774C8D">
        <w:rPr>
          <w:rFonts w:ascii="Arial" w:hAnsi="Arial" w:cs="Arial"/>
        </w:rPr>
        <w:t> </w:t>
      </w:r>
      <w:r w:rsidR="00F51F65">
        <w:rPr>
          <w:rFonts w:ascii="Arial" w:hAnsi="Arial" w:cs="Arial"/>
        </w:rPr>
        <w:t>následujíc</w:t>
      </w:r>
      <w:r w:rsidR="00774C8D">
        <w:rPr>
          <w:rFonts w:ascii="Arial" w:hAnsi="Arial" w:cs="Arial"/>
        </w:rPr>
        <w:t>ích měsících se stejně jako u obilovin očekává pokles CZV.</w:t>
      </w:r>
      <w:r w:rsidR="00F538B2" w:rsidRPr="003F111B">
        <w:rPr>
          <w:rFonts w:ascii="Arial" w:hAnsi="Arial" w:cs="Arial"/>
        </w:rPr>
        <w:t xml:space="preserve"> Ve střednědobém horizontu do roku 2027 se předpokládají ceny na úrovni mírně nižší než před začátkem války.</w:t>
      </w:r>
    </w:p>
    <w:p w14:paraId="15298D1F" w14:textId="0721ED29" w:rsidR="005063C1" w:rsidRDefault="004D193B" w:rsidP="003F111B">
      <w:pPr>
        <w:jc w:val="both"/>
        <w:rPr>
          <w:rFonts w:ascii="Arial" w:hAnsi="Arial" w:cs="Arial"/>
        </w:rPr>
      </w:pPr>
      <w:r>
        <w:rPr>
          <w:rFonts w:ascii="Arial" w:hAnsi="Arial" w:cs="Arial"/>
        </w:rPr>
        <w:t>Očekávané nižší reálné ceny povedou patrně ke snížení produkce tuzemských pěstitelů.</w:t>
      </w:r>
      <w:r w:rsidRPr="003F111B">
        <w:rPr>
          <w:rFonts w:ascii="Arial" w:hAnsi="Arial" w:cs="Arial"/>
        </w:rPr>
        <w:t xml:space="preserve"> </w:t>
      </w:r>
      <w:r w:rsidR="005063C1" w:rsidRPr="003F111B">
        <w:rPr>
          <w:rFonts w:ascii="Arial" w:hAnsi="Arial" w:cs="Arial"/>
        </w:rPr>
        <w:t xml:space="preserve">Turbulentní změny na trhu však otevřely otázku zachování tuzemské soběstačnosti. Vlivem vývoje počasí a omezením pesticidů řepka dlouhodobě dosahuje méně stabilních výnosů s </w:t>
      </w:r>
      <w:r w:rsidR="005063C1" w:rsidRPr="003F111B">
        <w:rPr>
          <w:rFonts w:ascii="Arial" w:hAnsi="Arial" w:cs="Arial"/>
        </w:rPr>
        <w:lastRenderedPageBreak/>
        <w:t>mírně rostoucím trendem a její rentabilita kolísá. V dalších letech je očekáván spíše pozvolný pokles ploch mírně pod dlouhodobý průměr. Do roku 2027 je očekáván mírný nárůst výnosu při zachování produkce nad průměrem let 2012 až 2022. Úroveň produkce v dalších letech bude ovlivňovat poptávka zejména po potravinářském a technickém užití, výnos pak míra využití nových technologií.</w:t>
      </w:r>
    </w:p>
    <w:p w14:paraId="37F9538B" w14:textId="77777777" w:rsidR="002F7C3A" w:rsidRDefault="002F7C3A" w:rsidP="003F111B">
      <w:pPr>
        <w:jc w:val="both"/>
        <w:rPr>
          <w:rFonts w:ascii="Arial" w:hAnsi="Arial" w:cs="Arial"/>
        </w:rPr>
      </w:pPr>
    </w:p>
    <w:p w14:paraId="69A0257D" w14:textId="681544A5" w:rsidR="002F7C3A" w:rsidRDefault="002F7C3A" w:rsidP="003F111B">
      <w:pPr>
        <w:jc w:val="both"/>
        <w:rPr>
          <w:rFonts w:ascii="Arial" w:hAnsi="Arial" w:cs="Arial"/>
          <w:b/>
          <w:bCs/>
        </w:rPr>
      </w:pPr>
      <w:r w:rsidRPr="002F7C3A">
        <w:rPr>
          <w:rFonts w:ascii="Arial" w:hAnsi="Arial" w:cs="Arial"/>
          <w:b/>
          <w:bCs/>
        </w:rPr>
        <w:t>M</w:t>
      </w:r>
      <w:r w:rsidR="0047667C">
        <w:rPr>
          <w:rFonts w:ascii="Arial" w:hAnsi="Arial" w:cs="Arial"/>
          <w:b/>
          <w:bCs/>
        </w:rPr>
        <w:t>l</w:t>
      </w:r>
      <w:r w:rsidRPr="002F7C3A">
        <w:rPr>
          <w:rFonts w:ascii="Arial" w:hAnsi="Arial" w:cs="Arial"/>
          <w:b/>
          <w:bCs/>
        </w:rPr>
        <w:t>éko</w:t>
      </w:r>
    </w:p>
    <w:p w14:paraId="24AFE955" w14:textId="3B93E47C" w:rsidR="00B75EB6" w:rsidRPr="00D32DE1" w:rsidRDefault="008258C3" w:rsidP="00B75EB6">
      <w:pPr>
        <w:spacing w:line="240" w:lineRule="auto"/>
        <w:jc w:val="both"/>
        <w:rPr>
          <w:rFonts w:ascii="Arial" w:hAnsi="Arial" w:cs="Arial"/>
        </w:rPr>
      </w:pPr>
      <w:r w:rsidRPr="00D32DE1">
        <w:rPr>
          <w:rFonts w:ascii="Arial" w:hAnsi="Arial" w:cs="Arial"/>
        </w:rPr>
        <w:t>Stoupající trend stavů</w:t>
      </w:r>
      <w:r w:rsidR="002932B6">
        <w:rPr>
          <w:rFonts w:ascii="Arial" w:hAnsi="Arial" w:cs="Arial"/>
        </w:rPr>
        <w:t xml:space="preserve"> dojnic </w:t>
      </w:r>
      <w:r w:rsidRPr="00D32DE1">
        <w:rPr>
          <w:rFonts w:ascii="Arial" w:hAnsi="Arial" w:cs="Arial"/>
        </w:rPr>
        <w:t xml:space="preserve">se v prvním pololetí roku 2024 téměř zastavil, naopak výroba a prodej mléka měly v prvním pololetí </w:t>
      </w:r>
      <w:r w:rsidR="00C51149" w:rsidRPr="00D32DE1">
        <w:rPr>
          <w:rFonts w:ascii="Arial" w:hAnsi="Arial" w:cs="Arial"/>
        </w:rPr>
        <w:t xml:space="preserve">velkou progresi. Prodej syrového kravského mléka </w:t>
      </w:r>
      <w:r w:rsidR="00977BCE" w:rsidRPr="00D32DE1">
        <w:rPr>
          <w:rFonts w:ascii="Arial" w:hAnsi="Arial" w:cs="Arial"/>
        </w:rPr>
        <w:t xml:space="preserve">v roce 2023 vzrostl o </w:t>
      </w:r>
      <w:r w:rsidR="0067690D" w:rsidRPr="00D32DE1">
        <w:rPr>
          <w:rFonts w:ascii="Arial" w:hAnsi="Arial" w:cs="Arial"/>
        </w:rPr>
        <w:t>4,0 % a výroba o 4,1 %. Tento trend pokračoval i v 1. pololetí tohoto roku</w:t>
      </w:r>
      <w:r w:rsidR="007335FF" w:rsidRPr="00D32DE1">
        <w:rPr>
          <w:rFonts w:ascii="Arial" w:hAnsi="Arial" w:cs="Arial"/>
        </w:rPr>
        <w:t>, nicméně vzrostly také vývozy.</w:t>
      </w:r>
      <w:r w:rsidR="00B75EB6" w:rsidRPr="00D32DE1">
        <w:rPr>
          <w:rFonts w:ascii="Arial" w:hAnsi="Arial" w:cs="Arial"/>
        </w:rPr>
        <w:t xml:space="preserve"> Dodávky mléka v ČR jsou stabilní, meziročně došlo v srpnu k nárůstu o 1,3 %.</w:t>
      </w:r>
    </w:p>
    <w:p w14:paraId="00168278" w14:textId="32186A59" w:rsidR="00D322A8" w:rsidRDefault="00D87266" w:rsidP="00D322A8">
      <w:pPr>
        <w:spacing w:line="240" w:lineRule="auto"/>
        <w:jc w:val="both"/>
        <w:rPr>
          <w:rFonts w:ascii="Arial" w:hAnsi="Arial" w:cs="Arial"/>
        </w:rPr>
      </w:pPr>
      <w:r w:rsidRPr="00D32DE1">
        <w:rPr>
          <w:rFonts w:ascii="Arial" w:hAnsi="Arial" w:cs="Arial"/>
        </w:rPr>
        <w:t>Výkupní cena syrového mléka placená mlékárnami v ČR v srpnu vzrostla meziměsíčně o 0,8 % na 11,17 Kč/l</w:t>
      </w:r>
      <w:r w:rsidR="00B75EB6" w:rsidRPr="00D32DE1">
        <w:rPr>
          <w:rFonts w:ascii="Arial" w:hAnsi="Arial" w:cs="Arial"/>
        </w:rPr>
        <w:t>. CZV kravského mléka v roce 2023 dosáhla průměrné cenové hladiny 10</w:t>
      </w:r>
      <w:r w:rsidR="00C14B33">
        <w:rPr>
          <w:rFonts w:ascii="Arial" w:hAnsi="Arial" w:cs="Arial"/>
        </w:rPr>
        <w:t>,</w:t>
      </w:r>
      <w:r w:rsidR="00B75EB6" w:rsidRPr="00D32DE1">
        <w:rPr>
          <w:rFonts w:ascii="Arial" w:hAnsi="Arial" w:cs="Arial"/>
        </w:rPr>
        <w:t>97</w:t>
      </w:r>
      <w:r w:rsidR="00EF5878" w:rsidRPr="00D32DE1">
        <w:rPr>
          <w:rFonts w:ascii="Arial" w:hAnsi="Arial" w:cs="Arial"/>
        </w:rPr>
        <w:t xml:space="preserve"> Kč/l a meziročně klesla</w:t>
      </w:r>
      <w:r w:rsidR="00211059" w:rsidRPr="00D32DE1">
        <w:rPr>
          <w:rFonts w:ascii="Arial" w:hAnsi="Arial" w:cs="Arial"/>
        </w:rPr>
        <w:t xml:space="preserve"> o 3,6 %. Průměrná CZV za prvních 8 měsíců tohoto roku si zachovává cenovou hladinu roku </w:t>
      </w:r>
      <w:r w:rsidR="00D32DE1" w:rsidRPr="00D32DE1">
        <w:rPr>
          <w:rFonts w:ascii="Arial" w:hAnsi="Arial" w:cs="Arial"/>
        </w:rPr>
        <w:t>2023.</w:t>
      </w:r>
    </w:p>
    <w:p w14:paraId="6616CBA5" w14:textId="7D14CF2C" w:rsidR="00BE6519" w:rsidRDefault="00BE6519" w:rsidP="00D322A8">
      <w:pPr>
        <w:spacing w:line="240" w:lineRule="auto"/>
        <w:jc w:val="both"/>
        <w:rPr>
          <w:rFonts w:ascii="Arial" w:hAnsi="Arial" w:cs="Arial"/>
        </w:rPr>
      </w:pPr>
      <w:r>
        <w:rPr>
          <w:rFonts w:ascii="Arial" w:hAnsi="Arial" w:cs="Arial"/>
        </w:rPr>
        <w:t xml:space="preserve">Na celkový vývoj trhu s mlékem v ČR i EU může mít vliv </w:t>
      </w:r>
      <w:r w:rsidR="003109C6">
        <w:rPr>
          <w:rFonts w:ascii="Arial" w:hAnsi="Arial" w:cs="Arial"/>
        </w:rPr>
        <w:t>rychle se šířící katarální horečka</w:t>
      </w:r>
      <w:r w:rsidR="001002B5">
        <w:rPr>
          <w:rFonts w:ascii="Arial" w:hAnsi="Arial" w:cs="Arial"/>
        </w:rPr>
        <w:t>, která bude tlumit nákup mléka.</w:t>
      </w:r>
    </w:p>
    <w:p w14:paraId="70604CA4" w14:textId="77777777" w:rsidR="00A53912" w:rsidRDefault="00A53912" w:rsidP="00B47CE1">
      <w:pPr>
        <w:spacing w:line="240" w:lineRule="auto"/>
        <w:jc w:val="both"/>
        <w:rPr>
          <w:rFonts w:ascii="Arial" w:hAnsi="Arial" w:cs="Arial"/>
        </w:rPr>
      </w:pPr>
    </w:p>
    <w:p w14:paraId="0F2AADB8" w14:textId="6B03BC6D" w:rsidR="00A53912" w:rsidRPr="007027A7" w:rsidRDefault="00A53912" w:rsidP="00B47CE1">
      <w:pPr>
        <w:spacing w:line="240" w:lineRule="auto"/>
        <w:jc w:val="both"/>
        <w:rPr>
          <w:rFonts w:ascii="Arial" w:hAnsi="Arial" w:cs="Arial"/>
          <w:b/>
          <w:bCs/>
        </w:rPr>
      </w:pPr>
      <w:r w:rsidRPr="007027A7">
        <w:rPr>
          <w:rFonts w:ascii="Arial" w:hAnsi="Arial" w:cs="Arial"/>
          <w:b/>
          <w:bCs/>
        </w:rPr>
        <w:t>Vepřové maso</w:t>
      </w:r>
    </w:p>
    <w:p w14:paraId="24576120" w14:textId="64EC6368" w:rsidR="00941BBA" w:rsidRPr="007027A7" w:rsidRDefault="0079047D" w:rsidP="00B47CE1">
      <w:pPr>
        <w:spacing w:line="240" w:lineRule="auto"/>
        <w:jc w:val="both"/>
        <w:rPr>
          <w:rFonts w:ascii="Arial" w:hAnsi="Arial" w:cs="Arial"/>
        </w:rPr>
      </w:pPr>
      <w:r w:rsidRPr="007027A7">
        <w:rPr>
          <w:rFonts w:ascii="Arial" w:hAnsi="Arial" w:cs="Arial"/>
        </w:rPr>
        <w:t xml:space="preserve">Stavy prasat </w:t>
      </w:r>
      <w:r w:rsidR="00B358B9" w:rsidRPr="007027A7">
        <w:rPr>
          <w:rFonts w:ascii="Arial" w:hAnsi="Arial" w:cs="Arial"/>
        </w:rPr>
        <w:t xml:space="preserve">v ČR v roce 2023 meziročně </w:t>
      </w:r>
      <w:r w:rsidR="00527B36">
        <w:rPr>
          <w:rFonts w:ascii="Arial" w:hAnsi="Arial" w:cs="Arial"/>
        </w:rPr>
        <w:t xml:space="preserve">vzrostly o </w:t>
      </w:r>
      <w:r w:rsidR="00F01778">
        <w:rPr>
          <w:rFonts w:ascii="Arial" w:hAnsi="Arial" w:cs="Arial"/>
        </w:rPr>
        <w:t>2,6 % na 79 ti. Ks.</w:t>
      </w:r>
      <w:r w:rsidR="00705289" w:rsidRPr="007027A7">
        <w:rPr>
          <w:rFonts w:ascii="Arial" w:hAnsi="Arial" w:cs="Arial"/>
        </w:rPr>
        <w:t xml:space="preserve"> </w:t>
      </w:r>
      <w:r w:rsidR="00DA0D83">
        <w:rPr>
          <w:rFonts w:ascii="Arial" w:hAnsi="Arial" w:cs="Arial"/>
        </w:rPr>
        <w:t>V</w:t>
      </w:r>
      <w:r w:rsidR="009B5969">
        <w:rPr>
          <w:rFonts w:ascii="Arial" w:hAnsi="Arial" w:cs="Arial"/>
        </w:rPr>
        <w:t xml:space="preserve"> porovnání s rokem 2021 </w:t>
      </w:r>
      <w:r w:rsidR="002932B6">
        <w:rPr>
          <w:rFonts w:ascii="Arial" w:hAnsi="Arial" w:cs="Arial"/>
        </w:rPr>
        <w:t>však došlo k po</w:t>
      </w:r>
      <w:r w:rsidR="009B5969">
        <w:rPr>
          <w:rFonts w:ascii="Arial" w:hAnsi="Arial" w:cs="Arial"/>
        </w:rPr>
        <w:t>kles</w:t>
      </w:r>
      <w:r w:rsidR="002932B6">
        <w:rPr>
          <w:rFonts w:ascii="Arial" w:hAnsi="Arial" w:cs="Arial"/>
        </w:rPr>
        <w:t>u</w:t>
      </w:r>
      <w:r w:rsidR="009B5969">
        <w:rPr>
          <w:rFonts w:ascii="Arial" w:hAnsi="Arial" w:cs="Arial"/>
        </w:rPr>
        <w:t xml:space="preserve"> o 10</w:t>
      </w:r>
      <w:r w:rsidR="00E16D35">
        <w:rPr>
          <w:rFonts w:ascii="Arial" w:hAnsi="Arial" w:cs="Arial"/>
        </w:rPr>
        <w:t>,3</w:t>
      </w:r>
      <w:r w:rsidR="00D55AB7">
        <w:rPr>
          <w:rFonts w:ascii="Arial" w:hAnsi="Arial" w:cs="Arial"/>
        </w:rPr>
        <w:t xml:space="preserve"> %</w:t>
      </w:r>
      <w:r w:rsidR="00705289" w:rsidRPr="007027A7">
        <w:rPr>
          <w:rFonts w:ascii="Arial" w:hAnsi="Arial" w:cs="Arial"/>
        </w:rPr>
        <w:t xml:space="preserve">. Podobný vývoj má i stav </w:t>
      </w:r>
      <w:r w:rsidR="009D0A9A" w:rsidRPr="007027A7">
        <w:rPr>
          <w:rFonts w:ascii="Arial" w:hAnsi="Arial" w:cs="Arial"/>
        </w:rPr>
        <w:t>prasnic</w:t>
      </w:r>
      <w:r w:rsidR="00AF4E55" w:rsidRPr="007027A7">
        <w:rPr>
          <w:rFonts w:ascii="Arial" w:hAnsi="Arial" w:cs="Arial"/>
        </w:rPr>
        <w:t>.</w:t>
      </w:r>
      <w:r w:rsidR="00CC033F" w:rsidRPr="007027A7">
        <w:rPr>
          <w:rFonts w:ascii="Arial" w:hAnsi="Arial" w:cs="Arial"/>
        </w:rPr>
        <w:t xml:space="preserve"> </w:t>
      </w:r>
      <w:r w:rsidR="002274F8" w:rsidRPr="007027A7">
        <w:rPr>
          <w:rFonts w:ascii="Arial" w:hAnsi="Arial" w:cs="Arial"/>
        </w:rPr>
        <w:t xml:space="preserve">S poklesem stavů prasat se snižuje i počet porážených zvířat a produkce vepřového masa. V 1. pololetí 2024 však došlo k mírnému oživení v sektoru chovu prasat a nárůstu počtu porážených prasat o 3 %, což je pravděpodobně ovlivněno lepší ekonomikou chovu prasat v roce 2023 kvůli vyšším cenám jatečných prasat.     </w:t>
      </w:r>
    </w:p>
    <w:p w14:paraId="5A6B4FCC" w14:textId="4235E036" w:rsidR="00AC5DA7" w:rsidRPr="00D32DE1" w:rsidRDefault="00AC5DA7" w:rsidP="00B47CE1">
      <w:pPr>
        <w:spacing w:line="240" w:lineRule="auto"/>
        <w:jc w:val="both"/>
        <w:rPr>
          <w:rFonts w:ascii="Arial" w:hAnsi="Arial" w:cs="Arial"/>
        </w:rPr>
      </w:pPr>
      <w:r>
        <w:rPr>
          <w:rFonts w:ascii="Arial" w:hAnsi="Arial" w:cs="Arial"/>
        </w:rPr>
        <w:t xml:space="preserve">Průměrná </w:t>
      </w:r>
      <w:r w:rsidR="00666BEC">
        <w:rPr>
          <w:rFonts w:ascii="Arial" w:hAnsi="Arial" w:cs="Arial"/>
        </w:rPr>
        <w:t>CZV jatečných prasat v živém v roce 2023</w:t>
      </w:r>
      <w:r w:rsidR="004C6808">
        <w:rPr>
          <w:rFonts w:ascii="Arial" w:hAnsi="Arial" w:cs="Arial"/>
        </w:rPr>
        <w:t xml:space="preserve"> dosáhla úrovně 41,21 Kč/kg a</w:t>
      </w:r>
      <w:r w:rsidR="00666BEC">
        <w:rPr>
          <w:rFonts w:ascii="Arial" w:hAnsi="Arial" w:cs="Arial"/>
        </w:rPr>
        <w:t xml:space="preserve"> meziroč</w:t>
      </w:r>
      <w:r w:rsidR="004C6808">
        <w:rPr>
          <w:rFonts w:ascii="Arial" w:hAnsi="Arial" w:cs="Arial"/>
        </w:rPr>
        <w:t>ně vzrostla o 25</w:t>
      </w:r>
      <w:r w:rsidR="007B2087">
        <w:rPr>
          <w:rFonts w:ascii="Arial" w:hAnsi="Arial" w:cs="Arial"/>
        </w:rPr>
        <w:t>,0</w:t>
      </w:r>
      <w:r w:rsidR="004C6808">
        <w:rPr>
          <w:rFonts w:ascii="Arial" w:hAnsi="Arial" w:cs="Arial"/>
        </w:rPr>
        <w:t xml:space="preserve"> % v mase pak 53,23 Kč/kg a vzrostla o </w:t>
      </w:r>
      <w:r w:rsidR="007B2087">
        <w:rPr>
          <w:rFonts w:ascii="Arial" w:hAnsi="Arial" w:cs="Arial"/>
        </w:rPr>
        <w:t>26,0 %</w:t>
      </w:r>
      <w:r>
        <w:rPr>
          <w:rFonts w:ascii="Arial" w:hAnsi="Arial" w:cs="Arial"/>
        </w:rPr>
        <w:t xml:space="preserve">. </w:t>
      </w:r>
      <w:r w:rsidR="00464501">
        <w:rPr>
          <w:rFonts w:ascii="Arial" w:hAnsi="Arial" w:cs="Arial"/>
        </w:rPr>
        <w:t>Za prvních 8 měsíců tohoto roku dosáhla průměrná CZV jatečných prasat v živém 40,36 Kč/kg a meziročně klesla o 2,0 %</w:t>
      </w:r>
      <w:r w:rsidR="008529A1">
        <w:rPr>
          <w:rFonts w:ascii="Arial" w:hAnsi="Arial" w:cs="Arial"/>
        </w:rPr>
        <w:t>, v mase dosáhla úrovně 52,20 Kč/kg a klesla též o 2,0 %</w:t>
      </w:r>
      <w:r>
        <w:rPr>
          <w:rFonts w:ascii="Arial" w:hAnsi="Arial" w:cs="Arial"/>
        </w:rPr>
        <w:t xml:space="preserve"> </w:t>
      </w:r>
    </w:p>
    <w:p w14:paraId="1A5F4F41" w14:textId="17CEE723" w:rsidR="007027A7" w:rsidRPr="007027A7" w:rsidRDefault="00F16690" w:rsidP="00B47CE1">
      <w:pPr>
        <w:jc w:val="both"/>
        <w:rPr>
          <w:rFonts w:ascii="Arial" w:hAnsi="Arial" w:cs="Arial"/>
        </w:rPr>
      </w:pPr>
      <w:r w:rsidRPr="007027A7">
        <w:rPr>
          <w:rFonts w:ascii="Arial" w:hAnsi="Arial" w:cs="Arial"/>
        </w:rPr>
        <w:t>Předpokládá se, že stavy prasat v EU budou do roku 2027 mírně klesat, s čímž bude spojen i pokles produkce vepřového masa.</w:t>
      </w:r>
      <w:r w:rsidR="00154A7E" w:rsidRPr="007027A7">
        <w:rPr>
          <w:rFonts w:ascii="Arial" w:hAnsi="Arial" w:cs="Arial"/>
        </w:rPr>
        <w:t xml:space="preserve"> Stavy prasat a produkce vepřového masa v EU bude i nadále ovlivněná zpřísňujícími se požadavky na animal welfare a environmentální politikou.</w:t>
      </w:r>
      <w:r w:rsidR="007027A7" w:rsidRPr="007027A7">
        <w:rPr>
          <w:rFonts w:ascii="Arial" w:hAnsi="Arial" w:cs="Arial"/>
        </w:rPr>
        <w:t xml:space="preserve"> Cena vepřového masa bude velmi mírně klesat hlavně z důvodu změny spotřebitelských preferencí.</w:t>
      </w:r>
      <w:r w:rsidR="00CA3643">
        <w:rPr>
          <w:rFonts w:ascii="Arial" w:hAnsi="Arial" w:cs="Arial"/>
        </w:rPr>
        <w:t xml:space="preserve"> Stejný trend postihne i ČR.</w:t>
      </w:r>
    </w:p>
    <w:p w14:paraId="4D5990D8" w14:textId="55703552" w:rsidR="00D322A8" w:rsidRDefault="00D322A8" w:rsidP="00B47CE1">
      <w:pPr>
        <w:spacing w:line="240" w:lineRule="auto"/>
        <w:jc w:val="both"/>
        <w:rPr>
          <w:rFonts w:ascii="Arial" w:hAnsi="Arial" w:cs="Arial"/>
        </w:rPr>
      </w:pPr>
    </w:p>
    <w:p w14:paraId="57584A39" w14:textId="704ADBAC" w:rsidR="007027A7" w:rsidRDefault="007027A7" w:rsidP="00B47CE1">
      <w:pPr>
        <w:spacing w:line="240" w:lineRule="auto"/>
        <w:jc w:val="both"/>
        <w:rPr>
          <w:rFonts w:ascii="Arial" w:hAnsi="Arial" w:cs="Arial"/>
          <w:b/>
          <w:bCs/>
        </w:rPr>
      </w:pPr>
      <w:r w:rsidRPr="007027A7">
        <w:rPr>
          <w:rFonts w:ascii="Arial" w:hAnsi="Arial" w:cs="Arial"/>
          <w:b/>
          <w:bCs/>
        </w:rPr>
        <w:t>Drůbeží maso</w:t>
      </w:r>
    </w:p>
    <w:p w14:paraId="1252C6A1" w14:textId="27CA7742" w:rsidR="008C200B" w:rsidRDefault="008C200B" w:rsidP="00B47CE1">
      <w:pPr>
        <w:jc w:val="both"/>
        <w:rPr>
          <w:rFonts w:ascii="Arial" w:hAnsi="Arial" w:cs="Arial"/>
        </w:rPr>
      </w:pPr>
      <w:r w:rsidRPr="009417B6">
        <w:rPr>
          <w:rFonts w:ascii="Arial" w:hAnsi="Arial" w:cs="Arial"/>
        </w:rPr>
        <w:t xml:space="preserve">Podle údajů ČSÚ a Celní statistiky MZe, bylo odvětví na počátku roku 2024 v útlumu, s poklesem stavů kuřat na výkrm o 13,8 %. Jako klíčový faktor se jeví záporné saldo zahraničního obchodu s drůbežím masem, které v loňském roce překročilo v součtu všech čtvrtletí 100 tis. t j. hm., a k meziročnímu zhoršení došlo v I. čtvrtletí (24,4 %) i ve II. čtvrtletí (11,9 %) 2024. </w:t>
      </w:r>
      <w:r w:rsidR="000545E1">
        <w:rPr>
          <w:rFonts w:ascii="Arial" w:hAnsi="Arial" w:cs="Arial"/>
        </w:rPr>
        <w:t xml:space="preserve"> </w:t>
      </w:r>
      <w:r w:rsidR="00CE11A3" w:rsidRPr="009417B6">
        <w:rPr>
          <w:rFonts w:ascii="Arial" w:hAnsi="Arial" w:cs="Arial"/>
        </w:rPr>
        <w:t xml:space="preserve">Průměrná </w:t>
      </w:r>
      <w:r w:rsidR="00883951" w:rsidRPr="009417B6">
        <w:rPr>
          <w:rFonts w:ascii="Arial" w:hAnsi="Arial" w:cs="Arial"/>
        </w:rPr>
        <w:t xml:space="preserve">CZV </w:t>
      </w:r>
      <w:r w:rsidR="00CE11A3" w:rsidRPr="009417B6">
        <w:rPr>
          <w:rFonts w:ascii="Arial" w:hAnsi="Arial" w:cs="Arial"/>
        </w:rPr>
        <w:t xml:space="preserve">jatečných kuřat I. tř. j. </w:t>
      </w:r>
      <w:r w:rsidR="00482779" w:rsidRPr="009417B6">
        <w:rPr>
          <w:rFonts w:ascii="Arial" w:hAnsi="Arial" w:cs="Arial"/>
        </w:rPr>
        <w:t>v roce 2023 vzrostla o 9,41 % na 29,88 Kč</w:t>
      </w:r>
      <w:r w:rsidR="002A5DB1" w:rsidRPr="009417B6">
        <w:rPr>
          <w:rFonts w:ascii="Arial" w:hAnsi="Arial" w:cs="Arial"/>
        </w:rPr>
        <w:t>/kg</w:t>
      </w:r>
      <w:r w:rsidR="00482779" w:rsidRPr="009417B6">
        <w:rPr>
          <w:rFonts w:ascii="Arial" w:hAnsi="Arial" w:cs="Arial"/>
        </w:rPr>
        <w:t xml:space="preserve">. </w:t>
      </w:r>
      <w:r w:rsidR="002A5DB1" w:rsidRPr="009417B6">
        <w:rPr>
          <w:rFonts w:ascii="Arial" w:hAnsi="Arial" w:cs="Arial"/>
        </w:rPr>
        <w:t>V prvních osmi měsících tohoto roku průměrná cena klesla na 29,18 Kč/kg</w:t>
      </w:r>
      <w:r w:rsidR="00873A56" w:rsidRPr="009417B6">
        <w:rPr>
          <w:rFonts w:ascii="Arial" w:hAnsi="Arial" w:cs="Arial"/>
        </w:rPr>
        <w:t xml:space="preserve"> a meziročně poklesla o 7,85 %.</w:t>
      </w:r>
      <w:r w:rsidR="000545E1">
        <w:rPr>
          <w:rFonts w:ascii="Arial" w:hAnsi="Arial" w:cs="Arial"/>
        </w:rPr>
        <w:t xml:space="preserve"> </w:t>
      </w:r>
      <w:r w:rsidR="009417B6">
        <w:rPr>
          <w:rFonts w:ascii="Arial" w:hAnsi="Arial" w:cs="Arial"/>
        </w:rPr>
        <w:t>Zatím n</w:t>
      </w:r>
      <w:r w:rsidRPr="009417B6">
        <w:rPr>
          <w:rFonts w:ascii="Arial" w:hAnsi="Arial" w:cs="Arial"/>
        </w:rPr>
        <w:t>elze očekávat zásadní obrat</w:t>
      </w:r>
      <w:r w:rsidR="00873A56" w:rsidRPr="009417B6">
        <w:rPr>
          <w:rFonts w:ascii="Arial" w:hAnsi="Arial" w:cs="Arial"/>
        </w:rPr>
        <w:t xml:space="preserve"> ve vývoji cen</w:t>
      </w:r>
      <w:r w:rsidR="000545E1">
        <w:rPr>
          <w:rFonts w:ascii="Arial" w:hAnsi="Arial" w:cs="Arial"/>
        </w:rPr>
        <w:t xml:space="preserve"> a předpokládané vysoké ceny krmiv a energií budou ztrátu v odvětví dále prohlubovat.</w:t>
      </w:r>
    </w:p>
    <w:p w14:paraId="4DC8FB3A" w14:textId="77777777" w:rsidR="000545E1" w:rsidRDefault="000545E1" w:rsidP="00B47CE1">
      <w:pPr>
        <w:jc w:val="both"/>
        <w:rPr>
          <w:rFonts w:ascii="Arial" w:hAnsi="Arial" w:cs="Arial"/>
        </w:rPr>
      </w:pPr>
    </w:p>
    <w:p w14:paraId="57393CDE" w14:textId="77777777" w:rsidR="00B828CB" w:rsidRDefault="00B828CB" w:rsidP="00B47CE1">
      <w:pPr>
        <w:jc w:val="both"/>
        <w:rPr>
          <w:rFonts w:ascii="Arial" w:hAnsi="Arial" w:cs="Arial"/>
        </w:rPr>
      </w:pPr>
    </w:p>
    <w:p w14:paraId="4F30F791" w14:textId="249C8095" w:rsidR="00362715" w:rsidRPr="000545E1" w:rsidRDefault="00362715" w:rsidP="000545E1">
      <w:pPr>
        <w:pStyle w:val="Odstavecseseznamem"/>
        <w:numPr>
          <w:ilvl w:val="1"/>
          <w:numId w:val="20"/>
        </w:numPr>
        <w:spacing w:before="120" w:after="60"/>
        <w:jc w:val="both"/>
        <w:rPr>
          <w:rFonts w:ascii="Arial" w:hAnsi="Arial" w:cs="Arial"/>
          <w:b/>
          <w:bCs/>
          <w:color w:val="4C94D8" w:themeColor="text2" w:themeTint="80"/>
        </w:rPr>
      </w:pPr>
      <w:r w:rsidRPr="000545E1">
        <w:rPr>
          <w:rFonts w:ascii="Arial" w:eastAsia="Times New Roman" w:hAnsi="Arial" w:cs="Arial"/>
          <w:b/>
          <w:bCs/>
          <w:color w:val="4C94D8" w:themeColor="text2" w:themeTint="80"/>
        </w:rPr>
        <w:t>Vyhodnocení dopadů změn národních politik a SZP v novém období 2023+ včetně změny tržních podmínek na příjmovou situaci zemědělských podniků v roce 2023</w:t>
      </w:r>
    </w:p>
    <w:p w14:paraId="24965583" w14:textId="16D3315A" w:rsidR="00362715" w:rsidRPr="00362715" w:rsidRDefault="00362715" w:rsidP="00362715">
      <w:pPr>
        <w:spacing w:after="120"/>
        <w:jc w:val="both"/>
        <w:rPr>
          <w:rFonts w:ascii="Arial" w:hAnsi="Arial" w:cs="Arial"/>
        </w:rPr>
      </w:pPr>
      <w:r w:rsidRPr="00362715">
        <w:rPr>
          <w:rFonts w:ascii="Arial" w:hAnsi="Arial" w:cs="Arial"/>
        </w:rPr>
        <w:t xml:space="preserve">Pokud vezmeme </w:t>
      </w:r>
      <w:r w:rsidR="00845572">
        <w:rPr>
          <w:rFonts w:ascii="Arial" w:hAnsi="Arial" w:cs="Arial"/>
        </w:rPr>
        <w:t>v úvahu</w:t>
      </w:r>
      <w:r w:rsidRPr="00362715">
        <w:rPr>
          <w:rFonts w:ascii="Arial" w:hAnsi="Arial" w:cs="Arial"/>
        </w:rPr>
        <w:t xml:space="preserve"> </w:t>
      </w:r>
      <w:r w:rsidR="00845572">
        <w:rPr>
          <w:rFonts w:ascii="Arial" w:hAnsi="Arial" w:cs="Arial"/>
        </w:rPr>
        <w:t>v</w:t>
      </w:r>
      <w:r w:rsidRPr="00362715">
        <w:rPr>
          <w:rFonts w:ascii="Arial" w:hAnsi="Arial" w:cs="Arial"/>
        </w:rPr>
        <w:t>ýznamnou změnu tržních podmínek jak v roce 2022, kdy došlo k výraznému růstu cen zemědělské produkce (meziroční změna CZV 131,5 %) a postupný nárůst nákladů na primární vstupy zejména ceny energií, PHM a v různé míře i všech ostatních vstupů (meziroční změna cen vstupů do zemědělství činila 124,2 %), tak i v roce 2023, potom zohlednění změn ve společné a národní politice má následující efekty do příjmové situace jednotlivých kategorií podniků (</w:t>
      </w:r>
      <w:r w:rsidRPr="00362715">
        <w:rPr>
          <w:rFonts w:ascii="Arial" w:hAnsi="Arial" w:cs="Arial"/>
        </w:rPr>
        <w:fldChar w:fldCharType="begin"/>
      </w:r>
      <w:r w:rsidRPr="00362715">
        <w:rPr>
          <w:rFonts w:ascii="Arial" w:hAnsi="Arial" w:cs="Arial"/>
        </w:rPr>
        <w:instrText xml:space="preserve"> REF _Ref152669251 \h  \* MERGEFORMAT </w:instrText>
      </w:r>
      <w:r w:rsidRPr="00362715">
        <w:rPr>
          <w:rFonts w:ascii="Arial" w:hAnsi="Arial" w:cs="Arial"/>
        </w:rPr>
      </w:r>
      <w:r w:rsidRPr="00362715">
        <w:rPr>
          <w:rFonts w:ascii="Arial" w:hAnsi="Arial" w:cs="Arial"/>
        </w:rPr>
        <w:fldChar w:fldCharType="separate"/>
      </w:r>
      <w:r w:rsidR="002E6503" w:rsidRPr="002E6503">
        <w:rPr>
          <w:rFonts w:ascii="Arial" w:hAnsi="Arial" w:cs="Arial"/>
        </w:rPr>
        <w:t xml:space="preserve">Tabulka </w:t>
      </w:r>
      <w:r w:rsidR="002E6503" w:rsidRPr="002E6503">
        <w:rPr>
          <w:rFonts w:ascii="Arial" w:hAnsi="Arial" w:cs="Arial"/>
          <w:noProof/>
        </w:rPr>
        <w:t>2</w:t>
      </w:r>
      <w:r w:rsidRPr="00362715">
        <w:rPr>
          <w:rFonts w:ascii="Arial" w:hAnsi="Arial" w:cs="Arial"/>
        </w:rPr>
        <w:fldChar w:fldCharType="end"/>
      </w:r>
      <w:r w:rsidRPr="00362715">
        <w:rPr>
          <w:rFonts w:ascii="Arial" w:hAnsi="Arial" w:cs="Arial"/>
        </w:rPr>
        <w:t xml:space="preserve">). </w:t>
      </w:r>
    </w:p>
    <w:p w14:paraId="365B4248" w14:textId="4D5BEB9D" w:rsidR="00362715" w:rsidRPr="00FB3612" w:rsidRDefault="00362715" w:rsidP="00362715">
      <w:pPr>
        <w:pStyle w:val="Titulek"/>
        <w:keepNext/>
        <w:spacing w:after="60"/>
        <w:rPr>
          <w:rFonts w:ascii="Arial" w:hAnsi="Arial" w:cs="Arial"/>
          <w:b/>
          <w:i/>
          <w:sz w:val="20"/>
          <w:szCs w:val="20"/>
        </w:rPr>
      </w:pPr>
      <w:bookmarkStart w:id="18" w:name="_Ref152669251"/>
      <w:r w:rsidRPr="00FB3612">
        <w:rPr>
          <w:rFonts w:ascii="Arial" w:hAnsi="Arial" w:cs="Arial"/>
          <w:b/>
          <w:sz w:val="20"/>
          <w:szCs w:val="20"/>
        </w:rPr>
        <w:t xml:space="preserve">Tabulka </w:t>
      </w:r>
      <w:bookmarkEnd w:id="18"/>
      <w:r w:rsidR="00EA7B1E" w:rsidRPr="00FB3612">
        <w:rPr>
          <w:rFonts w:ascii="Arial" w:hAnsi="Arial" w:cs="Arial"/>
          <w:b/>
          <w:i/>
          <w:sz w:val="20"/>
          <w:szCs w:val="20"/>
        </w:rPr>
        <w:t>1</w:t>
      </w:r>
      <w:r w:rsidRPr="00FB3612">
        <w:rPr>
          <w:rFonts w:ascii="Arial" w:hAnsi="Arial" w:cs="Arial"/>
          <w:b/>
          <w:sz w:val="20"/>
          <w:szCs w:val="20"/>
        </w:rPr>
        <w:t xml:space="preserve">: Vyhodnocení dopadu změn v nastavení společné a národní zemědělské politiky </w:t>
      </w:r>
      <w:r w:rsidR="00BB266D" w:rsidRPr="00FB3612">
        <w:rPr>
          <w:rFonts w:ascii="Arial" w:hAnsi="Arial" w:cs="Arial"/>
          <w:b/>
          <w:sz w:val="20"/>
          <w:szCs w:val="20"/>
        </w:rPr>
        <w:br/>
      </w:r>
      <w:r w:rsidRPr="00FB3612">
        <w:rPr>
          <w:rFonts w:ascii="Arial" w:hAnsi="Arial" w:cs="Arial"/>
          <w:b/>
          <w:sz w:val="20"/>
          <w:szCs w:val="20"/>
        </w:rPr>
        <w:t>a tržních podmínek do příjmu jednotlivých kategorií podniků v roce 2023</w:t>
      </w:r>
    </w:p>
    <w:p w14:paraId="660A86C4" w14:textId="77777777" w:rsidR="00362715" w:rsidRPr="009C44F9" w:rsidRDefault="00362715" w:rsidP="00362715">
      <w:pPr>
        <w:spacing w:after="0" w:line="240" w:lineRule="auto"/>
        <w:jc w:val="both"/>
        <w:rPr>
          <w:noProof/>
        </w:rPr>
      </w:pPr>
      <w:r w:rsidRPr="00F75AC5">
        <w:rPr>
          <w:noProof/>
        </w:rPr>
        <w:drawing>
          <wp:inline distT="0" distB="0" distL="0" distR="0" wp14:anchorId="1DCCA2FC" wp14:editId="4E956AB9">
            <wp:extent cx="5574030" cy="3190875"/>
            <wp:effectExtent l="0" t="0" r="7620" b="9525"/>
            <wp:docPr id="138257480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4030" cy="3190875"/>
                    </a:xfrm>
                    <a:prstGeom prst="rect">
                      <a:avLst/>
                    </a:prstGeom>
                    <a:noFill/>
                    <a:ln>
                      <a:noFill/>
                    </a:ln>
                  </pic:spPr>
                </pic:pic>
              </a:graphicData>
            </a:graphic>
          </wp:inline>
        </w:drawing>
      </w:r>
    </w:p>
    <w:p w14:paraId="3CE0F966" w14:textId="77777777" w:rsidR="00362715" w:rsidRPr="00B9241F" w:rsidRDefault="00362715" w:rsidP="00362715">
      <w:pPr>
        <w:spacing w:after="120" w:line="240" w:lineRule="auto"/>
        <w:rPr>
          <w:i/>
          <w:iCs/>
          <w:sz w:val="20"/>
          <w:szCs w:val="20"/>
        </w:rPr>
      </w:pPr>
      <w:r w:rsidRPr="00DF57F4">
        <w:rPr>
          <w:i/>
          <w:iCs/>
          <w:sz w:val="20"/>
          <w:szCs w:val="20"/>
        </w:rPr>
        <w:t xml:space="preserve">Zdroj: </w:t>
      </w:r>
      <w:r>
        <w:rPr>
          <w:i/>
          <w:iCs/>
          <w:sz w:val="20"/>
          <w:szCs w:val="20"/>
        </w:rPr>
        <w:t xml:space="preserve">FADN 2017-2022, výsledky kalkulačky K2 pro rok 2023, </w:t>
      </w:r>
      <w:r w:rsidRPr="00DF57F4">
        <w:rPr>
          <w:i/>
          <w:iCs/>
          <w:sz w:val="20"/>
          <w:szCs w:val="20"/>
        </w:rPr>
        <w:t>vlastní výpočty ÚZEI</w:t>
      </w:r>
    </w:p>
    <w:p w14:paraId="2A5C82D8" w14:textId="77777777" w:rsidR="007F04BD" w:rsidRPr="00C6390B" w:rsidRDefault="007F04BD" w:rsidP="00C6390B">
      <w:pPr>
        <w:spacing w:line="240" w:lineRule="auto"/>
        <w:jc w:val="both"/>
        <w:rPr>
          <w:rFonts w:ascii="Arial" w:hAnsi="Arial" w:cs="Arial"/>
        </w:rPr>
      </w:pPr>
      <w:r w:rsidRPr="00C6390B">
        <w:rPr>
          <w:rFonts w:ascii="Arial" w:hAnsi="Arial" w:cs="Arial"/>
        </w:rPr>
        <w:t xml:space="preserve">Ekonomicky velmi úspěšný rok 2022 vedl k výraznému zlepšení příjmové situace (vyjádřené prostřednictvím ČPH/AWU) ve srovnání s obdobím 2017-21 ve všech kategoriích podniků, přitom zlepšení se pohybuje v rozpětí od 23,9 % u podniků do 100 ha až 57,7 % ve velikostní kategorii podniků nad 2 000 ha obhospodařované půdy. </w:t>
      </w:r>
    </w:p>
    <w:p w14:paraId="3A145157" w14:textId="77777777" w:rsidR="007F04BD" w:rsidRPr="00C6390B" w:rsidRDefault="007F04BD" w:rsidP="00C6390B">
      <w:pPr>
        <w:spacing w:line="240" w:lineRule="auto"/>
        <w:jc w:val="both"/>
        <w:rPr>
          <w:rFonts w:ascii="Arial" w:hAnsi="Arial" w:cs="Arial"/>
        </w:rPr>
      </w:pPr>
      <w:r w:rsidRPr="00C6390B">
        <w:rPr>
          <w:rFonts w:ascii="Arial" w:hAnsi="Arial" w:cs="Arial"/>
        </w:rPr>
        <w:t xml:space="preserve">Pokud vyhodnotíme vliv změny národní politiky a společné zemědělské politiky spolu se změnou tržních podmínek na příjmovou situaci v roce 2023 oproti roku 2022, tak u všech velikostních kategorií podniků dochází k meziročnímu poklesu příjmu v rozpětí od mínus 12,5 % u podniků do 100 ha až do minus 33,6 % v případě kategorie podniků nad 2 000 ha. Přitom velikost podniků determinuje míru poklesu příjmu s téměř přímou úměrou – čím větší podnik, tím větší míra poklesu ČPH/AWU. Tento pokles je determinován větším vlivem meziročního poklesu cen tržních plodin obilovin a olejnin (u kategorie do 100 ha činí podíl těchto komodit 41 % na celkové produkci a postupně narůstá až do 80% podílu v případě kategorie podniků nad 2 000 ha). A dále relativně silným efektem redistribuční platby, který byl implementován z důvodu zajištění větší důchodové spravedlnosti mezi velikostními kategoriemi podniků. </w:t>
      </w:r>
    </w:p>
    <w:p w14:paraId="0BAEC88E" w14:textId="77777777" w:rsidR="00A4744E" w:rsidRPr="00554B92" w:rsidRDefault="00842624" w:rsidP="00135BDD">
      <w:pPr>
        <w:spacing w:after="120"/>
        <w:jc w:val="both"/>
        <w:rPr>
          <w:rFonts w:ascii="Arial" w:hAnsi="Arial" w:cs="Arial"/>
        </w:rPr>
      </w:pPr>
      <w:r w:rsidRPr="00554B92">
        <w:rPr>
          <w:rFonts w:ascii="Arial" w:hAnsi="Arial" w:cs="Arial"/>
        </w:rPr>
        <w:t xml:space="preserve">Do změny důchodové situace se také projevil vliv snížení národních dotací, a to jak v roce 2022 tak i v roce 2023. Zde je žádoucí připomenout, že </w:t>
      </w:r>
      <w:r w:rsidRPr="00554B92">
        <w:rPr>
          <w:rFonts w:ascii="Arial" w:hAnsi="Arial" w:cs="Arial"/>
          <w:b/>
          <w:bCs/>
        </w:rPr>
        <w:t>v roce 2022 došlo k navýšení výkupních cen OZE a v důsledku růstu těchto cen bylo sníženo vyplácení zeleného bonusu o 20 %. Tento pokles v dotacích OZE působící na pokles celkových provozních dotací s vyšší intenzitou s růstem průměrné velikosti podniku</w:t>
      </w:r>
      <w:r w:rsidR="00A4744E" w:rsidRPr="00554B92">
        <w:rPr>
          <w:rFonts w:ascii="Arial" w:hAnsi="Arial" w:cs="Arial"/>
          <w:b/>
          <w:bCs/>
        </w:rPr>
        <w:t xml:space="preserve"> se však nepromítl do </w:t>
      </w:r>
      <w:r w:rsidR="00A4744E" w:rsidRPr="00554B92">
        <w:rPr>
          <w:rFonts w:ascii="Arial" w:hAnsi="Arial" w:cs="Arial"/>
          <w:b/>
          <w:bCs/>
        </w:rPr>
        <w:lastRenderedPageBreak/>
        <w:t xml:space="preserve">snížení důchodové situace v důsledku růstu výkupních cen, který se významně promítl do zvýšení ostatní produkce. </w:t>
      </w:r>
      <w:r w:rsidR="00A4744E" w:rsidRPr="00554B92">
        <w:rPr>
          <w:rFonts w:ascii="Arial" w:hAnsi="Arial" w:cs="Arial"/>
        </w:rPr>
        <w:t xml:space="preserve">Z tohoto důvodu </w:t>
      </w:r>
      <w:r w:rsidR="00A4744E" w:rsidRPr="00554B92">
        <w:rPr>
          <w:rFonts w:ascii="Arial" w:hAnsi="Arial" w:cs="Arial"/>
          <w:b/>
          <w:bCs/>
        </w:rPr>
        <w:t>byl vyčíslen i čistý efekt snížení provozních dotací bez vlivu snížení podpor na výrobu OZE</w:t>
      </w:r>
      <w:r w:rsidR="00A4744E" w:rsidRPr="00554B92">
        <w:rPr>
          <w:rFonts w:ascii="Arial" w:hAnsi="Arial" w:cs="Arial"/>
        </w:rPr>
        <w:t xml:space="preserve"> (viz 7. a 8. sloupec tabulky 1).</w:t>
      </w:r>
    </w:p>
    <w:p w14:paraId="3F51BC1C" w14:textId="77777777" w:rsidR="007F2986" w:rsidRPr="00554B92" w:rsidRDefault="007F2986" w:rsidP="00135BDD">
      <w:pPr>
        <w:spacing w:after="120"/>
        <w:jc w:val="both"/>
        <w:rPr>
          <w:rFonts w:ascii="Arial" w:hAnsi="Arial" w:cs="Arial"/>
        </w:rPr>
      </w:pPr>
      <w:r w:rsidRPr="00554B92">
        <w:rPr>
          <w:rFonts w:ascii="Arial" w:hAnsi="Arial" w:cs="Arial"/>
        </w:rPr>
        <w:t xml:space="preserve">Za účelem posouzení nastavení parametrů nové SZP je třeba porovnat nejen relativní změnu hodnoceného příjmového ukazatele v rámci jednotlivých kategorií podniků, ale také i jeho výslednou absolutní úroveň (viz 4. sloupec hodnot v tabulce 3). </w:t>
      </w:r>
    </w:p>
    <w:p w14:paraId="20D25ACD" w14:textId="47C9C4AE" w:rsidR="00D87266" w:rsidRPr="00554B92" w:rsidRDefault="00DD27C4" w:rsidP="003F111B">
      <w:pPr>
        <w:jc w:val="both"/>
        <w:rPr>
          <w:rFonts w:ascii="Arial" w:hAnsi="Arial" w:cs="Arial"/>
          <w:szCs w:val="24"/>
        </w:rPr>
      </w:pPr>
      <w:r w:rsidRPr="00554B92">
        <w:rPr>
          <w:rFonts w:ascii="Arial" w:hAnsi="Arial" w:cs="Arial"/>
        </w:rPr>
        <w:t>Provozní podpory v přepočtu na ha zemědělské půdy ve větší míře respektují degresivní trend ve vztahu k velikosti podniku a eliminují tak disproporce, která vyplývá ze strukturálních a tržních výhod velkých podniků</w:t>
      </w:r>
    </w:p>
    <w:p w14:paraId="58F3CF5D" w14:textId="77777777" w:rsidR="007B4B82" w:rsidRPr="00554B92" w:rsidRDefault="007B4B82" w:rsidP="00135BDD">
      <w:pPr>
        <w:spacing w:after="120"/>
        <w:jc w:val="both"/>
        <w:rPr>
          <w:rFonts w:ascii="Arial" w:hAnsi="Arial" w:cs="Arial"/>
        </w:rPr>
      </w:pPr>
      <w:r w:rsidRPr="00554B92">
        <w:rPr>
          <w:rFonts w:ascii="Arial" w:hAnsi="Arial" w:cs="Arial"/>
        </w:rPr>
        <w:t xml:space="preserve">Je možné tedy konstatovat, že </w:t>
      </w:r>
      <w:r w:rsidRPr="00554B92">
        <w:rPr>
          <w:rFonts w:ascii="Arial" w:hAnsi="Arial" w:cs="Arial"/>
          <w:b/>
          <w:bCs/>
        </w:rPr>
        <w:t xml:space="preserve">zavedení redistribuční platby přispělo, i přes nepříznivé a v době přípravy SP těžko predikovatelné podmínky na trhu zemědělských komodit </w:t>
      </w:r>
      <w:r w:rsidRPr="00554B92">
        <w:rPr>
          <w:rFonts w:ascii="Arial" w:hAnsi="Arial" w:cs="Arial"/>
        </w:rPr>
        <w:t xml:space="preserve">(primárně obilovin a olejnin), </w:t>
      </w:r>
      <w:r w:rsidRPr="00554B92">
        <w:rPr>
          <w:rFonts w:ascii="Arial" w:hAnsi="Arial" w:cs="Arial"/>
          <w:b/>
          <w:bCs/>
        </w:rPr>
        <w:t xml:space="preserve">k vyšší míře důchodové spravedlnosti mezi jednotlivými velikostními kategoriemi podniků. </w:t>
      </w:r>
      <w:r w:rsidRPr="00554B92">
        <w:rPr>
          <w:rFonts w:ascii="Arial" w:hAnsi="Arial" w:cs="Arial"/>
        </w:rPr>
        <w:t>Přitom díky změnám na trhu zemědělských komodit a aplikováním redistribuční platby dochází k vyššímu stupni důchodové spravedlnosti v roce 2023 při srovnání s výchozím obdobím let 2017-21 (srovnej sloupec 10 z tabulky 1 a sloupec 5 z tabulky 3).</w:t>
      </w:r>
    </w:p>
    <w:p w14:paraId="00D1EA7A" w14:textId="6B02DCAD" w:rsidR="00135BDD" w:rsidRPr="00554B92" w:rsidRDefault="00135BDD" w:rsidP="00135BDD">
      <w:pPr>
        <w:spacing w:after="120"/>
        <w:jc w:val="both"/>
        <w:rPr>
          <w:rFonts w:ascii="Arial" w:hAnsi="Arial" w:cs="Arial"/>
        </w:rPr>
      </w:pPr>
      <w:r w:rsidRPr="00554B92">
        <w:rPr>
          <w:rFonts w:ascii="Arial" w:hAnsi="Arial" w:cs="Arial"/>
        </w:rPr>
        <w:t>Pokud srovnáme predikovanou hodnotu příjmového indikátoru ČPH AWU v roce 2023 vyjádřeného vůči průměrnému období let 2017-21 v nominálních hodnotách, tak všechny kategorie podniků dosahují vyšší úrovně příjmů oproti srovnávací bázi (6. sloupec, tabulka 3). Pokud je však očistíme o inflaci vyjádřenou indexem spotřebitelských cen, který dosáhl za roky 2022 a 2023 vůči období let 2017-21 hodnoty 127 %, tak reálné hodnoty příjmového indikátoru v roce 2023 vztažené k průměrnému období 2017-21 vykázaly nižší hodnoty v rozpětí od 15 do 20,4 % napříč všemi velikostními kategoriemi podniků.</w:t>
      </w:r>
    </w:p>
    <w:p w14:paraId="3416FC37" w14:textId="77777777" w:rsidR="00384044" w:rsidRDefault="00384044" w:rsidP="00591262">
      <w:pPr>
        <w:spacing w:before="240"/>
        <w:jc w:val="both"/>
        <w:rPr>
          <w:rFonts w:ascii="Arial" w:eastAsia="Times New Roman" w:hAnsi="Arial" w:cs="Arial"/>
          <w:b/>
          <w:bCs/>
        </w:rPr>
      </w:pPr>
    </w:p>
    <w:p w14:paraId="08AACE39" w14:textId="32FD223B" w:rsidR="00591262" w:rsidRPr="004C6DB1" w:rsidRDefault="00591262" w:rsidP="00591262">
      <w:pPr>
        <w:spacing w:before="240"/>
        <w:jc w:val="both"/>
        <w:rPr>
          <w:rFonts w:ascii="Arial" w:eastAsia="Times New Roman" w:hAnsi="Arial" w:cs="Arial"/>
          <w:b/>
          <w:bCs/>
        </w:rPr>
      </w:pPr>
      <w:r w:rsidRPr="004C6DB1">
        <w:rPr>
          <w:rFonts w:ascii="Arial" w:eastAsia="Times New Roman" w:hAnsi="Arial" w:cs="Arial"/>
          <w:b/>
          <w:bCs/>
        </w:rPr>
        <w:t>Srovnání výsledků odhadu vlivu čisté změny politiky v říjnu 2023 s odhady provedenými v lednu 2022</w:t>
      </w:r>
    </w:p>
    <w:p w14:paraId="796CDFC7" w14:textId="77777777" w:rsidR="005D1A0B" w:rsidRPr="004C6DB1" w:rsidRDefault="005D1A0B" w:rsidP="005D1A0B">
      <w:pPr>
        <w:spacing w:after="120"/>
        <w:jc w:val="both"/>
        <w:rPr>
          <w:rFonts w:ascii="Arial" w:hAnsi="Arial" w:cs="Arial"/>
        </w:rPr>
      </w:pPr>
      <w:r w:rsidRPr="004C6DB1">
        <w:rPr>
          <w:rFonts w:ascii="Arial" w:hAnsi="Arial" w:cs="Arial"/>
        </w:rPr>
        <w:t>Odhad provedený v lednu 2022 vycházel z odlišné časové báze let 2016-2019, zatímco odhad a predikce roku 2023 provedená v říjnu 2023 vychází z časové báze let 2017-2021.</w:t>
      </w:r>
    </w:p>
    <w:p w14:paraId="38383F66" w14:textId="112DEB0E" w:rsidR="0047667C" w:rsidRPr="004C6DB1" w:rsidRDefault="000D2270" w:rsidP="003F111B">
      <w:pPr>
        <w:jc w:val="both"/>
        <w:rPr>
          <w:rFonts w:ascii="Arial" w:hAnsi="Arial" w:cs="Arial"/>
          <w:b/>
          <w:bCs/>
        </w:rPr>
      </w:pPr>
      <w:r w:rsidRPr="004C6DB1">
        <w:rPr>
          <w:rFonts w:ascii="Arial" w:hAnsi="Arial" w:cs="Arial"/>
        </w:rPr>
        <w:t xml:space="preserve">Při srovnání </w:t>
      </w:r>
      <w:r w:rsidRPr="004C6DB1">
        <w:rPr>
          <w:rFonts w:ascii="Arial" w:hAnsi="Arial" w:cs="Arial"/>
          <w:b/>
          <w:bCs/>
        </w:rPr>
        <w:t>predikce změn v důchodové situaci provedené v lednu 2022</w:t>
      </w:r>
      <w:r w:rsidRPr="004C6DB1">
        <w:rPr>
          <w:rFonts w:ascii="Arial" w:hAnsi="Arial" w:cs="Arial"/>
        </w:rPr>
        <w:t xml:space="preserve"> je třeba zdůraznit, že změna politiky projektovaná z období 2017-21 na období 2023 </w:t>
      </w:r>
      <w:r w:rsidRPr="004C6DB1">
        <w:rPr>
          <w:rFonts w:ascii="Arial" w:hAnsi="Arial" w:cs="Arial"/>
          <w:b/>
          <w:bCs/>
        </w:rPr>
        <w:t>uvažovala změnu v příjmu jen z titulu změny podpor SZP od roku 2023</w:t>
      </w:r>
      <w:r w:rsidR="006730C1" w:rsidRPr="004C6DB1">
        <w:rPr>
          <w:rFonts w:ascii="Arial" w:hAnsi="Arial" w:cs="Arial"/>
          <w:b/>
          <w:bCs/>
        </w:rPr>
        <w:t>.</w:t>
      </w:r>
    </w:p>
    <w:p w14:paraId="589F38C5" w14:textId="6F51C7AA" w:rsidR="006730C1" w:rsidRPr="004C6DB1" w:rsidRDefault="006730C1" w:rsidP="003F111B">
      <w:pPr>
        <w:jc w:val="both"/>
        <w:rPr>
          <w:rFonts w:ascii="Arial" w:hAnsi="Arial" w:cs="Arial"/>
        </w:rPr>
      </w:pPr>
      <w:r w:rsidRPr="004C6DB1">
        <w:rPr>
          <w:rFonts w:ascii="Arial" w:hAnsi="Arial" w:cs="Arial"/>
        </w:rPr>
        <w:t xml:space="preserve">Současně byl v letech 2020-2022 nastaven do předpokladů v té době reálného vývoje </w:t>
      </w:r>
      <w:r w:rsidRPr="004C6DB1">
        <w:rPr>
          <w:rFonts w:ascii="Arial" w:hAnsi="Arial" w:cs="Arial"/>
          <w:b/>
          <w:bCs/>
        </w:rPr>
        <w:t>měnový kurz s relativně silnou Korunou ve výši 26,5 Kč/€</w:t>
      </w:r>
      <w:r w:rsidRPr="004C6DB1">
        <w:rPr>
          <w:rFonts w:ascii="Arial" w:hAnsi="Arial" w:cs="Arial"/>
        </w:rPr>
        <w:t>. Přitom reálný měnový kurz poklesl u přímých plateb na hodnotu 24,46 Kč/€ a u plateb 2. pilíře na hodnotu 24,116 Kč/€.</w:t>
      </w:r>
    </w:p>
    <w:p w14:paraId="69373BCE" w14:textId="77777777" w:rsidR="007139CE" w:rsidRPr="004C6DB1" w:rsidRDefault="007139CE" w:rsidP="007139CE">
      <w:pPr>
        <w:spacing w:after="120"/>
        <w:jc w:val="both"/>
        <w:rPr>
          <w:rFonts w:ascii="Arial" w:hAnsi="Arial" w:cs="Arial"/>
        </w:rPr>
      </w:pPr>
      <w:r w:rsidRPr="004C6DB1">
        <w:rPr>
          <w:rFonts w:ascii="Arial" w:hAnsi="Arial" w:cs="Arial"/>
        </w:rPr>
        <w:t xml:space="preserve">K tomu se ještě přidaly </w:t>
      </w:r>
      <w:r w:rsidRPr="004C6DB1">
        <w:rPr>
          <w:rFonts w:ascii="Arial" w:hAnsi="Arial" w:cs="Arial"/>
          <w:b/>
        </w:rPr>
        <w:t>další významné změny na trhu s komoditami a to takové, že způsobily v roce 2022 dramatické zvýšení hodnoty produkce a v konečném důsledku i zvýšení ČPH/AWU o 40</w:t>
      </w:r>
      <w:r w:rsidRPr="004C6DB1">
        <w:rPr>
          <w:rFonts w:ascii="Arial" w:hAnsi="Arial" w:cs="Arial"/>
          <w:b/>
          <w:bCs/>
        </w:rPr>
        <w:t> </w:t>
      </w:r>
      <w:r w:rsidRPr="004C6DB1">
        <w:rPr>
          <w:rFonts w:ascii="Arial" w:hAnsi="Arial" w:cs="Arial"/>
          <w:b/>
        </w:rPr>
        <w:t>%</w:t>
      </w:r>
      <w:r w:rsidRPr="004C6DB1">
        <w:rPr>
          <w:rFonts w:ascii="Arial" w:hAnsi="Arial" w:cs="Arial"/>
        </w:rPr>
        <w:t xml:space="preserve"> (ve skupině největších podniků až o téměř 58 % a proti tomu u podniků do 100 ha o 24 %). </w:t>
      </w:r>
      <w:r w:rsidRPr="004C6DB1">
        <w:rPr>
          <w:rFonts w:ascii="Arial" w:hAnsi="Arial" w:cs="Arial"/>
          <w:b/>
        </w:rPr>
        <w:t>Zatímco v průběhu roku 2023 vedly k velkému propadu ČPH/AWU v průměru o 22</w:t>
      </w:r>
      <w:r w:rsidRPr="004C6DB1">
        <w:rPr>
          <w:rFonts w:ascii="Arial" w:hAnsi="Arial" w:cs="Arial"/>
          <w:b/>
          <w:bCs/>
        </w:rPr>
        <w:t> </w:t>
      </w:r>
      <w:r w:rsidRPr="004C6DB1">
        <w:rPr>
          <w:rFonts w:ascii="Arial" w:hAnsi="Arial" w:cs="Arial"/>
          <w:b/>
        </w:rPr>
        <w:t>%</w:t>
      </w:r>
      <w:r w:rsidRPr="004C6DB1">
        <w:rPr>
          <w:rFonts w:ascii="Arial" w:hAnsi="Arial" w:cs="Arial"/>
        </w:rPr>
        <w:t xml:space="preserve">. Přitom provozní podpory se meziročně z roku 2022 na rok 2023 průměrně zvýšily jen o 2 %. </w:t>
      </w:r>
    </w:p>
    <w:p w14:paraId="06FE4114" w14:textId="77777777" w:rsidR="007139CE" w:rsidRPr="004C6DB1" w:rsidRDefault="007139CE" w:rsidP="007139CE">
      <w:pPr>
        <w:spacing w:after="120"/>
        <w:jc w:val="both"/>
        <w:rPr>
          <w:rFonts w:ascii="Arial" w:hAnsi="Arial" w:cs="Arial"/>
        </w:rPr>
      </w:pPr>
      <w:r w:rsidRPr="004C6DB1">
        <w:rPr>
          <w:rFonts w:ascii="Arial" w:hAnsi="Arial" w:cs="Arial"/>
        </w:rPr>
        <w:t>Srovnání těchto různých předpokladů je provedeno v následující tabulce.</w:t>
      </w:r>
    </w:p>
    <w:p w14:paraId="2CD21F99" w14:textId="10B9B164" w:rsidR="000E4F3B" w:rsidRPr="004C6DB1" w:rsidRDefault="000E4F3B" w:rsidP="000E4F3B">
      <w:pPr>
        <w:pStyle w:val="Titulek"/>
        <w:keepNext/>
        <w:spacing w:after="60"/>
        <w:rPr>
          <w:rFonts w:ascii="Arial" w:hAnsi="Arial" w:cs="Arial"/>
          <w:b/>
          <w:i/>
        </w:rPr>
      </w:pPr>
      <w:r w:rsidRPr="00FB3612">
        <w:rPr>
          <w:rFonts w:ascii="Arial" w:hAnsi="Arial" w:cs="Arial"/>
          <w:b/>
        </w:rPr>
        <w:lastRenderedPageBreak/>
        <w:t xml:space="preserve">Tabulka </w:t>
      </w:r>
      <w:r w:rsidR="00FB3612" w:rsidRPr="00FB3612">
        <w:rPr>
          <w:rFonts w:ascii="Arial" w:hAnsi="Arial" w:cs="Arial"/>
          <w:b/>
        </w:rPr>
        <w:t>2</w:t>
      </w:r>
      <w:r w:rsidRPr="004C6DB1">
        <w:rPr>
          <w:rFonts w:ascii="Arial" w:hAnsi="Arial" w:cs="Arial"/>
          <w:b/>
        </w:rPr>
        <w:t>: Srovnání předpokladů zpracovaných variant</w:t>
      </w:r>
    </w:p>
    <w:p w14:paraId="66DC025A" w14:textId="21532B10" w:rsidR="00AD6EBC" w:rsidRPr="004C6DB1" w:rsidRDefault="00AD6EBC" w:rsidP="007139CE">
      <w:pPr>
        <w:spacing w:after="120"/>
        <w:jc w:val="both"/>
        <w:rPr>
          <w:rFonts w:ascii="Arial" w:hAnsi="Arial" w:cs="Arial"/>
        </w:rPr>
      </w:pPr>
      <w:r w:rsidRPr="004C6DB1">
        <w:rPr>
          <w:rFonts w:ascii="Arial" w:hAnsi="Arial" w:cs="Arial"/>
          <w:noProof/>
        </w:rPr>
        <w:drawing>
          <wp:inline distT="0" distB="0" distL="0" distR="0" wp14:anchorId="0EA7BBAA" wp14:editId="29DE0C64">
            <wp:extent cx="5760720" cy="1527175"/>
            <wp:effectExtent l="0" t="0" r="0" b="0"/>
            <wp:docPr id="2114452879"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1527175"/>
                    </a:xfrm>
                    <a:prstGeom prst="rect">
                      <a:avLst/>
                    </a:prstGeom>
                    <a:noFill/>
                    <a:ln>
                      <a:noFill/>
                    </a:ln>
                  </pic:spPr>
                </pic:pic>
              </a:graphicData>
            </a:graphic>
          </wp:inline>
        </w:drawing>
      </w:r>
    </w:p>
    <w:p w14:paraId="464B9092" w14:textId="77777777" w:rsidR="008443EE" w:rsidRPr="004C6DB1" w:rsidRDefault="008443EE" w:rsidP="008443EE">
      <w:pPr>
        <w:spacing w:after="120"/>
        <w:jc w:val="both"/>
        <w:rPr>
          <w:rFonts w:ascii="Arial" w:hAnsi="Arial" w:cs="Arial"/>
        </w:rPr>
      </w:pPr>
      <w:r w:rsidRPr="004C6DB1">
        <w:rPr>
          <w:rFonts w:ascii="Arial" w:hAnsi="Arial" w:cs="Arial"/>
        </w:rPr>
        <w:t xml:space="preserve">V ÚZEI byly provedeny v letech 2020 až 2022 variantní propočty účinků doplňkové redistributivní platby (DRP) na zemědělské příjmy (požadováno také EK). </w:t>
      </w:r>
      <w:r w:rsidRPr="004C6DB1">
        <w:rPr>
          <w:rFonts w:ascii="Arial" w:hAnsi="Arial" w:cs="Arial"/>
          <w:b/>
          <w:bCs/>
        </w:rPr>
        <w:t>Závěry z propočtů ukazovaly, že zavedení 23% DRP posílí v souladu s doporučením EK žádoucím směrem vyváženost příjmů mezi velikostními kategoriemi podniků</w:t>
      </w:r>
      <w:r w:rsidRPr="004C6DB1">
        <w:rPr>
          <w:rFonts w:ascii="Arial" w:hAnsi="Arial" w:cs="Arial"/>
        </w:rPr>
        <w:t xml:space="preserve"> (ale také v dalších posuzovaných kategoriích jako je specializace nebo ANC oblasti</w:t>
      </w:r>
      <w:r w:rsidRPr="004C6DB1">
        <w:rPr>
          <w:rStyle w:val="Znakapoznpodarou"/>
          <w:rFonts w:ascii="Arial" w:hAnsi="Arial" w:cs="Arial"/>
        </w:rPr>
        <w:footnoteReference w:id="9"/>
      </w:r>
      <w:r w:rsidRPr="004C6DB1">
        <w:rPr>
          <w:rFonts w:ascii="Arial" w:hAnsi="Arial" w:cs="Arial"/>
        </w:rPr>
        <w:t xml:space="preserve">). </w:t>
      </w:r>
      <w:r w:rsidRPr="004C6DB1">
        <w:rPr>
          <w:rFonts w:ascii="Arial" w:hAnsi="Arial" w:cs="Arial"/>
          <w:b/>
          <w:bCs/>
        </w:rPr>
        <w:t>Což se potvrzuje v obou srovnávaných variantách a je to taktéž v souladu se strategickými cíli EK a přeneseně i v souladu s cíli Strategického plánu 2023+ ČR</w:t>
      </w:r>
      <w:r w:rsidRPr="004C6DB1">
        <w:rPr>
          <w:rFonts w:ascii="Arial" w:hAnsi="Arial" w:cs="Arial"/>
        </w:rPr>
        <w:t xml:space="preserve">. </w:t>
      </w:r>
    </w:p>
    <w:p w14:paraId="65D0E847" w14:textId="5BA9DA1B" w:rsidR="000D2F87" w:rsidRPr="004C6DB1" w:rsidRDefault="000D2F87" w:rsidP="000D2F87">
      <w:pPr>
        <w:pStyle w:val="Titulek"/>
        <w:keepNext/>
        <w:spacing w:after="60"/>
        <w:rPr>
          <w:rFonts w:ascii="Arial" w:hAnsi="Arial" w:cs="Arial"/>
          <w:b/>
          <w:i/>
        </w:rPr>
      </w:pPr>
      <w:r w:rsidRPr="004C6DB1">
        <w:rPr>
          <w:rFonts w:ascii="Arial" w:hAnsi="Arial" w:cs="Arial"/>
          <w:b/>
        </w:rPr>
        <w:t xml:space="preserve">Tabulka </w:t>
      </w:r>
      <w:r w:rsidR="00FB3612" w:rsidRPr="00FB3612">
        <w:rPr>
          <w:rFonts w:ascii="Arial" w:hAnsi="Arial" w:cs="Arial"/>
          <w:b/>
          <w:iCs/>
        </w:rPr>
        <w:t>3</w:t>
      </w:r>
      <w:r w:rsidRPr="00FB3612">
        <w:rPr>
          <w:rFonts w:ascii="Arial" w:hAnsi="Arial" w:cs="Arial"/>
          <w:b/>
          <w:iCs/>
        </w:rPr>
        <w:t xml:space="preserve">: </w:t>
      </w:r>
      <w:r w:rsidRPr="004C6DB1">
        <w:rPr>
          <w:rFonts w:ascii="Arial" w:hAnsi="Arial" w:cs="Arial"/>
          <w:b/>
        </w:rPr>
        <w:t>Srovnání variant výpočtů leden 2022 a říjen 2023</w:t>
      </w:r>
    </w:p>
    <w:p w14:paraId="1A6BCF73" w14:textId="77777777" w:rsidR="000D2F87" w:rsidRPr="004C6DB1" w:rsidRDefault="000D2F87" w:rsidP="000D2F87">
      <w:pPr>
        <w:spacing w:after="120"/>
        <w:jc w:val="both"/>
        <w:rPr>
          <w:rFonts w:ascii="Arial" w:hAnsi="Arial" w:cs="Arial"/>
        </w:rPr>
      </w:pPr>
      <w:r w:rsidRPr="004C6DB1">
        <w:rPr>
          <w:rFonts w:ascii="Arial" w:hAnsi="Arial" w:cs="Arial"/>
          <w:noProof/>
        </w:rPr>
        <w:drawing>
          <wp:inline distT="0" distB="0" distL="0" distR="0" wp14:anchorId="35023895" wp14:editId="314182BF">
            <wp:extent cx="5760720" cy="1732280"/>
            <wp:effectExtent l="0" t="0" r="0" b="1270"/>
            <wp:docPr id="1540496740"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732280"/>
                    </a:xfrm>
                    <a:prstGeom prst="rect">
                      <a:avLst/>
                    </a:prstGeom>
                    <a:noFill/>
                    <a:ln>
                      <a:noFill/>
                    </a:ln>
                  </pic:spPr>
                </pic:pic>
              </a:graphicData>
            </a:graphic>
          </wp:inline>
        </w:drawing>
      </w:r>
      <w:r w:rsidRPr="004C6DB1">
        <w:rPr>
          <w:rFonts w:ascii="Arial" w:hAnsi="Arial" w:cs="Arial"/>
          <w:i/>
          <w:iCs/>
          <w:sz w:val="20"/>
          <w:szCs w:val="20"/>
        </w:rPr>
        <w:t>Zdroj: FADN 2017-2022, výsledky kalkulačky K2 pro rok 2023, vlastní výpočty ÚZEI</w:t>
      </w:r>
    </w:p>
    <w:p w14:paraId="6DA0EA9D" w14:textId="4C43A5C0" w:rsidR="008D54D4" w:rsidRPr="004C6DB1" w:rsidRDefault="00C73ED1" w:rsidP="008D54D4">
      <w:pPr>
        <w:spacing w:after="120"/>
        <w:ind w:firstLine="708"/>
        <w:jc w:val="both"/>
        <w:rPr>
          <w:rFonts w:ascii="Arial" w:hAnsi="Arial" w:cs="Arial"/>
          <w:b/>
          <w:bCs/>
        </w:rPr>
      </w:pPr>
      <w:r w:rsidRPr="004C6DB1">
        <w:rPr>
          <w:rFonts w:ascii="Arial" w:hAnsi="Arial" w:cs="Arial"/>
          <w:b/>
          <w:bCs/>
        </w:rPr>
        <w:t>Celková změna národní i společné zemědělské politiky působí pozitivním efektem ve prospěch velikostních kategoriích podniků do 500 ha</w:t>
      </w:r>
      <w:r w:rsidR="008D54D4" w:rsidRPr="004C6DB1">
        <w:rPr>
          <w:rFonts w:ascii="Arial" w:hAnsi="Arial" w:cs="Arial"/>
          <w:b/>
          <w:bCs/>
        </w:rPr>
        <w:t>. Nejvyšší relativní zvýšení příjmu vykazuje skupina do 100 ha</w:t>
      </w:r>
      <w:r w:rsidR="008D54D4" w:rsidRPr="004C6DB1">
        <w:rPr>
          <w:rFonts w:ascii="Arial" w:hAnsi="Arial" w:cs="Arial"/>
        </w:rPr>
        <w:t xml:space="preserve">. </w:t>
      </w:r>
      <w:r w:rsidR="008D54D4" w:rsidRPr="004C6DB1">
        <w:rPr>
          <w:rFonts w:ascii="Arial" w:hAnsi="Arial" w:cs="Arial"/>
          <w:b/>
          <w:bCs/>
        </w:rPr>
        <w:t>Z pohledu hodnocení úrovně však zůstává stále jen na úrovni 55 %</w:t>
      </w:r>
      <w:r w:rsidR="008D54D4" w:rsidRPr="004C6DB1">
        <w:rPr>
          <w:rFonts w:ascii="Arial" w:hAnsi="Arial" w:cs="Arial"/>
        </w:rPr>
        <w:t xml:space="preserve"> sektorového průměru. Proporčně nižší, ale stále růst příjmu vykazuje také </w:t>
      </w:r>
      <w:r w:rsidR="008D54D4" w:rsidRPr="004C6DB1">
        <w:rPr>
          <w:rFonts w:ascii="Arial" w:hAnsi="Arial" w:cs="Arial"/>
          <w:b/>
          <w:bCs/>
        </w:rPr>
        <w:t>skupina podniků od 100 do 500 ha, která dosahuje v nových podmínkách nejvyšší projektovaný příjem</w:t>
      </w:r>
      <w:r w:rsidR="008D54D4" w:rsidRPr="004C6DB1">
        <w:rPr>
          <w:rFonts w:ascii="Arial" w:hAnsi="Arial" w:cs="Arial"/>
        </w:rPr>
        <w:t>.</w:t>
      </w:r>
    </w:p>
    <w:p w14:paraId="51557023" w14:textId="77777777" w:rsidR="008D54D4" w:rsidRPr="004C6DB1" w:rsidRDefault="008D54D4" w:rsidP="008D54D4">
      <w:pPr>
        <w:spacing w:after="120"/>
        <w:ind w:firstLine="708"/>
        <w:jc w:val="both"/>
        <w:rPr>
          <w:rFonts w:ascii="Arial" w:hAnsi="Arial" w:cs="Arial"/>
        </w:rPr>
      </w:pPr>
      <w:r w:rsidRPr="004C6DB1">
        <w:rPr>
          <w:rFonts w:ascii="Arial" w:hAnsi="Arial" w:cs="Arial"/>
          <w:b/>
          <w:bCs/>
        </w:rPr>
        <w:t xml:space="preserve">Ve velikostní kategorii 1 000-2 000 ha </w:t>
      </w:r>
      <w:r w:rsidRPr="004C6DB1">
        <w:rPr>
          <w:rFonts w:ascii="Arial" w:hAnsi="Arial" w:cs="Arial"/>
        </w:rPr>
        <w:t>došlo k výraznější redukci provozních podpor na ha (</w:t>
      </w:r>
      <w:r w:rsidRPr="004C6DB1">
        <w:rPr>
          <w:rFonts w:ascii="Arial" w:hAnsi="Arial" w:cs="Arial"/>
        </w:rPr>
        <w:noBreakHyphen/>
        <w:t xml:space="preserve">18,8 %) a také k většímu poklesu ČPH/AWU o -13,2 %, v důsledku čehož </w:t>
      </w:r>
      <w:r w:rsidRPr="004C6DB1">
        <w:rPr>
          <w:rFonts w:ascii="Arial" w:hAnsi="Arial" w:cs="Arial"/>
          <w:b/>
          <w:bCs/>
        </w:rPr>
        <w:t>poklesla výsledná úroveň příjmů na 99% úroveň průměru</w:t>
      </w:r>
      <w:r w:rsidRPr="004C6DB1">
        <w:rPr>
          <w:rFonts w:ascii="Arial" w:hAnsi="Arial" w:cs="Arial"/>
        </w:rPr>
        <w:t xml:space="preserve">. </w:t>
      </w:r>
      <w:r w:rsidRPr="004C6DB1">
        <w:rPr>
          <w:rFonts w:ascii="Arial" w:hAnsi="Arial" w:cs="Arial"/>
          <w:b/>
          <w:bCs/>
        </w:rPr>
        <w:t>Taktéž ve skupině nad 2 000 ha i přes největší relativní pokles provozních dotací</w:t>
      </w:r>
      <w:r w:rsidRPr="004C6DB1">
        <w:rPr>
          <w:rFonts w:ascii="Arial" w:hAnsi="Arial" w:cs="Arial"/>
        </w:rPr>
        <w:t xml:space="preserve"> (-21 %) a i příjmů (-13,9 %) převyšuje nově předpokládaný příjem, resp. </w:t>
      </w:r>
      <w:r w:rsidRPr="004C6DB1">
        <w:rPr>
          <w:rFonts w:ascii="Arial" w:hAnsi="Arial" w:cs="Arial"/>
          <w:b/>
          <w:bCs/>
        </w:rPr>
        <w:t>druhý nejvyšší příjem (111 % úrovně průměru)</w:t>
      </w:r>
      <w:r w:rsidRPr="004C6DB1">
        <w:rPr>
          <w:rFonts w:ascii="Arial" w:hAnsi="Arial" w:cs="Arial"/>
        </w:rPr>
        <w:t xml:space="preserve"> při pohledu na velikostní kategorie podniků. </w:t>
      </w:r>
    </w:p>
    <w:p w14:paraId="1203C033" w14:textId="7A925979" w:rsidR="004D193B" w:rsidRPr="004C6DB1" w:rsidRDefault="005B0E59" w:rsidP="00DA136A">
      <w:pPr>
        <w:pStyle w:val="Titulek"/>
        <w:keepNext/>
        <w:spacing w:after="0"/>
        <w:rPr>
          <w:rFonts w:ascii="Arial" w:hAnsi="Arial" w:cs="Arial"/>
          <w:b/>
          <w:i/>
        </w:rPr>
      </w:pPr>
      <w:bookmarkStart w:id="19" w:name="_Ref152769213"/>
      <w:r w:rsidRPr="004C6DB1">
        <w:rPr>
          <w:rFonts w:ascii="Arial" w:hAnsi="Arial" w:cs="Arial"/>
          <w:b/>
        </w:rPr>
        <w:lastRenderedPageBreak/>
        <w:t>Graf</w:t>
      </w:r>
      <w:bookmarkEnd w:id="19"/>
      <w:r w:rsidR="00FB3612">
        <w:rPr>
          <w:rFonts w:ascii="Arial" w:hAnsi="Arial" w:cs="Arial"/>
          <w:b/>
        </w:rPr>
        <w:t xml:space="preserve"> </w:t>
      </w:r>
      <w:r w:rsidR="00FB3612" w:rsidRPr="00FB3612">
        <w:rPr>
          <w:rFonts w:ascii="Arial" w:hAnsi="Arial" w:cs="Arial"/>
          <w:b/>
          <w:iCs/>
        </w:rPr>
        <w:t>1</w:t>
      </w:r>
      <w:r w:rsidRPr="00FB3612">
        <w:rPr>
          <w:rFonts w:ascii="Arial" w:hAnsi="Arial" w:cs="Arial"/>
          <w:b/>
          <w:iCs/>
        </w:rPr>
        <w:t>:</w:t>
      </w:r>
      <w:r w:rsidR="00FB3612">
        <w:rPr>
          <w:rFonts w:ascii="Arial" w:hAnsi="Arial" w:cs="Arial"/>
          <w:b/>
          <w:iCs/>
        </w:rPr>
        <w:t xml:space="preserve"> </w:t>
      </w:r>
      <w:r w:rsidRPr="004C6DB1">
        <w:rPr>
          <w:rFonts w:ascii="Arial" w:hAnsi="Arial" w:cs="Arial"/>
          <w:b/>
          <w:bCs/>
        </w:rPr>
        <w:t>Zemědělský příjem a provozní podpory dle velikosti podniku pro období 2017-2021 a predikci politiky 2023 (verze výpočtu říjen 2023)</w:t>
      </w:r>
    </w:p>
    <w:p w14:paraId="077EF197" w14:textId="2C06E228" w:rsidR="00DA136A" w:rsidRPr="004C6DB1" w:rsidRDefault="00DA136A" w:rsidP="004D193B">
      <w:pPr>
        <w:rPr>
          <w:rFonts w:ascii="Arial" w:hAnsi="Arial" w:cs="Arial"/>
        </w:rPr>
      </w:pPr>
      <w:r w:rsidRPr="004C6DB1">
        <w:rPr>
          <w:rFonts w:ascii="Arial" w:hAnsi="Arial" w:cs="Arial"/>
          <w:noProof/>
        </w:rPr>
        <w:drawing>
          <wp:inline distT="0" distB="0" distL="0" distR="0" wp14:anchorId="1F1EEA21" wp14:editId="780E7898">
            <wp:extent cx="5760720" cy="279908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2799080"/>
                    </a:xfrm>
                    <a:prstGeom prst="rect">
                      <a:avLst/>
                    </a:prstGeom>
                    <a:noFill/>
                    <a:ln>
                      <a:noFill/>
                    </a:ln>
                  </pic:spPr>
                </pic:pic>
              </a:graphicData>
            </a:graphic>
          </wp:inline>
        </w:drawing>
      </w:r>
    </w:p>
    <w:p w14:paraId="7BE5BDA4" w14:textId="6F2BE8F5" w:rsidR="006023B0" w:rsidRPr="004C6DB1" w:rsidRDefault="00FB3612" w:rsidP="006023B0">
      <w:pPr>
        <w:spacing w:before="120" w:after="60"/>
        <w:jc w:val="both"/>
        <w:rPr>
          <w:rFonts w:ascii="Arial" w:hAnsi="Arial" w:cs="Arial"/>
        </w:rPr>
      </w:pPr>
      <w:r>
        <w:rPr>
          <w:rFonts w:ascii="Arial" w:hAnsi="Arial" w:cs="Arial"/>
        </w:rPr>
        <w:t>Graf 1</w:t>
      </w:r>
      <w:r w:rsidR="006023B0" w:rsidRPr="004C6DB1">
        <w:rPr>
          <w:rFonts w:ascii="Arial" w:hAnsi="Arial" w:cs="Arial"/>
        </w:rPr>
        <w:t xml:space="preserve"> ukazuje, že nově nastavené provozní podpory v přepočtu na ha zemědělské půdy ve větší míře respektují degresivní trend ve vztahu k velikosti podniku. Tento degresivní průběh podpor byl posílen poklesem národních dotací včetně podpory OZE, a to jak v roce 2022 tak i 2023, které měly v konečném důsledku pozitivní vliv na vyrovnávání důchodové spravedlnosti měřené ČPH/AWU právě mezi těmito velikostními kategoriemi. </w:t>
      </w:r>
    </w:p>
    <w:p w14:paraId="464D7132" w14:textId="5FCBF38E" w:rsidR="009276DA" w:rsidRPr="004C6DB1" w:rsidRDefault="006023B0" w:rsidP="009276DA">
      <w:pPr>
        <w:spacing w:before="120" w:after="60"/>
        <w:jc w:val="both"/>
        <w:rPr>
          <w:rFonts w:ascii="Arial" w:hAnsi="Arial" w:cs="Arial"/>
        </w:rPr>
      </w:pPr>
      <w:r w:rsidRPr="004C6DB1">
        <w:rPr>
          <w:rFonts w:ascii="Arial" w:hAnsi="Arial" w:cs="Arial"/>
        </w:rPr>
        <w:t>Nově nastavené podmínky SZP od roku 2023 budou nevyhnutelně znamenat strukturální přizpůsobování sektoru. Vyhodnocení těchto efektů ovšem bude nutně vyžadovat delší časové období</w:t>
      </w:r>
      <w:r w:rsidR="009276DA" w:rsidRPr="004C6DB1">
        <w:rPr>
          <w:rFonts w:ascii="Arial" w:hAnsi="Arial" w:cs="Arial"/>
        </w:rPr>
        <w:t>.</w:t>
      </w:r>
    </w:p>
    <w:p w14:paraId="02049B99" w14:textId="77777777" w:rsidR="000638CC" w:rsidRPr="004C6DB1" w:rsidRDefault="000638CC" w:rsidP="009276DA">
      <w:pPr>
        <w:spacing w:before="120" w:after="60"/>
        <w:jc w:val="both"/>
        <w:rPr>
          <w:rFonts w:ascii="Arial" w:hAnsi="Arial" w:cs="Arial"/>
        </w:rPr>
      </w:pPr>
    </w:p>
    <w:p w14:paraId="18133D09" w14:textId="77777777" w:rsidR="0077683A" w:rsidRPr="004C6DB1" w:rsidRDefault="00CE3F4E" w:rsidP="0077683A">
      <w:pPr>
        <w:jc w:val="both"/>
        <w:rPr>
          <w:rFonts w:ascii="Arial" w:hAnsi="Arial" w:cs="Arial"/>
          <w:iCs/>
        </w:rPr>
      </w:pPr>
      <w:r w:rsidRPr="004C6DB1">
        <w:rPr>
          <w:rFonts w:ascii="Arial" w:hAnsi="Arial" w:cs="Arial"/>
          <w:iCs/>
        </w:rPr>
        <w:t>Z</w:t>
      </w:r>
      <w:r w:rsidR="00045C53" w:rsidRPr="004C6DB1">
        <w:rPr>
          <w:rFonts w:ascii="Arial" w:hAnsi="Arial" w:cs="Arial"/>
          <w:iCs/>
        </w:rPr>
        <w:t> analýzy vyplývá, že</w:t>
      </w:r>
      <w:r w:rsidR="0077683A" w:rsidRPr="004C6DB1">
        <w:rPr>
          <w:rFonts w:ascii="Arial" w:hAnsi="Arial" w:cs="Arial"/>
          <w:iCs/>
        </w:rPr>
        <w:t>:</w:t>
      </w:r>
    </w:p>
    <w:p w14:paraId="23B586A0" w14:textId="77777777" w:rsidR="0077683A" w:rsidRPr="004C6DB1" w:rsidRDefault="00734A76" w:rsidP="0077683A">
      <w:pPr>
        <w:pStyle w:val="Odstavecseseznamem"/>
        <w:numPr>
          <w:ilvl w:val="0"/>
          <w:numId w:val="19"/>
        </w:numPr>
        <w:jc w:val="both"/>
        <w:rPr>
          <w:rFonts w:ascii="Arial" w:hAnsi="Arial" w:cs="Arial"/>
          <w:iCs/>
        </w:rPr>
      </w:pPr>
      <w:r w:rsidRPr="004C6DB1">
        <w:rPr>
          <w:rFonts w:ascii="Arial" w:hAnsi="Arial" w:cs="Arial"/>
          <w:iCs/>
        </w:rPr>
        <w:t>u</w:t>
      </w:r>
      <w:r w:rsidR="00CE3F4E" w:rsidRPr="004C6DB1">
        <w:rPr>
          <w:rFonts w:ascii="Arial" w:hAnsi="Arial" w:cs="Arial"/>
          <w:iCs/>
        </w:rPr>
        <w:t xml:space="preserve">važované změny způsobené změnou SZP, národních dotací a politikou OZE i přes negativní změny v provozních dotacích vůči skupinám největších podniků vedou k vyrovnávání důchodové spravedlnosti na úrovni ČPH/AWU, což je v souladu se strategickými cíli EU a odtud i cíli Strategického plánu 2023+. </w:t>
      </w:r>
    </w:p>
    <w:p w14:paraId="7F53643A" w14:textId="77777777" w:rsidR="00FF659C" w:rsidRPr="004C6DB1" w:rsidRDefault="00CE3F4E" w:rsidP="0077683A">
      <w:pPr>
        <w:pStyle w:val="Odstavecseseznamem"/>
        <w:numPr>
          <w:ilvl w:val="0"/>
          <w:numId w:val="19"/>
        </w:numPr>
        <w:jc w:val="both"/>
        <w:rPr>
          <w:rFonts w:ascii="Arial" w:hAnsi="Arial" w:cs="Arial"/>
          <w:iCs/>
        </w:rPr>
      </w:pPr>
      <w:r w:rsidRPr="004C6DB1">
        <w:rPr>
          <w:rFonts w:ascii="Arial" w:hAnsi="Arial" w:cs="Arial"/>
          <w:iCs/>
        </w:rPr>
        <w:t>Meziroční 30% pokles v národních dotacích v roce 2023 vůči roku 2022 (a vůči období 2017-21 dokonce pokles až ve výši 42 %), a dále 20% pokles v politice OZE pro rok 2022 vyvolal poměrně významné změny ve skupině větších podniků. Tento pokles v dotacích za OZE se promítl do navýšení produkce z ostatních činností. Tyto změny v podporách, které nebyly uvažovány v přípravě Strategického plánu, ve výsledku přináší dokonce výraznější dopady do struktury příjmů ve srovnání např. s efektem redistributivní platby, zejména u vybraných kategorií podniků. Totiž, kategorie podniků nad 2000 ha se stále v projektovaných podmínkách, i přes relativně největší dopad zavedení redistributivní platby „profiluje“ jako skupina s největší úrovní ČPH/AWU, resp. srovnatelnou úrovní s kategorií 500-1000 ha.</w:t>
      </w:r>
    </w:p>
    <w:p w14:paraId="46D50CC7" w14:textId="4EAA88EA" w:rsidR="00CE3F4E" w:rsidRPr="004C6DB1" w:rsidRDefault="00CE3F4E" w:rsidP="0077683A">
      <w:pPr>
        <w:pStyle w:val="Odstavecseseznamem"/>
        <w:numPr>
          <w:ilvl w:val="0"/>
          <w:numId w:val="19"/>
        </w:numPr>
        <w:jc w:val="both"/>
        <w:rPr>
          <w:rFonts w:ascii="Arial" w:hAnsi="Arial" w:cs="Arial"/>
          <w:iCs/>
        </w:rPr>
      </w:pPr>
      <w:r w:rsidRPr="004C6DB1">
        <w:rPr>
          <w:rFonts w:ascii="Arial" w:hAnsi="Arial" w:cs="Arial"/>
          <w:iCs/>
        </w:rPr>
        <w:t>Hodnocení příjmové situace pro velmi specifické roky 2022 (historicky rekordní příjem) a 2023 (podprůměrný rok) je třeba hodnotit vzhledem k extrémním výkyvům cen produkce i vstupů společně. Průměrná úroveň příjmů vyjádřená v podobě ČPH/AWU dosahuje dle předběžného odhadu roku 2022 a predikce roku 2023 stále vysoké úrovně. Každopádně u všech kategorií podniků nominální hodnota neklesla pod úroveň průměru let 2017-21 a pohybuje se v rozpětí od +14 % do +39,4 %, ale reálná hodnota od -5 % do +9,6 %.</w:t>
      </w:r>
    </w:p>
    <w:p w14:paraId="121932BD" w14:textId="565C3768" w:rsidR="004C6DB1" w:rsidRPr="004C6DB1" w:rsidRDefault="00826209" w:rsidP="004C6DB1">
      <w:pPr>
        <w:jc w:val="both"/>
        <w:rPr>
          <w:rFonts w:ascii="Arial" w:hAnsi="Arial" w:cs="Arial"/>
          <w:iCs/>
        </w:rPr>
      </w:pPr>
      <w:r w:rsidRPr="004C6DB1">
        <w:rPr>
          <w:rFonts w:ascii="Arial" w:hAnsi="Arial" w:cs="Arial"/>
        </w:rPr>
        <w:lastRenderedPageBreak/>
        <w:t>Vzhledem k</w:t>
      </w:r>
      <w:r w:rsidR="003F236C" w:rsidRPr="004C6DB1">
        <w:rPr>
          <w:rFonts w:ascii="Arial" w:hAnsi="Arial" w:cs="Arial"/>
        </w:rPr>
        <w:t> turbulencím na trhu, které jsou těžko predikované mo</w:t>
      </w:r>
      <w:r w:rsidR="00B011A7" w:rsidRPr="004C6DB1">
        <w:rPr>
          <w:rFonts w:ascii="Arial" w:hAnsi="Arial" w:cs="Arial"/>
        </w:rPr>
        <w:t>hou odhady výsledků vykazovat odchylky od skutečných výsledků FADN za rok 2023.</w:t>
      </w:r>
      <w:r w:rsidR="004C6DB1" w:rsidRPr="004C6DB1">
        <w:rPr>
          <w:rFonts w:ascii="Arial" w:hAnsi="Arial" w:cs="Arial"/>
          <w:iCs/>
        </w:rPr>
        <w:t xml:space="preserve"> R</w:t>
      </w:r>
      <w:r w:rsidR="004C6DB1" w:rsidRPr="004C6DB1">
        <w:rPr>
          <w:rFonts w:ascii="Arial" w:hAnsi="Arial" w:cs="Arial"/>
        </w:rPr>
        <w:t>eálné výsledky FADN za rok 2023 budou dostupné koncem listopadu 2024.</w:t>
      </w:r>
    </w:p>
    <w:p w14:paraId="262E785B" w14:textId="77777777" w:rsidR="009276DA" w:rsidRDefault="009276DA" w:rsidP="009276DA">
      <w:pPr>
        <w:spacing w:before="120" w:after="60"/>
        <w:jc w:val="both"/>
        <w:rPr>
          <w:rFonts w:cstheme="minorHAnsi"/>
        </w:rPr>
      </w:pPr>
    </w:p>
    <w:p w14:paraId="66EB5A20" w14:textId="3FEA14AB" w:rsidR="005E6000" w:rsidRPr="00A320C9" w:rsidRDefault="000545E1" w:rsidP="009276DA">
      <w:pPr>
        <w:spacing w:before="120" w:after="60"/>
        <w:jc w:val="both"/>
        <w:rPr>
          <w:rFonts w:ascii="Arial" w:hAnsi="Arial" w:cs="Arial"/>
          <w:color w:val="3A7C22" w:themeColor="accent6" w:themeShade="BF"/>
          <w:sz w:val="28"/>
          <w:szCs w:val="28"/>
        </w:rPr>
      </w:pPr>
      <w:r>
        <w:rPr>
          <w:rFonts w:ascii="Arial" w:hAnsi="Arial" w:cs="Arial"/>
          <w:color w:val="3A7C22" w:themeColor="accent6" w:themeShade="BF"/>
          <w:sz w:val="28"/>
          <w:szCs w:val="28"/>
        </w:rPr>
        <w:t xml:space="preserve">2. </w:t>
      </w:r>
      <w:r w:rsidR="00EB496C" w:rsidRPr="00A320C9">
        <w:rPr>
          <w:rFonts w:ascii="Arial" w:hAnsi="Arial" w:cs="Arial"/>
          <w:color w:val="3A7C22" w:themeColor="accent6" w:themeShade="BF"/>
          <w:sz w:val="28"/>
          <w:szCs w:val="28"/>
        </w:rPr>
        <w:t>Alokace finančních prostředků a čerpání dotací</w:t>
      </w:r>
    </w:p>
    <w:p w14:paraId="51726B08" w14:textId="32AA3049" w:rsidR="005768FE" w:rsidRPr="00E201AA" w:rsidRDefault="00B52C11" w:rsidP="005768FE">
      <w:pPr>
        <w:rPr>
          <w:rFonts w:ascii="Arial" w:hAnsi="Arial" w:cs="Arial"/>
          <w:b/>
          <w:bCs/>
          <w:color w:val="0070C0"/>
          <w:sz w:val="24"/>
          <w:szCs w:val="24"/>
        </w:rPr>
      </w:pPr>
      <w:r w:rsidRPr="00E201AA">
        <w:rPr>
          <w:rFonts w:ascii="Arial" w:hAnsi="Arial" w:cs="Arial"/>
          <w:b/>
          <w:bCs/>
          <w:color w:val="0070C0"/>
          <w:sz w:val="24"/>
          <w:szCs w:val="24"/>
        </w:rPr>
        <w:t xml:space="preserve">2.1. </w:t>
      </w:r>
      <w:r w:rsidR="004E4D18" w:rsidRPr="00E201AA">
        <w:rPr>
          <w:rFonts w:ascii="Arial" w:hAnsi="Arial" w:cs="Arial"/>
          <w:b/>
          <w:bCs/>
          <w:color w:val="0070C0"/>
          <w:sz w:val="24"/>
          <w:szCs w:val="24"/>
        </w:rPr>
        <w:t xml:space="preserve">     </w:t>
      </w:r>
      <w:r w:rsidR="005768FE" w:rsidRPr="00E201AA">
        <w:rPr>
          <w:rFonts w:ascii="Arial" w:hAnsi="Arial" w:cs="Arial"/>
          <w:b/>
          <w:bCs/>
          <w:color w:val="0070C0"/>
          <w:sz w:val="24"/>
          <w:szCs w:val="24"/>
        </w:rPr>
        <w:t>PRV</w:t>
      </w:r>
      <w:r w:rsidRPr="00E201AA">
        <w:rPr>
          <w:rFonts w:ascii="Arial" w:hAnsi="Arial" w:cs="Arial"/>
          <w:b/>
          <w:bCs/>
          <w:color w:val="0070C0"/>
          <w:sz w:val="24"/>
          <w:szCs w:val="24"/>
        </w:rPr>
        <w:t xml:space="preserve"> </w:t>
      </w:r>
      <w:r w:rsidR="005768FE" w:rsidRPr="00E201AA">
        <w:rPr>
          <w:rFonts w:ascii="Arial" w:hAnsi="Arial" w:cs="Arial"/>
          <w:b/>
          <w:bCs/>
          <w:color w:val="0070C0"/>
          <w:sz w:val="24"/>
          <w:szCs w:val="24"/>
        </w:rPr>
        <w:t>2014-2022 a EURI 2021-2022</w:t>
      </w:r>
    </w:p>
    <w:p w14:paraId="453457D1" w14:textId="69CA3B60" w:rsidR="005768FE" w:rsidRPr="00CE4D73" w:rsidRDefault="005768FE" w:rsidP="00CE4D73">
      <w:pPr>
        <w:pStyle w:val="Odstavecseseznamem"/>
        <w:numPr>
          <w:ilvl w:val="0"/>
          <w:numId w:val="10"/>
        </w:numPr>
        <w:spacing w:after="120"/>
        <w:jc w:val="both"/>
        <w:rPr>
          <w:rFonts w:ascii="Arial" w:hAnsi="Arial" w:cs="Arial"/>
        </w:rPr>
      </w:pPr>
      <w:r w:rsidRPr="00CE4D73">
        <w:rPr>
          <w:rFonts w:ascii="Arial" w:hAnsi="Arial" w:cs="Arial"/>
        </w:rPr>
        <w:t xml:space="preserve">výdaje pro programové období 2014-2022 jsou dle nařízení EK způsobilé do 31.12.2025 (pravidlo N+3); </w:t>
      </w:r>
    </w:p>
    <w:p w14:paraId="0419D767" w14:textId="1A08B572" w:rsidR="005768FE" w:rsidRPr="00CE4D73" w:rsidRDefault="005768FE" w:rsidP="00CE4D73">
      <w:pPr>
        <w:pStyle w:val="Odstavecseseznamem"/>
        <w:numPr>
          <w:ilvl w:val="0"/>
          <w:numId w:val="10"/>
        </w:numPr>
        <w:jc w:val="both"/>
        <w:rPr>
          <w:rFonts w:ascii="Arial" w:hAnsi="Arial" w:cs="Arial"/>
        </w:rPr>
      </w:pPr>
      <w:r w:rsidRPr="00CE4D73">
        <w:rPr>
          <w:rFonts w:ascii="Arial" w:hAnsi="Arial" w:cs="Arial"/>
        </w:rPr>
        <w:t xml:space="preserve">ke 31.8.2024 bylo vyplaceno 114,6 mld. Kč, tj. 94 % z celkové alokace 121,9 mld. Kč (PRV14+, EURI, top up), z toho cca 35,8 mld. Kč na projektová opatření a 78,8 mld. Kč na plošná opatření. V přepočtu na EU podíl bylo vyčerpáno 96 % rozpočtu alokovaného pro ČR v EZFRV fondu; </w:t>
      </w:r>
    </w:p>
    <w:p w14:paraId="6E69422A" w14:textId="798C3AE0" w:rsidR="005768FE" w:rsidRPr="00CE4D73" w:rsidRDefault="005768FE" w:rsidP="00CE4D73">
      <w:pPr>
        <w:pStyle w:val="Odstavecseseznamem"/>
        <w:numPr>
          <w:ilvl w:val="0"/>
          <w:numId w:val="10"/>
        </w:numPr>
        <w:jc w:val="both"/>
        <w:rPr>
          <w:rFonts w:ascii="Arial" w:hAnsi="Arial" w:cs="Arial"/>
        </w:rPr>
      </w:pPr>
      <w:r w:rsidRPr="00CE4D73">
        <w:rPr>
          <w:rFonts w:ascii="Arial" w:hAnsi="Arial" w:cs="Arial"/>
        </w:rPr>
        <w:t>vzhledem k překročení 95 % hranice výplat ze EZFRV pozastavila EK další refundaci plateb; EK platby prvotně vyrovnala oproti předfinancování z let 2015 a 2016 a zbylé prostředky uvolní až po konečném vyrovnání vzájemných závazků, pravděpodobně až v roce 2027. Do současné doby refundovala EK Min. zemědělství fin. prostředky ve výši cca 74,3 mld. Kč</w:t>
      </w:r>
      <w:r w:rsidR="002656FE" w:rsidRPr="00CE4D73">
        <w:rPr>
          <w:rFonts w:ascii="Arial" w:hAnsi="Arial" w:cs="Arial"/>
        </w:rPr>
        <w:t>;</w:t>
      </w:r>
    </w:p>
    <w:p w14:paraId="6DB0CA84" w14:textId="5F1B67A4" w:rsidR="005768FE" w:rsidRDefault="005768FE" w:rsidP="00CE4D73">
      <w:pPr>
        <w:pStyle w:val="Odstavecseseznamem"/>
        <w:numPr>
          <w:ilvl w:val="0"/>
          <w:numId w:val="10"/>
        </w:numPr>
        <w:jc w:val="both"/>
        <w:rPr>
          <w:rFonts w:ascii="Arial" w:hAnsi="Arial" w:cs="Arial"/>
        </w:rPr>
      </w:pPr>
      <w:r w:rsidRPr="00CE4D73">
        <w:rPr>
          <w:rFonts w:ascii="Arial" w:hAnsi="Arial" w:cs="Arial"/>
        </w:rPr>
        <w:t xml:space="preserve">celkem proběhlo 17 kol, doposud běží průběžný příjem žádostí pro Pozemkové úpravy. V závazcích s probíhající administraci, jejichž platby žadatelům o dotaci předpokládá SZIF zrealizovat do konce roku 2025, byly evidovány ke konci srpna projekty za cca 6,4 mld. Kč. Doposud nezávazkované fin. prostředky, uvolněné v důsledku předčasně ukončených administrací, budou optimálně alokovány v rámci 13. modifikace PRV14+tak, aby mohly být ještě účelně využity před koncem programového období. </w:t>
      </w:r>
    </w:p>
    <w:p w14:paraId="11667222" w14:textId="77777777" w:rsidR="000347C9" w:rsidRPr="00CE4D73" w:rsidRDefault="000347C9" w:rsidP="000347C9">
      <w:pPr>
        <w:pStyle w:val="Odstavecseseznamem"/>
        <w:jc w:val="both"/>
        <w:rPr>
          <w:rFonts w:ascii="Arial" w:hAnsi="Arial" w:cs="Arial"/>
        </w:rPr>
      </w:pPr>
    </w:p>
    <w:p w14:paraId="32561481" w14:textId="77777777" w:rsidR="005768FE" w:rsidRPr="005768FE" w:rsidRDefault="005768FE" w:rsidP="005768FE">
      <w:pPr>
        <w:rPr>
          <w:rFonts w:ascii="Arial" w:hAnsi="Arial" w:cs="Arial"/>
        </w:rPr>
      </w:pPr>
      <w:r w:rsidRPr="005768FE">
        <w:rPr>
          <w:rFonts w:ascii="Arial" w:hAnsi="Arial" w:cs="Arial"/>
          <w:noProof/>
        </w:rPr>
        <w:drawing>
          <wp:inline distT="0" distB="0" distL="0" distR="0" wp14:anchorId="44701646" wp14:editId="1B380E29">
            <wp:extent cx="5972175" cy="3448050"/>
            <wp:effectExtent l="0" t="0" r="9525" b="0"/>
            <wp:docPr id="607584719" name="Graf 1">
              <a:extLst xmlns:a="http://schemas.openxmlformats.org/drawingml/2006/main">
                <a:ext uri="{FF2B5EF4-FFF2-40B4-BE49-F238E27FC236}">
                  <a16:creationId xmlns:a16="http://schemas.microsoft.com/office/drawing/2014/main" id="{37500DAF-A6BF-4EC5-9075-7AB5D1D228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F1682D0" w14:textId="77777777" w:rsidR="005768FE" w:rsidRDefault="005768FE" w:rsidP="005768FE">
      <w:pPr>
        <w:rPr>
          <w:rFonts w:ascii="Arial" w:hAnsi="Arial" w:cs="Arial"/>
          <w:u w:val="single"/>
        </w:rPr>
      </w:pPr>
    </w:p>
    <w:p w14:paraId="5FF72817" w14:textId="77777777" w:rsidR="000347C9" w:rsidRDefault="000347C9" w:rsidP="005768FE">
      <w:pPr>
        <w:rPr>
          <w:rFonts w:ascii="Arial" w:hAnsi="Arial" w:cs="Arial"/>
          <w:u w:val="single"/>
        </w:rPr>
      </w:pPr>
    </w:p>
    <w:p w14:paraId="172A6044" w14:textId="77777777" w:rsidR="000545E1" w:rsidRDefault="000545E1" w:rsidP="005768FE">
      <w:pPr>
        <w:rPr>
          <w:rFonts w:ascii="Arial" w:hAnsi="Arial" w:cs="Arial"/>
          <w:u w:val="single"/>
        </w:rPr>
      </w:pPr>
    </w:p>
    <w:p w14:paraId="7DA53F53" w14:textId="17F8A509" w:rsidR="005768FE" w:rsidRPr="000545E1" w:rsidRDefault="005768FE" w:rsidP="000545E1">
      <w:pPr>
        <w:pStyle w:val="Odstavecseseznamem"/>
        <w:numPr>
          <w:ilvl w:val="1"/>
          <w:numId w:val="22"/>
        </w:numPr>
        <w:rPr>
          <w:rFonts w:ascii="Arial" w:hAnsi="Arial" w:cs="Arial"/>
          <w:b/>
          <w:bCs/>
          <w:color w:val="0070C0"/>
          <w:sz w:val="24"/>
          <w:szCs w:val="24"/>
        </w:rPr>
      </w:pPr>
      <w:r w:rsidRPr="000545E1">
        <w:rPr>
          <w:rFonts w:ascii="Arial" w:hAnsi="Arial" w:cs="Arial"/>
          <w:b/>
          <w:bCs/>
          <w:color w:val="0070C0"/>
          <w:sz w:val="24"/>
          <w:szCs w:val="24"/>
        </w:rPr>
        <w:lastRenderedPageBreak/>
        <w:t>SP SZP 2023-2027</w:t>
      </w:r>
    </w:p>
    <w:p w14:paraId="477B4438" w14:textId="77777777" w:rsidR="005768FE" w:rsidRPr="005768FE" w:rsidRDefault="005768FE" w:rsidP="005768FE">
      <w:pPr>
        <w:jc w:val="both"/>
        <w:rPr>
          <w:rFonts w:ascii="Arial" w:hAnsi="Arial" w:cs="Arial"/>
        </w:rPr>
      </w:pPr>
      <w:r w:rsidRPr="005768FE">
        <w:rPr>
          <w:rFonts w:ascii="Arial" w:hAnsi="Arial" w:cs="Arial"/>
        </w:rPr>
        <w:t>Aktuálně se ČR nachází ve 2. finančním roce provádění SP SZP. Oproti předchozím obdobím EK poprvé včlenila pod jeden programový dokument oba fondy EZZF a EZFRV, čímž nastavila pravidla pro provádění přímých plateb, rozvoje venkova a SOT v rámci společného Strategického plánu SZP.</w:t>
      </w:r>
    </w:p>
    <w:p w14:paraId="5EF4F5ED" w14:textId="402F99B4" w:rsidR="005768FE" w:rsidRPr="00CE4D73" w:rsidRDefault="005768FE" w:rsidP="00CE4D73">
      <w:pPr>
        <w:pStyle w:val="Odstavecseseznamem"/>
        <w:numPr>
          <w:ilvl w:val="1"/>
          <w:numId w:val="13"/>
        </w:numPr>
        <w:jc w:val="both"/>
        <w:rPr>
          <w:rFonts w:ascii="Arial" w:hAnsi="Arial" w:cs="Arial"/>
        </w:rPr>
      </w:pPr>
      <w:r w:rsidRPr="00CE4D73">
        <w:rPr>
          <w:rFonts w:ascii="Arial" w:hAnsi="Arial" w:cs="Arial"/>
        </w:rPr>
        <w:t>Evropský rozpočet alokovaný pro ČR souhrnně ve fondech EZZF a EZFRV činí cca 5,57 mld. EUR (140 mld. Kč). Z toho 1,41 mld. EUR (35,5 mld. Kč) míří na Rozvoj venkova, tedy celkový objem fin. prostředků vyčleněných pro provádění projektových a plošných intervencí, včetně 65 % podílu ze státního rozpočtu, se blíží 3,77 mld. EUR (95 mld. Kč). Zbylá část evropského rozpočtu alokovaná ve EZZF fondu je určená primárně pro výplaty přímých plateb a částečně pro SOTy.</w:t>
      </w:r>
    </w:p>
    <w:p w14:paraId="768B8047" w14:textId="42E010EF" w:rsidR="005768FE" w:rsidRPr="00EF6EC4" w:rsidRDefault="000259DA" w:rsidP="005768FE">
      <w:pPr>
        <w:jc w:val="both"/>
        <w:rPr>
          <w:rFonts w:ascii="Arial" w:hAnsi="Arial" w:cs="Arial"/>
          <w:b/>
          <w:bCs/>
          <w:caps/>
          <w:u w:val="single"/>
        </w:rPr>
      </w:pPr>
      <w:r>
        <w:rPr>
          <w:rFonts w:ascii="Arial" w:hAnsi="Arial" w:cs="Arial"/>
          <w:b/>
          <w:bCs/>
          <w:caps/>
          <w:u w:val="single"/>
        </w:rPr>
        <w:t xml:space="preserve">2.2.1. </w:t>
      </w:r>
      <w:r w:rsidR="005768FE" w:rsidRPr="00EF6EC4">
        <w:rPr>
          <w:rFonts w:ascii="Arial" w:hAnsi="Arial" w:cs="Arial"/>
          <w:b/>
          <w:bCs/>
          <w:caps/>
          <w:u w:val="single"/>
        </w:rPr>
        <w:t>Aktuální stav administrace – za projekty:</w:t>
      </w:r>
    </w:p>
    <w:p w14:paraId="60C5154F" w14:textId="3FBFE0CA" w:rsidR="005768FE" w:rsidRPr="008D0684" w:rsidRDefault="005768FE" w:rsidP="008D0684">
      <w:pPr>
        <w:pStyle w:val="Odstavecseseznamem"/>
        <w:numPr>
          <w:ilvl w:val="1"/>
          <w:numId w:val="15"/>
        </w:numPr>
        <w:jc w:val="both"/>
        <w:rPr>
          <w:rFonts w:ascii="Arial" w:hAnsi="Arial" w:cs="Arial"/>
        </w:rPr>
      </w:pPr>
      <w:r w:rsidRPr="008D0684">
        <w:rPr>
          <w:rFonts w:ascii="Arial" w:hAnsi="Arial" w:cs="Arial"/>
        </w:rPr>
        <w:t>doposud proběhly 3. výzvy pro projektové intervence zaměřené na investice do zemědělských a potravinářských podniků, nezemědělských činností, dále technologií snižujících emise GHC a NH3, na zahájení činnosti mladých zemědělců, na podporu inovací a projektů spolupráce, do lesnictví – konkrétně do obnovy kalamitních ploch, ochrany melioračních a zpevňujících dřevin, technologických a neproduktivních investic, investic do lesnické infrastruktury, vodohospodářských opatření a přeměny porostů náhradních dřevin. Zároveň probíhá průběžný příjem žádostí pro Leader a poradenství. Celkový objem fin. prostředků, do jehož výše mohou být projekty doporučeny k další administraci, byl stanoven na cca 17,2 mld. Kč.</w:t>
      </w:r>
    </w:p>
    <w:p w14:paraId="03CF58BC" w14:textId="2B994CD2" w:rsidR="005768FE" w:rsidRPr="008D0684" w:rsidRDefault="005768FE" w:rsidP="008D0684">
      <w:pPr>
        <w:pStyle w:val="Odstavecseseznamem"/>
        <w:numPr>
          <w:ilvl w:val="1"/>
          <w:numId w:val="15"/>
        </w:numPr>
        <w:jc w:val="both"/>
        <w:rPr>
          <w:rFonts w:ascii="Arial" w:hAnsi="Arial" w:cs="Arial"/>
        </w:rPr>
      </w:pPr>
      <w:r w:rsidRPr="008D0684">
        <w:rPr>
          <w:rFonts w:ascii="Arial" w:hAnsi="Arial" w:cs="Arial"/>
        </w:rPr>
        <w:t>ke 31.8. byly SZIFem zaregistrovány žádosti o dotace v souhrnné hodnotě za 20,3 mld. Kč, u nichž aktuálně probíhá administrace. Z toho schváleno bylo již 1 828 žádosti celkem za 2,1 mld. Kč.</w:t>
      </w:r>
    </w:p>
    <w:p w14:paraId="448BE064" w14:textId="549453F7" w:rsidR="005768FE" w:rsidRPr="008D0684" w:rsidRDefault="005768FE" w:rsidP="008D0684">
      <w:pPr>
        <w:pStyle w:val="Odstavecseseznamem"/>
        <w:numPr>
          <w:ilvl w:val="1"/>
          <w:numId w:val="15"/>
        </w:numPr>
        <w:jc w:val="both"/>
        <w:rPr>
          <w:rFonts w:ascii="Arial" w:hAnsi="Arial" w:cs="Arial"/>
        </w:rPr>
      </w:pPr>
      <w:r w:rsidRPr="008D0684">
        <w:rPr>
          <w:rFonts w:ascii="Arial" w:hAnsi="Arial" w:cs="Arial"/>
        </w:rPr>
        <w:t>Začátkem září zahájil SZIF proplácení ŽoP u první projektové intervence, a to 49.75 Zahájení činnosti mladého zemědělce. Ke 15.9.2024 obdrželi žadatelé o dotaci fin. prostředky v celkové výši 133,2 mil. Kč</w:t>
      </w:r>
    </w:p>
    <w:p w14:paraId="452C29BB" w14:textId="55134E77" w:rsidR="005768FE" w:rsidRPr="008D0684" w:rsidRDefault="005768FE" w:rsidP="008D0684">
      <w:pPr>
        <w:pStyle w:val="Odstavecseseznamem"/>
        <w:numPr>
          <w:ilvl w:val="1"/>
          <w:numId w:val="15"/>
        </w:numPr>
        <w:jc w:val="both"/>
        <w:rPr>
          <w:rFonts w:ascii="Arial" w:hAnsi="Arial" w:cs="Arial"/>
        </w:rPr>
      </w:pPr>
      <w:r w:rsidRPr="008D0684">
        <w:rPr>
          <w:rFonts w:ascii="Arial" w:hAnsi="Arial" w:cs="Arial"/>
        </w:rPr>
        <w:t xml:space="preserve">v pořadí další – podzimní 4. kolo, s celkovou alokací 6,307 mld. Kč, je naplánované na říjen 2024 </w:t>
      </w:r>
    </w:p>
    <w:p w14:paraId="4A49B6C3" w14:textId="77777777" w:rsidR="005768FE" w:rsidRPr="005768FE" w:rsidRDefault="005768FE" w:rsidP="005768FE">
      <w:pPr>
        <w:rPr>
          <w:rFonts w:ascii="Arial" w:hAnsi="Arial" w:cs="Arial"/>
        </w:rPr>
      </w:pPr>
      <w:r w:rsidRPr="005768FE">
        <w:rPr>
          <w:rFonts w:ascii="Arial" w:hAnsi="Arial" w:cs="Arial"/>
        </w:rPr>
        <w:t>Finanční prostředky budou směřovat na:</w:t>
      </w:r>
    </w:p>
    <w:tbl>
      <w:tblPr>
        <w:tblStyle w:val="Mkatabulky"/>
        <w:tblW w:w="0" w:type="auto"/>
        <w:tblLook w:val="04A0" w:firstRow="1" w:lastRow="0" w:firstColumn="1" w:lastColumn="0" w:noHBand="0" w:noVBand="1"/>
      </w:tblPr>
      <w:tblGrid>
        <w:gridCol w:w="6941"/>
        <w:gridCol w:w="2121"/>
      </w:tblGrid>
      <w:tr w:rsidR="005768FE" w:rsidRPr="005768FE" w14:paraId="79CC2D8C" w14:textId="77777777" w:rsidTr="00713C7B">
        <w:tc>
          <w:tcPr>
            <w:tcW w:w="6941" w:type="dxa"/>
          </w:tcPr>
          <w:p w14:paraId="08F529CA" w14:textId="77777777" w:rsidR="005768FE" w:rsidRPr="005768FE" w:rsidRDefault="005768FE" w:rsidP="00713C7B">
            <w:pPr>
              <w:pStyle w:val="Normlnweb"/>
              <w:spacing w:before="0" w:beforeAutospacing="0" w:after="0" w:afterAutospacing="0"/>
              <w:rPr>
                <w:rFonts w:ascii="Arial" w:hAnsi="Arial" w:cs="Arial"/>
                <w:color w:val="3B3B3B"/>
                <w:sz w:val="22"/>
                <w:szCs w:val="22"/>
              </w:rPr>
            </w:pPr>
            <w:r w:rsidRPr="005768FE">
              <w:rPr>
                <w:rStyle w:val="Siln"/>
                <w:rFonts w:ascii="Arial" w:eastAsiaTheme="majorEastAsia" w:hAnsi="Arial" w:cs="Arial"/>
                <w:color w:val="3B3B3B"/>
                <w:sz w:val="22"/>
                <w:szCs w:val="22"/>
              </w:rPr>
              <w:t>Intervence</w:t>
            </w:r>
          </w:p>
        </w:tc>
        <w:tc>
          <w:tcPr>
            <w:tcW w:w="2121" w:type="dxa"/>
          </w:tcPr>
          <w:p w14:paraId="4050E0C8" w14:textId="77777777" w:rsidR="005768FE" w:rsidRPr="005768FE" w:rsidRDefault="005768FE" w:rsidP="00713C7B">
            <w:pPr>
              <w:pStyle w:val="ea-text--center"/>
              <w:spacing w:before="0" w:beforeAutospacing="0" w:after="0" w:afterAutospacing="0"/>
              <w:jc w:val="center"/>
              <w:rPr>
                <w:rFonts w:ascii="Arial" w:hAnsi="Arial" w:cs="Arial"/>
                <w:color w:val="3B3B3B"/>
                <w:sz w:val="22"/>
                <w:szCs w:val="22"/>
              </w:rPr>
            </w:pPr>
            <w:r w:rsidRPr="005768FE">
              <w:rPr>
                <w:rStyle w:val="Siln"/>
                <w:rFonts w:ascii="Arial" w:eastAsiaTheme="majorEastAsia" w:hAnsi="Arial" w:cs="Arial"/>
                <w:color w:val="3B3B3B"/>
                <w:sz w:val="22"/>
                <w:szCs w:val="22"/>
              </w:rPr>
              <w:t>Alokace (Kč)</w:t>
            </w:r>
          </w:p>
        </w:tc>
      </w:tr>
      <w:tr w:rsidR="005768FE" w:rsidRPr="005768FE" w14:paraId="779DC2B2" w14:textId="77777777" w:rsidTr="00713C7B">
        <w:tc>
          <w:tcPr>
            <w:tcW w:w="6941" w:type="dxa"/>
          </w:tcPr>
          <w:p w14:paraId="28FC4C59" w14:textId="77777777" w:rsidR="005768FE" w:rsidRPr="005768FE" w:rsidRDefault="005768FE" w:rsidP="00713C7B">
            <w:pPr>
              <w:pStyle w:val="Normlnweb"/>
              <w:spacing w:before="0" w:beforeAutospacing="0" w:after="0" w:afterAutospacing="0"/>
              <w:rPr>
                <w:rFonts w:ascii="Arial" w:hAnsi="Arial" w:cs="Arial"/>
                <w:color w:val="3B3B3B"/>
                <w:sz w:val="22"/>
                <w:szCs w:val="22"/>
              </w:rPr>
            </w:pPr>
            <w:r w:rsidRPr="005768FE">
              <w:rPr>
                <w:rFonts w:ascii="Arial" w:hAnsi="Arial" w:cs="Arial"/>
                <w:color w:val="3B3B3B"/>
                <w:sz w:val="22"/>
                <w:szCs w:val="22"/>
              </w:rPr>
              <w:t>33.73 – Investice do zemědělských podniků</w:t>
            </w:r>
          </w:p>
        </w:tc>
        <w:tc>
          <w:tcPr>
            <w:tcW w:w="2121" w:type="dxa"/>
          </w:tcPr>
          <w:p w14:paraId="7209A8CD" w14:textId="77777777" w:rsidR="005768FE" w:rsidRPr="005768FE" w:rsidRDefault="005768FE" w:rsidP="00713C7B">
            <w:pPr>
              <w:pStyle w:val="ea-text--right"/>
              <w:spacing w:before="0" w:beforeAutospacing="0" w:after="0" w:afterAutospacing="0"/>
              <w:jc w:val="right"/>
              <w:rPr>
                <w:rFonts w:ascii="Arial" w:hAnsi="Arial" w:cs="Arial"/>
                <w:color w:val="3B3B3B"/>
                <w:sz w:val="22"/>
                <w:szCs w:val="22"/>
              </w:rPr>
            </w:pPr>
            <w:r w:rsidRPr="005768FE">
              <w:rPr>
                <w:rFonts w:ascii="Arial" w:hAnsi="Arial" w:cs="Arial"/>
                <w:color w:val="3B3B3B"/>
                <w:sz w:val="22"/>
                <w:szCs w:val="22"/>
              </w:rPr>
              <w:t>3 000 000 000</w:t>
            </w:r>
          </w:p>
        </w:tc>
      </w:tr>
      <w:tr w:rsidR="005768FE" w:rsidRPr="005768FE" w14:paraId="0AFC502F" w14:textId="77777777" w:rsidTr="00713C7B">
        <w:tc>
          <w:tcPr>
            <w:tcW w:w="6941" w:type="dxa"/>
          </w:tcPr>
          <w:p w14:paraId="7A431B2D" w14:textId="77777777" w:rsidR="005768FE" w:rsidRPr="005768FE" w:rsidRDefault="005768FE" w:rsidP="00713C7B">
            <w:pPr>
              <w:pStyle w:val="Normlnweb"/>
              <w:spacing w:before="0" w:beforeAutospacing="0" w:after="0" w:afterAutospacing="0"/>
              <w:rPr>
                <w:rFonts w:ascii="Arial" w:hAnsi="Arial" w:cs="Arial"/>
                <w:color w:val="3B3B3B"/>
                <w:sz w:val="22"/>
                <w:szCs w:val="22"/>
              </w:rPr>
            </w:pPr>
            <w:r w:rsidRPr="005768FE">
              <w:rPr>
                <w:rFonts w:ascii="Arial" w:hAnsi="Arial" w:cs="Arial"/>
                <w:color w:val="3B3B3B"/>
                <w:sz w:val="22"/>
                <w:szCs w:val="22"/>
              </w:rPr>
              <w:t>34.73 – Investice do zpracování zemědělských produktů</w:t>
            </w:r>
          </w:p>
        </w:tc>
        <w:tc>
          <w:tcPr>
            <w:tcW w:w="2121" w:type="dxa"/>
          </w:tcPr>
          <w:p w14:paraId="7B767891" w14:textId="77777777" w:rsidR="005768FE" w:rsidRPr="005768FE" w:rsidRDefault="005768FE" w:rsidP="00713C7B">
            <w:pPr>
              <w:pStyle w:val="ea-text--right"/>
              <w:spacing w:before="0" w:beforeAutospacing="0" w:after="0" w:afterAutospacing="0"/>
              <w:jc w:val="right"/>
              <w:rPr>
                <w:rFonts w:ascii="Arial" w:hAnsi="Arial" w:cs="Arial"/>
                <w:color w:val="3B3B3B"/>
                <w:sz w:val="22"/>
                <w:szCs w:val="22"/>
              </w:rPr>
            </w:pPr>
            <w:r w:rsidRPr="005768FE">
              <w:rPr>
                <w:rFonts w:ascii="Arial" w:hAnsi="Arial" w:cs="Arial"/>
                <w:color w:val="3B3B3B"/>
                <w:sz w:val="22"/>
                <w:szCs w:val="22"/>
              </w:rPr>
              <w:t>2 235 000 000</w:t>
            </w:r>
          </w:p>
        </w:tc>
      </w:tr>
      <w:tr w:rsidR="005768FE" w:rsidRPr="005768FE" w14:paraId="00D8C497" w14:textId="77777777" w:rsidTr="00713C7B">
        <w:tc>
          <w:tcPr>
            <w:tcW w:w="6941" w:type="dxa"/>
          </w:tcPr>
          <w:p w14:paraId="0C9CD825" w14:textId="77777777" w:rsidR="005768FE" w:rsidRPr="005768FE" w:rsidRDefault="005768FE" w:rsidP="00713C7B">
            <w:pPr>
              <w:pStyle w:val="Normlnweb"/>
              <w:spacing w:before="0" w:beforeAutospacing="0" w:after="0" w:afterAutospacing="0"/>
              <w:rPr>
                <w:rFonts w:ascii="Arial" w:hAnsi="Arial" w:cs="Arial"/>
                <w:color w:val="3B3B3B"/>
                <w:sz w:val="22"/>
                <w:szCs w:val="22"/>
              </w:rPr>
            </w:pPr>
            <w:r w:rsidRPr="005768FE">
              <w:rPr>
                <w:rFonts w:ascii="Arial" w:hAnsi="Arial" w:cs="Arial"/>
                <w:color w:val="3B3B3B"/>
                <w:sz w:val="22"/>
                <w:szCs w:val="22"/>
              </w:rPr>
              <w:t>38.73 – Investice do obnovy kalamitních ploch</w:t>
            </w:r>
          </w:p>
        </w:tc>
        <w:tc>
          <w:tcPr>
            <w:tcW w:w="2121" w:type="dxa"/>
          </w:tcPr>
          <w:p w14:paraId="781CB856" w14:textId="77777777" w:rsidR="005768FE" w:rsidRPr="005768FE" w:rsidRDefault="005768FE" w:rsidP="00713C7B">
            <w:pPr>
              <w:pStyle w:val="ea-text--right"/>
              <w:spacing w:before="0" w:beforeAutospacing="0" w:after="0" w:afterAutospacing="0"/>
              <w:jc w:val="right"/>
              <w:rPr>
                <w:rFonts w:ascii="Arial" w:hAnsi="Arial" w:cs="Arial"/>
                <w:color w:val="3B3B3B"/>
                <w:sz w:val="22"/>
                <w:szCs w:val="22"/>
              </w:rPr>
            </w:pPr>
            <w:r w:rsidRPr="005768FE">
              <w:rPr>
                <w:rFonts w:ascii="Arial" w:hAnsi="Arial" w:cs="Arial"/>
                <w:color w:val="3B3B3B"/>
                <w:sz w:val="22"/>
                <w:szCs w:val="22"/>
              </w:rPr>
              <w:t>107 888 397</w:t>
            </w:r>
          </w:p>
        </w:tc>
      </w:tr>
      <w:tr w:rsidR="005768FE" w:rsidRPr="005768FE" w14:paraId="0474A2F6" w14:textId="77777777" w:rsidTr="00713C7B">
        <w:tc>
          <w:tcPr>
            <w:tcW w:w="6941" w:type="dxa"/>
          </w:tcPr>
          <w:p w14:paraId="16FA8663" w14:textId="77777777" w:rsidR="005768FE" w:rsidRPr="005768FE" w:rsidRDefault="005768FE" w:rsidP="00713C7B">
            <w:pPr>
              <w:pStyle w:val="Normlnweb"/>
              <w:spacing w:before="0" w:beforeAutospacing="0" w:after="0" w:afterAutospacing="0"/>
              <w:rPr>
                <w:rFonts w:ascii="Arial" w:hAnsi="Arial" w:cs="Arial"/>
                <w:color w:val="3B3B3B"/>
                <w:sz w:val="22"/>
                <w:szCs w:val="22"/>
              </w:rPr>
            </w:pPr>
            <w:r w:rsidRPr="005768FE">
              <w:rPr>
                <w:rFonts w:ascii="Arial" w:hAnsi="Arial" w:cs="Arial"/>
                <w:color w:val="3B3B3B"/>
                <w:sz w:val="22"/>
                <w:szCs w:val="22"/>
              </w:rPr>
              <w:t>39.73 – Investice do ochrany melioračních a zpevňujících dřevin</w:t>
            </w:r>
          </w:p>
        </w:tc>
        <w:tc>
          <w:tcPr>
            <w:tcW w:w="2121" w:type="dxa"/>
          </w:tcPr>
          <w:p w14:paraId="240239EB" w14:textId="77777777" w:rsidR="005768FE" w:rsidRPr="005768FE" w:rsidRDefault="005768FE" w:rsidP="00713C7B">
            <w:pPr>
              <w:pStyle w:val="ea-text--right"/>
              <w:spacing w:before="0" w:beforeAutospacing="0" w:after="0" w:afterAutospacing="0"/>
              <w:jc w:val="right"/>
              <w:rPr>
                <w:rFonts w:ascii="Arial" w:hAnsi="Arial" w:cs="Arial"/>
                <w:color w:val="3B3B3B"/>
                <w:sz w:val="22"/>
                <w:szCs w:val="22"/>
              </w:rPr>
            </w:pPr>
            <w:r w:rsidRPr="005768FE">
              <w:rPr>
                <w:rFonts w:ascii="Arial" w:hAnsi="Arial" w:cs="Arial"/>
                <w:color w:val="3B3B3B"/>
                <w:sz w:val="22"/>
                <w:szCs w:val="22"/>
              </w:rPr>
              <w:t>24 962 882</w:t>
            </w:r>
          </w:p>
        </w:tc>
      </w:tr>
      <w:tr w:rsidR="005768FE" w:rsidRPr="005768FE" w14:paraId="3E0FE341" w14:textId="77777777" w:rsidTr="00713C7B">
        <w:tc>
          <w:tcPr>
            <w:tcW w:w="6941" w:type="dxa"/>
          </w:tcPr>
          <w:p w14:paraId="099C6424" w14:textId="77777777" w:rsidR="005768FE" w:rsidRPr="005768FE" w:rsidRDefault="005768FE" w:rsidP="00713C7B">
            <w:pPr>
              <w:pStyle w:val="Normlnweb"/>
              <w:spacing w:before="0" w:beforeAutospacing="0" w:after="0" w:afterAutospacing="0"/>
              <w:rPr>
                <w:rFonts w:ascii="Arial" w:hAnsi="Arial" w:cs="Arial"/>
                <w:color w:val="3B3B3B"/>
                <w:sz w:val="22"/>
                <w:szCs w:val="22"/>
              </w:rPr>
            </w:pPr>
            <w:r w:rsidRPr="005768FE">
              <w:rPr>
                <w:rFonts w:ascii="Arial" w:hAnsi="Arial" w:cs="Arial"/>
                <w:color w:val="3B3B3B"/>
                <w:sz w:val="22"/>
                <w:szCs w:val="22"/>
              </w:rPr>
              <w:t>49.75 – Zahájení činnosti mladého zemědělce</w:t>
            </w:r>
          </w:p>
        </w:tc>
        <w:tc>
          <w:tcPr>
            <w:tcW w:w="2121" w:type="dxa"/>
          </w:tcPr>
          <w:p w14:paraId="4FBA6DB7" w14:textId="77777777" w:rsidR="005768FE" w:rsidRPr="005768FE" w:rsidRDefault="005768FE" w:rsidP="00713C7B">
            <w:pPr>
              <w:pStyle w:val="ea-text--right"/>
              <w:spacing w:before="0" w:beforeAutospacing="0" w:after="0" w:afterAutospacing="0"/>
              <w:jc w:val="right"/>
              <w:rPr>
                <w:rFonts w:ascii="Arial" w:hAnsi="Arial" w:cs="Arial"/>
                <w:color w:val="3B3B3B"/>
                <w:sz w:val="22"/>
                <w:szCs w:val="22"/>
              </w:rPr>
            </w:pPr>
            <w:r w:rsidRPr="005768FE">
              <w:rPr>
                <w:rFonts w:ascii="Arial" w:hAnsi="Arial" w:cs="Arial"/>
                <w:color w:val="3B3B3B"/>
                <w:sz w:val="22"/>
                <w:szCs w:val="22"/>
              </w:rPr>
              <w:t>708 324 445</w:t>
            </w:r>
          </w:p>
        </w:tc>
      </w:tr>
      <w:tr w:rsidR="005768FE" w:rsidRPr="005768FE" w14:paraId="118DE5E8" w14:textId="77777777" w:rsidTr="00713C7B">
        <w:tc>
          <w:tcPr>
            <w:tcW w:w="6941" w:type="dxa"/>
          </w:tcPr>
          <w:p w14:paraId="028E07A3" w14:textId="77777777" w:rsidR="005768FE" w:rsidRPr="005768FE" w:rsidRDefault="005768FE" w:rsidP="00713C7B">
            <w:pPr>
              <w:pStyle w:val="Normlnweb"/>
              <w:spacing w:before="0" w:beforeAutospacing="0" w:after="0" w:afterAutospacing="0"/>
              <w:rPr>
                <w:rFonts w:ascii="Arial" w:hAnsi="Arial" w:cs="Arial"/>
                <w:color w:val="3B3B3B"/>
                <w:sz w:val="22"/>
                <w:szCs w:val="22"/>
              </w:rPr>
            </w:pPr>
            <w:r w:rsidRPr="005768FE">
              <w:rPr>
                <w:rFonts w:ascii="Arial" w:hAnsi="Arial" w:cs="Arial"/>
                <w:color w:val="3B3B3B"/>
                <w:sz w:val="22"/>
                <w:szCs w:val="22"/>
              </w:rPr>
              <w:t>51.77 – Inovace při zpracování zemědělských produktů</w:t>
            </w:r>
          </w:p>
        </w:tc>
        <w:tc>
          <w:tcPr>
            <w:tcW w:w="2121" w:type="dxa"/>
          </w:tcPr>
          <w:p w14:paraId="1DC7B595" w14:textId="77777777" w:rsidR="005768FE" w:rsidRPr="005768FE" w:rsidRDefault="005768FE" w:rsidP="00713C7B">
            <w:pPr>
              <w:pStyle w:val="ea-text--right"/>
              <w:spacing w:before="0" w:beforeAutospacing="0" w:after="0" w:afterAutospacing="0"/>
              <w:jc w:val="right"/>
              <w:rPr>
                <w:rFonts w:ascii="Arial" w:hAnsi="Arial" w:cs="Arial"/>
                <w:color w:val="3B3B3B"/>
                <w:sz w:val="22"/>
                <w:szCs w:val="22"/>
              </w:rPr>
            </w:pPr>
            <w:r w:rsidRPr="005768FE">
              <w:rPr>
                <w:rFonts w:ascii="Arial" w:hAnsi="Arial" w:cs="Arial"/>
                <w:color w:val="3B3B3B"/>
                <w:sz w:val="22"/>
                <w:szCs w:val="22"/>
              </w:rPr>
              <w:t>100 776 000</w:t>
            </w:r>
          </w:p>
        </w:tc>
      </w:tr>
      <w:tr w:rsidR="005768FE" w:rsidRPr="005768FE" w14:paraId="566BBA57" w14:textId="77777777" w:rsidTr="00713C7B">
        <w:tc>
          <w:tcPr>
            <w:tcW w:w="6941" w:type="dxa"/>
          </w:tcPr>
          <w:p w14:paraId="0BB9B86C" w14:textId="77777777" w:rsidR="005768FE" w:rsidRPr="005768FE" w:rsidRDefault="005768FE" w:rsidP="00713C7B">
            <w:pPr>
              <w:pStyle w:val="Normlnweb"/>
              <w:spacing w:before="0" w:beforeAutospacing="0" w:after="0" w:afterAutospacing="0"/>
              <w:rPr>
                <w:rFonts w:ascii="Arial" w:hAnsi="Arial" w:cs="Arial"/>
                <w:color w:val="3B3B3B"/>
                <w:sz w:val="22"/>
                <w:szCs w:val="22"/>
              </w:rPr>
            </w:pPr>
            <w:r w:rsidRPr="005768FE">
              <w:rPr>
                <w:rFonts w:ascii="Arial" w:hAnsi="Arial" w:cs="Arial"/>
                <w:color w:val="3B3B3B"/>
                <w:sz w:val="22"/>
                <w:szCs w:val="22"/>
              </w:rPr>
              <w:t>53.77 – Podpora operačních skupin a projektů EIP</w:t>
            </w:r>
          </w:p>
        </w:tc>
        <w:tc>
          <w:tcPr>
            <w:tcW w:w="2121" w:type="dxa"/>
          </w:tcPr>
          <w:p w14:paraId="6EE4B11E" w14:textId="77777777" w:rsidR="005768FE" w:rsidRPr="005768FE" w:rsidRDefault="005768FE" w:rsidP="00713C7B">
            <w:pPr>
              <w:pStyle w:val="ea-text--right"/>
              <w:spacing w:before="0" w:beforeAutospacing="0" w:after="0" w:afterAutospacing="0"/>
              <w:jc w:val="right"/>
              <w:rPr>
                <w:rFonts w:ascii="Arial" w:hAnsi="Arial" w:cs="Arial"/>
                <w:color w:val="3B3B3B"/>
                <w:sz w:val="22"/>
                <w:szCs w:val="22"/>
              </w:rPr>
            </w:pPr>
            <w:r w:rsidRPr="005768FE">
              <w:rPr>
                <w:rFonts w:ascii="Arial" w:hAnsi="Arial" w:cs="Arial"/>
                <w:color w:val="3B3B3B"/>
                <w:sz w:val="22"/>
                <w:szCs w:val="22"/>
              </w:rPr>
              <w:t>130 000 000</w:t>
            </w:r>
          </w:p>
        </w:tc>
      </w:tr>
      <w:tr w:rsidR="005768FE" w:rsidRPr="005768FE" w14:paraId="7E111BFB" w14:textId="77777777" w:rsidTr="00713C7B">
        <w:tc>
          <w:tcPr>
            <w:tcW w:w="6941" w:type="dxa"/>
          </w:tcPr>
          <w:p w14:paraId="7DD891EA" w14:textId="77777777" w:rsidR="005768FE" w:rsidRPr="005768FE" w:rsidRDefault="005768FE" w:rsidP="00713C7B">
            <w:pPr>
              <w:pStyle w:val="Normlnweb"/>
              <w:spacing w:before="0" w:beforeAutospacing="0" w:after="0" w:afterAutospacing="0"/>
              <w:rPr>
                <w:rFonts w:ascii="Arial" w:hAnsi="Arial" w:cs="Arial"/>
                <w:color w:val="3B3B3B"/>
                <w:sz w:val="22"/>
                <w:szCs w:val="22"/>
              </w:rPr>
            </w:pPr>
            <w:r w:rsidRPr="005768FE">
              <w:rPr>
                <w:rStyle w:val="Siln"/>
                <w:rFonts w:ascii="Arial" w:eastAsiaTheme="majorEastAsia" w:hAnsi="Arial" w:cs="Arial"/>
                <w:color w:val="3B3B3B"/>
                <w:sz w:val="22"/>
                <w:szCs w:val="22"/>
              </w:rPr>
              <w:t>Celkem</w:t>
            </w:r>
          </w:p>
        </w:tc>
        <w:tc>
          <w:tcPr>
            <w:tcW w:w="2121" w:type="dxa"/>
          </w:tcPr>
          <w:p w14:paraId="7862B6F0" w14:textId="77777777" w:rsidR="005768FE" w:rsidRPr="005768FE" w:rsidRDefault="005768FE" w:rsidP="00713C7B">
            <w:pPr>
              <w:pStyle w:val="ea-text--right"/>
              <w:spacing w:before="0" w:beforeAutospacing="0" w:after="0" w:afterAutospacing="0"/>
              <w:jc w:val="right"/>
              <w:rPr>
                <w:rFonts w:ascii="Arial" w:hAnsi="Arial" w:cs="Arial"/>
                <w:color w:val="3B3B3B"/>
                <w:sz w:val="22"/>
                <w:szCs w:val="22"/>
              </w:rPr>
            </w:pPr>
            <w:r w:rsidRPr="005768FE">
              <w:rPr>
                <w:rStyle w:val="Siln"/>
                <w:rFonts w:ascii="Arial" w:eastAsiaTheme="majorEastAsia" w:hAnsi="Arial" w:cs="Arial"/>
                <w:color w:val="3B3B3B"/>
                <w:sz w:val="22"/>
                <w:szCs w:val="22"/>
              </w:rPr>
              <w:t>6 306 951 724</w:t>
            </w:r>
          </w:p>
        </w:tc>
      </w:tr>
    </w:tbl>
    <w:p w14:paraId="716B63B1" w14:textId="77777777" w:rsidR="005768FE" w:rsidRPr="005768FE" w:rsidRDefault="005768FE" w:rsidP="005768FE">
      <w:pPr>
        <w:rPr>
          <w:rFonts w:ascii="Arial" w:hAnsi="Arial" w:cs="Arial"/>
        </w:rPr>
      </w:pPr>
    </w:p>
    <w:p w14:paraId="3FDC72B7" w14:textId="77777777" w:rsidR="005768FE" w:rsidRPr="005768FE" w:rsidRDefault="005768FE" w:rsidP="005768FE">
      <w:pPr>
        <w:jc w:val="both"/>
        <w:rPr>
          <w:rFonts w:ascii="Arial" w:hAnsi="Arial" w:cs="Arial"/>
        </w:rPr>
      </w:pPr>
      <w:r w:rsidRPr="005768FE">
        <w:rPr>
          <w:rFonts w:ascii="Arial" w:hAnsi="Arial" w:cs="Arial"/>
        </w:rPr>
        <w:t>Intervence budou zaměřeny zejména na střední zemědělské podniky, které by měly na dotace lépe dosáhnout. Preferenční výhodu při přidělování dotace totiž získají zemědělci obhospodařující 150 až 2500 hektarů polí. Větší preferenci získají i malé a rodinné podniky. Při posuzování velikosti podniku se bude důsledně kontrolovat propojenost, tedy to, zda je podnik například součástí skupiny více propojených podniků.</w:t>
      </w:r>
    </w:p>
    <w:p w14:paraId="0729A23D" w14:textId="77777777" w:rsidR="005768FE" w:rsidRPr="005768FE" w:rsidRDefault="005768FE" w:rsidP="005768FE">
      <w:pPr>
        <w:jc w:val="both"/>
        <w:rPr>
          <w:rFonts w:ascii="Arial" w:hAnsi="Arial" w:cs="Arial"/>
        </w:rPr>
      </w:pPr>
      <w:r w:rsidRPr="005768FE">
        <w:rPr>
          <w:rFonts w:ascii="Arial" w:hAnsi="Arial" w:cs="Arial"/>
        </w:rPr>
        <w:t xml:space="preserve">Nejvíce přidělí MZe na Investice do zemědělských podniků, celkem 3 miliardy korun. Zemědělci získají formou dotace nejméně 40 % vynaložených nákladů, mladí začínající </w:t>
      </w:r>
      <w:r w:rsidRPr="005768FE">
        <w:rPr>
          <w:rFonts w:ascii="Arial" w:hAnsi="Arial" w:cs="Arial"/>
        </w:rPr>
        <w:lastRenderedPageBreak/>
        <w:t>zemědělci dostanou navíc ještě 10 %, ekologičtí zemědělci rovněž 10 %. Maximálně tedy může začínající zemědělec hospodařící ekologicky získat až 60 %. V rámci této intervence mohou chovatelé nově získat příspěvek na dobré životní podmínky pro prasnice. Vedle již zavedené podpory na welfare drůbeže tak jde o další krok ke zlepšení životních podmínek zvířat a chovatelé si budou moci pořídit například haly s volným výběhem pro nosnice nebo volné porodní kotce pro prasnice. V rostlinné výrobě dostanou preferenční body pěstitelé citlivých komodit, jako jsou například ovoce, zelenina, chmel nebo okrasné a léčivé rostliny. MZe bude preferovat projekty zaměřené na precizní zemědělství, jako jsou pořízení satelitní navigace pro zemědělskou techniku, zařízení pro přesné dávkování hnojiv a osiv, robotické technologie do stájí a na pole. Při posuzování o přidělení dotace budou mít přednost menší projekty, zpracování vlastní produkce, projekty zaměřené na welfare, citlivé komodity nebo snížení emisí.</w:t>
      </w:r>
    </w:p>
    <w:p w14:paraId="6341A3C6" w14:textId="77777777" w:rsidR="005768FE" w:rsidRPr="005768FE" w:rsidRDefault="005768FE" w:rsidP="005768FE">
      <w:pPr>
        <w:jc w:val="both"/>
        <w:rPr>
          <w:rFonts w:ascii="Arial" w:hAnsi="Arial" w:cs="Arial"/>
        </w:rPr>
      </w:pPr>
      <w:r w:rsidRPr="005768FE">
        <w:rPr>
          <w:rFonts w:ascii="Arial" w:hAnsi="Arial" w:cs="Arial"/>
        </w:rPr>
        <w:t>Na Investice do zpracování zemědělských produktů se počítá s částkou 2,2 miliardy korun. Cílem je podpořit zpracování zemědělských produktů a jejich přímý prodej. Hlavní cílovou skupinou jsou malé a střední podniky. Velké mohou žádat o dotaci, pouze pokud jejich projekt přispěje ke zmírnění klimatických změn. Základní míra dotace je 30 % a může být navýšena o 10 % pro mladé začínající zemědělce a o 10 % pro mikro a malé podniky. Maximální míra podpory je tak 50 % způsobilých výdajů například na nákup zařízení pro výrobu potravin a krmiv, na sklady a rekonstrukce budov a vybavení prodejen.</w:t>
      </w:r>
    </w:p>
    <w:p w14:paraId="4B48D715" w14:textId="69F867FB" w:rsidR="005768FE" w:rsidRPr="005768FE" w:rsidRDefault="005768FE" w:rsidP="00B107EC">
      <w:pPr>
        <w:jc w:val="both"/>
        <w:rPr>
          <w:rFonts w:ascii="Arial" w:hAnsi="Arial" w:cs="Arial"/>
        </w:rPr>
      </w:pPr>
      <w:r w:rsidRPr="005768FE">
        <w:rPr>
          <w:rFonts w:ascii="Arial" w:hAnsi="Arial" w:cs="Arial"/>
        </w:rPr>
        <w:t>Zahájení činnosti mladého zemědělce napomáhá generační obnově v zemědělství, pomůže zatraktivnit a udržet mladé lidi v sektoru a usnadnit jim začátky podnikání. Příspěvek usnadní lidem mezi 18 a 40 lety začátky podnikání, přispěje jim na realizaci podnikatelského plánu. I tady MZe podmínky ve 4. kole oproti předešlým zjednodušilo a odstranilo byrokratické překážky. Především došlo k prodloužení doby, po kterou je žadatel považován za začínajícího, z 24 měsíců na 5 let od začátku jeho podnikání v zemědělství. Byla zrušena povinnost uspořádat výběrové řízení na dodavatele a uvolnily se některé podmínky na obsah podnikatelského plánu. Na tuto intervenci je připraveno celkem 708 milionů korun.</w:t>
      </w:r>
    </w:p>
    <w:p w14:paraId="4E7EF937" w14:textId="58D90159" w:rsidR="005768FE" w:rsidRPr="007026E0" w:rsidRDefault="000259DA" w:rsidP="005768FE">
      <w:pPr>
        <w:jc w:val="both"/>
        <w:rPr>
          <w:rFonts w:ascii="Arial" w:hAnsi="Arial" w:cs="Arial"/>
          <w:b/>
          <w:bCs/>
          <w:caps/>
          <w:u w:val="single"/>
        </w:rPr>
      </w:pPr>
      <w:r>
        <w:rPr>
          <w:rFonts w:ascii="Arial" w:hAnsi="Arial" w:cs="Arial"/>
          <w:b/>
          <w:bCs/>
          <w:caps/>
          <w:u w:val="single"/>
        </w:rPr>
        <w:t xml:space="preserve">2.2.2. </w:t>
      </w:r>
      <w:r w:rsidR="005768FE" w:rsidRPr="007026E0">
        <w:rPr>
          <w:rFonts w:ascii="Arial" w:hAnsi="Arial" w:cs="Arial"/>
          <w:b/>
          <w:bCs/>
          <w:caps/>
          <w:u w:val="single"/>
        </w:rPr>
        <w:t>Čerpání dotací přímých plateb</w:t>
      </w:r>
      <w:r w:rsidR="005768FE" w:rsidRPr="007026E0">
        <w:rPr>
          <w:rFonts w:ascii="Arial" w:hAnsi="Arial" w:cs="Arial"/>
          <w:b/>
          <w:bCs/>
          <w:i/>
          <w:iCs/>
        </w:rPr>
        <w:t xml:space="preserve"> (co se týče vyplacených prostředků na žádosti roku 2023)</w:t>
      </w:r>
    </w:p>
    <w:p w14:paraId="707D34FC" w14:textId="25940BB9" w:rsidR="005768FE" w:rsidRPr="005768FE" w:rsidRDefault="005768FE" w:rsidP="006455DC">
      <w:pPr>
        <w:pStyle w:val="Odstavecseseznamem"/>
        <w:numPr>
          <w:ilvl w:val="0"/>
          <w:numId w:val="16"/>
        </w:numPr>
        <w:jc w:val="both"/>
        <w:rPr>
          <w:rFonts w:ascii="Arial" w:hAnsi="Arial" w:cs="Arial"/>
        </w:rPr>
      </w:pPr>
      <w:r w:rsidRPr="005768FE">
        <w:rPr>
          <w:rFonts w:ascii="Arial" w:hAnsi="Arial" w:cs="Arial"/>
        </w:rPr>
        <w:t>Bylo požádáno celkem na 19 878 562 478,72 Kč a vyplaceno k 2.září bylo 19 703 589 265,71 Kč</w:t>
      </w:r>
    </w:p>
    <w:tbl>
      <w:tblPr>
        <w:tblW w:w="8826" w:type="dxa"/>
        <w:tblCellMar>
          <w:left w:w="0" w:type="dxa"/>
          <w:right w:w="0" w:type="dxa"/>
        </w:tblCellMar>
        <w:tblLook w:val="04A0" w:firstRow="1" w:lastRow="0" w:firstColumn="1" w:lastColumn="0" w:noHBand="0" w:noVBand="1"/>
      </w:tblPr>
      <w:tblGrid>
        <w:gridCol w:w="3414"/>
        <w:gridCol w:w="1418"/>
        <w:gridCol w:w="1964"/>
        <w:gridCol w:w="2030"/>
      </w:tblGrid>
      <w:tr w:rsidR="005768FE" w:rsidRPr="005768FE" w14:paraId="42BF7A05" w14:textId="77777777" w:rsidTr="005768FE">
        <w:trPr>
          <w:trHeight w:val="615"/>
        </w:trPr>
        <w:tc>
          <w:tcPr>
            <w:tcW w:w="3414" w:type="dxa"/>
            <w:tcBorders>
              <w:top w:val="single" w:sz="8" w:space="0" w:color="auto"/>
              <w:left w:val="single" w:sz="8" w:space="0" w:color="auto"/>
              <w:bottom w:val="double" w:sz="6" w:space="0" w:color="auto"/>
              <w:right w:val="single" w:sz="8" w:space="0" w:color="auto"/>
            </w:tcBorders>
            <w:noWrap/>
            <w:tcMar>
              <w:top w:w="0" w:type="dxa"/>
              <w:left w:w="70" w:type="dxa"/>
              <w:bottom w:w="0" w:type="dxa"/>
              <w:right w:w="70" w:type="dxa"/>
            </w:tcMar>
            <w:vAlign w:val="bottom"/>
            <w:hideMark/>
          </w:tcPr>
          <w:p w14:paraId="6D8B04F1" w14:textId="77777777" w:rsidR="005768FE" w:rsidRPr="005768FE" w:rsidRDefault="005768FE" w:rsidP="005768FE">
            <w:pPr>
              <w:jc w:val="center"/>
              <w:rPr>
                <w:rFonts w:ascii="Arial" w:hAnsi="Arial" w:cs="Arial"/>
              </w:rPr>
            </w:pPr>
            <w:r w:rsidRPr="005768FE">
              <w:rPr>
                <w:rFonts w:ascii="Arial" w:hAnsi="Arial" w:cs="Arial"/>
              </w:rPr>
              <w:t>INTERVENCE Přímé platby</w:t>
            </w:r>
          </w:p>
        </w:tc>
        <w:tc>
          <w:tcPr>
            <w:tcW w:w="1418" w:type="dxa"/>
            <w:tcBorders>
              <w:top w:val="single" w:sz="8" w:space="0" w:color="auto"/>
              <w:left w:val="nil"/>
              <w:bottom w:val="double" w:sz="6" w:space="0" w:color="auto"/>
              <w:right w:val="single" w:sz="8" w:space="0" w:color="auto"/>
            </w:tcBorders>
            <w:tcMar>
              <w:top w:w="0" w:type="dxa"/>
              <w:left w:w="70" w:type="dxa"/>
              <w:bottom w:w="0" w:type="dxa"/>
              <w:right w:w="70" w:type="dxa"/>
            </w:tcMar>
            <w:vAlign w:val="bottom"/>
            <w:hideMark/>
          </w:tcPr>
          <w:p w14:paraId="09497595" w14:textId="77777777" w:rsidR="005768FE" w:rsidRPr="005768FE" w:rsidRDefault="005768FE" w:rsidP="005768FE">
            <w:pPr>
              <w:jc w:val="center"/>
              <w:rPr>
                <w:rFonts w:ascii="Arial" w:hAnsi="Arial" w:cs="Arial"/>
              </w:rPr>
            </w:pPr>
            <w:r w:rsidRPr="005768FE">
              <w:rPr>
                <w:rFonts w:ascii="Arial" w:hAnsi="Arial" w:cs="Arial"/>
              </w:rPr>
              <w:t>% vydaných rozhodnutí</w:t>
            </w:r>
          </w:p>
        </w:tc>
        <w:tc>
          <w:tcPr>
            <w:tcW w:w="1964" w:type="dxa"/>
            <w:tcBorders>
              <w:top w:val="single" w:sz="8" w:space="0" w:color="auto"/>
              <w:left w:val="nil"/>
              <w:bottom w:val="double" w:sz="6" w:space="0" w:color="auto"/>
              <w:right w:val="single" w:sz="8" w:space="0" w:color="auto"/>
            </w:tcBorders>
            <w:tcMar>
              <w:top w:w="0" w:type="dxa"/>
              <w:left w:w="70" w:type="dxa"/>
              <w:bottom w:w="0" w:type="dxa"/>
              <w:right w:w="70" w:type="dxa"/>
            </w:tcMar>
            <w:vAlign w:val="bottom"/>
            <w:hideMark/>
          </w:tcPr>
          <w:p w14:paraId="62309B7C" w14:textId="77777777" w:rsidR="005768FE" w:rsidRPr="005768FE" w:rsidRDefault="005768FE" w:rsidP="005768FE">
            <w:pPr>
              <w:jc w:val="center"/>
              <w:rPr>
                <w:rFonts w:ascii="Arial" w:hAnsi="Arial" w:cs="Arial"/>
              </w:rPr>
            </w:pPr>
            <w:r w:rsidRPr="005768FE">
              <w:rPr>
                <w:rFonts w:ascii="Arial" w:hAnsi="Arial" w:cs="Arial"/>
              </w:rPr>
              <w:t>podané žádosti (Kč)</w:t>
            </w:r>
          </w:p>
        </w:tc>
        <w:tc>
          <w:tcPr>
            <w:tcW w:w="2030" w:type="dxa"/>
            <w:tcBorders>
              <w:top w:val="single" w:sz="8" w:space="0" w:color="auto"/>
              <w:left w:val="nil"/>
              <w:bottom w:val="double" w:sz="6" w:space="0" w:color="auto"/>
              <w:right w:val="single" w:sz="8" w:space="0" w:color="auto"/>
            </w:tcBorders>
            <w:tcMar>
              <w:top w:w="0" w:type="dxa"/>
              <w:left w:w="70" w:type="dxa"/>
              <w:bottom w:w="0" w:type="dxa"/>
              <w:right w:w="70" w:type="dxa"/>
            </w:tcMar>
            <w:vAlign w:val="bottom"/>
            <w:hideMark/>
          </w:tcPr>
          <w:p w14:paraId="7DC9D363" w14:textId="77777777" w:rsidR="005768FE" w:rsidRPr="005768FE" w:rsidRDefault="005768FE" w:rsidP="005768FE">
            <w:pPr>
              <w:jc w:val="center"/>
              <w:rPr>
                <w:rFonts w:ascii="Arial" w:hAnsi="Arial" w:cs="Arial"/>
              </w:rPr>
            </w:pPr>
            <w:r w:rsidRPr="005768FE">
              <w:rPr>
                <w:rFonts w:ascii="Arial" w:hAnsi="Arial" w:cs="Arial"/>
              </w:rPr>
              <w:t>Vyplaceno celkem (Kč)</w:t>
            </w:r>
          </w:p>
        </w:tc>
      </w:tr>
      <w:tr w:rsidR="005768FE" w:rsidRPr="005768FE" w14:paraId="6CA2471C" w14:textId="77777777" w:rsidTr="005768FE">
        <w:trPr>
          <w:trHeight w:val="315"/>
        </w:trPr>
        <w:tc>
          <w:tcPr>
            <w:tcW w:w="34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6B8F1CD" w14:textId="77777777" w:rsidR="005768FE" w:rsidRPr="005768FE" w:rsidRDefault="005768FE" w:rsidP="005768FE">
            <w:pPr>
              <w:jc w:val="both"/>
              <w:rPr>
                <w:rFonts w:ascii="Arial" w:hAnsi="Arial" w:cs="Arial"/>
              </w:rPr>
            </w:pPr>
            <w:r w:rsidRPr="005768FE">
              <w:rPr>
                <w:rFonts w:ascii="Arial" w:hAnsi="Arial" w:cs="Aria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211319" w14:textId="77777777" w:rsidR="005768FE" w:rsidRPr="005768FE" w:rsidRDefault="005768FE" w:rsidP="005768FE">
            <w:pPr>
              <w:jc w:val="both"/>
              <w:rPr>
                <w:rFonts w:ascii="Arial" w:hAnsi="Arial" w:cs="Arial"/>
              </w:rPr>
            </w:pPr>
            <w:r w:rsidRPr="005768FE">
              <w:rPr>
                <w:rFonts w:ascii="Arial" w:hAnsi="Arial" w:cs="Arial"/>
              </w:rPr>
              <w:t> </w:t>
            </w:r>
          </w:p>
        </w:tc>
        <w:tc>
          <w:tcPr>
            <w:tcW w:w="19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E686D0" w14:textId="77777777" w:rsidR="005768FE" w:rsidRPr="005768FE" w:rsidRDefault="005768FE" w:rsidP="005768FE">
            <w:pPr>
              <w:jc w:val="both"/>
              <w:rPr>
                <w:rFonts w:ascii="Arial" w:hAnsi="Arial" w:cs="Arial"/>
              </w:rPr>
            </w:pPr>
            <w:r w:rsidRPr="005768FE">
              <w:rPr>
                <w:rFonts w:ascii="Arial" w:hAnsi="Arial" w:cs="Arial"/>
              </w:rPr>
              <w:t> </w:t>
            </w:r>
          </w:p>
        </w:tc>
        <w:tc>
          <w:tcPr>
            <w:tcW w:w="20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CEC682" w14:textId="77777777" w:rsidR="005768FE" w:rsidRPr="005768FE" w:rsidRDefault="005768FE" w:rsidP="005768FE">
            <w:pPr>
              <w:jc w:val="both"/>
              <w:rPr>
                <w:rFonts w:ascii="Arial" w:hAnsi="Arial" w:cs="Arial"/>
              </w:rPr>
            </w:pPr>
            <w:r w:rsidRPr="005768FE">
              <w:rPr>
                <w:rFonts w:ascii="Arial" w:hAnsi="Arial" w:cs="Arial"/>
              </w:rPr>
              <w:t> </w:t>
            </w:r>
          </w:p>
        </w:tc>
      </w:tr>
      <w:tr w:rsidR="005768FE" w:rsidRPr="005768FE" w14:paraId="44F4A4C4" w14:textId="77777777" w:rsidTr="005768FE">
        <w:trPr>
          <w:trHeight w:val="300"/>
        </w:trPr>
        <w:tc>
          <w:tcPr>
            <w:tcW w:w="34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8EEDDE" w14:textId="77777777" w:rsidR="005768FE" w:rsidRPr="005768FE" w:rsidRDefault="005768FE" w:rsidP="005768FE">
            <w:pPr>
              <w:jc w:val="both"/>
              <w:rPr>
                <w:rFonts w:ascii="Arial" w:hAnsi="Arial" w:cs="Arial"/>
              </w:rPr>
            </w:pPr>
            <w:r w:rsidRPr="005768FE">
              <w:rPr>
                <w:rFonts w:ascii="Arial" w:hAnsi="Arial" w:cs="Arial"/>
              </w:rPr>
              <w:t xml:space="preserve">BISS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481852" w14:textId="221171CD" w:rsidR="005768FE" w:rsidRPr="005768FE" w:rsidRDefault="005768FE" w:rsidP="005768FE">
            <w:pPr>
              <w:jc w:val="both"/>
              <w:rPr>
                <w:rFonts w:ascii="Arial" w:hAnsi="Arial" w:cs="Arial"/>
              </w:rPr>
            </w:pPr>
            <w:r w:rsidRPr="005768FE">
              <w:rPr>
                <w:rFonts w:ascii="Arial" w:hAnsi="Arial" w:cs="Arial"/>
              </w:rPr>
              <w:t>99,98</w:t>
            </w:r>
          </w:p>
        </w:tc>
        <w:tc>
          <w:tcPr>
            <w:tcW w:w="19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D9BDE1" w14:textId="77777777" w:rsidR="005768FE" w:rsidRPr="005768FE" w:rsidRDefault="005768FE" w:rsidP="005768FE">
            <w:pPr>
              <w:jc w:val="both"/>
              <w:rPr>
                <w:rFonts w:ascii="Arial" w:hAnsi="Arial" w:cs="Arial"/>
              </w:rPr>
            </w:pPr>
            <w:r w:rsidRPr="005768FE">
              <w:rPr>
                <w:rFonts w:ascii="Arial" w:hAnsi="Arial" w:cs="Arial"/>
              </w:rPr>
              <w:t>6 121 008 981,81</w:t>
            </w:r>
          </w:p>
        </w:tc>
        <w:tc>
          <w:tcPr>
            <w:tcW w:w="20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565482" w14:textId="77777777" w:rsidR="005768FE" w:rsidRPr="005768FE" w:rsidRDefault="005768FE" w:rsidP="005768FE">
            <w:pPr>
              <w:jc w:val="both"/>
              <w:rPr>
                <w:rFonts w:ascii="Arial" w:hAnsi="Arial" w:cs="Arial"/>
              </w:rPr>
            </w:pPr>
            <w:r w:rsidRPr="005768FE">
              <w:rPr>
                <w:rFonts w:ascii="Arial" w:hAnsi="Arial" w:cs="Arial"/>
              </w:rPr>
              <w:t>6 109 454 317,99</w:t>
            </w:r>
          </w:p>
        </w:tc>
      </w:tr>
      <w:tr w:rsidR="005768FE" w:rsidRPr="005768FE" w14:paraId="483DFB14" w14:textId="77777777" w:rsidTr="005768FE">
        <w:trPr>
          <w:trHeight w:val="300"/>
        </w:trPr>
        <w:tc>
          <w:tcPr>
            <w:tcW w:w="34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61CD1E" w14:textId="77777777" w:rsidR="005768FE" w:rsidRPr="005768FE" w:rsidRDefault="005768FE" w:rsidP="005768FE">
            <w:pPr>
              <w:jc w:val="both"/>
              <w:rPr>
                <w:rFonts w:ascii="Arial" w:hAnsi="Arial" w:cs="Arial"/>
              </w:rPr>
            </w:pPr>
            <w:r w:rsidRPr="005768FE">
              <w:rPr>
                <w:rFonts w:ascii="Arial" w:hAnsi="Arial" w:cs="Arial"/>
              </w:rPr>
              <w:t xml:space="preserve">Malý zemědělec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06E78A" w14:textId="12477EF2" w:rsidR="005768FE" w:rsidRPr="005768FE" w:rsidRDefault="005768FE" w:rsidP="005768FE">
            <w:pPr>
              <w:jc w:val="both"/>
              <w:rPr>
                <w:rFonts w:ascii="Arial" w:hAnsi="Arial" w:cs="Arial"/>
              </w:rPr>
            </w:pPr>
            <w:r w:rsidRPr="005768FE">
              <w:rPr>
                <w:rFonts w:ascii="Arial" w:hAnsi="Arial" w:cs="Arial"/>
              </w:rPr>
              <w:t>99,92</w:t>
            </w:r>
          </w:p>
        </w:tc>
        <w:tc>
          <w:tcPr>
            <w:tcW w:w="19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ED8BD9" w14:textId="77777777" w:rsidR="005768FE" w:rsidRPr="005768FE" w:rsidRDefault="005768FE" w:rsidP="005768FE">
            <w:pPr>
              <w:jc w:val="both"/>
              <w:rPr>
                <w:rFonts w:ascii="Arial" w:hAnsi="Arial" w:cs="Arial"/>
              </w:rPr>
            </w:pPr>
            <w:r w:rsidRPr="005768FE">
              <w:rPr>
                <w:rFonts w:ascii="Arial" w:hAnsi="Arial" w:cs="Arial"/>
              </w:rPr>
              <w:t>96 683 021,00</w:t>
            </w:r>
          </w:p>
        </w:tc>
        <w:tc>
          <w:tcPr>
            <w:tcW w:w="20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1AE131" w14:textId="77777777" w:rsidR="005768FE" w:rsidRPr="005768FE" w:rsidRDefault="005768FE" w:rsidP="005768FE">
            <w:pPr>
              <w:jc w:val="both"/>
              <w:rPr>
                <w:rFonts w:ascii="Arial" w:hAnsi="Arial" w:cs="Arial"/>
              </w:rPr>
            </w:pPr>
            <w:r w:rsidRPr="005768FE">
              <w:rPr>
                <w:rFonts w:ascii="Arial" w:hAnsi="Arial" w:cs="Arial"/>
              </w:rPr>
              <w:t>96 537 694,65</w:t>
            </w:r>
          </w:p>
        </w:tc>
      </w:tr>
      <w:tr w:rsidR="005768FE" w:rsidRPr="005768FE" w14:paraId="03B9B54E" w14:textId="77777777" w:rsidTr="005768FE">
        <w:trPr>
          <w:trHeight w:val="300"/>
        </w:trPr>
        <w:tc>
          <w:tcPr>
            <w:tcW w:w="34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D605C9" w14:textId="77777777" w:rsidR="005768FE" w:rsidRPr="005768FE" w:rsidRDefault="005768FE" w:rsidP="005768FE">
            <w:pPr>
              <w:jc w:val="both"/>
              <w:rPr>
                <w:rFonts w:ascii="Arial" w:hAnsi="Arial" w:cs="Arial"/>
              </w:rPr>
            </w:pPr>
            <w:r w:rsidRPr="005768FE">
              <w:rPr>
                <w:rFonts w:ascii="Arial" w:hAnsi="Arial" w:cs="Arial"/>
              </w:rPr>
              <w:t xml:space="preserve">CIS masná telata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A8A97E" w14:textId="77777777" w:rsidR="005768FE" w:rsidRPr="005768FE" w:rsidRDefault="005768FE" w:rsidP="005768FE">
            <w:pPr>
              <w:jc w:val="both"/>
              <w:rPr>
                <w:rFonts w:ascii="Arial" w:hAnsi="Arial" w:cs="Arial"/>
              </w:rPr>
            </w:pPr>
            <w:r w:rsidRPr="005768FE">
              <w:rPr>
                <w:rFonts w:ascii="Arial" w:hAnsi="Arial" w:cs="Arial"/>
              </w:rPr>
              <w:t>99,98</w:t>
            </w:r>
          </w:p>
        </w:tc>
        <w:tc>
          <w:tcPr>
            <w:tcW w:w="19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7B0677" w14:textId="77777777" w:rsidR="005768FE" w:rsidRPr="005768FE" w:rsidRDefault="005768FE" w:rsidP="005768FE">
            <w:pPr>
              <w:jc w:val="both"/>
              <w:rPr>
                <w:rFonts w:ascii="Arial" w:hAnsi="Arial" w:cs="Arial"/>
              </w:rPr>
            </w:pPr>
            <w:r w:rsidRPr="005768FE">
              <w:rPr>
                <w:rFonts w:ascii="Arial" w:hAnsi="Arial" w:cs="Arial"/>
              </w:rPr>
              <w:t>482 852 422,91</w:t>
            </w:r>
          </w:p>
        </w:tc>
        <w:tc>
          <w:tcPr>
            <w:tcW w:w="20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B3C5D7" w14:textId="77777777" w:rsidR="005768FE" w:rsidRPr="005768FE" w:rsidRDefault="005768FE" w:rsidP="005768FE">
            <w:pPr>
              <w:jc w:val="both"/>
              <w:rPr>
                <w:rFonts w:ascii="Arial" w:hAnsi="Arial" w:cs="Arial"/>
              </w:rPr>
            </w:pPr>
            <w:r w:rsidRPr="005768FE">
              <w:rPr>
                <w:rFonts w:ascii="Arial" w:hAnsi="Arial" w:cs="Arial"/>
              </w:rPr>
              <w:t>482 723 171,92</w:t>
            </w:r>
          </w:p>
        </w:tc>
      </w:tr>
      <w:tr w:rsidR="005768FE" w:rsidRPr="005768FE" w14:paraId="203B8F20" w14:textId="77777777" w:rsidTr="005768FE">
        <w:trPr>
          <w:trHeight w:val="300"/>
        </w:trPr>
        <w:tc>
          <w:tcPr>
            <w:tcW w:w="34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6D2FE8" w14:textId="77777777" w:rsidR="005768FE" w:rsidRPr="005768FE" w:rsidRDefault="005768FE" w:rsidP="005768FE">
            <w:pPr>
              <w:jc w:val="both"/>
              <w:rPr>
                <w:rFonts w:ascii="Arial" w:hAnsi="Arial" w:cs="Arial"/>
              </w:rPr>
            </w:pPr>
            <w:r w:rsidRPr="005768FE">
              <w:rPr>
                <w:rFonts w:ascii="Arial" w:hAnsi="Arial" w:cs="Arial"/>
              </w:rPr>
              <w:t xml:space="preserve">CIS dojnice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D37E19" w14:textId="77777777" w:rsidR="005768FE" w:rsidRPr="005768FE" w:rsidRDefault="005768FE" w:rsidP="005768FE">
            <w:pPr>
              <w:jc w:val="both"/>
              <w:rPr>
                <w:rFonts w:ascii="Arial" w:hAnsi="Arial" w:cs="Arial"/>
              </w:rPr>
            </w:pPr>
            <w:r w:rsidRPr="005768FE">
              <w:rPr>
                <w:rFonts w:ascii="Arial" w:hAnsi="Arial" w:cs="Arial"/>
              </w:rPr>
              <w:t>100</w:t>
            </w:r>
          </w:p>
        </w:tc>
        <w:tc>
          <w:tcPr>
            <w:tcW w:w="19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993C01" w14:textId="77777777" w:rsidR="005768FE" w:rsidRPr="005768FE" w:rsidRDefault="005768FE" w:rsidP="005768FE">
            <w:pPr>
              <w:jc w:val="both"/>
              <w:rPr>
                <w:rFonts w:ascii="Arial" w:hAnsi="Arial" w:cs="Arial"/>
              </w:rPr>
            </w:pPr>
            <w:r w:rsidRPr="005768FE">
              <w:rPr>
                <w:rFonts w:ascii="Arial" w:hAnsi="Arial" w:cs="Arial"/>
              </w:rPr>
              <w:t>1 230 965 080,52</w:t>
            </w:r>
          </w:p>
        </w:tc>
        <w:tc>
          <w:tcPr>
            <w:tcW w:w="20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9FD1AC" w14:textId="77777777" w:rsidR="005768FE" w:rsidRPr="005768FE" w:rsidRDefault="005768FE" w:rsidP="005768FE">
            <w:pPr>
              <w:jc w:val="both"/>
              <w:rPr>
                <w:rFonts w:ascii="Arial" w:hAnsi="Arial" w:cs="Arial"/>
              </w:rPr>
            </w:pPr>
            <w:r w:rsidRPr="005768FE">
              <w:rPr>
                <w:rFonts w:ascii="Arial" w:hAnsi="Arial" w:cs="Arial"/>
              </w:rPr>
              <w:t>1 229 177 488,20</w:t>
            </w:r>
          </w:p>
        </w:tc>
      </w:tr>
      <w:tr w:rsidR="005768FE" w:rsidRPr="005768FE" w14:paraId="5B471B9A" w14:textId="77777777" w:rsidTr="005768FE">
        <w:trPr>
          <w:trHeight w:val="300"/>
        </w:trPr>
        <w:tc>
          <w:tcPr>
            <w:tcW w:w="34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7EE77B9" w14:textId="77777777" w:rsidR="005768FE" w:rsidRPr="005768FE" w:rsidRDefault="005768FE" w:rsidP="005768FE">
            <w:pPr>
              <w:jc w:val="both"/>
              <w:rPr>
                <w:rFonts w:ascii="Arial" w:hAnsi="Arial" w:cs="Arial"/>
              </w:rPr>
            </w:pPr>
            <w:r w:rsidRPr="005768FE">
              <w:rPr>
                <w:rFonts w:ascii="Arial" w:hAnsi="Arial" w:cs="Arial"/>
              </w:rPr>
              <w:t xml:space="preserve">CIS chmel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73B76C" w14:textId="77777777" w:rsidR="005768FE" w:rsidRPr="005768FE" w:rsidRDefault="005768FE" w:rsidP="005768FE">
            <w:pPr>
              <w:jc w:val="both"/>
              <w:rPr>
                <w:rFonts w:ascii="Arial" w:hAnsi="Arial" w:cs="Arial"/>
              </w:rPr>
            </w:pPr>
            <w:r w:rsidRPr="005768FE">
              <w:rPr>
                <w:rFonts w:ascii="Arial" w:hAnsi="Arial" w:cs="Arial"/>
              </w:rPr>
              <w:t>99,92</w:t>
            </w:r>
          </w:p>
        </w:tc>
        <w:tc>
          <w:tcPr>
            <w:tcW w:w="19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505B17" w14:textId="77777777" w:rsidR="005768FE" w:rsidRPr="005768FE" w:rsidRDefault="005768FE" w:rsidP="005768FE">
            <w:pPr>
              <w:jc w:val="both"/>
              <w:rPr>
                <w:rFonts w:ascii="Arial" w:hAnsi="Arial" w:cs="Arial"/>
              </w:rPr>
            </w:pPr>
            <w:r w:rsidRPr="005768FE">
              <w:rPr>
                <w:rFonts w:ascii="Arial" w:hAnsi="Arial" w:cs="Arial"/>
              </w:rPr>
              <w:t>79 582 149,32</w:t>
            </w:r>
          </w:p>
        </w:tc>
        <w:tc>
          <w:tcPr>
            <w:tcW w:w="20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C34552" w14:textId="77777777" w:rsidR="005768FE" w:rsidRPr="005768FE" w:rsidRDefault="005768FE" w:rsidP="005768FE">
            <w:pPr>
              <w:jc w:val="both"/>
              <w:rPr>
                <w:rFonts w:ascii="Arial" w:hAnsi="Arial" w:cs="Arial"/>
              </w:rPr>
            </w:pPr>
            <w:r w:rsidRPr="005768FE">
              <w:rPr>
                <w:rFonts w:ascii="Arial" w:hAnsi="Arial" w:cs="Arial"/>
              </w:rPr>
              <w:t>79 582 149,32</w:t>
            </w:r>
          </w:p>
        </w:tc>
      </w:tr>
      <w:tr w:rsidR="005768FE" w:rsidRPr="005768FE" w14:paraId="59F09F4E" w14:textId="77777777" w:rsidTr="005768FE">
        <w:trPr>
          <w:trHeight w:val="300"/>
        </w:trPr>
        <w:tc>
          <w:tcPr>
            <w:tcW w:w="34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FAC15B" w14:textId="77777777" w:rsidR="005768FE" w:rsidRPr="005768FE" w:rsidRDefault="005768FE" w:rsidP="005768FE">
            <w:pPr>
              <w:jc w:val="both"/>
              <w:rPr>
                <w:rFonts w:ascii="Arial" w:hAnsi="Arial" w:cs="Arial"/>
              </w:rPr>
            </w:pPr>
            <w:r w:rsidRPr="005768FE">
              <w:rPr>
                <w:rFonts w:ascii="Arial" w:hAnsi="Arial" w:cs="Arial"/>
              </w:rPr>
              <w:t>CIS cukrová řepa</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D894CE" w14:textId="77777777" w:rsidR="005768FE" w:rsidRPr="005768FE" w:rsidRDefault="005768FE" w:rsidP="005768FE">
            <w:pPr>
              <w:jc w:val="both"/>
              <w:rPr>
                <w:rFonts w:ascii="Arial" w:hAnsi="Arial" w:cs="Arial"/>
              </w:rPr>
            </w:pPr>
            <w:r w:rsidRPr="005768FE">
              <w:rPr>
                <w:rFonts w:ascii="Arial" w:hAnsi="Arial" w:cs="Arial"/>
              </w:rPr>
              <w:t>99,31</w:t>
            </w:r>
          </w:p>
        </w:tc>
        <w:tc>
          <w:tcPr>
            <w:tcW w:w="19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D16705" w14:textId="77777777" w:rsidR="005768FE" w:rsidRPr="005768FE" w:rsidRDefault="005768FE" w:rsidP="005768FE">
            <w:pPr>
              <w:jc w:val="both"/>
              <w:rPr>
                <w:rFonts w:ascii="Arial" w:hAnsi="Arial" w:cs="Arial"/>
              </w:rPr>
            </w:pPr>
            <w:r w:rsidRPr="005768FE">
              <w:rPr>
                <w:rFonts w:ascii="Arial" w:hAnsi="Arial" w:cs="Arial"/>
              </w:rPr>
              <w:t>404 168 619,21</w:t>
            </w:r>
          </w:p>
        </w:tc>
        <w:tc>
          <w:tcPr>
            <w:tcW w:w="20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6A0FE6" w14:textId="77777777" w:rsidR="005768FE" w:rsidRPr="005768FE" w:rsidRDefault="005768FE" w:rsidP="005768FE">
            <w:pPr>
              <w:jc w:val="both"/>
              <w:rPr>
                <w:rFonts w:ascii="Arial" w:hAnsi="Arial" w:cs="Arial"/>
              </w:rPr>
            </w:pPr>
            <w:r w:rsidRPr="005768FE">
              <w:rPr>
                <w:rFonts w:ascii="Arial" w:hAnsi="Arial" w:cs="Arial"/>
              </w:rPr>
              <w:t>400 414 278,04</w:t>
            </w:r>
          </w:p>
        </w:tc>
      </w:tr>
      <w:tr w:rsidR="005768FE" w:rsidRPr="005768FE" w14:paraId="71F6478B" w14:textId="77777777" w:rsidTr="005768FE">
        <w:trPr>
          <w:trHeight w:val="300"/>
        </w:trPr>
        <w:tc>
          <w:tcPr>
            <w:tcW w:w="34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F1C4860" w14:textId="77777777" w:rsidR="005768FE" w:rsidRPr="005768FE" w:rsidRDefault="005768FE" w:rsidP="005768FE">
            <w:pPr>
              <w:jc w:val="both"/>
              <w:rPr>
                <w:rFonts w:ascii="Arial" w:hAnsi="Arial" w:cs="Arial"/>
              </w:rPr>
            </w:pPr>
            <w:r w:rsidRPr="005768FE">
              <w:rPr>
                <w:rFonts w:ascii="Arial" w:hAnsi="Arial" w:cs="Arial"/>
              </w:rPr>
              <w:t>Doplňková redistributivní platba</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11914B" w14:textId="77777777" w:rsidR="005768FE" w:rsidRPr="005768FE" w:rsidRDefault="005768FE" w:rsidP="005768FE">
            <w:pPr>
              <w:jc w:val="both"/>
              <w:rPr>
                <w:rFonts w:ascii="Arial" w:hAnsi="Arial" w:cs="Arial"/>
              </w:rPr>
            </w:pPr>
            <w:r w:rsidRPr="005768FE">
              <w:rPr>
                <w:rFonts w:ascii="Arial" w:hAnsi="Arial" w:cs="Arial"/>
              </w:rPr>
              <w:t>99,82</w:t>
            </w:r>
          </w:p>
        </w:tc>
        <w:tc>
          <w:tcPr>
            <w:tcW w:w="19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FFE55A" w14:textId="77777777" w:rsidR="005768FE" w:rsidRPr="005768FE" w:rsidRDefault="005768FE" w:rsidP="005768FE">
            <w:pPr>
              <w:jc w:val="both"/>
              <w:rPr>
                <w:rFonts w:ascii="Arial" w:hAnsi="Arial" w:cs="Arial"/>
              </w:rPr>
            </w:pPr>
            <w:r w:rsidRPr="005768FE">
              <w:rPr>
                <w:rFonts w:ascii="Arial" w:hAnsi="Arial" w:cs="Arial"/>
              </w:rPr>
              <w:t>4 549 974 983,44</w:t>
            </w:r>
          </w:p>
        </w:tc>
        <w:tc>
          <w:tcPr>
            <w:tcW w:w="20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0E9851" w14:textId="77777777" w:rsidR="005768FE" w:rsidRPr="005768FE" w:rsidRDefault="005768FE" w:rsidP="005768FE">
            <w:pPr>
              <w:jc w:val="both"/>
              <w:rPr>
                <w:rFonts w:ascii="Arial" w:hAnsi="Arial" w:cs="Arial"/>
              </w:rPr>
            </w:pPr>
            <w:r w:rsidRPr="005768FE">
              <w:rPr>
                <w:rFonts w:ascii="Arial" w:hAnsi="Arial" w:cs="Arial"/>
              </w:rPr>
              <w:t>4 537 342 210,23</w:t>
            </w:r>
          </w:p>
        </w:tc>
      </w:tr>
      <w:tr w:rsidR="005768FE" w:rsidRPr="005768FE" w14:paraId="2DB19A89" w14:textId="77777777" w:rsidTr="005768FE">
        <w:trPr>
          <w:trHeight w:val="300"/>
        </w:trPr>
        <w:tc>
          <w:tcPr>
            <w:tcW w:w="34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23A3D3" w14:textId="77777777" w:rsidR="005768FE" w:rsidRPr="005768FE" w:rsidRDefault="005768FE" w:rsidP="005768FE">
            <w:pPr>
              <w:jc w:val="both"/>
              <w:rPr>
                <w:rFonts w:ascii="Arial" w:hAnsi="Arial" w:cs="Arial"/>
              </w:rPr>
            </w:pPr>
            <w:r w:rsidRPr="005768FE">
              <w:rPr>
                <w:rFonts w:ascii="Arial" w:hAnsi="Arial" w:cs="Arial"/>
              </w:rPr>
              <w:t>Mladý zemědělec staré závazky</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5080BC" w14:textId="77777777" w:rsidR="005768FE" w:rsidRPr="005768FE" w:rsidRDefault="005768FE" w:rsidP="005768FE">
            <w:pPr>
              <w:jc w:val="both"/>
              <w:rPr>
                <w:rFonts w:ascii="Arial" w:hAnsi="Arial" w:cs="Arial"/>
              </w:rPr>
            </w:pPr>
            <w:r w:rsidRPr="005768FE">
              <w:rPr>
                <w:rFonts w:ascii="Arial" w:hAnsi="Arial" w:cs="Arial"/>
              </w:rPr>
              <w:t>100</w:t>
            </w:r>
          </w:p>
        </w:tc>
        <w:tc>
          <w:tcPr>
            <w:tcW w:w="19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679726" w14:textId="77777777" w:rsidR="005768FE" w:rsidRPr="005768FE" w:rsidRDefault="005768FE" w:rsidP="005768FE">
            <w:pPr>
              <w:jc w:val="both"/>
              <w:rPr>
                <w:rFonts w:ascii="Arial" w:hAnsi="Arial" w:cs="Arial"/>
              </w:rPr>
            </w:pPr>
            <w:r w:rsidRPr="005768FE">
              <w:rPr>
                <w:rFonts w:ascii="Arial" w:hAnsi="Arial" w:cs="Arial"/>
              </w:rPr>
              <w:t>91 005 048,03</w:t>
            </w:r>
          </w:p>
        </w:tc>
        <w:tc>
          <w:tcPr>
            <w:tcW w:w="20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1E4108" w14:textId="77777777" w:rsidR="005768FE" w:rsidRPr="005768FE" w:rsidRDefault="005768FE" w:rsidP="005768FE">
            <w:pPr>
              <w:jc w:val="both"/>
              <w:rPr>
                <w:rFonts w:ascii="Arial" w:hAnsi="Arial" w:cs="Arial"/>
              </w:rPr>
            </w:pPr>
            <w:r w:rsidRPr="005768FE">
              <w:rPr>
                <w:rFonts w:ascii="Arial" w:hAnsi="Arial" w:cs="Arial"/>
              </w:rPr>
              <w:t>91 002 342,02</w:t>
            </w:r>
          </w:p>
        </w:tc>
      </w:tr>
      <w:tr w:rsidR="005768FE" w:rsidRPr="005768FE" w14:paraId="193950D3" w14:textId="77777777" w:rsidTr="005768FE">
        <w:trPr>
          <w:trHeight w:val="300"/>
        </w:trPr>
        <w:tc>
          <w:tcPr>
            <w:tcW w:w="34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825051" w14:textId="77777777" w:rsidR="005768FE" w:rsidRPr="005768FE" w:rsidRDefault="005768FE" w:rsidP="005768FE">
            <w:pPr>
              <w:jc w:val="both"/>
              <w:rPr>
                <w:rFonts w:ascii="Arial" w:hAnsi="Arial" w:cs="Arial"/>
              </w:rPr>
            </w:pPr>
            <w:r w:rsidRPr="005768FE">
              <w:rPr>
                <w:rFonts w:ascii="Arial" w:hAnsi="Arial" w:cs="Arial"/>
              </w:rPr>
              <w:lastRenderedPageBreak/>
              <w:t xml:space="preserve">Mladý zemědělec 2023+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4FDF09" w14:textId="77777777" w:rsidR="005768FE" w:rsidRPr="005768FE" w:rsidRDefault="005768FE" w:rsidP="005768FE">
            <w:pPr>
              <w:jc w:val="both"/>
              <w:rPr>
                <w:rFonts w:ascii="Arial" w:hAnsi="Arial" w:cs="Arial"/>
              </w:rPr>
            </w:pPr>
            <w:r w:rsidRPr="005768FE">
              <w:rPr>
                <w:rFonts w:ascii="Arial" w:hAnsi="Arial" w:cs="Arial"/>
              </w:rPr>
              <w:t>99,49</w:t>
            </w:r>
          </w:p>
        </w:tc>
        <w:tc>
          <w:tcPr>
            <w:tcW w:w="19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2C2B2B" w14:textId="77777777" w:rsidR="005768FE" w:rsidRPr="005768FE" w:rsidRDefault="005768FE" w:rsidP="005768FE">
            <w:pPr>
              <w:jc w:val="both"/>
              <w:rPr>
                <w:rFonts w:ascii="Arial" w:hAnsi="Arial" w:cs="Arial"/>
              </w:rPr>
            </w:pPr>
            <w:r w:rsidRPr="005768FE">
              <w:rPr>
                <w:rFonts w:ascii="Arial" w:hAnsi="Arial" w:cs="Arial"/>
              </w:rPr>
              <w:t>43 586 812,87</w:t>
            </w:r>
          </w:p>
        </w:tc>
        <w:tc>
          <w:tcPr>
            <w:tcW w:w="20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80F4BA" w14:textId="77777777" w:rsidR="005768FE" w:rsidRPr="005768FE" w:rsidRDefault="005768FE" w:rsidP="005768FE">
            <w:pPr>
              <w:jc w:val="both"/>
              <w:rPr>
                <w:rFonts w:ascii="Arial" w:hAnsi="Arial" w:cs="Arial"/>
              </w:rPr>
            </w:pPr>
            <w:r w:rsidRPr="005768FE">
              <w:rPr>
                <w:rFonts w:ascii="Arial" w:hAnsi="Arial" w:cs="Arial"/>
              </w:rPr>
              <w:t>43 037 552,06</w:t>
            </w:r>
          </w:p>
        </w:tc>
      </w:tr>
      <w:tr w:rsidR="005768FE" w:rsidRPr="005768FE" w14:paraId="7B52A2ED" w14:textId="77777777" w:rsidTr="005768FE">
        <w:trPr>
          <w:trHeight w:val="300"/>
        </w:trPr>
        <w:tc>
          <w:tcPr>
            <w:tcW w:w="34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6DE6C8B" w14:textId="77777777" w:rsidR="005768FE" w:rsidRPr="005768FE" w:rsidRDefault="005768FE" w:rsidP="005768FE">
            <w:pPr>
              <w:jc w:val="both"/>
              <w:rPr>
                <w:rFonts w:ascii="Arial" w:hAnsi="Arial" w:cs="Arial"/>
              </w:rPr>
            </w:pPr>
            <w:r w:rsidRPr="005768FE">
              <w:rPr>
                <w:rFonts w:ascii="Arial" w:hAnsi="Arial" w:cs="Arial"/>
              </w:rPr>
              <w:t xml:space="preserve">CIS bílkovinné plodiny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F6EBAF" w14:textId="77777777" w:rsidR="005768FE" w:rsidRPr="005768FE" w:rsidRDefault="005768FE" w:rsidP="005768FE">
            <w:pPr>
              <w:jc w:val="both"/>
              <w:rPr>
                <w:rFonts w:ascii="Arial" w:hAnsi="Arial" w:cs="Arial"/>
              </w:rPr>
            </w:pPr>
            <w:r w:rsidRPr="005768FE">
              <w:rPr>
                <w:rFonts w:ascii="Arial" w:hAnsi="Arial" w:cs="Arial"/>
              </w:rPr>
              <w:t>99,76</w:t>
            </w:r>
          </w:p>
        </w:tc>
        <w:tc>
          <w:tcPr>
            <w:tcW w:w="19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BC7496" w14:textId="77777777" w:rsidR="005768FE" w:rsidRPr="005768FE" w:rsidRDefault="005768FE" w:rsidP="005768FE">
            <w:pPr>
              <w:jc w:val="both"/>
              <w:rPr>
                <w:rFonts w:ascii="Arial" w:hAnsi="Arial" w:cs="Arial"/>
              </w:rPr>
            </w:pPr>
            <w:r w:rsidRPr="005768FE">
              <w:rPr>
                <w:rFonts w:ascii="Arial" w:hAnsi="Arial" w:cs="Arial"/>
              </w:rPr>
              <w:t>410 826 940,46</w:t>
            </w:r>
          </w:p>
        </w:tc>
        <w:tc>
          <w:tcPr>
            <w:tcW w:w="20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D17A6E" w14:textId="77777777" w:rsidR="005768FE" w:rsidRPr="005768FE" w:rsidRDefault="005768FE" w:rsidP="005768FE">
            <w:pPr>
              <w:jc w:val="both"/>
              <w:rPr>
                <w:rFonts w:ascii="Arial" w:hAnsi="Arial" w:cs="Arial"/>
              </w:rPr>
            </w:pPr>
            <w:r w:rsidRPr="005768FE">
              <w:rPr>
                <w:rFonts w:ascii="Arial" w:hAnsi="Arial" w:cs="Arial"/>
              </w:rPr>
              <w:t>409 043 695,65</w:t>
            </w:r>
          </w:p>
        </w:tc>
      </w:tr>
      <w:tr w:rsidR="005768FE" w:rsidRPr="005768FE" w14:paraId="77C72D12" w14:textId="77777777" w:rsidTr="005768FE">
        <w:trPr>
          <w:trHeight w:val="300"/>
        </w:trPr>
        <w:tc>
          <w:tcPr>
            <w:tcW w:w="34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C415D8D" w14:textId="77777777" w:rsidR="005768FE" w:rsidRPr="005768FE" w:rsidRDefault="005768FE" w:rsidP="005768FE">
            <w:pPr>
              <w:jc w:val="both"/>
              <w:rPr>
                <w:rFonts w:ascii="Arial" w:hAnsi="Arial" w:cs="Arial"/>
              </w:rPr>
            </w:pPr>
            <w:r w:rsidRPr="005768FE">
              <w:rPr>
                <w:rFonts w:ascii="Arial" w:hAnsi="Arial" w:cs="Arial"/>
              </w:rPr>
              <w:t xml:space="preserve">CIS ovce a kozy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AEC303" w14:textId="77777777" w:rsidR="005768FE" w:rsidRPr="005768FE" w:rsidRDefault="005768FE" w:rsidP="005768FE">
            <w:pPr>
              <w:jc w:val="both"/>
              <w:rPr>
                <w:rFonts w:ascii="Arial" w:hAnsi="Arial" w:cs="Arial"/>
              </w:rPr>
            </w:pPr>
            <w:r w:rsidRPr="005768FE">
              <w:rPr>
                <w:rFonts w:ascii="Arial" w:hAnsi="Arial" w:cs="Arial"/>
              </w:rPr>
              <w:t>99,86</w:t>
            </w:r>
          </w:p>
        </w:tc>
        <w:tc>
          <w:tcPr>
            <w:tcW w:w="19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7C2D4B" w14:textId="77777777" w:rsidR="005768FE" w:rsidRPr="005768FE" w:rsidRDefault="005768FE" w:rsidP="005768FE">
            <w:pPr>
              <w:jc w:val="both"/>
              <w:rPr>
                <w:rFonts w:ascii="Arial" w:hAnsi="Arial" w:cs="Arial"/>
              </w:rPr>
            </w:pPr>
            <w:r w:rsidRPr="005768FE">
              <w:rPr>
                <w:rFonts w:ascii="Arial" w:hAnsi="Arial" w:cs="Arial"/>
              </w:rPr>
              <w:t>62 276 489,87</w:t>
            </w:r>
          </w:p>
        </w:tc>
        <w:tc>
          <w:tcPr>
            <w:tcW w:w="20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E282F7" w14:textId="77777777" w:rsidR="005768FE" w:rsidRPr="005768FE" w:rsidRDefault="005768FE" w:rsidP="005768FE">
            <w:pPr>
              <w:jc w:val="both"/>
              <w:rPr>
                <w:rFonts w:ascii="Arial" w:hAnsi="Arial" w:cs="Arial"/>
              </w:rPr>
            </w:pPr>
            <w:r w:rsidRPr="005768FE">
              <w:rPr>
                <w:rFonts w:ascii="Arial" w:hAnsi="Arial" w:cs="Arial"/>
              </w:rPr>
              <w:t>62 095 710,27</w:t>
            </w:r>
          </w:p>
        </w:tc>
      </w:tr>
      <w:tr w:rsidR="005768FE" w:rsidRPr="005768FE" w14:paraId="3B295185" w14:textId="77777777" w:rsidTr="005768FE">
        <w:trPr>
          <w:trHeight w:val="300"/>
        </w:trPr>
        <w:tc>
          <w:tcPr>
            <w:tcW w:w="34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F190899" w14:textId="77777777" w:rsidR="005768FE" w:rsidRPr="005768FE" w:rsidRDefault="005768FE" w:rsidP="005768FE">
            <w:pPr>
              <w:jc w:val="both"/>
              <w:rPr>
                <w:rFonts w:ascii="Arial" w:hAnsi="Arial" w:cs="Arial"/>
              </w:rPr>
            </w:pPr>
            <w:r w:rsidRPr="005768FE">
              <w:rPr>
                <w:rFonts w:ascii="Arial" w:hAnsi="Arial" w:cs="Arial"/>
              </w:rPr>
              <w:t xml:space="preserve">CIS zelenina VVP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6B8F33" w14:textId="77777777" w:rsidR="005768FE" w:rsidRPr="005768FE" w:rsidRDefault="005768FE" w:rsidP="005768FE">
            <w:pPr>
              <w:jc w:val="both"/>
              <w:rPr>
                <w:rFonts w:ascii="Arial" w:hAnsi="Arial" w:cs="Arial"/>
              </w:rPr>
            </w:pPr>
            <w:r w:rsidRPr="005768FE">
              <w:rPr>
                <w:rFonts w:ascii="Arial" w:hAnsi="Arial" w:cs="Arial"/>
              </w:rPr>
              <w:t>99,89</w:t>
            </w:r>
          </w:p>
        </w:tc>
        <w:tc>
          <w:tcPr>
            <w:tcW w:w="19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618B85" w14:textId="77777777" w:rsidR="005768FE" w:rsidRPr="005768FE" w:rsidRDefault="005768FE" w:rsidP="005768FE">
            <w:pPr>
              <w:jc w:val="both"/>
              <w:rPr>
                <w:rFonts w:ascii="Arial" w:hAnsi="Arial" w:cs="Arial"/>
              </w:rPr>
            </w:pPr>
            <w:r w:rsidRPr="005768FE">
              <w:rPr>
                <w:rFonts w:ascii="Arial" w:hAnsi="Arial" w:cs="Arial"/>
              </w:rPr>
              <w:t>109 824 346,38</w:t>
            </w:r>
          </w:p>
        </w:tc>
        <w:tc>
          <w:tcPr>
            <w:tcW w:w="20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3227AF" w14:textId="77777777" w:rsidR="005768FE" w:rsidRPr="005768FE" w:rsidRDefault="005768FE" w:rsidP="005768FE">
            <w:pPr>
              <w:jc w:val="both"/>
              <w:rPr>
                <w:rFonts w:ascii="Arial" w:hAnsi="Arial" w:cs="Arial"/>
              </w:rPr>
            </w:pPr>
            <w:r w:rsidRPr="005768FE">
              <w:rPr>
                <w:rFonts w:ascii="Arial" w:hAnsi="Arial" w:cs="Arial"/>
              </w:rPr>
              <w:t>109 659 922,44</w:t>
            </w:r>
          </w:p>
        </w:tc>
      </w:tr>
      <w:tr w:rsidR="005768FE" w:rsidRPr="005768FE" w14:paraId="60493A47" w14:textId="77777777" w:rsidTr="005768FE">
        <w:trPr>
          <w:trHeight w:val="300"/>
        </w:trPr>
        <w:tc>
          <w:tcPr>
            <w:tcW w:w="34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293934" w14:textId="77777777" w:rsidR="005768FE" w:rsidRPr="005768FE" w:rsidRDefault="005768FE" w:rsidP="005768FE">
            <w:pPr>
              <w:jc w:val="both"/>
              <w:rPr>
                <w:rFonts w:ascii="Arial" w:hAnsi="Arial" w:cs="Arial"/>
              </w:rPr>
            </w:pPr>
            <w:r w:rsidRPr="005768FE">
              <w:rPr>
                <w:rFonts w:ascii="Arial" w:hAnsi="Arial" w:cs="Arial"/>
              </w:rPr>
              <w:t xml:space="preserve">CIS zelenina VP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844A38" w14:textId="77777777" w:rsidR="005768FE" w:rsidRPr="005768FE" w:rsidRDefault="005768FE" w:rsidP="005768FE">
            <w:pPr>
              <w:jc w:val="both"/>
              <w:rPr>
                <w:rFonts w:ascii="Arial" w:hAnsi="Arial" w:cs="Arial"/>
              </w:rPr>
            </w:pPr>
            <w:r w:rsidRPr="005768FE">
              <w:rPr>
                <w:rFonts w:ascii="Arial" w:hAnsi="Arial" w:cs="Arial"/>
              </w:rPr>
              <w:t>100</w:t>
            </w:r>
          </w:p>
        </w:tc>
        <w:tc>
          <w:tcPr>
            <w:tcW w:w="19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202760" w14:textId="77777777" w:rsidR="005768FE" w:rsidRPr="005768FE" w:rsidRDefault="005768FE" w:rsidP="005768FE">
            <w:pPr>
              <w:jc w:val="both"/>
              <w:rPr>
                <w:rFonts w:ascii="Arial" w:hAnsi="Arial" w:cs="Arial"/>
              </w:rPr>
            </w:pPr>
            <w:r w:rsidRPr="005768FE">
              <w:rPr>
                <w:rFonts w:ascii="Arial" w:hAnsi="Arial" w:cs="Arial"/>
              </w:rPr>
              <w:t>14 029 200,91</w:t>
            </w:r>
          </w:p>
        </w:tc>
        <w:tc>
          <w:tcPr>
            <w:tcW w:w="20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937055" w14:textId="77777777" w:rsidR="005768FE" w:rsidRPr="005768FE" w:rsidRDefault="005768FE" w:rsidP="005768FE">
            <w:pPr>
              <w:jc w:val="both"/>
              <w:rPr>
                <w:rFonts w:ascii="Arial" w:hAnsi="Arial" w:cs="Arial"/>
              </w:rPr>
            </w:pPr>
            <w:r w:rsidRPr="005768FE">
              <w:rPr>
                <w:rFonts w:ascii="Arial" w:hAnsi="Arial" w:cs="Arial"/>
              </w:rPr>
              <w:t>14 029 200,91</w:t>
            </w:r>
          </w:p>
        </w:tc>
      </w:tr>
      <w:tr w:rsidR="005768FE" w:rsidRPr="005768FE" w14:paraId="162894C6" w14:textId="77777777" w:rsidTr="005768FE">
        <w:trPr>
          <w:trHeight w:val="300"/>
        </w:trPr>
        <w:tc>
          <w:tcPr>
            <w:tcW w:w="34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4DA7FB" w14:textId="77777777" w:rsidR="005768FE" w:rsidRPr="005768FE" w:rsidRDefault="005768FE" w:rsidP="005768FE">
            <w:pPr>
              <w:jc w:val="both"/>
              <w:rPr>
                <w:rFonts w:ascii="Arial" w:hAnsi="Arial" w:cs="Arial"/>
              </w:rPr>
            </w:pPr>
            <w:r w:rsidRPr="005768FE">
              <w:rPr>
                <w:rFonts w:ascii="Arial" w:hAnsi="Arial" w:cs="Arial"/>
              </w:rPr>
              <w:t xml:space="preserve">CIS škrob. brambory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32417E" w14:textId="77777777" w:rsidR="005768FE" w:rsidRPr="005768FE" w:rsidRDefault="005768FE" w:rsidP="005768FE">
            <w:pPr>
              <w:jc w:val="both"/>
              <w:rPr>
                <w:rFonts w:ascii="Arial" w:hAnsi="Arial" w:cs="Arial"/>
              </w:rPr>
            </w:pPr>
            <w:r w:rsidRPr="005768FE">
              <w:rPr>
                <w:rFonts w:ascii="Arial" w:hAnsi="Arial" w:cs="Arial"/>
              </w:rPr>
              <w:t>100</w:t>
            </w:r>
          </w:p>
        </w:tc>
        <w:tc>
          <w:tcPr>
            <w:tcW w:w="19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075B9C" w14:textId="77777777" w:rsidR="005768FE" w:rsidRPr="005768FE" w:rsidRDefault="005768FE" w:rsidP="005768FE">
            <w:pPr>
              <w:jc w:val="both"/>
              <w:rPr>
                <w:rFonts w:ascii="Arial" w:hAnsi="Arial" w:cs="Arial"/>
              </w:rPr>
            </w:pPr>
            <w:r w:rsidRPr="005768FE">
              <w:rPr>
                <w:rFonts w:ascii="Arial" w:hAnsi="Arial" w:cs="Arial"/>
              </w:rPr>
              <w:t>67 946 011,42</w:t>
            </w:r>
          </w:p>
        </w:tc>
        <w:tc>
          <w:tcPr>
            <w:tcW w:w="20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524B88" w14:textId="77777777" w:rsidR="005768FE" w:rsidRPr="005768FE" w:rsidRDefault="005768FE" w:rsidP="005768FE">
            <w:pPr>
              <w:jc w:val="both"/>
              <w:rPr>
                <w:rFonts w:ascii="Arial" w:hAnsi="Arial" w:cs="Arial"/>
              </w:rPr>
            </w:pPr>
            <w:r w:rsidRPr="005768FE">
              <w:rPr>
                <w:rFonts w:ascii="Arial" w:hAnsi="Arial" w:cs="Arial"/>
              </w:rPr>
              <w:t>67 699 556,30</w:t>
            </w:r>
          </w:p>
        </w:tc>
      </w:tr>
      <w:tr w:rsidR="005768FE" w:rsidRPr="005768FE" w14:paraId="4DD5EA35" w14:textId="77777777" w:rsidTr="005768FE">
        <w:trPr>
          <w:trHeight w:val="300"/>
        </w:trPr>
        <w:tc>
          <w:tcPr>
            <w:tcW w:w="34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DE026C7" w14:textId="77777777" w:rsidR="005768FE" w:rsidRPr="005768FE" w:rsidRDefault="005768FE" w:rsidP="005768FE">
            <w:pPr>
              <w:jc w:val="both"/>
              <w:rPr>
                <w:rFonts w:ascii="Arial" w:hAnsi="Arial" w:cs="Arial"/>
              </w:rPr>
            </w:pPr>
            <w:r w:rsidRPr="005768FE">
              <w:rPr>
                <w:rFonts w:ascii="Arial" w:hAnsi="Arial" w:cs="Arial"/>
              </w:rPr>
              <w:t>CIS ovoce VVP</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3C78A3" w14:textId="77777777" w:rsidR="005768FE" w:rsidRPr="005768FE" w:rsidRDefault="005768FE" w:rsidP="005768FE">
            <w:pPr>
              <w:jc w:val="both"/>
              <w:rPr>
                <w:rFonts w:ascii="Arial" w:hAnsi="Arial" w:cs="Arial"/>
              </w:rPr>
            </w:pPr>
            <w:r w:rsidRPr="005768FE">
              <w:rPr>
                <w:rFonts w:ascii="Arial" w:hAnsi="Arial" w:cs="Arial"/>
              </w:rPr>
              <w:t>99,78</w:t>
            </w:r>
          </w:p>
        </w:tc>
        <w:tc>
          <w:tcPr>
            <w:tcW w:w="19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ECBE9D" w14:textId="77777777" w:rsidR="005768FE" w:rsidRPr="005768FE" w:rsidRDefault="005768FE" w:rsidP="005768FE">
            <w:pPr>
              <w:jc w:val="both"/>
              <w:rPr>
                <w:rFonts w:ascii="Arial" w:hAnsi="Arial" w:cs="Arial"/>
              </w:rPr>
            </w:pPr>
            <w:r w:rsidRPr="005768FE">
              <w:rPr>
                <w:rFonts w:ascii="Arial" w:hAnsi="Arial" w:cs="Arial"/>
              </w:rPr>
              <w:t>83 348 222,93</w:t>
            </w:r>
          </w:p>
        </w:tc>
        <w:tc>
          <w:tcPr>
            <w:tcW w:w="20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5945C1" w14:textId="77777777" w:rsidR="005768FE" w:rsidRPr="005768FE" w:rsidRDefault="005768FE" w:rsidP="005768FE">
            <w:pPr>
              <w:jc w:val="both"/>
              <w:rPr>
                <w:rFonts w:ascii="Arial" w:hAnsi="Arial" w:cs="Arial"/>
              </w:rPr>
            </w:pPr>
            <w:r w:rsidRPr="005768FE">
              <w:rPr>
                <w:rFonts w:ascii="Arial" w:hAnsi="Arial" w:cs="Arial"/>
              </w:rPr>
              <w:t>83 166 315,36</w:t>
            </w:r>
          </w:p>
        </w:tc>
      </w:tr>
      <w:tr w:rsidR="005768FE" w:rsidRPr="005768FE" w14:paraId="32B04FDA" w14:textId="77777777" w:rsidTr="005768FE">
        <w:trPr>
          <w:trHeight w:val="300"/>
        </w:trPr>
        <w:tc>
          <w:tcPr>
            <w:tcW w:w="34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86DF14" w14:textId="77777777" w:rsidR="005768FE" w:rsidRPr="005768FE" w:rsidRDefault="005768FE" w:rsidP="005768FE">
            <w:pPr>
              <w:jc w:val="both"/>
              <w:rPr>
                <w:rFonts w:ascii="Arial" w:hAnsi="Arial" w:cs="Arial"/>
              </w:rPr>
            </w:pPr>
            <w:r w:rsidRPr="005768FE">
              <w:rPr>
                <w:rFonts w:ascii="Arial" w:hAnsi="Arial" w:cs="Arial"/>
              </w:rPr>
              <w:t xml:space="preserve">CIS ovoce VP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28C45B" w14:textId="77777777" w:rsidR="005768FE" w:rsidRPr="005768FE" w:rsidRDefault="005768FE" w:rsidP="005768FE">
            <w:pPr>
              <w:jc w:val="both"/>
              <w:rPr>
                <w:rFonts w:ascii="Arial" w:hAnsi="Arial" w:cs="Arial"/>
              </w:rPr>
            </w:pPr>
            <w:r w:rsidRPr="005768FE">
              <w:rPr>
                <w:rFonts w:ascii="Arial" w:hAnsi="Arial" w:cs="Arial"/>
              </w:rPr>
              <w:t>99,8</w:t>
            </w:r>
          </w:p>
        </w:tc>
        <w:tc>
          <w:tcPr>
            <w:tcW w:w="19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01927A" w14:textId="77777777" w:rsidR="005768FE" w:rsidRPr="005768FE" w:rsidRDefault="005768FE" w:rsidP="005768FE">
            <w:pPr>
              <w:jc w:val="both"/>
              <w:rPr>
                <w:rFonts w:ascii="Arial" w:hAnsi="Arial" w:cs="Arial"/>
              </w:rPr>
            </w:pPr>
            <w:r w:rsidRPr="005768FE">
              <w:rPr>
                <w:rFonts w:ascii="Arial" w:hAnsi="Arial" w:cs="Arial"/>
              </w:rPr>
              <w:t>31 403 655,53</w:t>
            </w:r>
          </w:p>
        </w:tc>
        <w:tc>
          <w:tcPr>
            <w:tcW w:w="20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5D2DBC" w14:textId="77777777" w:rsidR="005768FE" w:rsidRPr="005768FE" w:rsidRDefault="005768FE" w:rsidP="005768FE">
            <w:pPr>
              <w:jc w:val="both"/>
              <w:rPr>
                <w:rFonts w:ascii="Arial" w:hAnsi="Arial" w:cs="Arial"/>
              </w:rPr>
            </w:pPr>
            <w:r w:rsidRPr="005768FE">
              <w:rPr>
                <w:rFonts w:ascii="Arial" w:hAnsi="Arial" w:cs="Arial"/>
              </w:rPr>
              <w:t>31 341 140,45</w:t>
            </w:r>
          </w:p>
        </w:tc>
      </w:tr>
      <w:tr w:rsidR="005768FE" w:rsidRPr="005768FE" w14:paraId="2BCE6B7F" w14:textId="77777777" w:rsidTr="005768FE">
        <w:trPr>
          <w:trHeight w:val="300"/>
        </w:trPr>
        <w:tc>
          <w:tcPr>
            <w:tcW w:w="34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F42DC5" w14:textId="77777777" w:rsidR="005768FE" w:rsidRPr="005768FE" w:rsidRDefault="005768FE" w:rsidP="005768FE">
            <w:pPr>
              <w:jc w:val="both"/>
              <w:rPr>
                <w:rFonts w:ascii="Arial" w:hAnsi="Arial" w:cs="Arial"/>
              </w:rPr>
            </w:pPr>
            <w:r w:rsidRPr="005768FE">
              <w:rPr>
                <w:rFonts w:ascii="Arial" w:hAnsi="Arial" w:cs="Arial"/>
              </w:rPr>
              <w:t xml:space="preserve">Ekoplatba základní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8CB4A9" w14:textId="77777777" w:rsidR="005768FE" w:rsidRPr="005768FE" w:rsidRDefault="005768FE" w:rsidP="005768FE">
            <w:pPr>
              <w:jc w:val="both"/>
              <w:rPr>
                <w:rFonts w:ascii="Arial" w:hAnsi="Arial" w:cs="Arial"/>
              </w:rPr>
            </w:pPr>
            <w:r w:rsidRPr="005768FE">
              <w:rPr>
                <w:rFonts w:ascii="Arial" w:hAnsi="Arial" w:cs="Arial"/>
              </w:rPr>
              <w:t>99,48</w:t>
            </w:r>
          </w:p>
        </w:tc>
        <w:tc>
          <w:tcPr>
            <w:tcW w:w="19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FB85EC" w14:textId="77777777" w:rsidR="005768FE" w:rsidRPr="005768FE" w:rsidRDefault="005768FE" w:rsidP="005768FE">
            <w:pPr>
              <w:jc w:val="both"/>
              <w:rPr>
                <w:rFonts w:ascii="Arial" w:hAnsi="Arial" w:cs="Arial"/>
              </w:rPr>
            </w:pPr>
            <w:r w:rsidRPr="005768FE">
              <w:rPr>
                <w:rFonts w:ascii="Arial" w:hAnsi="Arial" w:cs="Arial"/>
              </w:rPr>
              <w:t>5 998 042 068,11</w:t>
            </w:r>
          </w:p>
        </w:tc>
        <w:tc>
          <w:tcPr>
            <w:tcW w:w="20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4D6FFF" w14:textId="77777777" w:rsidR="005768FE" w:rsidRPr="005768FE" w:rsidRDefault="005768FE" w:rsidP="005768FE">
            <w:pPr>
              <w:jc w:val="both"/>
              <w:rPr>
                <w:rFonts w:ascii="Arial" w:hAnsi="Arial" w:cs="Arial"/>
              </w:rPr>
            </w:pPr>
            <w:r w:rsidRPr="005768FE">
              <w:rPr>
                <w:rFonts w:ascii="Arial" w:hAnsi="Arial" w:cs="Arial"/>
              </w:rPr>
              <w:t>5 856 466 835,59</w:t>
            </w:r>
          </w:p>
        </w:tc>
      </w:tr>
      <w:tr w:rsidR="005768FE" w:rsidRPr="005768FE" w14:paraId="63674AAD" w14:textId="77777777" w:rsidTr="005768FE">
        <w:trPr>
          <w:trHeight w:val="300"/>
        </w:trPr>
        <w:tc>
          <w:tcPr>
            <w:tcW w:w="34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FEA34E" w14:textId="77777777" w:rsidR="005768FE" w:rsidRPr="005768FE" w:rsidRDefault="005768FE" w:rsidP="005768FE">
            <w:pPr>
              <w:jc w:val="both"/>
              <w:rPr>
                <w:rFonts w:ascii="Arial" w:hAnsi="Arial" w:cs="Arial"/>
              </w:rPr>
            </w:pPr>
            <w:r w:rsidRPr="005768FE">
              <w:rPr>
                <w:rFonts w:ascii="Arial" w:hAnsi="Arial" w:cs="Arial"/>
              </w:rPr>
              <w:t>Ekoplatba prémiová</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CBBBB4" w14:textId="77777777" w:rsidR="005768FE" w:rsidRPr="005768FE" w:rsidRDefault="005768FE" w:rsidP="005768FE">
            <w:pPr>
              <w:jc w:val="both"/>
              <w:rPr>
                <w:rFonts w:ascii="Arial" w:hAnsi="Arial" w:cs="Arial"/>
              </w:rPr>
            </w:pPr>
            <w:r w:rsidRPr="005768FE">
              <w:rPr>
                <w:rFonts w:ascii="Arial" w:hAnsi="Arial" w:cs="Arial"/>
              </w:rPr>
              <w:t>96,2</w:t>
            </w:r>
          </w:p>
        </w:tc>
        <w:tc>
          <w:tcPr>
            <w:tcW w:w="1964" w:type="dxa"/>
            <w:noWrap/>
            <w:tcMar>
              <w:top w:w="0" w:type="dxa"/>
              <w:left w:w="70" w:type="dxa"/>
              <w:bottom w:w="0" w:type="dxa"/>
              <w:right w:w="70" w:type="dxa"/>
            </w:tcMar>
            <w:vAlign w:val="bottom"/>
            <w:hideMark/>
          </w:tcPr>
          <w:p w14:paraId="61ECD675" w14:textId="77777777" w:rsidR="005768FE" w:rsidRPr="005768FE" w:rsidRDefault="005768FE" w:rsidP="005768FE">
            <w:pPr>
              <w:jc w:val="both"/>
              <w:rPr>
                <w:rFonts w:ascii="Arial" w:hAnsi="Arial" w:cs="Arial"/>
              </w:rPr>
            </w:pPr>
            <w:r w:rsidRPr="005768FE">
              <w:rPr>
                <w:rFonts w:ascii="Arial" w:hAnsi="Arial" w:cs="Arial"/>
              </w:rPr>
              <w:t>1 038 424,00</w:t>
            </w:r>
          </w:p>
        </w:tc>
        <w:tc>
          <w:tcPr>
            <w:tcW w:w="20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5EC4030" w14:textId="77777777" w:rsidR="005768FE" w:rsidRPr="005768FE" w:rsidRDefault="005768FE" w:rsidP="005768FE">
            <w:pPr>
              <w:jc w:val="both"/>
              <w:rPr>
                <w:rFonts w:ascii="Arial" w:hAnsi="Arial" w:cs="Arial"/>
              </w:rPr>
            </w:pPr>
            <w:r w:rsidRPr="005768FE">
              <w:rPr>
                <w:rFonts w:ascii="Arial" w:hAnsi="Arial" w:cs="Arial"/>
              </w:rPr>
              <w:t>815 684,31</w:t>
            </w:r>
          </w:p>
        </w:tc>
      </w:tr>
      <w:tr w:rsidR="005768FE" w:rsidRPr="005768FE" w14:paraId="2D54B27C" w14:textId="77777777" w:rsidTr="005768FE">
        <w:trPr>
          <w:trHeight w:val="315"/>
        </w:trPr>
        <w:tc>
          <w:tcPr>
            <w:tcW w:w="34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A8B581" w14:textId="77777777" w:rsidR="005768FE" w:rsidRPr="005768FE" w:rsidRDefault="005768FE" w:rsidP="005768FE">
            <w:pPr>
              <w:jc w:val="both"/>
              <w:rPr>
                <w:rFonts w:ascii="Arial" w:hAnsi="Arial" w:cs="Arial"/>
                <w:b/>
                <w:bCs/>
              </w:rPr>
            </w:pPr>
            <w:r w:rsidRPr="005768FE">
              <w:rPr>
                <w:rFonts w:ascii="Arial" w:hAnsi="Arial" w:cs="Arial"/>
                <w:b/>
                <w:bCs/>
              </w:rPr>
              <w:t xml:space="preserve">Celkový výsledek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47C37F" w14:textId="77777777" w:rsidR="005768FE" w:rsidRPr="005768FE" w:rsidRDefault="005768FE" w:rsidP="005768FE">
            <w:pPr>
              <w:jc w:val="both"/>
              <w:rPr>
                <w:rFonts w:ascii="Arial" w:hAnsi="Arial" w:cs="Arial"/>
                <w:b/>
                <w:bCs/>
              </w:rPr>
            </w:pPr>
            <w:r w:rsidRPr="005768FE">
              <w:rPr>
                <w:rFonts w:ascii="Arial" w:hAnsi="Arial" w:cs="Arial"/>
                <w:b/>
                <w:bCs/>
              </w:rPr>
              <w:t> </w:t>
            </w:r>
          </w:p>
        </w:tc>
        <w:tc>
          <w:tcPr>
            <w:tcW w:w="196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F23AA5D" w14:textId="77777777" w:rsidR="005768FE" w:rsidRPr="005768FE" w:rsidRDefault="005768FE" w:rsidP="005768FE">
            <w:pPr>
              <w:jc w:val="both"/>
              <w:rPr>
                <w:rFonts w:ascii="Arial" w:hAnsi="Arial" w:cs="Arial"/>
                <w:b/>
                <w:bCs/>
              </w:rPr>
            </w:pPr>
            <w:r w:rsidRPr="005768FE">
              <w:rPr>
                <w:rFonts w:ascii="Arial" w:hAnsi="Arial" w:cs="Arial"/>
                <w:b/>
                <w:bCs/>
              </w:rPr>
              <w:t>19 878 562 478,72</w:t>
            </w:r>
          </w:p>
        </w:tc>
        <w:tc>
          <w:tcPr>
            <w:tcW w:w="20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4B99B6" w14:textId="77777777" w:rsidR="005768FE" w:rsidRPr="005768FE" w:rsidRDefault="005768FE" w:rsidP="005768FE">
            <w:pPr>
              <w:jc w:val="both"/>
              <w:rPr>
                <w:rFonts w:ascii="Arial" w:hAnsi="Arial" w:cs="Arial"/>
                <w:b/>
                <w:bCs/>
              </w:rPr>
            </w:pPr>
            <w:r w:rsidRPr="005768FE">
              <w:rPr>
                <w:rFonts w:ascii="Arial" w:hAnsi="Arial" w:cs="Arial"/>
                <w:b/>
                <w:bCs/>
              </w:rPr>
              <w:t>19 703 589 265,71</w:t>
            </w:r>
          </w:p>
        </w:tc>
      </w:tr>
    </w:tbl>
    <w:p w14:paraId="3B573E80" w14:textId="77777777" w:rsidR="005E6000" w:rsidRDefault="005E6000" w:rsidP="005768FE">
      <w:pPr>
        <w:jc w:val="both"/>
        <w:rPr>
          <w:rFonts w:ascii="Arial" w:hAnsi="Arial" w:cs="Arial"/>
        </w:rPr>
      </w:pPr>
    </w:p>
    <w:p w14:paraId="752DACB3" w14:textId="77777777" w:rsidR="000545E1" w:rsidRDefault="000545E1" w:rsidP="005768FE">
      <w:pPr>
        <w:jc w:val="both"/>
        <w:rPr>
          <w:rFonts w:ascii="Arial" w:hAnsi="Arial" w:cs="Arial"/>
        </w:rPr>
      </w:pPr>
    </w:p>
    <w:p w14:paraId="6E2A8297" w14:textId="77777777" w:rsidR="000545E1" w:rsidRDefault="000545E1" w:rsidP="005768FE">
      <w:pPr>
        <w:jc w:val="both"/>
        <w:rPr>
          <w:rFonts w:ascii="Arial" w:hAnsi="Arial" w:cs="Arial"/>
        </w:rPr>
      </w:pPr>
    </w:p>
    <w:p w14:paraId="2DF8FBC4" w14:textId="5A562334" w:rsidR="00FB1E94" w:rsidRPr="000545E1" w:rsidRDefault="00FB1E94" w:rsidP="005768FE">
      <w:pPr>
        <w:jc w:val="both"/>
        <w:rPr>
          <w:rFonts w:ascii="Arial" w:hAnsi="Arial" w:cs="Arial"/>
          <w:b/>
          <w:bCs/>
          <w:caps/>
          <w:color w:val="4C94D8" w:themeColor="text2" w:themeTint="80"/>
          <w:u w:val="single"/>
        </w:rPr>
      </w:pPr>
      <w:r w:rsidRPr="000545E1">
        <w:rPr>
          <w:rFonts w:ascii="Arial" w:hAnsi="Arial" w:cs="Arial"/>
          <w:b/>
          <w:bCs/>
          <w:caps/>
          <w:color w:val="4C94D8" w:themeColor="text2" w:themeTint="80"/>
          <w:u w:val="single"/>
        </w:rPr>
        <w:t>Celková souhrnná tabulka za oba pilíře (JŽ</w:t>
      </w:r>
      <w:r w:rsidR="00CC258F" w:rsidRPr="000545E1">
        <w:rPr>
          <w:rFonts w:ascii="Arial" w:hAnsi="Arial" w:cs="Arial"/>
          <w:b/>
          <w:bCs/>
          <w:caps/>
          <w:color w:val="4C94D8" w:themeColor="text2" w:themeTint="80"/>
          <w:u w:val="single"/>
        </w:rPr>
        <w:t xml:space="preserve"> 2023</w:t>
      </w:r>
      <w:r w:rsidRPr="000545E1">
        <w:rPr>
          <w:rFonts w:ascii="Arial" w:hAnsi="Arial" w:cs="Arial"/>
          <w:b/>
          <w:bCs/>
          <w:caps/>
          <w:color w:val="4C94D8" w:themeColor="text2" w:themeTint="80"/>
          <w:u w:val="single"/>
        </w:rPr>
        <w:t>)</w:t>
      </w:r>
    </w:p>
    <w:p w14:paraId="6D2AB742" w14:textId="2F4888D3" w:rsidR="00FB1E94" w:rsidRDefault="00FB1E94" w:rsidP="00FB1E94">
      <w:pPr>
        <w:ind w:hanging="1134"/>
        <w:jc w:val="both"/>
        <w:rPr>
          <w:rFonts w:ascii="Arial" w:hAnsi="Arial" w:cs="Arial"/>
        </w:rPr>
      </w:pPr>
      <w:r>
        <w:rPr>
          <w:noProof/>
        </w:rPr>
        <w:drawing>
          <wp:inline distT="0" distB="0" distL="0" distR="0" wp14:anchorId="0CB5DC86" wp14:editId="3E1D2E35">
            <wp:extent cx="7229475" cy="4429125"/>
            <wp:effectExtent l="0" t="0" r="9525" b="9525"/>
            <wp:docPr id="757946522" name="Obrázek 1" descr="Obsah obrázku text, snímek obrazovky, číslo,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46522" name="Obrázek 1" descr="Obsah obrázku text, snímek obrazovky, číslo, řada/pruh&#10;&#10;Popis byl vytvořen automaticky"/>
                    <pic:cNvPicPr/>
                  </pic:nvPicPr>
                  <pic:blipFill rotWithShape="1">
                    <a:blip r:embed="rId18"/>
                    <a:srcRect l="3114" t="7326" r="5410"/>
                    <a:stretch/>
                  </pic:blipFill>
                  <pic:spPr bwMode="auto">
                    <a:xfrm>
                      <a:off x="0" y="0"/>
                      <a:ext cx="7229475" cy="4429125"/>
                    </a:xfrm>
                    <a:prstGeom prst="rect">
                      <a:avLst/>
                    </a:prstGeom>
                    <a:ln>
                      <a:noFill/>
                    </a:ln>
                    <a:extLst>
                      <a:ext uri="{53640926-AAD7-44D8-BBD7-CCE9431645EC}">
                        <a14:shadowObscured xmlns:a14="http://schemas.microsoft.com/office/drawing/2010/main"/>
                      </a:ext>
                    </a:extLst>
                  </pic:spPr>
                </pic:pic>
              </a:graphicData>
            </a:graphic>
          </wp:inline>
        </w:drawing>
      </w:r>
    </w:p>
    <w:p w14:paraId="6F28C36C" w14:textId="77777777" w:rsidR="00B107EC" w:rsidRDefault="00B107EC" w:rsidP="002656FE">
      <w:pPr>
        <w:tabs>
          <w:tab w:val="left" w:pos="3540"/>
          <w:tab w:val="left" w:pos="6327"/>
          <w:tab w:val="left" w:pos="7025"/>
        </w:tabs>
        <w:spacing w:after="0" w:line="276" w:lineRule="auto"/>
        <w:jc w:val="both"/>
        <w:rPr>
          <w:rFonts w:ascii="Arial" w:hAnsi="Arial" w:cs="Arial"/>
          <w:b/>
          <w:bCs/>
          <w:iCs/>
          <w:caps/>
        </w:rPr>
      </w:pPr>
    </w:p>
    <w:tbl>
      <w:tblPr>
        <w:tblW w:w="1017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8"/>
        <w:gridCol w:w="2160"/>
        <w:gridCol w:w="1710"/>
        <w:gridCol w:w="1985"/>
      </w:tblGrid>
      <w:tr w:rsidR="005E6000" w:rsidRPr="0046103F" w14:paraId="49542BEF" w14:textId="77777777" w:rsidTr="00CF26B2">
        <w:trPr>
          <w:trHeight w:val="95"/>
        </w:trPr>
        <w:tc>
          <w:tcPr>
            <w:tcW w:w="10173" w:type="dxa"/>
            <w:gridSpan w:val="4"/>
          </w:tcPr>
          <w:p w14:paraId="10312B3B" w14:textId="77777777" w:rsidR="005E6000" w:rsidRPr="0046103F" w:rsidRDefault="005E6000" w:rsidP="00EE42FE">
            <w:r w:rsidRPr="0046103F">
              <w:lastRenderedPageBreak/>
              <w:t xml:space="preserve"> </w:t>
            </w:r>
            <w:r w:rsidRPr="0046103F">
              <w:rPr>
                <w:b/>
                <w:bCs/>
              </w:rPr>
              <w:t>Harmonogram předpokládané administrace opatření Jednotné žádosti za rok 2024-2025</w:t>
            </w:r>
          </w:p>
        </w:tc>
      </w:tr>
      <w:tr w:rsidR="005E6000" w:rsidRPr="0046103F" w14:paraId="177DFBF6" w14:textId="77777777" w:rsidTr="00CF26B2">
        <w:trPr>
          <w:trHeight w:val="158"/>
        </w:trPr>
        <w:tc>
          <w:tcPr>
            <w:tcW w:w="4318" w:type="dxa"/>
            <w:shd w:val="clear" w:color="auto" w:fill="FFC000"/>
          </w:tcPr>
          <w:p w14:paraId="3D263DD3" w14:textId="77777777" w:rsidR="005E6000" w:rsidRPr="0046103F" w:rsidRDefault="005E6000" w:rsidP="00EE42FE">
            <w:r w:rsidRPr="0046103F">
              <w:rPr>
                <w:b/>
                <w:bCs/>
              </w:rPr>
              <w:t>Opatření/dotace</w:t>
            </w:r>
          </w:p>
        </w:tc>
        <w:tc>
          <w:tcPr>
            <w:tcW w:w="3870" w:type="dxa"/>
            <w:gridSpan w:val="2"/>
            <w:shd w:val="clear" w:color="auto" w:fill="FFC000"/>
          </w:tcPr>
          <w:p w14:paraId="7F1EA4DC" w14:textId="77777777" w:rsidR="005E6000" w:rsidRPr="0046103F" w:rsidRDefault="005E6000" w:rsidP="00EE42FE">
            <w:r w:rsidRPr="0046103F">
              <w:rPr>
                <w:b/>
                <w:bCs/>
              </w:rPr>
              <w:t>Termín vydávání rozhodnutí (90%)</w:t>
            </w:r>
          </w:p>
        </w:tc>
        <w:tc>
          <w:tcPr>
            <w:tcW w:w="1985" w:type="dxa"/>
            <w:shd w:val="clear" w:color="auto" w:fill="FFC000"/>
          </w:tcPr>
          <w:p w14:paraId="55A78AA0" w14:textId="77777777" w:rsidR="005E6000" w:rsidRPr="0046103F" w:rsidRDefault="005E6000" w:rsidP="00EE42FE">
            <w:r w:rsidRPr="0046103F">
              <w:rPr>
                <w:b/>
                <w:bCs/>
              </w:rPr>
              <w:t xml:space="preserve">Skutečný termín </w:t>
            </w:r>
          </w:p>
        </w:tc>
      </w:tr>
      <w:tr w:rsidR="005E6000" w:rsidRPr="0046103F" w14:paraId="0A3A11A6" w14:textId="77777777" w:rsidTr="00CF26B2">
        <w:trPr>
          <w:trHeight w:val="67"/>
        </w:trPr>
        <w:tc>
          <w:tcPr>
            <w:tcW w:w="6478" w:type="dxa"/>
            <w:gridSpan w:val="2"/>
            <w:shd w:val="clear" w:color="auto" w:fill="FFC000"/>
          </w:tcPr>
          <w:p w14:paraId="5737CC0E" w14:textId="77777777" w:rsidR="005E6000" w:rsidRPr="0046103F" w:rsidRDefault="005E6000" w:rsidP="00EE42FE">
            <w:r w:rsidRPr="0046103F">
              <w:rPr>
                <w:b/>
                <w:bCs/>
              </w:rPr>
              <w:t>Od</w:t>
            </w:r>
          </w:p>
        </w:tc>
        <w:tc>
          <w:tcPr>
            <w:tcW w:w="3695" w:type="dxa"/>
            <w:gridSpan w:val="2"/>
            <w:shd w:val="clear" w:color="auto" w:fill="FFC000"/>
          </w:tcPr>
          <w:p w14:paraId="129C1E10" w14:textId="77777777" w:rsidR="005E6000" w:rsidRPr="0046103F" w:rsidRDefault="005E6000" w:rsidP="00EE42FE">
            <w:r w:rsidRPr="0046103F">
              <w:rPr>
                <w:b/>
                <w:bCs/>
              </w:rPr>
              <w:t>Do</w:t>
            </w:r>
          </w:p>
        </w:tc>
      </w:tr>
      <w:tr w:rsidR="005E6000" w:rsidRPr="0046103F" w14:paraId="25985D42" w14:textId="77777777" w:rsidTr="00CF26B2">
        <w:trPr>
          <w:trHeight w:val="74"/>
        </w:trPr>
        <w:tc>
          <w:tcPr>
            <w:tcW w:w="4318" w:type="dxa"/>
            <w:shd w:val="clear" w:color="auto" w:fill="92D050"/>
          </w:tcPr>
          <w:p w14:paraId="70C3CBDE" w14:textId="77777777" w:rsidR="005E6000" w:rsidRPr="0046103F" w:rsidRDefault="005E6000" w:rsidP="00EE42FE">
            <w:r w:rsidRPr="0046103F">
              <w:rPr>
                <w:b/>
                <w:bCs/>
              </w:rPr>
              <w:t xml:space="preserve">Zálohy (BISS, DRP, Mladý zemědělec a veškeré CIS kromě CIS škrobové brambory, ovoce a zelenina) </w:t>
            </w:r>
          </w:p>
        </w:tc>
        <w:tc>
          <w:tcPr>
            <w:tcW w:w="3870" w:type="dxa"/>
            <w:gridSpan w:val="2"/>
          </w:tcPr>
          <w:p w14:paraId="2270F731" w14:textId="77777777" w:rsidR="005E6000" w:rsidRPr="0046103F" w:rsidRDefault="005E6000" w:rsidP="00EE42FE">
            <w:r w:rsidRPr="0046103F">
              <w:t>21.10.2024</w:t>
            </w:r>
          </w:p>
        </w:tc>
        <w:tc>
          <w:tcPr>
            <w:tcW w:w="1985" w:type="dxa"/>
          </w:tcPr>
          <w:p w14:paraId="62C7C9DF" w14:textId="77777777" w:rsidR="005E6000" w:rsidRPr="0046103F" w:rsidRDefault="005E6000" w:rsidP="00EE42FE">
            <w:r w:rsidRPr="0046103F">
              <w:t>29.11.2024</w:t>
            </w:r>
          </w:p>
        </w:tc>
      </w:tr>
      <w:tr w:rsidR="005E6000" w:rsidRPr="0046103F" w14:paraId="6459343E" w14:textId="77777777" w:rsidTr="00CF26B2">
        <w:trPr>
          <w:trHeight w:val="72"/>
        </w:trPr>
        <w:tc>
          <w:tcPr>
            <w:tcW w:w="4318" w:type="dxa"/>
            <w:shd w:val="clear" w:color="auto" w:fill="92D050"/>
          </w:tcPr>
          <w:p w14:paraId="613E805F" w14:textId="77777777" w:rsidR="005E6000" w:rsidRPr="0046103F" w:rsidRDefault="005E6000" w:rsidP="00EE42FE">
            <w:r w:rsidRPr="0046103F">
              <w:rPr>
                <w:b/>
                <w:bCs/>
              </w:rPr>
              <w:t>BISS (Základní podpora příjmu pro udržitelnost)</w:t>
            </w:r>
          </w:p>
        </w:tc>
        <w:tc>
          <w:tcPr>
            <w:tcW w:w="3870" w:type="dxa"/>
            <w:gridSpan w:val="2"/>
          </w:tcPr>
          <w:p w14:paraId="35CF9CB8" w14:textId="77777777" w:rsidR="005E6000" w:rsidRPr="0046103F" w:rsidRDefault="005E6000" w:rsidP="00EE42FE">
            <w:r w:rsidRPr="0046103F">
              <w:t>27.11.2024</w:t>
            </w:r>
          </w:p>
        </w:tc>
        <w:tc>
          <w:tcPr>
            <w:tcW w:w="1985" w:type="dxa"/>
          </w:tcPr>
          <w:p w14:paraId="78BC215F" w14:textId="77777777" w:rsidR="005E6000" w:rsidRPr="0046103F" w:rsidRDefault="005E6000" w:rsidP="00EE42FE">
            <w:r w:rsidRPr="0046103F">
              <w:t>27.01.2025</w:t>
            </w:r>
          </w:p>
        </w:tc>
      </w:tr>
      <w:tr w:rsidR="005E6000" w:rsidRPr="0046103F" w14:paraId="50804491" w14:textId="77777777" w:rsidTr="00CF26B2">
        <w:trPr>
          <w:trHeight w:val="72"/>
        </w:trPr>
        <w:tc>
          <w:tcPr>
            <w:tcW w:w="4318" w:type="dxa"/>
            <w:shd w:val="clear" w:color="auto" w:fill="92D050"/>
          </w:tcPr>
          <w:p w14:paraId="4D361CBE" w14:textId="77777777" w:rsidR="005E6000" w:rsidRPr="0046103F" w:rsidRDefault="005E6000" w:rsidP="00EE42FE">
            <w:r w:rsidRPr="0046103F">
              <w:rPr>
                <w:b/>
                <w:bCs/>
              </w:rPr>
              <w:t>MALZ (Malý zemědělec)</w:t>
            </w:r>
          </w:p>
        </w:tc>
        <w:tc>
          <w:tcPr>
            <w:tcW w:w="3870" w:type="dxa"/>
            <w:gridSpan w:val="2"/>
          </w:tcPr>
          <w:p w14:paraId="2FF98648" w14:textId="77777777" w:rsidR="005E6000" w:rsidRPr="0046103F" w:rsidRDefault="005E6000" w:rsidP="00EE42FE">
            <w:r w:rsidRPr="0046103F">
              <w:t>03.12.2024</w:t>
            </w:r>
          </w:p>
        </w:tc>
        <w:tc>
          <w:tcPr>
            <w:tcW w:w="1985" w:type="dxa"/>
          </w:tcPr>
          <w:p w14:paraId="12A14928" w14:textId="77777777" w:rsidR="005E6000" w:rsidRPr="0046103F" w:rsidRDefault="005E6000" w:rsidP="00EE42FE">
            <w:r w:rsidRPr="0046103F">
              <w:t>10.02.2025</w:t>
            </w:r>
          </w:p>
        </w:tc>
      </w:tr>
      <w:tr w:rsidR="005E6000" w:rsidRPr="0046103F" w14:paraId="301B4B1F" w14:textId="77777777" w:rsidTr="00CF26B2">
        <w:trPr>
          <w:trHeight w:val="72"/>
        </w:trPr>
        <w:tc>
          <w:tcPr>
            <w:tcW w:w="4318" w:type="dxa"/>
            <w:shd w:val="clear" w:color="auto" w:fill="92D050"/>
          </w:tcPr>
          <w:p w14:paraId="63D361FD" w14:textId="77777777" w:rsidR="005E6000" w:rsidRPr="0046103F" w:rsidRDefault="005E6000" w:rsidP="00EE42FE">
            <w:r w:rsidRPr="0046103F">
              <w:rPr>
                <w:b/>
                <w:bCs/>
              </w:rPr>
              <w:t>CIS cukrová řepa</w:t>
            </w:r>
          </w:p>
        </w:tc>
        <w:tc>
          <w:tcPr>
            <w:tcW w:w="3870" w:type="dxa"/>
            <w:gridSpan w:val="2"/>
          </w:tcPr>
          <w:p w14:paraId="3F6315A8" w14:textId="77777777" w:rsidR="005E6000" w:rsidRPr="0046103F" w:rsidRDefault="005E6000" w:rsidP="00EE42FE">
            <w:r w:rsidRPr="0046103F">
              <w:t>03.12.2024</w:t>
            </w:r>
          </w:p>
        </w:tc>
        <w:tc>
          <w:tcPr>
            <w:tcW w:w="1985" w:type="dxa"/>
          </w:tcPr>
          <w:p w14:paraId="57429357" w14:textId="77777777" w:rsidR="005E6000" w:rsidRPr="0046103F" w:rsidRDefault="005E6000" w:rsidP="00EE42FE">
            <w:r w:rsidRPr="0046103F">
              <w:t>03.02.2025</w:t>
            </w:r>
          </w:p>
        </w:tc>
      </w:tr>
      <w:tr w:rsidR="005E6000" w:rsidRPr="0046103F" w14:paraId="54778617" w14:textId="77777777" w:rsidTr="00CF26B2">
        <w:trPr>
          <w:trHeight w:val="72"/>
        </w:trPr>
        <w:tc>
          <w:tcPr>
            <w:tcW w:w="4318" w:type="dxa"/>
            <w:shd w:val="clear" w:color="auto" w:fill="92D050"/>
          </w:tcPr>
          <w:p w14:paraId="221DA7ED" w14:textId="77777777" w:rsidR="005E6000" w:rsidRPr="0046103F" w:rsidRDefault="005E6000" w:rsidP="00EE42FE">
            <w:r w:rsidRPr="0046103F">
              <w:rPr>
                <w:b/>
                <w:bCs/>
              </w:rPr>
              <w:t>CIS chmel</w:t>
            </w:r>
          </w:p>
        </w:tc>
        <w:tc>
          <w:tcPr>
            <w:tcW w:w="3870" w:type="dxa"/>
            <w:gridSpan w:val="2"/>
          </w:tcPr>
          <w:p w14:paraId="66BFE365" w14:textId="77777777" w:rsidR="005E6000" w:rsidRPr="0046103F" w:rsidRDefault="005E6000" w:rsidP="00EE42FE">
            <w:r w:rsidRPr="0046103F">
              <w:t>03.12.2024</w:t>
            </w:r>
          </w:p>
        </w:tc>
        <w:tc>
          <w:tcPr>
            <w:tcW w:w="1985" w:type="dxa"/>
          </w:tcPr>
          <w:p w14:paraId="6A8391A6" w14:textId="77777777" w:rsidR="005E6000" w:rsidRPr="0046103F" w:rsidRDefault="005E6000" w:rsidP="00EE42FE">
            <w:r w:rsidRPr="0046103F">
              <w:t>03.02.2025</w:t>
            </w:r>
          </w:p>
        </w:tc>
      </w:tr>
      <w:tr w:rsidR="005E6000" w:rsidRPr="0046103F" w14:paraId="40EADA4D" w14:textId="77777777" w:rsidTr="00CF26B2">
        <w:trPr>
          <w:trHeight w:val="72"/>
        </w:trPr>
        <w:tc>
          <w:tcPr>
            <w:tcW w:w="4318" w:type="dxa"/>
            <w:shd w:val="clear" w:color="auto" w:fill="92D050"/>
          </w:tcPr>
          <w:p w14:paraId="085FF2B5" w14:textId="77777777" w:rsidR="005E6000" w:rsidRPr="0046103F" w:rsidRDefault="005E6000" w:rsidP="00EE42FE">
            <w:r w:rsidRPr="0046103F">
              <w:rPr>
                <w:b/>
                <w:bCs/>
              </w:rPr>
              <w:t>CIS dojnice</w:t>
            </w:r>
          </w:p>
        </w:tc>
        <w:tc>
          <w:tcPr>
            <w:tcW w:w="3870" w:type="dxa"/>
            <w:gridSpan w:val="2"/>
          </w:tcPr>
          <w:p w14:paraId="63EEAEC4" w14:textId="77777777" w:rsidR="005E6000" w:rsidRPr="0046103F" w:rsidRDefault="005E6000" w:rsidP="00EE42FE">
            <w:r w:rsidRPr="0046103F">
              <w:t>03.12.2024</w:t>
            </w:r>
          </w:p>
        </w:tc>
        <w:tc>
          <w:tcPr>
            <w:tcW w:w="1985" w:type="dxa"/>
          </w:tcPr>
          <w:p w14:paraId="56B38B10" w14:textId="77777777" w:rsidR="005E6000" w:rsidRPr="0046103F" w:rsidRDefault="005E6000" w:rsidP="00EE42FE">
            <w:r w:rsidRPr="0046103F">
              <w:t>03.02.2025</w:t>
            </w:r>
          </w:p>
        </w:tc>
      </w:tr>
      <w:tr w:rsidR="005E6000" w:rsidRPr="0046103F" w14:paraId="70E59532" w14:textId="77777777" w:rsidTr="00CF26B2">
        <w:trPr>
          <w:trHeight w:val="72"/>
        </w:trPr>
        <w:tc>
          <w:tcPr>
            <w:tcW w:w="4318" w:type="dxa"/>
            <w:shd w:val="clear" w:color="auto" w:fill="92D050"/>
          </w:tcPr>
          <w:p w14:paraId="0CC58E9F" w14:textId="77777777" w:rsidR="005E6000" w:rsidRPr="0046103F" w:rsidRDefault="005E6000" w:rsidP="00EE42FE">
            <w:r w:rsidRPr="0046103F">
              <w:rPr>
                <w:b/>
                <w:bCs/>
              </w:rPr>
              <w:t>CIS tele masného typu</w:t>
            </w:r>
          </w:p>
        </w:tc>
        <w:tc>
          <w:tcPr>
            <w:tcW w:w="3870" w:type="dxa"/>
            <w:gridSpan w:val="2"/>
          </w:tcPr>
          <w:p w14:paraId="11FD2AA7" w14:textId="77777777" w:rsidR="005E6000" w:rsidRPr="0046103F" w:rsidRDefault="005E6000" w:rsidP="00EE42FE">
            <w:r w:rsidRPr="0046103F">
              <w:t>03.12.2024</w:t>
            </w:r>
          </w:p>
        </w:tc>
        <w:tc>
          <w:tcPr>
            <w:tcW w:w="1985" w:type="dxa"/>
          </w:tcPr>
          <w:p w14:paraId="385A07AF" w14:textId="77777777" w:rsidR="005E6000" w:rsidRPr="0046103F" w:rsidRDefault="005E6000" w:rsidP="00EE42FE">
            <w:r w:rsidRPr="0046103F">
              <w:t>03.02.2025</w:t>
            </w:r>
          </w:p>
        </w:tc>
      </w:tr>
      <w:tr w:rsidR="005E6000" w:rsidRPr="0046103F" w14:paraId="5FC638BD" w14:textId="77777777" w:rsidTr="00CF26B2">
        <w:trPr>
          <w:trHeight w:val="72"/>
        </w:trPr>
        <w:tc>
          <w:tcPr>
            <w:tcW w:w="4318" w:type="dxa"/>
            <w:shd w:val="clear" w:color="auto" w:fill="92D050"/>
          </w:tcPr>
          <w:p w14:paraId="32998A16" w14:textId="77777777" w:rsidR="005E6000" w:rsidRPr="0046103F" w:rsidRDefault="005E6000" w:rsidP="00EE42FE">
            <w:r w:rsidRPr="0046103F">
              <w:rPr>
                <w:b/>
                <w:bCs/>
              </w:rPr>
              <w:t>ANC</w:t>
            </w:r>
          </w:p>
        </w:tc>
        <w:tc>
          <w:tcPr>
            <w:tcW w:w="3870" w:type="dxa"/>
            <w:gridSpan w:val="2"/>
          </w:tcPr>
          <w:p w14:paraId="47534FA0" w14:textId="77777777" w:rsidR="005E6000" w:rsidRPr="0046103F" w:rsidRDefault="005E6000" w:rsidP="00EE42FE">
            <w:r w:rsidRPr="0046103F">
              <w:t>03.12.2024</w:t>
            </w:r>
          </w:p>
        </w:tc>
        <w:tc>
          <w:tcPr>
            <w:tcW w:w="1985" w:type="dxa"/>
          </w:tcPr>
          <w:p w14:paraId="62227A99" w14:textId="77777777" w:rsidR="005E6000" w:rsidRPr="0046103F" w:rsidRDefault="005E6000" w:rsidP="00EE42FE">
            <w:r w:rsidRPr="0046103F">
              <w:t>03.02.2025</w:t>
            </w:r>
          </w:p>
        </w:tc>
      </w:tr>
      <w:tr w:rsidR="005E6000" w:rsidRPr="0046103F" w14:paraId="5B692C42" w14:textId="77777777" w:rsidTr="00CF26B2">
        <w:trPr>
          <w:trHeight w:val="72"/>
        </w:trPr>
        <w:tc>
          <w:tcPr>
            <w:tcW w:w="4318" w:type="dxa"/>
            <w:shd w:val="clear" w:color="auto" w:fill="92D050"/>
          </w:tcPr>
          <w:p w14:paraId="527B9FD9" w14:textId="77777777" w:rsidR="005E6000" w:rsidRPr="0046103F" w:rsidRDefault="005E6000" w:rsidP="00EE42FE">
            <w:r w:rsidRPr="0046103F">
              <w:rPr>
                <w:b/>
                <w:bCs/>
              </w:rPr>
              <w:t>Natura 2000 na z.p.</w:t>
            </w:r>
          </w:p>
        </w:tc>
        <w:tc>
          <w:tcPr>
            <w:tcW w:w="3870" w:type="dxa"/>
            <w:gridSpan w:val="2"/>
          </w:tcPr>
          <w:p w14:paraId="6BB024F7" w14:textId="77777777" w:rsidR="005E6000" w:rsidRPr="0046103F" w:rsidRDefault="005E6000" w:rsidP="00EE42FE">
            <w:r w:rsidRPr="0046103F">
              <w:t>03.12.2024</w:t>
            </w:r>
          </w:p>
        </w:tc>
        <w:tc>
          <w:tcPr>
            <w:tcW w:w="1985" w:type="dxa"/>
          </w:tcPr>
          <w:p w14:paraId="5F870F77" w14:textId="77777777" w:rsidR="005E6000" w:rsidRPr="0046103F" w:rsidRDefault="005E6000" w:rsidP="00EE42FE">
            <w:r w:rsidRPr="0046103F">
              <w:t>03.02.2025</w:t>
            </w:r>
          </w:p>
        </w:tc>
      </w:tr>
      <w:tr w:rsidR="005E6000" w:rsidRPr="0046103F" w14:paraId="0E93A773" w14:textId="77777777" w:rsidTr="00CF26B2">
        <w:trPr>
          <w:trHeight w:val="72"/>
        </w:trPr>
        <w:tc>
          <w:tcPr>
            <w:tcW w:w="4318" w:type="dxa"/>
            <w:shd w:val="clear" w:color="auto" w:fill="92D050"/>
          </w:tcPr>
          <w:p w14:paraId="6CD3CC9F" w14:textId="77777777" w:rsidR="005E6000" w:rsidRPr="0046103F" w:rsidRDefault="005E6000" w:rsidP="00EE42FE">
            <w:r w:rsidRPr="0046103F">
              <w:rPr>
                <w:b/>
                <w:bCs/>
              </w:rPr>
              <w:t>DRP (Doplňková redistributivní podpora příjmu pro udržitelnost)</w:t>
            </w:r>
          </w:p>
        </w:tc>
        <w:tc>
          <w:tcPr>
            <w:tcW w:w="3870" w:type="dxa"/>
            <w:gridSpan w:val="2"/>
          </w:tcPr>
          <w:p w14:paraId="145DD824" w14:textId="77777777" w:rsidR="005E6000" w:rsidRPr="0046103F" w:rsidRDefault="005E6000" w:rsidP="00EE42FE">
            <w:r w:rsidRPr="0046103F">
              <w:t>14.01.2025</w:t>
            </w:r>
          </w:p>
        </w:tc>
        <w:tc>
          <w:tcPr>
            <w:tcW w:w="1985" w:type="dxa"/>
          </w:tcPr>
          <w:p w14:paraId="6F39919A" w14:textId="77777777" w:rsidR="005E6000" w:rsidRPr="0046103F" w:rsidRDefault="005E6000" w:rsidP="00EE42FE">
            <w:r w:rsidRPr="0046103F">
              <w:t>17.03.2025</w:t>
            </w:r>
          </w:p>
        </w:tc>
      </w:tr>
      <w:tr w:rsidR="005E6000" w:rsidRPr="0046103F" w14:paraId="5FEAB93B" w14:textId="77777777" w:rsidTr="00CF26B2">
        <w:trPr>
          <w:trHeight w:val="72"/>
        </w:trPr>
        <w:tc>
          <w:tcPr>
            <w:tcW w:w="4318" w:type="dxa"/>
            <w:shd w:val="clear" w:color="auto" w:fill="92D050"/>
          </w:tcPr>
          <w:p w14:paraId="518BACD6" w14:textId="77777777" w:rsidR="005E6000" w:rsidRPr="0046103F" w:rsidRDefault="005E6000" w:rsidP="00EE42FE">
            <w:r w:rsidRPr="0046103F">
              <w:rPr>
                <w:b/>
                <w:bCs/>
              </w:rPr>
              <w:t>Doplňková podpora příjmu pro mladé zemědělce</w:t>
            </w:r>
          </w:p>
        </w:tc>
        <w:tc>
          <w:tcPr>
            <w:tcW w:w="3870" w:type="dxa"/>
            <w:gridSpan w:val="2"/>
          </w:tcPr>
          <w:p w14:paraId="76726136" w14:textId="77777777" w:rsidR="005E6000" w:rsidRPr="0046103F" w:rsidRDefault="005E6000" w:rsidP="00EE42FE">
            <w:r w:rsidRPr="0046103F">
              <w:t>11.02.2025</w:t>
            </w:r>
          </w:p>
        </w:tc>
        <w:tc>
          <w:tcPr>
            <w:tcW w:w="1985" w:type="dxa"/>
          </w:tcPr>
          <w:p w14:paraId="1D083BCC" w14:textId="77777777" w:rsidR="005E6000" w:rsidRPr="0046103F" w:rsidRDefault="005E6000" w:rsidP="00EE42FE">
            <w:r w:rsidRPr="0046103F">
              <w:t>14.04.2025</w:t>
            </w:r>
          </w:p>
        </w:tc>
      </w:tr>
      <w:tr w:rsidR="005E6000" w:rsidRPr="0046103F" w14:paraId="664E4009" w14:textId="77777777" w:rsidTr="00CF26B2">
        <w:trPr>
          <w:trHeight w:val="72"/>
        </w:trPr>
        <w:tc>
          <w:tcPr>
            <w:tcW w:w="4318" w:type="dxa"/>
            <w:shd w:val="clear" w:color="auto" w:fill="92D050"/>
          </w:tcPr>
          <w:p w14:paraId="4AD0E825" w14:textId="77777777" w:rsidR="005E6000" w:rsidRPr="0046103F" w:rsidRDefault="005E6000" w:rsidP="00EE42FE">
            <w:r w:rsidRPr="0046103F">
              <w:rPr>
                <w:b/>
                <w:bCs/>
              </w:rPr>
              <w:t>Mladý zemědělec dobíhající</w:t>
            </w:r>
          </w:p>
        </w:tc>
        <w:tc>
          <w:tcPr>
            <w:tcW w:w="3870" w:type="dxa"/>
            <w:gridSpan w:val="2"/>
          </w:tcPr>
          <w:p w14:paraId="4B66B9DE" w14:textId="77777777" w:rsidR="005E6000" w:rsidRPr="0046103F" w:rsidRDefault="005E6000" w:rsidP="00EE42FE">
            <w:r w:rsidRPr="0046103F">
              <w:t>11.02.2025</w:t>
            </w:r>
          </w:p>
        </w:tc>
        <w:tc>
          <w:tcPr>
            <w:tcW w:w="1985" w:type="dxa"/>
          </w:tcPr>
          <w:p w14:paraId="3EF55F1A" w14:textId="77777777" w:rsidR="005E6000" w:rsidRPr="0046103F" w:rsidRDefault="005E6000" w:rsidP="00EE42FE">
            <w:r w:rsidRPr="0046103F">
              <w:t>14.04.2025</w:t>
            </w:r>
          </w:p>
        </w:tc>
      </w:tr>
      <w:tr w:rsidR="005E6000" w:rsidRPr="0046103F" w14:paraId="21AA8E3A" w14:textId="77777777" w:rsidTr="00CF26B2">
        <w:trPr>
          <w:trHeight w:val="72"/>
        </w:trPr>
        <w:tc>
          <w:tcPr>
            <w:tcW w:w="4318" w:type="dxa"/>
            <w:shd w:val="clear" w:color="auto" w:fill="92D050"/>
          </w:tcPr>
          <w:p w14:paraId="62FB8012" w14:textId="77777777" w:rsidR="005E6000" w:rsidRPr="0046103F" w:rsidRDefault="005E6000" w:rsidP="00EE42FE">
            <w:r w:rsidRPr="0046103F">
              <w:rPr>
                <w:b/>
                <w:bCs/>
              </w:rPr>
              <w:t>CIS bílkovinné plodiny</w:t>
            </w:r>
          </w:p>
        </w:tc>
        <w:tc>
          <w:tcPr>
            <w:tcW w:w="3870" w:type="dxa"/>
            <w:gridSpan w:val="2"/>
          </w:tcPr>
          <w:p w14:paraId="656D1478" w14:textId="77777777" w:rsidR="005E6000" w:rsidRPr="0046103F" w:rsidRDefault="005E6000" w:rsidP="00EE42FE">
            <w:r w:rsidRPr="0046103F">
              <w:t>11.02.2025</w:t>
            </w:r>
          </w:p>
        </w:tc>
        <w:tc>
          <w:tcPr>
            <w:tcW w:w="1985" w:type="dxa"/>
          </w:tcPr>
          <w:p w14:paraId="24B728F2" w14:textId="77777777" w:rsidR="005E6000" w:rsidRPr="0046103F" w:rsidRDefault="005E6000" w:rsidP="00EE42FE">
            <w:r w:rsidRPr="0046103F">
              <w:t>14.04.2025</w:t>
            </w:r>
          </w:p>
        </w:tc>
      </w:tr>
      <w:tr w:rsidR="005E6000" w:rsidRPr="0046103F" w14:paraId="54AE1E8C" w14:textId="77777777" w:rsidTr="00CF26B2">
        <w:trPr>
          <w:trHeight w:val="72"/>
        </w:trPr>
        <w:tc>
          <w:tcPr>
            <w:tcW w:w="4318" w:type="dxa"/>
            <w:shd w:val="clear" w:color="auto" w:fill="92D050"/>
          </w:tcPr>
          <w:p w14:paraId="271F1765" w14:textId="77777777" w:rsidR="005E6000" w:rsidRPr="0046103F" w:rsidRDefault="005E6000" w:rsidP="00EE42FE">
            <w:r w:rsidRPr="0046103F">
              <w:rPr>
                <w:b/>
                <w:bCs/>
              </w:rPr>
              <w:t>Ekologické zemědělství</w:t>
            </w:r>
          </w:p>
        </w:tc>
        <w:tc>
          <w:tcPr>
            <w:tcW w:w="3870" w:type="dxa"/>
            <w:gridSpan w:val="2"/>
          </w:tcPr>
          <w:p w14:paraId="6ED14CBD" w14:textId="77777777" w:rsidR="005E6000" w:rsidRPr="0046103F" w:rsidRDefault="005E6000" w:rsidP="00EE42FE">
            <w:r w:rsidRPr="0046103F">
              <w:t>11.02.2025</w:t>
            </w:r>
          </w:p>
        </w:tc>
        <w:tc>
          <w:tcPr>
            <w:tcW w:w="1985" w:type="dxa"/>
          </w:tcPr>
          <w:p w14:paraId="6E79E0B3" w14:textId="77777777" w:rsidR="005E6000" w:rsidRPr="0046103F" w:rsidRDefault="005E6000" w:rsidP="00EE42FE">
            <w:r w:rsidRPr="0046103F">
              <w:t>30.04.2025</w:t>
            </w:r>
          </w:p>
        </w:tc>
      </w:tr>
      <w:tr w:rsidR="005E6000" w:rsidRPr="0046103F" w14:paraId="43ECFD3A" w14:textId="77777777" w:rsidTr="00CF26B2">
        <w:trPr>
          <w:trHeight w:val="72"/>
        </w:trPr>
        <w:tc>
          <w:tcPr>
            <w:tcW w:w="4318" w:type="dxa"/>
            <w:shd w:val="clear" w:color="auto" w:fill="92D050"/>
          </w:tcPr>
          <w:p w14:paraId="36D6D3E0" w14:textId="77777777" w:rsidR="005E6000" w:rsidRPr="0046103F" w:rsidRDefault="005E6000" w:rsidP="00EE42FE">
            <w:r w:rsidRPr="0046103F">
              <w:rPr>
                <w:b/>
                <w:bCs/>
              </w:rPr>
              <w:t>Agrolesnictví, Zalesňování - dotace na péči / ukončení</w:t>
            </w:r>
          </w:p>
        </w:tc>
        <w:tc>
          <w:tcPr>
            <w:tcW w:w="3870" w:type="dxa"/>
            <w:gridSpan w:val="2"/>
          </w:tcPr>
          <w:p w14:paraId="6A8B0B3E" w14:textId="77777777" w:rsidR="005E6000" w:rsidRPr="0046103F" w:rsidRDefault="005E6000" w:rsidP="00EE42FE">
            <w:r w:rsidRPr="0046103F">
              <w:t>18.02.2025</w:t>
            </w:r>
          </w:p>
        </w:tc>
        <w:tc>
          <w:tcPr>
            <w:tcW w:w="1985" w:type="dxa"/>
          </w:tcPr>
          <w:p w14:paraId="733B45AD" w14:textId="77777777" w:rsidR="005E6000" w:rsidRPr="0046103F" w:rsidRDefault="005E6000" w:rsidP="00EE42FE">
            <w:r w:rsidRPr="0046103F">
              <w:t>30.04.2025</w:t>
            </w:r>
          </w:p>
        </w:tc>
      </w:tr>
      <w:tr w:rsidR="005E6000" w:rsidRPr="0046103F" w14:paraId="264370FF" w14:textId="77777777" w:rsidTr="00CF26B2">
        <w:trPr>
          <w:trHeight w:val="72"/>
        </w:trPr>
        <w:tc>
          <w:tcPr>
            <w:tcW w:w="4318" w:type="dxa"/>
            <w:shd w:val="clear" w:color="auto" w:fill="92D050"/>
          </w:tcPr>
          <w:p w14:paraId="75BB6BD0" w14:textId="77777777" w:rsidR="005E6000" w:rsidRPr="0046103F" w:rsidRDefault="005E6000" w:rsidP="00EE42FE">
            <w:r w:rsidRPr="0046103F">
              <w:rPr>
                <w:b/>
                <w:bCs/>
              </w:rPr>
              <w:t>Základní ekoplatba</w:t>
            </w:r>
          </w:p>
        </w:tc>
        <w:tc>
          <w:tcPr>
            <w:tcW w:w="3870" w:type="dxa"/>
            <w:gridSpan w:val="2"/>
          </w:tcPr>
          <w:p w14:paraId="32241149" w14:textId="77777777" w:rsidR="005E6000" w:rsidRPr="0046103F" w:rsidRDefault="005E6000" w:rsidP="00EE42FE">
            <w:r w:rsidRPr="0046103F">
              <w:t>19.02.2025</w:t>
            </w:r>
          </w:p>
        </w:tc>
        <w:tc>
          <w:tcPr>
            <w:tcW w:w="1985" w:type="dxa"/>
          </w:tcPr>
          <w:p w14:paraId="2CB7E7C6" w14:textId="77777777" w:rsidR="005E6000" w:rsidRPr="0046103F" w:rsidRDefault="005E6000" w:rsidP="00EE42FE">
            <w:r w:rsidRPr="0046103F">
              <w:t>30.04.2025</w:t>
            </w:r>
          </w:p>
        </w:tc>
      </w:tr>
      <w:tr w:rsidR="005E6000" w:rsidRPr="0046103F" w14:paraId="06C528B7" w14:textId="77777777" w:rsidTr="00CF26B2">
        <w:trPr>
          <w:trHeight w:val="72"/>
        </w:trPr>
        <w:tc>
          <w:tcPr>
            <w:tcW w:w="4318" w:type="dxa"/>
            <w:shd w:val="clear" w:color="auto" w:fill="92D050"/>
          </w:tcPr>
          <w:p w14:paraId="0452A6DB" w14:textId="77777777" w:rsidR="005E6000" w:rsidRPr="0046103F" w:rsidRDefault="005E6000" w:rsidP="00EE42FE">
            <w:r w:rsidRPr="0046103F">
              <w:rPr>
                <w:b/>
                <w:bCs/>
              </w:rPr>
              <w:t>CIS bahnice, kozy</w:t>
            </w:r>
          </w:p>
        </w:tc>
        <w:tc>
          <w:tcPr>
            <w:tcW w:w="3870" w:type="dxa"/>
            <w:gridSpan w:val="2"/>
          </w:tcPr>
          <w:p w14:paraId="71D7C638" w14:textId="77777777" w:rsidR="005E6000" w:rsidRPr="0046103F" w:rsidRDefault="005E6000" w:rsidP="00EE42FE">
            <w:r w:rsidRPr="0046103F">
              <w:t>25.02.2025</w:t>
            </w:r>
          </w:p>
        </w:tc>
        <w:tc>
          <w:tcPr>
            <w:tcW w:w="1985" w:type="dxa"/>
          </w:tcPr>
          <w:p w14:paraId="7DDC480D" w14:textId="77777777" w:rsidR="005E6000" w:rsidRPr="0046103F" w:rsidRDefault="005E6000" w:rsidP="00EE42FE">
            <w:r w:rsidRPr="0046103F">
              <w:t>21.04.2025</w:t>
            </w:r>
          </w:p>
        </w:tc>
      </w:tr>
      <w:tr w:rsidR="005E6000" w:rsidRPr="0046103F" w14:paraId="481BC149" w14:textId="77777777" w:rsidTr="00CF26B2">
        <w:trPr>
          <w:trHeight w:val="72"/>
        </w:trPr>
        <w:tc>
          <w:tcPr>
            <w:tcW w:w="4318" w:type="dxa"/>
            <w:shd w:val="clear" w:color="auto" w:fill="92D050"/>
          </w:tcPr>
          <w:p w14:paraId="54B7B00C" w14:textId="77777777" w:rsidR="005E6000" w:rsidRPr="0046103F" w:rsidRDefault="005E6000" w:rsidP="00EE42FE">
            <w:r w:rsidRPr="0046103F">
              <w:rPr>
                <w:b/>
                <w:bCs/>
              </w:rPr>
              <w:t>AEKO - ošetřování travních porostů</w:t>
            </w:r>
          </w:p>
        </w:tc>
        <w:tc>
          <w:tcPr>
            <w:tcW w:w="3870" w:type="dxa"/>
            <w:gridSpan w:val="2"/>
          </w:tcPr>
          <w:p w14:paraId="25E9A5B6" w14:textId="77777777" w:rsidR="005E6000" w:rsidRPr="0046103F" w:rsidRDefault="005E6000" w:rsidP="00EE42FE">
            <w:r w:rsidRPr="0046103F">
              <w:t>04.03.2025</w:t>
            </w:r>
          </w:p>
        </w:tc>
        <w:tc>
          <w:tcPr>
            <w:tcW w:w="1985" w:type="dxa"/>
          </w:tcPr>
          <w:p w14:paraId="0F86F96F" w14:textId="77777777" w:rsidR="005E6000" w:rsidRPr="0046103F" w:rsidRDefault="005E6000" w:rsidP="00EE42FE">
            <w:r w:rsidRPr="0046103F">
              <w:t>30.05.2025</w:t>
            </w:r>
          </w:p>
        </w:tc>
      </w:tr>
      <w:tr w:rsidR="005E6000" w:rsidRPr="0046103F" w14:paraId="5BF842F0" w14:textId="77777777" w:rsidTr="00CF26B2">
        <w:trPr>
          <w:trHeight w:val="72"/>
        </w:trPr>
        <w:tc>
          <w:tcPr>
            <w:tcW w:w="4318" w:type="dxa"/>
            <w:shd w:val="clear" w:color="auto" w:fill="92D050"/>
          </w:tcPr>
          <w:p w14:paraId="6BD2DC91" w14:textId="77777777" w:rsidR="005E6000" w:rsidRPr="0046103F" w:rsidRDefault="005E6000" w:rsidP="00EE42FE">
            <w:r w:rsidRPr="0046103F">
              <w:rPr>
                <w:b/>
                <w:bCs/>
              </w:rPr>
              <w:t>CIS zelenina s velmi vysokou pracností</w:t>
            </w:r>
          </w:p>
        </w:tc>
        <w:tc>
          <w:tcPr>
            <w:tcW w:w="3870" w:type="dxa"/>
            <w:gridSpan w:val="2"/>
          </w:tcPr>
          <w:p w14:paraId="136498B8" w14:textId="77777777" w:rsidR="005E6000" w:rsidRPr="0046103F" w:rsidRDefault="005E6000" w:rsidP="00EE42FE">
            <w:r w:rsidRPr="0046103F">
              <w:t>11.03.2025</w:t>
            </w:r>
          </w:p>
        </w:tc>
        <w:tc>
          <w:tcPr>
            <w:tcW w:w="1985" w:type="dxa"/>
          </w:tcPr>
          <w:p w14:paraId="15439001" w14:textId="77777777" w:rsidR="005E6000" w:rsidRPr="0046103F" w:rsidRDefault="005E6000" w:rsidP="00EE42FE">
            <w:r w:rsidRPr="0046103F">
              <w:t>12.05.2025</w:t>
            </w:r>
          </w:p>
        </w:tc>
      </w:tr>
      <w:tr w:rsidR="005E6000" w:rsidRPr="0046103F" w14:paraId="099DCCEB" w14:textId="77777777" w:rsidTr="00CF26B2">
        <w:trPr>
          <w:trHeight w:val="72"/>
        </w:trPr>
        <w:tc>
          <w:tcPr>
            <w:tcW w:w="4318" w:type="dxa"/>
            <w:shd w:val="clear" w:color="auto" w:fill="92D050"/>
          </w:tcPr>
          <w:p w14:paraId="5E2CE374" w14:textId="77777777" w:rsidR="005E6000" w:rsidRPr="0046103F" w:rsidRDefault="005E6000" w:rsidP="00EE42FE">
            <w:r w:rsidRPr="0046103F">
              <w:rPr>
                <w:b/>
                <w:bCs/>
              </w:rPr>
              <w:t>CIS zelenina s vysokou pracností</w:t>
            </w:r>
          </w:p>
        </w:tc>
        <w:tc>
          <w:tcPr>
            <w:tcW w:w="3870" w:type="dxa"/>
            <w:gridSpan w:val="2"/>
          </w:tcPr>
          <w:p w14:paraId="7B1EB30D" w14:textId="77777777" w:rsidR="005E6000" w:rsidRPr="0046103F" w:rsidRDefault="005E6000" w:rsidP="00EE42FE">
            <w:r w:rsidRPr="0046103F">
              <w:t>11.03.2025</w:t>
            </w:r>
          </w:p>
        </w:tc>
        <w:tc>
          <w:tcPr>
            <w:tcW w:w="1985" w:type="dxa"/>
          </w:tcPr>
          <w:p w14:paraId="63C7F8B9" w14:textId="77777777" w:rsidR="005E6000" w:rsidRPr="0046103F" w:rsidRDefault="005E6000" w:rsidP="00EE42FE">
            <w:r w:rsidRPr="0046103F">
              <w:t>12.05.2025</w:t>
            </w:r>
          </w:p>
        </w:tc>
      </w:tr>
      <w:tr w:rsidR="005E6000" w:rsidRPr="0046103F" w14:paraId="255B0A48" w14:textId="77777777" w:rsidTr="00CF26B2">
        <w:trPr>
          <w:trHeight w:val="72"/>
        </w:trPr>
        <w:tc>
          <w:tcPr>
            <w:tcW w:w="4318" w:type="dxa"/>
            <w:shd w:val="clear" w:color="auto" w:fill="92D050"/>
          </w:tcPr>
          <w:p w14:paraId="05CB0294" w14:textId="77777777" w:rsidR="005E6000" w:rsidRPr="0046103F" w:rsidRDefault="005E6000" w:rsidP="00EE42FE">
            <w:r w:rsidRPr="0046103F">
              <w:rPr>
                <w:b/>
                <w:bCs/>
              </w:rPr>
              <w:t>CIS ovoce s velmi vysokou pracností</w:t>
            </w:r>
          </w:p>
        </w:tc>
        <w:tc>
          <w:tcPr>
            <w:tcW w:w="3870" w:type="dxa"/>
            <w:gridSpan w:val="2"/>
          </w:tcPr>
          <w:p w14:paraId="582EABE0" w14:textId="77777777" w:rsidR="005E6000" w:rsidRPr="0046103F" w:rsidRDefault="005E6000" w:rsidP="00EE42FE">
            <w:r w:rsidRPr="0046103F">
              <w:t>11.03.2025</w:t>
            </w:r>
          </w:p>
        </w:tc>
        <w:tc>
          <w:tcPr>
            <w:tcW w:w="1985" w:type="dxa"/>
          </w:tcPr>
          <w:p w14:paraId="11848E7D" w14:textId="77777777" w:rsidR="005E6000" w:rsidRPr="0046103F" w:rsidRDefault="005E6000" w:rsidP="00EE42FE">
            <w:r w:rsidRPr="0046103F">
              <w:t>12.05.2025</w:t>
            </w:r>
          </w:p>
        </w:tc>
      </w:tr>
      <w:tr w:rsidR="005E6000" w:rsidRPr="0046103F" w14:paraId="71B73396" w14:textId="77777777" w:rsidTr="00CF26B2">
        <w:trPr>
          <w:trHeight w:val="72"/>
        </w:trPr>
        <w:tc>
          <w:tcPr>
            <w:tcW w:w="4318" w:type="dxa"/>
            <w:shd w:val="clear" w:color="auto" w:fill="92D050"/>
          </w:tcPr>
          <w:p w14:paraId="30A640D4" w14:textId="77777777" w:rsidR="005E6000" w:rsidRPr="0046103F" w:rsidRDefault="005E6000" w:rsidP="00EE42FE">
            <w:r w:rsidRPr="0046103F">
              <w:rPr>
                <w:b/>
                <w:bCs/>
              </w:rPr>
              <w:t>CIS ovoce s vysokou pracností</w:t>
            </w:r>
          </w:p>
        </w:tc>
        <w:tc>
          <w:tcPr>
            <w:tcW w:w="3870" w:type="dxa"/>
            <w:gridSpan w:val="2"/>
          </w:tcPr>
          <w:p w14:paraId="7511C23B" w14:textId="77777777" w:rsidR="005E6000" w:rsidRPr="0046103F" w:rsidRDefault="005E6000" w:rsidP="00EE42FE">
            <w:r w:rsidRPr="0046103F">
              <w:t>11.03.2025</w:t>
            </w:r>
          </w:p>
        </w:tc>
        <w:tc>
          <w:tcPr>
            <w:tcW w:w="1985" w:type="dxa"/>
          </w:tcPr>
          <w:p w14:paraId="45553AA2" w14:textId="77777777" w:rsidR="005E6000" w:rsidRPr="0046103F" w:rsidRDefault="005E6000" w:rsidP="00EE42FE">
            <w:r w:rsidRPr="0046103F">
              <w:t>12.05.2025</w:t>
            </w:r>
          </w:p>
        </w:tc>
      </w:tr>
      <w:tr w:rsidR="005E6000" w:rsidRPr="0046103F" w14:paraId="1F00D46A" w14:textId="77777777" w:rsidTr="00CF26B2">
        <w:trPr>
          <w:trHeight w:val="72"/>
        </w:trPr>
        <w:tc>
          <w:tcPr>
            <w:tcW w:w="4318" w:type="dxa"/>
            <w:shd w:val="clear" w:color="auto" w:fill="92D050"/>
          </w:tcPr>
          <w:p w14:paraId="1C43006C" w14:textId="77777777" w:rsidR="005E6000" w:rsidRPr="0046103F" w:rsidRDefault="005E6000" w:rsidP="00EE42FE">
            <w:r w:rsidRPr="0046103F">
              <w:rPr>
                <w:b/>
                <w:bCs/>
              </w:rPr>
              <w:t>CIS škrobové brambory</w:t>
            </w:r>
          </w:p>
        </w:tc>
        <w:tc>
          <w:tcPr>
            <w:tcW w:w="3870" w:type="dxa"/>
            <w:gridSpan w:val="2"/>
          </w:tcPr>
          <w:p w14:paraId="5173FDAF" w14:textId="77777777" w:rsidR="005E6000" w:rsidRPr="0046103F" w:rsidRDefault="005E6000" w:rsidP="00EE42FE">
            <w:r w:rsidRPr="0046103F">
              <w:t>11.03.2025</w:t>
            </w:r>
          </w:p>
        </w:tc>
        <w:tc>
          <w:tcPr>
            <w:tcW w:w="1985" w:type="dxa"/>
          </w:tcPr>
          <w:p w14:paraId="69D8033B" w14:textId="77777777" w:rsidR="005E6000" w:rsidRPr="0046103F" w:rsidRDefault="005E6000" w:rsidP="00EE42FE">
            <w:r w:rsidRPr="0046103F">
              <w:t>12.05.2025</w:t>
            </w:r>
          </w:p>
        </w:tc>
      </w:tr>
      <w:tr w:rsidR="005E6000" w:rsidRPr="0046103F" w14:paraId="2E17237F" w14:textId="77777777" w:rsidTr="00CF26B2">
        <w:trPr>
          <w:trHeight w:val="72"/>
        </w:trPr>
        <w:tc>
          <w:tcPr>
            <w:tcW w:w="4318" w:type="dxa"/>
            <w:shd w:val="clear" w:color="auto" w:fill="92D050"/>
          </w:tcPr>
          <w:p w14:paraId="7DE1A226" w14:textId="77777777" w:rsidR="005E6000" w:rsidRPr="0046103F" w:rsidRDefault="005E6000" w:rsidP="00EE42FE">
            <w:r w:rsidRPr="0046103F">
              <w:rPr>
                <w:b/>
                <w:bCs/>
              </w:rPr>
              <w:lastRenderedPageBreak/>
              <w:t>AEKO - zatravňování, ochrana čejky chocholaté, krajinotvorné sady</w:t>
            </w:r>
          </w:p>
        </w:tc>
        <w:tc>
          <w:tcPr>
            <w:tcW w:w="3870" w:type="dxa"/>
            <w:gridSpan w:val="2"/>
          </w:tcPr>
          <w:p w14:paraId="54167C1F" w14:textId="77777777" w:rsidR="005E6000" w:rsidRPr="0046103F" w:rsidRDefault="005E6000" w:rsidP="00EE42FE">
            <w:r w:rsidRPr="0046103F">
              <w:t>18.03.2025</w:t>
            </w:r>
          </w:p>
        </w:tc>
        <w:tc>
          <w:tcPr>
            <w:tcW w:w="1985" w:type="dxa"/>
          </w:tcPr>
          <w:p w14:paraId="7DA495E3" w14:textId="77777777" w:rsidR="005E6000" w:rsidRPr="0046103F" w:rsidRDefault="005E6000" w:rsidP="00EE42FE">
            <w:r w:rsidRPr="0046103F">
              <w:t>30.05.2025</w:t>
            </w:r>
          </w:p>
        </w:tc>
      </w:tr>
      <w:tr w:rsidR="005E6000" w:rsidRPr="0046103F" w14:paraId="6AA21701" w14:textId="77777777" w:rsidTr="00CF26B2">
        <w:trPr>
          <w:trHeight w:val="72"/>
        </w:trPr>
        <w:tc>
          <w:tcPr>
            <w:tcW w:w="4318" w:type="dxa"/>
            <w:shd w:val="clear" w:color="auto" w:fill="92D050"/>
          </w:tcPr>
          <w:p w14:paraId="48B986B1" w14:textId="77777777" w:rsidR="005E6000" w:rsidRPr="0046103F" w:rsidRDefault="005E6000" w:rsidP="00EE42FE">
            <w:r w:rsidRPr="0046103F">
              <w:rPr>
                <w:b/>
                <w:bCs/>
              </w:rPr>
              <w:t>AEKO - druhově bohaté pokrytí orné půdy, omezení pesticidů v OPVZ</w:t>
            </w:r>
          </w:p>
        </w:tc>
        <w:tc>
          <w:tcPr>
            <w:tcW w:w="3870" w:type="dxa"/>
            <w:gridSpan w:val="2"/>
          </w:tcPr>
          <w:p w14:paraId="1071200D" w14:textId="77777777" w:rsidR="005E6000" w:rsidRPr="0046103F" w:rsidRDefault="005E6000" w:rsidP="00EE42FE">
            <w:r w:rsidRPr="0046103F">
              <w:t>18.03.2025</w:t>
            </w:r>
          </w:p>
        </w:tc>
        <w:tc>
          <w:tcPr>
            <w:tcW w:w="1985" w:type="dxa"/>
          </w:tcPr>
          <w:p w14:paraId="5EE74DD7" w14:textId="77777777" w:rsidR="005E6000" w:rsidRPr="0046103F" w:rsidRDefault="005E6000" w:rsidP="00EE42FE">
            <w:r w:rsidRPr="0046103F">
              <w:t>30.05.2025</w:t>
            </w:r>
          </w:p>
        </w:tc>
      </w:tr>
      <w:tr w:rsidR="005E6000" w:rsidRPr="0046103F" w14:paraId="136E0EC1" w14:textId="77777777" w:rsidTr="00CF26B2">
        <w:trPr>
          <w:trHeight w:val="72"/>
        </w:trPr>
        <w:tc>
          <w:tcPr>
            <w:tcW w:w="4318" w:type="dxa"/>
            <w:shd w:val="clear" w:color="auto" w:fill="92D050"/>
          </w:tcPr>
          <w:p w14:paraId="675982C3" w14:textId="77777777" w:rsidR="005E6000" w:rsidRPr="0046103F" w:rsidRDefault="005E6000" w:rsidP="00EE42FE">
            <w:r w:rsidRPr="0046103F">
              <w:rPr>
                <w:b/>
                <w:bCs/>
              </w:rPr>
              <w:t>Prémiová ekoplatba</w:t>
            </w:r>
          </w:p>
        </w:tc>
        <w:tc>
          <w:tcPr>
            <w:tcW w:w="3870" w:type="dxa"/>
            <w:gridSpan w:val="2"/>
          </w:tcPr>
          <w:p w14:paraId="6FFA6747" w14:textId="77777777" w:rsidR="005E6000" w:rsidRPr="0046103F" w:rsidRDefault="005E6000" w:rsidP="00EE42FE">
            <w:r w:rsidRPr="0046103F">
              <w:t>26.03.2025</w:t>
            </w:r>
          </w:p>
        </w:tc>
        <w:tc>
          <w:tcPr>
            <w:tcW w:w="1985" w:type="dxa"/>
          </w:tcPr>
          <w:p w14:paraId="7458F2F8" w14:textId="77777777" w:rsidR="005E6000" w:rsidRPr="0046103F" w:rsidRDefault="005E6000" w:rsidP="00EE42FE">
            <w:r w:rsidRPr="0046103F">
              <w:t>06.06.2025</w:t>
            </w:r>
          </w:p>
        </w:tc>
      </w:tr>
      <w:tr w:rsidR="005E6000" w:rsidRPr="0046103F" w14:paraId="2FAB9208" w14:textId="77777777" w:rsidTr="00CF26B2">
        <w:trPr>
          <w:trHeight w:val="72"/>
        </w:trPr>
        <w:tc>
          <w:tcPr>
            <w:tcW w:w="4318" w:type="dxa"/>
            <w:shd w:val="clear" w:color="auto" w:fill="92D050"/>
          </w:tcPr>
          <w:p w14:paraId="0038C2EE" w14:textId="77777777" w:rsidR="005E6000" w:rsidRPr="0046103F" w:rsidRDefault="005E6000" w:rsidP="00EE42FE">
            <w:r w:rsidRPr="0046103F">
              <w:rPr>
                <w:b/>
                <w:bCs/>
              </w:rPr>
              <w:t>AEKO - integrovaná produkce vína, ovoce, zeleniny, jahod, brambor, víceleté plodiny</w:t>
            </w:r>
          </w:p>
        </w:tc>
        <w:tc>
          <w:tcPr>
            <w:tcW w:w="3870" w:type="dxa"/>
            <w:gridSpan w:val="2"/>
          </w:tcPr>
          <w:p w14:paraId="1C9ADC83" w14:textId="77777777" w:rsidR="005E6000" w:rsidRPr="0046103F" w:rsidRDefault="005E6000" w:rsidP="00EE42FE">
            <w:r w:rsidRPr="0046103F">
              <w:t>01.04.2025</w:t>
            </w:r>
          </w:p>
        </w:tc>
        <w:tc>
          <w:tcPr>
            <w:tcW w:w="1985" w:type="dxa"/>
          </w:tcPr>
          <w:p w14:paraId="7C0A3BF8" w14:textId="77777777" w:rsidR="005E6000" w:rsidRPr="0046103F" w:rsidRDefault="005E6000" w:rsidP="00EE42FE">
            <w:r w:rsidRPr="0046103F">
              <w:t>30.05.2025</w:t>
            </w:r>
          </w:p>
        </w:tc>
      </w:tr>
      <w:tr w:rsidR="005E6000" w:rsidRPr="0046103F" w14:paraId="09410F5C" w14:textId="77777777" w:rsidTr="00CF26B2">
        <w:trPr>
          <w:trHeight w:val="72"/>
        </w:trPr>
        <w:tc>
          <w:tcPr>
            <w:tcW w:w="4318" w:type="dxa"/>
            <w:shd w:val="clear" w:color="auto" w:fill="92D050"/>
          </w:tcPr>
          <w:p w14:paraId="640DF6F9" w14:textId="77777777" w:rsidR="005E6000" w:rsidRPr="0046103F" w:rsidRDefault="005E6000" w:rsidP="00EE42FE">
            <w:r w:rsidRPr="0046103F">
              <w:rPr>
                <w:b/>
                <w:bCs/>
              </w:rPr>
              <w:t>Welfare</w:t>
            </w:r>
          </w:p>
        </w:tc>
        <w:tc>
          <w:tcPr>
            <w:tcW w:w="3870" w:type="dxa"/>
            <w:gridSpan w:val="2"/>
          </w:tcPr>
          <w:p w14:paraId="06C8A5E6" w14:textId="77777777" w:rsidR="005E6000" w:rsidRPr="0046103F" w:rsidRDefault="005E6000" w:rsidP="00EE42FE">
            <w:r w:rsidRPr="0046103F">
              <w:t>23.04.2025</w:t>
            </w:r>
          </w:p>
        </w:tc>
        <w:tc>
          <w:tcPr>
            <w:tcW w:w="1985" w:type="dxa"/>
          </w:tcPr>
          <w:p w14:paraId="5A910A32" w14:textId="77777777" w:rsidR="005E6000" w:rsidRPr="0046103F" w:rsidRDefault="005E6000" w:rsidP="00EE42FE">
            <w:r w:rsidRPr="0046103F">
              <w:t>06.06.2025</w:t>
            </w:r>
          </w:p>
        </w:tc>
      </w:tr>
      <w:tr w:rsidR="005E6000" w:rsidRPr="0046103F" w14:paraId="0CA694AE" w14:textId="77777777" w:rsidTr="00CF26B2">
        <w:trPr>
          <w:trHeight w:val="72"/>
        </w:trPr>
        <w:tc>
          <w:tcPr>
            <w:tcW w:w="4318" w:type="dxa"/>
            <w:shd w:val="clear" w:color="auto" w:fill="92D050"/>
          </w:tcPr>
          <w:p w14:paraId="1FF7052E" w14:textId="77777777" w:rsidR="005E6000" w:rsidRPr="0046103F" w:rsidRDefault="005E6000" w:rsidP="00EE42FE">
            <w:r w:rsidRPr="0046103F">
              <w:rPr>
                <w:b/>
                <w:bCs/>
              </w:rPr>
              <w:t>Vakcinace prasat</w:t>
            </w:r>
          </w:p>
        </w:tc>
        <w:tc>
          <w:tcPr>
            <w:tcW w:w="3870" w:type="dxa"/>
            <w:gridSpan w:val="2"/>
          </w:tcPr>
          <w:p w14:paraId="628E777F" w14:textId="77777777" w:rsidR="005E6000" w:rsidRPr="0046103F" w:rsidRDefault="005E6000" w:rsidP="00EE42FE">
            <w:r w:rsidRPr="0046103F">
              <w:t>23.04.2025</w:t>
            </w:r>
          </w:p>
        </w:tc>
        <w:tc>
          <w:tcPr>
            <w:tcW w:w="1985" w:type="dxa"/>
          </w:tcPr>
          <w:p w14:paraId="0E8B2F69" w14:textId="77777777" w:rsidR="005E6000" w:rsidRPr="0046103F" w:rsidRDefault="005E6000" w:rsidP="00EE42FE">
            <w:r w:rsidRPr="0046103F">
              <w:t>06.06.2025</w:t>
            </w:r>
          </w:p>
        </w:tc>
      </w:tr>
      <w:tr w:rsidR="005E6000" w:rsidRPr="0046103F" w14:paraId="3BA36B2D" w14:textId="77777777" w:rsidTr="00CF26B2">
        <w:trPr>
          <w:trHeight w:val="72"/>
        </w:trPr>
        <w:tc>
          <w:tcPr>
            <w:tcW w:w="4318" w:type="dxa"/>
            <w:shd w:val="clear" w:color="auto" w:fill="92D050"/>
          </w:tcPr>
          <w:p w14:paraId="6DA2A043" w14:textId="77777777" w:rsidR="005E6000" w:rsidRPr="0046103F" w:rsidRDefault="005E6000" w:rsidP="00EE42FE">
            <w:r w:rsidRPr="0046103F">
              <w:rPr>
                <w:b/>
                <w:bCs/>
              </w:rPr>
              <w:t>AEKO - meziplodiny, biopásy</w:t>
            </w:r>
          </w:p>
        </w:tc>
        <w:tc>
          <w:tcPr>
            <w:tcW w:w="3870" w:type="dxa"/>
            <w:gridSpan w:val="2"/>
          </w:tcPr>
          <w:p w14:paraId="12EB2E5E" w14:textId="77777777" w:rsidR="005E6000" w:rsidRPr="0046103F" w:rsidRDefault="005E6000" w:rsidP="00EE42FE">
            <w:r w:rsidRPr="0046103F">
              <w:t>06.05.2025</w:t>
            </w:r>
          </w:p>
        </w:tc>
        <w:tc>
          <w:tcPr>
            <w:tcW w:w="1985" w:type="dxa"/>
          </w:tcPr>
          <w:p w14:paraId="635E81B8" w14:textId="77777777" w:rsidR="005E6000" w:rsidRPr="0046103F" w:rsidRDefault="005E6000" w:rsidP="00EE42FE">
            <w:r w:rsidRPr="0046103F">
              <w:t>06.06.2025</w:t>
            </w:r>
          </w:p>
        </w:tc>
      </w:tr>
    </w:tbl>
    <w:p w14:paraId="07537671" w14:textId="77777777" w:rsidR="005E6000" w:rsidRDefault="005E6000" w:rsidP="005E6000"/>
    <w:p w14:paraId="1E0D398C" w14:textId="77777777" w:rsidR="000545E1" w:rsidRDefault="000545E1" w:rsidP="002656FE">
      <w:pPr>
        <w:tabs>
          <w:tab w:val="left" w:pos="3540"/>
          <w:tab w:val="left" w:pos="6327"/>
          <w:tab w:val="left" w:pos="7025"/>
        </w:tabs>
        <w:spacing w:after="0" w:line="276" w:lineRule="auto"/>
        <w:jc w:val="both"/>
        <w:rPr>
          <w:rFonts w:ascii="Arial" w:hAnsi="Arial" w:cs="Arial"/>
          <w:b/>
          <w:bCs/>
          <w:iCs/>
          <w:caps/>
        </w:rPr>
      </w:pPr>
    </w:p>
    <w:p w14:paraId="391A480E" w14:textId="6FE0CC5F" w:rsidR="005E6000" w:rsidRDefault="004F4D8D" w:rsidP="002656FE">
      <w:pPr>
        <w:tabs>
          <w:tab w:val="left" w:pos="3540"/>
          <w:tab w:val="left" w:pos="6327"/>
          <w:tab w:val="left" w:pos="7025"/>
        </w:tabs>
        <w:spacing w:after="0" w:line="276" w:lineRule="auto"/>
        <w:jc w:val="both"/>
        <w:rPr>
          <w:rFonts w:ascii="Arial" w:hAnsi="Arial" w:cs="Arial"/>
          <w:b/>
          <w:bCs/>
          <w:iCs/>
          <w:caps/>
        </w:rPr>
      </w:pPr>
      <w:r>
        <w:rPr>
          <w:rFonts w:ascii="Arial" w:hAnsi="Arial" w:cs="Arial"/>
          <w:b/>
          <w:bCs/>
          <w:iCs/>
          <w:caps/>
        </w:rPr>
        <w:t>předpoklad</w:t>
      </w:r>
      <w:r w:rsidR="00AA651C">
        <w:rPr>
          <w:rFonts w:ascii="Arial" w:hAnsi="Arial" w:cs="Arial"/>
          <w:b/>
          <w:bCs/>
          <w:iCs/>
          <w:caps/>
        </w:rPr>
        <w:t xml:space="preserve"> </w:t>
      </w:r>
      <w:r>
        <w:rPr>
          <w:rFonts w:ascii="Arial" w:hAnsi="Arial" w:cs="Arial"/>
          <w:b/>
          <w:bCs/>
          <w:iCs/>
          <w:caps/>
        </w:rPr>
        <w:t>výplaty záloh v roce 2024</w:t>
      </w:r>
    </w:p>
    <w:p w14:paraId="1ABC9A23" w14:textId="77777777" w:rsidR="005E6000" w:rsidRDefault="005E6000" w:rsidP="002656FE">
      <w:pPr>
        <w:tabs>
          <w:tab w:val="left" w:pos="3540"/>
          <w:tab w:val="left" w:pos="6327"/>
          <w:tab w:val="left" w:pos="7025"/>
        </w:tabs>
        <w:spacing w:after="0" w:line="276" w:lineRule="auto"/>
        <w:jc w:val="both"/>
        <w:rPr>
          <w:rFonts w:ascii="Arial" w:hAnsi="Arial" w:cs="Arial"/>
          <w:b/>
          <w:bCs/>
          <w:iCs/>
          <w:caps/>
        </w:rPr>
      </w:pPr>
    </w:p>
    <w:tbl>
      <w:tblPr>
        <w:tblW w:w="10120" w:type="dxa"/>
        <w:tblCellMar>
          <w:left w:w="70" w:type="dxa"/>
          <w:right w:w="70" w:type="dxa"/>
        </w:tblCellMar>
        <w:tblLook w:val="04A0" w:firstRow="1" w:lastRow="0" w:firstColumn="1" w:lastColumn="0" w:noHBand="0" w:noVBand="1"/>
      </w:tblPr>
      <w:tblGrid>
        <w:gridCol w:w="3749"/>
        <w:gridCol w:w="2543"/>
        <w:gridCol w:w="3621"/>
        <w:gridCol w:w="207"/>
      </w:tblGrid>
      <w:tr w:rsidR="005E6000" w:rsidRPr="005E6000" w14:paraId="549138D1" w14:textId="77777777" w:rsidTr="000259DA">
        <w:trPr>
          <w:trHeight w:val="357"/>
        </w:trPr>
        <w:tc>
          <w:tcPr>
            <w:tcW w:w="3749" w:type="dxa"/>
            <w:tcBorders>
              <w:top w:val="single" w:sz="8" w:space="0" w:color="auto"/>
              <w:left w:val="single" w:sz="8" w:space="0" w:color="auto"/>
              <w:bottom w:val="single" w:sz="8" w:space="0" w:color="auto"/>
              <w:right w:val="single" w:sz="8" w:space="0" w:color="auto"/>
            </w:tcBorders>
            <w:shd w:val="clear" w:color="000000" w:fill="FFC000"/>
            <w:noWrap/>
            <w:vAlign w:val="center"/>
            <w:hideMark/>
          </w:tcPr>
          <w:p w14:paraId="0F9A2098" w14:textId="77777777" w:rsidR="005E6000" w:rsidRPr="005E6000" w:rsidRDefault="005E6000" w:rsidP="005E6000">
            <w:pPr>
              <w:spacing w:after="0" w:line="240" w:lineRule="auto"/>
              <w:jc w:val="center"/>
              <w:rPr>
                <w:rFonts w:ascii="Calibri" w:eastAsia="Times New Roman" w:hAnsi="Calibri" w:cs="Calibri"/>
                <w:b/>
                <w:bCs/>
                <w:color w:val="000000"/>
                <w:kern w:val="0"/>
                <w:lang w:eastAsia="cs-CZ"/>
                <w14:ligatures w14:val="none"/>
              </w:rPr>
            </w:pPr>
            <w:r w:rsidRPr="005E6000">
              <w:rPr>
                <w:rFonts w:ascii="Calibri" w:eastAsia="Times New Roman" w:hAnsi="Calibri" w:cs="Calibri"/>
                <w:b/>
                <w:bCs/>
                <w:color w:val="000000"/>
                <w:kern w:val="0"/>
                <w:lang w:eastAsia="cs-CZ"/>
                <w14:ligatures w14:val="none"/>
              </w:rPr>
              <w:t>Opatření</w:t>
            </w:r>
          </w:p>
        </w:tc>
        <w:tc>
          <w:tcPr>
            <w:tcW w:w="2543" w:type="dxa"/>
            <w:tcBorders>
              <w:top w:val="single" w:sz="8" w:space="0" w:color="auto"/>
              <w:left w:val="nil"/>
              <w:bottom w:val="single" w:sz="8" w:space="0" w:color="auto"/>
              <w:right w:val="single" w:sz="4" w:space="0" w:color="auto"/>
            </w:tcBorders>
            <w:shd w:val="clear" w:color="000000" w:fill="FFC000"/>
            <w:noWrap/>
            <w:vAlign w:val="center"/>
            <w:hideMark/>
          </w:tcPr>
          <w:p w14:paraId="26E12962" w14:textId="77777777" w:rsidR="005E6000" w:rsidRPr="005E6000" w:rsidRDefault="005E6000" w:rsidP="005E6000">
            <w:pPr>
              <w:spacing w:after="0" w:line="240" w:lineRule="auto"/>
              <w:jc w:val="center"/>
              <w:rPr>
                <w:rFonts w:ascii="Calibri" w:eastAsia="Times New Roman" w:hAnsi="Calibri" w:cs="Calibri"/>
                <w:b/>
                <w:bCs/>
                <w:color w:val="000000"/>
                <w:kern w:val="0"/>
                <w:lang w:eastAsia="cs-CZ"/>
                <w14:ligatures w14:val="none"/>
              </w:rPr>
            </w:pPr>
            <w:r w:rsidRPr="005E6000">
              <w:rPr>
                <w:rFonts w:ascii="Calibri" w:eastAsia="Times New Roman" w:hAnsi="Calibri" w:cs="Calibri"/>
                <w:b/>
                <w:bCs/>
                <w:color w:val="000000"/>
                <w:kern w:val="0"/>
                <w:lang w:eastAsia="cs-CZ"/>
                <w14:ligatures w14:val="none"/>
              </w:rPr>
              <w:t>Rozpočet v Kč*</w:t>
            </w:r>
          </w:p>
        </w:tc>
        <w:tc>
          <w:tcPr>
            <w:tcW w:w="3621" w:type="dxa"/>
            <w:tcBorders>
              <w:top w:val="single" w:sz="8" w:space="0" w:color="auto"/>
              <w:left w:val="nil"/>
              <w:bottom w:val="single" w:sz="8" w:space="0" w:color="auto"/>
              <w:right w:val="single" w:sz="8" w:space="0" w:color="auto"/>
            </w:tcBorders>
            <w:shd w:val="clear" w:color="000000" w:fill="FFC000"/>
            <w:noWrap/>
            <w:vAlign w:val="center"/>
            <w:hideMark/>
          </w:tcPr>
          <w:p w14:paraId="26FD56FD" w14:textId="77777777" w:rsidR="005E6000" w:rsidRPr="005E6000" w:rsidRDefault="005E6000" w:rsidP="005E6000">
            <w:pPr>
              <w:spacing w:after="0" w:line="240" w:lineRule="auto"/>
              <w:jc w:val="center"/>
              <w:rPr>
                <w:rFonts w:ascii="Calibri" w:eastAsia="Times New Roman" w:hAnsi="Calibri" w:cs="Calibri"/>
                <w:b/>
                <w:bCs/>
                <w:color w:val="000000"/>
                <w:kern w:val="0"/>
                <w:lang w:eastAsia="cs-CZ"/>
                <w14:ligatures w14:val="none"/>
              </w:rPr>
            </w:pPr>
            <w:r w:rsidRPr="005E6000">
              <w:rPr>
                <w:rFonts w:ascii="Calibri" w:eastAsia="Times New Roman" w:hAnsi="Calibri" w:cs="Calibri"/>
                <w:b/>
                <w:bCs/>
                <w:color w:val="000000"/>
                <w:kern w:val="0"/>
                <w:lang w:eastAsia="cs-CZ"/>
                <w14:ligatures w14:val="none"/>
              </w:rPr>
              <w:t>70 % záloha</w:t>
            </w:r>
          </w:p>
        </w:tc>
        <w:tc>
          <w:tcPr>
            <w:tcW w:w="207" w:type="dxa"/>
            <w:tcBorders>
              <w:top w:val="nil"/>
              <w:left w:val="nil"/>
              <w:bottom w:val="nil"/>
              <w:right w:val="nil"/>
            </w:tcBorders>
            <w:shd w:val="clear" w:color="auto" w:fill="auto"/>
            <w:noWrap/>
            <w:vAlign w:val="bottom"/>
            <w:hideMark/>
          </w:tcPr>
          <w:p w14:paraId="5FFEFF33" w14:textId="77777777" w:rsidR="005E6000" w:rsidRPr="005E6000" w:rsidRDefault="005E6000" w:rsidP="005E6000">
            <w:pPr>
              <w:spacing w:after="0" w:line="240" w:lineRule="auto"/>
              <w:jc w:val="center"/>
              <w:rPr>
                <w:rFonts w:ascii="Calibri" w:eastAsia="Times New Roman" w:hAnsi="Calibri" w:cs="Calibri"/>
                <w:b/>
                <w:bCs/>
                <w:color w:val="000000"/>
                <w:kern w:val="0"/>
                <w:lang w:eastAsia="cs-CZ"/>
                <w14:ligatures w14:val="none"/>
              </w:rPr>
            </w:pPr>
          </w:p>
        </w:tc>
      </w:tr>
      <w:tr w:rsidR="005E6000" w:rsidRPr="005E6000" w14:paraId="4D278E9D" w14:textId="77777777" w:rsidTr="000259DA">
        <w:trPr>
          <w:trHeight w:val="340"/>
        </w:trPr>
        <w:tc>
          <w:tcPr>
            <w:tcW w:w="3749" w:type="dxa"/>
            <w:tcBorders>
              <w:top w:val="nil"/>
              <w:left w:val="single" w:sz="8" w:space="0" w:color="auto"/>
              <w:bottom w:val="single" w:sz="4" w:space="0" w:color="auto"/>
              <w:right w:val="single" w:sz="8" w:space="0" w:color="auto"/>
            </w:tcBorders>
            <w:shd w:val="clear" w:color="000000" w:fill="92D050"/>
            <w:noWrap/>
            <w:vAlign w:val="center"/>
            <w:hideMark/>
          </w:tcPr>
          <w:p w14:paraId="623D9C57"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BISS</w:t>
            </w:r>
          </w:p>
        </w:tc>
        <w:tc>
          <w:tcPr>
            <w:tcW w:w="2543" w:type="dxa"/>
            <w:tcBorders>
              <w:top w:val="nil"/>
              <w:left w:val="nil"/>
              <w:bottom w:val="single" w:sz="4" w:space="0" w:color="auto"/>
              <w:right w:val="single" w:sz="4" w:space="0" w:color="auto"/>
            </w:tcBorders>
            <w:shd w:val="clear" w:color="auto" w:fill="auto"/>
            <w:noWrap/>
            <w:vAlign w:val="center"/>
            <w:hideMark/>
          </w:tcPr>
          <w:p w14:paraId="70A39D74"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6 174 224 107</w:t>
            </w:r>
          </w:p>
        </w:tc>
        <w:tc>
          <w:tcPr>
            <w:tcW w:w="3621" w:type="dxa"/>
            <w:tcBorders>
              <w:top w:val="nil"/>
              <w:left w:val="nil"/>
              <w:bottom w:val="single" w:sz="4" w:space="0" w:color="auto"/>
              <w:right w:val="single" w:sz="8" w:space="0" w:color="auto"/>
            </w:tcBorders>
            <w:shd w:val="clear" w:color="auto" w:fill="auto"/>
            <w:noWrap/>
            <w:vAlign w:val="center"/>
            <w:hideMark/>
          </w:tcPr>
          <w:p w14:paraId="4FDC61E7"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4 321 956 875</w:t>
            </w:r>
          </w:p>
        </w:tc>
        <w:tc>
          <w:tcPr>
            <w:tcW w:w="207" w:type="dxa"/>
            <w:tcBorders>
              <w:top w:val="nil"/>
              <w:left w:val="nil"/>
              <w:bottom w:val="nil"/>
              <w:right w:val="nil"/>
            </w:tcBorders>
            <w:shd w:val="clear" w:color="auto" w:fill="auto"/>
            <w:noWrap/>
            <w:vAlign w:val="bottom"/>
            <w:hideMark/>
          </w:tcPr>
          <w:p w14:paraId="54A4B102"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p>
        </w:tc>
      </w:tr>
      <w:tr w:rsidR="005E6000" w:rsidRPr="005E6000" w14:paraId="3B3C0394" w14:textId="77777777" w:rsidTr="000259DA">
        <w:trPr>
          <w:trHeight w:val="340"/>
        </w:trPr>
        <w:tc>
          <w:tcPr>
            <w:tcW w:w="3749" w:type="dxa"/>
            <w:tcBorders>
              <w:top w:val="nil"/>
              <w:left w:val="single" w:sz="8" w:space="0" w:color="auto"/>
              <w:bottom w:val="single" w:sz="4" w:space="0" w:color="auto"/>
              <w:right w:val="single" w:sz="8" w:space="0" w:color="auto"/>
            </w:tcBorders>
            <w:shd w:val="clear" w:color="000000" w:fill="92D050"/>
            <w:noWrap/>
            <w:vAlign w:val="center"/>
            <w:hideMark/>
          </w:tcPr>
          <w:p w14:paraId="019704AA"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DRP</w:t>
            </w:r>
          </w:p>
        </w:tc>
        <w:tc>
          <w:tcPr>
            <w:tcW w:w="2543" w:type="dxa"/>
            <w:tcBorders>
              <w:top w:val="nil"/>
              <w:left w:val="nil"/>
              <w:bottom w:val="single" w:sz="4" w:space="0" w:color="auto"/>
              <w:right w:val="single" w:sz="4" w:space="0" w:color="auto"/>
            </w:tcBorders>
            <w:shd w:val="clear" w:color="auto" w:fill="auto"/>
            <w:noWrap/>
            <w:vAlign w:val="center"/>
            <w:hideMark/>
          </w:tcPr>
          <w:p w14:paraId="199AA941"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4 610 116 484</w:t>
            </w:r>
          </w:p>
        </w:tc>
        <w:tc>
          <w:tcPr>
            <w:tcW w:w="3621" w:type="dxa"/>
            <w:tcBorders>
              <w:top w:val="nil"/>
              <w:left w:val="nil"/>
              <w:bottom w:val="single" w:sz="4" w:space="0" w:color="auto"/>
              <w:right w:val="single" w:sz="8" w:space="0" w:color="auto"/>
            </w:tcBorders>
            <w:shd w:val="clear" w:color="auto" w:fill="auto"/>
            <w:noWrap/>
            <w:vAlign w:val="center"/>
            <w:hideMark/>
          </w:tcPr>
          <w:p w14:paraId="5D5BDEA1"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3 227 081 539</w:t>
            </w:r>
          </w:p>
        </w:tc>
        <w:tc>
          <w:tcPr>
            <w:tcW w:w="207" w:type="dxa"/>
            <w:tcBorders>
              <w:top w:val="nil"/>
              <w:left w:val="nil"/>
              <w:bottom w:val="nil"/>
              <w:right w:val="nil"/>
            </w:tcBorders>
            <w:shd w:val="clear" w:color="auto" w:fill="auto"/>
            <w:noWrap/>
            <w:vAlign w:val="bottom"/>
            <w:hideMark/>
          </w:tcPr>
          <w:p w14:paraId="2878BECA"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p>
        </w:tc>
      </w:tr>
      <w:tr w:rsidR="005E6000" w:rsidRPr="005E6000" w14:paraId="29C2EDC9" w14:textId="77777777" w:rsidTr="000259DA">
        <w:trPr>
          <w:trHeight w:val="340"/>
        </w:trPr>
        <w:tc>
          <w:tcPr>
            <w:tcW w:w="3749" w:type="dxa"/>
            <w:tcBorders>
              <w:top w:val="nil"/>
              <w:left w:val="single" w:sz="8" w:space="0" w:color="auto"/>
              <w:bottom w:val="single" w:sz="4" w:space="0" w:color="auto"/>
              <w:right w:val="single" w:sz="8" w:space="0" w:color="auto"/>
            </w:tcBorders>
            <w:shd w:val="clear" w:color="000000" w:fill="92D050"/>
            <w:noWrap/>
            <w:vAlign w:val="center"/>
            <w:hideMark/>
          </w:tcPr>
          <w:p w14:paraId="08622773"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Mladý zemědělec 2023+</w:t>
            </w:r>
          </w:p>
        </w:tc>
        <w:tc>
          <w:tcPr>
            <w:tcW w:w="2543" w:type="dxa"/>
            <w:tcBorders>
              <w:top w:val="nil"/>
              <w:left w:val="nil"/>
              <w:bottom w:val="single" w:sz="4" w:space="0" w:color="auto"/>
              <w:right w:val="single" w:sz="4" w:space="0" w:color="auto"/>
            </w:tcBorders>
            <w:shd w:val="clear" w:color="auto" w:fill="auto"/>
            <w:noWrap/>
            <w:vAlign w:val="center"/>
            <w:hideMark/>
          </w:tcPr>
          <w:p w14:paraId="389022B9"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47 404 585</w:t>
            </w:r>
          </w:p>
        </w:tc>
        <w:tc>
          <w:tcPr>
            <w:tcW w:w="3621" w:type="dxa"/>
            <w:tcBorders>
              <w:top w:val="nil"/>
              <w:left w:val="nil"/>
              <w:bottom w:val="single" w:sz="4" w:space="0" w:color="auto"/>
              <w:right w:val="single" w:sz="8" w:space="0" w:color="auto"/>
            </w:tcBorders>
            <w:shd w:val="clear" w:color="auto" w:fill="auto"/>
            <w:noWrap/>
            <w:vAlign w:val="center"/>
            <w:hideMark/>
          </w:tcPr>
          <w:p w14:paraId="0C90D2AD"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33 183 210</w:t>
            </w:r>
          </w:p>
        </w:tc>
        <w:tc>
          <w:tcPr>
            <w:tcW w:w="207" w:type="dxa"/>
            <w:tcBorders>
              <w:top w:val="nil"/>
              <w:left w:val="nil"/>
              <w:bottom w:val="nil"/>
              <w:right w:val="nil"/>
            </w:tcBorders>
            <w:shd w:val="clear" w:color="auto" w:fill="auto"/>
            <w:noWrap/>
            <w:vAlign w:val="bottom"/>
            <w:hideMark/>
          </w:tcPr>
          <w:p w14:paraId="2AEEE48E"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p>
        </w:tc>
      </w:tr>
      <w:tr w:rsidR="005E6000" w:rsidRPr="005E6000" w14:paraId="576C8E75" w14:textId="77777777" w:rsidTr="000259DA">
        <w:trPr>
          <w:trHeight w:val="340"/>
        </w:trPr>
        <w:tc>
          <w:tcPr>
            <w:tcW w:w="3749" w:type="dxa"/>
            <w:tcBorders>
              <w:top w:val="nil"/>
              <w:left w:val="single" w:sz="8" w:space="0" w:color="auto"/>
              <w:bottom w:val="single" w:sz="4" w:space="0" w:color="auto"/>
              <w:right w:val="single" w:sz="8" w:space="0" w:color="auto"/>
            </w:tcBorders>
            <w:shd w:val="clear" w:color="000000" w:fill="92D050"/>
            <w:noWrap/>
            <w:vAlign w:val="center"/>
            <w:hideMark/>
          </w:tcPr>
          <w:p w14:paraId="3628F576"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Mladý zemědělec dobíhající</w:t>
            </w:r>
          </w:p>
        </w:tc>
        <w:tc>
          <w:tcPr>
            <w:tcW w:w="2543" w:type="dxa"/>
            <w:tcBorders>
              <w:top w:val="nil"/>
              <w:left w:val="nil"/>
              <w:bottom w:val="single" w:sz="4" w:space="0" w:color="auto"/>
              <w:right w:val="single" w:sz="4" w:space="0" w:color="auto"/>
            </w:tcBorders>
            <w:shd w:val="clear" w:color="auto" w:fill="auto"/>
            <w:noWrap/>
            <w:vAlign w:val="center"/>
            <w:hideMark/>
          </w:tcPr>
          <w:p w14:paraId="5C5D879B"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93 024 485</w:t>
            </w:r>
          </w:p>
        </w:tc>
        <w:tc>
          <w:tcPr>
            <w:tcW w:w="3621" w:type="dxa"/>
            <w:tcBorders>
              <w:top w:val="nil"/>
              <w:left w:val="nil"/>
              <w:bottom w:val="single" w:sz="4" w:space="0" w:color="auto"/>
              <w:right w:val="single" w:sz="8" w:space="0" w:color="auto"/>
            </w:tcBorders>
            <w:shd w:val="clear" w:color="auto" w:fill="auto"/>
            <w:noWrap/>
            <w:vAlign w:val="center"/>
            <w:hideMark/>
          </w:tcPr>
          <w:p w14:paraId="0B283A0D"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65 117 140</w:t>
            </w:r>
          </w:p>
        </w:tc>
        <w:tc>
          <w:tcPr>
            <w:tcW w:w="207" w:type="dxa"/>
            <w:tcBorders>
              <w:top w:val="nil"/>
              <w:left w:val="nil"/>
              <w:bottom w:val="nil"/>
              <w:right w:val="nil"/>
            </w:tcBorders>
            <w:shd w:val="clear" w:color="auto" w:fill="auto"/>
            <w:noWrap/>
            <w:vAlign w:val="bottom"/>
            <w:hideMark/>
          </w:tcPr>
          <w:p w14:paraId="2147B80D"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p>
        </w:tc>
      </w:tr>
      <w:tr w:rsidR="005E6000" w:rsidRPr="005E6000" w14:paraId="6E5FC8B2" w14:textId="77777777" w:rsidTr="000259DA">
        <w:trPr>
          <w:trHeight w:val="340"/>
        </w:trPr>
        <w:tc>
          <w:tcPr>
            <w:tcW w:w="3749" w:type="dxa"/>
            <w:tcBorders>
              <w:top w:val="nil"/>
              <w:left w:val="single" w:sz="8" w:space="0" w:color="auto"/>
              <w:bottom w:val="single" w:sz="4" w:space="0" w:color="auto"/>
              <w:right w:val="single" w:sz="8" w:space="0" w:color="auto"/>
            </w:tcBorders>
            <w:shd w:val="clear" w:color="000000" w:fill="92D050"/>
            <w:noWrap/>
            <w:vAlign w:val="center"/>
            <w:hideMark/>
          </w:tcPr>
          <w:p w14:paraId="7AA20022"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CIS - cukrová řepa</w:t>
            </w:r>
          </w:p>
        </w:tc>
        <w:tc>
          <w:tcPr>
            <w:tcW w:w="2543" w:type="dxa"/>
            <w:tcBorders>
              <w:top w:val="nil"/>
              <w:left w:val="nil"/>
              <w:bottom w:val="single" w:sz="4" w:space="0" w:color="auto"/>
              <w:right w:val="single" w:sz="4" w:space="0" w:color="auto"/>
            </w:tcBorders>
            <w:shd w:val="clear" w:color="auto" w:fill="auto"/>
            <w:noWrap/>
            <w:vAlign w:val="center"/>
            <w:hideMark/>
          </w:tcPr>
          <w:p w14:paraId="33EC0C31"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406 687 166</w:t>
            </w:r>
          </w:p>
        </w:tc>
        <w:tc>
          <w:tcPr>
            <w:tcW w:w="3621" w:type="dxa"/>
            <w:tcBorders>
              <w:top w:val="nil"/>
              <w:left w:val="nil"/>
              <w:bottom w:val="single" w:sz="4" w:space="0" w:color="auto"/>
              <w:right w:val="single" w:sz="8" w:space="0" w:color="auto"/>
            </w:tcBorders>
            <w:shd w:val="clear" w:color="auto" w:fill="auto"/>
            <w:noWrap/>
            <w:vAlign w:val="center"/>
            <w:hideMark/>
          </w:tcPr>
          <w:p w14:paraId="019C86C0"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284 681 016</w:t>
            </w:r>
          </w:p>
        </w:tc>
        <w:tc>
          <w:tcPr>
            <w:tcW w:w="207" w:type="dxa"/>
            <w:tcBorders>
              <w:top w:val="nil"/>
              <w:left w:val="nil"/>
              <w:bottom w:val="nil"/>
              <w:right w:val="nil"/>
            </w:tcBorders>
            <w:shd w:val="clear" w:color="auto" w:fill="auto"/>
            <w:noWrap/>
            <w:vAlign w:val="bottom"/>
            <w:hideMark/>
          </w:tcPr>
          <w:p w14:paraId="6CEA2A25"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p>
        </w:tc>
      </w:tr>
      <w:tr w:rsidR="005E6000" w:rsidRPr="005E6000" w14:paraId="5CD3432A" w14:textId="77777777" w:rsidTr="000259DA">
        <w:trPr>
          <w:trHeight w:val="340"/>
        </w:trPr>
        <w:tc>
          <w:tcPr>
            <w:tcW w:w="3749" w:type="dxa"/>
            <w:tcBorders>
              <w:top w:val="nil"/>
              <w:left w:val="single" w:sz="8" w:space="0" w:color="auto"/>
              <w:bottom w:val="single" w:sz="4" w:space="0" w:color="auto"/>
              <w:right w:val="single" w:sz="8" w:space="0" w:color="auto"/>
            </w:tcBorders>
            <w:shd w:val="clear" w:color="000000" w:fill="92D050"/>
            <w:noWrap/>
            <w:vAlign w:val="center"/>
            <w:hideMark/>
          </w:tcPr>
          <w:p w14:paraId="6BA358C3"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CIS - chmel</w:t>
            </w:r>
          </w:p>
        </w:tc>
        <w:tc>
          <w:tcPr>
            <w:tcW w:w="2543" w:type="dxa"/>
            <w:tcBorders>
              <w:top w:val="nil"/>
              <w:left w:val="nil"/>
              <w:bottom w:val="single" w:sz="4" w:space="0" w:color="auto"/>
              <w:right w:val="single" w:sz="4" w:space="0" w:color="auto"/>
            </w:tcBorders>
            <w:shd w:val="clear" w:color="auto" w:fill="auto"/>
            <w:noWrap/>
            <w:vAlign w:val="center"/>
            <w:hideMark/>
          </w:tcPr>
          <w:p w14:paraId="749113AB"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79 976 080</w:t>
            </w:r>
          </w:p>
        </w:tc>
        <w:tc>
          <w:tcPr>
            <w:tcW w:w="3621" w:type="dxa"/>
            <w:tcBorders>
              <w:top w:val="nil"/>
              <w:left w:val="nil"/>
              <w:bottom w:val="single" w:sz="4" w:space="0" w:color="auto"/>
              <w:right w:val="single" w:sz="8" w:space="0" w:color="auto"/>
            </w:tcBorders>
            <w:shd w:val="clear" w:color="auto" w:fill="auto"/>
            <w:noWrap/>
            <w:vAlign w:val="center"/>
            <w:hideMark/>
          </w:tcPr>
          <w:p w14:paraId="7CAC776F"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55 983 256</w:t>
            </w:r>
          </w:p>
        </w:tc>
        <w:tc>
          <w:tcPr>
            <w:tcW w:w="207" w:type="dxa"/>
            <w:tcBorders>
              <w:top w:val="nil"/>
              <w:left w:val="nil"/>
              <w:bottom w:val="nil"/>
              <w:right w:val="nil"/>
            </w:tcBorders>
            <w:shd w:val="clear" w:color="auto" w:fill="auto"/>
            <w:noWrap/>
            <w:vAlign w:val="bottom"/>
            <w:hideMark/>
          </w:tcPr>
          <w:p w14:paraId="7F6EE850"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p>
        </w:tc>
      </w:tr>
      <w:tr w:rsidR="005E6000" w:rsidRPr="005E6000" w14:paraId="677A8AF2" w14:textId="77777777" w:rsidTr="000259DA">
        <w:trPr>
          <w:trHeight w:val="340"/>
        </w:trPr>
        <w:tc>
          <w:tcPr>
            <w:tcW w:w="3749" w:type="dxa"/>
            <w:tcBorders>
              <w:top w:val="nil"/>
              <w:left w:val="single" w:sz="8" w:space="0" w:color="auto"/>
              <w:bottom w:val="single" w:sz="4" w:space="0" w:color="auto"/>
              <w:right w:val="single" w:sz="8" w:space="0" w:color="auto"/>
            </w:tcBorders>
            <w:shd w:val="clear" w:color="000000" w:fill="92D050"/>
            <w:noWrap/>
            <w:vAlign w:val="center"/>
            <w:hideMark/>
          </w:tcPr>
          <w:p w14:paraId="2FC49713"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CIS - bílkovinné plodiny</w:t>
            </w:r>
          </w:p>
        </w:tc>
        <w:tc>
          <w:tcPr>
            <w:tcW w:w="2543" w:type="dxa"/>
            <w:tcBorders>
              <w:top w:val="nil"/>
              <w:left w:val="nil"/>
              <w:bottom w:val="single" w:sz="4" w:space="0" w:color="auto"/>
              <w:right w:val="single" w:sz="4" w:space="0" w:color="auto"/>
            </w:tcBorders>
            <w:shd w:val="clear" w:color="auto" w:fill="auto"/>
            <w:noWrap/>
            <w:vAlign w:val="center"/>
            <w:hideMark/>
          </w:tcPr>
          <w:p w14:paraId="23E46E33"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414 916 182</w:t>
            </w:r>
          </w:p>
        </w:tc>
        <w:tc>
          <w:tcPr>
            <w:tcW w:w="3621" w:type="dxa"/>
            <w:tcBorders>
              <w:top w:val="nil"/>
              <w:left w:val="nil"/>
              <w:bottom w:val="single" w:sz="4" w:space="0" w:color="auto"/>
              <w:right w:val="single" w:sz="8" w:space="0" w:color="auto"/>
            </w:tcBorders>
            <w:shd w:val="clear" w:color="auto" w:fill="auto"/>
            <w:noWrap/>
            <w:vAlign w:val="center"/>
            <w:hideMark/>
          </w:tcPr>
          <w:p w14:paraId="0D645A25"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290 441 327</w:t>
            </w:r>
          </w:p>
        </w:tc>
        <w:tc>
          <w:tcPr>
            <w:tcW w:w="207" w:type="dxa"/>
            <w:tcBorders>
              <w:top w:val="nil"/>
              <w:left w:val="nil"/>
              <w:bottom w:val="nil"/>
              <w:right w:val="nil"/>
            </w:tcBorders>
            <w:shd w:val="clear" w:color="auto" w:fill="auto"/>
            <w:noWrap/>
            <w:vAlign w:val="bottom"/>
            <w:hideMark/>
          </w:tcPr>
          <w:p w14:paraId="5DE2F915"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p>
        </w:tc>
      </w:tr>
      <w:tr w:rsidR="005E6000" w:rsidRPr="005E6000" w14:paraId="10A85009" w14:textId="77777777" w:rsidTr="000259DA">
        <w:trPr>
          <w:trHeight w:val="340"/>
        </w:trPr>
        <w:tc>
          <w:tcPr>
            <w:tcW w:w="3749" w:type="dxa"/>
            <w:tcBorders>
              <w:top w:val="nil"/>
              <w:left w:val="single" w:sz="8" w:space="0" w:color="auto"/>
              <w:bottom w:val="single" w:sz="4" w:space="0" w:color="auto"/>
              <w:right w:val="single" w:sz="8" w:space="0" w:color="auto"/>
            </w:tcBorders>
            <w:shd w:val="clear" w:color="000000" w:fill="92D050"/>
            <w:noWrap/>
            <w:vAlign w:val="center"/>
            <w:hideMark/>
          </w:tcPr>
          <w:p w14:paraId="63314A77"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CIS - dojnice</w:t>
            </w:r>
          </w:p>
        </w:tc>
        <w:tc>
          <w:tcPr>
            <w:tcW w:w="2543" w:type="dxa"/>
            <w:tcBorders>
              <w:top w:val="nil"/>
              <w:left w:val="nil"/>
              <w:bottom w:val="single" w:sz="4" w:space="0" w:color="auto"/>
              <w:right w:val="single" w:sz="4" w:space="0" w:color="auto"/>
            </w:tcBorders>
            <w:shd w:val="clear" w:color="auto" w:fill="auto"/>
            <w:noWrap/>
            <w:vAlign w:val="center"/>
            <w:hideMark/>
          </w:tcPr>
          <w:p w14:paraId="7502AE4A"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1 236 996 063</w:t>
            </w:r>
          </w:p>
        </w:tc>
        <w:tc>
          <w:tcPr>
            <w:tcW w:w="3621" w:type="dxa"/>
            <w:tcBorders>
              <w:top w:val="nil"/>
              <w:left w:val="nil"/>
              <w:bottom w:val="single" w:sz="4" w:space="0" w:color="auto"/>
              <w:right w:val="single" w:sz="8" w:space="0" w:color="auto"/>
            </w:tcBorders>
            <w:shd w:val="clear" w:color="auto" w:fill="auto"/>
            <w:noWrap/>
            <w:vAlign w:val="center"/>
            <w:hideMark/>
          </w:tcPr>
          <w:p w14:paraId="02E53EC7"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865 897 244</w:t>
            </w:r>
          </w:p>
        </w:tc>
        <w:tc>
          <w:tcPr>
            <w:tcW w:w="207" w:type="dxa"/>
            <w:tcBorders>
              <w:top w:val="nil"/>
              <w:left w:val="nil"/>
              <w:bottom w:val="nil"/>
              <w:right w:val="nil"/>
            </w:tcBorders>
            <w:shd w:val="clear" w:color="auto" w:fill="auto"/>
            <w:noWrap/>
            <w:vAlign w:val="bottom"/>
            <w:hideMark/>
          </w:tcPr>
          <w:p w14:paraId="2FA60F5E"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p>
        </w:tc>
      </w:tr>
      <w:tr w:rsidR="005E6000" w:rsidRPr="005E6000" w14:paraId="5CB98C2E" w14:textId="77777777" w:rsidTr="000259DA">
        <w:trPr>
          <w:trHeight w:val="340"/>
        </w:trPr>
        <w:tc>
          <w:tcPr>
            <w:tcW w:w="3749" w:type="dxa"/>
            <w:tcBorders>
              <w:top w:val="nil"/>
              <w:left w:val="single" w:sz="8" w:space="0" w:color="auto"/>
              <w:bottom w:val="single" w:sz="4" w:space="0" w:color="auto"/>
              <w:right w:val="single" w:sz="8" w:space="0" w:color="auto"/>
            </w:tcBorders>
            <w:shd w:val="clear" w:color="000000" w:fill="92D050"/>
            <w:noWrap/>
            <w:vAlign w:val="center"/>
            <w:hideMark/>
          </w:tcPr>
          <w:p w14:paraId="24132D4E"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CIS - masná telata</w:t>
            </w:r>
          </w:p>
        </w:tc>
        <w:tc>
          <w:tcPr>
            <w:tcW w:w="2543" w:type="dxa"/>
            <w:tcBorders>
              <w:top w:val="nil"/>
              <w:left w:val="nil"/>
              <w:bottom w:val="single" w:sz="4" w:space="0" w:color="auto"/>
              <w:right w:val="single" w:sz="4" w:space="0" w:color="auto"/>
            </w:tcBorders>
            <w:shd w:val="clear" w:color="auto" w:fill="auto"/>
            <w:noWrap/>
            <w:vAlign w:val="center"/>
            <w:hideMark/>
          </w:tcPr>
          <w:p w14:paraId="0EBDE07B"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490 100 764</w:t>
            </w:r>
          </w:p>
        </w:tc>
        <w:tc>
          <w:tcPr>
            <w:tcW w:w="3621" w:type="dxa"/>
            <w:tcBorders>
              <w:top w:val="nil"/>
              <w:left w:val="nil"/>
              <w:bottom w:val="single" w:sz="4" w:space="0" w:color="auto"/>
              <w:right w:val="single" w:sz="8" w:space="0" w:color="auto"/>
            </w:tcBorders>
            <w:shd w:val="clear" w:color="auto" w:fill="auto"/>
            <w:noWrap/>
            <w:vAlign w:val="center"/>
            <w:hideMark/>
          </w:tcPr>
          <w:p w14:paraId="25598BAD"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343 070 535</w:t>
            </w:r>
          </w:p>
        </w:tc>
        <w:tc>
          <w:tcPr>
            <w:tcW w:w="207" w:type="dxa"/>
            <w:tcBorders>
              <w:top w:val="nil"/>
              <w:left w:val="nil"/>
              <w:bottom w:val="nil"/>
              <w:right w:val="nil"/>
            </w:tcBorders>
            <w:shd w:val="clear" w:color="auto" w:fill="auto"/>
            <w:noWrap/>
            <w:vAlign w:val="bottom"/>
            <w:hideMark/>
          </w:tcPr>
          <w:p w14:paraId="77504024"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p>
        </w:tc>
      </w:tr>
      <w:tr w:rsidR="005E6000" w:rsidRPr="005E6000" w14:paraId="6BB94B00" w14:textId="77777777" w:rsidTr="000259DA">
        <w:trPr>
          <w:trHeight w:val="340"/>
        </w:trPr>
        <w:tc>
          <w:tcPr>
            <w:tcW w:w="3749" w:type="dxa"/>
            <w:tcBorders>
              <w:top w:val="nil"/>
              <w:left w:val="single" w:sz="8" w:space="0" w:color="auto"/>
              <w:bottom w:val="single" w:sz="4" w:space="0" w:color="auto"/>
              <w:right w:val="single" w:sz="8" w:space="0" w:color="auto"/>
            </w:tcBorders>
            <w:shd w:val="clear" w:color="000000" w:fill="92D050"/>
            <w:noWrap/>
            <w:vAlign w:val="center"/>
            <w:hideMark/>
          </w:tcPr>
          <w:p w14:paraId="55439827"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CIS - bahnice, kozy</w:t>
            </w:r>
          </w:p>
        </w:tc>
        <w:tc>
          <w:tcPr>
            <w:tcW w:w="2543" w:type="dxa"/>
            <w:tcBorders>
              <w:top w:val="nil"/>
              <w:left w:val="nil"/>
              <w:bottom w:val="single" w:sz="4" w:space="0" w:color="auto"/>
              <w:right w:val="single" w:sz="4" w:space="0" w:color="auto"/>
            </w:tcBorders>
            <w:shd w:val="clear" w:color="auto" w:fill="auto"/>
            <w:noWrap/>
            <w:vAlign w:val="center"/>
            <w:hideMark/>
          </w:tcPr>
          <w:p w14:paraId="1D30E909"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65 428 538</w:t>
            </w:r>
          </w:p>
        </w:tc>
        <w:tc>
          <w:tcPr>
            <w:tcW w:w="3621" w:type="dxa"/>
            <w:tcBorders>
              <w:top w:val="nil"/>
              <w:left w:val="nil"/>
              <w:bottom w:val="single" w:sz="4" w:space="0" w:color="auto"/>
              <w:right w:val="single" w:sz="8" w:space="0" w:color="auto"/>
            </w:tcBorders>
            <w:shd w:val="clear" w:color="auto" w:fill="auto"/>
            <w:noWrap/>
            <w:vAlign w:val="center"/>
            <w:hideMark/>
          </w:tcPr>
          <w:p w14:paraId="7868C214"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45 799 977</w:t>
            </w:r>
          </w:p>
        </w:tc>
        <w:tc>
          <w:tcPr>
            <w:tcW w:w="207" w:type="dxa"/>
            <w:tcBorders>
              <w:top w:val="nil"/>
              <w:left w:val="nil"/>
              <w:bottom w:val="nil"/>
              <w:right w:val="nil"/>
            </w:tcBorders>
            <w:shd w:val="clear" w:color="auto" w:fill="auto"/>
            <w:noWrap/>
            <w:vAlign w:val="bottom"/>
            <w:hideMark/>
          </w:tcPr>
          <w:p w14:paraId="65EA61DD"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p>
        </w:tc>
      </w:tr>
      <w:tr w:rsidR="005E6000" w:rsidRPr="005E6000" w14:paraId="71D294B7" w14:textId="77777777" w:rsidTr="000259DA">
        <w:trPr>
          <w:trHeight w:val="357"/>
        </w:trPr>
        <w:tc>
          <w:tcPr>
            <w:tcW w:w="3749" w:type="dxa"/>
            <w:tcBorders>
              <w:top w:val="nil"/>
              <w:left w:val="single" w:sz="8" w:space="0" w:color="auto"/>
              <w:bottom w:val="single" w:sz="8" w:space="0" w:color="auto"/>
              <w:right w:val="single" w:sz="8" w:space="0" w:color="auto"/>
            </w:tcBorders>
            <w:shd w:val="clear" w:color="000000" w:fill="FFC000"/>
            <w:noWrap/>
            <w:vAlign w:val="center"/>
            <w:hideMark/>
          </w:tcPr>
          <w:p w14:paraId="3E7F3889" w14:textId="77777777" w:rsidR="005E6000" w:rsidRPr="005E6000" w:rsidRDefault="005E6000" w:rsidP="005E6000">
            <w:pPr>
              <w:spacing w:after="0" w:line="240" w:lineRule="auto"/>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 </w:t>
            </w:r>
          </w:p>
        </w:tc>
        <w:tc>
          <w:tcPr>
            <w:tcW w:w="2543" w:type="dxa"/>
            <w:tcBorders>
              <w:top w:val="nil"/>
              <w:left w:val="nil"/>
              <w:bottom w:val="single" w:sz="8" w:space="0" w:color="auto"/>
              <w:right w:val="single" w:sz="4" w:space="0" w:color="auto"/>
            </w:tcBorders>
            <w:shd w:val="clear" w:color="000000" w:fill="FFC000"/>
            <w:noWrap/>
            <w:vAlign w:val="center"/>
            <w:hideMark/>
          </w:tcPr>
          <w:p w14:paraId="31A8AB39"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 </w:t>
            </w:r>
          </w:p>
        </w:tc>
        <w:tc>
          <w:tcPr>
            <w:tcW w:w="3621" w:type="dxa"/>
            <w:tcBorders>
              <w:top w:val="nil"/>
              <w:left w:val="nil"/>
              <w:bottom w:val="single" w:sz="8" w:space="0" w:color="auto"/>
              <w:right w:val="single" w:sz="8" w:space="0" w:color="auto"/>
            </w:tcBorders>
            <w:shd w:val="clear" w:color="000000" w:fill="FFC000"/>
            <w:noWrap/>
            <w:vAlign w:val="center"/>
            <w:hideMark/>
          </w:tcPr>
          <w:p w14:paraId="2EBD802D"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9 533 212 118</w:t>
            </w:r>
          </w:p>
        </w:tc>
        <w:tc>
          <w:tcPr>
            <w:tcW w:w="207" w:type="dxa"/>
            <w:tcBorders>
              <w:top w:val="nil"/>
              <w:left w:val="nil"/>
              <w:bottom w:val="nil"/>
              <w:right w:val="nil"/>
            </w:tcBorders>
            <w:shd w:val="clear" w:color="auto" w:fill="auto"/>
            <w:noWrap/>
            <w:vAlign w:val="bottom"/>
            <w:hideMark/>
          </w:tcPr>
          <w:p w14:paraId="36EB095A" w14:textId="77777777" w:rsidR="005E6000" w:rsidRPr="005E6000" w:rsidRDefault="005E6000" w:rsidP="005E6000">
            <w:pPr>
              <w:spacing w:after="0" w:line="240" w:lineRule="auto"/>
              <w:jc w:val="center"/>
              <w:rPr>
                <w:rFonts w:ascii="Calibri" w:eastAsia="Times New Roman" w:hAnsi="Calibri" w:cs="Calibri"/>
                <w:color w:val="000000"/>
                <w:kern w:val="0"/>
                <w:lang w:eastAsia="cs-CZ"/>
                <w14:ligatures w14:val="none"/>
              </w:rPr>
            </w:pPr>
          </w:p>
        </w:tc>
      </w:tr>
      <w:tr w:rsidR="005E6000" w:rsidRPr="005E6000" w14:paraId="2E9F168E" w14:textId="77777777" w:rsidTr="000259DA">
        <w:trPr>
          <w:trHeight w:val="340"/>
        </w:trPr>
        <w:tc>
          <w:tcPr>
            <w:tcW w:w="3749" w:type="dxa"/>
            <w:tcBorders>
              <w:top w:val="nil"/>
              <w:left w:val="nil"/>
              <w:bottom w:val="nil"/>
              <w:right w:val="nil"/>
            </w:tcBorders>
            <w:shd w:val="clear" w:color="auto" w:fill="auto"/>
            <w:noWrap/>
            <w:vAlign w:val="center"/>
            <w:hideMark/>
          </w:tcPr>
          <w:p w14:paraId="36A01436" w14:textId="77777777" w:rsidR="005E6000" w:rsidRPr="005E6000" w:rsidRDefault="005E6000" w:rsidP="005E6000">
            <w:pPr>
              <w:spacing w:after="0" w:line="240" w:lineRule="auto"/>
              <w:rPr>
                <w:rFonts w:ascii="Calibri" w:eastAsia="Times New Roman" w:hAnsi="Calibri" w:cs="Calibri"/>
                <w:color w:val="000000"/>
                <w:kern w:val="0"/>
                <w:lang w:eastAsia="cs-CZ"/>
                <w14:ligatures w14:val="none"/>
              </w:rPr>
            </w:pPr>
            <w:r w:rsidRPr="005E6000">
              <w:rPr>
                <w:rFonts w:ascii="Calibri" w:eastAsia="Times New Roman" w:hAnsi="Calibri" w:cs="Calibri"/>
                <w:color w:val="000000"/>
                <w:kern w:val="0"/>
                <w:lang w:eastAsia="cs-CZ"/>
                <w14:ligatures w14:val="none"/>
              </w:rPr>
              <w:t>*</w:t>
            </w:r>
            <w:r w:rsidRPr="005E6000">
              <w:rPr>
                <w:rFonts w:ascii="Calibri" w:eastAsia="Times New Roman" w:hAnsi="Calibri" w:cs="Calibri"/>
                <w:color w:val="000000"/>
                <w:kern w:val="0"/>
                <w:sz w:val="18"/>
                <w:szCs w:val="18"/>
                <w:lang w:eastAsia="cs-CZ"/>
                <w14:ligatures w14:val="none"/>
              </w:rPr>
              <w:t>Jedná se o rozpočty 2023</w:t>
            </w:r>
          </w:p>
        </w:tc>
        <w:tc>
          <w:tcPr>
            <w:tcW w:w="2543" w:type="dxa"/>
            <w:tcBorders>
              <w:top w:val="nil"/>
              <w:left w:val="nil"/>
              <w:bottom w:val="nil"/>
              <w:right w:val="nil"/>
            </w:tcBorders>
            <w:shd w:val="clear" w:color="auto" w:fill="auto"/>
            <w:noWrap/>
            <w:vAlign w:val="center"/>
            <w:hideMark/>
          </w:tcPr>
          <w:p w14:paraId="36342C77" w14:textId="77777777" w:rsidR="005E6000" w:rsidRPr="005E6000" w:rsidRDefault="005E6000" w:rsidP="005E6000">
            <w:pPr>
              <w:spacing w:after="0" w:line="240" w:lineRule="auto"/>
              <w:rPr>
                <w:rFonts w:ascii="Calibri" w:eastAsia="Times New Roman" w:hAnsi="Calibri" w:cs="Calibri"/>
                <w:color w:val="000000"/>
                <w:kern w:val="0"/>
                <w:lang w:eastAsia="cs-CZ"/>
                <w14:ligatures w14:val="none"/>
              </w:rPr>
            </w:pPr>
          </w:p>
        </w:tc>
        <w:tc>
          <w:tcPr>
            <w:tcW w:w="3621" w:type="dxa"/>
            <w:tcBorders>
              <w:top w:val="nil"/>
              <w:left w:val="nil"/>
              <w:bottom w:val="nil"/>
              <w:right w:val="nil"/>
            </w:tcBorders>
            <w:shd w:val="clear" w:color="auto" w:fill="auto"/>
            <w:noWrap/>
            <w:vAlign w:val="center"/>
            <w:hideMark/>
          </w:tcPr>
          <w:p w14:paraId="0A9AAAB3" w14:textId="77777777" w:rsidR="005E6000" w:rsidRPr="005E6000" w:rsidRDefault="005E6000" w:rsidP="005E6000">
            <w:pPr>
              <w:spacing w:after="0" w:line="240" w:lineRule="auto"/>
              <w:jc w:val="center"/>
              <w:rPr>
                <w:rFonts w:ascii="Times New Roman" w:eastAsia="Times New Roman" w:hAnsi="Times New Roman" w:cs="Times New Roman"/>
                <w:kern w:val="0"/>
                <w:sz w:val="20"/>
                <w:szCs w:val="20"/>
                <w:lang w:eastAsia="cs-CZ"/>
                <w14:ligatures w14:val="none"/>
              </w:rPr>
            </w:pPr>
          </w:p>
        </w:tc>
        <w:tc>
          <w:tcPr>
            <w:tcW w:w="207" w:type="dxa"/>
            <w:tcBorders>
              <w:top w:val="nil"/>
              <w:left w:val="nil"/>
              <w:bottom w:val="nil"/>
              <w:right w:val="nil"/>
            </w:tcBorders>
            <w:shd w:val="clear" w:color="auto" w:fill="auto"/>
            <w:noWrap/>
            <w:vAlign w:val="bottom"/>
            <w:hideMark/>
          </w:tcPr>
          <w:p w14:paraId="6A9343DB" w14:textId="77777777" w:rsidR="005E6000" w:rsidRPr="005E6000" w:rsidRDefault="005E6000" w:rsidP="005E6000">
            <w:pPr>
              <w:spacing w:after="0" w:line="240" w:lineRule="auto"/>
              <w:jc w:val="center"/>
              <w:rPr>
                <w:rFonts w:ascii="Times New Roman" w:eastAsia="Times New Roman" w:hAnsi="Times New Roman" w:cs="Times New Roman"/>
                <w:kern w:val="0"/>
                <w:sz w:val="20"/>
                <w:szCs w:val="20"/>
                <w:lang w:eastAsia="cs-CZ"/>
                <w14:ligatures w14:val="none"/>
              </w:rPr>
            </w:pPr>
          </w:p>
        </w:tc>
      </w:tr>
    </w:tbl>
    <w:p w14:paraId="3DB06D70" w14:textId="77777777" w:rsidR="005E6000" w:rsidRDefault="005E6000" w:rsidP="002656FE">
      <w:pPr>
        <w:tabs>
          <w:tab w:val="left" w:pos="3540"/>
          <w:tab w:val="left" w:pos="6327"/>
          <w:tab w:val="left" w:pos="7025"/>
        </w:tabs>
        <w:spacing w:after="0" w:line="276" w:lineRule="auto"/>
        <w:jc w:val="both"/>
        <w:rPr>
          <w:rFonts w:ascii="Arial" w:hAnsi="Arial" w:cs="Arial"/>
          <w:b/>
          <w:bCs/>
          <w:iCs/>
          <w:caps/>
        </w:rPr>
      </w:pPr>
    </w:p>
    <w:p w14:paraId="5C06D1B3" w14:textId="77777777" w:rsidR="005E6000" w:rsidRDefault="005E6000" w:rsidP="002656FE">
      <w:pPr>
        <w:tabs>
          <w:tab w:val="left" w:pos="3540"/>
          <w:tab w:val="left" w:pos="6327"/>
          <w:tab w:val="left" w:pos="7025"/>
        </w:tabs>
        <w:spacing w:after="0" w:line="276" w:lineRule="auto"/>
        <w:jc w:val="both"/>
        <w:rPr>
          <w:rFonts w:ascii="Arial" w:hAnsi="Arial" w:cs="Arial"/>
          <w:b/>
          <w:bCs/>
          <w:iCs/>
          <w:caps/>
        </w:rPr>
      </w:pPr>
    </w:p>
    <w:p w14:paraId="16369AC5" w14:textId="77777777" w:rsidR="005E6000" w:rsidRDefault="005E6000" w:rsidP="002656FE">
      <w:pPr>
        <w:tabs>
          <w:tab w:val="left" w:pos="3540"/>
          <w:tab w:val="left" w:pos="6327"/>
          <w:tab w:val="left" w:pos="7025"/>
        </w:tabs>
        <w:spacing w:after="0" w:line="276" w:lineRule="auto"/>
        <w:jc w:val="both"/>
        <w:rPr>
          <w:rFonts w:ascii="Arial" w:hAnsi="Arial" w:cs="Arial"/>
          <w:b/>
          <w:bCs/>
          <w:iCs/>
          <w:caps/>
        </w:rPr>
      </w:pPr>
    </w:p>
    <w:p w14:paraId="0B596E97" w14:textId="77777777" w:rsidR="004E4D18" w:rsidRDefault="004E4D18" w:rsidP="002656FE">
      <w:pPr>
        <w:tabs>
          <w:tab w:val="left" w:pos="3540"/>
          <w:tab w:val="left" w:pos="6327"/>
          <w:tab w:val="left" w:pos="7025"/>
        </w:tabs>
        <w:spacing w:after="0" w:line="276" w:lineRule="auto"/>
        <w:jc w:val="both"/>
        <w:rPr>
          <w:rFonts w:ascii="Arial" w:hAnsi="Arial" w:cs="Arial"/>
          <w:b/>
          <w:bCs/>
          <w:iCs/>
          <w:caps/>
        </w:rPr>
      </w:pPr>
    </w:p>
    <w:p w14:paraId="3966B2F0" w14:textId="77777777" w:rsidR="004E4D18" w:rsidRDefault="004E4D18" w:rsidP="002656FE">
      <w:pPr>
        <w:tabs>
          <w:tab w:val="left" w:pos="3540"/>
          <w:tab w:val="left" w:pos="6327"/>
          <w:tab w:val="left" w:pos="7025"/>
        </w:tabs>
        <w:spacing w:after="0" w:line="276" w:lineRule="auto"/>
        <w:jc w:val="both"/>
        <w:rPr>
          <w:rFonts w:ascii="Arial" w:hAnsi="Arial" w:cs="Arial"/>
          <w:b/>
          <w:bCs/>
          <w:iCs/>
          <w:caps/>
        </w:rPr>
      </w:pPr>
    </w:p>
    <w:p w14:paraId="6857E128" w14:textId="77777777" w:rsidR="004E4D18" w:rsidRDefault="004E4D18" w:rsidP="002656FE">
      <w:pPr>
        <w:tabs>
          <w:tab w:val="left" w:pos="3540"/>
          <w:tab w:val="left" w:pos="6327"/>
          <w:tab w:val="left" w:pos="7025"/>
        </w:tabs>
        <w:spacing w:after="0" w:line="276" w:lineRule="auto"/>
        <w:jc w:val="both"/>
        <w:rPr>
          <w:rFonts w:ascii="Arial" w:hAnsi="Arial" w:cs="Arial"/>
          <w:b/>
          <w:bCs/>
          <w:iCs/>
          <w:caps/>
        </w:rPr>
      </w:pPr>
    </w:p>
    <w:p w14:paraId="6C70548A" w14:textId="77777777" w:rsidR="004E4D18" w:rsidRDefault="004E4D18" w:rsidP="002656FE">
      <w:pPr>
        <w:tabs>
          <w:tab w:val="left" w:pos="3540"/>
          <w:tab w:val="left" w:pos="6327"/>
          <w:tab w:val="left" w:pos="7025"/>
        </w:tabs>
        <w:spacing w:after="0" w:line="276" w:lineRule="auto"/>
        <w:jc w:val="both"/>
        <w:rPr>
          <w:rFonts w:ascii="Arial" w:hAnsi="Arial" w:cs="Arial"/>
          <w:b/>
          <w:bCs/>
          <w:iCs/>
          <w:caps/>
        </w:rPr>
      </w:pPr>
    </w:p>
    <w:p w14:paraId="3390E84D" w14:textId="77777777" w:rsidR="004E4D18" w:rsidRDefault="004E4D18" w:rsidP="002656FE">
      <w:pPr>
        <w:tabs>
          <w:tab w:val="left" w:pos="3540"/>
          <w:tab w:val="left" w:pos="6327"/>
          <w:tab w:val="left" w:pos="7025"/>
        </w:tabs>
        <w:spacing w:after="0" w:line="276" w:lineRule="auto"/>
        <w:jc w:val="both"/>
        <w:rPr>
          <w:rFonts w:ascii="Arial" w:hAnsi="Arial" w:cs="Arial"/>
          <w:b/>
          <w:bCs/>
          <w:iCs/>
          <w:caps/>
        </w:rPr>
      </w:pPr>
    </w:p>
    <w:p w14:paraId="213B4293" w14:textId="77777777" w:rsidR="004E4D18" w:rsidRDefault="004E4D18" w:rsidP="002656FE">
      <w:pPr>
        <w:tabs>
          <w:tab w:val="left" w:pos="3540"/>
          <w:tab w:val="left" w:pos="6327"/>
          <w:tab w:val="left" w:pos="7025"/>
        </w:tabs>
        <w:spacing w:after="0" w:line="276" w:lineRule="auto"/>
        <w:jc w:val="both"/>
        <w:rPr>
          <w:rFonts w:ascii="Arial" w:hAnsi="Arial" w:cs="Arial"/>
          <w:b/>
          <w:bCs/>
          <w:iCs/>
          <w:caps/>
        </w:rPr>
      </w:pPr>
    </w:p>
    <w:p w14:paraId="351BBCBA" w14:textId="77777777" w:rsidR="004E4D18" w:rsidRDefault="004E4D18" w:rsidP="002656FE">
      <w:pPr>
        <w:tabs>
          <w:tab w:val="left" w:pos="3540"/>
          <w:tab w:val="left" w:pos="6327"/>
          <w:tab w:val="left" w:pos="7025"/>
        </w:tabs>
        <w:spacing w:after="0" w:line="276" w:lineRule="auto"/>
        <w:jc w:val="both"/>
        <w:rPr>
          <w:rFonts w:ascii="Arial" w:hAnsi="Arial" w:cs="Arial"/>
          <w:b/>
          <w:bCs/>
          <w:iCs/>
          <w:caps/>
        </w:rPr>
      </w:pPr>
    </w:p>
    <w:p w14:paraId="75B3D605" w14:textId="77777777" w:rsidR="004E4D18" w:rsidRDefault="004E4D18" w:rsidP="002656FE">
      <w:pPr>
        <w:tabs>
          <w:tab w:val="left" w:pos="3540"/>
          <w:tab w:val="left" w:pos="6327"/>
          <w:tab w:val="left" w:pos="7025"/>
        </w:tabs>
        <w:spacing w:after="0" w:line="276" w:lineRule="auto"/>
        <w:jc w:val="both"/>
        <w:rPr>
          <w:rFonts w:ascii="Arial" w:hAnsi="Arial" w:cs="Arial"/>
          <w:b/>
          <w:bCs/>
          <w:iCs/>
          <w:caps/>
        </w:rPr>
      </w:pPr>
    </w:p>
    <w:p w14:paraId="50EBAC83" w14:textId="77777777" w:rsidR="004E4D18" w:rsidRDefault="004E4D18" w:rsidP="002656FE">
      <w:pPr>
        <w:tabs>
          <w:tab w:val="left" w:pos="3540"/>
          <w:tab w:val="left" w:pos="6327"/>
          <w:tab w:val="left" w:pos="7025"/>
        </w:tabs>
        <w:spacing w:after="0" w:line="276" w:lineRule="auto"/>
        <w:jc w:val="both"/>
        <w:rPr>
          <w:rFonts w:ascii="Arial" w:hAnsi="Arial" w:cs="Arial"/>
          <w:b/>
          <w:bCs/>
          <w:iCs/>
          <w:caps/>
        </w:rPr>
      </w:pPr>
    </w:p>
    <w:p w14:paraId="267C42BE" w14:textId="77777777" w:rsidR="004E4D18" w:rsidRDefault="004E4D18" w:rsidP="002656FE">
      <w:pPr>
        <w:tabs>
          <w:tab w:val="left" w:pos="3540"/>
          <w:tab w:val="left" w:pos="6327"/>
          <w:tab w:val="left" w:pos="7025"/>
        </w:tabs>
        <w:spacing w:after="0" w:line="276" w:lineRule="auto"/>
        <w:jc w:val="both"/>
        <w:rPr>
          <w:rFonts w:ascii="Arial" w:hAnsi="Arial" w:cs="Arial"/>
          <w:b/>
          <w:bCs/>
          <w:iCs/>
          <w:caps/>
        </w:rPr>
      </w:pPr>
    </w:p>
    <w:p w14:paraId="36454DF0" w14:textId="77777777" w:rsidR="00E0521D" w:rsidRDefault="00E0521D" w:rsidP="002656FE">
      <w:pPr>
        <w:tabs>
          <w:tab w:val="left" w:pos="3540"/>
          <w:tab w:val="left" w:pos="6327"/>
          <w:tab w:val="left" w:pos="7025"/>
        </w:tabs>
        <w:spacing w:after="0" w:line="276" w:lineRule="auto"/>
        <w:jc w:val="both"/>
        <w:rPr>
          <w:rFonts w:ascii="Arial" w:hAnsi="Arial" w:cs="Arial"/>
          <w:b/>
          <w:bCs/>
          <w:iCs/>
          <w:caps/>
        </w:rPr>
      </w:pPr>
    </w:p>
    <w:p w14:paraId="4ADDAC08" w14:textId="77777777" w:rsidR="004E4D18" w:rsidRDefault="004E4D18" w:rsidP="002656FE">
      <w:pPr>
        <w:tabs>
          <w:tab w:val="left" w:pos="3540"/>
          <w:tab w:val="left" w:pos="6327"/>
          <w:tab w:val="left" w:pos="7025"/>
        </w:tabs>
        <w:spacing w:after="0" w:line="276" w:lineRule="auto"/>
        <w:jc w:val="both"/>
        <w:rPr>
          <w:rFonts w:ascii="Arial" w:hAnsi="Arial" w:cs="Arial"/>
          <w:b/>
          <w:bCs/>
          <w:iCs/>
          <w:caps/>
        </w:rPr>
      </w:pPr>
    </w:p>
    <w:p w14:paraId="22B2140C" w14:textId="57F0C6CD" w:rsidR="005E6000" w:rsidRPr="00E201AA" w:rsidRDefault="005E6000" w:rsidP="000545E1">
      <w:pPr>
        <w:pStyle w:val="Odstavecseseznamem"/>
        <w:numPr>
          <w:ilvl w:val="1"/>
          <w:numId w:val="21"/>
        </w:numPr>
        <w:jc w:val="both"/>
        <w:rPr>
          <w:rFonts w:ascii="Arial" w:hAnsi="Arial" w:cs="Arial"/>
          <w:b/>
          <w:bCs/>
          <w:color w:val="0070C0"/>
          <w:sz w:val="24"/>
          <w:szCs w:val="24"/>
        </w:rPr>
      </w:pPr>
      <w:r w:rsidRPr="00E201AA">
        <w:rPr>
          <w:rFonts w:ascii="Arial" w:hAnsi="Arial" w:cs="Arial"/>
          <w:b/>
          <w:bCs/>
          <w:color w:val="0070C0"/>
          <w:sz w:val="24"/>
          <w:szCs w:val="24"/>
        </w:rPr>
        <w:t>Národní dotace</w:t>
      </w:r>
    </w:p>
    <w:p w14:paraId="3E21FDE4" w14:textId="77777777" w:rsidR="005E6000" w:rsidRDefault="005E6000" w:rsidP="005E6000">
      <w:pPr>
        <w:jc w:val="both"/>
        <w:rPr>
          <w:rFonts w:ascii="Arial" w:hAnsi="Arial" w:cs="Arial"/>
        </w:rPr>
      </w:pPr>
      <w:r w:rsidRPr="004C04E9">
        <w:rPr>
          <w:rFonts w:ascii="Arial" w:hAnsi="Arial" w:cs="Arial"/>
        </w:rPr>
        <w:t>Přehled finančních prostředků na zemědělské národní dotace 2019–202</w:t>
      </w:r>
      <w:r>
        <w:rPr>
          <w:rFonts w:ascii="Arial" w:hAnsi="Arial" w:cs="Arial"/>
        </w:rPr>
        <w:t>5</w:t>
      </w:r>
    </w:p>
    <w:tbl>
      <w:tblPr>
        <w:tblW w:w="10338" w:type="dxa"/>
        <w:jc w:val="center"/>
        <w:tblLayout w:type="fixed"/>
        <w:tblCellMar>
          <w:left w:w="0" w:type="dxa"/>
          <w:right w:w="0" w:type="dxa"/>
        </w:tblCellMar>
        <w:tblLook w:val="04A0" w:firstRow="1" w:lastRow="0" w:firstColumn="1" w:lastColumn="0" w:noHBand="0" w:noVBand="1"/>
      </w:tblPr>
      <w:tblGrid>
        <w:gridCol w:w="1421"/>
        <w:gridCol w:w="1337"/>
        <w:gridCol w:w="1337"/>
        <w:gridCol w:w="1337"/>
        <w:gridCol w:w="1362"/>
        <w:gridCol w:w="1276"/>
        <w:gridCol w:w="1134"/>
        <w:gridCol w:w="1134"/>
      </w:tblGrid>
      <w:tr w:rsidR="005E6000" w:rsidRPr="004C04E9" w14:paraId="19C6A448" w14:textId="77777777" w:rsidTr="00EE42FE">
        <w:trPr>
          <w:trHeight w:val="491"/>
          <w:jc w:val="center"/>
        </w:trPr>
        <w:tc>
          <w:tcPr>
            <w:tcW w:w="1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A7DDAD"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rok</w:t>
            </w:r>
          </w:p>
        </w:tc>
        <w:tc>
          <w:tcPr>
            <w:tcW w:w="13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F0031A"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2019</w:t>
            </w:r>
          </w:p>
        </w:tc>
        <w:tc>
          <w:tcPr>
            <w:tcW w:w="13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B3BA57"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2020</w:t>
            </w:r>
          </w:p>
        </w:tc>
        <w:tc>
          <w:tcPr>
            <w:tcW w:w="13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00506E"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2021</w:t>
            </w:r>
          </w:p>
        </w:tc>
        <w:tc>
          <w:tcPr>
            <w:tcW w:w="13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1A67F8"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2022</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139766"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2023</w:t>
            </w:r>
          </w:p>
        </w:tc>
        <w:tc>
          <w:tcPr>
            <w:tcW w:w="1134" w:type="dxa"/>
            <w:tcBorders>
              <w:top w:val="single" w:sz="8" w:space="0" w:color="auto"/>
              <w:left w:val="nil"/>
              <w:bottom w:val="single" w:sz="8" w:space="0" w:color="auto"/>
              <w:right w:val="single" w:sz="8" w:space="0" w:color="auto"/>
            </w:tcBorders>
            <w:vAlign w:val="center"/>
            <w:hideMark/>
          </w:tcPr>
          <w:p w14:paraId="36A3D2BC"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2024</w:t>
            </w:r>
          </w:p>
        </w:tc>
        <w:tc>
          <w:tcPr>
            <w:tcW w:w="1134" w:type="dxa"/>
            <w:tcBorders>
              <w:top w:val="single" w:sz="8" w:space="0" w:color="auto"/>
              <w:left w:val="nil"/>
              <w:bottom w:val="single" w:sz="8" w:space="0" w:color="auto"/>
              <w:right w:val="single" w:sz="8" w:space="0" w:color="auto"/>
            </w:tcBorders>
            <w:vAlign w:val="center"/>
          </w:tcPr>
          <w:p w14:paraId="45D8565B" w14:textId="77777777" w:rsidR="005E6000" w:rsidRDefault="005E6000" w:rsidP="00EE42FE">
            <w:pPr>
              <w:spacing w:after="0" w:line="276" w:lineRule="auto"/>
              <w:jc w:val="center"/>
              <w:rPr>
                <w:rFonts w:ascii="Arial" w:hAnsi="Arial" w:cs="Arial"/>
                <w:sz w:val="16"/>
                <w:szCs w:val="16"/>
              </w:rPr>
            </w:pPr>
            <w:r>
              <w:rPr>
                <w:rFonts w:ascii="Arial" w:hAnsi="Arial" w:cs="Arial"/>
                <w:sz w:val="16"/>
                <w:szCs w:val="16"/>
              </w:rPr>
              <w:t xml:space="preserve">2025 </w:t>
            </w:r>
          </w:p>
          <w:p w14:paraId="1775B5A8" w14:textId="77777777" w:rsidR="005E6000" w:rsidRPr="004C04E9" w:rsidRDefault="005E6000" w:rsidP="00EE42FE">
            <w:pPr>
              <w:spacing w:after="0" w:line="276" w:lineRule="auto"/>
              <w:jc w:val="center"/>
              <w:rPr>
                <w:rFonts w:ascii="Arial" w:hAnsi="Arial" w:cs="Arial"/>
                <w:sz w:val="16"/>
                <w:szCs w:val="16"/>
              </w:rPr>
            </w:pPr>
            <w:r>
              <w:rPr>
                <w:rFonts w:ascii="Arial" w:hAnsi="Arial" w:cs="Arial"/>
                <w:sz w:val="16"/>
                <w:szCs w:val="16"/>
              </w:rPr>
              <w:t>(NÁVRH)</w:t>
            </w:r>
          </w:p>
        </w:tc>
      </w:tr>
      <w:tr w:rsidR="005E6000" w:rsidRPr="004C04E9" w14:paraId="5D046F0D" w14:textId="77777777" w:rsidTr="00EE42FE">
        <w:trPr>
          <w:jc w:val="center"/>
        </w:trPr>
        <w:tc>
          <w:tcPr>
            <w:tcW w:w="14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99251C"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prostředky schválené PS PČR</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1A3E6"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3 800 000 000</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98ACB"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3 800 000 000</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E583A"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3 800 000 000</w:t>
            </w:r>
          </w:p>
        </w:tc>
        <w:tc>
          <w:tcPr>
            <w:tcW w:w="13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B71AD"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5 020 000 000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4D40F"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2 739 000 000</w:t>
            </w:r>
          </w:p>
        </w:tc>
        <w:tc>
          <w:tcPr>
            <w:tcW w:w="1134" w:type="dxa"/>
            <w:tcBorders>
              <w:top w:val="nil"/>
              <w:left w:val="nil"/>
              <w:bottom w:val="single" w:sz="8" w:space="0" w:color="auto"/>
              <w:right w:val="single" w:sz="8" w:space="0" w:color="auto"/>
            </w:tcBorders>
            <w:vAlign w:val="center"/>
            <w:hideMark/>
          </w:tcPr>
          <w:p w14:paraId="3C9837F7"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2 500 000 000</w:t>
            </w:r>
          </w:p>
        </w:tc>
        <w:tc>
          <w:tcPr>
            <w:tcW w:w="1134" w:type="dxa"/>
            <w:tcBorders>
              <w:top w:val="nil"/>
              <w:left w:val="nil"/>
              <w:bottom w:val="single" w:sz="8" w:space="0" w:color="auto"/>
              <w:right w:val="single" w:sz="8" w:space="0" w:color="auto"/>
            </w:tcBorders>
            <w:vAlign w:val="center"/>
          </w:tcPr>
          <w:p w14:paraId="36A7C384" w14:textId="77777777" w:rsidR="005E6000" w:rsidRPr="004C04E9" w:rsidRDefault="005E6000" w:rsidP="00EE42FE">
            <w:pPr>
              <w:spacing w:after="0" w:line="276" w:lineRule="auto"/>
              <w:jc w:val="center"/>
              <w:rPr>
                <w:rFonts w:ascii="Arial" w:hAnsi="Arial" w:cs="Arial"/>
                <w:sz w:val="16"/>
                <w:szCs w:val="16"/>
              </w:rPr>
            </w:pPr>
            <w:r>
              <w:rPr>
                <w:rFonts w:ascii="Arial" w:hAnsi="Arial" w:cs="Arial"/>
                <w:sz w:val="16"/>
                <w:szCs w:val="16"/>
              </w:rPr>
              <w:t>3 750 000 000</w:t>
            </w:r>
          </w:p>
        </w:tc>
      </w:tr>
      <w:tr w:rsidR="005E6000" w:rsidRPr="004C04E9" w14:paraId="076101FF" w14:textId="77777777" w:rsidTr="00EE42FE">
        <w:trPr>
          <w:jc w:val="center"/>
        </w:trPr>
        <w:tc>
          <w:tcPr>
            <w:tcW w:w="14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25263C"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výsledné prostředky po posíleních a přesunech během roku</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87D79"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4 398 500 000</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27535"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4 571 114 000</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C73B76"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5 000 660 000</w:t>
            </w:r>
          </w:p>
        </w:tc>
        <w:tc>
          <w:tcPr>
            <w:tcW w:w="13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0E31A"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4 757 990 605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8552FFD" w14:textId="77777777" w:rsidR="005E6000" w:rsidRPr="00C70FC1" w:rsidRDefault="005E6000" w:rsidP="00EE42FE">
            <w:pPr>
              <w:spacing w:after="0" w:line="276" w:lineRule="auto"/>
              <w:jc w:val="center"/>
              <w:rPr>
                <w:rFonts w:ascii="Arial" w:hAnsi="Arial" w:cs="Arial"/>
                <w:sz w:val="16"/>
                <w:szCs w:val="16"/>
              </w:rPr>
            </w:pPr>
            <w:r w:rsidRPr="004C04E9">
              <w:rPr>
                <w:rFonts w:ascii="Arial" w:hAnsi="Arial" w:cs="Arial"/>
                <w:sz w:val="16"/>
                <w:szCs w:val="16"/>
              </w:rPr>
              <w:t>2 932 000 000</w:t>
            </w:r>
          </w:p>
        </w:tc>
        <w:tc>
          <w:tcPr>
            <w:tcW w:w="1134" w:type="dxa"/>
            <w:tcBorders>
              <w:top w:val="nil"/>
              <w:left w:val="nil"/>
              <w:bottom w:val="single" w:sz="8" w:space="0" w:color="auto"/>
              <w:right w:val="single" w:sz="8" w:space="0" w:color="auto"/>
            </w:tcBorders>
            <w:vAlign w:val="center"/>
            <w:hideMark/>
          </w:tcPr>
          <w:p w14:paraId="271EEB0E" w14:textId="77777777" w:rsidR="005E6000" w:rsidRPr="004C04E9" w:rsidRDefault="005E6000" w:rsidP="00EE42FE">
            <w:pPr>
              <w:spacing w:after="0" w:line="276" w:lineRule="auto"/>
              <w:jc w:val="center"/>
              <w:rPr>
                <w:rFonts w:ascii="Arial" w:hAnsi="Arial" w:cs="Arial"/>
                <w:sz w:val="16"/>
                <w:szCs w:val="16"/>
              </w:rPr>
            </w:pPr>
            <w:r>
              <w:rPr>
                <w:rFonts w:ascii="Arial" w:hAnsi="Arial" w:cs="Arial"/>
                <w:sz w:val="16"/>
                <w:szCs w:val="16"/>
              </w:rPr>
              <w:t>3 050 000 000</w:t>
            </w:r>
          </w:p>
        </w:tc>
        <w:tc>
          <w:tcPr>
            <w:tcW w:w="1134" w:type="dxa"/>
            <w:tcBorders>
              <w:top w:val="nil"/>
              <w:left w:val="nil"/>
              <w:bottom w:val="single" w:sz="8" w:space="0" w:color="auto"/>
              <w:right w:val="single" w:sz="8" w:space="0" w:color="auto"/>
            </w:tcBorders>
          </w:tcPr>
          <w:p w14:paraId="682C525F" w14:textId="77777777" w:rsidR="005E6000" w:rsidRDefault="005E6000" w:rsidP="00EE42FE">
            <w:pPr>
              <w:spacing w:after="0" w:line="276" w:lineRule="auto"/>
              <w:jc w:val="center"/>
              <w:rPr>
                <w:rFonts w:ascii="Arial" w:hAnsi="Arial" w:cs="Arial"/>
                <w:sz w:val="16"/>
                <w:szCs w:val="16"/>
              </w:rPr>
            </w:pPr>
          </w:p>
        </w:tc>
      </w:tr>
      <w:tr w:rsidR="005E6000" w:rsidRPr="004C04E9" w14:paraId="1F70DF83" w14:textId="77777777" w:rsidTr="00EE42FE">
        <w:trPr>
          <w:jc w:val="center"/>
        </w:trPr>
        <w:tc>
          <w:tcPr>
            <w:tcW w:w="14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4F0DAE"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vyplaceno</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CC345"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4 354 559 000</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C2008"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4 396 338 000</w:t>
            </w:r>
          </w:p>
        </w:tc>
        <w:tc>
          <w:tcPr>
            <w:tcW w:w="1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5B750"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4 727 198 000</w:t>
            </w:r>
          </w:p>
        </w:tc>
        <w:tc>
          <w:tcPr>
            <w:tcW w:w="13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63AD3"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4 414 828 000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846B"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2 695 588 000 (stav k 16.9.2024)</w:t>
            </w:r>
          </w:p>
        </w:tc>
        <w:tc>
          <w:tcPr>
            <w:tcW w:w="1134" w:type="dxa"/>
            <w:tcBorders>
              <w:top w:val="nil"/>
              <w:left w:val="nil"/>
              <w:bottom w:val="single" w:sz="8" w:space="0" w:color="auto"/>
              <w:right w:val="single" w:sz="8" w:space="0" w:color="auto"/>
            </w:tcBorders>
            <w:vAlign w:val="center"/>
            <w:hideMark/>
          </w:tcPr>
          <w:p w14:paraId="1603FFEC" w14:textId="77777777" w:rsidR="005E6000" w:rsidRPr="004C04E9" w:rsidRDefault="005E6000" w:rsidP="00EE42FE">
            <w:pPr>
              <w:spacing w:after="0" w:line="276" w:lineRule="auto"/>
              <w:jc w:val="center"/>
              <w:rPr>
                <w:rFonts w:ascii="Arial" w:hAnsi="Arial" w:cs="Arial"/>
                <w:sz w:val="16"/>
                <w:szCs w:val="16"/>
              </w:rPr>
            </w:pPr>
            <w:r w:rsidRPr="004C04E9">
              <w:rPr>
                <w:rFonts w:ascii="Arial" w:hAnsi="Arial" w:cs="Arial"/>
                <w:sz w:val="16"/>
                <w:szCs w:val="16"/>
              </w:rPr>
              <w:t>1 436 390 000 (stav k 16.9.2024)</w:t>
            </w:r>
          </w:p>
        </w:tc>
        <w:tc>
          <w:tcPr>
            <w:tcW w:w="1134" w:type="dxa"/>
            <w:tcBorders>
              <w:top w:val="nil"/>
              <w:left w:val="nil"/>
              <w:bottom w:val="single" w:sz="8" w:space="0" w:color="auto"/>
              <w:right w:val="single" w:sz="8" w:space="0" w:color="auto"/>
            </w:tcBorders>
          </w:tcPr>
          <w:p w14:paraId="327DCEBC" w14:textId="77777777" w:rsidR="005E6000" w:rsidRPr="004C04E9" w:rsidRDefault="005E6000" w:rsidP="00EE42FE">
            <w:pPr>
              <w:spacing w:after="0" w:line="276" w:lineRule="auto"/>
              <w:jc w:val="center"/>
              <w:rPr>
                <w:rFonts w:ascii="Arial" w:hAnsi="Arial" w:cs="Arial"/>
                <w:sz w:val="16"/>
                <w:szCs w:val="16"/>
              </w:rPr>
            </w:pPr>
          </w:p>
        </w:tc>
      </w:tr>
    </w:tbl>
    <w:p w14:paraId="483B5691" w14:textId="77777777" w:rsidR="005E6000" w:rsidRPr="00D941B7" w:rsidRDefault="005E6000" w:rsidP="005E6000">
      <w:pPr>
        <w:rPr>
          <w:rFonts w:ascii="Arial" w:eastAsia="Calibri" w:hAnsi="Arial" w:cs="Arial"/>
        </w:rPr>
      </w:pPr>
    </w:p>
    <w:p w14:paraId="28D246E2" w14:textId="77777777" w:rsidR="001A4436" w:rsidRDefault="001A4436" w:rsidP="005E6000">
      <w:pPr>
        <w:pStyle w:val="Zkladntext3"/>
        <w:spacing w:before="120"/>
        <w:jc w:val="both"/>
        <w:rPr>
          <w:rFonts w:cs="Arial"/>
          <w:sz w:val="22"/>
          <w:szCs w:val="22"/>
        </w:rPr>
      </w:pPr>
    </w:p>
    <w:p w14:paraId="3C2FF7E1" w14:textId="33229AD5" w:rsidR="005E6000" w:rsidRPr="00FE2964" w:rsidRDefault="001A4436" w:rsidP="00FE2964">
      <w:pPr>
        <w:pStyle w:val="Zkladntext3"/>
        <w:spacing w:before="120"/>
        <w:jc w:val="both"/>
        <w:rPr>
          <w:rFonts w:cs="Arial"/>
          <w:sz w:val="22"/>
          <w:szCs w:val="22"/>
        </w:rPr>
      </w:pPr>
      <w:r w:rsidRPr="00FE2964">
        <w:rPr>
          <w:rFonts w:cs="Arial"/>
          <w:sz w:val="22"/>
          <w:szCs w:val="22"/>
        </w:rPr>
        <w:t>Pro rok 2025 b</w:t>
      </w:r>
      <w:r w:rsidR="005E6000" w:rsidRPr="00FE2964">
        <w:rPr>
          <w:rFonts w:cs="Arial"/>
          <w:sz w:val="22"/>
          <w:szCs w:val="22"/>
        </w:rPr>
        <w:t xml:space="preserve">ude navýšena alokace pro sektor zemědělství ze státního rozpočtu </w:t>
      </w:r>
      <w:r w:rsidR="005E6000" w:rsidRPr="00FE2964">
        <w:rPr>
          <w:rFonts w:cs="Arial"/>
          <w:sz w:val="22"/>
          <w:szCs w:val="22"/>
        </w:rPr>
        <w:br/>
        <w:t>o 2 mld. Kč oproti roku</w:t>
      </w:r>
      <w:r w:rsidRPr="00FE2964">
        <w:rPr>
          <w:rFonts w:cs="Arial"/>
          <w:sz w:val="22"/>
          <w:szCs w:val="22"/>
        </w:rPr>
        <w:t xml:space="preserve"> 2024</w:t>
      </w:r>
      <w:r w:rsidR="005E6000" w:rsidRPr="00FE2964">
        <w:rPr>
          <w:rFonts w:cs="Arial"/>
          <w:sz w:val="22"/>
          <w:szCs w:val="22"/>
        </w:rPr>
        <w:t xml:space="preserve">. Z toho bude část ve výši 0,750 mld. Kč využita na programy v rámci PGRLF a 1,250 mld. Kč bude </w:t>
      </w:r>
      <w:r w:rsidR="00DB63C5">
        <w:rPr>
          <w:rFonts w:cs="Arial"/>
          <w:sz w:val="22"/>
          <w:szCs w:val="22"/>
        </w:rPr>
        <w:t>alokováno</w:t>
      </w:r>
      <w:r w:rsidR="005E6000" w:rsidRPr="00FE2964">
        <w:rPr>
          <w:rFonts w:cs="Arial"/>
          <w:sz w:val="22"/>
          <w:szCs w:val="22"/>
        </w:rPr>
        <w:t xml:space="preserve"> v rámci zemědělských národních dotací – </w:t>
      </w:r>
      <w:r w:rsidR="005E6000" w:rsidRPr="008D3F07">
        <w:rPr>
          <w:rFonts w:cs="Arial"/>
          <w:b/>
          <w:bCs/>
          <w:sz w:val="22"/>
          <w:szCs w:val="22"/>
        </w:rPr>
        <w:t>viz přiložená tabulka.</w:t>
      </w:r>
      <w:r w:rsidR="00FE2964">
        <w:rPr>
          <w:rFonts w:cs="Arial"/>
          <w:sz w:val="22"/>
          <w:szCs w:val="22"/>
        </w:rPr>
        <w:t xml:space="preserve"> </w:t>
      </w:r>
      <w:r w:rsidR="005E6000" w:rsidRPr="00FE2964">
        <w:rPr>
          <w:rFonts w:eastAsia="Calibri" w:cs="Arial"/>
          <w:sz w:val="22"/>
          <w:szCs w:val="22"/>
        </w:rPr>
        <w:t>Posíleny budou dotační programy směřující do citlivých sektorů a sektor</w:t>
      </w:r>
      <w:r w:rsidR="00E03A32">
        <w:rPr>
          <w:rFonts w:eastAsia="Calibri" w:cs="Arial"/>
          <w:sz w:val="22"/>
          <w:szCs w:val="22"/>
        </w:rPr>
        <w:t>ů</w:t>
      </w:r>
      <w:r w:rsidR="005E6000" w:rsidRPr="00FE2964">
        <w:rPr>
          <w:rFonts w:eastAsia="Calibri" w:cs="Arial"/>
          <w:sz w:val="22"/>
          <w:szCs w:val="22"/>
        </w:rPr>
        <w:t xml:space="preserve"> vázající zaměstnanost.</w:t>
      </w:r>
    </w:p>
    <w:p w14:paraId="65CAC6E3" w14:textId="77777777" w:rsidR="005E6000" w:rsidRPr="00FE2964" w:rsidRDefault="005E6000" w:rsidP="002656FE">
      <w:pPr>
        <w:tabs>
          <w:tab w:val="left" w:pos="3540"/>
          <w:tab w:val="left" w:pos="6327"/>
          <w:tab w:val="left" w:pos="7025"/>
        </w:tabs>
        <w:spacing w:after="0" w:line="276" w:lineRule="auto"/>
        <w:jc w:val="both"/>
        <w:rPr>
          <w:rFonts w:ascii="Arial" w:hAnsi="Arial" w:cs="Arial"/>
          <w:b/>
          <w:bCs/>
          <w:iCs/>
          <w:caps/>
        </w:rPr>
      </w:pPr>
    </w:p>
    <w:p w14:paraId="080B6DA7" w14:textId="77777777" w:rsidR="005E6000" w:rsidRDefault="005E6000" w:rsidP="002656FE">
      <w:pPr>
        <w:tabs>
          <w:tab w:val="left" w:pos="3540"/>
          <w:tab w:val="left" w:pos="6327"/>
          <w:tab w:val="left" w:pos="7025"/>
        </w:tabs>
        <w:spacing w:after="0" w:line="276" w:lineRule="auto"/>
        <w:jc w:val="both"/>
        <w:rPr>
          <w:rFonts w:ascii="Arial" w:hAnsi="Arial" w:cs="Arial"/>
          <w:b/>
          <w:bCs/>
          <w:iCs/>
          <w:caps/>
        </w:rPr>
      </w:pPr>
    </w:p>
    <w:bookmarkStart w:id="20" w:name="_MON_1788337011"/>
    <w:bookmarkEnd w:id="20"/>
    <w:p w14:paraId="231F97C6" w14:textId="1E9E6440" w:rsidR="005E6000" w:rsidRDefault="00134E8E" w:rsidP="002656FE">
      <w:pPr>
        <w:tabs>
          <w:tab w:val="left" w:pos="3540"/>
          <w:tab w:val="left" w:pos="6327"/>
          <w:tab w:val="left" w:pos="7025"/>
        </w:tabs>
        <w:spacing w:after="0" w:line="276" w:lineRule="auto"/>
        <w:jc w:val="both"/>
        <w:rPr>
          <w:rFonts w:ascii="Arial" w:hAnsi="Arial" w:cs="Arial"/>
          <w:b/>
          <w:bCs/>
          <w:iCs/>
          <w:caps/>
        </w:rPr>
      </w:pPr>
      <w:r>
        <w:object w:dxaOrig="1546" w:dyaOrig="1001" w14:anchorId="785E8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9" o:title=""/>
          </v:shape>
          <o:OLEObject Type="Embed" ProgID="Excel.Sheet.8" ShapeID="_x0000_i1025" DrawAspect="Icon" ObjectID="_1789464538" r:id="rId20"/>
        </w:object>
      </w:r>
    </w:p>
    <w:p w14:paraId="54B52480" w14:textId="77777777" w:rsidR="005E6000" w:rsidRDefault="005E6000" w:rsidP="002656FE">
      <w:pPr>
        <w:tabs>
          <w:tab w:val="left" w:pos="3540"/>
          <w:tab w:val="left" w:pos="6327"/>
          <w:tab w:val="left" w:pos="7025"/>
        </w:tabs>
        <w:spacing w:after="0" w:line="276" w:lineRule="auto"/>
        <w:jc w:val="both"/>
        <w:rPr>
          <w:rFonts w:ascii="Arial" w:hAnsi="Arial" w:cs="Arial"/>
          <w:b/>
          <w:bCs/>
          <w:iCs/>
          <w:caps/>
        </w:rPr>
      </w:pPr>
    </w:p>
    <w:p w14:paraId="5418607B" w14:textId="77777777" w:rsidR="005E6000" w:rsidRDefault="005E6000" w:rsidP="002656FE">
      <w:pPr>
        <w:tabs>
          <w:tab w:val="left" w:pos="3540"/>
          <w:tab w:val="left" w:pos="6327"/>
          <w:tab w:val="left" w:pos="7025"/>
        </w:tabs>
        <w:spacing w:after="0" w:line="276" w:lineRule="auto"/>
        <w:jc w:val="both"/>
        <w:rPr>
          <w:rFonts w:ascii="Arial" w:hAnsi="Arial" w:cs="Arial"/>
          <w:b/>
          <w:bCs/>
          <w:iCs/>
          <w:caps/>
        </w:rPr>
      </w:pPr>
    </w:p>
    <w:p w14:paraId="3ED2BE21" w14:textId="77777777" w:rsidR="005E6000" w:rsidRDefault="005E6000" w:rsidP="002656FE">
      <w:pPr>
        <w:tabs>
          <w:tab w:val="left" w:pos="3540"/>
          <w:tab w:val="left" w:pos="6327"/>
          <w:tab w:val="left" w:pos="7025"/>
        </w:tabs>
        <w:spacing w:after="0" w:line="276" w:lineRule="auto"/>
        <w:jc w:val="both"/>
        <w:rPr>
          <w:rFonts w:ascii="Arial" w:hAnsi="Arial" w:cs="Arial"/>
          <w:b/>
          <w:bCs/>
          <w:iCs/>
          <w:caps/>
        </w:rPr>
      </w:pPr>
    </w:p>
    <w:p w14:paraId="410C7D7B" w14:textId="77777777" w:rsidR="005E6000" w:rsidRDefault="005E6000" w:rsidP="002656FE">
      <w:pPr>
        <w:tabs>
          <w:tab w:val="left" w:pos="3540"/>
          <w:tab w:val="left" w:pos="6327"/>
          <w:tab w:val="left" w:pos="7025"/>
        </w:tabs>
        <w:spacing w:after="0" w:line="276" w:lineRule="auto"/>
        <w:jc w:val="both"/>
        <w:rPr>
          <w:rFonts w:ascii="Arial" w:hAnsi="Arial" w:cs="Arial"/>
          <w:b/>
          <w:bCs/>
          <w:iCs/>
          <w:caps/>
        </w:rPr>
      </w:pPr>
    </w:p>
    <w:p w14:paraId="274DFE7A" w14:textId="77777777" w:rsidR="005E6000" w:rsidRDefault="005E6000" w:rsidP="002656FE">
      <w:pPr>
        <w:tabs>
          <w:tab w:val="left" w:pos="3540"/>
          <w:tab w:val="left" w:pos="6327"/>
          <w:tab w:val="left" w:pos="7025"/>
        </w:tabs>
        <w:spacing w:after="0" w:line="276" w:lineRule="auto"/>
        <w:jc w:val="both"/>
        <w:rPr>
          <w:rFonts w:ascii="Arial" w:hAnsi="Arial" w:cs="Arial"/>
          <w:b/>
          <w:bCs/>
          <w:iCs/>
          <w:caps/>
        </w:rPr>
      </w:pPr>
    </w:p>
    <w:p w14:paraId="02BE71C9" w14:textId="77777777" w:rsidR="005E6000" w:rsidRDefault="005E6000" w:rsidP="002656FE">
      <w:pPr>
        <w:tabs>
          <w:tab w:val="left" w:pos="3540"/>
          <w:tab w:val="left" w:pos="6327"/>
          <w:tab w:val="left" w:pos="7025"/>
        </w:tabs>
        <w:spacing w:after="0" w:line="276" w:lineRule="auto"/>
        <w:jc w:val="both"/>
        <w:rPr>
          <w:rFonts w:ascii="Arial" w:hAnsi="Arial" w:cs="Arial"/>
          <w:b/>
          <w:bCs/>
          <w:iCs/>
          <w:caps/>
        </w:rPr>
      </w:pPr>
    </w:p>
    <w:p w14:paraId="621BFBD9" w14:textId="77777777" w:rsidR="005E6000" w:rsidRDefault="005E6000" w:rsidP="002656FE">
      <w:pPr>
        <w:tabs>
          <w:tab w:val="left" w:pos="3540"/>
          <w:tab w:val="left" w:pos="6327"/>
          <w:tab w:val="left" w:pos="7025"/>
        </w:tabs>
        <w:spacing w:after="0" w:line="276" w:lineRule="auto"/>
        <w:jc w:val="both"/>
        <w:rPr>
          <w:rFonts w:ascii="Arial" w:hAnsi="Arial" w:cs="Arial"/>
          <w:b/>
          <w:bCs/>
          <w:iCs/>
          <w:caps/>
        </w:rPr>
      </w:pPr>
    </w:p>
    <w:p w14:paraId="2DFC18B7" w14:textId="77777777" w:rsidR="005E6000" w:rsidRDefault="005E6000" w:rsidP="002656FE">
      <w:pPr>
        <w:tabs>
          <w:tab w:val="left" w:pos="3540"/>
          <w:tab w:val="left" w:pos="6327"/>
          <w:tab w:val="left" w:pos="7025"/>
        </w:tabs>
        <w:spacing w:after="0" w:line="276" w:lineRule="auto"/>
        <w:jc w:val="both"/>
        <w:rPr>
          <w:rFonts w:ascii="Arial" w:hAnsi="Arial" w:cs="Arial"/>
          <w:b/>
          <w:bCs/>
          <w:iCs/>
          <w:caps/>
        </w:rPr>
      </w:pPr>
    </w:p>
    <w:p w14:paraId="11F69649" w14:textId="77777777" w:rsidR="005E6000" w:rsidRDefault="005E6000" w:rsidP="002656FE">
      <w:pPr>
        <w:tabs>
          <w:tab w:val="left" w:pos="3540"/>
          <w:tab w:val="left" w:pos="6327"/>
          <w:tab w:val="left" w:pos="7025"/>
        </w:tabs>
        <w:spacing w:after="0" w:line="276" w:lineRule="auto"/>
        <w:jc w:val="both"/>
        <w:rPr>
          <w:rFonts w:ascii="Arial" w:hAnsi="Arial" w:cs="Arial"/>
          <w:b/>
          <w:bCs/>
          <w:iCs/>
          <w:caps/>
        </w:rPr>
      </w:pPr>
    </w:p>
    <w:p w14:paraId="07F5D28F" w14:textId="77777777" w:rsidR="005E6000" w:rsidRDefault="005E6000" w:rsidP="002656FE">
      <w:pPr>
        <w:tabs>
          <w:tab w:val="left" w:pos="3540"/>
          <w:tab w:val="left" w:pos="6327"/>
          <w:tab w:val="left" w:pos="7025"/>
        </w:tabs>
        <w:spacing w:after="0" w:line="276" w:lineRule="auto"/>
        <w:jc w:val="both"/>
        <w:rPr>
          <w:rFonts w:ascii="Arial" w:hAnsi="Arial" w:cs="Arial"/>
          <w:b/>
          <w:bCs/>
          <w:iCs/>
          <w:caps/>
        </w:rPr>
      </w:pPr>
    </w:p>
    <w:p w14:paraId="221C1C1D" w14:textId="77777777" w:rsidR="005E6000" w:rsidRDefault="005E6000" w:rsidP="002656FE">
      <w:pPr>
        <w:tabs>
          <w:tab w:val="left" w:pos="3540"/>
          <w:tab w:val="left" w:pos="6327"/>
          <w:tab w:val="left" w:pos="7025"/>
        </w:tabs>
        <w:spacing w:after="0" w:line="276" w:lineRule="auto"/>
        <w:jc w:val="both"/>
        <w:rPr>
          <w:rFonts w:ascii="Arial" w:hAnsi="Arial" w:cs="Arial"/>
          <w:b/>
          <w:bCs/>
          <w:iCs/>
          <w:caps/>
        </w:rPr>
      </w:pPr>
    </w:p>
    <w:p w14:paraId="14A50E29" w14:textId="77777777" w:rsidR="002656FE" w:rsidRPr="00FB1E94" w:rsidRDefault="002656FE" w:rsidP="00FB1E94">
      <w:pPr>
        <w:ind w:hanging="1134"/>
        <w:jc w:val="both"/>
        <w:rPr>
          <w:rFonts w:ascii="Arial" w:hAnsi="Arial" w:cs="Arial"/>
        </w:rPr>
      </w:pPr>
    </w:p>
    <w:sectPr w:rsidR="002656FE" w:rsidRPr="00FB1E94" w:rsidSect="00FB1E9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08EDD" w14:textId="77777777" w:rsidR="003F5C81" w:rsidRDefault="003F5C81" w:rsidP="005E6000">
      <w:pPr>
        <w:spacing w:after="0" w:line="240" w:lineRule="auto"/>
      </w:pPr>
      <w:r>
        <w:separator/>
      </w:r>
    </w:p>
  </w:endnote>
  <w:endnote w:type="continuationSeparator" w:id="0">
    <w:p w14:paraId="08AE840E" w14:textId="77777777" w:rsidR="003F5C81" w:rsidRDefault="003F5C81" w:rsidP="005E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862A8" w14:textId="77777777" w:rsidR="003F5C81" w:rsidRDefault="003F5C81" w:rsidP="005E6000">
      <w:pPr>
        <w:spacing w:after="0" w:line="240" w:lineRule="auto"/>
      </w:pPr>
      <w:r>
        <w:separator/>
      </w:r>
    </w:p>
  </w:footnote>
  <w:footnote w:type="continuationSeparator" w:id="0">
    <w:p w14:paraId="700F800C" w14:textId="77777777" w:rsidR="003F5C81" w:rsidRDefault="003F5C81" w:rsidP="005E6000">
      <w:pPr>
        <w:spacing w:after="0" w:line="240" w:lineRule="auto"/>
      </w:pPr>
      <w:r>
        <w:continuationSeparator/>
      </w:r>
    </w:p>
  </w:footnote>
  <w:footnote w:id="1">
    <w:p w14:paraId="4FC28A89" w14:textId="77777777" w:rsidR="005E6000" w:rsidRPr="00482B6D" w:rsidRDefault="005E6000" w:rsidP="005E6000">
      <w:pPr>
        <w:pStyle w:val="Textpoznpodarou"/>
        <w:rPr>
          <w:i/>
          <w:iCs/>
        </w:rPr>
      </w:pPr>
      <w:r w:rsidRPr="0056326F">
        <w:rPr>
          <w:rStyle w:val="Znakapoznpodarou"/>
          <w:rFonts w:ascii="Arial" w:eastAsia="Arial" w:hAnsi="Arial"/>
          <w:i/>
        </w:rPr>
        <w:footnoteRef/>
      </w:r>
      <w:r w:rsidRPr="0056326F">
        <w:rPr>
          <w:rFonts w:ascii="Arial" w:eastAsia="Arial" w:hAnsi="Arial"/>
          <w:i/>
        </w:rPr>
        <w:t xml:space="preserve"> Pokud jde o změny v produkci, podle údajů Souhrnného zemědělského účtu ČSÚ vzrostla (ve stálých cenách roku 2000) produkce RV v průměru let 2018-21 proti průměru let 2012-14 pouze o 0,35 %, zatímco produkce </w:t>
      </w:r>
      <w:r>
        <w:rPr>
          <w:rFonts w:ascii="Arial" w:eastAsia="Arial" w:hAnsi="Arial"/>
          <w:i/>
        </w:rPr>
        <w:t>živočišné výroby</w:t>
      </w:r>
      <w:r w:rsidRPr="0056326F">
        <w:rPr>
          <w:rFonts w:ascii="Arial" w:eastAsia="Arial" w:hAnsi="Arial"/>
          <w:i/>
        </w:rPr>
        <w:t xml:space="preserve"> vzrostla o 6,87 %. </w:t>
      </w:r>
    </w:p>
  </w:footnote>
  <w:footnote w:id="2">
    <w:p w14:paraId="7549804F" w14:textId="77777777" w:rsidR="005E6000" w:rsidRPr="00482B6D" w:rsidRDefault="005E6000" w:rsidP="005E6000">
      <w:pPr>
        <w:pStyle w:val="Textpoznpodarou"/>
        <w:rPr>
          <w:b/>
          <w:bCs/>
          <w:i/>
          <w:iCs/>
          <w:color w:val="000000" w:themeColor="text1"/>
        </w:rPr>
      </w:pPr>
      <w:r w:rsidRPr="0056326F">
        <w:rPr>
          <w:rStyle w:val="Znakapoznpodarou"/>
          <w:rFonts w:ascii="Arial" w:eastAsia="Arial" w:hAnsi="Arial"/>
          <w:i/>
          <w:color w:val="000000" w:themeColor="text1"/>
        </w:rPr>
        <w:footnoteRef/>
      </w:r>
      <w:r w:rsidRPr="0056326F">
        <w:rPr>
          <w:rFonts w:ascii="Arial" w:eastAsia="Arial" w:hAnsi="Arial"/>
          <w:i/>
          <w:color w:val="000000" w:themeColor="text1"/>
        </w:rPr>
        <w:t xml:space="preserve"> Cena půdy je ovlivněna vysokými podporami vztaženými na 1 ha z. p. Průměrné pachtovné na 1 ha z. p. v roce 2021 činilo 3 517 Kč a bylo tak nominálně o 69 % vyšší než v roce 2014. Průměrná cena z.</w:t>
      </w:r>
      <w:r>
        <w:rPr>
          <w:rFonts w:ascii="Arial" w:eastAsia="Arial" w:hAnsi="Arial"/>
          <w:i/>
          <w:color w:val="000000" w:themeColor="text1"/>
        </w:rPr>
        <w:t> </w:t>
      </w:r>
      <w:r w:rsidRPr="0056326F">
        <w:rPr>
          <w:rFonts w:ascii="Arial" w:eastAsia="Arial" w:hAnsi="Arial"/>
          <w:i/>
          <w:color w:val="000000" w:themeColor="text1"/>
        </w:rPr>
        <w:t>p. určené k dalšímu zemědělskému užití činila v roce 2021 328 500 Kč/ha a proti roku 2014 vzrostla o</w:t>
      </w:r>
      <w:r>
        <w:rPr>
          <w:rFonts w:ascii="Arial" w:eastAsia="Arial" w:hAnsi="Arial"/>
          <w:i/>
          <w:color w:val="000000" w:themeColor="text1"/>
        </w:rPr>
        <w:t> </w:t>
      </w:r>
      <w:r w:rsidRPr="0056326F">
        <w:rPr>
          <w:rFonts w:ascii="Arial" w:eastAsia="Arial" w:hAnsi="Arial"/>
          <w:i/>
          <w:color w:val="000000" w:themeColor="text1"/>
        </w:rPr>
        <w:t>155 %. Přesto jak pachtovné, tak cena z. p. je stále podstatně nižší než např. v sousedním Německu či Rakousku</w:t>
      </w:r>
      <w:r w:rsidRPr="0056326F">
        <w:rPr>
          <w:rFonts w:ascii="Arial" w:eastAsia="Arial" w:hAnsi="Arial"/>
          <w:b/>
          <w:i/>
          <w:color w:val="000000" w:themeColor="text1"/>
        </w:rPr>
        <w:t>.</w:t>
      </w:r>
    </w:p>
    <w:p w14:paraId="1FCC4F09" w14:textId="77777777" w:rsidR="005E6000" w:rsidRPr="00482B6D" w:rsidRDefault="005E6000" w:rsidP="005E6000">
      <w:pPr>
        <w:pStyle w:val="Textpoznpodarou"/>
        <w:rPr>
          <w:b/>
          <w:bCs/>
          <w:i/>
          <w:iCs/>
        </w:rPr>
      </w:pPr>
      <w:r w:rsidRPr="0056326F">
        <w:rPr>
          <w:rFonts w:ascii="Arial" w:eastAsia="Arial" w:hAnsi="Arial"/>
          <w:b/>
          <w:i/>
        </w:rPr>
        <w:t xml:space="preserve"> </w:t>
      </w:r>
    </w:p>
  </w:footnote>
  <w:footnote w:id="3">
    <w:p w14:paraId="7C00DB51" w14:textId="77777777" w:rsidR="005E6000" w:rsidRPr="00482B6D" w:rsidRDefault="005E6000" w:rsidP="005E6000">
      <w:pPr>
        <w:pStyle w:val="Textpoznpodarou"/>
        <w:rPr>
          <w:i/>
          <w:iCs/>
        </w:rPr>
      </w:pPr>
      <w:r w:rsidRPr="0056326F">
        <w:rPr>
          <w:rStyle w:val="Znakapoznpodarou"/>
          <w:rFonts w:ascii="Arial" w:eastAsia="Arial" w:hAnsi="Arial"/>
          <w:i/>
        </w:rPr>
        <w:footnoteRef/>
      </w:r>
      <w:r w:rsidRPr="0056326F">
        <w:rPr>
          <w:rFonts w:ascii="Arial" w:eastAsia="Arial" w:hAnsi="Arial"/>
          <w:i/>
        </w:rPr>
        <w:t xml:space="preserve"> Na rozdíl od velikosti podniků měřené výměrou obhospodařované zemědělské půdy ekonomická velikost podniků je založena na hodnotě tzv. standardního výstupu (produkce).</w:t>
      </w:r>
    </w:p>
  </w:footnote>
  <w:footnote w:id="4">
    <w:p w14:paraId="47EAA477" w14:textId="77777777" w:rsidR="005E6000" w:rsidRPr="00E33ED3" w:rsidRDefault="005E6000" w:rsidP="005E6000">
      <w:pPr>
        <w:pStyle w:val="Textpoznpodarou"/>
        <w:rPr>
          <w:rFonts w:ascii="Arial" w:hAnsi="Arial" w:cs="Arial"/>
          <w:i/>
          <w:iCs/>
        </w:rPr>
      </w:pPr>
      <w:r w:rsidRPr="00301F33">
        <w:rPr>
          <w:rStyle w:val="Znakapoznpodarou"/>
          <w:rFonts w:ascii="Arial" w:eastAsia="Arial" w:hAnsi="Arial" w:cs="Arial"/>
        </w:rPr>
        <w:footnoteRef/>
      </w:r>
      <w:r w:rsidRPr="00301F33">
        <w:rPr>
          <w:rFonts w:ascii="Arial" w:eastAsia="Arial" w:hAnsi="Arial" w:cs="Arial"/>
        </w:rPr>
        <w:t xml:space="preserve"> </w:t>
      </w:r>
      <w:r w:rsidRPr="009751A8">
        <w:rPr>
          <w:rFonts w:ascii="Arial" w:eastAsia="Gill Sans MT" w:hAnsi="Arial" w:cs="Arial"/>
          <w:i/>
          <w:iCs/>
        </w:rPr>
        <w:t xml:space="preserve">Plochy obhospodařované ekologickými zemědělci vzrostly od roku 2014 z 494 tis. ha na 595,2 tis. ha v roce 2023 (tedy během sedmi let o 20,5 %). Plochy orné půdy v EZ se od roku 2014 více než zdvojnásobily (nárůst z 56,4 tis. ha na 120,5 tis. ha v roce 2023, tj. o 113,65 %). Plochy trvalých travných porostů se zvýšily od roku 2014 z 412,6 tis. ha na 468 tis. ha v roce 2023 (tj. </w:t>
      </w:r>
      <w:r>
        <w:rPr>
          <w:rFonts w:ascii="Arial" w:eastAsia="Gill Sans MT" w:hAnsi="Arial" w:cs="Arial"/>
          <w:i/>
          <w:iCs/>
        </w:rPr>
        <w:t xml:space="preserve">o </w:t>
      </w:r>
      <w:r w:rsidRPr="009751A8">
        <w:rPr>
          <w:rFonts w:ascii="Arial" w:eastAsia="Gill Sans MT" w:hAnsi="Arial" w:cs="Arial"/>
          <w:i/>
          <w:iCs/>
        </w:rPr>
        <w:t xml:space="preserve">13,4 %). Plochy trvalých kultur se snížily od roku 2014 z 7,8 tis. ha na 5,8 tis. ha (tj. pokles o 25,6 %).   </w:t>
      </w:r>
    </w:p>
  </w:footnote>
  <w:footnote w:id="5">
    <w:p w14:paraId="0FB454C1" w14:textId="77777777" w:rsidR="005E6000" w:rsidRDefault="005E6000" w:rsidP="005E6000">
      <w:pPr>
        <w:pStyle w:val="Textpoznpodarou"/>
      </w:pPr>
      <w:r>
        <w:rPr>
          <w:rStyle w:val="Znakapoznpodarou"/>
        </w:rPr>
        <w:footnoteRef/>
      </w:r>
      <w:r>
        <w:t xml:space="preserve"> </w:t>
      </w:r>
      <w:r w:rsidRPr="009751A8">
        <w:rPr>
          <w:rFonts w:ascii="Arial" w:hAnsi="Arial" w:cs="Arial"/>
          <w:i/>
          <w:iCs/>
        </w:rPr>
        <w:t>90 % ekologicky obhospodařovaných ploch se nachází v horských a podhorských méně příznivých oblastech, přičemž se zhruba třetina ploch v EZ nachází v některém ze zvláště chráněných území, tzn. cca 45 % zemědělské půdy chráněných území ČR je v ekologickém režimu</w:t>
      </w:r>
      <w:r>
        <w:rPr>
          <w:rFonts w:ascii="Arial" w:hAnsi="Arial" w:cs="Arial"/>
          <w:i/>
          <w:iCs/>
        </w:rPr>
        <w:t>.</w:t>
      </w:r>
      <w:r>
        <w:rPr>
          <w:rFonts w:ascii="Arial" w:hAnsi="Arial" w:cs="Arial"/>
        </w:rPr>
        <w:t xml:space="preserve"> </w:t>
      </w:r>
      <w:r w:rsidRPr="009751A8">
        <w:rPr>
          <w:rFonts w:ascii="Arial" w:hAnsi="Arial" w:cs="Arial"/>
          <w:i/>
          <w:iCs/>
        </w:rPr>
        <w:t>V produkčních oblastech zůstává zastoupení EZ naopak na nízké úrovni.</w:t>
      </w:r>
    </w:p>
  </w:footnote>
  <w:footnote w:id="6">
    <w:p w14:paraId="14243CB1" w14:textId="77777777" w:rsidR="005E6000" w:rsidRPr="001548F3" w:rsidRDefault="005E6000" w:rsidP="005E6000">
      <w:pPr>
        <w:pStyle w:val="Textpoznpodarou"/>
        <w:rPr>
          <w:i/>
          <w:iCs/>
        </w:rPr>
      </w:pPr>
      <w:r w:rsidRPr="0056326F">
        <w:rPr>
          <w:rStyle w:val="Znakapoznpodarou"/>
          <w:rFonts w:ascii="Arial" w:eastAsia="Arial" w:hAnsi="Arial"/>
        </w:rPr>
        <w:footnoteRef/>
      </w:r>
      <w:r w:rsidRPr="0056326F">
        <w:rPr>
          <w:rFonts w:ascii="Arial" w:eastAsia="Arial" w:hAnsi="Arial"/>
        </w:rPr>
        <w:t xml:space="preserve"> </w:t>
      </w:r>
      <w:r w:rsidRPr="0056326F">
        <w:rPr>
          <w:rFonts w:ascii="Arial" w:eastAsia="Arial" w:hAnsi="Arial"/>
          <w:i/>
        </w:rPr>
        <w:t>Existuje nadbytek kravského mléka či hovězího masa, naopak není dostatek produkce ovoce a</w:t>
      </w:r>
      <w:r>
        <w:rPr>
          <w:rFonts w:ascii="Arial" w:eastAsia="Arial" w:hAnsi="Arial"/>
          <w:i/>
        </w:rPr>
        <w:t> </w:t>
      </w:r>
      <w:r w:rsidRPr="0056326F">
        <w:rPr>
          <w:rFonts w:ascii="Arial" w:eastAsia="Arial" w:hAnsi="Arial"/>
          <w:i/>
        </w:rPr>
        <w:t>zeleniny.</w:t>
      </w:r>
    </w:p>
  </w:footnote>
  <w:footnote w:id="7">
    <w:p w14:paraId="4D391E34" w14:textId="77777777" w:rsidR="005E6000" w:rsidRPr="006F483A" w:rsidRDefault="005E6000" w:rsidP="005E6000">
      <w:pPr>
        <w:pStyle w:val="Textpoznpodarou"/>
        <w:rPr>
          <w:i/>
          <w:iCs/>
        </w:rPr>
      </w:pPr>
      <w:r w:rsidRPr="0056326F">
        <w:rPr>
          <w:rStyle w:val="Znakapoznpodarou"/>
          <w:rFonts w:ascii="Arial" w:eastAsia="Arial" w:hAnsi="Arial"/>
        </w:rPr>
        <w:footnoteRef/>
      </w:r>
      <w:r w:rsidRPr="0056762E">
        <w:rPr>
          <w:rFonts w:ascii="Arial" w:eastAsia="Arial" w:hAnsi="Arial" w:cs="Arial"/>
        </w:rPr>
        <w:t xml:space="preserve"> </w:t>
      </w:r>
      <w:r w:rsidRPr="0056762E">
        <w:rPr>
          <w:rFonts w:ascii="Arial" w:eastAsia="Arial" w:hAnsi="Arial" w:cs="Arial"/>
          <w:i/>
        </w:rPr>
        <w:t xml:space="preserve">Jako konvenční je zpracována </w:t>
      </w:r>
      <w:r>
        <w:rPr>
          <w:rFonts w:ascii="Arial" w:eastAsia="Arial" w:hAnsi="Arial" w:cs="Arial"/>
          <w:i/>
        </w:rPr>
        <w:t>většina</w:t>
      </w:r>
      <w:r w:rsidRPr="0056762E">
        <w:rPr>
          <w:rFonts w:ascii="Arial" w:eastAsia="Arial" w:hAnsi="Arial" w:cs="Arial"/>
          <w:i/>
        </w:rPr>
        <w:t xml:space="preserve"> produkce kozího masa, přes 80 % skopového masa, cca </w:t>
      </w:r>
      <w:r>
        <w:rPr>
          <w:rFonts w:ascii="Arial" w:eastAsia="Arial" w:hAnsi="Arial" w:cs="Arial"/>
          <w:i/>
        </w:rPr>
        <w:t>60</w:t>
      </w:r>
      <w:r w:rsidRPr="0056762E">
        <w:rPr>
          <w:rFonts w:ascii="Arial" w:eastAsia="Arial" w:hAnsi="Arial" w:cs="Arial"/>
          <w:i/>
        </w:rPr>
        <w:t xml:space="preserve"> % vepřového masa a více než 50 % hovězího masa. U rostlinné produkce je prodej na konvenčním trhu zaznamenán zejména u ovoce </w:t>
      </w:r>
      <w:r>
        <w:rPr>
          <w:rFonts w:ascii="Arial" w:eastAsia="Arial" w:hAnsi="Arial" w:cs="Arial"/>
          <w:i/>
        </w:rPr>
        <w:t>(kolem poloviny)</w:t>
      </w:r>
      <w:r w:rsidRPr="0056762E">
        <w:rPr>
          <w:rFonts w:ascii="Arial" w:eastAsia="Arial" w:hAnsi="Arial" w:cs="Arial"/>
          <w:i/>
        </w:rPr>
        <w:t xml:space="preserve">, u ostatních kategorií není tak významný.  </w:t>
      </w:r>
    </w:p>
  </w:footnote>
  <w:footnote w:id="8">
    <w:p w14:paraId="23488ACF" w14:textId="77777777" w:rsidR="005E6000" w:rsidRDefault="005E6000" w:rsidP="005E6000">
      <w:pPr>
        <w:jc w:val="center"/>
        <w:rPr>
          <w:rFonts w:ascii="Arial" w:hAnsi="Arial" w:cs="Arial"/>
          <w:b/>
          <w:bCs/>
        </w:rPr>
      </w:pPr>
      <w:r w:rsidRPr="0056762E">
        <w:rPr>
          <w:rFonts w:ascii="Arial" w:eastAsia="Arial" w:hAnsi="Arial" w:cs="Arial"/>
        </w:rPr>
        <w:footnoteRef/>
      </w:r>
      <w:r w:rsidRPr="0056762E">
        <w:rPr>
          <w:rFonts w:ascii="Arial" w:eastAsia="Arial" w:hAnsi="Arial" w:cs="Arial"/>
        </w:rPr>
        <w:t xml:space="preserve"> </w:t>
      </w:r>
      <w:r w:rsidRPr="0056762E">
        <w:rPr>
          <w:rFonts w:ascii="Arial" w:eastAsia="Arial" w:hAnsi="Arial" w:cs="Arial"/>
          <w:i/>
        </w:rPr>
        <w:t>V roce 202</w:t>
      </w:r>
      <w:r>
        <w:rPr>
          <w:rFonts w:ascii="Arial" w:eastAsia="Arial" w:hAnsi="Arial" w:cs="Arial"/>
          <w:i/>
        </w:rPr>
        <w:t>2</w:t>
      </w:r>
      <w:r w:rsidRPr="0056762E">
        <w:rPr>
          <w:rFonts w:ascii="Arial" w:eastAsia="Arial" w:hAnsi="Arial" w:cs="Arial"/>
          <w:i/>
        </w:rPr>
        <w:t xml:space="preserve"> činily roční výdaje za biopotraviny </w:t>
      </w:r>
      <w:r>
        <w:rPr>
          <w:rFonts w:ascii="Arial" w:eastAsia="Arial" w:hAnsi="Arial" w:cs="Arial"/>
          <w:i/>
        </w:rPr>
        <w:t>642</w:t>
      </w:r>
      <w:r w:rsidRPr="0056762E">
        <w:rPr>
          <w:rFonts w:ascii="Arial" w:eastAsia="Arial" w:hAnsi="Arial" w:cs="Arial"/>
          <w:i/>
        </w:rPr>
        <w:t xml:space="preserve"> Kč/obyvatele/rok, podíl biopotravin na celkové spotřebě potravin a nápojů činil 1,6</w:t>
      </w:r>
      <w:r>
        <w:rPr>
          <w:rFonts w:ascii="Arial" w:eastAsia="Arial" w:hAnsi="Arial" w:cs="Arial"/>
          <w:i/>
        </w:rPr>
        <w:t>5</w:t>
      </w:r>
      <w:r w:rsidRPr="0056762E">
        <w:rPr>
          <w:rFonts w:ascii="Arial" w:eastAsia="Arial" w:hAnsi="Arial" w:cs="Arial"/>
          <w:i/>
        </w:rPr>
        <w:t xml:space="preserve"> %, což je výrazně méně než v západních zemí</w:t>
      </w:r>
      <w:r>
        <w:rPr>
          <w:rFonts w:ascii="Arial" w:eastAsia="Arial" w:hAnsi="Arial" w:cs="Arial"/>
          <w:i/>
        </w:rPr>
        <w:t>ch</w:t>
      </w:r>
      <w:r w:rsidRPr="0056762E">
        <w:rPr>
          <w:rFonts w:ascii="Arial" w:eastAsia="Arial" w:hAnsi="Arial" w:cs="Arial"/>
          <w:i/>
        </w:rPr>
        <w:t>. Více než polovina spotřebovaných biopotravin v ČR je zahraničního původu.</w:t>
      </w:r>
      <w:r w:rsidRPr="00D51CF9">
        <w:rPr>
          <w:rFonts w:ascii="Arial" w:hAnsi="Arial" w:cs="Arial"/>
          <w:caps/>
        </w:rPr>
        <w:t xml:space="preserve"> </w:t>
      </w:r>
    </w:p>
    <w:p w14:paraId="3101D97A" w14:textId="77777777" w:rsidR="005E6000" w:rsidRDefault="005E6000" w:rsidP="005E6000">
      <w:pPr>
        <w:rPr>
          <w:rFonts w:ascii="Arial" w:hAnsi="Arial" w:cs="Arial"/>
          <w:b/>
          <w:bCs/>
        </w:rPr>
      </w:pPr>
    </w:p>
    <w:p w14:paraId="2F00F297" w14:textId="77777777" w:rsidR="005E6000" w:rsidRDefault="005E6000" w:rsidP="005E6000">
      <w:pPr>
        <w:rPr>
          <w:rFonts w:ascii="Arial" w:hAnsi="Arial" w:cs="Arial"/>
          <w:b/>
          <w:bCs/>
        </w:rPr>
      </w:pPr>
    </w:p>
    <w:p w14:paraId="52675974" w14:textId="77777777" w:rsidR="005E6000" w:rsidRDefault="005E6000" w:rsidP="005E6000">
      <w:pPr>
        <w:rPr>
          <w:rFonts w:ascii="Arial" w:hAnsi="Arial" w:cs="Arial"/>
          <w:b/>
          <w:bCs/>
        </w:rPr>
      </w:pPr>
    </w:p>
    <w:p w14:paraId="61DFA5BC" w14:textId="77777777" w:rsidR="005E6000" w:rsidRDefault="005E6000" w:rsidP="005E6000">
      <w:pPr>
        <w:rPr>
          <w:rFonts w:ascii="Arial" w:hAnsi="Arial" w:cs="Arial"/>
          <w:b/>
          <w:bCs/>
        </w:rPr>
      </w:pPr>
    </w:p>
    <w:p w14:paraId="5BE5FB08" w14:textId="77777777" w:rsidR="005E6000" w:rsidRDefault="005E6000" w:rsidP="005E6000">
      <w:pPr>
        <w:rPr>
          <w:rFonts w:ascii="Arial" w:hAnsi="Arial" w:cs="Arial"/>
          <w:b/>
          <w:bCs/>
        </w:rPr>
      </w:pPr>
    </w:p>
    <w:p w14:paraId="20DC44AA" w14:textId="77777777" w:rsidR="005E6000" w:rsidRDefault="005E6000" w:rsidP="005E6000">
      <w:pPr>
        <w:rPr>
          <w:rFonts w:ascii="Arial" w:hAnsi="Arial" w:cs="Arial"/>
          <w:b/>
          <w:bCs/>
        </w:rPr>
      </w:pPr>
    </w:p>
    <w:p w14:paraId="3D42F0AB" w14:textId="77777777" w:rsidR="005E6000" w:rsidRDefault="005E6000" w:rsidP="005E6000">
      <w:pPr>
        <w:rPr>
          <w:rFonts w:ascii="Arial" w:hAnsi="Arial" w:cs="Arial"/>
          <w:b/>
          <w:bCs/>
        </w:rPr>
      </w:pPr>
    </w:p>
    <w:p w14:paraId="4C17B1D4" w14:textId="77777777" w:rsidR="005E6000" w:rsidRDefault="005E6000" w:rsidP="005E6000">
      <w:pPr>
        <w:rPr>
          <w:rFonts w:ascii="Arial" w:hAnsi="Arial" w:cs="Arial"/>
          <w:b/>
          <w:bCs/>
        </w:rPr>
      </w:pPr>
    </w:p>
    <w:p w14:paraId="440DE676" w14:textId="77777777" w:rsidR="005E6000" w:rsidRDefault="005E6000" w:rsidP="005E6000">
      <w:pPr>
        <w:rPr>
          <w:rFonts w:ascii="Arial" w:hAnsi="Arial" w:cs="Arial"/>
          <w:b/>
          <w:bCs/>
        </w:rPr>
      </w:pPr>
    </w:p>
    <w:p w14:paraId="644F0B8A" w14:textId="77777777" w:rsidR="005E6000" w:rsidRPr="00FB1E94" w:rsidRDefault="005E6000" w:rsidP="005E6000">
      <w:pPr>
        <w:rPr>
          <w:rFonts w:ascii="Arial" w:hAnsi="Arial" w:cs="Arial"/>
        </w:rPr>
      </w:pPr>
    </w:p>
    <w:p w14:paraId="477AA2B2" w14:textId="77777777" w:rsidR="005E6000" w:rsidRPr="003628B0" w:rsidRDefault="005E6000" w:rsidP="005E6000">
      <w:pPr>
        <w:pStyle w:val="Textpoznpodarou"/>
        <w:rPr>
          <w:i/>
          <w:iCs/>
        </w:rPr>
      </w:pPr>
    </w:p>
  </w:footnote>
  <w:footnote w:id="9">
    <w:p w14:paraId="5BF5FB71" w14:textId="77777777" w:rsidR="008443EE" w:rsidRDefault="008443EE" w:rsidP="008443EE">
      <w:pPr>
        <w:pStyle w:val="Textpoznpodarou"/>
      </w:pPr>
      <w:r>
        <w:rPr>
          <w:rStyle w:val="Znakapoznpodarou"/>
        </w:rPr>
        <w:footnoteRef/>
      </w:r>
      <w:r>
        <w:t xml:space="preserve"> </w:t>
      </w:r>
      <w:r w:rsidRPr="009113B3">
        <w:rPr>
          <w:rStyle w:val="cf01"/>
          <w:i/>
          <w:iCs/>
        </w:rPr>
        <w:t xml:space="preserve">V případě ANC plateb je </w:t>
      </w:r>
      <w:r>
        <w:rPr>
          <w:rStyle w:val="cf01"/>
          <w:i/>
          <w:iCs/>
        </w:rPr>
        <w:t>uplatňována</w:t>
      </w:r>
      <w:r w:rsidRPr="009113B3">
        <w:rPr>
          <w:rStyle w:val="cf01"/>
          <w:i/>
          <w:iCs/>
        </w:rPr>
        <w:t xml:space="preserve"> degresivita s ohledem na velikost podniku</w:t>
      </w:r>
      <w:r>
        <w:rPr>
          <w:rStyle w:val="cf01"/>
          <w:i/>
          <w:iCs/>
        </w:rPr>
        <w:t xml:space="preserve"> (redukční sazby pro podniky o prům. výměře 300-500 ha: 10 %; 500-900 ha: 18 %; 900-1 800 ha: 22 %; 1 800-2 500 ha: 27 %; nad 2 500 ha: 30 %)</w:t>
      </w:r>
      <w:r w:rsidRPr="009113B3">
        <w:rPr>
          <w:rStyle w:val="cf01"/>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042"/>
    <w:multiLevelType w:val="multilevel"/>
    <w:tmpl w:val="4EF8FFA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906C8B"/>
    <w:multiLevelType w:val="hybridMultilevel"/>
    <w:tmpl w:val="CBC02E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33262F"/>
    <w:multiLevelType w:val="hybridMultilevel"/>
    <w:tmpl w:val="1DF8012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4E5735"/>
    <w:multiLevelType w:val="hybridMultilevel"/>
    <w:tmpl w:val="C44AEE28"/>
    <w:lvl w:ilvl="0" w:tplc="2E76E2F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250F26"/>
    <w:multiLevelType w:val="hybridMultilevel"/>
    <w:tmpl w:val="2B3AB6C2"/>
    <w:lvl w:ilvl="0" w:tplc="2988CF9C">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390B0A"/>
    <w:multiLevelType w:val="hybridMultilevel"/>
    <w:tmpl w:val="392CA5BA"/>
    <w:lvl w:ilvl="0" w:tplc="040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1F6B62"/>
    <w:multiLevelType w:val="hybridMultilevel"/>
    <w:tmpl w:val="5510B216"/>
    <w:lvl w:ilvl="0" w:tplc="2EC81D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5B08EB"/>
    <w:multiLevelType w:val="hybridMultilevel"/>
    <w:tmpl w:val="99F0FB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A37872"/>
    <w:multiLevelType w:val="hybridMultilevel"/>
    <w:tmpl w:val="18C0DA4E"/>
    <w:lvl w:ilvl="0" w:tplc="60EA7E10">
      <w:start w:val="1"/>
      <w:numFmt w:val="decimal"/>
      <w:lvlText w:val="%1."/>
      <w:lvlJc w:val="left"/>
      <w:pPr>
        <w:ind w:left="1020" w:hanging="360"/>
      </w:pPr>
    </w:lvl>
    <w:lvl w:ilvl="1" w:tplc="9970E340">
      <w:start w:val="1"/>
      <w:numFmt w:val="decimal"/>
      <w:lvlText w:val="%2."/>
      <w:lvlJc w:val="left"/>
      <w:pPr>
        <w:ind w:left="1020" w:hanging="360"/>
      </w:pPr>
    </w:lvl>
    <w:lvl w:ilvl="2" w:tplc="CE8EAC54">
      <w:start w:val="1"/>
      <w:numFmt w:val="decimal"/>
      <w:lvlText w:val="%3."/>
      <w:lvlJc w:val="left"/>
      <w:pPr>
        <w:ind w:left="1020" w:hanging="360"/>
      </w:pPr>
    </w:lvl>
    <w:lvl w:ilvl="3" w:tplc="9FD07206">
      <w:start w:val="1"/>
      <w:numFmt w:val="decimal"/>
      <w:lvlText w:val="%4."/>
      <w:lvlJc w:val="left"/>
      <w:pPr>
        <w:ind w:left="1020" w:hanging="360"/>
      </w:pPr>
    </w:lvl>
    <w:lvl w:ilvl="4" w:tplc="DF901DDE">
      <w:start w:val="1"/>
      <w:numFmt w:val="decimal"/>
      <w:lvlText w:val="%5."/>
      <w:lvlJc w:val="left"/>
      <w:pPr>
        <w:ind w:left="1020" w:hanging="360"/>
      </w:pPr>
    </w:lvl>
    <w:lvl w:ilvl="5" w:tplc="50BC9F02">
      <w:start w:val="1"/>
      <w:numFmt w:val="decimal"/>
      <w:lvlText w:val="%6."/>
      <w:lvlJc w:val="left"/>
      <w:pPr>
        <w:ind w:left="1020" w:hanging="360"/>
      </w:pPr>
    </w:lvl>
    <w:lvl w:ilvl="6" w:tplc="9E28FFB4">
      <w:start w:val="1"/>
      <w:numFmt w:val="decimal"/>
      <w:lvlText w:val="%7."/>
      <w:lvlJc w:val="left"/>
      <w:pPr>
        <w:ind w:left="1020" w:hanging="360"/>
      </w:pPr>
    </w:lvl>
    <w:lvl w:ilvl="7" w:tplc="44804FF8">
      <w:start w:val="1"/>
      <w:numFmt w:val="decimal"/>
      <w:lvlText w:val="%8."/>
      <w:lvlJc w:val="left"/>
      <w:pPr>
        <w:ind w:left="1020" w:hanging="360"/>
      </w:pPr>
    </w:lvl>
    <w:lvl w:ilvl="8" w:tplc="599E572C">
      <w:start w:val="1"/>
      <w:numFmt w:val="decimal"/>
      <w:lvlText w:val="%9."/>
      <w:lvlJc w:val="left"/>
      <w:pPr>
        <w:ind w:left="1020" w:hanging="360"/>
      </w:pPr>
    </w:lvl>
  </w:abstractNum>
  <w:abstractNum w:abstractNumId="9" w15:restartNumberingAfterBreak="0">
    <w:nsid w:val="37172F90"/>
    <w:multiLevelType w:val="hybridMultilevel"/>
    <w:tmpl w:val="85405AFA"/>
    <w:lvl w:ilvl="0" w:tplc="FFFFFFFF">
      <w:start w:val="1"/>
      <w:numFmt w:val="bullet"/>
      <w:lvlText w:val=""/>
      <w:lvlJc w:val="left"/>
      <w:pPr>
        <w:ind w:left="720" w:hanging="360"/>
      </w:pPr>
      <w:rPr>
        <w:rFonts w:ascii="Wingdings" w:hAnsi="Wingdings" w:hint="default"/>
      </w:rPr>
    </w:lvl>
    <w:lvl w:ilvl="1" w:tplc="0405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2E1901"/>
    <w:multiLevelType w:val="hybridMultilevel"/>
    <w:tmpl w:val="55AAF6CA"/>
    <w:lvl w:ilvl="0" w:tplc="E0E8A36E">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D8B0EA7"/>
    <w:multiLevelType w:val="hybridMultilevel"/>
    <w:tmpl w:val="B5F8996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1380BC0"/>
    <w:multiLevelType w:val="hybridMultilevel"/>
    <w:tmpl w:val="D1E864F0"/>
    <w:lvl w:ilvl="0" w:tplc="EEB2BF1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198786B"/>
    <w:multiLevelType w:val="multilevel"/>
    <w:tmpl w:val="09F08A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48F45BF"/>
    <w:multiLevelType w:val="hybridMultilevel"/>
    <w:tmpl w:val="A81CD0E6"/>
    <w:lvl w:ilvl="0" w:tplc="53160E9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75FBC"/>
    <w:multiLevelType w:val="hybridMultilevel"/>
    <w:tmpl w:val="17E4F7CA"/>
    <w:lvl w:ilvl="0" w:tplc="A9B2B69C">
      <w:start w:val="1"/>
      <w:numFmt w:val="decimal"/>
      <w:lvlText w:val="%1."/>
      <w:lvlJc w:val="left"/>
      <w:pPr>
        <w:ind w:left="1020" w:hanging="360"/>
      </w:pPr>
    </w:lvl>
    <w:lvl w:ilvl="1" w:tplc="273A67D4">
      <w:start w:val="1"/>
      <w:numFmt w:val="decimal"/>
      <w:lvlText w:val="%2."/>
      <w:lvlJc w:val="left"/>
      <w:pPr>
        <w:ind w:left="1020" w:hanging="360"/>
      </w:pPr>
    </w:lvl>
    <w:lvl w:ilvl="2" w:tplc="B142CF64">
      <w:start w:val="1"/>
      <w:numFmt w:val="decimal"/>
      <w:lvlText w:val="%3."/>
      <w:lvlJc w:val="left"/>
      <w:pPr>
        <w:ind w:left="1020" w:hanging="360"/>
      </w:pPr>
    </w:lvl>
    <w:lvl w:ilvl="3" w:tplc="D9E6F5FA">
      <w:start w:val="1"/>
      <w:numFmt w:val="decimal"/>
      <w:lvlText w:val="%4."/>
      <w:lvlJc w:val="left"/>
      <w:pPr>
        <w:ind w:left="1020" w:hanging="360"/>
      </w:pPr>
    </w:lvl>
    <w:lvl w:ilvl="4" w:tplc="216A3052">
      <w:start w:val="1"/>
      <w:numFmt w:val="decimal"/>
      <w:lvlText w:val="%5."/>
      <w:lvlJc w:val="left"/>
      <w:pPr>
        <w:ind w:left="1020" w:hanging="360"/>
      </w:pPr>
    </w:lvl>
    <w:lvl w:ilvl="5" w:tplc="32E60BA0">
      <w:start w:val="1"/>
      <w:numFmt w:val="decimal"/>
      <w:lvlText w:val="%6."/>
      <w:lvlJc w:val="left"/>
      <w:pPr>
        <w:ind w:left="1020" w:hanging="360"/>
      </w:pPr>
    </w:lvl>
    <w:lvl w:ilvl="6" w:tplc="78A26C74">
      <w:start w:val="1"/>
      <w:numFmt w:val="decimal"/>
      <w:lvlText w:val="%7."/>
      <w:lvlJc w:val="left"/>
      <w:pPr>
        <w:ind w:left="1020" w:hanging="360"/>
      </w:pPr>
    </w:lvl>
    <w:lvl w:ilvl="7" w:tplc="39500A0C">
      <w:start w:val="1"/>
      <w:numFmt w:val="decimal"/>
      <w:lvlText w:val="%8."/>
      <w:lvlJc w:val="left"/>
      <w:pPr>
        <w:ind w:left="1020" w:hanging="360"/>
      </w:pPr>
    </w:lvl>
    <w:lvl w:ilvl="8" w:tplc="CCAC6A68">
      <w:start w:val="1"/>
      <w:numFmt w:val="decimal"/>
      <w:lvlText w:val="%9."/>
      <w:lvlJc w:val="left"/>
      <w:pPr>
        <w:ind w:left="1020" w:hanging="360"/>
      </w:pPr>
    </w:lvl>
  </w:abstractNum>
  <w:abstractNum w:abstractNumId="16" w15:restartNumberingAfterBreak="0">
    <w:nsid w:val="658B4D66"/>
    <w:multiLevelType w:val="hybridMultilevel"/>
    <w:tmpl w:val="E16215B4"/>
    <w:lvl w:ilvl="0" w:tplc="FFFFFFFF">
      <w:start w:val="1"/>
      <w:numFmt w:val="bullet"/>
      <w:lvlText w:val=""/>
      <w:lvlJc w:val="left"/>
      <w:pPr>
        <w:ind w:left="720" w:hanging="360"/>
      </w:pPr>
      <w:rPr>
        <w:rFonts w:ascii="Wingdings" w:hAnsi="Wingdings" w:hint="default"/>
      </w:rPr>
    </w:lvl>
    <w:lvl w:ilvl="1" w:tplc="0405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8012CCC"/>
    <w:multiLevelType w:val="multilevel"/>
    <w:tmpl w:val="B4D28BB4"/>
    <w:lvl w:ilvl="0">
      <w:start w:val="2"/>
      <w:numFmt w:val="decimal"/>
      <w:lvlText w:val="%1."/>
      <w:lvlJc w:val="left"/>
      <w:pPr>
        <w:ind w:left="390" w:hanging="39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6C287D18"/>
    <w:multiLevelType w:val="hybridMultilevel"/>
    <w:tmpl w:val="CB226D14"/>
    <w:lvl w:ilvl="0" w:tplc="0405000B">
      <w:start w:val="1"/>
      <w:numFmt w:val="bullet"/>
      <w:lvlText w:val=""/>
      <w:lvlJc w:val="left"/>
      <w:pPr>
        <w:ind w:left="720" w:hanging="360"/>
      </w:pPr>
      <w:rPr>
        <w:rFonts w:ascii="Wingdings" w:hAnsi="Wingdings" w:hint="default"/>
      </w:rPr>
    </w:lvl>
    <w:lvl w:ilvl="1" w:tplc="0D40C114">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99360D5"/>
    <w:multiLevelType w:val="multilevel"/>
    <w:tmpl w:val="D362F6F2"/>
    <w:lvl w:ilvl="0">
      <w:start w:val="1"/>
      <w:numFmt w:val="decimal"/>
      <w:lvlText w:val="%1"/>
      <w:lvlJc w:val="left"/>
      <w:pPr>
        <w:ind w:left="432" w:hanging="432"/>
      </w:pPr>
    </w:lvl>
    <w:lvl w:ilvl="1">
      <w:start w:val="1"/>
      <w:numFmt w:val="decimal"/>
      <w:lvlText w:val="%1.%2"/>
      <w:lvlJc w:val="left"/>
      <w:pPr>
        <w:ind w:left="576" w:hanging="576"/>
      </w:pPr>
      <w:rPr>
        <w:sz w:val="24"/>
        <w:szCs w:val="24"/>
      </w:rPr>
    </w:lvl>
    <w:lvl w:ilvl="2">
      <w:start w:val="1"/>
      <w:numFmt w:val="decimal"/>
      <w:lvlText w:val="%1.%2.%3"/>
      <w:lvlJc w:val="left"/>
      <w:pPr>
        <w:ind w:left="1287" w:hanging="720"/>
      </w:pPr>
      <w:rPr>
        <w:sz w:val="24"/>
        <w:szCs w:val="24"/>
        <w:u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2293" w:hanging="1584"/>
      </w:pPr>
    </w:lvl>
  </w:abstractNum>
  <w:abstractNum w:abstractNumId="20" w15:restartNumberingAfterBreak="0">
    <w:nsid w:val="7CFB7F88"/>
    <w:multiLevelType w:val="multilevel"/>
    <w:tmpl w:val="AA44A786"/>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D6C6080"/>
    <w:multiLevelType w:val="hybridMultilevel"/>
    <w:tmpl w:val="AC663B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54122052">
    <w:abstractNumId w:val="6"/>
  </w:num>
  <w:num w:numId="2" w16cid:durableId="1605763537">
    <w:abstractNumId w:val="10"/>
  </w:num>
  <w:num w:numId="3" w16cid:durableId="769131506">
    <w:abstractNumId w:val="4"/>
  </w:num>
  <w:num w:numId="4" w16cid:durableId="1297183086">
    <w:abstractNumId w:val="12"/>
  </w:num>
  <w:num w:numId="5" w16cid:durableId="371687139">
    <w:abstractNumId w:val="1"/>
  </w:num>
  <w:num w:numId="6" w16cid:durableId="2038384765">
    <w:abstractNumId w:val="19"/>
  </w:num>
  <w:num w:numId="7" w16cid:durableId="1477451647">
    <w:abstractNumId w:val="8"/>
  </w:num>
  <w:num w:numId="8" w16cid:durableId="1103377973">
    <w:abstractNumId w:val="15"/>
  </w:num>
  <w:num w:numId="9" w16cid:durableId="413404810">
    <w:abstractNumId w:val="0"/>
  </w:num>
  <w:num w:numId="10" w16cid:durableId="406733363">
    <w:abstractNumId w:val="18"/>
  </w:num>
  <w:num w:numId="11" w16cid:durableId="1152789493">
    <w:abstractNumId w:val="3"/>
  </w:num>
  <w:num w:numId="12" w16cid:durableId="1874267411">
    <w:abstractNumId w:val="11"/>
  </w:num>
  <w:num w:numId="13" w16cid:durableId="1371153117">
    <w:abstractNumId w:val="9"/>
  </w:num>
  <w:num w:numId="14" w16cid:durableId="1360470952">
    <w:abstractNumId w:val="2"/>
  </w:num>
  <w:num w:numId="15" w16cid:durableId="1975912013">
    <w:abstractNumId w:val="16"/>
  </w:num>
  <w:num w:numId="16" w16cid:durableId="953560667">
    <w:abstractNumId w:val="5"/>
  </w:num>
  <w:num w:numId="17" w16cid:durableId="1714037836">
    <w:abstractNumId w:val="7"/>
  </w:num>
  <w:num w:numId="18" w16cid:durableId="918834329">
    <w:abstractNumId w:val="14"/>
  </w:num>
  <w:num w:numId="19" w16cid:durableId="1857886012">
    <w:abstractNumId w:val="21"/>
  </w:num>
  <w:num w:numId="20" w16cid:durableId="72244776">
    <w:abstractNumId w:val="13"/>
  </w:num>
  <w:num w:numId="21" w16cid:durableId="223569834">
    <w:abstractNumId w:val="17"/>
  </w:num>
  <w:num w:numId="22" w16cid:durableId="9508677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B30"/>
    <w:rsid w:val="000259DA"/>
    <w:rsid w:val="000347C9"/>
    <w:rsid w:val="00045C53"/>
    <w:rsid w:val="000545E1"/>
    <w:rsid w:val="000638CC"/>
    <w:rsid w:val="000B747F"/>
    <w:rsid w:val="000C5008"/>
    <w:rsid w:val="000D2270"/>
    <w:rsid w:val="000D2F87"/>
    <w:rsid w:val="000E45D1"/>
    <w:rsid w:val="000E4F3B"/>
    <w:rsid w:val="001002B5"/>
    <w:rsid w:val="00102E39"/>
    <w:rsid w:val="00134E8E"/>
    <w:rsid w:val="00135BDD"/>
    <w:rsid w:val="00154A7E"/>
    <w:rsid w:val="00156A6C"/>
    <w:rsid w:val="00164AE2"/>
    <w:rsid w:val="001741C6"/>
    <w:rsid w:val="001A4436"/>
    <w:rsid w:val="001B6A12"/>
    <w:rsid w:val="001E567F"/>
    <w:rsid w:val="001F7172"/>
    <w:rsid w:val="00211059"/>
    <w:rsid w:val="00223FCE"/>
    <w:rsid w:val="002274F8"/>
    <w:rsid w:val="002656FE"/>
    <w:rsid w:val="002715B2"/>
    <w:rsid w:val="00285359"/>
    <w:rsid w:val="002932B6"/>
    <w:rsid w:val="00293C80"/>
    <w:rsid w:val="002A5DB1"/>
    <w:rsid w:val="002B0CD8"/>
    <w:rsid w:val="002E3944"/>
    <w:rsid w:val="002E6503"/>
    <w:rsid w:val="002F7A97"/>
    <w:rsid w:val="002F7B27"/>
    <w:rsid w:val="002F7C3A"/>
    <w:rsid w:val="00303B1B"/>
    <w:rsid w:val="003061B6"/>
    <w:rsid w:val="003078E0"/>
    <w:rsid w:val="003109C6"/>
    <w:rsid w:val="00331EE0"/>
    <w:rsid w:val="00333574"/>
    <w:rsid w:val="00362715"/>
    <w:rsid w:val="00384044"/>
    <w:rsid w:val="003C0294"/>
    <w:rsid w:val="003C0AEA"/>
    <w:rsid w:val="003D1471"/>
    <w:rsid w:val="003F111B"/>
    <w:rsid w:val="003F236C"/>
    <w:rsid w:val="003F5C81"/>
    <w:rsid w:val="00414AA5"/>
    <w:rsid w:val="00421B1D"/>
    <w:rsid w:val="00464501"/>
    <w:rsid w:val="00465B26"/>
    <w:rsid w:val="0047667C"/>
    <w:rsid w:val="00482779"/>
    <w:rsid w:val="004B5B7C"/>
    <w:rsid w:val="004C6808"/>
    <w:rsid w:val="004C6DB1"/>
    <w:rsid w:val="004D193B"/>
    <w:rsid w:val="004E4D18"/>
    <w:rsid w:val="004F0346"/>
    <w:rsid w:val="004F4D8D"/>
    <w:rsid w:val="005063C1"/>
    <w:rsid w:val="00510B15"/>
    <w:rsid w:val="00527B36"/>
    <w:rsid w:val="00554B92"/>
    <w:rsid w:val="005768FE"/>
    <w:rsid w:val="005812F7"/>
    <w:rsid w:val="00591262"/>
    <w:rsid w:val="005B0E59"/>
    <w:rsid w:val="005C684C"/>
    <w:rsid w:val="005D1A0B"/>
    <w:rsid w:val="005E6000"/>
    <w:rsid w:val="005F116A"/>
    <w:rsid w:val="006023B0"/>
    <w:rsid w:val="006455DC"/>
    <w:rsid w:val="00666BEC"/>
    <w:rsid w:val="006730C1"/>
    <w:rsid w:val="00673671"/>
    <w:rsid w:val="0067509F"/>
    <w:rsid w:val="0067690D"/>
    <w:rsid w:val="00697ED0"/>
    <w:rsid w:val="006A0373"/>
    <w:rsid w:val="006A06DE"/>
    <w:rsid w:val="006A31FD"/>
    <w:rsid w:val="007026E0"/>
    <w:rsid w:val="007027A7"/>
    <w:rsid w:val="00705289"/>
    <w:rsid w:val="007139CE"/>
    <w:rsid w:val="00726D12"/>
    <w:rsid w:val="007335FF"/>
    <w:rsid w:val="00734A76"/>
    <w:rsid w:val="00774C8D"/>
    <w:rsid w:val="0077683A"/>
    <w:rsid w:val="0079047D"/>
    <w:rsid w:val="007914CC"/>
    <w:rsid w:val="007B2087"/>
    <w:rsid w:val="007B4B82"/>
    <w:rsid w:val="007C2CB6"/>
    <w:rsid w:val="007D7646"/>
    <w:rsid w:val="007F04BD"/>
    <w:rsid w:val="007F2986"/>
    <w:rsid w:val="008258C3"/>
    <w:rsid w:val="00826209"/>
    <w:rsid w:val="00830DC6"/>
    <w:rsid w:val="00832D35"/>
    <w:rsid w:val="00837EB1"/>
    <w:rsid w:val="00842624"/>
    <w:rsid w:val="00842E91"/>
    <w:rsid w:val="008443EE"/>
    <w:rsid w:val="00845572"/>
    <w:rsid w:val="008529A1"/>
    <w:rsid w:val="00854B30"/>
    <w:rsid w:val="00873A56"/>
    <w:rsid w:val="00874E49"/>
    <w:rsid w:val="00882C94"/>
    <w:rsid w:val="00883951"/>
    <w:rsid w:val="008B2840"/>
    <w:rsid w:val="008C200B"/>
    <w:rsid w:val="008D0684"/>
    <w:rsid w:val="008D3C10"/>
    <w:rsid w:val="008D3F07"/>
    <w:rsid w:val="008D54D4"/>
    <w:rsid w:val="008F0871"/>
    <w:rsid w:val="00902AAA"/>
    <w:rsid w:val="009276DA"/>
    <w:rsid w:val="009417B6"/>
    <w:rsid w:val="00941BBA"/>
    <w:rsid w:val="00977BCE"/>
    <w:rsid w:val="0098453D"/>
    <w:rsid w:val="009A219F"/>
    <w:rsid w:val="009A4090"/>
    <w:rsid w:val="009B2324"/>
    <w:rsid w:val="009B5969"/>
    <w:rsid w:val="009C7360"/>
    <w:rsid w:val="009D0A9A"/>
    <w:rsid w:val="009E7EF8"/>
    <w:rsid w:val="00A05488"/>
    <w:rsid w:val="00A124F2"/>
    <w:rsid w:val="00A320C9"/>
    <w:rsid w:val="00A41DF1"/>
    <w:rsid w:val="00A41FD3"/>
    <w:rsid w:val="00A4744E"/>
    <w:rsid w:val="00A53912"/>
    <w:rsid w:val="00A65A3A"/>
    <w:rsid w:val="00A824F4"/>
    <w:rsid w:val="00AA651C"/>
    <w:rsid w:val="00AC5DA7"/>
    <w:rsid w:val="00AD2EE0"/>
    <w:rsid w:val="00AD6EBC"/>
    <w:rsid w:val="00AF4E55"/>
    <w:rsid w:val="00B011A7"/>
    <w:rsid w:val="00B05FEE"/>
    <w:rsid w:val="00B107EC"/>
    <w:rsid w:val="00B14794"/>
    <w:rsid w:val="00B358B9"/>
    <w:rsid w:val="00B44CCD"/>
    <w:rsid w:val="00B47CE1"/>
    <w:rsid w:val="00B52C11"/>
    <w:rsid w:val="00B5467A"/>
    <w:rsid w:val="00B571C8"/>
    <w:rsid w:val="00B75EB6"/>
    <w:rsid w:val="00B828CB"/>
    <w:rsid w:val="00B87027"/>
    <w:rsid w:val="00BA0864"/>
    <w:rsid w:val="00BA10E0"/>
    <w:rsid w:val="00BB118A"/>
    <w:rsid w:val="00BB266D"/>
    <w:rsid w:val="00BB3993"/>
    <w:rsid w:val="00BC231E"/>
    <w:rsid w:val="00BC6FF8"/>
    <w:rsid w:val="00BC7847"/>
    <w:rsid w:val="00BD3DC0"/>
    <w:rsid w:val="00BE6519"/>
    <w:rsid w:val="00BE7179"/>
    <w:rsid w:val="00C14B33"/>
    <w:rsid w:val="00C3149E"/>
    <w:rsid w:val="00C34B07"/>
    <w:rsid w:val="00C51149"/>
    <w:rsid w:val="00C55016"/>
    <w:rsid w:val="00C5560E"/>
    <w:rsid w:val="00C625E0"/>
    <w:rsid w:val="00C6390B"/>
    <w:rsid w:val="00C73ED1"/>
    <w:rsid w:val="00C770C8"/>
    <w:rsid w:val="00C93996"/>
    <w:rsid w:val="00CA1201"/>
    <w:rsid w:val="00CA3643"/>
    <w:rsid w:val="00CC033F"/>
    <w:rsid w:val="00CC258F"/>
    <w:rsid w:val="00CD6104"/>
    <w:rsid w:val="00CE11A3"/>
    <w:rsid w:val="00CE3F4E"/>
    <w:rsid w:val="00CE4D73"/>
    <w:rsid w:val="00CF26B2"/>
    <w:rsid w:val="00D032F2"/>
    <w:rsid w:val="00D10F4D"/>
    <w:rsid w:val="00D136E5"/>
    <w:rsid w:val="00D322A8"/>
    <w:rsid w:val="00D32DE1"/>
    <w:rsid w:val="00D55AB7"/>
    <w:rsid w:val="00D87266"/>
    <w:rsid w:val="00DA0D83"/>
    <w:rsid w:val="00DA136A"/>
    <w:rsid w:val="00DB63C5"/>
    <w:rsid w:val="00DB734D"/>
    <w:rsid w:val="00DD27C4"/>
    <w:rsid w:val="00DE0B19"/>
    <w:rsid w:val="00E03A32"/>
    <w:rsid w:val="00E0521D"/>
    <w:rsid w:val="00E07108"/>
    <w:rsid w:val="00E07602"/>
    <w:rsid w:val="00E11E41"/>
    <w:rsid w:val="00E16D35"/>
    <w:rsid w:val="00E17868"/>
    <w:rsid w:val="00E201AA"/>
    <w:rsid w:val="00E22C7F"/>
    <w:rsid w:val="00E31C97"/>
    <w:rsid w:val="00E4344A"/>
    <w:rsid w:val="00E76B51"/>
    <w:rsid w:val="00EA7B1E"/>
    <w:rsid w:val="00EB496C"/>
    <w:rsid w:val="00EF5878"/>
    <w:rsid w:val="00EF6EC4"/>
    <w:rsid w:val="00F01778"/>
    <w:rsid w:val="00F1503B"/>
    <w:rsid w:val="00F16690"/>
    <w:rsid w:val="00F3587A"/>
    <w:rsid w:val="00F51F65"/>
    <w:rsid w:val="00F538B2"/>
    <w:rsid w:val="00F60605"/>
    <w:rsid w:val="00F95C60"/>
    <w:rsid w:val="00FB1E94"/>
    <w:rsid w:val="00FB3612"/>
    <w:rsid w:val="00FB69EB"/>
    <w:rsid w:val="00FE2964"/>
    <w:rsid w:val="00FE38FB"/>
    <w:rsid w:val="00FF65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C1D0C2"/>
  <w15:chartTrackingRefBased/>
  <w15:docId w15:val="{FE995DF4-0858-44BB-800D-944F16C3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54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aliases w:val="Koncepce_2"/>
    <w:basedOn w:val="Normln"/>
    <w:next w:val="Normln"/>
    <w:link w:val="Nadpis2Char"/>
    <w:uiPriority w:val="9"/>
    <w:unhideWhenUsed/>
    <w:qFormat/>
    <w:rsid w:val="00854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854B3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854B3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54B3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54B3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54B3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54B3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54B3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54B30"/>
    <w:rPr>
      <w:rFonts w:asciiTheme="majorHAnsi" w:eastAsiaTheme="majorEastAsia" w:hAnsiTheme="majorHAnsi" w:cstheme="majorBidi"/>
      <w:color w:val="0F4761" w:themeColor="accent1" w:themeShade="BF"/>
      <w:sz w:val="40"/>
      <w:szCs w:val="40"/>
    </w:rPr>
  </w:style>
  <w:style w:type="character" w:customStyle="1" w:styleId="Nadpis2Char">
    <w:name w:val="Nadpis 2 Char"/>
    <w:aliases w:val="Koncepce_2 Char"/>
    <w:basedOn w:val="Standardnpsmoodstavce"/>
    <w:link w:val="Nadpis2"/>
    <w:uiPriority w:val="9"/>
    <w:rsid w:val="00854B3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54B3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54B3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54B3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54B3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54B3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54B3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54B30"/>
    <w:rPr>
      <w:rFonts w:eastAsiaTheme="majorEastAsia" w:cstheme="majorBidi"/>
      <w:color w:val="272727" w:themeColor="text1" w:themeTint="D8"/>
    </w:rPr>
  </w:style>
  <w:style w:type="paragraph" w:styleId="Nzev">
    <w:name w:val="Title"/>
    <w:basedOn w:val="Normln"/>
    <w:next w:val="Normln"/>
    <w:link w:val="NzevChar"/>
    <w:uiPriority w:val="10"/>
    <w:qFormat/>
    <w:rsid w:val="00854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54B3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54B3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54B3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54B30"/>
    <w:pPr>
      <w:spacing w:before="160"/>
      <w:jc w:val="center"/>
    </w:pPr>
    <w:rPr>
      <w:i/>
      <w:iCs/>
      <w:color w:val="404040" w:themeColor="text1" w:themeTint="BF"/>
    </w:rPr>
  </w:style>
  <w:style w:type="character" w:customStyle="1" w:styleId="CittChar">
    <w:name w:val="Citát Char"/>
    <w:basedOn w:val="Standardnpsmoodstavce"/>
    <w:link w:val="Citt"/>
    <w:uiPriority w:val="29"/>
    <w:rsid w:val="00854B30"/>
    <w:rPr>
      <w:i/>
      <w:iCs/>
      <w:color w:val="404040" w:themeColor="text1" w:themeTint="BF"/>
    </w:rPr>
  </w:style>
  <w:style w:type="paragraph" w:styleId="Odstavecseseznamem">
    <w:name w:val="List Paragraph"/>
    <w:aliases w:val="Nad,Nadpis pro KZ,odrážky,List Paragraph (Czech Tourism),List Paragraph,Odstavec_muj,Odstavec cíl se seznamem,Odstavec se seznamem5,Odrážky,Conclusion de partie,_Odstavec se seznamem,Seznam - odrážky,Číslo přílohy,Dot pt,No Spacing1"/>
    <w:basedOn w:val="Normln"/>
    <w:link w:val="OdstavecseseznamemChar"/>
    <w:uiPriority w:val="34"/>
    <w:qFormat/>
    <w:rsid w:val="00854B30"/>
    <w:pPr>
      <w:ind w:left="720"/>
      <w:contextualSpacing/>
    </w:pPr>
  </w:style>
  <w:style w:type="character" w:styleId="Zdraznnintenzivn">
    <w:name w:val="Intense Emphasis"/>
    <w:basedOn w:val="Standardnpsmoodstavce"/>
    <w:uiPriority w:val="21"/>
    <w:qFormat/>
    <w:rsid w:val="00854B30"/>
    <w:rPr>
      <w:i/>
      <w:iCs/>
      <w:color w:val="0F4761" w:themeColor="accent1" w:themeShade="BF"/>
    </w:rPr>
  </w:style>
  <w:style w:type="paragraph" w:styleId="Vrazncitt">
    <w:name w:val="Intense Quote"/>
    <w:basedOn w:val="Normln"/>
    <w:next w:val="Normln"/>
    <w:link w:val="VrazncittChar"/>
    <w:uiPriority w:val="30"/>
    <w:qFormat/>
    <w:rsid w:val="00854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54B30"/>
    <w:rPr>
      <w:i/>
      <w:iCs/>
      <w:color w:val="0F4761" w:themeColor="accent1" w:themeShade="BF"/>
    </w:rPr>
  </w:style>
  <w:style w:type="character" w:styleId="Odkazintenzivn">
    <w:name w:val="Intense Reference"/>
    <w:basedOn w:val="Standardnpsmoodstavce"/>
    <w:uiPriority w:val="32"/>
    <w:qFormat/>
    <w:rsid w:val="00854B30"/>
    <w:rPr>
      <w:b/>
      <w:bCs/>
      <w:smallCaps/>
      <w:color w:val="0F4761" w:themeColor="accent1" w:themeShade="BF"/>
      <w:spacing w:val="5"/>
    </w:rPr>
  </w:style>
  <w:style w:type="paragraph" w:styleId="Normlnweb">
    <w:name w:val="Normal (Web)"/>
    <w:basedOn w:val="Normln"/>
    <w:uiPriority w:val="99"/>
    <w:unhideWhenUsed/>
    <w:rsid w:val="005768FE"/>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5768FE"/>
    <w:rPr>
      <w:b/>
      <w:bCs/>
    </w:rPr>
  </w:style>
  <w:style w:type="paragraph" w:customStyle="1" w:styleId="ea-text--center">
    <w:name w:val="ea-text--center"/>
    <w:basedOn w:val="Normln"/>
    <w:rsid w:val="005768FE"/>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ea-text--right">
    <w:name w:val="ea-text--right"/>
    <w:basedOn w:val="Normln"/>
    <w:rsid w:val="005768FE"/>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table" w:styleId="Mkatabulky">
    <w:name w:val="Table Grid"/>
    <w:basedOn w:val="Normlntabulka"/>
    <w:uiPriority w:val="39"/>
    <w:rsid w:val="0057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Nadpis pro KZ Char,odrážky Char,List Paragraph (Czech Tourism) Char,List Paragraph Char,Odstavec_muj Char,Odstavec cíl se seznamem Char,Odstavec se seznamem5 Char,Odrážky Char,Conclusion de partie Char,Dot pt Char"/>
    <w:basedOn w:val="Standardnpsmoodstavce"/>
    <w:link w:val="Odstavecseseznamem"/>
    <w:uiPriority w:val="34"/>
    <w:qFormat/>
    <w:locked/>
    <w:rsid w:val="002656FE"/>
  </w:style>
  <w:style w:type="character" w:styleId="Hypertextovodkaz">
    <w:name w:val="Hyperlink"/>
    <w:basedOn w:val="Standardnpsmoodstavce"/>
    <w:uiPriority w:val="99"/>
    <w:unhideWhenUsed/>
    <w:rsid w:val="002656FE"/>
    <w:rPr>
      <w:color w:val="467886" w:themeColor="hyperlink"/>
      <w:u w:val="single"/>
    </w:rPr>
  </w:style>
  <w:style w:type="character" w:styleId="Sledovanodkaz">
    <w:name w:val="FollowedHyperlink"/>
    <w:basedOn w:val="Standardnpsmoodstavce"/>
    <w:uiPriority w:val="99"/>
    <w:semiHidden/>
    <w:unhideWhenUsed/>
    <w:rsid w:val="002656FE"/>
    <w:rPr>
      <w:color w:val="96607D" w:themeColor="followedHyperlink"/>
      <w:u w:val="single"/>
    </w:rPr>
  </w:style>
  <w:style w:type="paragraph" w:styleId="Zkladntext3">
    <w:name w:val="Body Text 3"/>
    <w:basedOn w:val="Normln"/>
    <w:link w:val="Zkladntext3Char"/>
    <w:unhideWhenUsed/>
    <w:rsid w:val="005E6000"/>
    <w:pPr>
      <w:spacing w:after="0" w:line="240" w:lineRule="auto"/>
      <w:jc w:val="center"/>
    </w:pPr>
    <w:rPr>
      <w:rFonts w:ascii="Arial" w:eastAsia="Times New Roman" w:hAnsi="Arial" w:cs="Times New Roman"/>
      <w:kern w:val="0"/>
      <w:sz w:val="18"/>
      <w:szCs w:val="20"/>
      <w:lang w:eastAsia="cs-CZ"/>
      <w14:ligatures w14:val="none"/>
    </w:rPr>
  </w:style>
  <w:style w:type="character" w:customStyle="1" w:styleId="Zkladntext3Char">
    <w:name w:val="Základní text 3 Char"/>
    <w:basedOn w:val="Standardnpsmoodstavce"/>
    <w:link w:val="Zkladntext3"/>
    <w:rsid w:val="005E6000"/>
    <w:rPr>
      <w:rFonts w:ascii="Arial" w:eastAsia="Times New Roman" w:hAnsi="Arial" w:cs="Times New Roman"/>
      <w:kern w:val="0"/>
      <w:sz w:val="18"/>
      <w:szCs w:val="20"/>
      <w:lang w:eastAsia="cs-CZ"/>
      <w14:ligatures w14:val="none"/>
    </w:rPr>
  </w:style>
  <w:style w:type="paragraph" w:styleId="Titulek">
    <w:name w:val="caption"/>
    <w:aliases w:val="Titulek Obr.,Beschriftung_tab,tab_überschrift Char"/>
    <w:basedOn w:val="Normln"/>
    <w:next w:val="Normln"/>
    <w:uiPriority w:val="35"/>
    <w:qFormat/>
    <w:rsid w:val="005E6000"/>
    <w:pPr>
      <w:spacing w:before="120" w:after="120" w:line="240" w:lineRule="auto"/>
      <w:jc w:val="both"/>
    </w:pPr>
    <w:rPr>
      <w:rFonts w:ascii="Gill Sans MT" w:eastAsia="Times New Roman" w:hAnsi="Gill Sans MT" w:cs="Times New Roman"/>
      <w:kern w:val="0"/>
      <w:lang w:eastAsia="cs-CZ"/>
      <w14:ligatures w14:val="none"/>
    </w:rPr>
  </w:style>
  <w:style w:type="paragraph" w:styleId="Textpoznpodarou">
    <w:name w:val="footnote text"/>
    <w:basedOn w:val="Normln"/>
    <w:link w:val="TextpoznpodarouChar"/>
    <w:uiPriority w:val="99"/>
    <w:rsid w:val="005E6000"/>
    <w:pPr>
      <w:spacing w:after="120" w:line="240" w:lineRule="auto"/>
      <w:jc w:val="both"/>
    </w:pPr>
    <w:rPr>
      <w:rFonts w:ascii="Gill Sans MT" w:eastAsia="Times New Roman" w:hAnsi="Gill Sans MT" w:cs="Times New Roman"/>
      <w:kern w:val="0"/>
      <w:sz w:val="20"/>
      <w:szCs w:val="20"/>
      <w:lang w:eastAsia="cs-CZ"/>
      <w14:ligatures w14:val="none"/>
    </w:rPr>
  </w:style>
  <w:style w:type="character" w:customStyle="1" w:styleId="TextpoznpodarouChar">
    <w:name w:val="Text pozn. pod čarou Char"/>
    <w:basedOn w:val="Standardnpsmoodstavce"/>
    <w:link w:val="Textpoznpodarou"/>
    <w:uiPriority w:val="99"/>
    <w:rsid w:val="005E6000"/>
    <w:rPr>
      <w:rFonts w:ascii="Gill Sans MT" w:eastAsia="Times New Roman" w:hAnsi="Gill Sans MT" w:cs="Times New Roman"/>
      <w:kern w:val="0"/>
      <w:sz w:val="20"/>
      <w:szCs w:val="20"/>
      <w:lang w:eastAsia="cs-CZ"/>
      <w14:ligatures w14:val="none"/>
    </w:rPr>
  </w:style>
  <w:style w:type="character" w:styleId="Znakapoznpodarou">
    <w:name w:val="footnote reference"/>
    <w:aliases w:val="number,Footnote reference number,Footnote symbol,note TESI,-E Fußnotenzeichen,SUPERS,EN Footnote Reference"/>
    <w:uiPriority w:val="99"/>
    <w:rsid w:val="005E6000"/>
    <w:rPr>
      <w:vertAlign w:val="superscript"/>
    </w:rPr>
  </w:style>
  <w:style w:type="character" w:styleId="Odkaznakoment">
    <w:name w:val="annotation reference"/>
    <w:uiPriority w:val="99"/>
    <w:semiHidden/>
    <w:rsid w:val="005E6000"/>
    <w:rPr>
      <w:sz w:val="16"/>
      <w:szCs w:val="16"/>
    </w:rPr>
  </w:style>
  <w:style w:type="paragraph" w:styleId="Textkomente">
    <w:name w:val="annotation text"/>
    <w:basedOn w:val="Normln"/>
    <w:link w:val="TextkomenteChar"/>
    <w:uiPriority w:val="99"/>
    <w:semiHidden/>
    <w:rsid w:val="005E6000"/>
    <w:pPr>
      <w:spacing w:after="120" w:line="240" w:lineRule="auto"/>
      <w:jc w:val="both"/>
    </w:pPr>
    <w:rPr>
      <w:rFonts w:ascii="Gill Sans MT" w:eastAsia="Times New Roman" w:hAnsi="Gill Sans MT" w:cs="Times New Roman"/>
      <w:kern w:val="0"/>
      <w:sz w:val="20"/>
      <w:szCs w:val="20"/>
      <w:lang w:eastAsia="cs-CZ"/>
      <w14:ligatures w14:val="none"/>
    </w:rPr>
  </w:style>
  <w:style w:type="character" w:customStyle="1" w:styleId="TextkomenteChar">
    <w:name w:val="Text komentáře Char"/>
    <w:basedOn w:val="Standardnpsmoodstavce"/>
    <w:link w:val="Textkomente"/>
    <w:uiPriority w:val="99"/>
    <w:semiHidden/>
    <w:rsid w:val="005E6000"/>
    <w:rPr>
      <w:rFonts w:ascii="Gill Sans MT" w:eastAsia="Times New Roman" w:hAnsi="Gill Sans MT" w:cs="Times New Roman"/>
      <w:kern w:val="0"/>
      <w:sz w:val="20"/>
      <w:szCs w:val="20"/>
      <w:lang w:eastAsia="cs-CZ"/>
      <w14:ligatures w14:val="none"/>
    </w:rPr>
  </w:style>
  <w:style w:type="paragraph" w:customStyle="1" w:styleId="NadpisGraf">
    <w:name w:val="Nadpis Graf"/>
    <w:basedOn w:val="Normln"/>
    <w:link w:val="NadpisGrafChar"/>
    <w:uiPriority w:val="1"/>
    <w:qFormat/>
    <w:rsid w:val="005E6000"/>
    <w:pPr>
      <w:spacing w:after="120" w:line="276" w:lineRule="auto"/>
      <w:ind w:left="539" w:hanging="539"/>
      <w:jc w:val="both"/>
    </w:pPr>
    <w:rPr>
      <w:rFonts w:ascii="Arial" w:eastAsia="Times New Roman" w:hAnsi="Arial" w:cs="Arial"/>
      <w:i/>
      <w:iCs/>
      <w:kern w:val="0"/>
      <w:lang w:eastAsia="cs-CZ"/>
      <w14:ligatures w14:val="none"/>
    </w:rPr>
  </w:style>
  <w:style w:type="character" w:customStyle="1" w:styleId="NadpisGrafChar">
    <w:name w:val="Nadpis Graf Char"/>
    <w:basedOn w:val="Standardnpsmoodstavce"/>
    <w:link w:val="NadpisGraf"/>
    <w:uiPriority w:val="1"/>
    <w:rsid w:val="005E6000"/>
    <w:rPr>
      <w:rFonts w:ascii="Arial" w:eastAsia="Times New Roman" w:hAnsi="Arial" w:cs="Arial"/>
      <w:i/>
      <w:iCs/>
      <w:kern w:val="0"/>
      <w:lang w:eastAsia="cs-CZ"/>
      <w14:ligatures w14:val="none"/>
    </w:rPr>
  </w:style>
  <w:style w:type="character" w:customStyle="1" w:styleId="cf01">
    <w:name w:val="cf01"/>
    <w:basedOn w:val="Standardnpsmoodstavce"/>
    <w:rsid w:val="008443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711843">
      <w:bodyDiv w:val="1"/>
      <w:marLeft w:val="0"/>
      <w:marRight w:val="0"/>
      <w:marTop w:val="0"/>
      <w:marBottom w:val="0"/>
      <w:divBdr>
        <w:top w:val="none" w:sz="0" w:space="0" w:color="auto"/>
        <w:left w:val="none" w:sz="0" w:space="0" w:color="auto"/>
        <w:bottom w:val="none" w:sz="0" w:space="0" w:color="auto"/>
        <w:right w:val="none" w:sz="0" w:space="0" w:color="auto"/>
      </w:divBdr>
    </w:div>
    <w:div w:id="353190735">
      <w:bodyDiv w:val="1"/>
      <w:marLeft w:val="0"/>
      <w:marRight w:val="0"/>
      <w:marTop w:val="0"/>
      <w:marBottom w:val="0"/>
      <w:divBdr>
        <w:top w:val="none" w:sz="0" w:space="0" w:color="auto"/>
        <w:left w:val="none" w:sz="0" w:space="0" w:color="auto"/>
        <w:bottom w:val="none" w:sz="0" w:space="0" w:color="auto"/>
        <w:right w:val="none" w:sz="0" w:space="0" w:color="auto"/>
      </w:divBdr>
    </w:div>
    <w:div w:id="870531451">
      <w:bodyDiv w:val="1"/>
      <w:marLeft w:val="0"/>
      <w:marRight w:val="0"/>
      <w:marTop w:val="0"/>
      <w:marBottom w:val="0"/>
      <w:divBdr>
        <w:top w:val="none" w:sz="0" w:space="0" w:color="auto"/>
        <w:left w:val="none" w:sz="0" w:space="0" w:color="auto"/>
        <w:bottom w:val="none" w:sz="0" w:space="0" w:color="auto"/>
        <w:right w:val="none" w:sz="0" w:space="0" w:color="auto"/>
      </w:divBdr>
    </w:div>
    <w:div w:id="1555266554">
      <w:bodyDiv w:val="1"/>
      <w:marLeft w:val="0"/>
      <w:marRight w:val="0"/>
      <w:marTop w:val="0"/>
      <w:marBottom w:val="0"/>
      <w:divBdr>
        <w:top w:val="none" w:sz="0" w:space="0" w:color="auto"/>
        <w:left w:val="none" w:sz="0" w:space="0" w:color="auto"/>
        <w:bottom w:val="none" w:sz="0" w:space="0" w:color="auto"/>
        <w:right w:val="none" w:sz="0" w:space="0" w:color="auto"/>
      </w:divBdr>
    </w:div>
    <w:div w:id="171068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oleObject" Target="embeddings/Microsoft_Excel_97-2003_Worksheet.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chart" Target="charts/chart3.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e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uzei-my.sharepoint.com/personal/doucha_tomas_uzei_cz/Documents/Documents/win/TD/VUZE/2023/STRATEGIE/kap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ministerstvozemedelstvi-my.sharepoint.com/personal/zuzana_semberova_mze_gov_cz/Documents/Plocha/MZe%202024_08_31/Stav%20&#269;erp&#225;n&#237;%20PRV14+(Honzy)_(08_2024)_12.modif.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'soběstačnost RV, ŽV'!$C$2</c:f>
              <c:strCache>
                <c:ptCount val="1"/>
                <c:pt idx="0">
                  <c:v>Řepka olejná</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'soběstačnost RV, ŽV'!$B$3:$B$6</c:f>
              <c:strCache>
                <c:ptCount val="4"/>
                <c:pt idx="0">
                  <c:v>2001-3</c:v>
                </c:pt>
                <c:pt idx="1">
                  <c:v>2005/6-11/12</c:v>
                </c:pt>
                <c:pt idx="2">
                  <c:v>2012/13-14/15</c:v>
                </c:pt>
                <c:pt idx="3">
                  <c:v>2015/16-21/22</c:v>
                </c:pt>
              </c:strCache>
            </c:strRef>
          </c:cat>
          <c:val>
            <c:numRef>
              <c:f>'soběstačnost RV, ŽV'!$C$3:$C$6</c:f>
              <c:numCache>
                <c:formatCode>General</c:formatCode>
                <c:ptCount val="4"/>
                <c:pt idx="0">
                  <c:v>128.1</c:v>
                </c:pt>
                <c:pt idx="1">
                  <c:v>134.6</c:v>
                </c:pt>
                <c:pt idx="2">
                  <c:v>135.4</c:v>
                </c:pt>
                <c:pt idx="3">
                  <c:v>107.7</c:v>
                </c:pt>
              </c:numCache>
            </c:numRef>
          </c:val>
          <c:smooth val="0"/>
          <c:extLst>
            <c:ext xmlns:c16="http://schemas.microsoft.com/office/drawing/2014/chart" uri="{C3380CC4-5D6E-409C-BE32-E72D297353CC}">
              <c16:uniqueId val="{00000000-3C49-41E8-B417-0640E3EA96F1}"/>
            </c:ext>
          </c:extLst>
        </c:ser>
        <c:ser>
          <c:idx val="1"/>
          <c:order val="1"/>
          <c:tx>
            <c:strRef>
              <c:f>'soběstačnost RV, ŽV'!$D$2</c:f>
              <c:strCache>
                <c:ptCount val="1"/>
                <c:pt idx="0">
                  <c:v>Cukrová řepa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'soběstačnost RV, ŽV'!$B$3:$B$6</c:f>
              <c:strCache>
                <c:ptCount val="4"/>
                <c:pt idx="0">
                  <c:v>2001-3</c:v>
                </c:pt>
                <c:pt idx="1">
                  <c:v>2005/6-11/12</c:v>
                </c:pt>
                <c:pt idx="2">
                  <c:v>2012/13-14/15</c:v>
                </c:pt>
                <c:pt idx="3">
                  <c:v>2015/16-21/22</c:v>
                </c:pt>
              </c:strCache>
            </c:strRef>
          </c:cat>
          <c:val>
            <c:numRef>
              <c:f>'soběstačnost RV, ŽV'!$D$3:$D$6</c:f>
              <c:numCache>
                <c:formatCode>General</c:formatCode>
                <c:ptCount val="4"/>
                <c:pt idx="0">
                  <c:v>109.2</c:v>
                </c:pt>
                <c:pt idx="1">
                  <c:v>104.1</c:v>
                </c:pt>
                <c:pt idx="2">
                  <c:v>120.3</c:v>
                </c:pt>
                <c:pt idx="3">
                  <c:v>135.9</c:v>
                </c:pt>
              </c:numCache>
            </c:numRef>
          </c:val>
          <c:smooth val="0"/>
          <c:extLst>
            <c:ext xmlns:c16="http://schemas.microsoft.com/office/drawing/2014/chart" uri="{C3380CC4-5D6E-409C-BE32-E72D297353CC}">
              <c16:uniqueId val="{00000001-3C49-41E8-B417-0640E3EA96F1}"/>
            </c:ext>
          </c:extLst>
        </c:ser>
        <c:ser>
          <c:idx val="2"/>
          <c:order val="2"/>
          <c:tx>
            <c:strRef>
              <c:f>'soběstačnost RV, ŽV'!$E$2</c:f>
              <c:strCache>
                <c:ptCount val="1"/>
                <c:pt idx="0">
                  <c:v>Brambory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'soběstačnost RV, ŽV'!$B$3:$B$6</c:f>
              <c:strCache>
                <c:ptCount val="4"/>
                <c:pt idx="0">
                  <c:v>2001-3</c:v>
                </c:pt>
                <c:pt idx="1">
                  <c:v>2005/6-11/12</c:v>
                </c:pt>
                <c:pt idx="2">
                  <c:v>2012/13-14/15</c:v>
                </c:pt>
                <c:pt idx="3">
                  <c:v>2015/16-21/22</c:v>
                </c:pt>
              </c:strCache>
            </c:strRef>
          </c:cat>
          <c:val>
            <c:numRef>
              <c:f>'soběstačnost RV, ŽV'!$E$3:$E$6</c:f>
              <c:numCache>
                <c:formatCode>General</c:formatCode>
                <c:ptCount val="4"/>
                <c:pt idx="0">
                  <c:v>86.2</c:v>
                </c:pt>
                <c:pt idx="1">
                  <c:v>87.5</c:v>
                </c:pt>
                <c:pt idx="2">
                  <c:v>78.099999999999994</c:v>
                </c:pt>
                <c:pt idx="3">
                  <c:v>73.599999999999994</c:v>
                </c:pt>
              </c:numCache>
            </c:numRef>
          </c:val>
          <c:smooth val="0"/>
          <c:extLst>
            <c:ext xmlns:c16="http://schemas.microsoft.com/office/drawing/2014/chart" uri="{C3380CC4-5D6E-409C-BE32-E72D297353CC}">
              <c16:uniqueId val="{00000002-3C49-41E8-B417-0640E3EA96F1}"/>
            </c:ext>
          </c:extLst>
        </c:ser>
        <c:ser>
          <c:idx val="3"/>
          <c:order val="3"/>
          <c:tx>
            <c:strRef>
              <c:f>'soběstačnost RV, ŽV'!$F$2</c:f>
              <c:strCache>
                <c:ptCount val="1"/>
                <c:pt idx="0">
                  <c:v>Zelenina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'soběstačnost RV, ŽV'!$B$3:$B$6</c:f>
              <c:strCache>
                <c:ptCount val="4"/>
                <c:pt idx="0">
                  <c:v>2001-3</c:v>
                </c:pt>
                <c:pt idx="1">
                  <c:v>2005/6-11/12</c:v>
                </c:pt>
                <c:pt idx="2">
                  <c:v>2012/13-14/15</c:v>
                </c:pt>
                <c:pt idx="3">
                  <c:v>2015/16-21/22</c:v>
                </c:pt>
              </c:strCache>
            </c:strRef>
          </c:cat>
          <c:val>
            <c:numRef>
              <c:f>'soběstačnost RV, ŽV'!$F$3:$F$6</c:f>
              <c:numCache>
                <c:formatCode>0.0</c:formatCode>
                <c:ptCount val="4"/>
                <c:pt idx="0">
                  <c:v>50</c:v>
                </c:pt>
                <c:pt idx="1">
                  <c:v>37.1</c:v>
                </c:pt>
                <c:pt idx="2">
                  <c:v>35.1</c:v>
                </c:pt>
                <c:pt idx="3">
                  <c:v>35.6</c:v>
                </c:pt>
              </c:numCache>
            </c:numRef>
          </c:val>
          <c:smooth val="0"/>
          <c:extLst>
            <c:ext xmlns:c16="http://schemas.microsoft.com/office/drawing/2014/chart" uri="{C3380CC4-5D6E-409C-BE32-E72D297353CC}">
              <c16:uniqueId val="{00000003-3C49-41E8-B417-0640E3EA96F1}"/>
            </c:ext>
          </c:extLst>
        </c:ser>
        <c:ser>
          <c:idx val="4"/>
          <c:order val="4"/>
          <c:tx>
            <c:strRef>
              <c:f>'soběstačnost RV, ŽV'!$G$2</c:f>
              <c:strCache>
                <c:ptCount val="1"/>
                <c:pt idx="0">
                  <c:v>Ovoce</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cat>
            <c:strRef>
              <c:f>'soběstačnost RV, ŽV'!$B$3:$B$6</c:f>
              <c:strCache>
                <c:ptCount val="4"/>
                <c:pt idx="0">
                  <c:v>2001-3</c:v>
                </c:pt>
                <c:pt idx="1">
                  <c:v>2005/6-11/12</c:v>
                </c:pt>
                <c:pt idx="2">
                  <c:v>2012/13-14/15</c:v>
                </c:pt>
                <c:pt idx="3">
                  <c:v>2015/16-21/22</c:v>
                </c:pt>
              </c:strCache>
            </c:strRef>
          </c:cat>
          <c:val>
            <c:numRef>
              <c:f>'soběstačnost RV, ŽV'!$G$3:$G$6</c:f>
              <c:numCache>
                <c:formatCode>General</c:formatCode>
                <c:ptCount val="4"/>
                <c:pt idx="0">
                  <c:v>87.1</c:v>
                </c:pt>
                <c:pt idx="1">
                  <c:v>75.8</c:v>
                </c:pt>
                <c:pt idx="2">
                  <c:v>80.8</c:v>
                </c:pt>
                <c:pt idx="3">
                  <c:v>73.2</c:v>
                </c:pt>
              </c:numCache>
            </c:numRef>
          </c:val>
          <c:smooth val="0"/>
          <c:extLst>
            <c:ext xmlns:c16="http://schemas.microsoft.com/office/drawing/2014/chart" uri="{C3380CC4-5D6E-409C-BE32-E72D297353CC}">
              <c16:uniqueId val="{00000004-3C49-41E8-B417-0640E3EA96F1}"/>
            </c:ext>
          </c:extLst>
        </c:ser>
        <c:ser>
          <c:idx val="5"/>
          <c:order val="5"/>
          <c:tx>
            <c:strRef>
              <c:f>'soběstačnost RV, ŽV'!$H$2</c:f>
              <c:strCache>
                <c:ptCount val="1"/>
                <c:pt idx="0">
                  <c:v>Víno</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'soběstačnost RV, ŽV'!$B$3:$B$6</c:f>
              <c:strCache>
                <c:ptCount val="4"/>
                <c:pt idx="0">
                  <c:v>2001-3</c:v>
                </c:pt>
                <c:pt idx="1">
                  <c:v>2005/6-11/12</c:v>
                </c:pt>
                <c:pt idx="2">
                  <c:v>2012/13-14/15</c:v>
                </c:pt>
                <c:pt idx="3">
                  <c:v>2015/16-21/22</c:v>
                </c:pt>
              </c:strCache>
            </c:strRef>
          </c:cat>
          <c:val>
            <c:numRef>
              <c:f>'soběstačnost RV, ŽV'!$H$3:$H$6</c:f>
              <c:numCache>
                <c:formatCode>General</c:formatCode>
                <c:ptCount val="4"/>
                <c:pt idx="0">
                  <c:v>33.6</c:v>
                </c:pt>
                <c:pt idx="1">
                  <c:v>30.2</c:v>
                </c:pt>
                <c:pt idx="2">
                  <c:v>28.5</c:v>
                </c:pt>
                <c:pt idx="3">
                  <c:v>32</c:v>
                </c:pt>
              </c:numCache>
            </c:numRef>
          </c:val>
          <c:smooth val="0"/>
          <c:extLst>
            <c:ext xmlns:c16="http://schemas.microsoft.com/office/drawing/2014/chart" uri="{C3380CC4-5D6E-409C-BE32-E72D297353CC}">
              <c16:uniqueId val="{00000005-3C49-41E8-B417-0640E3EA96F1}"/>
            </c:ext>
          </c:extLst>
        </c:ser>
        <c:ser>
          <c:idx val="6"/>
          <c:order val="6"/>
          <c:tx>
            <c:strRef>
              <c:f>'soběstačnost RV, ŽV'!$I$2</c:f>
              <c:strCache>
                <c:ptCount val="1"/>
                <c:pt idx="0">
                  <c:v>Obiloviny celkem</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'soběstačnost RV, ŽV'!$B$3:$B$6</c:f>
              <c:strCache>
                <c:ptCount val="4"/>
                <c:pt idx="0">
                  <c:v>2001-3</c:v>
                </c:pt>
                <c:pt idx="1">
                  <c:v>2005/6-11/12</c:v>
                </c:pt>
                <c:pt idx="2">
                  <c:v>2012/13-14/15</c:v>
                </c:pt>
                <c:pt idx="3">
                  <c:v>2015/16-21/22</c:v>
                </c:pt>
              </c:strCache>
            </c:strRef>
          </c:cat>
          <c:val>
            <c:numRef>
              <c:f>'soběstačnost RV, ŽV'!$I$3:$I$6</c:f>
              <c:numCache>
                <c:formatCode>General</c:formatCode>
                <c:ptCount val="4"/>
                <c:pt idx="0">
                  <c:v>105.9</c:v>
                </c:pt>
                <c:pt idx="1">
                  <c:v>133.1</c:v>
                </c:pt>
                <c:pt idx="2">
                  <c:v>141.4</c:v>
                </c:pt>
                <c:pt idx="3">
                  <c:v>154.69999999999999</c:v>
                </c:pt>
              </c:numCache>
            </c:numRef>
          </c:val>
          <c:smooth val="0"/>
          <c:extLst>
            <c:ext xmlns:c16="http://schemas.microsoft.com/office/drawing/2014/chart" uri="{C3380CC4-5D6E-409C-BE32-E72D297353CC}">
              <c16:uniqueId val="{00000006-3C49-41E8-B417-0640E3EA96F1}"/>
            </c:ext>
          </c:extLst>
        </c:ser>
        <c:dLbls>
          <c:showLegendKey val="0"/>
          <c:showVal val="0"/>
          <c:showCatName val="0"/>
          <c:showSerName val="0"/>
          <c:showPercent val="0"/>
          <c:showBubbleSize val="0"/>
        </c:dLbls>
        <c:marker val="1"/>
        <c:smooth val="0"/>
        <c:axId val="424755599"/>
        <c:axId val="424756015"/>
      </c:lineChart>
      <c:catAx>
        <c:axId val="424755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24756015"/>
        <c:crosses val="autoZero"/>
        <c:auto val="1"/>
        <c:lblAlgn val="ctr"/>
        <c:lblOffset val="100"/>
        <c:noMultiLvlLbl val="0"/>
      </c:catAx>
      <c:valAx>
        <c:axId val="424756015"/>
        <c:scaling>
          <c:orientation val="minMax"/>
          <c:max val="1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24755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082661930940226E-2"/>
          <c:y val="4.3392504930966469E-2"/>
          <c:w val="0.9125945077760802"/>
          <c:h val="0.73393095093882499"/>
        </c:manualLayout>
      </c:layout>
      <c:lineChart>
        <c:grouping val="standard"/>
        <c:varyColors val="0"/>
        <c:ser>
          <c:idx val="0"/>
          <c:order val="0"/>
          <c:tx>
            <c:strRef>
              <c:f>'soběstačnost RV, ŽV'!$C$9</c:f>
              <c:strCache>
                <c:ptCount val="1"/>
                <c:pt idx="0">
                  <c:v>Mléko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'soběstačnost RV, ŽV'!$B$10:$B$13</c:f>
              <c:strCache>
                <c:ptCount val="4"/>
                <c:pt idx="0">
                  <c:v>2001-2003</c:v>
                </c:pt>
                <c:pt idx="1">
                  <c:v>2005-2011</c:v>
                </c:pt>
                <c:pt idx="2">
                  <c:v>2012-2014</c:v>
                </c:pt>
                <c:pt idx="3">
                  <c:v>2015-2021</c:v>
                </c:pt>
              </c:strCache>
            </c:strRef>
          </c:cat>
          <c:val>
            <c:numRef>
              <c:f>'soběstačnost RV, ŽV'!$C$10:$C$13</c:f>
              <c:numCache>
                <c:formatCode>General</c:formatCode>
                <c:ptCount val="4"/>
                <c:pt idx="0">
                  <c:v>130.69999999999999</c:v>
                </c:pt>
                <c:pt idx="1">
                  <c:v>122.3</c:v>
                </c:pt>
                <c:pt idx="2">
                  <c:v>128.1</c:v>
                </c:pt>
                <c:pt idx="3">
                  <c:v>133.80000000000001</c:v>
                </c:pt>
              </c:numCache>
            </c:numRef>
          </c:val>
          <c:smooth val="0"/>
          <c:extLst>
            <c:ext xmlns:c16="http://schemas.microsoft.com/office/drawing/2014/chart" uri="{C3380CC4-5D6E-409C-BE32-E72D297353CC}">
              <c16:uniqueId val="{00000000-493D-497A-A32F-DE1EFCC26C40}"/>
            </c:ext>
          </c:extLst>
        </c:ser>
        <c:ser>
          <c:idx val="1"/>
          <c:order val="1"/>
          <c:tx>
            <c:strRef>
              <c:f>'soběstačnost RV, ŽV'!$D$9</c:f>
              <c:strCache>
                <c:ptCount val="1"/>
                <c:pt idx="0">
                  <c:v>Hovězí maso</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'soběstačnost RV, ŽV'!$B$10:$B$13</c:f>
              <c:strCache>
                <c:ptCount val="4"/>
                <c:pt idx="0">
                  <c:v>2001-2003</c:v>
                </c:pt>
                <c:pt idx="1">
                  <c:v>2005-2011</c:v>
                </c:pt>
                <c:pt idx="2">
                  <c:v>2012-2014</c:v>
                </c:pt>
                <c:pt idx="3">
                  <c:v>2015-2021</c:v>
                </c:pt>
              </c:strCache>
            </c:strRef>
          </c:cat>
          <c:val>
            <c:numRef>
              <c:f>'soběstačnost RV, ŽV'!$D$10:$D$13</c:f>
              <c:numCache>
                <c:formatCode>General</c:formatCode>
                <c:ptCount val="4"/>
                <c:pt idx="0">
                  <c:v>112.4</c:v>
                </c:pt>
                <c:pt idx="1">
                  <c:v>113.7</c:v>
                </c:pt>
                <c:pt idx="2">
                  <c:v>139.6</c:v>
                </c:pt>
                <c:pt idx="3">
                  <c:v>125.9</c:v>
                </c:pt>
              </c:numCache>
            </c:numRef>
          </c:val>
          <c:smooth val="0"/>
          <c:extLst>
            <c:ext xmlns:c16="http://schemas.microsoft.com/office/drawing/2014/chart" uri="{C3380CC4-5D6E-409C-BE32-E72D297353CC}">
              <c16:uniqueId val="{00000001-493D-497A-A32F-DE1EFCC26C40}"/>
            </c:ext>
          </c:extLst>
        </c:ser>
        <c:ser>
          <c:idx val="2"/>
          <c:order val="2"/>
          <c:tx>
            <c:strRef>
              <c:f>'soběstačnost RV, ŽV'!$E$9</c:f>
              <c:strCache>
                <c:ptCount val="1"/>
                <c:pt idx="0">
                  <c:v>Vepřové maso</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'soběstačnost RV, ŽV'!$B$10:$B$13</c:f>
              <c:strCache>
                <c:ptCount val="4"/>
                <c:pt idx="0">
                  <c:v>2001-2003</c:v>
                </c:pt>
                <c:pt idx="1">
                  <c:v>2005-2011</c:v>
                </c:pt>
                <c:pt idx="2">
                  <c:v>2012-2014</c:v>
                </c:pt>
                <c:pt idx="3">
                  <c:v>2015-2021</c:v>
                </c:pt>
              </c:strCache>
            </c:strRef>
          </c:cat>
          <c:val>
            <c:numRef>
              <c:f>'soběstačnost RV, ŽV'!$E$10:$E$13</c:f>
              <c:numCache>
                <c:formatCode>General</c:formatCode>
                <c:ptCount val="4"/>
                <c:pt idx="0">
                  <c:v>98.4</c:v>
                </c:pt>
                <c:pt idx="1">
                  <c:v>72.2</c:v>
                </c:pt>
                <c:pt idx="2">
                  <c:v>56.2</c:v>
                </c:pt>
                <c:pt idx="3">
                  <c:v>52.4</c:v>
                </c:pt>
              </c:numCache>
            </c:numRef>
          </c:val>
          <c:smooth val="0"/>
          <c:extLst>
            <c:ext xmlns:c16="http://schemas.microsoft.com/office/drawing/2014/chart" uri="{C3380CC4-5D6E-409C-BE32-E72D297353CC}">
              <c16:uniqueId val="{00000002-493D-497A-A32F-DE1EFCC26C40}"/>
            </c:ext>
          </c:extLst>
        </c:ser>
        <c:ser>
          <c:idx val="3"/>
          <c:order val="3"/>
          <c:tx>
            <c:strRef>
              <c:f>'soběstačnost RV, ŽV'!$F$9</c:f>
              <c:strCache>
                <c:ptCount val="1"/>
                <c:pt idx="0">
                  <c:v>Drůbeží maso</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'soběstačnost RV, ŽV'!$B$10:$B$13</c:f>
              <c:strCache>
                <c:ptCount val="4"/>
                <c:pt idx="0">
                  <c:v>2001-2003</c:v>
                </c:pt>
                <c:pt idx="1">
                  <c:v>2005-2011</c:v>
                </c:pt>
                <c:pt idx="2">
                  <c:v>2012-2014</c:v>
                </c:pt>
                <c:pt idx="3">
                  <c:v>2015-2021</c:v>
                </c:pt>
              </c:strCache>
            </c:strRef>
          </c:cat>
          <c:val>
            <c:numRef>
              <c:f>'soběstačnost RV, ŽV'!$F$10:$F$13</c:f>
              <c:numCache>
                <c:formatCode>General</c:formatCode>
                <c:ptCount val="4"/>
                <c:pt idx="0">
                  <c:v>96.2</c:v>
                </c:pt>
                <c:pt idx="1">
                  <c:v>89.2</c:v>
                </c:pt>
                <c:pt idx="2">
                  <c:v>78.900000000000006</c:v>
                </c:pt>
                <c:pt idx="3">
                  <c:v>73.599999999999994</c:v>
                </c:pt>
              </c:numCache>
            </c:numRef>
          </c:val>
          <c:smooth val="0"/>
          <c:extLst>
            <c:ext xmlns:c16="http://schemas.microsoft.com/office/drawing/2014/chart" uri="{C3380CC4-5D6E-409C-BE32-E72D297353CC}">
              <c16:uniqueId val="{00000003-493D-497A-A32F-DE1EFCC26C40}"/>
            </c:ext>
          </c:extLst>
        </c:ser>
        <c:ser>
          <c:idx val="4"/>
          <c:order val="4"/>
          <c:tx>
            <c:strRef>
              <c:f>'soběstačnost RV, ŽV'!$G$9</c:f>
              <c:strCache>
                <c:ptCount val="1"/>
                <c:pt idx="0">
                  <c:v>Skopové a kozí maso</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cat>
            <c:strRef>
              <c:f>'soběstačnost RV, ŽV'!$B$10:$B$13</c:f>
              <c:strCache>
                <c:ptCount val="4"/>
                <c:pt idx="0">
                  <c:v>2001-2003</c:v>
                </c:pt>
                <c:pt idx="1">
                  <c:v>2005-2011</c:v>
                </c:pt>
                <c:pt idx="2">
                  <c:v>2012-2014</c:v>
                </c:pt>
                <c:pt idx="3">
                  <c:v>2015-2021</c:v>
                </c:pt>
              </c:strCache>
            </c:strRef>
          </c:cat>
          <c:val>
            <c:numRef>
              <c:f>'soběstačnost RV, ŽV'!$G$10:$G$13</c:f>
              <c:numCache>
                <c:formatCode>0.0</c:formatCode>
                <c:ptCount val="4"/>
                <c:pt idx="1">
                  <c:v>83.9</c:v>
                </c:pt>
                <c:pt idx="2">
                  <c:v>93</c:v>
                </c:pt>
                <c:pt idx="3">
                  <c:v>98.1</c:v>
                </c:pt>
              </c:numCache>
            </c:numRef>
          </c:val>
          <c:smooth val="0"/>
          <c:extLst>
            <c:ext xmlns:c16="http://schemas.microsoft.com/office/drawing/2014/chart" uri="{C3380CC4-5D6E-409C-BE32-E72D297353CC}">
              <c16:uniqueId val="{00000004-493D-497A-A32F-DE1EFCC26C40}"/>
            </c:ext>
          </c:extLst>
        </c:ser>
        <c:ser>
          <c:idx val="5"/>
          <c:order val="5"/>
          <c:tx>
            <c:strRef>
              <c:f>'soběstačnost RV, ŽV'!$H$9</c:f>
              <c:strCache>
                <c:ptCount val="1"/>
                <c:pt idx="0">
                  <c:v>Vejce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'soběstačnost RV, ŽV'!$B$10:$B$13</c:f>
              <c:strCache>
                <c:ptCount val="4"/>
                <c:pt idx="0">
                  <c:v>2001-2003</c:v>
                </c:pt>
                <c:pt idx="1">
                  <c:v>2005-2011</c:v>
                </c:pt>
                <c:pt idx="2">
                  <c:v>2012-2014</c:v>
                </c:pt>
                <c:pt idx="3">
                  <c:v>2015-2021</c:v>
                </c:pt>
              </c:strCache>
            </c:strRef>
          </c:cat>
          <c:val>
            <c:numRef>
              <c:f>'soběstačnost RV, ŽV'!$H$10:$H$13</c:f>
              <c:numCache>
                <c:formatCode>0.0</c:formatCode>
                <c:ptCount val="4"/>
                <c:pt idx="0">
                  <c:v>102.24</c:v>
                </c:pt>
                <c:pt idx="1">
                  <c:v>87.95</c:v>
                </c:pt>
                <c:pt idx="2">
                  <c:v>88.3</c:v>
                </c:pt>
                <c:pt idx="3">
                  <c:v>88.83</c:v>
                </c:pt>
              </c:numCache>
            </c:numRef>
          </c:val>
          <c:smooth val="0"/>
          <c:extLst>
            <c:ext xmlns:c16="http://schemas.microsoft.com/office/drawing/2014/chart" uri="{C3380CC4-5D6E-409C-BE32-E72D297353CC}">
              <c16:uniqueId val="{00000005-493D-497A-A32F-DE1EFCC26C40}"/>
            </c:ext>
          </c:extLst>
        </c:ser>
        <c:dLbls>
          <c:showLegendKey val="0"/>
          <c:showVal val="0"/>
          <c:showCatName val="0"/>
          <c:showSerName val="0"/>
          <c:showPercent val="0"/>
          <c:showBubbleSize val="0"/>
        </c:dLbls>
        <c:marker val="1"/>
        <c:smooth val="0"/>
        <c:axId val="417658863"/>
        <c:axId val="417658031"/>
      </c:lineChart>
      <c:catAx>
        <c:axId val="4176588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7658031"/>
        <c:crosses val="autoZero"/>
        <c:auto val="1"/>
        <c:lblAlgn val="ctr"/>
        <c:lblOffset val="100"/>
        <c:noMultiLvlLbl val="0"/>
      </c:catAx>
      <c:valAx>
        <c:axId val="4176580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76588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898826905802508E-2"/>
          <c:y val="4.8478427127877172E-2"/>
          <c:w val="0.91028281987531101"/>
          <c:h val="0.77876429531497326"/>
        </c:manualLayout>
      </c:layout>
      <c:barChart>
        <c:barDir val="col"/>
        <c:grouping val="stacked"/>
        <c:varyColors val="0"/>
        <c:ser>
          <c:idx val="0"/>
          <c:order val="0"/>
          <c:tx>
            <c:strRef>
              <c:f>podpory!$B$3</c:f>
              <c:strCache>
                <c:ptCount val="1"/>
                <c:pt idx="0">
                  <c:v>Podpory příjmů</c:v>
                </c:pt>
              </c:strCache>
            </c:strRef>
          </c:tx>
          <c:spPr>
            <a:solidFill>
              <a:schemeClr val="accent1"/>
            </a:solidFill>
            <a:ln>
              <a:noFill/>
            </a:ln>
            <a:effectLst/>
          </c:spPr>
          <c:invertIfNegative val="0"/>
          <c:cat>
            <c:strRef>
              <c:f>podpory!$C$2:$F$2</c:f>
              <c:strCache>
                <c:ptCount val="4"/>
                <c:pt idx="1">
                  <c:v>2001-3</c:v>
                </c:pt>
                <c:pt idx="2">
                  <c:v>2012-14</c:v>
                </c:pt>
                <c:pt idx="3">
                  <c:v>2018-21</c:v>
                </c:pt>
              </c:strCache>
            </c:strRef>
          </c:cat>
          <c:val>
            <c:numRef>
              <c:f>podpory!$C$3:$F$3</c:f>
              <c:numCache>
                <c:formatCode>0</c:formatCode>
                <c:ptCount val="4"/>
                <c:pt idx="1">
                  <c:v>4110.666666666667</c:v>
                </c:pt>
                <c:pt idx="2">
                  <c:v>24701.482666666667</c:v>
                </c:pt>
                <c:pt idx="3">
                  <c:v>27019.827249999998</c:v>
                </c:pt>
              </c:numCache>
            </c:numRef>
          </c:val>
          <c:extLst>
            <c:ext xmlns:c16="http://schemas.microsoft.com/office/drawing/2014/chart" uri="{C3380CC4-5D6E-409C-BE32-E72D297353CC}">
              <c16:uniqueId val="{00000000-81F8-4A36-B444-235BD2076738}"/>
            </c:ext>
          </c:extLst>
        </c:ser>
        <c:ser>
          <c:idx val="1"/>
          <c:order val="1"/>
          <c:tx>
            <c:strRef>
              <c:f>podpory!$B$4</c:f>
              <c:strCache>
                <c:ptCount val="1"/>
                <c:pt idx="0">
                  <c:v>Podpora cen vstupů</c:v>
                </c:pt>
              </c:strCache>
            </c:strRef>
          </c:tx>
          <c:spPr>
            <a:solidFill>
              <a:schemeClr val="accent2"/>
            </a:solidFill>
            <a:ln>
              <a:noFill/>
            </a:ln>
            <a:effectLst/>
          </c:spPr>
          <c:invertIfNegative val="0"/>
          <c:cat>
            <c:strRef>
              <c:f>podpory!$C$2:$F$2</c:f>
              <c:strCache>
                <c:ptCount val="4"/>
                <c:pt idx="1">
                  <c:v>2001-3</c:v>
                </c:pt>
                <c:pt idx="2">
                  <c:v>2012-14</c:v>
                </c:pt>
                <c:pt idx="3">
                  <c:v>2018-21</c:v>
                </c:pt>
              </c:strCache>
            </c:strRef>
          </c:cat>
          <c:val>
            <c:numRef>
              <c:f>podpory!$C$4:$F$4</c:f>
              <c:numCache>
                <c:formatCode>0</c:formatCode>
                <c:ptCount val="4"/>
                <c:pt idx="1">
                  <c:v>1908</c:v>
                </c:pt>
                <c:pt idx="2">
                  <c:v>2680.0783333333334</c:v>
                </c:pt>
                <c:pt idx="3">
                  <c:v>4457.5</c:v>
                </c:pt>
              </c:numCache>
            </c:numRef>
          </c:val>
          <c:extLst>
            <c:ext xmlns:c16="http://schemas.microsoft.com/office/drawing/2014/chart" uri="{C3380CC4-5D6E-409C-BE32-E72D297353CC}">
              <c16:uniqueId val="{00000001-81F8-4A36-B444-235BD2076738}"/>
            </c:ext>
          </c:extLst>
        </c:ser>
        <c:ser>
          <c:idx val="2"/>
          <c:order val="2"/>
          <c:tx>
            <c:strRef>
              <c:f>podpory!$B$5</c:f>
              <c:strCache>
                <c:ptCount val="1"/>
                <c:pt idx="0">
                  <c:v>Platby AEKO a pohody zvířat</c:v>
                </c:pt>
              </c:strCache>
            </c:strRef>
          </c:tx>
          <c:spPr>
            <a:solidFill>
              <a:srgbClr val="00B050"/>
            </a:solidFill>
            <a:ln>
              <a:noFill/>
            </a:ln>
            <a:effectLst/>
          </c:spPr>
          <c:invertIfNegative val="0"/>
          <c:cat>
            <c:strRef>
              <c:f>podpory!$C$2:$F$2</c:f>
              <c:strCache>
                <c:ptCount val="4"/>
                <c:pt idx="1">
                  <c:v>2001-3</c:v>
                </c:pt>
                <c:pt idx="2">
                  <c:v>2012-14</c:v>
                </c:pt>
                <c:pt idx="3">
                  <c:v>2018-21</c:v>
                </c:pt>
              </c:strCache>
            </c:strRef>
          </c:cat>
          <c:val>
            <c:numRef>
              <c:f>podpory!$C$5:$F$5</c:f>
              <c:numCache>
                <c:formatCode>0</c:formatCode>
                <c:ptCount val="4"/>
                <c:pt idx="1">
                  <c:v>4068.6666666666665</c:v>
                </c:pt>
                <c:pt idx="2">
                  <c:v>4610.3826666666664</c:v>
                </c:pt>
                <c:pt idx="3">
                  <c:v>8354.6987499999996</c:v>
                </c:pt>
              </c:numCache>
            </c:numRef>
          </c:val>
          <c:extLst>
            <c:ext xmlns:c16="http://schemas.microsoft.com/office/drawing/2014/chart" uri="{C3380CC4-5D6E-409C-BE32-E72D297353CC}">
              <c16:uniqueId val="{00000002-81F8-4A36-B444-235BD2076738}"/>
            </c:ext>
          </c:extLst>
        </c:ser>
        <c:ser>
          <c:idx val="3"/>
          <c:order val="3"/>
          <c:tx>
            <c:strRef>
              <c:f>podpory!$B$6</c:f>
              <c:strCache>
                <c:ptCount val="1"/>
                <c:pt idx="0">
                  <c:v>Platby OZE - BPS</c:v>
                </c:pt>
              </c:strCache>
            </c:strRef>
          </c:tx>
          <c:spPr>
            <a:solidFill>
              <a:schemeClr val="accent4"/>
            </a:solidFill>
            <a:ln>
              <a:noFill/>
            </a:ln>
            <a:effectLst/>
          </c:spPr>
          <c:invertIfNegative val="0"/>
          <c:cat>
            <c:strRef>
              <c:f>podpory!$C$2:$F$2</c:f>
              <c:strCache>
                <c:ptCount val="4"/>
                <c:pt idx="1">
                  <c:v>2001-3</c:v>
                </c:pt>
                <c:pt idx="2">
                  <c:v>2012-14</c:v>
                </c:pt>
                <c:pt idx="3">
                  <c:v>2018-21</c:v>
                </c:pt>
              </c:strCache>
            </c:strRef>
          </c:cat>
          <c:val>
            <c:numRef>
              <c:f>podpory!$C$6:$F$6</c:f>
              <c:numCache>
                <c:formatCode>0</c:formatCode>
                <c:ptCount val="4"/>
                <c:pt idx="1">
                  <c:v>161.66666666666666</c:v>
                </c:pt>
                <c:pt idx="2">
                  <c:v>2824.7666666666664</c:v>
                </c:pt>
                <c:pt idx="3">
                  <c:v>4967.5</c:v>
                </c:pt>
              </c:numCache>
            </c:numRef>
          </c:val>
          <c:extLst>
            <c:ext xmlns:c16="http://schemas.microsoft.com/office/drawing/2014/chart" uri="{C3380CC4-5D6E-409C-BE32-E72D297353CC}">
              <c16:uniqueId val="{00000003-81F8-4A36-B444-235BD2076738}"/>
            </c:ext>
          </c:extLst>
        </c:ser>
        <c:ser>
          <c:idx val="4"/>
          <c:order val="4"/>
          <c:tx>
            <c:strRef>
              <c:f>podpory!$B$7</c:f>
              <c:strCache>
                <c:ptCount val="1"/>
                <c:pt idx="0">
                  <c:v>Investiční podpory</c:v>
                </c:pt>
              </c:strCache>
            </c:strRef>
          </c:tx>
          <c:spPr>
            <a:solidFill>
              <a:srgbClr val="FF0000"/>
            </a:solidFill>
            <a:ln>
              <a:noFill/>
            </a:ln>
            <a:effectLst/>
          </c:spPr>
          <c:invertIfNegative val="0"/>
          <c:cat>
            <c:strRef>
              <c:f>podpory!$C$2:$F$2</c:f>
              <c:strCache>
                <c:ptCount val="4"/>
                <c:pt idx="1">
                  <c:v>2001-3</c:v>
                </c:pt>
                <c:pt idx="2">
                  <c:v>2012-14</c:v>
                </c:pt>
                <c:pt idx="3">
                  <c:v>2018-21</c:v>
                </c:pt>
              </c:strCache>
            </c:strRef>
          </c:cat>
          <c:val>
            <c:numRef>
              <c:f>podpory!$C$7:$F$7</c:f>
              <c:numCache>
                <c:formatCode>0</c:formatCode>
                <c:ptCount val="4"/>
                <c:pt idx="1">
                  <c:v>1829</c:v>
                </c:pt>
                <c:pt idx="2">
                  <c:v>2932.6496666666667</c:v>
                </c:pt>
                <c:pt idx="3">
                  <c:v>5113.3242499999997</c:v>
                </c:pt>
              </c:numCache>
            </c:numRef>
          </c:val>
          <c:extLst>
            <c:ext xmlns:c16="http://schemas.microsoft.com/office/drawing/2014/chart" uri="{C3380CC4-5D6E-409C-BE32-E72D297353CC}">
              <c16:uniqueId val="{00000004-81F8-4A36-B444-235BD2076738}"/>
            </c:ext>
          </c:extLst>
        </c:ser>
        <c:dLbls>
          <c:showLegendKey val="0"/>
          <c:showVal val="0"/>
          <c:showCatName val="0"/>
          <c:showSerName val="0"/>
          <c:showPercent val="0"/>
          <c:showBubbleSize val="0"/>
        </c:dLbls>
        <c:gapWidth val="150"/>
        <c:overlap val="100"/>
        <c:axId val="905981616"/>
        <c:axId val="905976208"/>
      </c:barChart>
      <c:catAx>
        <c:axId val="905981616"/>
        <c:scaling>
          <c:orientation val="minMax"/>
        </c:scaling>
        <c:delete val="0"/>
        <c:axPos val="b"/>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05976208"/>
        <c:crosses val="autoZero"/>
        <c:auto val="1"/>
        <c:lblAlgn val="ctr"/>
        <c:lblOffset val="100"/>
        <c:noMultiLvlLbl val="0"/>
      </c:catAx>
      <c:valAx>
        <c:axId val="905976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05981616"/>
        <c:crosses val="autoZero"/>
        <c:crossBetween val="between"/>
      </c:valAx>
      <c:spPr>
        <a:noFill/>
        <a:ln>
          <a:solidFill>
            <a:schemeClr val="accent1"/>
          </a:solidFill>
        </a:ln>
        <a:effectLst/>
      </c:spPr>
    </c:plotArea>
    <c:legend>
      <c:legendPos val="b"/>
      <c:layout>
        <c:manualLayout>
          <c:xMode val="edge"/>
          <c:yMode val="edge"/>
          <c:x val="7.2330715604993823E-2"/>
          <c:y val="0.87657232584552291"/>
          <c:w val="0.8663613228901943"/>
          <c:h val="0.104066589933760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Čerpání PRV 2014-2022 </a:t>
            </a:r>
            <a:r>
              <a:rPr lang="cs-CZ" sz="1400"/>
              <a:t>(včetně top up a EURI)</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DCE-47A6-AE6F-731612B429B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DCE-47A6-AE6F-731612B429B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DCE-47A6-AE6F-731612B429B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'08_24'!$LV$30:$LV$32</c:f>
              <c:strCache>
                <c:ptCount val="3"/>
                <c:pt idx="0">
                  <c:v>Vyplaceno 114,6 mld. Kč</c:v>
                </c:pt>
                <c:pt idx="1">
                  <c:v>Závazkováno - nevyplaceno 6,4 mld. Kč</c:v>
                </c:pt>
                <c:pt idx="2">
                  <c:v>Zbývá závazkovat 0,9 mld. Kč</c:v>
                </c:pt>
              </c:strCache>
            </c:strRef>
          </c:cat>
          <c:val>
            <c:numRef>
              <c:f>'08_24'!$MA$30:$MA$32</c:f>
              <c:numCache>
                <c:formatCode>#\ ##0.0</c:formatCode>
                <c:ptCount val="3"/>
                <c:pt idx="0">
                  <c:v>114.56589637360003</c:v>
                </c:pt>
                <c:pt idx="1">
                  <c:v>6.4432399011886972</c:v>
                </c:pt>
                <c:pt idx="2">
                  <c:v>0.88183188173950788</c:v>
                </c:pt>
              </c:numCache>
            </c:numRef>
          </c:val>
          <c:extLst>
            <c:ext xmlns:c16="http://schemas.microsoft.com/office/drawing/2014/chart" uri="{C3380CC4-5D6E-409C-BE32-E72D297353CC}">
              <c16:uniqueId val="{00000006-6DCE-47A6-AE6F-731612B429BB}"/>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rtl="0">
              <a:defRPr sz="1000" b="0" i="0" u="none" strike="noStrike" kern="1200" baseline="0">
                <a:solidFill>
                  <a:schemeClr val="dk1">
                    <a:lumMod val="75000"/>
                    <a:lumOff val="25000"/>
                  </a:schemeClr>
                </a:solidFill>
                <a:latin typeface="+mn-lt"/>
                <a:ea typeface="+mn-ea"/>
                <a:cs typeface="+mn-cs"/>
              </a:defRPr>
            </a:pPr>
            <a:endParaRPr lang="cs-CZ"/>
          </a:p>
        </c:txPr>
      </c:legendEntry>
      <c:legendEntry>
        <c:idx val="1"/>
        <c:txPr>
          <a:bodyPr rot="0" spcFirstLastPara="1" vertOverflow="ellipsis" vert="horz" wrap="square" anchor="ctr" anchorCtr="1"/>
          <a:lstStyle/>
          <a:p>
            <a:pPr rtl="0">
              <a:defRPr sz="1000" b="0" i="0" u="none" strike="noStrike" kern="1200" baseline="0">
                <a:solidFill>
                  <a:schemeClr val="dk1">
                    <a:lumMod val="75000"/>
                    <a:lumOff val="25000"/>
                  </a:schemeClr>
                </a:solidFill>
                <a:latin typeface="+mn-lt"/>
                <a:ea typeface="+mn-ea"/>
                <a:cs typeface="+mn-cs"/>
              </a:defRPr>
            </a:pPr>
            <a:endParaRPr lang="cs-CZ"/>
          </a:p>
        </c:txPr>
      </c:legendEntry>
      <c:legendEntry>
        <c:idx val="2"/>
        <c:txPr>
          <a:bodyPr rot="0" spcFirstLastPara="1" vertOverflow="ellipsis" vert="horz" wrap="square" anchor="ctr" anchorCtr="1"/>
          <a:lstStyle/>
          <a:p>
            <a:pPr rtl="0">
              <a:defRPr sz="1000" b="0" i="0" u="none" strike="noStrike" kern="1200" baseline="0">
                <a:solidFill>
                  <a:schemeClr val="dk1">
                    <a:lumMod val="75000"/>
                    <a:lumOff val="25000"/>
                  </a:schemeClr>
                </a:solidFill>
                <a:latin typeface="+mn-lt"/>
                <a:ea typeface="+mn-ea"/>
                <a:cs typeface="+mn-cs"/>
              </a:defRPr>
            </a:pPr>
            <a:endParaRPr lang="cs-CZ"/>
          </a:p>
        </c:txPr>
      </c:legendEntry>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4DC78-C38C-41AF-BB27-E2397546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6361</Words>
  <Characters>37536</Characters>
  <Application>Microsoft Office Word</Application>
  <DocSecurity>4</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Tabery Petra</dc:creator>
  <cp:keywords/>
  <dc:description/>
  <cp:lastModifiedBy>Hudetzová Kateřina</cp:lastModifiedBy>
  <cp:revision>2</cp:revision>
  <cp:lastPrinted>2024-10-02T09:09:00Z</cp:lastPrinted>
  <dcterms:created xsi:type="dcterms:W3CDTF">2024-10-03T10:43:00Z</dcterms:created>
  <dcterms:modified xsi:type="dcterms:W3CDTF">2024-10-03T10:43:00Z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2024-09-17T07:48:48Z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d431df2d-1562-4912-b240-d3ba02adc75e</vt:lpwstr>
  </property>
  <property fmtid="{D5CDD505-2E9C-101B-9397-08002B2CF9AE}" pid="8" name="MSIP_Label_239d554d-d720-408f-a503-c83424d8e5d7_ContentBits">
    <vt:lpwstr>0</vt:lpwstr>
  </property>
</Properties>
</file>