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D778" w14:textId="77777777" w:rsidR="00144BCF" w:rsidRPr="0099293B" w:rsidRDefault="00144BC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93B">
        <w:rPr>
          <w:rFonts w:ascii="Arial" w:hAnsi="Arial" w:cs="Arial"/>
          <w:b/>
          <w:sz w:val="28"/>
          <w:szCs w:val="28"/>
        </w:rPr>
        <w:t>Minis</w:t>
      </w:r>
      <w:r w:rsidR="003855A7" w:rsidRPr="0099293B">
        <w:rPr>
          <w:rFonts w:ascii="Arial" w:hAnsi="Arial" w:cs="Arial"/>
          <w:b/>
          <w:sz w:val="28"/>
          <w:szCs w:val="28"/>
        </w:rPr>
        <w:t>terstvo práce a sociálních věcí</w:t>
      </w:r>
    </w:p>
    <w:p w14:paraId="0A490651" w14:textId="77777777" w:rsidR="008C674F" w:rsidRPr="0099293B" w:rsidRDefault="008C674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83FE4F" w14:textId="77777777" w:rsidR="005F4BD1" w:rsidRPr="0099293B" w:rsidRDefault="005F4BD1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BFEEF9" w14:textId="77777777" w:rsidR="002352E5" w:rsidRPr="0099293B" w:rsidRDefault="002352E5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3F8ADF" w14:textId="77777777" w:rsidR="005C3AB3" w:rsidRPr="0099293B" w:rsidRDefault="005C3AB3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BF3A45" w14:textId="77777777" w:rsidR="005C3AB3" w:rsidRPr="0099293B" w:rsidRDefault="005C3AB3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B37D1" w14:textId="77777777" w:rsidR="00E96D95" w:rsidRPr="0099293B" w:rsidRDefault="00E96D95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092317" w14:textId="77777777" w:rsidR="00BC1C79" w:rsidRPr="0099293B" w:rsidRDefault="00BC1C79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942536" w14:textId="0E29DB99" w:rsidR="00137D72" w:rsidRPr="0099293B" w:rsidRDefault="009F0A66" w:rsidP="00137D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9293B">
        <w:rPr>
          <w:rFonts w:ascii="Arial" w:hAnsi="Arial" w:cs="Arial"/>
          <w:b/>
          <w:sz w:val="32"/>
          <w:szCs w:val="32"/>
        </w:rPr>
        <w:t>Návrh směrnice o evropské minimální mzdě</w:t>
      </w:r>
    </w:p>
    <w:p w14:paraId="0D646C33" w14:textId="77777777" w:rsidR="00783015" w:rsidRPr="0099293B" w:rsidRDefault="00783015" w:rsidP="00BC1C79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097A35D" w14:textId="77777777" w:rsidR="005C3AB3" w:rsidRPr="0099293B" w:rsidRDefault="005C3AB3" w:rsidP="00BC1C79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630186" w14:textId="77777777" w:rsidR="00BC1C79" w:rsidRPr="0099293B" w:rsidRDefault="00BC1C79" w:rsidP="00BC1C79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3E4A3E" w14:textId="77777777" w:rsidR="00BC1C79" w:rsidRPr="0099293B" w:rsidRDefault="00BC1C79" w:rsidP="00BC1C79">
      <w:pPr>
        <w:spacing w:after="160" w:line="36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Popis problematiky</w:t>
      </w:r>
    </w:p>
    <w:p w14:paraId="51B32130" w14:textId="77777777" w:rsidR="00BC1C79" w:rsidRPr="0099293B" w:rsidRDefault="00BC1C79" w:rsidP="003A5017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Dne 28. října 2020 předložila Komise návrh směrnice o přiměřených minimálních mzdách v Evropské unii. Cílem směrnice je zlepšit pracovní a životní podmínky v Unii stanovením rámce pro </w:t>
      </w:r>
      <w:r w:rsidR="00C62C4F" w:rsidRPr="0099293B">
        <w:rPr>
          <w:rFonts w:ascii="Arial" w:eastAsia="Calibri" w:hAnsi="Arial" w:cs="Arial"/>
          <w:sz w:val="24"/>
          <w:szCs w:val="24"/>
        </w:rPr>
        <w:t>určení</w:t>
      </w:r>
      <w:r w:rsidRPr="0099293B">
        <w:rPr>
          <w:rFonts w:ascii="Arial" w:eastAsia="Calibri" w:hAnsi="Arial" w:cs="Arial"/>
          <w:sz w:val="24"/>
          <w:szCs w:val="24"/>
        </w:rPr>
        <w:t xml:space="preserve"> přiměřené výše minimálních mezd a pro přístup pracovníků k ochraně poskytované minimální mzdou.</w:t>
      </w:r>
    </w:p>
    <w:p w14:paraId="600D0128" w14:textId="77777777" w:rsidR="00BC1C79" w:rsidRPr="0099293B" w:rsidRDefault="00BC1C79" w:rsidP="003A5017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Návrh směrnice vytváří regulativní rámec (a) pro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>existenci mechanismu na národní úrovni, který zajistí stanovování a pravidelnou (a včasnou) valorizaci minimální mzdy</w:t>
      </w:r>
      <w:r w:rsidRPr="0099293B">
        <w:rPr>
          <w:rFonts w:ascii="Arial" w:eastAsia="Calibri" w:hAnsi="Arial" w:cs="Arial"/>
          <w:sz w:val="24"/>
          <w:szCs w:val="24"/>
        </w:rPr>
        <w:t xml:space="preserve">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>v přiměřené výši</w:t>
      </w:r>
      <w:r w:rsidRPr="0099293B">
        <w:rPr>
          <w:rFonts w:ascii="Arial" w:eastAsia="Calibri" w:hAnsi="Arial" w:cs="Arial"/>
          <w:sz w:val="24"/>
          <w:szCs w:val="24"/>
        </w:rPr>
        <w:t xml:space="preserve"> na základě minimálně 4 objektivně daných kritérií; (b) pro mechanismus zapojení sociálních partnerů do stanovování a valorizaci minimální mzdy; (c) pro podporu kolektivního vyjednávání ve státech, ve kterých je kolektivními smlouvami pokryto méně než 70 % zaměstnanců; a (d) pro pravidelný a</w:t>
      </w:r>
      <w:r w:rsidR="003A5017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>dostatečný sběr dat o minimální mzdě.</w:t>
      </w:r>
    </w:p>
    <w:p w14:paraId="6DF249C0" w14:textId="77777777" w:rsidR="00BC1C79" w:rsidRPr="0099293B" w:rsidRDefault="00BC1C79" w:rsidP="00BC32C5">
      <w:pPr>
        <w:spacing w:after="1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b/>
          <w:bCs/>
          <w:sz w:val="24"/>
          <w:szCs w:val="24"/>
        </w:rPr>
        <w:t>Charakter směrnice</w:t>
      </w:r>
      <w:r w:rsidRPr="0099293B">
        <w:rPr>
          <w:rFonts w:ascii="Arial" w:eastAsia="Calibri" w:hAnsi="Arial" w:cs="Arial"/>
          <w:sz w:val="24"/>
          <w:szCs w:val="24"/>
        </w:rPr>
        <w:t xml:space="preserve"> je ve vztahu ke stanovování výše minimální mzdy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>procedurální</w:t>
      </w:r>
      <w:r w:rsidRPr="0099293B">
        <w:rPr>
          <w:rFonts w:ascii="Arial" w:eastAsia="Calibri" w:hAnsi="Arial" w:cs="Arial"/>
          <w:sz w:val="24"/>
          <w:szCs w:val="24"/>
        </w:rPr>
        <w:t xml:space="preserve"> – nepředepisuje konkrétní výši minimální mzdy ani konkrétní „vzorec“ pro její výpočet. Směrnice požaduje, aby členské státy na národní úrovni nastavily předvídatelný proces stanovování a valorizace minimální mzdy, a to s povinným přihlédnutím k obvyklým ekonomickým kritériím a parametrům a se systematickým zapojením sociálních partnerů. Konkrétní podobu takového procesu a jeho parametry si mají určit členské státy samy na základě pravidel daných směrnicí</w:t>
      </w:r>
      <w:r w:rsidR="000B1814" w:rsidRPr="0099293B">
        <w:rPr>
          <w:rFonts w:ascii="Arial" w:eastAsia="Calibri" w:hAnsi="Arial" w:cs="Arial"/>
          <w:sz w:val="24"/>
          <w:szCs w:val="24"/>
        </w:rPr>
        <w:t xml:space="preserve"> (v úvodních ustanovení</w:t>
      </w:r>
      <w:r w:rsidR="004A482B" w:rsidRPr="0099293B">
        <w:rPr>
          <w:rFonts w:ascii="Arial" w:eastAsia="Calibri" w:hAnsi="Arial" w:cs="Arial"/>
          <w:sz w:val="24"/>
          <w:szCs w:val="24"/>
        </w:rPr>
        <w:t>ch</w:t>
      </w:r>
      <w:r w:rsidR="000B1814" w:rsidRPr="0099293B">
        <w:rPr>
          <w:rFonts w:ascii="Arial" w:eastAsia="Calibri" w:hAnsi="Arial" w:cs="Arial"/>
          <w:sz w:val="24"/>
          <w:szCs w:val="24"/>
        </w:rPr>
        <w:t xml:space="preserve"> je jako </w:t>
      </w:r>
      <w:r w:rsidR="00E721AE" w:rsidRPr="0099293B">
        <w:rPr>
          <w:rFonts w:ascii="Arial" w:eastAsia="Calibri" w:hAnsi="Arial" w:cs="Arial"/>
          <w:sz w:val="24"/>
          <w:szCs w:val="24"/>
        </w:rPr>
        <w:t>„</w:t>
      </w:r>
      <w:r w:rsidR="000B1814" w:rsidRPr="0099293B">
        <w:rPr>
          <w:rFonts w:ascii="Arial" w:eastAsia="Calibri" w:hAnsi="Arial" w:cs="Arial"/>
          <w:sz w:val="24"/>
          <w:szCs w:val="24"/>
        </w:rPr>
        <w:t xml:space="preserve">zdroj inspirace“ pro příklad uvedeno, že při posuzování </w:t>
      </w:r>
      <w:r w:rsidR="000B1814" w:rsidRPr="0099293B">
        <w:rPr>
          <w:rFonts w:ascii="Arial" w:eastAsia="Calibri" w:hAnsi="Arial" w:cs="Arial"/>
          <w:sz w:val="24"/>
          <w:szCs w:val="24"/>
        </w:rPr>
        <w:lastRenderedPageBreak/>
        <w:t>přiměřenosti minimální mzdy vůči hladině hrubých mezd mohou být vodítkem ukazatele, které se běžně používají na mezinárodní úrovni, jako je 60 % mediánu hrubé mzdy a 50 % průměrné hrubé mzdy)</w:t>
      </w:r>
      <w:r w:rsidRPr="0099293B">
        <w:rPr>
          <w:rFonts w:ascii="Arial" w:eastAsia="Calibri" w:hAnsi="Arial" w:cs="Arial"/>
          <w:sz w:val="24"/>
          <w:szCs w:val="24"/>
        </w:rPr>
        <w:t>.</w:t>
      </w:r>
    </w:p>
    <w:p w14:paraId="03042C03" w14:textId="1654A41A" w:rsidR="00BC1C79" w:rsidRPr="0099293B" w:rsidRDefault="00BC1C79" w:rsidP="00E6553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Vyjednávání návrhu směrnice </w:t>
      </w:r>
      <w:r w:rsidR="000C35A2">
        <w:rPr>
          <w:rFonts w:ascii="Arial" w:eastAsia="Calibri" w:hAnsi="Arial" w:cs="Arial"/>
          <w:sz w:val="24"/>
          <w:szCs w:val="24"/>
        </w:rPr>
        <w:t>z fáze výkladu návrhu ze strany EK (od listopadu 2020 do února 2021) a prezentace stanoviska právní služby Rady k právnímu základu směrnice (březen 2021) přešlo do fáze předkládání a projednávání kompromisních návrhů členských států a portugalského předsednictví (</w:t>
      </w:r>
      <w:proofErr w:type="gramStart"/>
      <w:r w:rsidR="000C35A2">
        <w:rPr>
          <w:rFonts w:ascii="Arial" w:eastAsia="Calibri" w:hAnsi="Arial" w:cs="Arial"/>
          <w:sz w:val="24"/>
          <w:szCs w:val="24"/>
        </w:rPr>
        <w:t>březen – květen</w:t>
      </w:r>
      <w:proofErr w:type="gramEnd"/>
      <w:r w:rsidR="000C35A2">
        <w:rPr>
          <w:rFonts w:ascii="Arial" w:eastAsia="Calibri" w:hAnsi="Arial" w:cs="Arial"/>
          <w:sz w:val="24"/>
          <w:szCs w:val="24"/>
        </w:rPr>
        <w:t xml:space="preserve">). </w:t>
      </w:r>
      <w:r w:rsidR="0016604B">
        <w:rPr>
          <w:rFonts w:ascii="Arial" w:eastAsia="Calibri" w:hAnsi="Arial" w:cs="Arial"/>
          <w:sz w:val="24"/>
          <w:szCs w:val="24"/>
        </w:rPr>
        <w:t>N</w:t>
      </w:r>
      <w:r w:rsidRPr="0099293B">
        <w:rPr>
          <w:rFonts w:ascii="Arial" w:eastAsia="Calibri" w:hAnsi="Arial" w:cs="Arial"/>
          <w:sz w:val="24"/>
          <w:szCs w:val="24"/>
        </w:rPr>
        <w:t xml:space="preserve">ávrh </w:t>
      </w:r>
      <w:r w:rsidR="000C35A2">
        <w:rPr>
          <w:rFonts w:ascii="Arial" w:eastAsia="Calibri" w:hAnsi="Arial" w:cs="Arial"/>
          <w:sz w:val="24"/>
          <w:szCs w:val="24"/>
        </w:rPr>
        <w:t xml:space="preserve">i přes vydané stanovisko právní služby Rady (dne 9. března v režimu LIMITE) </w:t>
      </w:r>
      <w:r w:rsidR="0099293B" w:rsidRPr="0099293B">
        <w:rPr>
          <w:rFonts w:ascii="Arial" w:eastAsia="Calibri" w:hAnsi="Arial" w:cs="Arial"/>
          <w:sz w:val="24"/>
          <w:szCs w:val="24"/>
        </w:rPr>
        <w:t xml:space="preserve">nadále </w:t>
      </w:r>
      <w:r w:rsidRPr="0099293B">
        <w:rPr>
          <w:rFonts w:ascii="Arial" w:eastAsia="Calibri" w:hAnsi="Arial" w:cs="Arial"/>
          <w:sz w:val="24"/>
          <w:szCs w:val="24"/>
        </w:rPr>
        <w:t>vzbuzuje u</w:t>
      </w:r>
      <w:r w:rsidR="00BC32C5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 xml:space="preserve">některých členských států pochybnosti z hlediska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 xml:space="preserve">právního základu. </w:t>
      </w:r>
      <w:r w:rsidRPr="0099293B">
        <w:rPr>
          <w:rFonts w:ascii="Arial" w:eastAsia="Calibri" w:hAnsi="Arial" w:cs="Arial"/>
          <w:sz w:val="24"/>
          <w:szCs w:val="24"/>
        </w:rPr>
        <w:t xml:space="preserve"> Návrh směrnice je založen na ustanovení Smlouvy o fungování Evropské unie, která umožňuje přijímat směrnice v oblasti pracovních podmínek a</w:t>
      </w:r>
      <w:r w:rsidR="00D33F76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>Komise považuje mzdy jako jednu za základních pracovních podmínek. Dotčené členské státy poukazují na čl. 153 odst. 5 Smlouvy o fungování Evropské unie, který vylučuje možnost, aby byla přijímána opatření týkající se „odměny za práci“. Komise však poukazuje na nutnost restriktivního výkladu tohoto ustanovení SFEU s ohledem na judikaturu Soudního dvora EU.</w:t>
      </w:r>
    </w:p>
    <w:p w14:paraId="3A93FC7C" w14:textId="4B4F7422" w:rsidR="00D33F76" w:rsidRPr="0099293B" w:rsidRDefault="00D33F76" w:rsidP="00C73492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Stanovisko </w:t>
      </w:r>
      <w:r w:rsidR="00EC0884" w:rsidRPr="0099293B">
        <w:rPr>
          <w:rFonts w:ascii="Arial" w:eastAsia="Calibri" w:hAnsi="Arial" w:cs="Arial"/>
          <w:sz w:val="24"/>
          <w:szCs w:val="24"/>
        </w:rPr>
        <w:t xml:space="preserve">právní služby Rady </w:t>
      </w:r>
      <w:r w:rsidRPr="0099293B">
        <w:rPr>
          <w:rFonts w:ascii="Arial" w:eastAsia="Calibri" w:hAnsi="Arial" w:cs="Arial"/>
          <w:sz w:val="24"/>
          <w:szCs w:val="24"/>
        </w:rPr>
        <w:t>se zaměřuje téměř výhradně na otázku právního základu návrhu směrnice a nemá být chápáno jako vyčerpávající posouzení všech právních aspektů návrhu směrnice.</w:t>
      </w:r>
      <w:r w:rsidR="00C73492" w:rsidRPr="0099293B">
        <w:rPr>
          <w:rFonts w:ascii="Arial" w:eastAsia="Calibri" w:hAnsi="Arial" w:cs="Arial"/>
          <w:sz w:val="24"/>
          <w:szCs w:val="24"/>
        </w:rPr>
        <w:t xml:space="preserve"> P</w:t>
      </w:r>
      <w:r w:rsidRPr="0099293B">
        <w:rPr>
          <w:rFonts w:ascii="Arial" w:eastAsia="Calibri" w:hAnsi="Arial" w:cs="Arial"/>
          <w:sz w:val="24"/>
          <w:szCs w:val="24"/>
        </w:rPr>
        <w:t>rávní služba Rady shrnu</w:t>
      </w:r>
      <w:r w:rsidR="000C35A2">
        <w:rPr>
          <w:rFonts w:ascii="Arial" w:eastAsia="Calibri" w:hAnsi="Arial" w:cs="Arial"/>
          <w:sz w:val="24"/>
          <w:szCs w:val="24"/>
        </w:rPr>
        <w:t>la</w:t>
      </w:r>
      <w:r w:rsidRPr="0099293B">
        <w:rPr>
          <w:rFonts w:ascii="Arial" w:eastAsia="Calibri" w:hAnsi="Arial" w:cs="Arial"/>
          <w:sz w:val="24"/>
          <w:szCs w:val="24"/>
        </w:rPr>
        <w:t xml:space="preserve"> své závěry </w:t>
      </w:r>
      <w:r w:rsidR="00C73492" w:rsidRPr="0099293B">
        <w:rPr>
          <w:rFonts w:ascii="Arial" w:eastAsia="Calibri" w:hAnsi="Arial" w:cs="Arial"/>
          <w:sz w:val="24"/>
          <w:szCs w:val="24"/>
        </w:rPr>
        <w:t xml:space="preserve">ve stanovisku </w:t>
      </w:r>
      <w:r w:rsidRPr="0099293B">
        <w:rPr>
          <w:rFonts w:ascii="Arial" w:eastAsia="Calibri" w:hAnsi="Arial" w:cs="Arial"/>
          <w:sz w:val="24"/>
          <w:szCs w:val="24"/>
        </w:rPr>
        <w:t>následovně:</w:t>
      </w:r>
    </w:p>
    <w:p w14:paraId="0B33A8B5" w14:textId="42271418" w:rsidR="000C35A2" w:rsidRPr="0099293B" w:rsidRDefault="00D33F76" w:rsidP="0016604B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a) Vzhledem k tomu, že návrh směrnice nestanovuje výši různých složek mzdy ani přímo nezasahuje do stanovování mzdy, může být návrh založen na čl.153(1)(b) SFEU a 153(2) SFEU (s výjimkou několika elementů v článku 6</w:t>
      </w:r>
      <w:r w:rsidR="0029521B" w:rsidRPr="0099293B">
        <w:rPr>
          <w:rFonts w:ascii="Arial" w:eastAsia="Calibri" w:hAnsi="Arial" w:cs="Arial"/>
          <w:sz w:val="24"/>
          <w:szCs w:val="24"/>
        </w:rPr>
        <w:t xml:space="preserve"> </w:t>
      </w:r>
      <w:r w:rsidRPr="0099293B">
        <w:rPr>
          <w:rFonts w:ascii="Arial" w:eastAsia="Calibri" w:hAnsi="Arial" w:cs="Arial"/>
          <w:sz w:val="24"/>
          <w:szCs w:val="24"/>
        </w:rPr>
        <w:t>- viz níže).</w:t>
      </w:r>
    </w:p>
    <w:p w14:paraId="25F8BFAD" w14:textId="6D7FAE70" w:rsidR="00D33F76" w:rsidRPr="0099293B" w:rsidRDefault="00D33F76" w:rsidP="00D33F76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b) Aby se zabránilo nejistotě ohledně procesní povahy povinností a</w:t>
      </w:r>
      <w:r w:rsidR="00C73492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>odpovídajícího prostoru, který je členským státům ponechán</w:t>
      </w:r>
      <w:r w:rsidR="000C35A2">
        <w:rPr>
          <w:rFonts w:ascii="Arial" w:eastAsia="Calibri" w:hAnsi="Arial" w:cs="Arial"/>
          <w:sz w:val="24"/>
          <w:szCs w:val="24"/>
        </w:rPr>
        <w:t>,</w:t>
      </w:r>
      <w:r w:rsidRPr="0099293B">
        <w:rPr>
          <w:rFonts w:ascii="Arial" w:eastAsia="Calibri" w:hAnsi="Arial" w:cs="Arial"/>
          <w:sz w:val="24"/>
          <w:szCs w:val="24"/>
        </w:rPr>
        <w:t xml:space="preserve"> pokud jde o výsledek v</w:t>
      </w:r>
      <w:r w:rsidR="00C73492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 xml:space="preserve">procesu stanovování mezd, doporučuje se, aby na konec úvodní věty čl. 5 odst. 2 byla doplněna slova </w:t>
      </w:r>
      <w:r w:rsidRPr="0099293B">
        <w:rPr>
          <w:rFonts w:ascii="Arial" w:eastAsia="Calibri" w:hAnsi="Arial" w:cs="Arial"/>
          <w:i/>
          <w:iCs/>
          <w:sz w:val="24"/>
          <w:szCs w:val="24"/>
        </w:rPr>
        <w:t>"jejichž relevanci a relativní váhu mohou rozhodnout členské státy v souladu s jejich převládajícími národními socioekonomickými podmínkami"</w:t>
      </w:r>
      <w:r w:rsidRPr="0099293B">
        <w:rPr>
          <w:rFonts w:ascii="Arial" w:eastAsia="Calibri" w:hAnsi="Arial" w:cs="Arial"/>
          <w:sz w:val="24"/>
          <w:szCs w:val="24"/>
        </w:rPr>
        <w:t xml:space="preserve">, a v čl. 5 odst. 4 by měla být slova </w:t>
      </w:r>
      <w:r w:rsidRPr="0099293B">
        <w:rPr>
          <w:rFonts w:ascii="Arial" w:eastAsia="Calibri" w:hAnsi="Arial" w:cs="Arial"/>
          <w:i/>
          <w:iCs/>
          <w:sz w:val="24"/>
          <w:szCs w:val="24"/>
        </w:rPr>
        <w:t>"aby byla zachována jejich přiměřenost"</w:t>
      </w:r>
      <w:r w:rsidRPr="0099293B">
        <w:rPr>
          <w:rFonts w:ascii="Arial" w:eastAsia="Calibri" w:hAnsi="Arial" w:cs="Arial"/>
          <w:sz w:val="24"/>
          <w:szCs w:val="24"/>
        </w:rPr>
        <w:t xml:space="preserve"> vypuštěna nebo nahrazena slovy </w:t>
      </w:r>
      <w:r w:rsidRPr="0099293B">
        <w:rPr>
          <w:rFonts w:ascii="Arial" w:eastAsia="Calibri" w:hAnsi="Arial" w:cs="Arial"/>
          <w:i/>
          <w:iCs/>
          <w:sz w:val="24"/>
          <w:szCs w:val="24"/>
        </w:rPr>
        <w:t>"aby pokračovaly v podpoře jejich přiměřenosti"</w:t>
      </w:r>
      <w:r w:rsidRPr="0099293B">
        <w:rPr>
          <w:rFonts w:ascii="Arial" w:eastAsia="Calibri" w:hAnsi="Arial" w:cs="Arial"/>
          <w:sz w:val="24"/>
          <w:szCs w:val="24"/>
        </w:rPr>
        <w:t>.</w:t>
      </w:r>
    </w:p>
    <w:p w14:paraId="2D79B310" w14:textId="3C9ED7CA" w:rsidR="00D33F76" w:rsidRPr="0099293B" w:rsidRDefault="00D33F76" w:rsidP="00D33F76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c) Řada prvků článku 6 přímo zasahuje do stanovování výše mzdy, což je z</w:t>
      </w:r>
      <w:r w:rsidR="00C73492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 xml:space="preserve">pravomoci Unie vyloučeno podle čl. 153(5) SFEU. Tak je tomu v případě těch limitů, </w:t>
      </w:r>
      <w:r w:rsidRPr="0099293B">
        <w:rPr>
          <w:rFonts w:ascii="Arial" w:eastAsia="Calibri" w:hAnsi="Arial" w:cs="Arial"/>
          <w:sz w:val="24"/>
          <w:szCs w:val="24"/>
        </w:rPr>
        <w:lastRenderedPageBreak/>
        <w:t>které se týkají odchylek a srážek ze zákonných minimálních mezd, které přesahují rámec obecných právních zásad, a které proto spadají mimo pravomoci Unie podle článku 153 SFEU, jakož i způsobu, jakým je toto ustanovení formulováno (tj. umožňující členským státům tyto odchylky a srážky aplikovat). Článek 6 by proto měl být buď zrušen, nebo upraven.</w:t>
      </w:r>
    </w:p>
    <w:p w14:paraId="4EF8CC54" w14:textId="703AAB17" w:rsidR="00D33F76" w:rsidRPr="0099293B" w:rsidRDefault="00D33F76" w:rsidP="00D33F76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d) Obecně se doporučuje, aby formulace použit</w:t>
      </w:r>
      <w:r w:rsidR="003D1B41">
        <w:rPr>
          <w:rFonts w:ascii="Arial" w:eastAsia="Calibri" w:hAnsi="Arial" w:cs="Arial"/>
          <w:sz w:val="24"/>
          <w:szCs w:val="24"/>
        </w:rPr>
        <w:t>é</w:t>
      </w:r>
      <w:r w:rsidRPr="0099293B">
        <w:rPr>
          <w:rFonts w:ascii="Arial" w:eastAsia="Calibri" w:hAnsi="Arial" w:cs="Arial"/>
          <w:sz w:val="24"/>
          <w:szCs w:val="24"/>
        </w:rPr>
        <w:t xml:space="preserve"> v názvu navrhované směrnice, v názvu některých článků a v preambuli byly přezkoumány a upraveny tak, aby byly v</w:t>
      </w:r>
      <w:r w:rsidR="00EC0884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>souladu se skutečným rozsahem povinností stanovených v operativní části návrhu.</w:t>
      </w:r>
    </w:p>
    <w:p w14:paraId="2802755B" w14:textId="77777777" w:rsidR="00BC1C79" w:rsidRPr="0099293B" w:rsidRDefault="00BC1C79" w:rsidP="00BC1C79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5CD969" w14:textId="77777777" w:rsidR="00BC1C79" w:rsidRPr="0099293B" w:rsidRDefault="00BC1C79" w:rsidP="00BC1C79">
      <w:pPr>
        <w:spacing w:after="16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Pozice ČR</w:t>
      </w:r>
    </w:p>
    <w:p w14:paraId="620D5135" w14:textId="77777777" w:rsidR="00BC1C79" w:rsidRPr="0099293B" w:rsidRDefault="00BC1C79" w:rsidP="00BC32C5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Rámcová pozice byla projednána a schválena Výborem pro Evropskou unii (na pracovní úrovni) dne 1.12.2020. Podle schválené rámcové pozice ČR předložený návrh směrnice vítá. ČR obecně podporuje přístup, že pracovat se lidem musí vyplatit a zaměstnanci mají nárok na důstojnou mzdu za svou práci.</w:t>
      </w:r>
    </w:p>
    <w:p w14:paraId="33F143B6" w14:textId="77777777" w:rsidR="00BC1C79" w:rsidRPr="0099293B" w:rsidRDefault="00BC1C79" w:rsidP="00BC32C5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Podstata návrhu směrnice odpovídá prioritám vlády vyjádřeným v programovém prohlášení vlády, a to jak na národní úrovni („Připravíme závazná pravidla pro předvídatelný růst minimálních mezd.“), tak v evropské politice („Budeme prosazovat větší využívání unijních nástrojů a politik za účelem sbližování mezd, životní úrovně a</w:t>
      </w:r>
      <w:r w:rsidR="00BC32C5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 xml:space="preserve">sociálních standardů napříč členskými státy.“); ČR se tak ztotožňuje s oběma základními cíli navrhované směrnice: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>zajištění přiměřené výše minimální mzdy na národní úrovni a podpora mzdové konvergence v rámci EU</w:t>
      </w:r>
      <w:r w:rsidRPr="0099293B">
        <w:rPr>
          <w:rFonts w:ascii="Arial" w:eastAsia="Calibri" w:hAnsi="Arial" w:cs="Arial"/>
          <w:sz w:val="24"/>
          <w:szCs w:val="24"/>
        </w:rPr>
        <w:t>.</w:t>
      </w:r>
    </w:p>
    <w:p w14:paraId="49BF59CF" w14:textId="2512F3E4" w:rsidR="00BC1C79" w:rsidRPr="0099293B" w:rsidRDefault="00BC1C79" w:rsidP="00BC32C5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Některé body návrhu směrnice jsou však z hlediska ČR problematické a ČR </w:t>
      </w:r>
      <w:r w:rsidR="000C35A2">
        <w:rPr>
          <w:rFonts w:ascii="Arial" w:eastAsia="Calibri" w:hAnsi="Arial" w:cs="Arial"/>
          <w:sz w:val="24"/>
          <w:szCs w:val="24"/>
        </w:rPr>
        <w:t xml:space="preserve">proto v průběhu projednávání </w:t>
      </w:r>
      <w:r w:rsidRPr="0099293B">
        <w:rPr>
          <w:rFonts w:ascii="Arial" w:eastAsia="Calibri" w:hAnsi="Arial" w:cs="Arial"/>
          <w:sz w:val="24"/>
          <w:szCs w:val="24"/>
        </w:rPr>
        <w:t>prosaz</w:t>
      </w:r>
      <w:r w:rsidR="000C35A2">
        <w:rPr>
          <w:rFonts w:ascii="Arial" w:eastAsia="Calibri" w:hAnsi="Arial" w:cs="Arial"/>
          <w:sz w:val="24"/>
          <w:szCs w:val="24"/>
        </w:rPr>
        <w:t xml:space="preserve">ovala </w:t>
      </w:r>
      <w:r w:rsidRPr="0099293B">
        <w:rPr>
          <w:rFonts w:ascii="Arial" w:eastAsia="Calibri" w:hAnsi="Arial" w:cs="Arial"/>
          <w:sz w:val="24"/>
          <w:szCs w:val="24"/>
        </w:rPr>
        <w:t xml:space="preserve">jejich vyjasnění a </w:t>
      </w:r>
      <w:r w:rsidR="000C35A2">
        <w:rPr>
          <w:rFonts w:ascii="Arial" w:eastAsia="Calibri" w:hAnsi="Arial" w:cs="Arial"/>
          <w:sz w:val="24"/>
          <w:szCs w:val="24"/>
        </w:rPr>
        <w:t xml:space="preserve">předložila konkrétní návrhy </w:t>
      </w:r>
      <w:r w:rsidRPr="0099293B">
        <w:rPr>
          <w:rFonts w:ascii="Arial" w:eastAsia="Calibri" w:hAnsi="Arial" w:cs="Arial"/>
          <w:sz w:val="24"/>
          <w:szCs w:val="24"/>
        </w:rPr>
        <w:t>změn</w:t>
      </w:r>
      <w:r w:rsidR="000C35A2">
        <w:rPr>
          <w:rFonts w:ascii="Arial" w:eastAsia="Calibri" w:hAnsi="Arial" w:cs="Arial"/>
          <w:sz w:val="24"/>
          <w:szCs w:val="24"/>
        </w:rPr>
        <w:t xml:space="preserve"> v jednotlivých článcích návrhu směrnice</w:t>
      </w:r>
      <w:r w:rsidRPr="0099293B">
        <w:rPr>
          <w:rFonts w:ascii="Arial" w:eastAsia="Calibri" w:hAnsi="Arial" w:cs="Arial"/>
          <w:sz w:val="24"/>
          <w:szCs w:val="24"/>
        </w:rPr>
        <w:t xml:space="preserve">. ČR </w:t>
      </w:r>
      <w:r w:rsidR="004340FB">
        <w:rPr>
          <w:rFonts w:ascii="Arial" w:eastAsia="Calibri" w:hAnsi="Arial" w:cs="Arial"/>
          <w:sz w:val="24"/>
          <w:szCs w:val="24"/>
        </w:rPr>
        <w:t xml:space="preserve">zejména </w:t>
      </w:r>
      <w:r w:rsidRPr="0099293B">
        <w:rPr>
          <w:rFonts w:ascii="Arial" w:eastAsia="Calibri" w:hAnsi="Arial" w:cs="Arial"/>
          <w:sz w:val="24"/>
          <w:szCs w:val="24"/>
        </w:rPr>
        <w:t>usil</w:t>
      </w:r>
      <w:r w:rsidR="004340FB">
        <w:rPr>
          <w:rFonts w:ascii="Arial" w:eastAsia="Calibri" w:hAnsi="Arial" w:cs="Arial"/>
          <w:sz w:val="24"/>
          <w:szCs w:val="24"/>
        </w:rPr>
        <w:t>uje</w:t>
      </w:r>
      <w:r w:rsidRPr="0099293B">
        <w:rPr>
          <w:rFonts w:ascii="Arial" w:eastAsia="Calibri" w:hAnsi="Arial" w:cs="Arial"/>
          <w:sz w:val="24"/>
          <w:szCs w:val="24"/>
        </w:rPr>
        <w:t xml:space="preserve"> o takové vymezení použitelných kritérií pro stanovení výše minimální mzdy, které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>poskytne členským státům prostor pro rozhodnutí o použití vhodných indikátorů pro stanovení přiměřené úrovně a budoucí valorizaci zákonné minimální mzdy</w:t>
      </w:r>
      <w:r w:rsidRPr="0099293B">
        <w:rPr>
          <w:rFonts w:ascii="Arial" w:eastAsia="Calibri" w:hAnsi="Arial" w:cs="Arial"/>
          <w:sz w:val="24"/>
          <w:szCs w:val="24"/>
        </w:rPr>
        <w:t xml:space="preserve"> a</w:t>
      </w:r>
      <w:r w:rsidR="0016604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>které bude respektovat výsledky dialogu vlád se sociálními partnery. Dále ČR usil</w:t>
      </w:r>
      <w:r w:rsidR="004340FB">
        <w:rPr>
          <w:rFonts w:ascii="Arial" w:eastAsia="Calibri" w:hAnsi="Arial" w:cs="Arial"/>
          <w:sz w:val="24"/>
          <w:szCs w:val="24"/>
        </w:rPr>
        <w:t>uje</w:t>
      </w:r>
      <w:r w:rsidRPr="0099293B">
        <w:rPr>
          <w:rFonts w:ascii="Arial" w:eastAsia="Calibri" w:hAnsi="Arial" w:cs="Arial"/>
          <w:sz w:val="24"/>
          <w:szCs w:val="24"/>
        </w:rPr>
        <w:t xml:space="preserve"> o </w:t>
      </w:r>
      <w:r w:rsidR="004340FB">
        <w:rPr>
          <w:rFonts w:ascii="Arial" w:eastAsia="Calibri" w:hAnsi="Arial" w:cs="Arial"/>
          <w:sz w:val="24"/>
          <w:szCs w:val="24"/>
        </w:rPr>
        <w:t>zajištění toho</w:t>
      </w:r>
      <w:r w:rsidRPr="0099293B">
        <w:rPr>
          <w:rFonts w:ascii="Arial" w:eastAsia="Calibri" w:hAnsi="Arial" w:cs="Arial"/>
          <w:sz w:val="24"/>
          <w:szCs w:val="24"/>
        </w:rPr>
        <w:t xml:space="preserve">, </w:t>
      </w:r>
      <w:r w:rsidR="004340FB">
        <w:rPr>
          <w:rFonts w:ascii="Arial" w:eastAsia="Calibri" w:hAnsi="Arial" w:cs="Arial"/>
          <w:sz w:val="24"/>
          <w:szCs w:val="24"/>
        </w:rPr>
        <w:t>aby i</w:t>
      </w:r>
      <w:r w:rsidRPr="0099293B">
        <w:rPr>
          <w:rFonts w:ascii="Arial" w:eastAsia="Calibri" w:hAnsi="Arial" w:cs="Arial"/>
          <w:sz w:val="24"/>
          <w:szCs w:val="24"/>
        </w:rPr>
        <w:t xml:space="preserve"> orgány ustavené na základě dohody vlády se sociálními partnery pro účely tripartitních konzultací (</w:t>
      </w:r>
      <w:r w:rsidRPr="0099293B">
        <w:rPr>
          <w:rFonts w:ascii="Arial" w:eastAsia="Calibri" w:hAnsi="Arial" w:cs="Arial"/>
          <w:i/>
          <w:iCs/>
          <w:sz w:val="24"/>
          <w:szCs w:val="24"/>
        </w:rPr>
        <w:t>Rada hospodářské a sociální dohody ČR</w:t>
      </w:r>
      <w:r w:rsidRPr="0099293B">
        <w:rPr>
          <w:rFonts w:ascii="Arial" w:eastAsia="Calibri" w:hAnsi="Arial" w:cs="Arial"/>
          <w:sz w:val="24"/>
          <w:szCs w:val="24"/>
        </w:rPr>
        <w:t xml:space="preserve"> jako poradní orgán vlády a její odborné tripartitní týmy) </w:t>
      </w:r>
      <w:r w:rsidR="004340FB">
        <w:rPr>
          <w:rFonts w:ascii="Arial" w:eastAsia="Calibri" w:hAnsi="Arial" w:cs="Arial"/>
          <w:sz w:val="24"/>
          <w:szCs w:val="24"/>
        </w:rPr>
        <w:t xml:space="preserve">byly </w:t>
      </w:r>
      <w:r w:rsidRPr="0099293B">
        <w:rPr>
          <w:rFonts w:ascii="Arial" w:eastAsia="Calibri" w:hAnsi="Arial" w:cs="Arial"/>
          <w:sz w:val="24"/>
          <w:szCs w:val="24"/>
        </w:rPr>
        <w:t xml:space="preserve">i bez legislativního ukotvení ve </w:t>
      </w:r>
      <w:r w:rsidRPr="0099293B">
        <w:rPr>
          <w:rFonts w:ascii="Arial" w:eastAsia="Calibri" w:hAnsi="Arial" w:cs="Arial"/>
          <w:sz w:val="24"/>
          <w:szCs w:val="24"/>
        </w:rPr>
        <w:lastRenderedPageBreak/>
        <w:t xml:space="preserve">vnitrostátním právu </w:t>
      </w:r>
      <w:r w:rsidR="004340FB">
        <w:rPr>
          <w:rFonts w:ascii="Arial" w:eastAsia="Calibri" w:hAnsi="Arial" w:cs="Arial"/>
          <w:sz w:val="24"/>
          <w:szCs w:val="24"/>
        </w:rPr>
        <w:t xml:space="preserve">považovány za poradní orgány k </w:t>
      </w:r>
      <w:r w:rsidRPr="0099293B">
        <w:rPr>
          <w:rFonts w:ascii="Arial" w:eastAsia="Calibri" w:hAnsi="Arial" w:cs="Arial"/>
          <w:sz w:val="24"/>
          <w:szCs w:val="24"/>
        </w:rPr>
        <w:t>zapojení sociálních partnerů do procesu stanovování minimální mzdy</w:t>
      </w:r>
      <w:r w:rsidR="004340FB">
        <w:rPr>
          <w:rFonts w:ascii="Arial" w:eastAsia="Calibri" w:hAnsi="Arial" w:cs="Arial"/>
          <w:sz w:val="24"/>
          <w:szCs w:val="24"/>
        </w:rPr>
        <w:t>, jejichž existenci návrh požaduje</w:t>
      </w:r>
      <w:r w:rsidRPr="0099293B">
        <w:rPr>
          <w:rFonts w:ascii="Arial" w:eastAsia="Calibri" w:hAnsi="Arial" w:cs="Arial"/>
          <w:sz w:val="24"/>
          <w:szCs w:val="24"/>
        </w:rPr>
        <w:t>. ČR rovněž usil</w:t>
      </w:r>
      <w:r w:rsidR="004340FB">
        <w:rPr>
          <w:rFonts w:ascii="Arial" w:eastAsia="Calibri" w:hAnsi="Arial" w:cs="Arial"/>
          <w:sz w:val="24"/>
          <w:szCs w:val="24"/>
        </w:rPr>
        <w:t>uje</w:t>
      </w:r>
      <w:r w:rsidRPr="0099293B">
        <w:rPr>
          <w:rFonts w:ascii="Arial" w:eastAsia="Calibri" w:hAnsi="Arial" w:cs="Arial"/>
          <w:sz w:val="24"/>
          <w:szCs w:val="24"/>
        </w:rPr>
        <w:t xml:space="preserve"> o </w:t>
      </w:r>
      <w:r w:rsidR="004340FB">
        <w:rPr>
          <w:rFonts w:ascii="Arial" w:eastAsia="Calibri" w:hAnsi="Arial" w:cs="Arial"/>
          <w:sz w:val="24"/>
          <w:szCs w:val="24"/>
        </w:rPr>
        <w:t>z</w:t>
      </w:r>
      <w:r w:rsidRPr="0099293B">
        <w:rPr>
          <w:rFonts w:ascii="Arial" w:eastAsia="Calibri" w:hAnsi="Arial" w:cs="Arial"/>
          <w:sz w:val="24"/>
          <w:szCs w:val="24"/>
        </w:rPr>
        <w:t>přesnění textu článků, které se týkají podpory kolektivního vyjednávání v členských státech, vymáhání práva v rámci veřejných zakázek a sledování a sběru dat o minimální mzdě a pokrytí kolektivními smlouvami, zejména proto, aby z těchto ustanovení eventuelně nevyplynula nadměrná zátěž pro podniky a/nebo státní orgány.</w:t>
      </w:r>
    </w:p>
    <w:p w14:paraId="661BAC59" w14:textId="2892DC1C" w:rsidR="00912030" w:rsidRDefault="00BC1C79" w:rsidP="00ED672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Pokud jde o </w:t>
      </w:r>
      <w:r w:rsidRPr="0099293B">
        <w:rPr>
          <w:rFonts w:ascii="Arial" w:eastAsia="Calibri" w:hAnsi="Arial" w:cs="Arial"/>
          <w:b/>
          <w:bCs/>
          <w:sz w:val="24"/>
          <w:szCs w:val="24"/>
        </w:rPr>
        <w:t>právní základ</w:t>
      </w:r>
      <w:r w:rsidRPr="0099293B">
        <w:rPr>
          <w:rFonts w:ascii="Arial" w:eastAsia="Calibri" w:hAnsi="Arial" w:cs="Arial"/>
          <w:sz w:val="24"/>
          <w:szCs w:val="24"/>
        </w:rPr>
        <w:t xml:space="preserve"> navrhované směrnice, </w:t>
      </w:r>
      <w:r w:rsidR="00931C47" w:rsidRPr="0099293B">
        <w:rPr>
          <w:rFonts w:ascii="Arial" w:eastAsia="Calibri" w:hAnsi="Arial" w:cs="Arial"/>
          <w:sz w:val="24"/>
          <w:szCs w:val="24"/>
        </w:rPr>
        <w:t>ČR pod</w:t>
      </w:r>
      <w:r w:rsidR="00572C36" w:rsidRPr="0099293B">
        <w:rPr>
          <w:rFonts w:ascii="Arial" w:eastAsia="Calibri" w:hAnsi="Arial" w:cs="Arial"/>
          <w:sz w:val="24"/>
          <w:szCs w:val="24"/>
        </w:rPr>
        <w:t>poruje</w:t>
      </w:r>
      <w:r w:rsidR="00931C47" w:rsidRPr="0099293B">
        <w:rPr>
          <w:rFonts w:ascii="Arial" w:eastAsia="Calibri" w:hAnsi="Arial" w:cs="Arial"/>
          <w:sz w:val="24"/>
          <w:szCs w:val="24"/>
        </w:rPr>
        <w:t xml:space="preserve"> názor právní služby Rady </w:t>
      </w:r>
      <w:r w:rsidR="00E10B70" w:rsidRPr="0099293B">
        <w:rPr>
          <w:rFonts w:ascii="Arial" w:eastAsia="Calibri" w:hAnsi="Arial" w:cs="Arial"/>
          <w:sz w:val="24"/>
          <w:szCs w:val="24"/>
        </w:rPr>
        <w:t xml:space="preserve">v otázce právního základu návrhu směrnice </w:t>
      </w:r>
      <w:r w:rsidR="00931C47" w:rsidRPr="0099293B">
        <w:rPr>
          <w:rFonts w:ascii="Arial" w:eastAsia="Calibri" w:hAnsi="Arial" w:cs="Arial"/>
          <w:sz w:val="24"/>
          <w:szCs w:val="24"/>
        </w:rPr>
        <w:t>a navrhované změny v textu směrnice.</w:t>
      </w:r>
    </w:p>
    <w:p w14:paraId="358511B6" w14:textId="5A72A1E1" w:rsidR="00931C47" w:rsidRPr="0099293B" w:rsidRDefault="00E65533" w:rsidP="00ED672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ČR na základě </w:t>
      </w:r>
      <w:r w:rsidR="00912030">
        <w:rPr>
          <w:rFonts w:ascii="Arial" w:eastAsia="Calibri" w:hAnsi="Arial" w:cs="Arial"/>
          <w:sz w:val="24"/>
          <w:szCs w:val="24"/>
        </w:rPr>
        <w:t xml:space="preserve">úvodních </w:t>
      </w:r>
      <w:r w:rsidRPr="0099293B">
        <w:rPr>
          <w:rFonts w:ascii="Arial" w:eastAsia="Calibri" w:hAnsi="Arial" w:cs="Arial"/>
          <w:sz w:val="24"/>
          <w:szCs w:val="24"/>
        </w:rPr>
        <w:t>jednání pracovní skupiny pro sociální otázky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 </w:t>
      </w:r>
      <w:r w:rsidR="00912030">
        <w:rPr>
          <w:rFonts w:ascii="Arial" w:eastAsia="Calibri" w:hAnsi="Arial" w:cs="Arial"/>
          <w:sz w:val="24"/>
          <w:szCs w:val="24"/>
        </w:rPr>
        <w:t xml:space="preserve">zpracovala a portugalskému předsednictví předložila dva komplexní </w:t>
      </w:r>
      <w:r w:rsidR="00B62282" w:rsidRPr="0099293B">
        <w:rPr>
          <w:rFonts w:ascii="Arial" w:eastAsia="Calibri" w:hAnsi="Arial" w:cs="Arial"/>
          <w:sz w:val="24"/>
          <w:szCs w:val="24"/>
        </w:rPr>
        <w:t>návrh</w:t>
      </w:r>
      <w:r w:rsidR="00912030">
        <w:rPr>
          <w:rFonts w:ascii="Arial" w:eastAsia="Calibri" w:hAnsi="Arial" w:cs="Arial"/>
          <w:sz w:val="24"/>
          <w:szCs w:val="24"/>
        </w:rPr>
        <w:t>y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 změn </w:t>
      </w:r>
      <w:r w:rsidR="00912030">
        <w:rPr>
          <w:rFonts w:ascii="Arial" w:eastAsia="Calibri" w:hAnsi="Arial" w:cs="Arial"/>
          <w:sz w:val="24"/>
          <w:szCs w:val="24"/>
        </w:rPr>
        <w:t>k celému návrhu směrnice (</w:t>
      </w:r>
      <w:r w:rsidR="00B62282" w:rsidRPr="0099293B">
        <w:rPr>
          <w:rFonts w:ascii="Arial" w:eastAsia="Calibri" w:hAnsi="Arial" w:cs="Arial"/>
          <w:sz w:val="24"/>
          <w:szCs w:val="24"/>
        </w:rPr>
        <w:t>k </w:t>
      </w:r>
      <w:r w:rsidR="00912030">
        <w:rPr>
          <w:rFonts w:ascii="Arial" w:eastAsia="Calibri" w:hAnsi="Arial" w:cs="Arial"/>
          <w:sz w:val="24"/>
          <w:szCs w:val="24"/>
        </w:rPr>
        <w:t xml:space="preserve">původnímu návrhu EK a </w:t>
      </w:r>
      <w:r w:rsidR="00B62282" w:rsidRPr="0099293B">
        <w:rPr>
          <w:rFonts w:ascii="Arial" w:eastAsia="Calibri" w:hAnsi="Arial" w:cs="Arial"/>
          <w:sz w:val="24"/>
          <w:szCs w:val="24"/>
        </w:rPr>
        <w:t>prvnímu kompromisnímu návrhu směrnice</w:t>
      </w:r>
      <w:r w:rsidR="00D86557" w:rsidRPr="0099293B">
        <w:rPr>
          <w:rFonts w:ascii="Arial" w:eastAsia="Calibri" w:hAnsi="Arial" w:cs="Arial"/>
          <w:sz w:val="24"/>
          <w:szCs w:val="24"/>
        </w:rPr>
        <w:t>, který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 PT PRES</w:t>
      </w:r>
      <w:r w:rsidR="00D86557" w:rsidRPr="0099293B">
        <w:rPr>
          <w:rFonts w:ascii="Arial" w:eastAsia="Calibri" w:hAnsi="Arial" w:cs="Arial"/>
          <w:sz w:val="24"/>
          <w:szCs w:val="24"/>
        </w:rPr>
        <w:t xml:space="preserve"> p</w:t>
      </w:r>
      <w:r w:rsidR="00912030">
        <w:rPr>
          <w:rFonts w:ascii="Arial" w:eastAsia="Calibri" w:hAnsi="Arial" w:cs="Arial"/>
          <w:sz w:val="24"/>
          <w:szCs w:val="24"/>
        </w:rPr>
        <w:t xml:space="preserve">ředložilo </w:t>
      </w:r>
      <w:r w:rsidR="00D86557" w:rsidRPr="0099293B">
        <w:rPr>
          <w:rFonts w:ascii="Arial" w:eastAsia="Calibri" w:hAnsi="Arial" w:cs="Arial"/>
          <w:sz w:val="24"/>
          <w:szCs w:val="24"/>
        </w:rPr>
        <w:t>na přelomu dubna a května t. r</w:t>
      </w:r>
      <w:r w:rsidR="00B62282" w:rsidRPr="0099293B">
        <w:rPr>
          <w:rFonts w:ascii="Arial" w:eastAsia="Calibri" w:hAnsi="Arial" w:cs="Arial"/>
          <w:sz w:val="24"/>
          <w:szCs w:val="24"/>
        </w:rPr>
        <w:t>.</w:t>
      </w:r>
      <w:r w:rsidR="00912030">
        <w:rPr>
          <w:rFonts w:ascii="Arial" w:eastAsia="Calibri" w:hAnsi="Arial" w:cs="Arial"/>
          <w:sz w:val="24"/>
          <w:szCs w:val="24"/>
        </w:rPr>
        <w:t>).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 Znění druhého kompromisního návrhu </w:t>
      </w:r>
      <w:r w:rsidR="00D86557" w:rsidRPr="0099293B">
        <w:rPr>
          <w:rFonts w:ascii="Arial" w:eastAsia="Calibri" w:hAnsi="Arial" w:cs="Arial"/>
          <w:sz w:val="24"/>
          <w:szCs w:val="24"/>
        </w:rPr>
        <w:t xml:space="preserve">PT PRES 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zohledňující </w:t>
      </w:r>
      <w:r w:rsidR="00D86557" w:rsidRPr="0099293B">
        <w:rPr>
          <w:rFonts w:ascii="Arial" w:eastAsia="Calibri" w:hAnsi="Arial" w:cs="Arial"/>
          <w:sz w:val="24"/>
          <w:szCs w:val="24"/>
        </w:rPr>
        <w:t>požadavky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 členských státu </w:t>
      </w:r>
      <w:r w:rsidR="00D86557" w:rsidRPr="0099293B">
        <w:rPr>
          <w:rFonts w:ascii="Arial" w:eastAsia="Calibri" w:hAnsi="Arial" w:cs="Arial"/>
          <w:sz w:val="24"/>
          <w:szCs w:val="24"/>
        </w:rPr>
        <w:t xml:space="preserve">na změny </w:t>
      </w:r>
      <w:r w:rsidR="0099293B" w:rsidRPr="0099293B">
        <w:rPr>
          <w:rFonts w:ascii="Arial" w:eastAsia="Calibri" w:hAnsi="Arial" w:cs="Arial"/>
          <w:sz w:val="24"/>
          <w:szCs w:val="24"/>
        </w:rPr>
        <w:t>nebylo k</w:t>
      </w:r>
      <w:r w:rsidR="00912030">
        <w:rPr>
          <w:rFonts w:ascii="Arial" w:eastAsia="Calibri" w:hAnsi="Arial" w:cs="Arial"/>
          <w:sz w:val="24"/>
          <w:szCs w:val="24"/>
        </w:rPr>
        <w:t> datu zpracování tohoto materiálu (</w:t>
      </w:r>
      <w:r w:rsidR="0099293B" w:rsidRPr="0099293B">
        <w:rPr>
          <w:rFonts w:ascii="Arial" w:eastAsia="Calibri" w:hAnsi="Arial" w:cs="Arial"/>
          <w:sz w:val="24"/>
          <w:szCs w:val="24"/>
        </w:rPr>
        <w:t>2</w:t>
      </w:r>
      <w:r w:rsidR="00912030">
        <w:rPr>
          <w:rFonts w:ascii="Arial" w:eastAsia="Calibri" w:hAnsi="Arial" w:cs="Arial"/>
          <w:sz w:val="24"/>
          <w:szCs w:val="24"/>
        </w:rPr>
        <w:t>8</w:t>
      </w:r>
      <w:r w:rsidR="0099293B" w:rsidRPr="0099293B">
        <w:rPr>
          <w:rFonts w:ascii="Arial" w:eastAsia="Calibri" w:hAnsi="Arial" w:cs="Arial"/>
          <w:sz w:val="24"/>
          <w:szCs w:val="24"/>
        </w:rPr>
        <w:t>. 5. 2021</w:t>
      </w:r>
      <w:r w:rsidR="00912030">
        <w:rPr>
          <w:rFonts w:ascii="Arial" w:eastAsia="Calibri" w:hAnsi="Arial" w:cs="Arial"/>
          <w:sz w:val="24"/>
          <w:szCs w:val="24"/>
        </w:rPr>
        <w:t>)</w:t>
      </w:r>
      <w:r w:rsidR="00B62282" w:rsidRPr="0099293B">
        <w:rPr>
          <w:rFonts w:ascii="Arial" w:eastAsia="Calibri" w:hAnsi="Arial" w:cs="Arial"/>
          <w:sz w:val="24"/>
          <w:szCs w:val="24"/>
        </w:rPr>
        <w:t xml:space="preserve"> k dispozici.</w:t>
      </w:r>
    </w:p>
    <w:p w14:paraId="10C7ECC6" w14:textId="65744096" w:rsidR="00BC1C79" w:rsidRPr="0099293B" w:rsidRDefault="00BC1C79" w:rsidP="005124BF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b/>
          <w:bCs/>
          <w:sz w:val="24"/>
          <w:szCs w:val="24"/>
        </w:rPr>
        <w:t>Konečná pozice ČR k návrhu směrnice se bude odvíjet od konečné podoby textu směrnice po jejím projednání.</w:t>
      </w:r>
    </w:p>
    <w:p w14:paraId="60D31782" w14:textId="77777777" w:rsidR="00BC1C79" w:rsidRPr="0099293B" w:rsidRDefault="00BC1C79" w:rsidP="005124BF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Poslanecká sněmovna (výbor pro evropské záležitosti, výbor pro sociální politiku) i Senát PČR návrh směrnice projednaly, rozpor se zásadou subsidiarity z jejich strany nebyl shledán. Senát ve svém usnesení vyjádřil preferenci pro doporučení Rady namísto navrhované směrnice.</w:t>
      </w:r>
    </w:p>
    <w:p w14:paraId="1D39BD2E" w14:textId="77777777" w:rsidR="005C3AB3" w:rsidRPr="0099293B" w:rsidRDefault="005C3AB3" w:rsidP="005C3AB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1B5737" w14:textId="77777777" w:rsidR="00BC1C79" w:rsidRPr="0099293B" w:rsidRDefault="00BC1C79" w:rsidP="00BC1C79">
      <w:pPr>
        <w:spacing w:after="16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Pozice členských států</w:t>
      </w:r>
    </w:p>
    <w:p w14:paraId="2B2136D6" w14:textId="2BE464A4" w:rsidR="004D06AF" w:rsidRPr="0099293B" w:rsidRDefault="00BC1C79" w:rsidP="004D06AF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Všechny členské státy </w:t>
      </w:r>
      <w:r w:rsidR="00554E2C">
        <w:rPr>
          <w:rFonts w:ascii="Arial" w:eastAsia="Calibri" w:hAnsi="Arial" w:cs="Arial"/>
          <w:sz w:val="24"/>
          <w:szCs w:val="24"/>
        </w:rPr>
        <w:t xml:space="preserve">stále </w:t>
      </w:r>
      <w:r w:rsidRPr="0099293B">
        <w:rPr>
          <w:rFonts w:ascii="Arial" w:eastAsia="Calibri" w:hAnsi="Arial" w:cs="Arial"/>
          <w:sz w:val="24"/>
          <w:szCs w:val="24"/>
        </w:rPr>
        <w:t xml:space="preserve">uplatňují obecnou výhradu přezkumu. Z dosavadních </w:t>
      </w:r>
      <w:r w:rsidR="00554E2C">
        <w:rPr>
          <w:rFonts w:ascii="Arial" w:eastAsia="Calibri" w:hAnsi="Arial" w:cs="Arial"/>
          <w:sz w:val="24"/>
          <w:szCs w:val="24"/>
        </w:rPr>
        <w:t xml:space="preserve">jednání na pracovní úrovni je zřejmé, </w:t>
      </w:r>
      <w:r w:rsidRPr="0099293B">
        <w:rPr>
          <w:rFonts w:ascii="Arial" w:eastAsia="Calibri" w:hAnsi="Arial" w:cs="Arial"/>
          <w:sz w:val="24"/>
          <w:szCs w:val="24"/>
        </w:rPr>
        <w:t>že mezi kritiky navrhované směrnice patř</w:t>
      </w:r>
      <w:r w:rsidR="00554E2C">
        <w:rPr>
          <w:rFonts w:ascii="Arial" w:eastAsia="Calibri" w:hAnsi="Arial" w:cs="Arial"/>
          <w:sz w:val="24"/>
          <w:szCs w:val="24"/>
        </w:rPr>
        <w:t>í</w:t>
      </w:r>
      <w:r w:rsidRPr="0099293B">
        <w:rPr>
          <w:rFonts w:ascii="Arial" w:eastAsia="Calibri" w:hAnsi="Arial" w:cs="Arial"/>
          <w:sz w:val="24"/>
          <w:szCs w:val="24"/>
        </w:rPr>
        <w:t xml:space="preserve"> zejména DK, AT, SE</w:t>
      </w:r>
      <w:r w:rsidR="001424E4">
        <w:rPr>
          <w:rFonts w:ascii="Arial" w:eastAsia="Calibri" w:hAnsi="Arial" w:cs="Arial"/>
          <w:sz w:val="24"/>
          <w:szCs w:val="24"/>
        </w:rPr>
        <w:t xml:space="preserve"> a</w:t>
      </w:r>
      <w:r w:rsidRPr="0099293B">
        <w:rPr>
          <w:rFonts w:ascii="Arial" w:eastAsia="Calibri" w:hAnsi="Arial" w:cs="Arial"/>
          <w:sz w:val="24"/>
          <w:szCs w:val="24"/>
        </w:rPr>
        <w:t xml:space="preserve"> NL</w:t>
      </w:r>
      <w:r w:rsidR="00554E2C">
        <w:rPr>
          <w:rFonts w:ascii="Arial" w:eastAsia="Calibri" w:hAnsi="Arial" w:cs="Arial"/>
          <w:sz w:val="24"/>
          <w:szCs w:val="24"/>
        </w:rPr>
        <w:t xml:space="preserve">. </w:t>
      </w:r>
      <w:r w:rsidRPr="0099293B">
        <w:rPr>
          <w:rFonts w:ascii="Arial" w:eastAsia="Calibri" w:hAnsi="Arial" w:cs="Arial"/>
          <w:sz w:val="24"/>
          <w:szCs w:val="24"/>
        </w:rPr>
        <w:t>Za tímto postojem stojí především obavy z nedostatku kompetencí EU v dané oblasti a dále obavy z narušení národního systému kolektivního vyjednávání o mzdách a narušení autonomie sociálních partnerů. Zpochybňována je rovněž vhodnost zvoleného právního nástroje (směrnice), kdy za adekvátní by byla považována forma doporučení Rady.</w:t>
      </w:r>
      <w:r w:rsidR="001424E4">
        <w:rPr>
          <w:rFonts w:ascii="Arial" w:eastAsia="Calibri" w:hAnsi="Arial" w:cs="Arial"/>
          <w:sz w:val="24"/>
          <w:szCs w:val="24"/>
        </w:rPr>
        <w:t xml:space="preserve"> </w:t>
      </w:r>
      <w:r w:rsidR="004D06AF" w:rsidRPr="0099293B">
        <w:rPr>
          <w:rFonts w:ascii="Arial" w:eastAsia="Calibri" w:hAnsi="Arial" w:cs="Arial"/>
          <w:sz w:val="24"/>
          <w:szCs w:val="24"/>
        </w:rPr>
        <w:t xml:space="preserve">Komise však nepovažuje právně nezávazné doporučení za dostatečně účinný nástroj k dosažení </w:t>
      </w:r>
      <w:r w:rsidR="004D06AF" w:rsidRPr="0099293B">
        <w:rPr>
          <w:rFonts w:ascii="Arial" w:eastAsia="Calibri" w:hAnsi="Arial" w:cs="Arial"/>
          <w:sz w:val="24"/>
          <w:szCs w:val="24"/>
        </w:rPr>
        <w:lastRenderedPageBreak/>
        <w:t xml:space="preserve">kýženého efektu k zajištění </w:t>
      </w:r>
      <w:r w:rsidR="004D06AF">
        <w:rPr>
          <w:rFonts w:ascii="Arial" w:eastAsia="Calibri" w:hAnsi="Arial" w:cs="Arial"/>
          <w:sz w:val="24"/>
          <w:szCs w:val="24"/>
        </w:rPr>
        <w:t>přiměřených</w:t>
      </w:r>
      <w:r w:rsidR="004D06AF" w:rsidRPr="0099293B">
        <w:rPr>
          <w:rFonts w:ascii="Arial" w:eastAsia="Calibri" w:hAnsi="Arial" w:cs="Arial"/>
          <w:sz w:val="24"/>
          <w:szCs w:val="24"/>
        </w:rPr>
        <w:t xml:space="preserve"> minimálních mezd v celé EU a naplnění jednoho z principů Evropského pilíře sociálních práv.</w:t>
      </w:r>
    </w:p>
    <w:p w14:paraId="72EDBA16" w14:textId="61F9BEDA" w:rsidR="00BC1C79" w:rsidRPr="0099293B" w:rsidRDefault="00554E2C" w:rsidP="004D06AF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Spíše rezervovaný postoj zaujímají rovněž PL, MT, RO a HU</w:t>
      </w:r>
      <w:r w:rsidRPr="0099293B">
        <w:rPr>
          <w:rFonts w:ascii="Arial" w:eastAsia="Calibri" w:hAnsi="Arial" w:cs="Arial"/>
          <w:sz w:val="24"/>
          <w:szCs w:val="24"/>
        </w:rPr>
        <w:t xml:space="preserve">. </w:t>
      </w:r>
      <w:r w:rsidR="00F12D1D">
        <w:rPr>
          <w:rFonts w:ascii="Arial" w:eastAsia="Calibri" w:hAnsi="Arial" w:cs="Arial"/>
          <w:sz w:val="24"/>
          <w:szCs w:val="24"/>
        </w:rPr>
        <w:t xml:space="preserve">Některé členské státy, vč. např. DE, zatím neprezentovaly svou celkovou pozici. </w:t>
      </w:r>
      <w:r w:rsidR="001424E4">
        <w:rPr>
          <w:rFonts w:ascii="Arial" w:eastAsia="Calibri" w:hAnsi="Arial" w:cs="Arial"/>
          <w:sz w:val="24"/>
          <w:szCs w:val="24"/>
        </w:rPr>
        <w:t xml:space="preserve">Řada členských států </w:t>
      </w:r>
      <w:r>
        <w:rPr>
          <w:rFonts w:ascii="Arial" w:eastAsia="Calibri" w:hAnsi="Arial" w:cs="Arial"/>
          <w:sz w:val="24"/>
          <w:szCs w:val="24"/>
        </w:rPr>
        <w:t xml:space="preserve">vyjadřuje obavy z nedostatečné flexibility při stanovení úrovně </w:t>
      </w:r>
      <w:r w:rsidR="004D06AF">
        <w:rPr>
          <w:rFonts w:ascii="Arial" w:eastAsia="Calibri" w:hAnsi="Arial" w:cs="Arial"/>
          <w:sz w:val="24"/>
          <w:szCs w:val="24"/>
        </w:rPr>
        <w:t xml:space="preserve">statutární minimální mzdy (podle článku 5) a </w:t>
      </w:r>
      <w:r w:rsidR="001424E4">
        <w:rPr>
          <w:rFonts w:ascii="Arial" w:eastAsia="Calibri" w:hAnsi="Arial" w:cs="Arial"/>
          <w:sz w:val="24"/>
          <w:szCs w:val="24"/>
        </w:rPr>
        <w:t xml:space="preserve">možného </w:t>
      </w:r>
      <w:r>
        <w:rPr>
          <w:rFonts w:ascii="Arial" w:eastAsia="Calibri" w:hAnsi="Arial" w:cs="Arial"/>
          <w:sz w:val="24"/>
          <w:szCs w:val="24"/>
        </w:rPr>
        <w:t xml:space="preserve">nárůstu </w:t>
      </w:r>
      <w:r w:rsidR="001424E4">
        <w:rPr>
          <w:rFonts w:ascii="Arial" w:eastAsia="Calibri" w:hAnsi="Arial" w:cs="Arial"/>
          <w:sz w:val="24"/>
          <w:szCs w:val="24"/>
        </w:rPr>
        <w:t xml:space="preserve">administrativní a finanční </w:t>
      </w:r>
      <w:r w:rsidR="0013154F">
        <w:rPr>
          <w:rFonts w:ascii="Arial" w:eastAsia="Calibri" w:hAnsi="Arial" w:cs="Arial"/>
          <w:sz w:val="24"/>
          <w:szCs w:val="24"/>
        </w:rPr>
        <w:t>zát</w:t>
      </w:r>
      <w:r>
        <w:rPr>
          <w:rFonts w:ascii="Arial" w:eastAsia="Calibri" w:hAnsi="Arial" w:cs="Arial"/>
          <w:sz w:val="24"/>
          <w:szCs w:val="24"/>
        </w:rPr>
        <w:t xml:space="preserve">ěže pro zaměstnavatele a národní administrativu </w:t>
      </w:r>
      <w:r w:rsidR="001424E4">
        <w:rPr>
          <w:rFonts w:ascii="Arial" w:eastAsia="Calibri" w:hAnsi="Arial" w:cs="Arial"/>
          <w:sz w:val="24"/>
          <w:szCs w:val="24"/>
        </w:rPr>
        <w:t>v souvislosti s požadovaným sběrem dat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D06AF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podle článku 10</w:t>
      </w:r>
      <w:r w:rsidR="004D06AF">
        <w:rPr>
          <w:rFonts w:ascii="Arial" w:eastAsia="Calibri" w:hAnsi="Arial" w:cs="Arial"/>
          <w:sz w:val="24"/>
          <w:szCs w:val="24"/>
        </w:rPr>
        <w:t>)</w:t>
      </w:r>
      <w:r w:rsidR="001424E4">
        <w:rPr>
          <w:rFonts w:ascii="Arial" w:eastAsia="Calibri" w:hAnsi="Arial" w:cs="Arial"/>
          <w:sz w:val="24"/>
          <w:szCs w:val="24"/>
        </w:rPr>
        <w:t>.</w:t>
      </w:r>
    </w:p>
    <w:p w14:paraId="2508C76B" w14:textId="77777777" w:rsidR="00BC1C79" w:rsidRPr="0099293B" w:rsidRDefault="00BC1C79" w:rsidP="005C3AB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Odůvodněné stanovisko o rozporu návrhu směrnice s principem subsidiarity vydaly národní parlamenty DK, SE a MT.</w:t>
      </w:r>
    </w:p>
    <w:p w14:paraId="5CD71D39" w14:textId="131181B2" w:rsidR="00BC1C79" w:rsidRPr="0099293B" w:rsidRDefault="00BC1C79" w:rsidP="005C3AB3">
      <w:pPr>
        <w:spacing w:after="16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 xml:space="preserve">Mezi členské státy, které jasně deklarovaly svou podporu, patří ES, </w:t>
      </w:r>
      <w:r w:rsidR="001424E4">
        <w:rPr>
          <w:rFonts w:ascii="Arial" w:eastAsia="Calibri" w:hAnsi="Arial" w:cs="Arial"/>
          <w:sz w:val="24"/>
          <w:szCs w:val="24"/>
        </w:rPr>
        <w:t xml:space="preserve">BE, </w:t>
      </w:r>
      <w:r w:rsidR="00554E2C">
        <w:rPr>
          <w:rFonts w:ascii="Arial" w:eastAsia="Calibri" w:hAnsi="Arial" w:cs="Arial"/>
          <w:sz w:val="24"/>
          <w:szCs w:val="24"/>
        </w:rPr>
        <w:t xml:space="preserve">LU, </w:t>
      </w:r>
      <w:r w:rsidRPr="0099293B">
        <w:rPr>
          <w:rFonts w:ascii="Arial" w:eastAsia="Calibri" w:hAnsi="Arial" w:cs="Arial"/>
          <w:sz w:val="24"/>
          <w:szCs w:val="24"/>
        </w:rPr>
        <w:t>FR, IT.</w:t>
      </w:r>
    </w:p>
    <w:p w14:paraId="7BCDCED3" w14:textId="7E83EA23" w:rsidR="00BC1C79" w:rsidRPr="0099293B" w:rsidRDefault="00B70327" w:rsidP="0099293B">
      <w:pPr>
        <w:spacing w:after="160" w:line="360" w:lineRule="auto"/>
        <w:ind w:firstLine="708"/>
        <w:jc w:val="both"/>
        <w:rPr>
          <w:rFonts w:ascii="Arial" w:eastAsia="Calibri" w:hAnsi="Arial" w:cs="Arial"/>
          <w:strike/>
          <w:sz w:val="24"/>
          <w:szCs w:val="24"/>
        </w:rPr>
      </w:pPr>
      <w:r w:rsidRPr="00B70327">
        <w:rPr>
          <w:rFonts w:ascii="Arial" w:eastAsia="Calibri" w:hAnsi="Arial" w:cs="Arial"/>
          <w:sz w:val="24"/>
          <w:szCs w:val="24"/>
        </w:rPr>
        <w:t>PT PRES řadilo návrh směrnice o přiměřených minimálních mzdách v Evropské unii mezi své priority.  Na zasedání Rady EPSCO dne 14. června však hodlá předložit pouze zprávu o pokroku a vést k návrhu politickou debatu.</w:t>
      </w:r>
    </w:p>
    <w:p w14:paraId="2184638C" w14:textId="77777777" w:rsidR="005C3AB3" w:rsidRPr="0099293B" w:rsidRDefault="005C3AB3" w:rsidP="005C3AB3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EBC51A" w14:textId="77777777" w:rsidR="00BC1C79" w:rsidRPr="0099293B" w:rsidRDefault="00BC1C79" w:rsidP="00BC1C79">
      <w:pPr>
        <w:spacing w:after="16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Pozice sociálních partnerů (na evropské úrovni)</w:t>
      </w:r>
    </w:p>
    <w:p w14:paraId="65F56F14" w14:textId="77777777" w:rsidR="00BC1C79" w:rsidRPr="0099293B" w:rsidRDefault="00BC1C79" w:rsidP="005C3AB3">
      <w:pPr>
        <w:spacing w:after="60" w:line="36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99293B">
        <w:rPr>
          <w:rFonts w:ascii="Arial" w:eastAsia="Calibri" w:hAnsi="Arial" w:cs="Arial"/>
          <w:noProof/>
          <w:sz w:val="24"/>
          <w:szCs w:val="24"/>
        </w:rPr>
        <w:t>Před předložením návrhu Komise v souladu s čl. 154 Smlouvy o fungování EU provedla dvoufázovou konzultaci se sociálními partnery o možných opatřeních EU v oblasti minimálních mezd.</w:t>
      </w:r>
    </w:p>
    <w:p w14:paraId="13B33D31" w14:textId="77777777" w:rsidR="00BC1C79" w:rsidRPr="0099293B" w:rsidRDefault="00BC1C79" w:rsidP="005C3AB3">
      <w:pPr>
        <w:spacing w:after="160" w:line="360" w:lineRule="auto"/>
        <w:ind w:firstLine="708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99293B">
        <w:rPr>
          <w:rFonts w:ascii="Arial" w:eastAsia="Calibri" w:hAnsi="Arial" w:cs="Arial"/>
          <w:noProof/>
          <w:sz w:val="24"/>
          <w:szCs w:val="24"/>
        </w:rPr>
        <w:t>Organizace pracovníků</w:t>
      </w:r>
      <w:r w:rsidRPr="0099293B">
        <w:rPr>
          <w:rFonts w:ascii="Arial" w:eastAsia="Calibri" w:hAnsi="Arial" w:cs="Arial"/>
          <w:noProof/>
          <w:sz w:val="24"/>
          <w:szCs w:val="24"/>
          <w:vertAlign w:val="superscript"/>
        </w:rPr>
        <w:footnoteReference w:id="1"/>
      </w:r>
      <w:r w:rsidRPr="0099293B">
        <w:rPr>
          <w:rFonts w:ascii="Arial" w:eastAsia="Calibri" w:hAnsi="Arial" w:cs="Arial"/>
          <w:noProof/>
          <w:sz w:val="24"/>
          <w:szCs w:val="24"/>
        </w:rPr>
        <w:t xml:space="preserve"> obecně souhlasily s cíli a možným obsahem iniciativy. Zdůraznily, že je třeba respektovat vnitrostátní zvyklosti a samostatnost sociálních partnerů. Organizace zaměstnavatelů obecně vyjádřily podporu většině cílů a</w:t>
      </w:r>
      <w:r w:rsidR="005C3AB3" w:rsidRPr="0099293B">
        <w:rPr>
          <w:rFonts w:ascii="Arial" w:eastAsia="Calibri" w:hAnsi="Arial" w:cs="Arial"/>
          <w:noProof/>
          <w:sz w:val="24"/>
          <w:szCs w:val="24"/>
        </w:rPr>
        <w:t> </w:t>
      </w:r>
      <w:r w:rsidRPr="0099293B">
        <w:rPr>
          <w:rFonts w:ascii="Arial" w:eastAsia="Calibri" w:hAnsi="Arial" w:cs="Arial"/>
          <w:noProof/>
          <w:sz w:val="24"/>
          <w:szCs w:val="24"/>
        </w:rPr>
        <w:t xml:space="preserve">možnému zaměření iniciativy EU. Některé z nich však s ohledem na rozmanitost vnitrostátních rámců zpochybnily přidanou hodnotu regulačního opatření EU ve věci stanovování minimálních mezd a zdůraznily, že je třeba plně respektovat pravomoci členských států a/nebo sociálních partnerů. </w:t>
      </w:r>
    </w:p>
    <w:p w14:paraId="3742A742" w14:textId="77777777" w:rsidR="000A592A" w:rsidRDefault="00BC1C79" w:rsidP="000A592A">
      <w:pPr>
        <w:spacing w:after="160" w:line="36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99293B">
        <w:rPr>
          <w:rFonts w:ascii="Arial" w:eastAsia="Calibri" w:hAnsi="Arial" w:cs="Arial"/>
          <w:noProof/>
          <w:sz w:val="24"/>
          <w:szCs w:val="24"/>
        </w:rPr>
        <w:lastRenderedPageBreak/>
        <w:t xml:space="preserve">Zatímco odborové svazy Komisi vyzvaly, aby navrhla směrnici se závaznými minimálními požadavky, žádná z organizací zaměstnavatelů nebyla pro závaznou směrnici v oblasti minimálních mezd. </w:t>
      </w:r>
    </w:p>
    <w:p w14:paraId="388AF4A3" w14:textId="5F58EEDA" w:rsidR="000A592A" w:rsidRPr="0099293B" w:rsidRDefault="000A592A" w:rsidP="000A592A">
      <w:pPr>
        <w:spacing w:after="160" w:line="360" w:lineRule="auto"/>
        <w:ind w:firstLine="708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Jelikož se s</w:t>
      </w:r>
      <w:r w:rsidRPr="0099293B">
        <w:rPr>
          <w:rFonts w:ascii="Arial" w:eastAsia="Calibri" w:hAnsi="Arial" w:cs="Arial"/>
          <w:noProof/>
          <w:sz w:val="24"/>
          <w:szCs w:val="24"/>
        </w:rPr>
        <w:t>ociální partneři se neshodli na zahájení jednání o uzavření dohody na úrovni Unie, jak je stanoveno v článku 155 Smlouvy o fungování EU, Komise předložila svů návrh směrnice.</w:t>
      </w:r>
    </w:p>
    <w:p w14:paraId="3AED6C25" w14:textId="77777777" w:rsidR="00BC1C79" w:rsidRPr="0099293B" w:rsidRDefault="00BC1C79" w:rsidP="005C3AB3">
      <w:pPr>
        <w:spacing w:after="12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Evropská odborová konfederace (ETUC) návrh Komise podporuje a požaduje: (1) aby směrnice stanovila (v operativní části) jako povinný závazek pro členské státy určit zákonnou minimální mzdu na úrovni 60% hrubé mediánové mzdy a 50% hrubé průměrné mzdy; (2) aby národní akční plány na podporu kolektivního vyjednávání zaručily respektování svobody kolektivního vyjednávání a zabývaly se reálnými problémy odborové organizovanosti nebo aktivitami bránícími nebo narušujícími zakládání odborů; (3) aby zaměstnavatelé, kteří odmítají kolektivně vyjednávat, byli vyloučeni ze soutěže o veřejné zakázky a z evropských dotací (např. v rámci společné zemědělské politiky nebo fondů na obnovu); (4) ukončení výjimek z minimální mzdy pro určité kategorie pracovníků (např. mladé pracovníky, pracovníky v domácnosti) a</w:t>
      </w:r>
      <w:r w:rsidR="005C3AB3" w:rsidRPr="0099293B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>zákaz srážek ze zákonné minimální mzdy.</w:t>
      </w:r>
    </w:p>
    <w:p w14:paraId="57FDC5CA" w14:textId="0594E05E" w:rsidR="00377EED" w:rsidRPr="0099293B" w:rsidRDefault="00BC1C79" w:rsidP="00377EED">
      <w:pPr>
        <w:spacing w:after="12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293B">
        <w:rPr>
          <w:rFonts w:ascii="Arial" w:eastAsia="Calibri" w:hAnsi="Arial" w:cs="Arial"/>
          <w:sz w:val="24"/>
          <w:szCs w:val="24"/>
        </w:rPr>
        <w:t>Evropsk</w:t>
      </w:r>
      <w:r w:rsidR="00A549D9">
        <w:rPr>
          <w:rFonts w:ascii="Arial" w:eastAsia="Calibri" w:hAnsi="Arial" w:cs="Arial"/>
          <w:sz w:val="24"/>
          <w:szCs w:val="24"/>
        </w:rPr>
        <w:t xml:space="preserve">é </w:t>
      </w:r>
      <w:r w:rsidR="00A549D9" w:rsidRPr="0099293B">
        <w:rPr>
          <w:rFonts w:ascii="Arial" w:eastAsia="Calibri" w:hAnsi="Arial" w:cs="Arial"/>
          <w:sz w:val="24"/>
          <w:szCs w:val="24"/>
        </w:rPr>
        <w:t>konfederace zaměstnavatelů (</w:t>
      </w:r>
      <w:proofErr w:type="spellStart"/>
      <w:proofErr w:type="gramStart"/>
      <w:r w:rsidR="00A549D9" w:rsidRPr="0099293B">
        <w:rPr>
          <w:rFonts w:ascii="Arial" w:eastAsia="Calibri" w:hAnsi="Arial" w:cs="Arial"/>
          <w:sz w:val="24"/>
          <w:szCs w:val="24"/>
        </w:rPr>
        <w:t>BussinessEurope</w:t>
      </w:r>
      <w:proofErr w:type="spellEnd"/>
      <w:r w:rsidR="00A549D9" w:rsidRPr="0099293B">
        <w:rPr>
          <w:rFonts w:ascii="Arial" w:eastAsia="Calibri" w:hAnsi="Arial" w:cs="Arial"/>
          <w:sz w:val="24"/>
          <w:szCs w:val="24"/>
        </w:rPr>
        <w:t xml:space="preserve"> - BE</w:t>
      </w:r>
      <w:proofErr w:type="gramEnd"/>
      <w:r w:rsidR="00A549D9" w:rsidRPr="0099293B">
        <w:rPr>
          <w:rFonts w:ascii="Arial" w:eastAsia="Calibri" w:hAnsi="Arial" w:cs="Arial"/>
          <w:sz w:val="24"/>
          <w:szCs w:val="24"/>
        </w:rPr>
        <w:t>)</w:t>
      </w:r>
      <w:r w:rsidR="00A549D9" w:rsidRPr="0099293B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="00A549D9" w:rsidRPr="00A549D9">
        <w:rPr>
          <w:rFonts w:ascii="Arial" w:eastAsia="Calibri" w:hAnsi="Arial" w:cs="Arial"/>
          <w:sz w:val="24"/>
          <w:szCs w:val="24"/>
        </w:rPr>
        <w:t xml:space="preserve"> souhlasí s</w:t>
      </w:r>
      <w:r w:rsidR="00D317A4">
        <w:rPr>
          <w:rFonts w:ascii="Arial" w:eastAsia="Calibri" w:hAnsi="Arial" w:cs="Arial"/>
          <w:sz w:val="24"/>
          <w:szCs w:val="24"/>
        </w:rPr>
        <w:t> </w:t>
      </w:r>
      <w:r w:rsidR="00A549D9" w:rsidRPr="00A549D9">
        <w:rPr>
          <w:rFonts w:ascii="Arial" w:eastAsia="Calibri" w:hAnsi="Arial" w:cs="Arial"/>
          <w:sz w:val="24"/>
          <w:szCs w:val="24"/>
        </w:rPr>
        <w:t>celkovými cíli dosažení přiměřených mezd</w:t>
      </w:r>
      <w:r w:rsidR="00A549D9">
        <w:rPr>
          <w:rFonts w:ascii="Arial" w:eastAsia="Calibri" w:hAnsi="Arial" w:cs="Arial"/>
          <w:sz w:val="24"/>
          <w:szCs w:val="24"/>
        </w:rPr>
        <w:t xml:space="preserve"> </w:t>
      </w:r>
      <w:r w:rsidR="00A549D9" w:rsidRPr="00A549D9">
        <w:rPr>
          <w:rFonts w:ascii="Arial" w:eastAsia="Calibri" w:hAnsi="Arial" w:cs="Arial"/>
          <w:sz w:val="24"/>
          <w:szCs w:val="24"/>
        </w:rPr>
        <w:t>v celé EU, aby se práce vyplatila, aby se bojovalo proti chudobě a aby se posílila úloha sociální partnerů a sociálního dialogu v</w:t>
      </w:r>
      <w:r w:rsidR="00D317A4">
        <w:rPr>
          <w:rFonts w:ascii="Arial" w:eastAsia="Calibri" w:hAnsi="Arial" w:cs="Arial"/>
          <w:sz w:val="24"/>
          <w:szCs w:val="24"/>
        </w:rPr>
        <w:t> </w:t>
      </w:r>
      <w:r w:rsidR="00A549D9" w:rsidRPr="00A549D9">
        <w:rPr>
          <w:rFonts w:ascii="Arial" w:eastAsia="Calibri" w:hAnsi="Arial" w:cs="Arial"/>
          <w:sz w:val="24"/>
          <w:szCs w:val="24"/>
        </w:rPr>
        <w:t>souladu s vnitrostátními systémy pracovněprávních vztahů.</w:t>
      </w:r>
      <w:r w:rsidR="00A549D9">
        <w:rPr>
          <w:rFonts w:ascii="Arial" w:eastAsia="Calibri" w:hAnsi="Arial" w:cs="Arial"/>
          <w:sz w:val="24"/>
          <w:szCs w:val="24"/>
        </w:rPr>
        <w:t xml:space="preserve"> </w:t>
      </w:r>
      <w:r w:rsidR="000E7A18">
        <w:rPr>
          <w:rFonts w:ascii="Arial" w:eastAsia="Calibri" w:hAnsi="Arial" w:cs="Arial"/>
          <w:sz w:val="24"/>
          <w:szCs w:val="24"/>
        </w:rPr>
        <w:t xml:space="preserve">BE však považuje </w:t>
      </w:r>
      <w:r w:rsidR="000E7A18" w:rsidRPr="000E7A18">
        <w:rPr>
          <w:rFonts w:ascii="Arial" w:eastAsia="Calibri" w:hAnsi="Arial" w:cs="Arial"/>
          <w:sz w:val="24"/>
          <w:szCs w:val="24"/>
        </w:rPr>
        <w:t>směrnic</w:t>
      </w:r>
      <w:r w:rsidR="007652FE">
        <w:rPr>
          <w:rFonts w:ascii="Arial" w:eastAsia="Calibri" w:hAnsi="Arial" w:cs="Arial"/>
          <w:sz w:val="24"/>
          <w:szCs w:val="24"/>
        </w:rPr>
        <w:t>i</w:t>
      </w:r>
      <w:r w:rsidR="000E7A18" w:rsidRPr="000E7A18">
        <w:rPr>
          <w:rFonts w:ascii="Arial" w:eastAsia="Calibri" w:hAnsi="Arial" w:cs="Arial"/>
          <w:sz w:val="24"/>
          <w:szCs w:val="24"/>
        </w:rPr>
        <w:t xml:space="preserve"> EU </w:t>
      </w:r>
      <w:r w:rsidR="000E7A18">
        <w:rPr>
          <w:rFonts w:ascii="Arial" w:eastAsia="Calibri" w:hAnsi="Arial" w:cs="Arial"/>
          <w:sz w:val="24"/>
          <w:szCs w:val="24"/>
        </w:rPr>
        <w:t xml:space="preserve">za </w:t>
      </w:r>
      <w:r w:rsidR="000E7A18" w:rsidRPr="000E7A18">
        <w:rPr>
          <w:rFonts w:ascii="Arial" w:eastAsia="Calibri" w:hAnsi="Arial" w:cs="Arial"/>
          <w:sz w:val="24"/>
          <w:szCs w:val="24"/>
        </w:rPr>
        <w:t>špatný nástroj</w:t>
      </w:r>
      <w:r w:rsidR="00377EED">
        <w:rPr>
          <w:rFonts w:ascii="Arial" w:eastAsia="Calibri" w:hAnsi="Arial" w:cs="Arial"/>
          <w:sz w:val="24"/>
          <w:szCs w:val="24"/>
        </w:rPr>
        <w:t>, protože s</w:t>
      </w:r>
      <w:r w:rsidR="000E7A18" w:rsidRPr="000E7A18">
        <w:rPr>
          <w:rFonts w:ascii="Arial" w:eastAsia="Calibri" w:hAnsi="Arial" w:cs="Arial"/>
          <w:sz w:val="24"/>
          <w:szCs w:val="24"/>
        </w:rPr>
        <w:t>měrnice ze své definice předává moc zákonodárci a soudům, nikoliv sociálním partnerům.</w:t>
      </w:r>
      <w:r w:rsidR="000E7A18">
        <w:rPr>
          <w:rFonts w:ascii="Arial" w:eastAsia="Calibri" w:hAnsi="Arial" w:cs="Arial"/>
          <w:sz w:val="24"/>
          <w:szCs w:val="24"/>
        </w:rPr>
        <w:t xml:space="preserve"> </w:t>
      </w:r>
      <w:r w:rsidR="00D036EA">
        <w:rPr>
          <w:rFonts w:ascii="Arial" w:eastAsia="Calibri" w:hAnsi="Arial" w:cs="Arial"/>
          <w:sz w:val="24"/>
          <w:szCs w:val="24"/>
        </w:rPr>
        <w:t xml:space="preserve">Návrh </w:t>
      </w:r>
      <w:r w:rsidRPr="0099293B">
        <w:rPr>
          <w:rFonts w:ascii="Arial" w:eastAsia="Calibri" w:hAnsi="Arial" w:cs="Arial"/>
          <w:sz w:val="24"/>
          <w:szCs w:val="24"/>
        </w:rPr>
        <w:t>je v rozporu s textem a</w:t>
      </w:r>
      <w:r w:rsidR="00D317A4">
        <w:rPr>
          <w:rFonts w:ascii="Arial" w:eastAsia="Calibri" w:hAnsi="Arial" w:cs="Arial"/>
          <w:sz w:val="24"/>
          <w:szCs w:val="24"/>
        </w:rPr>
        <w:t> </w:t>
      </w:r>
      <w:r w:rsidRPr="0099293B">
        <w:rPr>
          <w:rFonts w:ascii="Arial" w:eastAsia="Calibri" w:hAnsi="Arial" w:cs="Arial"/>
          <w:sz w:val="24"/>
          <w:szCs w:val="24"/>
        </w:rPr>
        <w:t xml:space="preserve">duchem Smlouvy o fungování EU, která chrání národní pravomoci v oblasti odměňování a kolektivního vyjednávání. </w:t>
      </w:r>
      <w:r w:rsidR="000E7A18">
        <w:rPr>
          <w:rFonts w:ascii="Arial" w:eastAsia="Calibri" w:hAnsi="Arial" w:cs="Arial"/>
          <w:sz w:val="24"/>
          <w:szCs w:val="24"/>
        </w:rPr>
        <w:t xml:space="preserve">Podle </w:t>
      </w:r>
      <w:r w:rsidRPr="0099293B">
        <w:rPr>
          <w:rFonts w:ascii="Arial" w:eastAsia="Calibri" w:hAnsi="Arial" w:cs="Arial"/>
          <w:sz w:val="24"/>
          <w:szCs w:val="24"/>
        </w:rPr>
        <w:t xml:space="preserve">BE </w:t>
      </w:r>
      <w:r w:rsidR="000E7A18">
        <w:rPr>
          <w:rFonts w:ascii="Arial" w:eastAsia="Calibri" w:hAnsi="Arial" w:cs="Arial"/>
          <w:sz w:val="24"/>
          <w:szCs w:val="24"/>
        </w:rPr>
        <w:t xml:space="preserve">měly být </w:t>
      </w:r>
      <w:r w:rsidRPr="0099293B">
        <w:rPr>
          <w:rFonts w:ascii="Arial" w:eastAsia="Calibri" w:hAnsi="Arial" w:cs="Arial"/>
          <w:sz w:val="24"/>
          <w:szCs w:val="24"/>
        </w:rPr>
        <w:t xml:space="preserve">cíle prosazovány právně nezávazným nástrojem (doporučením Rady). BE podporuje autonomní sociální dialog, ale odmítá kvazi-povinné kolektivní vyjednávání uložené veřejnými orgány. BE podporuje spravedlivé mzdy stanovené vnitrostátními sociálními partnery a odmítá politicky manipulované minimální mzdy. </w:t>
      </w:r>
      <w:r w:rsidR="000E7A18" w:rsidRPr="000E7A18">
        <w:rPr>
          <w:rFonts w:ascii="Arial" w:eastAsia="Calibri" w:hAnsi="Arial" w:cs="Arial"/>
          <w:sz w:val="24"/>
          <w:szCs w:val="24"/>
        </w:rPr>
        <w:t>Směrnice</w:t>
      </w:r>
      <w:r w:rsidR="00377EED">
        <w:rPr>
          <w:rFonts w:ascii="Arial" w:eastAsia="Calibri" w:hAnsi="Arial" w:cs="Arial"/>
          <w:sz w:val="24"/>
          <w:szCs w:val="24"/>
        </w:rPr>
        <w:t xml:space="preserve"> podle BE </w:t>
      </w:r>
      <w:r w:rsidR="000E7A18" w:rsidRPr="000E7A18">
        <w:rPr>
          <w:rFonts w:ascii="Arial" w:eastAsia="Calibri" w:hAnsi="Arial" w:cs="Arial"/>
          <w:sz w:val="24"/>
          <w:szCs w:val="24"/>
        </w:rPr>
        <w:t>ignoruje skutečnost, že minimální mzdy nelze posuzovat odděleně od sociálních dávek</w:t>
      </w:r>
      <w:r w:rsidR="000E7A18">
        <w:rPr>
          <w:rFonts w:ascii="Arial" w:eastAsia="Calibri" w:hAnsi="Arial" w:cs="Arial"/>
          <w:sz w:val="24"/>
          <w:szCs w:val="24"/>
        </w:rPr>
        <w:t xml:space="preserve">, </w:t>
      </w:r>
      <w:r w:rsidR="000E7A18" w:rsidRPr="000E7A18">
        <w:rPr>
          <w:rFonts w:ascii="Arial" w:eastAsia="Calibri" w:hAnsi="Arial" w:cs="Arial"/>
          <w:sz w:val="24"/>
          <w:szCs w:val="24"/>
        </w:rPr>
        <w:t xml:space="preserve">systémů sociálního </w:t>
      </w:r>
      <w:r w:rsidR="000E7A18" w:rsidRPr="000E7A18">
        <w:rPr>
          <w:rFonts w:ascii="Arial" w:eastAsia="Calibri" w:hAnsi="Arial" w:cs="Arial"/>
          <w:sz w:val="24"/>
          <w:szCs w:val="24"/>
        </w:rPr>
        <w:lastRenderedPageBreak/>
        <w:t>zabezpečení, systémů minimálního příjmu a zdanění, které jsou důležité pro sociální ochranu</w:t>
      </w:r>
      <w:r w:rsidR="000E7A18">
        <w:rPr>
          <w:rFonts w:ascii="Arial" w:eastAsia="Calibri" w:hAnsi="Arial" w:cs="Arial"/>
          <w:sz w:val="24"/>
          <w:szCs w:val="24"/>
        </w:rPr>
        <w:t xml:space="preserve">, </w:t>
      </w:r>
      <w:r w:rsidR="000E7A18" w:rsidRPr="000E7A18">
        <w:rPr>
          <w:rFonts w:ascii="Arial" w:eastAsia="Calibri" w:hAnsi="Arial" w:cs="Arial"/>
          <w:sz w:val="24"/>
          <w:szCs w:val="24"/>
        </w:rPr>
        <w:t>zajištění dobrých životních podmínek a řešení chudoby.</w:t>
      </w:r>
      <w:r w:rsidR="00377EED">
        <w:rPr>
          <w:rFonts w:ascii="Arial" w:eastAsia="Calibri" w:hAnsi="Arial" w:cs="Arial"/>
          <w:sz w:val="24"/>
          <w:szCs w:val="24"/>
        </w:rPr>
        <w:t xml:space="preserve"> Současně BE uvádí, že n</w:t>
      </w:r>
      <w:r w:rsidR="00377EED" w:rsidRPr="00377EED">
        <w:rPr>
          <w:rFonts w:ascii="Arial" w:eastAsia="Calibri" w:hAnsi="Arial" w:cs="Arial"/>
          <w:sz w:val="24"/>
          <w:szCs w:val="24"/>
        </w:rPr>
        <w:t>ávrh Komise ignoruje skutečnost, že minimální mzda není sociálním transferem</w:t>
      </w:r>
      <w:r w:rsidR="00377EED">
        <w:rPr>
          <w:rFonts w:ascii="Arial" w:eastAsia="Calibri" w:hAnsi="Arial" w:cs="Arial"/>
          <w:sz w:val="24"/>
          <w:szCs w:val="24"/>
        </w:rPr>
        <w:t xml:space="preserve">, ale </w:t>
      </w:r>
      <w:r w:rsidR="00377EED" w:rsidRPr="00377EED">
        <w:rPr>
          <w:rFonts w:ascii="Arial" w:eastAsia="Calibri" w:hAnsi="Arial" w:cs="Arial"/>
          <w:sz w:val="24"/>
          <w:szCs w:val="24"/>
        </w:rPr>
        <w:t>mzda je odměnou za vykonanou práci a podle odpracovaných hodin.</w:t>
      </w:r>
      <w:r w:rsidR="00377EED">
        <w:rPr>
          <w:rFonts w:ascii="Arial" w:eastAsia="Calibri" w:hAnsi="Arial" w:cs="Arial"/>
          <w:sz w:val="24"/>
          <w:szCs w:val="24"/>
        </w:rPr>
        <w:t xml:space="preserve"> Podle BE bude mít směrnice d</w:t>
      </w:r>
      <w:r w:rsidR="00377EED" w:rsidRPr="00377EED">
        <w:rPr>
          <w:rFonts w:ascii="Arial" w:eastAsia="Calibri" w:hAnsi="Arial" w:cs="Arial"/>
          <w:sz w:val="24"/>
          <w:szCs w:val="24"/>
        </w:rPr>
        <w:t>opad na zaměstnanost</w:t>
      </w:r>
      <w:r w:rsidR="00377EED">
        <w:rPr>
          <w:rFonts w:ascii="Arial" w:eastAsia="Calibri" w:hAnsi="Arial" w:cs="Arial"/>
          <w:sz w:val="24"/>
          <w:szCs w:val="24"/>
        </w:rPr>
        <w:t xml:space="preserve">, </w:t>
      </w:r>
      <w:r w:rsidR="00377EED" w:rsidRPr="00377EED">
        <w:rPr>
          <w:rFonts w:ascii="Arial" w:eastAsia="Calibri" w:hAnsi="Arial" w:cs="Arial"/>
          <w:sz w:val="24"/>
          <w:szCs w:val="24"/>
        </w:rPr>
        <w:t xml:space="preserve">povede k nežádoucímu nárůstu nehlášených pracovníků, což </w:t>
      </w:r>
      <w:r w:rsidR="00377EED">
        <w:rPr>
          <w:rFonts w:ascii="Arial" w:eastAsia="Calibri" w:hAnsi="Arial" w:cs="Arial"/>
          <w:sz w:val="24"/>
          <w:szCs w:val="24"/>
        </w:rPr>
        <w:t>po</w:t>
      </w:r>
      <w:r w:rsidR="00377EED" w:rsidRPr="00377EED">
        <w:rPr>
          <w:rFonts w:ascii="Arial" w:eastAsia="Calibri" w:hAnsi="Arial" w:cs="Arial"/>
          <w:sz w:val="24"/>
          <w:szCs w:val="24"/>
        </w:rPr>
        <w:t>vede k nekalé konkurenci</w:t>
      </w:r>
      <w:r w:rsidR="00377EED">
        <w:rPr>
          <w:rFonts w:ascii="Arial" w:eastAsia="Calibri" w:hAnsi="Arial" w:cs="Arial"/>
          <w:sz w:val="24"/>
          <w:szCs w:val="24"/>
        </w:rPr>
        <w:t xml:space="preserve"> a</w:t>
      </w:r>
      <w:r w:rsidR="0013154F">
        <w:rPr>
          <w:rFonts w:ascii="Arial" w:eastAsia="Calibri" w:hAnsi="Arial" w:cs="Arial"/>
          <w:sz w:val="24"/>
          <w:szCs w:val="24"/>
        </w:rPr>
        <w:t> </w:t>
      </w:r>
      <w:r w:rsidR="00377EED">
        <w:rPr>
          <w:rFonts w:ascii="Arial" w:eastAsia="Calibri" w:hAnsi="Arial" w:cs="Arial"/>
          <w:sz w:val="24"/>
          <w:szCs w:val="24"/>
        </w:rPr>
        <w:t xml:space="preserve">zbavení sociální ochrany těchto pracovníků. BE </w:t>
      </w:r>
      <w:r w:rsidR="000A592A">
        <w:rPr>
          <w:rFonts w:ascii="Arial" w:eastAsia="Calibri" w:hAnsi="Arial" w:cs="Arial"/>
          <w:sz w:val="24"/>
          <w:szCs w:val="24"/>
        </w:rPr>
        <w:t>v</w:t>
      </w:r>
      <w:r w:rsidR="00377EED">
        <w:rPr>
          <w:rFonts w:ascii="Arial" w:eastAsia="Calibri" w:hAnsi="Arial" w:cs="Arial"/>
          <w:sz w:val="24"/>
          <w:szCs w:val="24"/>
        </w:rPr>
        <w:t xml:space="preserve">yzval Radu a Evropský parlament </w:t>
      </w:r>
      <w:r w:rsidR="000A592A">
        <w:rPr>
          <w:rFonts w:ascii="Arial" w:eastAsia="Calibri" w:hAnsi="Arial" w:cs="Arial"/>
          <w:sz w:val="24"/>
          <w:szCs w:val="24"/>
        </w:rPr>
        <w:t>k</w:t>
      </w:r>
      <w:r w:rsidR="00377EED">
        <w:rPr>
          <w:rFonts w:ascii="Arial" w:eastAsia="Calibri" w:hAnsi="Arial" w:cs="Arial"/>
          <w:sz w:val="24"/>
          <w:szCs w:val="24"/>
        </w:rPr>
        <w:t xml:space="preserve"> odmítnutí předloženého návrhu.</w:t>
      </w:r>
    </w:p>
    <w:p w14:paraId="7F0D34AA" w14:textId="57A8FE64" w:rsidR="00BC1C79" w:rsidRDefault="00680A47" w:rsidP="00BC1C79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B0893">
        <w:rPr>
          <w:rFonts w:ascii="Arial" w:eastAsia="Calibri" w:hAnsi="Arial" w:cs="Arial"/>
          <w:sz w:val="24"/>
          <w:szCs w:val="24"/>
        </w:rPr>
        <w:t xml:space="preserve">Jak ilustrují následná vyjádření (srov. např. postoj </w:t>
      </w:r>
      <w:proofErr w:type="spellStart"/>
      <w:r w:rsidR="007B0893">
        <w:rPr>
          <w:rFonts w:ascii="Arial" w:eastAsia="Calibri" w:hAnsi="Arial" w:cs="Arial"/>
          <w:sz w:val="24"/>
          <w:szCs w:val="24"/>
        </w:rPr>
        <w:t>SMEunited</w:t>
      </w:r>
      <w:proofErr w:type="spellEnd"/>
      <w:r w:rsidR="007B0893">
        <w:rPr>
          <w:rStyle w:val="Znakapoznpodarou"/>
          <w:rFonts w:ascii="Arial" w:eastAsia="Calibri" w:hAnsi="Arial" w:cs="Arial"/>
          <w:sz w:val="24"/>
          <w:szCs w:val="24"/>
        </w:rPr>
        <w:footnoteReference w:id="3"/>
      </w:r>
      <w:r w:rsidR="007B0893">
        <w:rPr>
          <w:rFonts w:ascii="Arial" w:eastAsia="Calibri" w:hAnsi="Arial" w:cs="Arial"/>
          <w:sz w:val="24"/>
          <w:szCs w:val="24"/>
        </w:rPr>
        <w:t xml:space="preserve"> či ETUC</w:t>
      </w:r>
      <w:r w:rsidR="007B0893">
        <w:rPr>
          <w:rStyle w:val="Znakapoznpodarou"/>
          <w:rFonts w:ascii="Arial" w:eastAsia="Calibri" w:hAnsi="Arial" w:cs="Arial"/>
          <w:sz w:val="24"/>
          <w:szCs w:val="24"/>
        </w:rPr>
        <w:footnoteReference w:id="4"/>
      </w:r>
      <w:r w:rsidR="007B0893">
        <w:rPr>
          <w:rFonts w:ascii="Arial" w:eastAsia="Calibri" w:hAnsi="Arial" w:cs="Arial"/>
          <w:sz w:val="24"/>
          <w:szCs w:val="24"/>
        </w:rPr>
        <w:t>), v</w:t>
      </w:r>
      <w:r>
        <w:rPr>
          <w:rFonts w:ascii="Arial" w:eastAsia="Calibri" w:hAnsi="Arial" w:cs="Arial"/>
          <w:sz w:val="24"/>
          <w:szCs w:val="24"/>
        </w:rPr>
        <w:t>ýše uvedený rozdílný přístup mezi postoji sociálních partnerů</w:t>
      </w:r>
      <w:r w:rsidR="007B0893">
        <w:rPr>
          <w:rFonts w:ascii="Arial" w:eastAsia="Calibri" w:hAnsi="Arial" w:cs="Arial"/>
          <w:sz w:val="24"/>
          <w:szCs w:val="24"/>
        </w:rPr>
        <w:t xml:space="preserve">, </w:t>
      </w:r>
      <w:r w:rsidR="00D610D4">
        <w:rPr>
          <w:rFonts w:ascii="Arial" w:eastAsia="Calibri" w:hAnsi="Arial" w:cs="Arial"/>
          <w:sz w:val="24"/>
          <w:szCs w:val="24"/>
        </w:rPr>
        <w:t xml:space="preserve">tj. </w:t>
      </w:r>
      <w:r w:rsidR="007B0893">
        <w:rPr>
          <w:rFonts w:ascii="Arial" w:eastAsia="Calibri" w:hAnsi="Arial" w:cs="Arial"/>
          <w:sz w:val="24"/>
          <w:szCs w:val="24"/>
        </w:rPr>
        <w:t>organizací na straně zaměstnanců na straně jedné a organizací na straně zaměstnavatelů na straně druhé,</w:t>
      </w:r>
      <w:r>
        <w:rPr>
          <w:rFonts w:ascii="Arial" w:eastAsia="Calibri" w:hAnsi="Arial" w:cs="Arial"/>
          <w:sz w:val="24"/>
          <w:szCs w:val="24"/>
        </w:rPr>
        <w:t xml:space="preserve"> nadále přetrvává</w:t>
      </w:r>
      <w:r w:rsidR="007B0893">
        <w:rPr>
          <w:rFonts w:ascii="Arial" w:eastAsia="Calibri" w:hAnsi="Arial" w:cs="Arial"/>
          <w:sz w:val="24"/>
          <w:szCs w:val="24"/>
        </w:rPr>
        <w:t>.</w:t>
      </w:r>
      <w:r w:rsidR="007C11AE">
        <w:rPr>
          <w:rFonts w:ascii="Arial" w:eastAsia="Calibri" w:hAnsi="Arial" w:cs="Arial"/>
          <w:sz w:val="24"/>
          <w:szCs w:val="24"/>
        </w:rPr>
        <w:t xml:space="preserve"> </w:t>
      </w:r>
      <w:r w:rsidR="007B0893">
        <w:rPr>
          <w:rFonts w:ascii="Arial" w:eastAsia="Calibri" w:hAnsi="Arial" w:cs="Arial"/>
          <w:sz w:val="24"/>
          <w:szCs w:val="24"/>
        </w:rPr>
        <w:t>Uvedené se projevilo mj</w:t>
      </w:r>
      <w:r w:rsidR="00D610D4">
        <w:rPr>
          <w:rFonts w:ascii="Arial" w:eastAsia="Calibri" w:hAnsi="Arial" w:cs="Arial"/>
          <w:sz w:val="24"/>
          <w:szCs w:val="24"/>
        </w:rPr>
        <w:t>. i</w:t>
      </w:r>
      <w:r w:rsidR="007B0893">
        <w:rPr>
          <w:rFonts w:ascii="Arial" w:eastAsia="Calibri" w:hAnsi="Arial" w:cs="Arial"/>
          <w:sz w:val="24"/>
          <w:szCs w:val="24"/>
        </w:rPr>
        <w:t xml:space="preserve"> ve stanovisku </w:t>
      </w:r>
      <w:r w:rsidR="00D610D4">
        <w:rPr>
          <w:rFonts w:ascii="Arial" w:eastAsia="Calibri" w:hAnsi="Arial" w:cs="Arial"/>
          <w:sz w:val="24"/>
          <w:szCs w:val="24"/>
        </w:rPr>
        <w:t>Evropského sociálního a</w:t>
      </w:r>
      <w:r w:rsidR="006E38C1">
        <w:rPr>
          <w:rFonts w:ascii="Arial" w:eastAsia="Calibri" w:hAnsi="Arial" w:cs="Arial"/>
          <w:sz w:val="24"/>
          <w:szCs w:val="24"/>
        </w:rPr>
        <w:t> </w:t>
      </w:r>
      <w:r w:rsidR="00D610D4">
        <w:rPr>
          <w:rFonts w:ascii="Arial" w:eastAsia="Calibri" w:hAnsi="Arial" w:cs="Arial"/>
          <w:sz w:val="24"/>
          <w:szCs w:val="24"/>
        </w:rPr>
        <w:t>hospodářského výboru k návrhu směrnice o přiměřených minimálních mzdách</w:t>
      </w:r>
      <w:r w:rsidR="00D610D4">
        <w:rPr>
          <w:rStyle w:val="Znakapoznpodarou"/>
          <w:rFonts w:ascii="Arial" w:eastAsia="Calibri" w:hAnsi="Arial" w:cs="Arial"/>
          <w:sz w:val="24"/>
          <w:szCs w:val="24"/>
        </w:rPr>
        <w:footnoteReference w:id="5"/>
      </w:r>
      <w:r w:rsidR="00D610D4">
        <w:rPr>
          <w:rFonts w:ascii="Arial" w:eastAsia="Calibri" w:hAnsi="Arial" w:cs="Arial"/>
          <w:sz w:val="24"/>
          <w:szCs w:val="24"/>
        </w:rPr>
        <w:t>, kdy výsledné stanovisko</w:t>
      </w:r>
      <w:r w:rsidR="008C0462">
        <w:rPr>
          <w:rFonts w:ascii="Arial" w:eastAsia="Calibri" w:hAnsi="Arial" w:cs="Arial"/>
          <w:sz w:val="24"/>
          <w:szCs w:val="24"/>
        </w:rPr>
        <w:t xml:space="preserve"> </w:t>
      </w:r>
      <w:r w:rsidR="00613B3C">
        <w:rPr>
          <w:rFonts w:ascii="Arial" w:eastAsia="Calibri" w:hAnsi="Arial" w:cs="Arial"/>
          <w:sz w:val="24"/>
          <w:szCs w:val="24"/>
        </w:rPr>
        <w:t xml:space="preserve">výboru </w:t>
      </w:r>
      <w:r w:rsidR="008C0462">
        <w:rPr>
          <w:rFonts w:ascii="Arial" w:eastAsia="Calibri" w:hAnsi="Arial" w:cs="Arial"/>
          <w:sz w:val="24"/>
          <w:szCs w:val="24"/>
        </w:rPr>
        <w:t xml:space="preserve">je doprovázeno </w:t>
      </w:r>
      <w:proofErr w:type="spellStart"/>
      <w:r w:rsidR="00613B3C">
        <w:rPr>
          <w:rFonts w:ascii="Arial" w:eastAsia="Calibri" w:hAnsi="Arial" w:cs="Arial"/>
          <w:sz w:val="24"/>
          <w:szCs w:val="24"/>
        </w:rPr>
        <w:t>protistanoviskem</w:t>
      </w:r>
      <w:proofErr w:type="spellEnd"/>
      <w:r w:rsidR="008C0462">
        <w:rPr>
          <w:rFonts w:ascii="Arial" w:eastAsia="Calibri" w:hAnsi="Arial" w:cs="Arial"/>
          <w:sz w:val="24"/>
          <w:szCs w:val="24"/>
        </w:rPr>
        <w:t xml:space="preserve"> (které sice nezískalo většinu hlasů potřebnou pro schválení, avšak bylo podpořeno významným počtem členů výboru).</w:t>
      </w:r>
    </w:p>
    <w:p w14:paraId="3242331F" w14:textId="77777777" w:rsidR="006E38C1" w:rsidRDefault="006E38C1" w:rsidP="00BC1C79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AA6A19" w14:textId="77777777" w:rsidR="005C3AB3" w:rsidRPr="0099293B" w:rsidRDefault="007975FE" w:rsidP="005C3AB3">
      <w:pPr>
        <w:spacing w:after="160" w:line="36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</w:pPr>
      <w:r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V</w:t>
      </w:r>
      <w:r w:rsidR="005C3AB3"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ýše minimální mzdy v</w:t>
      </w:r>
      <w:r w:rsidR="001329BC"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 xml:space="preserve"> zemích </w:t>
      </w:r>
      <w:r w:rsidR="005C3AB3" w:rsidRPr="0099293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EU</w:t>
      </w:r>
    </w:p>
    <w:p w14:paraId="6FA06998" w14:textId="69B38F71" w:rsidR="00877D82" w:rsidRPr="0099293B" w:rsidRDefault="005C3AB3" w:rsidP="00BC1C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93B">
        <w:rPr>
          <w:rFonts w:ascii="Arial" w:hAnsi="Arial" w:cs="Arial"/>
          <w:sz w:val="24"/>
          <w:szCs w:val="24"/>
        </w:rPr>
        <w:tab/>
        <w:t>V</w:t>
      </w:r>
      <w:r w:rsidR="00600C4F">
        <w:rPr>
          <w:rFonts w:ascii="Arial" w:hAnsi="Arial" w:cs="Arial"/>
          <w:sz w:val="24"/>
          <w:szCs w:val="24"/>
        </w:rPr>
        <w:t> </w:t>
      </w:r>
      <w:r w:rsidRPr="0099293B">
        <w:rPr>
          <w:rFonts w:ascii="Arial" w:hAnsi="Arial" w:cs="Arial"/>
          <w:sz w:val="24"/>
          <w:szCs w:val="24"/>
        </w:rPr>
        <w:t>příloze</w:t>
      </w:r>
      <w:r w:rsidR="00600C4F">
        <w:rPr>
          <w:rFonts w:ascii="Arial" w:hAnsi="Arial" w:cs="Arial"/>
          <w:sz w:val="24"/>
          <w:szCs w:val="24"/>
        </w:rPr>
        <w:t xml:space="preserve"> č.</w:t>
      </w:r>
      <w:r w:rsidR="006E38C1">
        <w:rPr>
          <w:rFonts w:ascii="Arial" w:hAnsi="Arial" w:cs="Arial"/>
          <w:sz w:val="24"/>
          <w:szCs w:val="24"/>
        </w:rPr>
        <w:t> </w:t>
      </w:r>
      <w:r w:rsidR="00600C4F">
        <w:rPr>
          <w:rFonts w:ascii="Arial" w:hAnsi="Arial" w:cs="Arial"/>
          <w:sz w:val="24"/>
          <w:szCs w:val="24"/>
        </w:rPr>
        <w:t>1</w:t>
      </w:r>
      <w:r w:rsidRPr="0099293B">
        <w:rPr>
          <w:rFonts w:ascii="Arial" w:hAnsi="Arial" w:cs="Arial"/>
          <w:sz w:val="24"/>
          <w:szCs w:val="24"/>
        </w:rPr>
        <w:t xml:space="preserve"> je pro informaci uvedena výše minimální</w:t>
      </w:r>
      <w:r w:rsidR="00665074" w:rsidRPr="0099293B">
        <w:rPr>
          <w:rFonts w:ascii="Arial" w:hAnsi="Arial" w:cs="Arial"/>
          <w:sz w:val="24"/>
          <w:szCs w:val="24"/>
        </w:rPr>
        <w:t>ch</w:t>
      </w:r>
      <w:r w:rsidRPr="0099293B">
        <w:rPr>
          <w:rFonts w:ascii="Arial" w:hAnsi="Arial" w:cs="Arial"/>
          <w:sz w:val="24"/>
          <w:szCs w:val="24"/>
        </w:rPr>
        <w:t xml:space="preserve"> m</w:t>
      </w:r>
      <w:r w:rsidR="00665074" w:rsidRPr="0099293B">
        <w:rPr>
          <w:rFonts w:ascii="Arial" w:hAnsi="Arial" w:cs="Arial"/>
          <w:sz w:val="24"/>
          <w:szCs w:val="24"/>
        </w:rPr>
        <w:t>e</w:t>
      </w:r>
      <w:r w:rsidRPr="0099293B">
        <w:rPr>
          <w:rFonts w:ascii="Arial" w:hAnsi="Arial" w:cs="Arial"/>
          <w:sz w:val="24"/>
          <w:szCs w:val="24"/>
        </w:rPr>
        <w:t xml:space="preserve">zd </w:t>
      </w:r>
      <w:r w:rsidR="001329BC" w:rsidRPr="0099293B">
        <w:rPr>
          <w:rFonts w:ascii="Arial" w:hAnsi="Arial" w:cs="Arial"/>
          <w:sz w:val="24"/>
          <w:szCs w:val="24"/>
        </w:rPr>
        <w:t xml:space="preserve">v zemích EU </w:t>
      </w:r>
      <w:r w:rsidR="00814943" w:rsidRPr="0099293B">
        <w:rPr>
          <w:rFonts w:ascii="Arial" w:hAnsi="Arial" w:cs="Arial"/>
          <w:sz w:val="24"/>
          <w:szCs w:val="24"/>
        </w:rPr>
        <w:t>k </w:t>
      </w:r>
      <w:r w:rsidRPr="0099293B">
        <w:rPr>
          <w:rFonts w:ascii="Arial" w:hAnsi="Arial" w:cs="Arial"/>
          <w:sz w:val="24"/>
          <w:szCs w:val="24"/>
        </w:rPr>
        <w:t>1.</w:t>
      </w:r>
      <w:r w:rsidR="00665074" w:rsidRPr="0099293B">
        <w:rPr>
          <w:rFonts w:ascii="Arial" w:hAnsi="Arial" w:cs="Arial"/>
          <w:sz w:val="24"/>
          <w:szCs w:val="24"/>
        </w:rPr>
        <w:t> </w:t>
      </w:r>
      <w:r w:rsidR="008A4286" w:rsidRPr="0099293B">
        <w:rPr>
          <w:rFonts w:ascii="Arial" w:hAnsi="Arial" w:cs="Arial"/>
          <w:sz w:val="24"/>
          <w:szCs w:val="24"/>
        </w:rPr>
        <w:t>lednu</w:t>
      </w:r>
      <w:r w:rsidRPr="0099293B">
        <w:rPr>
          <w:rFonts w:ascii="Arial" w:hAnsi="Arial" w:cs="Arial"/>
          <w:sz w:val="24"/>
          <w:szCs w:val="24"/>
        </w:rPr>
        <w:t xml:space="preserve"> 202</w:t>
      </w:r>
      <w:r w:rsidR="008A4286" w:rsidRPr="0099293B">
        <w:rPr>
          <w:rFonts w:ascii="Arial" w:hAnsi="Arial" w:cs="Arial"/>
          <w:sz w:val="24"/>
          <w:szCs w:val="24"/>
        </w:rPr>
        <w:t>1</w:t>
      </w:r>
      <w:r w:rsidRPr="0099293B">
        <w:rPr>
          <w:rFonts w:ascii="Arial" w:hAnsi="Arial" w:cs="Arial"/>
          <w:sz w:val="24"/>
          <w:szCs w:val="24"/>
        </w:rPr>
        <w:t xml:space="preserve">, </w:t>
      </w:r>
      <w:r w:rsidR="00665074" w:rsidRPr="0099293B">
        <w:rPr>
          <w:rFonts w:ascii="Arial" w:hAnsi="Arial" w:cs="Arial"/>
          <w:sz w:val="24"/>
          <w:szCs w:val="24"/>
        </w:rPr>
        <w:t xml:space="preserve">ve kterých </w:t>
      </w:r>
      <w:r w:rsidRPr="0099293B">
        <w:rPr>
          <w:rFonts w:ascii="Arial" w:hAnsi="Arial" w:cs="Arial"/>
          <w:sz w:val="24"/>
          <w:szCs w:val="24"/>
        </w:rPr>
        <w:t>j</w:t>
      </w:r>
      <w:r w:rsidR="001329BC" w:rsidRPr="0099293B">
        <w:rPr>
          <w:rFonts w:ascii="Arial" w:hAnsi="Arial" w:cs="Arial"/>
          <w:sz w:val="24"/>
          <w:szCs w:val="24"/>
        </w:rPr>
        <w:t>sou</w:t>
      </w:r>
      <w:r w:rsidRPr="0099293B">
        <w:rPr>
          <w:rFonts w:ascii="Arial" w:hAnsi="Arial" w:cs="Arial"/>
          <w:sz w:val="24"/>
          <w:szCs w:val="24"/>
        </w:rPr>
        <w:t xml:space="preserve"> jej</w:t>
      </w:r>
      <w:r w:rsidR="001329BC" w:rsidRPr="0099293B">
        <w:rPr>
          <w:rFonts w:ascii="Arial" w:hAnsi="Arial" w:cs="Arial"/>
          <w:sz w:val="24"/>
          <w:szCs w:val="24"/>
        </w:rPr>
        <w:t>ich</w:t>
      </w:r>
      <w:r w:rsidRPr="0099293B">
        <w:rPr>
          <w:rFonts w:ascii="Arial" w:hAnsi="Arial" w:cs="Arial"/>
          <w:sz w:val="24"/>
          <w:szCs w:val="24"/>
        </w:rPr>
        <w:t xml:space="preserve"> </w:t>
      </w:r>
      <w:r w:rsidR="00665074" w:rsidRPr="0099293B">
        <w:rPr>
          <w:rFonts w:ascii="Arial" w:hAnsi="Arial" w:cs="Arial"/>
          <w:sz w:val="24"/>
          <w:szCs w:val="24"/>
        </w:rPr>
        <w:t>úrov</w:t>
      </w:r>
      <w:r w:rsidR="001329BC" w:rsidRPr="0099293B">
        <w:rPr>
          <w:rFonts w:ascii="Arial" w:hAnsi="Arial" w:cs="Arial"/>
          <w:sz w:val="24"/>
          <w:szCs w:val="24"/>
        </w:rPr>
        <w:t>ně</w:t>
      </w:r>
      <w:r w:rsidRPr="0099293B">
        <w:rPr>
          <w:rFonts w:ascii="Arial" w:hAnsi="Arial" w:cs="Arial"/>
          <w:sz w:val="24"/>
          <w:szCs w:val="24"/>
        </w:rPr>
        <w:t xml:space="preserve"> stanoven</w:t>
      </w:r>
      <w:r w:rsidR="001329BC" w:rsidRPr="0099293B">
        <w:rPr>
          <w:rFonts w:ascii="Arial" w:hAnsi="Arial" w:cs="Arial"/>
          <w:sz w:val="24"/>
          <w:szCs w:val="24"/>
        </w:rPr>
        <w:t>y</w:t>
      </w:r>
      <w:r w:rsidRPr="0099293B">
        <w:rPr>
          <w:rFonts w:ascii="Arial" w:hAnsi="Arial" w:cs="Arial"/>
          <w:sz w:val="24"/>
          <w:szCs w:val="24"/>
        </w:rPr>
        <w:t xml:space="preserve"> zákonem (právním p</w:t>
      </w:r>
      <w:r w:rsidR="00665074" w:rsidRPr="0099293B">
        <w:rPr>
          <w:rFonts w:ascii="Arial" w:hAnsi="Arial" w:cs="Arial"/>
          <w:sz w:val="24"/>
          <w:szCs w:val="24"/>
        </w:rPr>
        <w:t>ř</w:t>
      </w:r>
      <w:r w:rsidRPr="0099293B">
        <w:rPr>
          <w:rFonts w:ascii="Arial" w:hAnsi="Arial" w:cs="Arial"/>
          <w:sz w:val="24"/>
          <w:szCs w:val="24"/>
        </w:rPr>
        <w:t>edpisem).</w:t>
      </w:r>
      <w:r w:rsidR="006C7138" w:rsidRPr="0099293B">
        <w:rPr>
          <w:rFonts w:ascii="Arial" w:hAnsi="Arial" w:cs="Arial"/>
          <w:sz w:val="24"/>
          <w:szCs w:val="24"/>
        </w:rPr>
        <w:t xml:space="preserve"> </w:t>
      </w:r>
      <w:r w:rsidR="00600C4F">
        <w:rPr>
          <w:rFonts w:ascii="Arial" w:hAnsi="Arial" w:cs="Arial"/>
          <w:sz w:val="24"/>
          <w:szCs w:val="24"/>
        </w:rPr>
        <w:t>V příloze č.</w:t>
      </w:r>
      <w:r w:rsidR="006E38C1">
        <w:rPr>
          <w:rFonts w:ascii="Arial" w:hAnsi="Arial" w:cs="Arial"/>
          <w:sz w:val="24"/>
          <w:szCs w:val="24"/>
        </w:rPr>
        <w:t> </w:t>
      </w:r>
      <w:r w:rsidR="00600C4F">
        <w:rPr>
          <w:rFonts w:ascii="Arial" w:hAnsi="Arial" w:cs="Arial"/>
          <w:sz w:val="24"/>
          <w:szCs w:val="24"/>
        </w:rPr>
        <w:t>2 je uveden</w:t>
      </w:r>
      <w:r w:rsidR="006C7138" w:rsidRPr="0099293B">
        <w:rPr>
          <w:rFonts w:ascii="Arial" w:hAnsi="Arial" w:cs="Arial"/>
          <w:sz w:val="24"/>
          <w:szCs w:val="24"/>
        </w:rPr>
        <w:t xml:space="preserve"> přehled o vývoji podílu minimální mzdy a</w:t>
      </w:r>
      <w:r w:rsidR="006E38C1">
        <w:rPr>
          <w:rFonts w:ascii="Arial" w:hAnsi="Arial" w:cs="Arial"/>
          <w:sz w:val="24"/>
          <w:szCs w:val="24"/>
        </w:rPr>
        <w:t> </w:t>
      </w:r>
      <w:r w:rsidR="006C7138" w:rsidRPr="0099293B">
        <w:rPr>
          <w:rFonts w:ascii="Arial" w:hAnsi="Arial" w:cs="Arial"/>
          <w:sz w:val="24"/>
          <w:szCs w:val="24"/>
        </w:rPr>
        <w:t>průměrné mzdy v průmyslu, stavebnictví a službách od roku 2010</w:t>
      </w:r>
      <w:r w:rsidR="008A4286" w:rsidRPr="0099293B">
        <w:rPr>
          <w:rFonts w:ascii="Arial" w:hAnsi="Arial" w:cs="Arial"/>
          <w:sz w:val="24"/>
          <w:szCs w:val="24"/>
        </w:rPr>
        <w:t xml:space="preserve"> (aktuálně poslední známé údaje publikované </w:t>
      </w:r>
      <w:proofErr w:type="spellStart"/>
      <w:r w:rsidR="008A4286" w:rsidRPr="0099293B">
        <w:rPr>
          <w:rFonts w:ascii="Arial" w:hAnsi="Arial" w:cs="Arial"/>
          <w:sz w:val="24"/>
          <w:szCs w:val="24"/>
        </w:rPr>
        <w:t>Eurostatem</w:t>
      </w:r>
      <w:proofErr w:type="spellEnd"/>
      <w:r w:rsidR="008A4286" w:rsidRPr="0099293B">
        <w:rPr>
          <w:rFonts w:ascii="Arial" w:hAnsi="Arial" w:cs="Arial"/>
          <w:sz w:val="24"/>
          <w:szCs w:val="24"/>
        </w:rPr>
        <w:t>)</w:t>
      </w:r>
      <w:r w:rsidR="006C7138" w:rsidRPr="0099293B">
        <w:rPr>
          <w:rFonts w:ascii="Arial" w:hAnsi="Arial" w:cs="Arial"/>
          <w:sz w:val="24"/>
          <w:szCs w:val="24"/>
        </w:rPr>
        <w:t xml:space="preserve">. Zdrojem dat je rovněž </w:t>
      </w:r>
      <w:proofErr w:type="spellStart"/>
      <w:r w:rsidR="006C7138" w:rsidRPr="0099293B">
        <w:rPr>
          <w:rFonts w:ascii="Arial" w:hAnsi="Arial" w:cs="Arial"/>
          <w:sz w:val="24"/>
          <w:szCs w:val="24"/>
        </w:rPr>
        <w:t>Eurostat</w:t>
      </w:r>
      <w:proofErr w:type="spellEnd"/>
      <w:r w:rsidR="006C7138" w:rsidRPr="0099293B">
        <w:rPr>
          <w:rFonts w:ascii="Arial" w:hAnsi="Arial" w:cs="Arial"/>
          <w:sz w:val="24"/>
          <w:szCs w:val="24"/>
        </w:rPr>
        <w:t>.</w:t>
      </w:r>
    </w:p>
    <w:p w14:paraId="1AA0C7F6" w14:textId="25BA3BF9" w:rsidR="00145612" w:rsidRDefault="00145612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9B91A7" w14:textId="0F2F977A" w:rsidR="00B70327" w:rsidRDefault="00B70327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FD2D4B3" w14:textId="4636A567" w:rsidR="00B70327" w:rsidRDefault="00B70327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743A1C" w14:textId="3AE607E8" w:rsidR="00B70327" w:rsidRDefault="00B70327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CA30EA" w14:textId="77777777" w:rsidR="00B70327" w:rsidRPr="0099293B" w:rsidRDefault="00B70327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EBDA27" w14:textId="77777777" w:rsidR="00137D72" w:rsidRPr="0099293B" w:rsidRDefault="00137D7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293B">
        <w:rPr>
          <w:rFonts w:ascii="Arial" w:hAnsi="Arial" w:cs="Arial"/>
          <w:b/>
          <w:sz w:val="24"/>
          <w:szCs w:val="24"/>
          <w:u w:val="single"/>
        </w:rPr>
        <w:lastRenderedPageBreak/>
        <w:t>Příloh</w:t>
      </w:r>
      <w:r w:rsidR="00980D14" w:rsidRPr="0099293B">
        <w:rPr>
          <w:rFonts w:ascii="Arial" w:hAnsi="Arial" w:cs="Arial"/>
          <w:b/>
          <w:sz w:val="24"/>
          <w:szCs w:val="24"/>
          <w:u w:val="single"/>
        </w:rPr>
        <w:t>a</w:t>
      </w:r>
      <w:r w:rsidRPr="0099293B">
        <w:rPr>
          <w:rFonts w:ascii="Arial" w:hAnsi="Arial" w:cs="Arial"/>
          <w:b/>
          <w:sz w:val="24"/>
          <w:szCs w:val="24"/>
          <w:u w:val="single"/>
        </w:rPr>
        <w:t>:</w:t>
      </w:r>
    </w:p>
    <w:p w14:paraId="691CEE32" w14:textId="77777777" w:rsidR="0047713E" w:rsidRPr="0099293B" w:rsidRDefault="006C7138" w:rsidP="006C713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9293B">
        <w:rPr>
          <w:rFonts w:ascii="Arial" w:hAnsi="Arial" w:cs="Arial"/>
          <w:i/>
          <w:sz w:val="24"/>
          <w:szCs w:val="24"/>
        </w:rPr>
        <w:t xml:space="preserve">1. </w:t>
      </w:r>
      <w:r w:rsidR="0047713E" w:rsidRPr="0099293B">
        <w:rPr>
          <w:rFonts w:ascii="Arial" w:hAnsi="Arial" w:cs="Arial"/>
          <w:i/>
          <w:sz w:val="24"/>
          <w:szCs w:val="24"/>
        </w:rPr>
        <w:t>Vý</w:t>
      </w:r>
      <w:r w:rsidR="00665074" w:rsidRPr="0099293B">
        <w:rPr>
          <w:rFonts w:ascii="Arial" w:hAnsi="Arial" w:cs="Arial"/>
          <w:i/>
          <w:sz w:val="24"/>
          <w:szCs w:val="24"/>
        </w:rPr>
        <w:t>še</w:t>
      </w:r>
      <w:r w:rsidR="0047713E" w:rsidRPr="0099293B">
        <w:rPr>
          <w:rFonts w:ascii="Arial" w:hAnsi="Arial" w:cs="Arial"/>
          <w:i/>
          <w:sz w:val="24"/>
          <w:szCs w:val="24"/>
        </w:rPr>
        <w:t xml:space="preserve"> minimální mzdy ve vybraných zemích EU</w:t>
      </w:r>
    </w:p>
    <w:p w14:paraId="15EAE0E3" w14:textId="77777777" w:rsidR="006C7138" w:rsidRPr="0099293B" w:rsidRDefault="006C7138" w:rsidP="006C713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9293B">
        <w:rPr>
          <w:rFonts w:ascii="Arial" w:hAnsi="Arial" w:cs="Arial"/>
          <w:i/>
          <w:sz w:val="24"/>
          <w:szCs w:val="24"/>
        </w:rPr>
        <w:t xml:space="preserve">2. Vývoj podílu minimální mzdy a průměrné mzdy v průmyslu, stavebnictví a službách </w:t>
      </w:r>
    </w:p>
    <w:p w14:paraId="6EC22D71" w14:textId="77777777" w:rsidR="006C7138" w:rsidRPr="0099293B" w:rsidRDefault="006C7138" w:rsidP="006C7138">
      <w:pPr>
        <w:spacing w:after="0" w:line="36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99293B">
        <w:rPr>
          <w:rFonts w:ascii="Arial" w:hAnsi="Arial" w:cs="Arial"/>
          <w:i/>
          <w:sz w:val="24"/>
          <w:szCs w:val="24"/>
        </w:rPr>
        <w:t>ve vybraných zemích EU od roku 2010</w:t>
      </w:r>
    </w:p>
    <w:p w14:paraId="2A56451C" w14:textId="77777777" w:rsidR="003A10B7" w:rsidRPr="0099293B" w:rsidRDefault="003A10B7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A5FCCB" w14:textId="30AFFB46" w:rsidR="00665074" w:rsidRDefault="00665074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4787CD" w14:textId="77777777" w:rsidR="006E38C1" w:rsidRPr="0099293B" w:rsidRDefault="006E38C1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DFC55F" w14:textId="1AF61A31" w:rsidR="00B940C6" w:rsidRPr="0099293B" w:rsidRDefault="00137D72" w:rsidP="005F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93B">
        <w:rPr>
          <w:rFonts w:ascii="Arial" w:hAnsi="Arial" w:cs="Arial"/>
          <w:sz w:val="24"/>
          <w:szCs w:val="24"/>
        </w:rPr>
        <w:t xml:space="preserve">V Praze dne </w:t>
      </w:r>
      <w:r w:rsidR="000D2AC5">
        <w:rPr>
          <w:rFonts w:ascii="Arial" w:hAnsi="Arial" w:cs="Arial"/>
          <w:sz w:val="24"/>
          <w:szCs w:val="24"/>
        </w:rPr>
        <w:t>31</w:t>
      </w:r>
      <w:r w:rsidRPr="0099293B">
        <w:rPr>
          <w:rFonts w:ascii="Arial" w:hAnsi="Arial" w:cs="Arial"/>
          <w:sz w:val="24"/>
          <w:szCs w:val="24"/>
        </w:rPr>
        <w:t>.</w:t>
      </w:r>
      <w:r w:rsidR="00226832" w:rsidRPr="0099293B">
        <w:rPr>
          <w:rFonts w:ascii="Arial" w:hAnsi="Arial" w:cs="Arial"/>
          <w:sz w:val="24"/>
          <w:szCs w:val="24"/>
        </w:rPr>
        <w:t> </w:t>
      </w:r>
      <w:r w:rsidR="008A4286" w:rsidRPr="0099293B">
        <w:rPr>
          <w:rFonts w:ascii="Arial" w:hAnsi="Arial" w:cs="Arial"/>
          <w:sz w:val="24"/>
          <w:szCs w:val="24"/>
        </w:rPr>
        <w:t>května</w:t>
      </w:r>
      <w:r w:rsidR="00FE59AA" w:rsidRPr="0099293B">
        <w:rPr>
          <w:rFonts w:ascii="Arial" w:hAnsi="Arial" w:cs="Arial"/>
          <w:sz w:val="24"/>
          <w:szCs w:val="24"/>
        </w:rPr>
        <w:t xml:space="preserve"> 20</w:t>
      </w:r>
      <w:r w:rsidR="003265D9" w:rsidRPr="0099293B">
        <w:rPr>
          <w:rFonts w:ascii="Arial" w:hAnsi="Arial" w:cs="Arial"/>
          <w:sz w:val="24"/>
          <w:szCs w:val="24"/>
        </w:rPr>
        <w:t>2</w:t>
      </w:r>
      <w:r w:rsidR="009F0A66" w:rsidRPr="0099293B">
        <w:rPr>
          <w:rFonts w:ascii="Arial" w:hAnsi="Arial" w:cs="Arial"/>
          <w:sz w:val="24"/>
          <w:szCs w:val="24"/>
        </w:rPr>
        <w:t>1</w:t>
      </w:r>
    </w:p>
    <w:sectPr w:rsidR="00B940C6" w:rsidRPr="0099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5C08" w14:textId="77777777" w:rsidR="00856E4B" w:rsidRDefault="00856E4B" w:rsidP="00781FDC">
      <w:pPr>
        <w:spacing w:after="0" w:line="240" w:lineRule="auto"/>
      </w:pPr>
      <w:r>
        <w:separator/>
      </w:r>
    </w:p>
  </w:endnote>
  <w:endnote w:type="continuationSeparator" w:id="0">
    <w:p w14:paraId="724FCBD8" w14:textId="77777777" w:rsidR="00856E4B" w:rsidRDefault="00856E4B" w:rsidP="007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B3" w14:textId="77777777" w:rsidR="004A482B" w:rsidRDefault="004A4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921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B47B20A" w14:textId="77777777" w:rsidR="00781FDC" w:rsidRPr="00781FDC" w:rsidRDefault="00781FDC">
        <w:pPr>
          <w:pStyle w:val="Zpat"/>
          <w:jc w:val="right"/>
          <w:rPr>
            <w:rFonts w:ascii="Arial" w:hAnsi="Arial" w:cs="Arial"/>
            <w:sz w:val="24"/>
            <w:szCs w:val="24"/>
          </w:rPr>
        </w:pPr>
        <w:r w:rsidRPr="00781FDC">
          <w:rPr>
            <w:rFonts w:ascii="Arial" w:hAnsi="Arial" w:cs="Arial"/>
            <w:sz w:val="24"/>
            <w:szCs w:val="24"/>
          </w:rPr>
          <w:fldChar w:fldCharType="begin"/>
        </w:r>
        <w:r w:rsidRPr="00781FDC">
          <w:rPr>
            <w:rFonts w:ascii="Arial" w:hAnsi="Arial" w:cs="Arial"/>
            <w:sz w:val="24"/>
            <w:szCs w:val="24"/>
          </w:rPr>
          <w:instrText>PAGE   \* MERGEFORMAT</w:instrText>
        </w:r>
        <w:r w:rsidRPr="00781FDC">
          <w:rPr>
            <w:rFonts w:ascii="Arial" w:hAnsi="Arial" w:cs="Arial"/>
            <w:sz w:val="24"/>
            <w:szCs w:val="24"/>
          </w:rPr>
          <w:fldChar w:fldCharType="separate"/>
        </w:r>
        <w:r w:rsidR="004A482B">
          <w:rPr>
            <w:rFonts w:ascii="Arial" w:hAnsi="Arial" w:cs="Arial"/>
            <w:noProof/>
            <w:sz w:val="24"/>
            <w:szCs w:val="24"/>
          </w:rPr>
          <w:t>2</w:t>
        </w:r>
        <w:r w:rsidRPr="00781FD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862D49" w14:textId="77777777" w:rsidR="00781FDC" w:rsidRDefault="00781F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9395" w14:textId="77777777" w:rsidR="004A482B" w:rsidRDefault="004A4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D563" w14:textId="77777777" w:rsidR="00856E4B" w:rsidRDefault="00856E4B" w:rsidP="00781FDC">
      <w:pPr>
        <w:spacing w:after="0" w:line="240" w:lineRule="auto"/>
      </w:pPr>
      <w:r>
        <w:separator/>
      </w:r>
    </w:p>
  </w:footnote>
  <w:footnote w:type="continuationSeparator" w:id="0">
    <w:p w14:paraId="149F91FD" w14:textId="77777777" w:rsidR="00856E4B" w:rsidRDefault="00856E4B" w:rsidP="00781FDC">
      <w:pPr>
        <w:spacing w:after="0" w:line="240" w:lineRule="auto"/>
      </w:pPr>
      <w:r>
        <w:continuationSeparator/>
      </w:r>
    </w:p>
  </w:footnote>
  <w:footnote w:id="1">
    <w:p w14:paraId="1CC35873" w14:textId="77777777" w:rsidR="00BC1C79" w:rsidRDefault="00BC1C79" w:rsidP="00BC1C79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9F347E">
        <w:rPr>
          <w:rStyle w:val="Znakapoznpodarou"/>
          <w:rFonts w:ascii="Arial" w:hAnsi="Arial" w:cs="Arial"/>
          <w:sz w:val="16"/>
          <w:szCs w:val="16"/>
        </w:rPr>
        <w:footnoteRef/>
      </w:r>
      <w:r w:rsidRPr="009F347E">
        <w:rPr>
          <w:rFonts w:ascii="Arial" w:hAnsi="Arial" w:cs="Arial"/>
          <w:sz w:val="16"/>
          <w:szCs w:val="16"/>
        </w:rPr>
        <w:t xml:space="preserve"> </w:t>
      </w:r>
      <w:r w:rsidRPr="00B02C60">
        <w:rPr>
          <w:rFonts w:ascii="Arial" w:hAnsi="Arial" w:cs="Arial"/>
          <w:sz w:val="18"/>
          <w:szCs w:val="18"/>
        </w:rPr>
        <w:t xml:space="preserve">srov. např. stanovisko ETUC: </w:t>
      </w:r>
      <w:hyperlink r:id="rId1" w:history="1">
        <w:r w:rsidRPr="00B02C60">
          <w:rPr>
            <w:rStyle w:val="Hypertextovodkaz"/>
            <w:rFonts w:ascii="Arial" w:hAnsi="Arial" w:cs="Arial"/>
            <w:sz w:val="18"/>
            <w:szCs w:val="18"/>
          </w:rPr>
          <w:t>https://www.etuc.org/en/document/reply-etuc-2nd-phase-consultation-social-partners-fair-minimum-wages</w:t>
        </w:r>
      </w:hyperlink>
      <w:r w:rsidRPr="00B02C60">
        <w:rPr>
          <w:rFonts w:ascii="Arial" w:hAnsi="Arial" w:cs="Arial"/>
          <w:sz w:val="18"/>
          <w:szCs w:val="18"/>
        </w:rPr>
        <w:t>;</w:t>
      </w:r>
    </w:p>
    <w:p w14:paraId="0D250587" w14:textId="77777777" w:rsidR="00BC1C79" w:rsidRPr="009F347E" w:rsidRDefault="00BC1C79" w:rsidP="00BC1C79">
      <w:pPr>
        <w:pStyle w:val="Textpoznpodarou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02C60">
        <w:rPr>
          <w:rFonts w:ascii="Arial" w:hAnsi="Arial" w:cs="Arial"/>
          <w:sz w:val="18"/>
          <w:szCs w:val="18"/>
        </w:rPr>
        <w:t xml:space="preserve"> BUSINESSEUROPE: </w:t>
      </w:r>
      <w:hyperlink r:id="rId2" w:history="1">
        <w:r w:rsidRPr="00B02C60">
          <w:rPr>
            <w:rStyle w:val="Hypertextovodkaz"/>
            <w:rFonts w:ascii="Arial" w:hAnsi="Arial" w:cs="Arial"/>
            <w:sz w:val="18"/>
            <w:szCs w:val="18"/>
          </w:rPr>
          <w:t>https://www.businesseurope.eu/sites/buseur/files/media/position_papers/social/2020-09-07_response_second_stage_consultation_minimum_wages.pdf</w:t>
        </w:r>
      </w:hyperlink>
      <w:r w:rsidRPr="009F347E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133BDBE2" w14:textId="77777777" w:rsidR="00A549D9" w:rsidRDefault="00A549D9" w:rsidP="00A549D9">
      <w:pPr>
        <w:pStyle w:val="Textpoznpodarou"/>
        <w:ind w:left="142" w:hanging="142"/>
        <w:rPr>
          <w:rFonts w:ascii="Arial" w:hAnsi="Arial" w:cs="Arial"/>
          <w:noProof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43D1E">
        <w:rPr>
          <w:rFonts w:ascii="Arial" w:hAnsi="Arial" w:cs="Arial"/>
          <w:sz w:val="18"/>
          <w:szCs w:val="18"/>
        </w:rPr>
        <w:t>blíže ke stanovisku B</w:t>
      </w:r>
      <w:r>
        <w:rPr>
          <w:rFonts w:ascii="Arial" w:hAnsi="Arial" w:cs="Arial"/>
          <w:sz w:val="18"/>
          <w:szCs w:val="18"/>
        </w:rPr>
        <w:t>E</w:t>
      </w:r>
      <w:r w:rsidRPr="00743D1E">
        <w:rPr>
          <w:rFonts w:ascii="Arial" w:hAnsi="Arial" w:cs="Arial"/>
          <w:sz w:val="18"/>
          <w:szCs w:val="18"/>
        </w:rPr>
        <w:t xml:space="preserve"> viz</w:t>
      </w:r>
      <w:r w:rsidRPr="00743D1E">
        <w:rPr>
          <w:rFonts w:ascii="Arial" w:hAnsi="Arial" w:cs="Arial"/>
          <w:noProof/>
          <w:sz w:val="18"/>
          <w:szCs w:val="18"/>
        </w:rPr>
        <w:t>:</w:t>
      </w:r>
      <w:r w:rsidRPr="00A549D9">
        <w:t xml:space="preserve"> </w:t>
      </w:r>
      <w:hyperlink r:id="rId3" w:history="1">
        <w:r>
          <w:rPr>
            <w:rStyle w:val="Hypertextovodkaz"/>
          </w:rPr>
          <w:t>Proposal for an EU directive on fair minimum wages - a BusinessEurope position paper | BusinessEurope</w:t>
        </w:r>
      </w:hyperlink>
    </w:p>
    <w:p w14:paraId="7A6F278B" w14:textId="77777777" w:rsidR="00A549D9" w:rsidRDefault="00A549D9" w:rsidP="00A549D9">
      <w:pPr>
        <w:pStyle w:val="Textpoznpodarou"/>
        <w:ind w:left="142" w:hanging="142"/>
      </w:pPr>
    </w:p>
  </w:footnote>
  <w:footnote w:id="3">
    <w:p w14:paraId="3B10A397" w14:textId="50223275" w:rsidR="007B0893" w:rsidRDefault="007B0893" w:rsidP="006E38C1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hyperlink r:id="rId4" w:history="1">
        <w:r w:rsidR="006E38C1" w:rsidRPr="00E21DED">
          <w:rPr>
            <w:rStyle w:val="Hypertextovodkaz"/>
          </w:rPr>
          <w:t>https://www.smeunited.eu/publications/position-on-the-proposal-for-a-directive-on-adequate-minimum-wages-in-the-eu</w:t>
        </w:r>
      </w:hyperlink>
      <w:r w:rsidR="006E38C1">
        <w:t xml:space="preserve"> </w:t>
      </w:r>
    </w:p>
  </w:footnote>
  <w:footnote w:id="4">
    <w:p w14:paraId="0860A6D5" w14:textId="40D09218" w:rsidR="007B0893" w:rsidRDefault="007B0893" w:rsidP="006E38C1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hyperlink r:id="rId5" w:history="1">
        <w:r>
          <w:rPr>
            <w:rStyle w:val="Hypertextovodkaz"/>
          </w:rPr>
          <w:t>Statement of the ETUC Collective Bargaining and Wage Coordination Committee - Opinion of the Council legal service on the Directive on Adequate Minimum Wages in the EU - Better late than never!.pdf</w:t>
        </w:r>
      </w:hyperlink>
    </w:p>
  </w:footnote>
  <w:footnote w:id="5">
    <w:p w14:paraId="4368CD23" w14:textId="0D546999" w:rsidR="00D610D4" w:rsidRDefault="00D610D4" w:rsidP="006E38C1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hyperlink r:id="rId6" w:history="1">
        <w:r w:rsidR="006E38C1" w:rsidRPr="00E21DED">
          <w:rPr>
            <w:rStyle w:val="Hypertextovodkaz"/>
          </w:rPr>
          <w:t>https://www.eesc.europa.eu/en/our-work/opinions-information-reports/opinions/adequate-minimum-wages-directive</w:t>
        </w:r>
      </w:hyperlink>
      <w:r w:rsidR="006E38C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896D" w14:textId="77777777" w:rsidR="004A482B" w:rsidRDefault="004A48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50" w14:textId="77777777" w:rsidR="004A482B" w:rsidRDefault="004A48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4ABD" w14:textId="77777777" w:rsidR="004A482B" w:rsidRDefault="004A4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668"/>
    <w:multiLevelType w:val="hybridMultilevel"/>
    <w:tmpl w:val="FD4E3D52"/>
    <w:lvl w:ilvl="0" w:tplc="45EAA94C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2609F"/>
    <w:multiLevelType w:val="hybridMultilevel"/>
    <w:tmpl w:val="EE36293E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030AA"/>
    <w:multiLevelType w:val="hybridMultilevel"/>
    <w:tmpl w:val="D22EEEC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47F62"/>
    <w:multiLevelType w:val="hybridMultilevel"/>
    <w:tmpl w:val="53066E8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17327"/>
    <w:multiLevelType w:val="hybridMultilevel"/>
    <w:tmpl w:val="DD8E30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71325"/>
    <w:multiLevelType w:val="hybridMultilevel"/>
    <w:tmpl w:val="9B7A3194"/>
    <w:lvl w:ilvl="0" w:tplc="75222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E4C9B"/>
    <w:multiLevelType w:val="hybridMultilevel"/>
    <w:tmpl w:val="AE184F58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6416C"/>
    <w:multiLevelType w:val="hybridMultilevel"/>
    <w:tmpl w:val="33664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07A1"/>
    <w:multiLevelType w:val="hybridMultilevel"/>
    <w:tmpl w:val="A74A621E"/>
    <w:lvl w:ilvl="0" w:tplc="0986A48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4001180"/>
    <w:multiLevelType w:val="hybridMultilevel"/>
    <w:tmpl w:val="38603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847EB"/>
    <w:multiLevelType w:val="hybridMultilevel"/>
    <w:tmpl w:val="B310E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B7D7F"/>
    <w:multiLevelType w:val="hybridMultilevel"/>
    <w:tmpl w:val="EA1A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02"/>
    <w:rsid w:val="000018CB"/>
    <w:rsid w:val="000036BF"/>
    <w:rsid w:val="0000646A"/>
    <w:rsid w:val="00015460"/>
    <w:rsid w:val="0001582E"/>
    <w:rsid w:val="00017DBE"/>
    <w:rsid w:val="00024FC8"/>
    <w:rsid w:val="000266F9"/>
    <w:rsid w:val="00027903"/>
    <w:rsid w:val="00030A1D"/>
    <w:rsid w:val="00032270"/>
    <w:rsid w:val="000355B0"/>
    <w:rsid w:val="00035EA2"/>
    <w:rsid w:val="000623AA"/>
    <w:rsid w:val="000654B8"/>
    <w:rsid w:val="00074F40"/>
    <w:rsid w:val="0008038D"/>
    <w:rsid w:val="000823A4"/>
    <w:rsid w:val="00083576"/>
    <w:rsid w:val="0008362E"/>
    <w:rsid w:val="00096A31"/>
    <w:rsid w:val="000A3419"/>
    <w:rsid w:val="000A4606"/>
    <w:rsid w:val="000A592A"/>
    <w:rsid w:val="000B1814"/>
    <w:rsid w:val="000B2A67"/>
    <w:rsid w:val="000B355F"/>
    <w:rsid w:val="000B65CA"/>
    <w:rsid w:val="000C35A2"/>
    <w:rsid w:val="000C7491"/>
    <w:rsid w:val="000D1260"/>
    <w:rsid w:val="000D2AC5"/>
    <w:rsid w:val="000E023F"/>
    <w:rsid w:val="000E4B7E"/>
    <w:rsid w:val="000E53F5"/>
    <w:rsid w:val="000E6994"/>
    <w:rsid w:val="000E6F4B"/>
    <w:rsid w:val="000E7A18"/>
    <w:rsid w:val="000F0929"/>
    <w:rsid w:val="000F1483"/>
    <w:rsid w:val="000F4738"/>
    <w:rsid w:val="000F515B"/>
    <w:rsid w:val="000F6FF1"/>
    <w:rsid w:val="00114224"/>
    <w:rsid w:val="0011758A"/>
    <w:rsid w:val="00126778"/>
    <w:rsid w:val="0013154F"/>
    <w:rsid w:val="001329BC"/>
    <w:rsid w:val="00132EC6"/>
    <w:rsid w:val="0013321A"/>
    <w:rsid w:val="00137D72"/>
    <w:rsid w:val="001424E4"/>
    <w:rsid w:val="00144BCF"/>
    <w:rsid w:val="00145612"/>
    <w:rsid w:val="00145EA8"/>
    <w:rsid w:val="0015365C"/>
    <w:rsid w:val="0015442E"/>
    <w:rsid w:val="0015721D"/>
    <w:rsid w:val="00162E38"/>
    <w:rsid w:val="0016604B"/>
    <w:rsid w:val="00166B2F"/>
    <w:rsid w:val="00166CE2"/>
    <w:rsid w:val="0016719B"/>
    <w:rsid w:val="00167960"/>
    <w:rsid w:val="001725F0"/>
    <w:rsid w:val="00177DA4"/>
    <w:rsid w:val="001803C9"/>
    <w:rsid w:val="0018050B"/>
    <w:rsid w:val="00181B7E"/>
    <w:rsid w:val="00185FA0"/>
    <w:rsid w:val="00190F56"/>
    <w:rsid w:val="00190FF9"/>
    <w:rsid w:val="001A00AF"/>
    <w:rsid w:val="001A79C8"/>
    <w:rsid w:val="001B7087"/>
    <w:rsid w:val="001C3F7B"/>
    <w:rsid w:val="001C4995"/>
    <w:rsid w:val="001C6498"/>
    <w:rsid w:val="001C7890"/>
    <w:rsid w:val="001D098F"/>
    <w:rsid w:val="001D482E"/>
    <w:rsid w:val="001D4CCB"/>
    <w:rsid w:val="001D52E4"/>
    <w:rsid w:val="001E0132"/>
    <w:rsid w:val="001E08B6"/>
    <w:rsid w:val="001E246B"/>
    <w:rsid w:val="001E2A9B"/>
    <w:rsid w:val="001E3678"/>
    <w:rsid w:val="001E79A0"/>
    <w:rsid w:val="001F799D"/>
    <w:rsid w:val="002021AD"/>
    <w:rsid w:val="00202C99"/>
    <w:rsid w:val="00202FDF"/>
    <w:rsid w:val="00213732"/>
    <w:rsid w:val="00222312"/>
    <w:rsid w:val="00222886"/>
    <w:rsid w:val="00224967"/>
    <w:rsid w:val="00225831"/>
    <w:rsid w:val="00226832"/>
    <w:rsid w:val="002352E5"/>
    <w:rsid w:val="00236424"/>
    <w:rsid w:val="00240096"/>
    <w:rsid w:val="00240C36"/>
    <w:rsid w:val="002468F8"/>
    <w:rsid w:val="00252F01"/>
    <w:rsid w:val="00261899"/>
    <w:rsid w:val="00261903"/>
    <w:rsid w:val="00263F9B"/>
    <w:rsid w:val="00271E03"/>
    <w:rsid w:val="00282E47"/>
    <w:rsid w:val="002844B8"/>
    <w:rsid w:val="00286ACB"/>
    <w:rsid w:val="002906C7"/>
    <w:rsid w:val="00290947"/>
    <w:rsid w:val="0029222D"/>
    <w:rsid w:val="002924EF"/>
    <w:rsid w:val="0029521B"/>
    <w:rsid w:val="002A4AA6"/>
    <w:rsid w:val="002A4FD2"/>
    <w:rsid w:val="002A57D2"/>
    <w:rsid w:val="002A62DA"/>
    <w:rsid w:val="002A63B7"/>
    <w:rsid w:val="002B0339"/>
    <w:rsid w:val="002B662E"/>
    <w:rsid w:val="002C067F"/>
    <w:rsid w:val="002C1A48"/>
    <w:rsid w:val="002C4019"/>
    <w:rsid w:val="002C5923"/>
    <w:rsid w:val="002C79F3"/>
    <w:rsid w:val="002C7D3E"/>
    <w:rsid w:val="002D3D31"/>
    <w:rsid w:val="002E76FB"/>
    <w:rsid w:val="002F7E87"/>
    <w:rsid w:val="0030292F"/>
    <w:rsid w:val="00303510"/>
    <w:rsid w:val="00303E7D"/>
    <w:rsid w:val="003041E6"/>
    <w:rsid w:val="00314D5C"/>
    <w:rsid w:val="00317CAC"/>
    <w:rsid w:val="003265D9"/>
    <w:rsid w:val="00327F97"/>
    <w:rsid w:val="00334BF5"/>
    <w:rsid w:val="00337A0C"/>
    <w:rsid w:val="00341C22"/>
    <w:rsid w:val="00344D36"/>
    <w:rsid w:val="00351581"/>
    <w:rsid w:val="003557B1"/>
    <w:rsid w:val="00356424"/>
    <w:rsid w:val="00356D63"/>
    <w:rsid w:val="00367104"/>
    <w:rsid w:val="003671BE"/>
    <w:rsid w:val="00371C61"/>
    <w:rsid w:val="0037275E"/>
    <w:rsid w:val="00375F81"/>
    <w:rsid w:val="0037650E"/>
    <w:rsid w:val="00377EED"/>
    <w:rsid w:val="00382670"/>
    <w:rsid w:val="003855A7"/>
    <w:rsid w:val="003910D4"/>
    <w:rsid w:val="00395658"/>
    <w:rsid w:val="00396E71"/>
    <w:rsid w:val="00397855"/>
    <w:rsid w:val="003A10B7"/>
    <w:rsid w:val="003A3BB9"/>
    <w:rsid w:val="003A5017"/>
    <w:rsid w:val="003A5F90"/>
    <w:rsid w:val="003A6A32"/>
    <w:rsid w:val="003B0D68"/>
    <w:rsid w:val="003C1387"/>
    <w:rsid w:val="003C4D7B"/>
    <w:rsid w:val="003C5B3F"/>
    <w:rsid w:val="003C6D4B"/>
    <w:rsid w:val="003D1B41"/>
    <w:rsid w:val="003D3014"/>
    <w:rsid w:val="003D574E"/>
    <w:rsid w:val="003D5D21"/>
    <w:rsid w:val="003D630D"/>
    <w:rsid w:val="003D6546"/>
    <w:rsid w:val="003D6CC2"/>
    <w:rsid w:val="003E2411"/>
    <w:rsid w:val="003E74D3"/>
    <w:rsid w:val="003F11FB"/>
    <w:rsid w:val="003F1B80"/>
    <w:rsid w:val="003F62A7"/>
    <w:rsid w:val="00407C0F"/>
    <w:rsid w:val="004154D9"/>
    <w:rsid w:val="004157CD"/>
    <w:rsid w:val="00416941"/>
    <w:rsid w:val="00416C5E"/>
    <w:rsid w:val="00423664"/>
    <w:rsid w:val="00424C25"/>
    <w:rsid w:val="00430E8A"/>
    <w:rsid w:val="004316AA"/>
    <w:rsid w:val="00431757"/>
    <w:rsid w:val="004340FB"/>
    <w:rsid w:val="00442BB6"/>
    <w:rsid w:val="00456F9B"/>
    <w:rsid w:val="00460B0B"/>
    <w:rsid w:val="00460FA8"/>
    <w:rsid w:val="004611B5"/>
    <w:rsid w:val="00462E32"/>
    <w:rsid w:val="00465092"/>
    <w:rsid w:val="00472DCD"/>
    <w:rsid w:val="0047515D"/>
    <w:rsid w:val="00476C71"/>
    <w:rsid w:val="0047713E"/>
    <w:rsid w:val="0048026C"/>
    <w:rsid w:val="004903BC"/>
    <w:rsid w:val="004908D0"/>
    <w:rsid w:val="00491A03"/>
    <w:rsid w:val="0049250A"/>
    <w:rsid w:val="00494DB0"/>
    <w:rsid w:val="004A1214"/>
    <w:rsid w:val="004A34EC"/>
    <w:rsid w:val="004A482B"/>
    <w:rsid w:val="004B1663"/>
    <w:rsid w:val="004B34C2"/>
    <w:rsid w:val="004B4E71"/>
    <w:rsid w:val="004C6862"/>
    <w:rsid w:val="004C7430"/>
    <w:rsid w:val="004D06AF"/>
    <w:rsid w:val="004D1C55"/>
    <w:rsid w:val="004D2128"/>
    <w:rsid w:val="004D3375"/>
    <w:rsid w:val="004D3B9A"/>
    <w:rsid w:val="004F491B"/>
    <w:rsid w:val="004F50E5"/>
    <w:rsid w:val="004F576C"/>
    <w:rsid w:val="0050050D"/>
    <w:rsid w:val="0050133B"/>
    <w:rsid w:val="005073DA"/>
    <w:rsid w:val="005115C5"/>
    <w:rsid w:val="005124BF"/>
    <w:rsid w:val="0051560A"/>
    <w:rsid w:val="0053364F"/>
    <w:rsid w:val="00553BD0"/>
    <w:rsid w:val="00554E2C"/>
    <w:rsid w:val="00556E3D"/>
    <w:rsid w:val="00560E6C"/>
    <w:rsid w:val="005662D2"/>
    <w:rsid w:val="00567A92"/>
    <w:rsid w:val="00570681"/>
    <w:rsid w:val="0057119D"/>
    <w:rsid w:val="00572400"/>
    <w:rsid w:val="00572688"/>
    <w:rsid w:val="00572C36"/>
    <w:rsid w:val="00576F84"/>
    <w:rsid w:val="00581E0B"/>
    <w:rsid w:val="00591224"/>
    <w:rsid w:val="005924E7"/>
    <w:rsid w:val="005938C7"/>
    <w:rsid w:val="005A2378"/>
    <w:rsid w:val="005B15E8"/>
    <w:rsid w:val="005C0C43"/>
    <w:rsid w:val="005C1F02"/>
    <w:rsid w:val="005C3AB3"/>
    <w:rsid w:val="005C431C"/>
    <w:rsid w:val="005C5773"/>
    <w:rsid w:val="005D2976"/>
    <w:rsid w:val="005D2997"/>
    <w:rsid w:val="005E0608"/>
    <w:rsid w:val="005E1D1E"/>
    <w:rsid w:val="005E2705"/>
    <w:rsid w:val="005E3354"/>
    <w:rsid w:val="005E4370"/>
    <w:rsid w:val="005E535D"/>
    <w:rsid w:val="005E5460"/>
    <w:rsid w:val="005E5EEA"/>
    <w:rsid w:val="005E6DB7"/>
    <w:rsid w:val="005F1928"/>
    <w:rsid w:val="005F4BD1"/>
    <w:rsid w:val="00600C4F"/>
    <w:rsid w:val="00601051"/>
    <w:rsid w:val="00601763"/>
    <w:rsid w:val="006037BB"/>
    <w:rsid w:val="00606753"/>
    <w:rsid w:val="00606FAC"/>
    <w:rsid w:val="00612E1F"/>
    <w:rsid w:val="00613B3C"/>
    <w:rsid w:val="00621FC5"/>
    <w:rsid w:val="006221D4"/>
    <w:rsid w:val="006238FA"/>
    <w:rsid w:val="006274CC"/>
    <w:rsid w:val="006332F3"/>
    <w:rsid w:val="00634EAF"/>
    <w:rsid w:val="00643349"/>
    <w:rsid w:val="0064509A"/>
    <w:rsid w:val="00646FDC"/>
    <w:rsid w:val="0065036E"/>
    <w:rsid w:val="00653AB4"/>
    <w:rsid w:val="0066217D"/>
    <w:rsid w:val="00665074"/>
    <w:rsid w:val="00673CCD"/>
    <w:rsid w:val="00680A47"/>
    <w:rsid w:val="00685751"/>
    <w:rsid w:val="00686E83"/>
    <w:rsid w:val="006924A7"/>
    <w:rsid w:val="00692DAB"/>
    <w:rsid w:val="006949E9"/>
    <w:rsid w:val="00696264"/>
    <w:rsid w:val="00697B5E"/>
    <w:rsid w:val="006A1331"/>
    <w:rsid w:val="006A3497"/>
    <w:rsid w:val="006B13D5"/>
    <w:rsid w:val="006B2D77"/>
    <w:rsid w:val="006C37B3"/>
    <w:rsid w:val="006C6CE8"/>
    <w:rsid w:val="006C7138"/>
    <w:rsid w:val="006D71E0"/>
    <w:rsid w:val="006D7EB8"/>
    <w:rsid w:val="006E1DBF"/>
    <w:rsid w:val="006E38C1"/>
    <w:rsid w:val="00701A84"/>
    <w:rsid w:val="00701AFA"/>
    <w:rsid w:val="00702999"/>
    <w:rsid w:val="00703706"/>
    <w:rsid w:val="007057C2"/>
    <w:rsid w:val="00706DB6"/>
    <w:rsid w:val="00714B40"/>
    <w:rsid w:val="007203F4"/>
    <w:rsid w:val="00736D9B"/>
    <w:rsid w:val="0074084C"/>
    <w:rsid w:val="007417DE"/>
    <w:rsid w:val="00742F29"/>
    <w:rsid w:val="00743308"/>
    <w:rsid w:val="0074592C"/>
    <w:rsid w:val="00753D77"/>
    <w:rsid w:val="00754D71"/>
    <w:rsid w:val="00755BDC"/>
    <w:rsid w:val="007652FE"/>
    <w:rsid w:val="00766839"/>
    <w:rsid w:val="007738C7"/>
    <w:rsid w:val="007751EB"/>
    <w:rsid w:val="0077685F"/>
    <w:rsid w:val="0077771E"/>
    <w:rsid w:val="0078014E"/>
    <w:rsid w:val="0078149A"/>
    <w:rsid w:val="00781C2A"/>
    <w:rsid w:val="00781FDC"/>
    <w:rsid w:val="00783015"/>
    <w:rsid w:val="00784E6C"/>
    <w:rsid w:val="00785648"/>
    <w:rsid w:val="007910F3"/>
    <w:rsid w:val="00793DB5"/>
    <w:rsid w:val="007975FE"/>
    <w:rsid w:val="007A2282"/>
    <w:rsid w:val="007A235E"/>
    <w:rsid w:val="007B0893"/>
    <w:rsid w:val="007B2326"/>
    <w:rsid w:val="007B2466"/>
    <w:rsid w:val="007B2AD1"/>
    <w:rsid w:val="007B527F"/>
    <w:rsid w:val="007C11AE"/>
    <w:rsid w:val="007C5989"/>
    <w:rsid w:val="007C799F"/>
    <w:rsid w:val="007D2957"/>
    <w:rsid w:val="007D3068"/>
    <w:rsid w:val="007D5139"/>
    <w:rsid w:val="007E0092"/>
    <w:rsid w:val="007E4F25"/>
    <w:rsid w:val="007E7465"/>
    <w:rsid w:val="007F0015"/>
    <w:rsid w:val="007F02E6"/>
    <w:rsid w:val="007F329E"/>
    <w:rsid w:val="007F4018"/>
    <w:rsid w:val="007F5926"/>
    <w:rsid w:val="00800E59"/>
    <w:rsid w:val="00804344"/>
    <w:rsid w:val="008107BA"/>
    <w:rsid w:val="00814943"/>
    <w:rsid w:val="00822064"/>
    <w:rsid w:val="00826514"/>
    <w:rsid w:val="008271F2"/>
    <w:rsid w:val="00837300"/>
    <w:rsid w:val="0083795B"/>
    <w:rsid w:val="00837DBE"/>
    <w:rsid w:val="00841E60"/>
    <w:rsid w:val="008424DC"/>
    <w:rsid w:val="008452D5"/>
    <w:rsid w:val="00846D66"/>
    <w:rsid w:val="00847CED"/>
    <w:rsid w:val="00856E4B"/>
    <w:rsid w:val="00864829"/>
    <w:rsid w:val="008716CC"/>
    <w:rsid w:val="008719E2"/>
    <w:rsid w:val="00873541"/>
    <w:rsid w:val="008744B5"/>
    <w:rsid w:val="00874A3E"/>
    <w:rsid w:val="00877D82"/>
    <w:rsid w:val="008829ED"/>
    <w:rsid w:val="0088308F"/>
    <w:rsid w:val="008947D2"/>
    <w:rsid w:val="008959F5"/>
    <w:rsid w:val="00895B30"/>
    <w:rsid w:val="008963A0"/>
    <w:rsid w:val="00897C61"/>
    <w:rsid w:val="008A21B9"/>
    <w:rsid w:val="008A4286"/>
    <w:rsid w:val="008A6AEA"/>
    <w:rsid w:val="008A7038"/>
    <w:rsid w:val="008A798F"/>
    <w:rsid w:val="008B46AE"/>
    <w:rsid w:val="008B4C3F"/>
    <w:rsid w:val="008B5E82"/>
    <w:rsid w:val="008C0462"/>
    <w:rsid w:val="008C0610"/>
    <w:rsid w:val="008C48E5"/>
    <w:rsid w:val="008C5BFA"/>
    <w:rsid w:val="008C674F"/>
    <w:rsid w:val="008D352F"/>
    <w:rsid w:val="008E5318"/>
    <w:rsid w:val="008F3E26"/>
    <w:rsid w:val="008F6E28"/>
    <w:rsid w:val="00906649"/>
    <w:rsid w:val="00912030"/>
    <w:rsid w:val="00912A0F"/>
    <w:rsid w:val="00915D1D"/>
    <w:rsid w:val="0092047D"/>
    <w:rsid w:val="009207C6"/>
    <w:rsid w:val="00924B36"/>
    <w:rsid w:val="00926556"/>
    <w:rsid w:val="00931751"/>
    <w:rsid w:val="00931C47"/>
    <w:rsid w:val="00932909"/>
    <w:rsid w:val="0093706D"/>
    <w:rsid w:val="009404DB"/>
    <w:rsid w:val="00942ABA"/>
    <w:rsid w:val="009462A3"/>
    <w:rsid w:val="0094762E"/>
    <w:rsid w:val="00954A0D"/>
    <w:rsid w:val="00955A4C"/>
    <w:rsid w:val="00957334"/>
    <w:rsid w:val="0096693B"/>
    <w:rsid w:val="00974DA4"/>
    <w:rsid w:val="00975399"/>
    <w:rsid w:val="00976D31"/>
    <w:rsid w:val="00980125"/>
    <w:rsid w:val="00980D14"/>
    <w:rsid w:val="00984EE4"/>
    <w:rsid w:val="00986C9A"/>
    <w:rsid w:val="0099293B"/>
    <w:rsid w:val="009933D4"/>
    <w:rsid w:val="0099492A"/>
    <w:rsid w:val="00994F0F"/>
    <w:rsid w:val="00996160"/>
    <w:rsid w:val="00997E14"/>
    <w:rsid w:val="009A1715"/>
    <w:rsid w:val="009B242C"/>
    <w:rsid w:val="009B4EC5"/>
    <w:rsid w:val="009B5103"/>
    <w:rsid w:val="009C00D5"/>
    <w:rsid w:val="009D6400"/>
    <w:rsid w:val="009D69EB"/>
    <w:rsid w:val="009D7197"/>
    <w:rsid w:val="009E6C63"/>
    <w:rsid w:val="009F0A66"/>
    <w:rsid w:val="009F7C2F"/>
    <w:rsid w:val="00A03149"/>
    <w:rsid w:val="00A03C8F"/>
    <w:rsid w:val="00A04554"/>
    <w:rsid w:val="00A1039E"/>
    <w:rsid w:val="00A10674"/>
    <w:rsid w:val="00A13E6F"/>
    <w:rsid w:val="00A21B15"/>
    <w:rsid w:val="00A31BA3"/>
    <w:rsid w:val="00A33672"/>
    <w:rsid w:val="00A3407C"/>
    <w:rsid w:val="00A35A80"/>
    <w:rsid w:val="00A36102"/>
    <w:rsid w:val="00A3744F"/>
    <w:rsid w:val="00A4383A"/>
    <w:rsid w:val="00A454F2"/>
    <w:rsid w:val="00A46125"/>
    <w:rsid w:val="00A51847"/>
    <w:rsid w:val="00A52BD6"/>
    <w:rsid w:val="00A53F33"/>
    <w:rsid w:val="00A549D9"/>
    <w:rsid w:val="00A55432"/>
    <w:rsid w:val="00A55954"/>
    <w:rsid w:val="00A568FD"/>
    <w:rsid w:val="00A737D9"/>
    <w:rsid w:val="00A81D44"/>
    <w:rsid w:val="00A85B7E"/>
    <w:rsid w:val="00A94EC1"/>
    <w:rsid w:val="00A954BF"/>
    <w:rsid w:val="00A9767D"/>
    <w:rsid w:val="00AA12CA"/>
    <w:rsid w:val="00AA4D4B"/>
    <w:rsid w:val="00AB06EA"/>
    <w:rsid w:val="00AB1D03"/>
    <w:rsid w:val="00AC6B63"/>
    <w:rsid w:val="00AC7982"/>
    <w:rsid w:val="00AD08CD"/>
    <w:rsid w:val="00AD1157"/>
    <w:rsid w:val="00AD18D2"/>
    <w:rsid w:val="00AD20D2"/>
    <w:rsid w:val="00AD4628"/>
    <w:rsid w:val="00AD6324"/>
    <w:rsid w:val="00AE388A"/>
    <w:rsid w:val="00AF1835"/>
    <w:rsid w:val="00AF74EE"/>
    <w:rsid w:val="00B014D4"/>
    <w:rsid w:val="00B103DA"/>
    <w:rsid w:val="00B1208A"/>
    <w:rsid w:val="00B1439C"/>
    <w:rsid w:val="00B15955"/>
    <w:rsid w:val="00B16CE5"/>
    <w:rsid w:val="00B20028"/>
    <w:rsid w:val="00B2054E"/>
    <w:rsid w:val="00B21BA2"/>
    <w:rsid w:val="00B2568F"/>
    <w:rsid w:val="00B3218A"/>
    <w:rsid w:val="00B37CC0"/>
    <w:rsid w:val="00B413AE"/>
    <w:rsid w:val="00B413DC"/>
    <w:rsid w:val="00B4300E"/>
    <w:rsid w:val="00B5081D"/>
    <w:rsid w:val="00B54F39"/>
    <w:rsid w:val="00B60230"/>
    <w:rsid w:val="00B62282"/>
    <w:rsid w:val="00B62982"/>
    <w:rsid w:val="00B65DB3"/>
    <w:rsid w:val="00B70327"/>
    <w:rsid w:val="00B713EE"/>
    <w:rsid w:val="00B72CE0"/>
    <w:rsid w:val="00B74E45"/>
    <w:rsid w:val="00B7687C"/>
    <w:rsid w:val="00B76B52"/>
    <w:rsid w:val="00B77B26"/>
    <w:rsid w:val="00B81BF0"/>
    <w:rsid w:val="00B81C5C"/>
    <w:rsid w:val="00B8487D"/>
    <w:rsid w:val="00B87B6A"/>
    <w:rsid w:val="00B91A69"/>
    <w:rsid w:val="00B940C6"/>
    <w:rsid w:val="00BA73AC"/>
    <w:rsid w:val="00BA7AAA"/>
    <w:rsid w:val="00BB1B05"/>
    <w:rsid w:val="00BC1C79"/>
    <w:rsid w:val="00BC32C5"/>
    <w:rsid w:val="00BD2F32"/>
    <w:rsid w:val="00BD36B0"/>
    <w:rsid w:val="00BD6CF1"/>
    <w:rsid w:val="00BE7179"/>
    <w:rsid w:val="00BF248D"/>
    <w:rsid w:val="00BF4805"/>
    <w:rsid w:val="00BF5576"/>
    <w:rsid w:val="00C00C55"/>
    <w:rsid w:val="00C013D5"/>
    <w:rsid w:val="00C02061"/>
    <w:rsid w:val="00C02515"/>
    <w:rsid w:val="00C069C3"/>
    <w:rsid w:val="00C13E41"/>
    <w:rsid w:val="00C21EB8"/>
    <w:rsid w:val="00C25DC1"/>
    <w:rsid w:val="00C32EF8"/>
    <w:rsid w:val="00C36E8B"/>
    <w:rsid w:val="00C45E6B"/>
    <w:rsid w:val="00C531B6"/>
    <w:rsid w:val="00C62A57"/>
    <w:rsid w:val="00C62C4F"/>
    <w:rsid w:val="00C666E5"/>
    <w:rsid w:val="00C67400"/>
    <w:rsid w:val="00C67F7B"/>
    <w:rsid w:val="00C707A3"/>
    <w:rsid w:val="00C73492"/>
    <w:rsid w:val="00C750C2"/>
    <w:rsid w:val="00C92D9F"/>
    <w:rsid w:val="00CA05B7"/>
    <w:rsid w:val="00CA0A14"/>
    <w:rsid w:val="00CA7190"/>
    <w:rsid w:val="00CA7352"/>
    <w:rsid w:val="00CA76CF"/>
    <w:rsid w:val="00CB1D2A"/>
    <w:rsid w:val="00CB798E"/>
    <w:rsid w:val="00CD12C4"/>
    <w:rsid w:val="00CD20F6"/>
    <w:rsid w:val="00CD30F3"/>
    <w:rsid w:val="00CD3DDE"/>
    <w:rsid w:val="00CD62E1"/>
    <w:rsid w:val="00CD64DF"/>
    <w:rsid w:val="00CE3F05"/>
    <w:rsid w:val="00CE7BE0"/>
    <w:rsid w:val="00CF0E2C"/>
    <w:rsid w:val="00D021CA"/>
    <w:rsid w:val="00D036EA"/>
    <w:rsid w:val="00D03A5D"/>
    <w:rsid w:val="00D03FEF"/>
    <w:rsid w:val="00D04C36"/>
    <w:rsid w:val="00D11A7C"/>
    <w:rsid w:val="00D23EA8"/>
    <w:rsid w:val="00D317A4"/>
    <w:rsid w:val="00D31E06"/>
    <w:rsid w:val="00D33F76"/>
    <w:rsid w:val="00D42568"/>
    <w:rsid w:val="00D44580"/>
    <w:rsid w:val="00D445AE"/>
    <w:rsid w:val="00D44945"/>
    <w:rsid w:val="00D46AF2"/>
    <w:rsid w:val="00D47164"/>
    <w:rsid w:val="00D50344"/>
    <w:rsid w:val="00D53461"/>
    <w:rsid w:val="00D538CC"/>
    <w:rsid w:val="00D56070"/>
    <w:rsid w:val="00D610D4"/>
    <w:rsid w:val="00D635C7"/>
    <w:rsid w:val="00D7026F"/>
    <w:rsid w:val="00D715D6"/>
    <w:rsid w:val="00D728DB"/>
    <w:rsid w:val="00D8183E"/>
    <w:rsid w:val="00D82645"/>
    <w:rsid w:val="00D8346E"/>
    <w:rsid w:val="00D86557"/>
    <w:rsid w:val="00D87A1E"/>
    <w:rsid w:val="00D90175"/>
    <w:rsid w:val="00D90CBB"/>
    <w:rsid w:val="00D975EF"/>
    <w:rsid w:val="00D97724"/>
    <w:rsid w:val="00DA6FC5"/>
    <w:rsid w:val="00DA73D4"/>
    <w:rsid w:val="00DD1646"/>
    <w:rsid w:val="00DE0DEE"/>
    <w:rsid w:val="00DE62FE"/>
    <w:rsid w:val="00DF1040"/>
    <w:rsid w:val="00E00719"/>
    <w:rsid w:val="00E040B2"/>
    <w:rsid w:val="00E04F81"/>
    <w:rsid w:val="00E10B70"/>
    <w:rsid w:val="00E132F4"/>
    <w:rsid w:val="00E20262"/>
    <w:rsid w:val="00E30125"/>
    <w:rsid w:val="00E30EA6"/>
    <w:rsid w:val="00E3183F"/>
    <w:rsid w:val="00E35FCB"/>
    <w:rsid w:val="00E41387"/>
    <w:rsid w:val="00E45D9B"/>
    <w:rsid w:val="00E5777B"/>
    <w:rsid w:val="00E62264"/>
    <w:rsid w:val="00E6368F"/>
    <w:rsid w:val="00E638F9"/>
    <w:rsid w:val="00E65533"/>
    <w:rsid w:val="00E66DC3"/>
    <w:rsid w:val="00E70DAE"/>
    <w:rsid w:val="00E721AE"/>
    <w:rsid w:val="00E72E88"/>
    <w:rsid w:val="00E84391"/>
    <w:rsid w:val="00E84F60"/>
    <w:rsid w:val="00E86DC4"/>
    <w:rsid w:val="00E91160"/>
    <w:rsid w:val="00E91FCF"/>
    <w:rsid w:val="00E96D95"/>
    <w:rsid w:val="00EA3D2C"/>
    <w:rsid w:val="00EB358B"/>
    <w:rsid w:val="00EC0884"/>
    <w:rsid w:val="00EC359F"/>
    <w:rsid w:val="00ED318D"/>
    <w:rsid w:val="00ED63CF"/>
    <w:rsid w:val="00ED6723"/>
    <w:rsid w:val="00ED7111"/>
    <w:rsid w:val="00EE194E"/>
    <w:rsid w:val="00EE1FA5"/>
    <w:rsid w:val="00EE4128"/>
    <w:rsid w:val="00EE5402"/>
    <w:rsid w:val="00EF039D"/>
    <w:rsid w:val="00EF3E72"/>
    <w:rsid w:val="00F04D9A"/>
    <w:rsid w:val="00F12D1D"/>
    <w:rsid w:val="00F13826"/>
    <w:rsid w:val="00F17BAF"/>
    <w:rsid w:val="00F238AE"/>
    <w:rsid w:val="00F24137"/>
    <w:rsid w:val="00F242C9"/>
    <w:rsid w:val="00F30162"/>
    <w:rsid w:val="00F3161C"/>
    <w:rsid w:val="00F470C3"/>
    <w:rsid w:val="00F53D3A"/>
    <w:rsid w:val="00F54286"/>
    <w:rsid w:val="00F56702"/>
    <w:rsid w:val="00F61668"/>
    <w:rsid w:val="00F713C8"/>
    <w:rsid w:val="00F816D8"/>
    <w:rsid w:val="00F823F6"/>
    <w:rsid w:val="00F83AF1"/>
    <w:rsid w:val="00F83E96"/>
    <w:rsid w:val="00F85F04"/>
    <w:rsid w:val="00F87019"/>
    <w:rsid w:val="00F8745F"/>
    <w:rsid w:val="00F92F02"/>
    <w:rsid w:val="00F960C1"/>
    <w:rsid w:val="00FA0596"/>
    <w:rsid w:val="00FA05EE"/>
    <w:rsid w:val="00FA187F"/>
    <w:rsid w:val="00FA4994"/>
    <w:rsid w:val="00FA5E65"/>
    <w:rsid w:val="00FB1F42"/>
    <w:rsid w:val="00FB21E5"/>
    <w:rsid w:val="00FC003B"/>
    <w:rsid w:val="00FC0991"/>
    <w:rsid w:val="00FC3C25"/>
    <w:rsid w:val="00FC4A3F"/>
    <w:rsid w:val="00FC5501"/>
    <w:rsid w:val="00FD41BD"/>
    <w:rsid w:val="00FE0BF9"/>
    <w:rsid w:val="00FE4BD6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22D7"/>
  <w15:docId w15:val="{6B254A31-B1E2-4C1C-8CB5-2D4F011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DC"/>
  </w:style>
  <w:style w:type="paragraph" w:styleId="Zpat">
    <w:name w:val="footer"/>
    <w:basedOn w:val="Normln"/>
    <w:link w:val="Zpat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DC"/>
  </w:style>
  <w:style w:type="paragraph" w:styleId="Textbubliny">
    <w:name w:val="Balloon Text"/>
    <w:basedOn w:val="Normln"/>
    <w:link w:val="TextbublinyChar"/>
    <w:uiPriority w:val="99"/>
    <w:semiHidden/>
    <w:unhideWhenUsed/>
    <w:rsid w:val="003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D7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1C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1C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1C79"/>
    <w:rPr>
      <w:shd w:val="clear" w:color="auto" w:fill="auto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C1C7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49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49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967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549D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usinesseurope.eu/publications/proposal-eu-directive-fair-minimum-wages-businesseurope-position-paper" TargetMode="External"/><Relationship Id="rId2" Type="http://schemas.openxmlformats.org/officeDocument/2006/relationships/hyperlink" Target="https://www.businesseurope.eu/sites/buseur/files/media/position_papers/social/2020-09-07_response_second_stage_consultation_minimum_wages.pdf" TargetMode="External"/><Relationship Id="rId1" Type="http://schemas.openxmlformats.org/officeDocument/2006/relationships/hyperlink" Target="https://www.etuc.org/en/document/reply-etuc-2nd-phase-consultation-social-partners-fair-minimum-wages" TargetMode="External"/><Relationship Id="rId6" Type="http://schemas.openxmlformats.org/officeDocument/2006/relationships/hyperlink" Target="https://www.eesc.europa.eu/en/our-work/opinions-information-reports/opinions/adequate-minimum-wages-directive" TargetMode="External"/><Relationship Id="rId5" Type="http://schemas.openxmlformats.org/officeDocument/2006/relationships/hyperlink" Target="https://www.etuc.org/sites/default/files/document/file/2021-03/Statement%20of%20the%20ETUC%20Collective%20Bargaining%20and%20Wage%20Coordination%20Committee%20-%20Opinion%20of%20the%20Council%20legal%20service%20on%20the%20Directive%20on%20Adequate%20Minimum%20Wages%20in%20the%20EU%20-%20Better%20late%20than%20never%21.pdf" TargetMode="External"/><Relationship Id="rId4" Type="http://schemas.openxmlformats.org/officeDocument/2006/relationships/hyperlink" Target="https://www.smeunited.eu/publications/position-on-the-proposal-for-a-directive-on-adequate-minimum-wages-in-the-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4266-346B-41BC-BB3E-B16F5B97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Klusáček Jan Ing. (MPSV)</dc:creator>
  <cp:lastModifiedBy>Naděžda Pikierská</cp:lastModifiedBy>
  <cp:revision>2</cp:revision>
  <cp:lastPrinted>2020-09-14T11:54:00Z</cp:lastPrinted>
  <dcterms:created xsi:type="dcterms:W3CDTF">2021-06-09T14:41:00Z</dcterms:created>
  <dcterms:modified xsi:type="dcterms:W3CDTF">2021-06-09T14:41:00Z</dcterms:modified>
</cp:coreProperties>
</file>