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3CD6BD" w14:textId="77777777" w:rsidR="000251BA" w:rsidRPr="000251BA" w:rsidRDefault="000251BA" w:rsidP="000251BA">
      <w:pPr>
        <w:spacing w:after="0"/>
        <w:jc w:val="left"/>
        <w:rPr>
          <w:sz w:val="24"/>
        </w:rPr>
      </w:pPr>
      <w:r w:rsidRPr="000251BA">
        <w:rPr>
          <w:sz w:val="24"/>
        </w:rPr>
        <w:t>Ministerstvo financí</w:t>
      </w:r>
    </w:p>
    <w:p w14:paraId="3E06E960" w14:textId="77777777" w:rsidR="000251BA" w:rsidRPr="000251BA" w:rsidRDefault="000251BA" w:rsidP="000251BA">
      <w:pPr>
        <w:jc w:val="left"/>
        <w:rPr>
          <w:sz w:val="24"/>
        </w:rPr>
      </w:pPr>
      <w:r w:rsidRPr="000251BA">
        <w:rPr>
          <w:sz w:val="24"/>
        </w:rPr>
        <w:t>Čj.: MF – 20014/2020/1104-18</w:t>
      </w:r>
    </w:p>
    <w:p w14:paraId="2A33E41D" w14:textId="77777777" w:rsidR="000251BA" w:rsidRPr="000251BA" w:rsidRDefault="000251BA" w:rsidP="000251BA">
      <w:pPr>
        <w:spacing w:after="0"/>
        <w:jc w:val="left"/>
        <w:rPr>
          <w:sz w:val="24"/>
        </w:rPr>
      </w:pPr>
    </w:p>
    <w:p w14:paraId="23C2F704" w14:textId="77777777" w:rsidR="000251BA" w:rsidRPr="000251BA" w:rsidRDefault="000251BA" w:rsidP="000251BA">
      <w:pPr>
        <w:jc w:val="left"/>
        <w:rPr>
          <w:sz w:val="24"/>
        </w:rPr>
      </w:pPr>
    </w:p>
    <w:p w14:paraId="098B1D10" w14:textId="77777777" w:rsidR="000251BA" w:rsidRPr="000251BA" w:rsidRDefault="000251BA" w:rsidP="000251BA">
      <w:pPr>
        <w:spacing w:after="0"/>
        <w:jc w:val="left"/>
        <w:rPr>
          <w:sz w:val="24"/>
        </w:rPr>
      </w:pPr>
    </w:p>
    <w:p w14:paraId="38E6A2AA" w14:textId="77777777" w:rsidR="000251BA" w:rsidRPr="000251BA" w:rsidRDefault="000251BA" w:rsidP="000251BA">
      <w:pPr>
        <w:spacing w:after="0"/>
        <w:jc w:val="left"/>
        <w:rPr>
          <w:sz w:val="24"/>
        </w:rPr>
      </w:pPr>
    </w:p>
    <w:p w14:paraId="02FB21E9" w14:textId="77777777" w:rsidR="000251BA" w:rsidRPr="000251BA" w:rsidRDefault="000251BA" w:rsidP="000251BA">
      <w:pPr>
        <w:spacing w:after="0"/>
        <w:jc w:val="left"/>
        <w:rPr>
          <w:sz w:val="24"/>
        </w:rPr>
      </w:pPr>
    </w:p>
    <w:p w14:paraId="7750AC6D" w14:textId="77777777" w:rsidR="000251BA" w:rsidRPr="000251BA" w:rsidRDefault="000251BA" w:rsidP="000251BA">
      <w:pPr>
        <w:spacing w:after="0"/>
        <w:jc w:val="left"/>
        <w:rPr>
          <w:sz w:val="24"/>
        </w:rPr>
      </w:pPr>
    </w:p>
    <w:p w14:paraId="6CF3C80F" w14:textId="77777777" w:rsidR="000251BA" w:rsidRPr="000251BA" w:rsidRDefault="000251BA" w:rsidP="000251BA">
      <w:pPr>
        <w:spacing w:after="0"/>
        <w:jc w:val="left"/>
        <w:rPr>
          <w:sz w:val="24"/>
        </w:rPr>
      </w:pPr>
    </w:p>
    <w:p w14:paraId="5F4EDEF5" w14:textId="77777777" w:rsidR="000251BA" w:rsidRPr="000251BA" w:rsidRDefault="000251BA" w:rsidP="000251BA">
      <w:pPr>
        <w:spacing w:after="0"/>
        <w:jc w:val="left"/>
        <w:rPr>
          <w:sz w:val="24"/>
        </w:rPr>
      </w:pPr>
    </w:p>
    <w:p w14:paraId="6FCC526A" w14:textId="77777777" w:rsidR="000251BA" w:rsidRPr="000251BA" w:rsidRDefault="000251BA" w:rsidP="000251BA">
      <w:pPr>
        <w:spacing w:after="0"/>
        <w:jc w:val="left"/>
        <w:rPr>
          <w:sz w:val="24"/>
        </w:rPr>
      </w:pPr>
    </w:p>
    <w:p w14:paraId="0C829E8D" w14:textId="77777777" w:rsidR="000251BA" w:rsidRPr="000251BA" w:rsidRDefault="000251BA" w:rsidP="000251BA">
      <w:pPr>
        <w:spacing w:after="0"/>
        <w:jc w:val="left"/>
        <w:rPr>
          <w:sz w:val="24"/>
        </w:rPr>
      </w:pPr>
    </w:p>
    <w:p w14:paraId="0A094C3C" w14:textId="77777777" w:rsidR="000251BA" w:rsidRPr="000251BA" w:rsidRDefault="000251BA" w:rsidP="000251BA">
      <w:pPr>
        <w:spacing w:after="0"/>
        <w:jc w:val="left"/>
        <w:rPr>
          <w:sz w:val="24"/>
        </w:rPr>
      </w:pPr>
    </w:p>
    <w:p w14:paraId="21BE5870" w14:textId="77777777" w:rsidR="000251BA" w:rsidRPr="000251BA" w:rsidRDefault="000251BA" w:rsidP="000251BA">
      <w:pPr>
        <w:spacing w:after="0"/>
        <w:jc w:val="left"/>
        <w:rPr>
          <w:sz w:val="24"/>
        </w:rPr>
      </w:pPr>
    </w:p>
    <w:p w14:paraId="1E5394D6" w14:textId="77777777" w:rsidR="000251BA" w:rsidRPr="000251BA" w:rsidRDefault="000251BA" w:rsidP="000251BA">
      <w:pPr>
        <w:spacing w:after="0"/>
        <w:jc w:val="left"/>
        <w:rPr>
          <w:sz w:val="24"/>
        </w:rPr>
      </w:pPr>
    </w:p>
    <w:p w14:paraId="0781888C" w14:textId="77777777" w:rsidR="000251BA" w:rsidRPr="000251BA" w:rsidRDefault="000251BA" w:rsidP="000251BA">
      <w:pPr>
        <w:spacing w:after="0"/>
        <w:jc w:val="left"/>
        <w:rPr>
          <w:sz w:val="44"/>
        </w:rPr>
      </w:pPr>
    </w:p>
    <w:p w14:paraId="0F601C2F" w14:textId="77777777" w:rsidR="000251BA" w:rsidRPr="000251BA" w:rsidRDefault="000251BA" w:rsidP="000251BA">
      <w:pPr>
        <w:spacing w:after="0"/>
        <w:jc w:val="center"/>
        <w:rPr>
          <w:b/>
          <w:bCs/>
          <w:sz w:val="44"/>
        </w:rPr>
      </w:pPr>
      <w:r w:rsidRPr="000251BA">
        <w:rPr>
          <w:b/>
          <w:bCs/>
          <w:sz w:val="44"/>
        </w:rPr>
        <w:t>D.</w:t>
      </w:r>
    </w:p>
    <w:p w14:paraId="7525E8D3" w14:textId="77777777" w:rsidR="000251BA" w:rsidRPr="000251BA" w:rsidRDefault="000251BA" w:rsidP="000251BA">
      <w:pPr>
        <w:spacing w:after="0"/>
        <w:jc w:val="center"/>
        <w:rPr>
          <w:b/>
          <w:bCs/>
          <w:sz w:val="44"/>
        </w:rPr>
      </w:pPr>
    </w:p>
    <w:p w14:paraId="765C86B7" w14:textId="4A61D7DE" w:rsidR="000251BA" w:rsidRDefault="000251BA" w:rsidP="006F1625">
      <w:pPr>
        <w:pStyle w:val="Zpat"/>
        <w:tabs>
          <w:tab w:val="clear" w:pos="4536"/>
          <w:tab w:val="clear" w:pos="9072"/>
        </w:tabs>
        <w:spacing w:after="0"/>
        <w:ind w:right="-288"/>
        <w:jc w:val="center"/>
        <w:rPr>
          <w:b/>
          <w:sz w:val="40"/>
          <w:szCs w:val="40"/>
        </w:rPr>
      </w:pPr>
      <w:r w:rsidRPr="000251BA">
        <w:rPr>
          <w:b/>
          <w:bCs/>
          <w:sz w:val="44"/>
        </w:rPr>
        <w:t>Makroekonomický rámec a fiskální politika</w:t>
      </w:r>
    </w:p>
    <w:p w14:paraId="7D0C013A" w14:textId="77777777" w:rsidR="000251BA" w:rsidRDefault="000251BA" w:rsidP="00332D4D">
      <w:pPr>
        <w:pStyle w:val="Zpat"/>
        <w:tabs>
          <w:tab w:val="clear" w:pos="4536"/>
          <w:tab w:val="clear" w:pos="9072"/>
        </w:tabs>
        <w:spacing w:after="0"/>
        <w:ind w:left="1440" w:right="-288"/>
        <w:jc w:val="right"/>
        <w:rPr>
          <w:b/>
          <w:sz w:val="40"/>
          <w:szCs w:val="40"/>
        </w:rPr>
      </w:pPr>
    </w:p>
    <w:p w14:paraId="50981085" w14:textId="77777777" w:rsidR="000251BA" w:rsidRDefault="000251BA" w:rsidP="00332D4D">
      <w:pPr>
        <w:pStyle w:val="Zpat"/>
        <w:tabs>
          <w:tab w:val="clear" w:pos="4536"/>
          <w:tab w:val="clear" w:pos="9072"/>
        </w:tabs>
        <w:spacing w:after="0"/>
        <w:ind w:left="1440" w:right="-288"/>
        <w:jc w:val="right"/>
        <w:rPr>
          <w:b/>
          <w:sz w:val="40"/>
          <w:szCs w:val="40"/>
        </w:rPr>
      </w:pPr>
    </w:p>
    <w:p w14:paraId="74BEA14B" w14:textId="77777777" w:rsidR="000251BA" w:rsidRDefault="000251BA" w:rsidP="00332D4D">
      <w:pPr>
        <w:pStyle w:val="Zpat"/>
        <w:tabs>
          <w:tab w:val="clear" w:pos="4536"/>
          <w:tab w:val="clear" w:pos="9072"/>
        </w:tabs>
        <w:spacing w:after="0"/>
        <w:ind w:left="1440" w:right="-288"/>
        <w:jc w:val="right"/>
        <w:rPr>
          <w:b/>
          <w:sz w:val="40"/>
          <w:szCs w:val="40"/>
        </w:rPr>
      </w:pPr>
    </w:p>
    <w:p w14:paraId="503EB86D" w14:textId="77777777" w:rsidR="000251BA" w:rsidRDefault="000251BA" w:rsidP="000251BA">
      <w:pPr>
        <w:pStyle w:val="Zpat"/>
        <w:tabs>
          <w:tab w:val="clear" w:pos="4536"/>
          <w:tab w:val="clear" w:pos="9072"/>
        </w:tabs>
        <w:spacing w:after="0"/>
        <w:ind w:left="1440" w:right="-288"/>
        <w:jc w:val="left"/>
        <w:rPr>
          <w:b/>
          <w:sz w:val="40"/>
          <w:szCs w:val="40"/>
        </w:rPr>
      </w:pPr>
    </w:p>
    <w:p w14:paraId="113602F2" w14:textId="77777777" w:rsidR="000251BA" w:rsidRDefault="000251BA" w:rsidP="000251BA">
      <w:pPr>
        <w:pStyle w:val="Zpat"/>
        <w:tabs>
          <w:tab w:val="clear" w:pos="4536"/>
          <w:tab w:val="clear" w:pos="9072"/>
        </w:tabs>
        <w:spacing w:after="0"/>
        <w:ind w:left="1440" w:right="-288"/>
        <w:jc w:val="left"/>
        <w:rPr>
          <w:b/>
          <w:sz w:val="40"/>
          <w:szCs w:val="40"/>
        </w:rPr>
      </w:pPr>
    </w:p>
    <w:p w14:paraId="601BAD1E" w14:textId="77777777" w:rsidR="000251BA" w:rsidRDefault="000251BA" w:rsidP="000251BA">
      <w:pPr>
        <w:pStyle w:val="Zpat"/>
        <w:tabs>
          <w:tab w:val="clear" w:pos="4536"/>
          <w:tab w:val="clear" w:pos="9072"/>
        </w:tabs>
        <w:spacing w:after="0"/>
        <w:ind w:left="1440" w:right="-288"/>
        <w:jc w:val="left"/>
        <w:rPr>
          <w:b/>
          <w:sz w:val="40"/>
          <w:szCs w:val="40"/>
        </w:rPr>
      </w:pPr>
    </w:p>
    <w:p w14:paraId="7FFF6961" w14:textId="77777777" w:rsidR="000251BA" w:rsidRDefault="000251BA" w:rsidP="000251BA">
      <w:pPr>
        <w:pStyle w:val="Zpat"/>
        <w:tabs>
          <w:tab w:val="clear" w:pos="4536"/>
          <w:tab w:val="clear" w:pos="9072"/>
        </w:tabs>
        <w:spacing w:after="0"/>
        <w:ind w:left="1440" w:right="-288"/>
        <w:jc w:val="left"/>
        <w:rPr>
          <w:b/>
          <w:sz w:val="40"/>
          <w:szCs w:val="40"/>
        </w:rPr>
        <w:sectPr w:rsidR="000251BA" w:rsidSect="007A1923">
          <w:footerReference w:type="first" r:id="rId8"/>
          <w:pgSz w:w="11906" w:h="16838"/>
          <w:pgMar w:top="1134" w:right="1134" w:bottom="1134" w:left="1134" w:header="709" w:footer="709" w:gutter="0"/>
          <w:cols w:space="708"/>
          <w:titlePg/>
          <w:docGrid w:linePitch="360"/>
        </w:sectPr>
      </w:pPr>
    </w:p>
    <w:p w14:paraId="4B2A342C" w14:textId="77777777" w:rsidR="00332D4D" w:rsidRPr="003B10C6" w:rsidRDefault="00332D4D" w:rsidP="00332D4D">
      <w:pPr>
        <w:pStyle w:val="Nadpiszacatek"/>
      </w:pPr>
      <w:r w:rsidRPr="003B10C6">
        <w:lastRenderedPageBreak/>
        <w:t>Obsah</w:t>
      </w:r>
    </w:p>
    <w:tbl>
      <w:tblPr>
        <w:tblW w:w="0" w:type="auto"/>
        <w:tblLook w:val="01E0" w:firstRow="1" w:lastRow="1" w:firstColumn="1" w:lastColumn="1" w:noHBand="0" w:noVBand="0"/>
      </w:tblPr>
      <w:tblGrid>
        <w:gridCol w:w="9638"/>
      </w:tblGrid>
      <w:tr w:rsidR="00332D4D" w:rsidRPr="003B10C6" w14:paraId="6A911A84" w14:textId="77777777" w:rsidTr="001D4C6E">
        <w:trPr>
          <w:trHeight w:val="10994"/>
        </w:trPr>
        <w:tc>
          <w:tcPr>
            <w:tcW w:w="9778" w:type="dxa"/>
            <w:shd w:val="clear" w:color="auto" w:fill="auto"/>
          </w:tcPr>
          <w:p w14:paraId="65DDC013" w14:textId="3F9C1D45" w:rsidR="00BA641D" w:rsidRDefault="00332D4D">
            <w:pPr>
              <w:pStyle w:val="Obsah1"/>
              <w:rPr>
                <w:rFonts w:asciiTheme="minorHAnsi" w:eastAsiaTheme="minorEastAsia" w:hAnsiTheme="minorHAnsi" w:cstheme="minorBidi"/>
                <w:b w:val="0"/>
                <w:sz w:val="22"/>
                <w:szCs w:val="22"/>
              </w:rPr>
            </w:pPr>
            <w:r w:rsidRPr="003B10C6">
              <w:fldChar w:fldCharType="begin"/>
            </w:r>
            <w:r w:rsidRPr="003B10C6">
              <w:instrText xml:space="preserve"> TOC \o "1-2" \h \z \u </w:instrText>
            </w:r>
            <w:r w:rsidRPr="003B10C6">
              <w:fldChar w:fldCharType="separate"/>
            </w:r>
            <w:hyperlink w:anchor="_Toc52267340" w:history="1">
              <w:r w:rsidR="00BA641D" w:rsidRPr="009518F2">
                <w:rPr>
                  <w:rStyle w:val="Hypertextovodkaz"/>
                </w:rPr>
                <w:t>1</w:t>
              </w:r>
              <w:r w:rsidR="00BA641D">
                <w:rPr>
                  <w:rFonts w:asciiTheme="minorHAnsi" w:eastAsiaTheme="minorEastAsia" w:hAnsiTheme="minorHAnsi" w:cstheme="minorBidi"/>
                  <w:b w:val="0"/>
                  <w:sz w:val="22"/>
                  <w:szCs w:val="22"/>
                </w:rPr>
                <w:tab/>
              </w:r>
              <w:r w:rsidR="00BA641D" w:rsidRPr="009518F2">
                <w:rPr>
                  <w:rStyle w:val="Hypertextovodkaz"/>
                </w:rPr>
                <w:t>Úvod a shrnutí</w:t>
              </w:r>
              <w:r w:rsidR="00BA641D">
                <w:rPr>
                  <w:webHidden/>
                </w:rPr>
                <w:tab/>
              </w:r>
              <w:r w:rsidR="00BA641D">
                <w:rPr>
                  <w:webHidden/>
                </w:rPr>
                <w:fldChar w:fldCharType="begin"/>
              </w:r>
              <w:r w:rsidR="00BA641D">
                <w:rPr>
                  <w:webHidden/>
                </w:rPr>
                <w:instrText xml:space="preserve"> PAGEREF _Toc52267340 \h </w:instrText>
              </w:r>
              <w:r w:rsidR="00BA641D">
                <w:rPr>
                  <w:webHidden/>
                </w:rPr>
              </w:r>
              <w:r w:rsidR="00BA641D">
                <w:rPr>
                  <w:webHidden/>
                </w:rPr>
                <w:fldChar w:fldCharType="separate"/>
              </w:r>
              <w:r w:rsidR="00F31E8E">
                <w:rPr>
                  <w:webHidden/>
                </w:rPr>
                <w:t>1</w:t>
              </w:r>
              <w:r w:rsidR="00BA641D">
                <w:rPr>
                  <w:webHidden/>
                </w:rPr>
                <w:fldChar w:fldCharType="end"/>
              </w:r>
            </w:hyperlink>
          </w:p>
          <w:p w14:paraId="071E9822" w14:textId="03FBEBAD" w:rsidR="00BA641D" w:rsidRDefault="008F78E8">
            <w:pPr>
              <w:pStyle w:val="Obsah1"/>
              <w:rPr>
                <w:rFonts w:asciiTheme="minorHAnsi" w:eastAsiaTheme="minorEastAsia" w:hAnsiTheme="minorHAnsi" w:cstheme="minorBidi"/>
                <w:b w:val="0"/>
                <w:sz w:val="22"/>
                <w:szCs w:val="22"/>
              </w:rPr>
            </w:pPr>
            <w:hyperlink w:anchor="_Toc52267341" w:history="1">
              <w:r w:rsidR="00BA641D" w:rsidRPr="009518F2">
                <w:rPr>
                  <w:rStyle w:val="Hypertextovodkaz"/>
                </w:rPr>
                <w:t>2</w:t>
              </w:r>
              <w:r w:rsidR="00BA641D">
                <w:rPr>
                  <w:rFonts w:asciiTheme="minorHAnsi" w:eastAsiaTheme="minorEastAsia" w:hAnsiTheme="minorHAnsi" w:cstheme="minorBidi"/>
                  <w:b w:val="0"/>
                  <w:sz w:val="22"/>
                  <w:szCs w:val="22"/>
                </w:rPr>
                <w:tab/>
              </w:r>
              <w:r w:rsidR="00BA641D" w:rsidRPr="009518F2">
                <w:rPr>
                  <w:rStyle w:val="Hypertextovodkaz"/>
                </w:rPr>
                <w:t>Makroekonomický rámec</w:t>
              </w:r>
              <w:r w:rsidR="00BA641D">
                <w:rPr>
                  <w:webHidden/>
                </w:rPr>
                <w:tab/>
              </w:r>
              <w:r w:rsidR="00BA641D">
                <w:rPr>
                  <w:webHidden/>
                </w:rPr>
                <w:fldChar w:fldCharType="begin"/>
              </w:r>
              <w:r w:rsidR="00BA641D">
                <w:rPr>
                  <w:webHidden/>
                </w:rPr>
                <w:instrText xml:space="preserve"> PAGEREF _Toc52267341 \h </w:instrText>
              </w:r>
              <w:r w:rsidR="00BA641D">
                <w:rPr>
                  <w:webHidden/>
                </w:rPr>
              </w:r>
              <w:r w:rsidR="00BA641D">
                <w:rPr>
                  <w:webHidden/>
                </w:rPr>
                <w:fldChar w:fldCharType="separate"/>
              </w:r>
              <w:r w:rsidR="00F31E8E">
                <w:rPr>
                  <w:webHidden/>
                </w:rPr>
                <w:t>2</w:t>
              </w:r>
              <w:r w:rsidR="00BA641D">
                <w:rPr>
                  <w:webHidden/>
                </w:rPr>
                <w:fldChar w:fldCharType="end"/>
              </w:r>
            </w:hyperlink>
          </w:p>
          <w:p w14:paraId="3BBF142A" w14:textId="274B57E5" w:rsidR="00BA641D" w:rsidRDefault="008F78E8">
            <w:pPr>
              <w:pStyle w:val="Obsah2"/>
              <w:rPr>
                <w:rFonts w:asciiTheme="minorHAnsi" w:eastAsiaTheme="minorEastAsia" w:hAnsiTheme="minorHAnsi" w:cstheme="minorBidi"/>
                <w:noProof/>
                <w:sz w:val="22"/>
                <w:szCs w:val="22"/>
              </w:rPr>
            </w:pPr>
            <w:hyperlink w:anchor="_Toc52267342" w:history="1">
              <w:r w:rsidR="00BA641D" w:rsidRPr="009518F2">
                <w:rPr>
                  <w:rStyle w:val="Hypertextovodkaz"/>
                  <w:noProof/>
                </w:rPr>
                <w:t>2.1</w:t>
              </w:r>
              <w:r w:rsidR="00BA641D">
                <w:rPr>
                  <w:rFonts w:asciiTheme="minorHAnsi" w:eastAsiaTheme="minorEastAsia" w:hAnsiTheme="minorHAnsi" w:cstheme="minorBidi"/>
                  <w:noProof/>
                  <w:sz w:val="22"/>
                  <w:szCs w:val="22"/>
                </w:rPr>
                <w:tab/>
              </w:r>
              <w:r w:rsidR="00BA641D" w:rsidRPr="009518F2">
                <w:rPr>
                  <w:rStyle w:val="Hypertextovodkaz"/>
                  <w:noProof/>
                </w:rPr>
                <w:t>Předpoklady budoucího vývoje</w:t>
              </w:r>
              <w:r w:rsidR="00BA641D">
                <w:rPr>
                  <w:noProof/>
                  <w:webHidden/>
                </w:rPr>
                <w:tab/>
              </w:r>
              <w:r w:rsidR="00BA641D">
                <w:rPr>
                  <w:noProof/>
                  <w:webHidden/>
                </w:rPr>
                <w:fldChar w:fldCharType="begin"/>
              </w:r>
              <w:r w:rsidR="00BA641D">
                <w:rPr>
                  <w:noProof/>
                  <w:webHidden/>
                </w:rPr>
                <w:instrText xml:space="preserve"> PAGEREF _Toc52267342 \h </w:instrText>
              </w:r>
              <w:r w:rsidR="00BA641D">
                <w:rPr>
                  <w:noProof/>
                  <w:webHidden/>
                </w:rPr>
              </w:r>
              <w:r w:rsidR="00BA641D">
                <w:rPr>
                  <w:noProof/>
                  <w:webHidden/>
                </w:rPr>
                <w:fldChar w:fldCharType="separate"/>
              </w:r>
              <w:r w:rsidR="00F31E8E">
                <w:rPr>
                  <w:noProof/>
                  <w:webHidden/>
                </w:rPr>
                <w:t>2</w:t>
              </w:r>
              <w:r w:rsidR="00BA641D">
                <w:rPr>
                  <w:noProof/>
                  <w:webHidden/>
                </w:rPr>
                <w:fldChar w:fldCharType="end"/>
              </w:r>
            </w:hyperlink>
          </w:p>
          <w:p w14:paraId="2C75517F" w14:textId="59A5243D" w:rsidR="00BA641D" w:rsidRDefault="008F78E8">
            <w:pPr>
              <w:pStyle w:val="Obsah2"/>
              <w:rPr>
                <w:rFonts w:asciiTheme="minorHAnsi" w:eastAsiaTheme="minorEastAsia" w:hAnsiTheme="minorHAnsi" w:cstheme="minorBidi"/>
                <w:noProof/>
                <w:sz w:val="22"/>
                <w:szCs w:val="22"/>
              </w:rPr>
            </w:pPr>
            <w:hyperlink w:anchor="_Toc52267343" w:history="1">
              <w:r w:rsidR="00BA641D" w:rsidRPr="009518F2">
                <w:rPr>
                  <w:rStyle w:val="Hypertextovodkaz"/>
                  <w:noProof/>
                </w:rPr>
                <w:t>2.2</w:t>
              </w:r>
              <w:r w:rsidR="00BA641D">
                <w:rPr>
                  <w:rFonts w:asciiTheme="minorHAnsi" w:eastAsiaTheme="minorEastAsia" w:hAnsiTheme="minorHAnsi" w:cstheme="minorBidi"/>
                  <w:noProof/>
                  <w:sz w:val="22"/>
                  <w:szCs w:val="22"/>
                </w:rPr>
                <w:tab/>
              </w:r>
              <w:r w:rsidR="00BA641D" w:rsidRPr="009518F2">
                <w:rPr>
                  <w:rStyle w:val="Hypertextovodkaz"/>
                  <w:noProof/>
                </w:rPr>
                <w:t>Makroekonomický vývoj v České republice</w:t>
              </w:r>
              <w:r w:rsidR="00BA641D">
                <w:rPr>
                  <w:noProof/>
                  <w:webHidden/>
                </w:rPr>
                <w:tab/>
              </w:r>
              <w:r w:rsidR="00BA641D">
                <w:rPr>
                  <w:noProof/>
                  <w:webHidden/>
                </w:rPr>
                <w:fldChar w:fldCharType="begin"/>
              </w:r>
              <w:r w:rsidR="00BA641D">
                <w:rPr>
                  <w:noProof/>
                  <w:webHidden/>
                </w:rPr>
                <w:instrText xml:space="preserve"> PAGEREF _Toc52267343 \h </w:instrText>
              </w:r>
              <w:r w:rsidR="00BA641D">
                <w:rPr>
                  <w:noProof/>
                  <w:webHidden/>
                </w:rPr>
              </w:r>
              <w:r w:rsidR="00BA641D">
                <w:rPr>
                  <w:noProof/>
                  <w:webHidden/>
                </w:rPr>
                <w:fldChar w:fldCharType="separate"/>
              </w:r>
              <w:r w:rsidR="00F31E8E">
                <w:rPr>
                  <w:noProof/>
                  <w:webHidden/>
                </w:rPr>
                <w:t>4</w:t>
              </w:r>
              <w:r w:rsidR="00BA641D">
                <w:rPr>
                  <w:noProof/>
                  <w:webHidden/>
                </w:rPr>
                <w:fldChar w:fldCharType="end"/>
              </w:r>
            </w:hyperlink>
          </w:p>
          <w:p w14:paraId="2BC43E7E" w14:textId="615A0BE4" w:rsidR="00BA641D" w:rsidRDefault="008F78E8">
            <w:pPr>
              <w:pStyle w:val="Obsah2"/>
              <w:rPr>
                <w:rFonts w:asciiTheme="minorHAnsi" w:eastAsiaTheme="minorEastAsia" w:hAnsiTheme="minorHAnsi" w:cstheme="minorBidi"/>
                <w:noProof/>
                <w:sz w:val="22"/>
                <w:szCs w:val="22"/>
              </w:rPr>
            </w:pPr>
            <w:hyperlink w:anchor="_Toc52267344" w:history="1">
              <w:r w:rsidR="00BA641D" w:rsidRPr="009518F2">
                <w:rPr>
                  <w:rStyle w:val="Hypertextovodkaz"/>
                  <w:noProof/>
                </w:rPr>
                <w:t>2.3</w:t>
              </w:r>
              <w:r w:rsidR="00BA641D">
                <w:rPr>
                  <w:rFonts w:asciiTheme="minorHAnsi" w:eastAsiaTheme="minorEastAsia" w:hAnsiTheme="minorHAnsi" w:cstheme="minorBidi"/>
                  <w:noProof/>
                  <w:sz w:val="22"/>
                  <w:szCs w:val="22"/>
                </w:rPr>
                <w:tab/>
              </w:r>
              <w:r w:rsidR="00BA641D" w:rsidRPr="009518F2">
                <w:rPr>
                  <w:rStyle w:val="Hypertextovodkaz"/>
                  <w:noProof/>
                </w:rPr>
                <w:t>Nezávislé ověření makroekonomického rámce</w:t>
              </w:r>
              <w:r w:rsidR="00BA641D">
                <w:rPr>
                  <w:noProof/>
                  <w:webHidden/>
                </w:rPr>
                <w:tab/>
              </w:r>
              <w:r w:rsidR="00BA641D">
                <w:rPr>
                  <w:noProof/>
                  <w:webHidden/>
                </w:rPr>
                <w:fldChar w:fldCharType="begin"/>
              </w:r>
              <w:r w:rsidR="00BA641D">
                <w:rPr>
                  <w:noProof/>
                  <w:webHidden/>
                </w:rPr>
                <w:instrText xml:space="preserve"> PAGEREF _Toc52267344 \h </w:instrText>
              </w:r>
              <w:r w:rsidR="00BA641D">
                <w:rPr>
                  <w:noProof/>
                  <w:webHidden/>
                </w:rPr>
              </w:r>
              <w:r w:rsidR="00BA641D">
                <w:rPr>
                  <w:noProof/>
                  <w:webHidden/>
                </w:rPr>
                <w:fldChar w:fldCharType="separate"/>
              </w:r>
              <w:r w:rsidR="00F31E8E">
                <w:rPr>
                  <w:noProof/>
                  <w:webHidden/>
                </w:rPr>
                <w:t>7</w:t>
              </w:r>
              <w:r w:rsidR="00BA641D">
                <w:rPr>
                  <w:noProof/>
                  <w:webHidden/>
                </w:rPr>
                <w:fldChar w:fldCharType="end"/>
              </w:r>
            </w:hyperlink>
          </w:p>
          <w:p w14:paraId="229E3AF2" w14:textId="19B7CE57" w:rsidR="00BA641D" w:rsidRDefault="008F78E8">
            <w:pPr>
              <w:pStyle w:val="Obsah1"/>
              <w:rPr>
                <w:rFonts w:asciiTheme="minorHAnsi" w:eastAsiaTheme="minorEastAsia" w:hAnsiTheme="minorHAnsi" w:cstheme="minorBidi"/>
                <w:b w:val="0"/>
                <w:sz w:val="22"/>
                <w:szCs w:val="22"/>
              </w:rPr>
            </w:pPr>
            <w:hyperlink w:anchor="_Toc52267345" w:history="1">
              <w:r w:rsidR="00BA641D" w:rsidRPr="009518F2">
                <w:rPr>
                  <w:rStyle w:val="Hypertextovodkaz"/>
                </w:rPr>
                <w:t>3</w:t>
              </w:r>
              <w:r w:rsidR="00BA641D">
                <w:rPr>
                  <w:rFonts w:asciiTheme="minorHAnsi" w:eastAsiaTheme="minorEastAsia" w:hAnsiTheme="minorHAnsi" w:cstheme="minorBidi"/>
                  <w:b w:val="0"/>
                  <w:sz w:val="22"/>
                  <w:szCs w:val="22"/>
                </w:rPr>
                <w:tab/>
              </w:r>
              <w:r w:rsidR="00BA641D" w:rsidRPr="009518F2">
                <w:rPr>
                  <w:rStyle w:val="Hypertextovodkaz"/>
                </w:rPr>
                <w:t>Fiskální politika a veřejné finance</w:t>
              </w:r>
              <w:r w:rsidR="00BA641D">
                <w:rPr>
                  <w:webHidden/>
                </w:rPr>
                <w:tab/>
              </w:r>
              <w:r w:rsidR="00BA641D">
                <w:rPr>
                  <w:webHidden/>
                </w:rPr>
                <w:fldChar w:fldCharType="begin"/>
              </w:r>
              <w:r w:rsidR="00BA641D">
                <w:rPr>
                  <w:webHidden/>
                </w:rPr>
                <w:instrText xml:space="preserve"> PAGEREF _Toc52267345 \h </w:instrText>
              </w:r>
              <w:r w:rsidR="00BA641D">
                <w:rPr>
                  <w:webHidden/>
                </w:rPr>
              </w:r>
              <w:r w:rsidR="00BA641D">
                <w:rPr>
                  <w:webHidden/>
                </w:rPr>
                <w:fldChar w:fldCharType="separate"/>
              </w:r>
              <w:r w:rsidR="00F31E8E">
                <w:rPr>
                  <w:webHidden/>
                </w:rPr>
                <w:t>9</w:t>
              </w:r>
              <w:r w:rsidR="00BA641D">
                <w:rPr>
                  <w:webHidden/>
                </w:rPr>
                <w:fldChar w:fldCharType="end"/>
              </w:r>
            </w:hyperlink>
          </w:p>
          <w:p w14:paraId="2B482138" w14:textId="5E5C8197" w:rsidR="00BA641D" w:rsidRDefault="008F78E8">
            <w:pPr>
              <w:pStyle w:val="Obsah2"/>
              <w:rPr>
                <w:rFonts w:asciiTheme="minorHAnsi" w:eastAsiaTheme="minorEastAsia" w:hAnsiTheme="minorHAnsi" w:cstheme="minorBidi"/>
                <w:noProof/>
                <w:sz w:val="22"/>
                <w:szCs w:val="22"/>
              </w:rPr>
            </w:pPr>
            <w:hyperlink w:anchor="_Toc52267346" w:history="1">
              <w:r w:rsidR="00BA641D" w:rsidRPr="009518F2">
                <w:rPr>
                  <w:rStyle w:val="Hypertextovodkaz"/>
                  <w:noProof/>
                </w:rPr>
                <w:t>3.1</w:t>
              </w:r>
              <w:r w:rsidR="00BA641D">
                <w:rPr>
                  <w:rFonts w:asciiTheme="minorHAnsi" w:eastAsiaTheme="minorEastAsia" w:hAnsiTheme="minorHAnsi" w:cstheme="minorBidi"/>
                  <w:noProof/>
                  <w:sz w:val="22"/>
                  <w:szCs w:val="22"/>
                </w:rPr>
                <w:tab/>
              </w:r>
              <w:r w:rsidR="00BA641D" w:rsidRPr="009518F2">
                <w:rPr>
                  <w:rStyle w:val="Hypertextovodkaz"/>
                  <w:noProof/>
                </w:rPr>
                <w:t>Očekávané hospodaření sektoru vládních institucí v roce 2020</w:t>
              </w:r>
              <w:r w:rsidR="00BA641D">
                <w:rPr>
                  <w:noProof/>
                  <w:webHidden/>
                </w:rPr>
                <w:tab/>
              </w:r>
              <w:r w:rsidR="00BA641D">
                <w:rPr>
                  <w:noProof/>
                  <w:webHidden/>
                </w:rPr>
                <w:fldChar w:fldCharType="begin"/>
              </w:r>
              <w:r w:rsidR="00BA641D">
                <w:rPr>
                  <w:noProof/>
                  <w:webHidden/>
                </w:rPr>
                <w:instrText xml:space="preserve"> PAGEREF _Toc52267346 \h </w:instrText>
              </w:r>
              <w:r w:rsidR="00BA641D">
                <w:rPr>
                  <w:noProof/>
                  <w:webHidden/>
                </w:rPr>
              </w:r>
              <w:r w:rsidR="00BA641D">
                <w:rPr>
                  <w:noProof/>
                  <w:webHidden/>
                </w:rPr>
                <w:fldChar w:fldCharType="separate"/>
              </w:r>
              <w:r w:rsidR="00F31E8E">
                <w:rPr>
                  <w:noProof/>
                  <w:webHidden/>
                </w:rPr>
                <w:t>9</w:t>
              </w:r>
              <w:r w:rsidR="00BA641D">
                <w:rPr>
                  <w:noProof/>
                  <w:webHidden/>
                </w:rPr>
                <w:fldChar w:fldCharType="end"/>
              </w:r>
            </w:hyperlink>
          </w:p>
          <w:p w14:paraId="092F29E1" w14:textId="5CD41006" w:rsidR="00BA641D" w:rsidRDefault="008F78E8">
            <w:pPr>
              <w:pStyle w:val="Obsah2"/>
              <w:rPr>
                <w:rFonts w:asciiTheme="minorHAnsi" w:eastAsiaTheme="minorEastAsia" w:hAnsiTheme="minorHAnsi" w:cstheme="minorBidi"/>
                <w:noProof/>
                <w:sz w:val="22"/>
                <w:szCs w:val="22"/>
              </w:rPr>
            </w:pPr>
            <w:hyperlink w:anchor="_Toc52267347" w:history="1">
              <w:r w:rsidR="00BA641D" w:rsidRPr="009518F2">
                <w:rPr>
                  <w:rStyle w:val="Hypertextovodkaz"/>
                  <w:noProof/>
                </w:rPr>
                <w:t>3.2</w:t>
              </w:r>
              <w:r w:rsidR="00BA641D">
                <w:rPr>
                  <w:rFonts w:asciiTheme="minorHAnsi" w:eastAsiaTheme="minorEastAsia" w:hAnsiTheme="minorHAnsi" w:cstheme="minorBidi"/>
                  <w:noProof/>
                  <w:sz w:val="22"/>
                  <w:szCs w:val="22"/>
                </w:rPr>
                <w:tab/>
              </w:r>
              <w:r w:rsidR="00BA641D" w:rsidRPr="009518F2">
                <w:rPr>
                  <w:rStyle w:val="Hypertextovodkaz"/>
                  <w:noProof/>
                </w:rPr>
                <w:t>Predikce hospodaření sektoru vládních institucí v roce 2021</w:t>
              </w:r>
              <w:r w:rsidR="00BA641D">
                <w:rPr>
                  <w:noProof/>
                  <w:webHidden/>
                </w:rPr>
                <w:tab/>
              </w:r>
              <w:r w:rsidR="00BA641D">
                <w:rPr>
                  <w:noProof/>
                  <w:webHidden/>
                </w:rPr>
                <w:fldChar w:fldCharType="begin"/>
              </w:r>
              <w:r w:rsidR="00BA641D">
                <w:rPr>
                  <w:noProof/>
                  <w:webHidden/>
                </w:rPr>
                <w:instrText xml:space="preserve"> PAGEREF _Toc52267347 \h </w:instrText>
              </w:r>
              <w:r w:rsidR="00BA641D">
                <w:rPr>
                  <w:noProof/>
                  <w:webHidden/>
                </w:rPr>
              </w:r>
              <w:r w:rsidR="00BA641D">
                <w:rPr>
                  <w:noProof/>
                  <w:webHidden/>
                </w:rPr>
                <w:fldChar w:fldCharType="separate"/>
              </w:r>
              <w:r w:rsidR="00F31E8E">
                <w:rPr>
                  <w:noProof/>
                  <w:webHidden/>
                </w:rPr>
                <w:t>10</w:t>
              </w:r>
              <w:r w:rsidR="00BA641D">
                <w:rPr>
                  <w:noProof/>
                  <w:webHidden/>
                </w:rPr>
                <w:fldChar w:fldCharType="end"/>
              </w:r>
            </w:hyperlink>
          </w:p>
          <w:p w14:paraId="56FAB225" w14:textId="43065AFF" w:rsidR="00332D4D" w:rsidRPr="003B10C6" w:rsidRDefault="00332D4D" w:rsidP="00BA4BBC">
            <w:r w:rsidRPr="003B10C6">
              <w:rPr>
                <w:noProof/>
              </w:rPr>
              <w:fldChar w:fldCharType="end"/>
            </w:r>
          </w:p>
        </w:tc>
      </w:tr>
      <w:tr w:rsidR="00332D4D" w:rsidRPr="003B10C6" w14:paraId="05FBC002" w14:textId="77777777" w:rsidTr="001D4C6E">
        <w:trPr>
          <w:trHeight w:val="2885"/>
        </w:trPr>
        <w:tc>
          <w:tcPr>
            <w:tcW w:w="9778" w:type="dxa"/>
            <w:shd w:val="clear" w:color="auto" w:fill="auto"/>
            <w:vAlign w:val="bottom"/>
          </w:tcPr>
          <w:p w14:paraId="5BB33B6E" w14:textId="77777777" w:rsidR="00332D4D" w:rsidRPr="003B10C6" w:rsidRDefault="00332D4D" w:rsidP="007A1923">
            <w:pPr>
              <w:pStyle w:val="Odkazyvvodnmboxu"/>
            </w:pPr>
          </w:p>
        </w:tc>
      </w:tr>
    </w:tbl>
    <w:p w14:paraId="2601C66C" w14:textId="77777777" w:rsidR="00332D4D" w:rsidRPr="001F24FC" w:rsidRDefault="00332D4D" w:rsidP="00332D4D">
      <w:pPr>
        <w:sectPr w:rsidR="00332D4D" w:rsidRPr="001F24FC" w:rsidSect="007A1923">
          <w:headerReference w:type="even" r:id="rId9"/>
          <w:footerReference w:type="even" r:id="rId10"/>
          <w:pgSz w:w="11906" w:h="16838"/>
          <w:pgMar w:top="1134" w:right="1134" w:bottom="1134" w:left="1134" w:header="709" w:footer="709" w:gutter="0"/>
          <w:cols w:space="708"/>
          <w:docGrid w:linePitch="360"/>
        </w:sectPr>
      </w:pPr>
    </w:p>
    <w:p w14:paraId="2D25F1D4" w14:textId="77777777" w:rsidR="00332D4D" w:rsidRPr="006813A5" w:rsidRDefault="00332D4D" w:rsidP="00332D4D">
      <w:pPr>
        <w:pStyle w:val="Nadpismal"/>
        <w:spacing w:before="0"/>
      </w:pPr>
      <w:r w:rsidRPr="006813A5">
        <w:lastRenderedPageBreak/>
        <w:t>Seznam tabulek</w:t>
      </w:r>
    </w:p>
    <w:p w14:paraId="16611B14" w14:textId="49A6BCD0" w:rsidR="003507B7" w:rsidRDefault="00332D4D">
      <w:pPr>
        <w:pStyle w:val="Seznamobrzk"/>
        <w:rPr>
          <w:rFonts w:asciiTheme="minorHAnsi" w:eastAsiaTheme="minorEastAsia" w:hAnsiTheme="minorHAnsi" w:cstheme="minorBidi"/>
          <w:noProof/>
          <w:sz w:val="22"/>
          <w:szCs w:val="22"/>
        </w:rPr>
      </w:pPr>
      <w:r w:rsidRPr="003B10C6">
        <w:rPr>
          <w:noProof/>
        </w:rPr>
        <w:fldChar w:fldCharType="begin"/>
      </w:r>
      <w:r w:rsidRPr="003B10C6">
        <w:rPr>
          <w:noProof/>
        </w:rPr>
        <w:instrText xml:space="preserve"> TOC \h \z \c "Tabulka" </w:instrText>
      </w:r>
      <w:r w:rsidRPr="003B10C6">
        <w:rPr>
          <w:noProof/>
        </w:rPr>
        <w:fldChar w:fldCharType="separate"/>
      </w:r>
      <w:hyperlink w:anchor="_Toc51676895" w:history="1">
        <w:r w:rsidR="003507B7" w:rsidRPr="00AD3648">
          <w:rPr>
            <w:rStyle w:val="Hypertextovodkaz"/>
            <w:noProof/>
          </w:rPr>
          <w:t>Tabulka 1.1: Predikce základních makroekonomických indikátorů</w:t>
        </w:r>
        <w:r w:rsidR="003507B7">
          <w:rPr>
            <w:noProof/>
            <w:webHidden/>
          </w:rPr>
          <w:tab/>
        </w:r>
        <w:r w:rsidR="003507B7">
          <w:rPr>
            <w:noProof/>
            <w:webHidden/>
          </w:rPr>
          <w:fldChar w:fldCharType="begin"/>
        </w:r>
        <w:r w:rsidR="003507B7">
          <w:rPr>
            <w:noProof/>
            <w:webHidden/>
          </w:rPr>
          <w:instrText xml:space="preserve"> PAGEREF _Toc51676895 \h </w:instrText>
        </w:r>
        <w:r w:rsidR="003507B7">
          <w:rPr>
            <w:noProof/>
            <w:webHidden/>
          </w:rPr>
        </w:r>
        <w:r w:rsidR="003507B7">
          <w:rPr>
            <w:noProof/>
            <w:webHidden/>
          </w:rPr>
          <w:fldChar w:fldCharType="separate"/>
        </w:r>
        <w:r w:rsidR="00F31E8E">
          <w:rPr>
            <w:noProof/>
            <w:webHidden/>
          </w:rPr>
          <w:t>1</w:t>
        </w:r>
        <w:r w:rsidR="003507B7">
          <w:rPr>
            <w:noProof/>
            <w:webHidden/>
          </w:rPr>
          <w:fldChar w:fldCharType="end"/>
        </w:r>
      </w:hyperlink>
    </w:p>
    <w:p w14:paraId="26587E4C" w14:textId="34AA414A" w:rsidR="003507B7" w:rsidRDefault="008F78E8">
      <w:pPr>
        <w:pStyle w:val="Seznamobrzk"/>
        <w:rPr>
          <w:rFonts w:asciiTheme="minorHAnsi" w:eastAsiaTheme="minorEastAsia" w:hAnsiTheme="minorHAnsi" w:cstheme="minorBidi"/>
          <w:noProof/>
          <w:sz w:val="22"/>
          <w:szCs w:val="22"/>
        </w:rPr>
      </w:pPr>
      <w:hyperlink w:anchor="_Toc51676896" w:history="1">
        <w:r w:rsidR="003507B7" w:rsidRPr="00AD3648">
          <w:rPr>
            <w:rStyle w:val="Hypertextovodkaz"/>
            <w:noProof/>
          </w:rPr>
          <w:t>Tabulka 2.1: Ověření makroekonomického rámce nezávislými prognózami</w:t>
        </w:r>
        <w:r w:rsidR="003507B7">
          <w:rPr>
            <w:noProof/>
            <w:webHidden/>
          </w:rPr>
          <w:tab/>
        </w:r>
        <w:r w:rsidR="003507B7">
          <w:rPr>
            <w:noProof/>
            <w:webHidden/>
          </w:rPr>
          <w:fldChar w:fldCharType="begin"/>
        </w:r>
        <w:r w:rsidR="003507B7">
          <w:rPr>
            <w:noProof/>
            <w:webHidden/>
          </w:rPr>
          <w:instrText xml:space="preserve"> PAGEREF _Toc51676896 \h </w:instrText>
        </w:r>
        <w:r w:rsidR="003507B7">
          <w:rPr>
            <w:noProof/>
            <w:webHidden/>
          </w:rPr>
        </w:r>
        <w:r w:rsidR="003507B7">
          <w:rPr>
            <w:noProof/>
            <w:webHidden/>
          </w:rPr>
          <w:fldChar w:fldCharType="separate"/>
        </w:r>
        <w:r w:rsidR="00F31E8E">
          <w:rPr>
            <w:noProof/>
            <w:webHidden/>
          </w:rPr>
          <w:t>7</w:t>
        </w:r>
        <w:r w:rsidR="003507B7">
          <w:rPr>
            <w:noProof/>
            <w:webHidden/>
          </w:rPr>
          <w:fldChar w:fldCharType="end"/>
        </w:r>
      </w:hyperlink>
    </w:p>
    <w:p w14:paraId="2BF1EDA5" w14:textId="076D4EB1" w:rsidR="003507B7" w:rsidRDefault="008F78E8">
      <w:pPr>
        <w:pStyle w:val="Seznamobrzk"/>
        <w:rPr>
          <w:rFonts w:asciiTheme="minorHAnsi" w:eastAsiaTheme="minorEastAsia" w:hAnsiTheme="minorHAnsi" w:cstheme="minorBidi"/>
          <w:noProof/>
          <w:sz w:val="22"/>
          <w:szCs w:val="22"/>
        </w:rPr>
      </w:pPr>
      <w:hyperlink w:anchor="_Toc51676897" w:history="1">
        <w:r w:rsidR="003507B7" w:rsidRPr="00AD3648">
          <w:rPr>
            <w:rStyle w:val="Hypertextovodkaz"/>
            <w:noProof/>
          </w:rPr>
          <w:t>Tabulka 2.3: Porovnání prognóz Ministerstva financí a Evropské komise</w:t>
        </w:r>
        <w:r w:rsidR="003507B7">
          <w:rPr>
            <w:noProof/>
            <w:webHidden/>
          </w:rPr>
          <w:tab/>
        </w:r>
        <w:r w:rsidR="003507B7">
          <w:rPr>
            <w:noProof/>
            <w:webHidden/>
          </w:rPr>
          <w:fldChar w:fldCharType="begin"/>
        </w:r>
        <w:r w:rsidR="003507B7">
          <w:rPr>
            <w:noProof/>
            <w:webHidden/>
          </w:rPr>
          <w:instrText xml:space="preserve"> PAGEREF _Toc51676897 \h </w:instrText>
        </w:r>
        <w:r w:rsidR="003507B7">
          <w:rPr>
            <w:noProof/>
            <w:webHidden/>
          </w:rPr>
        </w:r>
        <w:r w:rsidR="003507B7">
          <w:rPr>
            <w:noProof/>
            <w:webHidden/>
          </w:rPr>
          <w:fldChar w:fldCharType="separate"/>
        </w:r>
        <w:r w:rsidR="00F31E8E">
          <w:rPr>
            <w:noProof/>
            <w:webHidden/>
          </w:rPr>
          <w:t>8</w:t>
        </w:r>
        <w:r w:rsidR="003507B7">
          <w:rPr>
            <w:noProof/>
            <w:webHidden/>
          </w:rPr>
          <w:fldChar w:fldCharType="end"/>
        </w:r>
      </w:hyperlink>
    </w:p>
    <w:p w14:paraId="26A0C662" w14:textId="3501853C" w:rsidR="00332D4D" w:rsidRPr="003B10C6" w:rsidRDefault="00332D4D" w:rsidP="00332D4D">
      <w:pPr>
        <w:pStyle w:val="Seznamobrzk"/>
      </w:pPr>
      <w:r w:rsidRPr="003B10C6">
        <w:rPr>
          <w:noProof/>
        </w:rPr>
        <w:fldChar w:fldCharType="end"/>
      </w:r>
    </w:p>
    <w:p w14:paraId="00E75A26" w14:textId="77777777" w:rsidR="00332D4D" w:rsidRPr="003B10C6" w:rsidRDefault="00332D4D" w:rsidP="00332D4D">
      <w:pPr>
        <w:pStyle w:val="Nadpismal"/>
      </w:pPr>
      <w:r w:rsidRPr="003B10C6">
        <w:t xml:space="preserve">Seznam </w:t>
      </w:r>
      <w:r>
        <w:t>obrázků</w:t>
      </w:r>
    </w:p>
    <w:p w14:paraId="0EDC0894" w14:textId="01AAEC18" w:rsidR="00663D3D" w:rsidRDefault="00332D4D">
      <w:pPr>
        <w:pStyle w:val="Seznamobrzk"/>
        <w:rPr>
          <w:rFonts w:asciiTheme="minorHAnsi" w:eastAsiaTheme="minorEastAsia" w:hAnsiTheme="minorHAnsi" w:cstheme="minorBidi"/>
          <w:noProof/>
          <w:sz w:val="22"/>
          <w:szCs w:val="22"/>
        </w:rPr>
      </w:pPr>
      <w:r>
        <w:fldChar w:fldCharType="begin"/>
      </w:r>
      <w:r>
        <w:instrText xml:space="preserve"> TOC \h \z \c "Obrázek" </w:instrText>
      </w:r>
      <w:r>
        <w:fldChar w:fldCharType="separate"/>
      </w:r>
      <w:hyperlink w:anchor="_Toc52270171" w:history="1">
        <w:r w:rsidR="00663D3D" w:rsidRPr="00D02CA0">
          <w:rPr>
            <w:rStyle w:val="Hypertextovodkaz"/>
            <w:noProof/>
          </w:rPr>
          <w:t>Obrázek 2.1: Reálný hrubý domácí produkt eurozóny</w:t>
        </w:r>
        <w:r w:rsidR="00663D3D">
          <w:rPr>
            <w:noProof/>
            <w:webHidden/>
          </w:rPr>
          <w:tab/>
        </w:r>
        <w:r w:rsidR="00663D3D">
          <w:rPr>
            <w:noProof/>
            <w:webHidden/>
          </w:rPr>
          <w:fldChar w:fldCharType="begin"/>
        </w:r>
        <w:r w:rsidR="00663D3D">
          <w:rPr>
            <w:noProof/>
            <w:webHidden/>
          </w:rPr>
          <w:instrText xml:space="preserve"> PAGEREF _Toc52270171 \h </w:instrText>
        </w:r>
        <w:r w:rsidR="00663D3D">
          <w:rPr>
            <w:noProof/>
            <w:webHidden/>
          </w:rPr>
        </w:r>
        <w:r w:rsidR="00663D3D">
          <w:rPr>
            <w:noProof/>
            <w:webHidden/>
          </w:rPr>
          <w:fldChar w:fldCharType="separate"/>
        </w:r>
        <w:r w:rsidR="00F31E8E">
          <w:rPr>
            <w:noProof/>
            <w:webHidden/>
          </w:rPr>
          <w:t>3</w:t>
        </w:r>
        <w:r w:rsidR="00663D3D">
          <w:rPr>
            <w:noProof/>
            <w:webHidden/>
          </w:rPr>
          <w:fldChar w:fldCharType="end"/>
        </w:r>
      </w:hyperlink>
    </w:p>
    <w:p w14:paraId="2A41CE1D" w14:textId="70EBB270" w:rsidR="00663D3D" w:rsidRDefault="008F78E8">
      <w:pPr>
        <w:pStyle w:val="Seznamobrzk"/>
        <w:rPr>
          <w:rFonts w:asciiTheme="minorHAnsi" w:eastAsiaTheme="minorEastAsia" w:hAnsiTheme="minorHAnsi" w:cstheme="minorBidi"/>
          <w:noProof/>
          <w:sz w:val="22"/>
          <w:szCs w:val="22"/>
        </w:rPr>
      </w:pPr>
      <w:hyperlink w:anchor="_Toc52270172" w:history="1">
        <w:r w:rsidR="00663D3D" w:rsidRPr="00D02CA0">
          <w:rPr>
            <w:rStyle w:val="Hypertextovodkaz"/>
            <w:noProof/>
          </w:rPr>
          <w:t>Obrázek 2.2: Cena ropy Brent</w:t>
        </w:r>
        <w:r w:rsidR="00663D3D">
          <w:rPr>
            <w:noProof/>
            <w:webHidden/>
          </w:rPr>
          <w:tab/>
        </w:r>
        <w:r w:rsidR="00663D3D">
          <w:rPr>
            <w:noProof/>
            <w:webHidden/>
          </w:rPr>
          <w:fldChar w:fldCharType="begin"/>
        </w:r>
        <w:r w:rsidR="00663D3D">
          <w:rPr>
            <w:noProof/>
            <w:webHidden/>
          </w:rPr>
          <w:instrText xml:space="preserve"> PAGEREF _Toc52270172 \h </w:instrText>
        </w:r>
        <w:r w:rsidR="00663D3D">
          <w:rPr>
            <w:noProof/>
            <w:webHidden/>
          </w:rPr>
        </w:r>
        <w:r w:rsidR="00663D3D">
          <w:rPr>
            <w:noProof/>
            <w:webHidden/>
          </w:rPr>
          <w:fldChar w:fldCharType="separate"/>
        </w:r>
        <w:r w:rsidR="00F31E8E">
          <w:rPr>
            <w:noProof/>
            <w:webHidden/>
          </w:rPr>
          <w:t>3</w:t>
        </w:r>
        <w:r w:rsidR="00663D3D">
          <w:rPr>
            <w:noProof/>
            <w:webHidden/>
          </w:rPr>
          <w:fldChar w:fldCharType="end"/>
        </w:r>
      </w:hyperlink>
    </w:p>
    <w:p w14:paraId="398CF8CA" w14:textId="5AD696D7" w:rsidR="00663D3D" w:rsidRDefault="008F78E8">
      <w:pPr>
        <w:pStyle w:val="Seznamobrzk"/>
        <w:rPr>
          <w:rFonts w:asciiTheme="minorHAnsi" w:eastAsiaTheme="minorEastAsia" w:hAnsiTheme="minorHAnsi" w:cstheme="minorBidi"/>
          <w:noProof/>
          <w:sz w:val="22"/>
          <w:szCs w:val="22"/>
        </w:rPr>
      </w:pPr>
      <w:hyperlink w:anchor="_Toc52270173" w:history="1">
        <w:r w:rsidR="00663D3D" w:rsidRPr="00D02CA0">
          <w:rPr>
            <w:rStyle w:val="Hypertextovodkaz"/>
            <w:noProof/>
          </w:rPr>
          <w:t>Obrázek 2.3: Měnový kurz CZK/EUR</w:t>
        </w:r>
        <w:r w:rsidR="00663D3D">
          <w:rPr>
            <w:noProof/>
            <w:webHidden/>
          </w:rPr>
          <w:tab/>
        </w:r>
        <w:r w:rsidR="00663D3D">
          <w:rPr>
            <w:noProof/>
            <w:webHidden/>
          </w:rPr>
          <w:fldChar w:fldCharType="begin"/>
        </w:r>
        <w:r w:rsidR="00663D3D">
          <w:rPr>
            <w:noProof/>
            <w:webHidden/>
          </w:rPr>
          <w:instrText xml:space="preserve"> PAGEREF _Toc52270173 \h </w:instrText>
        </w:r>
        <w:r w:rsidR="00663D3D">
          <w:rPr>
            <w:noProof/>
            <w:webHidden/>
          </w:rPr>
        </w:r>
        <w:r w:rsidR="00663D3D">
          <w:rPr>
            <w:noProof/>
            <w:webHidden/>
          </w:rPr>
          <w:fldChar w:fldCharType="separate"/>
        </w:r>
        <w:r w:rsidR="00F31E8E">
          <w:rPr>
            <w:noProof/>
            <w:webHidden/>
          </w:rPr>
          <w:t>4</w:t>
        </w:r>
        <w:r w:rsidR="00663D3D">
          <w:rPr>
            <w:noProof/>
            <w:webHidden/>
          </w:rPr>
          <w:fldChar w:fldCharType="end"/>
        </w:r>
      </w:hyperlink>
    </w:p>
    <w:p w14:paraId="70313772" w14:textId="535BB394" w:rsidR="00663D3D" w:rsidRDefault="008F78E8">
      <w:pPr>
        <w:pStyle w:val="Seznamobrzk"/>
        <w:rPr>
          <w:rFonts w:asciiTheme="minorHAnsi" w:eastAsiaTheme="minorEastAsia" w:hAnsiTheme="minorHAnsi" w:cstheme="minorBidi"/>
          <w:noProof/>
          <w:sz w:val="22"/>
          <w:szCs w:val="22"/>
        </w:rPr>
      </w:pPr>
      <w:hyperlink w:anchor="_Toc52270174" w:history="1">
        <w:r w:rsidR="00663D3D" w:rsidRPr="00D02CA0">
          <w:rPr>
            <w:rStyle w:val="Hypertextovodkaz"/>
            <w:noProof/>
          </w:rPr>
          <w:t>Obrázek 2.4: Reálný hrubý domácí produkt</w:t>
        </w:r>
        <w:r w:rsidR="00663D3D">
          <w:rPr>
            <w:noProof/>
            <w:webHidden/>
          </w:rPr>
          <w:tab/>
        </w:r>
        <w:r w:rsidR="00663D3D">
          <w:rPr>
            <w:noProof/>
            <w:webHidden/>
          </w:rPr>
          <w:fldChar w:fldCharType="begin"/>
        </w:r>
        <w:r w:rsidR="00663D3D">
          <w:rPr>
            <w:noProof/>
            <w:webHidden/>
          </w:rPr>
          <w:instrText xml:space="preserve"> PAGEREF _Toc52270174 \h </w:instrText>
        </w:r>
        <w:r w:rsidR="00663D3D">
          <w:rPr>
            <w:noProof/>
            <w:webHidden/>
          </w:rPr>
        </w:r>
        <w:r w:rsidR="00663D3D">
          <w:rPr>
            <w:noProof/>
            <w:webHidden/>
          </w:rPr>
          <w:fldChar w:fldCharType="separate"/>
        </w:r>
        <w:r w:rsidR="00F31E8E">
          <w:rPr>
            <w:noProof/>
            <w:webHidden/>
          </w:rPr>
          <w:t>4</w:t>
        </w:r>
        <w:r w:rsidR="00663D3D">
          <w:rPr>
            <w:noProof/>
            <w:webHidden/>
          </w:rPr>
          <w:fldChar w:fldCharType="end"/>
        </w:r>
      </w:hyperlink>
    </w:p>
    <w:p w14:paraId="2B28F6FE" w14:textId="5DC059F6" w:rsidR="00663D3D" w:rsidRDefault="008F78E8">
      <w:pPr>
        <w:pStyle w:val="Seznamobrzk"/>
        <w:rPr>
          <w:rFonts w:asciiTheme="minorHAnsi" w:eastAsiaTheme="minorEastAsia" w:hAnsiTheme="minorHAnsi" w:cstheme="minorBidi"/>
          <w:noProof/>
          <w:sz w:val="22"/>
          <w:szCs w:val="22"/>
        </w:rPr>
      </w:pPr>
      <w:hyperlink w:anchor="_Toc52270175" w:history="1">
        <w:r w:rsidR="00663D3D" w:rsidRPr="00D02CA0">
          <w:rPr>
            <w:rStyle w:val="Hypertextovodkaz"/>
            <w:noProof/>
          </w:rPr>
          <w:t>Obrázek 2.5: Spotřebitelské ceny</w:t>
        </w:r>
        <w:r w:rsidR="00663D3D">
          <w:rPr>
            <w:noProof/>
            <w:webHidden/>
          </w:rPr>
          <w:tab/>
        </w:r>
        <w:r w:rsidR="00663D3D">
          <w:rPr>
            <w:noProof/>
            <w:webHidden/>
          </w:rPr>
          <w:fldChar w:fldCharType="begin"/>
        </w:r>
        <w:r w:rsidR="00663D3D">
          <w:rPr>
            <w:noProof/>
            <w:webHidden/>
          </w:rPr>
          <w:instrText xml:space="preserve"> PAGEREF _Toc52270175 \h </w:instrText>
        </w:r>
        <w:r w:rsidR="00663D3D">
          <w:rPr>
            <w:noProof/>
            <w:webHidden/>
          </w:rPr>
        </w:r>
        <w:r w:rsidR="00663D3D">
          <w:rPr>
            <w:noProof/>
            <w:webHidden/>
          </w:rPr>
          <w:fldChar w:fldCharType="separate"/>
        </w:r>
        <w:r w:rsidR="00F31E8E">
          <w:rPr>
            <w:noProof/>
            <w:webHidden/>
          </w:rPr>
          <w:t>5</w:t>
        </w:r>
        <w:r w:rsidR="00663D3D">
          <w:rPr>
            <w:noProof/>
            <w:webHidden/>
          </w:rPr>
          <w:fldChar w:fldCharType="end"/>
        </w:r>
      </w:hyperlink>
    </w:p>
    <w:p w14:paraId="5D983B60" w14:textId="63EC170F" w:rsidR="00663D3D" w:rsidRDefault="008F78E8">
      <w:pPr>
        <w:pStyle w:val="Seznamobrzk"/>
        <w:rPr>
          <w:rFonts w:asciiTheme="minorHAnsi" w:eastAsiaTheme="minorEastAsia" w:hAnsiTheme="minorHAnsi" w:cstheme="minorBidi"/>
          <w:noProof/>
          <w:sz w:val="22"/>
          <w:szCs w:val="22"/>
        </w:rPr>
      </w:pPr>
      <w:hyperlink w:anchor="_Toc52270176" w:history="1">
        <w:r w:rsidR="00663D3D" w:rsidRPr="00D02CA0">
          <w:rPr>
            <w:rStyle w:val="Hypertextovodkaz"/>
            <w:noProof/>
          </w:rPr>
          <w:t>Obrázek 2.6: Zaměstnanost</w:t>
        </w:r>
        <w:r w:rsidR="00663D3D">
          <w:rPr>
            <w:noProof/>
            <w:webHidden/>
          </w:rPr>
          <w:tab/>
        </w:r>
        <w:r w:rsidR="00663D3D">
          <w:rPr>
            <w:noProof/>
            <w:webHidden/>
          </w:rPr>
          <w:fldChar w:fldCharType="begin"/>
        </w:r>
        <w:r w:rsidR="00663D3D">
          <w:rPr>
            <w:noProof/>
            <w:webHidden/>
          </w:rPr>
          <w:instrText xml:space="preserve"> PAGEREF _Toc52270176 \h </w:instrText>
        </w:r>
        <w:r w:rsidR="00663D3D">
          <w:rPr>
            <w:noProof/>
            <w:webHidden/>
          </w:rPr>
        </w:r>
        <w:r w:rsidR="00663D3D">
          <w:rPr>
            <w:noProof/>
            <w:webHidden/>
          </w:rPr>
          <w:fldChar w:fldCharType="separate"/>
        </w:r>
        <w:r w:rsidR="00F31E8E">
          <w:rPr>
            <w:noProof/>
            <w:webHidden/>
          </w:rPr>
          <w:t>5</w:t>
        </w:r>
        <w:r w:rsidR="00663D3D">
          <w:rPr>
            <w:noProof/>
            <w:webHidden/>
          </w:rPr>
          <w:fldChar w:fldCharType="end"/>
        </w:r>
      </w:hyperlink>
    </w:p>
    <w:p w14:paraId="342AA832" w14:textId="1AC5087A" w:rsidR="00663D3D" w:rsidRDefault="008F78E8">
      <w:pPr>
        <w:pStyle w:val="Seznamobrzk"/>
        <w:rPr>
          <w:rFonts w:asciiTheme="minorHAnsi" w:eastAsiaTheme="minorEastAsia" w:hAnsiTheme="minorHAnsi" w:cstheme="minorBidi"/>
          <w:noProof/>
          <w:sz w:val="22"/>
          <w:szCs w:val="22"/>
        </w:rPr>
      </w:pPr>
      <w:hyperlink w:anchor="_Toc52270177" w:history="1">
        <w:r w:rsidR="00663D3D" w:rsidRPr="00D02CA0">
          <w:rPr>
            <w:rStyle w:val="Hypertextovodkaz"/>
            <w:noProof/>
          </w:rPr>
          <w:t>Obrázek 2.7: Míra nezaměstnanosti</w:t>
        </w:r>
        <w:r w:rsidR="00663D3D">
          <w:rPr>
            <w:noProof/>
            <w:webHidden/>
          </w:rPr>
          <w:tab/>
        </w:r>
        <w:r w:rsidR="00663D3D">
          <w:rPr>
            <w:noProof/>
            <w:webHidden/>
          </w:rPr>
          <w:fldChar w:fldCharType="begin"/>
        </w:r>
        <w:r w:rsidR="00663D3D">
          <w:rPr>
            <w:noProof/>
            <w:webHidden/>
          </w:rPr>
          <w:instrText xml:space="preserve"> PAGEREF _Toc52270177 \h </w:instrText>
        </w:r>
        <w:r w:rsidR="00663D3D">
          <w:rPr>
            <w:noProof/>
            <w:webHidden/>
          </w:rPr>
        </w:r>
        <w:r w:rsidR="00663D3D">
          <w:rPr>
            <w:noProof/>
            <w:webHidden/>
          </w:rPr>
          <w:fldChar w:fldCharType="separate"/>
        </w:r>
        <w:r w:rsidR="00F31E8E">
          <w:rPr>
            <w:noProof/>
            <w:webHidden/>
          </w:rPr>
          <w:t>6</w:t>
        </w:r>
        <w:r w:rsidR="00663D3D">
          <w:rPr>
            <w:noProof/>
            <w:webHidden/>
          </w:rPr>
          <w:fldChar w:fldCharType="end"/>
        </w:r>
      </w:hyperlink>
    </w:p>
    <w:p w14:paraId="6383433B" w14:textId="0266997E" w:rsidR="00663D3D" w:rsidRDefault="008F78E8">
      <w:pPr>
        <w:pStyle w:val="Seznamobrzk"/>
        <w:rPr>
          <w:rFonts w:asciiTheme="minorHAnsi" w:eastAsiaTheme="minorEastAsia" w:hAnsiTheme="minorHAnsi" w:cstheme="minorBidi"/>
          <w:noProof/>
          <w:sz w:val="22"/>
          <w:szCs w:val="22"/>
        </w:rPr>
      </w:pPr>
      <w:hyperlink w:anchor="_Toc52270178" w:history="1">
        <w:r w:rsidR="00663D3D" w:rsidRPr="00D02CA0">
          <w:rPr>
            <w:rStyle w:val="Hypertextovodkaz"/>
            <w:noProof/>
          </w:rPr>
          <w:t>Obrázek 2.8: Objem mezd a platů</w:t>
        </w:r>
        <w:r w:rsidR="00663D3D">
          <w:rPr>
            <w:noProof/>
            <w:webHidden/>
          </w:rPr>
          <w:tab/>
        </w:r>
        <w:r w:rsidR="00663D3D">
          <w:rPr>
            <w:noProof/>
            <w:webHidden/>
          </w:rPr>
          <w:fldChar w:fldCharType="begin"/>
        </w:r>
        <w:r w:rsidR="00663D3D">
          <w:rPr>
            <w:noProof/>
            <w:webHidden/>
          </w:rPr>
          <w:instrText xml:space="preserve"> PAGEREF _Toc52270178 \h </w:instrText>
        </w:r>
        <w:r w:rsidR="00663D3D">
          <w:rPr>
            <w:noProof/>
            <w:webHidden/>
          </w:rPr>
        </w:r>
        <w:r w:rsidR="00663D3D">
          <w:rPr>
            <w:noProof/>
            <w:webHidden/>
          </w:rPr>
          <w:fldChar w:fldCharType="separate"/>
        </w:r>
        <w:r w:rsidR="00F31E8E">
          <w:rPr>
            <w:noProof/>
            <w:webHidden/>
          </w:rPr>
          <w:t>6</w:t>
        </w:r>
        <w:r w:rsidR="00663D3D">
          <w:rPr>
            <w:noProof/>
            <w:webHidden/>
          </w:rPr>
          <w:fldChar w:fldCharType="end"/>
        </w:r>
      </w:hyperlink>
    </w:p>
    <w:p w14:paraId="3DB709B2" w14:textId="6DB2309D" w:rsidR="00663D3D" w:rsidRDefault="008F78E8">
      <w:pPr>
        <w:pStyle w:val="Seznamobrzk"/>
        <w:rPr>
          <w:rFonts w:asciiTheme="minorHAnsi" w:eastAsiaTheme="minorEastAsia" w:hAnsiTheme="minorHAnsi" w:cstheme="minorBidi"/>
          <w:noProof/>
          <w:sz w:val="22"/>
          <w:szCs w:val="22"/>
        </w:rPr>
      </w:pPr>
      <w:hyperlink w:anchor="_Toc52270179" w:history="1">
        <w:r w:rsidR="00663D3D" w:rsidRPr="00D02CA0">
          <w:rPr>
            <w:rStyle w:val="Hypertextovodkaz"/>
            <w:noProof/>
          </w:rPr>
          <w:t>Obrázek 2.9: Saldo běžného účtu platební bilance</w:t>
        </w:r>
        <w:r w:rsidR="00663D3D">
          <w:rPr>
            <w:noProof/>
            <w:webHidden/>
          </w:rPr>
          <w:tab/>
        </w:r>
        <w:r w:rsidR="00663D3D">
          <w:rPr>
            <w:noProof/>
            <w:webHidden/>
          </w:rPr>
          <w:fldChar w:fldCharType="begin"/>
        </w:r>
        <w:r w:rsidR="00663D3D">
          <w:rPr>
            <w:noProof/>
            <w:webHidden/>
          </w:rPr>
          <w:instrText xml:space="preserve"> PAGEREF _Toc52270179 \h </w:instrText>
        </w:r>
        <w:r w:rsidR="00663D3D">
          <w:rPr>
            <w:noProof/>
            <w:webHidden/>
          </w:rPr>
        </w:r>
        <w:r w:rsidR="00663D3D">
          <w:rPr>
            <w:noProof/>
            <w:webHidden/>
          </w:rPr>
          <w:fldChar w:fldCharType="separate"/>
        </w:r>
        <w:r w:rsidR="00F31E8E">
          <w:rPr>
            <w:noProof/>
            <w:webHidden/>
          </w:rPr>
          <w:t>6</w:t>
        </w:r>
        <w:r w:rsidR="00663D3D">
          <w:rPr>
            <w:noProof/>
            <w:webHidden/>
          </w:rPr>
          <w:fldChar w:fldCharType="end"/>
        </w:r>
      </w:hyperlink>
    </w:p>
    <w:p w14:paraId="219328F9" w14:textId="1E5DC85B" w:rsidR="00332D4D" w:rsidRDefault="00332D4D" w:rsidP="008F140B">
      <w:pPr>
        <w:pStyle w:val="Nadpismal"/>
      </w:pPr>
      <w:r>
        <w:fldChar w:fldCharType="end"/>
      </w:r>
    </w:p>
    <w:p w14:paraId="25978ABC" w14:textId="77777777" w:rsidR="00332D4D" w:rsidRDefault="00332D4D" w:rsidP="00332D4D">
      <w:pPr>
        <w:sectPr w:rsidR="00332D4D" w:rsidSect="007A1923">
          <w:headerReference w:type="default" r:id="rId11"/>
          <w:footerReference w:type="default" r:id="rId12"/>
          <w:type w:val="oddPage"/>
          <w:pgSz w:w="11906" w:h="16838" w:code="9"/>
          <w:pgMar w:top="1134" w:right="1134" w:bottom="1418" w:left="1134" w:header="709" w:footer="709" w:gutter="0"/>
          <w:pgNumType w:start="1"/>
          <w:cols w:space="709"/>
          <w:docGrid w:linePitch="360"/>
        </w:sectPr>
      </w:pPr>
    </w:p>
    <w:p w14:paraId="41B22391" w14:textId="77777777" w:rsidR="00A53081" w:rsidRDefault="00337956" w:rsidP="00C43D9D">
      <w:pPr>
        <w:pStyle w:val="Nadpis1"/>
      </w:pPr>
      <w:bookmarkStart w:id="0" w:name="_Toc52267340"/>
      <w:bookmarkStart w:id="1" w:name="_Toc525714682"/>
      <w:bookmarkStart w:id="2" w:name="_Toc14695473"/>
      <w:r>
        <w:lastRenderedPageBreak/>
        <w:t>Úvod a shrnutí</w:t>
      </w:r>
      <w:bookmarkEnd w:id="0"/>
    </w:p>
    <w:p w14:paraId="04876D58" w14:textId="3C27DEEE" w:rsidR="00AA5850" w:rsidRDefault="00AA5850" w:rsidP="00AA5850">
      <w:r w:rsidRPr="008F140B">
        <w:t xml:space="preserve">Makroekonomický rámec byl dne </w:t>
      </w:r>
      <w:r>
        <w:t>21</w:t>
      </w:r>
      <w:r w:rsidRPr="008F140B">
        <w:t>.</w:t>
      </w:r>
      <w:r>
        <w:t> září 2020,</w:t>
      </w:r>
      <w:r w:rsidRPr="008F140B">
        <w:t xml:space="preserve"> v souladu se zákonem č.</w:t>
      </w:r>
      <w:r>
        <w:t> </w:t>
      </w:r>
      <w:r w:rsidRPr="008F140B">
        <w:t>23/2017 Sb., o pravidlech rozpočtové odpovědnosti,</w:t>
      </w:r>
      <w:r>
        <w:t xml:space="preserve"> ve znění pozdějších předpisů,</w:t>
      </w:r>
      <w:r w:rsidRPr="008F140B">
        <w:t xml:space="preserve"> posouzen Výborem pro rozpočtové prognózy. </w:t>
      </w:r>
      <w:r w:rsidRPr="00257980">
        <w:t xml:space="preserve">Výbor vyhodnotil makroekonomickou prognózu jako </w:t>
      </w:r>
      <w:r w:rsidRPr="001C4C8D">
        <w:rPr>
          <w:b/>
        </w:rPr>
        <w:t>realistickou</w:t>
      </w:r>
      <w:r w:rsidRPr="001C4C8D">
        <w:t>.</w:t>
      </w:r>
      <w:r w:rsidRPr="00C43D9D">
        <w:t xml:space="preserve"> </w:t>
      </w:r>
      <w:r>
        <w:t>Makroekonomický rámec byl rovněž porovnán s </w:t>
      </w:r>
      <w:r w:rsidRPr="00F06376">
        <w:t>pr</w:t>
      </w:r>
      <w:r>
        <w:t xml:space="preserve">ognózami </w:t>
      </w:r>
      <w:r w:rsidRPr="00F06376">
        <w:t>ostatních institucí zabývajících se předpovídáním budoucího vývoje české ekonomiky.</w:t>
      </w:r>
      <w:r>
        <w:t xml:space="preserve"> Ve většině případů scénář makroekonomického rámce nevybočuje z intervalu sledovaných prognóz.</w:t>
      </w:r>
    </w:p>
    <w:p w14:paraId="4CADAC06" w14:textId="395DFBA8" w:rsidR="00084691" w:rsidRDefault="00242137" w:rsidP="00084691">
      <w:r>
        <w:t xml:space="preserve">Součástí rámce je </w:t>
      </w:r>
      <w:r w:rsidRPr="00034DC0">
        <w:rPr>
          <w:b/>
        </w:rPr>
        <w:t>nastavení fiskální politiky</w:t>
      </w:r>
      <w:r>
        <w:t xml:space="preserve">, kterou lze pro rok 2021 </w:t>
      </w:r>
      <w:r w:rsidRPr="00182B91">
        <w:t xml:space="preserve">charakterizovat jako expanzivní v reakci na </w:t>
      </w:r>
      <w:r>
        <w:t>očekávané křehké ekonomické oži</w:t>
      </w:r>
      <w:r w:rsidRPr="00182B91">
        <w:t>v</w:t>
      </w:r>
      <w:r>
        <w:t>e</w:t>
      </w:r>
      <w:r w:rsidRPr="00182B91">
        <w:t>ní.</w:t>
      </w:r>
      <w:r>
        <w:t xml:space="preserve"> Výdajový rámec odvozený v tomto roce pro rok 2021 navíc bere do úvahy aktuální makroekonomickou situaci ve smyslu zákona č. 288/2020 Sb. Tím by fiskální politika neměla bránit ekonomickému oživení a zatěžovat ho nadměrnou restrikcí. Rovněž </w:t>
      </w:r>
      <w:r w:rsidRPr="00034DC0">
        <w:rPr>
          <w:b/>
        </w:rPr>
        <w:t>měnové podmínky</w:t>
      </w:r>
      <w:r>
        <w:t xml:space="preserve"> by na ekonomiku díky úrokové složce měly působit stimulačně, jelikož kurzová složka by měla být prakticky neutrální</w:t>
      </w:r>
      <w:r w:rsidR="00084691">
        <w:t>.</w:t>
      </w:r>
    </w:p>
    <w:p w14:paraId="3A79D6C4" w14:textId="77777777" w:rsidR="00337956" w:rsidRPr="00E663E3" w:rsidRDefault="00337956" w:rsidP="00C43D9D">
      <w:pPr>
        <w:sectPr w:rsidR="00337956" w:rsidRPr="00E663E3" w:rsidSect="00A53081">
          <w:headerReference w:type="default" r:id="rId13"/>
          <w:footerReference w:type="even" r:id="rId14"/>
          <w:footerReference w:type="default" r:id="rId15"/>
          <w:type w:val="continuous"/>
          <w:pgSz w:w="11906" w:h="16838" w:code="9"/>
          <w:pgMar w:top="1134" w:right="1134" w:bottom="1418" w:left="1134" w:header="709" w:footer="709" w:gutter="0"/>
          <w:pgNumType w:start="1"/>
          <w:cols w:space="397"/>
          <w:docGrid w:linePitch="360"/>
        </w:sectPr>
      </w:pPr>
    </w:p>
    <w:bookmarkEnd w:id="1"/>
    <w:bookmarkEnd w:id="2"/>
    <w:p w14:paraId="77617863" w14:textId="20B76BFC" w:rsidR="00842E08" w:rsidRDefault="00842E08" w:rsidP="00842E08">
      <w:r w:rsidRPr="009C75A9">
        <w:t xml:space="preserve">Česká ekonomika je zcela zásadním způsobem ovlivněna pandemií nového typu </w:t>
      </w:r>
      <w:proofErr w:type="spellStart"/>
      <w:r w:rsidRPr="009C75A9">
        <w:t>koronaviru</w:t>
      </w:r>
      <w:proofErr w:type="spellEnd"/>
      <w:r w:rsidRPr="009C75A9">
        <w:t xml:space="preserve">. </w:t>
      </w:r>
      <w:r>
        <w:t>P</w:t>
      </w:r>
      <w:r w:rsidRPr="009C75A9">
        <w:t xml:space="preserve">řijatá </w:t>
      </w:r>
      <w:r>
        <w:t xml:space="preserve">protiepidemická opatření </w:t>
      </w:r>
      <w:r w:rsidRPr="009C75A9">
        <w:t xml:space="preserve">způsobila v 1. pololetí 2020 </w:t>
      </w:r>
      <w:r w:rsidRPr="001E50C9">
        <w:rPr>
          <w:b/>
        </w:rPr>
        <w:t>mimořádně hlubokou recesi</w:t>
      </w:r>
      <w:r w:rsidRPr="009C75A9">
        <w:t xml:space="preserve">. K poklesu </w:t>
      </w:r>
      <w:r>
        <w:t>došlo ve všech složkách užití s </w:t>
      </w:r>
      <w:r w:rsidRPr="009C75A9">
        <w:t>výjimkou spotř</w:t>
      </w:r>
      <w:r>
        <w:t>eby sektoru vládních institucí.</w:t>
      </w:r>
    </w:p>
    <w:p w14:paraId="71546027" w14:textId="77777777" w:rsidR="00842E08" w:rsidRDefault="00842E08" w:rsidP="00842E08">
      <w:r w:rsidRPr="009C75A9">
        <w:t>V makroekonomické</w:t>
      </w:r>
      <w:r>
        <w:t>m</w:t>
      </w:r>
      <w:r w:rsidRPr="009C75A9">
        <w:t xml:space="preserve"> </w:t>
      </w:r>
      <w:r>
        <w:t>rám</w:t>
      </w:r>
      <w:r w:rsidRPr="009C75A9">
        <w:t xml:space="preserve">ci pracujeme se </w:t>
      </w:r>
      <w:r w:rsidRPr="00840347">
        <w:t>scénářem</w:t>
      </w:r>
      <w:r w:rsidRPr="009C75A9">
        <w:t xml:space="preserve">, že již nebudou přijímána další významná restriktivní opatření v souvislosti s epidemiologickou situací. Ekonomická aktivita by </w:t>
      </w:r>
      <w:r>
        <w:t xml:space="preserve">se </w:t>
      </w:r>
      <w:r w:rsidRPr="009C75A9">
        <w:t>měla pozvolna oživovat, a šok do agregátní poptávky i nabídky by tak měl být pouze dočasný a jednorázový.</w:t>
      </w:r>
    </w:p>
    <w:p w14:paraId="4CF9B17A" w14:textId="28650B77" w:rsidR="00842E08" w:rsidRDefault="00842E08" w:rsidP="00842E08">
      <w:r w:rsidRPr="001E50C9">
        <w:rPr>
          <w:b/>
        </w:rPr>
        <w:t>Trh práce</w:t>
      </w:r>
      <w:r>
        <w:t xml:space="preserve"> je ovlivněn přijatými opatřeními hospodářské poli</w:t>
      </w:r>
      <w:r w:rsidR="00D60631">
        <w:t>tiky, zejména programy</w:t>
      </w:r>
      <w:r>
        <w:t xml:space="preserve"> Antivirus. Očekáváme, že z hlediska časové souslednosti n</w:t>
      </w:r>
      <w:r w:rsidRPr="00675AE8">
        <w:t>a něj navá</w:t>
      </w:r>
      <w:r>
        <w:t>že</w:t>
      </w:r>
      <w:r w:rsidRPr="00675AE8">
        <w:t xml:space="preserve"> </w:t>
      </w:r>
      <w:r>
        <w:t>obecnější</w:t>
      </w:r>
      <w:r w:rsidRPr="00675AE8">
        <w:t xml:space="preserve"> </w:t>
      </w:r>
      <w:r w:rsidRPr="00675AE8">
        <w:t xml:space="preserve">mechanismus pro podporu v částečné zaměstnanosti, tzv. </w:t>
      </w:r>
      <w:proofErr w:type="spellStart"/>
      <w:r w:rsidRPr="00675AE8">
        <w:t>kurzarbeit</w:t>
      </w:r>
      <w:proofErr w:type="spellEnd"/>
      <w:r w:rsidRPr="00675AE8">
        <w:t>.</w:t>
      </w:r>
      <w:r>
        <w:t xml:space="preserve"> Pokles zaměstnanosti i růst nezaměstnanosti by proto měl být nadále tlumen. Růst výdělků je však</w:t>
      </w:r>
      <w:r w:rsidR="00D60631">
        <w:t xml:space="preserve"> odhadován jako</w:t>
      </w:r>
      <w:r>
        <w:t xml:space="preserve"> velmi slabý.</w:t>
      </w:r>
    </w:p>
    <w:p w14:paraId="221A7229" w14:textId="28C14087" w:rsidR="00842E08" w:rsidRDefault="002C2C3C" w:rsidP="00842E08">
      <w:r>
        <w:t>Dynamika</w:t>
      </w:r>
      <w:r w:rsidR="00842E08">
        <w:t xml:space="preserve"> </w:t>
      </w:r>
      <w:r w:rsidR="00842E08" w:rsidRPr="000D147B">
        <w:rPr>
          <w:b/>
        </w:rPr>
        <w:t>spotřebitelských cen</w:t>
      </w:r>
      <w:r w:rsidR="00842E08">
        <w:t xml:space="preserve"> se pohybuje nad horní hranicí tolerančního pásma inflačního cíle České národní banky. Vysoká jádrová inflace je zřejmě odrazem nedávných omezení na nabídkové straně ekonomiky.</w:t>
      </w:r>
    </w:p>
    <w:p w14:paraId="6BE8CAC0" w14:textId="6719F37F" w:rsidR="00F068A0" w:rsidRDefault="00F068A0" w:rsidP="00F068A0">
      <w:r w:rsidRPr="00575C6F">
        <w:t xml:space="preserve">V </w:t>
      </w:r>
      <w:r w:rsidRPr="00575C6F">
        <w:rPr>
          <w:b/>
        </w:rPr>
        <w:t>makroekonomickém rámci</w:t>
      </w:r>
      <w:r w:rsidRPr="00575C6F">
        <w:t xml:space="preserve"> je očekáván postupn</w:t>
      </w:r>
      <w:r>
        <w:t>ý</w:t>
      </w:r>
      <w:r w:rsidRPr="00575C6F">
        <w:t xml:space="preserve"> </w:t>
      </w:r>
      <w:r>
        <w:t>nárůst hospodářs</w:t>
      </w:r>
      <w:r w:rsidRPr="00575C6F">
        <w:t xml:space="preserve">kého </w:t>
      </w:r>
      <w:r>
        <w:t>výkonu</w:t>
      </w:r>
      <w:r w:rsidRPr="00575C6F">
        <w:t xml:space="preserve">. Průměrná míra inflace by </w:t>
      </w:r>
      <w:r>
        <w:t xml:space="preserve">se v roce </w:t>
      </w:r>
      <w:r w:rsidRPr="00575C6F">
        <w:t>202</w:t>
      </w:r>
      <w:r>
        <w:t>1</w:t>
      </w:r>
      <w:r w:rsidRPr="00575C6F">
        <w:t xml:space="preserve"> měla </w:t>
      </w:r>
      <w:r>
        <w:t>pohybovat</w:t>
      </w:r>
      <w:r w:rsidRPr="00575C6F">
        <w:t xml:space="preserve"> v</w:t>
      </w:r>
      <w:r>
        <w:t> blízkosti</w:t>
      </w:r>
      <w:r w:rsidRPr="00575C6F">
        <w:t xml:space="preserve"> inflačního cíle. </w:t>
      </w:r>
      <w:r>
        <w:t>Vývoj</w:t>
      </w:r>
      <w:r w:rsidRPr="00575C6F">
        <w:t xml:space="preserve"> na trhu práce by mě</w:t>
      </w:r>
      <w:r>
        <w:t>l</w:t>
      </w:r>
      <w:r w:rsidRPr="00575C6F">
        <w:t xml:space="preserve"> </w:t>
      </w:r>
      <w:r>
        <w:t>se zpožděním následovat dynamiku hrubého domácího produktu</w:t>
      </w:r>
      <w:r w:rsidRPr="00575C6F">
        <w:t xml:space="preserve">. Běžný účet platební bilance by měl </w:t>
      </w:r>
      <w:r>
        <w:t>vykazovat</w:t>
      </w:r>
      <w:r w:rsidRPr="00575C6F">
        <w:t xml:space="preserve"> </w:t>
      </w:r>
      <w:r>
        <w:t>mírný</w:t>
      </w:r>
      <w:r w:rsidRPr="00575C6F">
        <w:t xml:space="preserve"> přebyt</w:t>
      </w:r>
      <w:r>
        <w:t>e</w:t>
      </w:r>
      <w:r w:rsidRPr="00575C6F">
        <w:t>k.</w:t>
      </w:r>
    </w:p>
    <w:p w14:paraId="01B410F9" w14:textId="77777777" w:rsidR="00B41B9D" w:rsidRDefault="00B41B9D" w:rsidP="00332D4D">
      <w:pPr>
        <w:sectPr w:rsidR="00B41B9D" w:rsidSect="007A1923">
          <w:type w:val="continuous"/>
          <w:pgSz w:w="11906" w:h="16838" w:code="9"/>
          <w:pgMar w:top="1134" w:right="1134" w:bottom="1418" w:left="1134" w:header="709" w:footer="709" w:gutter="0"/>
          <w:cols w:num="2" w:space="397"/>
          <w:docGrid w:linePitch="360"/>
        </w:sectPr>
      </w:pPr>
    </w:p>
    <w:p w14:paraId="73FBC8C4" w14:textId="6327C843" w:rsidR="00332D4D" w:rsidRDefault="00332D4D" w:rsidP="00A53081">
      <w:pPr>
        <w:pStyle w:val="Titulek"/>
      </w:pPr>
      <w:bookmarkStart w:id="3" w:name="_Toc51676895"/>
      <w:r w:rsidRPr="00B87A57">
        <w:t xml:space="preserve">Tabulka </w:t>
      </w:r>
      <w:r w:rsidR="008F78E8">
        <w:fldChar w:fldCharType="begin"/>
      </w:r>
      <w:r w:rsidR="008F78E8">
        <w:instrText xml:space="preserve"> STYLEREF 1 \s </w:instrText>
      </w:r>
      <w:r w:rsidR="008F78E8">
        <w:fldChar w:fldCharType="separate"/>
      </w:r>
      <w:r w:rsidR="00F31E8E">
        <w:rPr>
          <w:noProof/>
        </w:rPr>
        <w:t>1</w:t>
      </w:r>
      <w:r w:rsidR="008F78E8">
        <w:rPr>
          <w:noProof/>
        </w:rPr>
        <w:fldChar w:fldCharType="end"/>
      </w:r>
      <w:r w:rsidRPr="00B87A57">
        <w:t>.</w:t>
      </w:r>
      <w:r w:rsidR="008F78E8">
        <w:fldChar w:fldCharType="begin"/>
      </w:r>
      <w:r w:rsidR="008F78E8">
        <w:instrText xml:space="preserve"> SEQ Tabulka \* ARABIC \s 1 </w:instrText>
      </w:r>
      <w:r w:rsidR="008F78E8">
        <w:fldChar w:fldCharType="separate"/>
      </w:r>
      <w:r w:rsidR="00F31E8E">
        <w:rPr>
          <w:noProof/>
        </w:rPr>
        <w:t>1</w:t>
      </w:r>
      <w:r w:rsidR="008F78E8">
        <w:rPr>
          <w:noProof/>
        </w:rPr>
        <w:fldChar w:fldCharType="end"/>
      </w:r>
      <w:r w:rsidRPr="00B87A57">
        <w:t>:</w:t>
      </w:r>
      <w:r w:rsidRPr="00877BE7">
        <w:t xml:space="preserve"> </w:t>
      </w:r>
      <w:r w:rsidRPr="00383A1A">
        <w:t xml:space="preserve">Predikce základních </w:t>
      </w:r>
      <w:r w:rsidRPr="00A53081">
        <w:t>makroekonomických</w:t>
      </w:r>
      <w:r w:rsidRPr="00383A1A">
        <w:t xml:space="preserve"> indikátorů</w:t>
      </w:r>
      <w:bookmarkEnd w:id="3"/>
    </w:p>
    <w:p w14:paraId="1D51FCC5" w14:textId="66AFE87A" w:rsidR="00A53081" w:rsidRDefault="0051115F" w:rsidP="00A53081">
      <w:pPr>
        <w:spacing w:after="0"/>
        <w:rPr>
          <w:noProof/>
        </w:rPr>
      </w:pPr>
      <w:r w:rsidRPr="0051115F">
        <w:rPr>
          <w:noProof/>
        </w:rPr>
        <w:drawing>
          <wp:inline distT="0" distB="0" distL="0" distR="0" wp14:anchorId="0A780C07" wp14:editId="6DAB7B8E">
            <wp:extent cx="5374005" cy="3390265"/>
            <wp:effectExtent l="0" t="0" r="0" b="635"/>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74005" cy="3390265"/>
                    </a:xfrm>
                    <a:prstGeom prst="rect">
                      <a:avLst/>
                    </a:prstGeom>
                    <a:noFill/>
                    <a:ln>
                      <a:noFill/>
                    </a:ln>
                  </pic:spPr>
                </pic:pic>
              </a:graphicData>
            </a:graphic>
          </wp:inline>
        </w:drawing>
      </w:r>
    </w:p>
    <w:p w14:paraId="6D5ADBD1" w14:textId="77777777" w:rsidR="008B0ED2" w:rsidRDefault="00332D4D" w:rsidP="00A53081">
      <w:pPr>
        <w:pStyle w:val="Zdrojpodtabulkounebografem"/>
      </w:pPr>
      <w:r w:rsidRPr="00B87A57">
        <w:t xml:space="preserve">Zdroj: </w:t>
      </w:r>
      <w:r w:rsidRPr="00383A1A">
        <w:t>MF</w:t>
      </w:r>
      <w:r w:rsidR="00A53081">
        <w:t> ČR</w:t>
      </w:r>
      <w:r w:rsidRPr="00383A1A">
        <w:t>: Makroekonomická predikce ČR</w:t>
      </w:r>
      <w:r w:rsidR="00A53081">
        <w:t xml:space="preserve"> (</w:t>
      </w:r>
      <w:r w:rsidR="00C755B5">
        <w:t>září 2020)</w:t>
      </w:r>
      <w:r w:rsidRPr="0058437E">
        <w:t>.</w:t>
      </w:r>
    </w:p>
    <w:p w14:paraId="51AFE15A" w14:textId="77777777" w:rsidR="00337956" w:rsidRDefault="00337956" w:rsidP="00337956">
      <w:pPr>
        <w:pStyle w:val="Nadpis1"/>
      </w:pPr>
      <w:bookmarkStart w:id="4" w:name="_Toc52267341"/>
      <w:r>
        <w:lastRenderedPageBreak/>
        <w:t>Makroekonomický rámec</w:t>
      </w:r>
      <w:bookmarkEnd w:id="4"/>
    </w:p>
    <w:p w14:paraId="1AA011D4" w14:textId="0A169276" w:rsidR="00AA5850" w:rsidRDefault="00E70C8F" w:rsidP="00AA5850">
      <w:pPr>
        <w:sectPr w:rsidR="00AA5850" w:rsidSect="007A1923">
          <w:type w:val="continuous"/>
          <w:pgSz w:w="11906" w:h="16838" w:code="9"/>
          <w:pgMar w:top="1134" w:right="1134" w:bottom="1418" w:left="1134" w:header="709" w:footer="709" w:gutter="0"/>
          <w:cols w:space="397"/>
          <w:docGrid w:linePitch="360"/>
        </w:sectPr>
      </w:pPr>
      <w:r w:rsidRPr="008F140B">
        <w:t xml:space="preserve">Makroekonomický rámec </w:t>
      </w:r>
      <w:r>
        <w:t>návrhu</w:t>
      </w:r>
      <w:r w:rsidRPr="008F140B">
        <w:t xml:space="preserve"> státního rozpočtu na rok 202</w:t>
      </w:r>
      <w:r>
        <w:t>1</w:t>
      </w:r>
      <w:r w:rsidRPr="008F140B">
        <w:t xml:space="preserve"> vychází z</w:t>
      </w:r>
      <w:r>
        <w:t xml:space="preserve"> </w:t>
      </w:r>
      <w:r w:rsidRPr="008F140B">
        <w:t>Makroekonomické predikce Ministerstva financí</w:t>
      </w:r>
      <w:r>
        <w:t xml:space="preserve"> ze září 2020.</w:t>
      </w:r>
    </w:p>
    <w:p w14:paraId="1481672C" w14:textId="49F6C2E8" w:rsidR="00AA5850" w:rsidRDefault="00AA5850" w:rsidP="00AA5850">
      <w:r>
        <w:t xml:space="preserve">Pandemie </w:t>
      </w:r>
      <w:proofErr w:type="spellStart"/>
      <w:r>
        <w:t>koronaviru</w:t>
      </w:r>
      <w:proofErr w:type="spellEnd"/>
      <w:r>
        <w:t>, p</w:t>
      </w:r>
      <w:r w:rsidRPr="00B5718A">
        <w:t>řij</w:t>
      </w:r>
      <w:r>
        <w:t>atá</w:t>
      </w:r>
      <w:r w:rsidRPr="00B5718A">
        <w:t xml:space="preserve"> </w:t>
      </w:r>
      <w:r>
        <w:t xml:space="preserve">protiepidemická </w:t>
      </w:r>
      <w:r w:rsidRPr="00B5718A">
        <w:t>opatření a</w:t>
      </w:r>
      <w:r>
        <w:t> </w:t>
      </w:r>
      <w:r w:rsidRPr="00B5718A">
        <w:t>jejich doprovodné efekty</w:t>
      </w:r>
      <w:r>
        <w:t xml:space="preserve"> způsobily hluboký propad české a světové</w:t>
      </w:r>
      <w:r w:rsidRPr="009E24EE">
        <w:t xml:space="preserve"> ekonomik</w:t>
      </w:r>
      <w:r>
        <w:t>y. P</w:t>
      </w:r>
      <w:r w:rsidRPr="006F16B1">
        <w:t>o dosažení vrcholu hospodářského cyklu v roce 2019</w:t>
      </w:r>
      <w:r>
        <w:t xml:space="preserve"> se tak česká ekonomika </w:t>
      </w:r>
      <w:r w:rsidRPr="006F16B1">
        <w:t>propadla do hluboce záporné mezery výstupu.</w:t>
      </w:r>
      <w:r>
        <w:t xml:space="preserve"> Ta by se však díky </w:t>
      </w:r>
      <w:r w:rsidRPr="006F16B1">
        <w:t>hospodářské</w:t>
      </w:r>
      <w:r>
        <w:t>mu</w:t>
      </w:r>
      <w:r w:rsidRPr="006F16B1">
        <w:t xml:space="preserve"> oživení měla uzavírat a již v</w:t>
      </w:r>
      <w:r>
        <w:t> </w:t>
      </w:r>
      <w:r w:rsidRPr="006F16B1">
        <w:t>roce 2022 by se ekonomika měla nacházet v blízkosti rovnovážného stavu.</w:t>
      </w:r>
      <w:r>
        <w:t xml:space="preserve"> Budoucí vývoj </w:t>
      </w:r>
      <w:r w:rsidRPr="00AC4C22">
        <w:t xml:space="preserve">je </w:t>
      </w:r>
      <w:r>
        <w:t xml:space="preserve">však </w:t>
      </w:r>
      <w:r w:rsidRPr="00AC4C22">
        <w:t xml:space="preserve">zatížen řadou </w:t>
      </w:r>
      <w:r w:rsidRPr="00AC4C22">
        <w:rPr>
          <w:b/>
        </w:rPr>
        <w:t>rizik</w:t>
      </w:r>
      <w:r w:rsidRPr="00AC4C22">
        <w:t xml:space="preserve">, která </w:t>
      </w:r>
      <w:r>
        <w:t>v </w:t>
      </w:r>
      <w:r w:rsidRPr="00AC4C22">
        <w:t>úhrnu</w:t>
      </w:r>
      <w:r>
        <w:t xml:space="preserve"> vnímáme jako</w:t>
      </w:r>
      <w:r w:rsidRPr="00AC4C22">
        <w:t xml:space="preserve"> </w:t>
      </w:r>
      <w:r>
        <w:rPr>
          <w:b/>
        </w:rPr>
        <w:t>výrazně negativní</w:t>
      </w:r>
      <w:r w:rsidRPr="00AC4C22">
        <w:t>.</w:t>
      </w:r>
    </w:p>
    <w:p w14:paraId="435FCD2A" w14:textId="1006CFAB" w:rsidR="00AA5850" w:rsidRDefault="00AA5850" w:rsidP="00AA5850">
      <w:r w:rsidRPr="007F4857">
        <w:t xml:space="preserve">Za nejvýznamnější riziko pokládáme </w:t>
      </w:r>
      <w:r w:rsidRPr="00885258">
        <w:rPr>
          <w:b/>
        </w:rPr>
        <w:t xml:space="preserve">další průběh pandemie nového typu </w:t>
      </w:r>
      <w:proofErr w:type="spellStart"/>
      <w:r w:rsidRPr="00885258">
        <w:rPr>
          <w:b/>
        </w:rPr>
        <w:t>koronaviru</w:t>
      </w:r>
      <w:proofErr w:type="spellEnd"/>
      <w:r w:rsidRPr="00840347">
        <w:t>.</w:t>
      </w:r>
      <w:r w:rsidRPr="007F4857">
        <w:t xml:space="preserve"> V některých státech, včetně ČR, se v současné době rychle zvyšuje počet nových potvrzených případů nákazy. </w:t>
      </w:r>
      <w:r>
        <w:t xml:space="preserve">Na druhou stranu oproti jaru </w:t>
      </w:r>
      <w:r w:rsidRPr="007F4857">
        <w:t>roste význam systémů tzv. chytré karantény</w:t>
      </w:r>
      <w:r>
        <w:t xml:space="preserve">, včetně schopnosti rychle podchytit </w:t>
      </w:r>
      <w:r w:rsidR="00590FFB">
        <w:t xml:space="preserve">vyšší počty </w:t>
      </w:r>
      <w:r>
        <w:t>nakažených na lokálních úrovních</w:t>
      </w:r>
      <w:r w:rsidRPr="007F4857">
        <w:t>.</w:t>
      </w:r>
    </w:p>
    <w:p w14:paraId="4D4E975A" w14:textId="77777777" w:rsidR="00AA5850" w:rsidRDefault="00AA5850" w:rsidP="00AA5850">
      <w:r w:rsidRPr="007F4857">
        <w:rPr>
          <w:b/>
        </w:rPr>
        <w:t>Spojené království vystoupilo</w:t>
      </w:r>
      <w:r w:rsidRPr="007F4857">
        <w:t xml:space="preserve"> 31. ledna 2020 </w:t>
      </w:r>
      <w:r w:rsidRPr="007F4857">
        <w:rPr>
          <w:b/>
        </w:rPr>
        <w:t>z Evropské unie</w:t>
      </w:r>
      <w:r w:rsidRPr="007F4857">
        <w:t xml:space="preserve"> s uzavřenou dohodou. Během přechodného období, které potrvá do konce letošního roku, by se obě strany měly dohodnout na podobě budoucích vztahů, mj. v</w:t>
      </w:r>
      <w:r>
        <w:t> </w:t>
      </w:r>
      <w:r w:rsidRPr="007F4857">
        <w:t>oblasti mezinárodního obchodu. Vzhledem k ratifikač</w:t>
      </w:r>
      <w:r w:rsidRPr="007F4857">
        <w:t>nímu procesu v jednotlivých státech je přitom nezbytné uzavřít jednání podstatně dříve. Makroekonomick</w:t>
      </w:r>
      <w:r>
        <w:t>ý rámec</w:t>
      </w:r>
      <w:r w:rsidRPr="007F4857">
        <w:t xml:space="preserve"> je založen na předpokladu, že nové vztahy v maximální možné míře zachovají volný pohyb zboží a služeb. Riziko, že ke konci roku dojde k tzv. „tvrdému brexitu“</w:t>
      </w:r>
      <w:r>
        <w:t>,</w:t>
      </w:r>
      <w:r w:rsidRPr="007F4857">
        <w:t xml:space="preserve"> respektive k</w:t>
      </w:r>
      <w:r>
        <w:t>e</w:t>
      </w:r>
      <w:r w:rsidRPr="007F4857">
        <w:t xml:space="preserve"> </w:t>
      </w:r>
      <w:r>
        <w:t>vzniku</w:t>
      </w:r>
      <w:r w:rsidRPr="007F4857">
        <w:t xml:space="preserve"> tarifních i netarifních bariér v zahraničním obchodu, však považujeme za výrazné. </w:t>
      </w:r>
    </w:p>
    <w:p w14:paraId="5B114264" w14:textId="05536D07" w:rsidR="00AA5850" w:rsidRDefault="00AA5850" w:rsidP="00AA5850">
      <w:r>
        <w:t xml:space="preserve">Negativní faktor </w:t>
      </w:r>
      <w:r w:rsidRPr="00191FA1">
        <w:t xml:space="preserve">představuje také </w:t>
      </w:r>
      <w:r w:rsidRPr="00191FA1">
        <w:rPr>
          <w:b/>
        </w:rPr>
        <w:t>napětí v obchodních vztazích</w:t>
      </w:r>
      <w:r w:rsidRPr="00191FA1">
        <w:t xml:space="preserve"> mezi Spojenými státy americkými a Čínou</w:t>
      </w:r>
      <w:r>
        <w:t>, potažmo EU</w:t>
      </w:r>
      <w:r w:rsidRPr="00191FA1">
        <w:t xml:space="preserve">. </w:t>
      </w:r>
      <w:r>
        <w:t xml:space="preserve">Pandemie </w:t>
      </w:r>
      <w:proofErr w:type="spellStart"/>
      <w:r>
        <w:t>koronaviru</w:t>
      </w:r>
      <w:proofErr w:type="spellEnd"/>
      <w:r>
        <w:t xml:space="preserve"> sice otázku obchodních vztahů upozadila, </w:t>
      </w:r>
      <w:r w:rsidRPr="00191FA1">
        <w:t>opětovnou eskalaci spor</w:t>
      </w:r>
      <w:r>
        <w:t>ů</w:t>
      </w:r>
      <w:r w:rsidRPr="00191FA1">
        <w:t xml:space="preserve"> </w:t>
      </w:r>
      <w:r>
        <w:t xml:space="preserve">ale není možné vyloučit (např. v rámci snahy „ochránit“ americký průmysl před zahraniční konkurencí, a </w:t>
      </w:r>
      <w:r w:rsidR="00590FFB">
        <w:t xml:space="preserve">pomoci tak </w:t>
      </w:r>
      <w:r>
        <w:t xml:space="preserve">ekonomice překonat dopady pandemie </w:t>
      </w:r>
      <w:proofErr w:type="spellStart"/>
      <w:r>
        <w:t>koronaviru</w:t>
      </w:r>
      <w:proofErr w:type="spellEnd"/>
      <w:r>
        <w:t xml:space="preserve">). </w:t>
      </w:r>
    </w:p>
    <w:p w14:paraId="5A5CA166" w14:textId="419BD447" w:rsidR="00AA5850" w:rsidRDefault="00AA5850" w:rsidP="00084691">
      <w:pPr>
        <w:sectPr w:rsidR="00AA5850" w:rsidSect="00AA5850">
          <w:type w:val="continuous"/>
          <w:pgSz w:w="11906" w:h="16838" w:code="9"/>
          <w:pgMar w:top="1134" w:right="1134" w:bottom="1418" w:left="1134" w:header="709" w:footer="709" w:gutter="0"/>
          <w:cols w:num="2" w:space="397"/>
          <w:docGrid w:linePitch="360"/>
        </w:sectPr>
      </w:pPr>
      <w:r w:rsidRPr="00885258">
        <w:t xml:space="preserve">Mezi </w:t>
      </w:r>
      <w:r w:rsidRPr="00885258">
        <w:rPr>
          <w:b/>
        </w:rPr>
        <w:t>vnitřní rizika</w:t>
      </w:r>
      <w:r w:rsidRPr="00885258">
        <w:t xml:space="preserve"> patří míra pružnosti trh</w:t>
      </w:r>
      <w:r>
        <w:t>u</w:t>
      </w:r>
      <w:r w:rsidRPr="00885258">
        <w:t xml:space="preserve"> práce při absorbování důsledků nevyhnutelných cyklických i strukturálních změn při útlumu či naopak expanzi některých odvětví, vývoj v automobilovém průmyslu </w:t>
      </w:r>
      <w:r>
        <w:t xml:space="preserve">(též s ohledem na </w:t>
      </w:r>
      <w:r w:rsidRPr="00885258">
        <w:t>změny v globálních produkčních řetězcích</w:t>
      </w:r>
      <w:r>
        <w:t>) a na trhu nemovitostí.</w:t>
      </w:r>
    </w:p>
    <w:p w14:paraId="29555D9D" w14:textId="43663820" w:rsidR="00AA5850" w:rsidRPr="00A53081" w:rsidRDefault="00AA5850" w:rsidP="00A53081">
      <w:pPr>
        <w:sectPr w:rsidR="00AA5850" w:rsidRPr="00A53081" w:rsidSect="007A1923">
          <w:type w:val="continuous"/>
          <w:pgSz w:w="11906" w:h="16838" w:code="9"/>
          <w:pgMar w:top="1134" w:right="1134" w:bottom="1418" w:left="1134" w:header="709" w:footer="709" w:gutter="0"/>
          <w:cols w:space="397"/>
          <w:docGrid w:linePitch="360"/>
        </w:sectPr>
      </w:pPr>
    </w:p>
    <w:p w14:paraId="0E90BD71" w14:textId="77777777" w:rsidR="00332D4D" w:rsidRDefault="008B0ED2" w:rsidP="00332D4D">
      <w:pPr>
        <w:pStyle w:val="Nadpis2"/>
      </w:pPr>
      <w:bookmarkStart w:id="5" w:name="_Toc525714684"/>
      <w:bookmarkStart w:id="6" w:name="_Toc14695474"/>
      <w:bookmarkStart w:id="7" w:name="_Toc52267342"/>
      <w:r>
        <w:t>Předpoklady budoucího vývoje</w:t>
      </w:r>
      <w:bookmarkEnd w:id="5"/>
      <w:bookmarkEnd w:id="6"/>
      <w:bookmarkEnd w:id="7"/>
    </w:p>
    <w:p w14:paraId="61C057BD" w14:textId="77777777" w:rsidR="00332D4D" w:rsidRDefault="00332D4D" w:rsidP="00332D4D">
      <w:pPr>
        <w:sectPr w:rsidR="00332D4D" w:rsidSect="007A1923">
          <w:type w:val="continuous"/>
          <w:pgSz w:w="11906" w:h="16838" w:code="9"/>
          <w:pgMar w:top="1134" w:right="1134" w:bottom="1418" w:left="1134" w:header="709" w:footer="709" w:gutter="0"/>
          <w:cols w:space="709"/>
          <w:docGrid w:linePitch="360"/>
        </w:sectPr>
      </w:pPr>
    </w:p>
    <w:p w14:paraId="2AF2D6A3" w14:textId="77777777" w:rsidR="00332D4D" w:rsidRDefault="008B0ED2" w:rsidP="00027D0D">
      <w:pPr>
        <w:pStyle w:val="Nadpis3"/>
        <w:spacing w:before="0"/>
      </w:pPr>
      <w:bookmarkStart w:id="8" w:name="_Toc525714685"/>
      <w:r>
        <w:t>Vnější prostředí</w:t>
      </w:r>
      <w:bookmarkEnd w:id="8"/>
    </w:p>
    <w:p w14:paraId="4120F10C" w14:textId="77777777" w:rsidR="00695CCE" w:rsidRDefault="00695CCE" w:rsidP="00695CCE">
      <w:r w:rsidRPr="002E0F76">
        <w:rPr>
          <w:b/>
        </w:rPr>
        <w:t>Světová ekonomika</w:t>
      </w:r>
      <w:r>
        <w:t xml:space="preserve"> rostla mezi lety 2012–2019 poměrně stabilním tempem v intervalu přibližně 3–4 %. </w:t>
      </w:r>
      <w:r w:rsidR="005F65C3">
        <w:t>G</w:t>
      </w:r>
      <w:r>
        <w:t>lobální ekonomick</w:t>
      </w:r>
      <w:r w:rsidR="005F65C3">
        <w:t>ý</w:t>
      </w:r>
      <w:r>
        <w:t xml:space="preserve"> šok</w:t>
      </w:r>
      <w:r w:rsidR="00840347">
        <w:t xml:space="preserve"> v podobě pandemie </w:t>
      </w:r>
      <w:proofErr w:type="spellStart"/>
      <w:r w:rsidR="00840347">
        <w:t>koronaviru</w:t>
      </w:r>
      <w:proofErr w:type="spellEnd"/>
      <w:r w:rsidR="00840347">
        <w:t xml:space="preserve"> a </w:t>
      </w:r>
      <w:r>
        <w:t xml:space="preserve">souvisejících opatření </w:t>
      </w:r>
      <w:r w:rsidR="00183A53">
        <w:t xml:space="preserve">ale </w:t>
      </w:r>
      <w:r w:rsidR="005F65C3">
        <w:t>vedl k </w:t>
      </w:r>
      <w:r>
        <w:t xml:space="preserve">citelnému snížení hospodářského výkonu. Navzdory poměrně razantnímu uvolnění měnové i fiskální politiky </w:t>
      </w:r>
      <w:r w:rsidR="005F65C3">
        <w:t xml:space="preserve">v řadě zemí </w:t>
      </w:r>
      <w:r>
        <w:t>bude trajektorie návratu k ekonomické úrovni roku 2019 pravděpodobně jen pozvolná.</w:t>
      </w:r>
    </w:p>
    <w:p w14:paraId="27CC3E4A" w14:textId="77777777" w:rsidR="00695CCE" w:rsidRDefault="00695CCE" w:rsidP="00695CCE">
      <w:r>
        <w:t>Snížené spotřební výdaje domácností se v letošním roce citelně projeví na klesající dynamice ekonomiky</w:t>
      </w:r>
      <w:r w:rsidR="00E53175">
        <w:t xml:space="preserve"> </w:t>
      </w:r>
      <w:r w:rsidR="00E53175" w:rsidRPr="00840347">
        <w:rPr>
          <w:b/>
        </w:rPr>
        <w:t>Spojených států amerických</w:t>
      </w:r>
      <w:r>
        <w:t>. Pozitivním signálem je relativně rychlé oživení na trhu práce, který je oproti zemím EU</w:t>
      </w:r>
      <w:r w:rsidRPr="008B45AA">
        <w:t xml:space="preserve"> </w:t>
      </w:r>
      <w:r>
        <w:t xml:space="preserve">podstatně flexibilnější. Mírný optimismus signalizují i indexy nákupních manažerů v průmyslu </w:t>
      </w:r>
      <w:r w:rsidR="00E53175">
        <w:t>a</w:t>
      </w:r>
      <w:r>
        <w:t> ve službách. Na druhou stranu zůstávají Spojené státy epidemiologicky nejpostiženější ekonomickou mocností. Významnými riziky jsou budoucí uspořádání obchodních vztahů (především s Čínou) a letošní prezidentské volby. Investiční aktivita firem tak v letošním roce zůstane patrně silně utlumená. Federální rezervní systém postupně snížil svoji primární úrokovou sazbu až do cílového pásma 0,00–0,25 </w:t>
      </w:r>
      <w:r w:rsidRPr="008F4050">
        <w:t>%</w:t>
      </w:r>
      <w:r w:rsidR="00183A53">
        <w:t xml:space="preserve"> a spustil rozsáhlé programy nákupu aktiv</w:t>
      </w:r>
      <w:r>
        <w:t>. Ekonomika USA by v letošním roce mohla klesnout o 4,7 %, v příštím roce pak vzrůst o 4,1 %.</w:t>
      </w:r>
    </w:p>
    <w:p w14:paraId="617E6A0F" w14:textId="20A965A1" w:rsidR="00D838C1" w:rsidRPr="00A279F2" w:rsidRDefault="00695CCE" w:rsidP="00695CCE">
      <w:r>
        <w:t>Zpomalení světového obchodu a zvýšené hospodářské nejistoty se v </w:t>
      </w:r>
      <w:r w:rsidR="000F67A1">
        <w:t xml:space="preserve">letech </w:t>
      </w:r>
      <w:r>
        <w:t>2018–2019 projevily znateln</w:t>
      </w:r>
      <w:r w:rsidR="000F67A1">
        <w:t>ým</w:t>
      </w:r>
      <w:r w:rsidR="009525C3">
        <w:t xml:space="preserve"> </w:t>
      </w:r>
      <w:r w:rsidR="000F67A1">
        <w:t xml:space="preserve">zpomalením </w:t>
      </w:r>
      <w:r>
        <w:t xml:space="preserve">hospodářského růstu </w:t>
      </w:r>
      <w:r w:rsidRPr="00673FC5">
        <w:rPr>
          <w:b/>
        </w:rPr>
        <w:t>eurozóny</w:t>
      </w:r>
      <w:r>
        <w:t xml:space="preserve">. V letošním roce </w:t>
      </w:r>
      <w:r w:rsidR="000F67A1">
        <w:t xml:space="preserve">pak v důsledku pandemie </w:t>
      </w:r>
      <w:proofErr w:type="spellStart"/>
      <w:r w:rsidR="000F67A1">
        <w:t>koronaviru</w:t>
      </w:r>
      <w:proofErr w:type="spellEnd"/>
      <w:r w:rsidR="000F67A1">
        <w:t xml:space="preserve"> </w:t>
      </w:r>
      <w:r w:rsidR="00CD6ECA">
        <w:t>došlo</w:t>
      </w:r>
      <w:r w:rsidR="000F67A1">
        <w:t xml:space="preserve"> </w:t>
      </w:r>
      <w:r w:rsidR="00840347">
        <w:t xml:space="preserve">k </w:t>
      </w:r>
      <w:r>
        <w:t xml:space="preserve">hlubokému propadu ekonomické aktivity. Restriktivní opatření v podobě </w:t>
      </w:r>
      <w:r w:rsidR="000F67A1">
        <w:t>omezování provozu podniků</w:t>
      </w:r>
      <w:r>
        <w:t>, vymezení rizikových zón či uzavírání hranic jsou obnovována</w:t>
      </w:r>
      <w:r w:rsidR="000F67A1">
        <w:t>,</w:t>
      </w:r>
      <w:r>
        <w:t xml:space="preserve"> a budoucí ekonomický vývoj je zatížen mimořádnou nejistotou. Evropská centrální banka drží již od března 2016 hlavní refinanční sazbu na 0,00 %. V letošním roce </w:t>
      </w:r>
      <w:r w:rsidR="00CD6ECA">
        <w:t>dále</w:t>
      </w:r>
      <w:r>
        <w:t xml:space="preserve"> zavedla dodatečné refinanční operace a navýšila objem čistých nákupů aktiv. </w:t>
      </w:r>
      <w:r w:rsidR="00D46288">
        <w:t>V příštím roce nejspíše dojde k</w:t>
      </w:r>
      <w:r w:rsidR="0004349A">
        <w:t>e</w:t>
      </w:r>
      <w:r w:rsidR="00D46288">
        <w:t xml:space="preserve"> </w:t>
      </w:r>
      <w:r>
        <w:t xml:space="preserve">strukturálním změnám </w:t>
      </w:r>
      <w:r w:rsidR="000F67A1">
        <w:t>při útlumu či naopak expanzi některých odvětví</w:t>
      </w:r>
      <w:r>
        <w:t>.</w:t>
      </w:r>
      <w:r w:rsidR="003A496F">
        <w:t xml:space="preserve"> Též lze očekávat změny v globálních produkčních řetězcích.</w:t>
      </w:r>
    </w:p>
    <w:p w14:paraId="6D1D2663" w14:textId="4442A914" w:rsidR="00EA597B" w:rsidRDefault="00EA597B" w:rsidP="00EA597B">
      <w:pPr>
        <w:pStyle w:val="Titulek"/>
      </w:pPr>
      <w:bookmarkStart w:id="9" w:name="_Toc52270171"/>
      <w:r>
        <w:lastRenderedPageBreak/>
        <w:t xml:space="preserve">Obrázek </w:t>
      </w:r>
      <w:r w:rsidR="008F78E8">
        <w:fldChar w:fldCharType="begin"/>
      </w:r>
      <w:r w:rsidR="008F78E8">
        <w:instrText xml:space="preserve"> STYLEREF 1 \s </w:instrText>
      </w:r>
      <w:r w:rsidR="008F78E8">
        <w:fldChar w:fldCharType="separate"/>
      </w:r>
      <w:r w:rsidR="00F31E8E">
        <w:rPr>
          <w:noProof/>
        </w:rPr>
        <w:t>2</w:t>
      </w:r>
      <w:r w:rsidR="008F78E8">
        <w:rPr>
          <w:noProof/>
        </w:rPr>
        <w:fldChar w:fldCharType="end"/>
      </w:r>
      <w:r>
        <w:t>.</w:t>
      </w:r>
      <w:r w:rsidR="008F78E8">
        <w:fldChar w:fldCharType="begin"/>
      </w:r>
      <w:r w:rsidR="008F78E8">
        <w:instrText xml:space="preserve"> SEQ Obrázek \* ARABIC \s 1 </w:instrText>
      </w:r>
      <w:r w:rsidR="008F78E8">
        <w:fldChar w:fldCharType="separate"/>
      </w:r>
      <w:r w:rsidR="00F31E8E">
        <w:rPr>
          <w:noProof/>
        </w:rPr>
        <w:t>1</w:t>
      </w:r>
      <w:r w:rsidR="008F78E8">
        <w:rPr>
          <w:noProof/>
        </w:rPr>
        <w:fldChar w:fldCharType="end"/>
      </w:r>
      <w:r>
        <w:t>: Reálný hrubý domácí produkt eurozóny</w:t>
      </w:r>
      <w:bookmarkEnd w:id="9"/>
    </w:p>
    <w:p w14:paraId="1256A5E5" w14:textId="77777777" w:rsidR="00EA597B" w:rsidRPr="005876A1" w:rsidRDefault="00EA597B" w:rsidP="00EA597B">
      <w:pPr>
        <w:pStyle w:val="Jednotka"/>
      </w:pPr>
      <w:r w:rsidRPr="005876A1">
        <w:t>(</w:t>
      </w:r>
      <w:r>
        <w:t>růst proti předchozímu roku v %</w:t>
      </w:r>
      <w:r w:rsidRPr="005876A1">
        <w:t>)</w:t>
      </w:r>
    </w:p>
    <w:p w14:paraId="2126F478" w14:textId="77777777" w:rsidR="00EA597B" w:rsidRPr="00C407BB" w:rsidRDefault="00EA597B" w:rsidP="00EA597B">
      <w:pPr>
        <w:pStyle w:val="Zdrojpodtabulkounebografem"/>
        <w:spacing w:after="120"/>
      </w:pPr>
      <w:r>
        <w:rPr>
          <w:noProof/>
        </w:rPr>
        <w:drawing>
          <wp:inline distT="0" distB="0" distL="0" distR="0" wp14:anchorId="6E7D74DC" wp14:editId="5DF910E2">
            <wp:extent cx="2933700" cy="1752600"/>
            <wp:effectExtent l="0" t="0" r="0" b="0"/>
            <wp:docPr id="27" name="Graf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Pr="00C407BB">
        <w:t>Zdroj:</w:t>
      </w:r>
      <w:r>
        <w:t xml:space="preserve"> </w:t>
      </w:r>
      <w:proofErr w:type="spellStart"/>
      <w:r>
        <w:t>Eurostat</w:t>
      </w:r>
      <w:proofErr w:type="spellEnd"/>
      <w:r>
        <w:t>. Výpočty a predikce MF ČR.</w:t>
      </w:r>
      <w:r w:rsidRPr="00C407BB">
        <w:t xml:space="preserve"> </w:t>
      </w:r>
    </w:p>
    <w:p w14:paraId="45C97D5F" w14:textId="5DB90601" w:rsidR="00B418CB" w:rsidRDefault="00695CCE" w:rsidP="00695CCE">
      <w:r>
        <w:t xml:space="preserve">Přestože nákaza </w:t>
      </w:r>
      <w:proofErr w:type="spellStart"/>
      <w:r>
        <w:t>koronavirem</w:t>
      </w:r>
      <w:proofErr w:type="spellEnd"/>
      <w:r>
        <w:t xml:space="preserve"> zasáhla evropské země téměř synchronně, hospodářské následky i přijatá opatření se značně liší. M</w:t>
      </w:r>
      <w:r w:rsidR="00274A86">
        <w:t>ezi ekonomicky nejpostiženější</w:t>
      </w:r>
      <w:r>
        <w:t xml:space="preserve"> státy </w:t>
      </w:r>
      <w:r w:rsidR="00274A86">
        <w:t>patří</w:t>
      </w:r>
      <w:r>
        <w:t xml:space="preserve"> </w:t>
      </w:r>
      <w:r w:rsidRPr="00E73A7B">
        <w:rPr>
          <w:b/>
        </w:rPr>
        <w:t>Španělsko, Francie a Itálie</w:t>
      </w:r>
      <w:r>
        <w:t xml:space="preserve">, jež se navíc potýkají s dlouhodobými strukturálními problémy. Výrazné fiskální stimuly napříč eurozónou se zaměřují převážně na podporu zaměstnanosti a likvidity firem. Vysoká zadluženost </w:t>
      </w:r>
      <w:r w:rsidR="00A91AE7">
        <w:t>veřejných financí</w:t>
      </w:r>
      <w:r>
        <w:t xml:space="preserve"> se vlivem expanzivní fiskální politiky a očekávaného slabého tempa ekonomického oživení dále prohloubí. </w:t>
      </w:r>
      <w:r w:rsidR="00F30E97">
        <w:t xml:space="preserve">Ekonomika </w:t>
      </w:r>
      <w:r>
        <w:t xml:space="preserve">eurozóny by </w:t>
      </w:r>
      <w:r w:rsidR="00F30E97">
        <w:t xml:space="preserve">v roce 2020 </w:t>
      </w:r>
      <w:r>
        <w:t>mohl</w:t>
      </w:r>
      <w:r w:rsidR="00F30E97">
        <w:t>a</w:t>
      </w:r>
      <w:r>
        <w:t xml:space="preserve"> klesnout o 9,0 % </w:t>
      </w:r>
      <w:r w:rsidR="00F30E97">
        <w:t xml:space="preserve">a v roce následujícím vzrůst </w:t>
      </w:r>
      <w:r>
        <w:t>o</w:t>
      </w:r>
      <w:r w:rsidR="00F30E97">
        <w:t> </w:t>
      </w:r>
      <w:r>
        <w:t>5,4 %.</w:t>
      </w:r>
    </w:p>
    <w:p w14:paraId="5DDB8F16" w14:textId="77777777" w:rsidR="00B418CB" w:rsidRPr="002B1D10" w:rsidRDefault="00B418CB" w:rsidP="002B1D10">
      <w:pPr>
        <w:pStyle w:val="Nadpis3"/>
        <w:rPr>
          <w:b w:val="0"/>
        </w:rPr>
      </w:pPr>
      <w:r w:rsidRPr="002B1D10">
        <w:t>Cena ropy</w:t>
      </w:r>
    </w:p>
    <w:p w14:paraId="4B0D1635" w14:textId="4ECF1D6A" w:rsidR="004325B6" w:rsidRPr="00037EFA" w:rsidRDefault="004325B6" w:rsidP="004325B6">
      <w:pPr>
        <w:rPr>
          <w:highlight w:val="yellow"/>
        </w:rPr>
      </w:pPr>
      <w:r>
        <w:t xml:space="preserve">Těžební limity stanovené a dodržované Organizací zemí vyvážejících ropu a s ní spolupracujícími státy (zejména Ruskem) přispívaly k tomu, že se cena ropy Brent v roce 2019 držela převážně nad hranicí 60 USD/barel. </w:t>
      </w:r>
      <w:r w:rsidRPr="007D4919">
        <w:t>Opačným směrem působila rostoucí těžba ve Spojených státech amerických</w:t>
      </w:r>
      <w:r>
        <w:t xml:space="preserve">. V 1. pololetí 2020 došlo k razantnímu </w:t>
      </w:r>
      <w:r w:rsidRPr="00B2340B">
        <w:t>pokles</w:t>
      </w:r>
      <w:r>
        <w:t>u</w:t>
      </w:r>
      <w:r w:rsidRPr="00B2340B">
        <w:t xml:space="preserve"> poptávky</w:t>
      </w:r>
      <w:r>
        <w:t>, který byl</w:t>
      </w:r>
      <w:r w:rsidRPr="00B2340B">
        <w:t xml:space="preserve"> spojený </w:t>
      </w:r>
      <w:r>
        <w:t>s propadem</w:t>
      </w:r>
      <w:r w:rsidRPr="00B2340B">
        <w:t xml:space="preserve"> globální ekonomické aktivity</w:t>
      </w:r>
      <w:r>
        <w:t xml:space="preserve">. Na straně nabídky došlo nejprve ke krátkodobému ukončení těžebních limitů, nicméně v reakci na </w:t>
      </w:r>
      <w:r w:rsidR="0052751B">
        <w:t>recesi</w:t>
      </w:r>
      <w:r>
        <w:t xml:space="preserve"> se </w:t>
      </w:r>
      <w:r w:rsidR="00F30E97">
        <w:t xml:space="preserve">Organizace zemí vyvážejících ropu a některé další státy </w:t>
      </w:r>
      <w:r>
        <w:t xml:space="preserve">dohodly na </w:t>
      </w:r>
      <w:r w:rsidRPr="000C4DEA">
        <w:t xml:space="preserve">razantním omezení produkce (zpočátku přibližně v rozsahu desetiny světové těžby ropy). Toto omezení má být sice postupně uvolňováno, mělo by ale trvat až do </w:t>
      </w:r>
      <w:r w:rsidRPr="00865BC5">
        <w:t>dubna 2022. Na termínovém trhu panuje situace, kdy se cena ropy s prodlužujícím se kontraktem pozvolna zvyšuje.</w:t>
      </w:r>
    </w:p>
    <w:p w14:paraId="77DD3277" w14:textId="6C0B5367" w:rsidR="008565C1" w:rsidRDefault="008565C1" w:rsidP="008565C1">
      <w:pPr>
        <w:pStyle w:val="Titulek"/>
        <w:spacing w:before="120"/>
      </w:pPr>
      <w:bookmarkStart w:id="10" w:name="_Toc52270172"/>
      <w:r>
        <w:t xml:space="preserve">Obrázek </w:t>
      </w:r>
      <w:r w:rsidR="008F78E8">
        <w:fldChar w:fldCharType="begin"/>
      </w:r>
      <w:r w:rsidR="008F78E8">
        <w:instrText xml:space="preserve"> STYLEREF 1 \s </w:instrText>
      </w:r>
      <w:r w:rsidR="008F78E8">
        <w:fldChar w:fldCharType="separate"/>
      </w:r>
      <w:r w:rsidR="00F31E8E">
        <w:rPr>
          <w:noProof/>
        </w:rPr>
        <w:t>2</w:t>
      </w:r>
      <w:r w:rsidR="008F78E8">
        <w:rPr>
          <w:noProof/>
        </w:rPr>
        <w:fldChar w:fldCharType="end"/>
      </w:r>
      <w:r>
        <w:t>.</w:t>
      </w:r>
      <w:r w:rsidR="008F78E8">
        <w:fldChar w:fldCharType="begin"/>
      </w:r>
      <w:r w:rsidR="008F78E8">
        <w:instrText xml:space="preserve"> SEQ Obrázek \* ARABIC \s 1 </w:instrText>
      </w:r>
      <w:r w:rsidR="008F78E8">
        <w:fldChar w:fldCharType="separate"/>
      </w:r>
      <w:r w:rsidR="00F31E8E">
        <w:rPr>
          <w:noProof/>
        </w:rPr>
        <w:t>2</w:t>
      </w:r>
      <w:r w:rsidR="008F78E8">
        <w:rPr>
          <w:noProof/>
        </w:rPr>
        <w:fldChar w:fldCharType="end"/>
      </w:r>
      <w:r>
        <w:t>: Cena ropy Brent</w:t>
      </w:r>
      <w:bookmarkEnd w:id="10"/>
    </w:p>
    <w:p w14:paraId="7BE5EEDF" w14:textId="77777777" w:rsidR="008565C1" w:rsidRPr="005876A1" w:rsidRDefault="008565C1" w:rsidP="008565C1">
      <w:pPr>
        <w:pStyle w:val="Jednotka"/>
      </w:pPr>
      <w:r>
        <w:t>(USD/barel</w:t>
      </w:r>
      <w:r w:rsidRPr="005876A1">
        <w:t>)</w:t>
      </w:r>
    </w:p>
    <w:p w14:paraId="3F09D3BA" w14:textId="01DF0AF1" w:rsidR="008565C1" w:rsidRPr="00C407BB" w:rsidRDefault="008565C1" w:rsidP="008565C1">
      <w:pPr>
        <w:pStyle w:val="Zdrojpodtabulkounebografem"/>
        <w:spacing w:after="120"/>
      </w:pPr>
      <w:r>
        <w:rPr>
          <w:noProof/>
        </w:rPr>
        <w:drawing>
          <wp:inline distT="0" distB="0" distL="0" distR="0" wp14:anchorId="770C6401" wp14:editId="3165679C">
            <wp:extent cx="2933700" cy="1752600"/>
            <wp:effectExtent l="0" t="0" r="0" b="0"/>
            <wp:docPr id="19" name="Graf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Pr="005F3E29">
        <w:t>Zdroj: U. S.</w:t>
      </w:r>
      <w:r>
        <w:t xml:space="preserve"> </w:t>
      </w:r>
      <w:proofErr w:type="spellStart"/>
      <w:r w:rsidRPr="005F3E29">
        <w:t>Energy</w:t>
      </w:r>
      <w:proofErr w:type="spellEnd"/>
      <w:r w:rsidRPr="005F3E29">
        <w:t xml:space="preserve"> </w:t>
      </w:r>
      <w:proofErr w:type="spellStart"/>
      <w:r w:rsidRPr="005F3E29">
        <w:t>Information</w:t>
      </w:r>
      <w:proofErr w:type="spellEnd"/>
      <w:r w:rsidRPr="005F3E29">
        <w:t xml:space="preserve"> </w:t>
      </w:r>
      <w:proofErr w:type="spellStart"/>
      <w:r w:rsidRPr="005F3E29">
        <w:t>Administration</w:t>
      </w:r>
      <w:proofErr w:type="spellEnd"/>
      <w:r w:rsidRPr="005F3E29">
        <w:t xml:space="preserve">. </w:t>
      </w:r>
      <w:r w:rsidR="00242137">
        <w:t>P</w:t>
      </w:r>
      <w:r w:rsidRPr="005F3E29">
        <w:t>redikce MF ČR.</w:t>
      </w:r>
    </w:p>
    <w:p w14:paraId="5019D994" w14:textId="28E7F867" w:rsidR="004325B6" w:rsidRPr="00136CCD" w:rsidRDefault="004325B6" w:rsidP="004325B6">
      <w:r w:rsidRPr="000C305E">
        <w:t>Předpokládáme, že za celý rok 2020</w:t>
      </w:r>
      <w:r>
        <w:t xml:space="preserve"> </w:t>
      </w:r>
      <w:r w:rsidR="008565C1">
        <w:t xml:space="preserve">dosáhne </w:t>
      </w:r>
      <w:r>
        <w:t>cena ropy Brent v </w:t>
      </w:r>
      <w:r w:rsidRPr="000C305E">
        <w:t>průměru 42 USD/b</w:t>
      </w:r>
      <w:r w:rsidR="008565C1">
        <w:t>arel, čímž se meziročně sníží o </w:t>
      </w:r>
      <w:r w:rsidRPr="000C305E">
        <w:t>34 </w:t>
      </w:r>
      <w:r w:rsidRPr="00136CCD">
        <w:t xml:space="preserve">%. V souladu s rostoucí křivkou cen kontraktů futures počítáme s postupným vzestupem ceny </w:t>
      </w:r>
      <w:r w:rsidR="000D66A1">
        <w:t>ropy na 48 USD/barel v roce 2021</w:t>
      </w:r>
      <w:r w:rsidRPr="00136CCD">
        <w:t>.</w:t>
      </w:r>
    </w:p>
    <w:p w14:paraId="0ABCD2F1" w14:textId="77777777" w:rsidR="00AF52E8" w:rsidRDefault="004325B6" w:rsidP="004325B6">
      <w:r w:rsidRPr="009E46A0">
        <w:t xml:space="preserve">Budoucí vývoj je zatížen velkým množstvím nejistot a pro prezentovaný scénář lze formulovat rizika oběma směry. </w:t>
      </w:r>
      <w:r w:rsidRPr="00382A24">
        <w:t xml:space="preserve">Ve směru poklesu ceny by mohlo působit zhoršení pandemie nového typu </w:t>
      </w:r>
      <w:proofErr w:type="spellStart"/>
      <w:r w:rsidRPr="00382A24">
        <w:t>koronaviru</w:t>
      </w:r>
      <w:proofErr w:type="spellEnd"/>
      <w:r w:rsidRPr="00382A24">
        <w:t xml:space="preserve"> a s tím spojené oddálení zotavování světové ekonomiky</w:t>
      </w:r>
      <w:r w:rsidRPr="00E9799B">
        <w:t>. Naopak k růstu ceny by mohlo přispět další omezení těžby ropy.</w:t>
      </w:r>
    </w:p>
    <w:p w14:paraId="731A3FA3" w14:textId="77777777" w:rsidR="00B418CB" w:rsidRDefault="00B418CB" w:rsidP="00B418CB">
      <w:pPr>
        <w:pStyle w:val="Nadpis3"/>
        <w:tabs>
          <w:tab w:val="left" w:pos="567"/>
        </w:tabs>
      </w:pPr>
      <w:r>
        <w:t>Měnová politika a měnové kurzy</w:t>
      </w:r>
    </w:p>
    <w:p w14:paraId="51084D92" w14:textId="4FAAEAC0" w:rsidR="00084691" w:rsidRDefault="00084691" w:rsidP="00084691">
      <w:r>
        <w:t>V</w:t>
      </w:r>
      <w:r w:rsidRPr="000746B7">
        <w:t xml:space="preserve"> únoru </w:t>
      </w:r>
      <w:r>
        <w:t>2020 přistoupila Česká národní banka</w:t>
      </w:r>
      <w:r w:rsidRPr="000746B7">
        <w:t xml:space="preserve"> ke</w:t>
      </w:r>
      <w:r>
        <w:t> </w:t>
      </w:r>
      <w:r w:rsidRPr="000746B7">
        <w:t xml:space="preserve">zvýšení </w:t>
      </w:r>
      <w:r>
        <w:t>dvoutýdenní</w:t>
      </w:r>
      <w:r w:rsidRPr="000746B7">
        <w:t xml:space="preserve"> </w:t>
      </w:r>
      <w:proofErr w:type="spellStart"/>
      <w:r w:rsidRPr="000746B7">
        <w:t>repo</w:t>
      </w:r>
      <w:proofErr w:type="spellEnd"/>
      <w:r w:rsidRPr="000746B7">
        <w:t xml:space="preserve"> sazby o 0,25 p.</w:t>
      </w:r>
      <w:r>
        <w:t> </w:t>
      </w:r>
      <w:r w:rsidRPr="000746B7">
        <w:t>b. na 2,25 %</w:t>
      </w:r>
      <w:r>
        <w:t>, a to s </w:t>
      </w:r>
      <w:r w:rsidRPr="000746B7">
        <w:t>ohledem na předpokládaný vývoj inflace.</w:t>
      </w:r>
      <w:r>
        <w:t xml:space="preserve"> </w:t>
      </w:r>
      <w:r w:rsidR="00C041AD">
        <w:t>P</w:t>
      </w:r>
      <w:r>
        <w:t>ropad ekonomi</w:t>
      </w:r>
      <w:r w:rsidR="003D2212">
        <w:t>cké aktivity v ČR i v</w:t>
      </w:r>
      <w:r w:rsidR="0021596D">
        <w:t> </w:t>
      </w:r>
      <w:r w:rsidR="003D2212">
        <w:t>zahraničí</w:t>
      </w:r>
      <w:r w:rsidR="0021596D">
        <w:t xml:space="preserve"> však</w:t>
      </w:r>
      <w:r w:rsidR="003D2212">
        <w:t xml:space="preserve"> vedl </w:t>
      </w:r>
      <w:r w:rsidR="0021596D">
        <w:t>centrální banku</w:t>
      </w:r>
      <w:r>
        <w:t xml:space="preserve"> k razantnímu snížení primární úrokové sazby – během dvou měsíců o 2,0 p. b. na 0,25 %.</w:t>
      </w:r>
    </w:p>
    <w:p w14:paraId="4694AF88" w14:textId="61749D25" w:rsidR="00084691" w:rsidRDefault="00EF0118" w:rsidP="00084691">
      <w:r>
        <w:t>Vzhledem k</w:t>
      </w:r>
      <w:r w:rsidR="00084691">
        <w:t xml:space="preserve"> předpokládan</w:t>
      </w:r>
      <w:r>
        <w:t>ému</w:t>
      </w:r>
      <w:r w:rsidR="00084691">
        <w:t xml:space="preserve"> vývoj</w:t>
      </w:r>
      <w:r>
        <w:t>i</w:t>
      </w:r>
      <w:r w:rsidR="00084691">
        <w:t xml:space="preserve"> krátkodobých úrokových sazeb a inflace budou reálné úrokové sazby i</w:t>
      </w:r>
      <w:r w:rsidR="00725C45">
        <w:t> </w:t>
      </w:r>
      <w:r w:rsidR="00084691">
        <w:t>nadále působit uvoln</w:t>
      </w:r>
      <w:r w:rsidR="006320C1">
        <w:t>ěně. Kurzová složka by v dalším období</w:t>
      </w:r>
      <w:r w:rsidR="00084691">
        <w:t xml:space="preserve"> měla být prakticky neutrální. Měnové podmínky by tak na ekonomiku v uzavírající se záporné produkční mezeře měly působit stimulačně.</w:t>
      </w:r>
    </w:p>
    <w:p w14:paraId="511ED7E9" w14:textId="645F99F7" w:rsidR="00084691" w:rsidRPr="00B418CB" w:rsidRDefault="00084691" w:rsidP="00084691">
      <w:r w:rsidRPr="000D52FF">
        <w:rPr>
          <w:b/>
        </w:rPr>
        <w:t>Měnový kurz</w:t>
      </w:r>
      <w:r w:rsidRPr="00C56EC1">
        <w:t xml:space="preserve"> koruny vůči euru </w:t>
      </w:r>
      <w:r>
        <w:t>během prvních osmi měsíců roku 2020 v průměru dosahoval 26,3 CZK/EUR, ovšem s výraznými výkyvy. Přestože v meziročním srovnání byla koruna po větší část letošního roku slabší, do budoucna předpokládáme její pozvolné posilování. V průměru by se koruna měla letos obchodovat z</w:t>
      </w:r>
      <w:r w:rsidR="006320C1">
        <w:t>a 26,3 CZK/EUR, koncem roku 2021</w:t>
      </w:r>
      <w:r>
        <w:t xml:space="preserve"> by se</w:t>
      </w:r>
      <w:r w:rsidR="006320C1">
        <w:t xml:space="preserve"> kurz měl pohybovat již kolem 25,6</w:t>
      </w:r>
      <w:r>
        <w:t xml:space="preserve"> CZK/EUR. Tento vývoj </w:t>
      </w:r>
      <w:r w:rsidRPr="00F47E86">
        <w:t>by měl</w:t>
      </w:r>
      <w:r>
        <w:t xml:space="preserve"> být podpořen</w:t>
      </w:r>
      <w:r w:rsidRPr="00F47E86">
        <w:t xml:space="preserve"> </w:t>
      </w:r>
      <w:r>
        <w:t xml:space="preserve">nejen </w:t>
      </w:r>
      <w:r w:rsidRPr="00F47E86">
        <w:t>pokračující konvergencí</w:t>
      </w:r>
      <w:r>
        <w:t xml:space="preserve"> české ekonomiky k hospodářské úrovni eurozóny,</w:t>
      </w:r>
      <w:r w:rsidRPr="00F47E86">
        <w:t xml:space="preserve"> a</w:t>
      </w:r>
      <w:r>
        <w:t>le i</w:t>
      </w:r>
      <w:r w:rsidRPr="00F47E86">
        <w:t xml:space="preserve"> kladným úrokovým diferenciálem vůči </w:t>
      </w:r>
      <w:r>
        <w:t>eurozóně</w:t>
      </w:r>
      <w:r w:rsidRPr="00F47E86">
        <w:t>.</w:t>
      </w:r>
    </w:p>
    <w:p w14:paraId="274DE7E1" w14:textId="5BB1422A" w:rsidR="0006144B" w:rsidRDefault="0006144B" w:rsidP="0006144B">
      <w:pPr>
        <w:pStyle w:val="Titulek"/>
        <w:spacing w:before="120"/>
      </w:pPr>
      <w:bookmarkStart w:id="11" w:name="_Toc52270173"/>
      <w:r>
        <w:lastRenderedPageBreak/>
        <w:t xml:space="preserve">Obrázek </w:t>
      </w:r>
      <w:r w:rsidR="008F78E8">
        <w:fldChar w:fldCharType="begin"/>
      </w:r>
      <w:r w:rsidR="008F78E8">
        <w:instrText xml:space="preserve"> STYLEREF 1 \s </w:instrText>
      </w:r>
      <w:r w:rsidR="008F78E8">
        <w:fldChar w:fldCharType="separate"/>
      </w:r>
      <w:r w:rsidR="00F31E8E">
        <w:rPr>
          <w:noProof/>
        </w:rPr>
        <w:t>2</w:t>
      </w:r>
      <w:r w:rsidR="008F78E8">
        <w:rPr>
          <w:noProof/>
        </w:rPr>
        <w:fldChar w:fldCharType="end"/>
      </w:r>
      <w:r w:rsidR="00F52D6C">
        <w:t>.</w:t>
      </w:r>
      <w:r w:rsidR="008F78E8">
        <w:fldChar w:fldCharType="begin"/>
      </w:r>
      <w:r w:rsidR="008F78E8">
        <w:instrText xml:space="preserve"> SEQ Obrázek \* ARABIC \s 1 </w:instrText>
      </w:r>
      <w:r w:rsidR="008F78E8">
        <w:fldChar w:fldCharType="separate"/>
      </w:r>
      <w:r w:rsidR="00F31E8E">
        <w:rPr>
          <w:noProof/>
        </w:rPr>
        <w:t>3</w:t>
      </w:r>
      <w:r w:rsidR="008F78E8">
        <w:rPr>
          <w:noProof/>
        </w:rPr>
        <w:fldChar w:fldCharType="end"/>
      </w:r>
      <w:r>
        <w:t>: Měnový kurz CZK/EUR</w:t>
      </w:r>
      <w:bookmarkEnd w:id="11"/>
    </w:p>
    <w:p w14:paraId="72C55B3B" w14:textId="77777777" w:rsidR="003F4A43" w:rsidRPr="003F4A43" w:rsidRDefault="003F4A43" w:rsidP="00BD088A">
      <w:pPr>
        <w:pStyle w:val="Jednotka"/>
      </w:pPr>
      <w:r w:rsidRPr="003F4A43">
        <w:t>(</w:t>
      </w:r>
      <w:r>
        <w:t>průměr roku</w:t>
      </w:r>
      <w:r w:rsidRPr="003F4A43">
        <w:t>)</w:t>
      </w:r>
    </w:p>
    <w:p w14:paraId="1849E4FD" w14:textId="594A909B" w:rsidR="00DD3453" w:rsidRDefault="004630B0" w:rsidP="00027D0D">
      <w:pPr>
        <w:pStyle w:val="Zdrojpodtabulkounebografem"/>
      </w:pPr>
      <w:r>
        <w:rPr>
          <w:noProof/>
        </w:rPr>
        <w:drawing>
          <wp:inline distT="0" distB="0" distL="0" distR="0" wp14:anchorId="1C9A7456" wp14:editId="763971DD">
            <wp:extent cx="2933700" cy="1752600"/>
            <wp:effectExtent l="0" t="0" r="0" b="0"/>
            <wp:docPr id="20" name="Graf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sidR="0006144B" w:rsidRPr="005F3E29">
        <w:t>Zdroj: ČNB.</w:t>
      </w:r>
      <w:r w:rsidR="0006144B" w:rsidRPr="0006144B">
        <w:t xml:space="preserve"> Výpočty a predikce MF ČR.</w:t>
      </w:r>
    </w:p>
    <w:p w14:paraId="65E28FCE" w14:textId="77777777" w:rsidR="0006144B" w:rsidRPr="0006144B" w:rsidRDefault="0006144B" w:rsidP="0006144B">
      <w:pPr>
        <w:rPr>
          <w:i/>
          <w:iCs/>
          <w:color w:val="000000"/>
          <w:sz w:val="16"/>
          <w:szCs w:val="16"/>
        </w:rPr>
        <w:sectPr w:rsidR="0006144B" w:rsidRPr="0006144B" w:rsidSect="007A1923">
          <w:type w:val="continuous"/>
          <w:pgSz w:w="11906" w:h="16838" w:code="9"/>
          <w:pgMar w:top="1134" w:right="1134" w:bottom="1418" w:left="1134" w:header="709" w:footer="709" w:gutter="0"/>
          <w:cols w:num="2" w:space="397"/>
          <w:docGrid w:linePitch="360"/>
        </w:sectPr>
      </w:pPr>
    </w:p>
    <w:p w14:paraId="3FB3C021" w14:textId="77777777" w:rsidR="0006144B" w:rsidRDefault="0006144B" w:rsidP="00B81313">
      <w:pPr>
        <w:pStyle w:val="Nadpis2"/>
      </w:pPr>
      <w:bookmarkStart w:id="12" w:name="_Toc14695475"/>
      <w:bookmarkStart w:id="13" w:name="_Toc52267343"/>
      <w:r>
        <w:t>Makroekonomický vývoj v České republice</w:t>
      </w:r>
      <w:bookmarkEnd w:id="12"/>
      <w:bookmarkEnd w:id="13"/>
    </w:p>
    <w:p w14:paraId="6DDE9A36" w14:textId="77777777" w:rsidR="0006144B" w:rsidRDefault="0006144B" w:rsidP="00B81313">
      <w:pPr>
        <w:keepNext/>
        <w:sectPr w:rsidR="0006144B" w:rsidSect="007A1923">
          <w:type w:val="continuous"/>
          <w:pgSz w:w="11906" w:h="16838" w:code="9"/>
          <w:pgMar w:top="1134" w:right="1134" w:bottom="1418" w:left="1134" w:header="709" w:footer="709" w:gutter="0"/>
          <w:cols w:space="709"/>
          <w:docGrid w:linePitch="360"/>
        </w:sectPr>
      </w:pPr>
    </w:p>
    <w:p w14:paraId="0FCEFCDC" w14:textId="77777777" w:rsidR="0006144B" w:rsidRDefault="0006144B" w:rsidP="00B81313">
      <w:pPr>
        <w:pStyle w:val="Nadpis3"/>
        <w:spacing w:before="0"/>
      </w:pPr>
      <w:r>
        <w:t>Ekonomický výkon</w:t>
      </w:r>
    </w:p>
    <w:p w14:paraId="12C7457D" w14:textId="67B516AB" w:rsidR="00084691" w:rsidRDefault="00084691" w:rsidP="00084691">
      <w:r w:rsidRPr="005C055B">
        <w:t xml:space="preserve">Vlivem pandemie </w:t>
      </w:r>
      <w:proofErr w:type="spellStart"/>
      <w:r w:rsidRPr="005C055B">
        <w:t>koronaviru</w:t>
      </w:r>
      <w:proofErr w:type="spellEnd"/>
      <w:r w:rsidRPr="005C055B">
        <w:t xml:space="preserve"> a </w:t>
      </w:r>
      <w:r>
        <w:t xml:space="preserve">protiepidemických </w:t>
      </w:r>
      <w:r w:rsidRPr="005C055B">
        <w:t>opatření</w:t>
      </w:r>
      <w:r>
        <w:t xml:space="preserve"> </w:t>
      </w:r>
      <w:r w:rsidRPr="005C055B">
        <w:t xml:space="preserve">se ekonomická aktivita v 1. polovině letošního roku výrazně snížila. </w:t>
      </w:r>
      <w:r>
        <w:t xml:space="preserve">Na straně domácí poptávky k tomu </w:t>
      </w:r>
      <w:r w:rsidR="00725C45">
        <w:t xml:space="preserve">s výjimkou </w:t>
      </w:r>
      <w:r>
        <w:t xml:space="preserve">spotřeby sektoru vládních institucí přispěly všechny výdajové složky. Hluboce </w:t>
      </w:r>
      <w:r w:rsidRPr="005C055B">
        <w:t xml:space="preserve">negativně působilo vůči dynamice HDP </w:t>
      </w:r>
      <w:r>
        <w:t xml:space="preserve">i </w:t>
      </w:r>
      <w:r w:rsidRPr="005C055B">
        <w:t xml:space="preserve">saldo zahraničního obchodu. Na snížení vývozu mělo vliv omezení výroby, narušení dodavatelských řetězců a pokles poptávky ze strany hlavních obchodních partnerů. Zároveň však </w:t>
      </w:r>
      <w:r>
        <w:t xml:space="preserve">kvůli </w:t>
      </w:r>
      <w:r w:rsidRPr="005C055B">
        <w:t>vysoké dovozní náročnosti exportu a investic klesl dovoz.</w:t>
      </w:r>
    </w:p>
    <w:p w14:paraId="01C17D6B" w14:textId="33B0666D" w:rsidR="00695CCE" w:rsidRPr="0006144B" w:rsidRDefault="00695CCE" w:rsidP="00695CCE">
      <w:pPr>
        <w:pStyle w:val="Titulek"/>
        <w:spacing w:before="120"/>
        <w:rPr>
          <w:color w:val="000000" w:themeColor="text1"/>
        </w:rPr>
      </w:pPr>
      <w:bookmarkStart w:id="14" w:name="_Toc52270174"/>
      <w:r w:rsidRPr="0006144B">
        <w:rPr>
          <w:color w:val="000000" w:themeColor="text1"/>
        </w:rPr>
        <w:t xml:space="preserve">Obrázek </w:t>
      </w:r>
      <w:r>
        <w:rPr>
          <w:color w:val="000000" w:themeColor="text1"/>
        </w:rPr>
        <w:fldChar w:fldCharType="begin"/>
      </w:r>
      <w:r>
        <w:rPr>
          <w:color w:val="000000" w:themeColor="text1"/>
        </w:rPr>
        <w:instrText xml:space="preserve"> STYLEREF 1 \s </w:instrText>
      </w:r>
      <w:r>
        <w:rPr>
          <w:color w:val="000000" w:themeColor="text1"/>
        </w:rPr>
        <w:fldChar w:fldCharType="separate"/>
      </w:r>
      <w:r w:rsidR="00F31E8E">
        <w:rPr>
          <w:noProof/>
          <w:color w:val="000000" w:themeColor="text1"/>
        </w:rPr>
        <w:t>2</w:t>
      </w:r>
      <w:r>
        <w:rPr>
          <w:color w:val="000000" w:themeColor="text1"/>
        </w:rPr>
        <w:fldChar w:fldCharType="end"/>
      </w:r>
      <w:r>
        <w:rPr>
          <w:color w:val="000000" w:themeColor="text1"/>
        </w:rPr>
        <w:t>.</w:t>
      </w:r>
      <w:r>
        <w:rPr>
          <w:color w:val="000000" w:themeColor="text1"/>
        </w:rPr>
        <w:fldChar w:fldCharType="begin"/>
      </w:r>
      <w:r>
        <w:rPr>
          <w:color w:val="000000" w:themeColor="text1"/>
        </w:rPr>
        <w:instrText xml:space="preserve"> SEQ Obrázek \* ARABIC \s 1 </w:instrText>
      </w:r>
      <w:r>
        <w:rPr>
          <w:color w:val="000000" w:themeColor="text1"/>
        </w:rPr>
        <w:fldChar w:fldCharType="separate"/>
      </w:r>
      <w:r w:rsidR="00F31E8E">
        <w:rPr>
          <w:noProof/>
          <w:color w:val="000000" w:themeColor="text1"/>
        </w:rPr>
        <w:t>4</w:t>
      </w:r>
      <w:r>
        <w:rPr>
          <w:color w:val="000000" w:themeColor="text1"/>
        </w:rPr>
        <w:fldChar w:fldCharType="end"/>
      </w:r>
      <w:r w:rsidRPr="0006144B">
        <w:rPr>
          <w:color w:val="000000" w:themeColor="text1"/>
        </w:rPr>
        <w:t>: Reálný hrubý domácí produkt</w:t>
      </w:r>
      <w:bookmarkEnd w:id="14"/>
    </w:p>
    <w:p w14:paraId="76F51D67" w14:textId="77777777" w:rsidR="00695CCE" w:rsidRPr="0006144B" w:rsidRDefault="00695CCE" w:rsidP="00695CCE">
      <w:pPr>
        <w:pStyle w:val="Titulek-jednotkypodnadpisemgrafunebotabulky"/>
        <w:rPr>
          <w:color w:val="000000" w:themeColor="text1"/>
        </w:rPr>
      </w:pPr>
      <w:r>
        <w:t>(růst proti předchozímu roku v %)</w:t>
      </w:r>
    </w:p>
    <w:p w14:paraId="3475E6B7" w14:textId="2C4F39BF" w:rsidR="00695CCE" w:rsidRDefault="004630B0" w:rsidP="00695CCE">
      <w:pPr>
        <w:rPr>
          <w:i/>
          <w:iCs/>
          <w:color w:val="000000"/>
          <w:sz w:val="16"/>
          <w:szCs w:val="16"/>
        </w:rPr>
      </w:pPr>
      <w:r>
        <w:rPr>
          <w:noProof/>
        </w:rPr>
        <w:drawing>
          <wp:inline distT="0" distB="0" distL="0" distR="0" wp14:anchorId="7667315F" wp14:editId="354DBCA9">
            <wp:extent cx="2933700" cy="1752600"/>
            <wp:effectExtent l="0" t="0" r="0" b="0"/>
            <wp:docPr id="21" name="Graf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00695CCE" w:rsidRPr="005F3E29">
        <w:rPr>
          <w:i/>
          <w:sz w:val="16"/>
          <w:szCs w:val="16"/>
        </w:rPr>
        <w:t>Zdroj:</w:t>
      </w:r>
      <w:r w:rsidR="00695CCE" w:rsidRPr="005F3E29">
        <w:rPr>
          <w:i/>
          <w:iCs/>
          <w:color w:val="000000"/>
          <w:sz w:val="16"/>
          <w:szCs w:val="16"/>
        </w:rPr>
        <w:t xml:space="preserve"> ČSÚ.</w:t>
      </w:r>
      <w:r w:rsidR="00695CCE" w:rsidRPr="0006144B">
        <w:rPr>
          <w:i/>
          <w:iCs/>
          <w:color w:val="000000"/>
          <w:sz w:val="16"/>
          <w:szCs w:val="16"/>
        </w:rPr>
        <w:t xml:space="preserve"> Výpočty a predikce MF ČR.</w:t>
      </w:r>
    </w:p>
    <w:p w14:paraId="2A20D36C" w14:textId="46A97D95" w:rsidR="00084691" w:rsidRDefault="00084691" w:rsidP="00084691">
      <w:r>
        <w:t xml:space="preserve">V makroekonomickém rámci pracujeme se scénářem, že již nebudou přijímána další významná restriktivní opatření v souvislosti s epidemiologickou situací. Ekonomická aktivita by od poloviny letošního roku měla pozvolna oživovat, a šok do agregátní poptávky i nabídky by tak měl být pouze dočasný a jednorázový. </w:t>
      </w:r>
      <w:r w:rsidRPr="0015348D">
        <w:rPr>
          <w:bCs/>
        </w:rPr>
        <w:t>Celkově pro</w:t>
      </w:r>
      <w:r w:rsidRPr="00B16AAA">
        <w:t xml:space="preserve"> rok 2020 počítáme</w:t>
      </w:r>
      <w:r>
        <w:t xml:space="preserve"> s </w:t>
      </w:r>
      <w:r w:rsidRPr="004D348F">
        <w:t>propadem</w:t>
      </w:r>
      <w:r w:rsidRPr="00191FA1">
        <w:t xml:space="preserve"> </w:t>
      </w:r>
      <w:r w:rsidR="00830FCC">
        <w:rPr>
          <w:b/>
        </w:rPr>
        <w:t>hrubého domácího produktu</w:t>
      </w:r>
      <w:r w:rsidR="00830FCC">
        <w:t xml:space="preserve"> </w:t>
      </w:r>
      <w:r w:rsidR="006320C1">
        <w:t>o </w:t>
      </w:r>
      <w:r w:rsidRPr="00B16AAA">
        <w:t xml:space="preserve">6,6 %, v roce 2021 by </w:t>
      </w:r>
      <w:r>
        <w:t>ekonomika mohla vzrůst o</w:t>
      </w:r>
      <w:r w:rsidR="00725C45">
        <w:t> </w:t>
      </w:r>
      <w:r w:rsidRPr="00B16AAA">
        <w:t>3,9 %.</w:t>
      </w:r>
    </w:p>
    <w:p w14:paraId="485BA103" w14:textId="1AD95C79" w:rsidR="00084691" w:rsidRPr="006343E0" w:rsidRDefault="003D2212" w:rsidP="00084691">
      <w:r w:rsidRPr="007A737A">
        <w:rPr>
          <w:b/>
        </w:rPr>
        <w:t>Spotřeba domácností</w:t>
      </w:r>
      <w:r>
        <w:t xml:space="preserve"> bude v roce 2020 negativně ovlivněna poklesem reálného disponibilního důchodu, a to navzdory tomu, že se v jeho dynamice pozitivně promítla řada stabilizačních opatření. Důsledky nouzového stavu se dotkly zejména výdajů na služby. Při očekávaném meziročním růstu míry úspor z nabídkových a obezřet</w:t>
      </w:r>
      <w:r>
        <w:t>nostních důvodů by reálné výdaje domácností na konečnou spotřebu</w:t>
      </w:r>
      <w:r w:rsidRPr="00191FA1">
        <w:t xml:space="preserve"> měl</w:t>
      </w:r>
      <w:r>
        <w:t>y</w:t>
      </w:r>
      <w:r w:rsidRPr="00191FA1">
        <w:t xml:space="preserve"> </w:t>
      </w:r>
      <w:r>
        <w:t>klesnout o 5,0</w:t>
      </w:r>
      <w:r w:rsidRPr="00191FA1">
        <w:t> %</w:t>
      </w:r>
      <w:r>
        <w:t>.</w:t>
      </w:r>
      <w:r w:rsidRPr="00191FA1">
        <w:t xml:space="preserve"> </w:t>
      </w:r>
      <w:r w:rsidR="00084691">
        <w:t xml:space="preserve">V roce 2021 by se s ohledem na faktickou stagnaci reálného </w:t>
      </w:r>
      <w:r w:rsidR="00084691" w:rsidRPr="00231D5E">
        <w:rPr>
          <w:spacing w:val="-1"/>
        </w:rPr>
        <w:t>disponibilního důchodu</w:t>
      </w:r>
      <w:r w:rsidR="00084691">
        <w:rPr>
          <w:spacing w:val="-1"/>
        </w:rPr>
        <w:t xml:space="preserve"> a pokles míry úspor</w:t>
      </w:r>
      <w:r w:rsidR="00084691" w:rsidRPr="00231D5E">
        <w:rPr>
          <w:spacing w:val="-1"/>
        </w:rPr>
        <w:t xml:space="preserve"> </w:t>
      </w:r>
      <w:r w:rsidR="00084691">
        <w:rPr>
          <w:spacing w:val="-1"/>
        </w:rPr>
        <w:t xml:space="preserve">mohla spotřeba </w:t>
      </w:r>
      <w:r w:rsidR="00084691" w:rsidRPr="00231D5E">
        <w:rPr>
          <w:spacing w:val="-1"/>
        </w:rPr>
        <w:t>zvýšit</w:t>
      </w:r>
      <w:r w:rsidR="00084691">
        <w:t xml:space="preserve"> o 2,2</w:t>
      </w:r>
      <w:r w:rsidR="00084691" w:rsidRPr="00191FA1">
        <w:t> %.</w:t>
      </w:r>
    </w:p>
    <w:p w14:paraId="7E3CD491" w14:textId="06CD95C2" w:rsidR="00084691" w:rsidRDefault="00084691" w:rsidP="00084691">
      <w:r w:rsidRPr="004176FB">
        <w:t xml:space="preserve">Očekáváme, že </w:t>
      </w:r>
      <w:r w:rsidRPr="00F73A59">
        <w:rPr>
          <w:b/>
        </w:rPr>
        <w:t>spotřeba sektoru vládních institucí</w:t>
      </w:r>
      <w:r>
        <w:t xml:space="preserve"> letos vzroste o 3,8</w:t>
      </w:r>
      <w:r w:rsidRPr="004176FB">
        <w:t xml:space="preserve"> % </w:t>
      </w:r>
      <w:r>
        <w:t>a v roce 2021 o 2,9</w:t>
      </w:r>
      <w:r w:rsidRPr="004176FB">
        <w:t xml:space="preserve"> %. Mezi hlavní faktory bude patřit růst </w:t>
      </w:r>
      <w:proofErr w:type="spellStart"/>
      <w:r w:rsidRPr="004176FB">
        <w:t>mezispotřeby</w:t>
      </w:r>
      <w:proofErr w:type="spellEnd"/>
      <w:r>
        <w:t>,</w:t>
      </w:r>
      <w:r w:rsidRPr="004176FB">
        <w:t xml:space="preserve"> </w:t>
      </w:r>
      <w:r>
        <w:t>naturálních sociálních dávek</w:t>
      </w:r>
      <w:r w:rsidRPr="004176FB">
        <w:t xml:space="preserve"> a rovněž zaměstnanosti</w:t>
      </w:r>
      <w:r>
        <w:t xml:space="preserve"> ve veřejném sektoru</w:t>
      </w:r>
      <w:r w:rsidRPr="004176FB">
        <w:t>.</w:t>
      </w:r>
      <w:r>
        <w:t xml:space="preserve"> V nominálním vyjádření by dynamika měla zpomalit z 8,1 % </w:t>
      </w:r>
      <w:r w:rsidR="006320C1">
        <w:t>v roce 2020 na 4,5 % v roce 2021</w:t>
      </w:r>
      <w:r>
        <w:t>.</w:t>
      </w:r>
    </w:p>
    <w:p w14:paraId="17F6EF46" w14:textId="1375C0B5" w:rsidR="00B933B0" w:rsidRPr="006343E0" w:rsidRDefault="00B933B0" w:rsidP="00084691">
      <w:r w:rsidRPr="00F27BA4">
        <w:rPr>
          <w:b/>
          <w:color w:val="000000"/>
        </w:rPr>
        <w:t>Tvorba hrubého fixního kapitálu</w:t>
      </w:r>
      <w:r>
        <w:rPr>
          <w:color w:val="000000"/>
        </w:rPr>
        <w:t xml:space="preserve"> by se měla v tomto roce pod tíhou globální recese a silného nárůstu nejistoty propadnout o 7,5 %. </w:t>
      </w:r>
      <w:r w:rsidRPr="00191FA1">
        <w:rPr>
          <w:color w:val="000000"/>
        </w:rPr>
        <w:t xml:space="preserve">Měnové podmínky by </w:t>
      </w:r>
      <w:r>
        <w:rPr>
          <w:color w:val="000000"/>
        </w:rPr>
        <w:t xml:space="preserve">naopak </w:t>
      </w:r>
      <w:r w:rsidRPr="00191FA1">
        <w:rPr>
          <w:color w:val="000000"/>
        </w:rPr>
        <w:t>na dynamiku investiční aktivity měly působit pozitivně. V roce 202</w:t>
      </w:r>
      <w:r>
        <w:rPr>
          <w:color w:val="000000"/>
        </w:rPr>
        <w:t>1 by se k uvedenému faktoru</w:t>
      </w:r>
      <w:r w:rsidRPr="00191FA1">
        <w:rPr>
          <w:color w:val="000000"/>
        </w:rPr>
        <w:t xml:space="preserve"> měl přidat </w:t>
      </w:r>
      <w:r>
        <w:rPr>
          <w:color w:val="000000"/>
        </w:rPr>
        <w:t>obnovený</w:t>
      </w:r>
      <w:r w:rsidRPr="00191FA1">
        <w:rPr>
          <w:color w:val="000000"/>
        </w:rPr>
        <w:t xml:space="preserve"> hospodářský růst v zahraničí, díky němuž by soukromé investice měly </w:t>
      </w:r>
      <w:r>
        <w:rPr>
          <w:color w:val="000000"/>
        </w:rPr>
        <w:t>opět vzrůst</w:t>
      </w:r>
      <w:r w:rsidR="0021596D">
        <w:rPr>
          <w:color w:val="000000"/>
        </w:rPr>
        <w:t>.</w:t>
      </w:r>
      <w:r>
        <w:rPr>
          <w:color w:val="000000"/>
        </w:rPr>
        <w:t xml:space="preserve"> </w:t>
      </w:r>
      <w:r w:rsidRPr="00191FA1">
        <w:rPr>
          <w:color w:val="000000"/>
        </w:rPr>
        <w:t xml:space="preserve">Očekávané oživení investic v roce 2021 je </w:t>
      </w:r>
      <w:r>
        <w:rPr>
          <w:color w:val="000000"/>
        </w:rPr>
        <w:t>však</w:t>
      </w:r>
      <w:r w:rsidRPr="00191FA1">
        <w:rPr>
          <w:color w:val="000000"/>
        </w:rPr>
        <w:t xml:space="preserve"> zatíženo značnými </w:t>
      </w:r>
      <w:r>
        <w:rPr>
          <w:color w:val="000000"/>
        </w:rPr>
        <w:t xml:space="preserve">vnějšími </w:t>
      </w:r>
      <w:r w:rsidRPr="00191FA1">
        <w:rPr>
          <w:color w:val="000000"/>
        </w:rPr>
        <w:t xml:space="preserve">riziky. V případě investic </w:t>
      </w:r>
      <w:r>
        <w:rPr>
          <w:color w:val="000000"/>
        </w:rPr>
        <w:t xml:space="preserve">sektoru </w:t>
      </w:r>
      <w:r w:rsidRPr="00191FA1">
        <w:rPr>
          <w:color w:val="000000"/>
        </w:rPr>
        <w:t>vládních institucí počítáme s</w:t>
      </w:r>
      <w:r>
        <w:rPr>
          <w:color w:val="000000"/>
        </w:rPr>
        <w:t xml:space="preserve"> vysokým růstem </w:t>
      </w:r>
      <w:r w:rsidRPr="00191FA1">
        <w:rPr>
          <w:color w:val="000000"/>
        </w:rPr>
        <w:t>investičních výdajů financova</w:t>
      </w:r>
      <w:r w:rsidR="0021596D">
        <w:rPr>
          <w:color w:val="000000"/>
        </w:rPr>
        <w:t>ných z </w:t>
      </w:r>
      <w:r>
        <w:rPr>
          <w:color w:val="000000"/>
        </w:rPr>
        <w:t>fondů</w:t>
      </w:r>
      <w:r w:rsidRPr="00191FA1">
        <w:rPr>
          <w:color w:val="000000"/>
        </w:rPr>
        <w:t xml:space="preserve"> EU</w:t>
      </w:r>
      <w:r>
        <w:rPr>
          <w:color w:val="000000"/>
        </w:rPr>
        <w:t>.</w:t>
      </w:r>
    </w:p>
    <w:p w14:paraId="4E448B37" w14:textId="0C4C78C6" w:rsidR="00084691" w:rsidRPr="000D0F2C" w:rsidRDefault="00085740" w:rsidP="00084691">
      <w:r>
        <w:t xml:space="preserve">Vlivem citelného propadu HDP obchodních partnerů i poklesu jejich dovozní náročnosti, stejně jako zhoršení exportní výkonnosti, se </w:t>
      </w:r>
      <w:r w:rsidRPr="00BE3CD1">
        <w:rPr>
          <w:b/>
        </w:rPr>
        <w:t>vývoz zboží a</w:t>
      </w:r>
      <w:r>
        <w:rPr>
          <w:b/>
        </w:rPr>
        <w:t> </w:t>
      </w:r>
      <w:r w:rsidRPr="00BE3CD1">
        <w:rPr>
          <w:b/>
        </w:rPr>
        <w:t>služeb</w:t>
      </w:r>
      <w:r>
        <w:t xml:space="preserve"> v 1. polovině letošního roku snížil o více než 12 %. I přes očekávané oživování exportních trhů v druhé polovině roku vývoz za celý rok </w:t>
      </w:r>
      <w:r w:rsidRPr="00191FA1">
        <w:t xml:space="preserve">2020 </w:t>
      </w:r>
      <w:r w:rsidR="004C7B3E">
        <w:t>patrně klesne</w:t>
      </w:r>
      <w:r>
        <w:t xml:space="preserve"> o 11,9</w:t>
      </w:r>
      <w:r w:rsidRPr="00191FA1">
        <w:t> %</w:t>
      </w:r>
      <w:r>
        <w:t>.</w:t>
      </w:r>
      <w:r w:rsidRPr="00191FA1">
        <w:t xml:space="preserve"> </w:t>
      </w:r>
      <w:r>
        <w:t>V </w:t>
      </w:r>
      <w:r w:rsidRPr="00191FA1">
        <w:t xml:space="preserve">roce 2021 </w:t>
      </w:r>
      <w:r>
        <w:t>by se pak zejména díky hospodářskému růstu v zahraničí měl zvýšit o 7</w:t>
      </w:r>
      <w:r w:rsidRPr="00191FA1">
        <w:t>,</w:t>
      </w:r>
      <w:r>
        <w:t>3</w:t>
      </w:r>
      <w:r w:rsidRPr="00191FA1">
        <w:t xml:space="preserve"> %. </w:t>
      </w:r>
      <w:r>
        <w:t>Růst exportní výkonnosti (tedy konkurenceschopnosti českých firem na zahraničních t</w:t>
      </w:r>
      <w:r w:rsidR="004C7B3E">
        <w:t>rzích) bude brzdit předpokládané pozvolné</w:t>
      </w:r>
      <w:r>
        <w:t xml:space="preserve"> </w:t>
      </w:r>
      <w:r w:rsidR="004C7B3E">
        <w:t>posilování</w:t>
      </w:r>
      <w:r>
        <w:t xml:space="preserve"> koruny a nejspíše i nárůst nákladů automobilek </w:t>
      </w:r>
      <w:r w:rsidRPr="00066601">
        <w:t xml:space="preserve">vlivem </w:t>
      </w:r>
      <w:r>
        <w:t xml:space="preserve">přísnějších emisních norem. </w:t>
      </w:r>
      <w:r w:rsidRPr="00191FA1">
        <w:t>Dynamika vývozu a</w:t>
      </w:r>
      <w:r>
        <w:t> </w:t>
      </w:r>
      <w:r w:rsidRPr="00191FA1">
        <w:t xml:space="preserve">dovozně náročné investiční poptávky se pak </w:t>
      </w:r>
      <w:r>
        <w:t>promítá</w:t>
      </w:r>
      <w:r w:rsidRPr="00191FA1">
        <w:t xml:space="preserve"> v</w:t>
      </w:r>
      <w:r>
        <w:t> </w:t>
      </w:r>
      <w:r w:rsidRPr="00191FA1">
        <w:t xml:space="preserve">tempu </w:t>
      </w:r>
      <w:r w:rsidRPr="00BE3CD1">
        <w:rPr>
          <w:b/>
        </w:rPr>
        <w:t>dovozu zboží a služeb</w:t>
      </w:r>
      <w:r w:rsidRPr="00191FA1">
        <w:t xml:space="preserve">. Dovoz </w:t>
      </w:r>
      <w:r>
        <w:t xml:space="preserve">by </w:t>
      </w:r>
      <w:r w:rsidRPr="00191FA1">
        <w:t xml:space="preserve">tak letos </w:t>
      </w:r>
      <w:r>
        <w:t>měl klesnout o 10,4</w:t>
      </w:r>
      <w:r w:rsidRPr="00191FA1">
        <w:t> %</w:t>
      </w:r>
      <w:r>
        <w:t>,</w:t>
      </w:r>
      <w:r w:rsidRPr="00191FA1">
        <w:t xml:space="preserve"> </w:t>
      </w:r>
      <w:r>
        <w:t xml:space="preserve">v roce </w:t>
      </w:r>
      <w:r w:rsidRPr="00191FA1">
        <w:t xml:space="preserve">2021 </w:t>
      </w:r>
      <w:r>
        <w:t>by se mohl zvýšit o</w:t>
      </w:r>
      <w:r w:rsidRPr="00191FA1">
        <w:t> </w:t>
      </w:r>
      <w:r>
        <w:t>6,5</w:t>
      </w:r>
      <w:r w:rsidRPr="00191FA1">
        <w:t> %.</w:t>
      </w:r>
    </w:p>
    <w:p w14:paraId="369D9A1E" w14:textId="78F65DEB" w:rsidR="00084691" w:rsidRPr="006343E0" w:rsidRDefault="00084691" w:rsidP="00084691">
      <w:r w:rsidRPr="00191FA1">
        <w:t xml:space="preserve">Česká ekonomika se </w:t>
      </w:r>
      <w:r>
        <w:t>po dosažení</w:t>
      </w:r>
      <w:r w:rsidRPr="00191FA1">
        <w:t xml:space="preserve"> vrchol</w:t>
      </w:r>
      <w:r>
        <w:t>u</w:t>
      </w:r>
      <w:r w:rsidRPr="00191FA1">
        <w:t xml:space="preserve"> hospodářského cyklu</w:t>
      </w:r>
      <w:r w:rsidRPr="00C6577B">
        <w:t xml:space="preserve"> </w:t>
      </w:r>
      <w:r>
        <w:t xml:space="preserve">v roce 2019 propadla do </w:t>
      </w:r>
      <w:r w:rsidRPr="00A20234">
        <w:t>hluboce záporné</w:t>
      </w:r>
      <w:r w:rsidRPr="00A20234">
        <w:rPr>
          <w:spacing w:val="-1"/>
        </w:rPr>
        <w:t xml:space="preserve"> </w:t>
      </w:r>
      <w:r w:rsidRPr="00C6577B">
        <w:rPr>
          <w:b/>
          <w:spacing w:val="-1"/>
        </w:rPr>
        <w:t>mezery výstupu</w:t>
      </w:r>
      <w:r w:rsidRPr="00A20234">
        <w:rPr>
          <w:spacing w:val="-1"/>
        </w:rPr>
        <w:t>.</w:t>
      </w:r>
      <w:r w:rsidRPr="00191FA1">
        <w:t xml:space="preserve"> </w:t>
      </w:r>
      <w:r>
        <w:t xml:space="preserve">Nástup epidemie </w:t>
      </w:r>
      <w:proofErr w:type="spellStart"/>
      <w:r>
        <w:t>koronaviru</w:t>
      </w:r>
      <w:proofErr w:type="spellEnd"/>
      <w:r>
        <w:t xml:space="preserve"> a opatření proti </w:t>
      </w:r>
      <w:r>
        <w:lastRenderedPageBreak/>
        <w:t xml:space="preserve">šíření nákazy vedly k tomu, že reálná hrubá přidaná hodnota ve 2. čtvrtletí 2020 zaostala </w:t>
      </w:r>
      <w:r w:rsidR="00417F12">
        <w:t xml:space="preserve">za svou potenciální úrovní </w:t>
      </w:r>
      <w:r>
        <w:t xml:space="preserve">zhruba o </w:t>
      </w:r>
      <w:r>
        <w:rPr>
          <w:rFonts w:cs="Calibri"/>
        </w:rPr>
        <w:t>8</w:t>
      </w:r>
      <w:r>
        <w:t> %. Vzhledem k předpovědi hospodářského oživení by se</w:t>
      </w:r>
      <w:r w:rsidR="00413E96">
        <w:t xml:space="preserve"> v roce 2021 měla</w:t>
      </w:r>
      <w:r>
        <w:t xml:space="preserve"> záporná produkční mezera </w:t>
      </w:r>
      <w:r w:rsidR="00413E96">
        <w:t xml:space="preserve">citelně </w:t>
      </w:r>
      <w:r>
        <w:t>uzavírat.</w:t>
      </w:r>
    </w:p>
    <w:p w14:paraId="572E4245" w14:textId="3535853D" w:rsidR="0006144B" w:rsidRDefault="00085740" w:rsidP="00084691">
      <w:r w:rsidRPr="006343E0">
        <w:t xml:space="preserve">Růst </w:t>
      </w:r>
      <w:r w:rsidRPr="006D5542">
        <w:rPr>
          <w:b/>
        </w:rPr>
        <w:t>nominálního HDP</w:t>
      </w:r>
      <w:r w:rsidRPr="006343E0">
        <w:t xml:space="preserve"> je dán vývojem reálného ekonomického výkonu a cenové složky HDP. </w:t>
      </w:r>
      <w:r>
        <w:t xml:space="preserve">Deflátor HDP </w:t>
      </w:r>
      <w:r w:rsidRPr="006343E0">
        <w:t xml:space="preserve">by </w:t>
      </w:r>
      <w:r>
        <w:t>v tomto roce mohl v</w:t>
      </w:r>
      <w:r w:rsidR="004C7B3E">
        <w:t>zrůst o 3,6 % a v příštím o 1,4 </w:t>
      </w:r>
      <w:r>
        <w:t>%. Změna</w:t>
      </w:r>
      <w:r w:rsidRPr="00191FA1">
        <w:t xml:space="preserve"> v</w:t>
      </w:r>
      <w:r>
        <w:t xml:space="preserve"> jeho </w:t>
      </w:r>
      <w:r w:rsidRPr="00191FA1">
        <w:t>dynamice vyplýv</w:t>
      </w:r>
      <w:r>
        <w:t xml:space="preserve">á ze snížení příspěvku směnných relaci </w:t>
      </w:r>
      <w:r w:rsidR="00084691">
        <w:t xml:space="preserve">v roce 2021 a </w:t>
      </w:r>
      <w:r w:rsidR="00084691" w:rsidRPr="00191FA1">
        <w:t>z</w:t>
      </w:r>
      <w:r w:rsidR="00084691">
        <w:t xml:space="preserve"> </w:t>
      </w:r>
      <w:r w:rsidR="00084691" w:rsidRPr="00191FA1">
        <w:t>vývoje deflátoru hrubých domácích výdajů, v jehož rámci ke</w:t>
      </w:r>
      <w:r w:rsidR="00417F12">
        <w:t xml:space="preserve"> </w:t>
      </w:r>
      <w:r w:rsidR="00084691" w:rsidRPr="00191FA1">
        <w:t>zpomalení nejvíce přispěje deflátor spotřeby domácností</w:t>
      </w:r>
      <w:r w:rsidR="00084691">
        <w:t xml:space="preserve"> (odrážející vývoj spotřebitelských cen, viz níže) a</w:t>
      </w:r>
      <w:r w:rsidR="00084691" w:rsidRPr="00191FA1">
        <w:t xml:space="preserve"> </w:t>
      </w:r>
      <w:r>
        <w:t xml:space="preserve">deflátor </w:t>
      </w:r>
      <w:r w:rsidR="00084691" w:rsidRPr="00191FA1">
        <w:t>spotřeby sektoru vlád</w:t>
      </w:r>
      <w:r w:rsidR="00084691">
        <w:t xml:space="preserve">ních institucí. </w:t>
      </w:r>
      <w:r w:rsidR="00084691" w:rsidRPr="00191FA1">
        <w:t xml:space="preserve">Na očekávaný vývoj cen vývozu i dovozu bude mít </w:t>
      </w:r>
      <w:r w:rsidR="00084691">
        <w:t xml:space="preserve">v roce 2020 </w:t>
      </w:r>
      <w:r w:rsidR="00084691" w:rsidRPr="00191FA1">
        <w:t xml:space="preserve">vliv zejména </w:t>
      </w:r>
      <w:r w:rsidR="00084691">
        <w:t>silný propad ceny ropy, v roce 2021 potom obnovené posilování měnového kurzu</w:t>
      </w:r>
      <w:r w:rsidR="00317DEF">
        <w:t>.</w:t>
      </w:r>
    </w:p>
    <w:p w14:paraId="24B134F3" w14:textId="77777777" w:rsidR="0006144B" w:rsidRDefault="0006144B" w:rsidP="0006144B">
      <w:pPr>
        <w:pStyle w:val="Nadpis3"/>
      </w:pPr>
      <w:r>
        <w:t>Spotřebitelské ceny</w:t>
      </w:r>
    </w:p>
    <w:p w14:paraId="3D4906A0" w14:textId="77777777" w:rsidR="004325B6" w:rsidRDefault="004325B6" w:rsidP="004325B6">
      <w:r w:rsidRPr="00424A16">
        <w:t xml:space="preserve">V 1. pololetí 2020 se ve vývoji </w:t>
      </w:r>
      <w:r w:rsidRPr="00424A16">
        <w:rPr>
          <w:b/>
        </w:rPr>
        <w:t xml:space="preserve">spotřebitelských cen </w:t>
      </w:r>
      <w:r w:rsidRPr="00424A16">
        <w:t>promítly narůstající ceny potravin, stejně jako regulov</w:t>
      </w:r>
      <w:r>
        <w:t>ané ceny (především elektřiny).</w:t>
      </w:r>
      <w:r w:rsidRPr="00424A16">
        <w:t xml:space="preserve"> Silně proinflačně by po celý rok 2020 měla působit pokračující výrazná dynamika jednotkových nákladů práce</w:t>
      </w:r>
      <w:r>
        <w:t xml:space="preserve">, ve vyšší inflaci se odrazí i oslabení měnového kurzu české koruny k oběma hlavním světovým měnám a omezení agregátní nabídky způsobené opatřeními k zamezení šíření nového typu </w:t>
      </w:r>
      <w:proofErr w:type="spellStart"/>
      <w:r>
        <w:t>koronaviru</w:t>
      </w:r>
      <w:proofErr w:type="spellEnd"/>
      <w:r>
        <w:t>. N</w:t>
      </w:r>
      <w:r w:rsidRPr="00294293">
        <w:t>ěkolik úprav nepřímých daní</w:t>
      </w:r>
      <w:r>
        <w:t>, ke kterým v roce 2020 došlo</w:t>
      </w:r>
      <w:r w:rsidRPr="00294293">
        <w:t xml:space="preserve"> (zvýšení spotřební daně na lihoviny a</w:t>
      </w:r>
      <w:r>
        <w:t> </w:t>
      </w:r>
      <w:r w:rsidRPr="00294293">
        <w:t xml:space="preserve">tabák, snížení daně z přidané hodnoty u celé řady statků), </w:t>
      </w:r>
      <w:r>
        <w:t>by v souhrnu mělo mít na inflaci neutrální vliv</w:t>
      </w:r>
      <w:r w:rsidRPr="00294293">
        <w:t>.</w:t>
      </w:r>
      <w:r>
        <w:t xml:space="preserve"> </w:t>
      </w:r>
      <w:r w:rsidRPr="00165631">
        <w:t xml:space="preserve">Cena ropy by měla mít </w:t>
      </w:r>
      <w:r>
        <w:t xml:space="preserve">značný </w:t>
      </w:r>
      <w:r w:rsidRPr="00165631">
        <w:t>protiinflační efekt</w:t>
      </w:r>
      <w:r>
        <w:t xml:space="preserve">, </w:t>
      </w:r>
      <w:r w:rsidR="003A496F">
        <w:t>stejným směrem</w:t>
      </w:r>
      <w:r>
        <w:t xml:space="preserve"> zapůsobí i snižující se spotřeba domácností a záporná produkční mezera.</w:t>
      </w:r>
    </w:p>
    <w:p w14:paraId="358FF261" w14:textId="7B23BEA6" w:rsidR="004325B6" w:rsidRPr="00037EFA" w:rsidRDefault="004325B6" w:rsidP="004325B6">
      <w:pPr>
        <w:rPr>
          <w:highlight w:val="yellow"/>
        </w:rPr>
      </w:pPr>
      <w:r>
        <w:t>V roce 2021 by mělo dojít k patrné dezinflaci. Pravděpodobně totiž budou chybět podstatnější proinflační faktory. Obnovený růst spotřeby domácností by při přetrvávající záporné produkční mezeře neměl mít výraznější inflační účinky. Na zpomalení inflace by měl značně tlačit pokles jednotkových nákladů práce. Inflaci by mělo mírně tlumit i posilování české koruny k oběma hlavním světovým měnám. Růst regulovaných cen by měl dále zpomalit. Predikce počítá s dalším zvyšováním spotřební daně z tabáku v </w:t>
      </w:r>
      <w:r w:rsidR="002F2E01">
        <w:t>roce</w:t>
      </w:r>
      <w:r>
        <w:t xml:space="preserve"> 2021, které by ovšem mělo inflaci podpořit jen velmi mírně.</w:t>
      </w:r>
    </w:p>
    <w:p w14:paraId="6E524D4D" w14:textId="1CCBE2D9" w:rsidR="0006144B" w:rsidRDefault="004325B6" w:rsidP="004325B6">
      <w:r w:rsidRPr="00506860">
        <w:t xml:space="preserve">Průměrná míra inflace by měla v roce 2020 zrychlit na 3,2 % a v roce 2021 </w:t>
      </w:r>
      <w:r>
        <w:t xml:space="preserve">naopak </w:t>
      </w:r>
      <w:r w:rsidRPr="00506860">
        <w:t>citelně zpomalit na 1,9 %</w:t>
      </w:r>
      <w:r w:rsidR="002F2E01">
        <w:t xml:space="preserve"> k blízkosti 2% inflačního cíle</w:t>
      </w:r>
      <w:r w:rsidRPr="00506860">
        <w:t xml:space="preserve"> České národní banky.</w:t>
      </w:r>
    </w:p>
    <w:p w14:paraId="666C698C" w14:textId="48A323AB" w:rsidR="0006144B" w:rsidRPr="0006144B" w:rsidRDefault="0006144B" w:rsidP="0006144B">
      <w:pPr>
        <w:pStyle w:val="Titulek"/>
        <w:spacing w:before="120"/>
        <w:rPr>
          <w:color w:val="000000" w:themeColor="text1"/>
        </w:rPr>
      </w:pPr>
      <w:bookmarkStart w:id="15" w:name="_Toc52270175"/>
      <w:r w:rsidRPr="0006144B">
        <w:rPr>
          <w:color w:val="000000" w:themeColor="text1"/>
        </w:rPr>
        <w:t xml:space="preserve">Obrázek </w:t>
      </w:r>
      <w:r w:rsidR="00F52D6C">
        <w:rPr>
          <w:color w:val="000000" w:themeColor="text1"/>
        </w:rPr>
        <w:fldChar w:fldCharType="begin"/>
      </w:r>
      <w:r w:rsidR="00F52D6C">
        <w:rPr>
          <w:color w:val="000000" w:themeColor="text1"/>
        </w:rPr>
        <w:instrText xml:space="preserve"> STYLEREF 1 \s </w:instrText>
      </w:r>
      <w:r w:rsidR="00F52D6C">
        <w:rPr>
          <w:color w:val="000000" w:themeColor="text1"/>
        </w:rPr>
        <w:fldChar w:fldCharType="separate"/>
      </w:r>
      <w:r w:rsidR="00F31E8E">
        <w:rPr>
          <w:noProof/>
          <w:color w:val="000000" w:themeColor="text1"/>
        </w:rPr>
        <w:t>2</w:t>
      </w:r>
      <w:r w:rsidR="00F52D6C">
        <w:rPr>
          <w:color w:val="000000" w:themeColor="text1"/>
        </w:rPr>
        <w:fldChar w:fldCharType="end"/>
      </w:r>
      <w:r w:rsidR="00F52D6C">
        <w:rPr>
          <w:color w:val="000000" w:themeColor="text1"/>
        </w:rPr>
        <w:t>.</w:t>
      </w:r>
      <w:r w:rsidR="00F52D6C">
        <w:rPr>
          <w:color w:val="000000" w:themeColor="text1"/>
        </w:rPr>
        <w:fldChar w:fldCharType="begin"/>
      </w:r>
      <w:r w:rsidR="00F52D6C">
        <w:rPr>
          <w:color w:val="000000" w:themeColor="text1"/>
        </w:rPr>
        <w:instrText xml:space="preserve"> SEQ Obrázek \* ARABIC \s 1 </w:instrText>
      </w:r>
      <w:r w:rsidR="00F52D6C">
        <w:rPr>
          <w:color w:val="000000" w:themeColor="text1"/>
        </w:rPr>
        <w:fldChar w:fldCharType="separate"/>
      </w:r>
      <w:r w:rsidR="00F31E8E">
        <w:rPr>
          <w:noProof/>
          <w:color w:val="000000" w:themeColor="text1"/>
        </w:rPr>
        <w:t>5</w:t>
      </w:r>
      <w:r w:rsidR="00F52D6C">
        <w:rPr>
          <w:color w:val="000000" w:themeColor="text1"/>
        </w:rPr>
        <w:fldChar w:fldCharType="end"/>
      </w:r>
      <w:r w:rsidRPr="0006144B">
        <w:rPr>
          <w:color w:val="000000" w:themeColor="text1"/>
        </w:rPr>
        <w:t xml:space="preserve">: </w:t>
      </w:r>
      <w:r>
        <w:rPr>
          <w:color w:val="000000" w:themeColor="text1"/>
        </w:rPr>
        <w:t>Spotřebitelské ceny</w:t>
      </w:r>
      <w:bookmarkEnd w:id="15"/>
    </w:p>
    <w:p w14:paraId="681A1352" w14:textId="77777777" w:rsidR="0006144B" w:rsidRPr="0006144B" w:rsidRDefault="0006144B" w:rsidP="0006144B">
      <w:pPr>
        <w:pStyle w:val="Titulek-jednotkypodnadpisemgrafunebotabulky"/>
        <w:rPr>
          <w:color w:val="000000" w:themeColor="text1"/>
        </w:rPr>
      </w:pPr>
      <w:r>
        <w:t>(průměrná míra inflace v %)</w:t>
      </w:r>
    </w:p>
    <w:p w14:paraId="4B642D78" w14:textId="3FC60FFA" w:rsidR="0006144B" w:rsidRDefault="004630B0" w:rsidP="0006144B">
      <w:r>
        <w:rPr>
          <w:noProof/>
        </w:rPr>
        <w:drawing>
          <wp:inline distT="0" distB="0" distL="0" distR="0" wp14:anchorId="2C5FCAEE" wp14:editId="76E1421C">
            <wp:extent cx="2933700" cy="1752600"/>
            <wp:effectExtent l="0" t="0" r="0" b="0"/>
            <wp:docPr id="22" name="Graf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sidR="0006144B" w:rsidRPr="005F3E29">
        <w:rPr>
          <w:i/>
          <w:sz w:val="16"/>
          <w:szCs w:val="16"/>
        </w:rPr>
        <w:t>Zdroj:</w:t>
      </w:r>
      <w:r w:rsidR="0006144B" w:rsidRPr="005F3E29">
        <w:rPr>
          <w:i/>
          <w:iCs/>
          <w:color w:val="000000"/>
          <w:sz w:val="16"/>
          <w:szCs w:val="16"/>
        </w:rPr>
        <w:t xml:space="preserve"> ČSÚ</w:t>
      </w:r>
      <w:r w:rsidR="0006144B" w:rsidRPr="0006144B">
        <w:rPr>
          <w:i/>
          <w:iCs/>
          <w:color w:val="000000"/>
          <w:sz w:val="16"/>
          <w:szCs w:val="16"/>
        </w:rPr>
        <w:t>. Výpočty a predikce MF ČR.</w:t>
      </w:r>
    </w:p>
    <w:p w14:paraId="5D313806" w14:textId="77777777" w:rsidR="005F3E29" w:rsidRDefault="005F3E29" w:rsidP="005C6EB8">
      <w:pPr>
        <w:pStyle w:val="Nadpis3"/>
        <w:spacing w:before="0"/>
      </w:pPr>
      <w:r>
        <w:t>Trh práce</w:t>
      </w:r>
    </w:p>
    <w:p w14:paraId="443F1971" w14:textId="693ED8E9" w:rsidR="00695CCE" w:rsidRDefault="00695CCE" w:rsidP="00695CCE">
      <w:r>
        <w:t xml:space="preserve">V předchozích letech byla situace na trhu práce značně napjatá a nedostatek disponibilní pracovní síly začal být významnou brzdou ekonomického růstu. V tomto roce bude dominantním faktorem negativní ekonomický vývoj, který se však zatím na agregátní úrovni </w:t>
      </w:r>
      <w:r w:rsidR="00992455">
        <w:t>s ohledem na zpožděnou reakci trhu práce a </w:t>
      </w:r>
      <w:r w:rsidR="003A496F">
        <w:t xml:space="preserve">řadu </w:t>
      </w:r>
      <w:r w:rsidR="00992455">
        <w:t>vládní</w:t>
      </w:r>
      <w:r w:rsidR="003A496F">
        <w:t>ch</w:t>
      </w:r>
      <w:r w:rsidR="00992455">
        <w:t xml:space="preserve"> </w:t>
      </w:r>
      <w:r w:rsidR="003A496F">
        <w:t>opatření (např. program</w:t>
      </w:r>
      <w:r w:rsidR="004C7B3E">
        <w:t>y</w:t>
      </w:r>
      <w:r w:rsidR="003A496F">
        <w:t xml:space="preserve"> Antivirus) </w:t>
      </w:r>
      <w:r>
        <w:t xml:space="preserve">plně neprojevil. </w:t>
      </w:r>
    </w:p>
    <w:p w14:paraId="43BFE708" w14:textId="384427BE" w:rsidR="0006144B" w:rsidRDefault="00480B67" w:rsidP="00695CCE">
      <w:r>
        <w:t>Výrazný hospodářský pokles by měl vést ke snížení zaměstnanosti nejen v roce 2020, ale i v roce příštím. Důvodem jsou vládní opatření, jež sice na jednu stranu brání skokovému nárůstu nezaměstnanosti, na druhou stranu ale prodlužují dobu přizpůsobení trhu práce ekonomickému šoku. Životaschopnost některých podniků se zřejmě bude i přes finanční podporu postupně zhoršovat, což oslabí poptávku po práci. Z pohledu nabídky práce zatím příznivě působí zvyšování statutárního věku odchodu do důchodu a vysoký podíl</w:t>
      </w:r>
      <w:r w:rsidRPr="006A7018">
        <w:t xml:space="preserve"> věkových skupin </w:t>
      </w:r>
      <w:r>
        <w:t>s přirozeně</w:t>
      </w:r>
      <w:r w:rsidRPr="006A7018">
        <w:t xml:space="preserve"> vysokou mírou </w:t>
      </w:r>
      <w:r>
        <w:t>participace.</w:t>
      </w:r>
      <w:r w:rsidRPr="006A7018">
        <w:t xml:space="preserve"> </w:t>
      </w:r>
      <w:r w:rsidR="00695CCE">
        <w:t xml:space="preserve">Očekáváme, že v letošním roce </w:t>
      </w:r>
      <w:r w:rsidR="00695CCE" w:rsidRPr="00C125FF">
        <w:rPr>
          <w:b/>
        </w:rPr>
        <w:t>zaměstnanost</w:t>
      </w:r>
      <w:r w:rsidR="00695CCE">
        <w:t xml:space="preserve"> </w:t>
      </w:r>
      <w:r w:rsidR="0023262B">
        <w:t>klesne o 1,2 %, v roce 2021 b</w:t>
      </w:r>
      <w:r w:rsidR="00AD1703">
        <w:t>y se mohla dále snížit o 0,7 %.</w:t>
      </w:r>
    </w:p>
    <w:p w14:paraId="340EF5B9" w14:textId="47114476" w:rsidR="005F3E29" w:rsidRPr="0006144B" w:rsidRDefault="005F3E29" w:rsidP="005F3E29">
      <w:pPr>
        <w:pStyle w:val="Titulek"/>
        <w:spacing w:before="120"/>
        <w:rPr>
          <w:color w:val="000000" w:themeColor="text1"/>
        </w:rPr>
      </w:pPr>
      <w:bookmarkStart w:id="16" w:name="_Toc52270176"/>
      <w:r w:rsidRPr="0006144B">
        <w:rPr>
          <w:color w:val="000000" w:themeColor="text1"/>
        </w:rPr>
        <w:t xml:space="preserve">Obrázek </w:t>
      </w:r>
      <w:r w:rsidR="00F52D6C">
        <w:rPr>
          <w:color w:val="000000" w:themeColor="text1"/>
        </w:rPr>
        <w:fldChar w:fldCharType="begin"/>
      </w:r>
      <w:r w:rsidR="00F52D6C">
        <w:rPr>
          <w:color w:val="000000" w:themeColor="text1"/>
        </w:rPr>
        <w:instrText xml:space="preserve"> STYLEREF 1 \s </w:instrText>
      </w:r>
      <w:r w:rsidR="00F52D6C">
        <w:rPr>
          <w:color w:val="000000" w:themeColor="text1"/>
        </w:rPr>
        <w:fldChar w:fldCharType="separate"/>
      </w:r>
      <w:r w:rsidR="00F31E8E">
        <w:rPr>
          <w:noProof/>
          <w:color w:val="000000" w:themeColor="text1"/>
        </w:rPr>
        <w:t>2</w:t>
      </w:r>
      <w:r w:rsidR="00F52D6C">
        <w:rPr>
          <w:color w:val="000000" w:themeColor="text1"/>
        </w:rPr>
        <w:fldChar w:fldCharType="end"/>
      </w:r>
      <w:r w:rsidR="00F52D6C">
        <w:rPr>
          <w:color w:val="000000" w:themeColor="text1"/>
        </w:rPr>
        <w:t>.</w:t>
      </w:r>
      <w:r w:rsidR="00F52D6C">
        <w:rPr>
          <w:color w:val="000000" w:themeColor="text1"/>
        </w:rPr>
        <w:fldChar w:fldCharType="begin"/>
      </w:r>
      <w:r w:rsidR="00F52D6C">
        <w:rPr>
          <w:color w:val="000000" w:themeColor="text1"/>
        </w:rPr>
        <w:instrText xml:space="preserve"> SEQ Obrázek \* ARABIC \s 1 </w:instrText>
      </w:r>
      <w:r w:rsidR="00F52D6C">
        <w:rPr>
          <w:color w:val="000000" w:themeColor="text1"/>
        </w:rPr>
        <w:fldChar w:fldCharType="separate"/>
      </w:r>
      <w:r w:rsidR="00F31E8E">
        <w:rPr>
          <w:noProof/>
          <w:color w:val="000000" w:themeColor="text1"/>
        </w:rPr>
        <w:t>6</w:t>
      </w:r>
      <w:r w:rsidR="00F52D6C">
        <w:rPr>
          <w:color w:val="000000" w:themeColor="text1"/>
        </w:rPr>
        <w:fldChar w:fldCharType="end"/>
      </w:r>
      <w:r w:rsidRPr="0006144B">
        <w:rPr>
          <w:color w:val="000000" w:themeColor="text1"/>
        </w:rPr>
        <w:t xml:space="preserve">: </w:t>
      </w:r>
      <w:r>
        <w:rPr>
          <w:color w:val="000000" w:themeColor="text1"/>
        </w:rPr>
        <w:t>Zaměstnanost</w:t>
      </w:r>
      <w:bookmarkEnd w:id="16"/>
    </w:p>
    <w:p w14:paraId="3CF58F8D" w14:textId="77777777" w:rsidR="005F3E29" w:rsidRPr="0006144B" w:rsidRDefault="005F3E29" w:rsidP="005F3E29">
      <w:pPr>
        <w:pStyle w:val="Titulek-jednotkypodnadpisemgrafunebotabulky"/>
        <w:rPr>
          <w:color w:val="000000" w:themeColor="text1"/>
        </w:rPr>
      </w:pPr>
      <w:r>
        <w:t>(růst proti předchozímu roku v %)</w:t>
      </w:r>
    </w:p>
    <w:p w14:paraId="3390E9CB" w14:textId="4D50C5B5" w:rsidR="005F3E29" w:rsidRPr="005F3E29" w:rsidRDefault="004630B0" w:rsidP="00D0560E">
      <w:pPr>
        <w:spacing w:after="0"/>
        <w:rPr>
          <w:i/>
          <w:iCs/>
          <w:color w:val="000000"/>
          <w:sz w:val="16"/>
          <w:szCs w:val="16"/>
        </w:rPr>
      </w:pPr>
      <w:r>
        <w:rPr>
          <w:noProof/>
        </w:rPr>
        <w:drawing>
          <wp:inline distT="0" distB="0" distL="0" distR="0" wp14:anchorId="2EBD9948" wp14:editId="0E381D64">
            <wp:extent cx="2933700" cy="1725930"/>
            <wp:effectExtent l="0" t="0" r="0" b="0"/>
            <wp:docPr id="23" name="Graf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5965D4DB" w14:textId="77777777" w:rsidR="0006144B" w:rsidRDefault="005F3E29" w:rsidP="005F3E29">
      <w:r w:rsidRPr="005F3E29">
        <w:rPr>
          <w:i/>
          <w:sz w:val="16"/>
          <w:szCs w:val="16"/>
        </w:rPr>
        <w:t>Zdroj:</w:t>
      </w:r>
      <w:r w:rsidRPr="005F3E29">
        <w:rPr>
          <w:i/>
          <w:iCs/>
          <w:color w:val="000000"/>
          <w:sz w:val="16"/>
          <w:szCs w:val="16"/>
        </w:rPr>
        <w:t xml:space="preserve"> ČSÚ. Výpočty </w:t>
      </w:r>
      <w:r w:rsidRPr="0006144B">
        <w:rPr>
          <w:i/>
          <w:iCs/>
          <w:color w:val="000000"/>
          <w:sz w:val="16"/>
          <w:szCs w:val="16"/>
        </w:rPr>
        <w:t>a predikce MF ČR.</w:t>
      </w:r>
    </w:p>
    <w:p w14:paraId="32A3B3AB" w14:textId="2087C675" w:rsidR="0006144B" w:rsidRDefault="00695CCE" w:rsidP="00B91DAA">
      <w:r w:rsidRPr="00C125FF">
        <w:rPr>
          <w:b/>
        </w:rPr>
        <w:t>Míra nezaměstnanosti</w:t>
      </w:r>
      <w:r>
        <w:t xml:space="preserve"> (Výběrové šetření pracovních sil) se v předchozích letech držela na extrémně nízkých hodnotách v historickém</w:t>
      </w:r>
      <w:r w:rsidR="0023262B">
        <w:t xml:space="preserve"> </w:t>
      </w:r>
      <w:r w:rsidR="00480B67">
        <w:t>i</w:t>
      </w:r>
      <w:r w:rsidR="0023262B">
        <w:t> </w:t>
      </w:r>
      <w:r>
        <w:t xml:space="preserve">mezinárodním kontextu. Propad ekonomického výkonu </w:t>
      </w:r>
      <w:r w:rsidR="00EC2245">
        <w:t>povede s</w:t>
      </w:r>
      <w:r w:rsidR="00840347">
        <w:t xml:space="preserve"> </w:t>
      </w:r>
      <w:r w:rsidR="00EC2245">
        <w:t xml:space="preserve">určitým odstupem k jejímu nárůstu, </w:t>
      </w:r>
      <w:r>
        <w:t xml:space="preserve">výraznější zvyšování </w:t>
      </w:r>
      <w:r w:rsidR="00EC2245">
        <w:t xml:space="preserve">však bude </w:t>
      </w:r>
      <w:r>
        <w:t xml:space="preserve">kromě </w:t>
      </w:r>
      <w:r w:rsidR="00EC2245">
        <w:t xml:space="preserve">vládních opatření </w:t>
      </w:r>
      <w:r>
        <w:t xml:space="preserve">tlumeno stále ještě vysokým počtem volných pracovních míst. Stejně tak se zatím znatelně </w:t>
      </w:r>
      <w:r>
        <w:lastRenderedPageBreak/>
        <w:t>nemění ani počet zaměstnaných cizinců, kteří by při zhoršení ekonomického vývoje mohli být propouštěni přednostně. Míra nezaměstnanosti by v</w:t>
      </w:r>
      <w:r w:rsidR="00A37197">
        <w:t> </w:t>
      </w:r>
      <w:r>
        <w:t>roce 2020 mohla vzrůst na 2,6 %, v </w:t>
      </w:r>
      <w:r w:rsidR="00AD1703">
        <w:t>příštím roce pak dále na 3,4 %.</w:t>
      </w:r>
    </w:p>
    <w:p w14:paraId="4D30865B" w14:textId="7A0B1651" w:rsidR="005F3E29" w:rsidRPr="0006144B" w:rsidRDefault="005F3E29" w:rsidP="005F3E29">
      <w:pPr>
        <w:pStyle w:val="Titulek"/>
        <w:spacing w:before="120"/>
        <w:rPr>
          <w:color w:val="000000" w:themeColor="text1"/>
        </w:rPr>
      </w:pPr>
      <w:bookmarkStart w:id="17" w:name="_Toc52270177"/>
      <w:r w:rsidRPr="0006144B">
        <w:rPr>
          <w:color w:val="000000" w:themeColor="text1"/>
        </w:rPr>
        <w:t xml:space="preserve">Obrázek </w:t>
      </w:r>
      <w:r w:rsidR="00F52D6C">
        <w:rPr>
          <w:color w:val="000000" w:themeColor="text1"/>
        </w:rPr>
        <w:fldChar w:fldCharType="begin"/>
      </w:r>
      <w:r w:rsidR="00F52D6C">
        <w:rPr>
          <w:color w:val="000000" w:themeColor="text1"/>
        </w:rPr>
        <w:instrText xml:space="preserve"> STYLEREF 1 \s </w:instrText>
      </w:r>
      <w:r w:rsidR="00F52D6C">
        <w:rPr>
          <w:color w:val="000000" w:themeColor="text1"/>
        </w:rPr>
        <w:fldChar w:fldCharType="separate"/>
      </w:r>
      <w:r w:rsidR="00F31E8E">
        <w:rPr>
          <w:noProof/>
          <w:color w:val="000000" w:themeColor="text1"/>
        </w:rPr>
        <w:t>2</w:t>
      </w:r>
      <w:r w:rsidR="00F52D6C">
        <w:rPr>
          <w:color w:val="000000" w:themeColor="text1"/>
        </w:rPr>
        <w:fldChar w:fldCharType="end"/>
      </w:r>
      <w:r w:rsidR="00F52D6C">
        <w:rPr>
          <w:color w:val="000000" w:themeColor="text1"/>
        </w:rPr>
        <w:t>.</w:t>
      </w:r>
      <w:r w:rsidR="00F52D6C">
        <w:rPr>
          <w:color w:val="000000" w:themeColor="text1"/>
        </w:rPr>
        <w:fldChar w:fldCharType="begin"/>
      </w:r>
      <w:r w:rsidR="00F52D6C">
        <w:rPr>
          <w:color w:val="000000" w:themeColor="text1"/>
        </w:rPr>
        <w:instrText xml:space="preserve"> SEQ Obrázek \* ARABIC \s 1 </w:instrText>
      </w:r>
      <w:r w:rsidR="00F52D6C">
        <w:rPr>
          <w:color w:val="000000" w:themeColor="text1"/>
        </w:rPr>
        <w:fldChar w:fldCharType="separate"/>
      </w:r>
      <w:r w:rsidR="00F31E8E">
        <w:rPr>
          <w:noProof/>
          <w:color w:val="000000" w:themeColor="text1"/>
        </w:rPr>
        <w:t>7</w:t>
      </w:r>
      <w:r w:rsidR="00F52D6C">
        <w:rPr>
          <w:color w:val="000000" w:themeColor="text1"/>
        </w:rPr>
        <w:fldChar w:fldCharType="end"/>
      </w:r>
      <w:r w:rsidRPr="0006144B">
        <w:rPr>
          <w:color w:val="000000" w:themeColor="text1"/>
        </w:rPr>
        <w:t xml:space="preserve">: </w:t>
      </w:r>
      <w:r>
        <w:rPr>
          <w:color w:val="000000" w:themeColor="text1"/>
        </w:rPr>
        <w:t>Míra nezaměstnanosti</w:t>
      </w:r>
      <w:bookmarkEnd w:id="17"/>
    </w:p>
    <w:p w14:paraId="599F25BA" w14:textId="77777777" w:rsidR="005F3E29" w:rsidRPr="0006144B" w:rsidRDefault="005F3E29" w:rsidP="005F3E29">
      <w:pPr>
        <w:pStyle w:val="Titulek-jednotkypodnadpisemgrafunebotabulky"/>
        <w:rPr>
          <w:color w:val="000000" w:themeColor="text1"/>
        </w:rPr>
      </w:pPr>
      <w:r>
        <w:t>(v % pracovní síly)</w:t>
      </w:r>
    </w:p>
    <w:p w14:paraId="49773426" w14:textId="7BC99EAF" w:rsidR="005F3E29" w:rsidRPr="005F3E29" w:rsidRDefault="004630B0" w:rsidP="008C564D">
      <w:pPr>
        <w:spacing w:after="0"/>
        <w:rPr>
          <w:i/>
          <w:iCs/>
          <w:color w:val="000000"/>
          <w:sz w:val="16"/>
          <w:szCs w:val="16"/>
        </w:rPr>
      </w:pPr>
      <w:r>
        <w:rPr>
          <w:noProof/>
        </w:rPr>
        <w:drawing>
          <wp:inline distT="0" distB="0" distL="0" distR="0" wp14:anchorId="00D9A6F9" wp14:editId="2D7C3BE5">
            <wp:extent cx="2933700" cy="1725930"/>
            <wp:effectExtent l="0" t="0" r="0" b="0"/>
            <wp:docPr id="24" name="Graf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7D187F00" w14:textId="77777777" w:rsidR="005F3E29" w:rsidRDefault="005F3E29" w:rsidP="00DE136D">
      <w:pPr>
        <w:pStyle w:val="Zdrojpodtabulkounebografem"/>
        <w:spacing w:after="120"/>
      </w:pPr>
      <w:r w:rsidRPr="005F3E29">
        <w:t xml:space="preserve">Zdroj: ČSÚ. Výpočty </w:t>
      </w:r>
      <w:r w:rsidRPr="0006144B">
        <w:t>a predikce MF ČR.</w:t>
      </w:r>
    </w:p>
    <w:p w14:paraId="2FCD241A" w14:textId="1CC80198" w:rsidR="005F3E29" w:rsidRDefault="00695CCE" w:rsidP="00B91DAA">
      <w:r>
        <w:t xml:space="preserve">Zatímco na počátku letošního roku se v dynamice </w:t>
      </w:r>
      <w:r w:rsidRPr="0016712D">
        <w:rPr>
          <w:b/>
        </w:rPr>
        <w:t>objemu mezd a platů</w:t>
      </w:r>
      <w:r>
        <w:t xml:space="preserve"> pozitivně projevil nedostatek zaměstnanců a zvýšení minimální a zaručené mzdy, v dalším průběhu roku by měl být vývoj ovlivněn </w:t>
      </w:r>
      <w:r w:rsidR="00407CE1">
        <w:t xml:space="preserve">snižující se </w:t>
      </w:r>
      <w:r>
        <w:t>poptávkou po práci. Mezi odvětvími panují enormní rozdíly, snížení mezd je patrné hlavně v průmyslu a nejvíce zasažených odvětvích služeb</w:t>
      </w:r>
      <w:r w:rsidR="00407CE1">
        <w:t xml:space="preserve"> (ubytování, stravování, pohostinství)</w:t>
      </w:r>
      <w:r>
        <w:t>. N</w:t>
      </w:r>
      <w:r w:rsidR="00854A05">
        <w:t xml:space="preserve">aopak výdělky rostou v </w:t>
      </w:r>
      <w:r>
        <w:t xml:space="preserve">činnostech s dominantní rolí sektoru vládních institucí. Předpokládáme, že letos poprvé od roku 2009 </w:t>
      </w:r>
      <w:r w:rsidR="00417F12">
        <w:t>objem</w:t>
      </w:r>
      <w:r>
        <w:t xml:space="preserve"> mezd a platů </w:t>
      </w:r>
      <w:r w:rsidR="00280D02">
        <w:t xml:space="preserve">klesne </w:t>
      </w:r>
      <w:r>
        <w:t>(o 1,9 %). V příštím roce by mohlo dojít k obnovení růstu</w:t>
      </w:r>
      <w:r w:rsidR="00AA60BA">
        <w:t>, a p</w:t>
      </w:r>
      <w:r w:rsidRPr="00A27EAC">
        <w:t xml:space="preserve">odíl náhrad zaměstnancům na HDP by </w:t>
      </w:r>
      <w:r>
        <w:t xml:space="preserve">se </w:t>
      </w:r>
      <w:r w:rsidR="00AA60BA">
        <w:t xml:space="preserve">tak </w:t>
      </w:r>
      <w:r w:rsidRPr="00A27EAC">
        <w:t xml:space="preserve">měl </w:t>
      </w:r>
      <w:r w:rsidR="00AD1703">
        <w:t>snížit na 43</w:t>
      </w:r>
      <w:r>
        <w:t>,5 </w:t>
      </w:r>
      <w:r w:rsidRPr="00A27EAC">
        <w:t>%</w:t>
      </w:r>
      <w:r>
        <w:t>.</w:t>
      </w:r>
    </w:p>
    <w:p w14:paraId="6BEED215" w14:textId="7D8CC448" w:rsidR="005F3E29" w:rsidRPr="0006144B" w:rsidRDefault="005F3E29" w:rsidP="005F3E29">
      <w:pPr>
        <w:pStyle w:val="Titulek"/>
        <w:spacing w:before="120"/>
        <w:rPr>
          <w:color w:val="000000" w:themeColor="text1"/>
        </w:rPr>
      </w:pPr>
      <w:bookmarkStart w:id="18" w:name="_Toc52270178"/>
      <w:r w:rsidRPr="0006144B">
        <w:rPr>
          <w:color w:val="000000" w:themeColor="text1"/>
        </w:rPr>
        <w:t xml:space="preserve">Obrázek </w:t>
      </w:r>
      <w:r w:rsidR="00F52D6C">
        <w:rPr>
          <w:color w:val="000000" w:themeColor="text1"/>
        </w:rPr>
        <w:fldChar w:fldCharType="begin"/>
      </w:r>
      <w:r w:rsidR="00F52D6C">
        <w:rPr>
          <w:color w:val="000000" w:themeColor="text1"/>
        </w:rPr>
        <w:instrText xml:space="preserve"> STYLEREF 1 \s </w:instrText>
      </w:r>
      <w:r w:rsidR="00F52D6C">
        <w:rPr>
          <w:color w:val="000000" w:themeColor="text1"/>
        </w:rPr>
        <w:fldChar w:fldCharType="separate"/>
      </w:r>
      <w:r w:rsidR="00F31E8E">
        <w:rPr>
          <w:noProof/>
          <w:color w:val="000000" w:themeColor="text1"/>
        </w:rPr>
        <w:t>2</w:t>
      </w:r>
      <w:r w:rsidR="00F52D6C">
        <w:rPr>
          <w:color w:val="000000" w:themeColor="text1"/>
        </w:rPr>
        <w:fldChar w:fldCharType="end"/>
      </w:r>
      <w:r w:rsidR="00F52D6C">
        <w:rPr>
          <w:color w:val="000000" w:themeColor="text1"/>
        </w:rPr>
        <w:t>.</w:t>
      </w:r>
      <w:r w:rsidR="00F52D6C">
        <w:rPr>
          <w:color w:val="000000" w:themeColor="text1"/>
        </w:rPr>
        <w:fldChar w:fldCharType="begin"/>
      </w:r>
      <w:r w:rsidR="00F52D6C">
        <w:rPr>
          <w:color w:val="000000" w:themeColor="text1"/>
        </w:rPr>
        <w:instrText xml:space="preserve"> SEQ Obrázek \* ARABIC \s 1 </w:instrText>
      </w:r>
      <w:r w:rsidR="00F52D6C">
        <w:rPr>
          <w:color w:val="000000" w:themeColor="text1"/>
        </w:rPr>
        <w:fldChar w:fldCharType="separate"/>
      </w:r>
      <w:r w:rsidR="00F31E8E">
        <w:rPr>
          <w:noProof/>
          <w:color w:val="000000" w:themeColor="text1"/>
        </w:rPr>
        <w:t>8</w:t>
      </w:r>
      <w:r w:rsidR="00F52D6C">
        <w:rPr>
          <w:color w:val="000000" w:themeColor="text1"/>
        </w:rPr>
        <w:fldChar w:fldCharType="end"/>
      </w:r>
      <w:r w:rsidRPr="0006144B">
        <w:rPr>
          <w:color w:val="000000" w:themeColor="text1"/>
        </w:rPr>
        <w:t xml:space="preserve">: </w:t>
      </w:r>
      <w:r>
        <w:rPr>
          <w:color w:val="000000" w:themeColor="text1"/>
        </w:rPr>
        <w:t>Objem mezd a platů</w:t>
      </w:r>
      <w:bookmarkEnd w:id="18"/>
    </w:p>
    <w:p w14:paraId="43FE6B43" w14:textId="77777777" w:rsidR="005F3E29" w:rsidRPr="0006144B" w:rsidRDefault="005F3E29" w:rsidP="005F3E29">
      <w:pPr>
        <w:pStyle w:val="Titulek-jednotkypodnadpisemgrafunebotabulky"/>
        <w:rPr>
          <w:color w:val="000000" w:themeColor="text1"/>
        </w:rPr>
      </w:pPr>
      <w:r>
        <w:t>(domácí koncept, růst proti předchozímu roku v %)</w:t>
      </w:r>
    </w:p>
    <w:p w14:paraId="1265B818" w14:textId="54F0AC95" w:rsidR="00B91DAA" w:rsidRDefault="004630B0" w:rsidP="00DE136D">
      <w:pPr>
        <w:spacing w:after="240"/>
        <w:rPr>
          <w:i/>
          <w:iCs/>
          <w:color w:val="000000"/>
          <w:sz w:val="16"/>
          <w:szCs w:val="16"/>
        </w:rPr>
      </w:pPr>
      <w:r>
        <w:rPr>
          <w:noProof/>
        </w:rPr>
        <w:drawing>
          <wp:inline distT="0" distB="0" distL="0" distR="0" wp14:anchorId="3019BFEC" wp14:editId="198DE30F">
            <wp:extent cx="2933700" cy="1725930"/>
            <wp:effectExtent l="0" t="0" r="0" b="0"/>
            <wp:docPr id="25" name="Graf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005F3E29" w:rsidRPr="005F3E29">
        <w:rPr>
          <w:i/>
          <w:sz w:val="16"/>
          <w:szCs w:val="16"/>
        </w:rPr>
        <w:t>Zdroj:</w:t>
      </w:r>
      <w:r w:rsidR="005F3E29" w:rsidRPr="005F3E29">
        <w:rPr>
          <w:i/>
          <w:iCs/>
          <w:color w:val="000000"/>
          <w:sz w:val="16"/>
          <w:szCs w:val="16"/>
        </w:rPr>
        <w:t xml:space="preserve"> ČSÚ. Výpočty </w:t>
      </w:r>
      <w:r w:rsidR="005F3E29" w:rsidRPr="0006144B">
        <w:rPr>
          <w:i/>
          <w:iCs/>
          <w:color w:val="000000"/>
          <w:sz w:val="16"/>
          <w:szCs w:val="16"/>
        </w:rPr>
        <w:t>a predikce MF ČR.</w:t>
      </w:r>
    </w:p>
    <w:p w14:paraId="63542085" w14:textId="77777777" w:rsidR="005F3E29" w:rsidRDefault="005F3E29" w:rsidP="000F1410">
      <w:pPr>
        <w:pStyle w:val="Nadpis3"/>
        <w:spacing w:before="0"/>
      </w:pPr>
      <w:r>
        <w:t>Vztahy k zahraničí</w:t>
      </w:r>
    </w:p>
    <w:p w14:paraId="6765E406" w14:textId="77777777" w:rsidR="00AA4C94" w:rsidRDefault="00272D6E" w:rsidP="00084691">
      <w:r>
        <w:rPr>
          <w:b/>
        </w:rPr>
        <w:t>B</w:t>
      </w:r>
      <w:r w:rsidR="00084691" w:rsidRPr="009D56E0">
        <w:rPr>
          <w:b/>
        </w:rPr>
        <w:t>ěžn</w:t>
      </w:r>
      <w:r w:rsidR="00084691">
        <w:rPr>
          <w:b/>
        </w:rPr>
        <w:t>ý</w:t>
      </w:r>
      <w:r w:rsidR="00084691" w:rsidRPr="009D56E0">
        <w:rPr>
          <w:b/>
        </w:rPr>
        <w:t xml:space="preserve"> úč</w:t>
      </w:r>
      <w:r w:rsidR="00084691">
        <w:rPr>
          <w:b/>
        </w:rPr>
        <w:t>e</w:t>
      </w:r>
      <w:r w:rsidR="00084691" w:rsidRPr="009D56E0">
        <w:rPr>
          <w:b/>
        </w:rPr>
        <w:t>t</w:t>
      </w:r>
      <w:r w:rsidR="00084691" w:rsidRPr="00A37197">
        <w:t xml:space="preserve"> </w:t>
      </w:r>
      <w:r w:rsidR="00084691" w:rsidRPr="009D56E0">
        <w:t>platební bilance</w:t>
      </w:r>
      <w:r w:rsidR="00084691">
        <w:t xml:space="preserve"> </w:t>
      </w:r>
      <w:r w:rsidR="00F17006">
        <w:t>s</w:t>
      </w:r>
      <w:r>
        <w:t>e od roku 2018 pohybuje v blízkosti vyrovnané</w:t>
      </w:r>
      <w:r w:rsidR="00F17006">
        <w:t>ho</w:t>
      </w:r>
      <w:r>
        <w:t xml:space="preserve"> </w:t>
      </w:r>
      <w:r w:rsidR="00F17006">
        <w:t>stavu</w:t>
      </w:r>
      <w:r>
        <w:t>. V</w:t>
      </w:r>
      <w:r w:rsidR="00C1497B">
        <w:t xml:space="preserve"> ročním klouzavém </w:t>
      </w:r>
      <w:r>
        <w:t xml:space="preserve">úhrnu </w:t>
      </w:r>
      <w:r w:rsidR="00F17006">
        <w:t>pak</w:t>
      </w:r>
      <w:r w:rsidR="00084691">
        <w:t xml:space="preserve"> </w:t>
      </w:r>
      <w:r w:rsidR="003A50DA">
        <w:t xml:space="preserve">v 1. pololetí 2020 </w:t>
      </w:r>
      <w:r>
        <w:t xml:space="preserve">vykázal </w:t>
      </w:r>
      <w:r w:rsidR="00F17006">
        <w:t>nulovou hodnotu.</w:t>
      </w:r>
    </w:p>
    <w:p w14:paraId="51719D7D" w14:textId="13B2F0D3" w:rsidR="00084691" w:rsidRDefault="00084691" w:rsidP="00084691">
      <w:r>
        <w:t>Dominantní kladnou položkou je dlouhodobě bilance</w:t>
      </w:r>
      <w:r w:rsidRPr="009D56E0">
        <w:t xml:space="preserve"> </w:t>
      </w:r>
      <w:r w:rsidRPr="00271613">
        <w:rPr>
          <w:b/>
        </w:rPr>
        <w:t>obchodu se zbožím</w:t>
      </w:r>
      <w:r w:rsidRPr="00A37197">
        <w:t>.</w:t>
      </w:r>
      <w:r>
        <w:t xml:space="preserve"> Její přebytek se</w:t>
      </w:r>
      <w:r w:rsidR="00F17006">
        <w:t xml:space="preserve"> však</w:t>
      </w:r>
      <w:r w:rsidRPr="009D56E0">
        <w:t xml:space="preserve"> </w:t>
      </w:r>
      <w:r>
        <w:t>z</w:t>
      </w:r>
      <w:r w:rsidR="00AA4C94">
        <w:t>e</w:t>
      </w:r>
      <w:r>
        <w:t xml:space="preserve"> 4,1</w:t>
      </w:r>
      <w:r w:rsidR="00AA4C94">
        <w:t> </w:t>
      </w:r>
      <w:r>
        <w:t>% HDP</w:t>
      </w:r>
      <w:r w:rsidR="00E71956">
        <w:t xml:space="preserve"> v roce 2019</w:t>
      </w:r>
      <w:r w:rsidR="00F17006">
        <w:t xml:space="preserve"> snížil na 3,3</w:t>
      </w:r>
      <w:r w:rsidR="00AA4C94">
        <w:t> </w:t>
      </w:r>
      <w:r w:rsidR="00F17006">
        <w:t>% HDP v 1. pololetí</w:t>
      </w:r>
      <w:r w:rsidR="00C1497B">
        <w:t xml:space="preserve"> 2020</w:t>
      </w:r>
      <w:r w:rsidR="00F17006">
        <w:t>.</w:t>
      </w:r>
      <w:r>
        <w:t xml:space="preserve"> </w:t>
      </w:r>
      <w:r w:rsidR="002E3E19">
        <w:t>Zhoršení obchodní bilance bylo způsobeno</w:t>
      </w:r>
      <w:r w:rsidR="00717970">
        <w:t xml:space="preserve"> zejména </w:t>
      </w:r>
      <w:r w:rsidR="00C1497B">
        <w:t>propa</w:t>
      </w:r>
      <w:r w:rsidR="00C1497B">
        <w:t>dem</w:t>
      </w:r>
      <w:r w:rsidR="00717970">
        <w:t xml:space="preserve"> zahraniční</w:t>
      </w:r>
      <w:r w:rsidR="004C7B3E">
        <w:t xml:space="preserve"> poptávky vlivem pandemie COVID-</w:t>
      </w:r>
      <w:r w:rsidR="00717970">
        <w:t>19, ale i odstávk</w:t>
      </w:r>
      <w:r w:rsidR="002E3E19">
        <w:t>ami</w:t>
      </w:r>
      <w:r w:rsidR="00717970">
        <w:t xml:space="preserve"> výroby a další</w:t>
      </w:r>
      <w:r w:rsidR="002E3E19">
        <w:t>mi</w:t>
      </w:r>
      <w:r w:rsidR="00717970">
        <w:t xml:space="preserve"> karanténní</w:t>
      </w:r>
      <w:r w:rsidR="002E3E19">
        <w:t>mi</w:t>
      </w:r>
      <w:r w:rsidR="00717970">
        <w:t xml:space="preserve"> opatření</w:t>
      </w:r>
      <w:r w:rsidR="002E3E19">
        <w:t>mi</w:t>
      </w:r>
      <w:r w:rsidR="00717970">
        <w:t xml:space="preserve"> na zamezení šíření nákazy. T</w:t>
      </w:r>
      <w:r>
        <w:t>o se projevilo i ve výrazn</w:t>
      </w:r>
      <w:r w:rsidR="00717970">
        <w:t>ě negativním</w:t>
      </w:r>
      <w:r>
        <w:t xml:space="preserve"> pří</w:t>
      </w:r>
      <w:r w:rsidR="00AA4C94">
        <w:t>spěvku salda obchodní bilance k </w:t>
      </w:r>
      <w:r>
        <w:t xml:space="preserve">růstu reálného HDP </w:t>
      </w:r>
      <w:r w:rsidR="00717970">
        <w:t>zejména ve 2. čtvrtletí 2020</w:t>
      </w:r>
      <w:r>
        <w:t xml:space="preserve">. </w:t>
      </w:r>
    </w:p>
    <w:p w14:paraId="0EB3A6A5" w14:textId="49A1CEFF" w:rsidR="00084691" w:rsidRDefault="00084691" w:rsidP="00084691">
      <w:r>
        <w:t xml:space="preserve">Přebytek </w:t>
      </w:r>
      <w:r w:rsidRPr="007E159F">
        <w:rPr>
          <w:b/>
        </w:rPr>
        <w:t>bilance služeb</w:t>
      </w:r>
      <w:r>
        <w:t xml:space="preserve"> </w:t>
      </w:r>
      <w:r w:rsidR="002E3E19">
        <w:t>zůstal stabilní ve výši</w:t>
      </w:r>
      <w:r>
        <w:t xml:space="preserve"> 1,8 % HDP</w:t>
      </w:r>
      <w:r w:rsidRPr="005F14EF">
        <w:t>.</w:t>
      </w:r>
      <w:r w:rsidR="00AC261C">
        <w:t xml:space="preserve"> Snížení přebytku bilance cestovního ruchu bylo vykompenzováno zlepšením některých ostatních položek.</w:t>
      </w:r>
    </w:p>
    <w:p w14:paraId="1D0CC071" w14:textId="37192296" w:rsidR="00084691" w:rsidRDefault="00AC261C" w:rsidP="00084691">
      <w:r>
        <w:t>K podstatnému zlepšení došlo u d</w:t>
      </w:r>
      <w:r w:rsidR="00084691">
        <w:t>louhodobě záporn</w:t>
      </w:r>
      <w:r>
        <w:t>é</w:t>
      </w:r>
      <w:r w:rsidR="00084691">
        <w:t xml:space="preserve"> b</w:t>
      </w:r>
      <w:r w:rsidR="00084691" w:rsidRPr="009D56E0">
        <w:t xml:space="preserve">ilance </w:t>
      </w:r>
      <w:r w:rsidR="00084691" w:rsidRPr="00271613">
        <w:rPr>
          <w:b/>
        </w:rPr>
        <w:t>prvotních důchodů</w:t>
      </w:r>
      <w:r>
        <w:rPr>
          <w:b/>
        </w:rPr>
        <w:t>.</w:t>
      </w:r>
      <w:r w:rsidR="00084691">
        <w:t xml:space="preserve"> </w:t>
      </w:r>
      <w:r>
        <w:t xml:space="preserve">Deficit se </w:t>
      </w:r>
      <w:r w:rsidR="003A50DA">
        <w:t xml:space="preserve">proti roku 2019 </w:t>
      </w:r>
      <w:r>
        <w:t>snížil o</w:t>
      </w:r>
      <w:r w:rsidR="00084691">
        <w:t> </w:t>
      </w:r>
      <w:r>
        <w:t>1,3</w:t>
      </w:r>
      <w:r w:rsidR="00084691">
        <w:t> p. b. na −</w:t>
      </w:r>
      <w:r>
        <w:t>4,3</w:t>
      </w:r>
      <w:r w:rsidR="00084691">
        <w:t> % HDP.</w:t>
      </w:r>
      <w:r w:rsidR="00084691" w:rsidRPr="009D56E0">
        <w:t xml:space="preserve"> </w:t>
      </w:r>
      <w:r>
        <w:t>Výrazně poklesl</w:t>
      </w:r>
      <w:r w:rsidR="00084691" w:rsidRPr="000214A7">
        <w:t xml:space="preserve"> odliv investičních výnosů z přímých investic v ČR (v podobě </w:t>
      </w:r>
      <w:r w:rsidR="003A50DA">
        <w:t xml:space="preserve">dividend či </w:t>
      </w:r>
      <w:r w:rsidR="00084691" w:rsidRPr="000214A7">
        <w:t xml:space="preserve">reinvestovaného zisku) daný </w:t>
      </w:r>
      <w:r w:rsidR="00A90607">
        <w:t>snížením</w:t>
      </w:r>
      <w:r w:rsidR="00084691" w:rsidRPr="000214A7">
        <w:t xml:space="preserve"> ziskovosti firem v</w:t>
      </w:r>
      <w:r w:rsidR="00084691">
        <w:t> </w:t>
      </w:r>
      <w:r w:rsidR="00084691" w:rsidRPr="000214A7">
        <w:t>zahraničním vlastnictví.</w:t>
      </w:r>
    </w:p>
    <w:p w14:paraId="0D3F60E2" w14:textId="1F303EE4" w:rsidR="00084691" w:rsidRDefault="00084691" w:rsidP="00084691">
      <w:r>
        <w:t>B</w:t>
      </w:r>
      <w:r w:rsidRPr="009D56E0">
        <w:t xml:space="preserve">ilance </w:t>
      </w:r>
      <w:r w:rsidRPr="00271613">
        <w:rPr>
          <w:b/>
        </w:rPr>
        <w:t>druhotných důchodů</w:t>
      </w:r>
      <w:r w:rsidRPr="009D56E0">
        <w:t xml:space="preserve"> </w:t>
      </w:r>
      <w:r>
        <w:t xml:space="preserve">se nepatrně </w:t>
      </w:r>
      <w:r w:rsidR="003A50DA">
        <w:t>zhor</w:t>
      </w:r>
      <w:r>
        <w:t>šila o</w:t>
      </w:r>
      <w:r w:rsidR="00417F12">
        <w:t> </w:t>
      </w:r>
      <w:r>
        <w:t>0,1 p. b. na −0,</w:t>
      </w:r>
      <w:r w:rsidR="003A50DA">
        <w:t>7</w:t>
      </w:r>
      <w:r>
        <w:t xml:space="preserve"> % HDP, a to v převážné míře v oblasti čistých </w:t>
      </w:r>
      <w:r w:rsidR="003A50DA">
        <w:t>příjmů z</w:t>
      </w:r>
      <w:r>
        <w:t xml:space="preserve"> rozpočtu </w:t>
      </w:r>
      <w:r w:rsidR="001B0429">
        <w:t>EU</w:t>
      </w:r>
      <w:r>
        <w:t xml:space="preserve"> vykazovaných v rámci druhotných důchodů.</w:t>
      </w:r>
    </w:p>
    <w:p w14:paraId="5374698F" w14:textId="2BAF7F34" w:rsidR="005F3E29" w:rsidRPr="0006144B" w:rsidRDefault="005F3E29" w:rsidP="005F3E29">
      <w:pPr>
        <w:pStyle w:val="Titulek"/>
        <w:spacing w:before="120"/>
        <w:rPr>
          <w:color w:val="000000" w:themeColor="text1"/>
        </w:rPr>
      </w:pPr>
      <w:bookmarkStart w:id="19" w:name="_Toc52270179"/>
      <w:r w:rsidRPr="0006144B">
        <w:rPr>
          <w:color w:val="000000" w:themeColor="text1"/>
        </w:rPr>
        <w:t xml:space="preserve">Obrázek </w:t>
      </w:r>
      <w:r w:rsidR="00F52D6C">
        <w:rPr>
          <w:color w:val="000000" w:themeColor="text1"/>
        </w:rPr>
        <w:fldChar w:fldCharType="begin"/>
      </w:r>
      <w:r w:rsidR="00F52D6C">
        <w:rPr>
          <w:color w:val="000000" w:themeColor="text1"/>
        </w:rPr>
        <w:instrText xml:space="preserve"> STYLEREF 1 \s </w:instrText>
      </w:r>
      <w:r w:rsidR="00F52D6C">
        <w:rPr>
          <w:color w:val="000000" w:themeColor="text1"/>
        </w:rPr>
        <w:fldChar w:fldCharType="separate"/>
      </w:r>
      <w:r w:rsidR="00F31E8E">
        <w:rPr>
          <w:noProof/>
          <w:color w:val="000000" w:themeColor="text1"/>
        </w:rPr>
        <w:t>2</w:t>
      </w:r>
      <w:r w:rsidR="00F52D6C">
        <w:rPr>
          <w:color w:val="000000" w:themeColor="text1"/>
        </w:rPr>
        <w:fldChar w:fldCharType="end"/>
      </w:r>
      <w:r w:rsidR="00F52D6C">
        <w:rPr>
          <w:color w:val="000000" w:themeColor="text1"/>
        </w:rPr>
        <w:t>.</w:t>
      </w:r>
      <w:r w:rsidR="00F52D6C">
        <w:rPr>
          <w:color w:val="000000" w:themeColor="text1"/>
        </w:rPr>
        <w:fldChar w:fldCharType="begin"/>
      </w:r>
      <w:r w:rsidR="00F52D6C">
        <w:rPr>
          <w:color w:val="000000" w:themeColor="text1"/>
        </w:rPr>
        <w:instrText xml:space="preserve"> SEQ Obrázek \* ARABIC \s 1 </w:instrText>
      </w:r>
      <w:r w:rsidR="00F52D6C">
        <w:rPr>
          <w:color w:val="000000" w:themeColor="text1"/>
        </w:rPr>
        <w:fldChar w:fldCharType="separate"/>
      </w:r>
      <w:r w:rsidR="00F31E8E">
        <w:rPr>
          <w:noProof/>
          <w:color w:val="000000" w:themeColor="text1"/>
        </w:rPr>
        <w:t>9</w:t>
      </w:r>
      <w:r w:rsidR="00F52D6C">
        <w:rPr>
          <w:color w:val="000000" w:themeColor="text1"/>
        </w:rPr>
        <w:fldChar w:fldCharType="end"/>
      </w:r>
      <w:r w:rsidRPr="0006144B">
        <w:rPr>
          <w:color w:val="000000" w:themeColor="text1"/>
        </w:rPr>
        <w:t xml:space="preserve">: </w:t>
      </w:r>
      <w:r>
        <w:rPr>
          <w:color w:val="000000" w:themeColor="text1"/>
        </w:rPr>
        <w:t>Saldo běžného účtu platební bilance</w:t>
      </w:r>
      <w:bookmarkEnd w:id="19"/>
    </w:p>
    <w:p w14:paraId="34027A47" w14:textId="77777777" w:rsidR="005F3E29" w:rsidRPr="0006144B" w:rsidRDefault="005F3E29" w:rsidP="005F3E29">
      <w:pPr>
        <w:pStyle w:val="Titulek-jednotkypodnadpisemgrafunebotabulky"/>
        <w:rPr>
          <w:color w:val="000000" w:themeColor="text1"/>
        </w:rPr>
      </w:pPr>
      <w:r>
        <w:t>(v % HDP)</w:t>
      </w:r>
    </w:p>
    <w:p w14:paraId="5E19BBC6" w14:textId="1A6044B1" w:rsidR="005F3E29" w:rsidRDefault="004630B0" w:rsidP="005F3E29">
      <w:pPr>
        <w:rPr>
          <w:b/>
          <w:u w:val="single"/>
        </w:rPr>
      </w:pPr>
      <w:r>
        <w:rPr>
          <w:noProof/>
        </w:rPr>
        <w:drawing>
          <wp:inline distT="0" distB="0" distL="0" distR="0" wp14:anchorId="7A3800E1" wp14:editId="5B2C2F95">
            <wp:extent cx="2933700" cy="1725930"/>
            <wp:effectExtent l="0" t="0" r="0" b="0"/>
            <wp:docPr id="26" name="Graf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r w:rsidR="005F3E29" w:rsidRPr="005F3E29">
        <w:rPr>
          <w:i/>
          <w:sz w:val="16"/>
          <w:szCs w:val="16"/>
        </w:rPr>
        <w:t>Zdroj:</w:t>
      </w:r>
      <w:r w:rsidR="005F3E29" w:rsidRPr="005F3E29">
        <w:rPr>
          <w:i/>
          <w:iCs/>
          <w:color w:val="000000"/>
          <w:sz w:val="16"/>
          <w:szCs w:val="16"/>
        </w:rPr>
        <w:t xml:space="preserve"> </w:t>
      </w:r>
      <w:r w:rsidR="00DC6329">
        <w:rPr>
          <w:i/>
          <w:iCs/>
          <w:color w:val="000000"/>
          <w:sz w:val="16"/>
          <w:szCs w:val="16"/>
        </w:rPr>
        <w:t xml:space="preserve">ČNB, </w:t>
      </w:r>
      <w:r w:rsidR="005F3E29" w:rsidRPr="005F3E29">
        <w:rPr>
          <w:i/>
          <w:iCs/>
          <w:color w:val="000000"/>
          <w:sz w:val="16"/>
          <w:szCs w:val="16"/>
        </w:rPr>
        <w:t xml:space="preserve">ČSÚ. Výpočty </w:t>
      </w:r>
      <w:r w:rsidR="005F3E29" w:rsidRPr="0006144B">
        <w:rPr>
          <w:i/>
          <w:iCs/>
          <w:color w:val="000000"/>
          <w:sz w:val="16"/>
          <w:szCs w:val="16"/>
        </w:rPr>
        <w:t>a predikce MF ČR.</w:t>
      </w:r>
    </w:p>
    <w:p w14:paraId="1C458DCC" w14:textId="2070EB05" w:rsidR="00695CCE" w:rsidRDefault="00695CCE" w:rsidP="00695CCE">
      <w:bookmarkStart w:id="20" w:name="_Ref465151154"/>
      <w:r>
        <w:t xml:space="preserve">V rámci bilance zboží je možné očekávat, že propad vývozů vlivem velmi slabé zahraniční poptávky bude větší než snížení dovozů z důvodu poklesu domácí poptávky, zejména investic. </w:t>
      </w:r>
    </w:p>
    <w:p w14:paraId="335D900B" w14:textId="77777777" w:rsidR="00695CCE" w:rsidRDefault="008F0E7D" w:rsidP="00695CCE">
      <w:r>
        <w:t>U</w:t>
      </w:r>
      <w:r w:rsidR="00695CCE">
        <w:t> bilanc</w:t>
      </w:r>
      <w:r>
        <w:t>e</w:t>
      </w:r>
      <w:r w:rsidR="00695CCE">
        <w:t xml:space="preserve"> služeb lze </w:t>
      </w:r>
      <w:r w:rsidR="00A50034">
        <w:t xml:space="preserve">v oblasti cestovního ruchu </w:t>
      </w:r>
      <w:r w:rsidR="00695CCE">
        <w:t>předpokládat, že pokles příjezdu zahraničních turistů (tedy vývozu služeb) bude mít větší důsledky než nižší výjezdy Čechů do zahraničí.</w:t>
      </w:r>
      <w:r w:rsidR="00695CCE" w:rsidRPr="00430DBC">
        <w:t xml:space="preserve"> </w:t>
      </w:r>
      <w:r w:rsidR="00695CCE">
        <w:t xml:space="preserve">Vliv </w:t>
      </w:r>
      <w:proofErr w:type="spellStart"/>
      <w:r w:rsidR="00695CCE">
        <w:t>koronaviru</w:t>
      </w:r>
      <w:proofErr w:type="spellEnd"/>
      <w:r w:rsidR="00695CCE">
        <w:t xml:space="preserve"> na ostatní složky bilance služeb nelze jednoznačně specifikovat</w:t>
      </w:r>
      <w:r w:rsidR="00992455">
        <w:t>.</w:t>
      </w:r>
    </w:p>
    <w:p w14:paraId="276BD408" w14:textId="77777777" w:rsidR="00695CCE" w:rsidRDefault="00695CCE" w:rsidP="00695CCE">
      <w:r>
        <w:t xml:space="preserve">Nejvýznamnějším faktorem by však </w:t>
      </w:r>
      <w:r w:rsidR="00A50034">
        <w:t xml:space="preserve">díky nižší ziskovosti firem pod zahraniční kontrolou </w:t>
      </w:r>
      <w:r>
        <w:t>mělo být zmenšení deficitu bilance prvotních důchodů.</w:t>
      </w:r>
      <w:r w:rsidRPr="00CC278A">
        <w:t xml:space="preserve"> </w:t>
      </w:r>
      <w:r>
        <w:t>D</w:t>
      </w:r>
      <w:r w:rsidRPr="00D70DDD">
        <w:t>oporučení ČNB týkající se pozdržení výplaty dividend finančních institucí v ČR z obezřetnostních důvodů</w:t>
      </w:r>
      <w:r>
        <w:t xml:space="preserve"> by bilanci nemělo ovlivnit, protože</w:t>
      </w:r>
      <w:r w:rsidRPr="00D70DDD">
        <w:t xml:space="preserve"> </w:t>
      </w:r>
      <w:r w:rsidR="00A50034">
        <w:t xml:space="preserve">se </w:t>
      </w:r>
      <w:r>
        <w:t>n</w:t>
      </w:r>
      <w:r w:rsidRPr="00D70DDD">
        <w:t>evyplacené zisky z položky vyplacených dividend přesunou do položky reinvestovaných zisků.</w:t>
      </w:r>
    </w:p>
    <w:p w14:paraId="3FFCE3C6" w14:textId="3C6EFCB1" w:rsidR="00612BDB" w:rsidRDefault="00695CCE" w:rsidP="00332D4D">
      <w:pPr>
        <w:sectPr w:rsidR="00612BDB" w:rsidSect="007A1923">
          <w:headerReference w:type="default" r:id="rId26"/>
          <w:footerReference w:type="even" r:id="rId27"/>
          <w:type w:val="continuous"/>
          <w:pgSz w:w="11906" w:h="16838" w:code="9"/>
          <w:pgMar w:top="1134" w:right="1134" w:bottom="1418" w:left="1134" w:header="709" w:footer="709" w:gutter="0"/>
          <w:cols w:num="2" w:space="397"/>
          <w:docGrid w:linePitch="360"/>
        </w:sectPr>
      </w:pPr>
      <w:r>
        <w:t>Ve výsledku by tak saldo běžného účtu platební bilance mohlo v </w:t>
      </w:r>
      <w:r w:rsidRPr="00A37197">
        <w:rPr>
          <w:b/>
        </w:rPr>
        <w:t>roce 2020</w:t>
      </w:r>
      <w:r>
        <w:t xml:space="preserve"> </w:t>
      </w:r>
      <w:r w:rsidR="00C1497B">
        <w:t>dosáhnout</w:t>
      </w:r>
      <w:r>
        <w:t xml:space="preserve"> přebytku ve výši cca 0,3 % HDP. </w:t>
      </w:r>
      <w:r w:rsidR="00200BB8">
        <w:t>M</w:t>
      </w:r>
      <w:r>
        <w:t>írný přebytek</w:t>
      </w:r>
      <w:r w:rsidR="00200BB8">
        <w:t xml:space="preserve"> 0,4 % HDP</w:t>
      </w:r>
      <w:r w:rsidR="00BC0973">
        <w:t xml:space="preserve"> je možné očekávat i </w:t>
      </w:r>
      <w:r w:rsidR="00200BB8">
        <w:t>v příštím roce.</w:t>
      </w:r>
    </w:p>
    <w:p w14:paraId="63BB0635" w14:textId="77777777" w:rsidR="00332D4D" w:rsidRDefault="00612BDB" w:rsidP="005C6EB8">
      <w:pPr>
        <w:pStyle w:val="Nadpis2"/>
      </w:pPr>
      <w:bookmarkStart w:id="21" w:name="_Toc14695476"/>
      <w:bookmarkStart w:id="22" w:name="_Toc52267344"/>
      <w:bookmarkStart w:id="23" w:name="_Toc206730429"/>
      <w:bookmarkStart w:id="24" w:name="_Toc238787328"/>
      <w:bookmarkStart w:id="25" w:name="_Toc239042742"/>
      <w:bookmarkStart w:id="26" w:name="_Toc239056371"/>
      <w:bookmarkStart w:id="27" w:name="_Toc239056409"/>
      <w:bookmarkStart w:id="28" w:name="_Toc525714699"/>
      <w:bookmarkEnd w:id="20"/>
      <w:r>
        <w:lastRenderedPageBreak/>
        <w:t xml:space="preserve">Nezávislé ověření </w:t>
      </w:r>
      <w:r w:rsidRPr="005716D5">
        <w:t>makroekonomického</w:t>
      </w:r>
      <w:r>
        <w:t xml:space="preserve"> rámce</w:t>
      </w:r>
      <w:bookmarkEnd w:id="21"/>
      <w:bookmarkEnd w:id="22"/>
      <w:r w:rsidRPr="00C724DB">
        <w:t xml:space="preserve"> </w:t>
      </w:r>
      <w:bookmarkEnd w:id="23"/>
      <w:bookmarkEnd w:id="24"/>
      <w:bookmarkEnd w:id="25"/>
      <w:bookmarkEnd w:id="26"/>
      <w:bookmarkEnd w:id="27"/>
      <w:bookmarkEnd w:id="28"/>
    </w:p>
    <w:p w14:paraId="18EA12F2" w14:textId="77777777" w:rsidR="00332D4D" w:rsidRDefault="00332D4D" w:rsidP="00332D4D">
      <w:pPr>
        <w:sectPr w:rsidR="00332D4D" w:rsidSect="007A1923">
          <w:type w:val="continuous"/>
          <w:pgSz w:w="11906" w:h="16838" w:code="9"/>
          <w:pgMar w:top="1134" w:right="1134" w:bottom="1418" w:left="1134" w:header="709" w:footer="709" w:gutter="0"/>
          <w:cols w:space="709"/>
          <w:docGrid w:linePitch="360"/>
        </w:sectPr>
      </w:pPr>
    </w:p>
    <w:p w14:paraId="66E592C5" w14:textId="2FB84C59" w:rsidR="00612BDB" w:rsidRDefault="00612BDB" w:rsidP="008F58BF">
      <w:pPr>
        <w:pStyle w:val="Nadpis3"/>
        <w:spacing w:before="0"/>
        <w:jc w:val="left"/>
      </w:pPr>
      <w:r>
        <w:t>Zhodnocení Výborem pro rozpočtové prognózy</w:t>
      </w:r>
    </w:p>
    <w:p w14:paraId="103C8D00" w14:textId="3C3F857E" w:rsidR="00332D4D" w:rsidRDefault="00695CCE" w:rsidP="00B84991">
      <w:pPr>
        <w:rPr>
          <w:b/>
        </w:rPr>
      </w:pPr>
      <w:r w:rsidRPr="000C3438">
        <w:t>Výbor pro rozpočtové prognózy</w:t>
      </w:r>
      <w:r w:rsidR="009525C3">
        <w:t>,</w:t>
      </w:r>
      <w:r w:rsidRPr="000C3438">
        <w:t xml:space="preserve"> </w:t>
      </w:r>
      <w:r w:rsidR="009525C3" w:rsidRPr="000C3438">
        <w:t>v</w:t>
      </w:r>
      <w:r w:rsidR="009525C3">
        <w:t> </w:t>
      </w:r>
      <w:r w:rsidR="009525C3" w:rsidRPr="000C3438">
        <w:t>soul</w:t>
      </w:r>
      <w:r w:rsidR="009525C3">
        <w:t xml:space="preserve">adu se zákonem č. 23/2017 Sb. o </w:t>
      </w:r>
      <w:r w:rsidR="009525C3" w:rsidRPr="000C3438">
        <w:t>pravidlech rozpočtové odpovědnosti</w:t>
      </w:r>
      <w:r w:rsidR="009525C3">
        <w:t xml:space="preserve">, </w:t>
      </w:r>
      <w:r w:rsidR="001B0429">
        <w:t xml:space="preserve">ve znění pozdějších předpisů, </w:t>
      </w:r>
      <w:r w:rsidRPr="000C3438">
        <w:t xml:space="preserve">posoudil </w:t>
      </w:r>
      <w:r>
        <w:t>21</w:t>
      </w:r>
      <w:r w:rsidRPr="008F140B">
        <w:t>.</w:t>
      </w:r>
      <w:r>
        <w:t> září</w:t>
      </w:r>
      <w:r w:rsidR="009525C3">
        <w:t> </w:t>
      </w:r>
      <w:r w:rsidRPr="008F140B">
        <w:t>20</w:t>
      </w:r>
      <w:r>
        <w:t>20</w:t>
      </w:r>
      <w:r w:rsidRPr="000C3438">
        <w:t xml:space="preserve"> Makroekonomickou predikci České republiky Ministerstva financí z</w:t>
      </w:r>
      <w:r>
        <w:t>e</w:t>
      </w:r>
      <w:r w:rsidR="009525C3">
        <w:t> </w:t>
      </w:r>
      <w:r>
        <w:t>září 2020</w:t>
      </w:r>
      <w:r w:rsidRPr="000C3438">
        <w:t>, z níž vychází tento makroekonomický rámec, z hlediska pravděpodobnosti jejího naplnění a</w:t>
      </w:r>
      <w:r w:rsidR="009525C3">
        <w:t> </w:t>
      </w:r>
      <w:r w:rsidRPr="000C3438">
        <w:t>vhodnosti použití v rozpočtovém procesu.</w:t>
      </w:r>
      <w:r>
        <w:t xml:space="preserve"> </w:t>
      </w:r>
      <w:r w:rsidRPr="00257980">
        <w:t xml:space="preserve">Výbor vyhodnotil makroekonomickou prognózu jako </w:t>
      </w:r>
      <w:r w:rsidRPr="001C4C8D">
        <w:rPr>
          <w:b/>
        </w:rPr>
        <w:t>realistickou</w:t>
      </w:r>
      <w:r w:rsidRPr="001C4C8D">
        <w:t>.</w:t>
      </w:r>
    </w:p>
    <w:p w14:paraId="7DF9EF05" w14:textId="77777777" w:rsidR="00612BDB" w:rsidRDefault="00612BDB" w:rsidP="00612BDB">
      <w:pPr>
        <w:pStyle w:val="Nadpis3"/>
      </w:pPr>
      <w:r>
        <w:t>Monitoring prognóz</w:t>
      </w:r>
    </w:p>
    <w:p w14:paraId="78539198" w14:textId="77777777" w:rsidR="00695CCE" w:rsidRPr="00194ECD" w:rsidRDefault="00695CCE" w:rsidP="00695CCE">
      <w:r>
        <w:t>Ministerstvo financí</w:t>
      </w:r>
      <w:r w:rsidRPr="00194ECD">
        <w:t xml:space="preserve"> monitoruje makroekonomické pr</w:t>
      </w:r>
      <w:r>
        <w:t>ognózy</w:t>
      </w:r>
      <w:r w:rsidRPr="00194ECD">
        <w:t xml:space="preserve"> ostatních institucí zabývajících se předpovídáním budoucího </w:t>
      </w:r>
      <w:r>
        <w:t>vývoje české ekonomiky. Z </w:t>
      </w:r>
      <w:r w:rsidRPr="00194ECD">
        <w:t>veřejně přístupných datových zdrojů jsou průběžně sledovány prognózy 1</w:t>
      </w:r>
      <w:r>
        <w:t>3</w:t>
      </w:r>
      <w:r w:rsidRPr="00194ECD">
        <w:t xml:space="preserve"> institucí, z čehož </w:t>
      </w:r>
      <w:r>
        <w:t>8</w:t>
      </w:r>
      <w:r w:rsidRPr="00194ECD">
        <w:t xml:space="preserve"> institucí je tuzemských (Č</w:t>
      </w:r>
      <w:r>
        <w:t xml:space="preserve">eská </w:t>
      </w:r>
      <w:r>
        <w:t>národní banka</w:t>
      </w:r>
      <w:r w:rsidRPr="00194ECD">
        <w:t xml:space="preserve">, </w:t>
      </w:r>
      <w:r>
        <w:t>Ministerstvo práce a sociálních věcí</w:t>
      </w:r>
      <w:r w:rsidRPr="00194ECD">
        <w:t xml:space="preserve">, </w:t>
      </w:r>
      <w:r>
        <w:t>domácí banky a investiční společnosti</w:t>
      </w:r>
      <w:r w:rsidRPr="00194ECD">
        <w:t xml:space="preserve">), ostatní jsou zahraniční (Evropská komise, </w:t>
      </w:r>
      <w:r w:rsidRPr="00287AC6">
        <w:t>Organizace</w:t>
      </w:r>
      <w:r w:rsidRPr="00F12F85">
        <w:t xml:space="preserve"> pro hospodářskou</w:t>
      </w:r>
      <w:r w:rsidRPr="00287AC6">
        <w:t xml:space="preserve"> spolupráci a rozvoj</w:t>
      </w:r>
      <w:r w:rsidRPr="00194ECD">
        <w:t>, M</w:t>
      </w:r>
      <w:r>
        <w:t>ezinárodní měnový fond</w:t>
      </w:r>
      <w:r w:rsidRPr="00194ECD">
        <w:t> aj.).</w:t>
      </w:r>
    </w:p>
    <w:p w14:paraId="39055AF2" w14:textId="77777777" w:rsidR="00695CCE" w:rsidRPr="00191FA1" w:rsidRDefault="00695CCE" w:rsidP="00695CCE">
      <w:pPr>
        <w:pStyle w:val="ZKDvousloupcov"/>
      </w:pPr>
      <w:r>
        <w:t>Scénář makroekonomického rámce</w:t>
      </w:r>
      <w:r w:rsidRPr="00191FA1">
        <w:t xml:space="preserve"> se </w:t>
      </w:r>
      <w:r>
        <w:t>u HDP, inflace a </w:t>
      </w:r>
      <w:r w:rsidR="00992455">
        <w:t xml:space="preserve">salda </w:t>
      </w:r>
      <w:r>
        <w:t xml:space="preserve">běžného účtu </w:t>
      </w:r>
      <w:r w:rsidRPr="00191FA1">
        <w:t xml:space="preserve">od průměru odhadů sledovaných institucí liší jen </w:t>
      </w:r>
      <w:r>
        <w:t>málo</w:t>
      </w:r>
      <w:r w:rsidRPr="00191FA1">
        <w:t xml:space="preserve"> a </w:t>
      </w:r>
      <w:r>
        <w:t>pohybu</w:t>
      </w:r>
      <w:r w:rsidRPr="00191FA1">
        <w:t xml:space="preserve">je v rámci </w:t>
      </w:r>
      <w:r>
        <w:t>intervalu</w:t>
      </w:r>
      <w:r w:rsidRPr="00191FA1">
        <w:t xml:space="preserve"> jejich prognóz. Jedinou výjimkou je </w:t>
      </w:r>
      <w:r>
        <w:t>průměrná mzda</w:t>
      </w:r>
      <w:r w:rsidRPr="00191FA1">
        <w:t xml:space="preserve">, kde </w:t>
      </w:r>
      <w:r>
        <w:t xml:space="preserve">je predikce </w:t>
      </w:r>
      <w:r w:rsidRPr="00191FA1">
        <w:t xml:space="preserve">MF ČR </w:t>
      </w:r>
      <w:r w:rsidRPr="004E4BCB">
        <w:t>na základě dat za 2. čtvrtletí 2020 výrazně pesimističtější.</w:t>
      </w:r>
    </w:p>
    <w:p w14:paraId="1D7ED0F4" w14:textId="77777777" w:rsidR="00695CCE" w:rsidRDefault="00695CCE" w:rsidP="00695CCE">
      <w:r w:rsidRPr="00D13FF0">
        <w:rPr>
          <w:kern w:val="20"/>
          <w:szCs w:val="24"/>
        </w:rPr>
        <w:t>Současně je třeba zdůraznit, že variační rozp</w:t>
      </w:r>
      <w:r>
        <w:rPr>
          <w:kern w:val="20"/>
          <w:szCs w:val="24"/>
        </w:rPr>
        <w:t>ě</w:t>
      </w:r>
      <w:r w:rsidRPr="00D13FF0">
        <w:rPr>
          <w:kern w:val="20"/>
          <w:szCs w:val="24"/>
        </w:rPr>
        <w:t>tí</w:t>
      </w:r>
      <w:r>
        <w:rPr>
          <w:kern w:val="20"/>
          <w:szCs w:val="24"/>
        </w:rPr>
        <w:t xml:space="preserve"> i směrodatná odchylka souboru monitorovaných prognóz dosahují neobvykle vysokých hodnot, což odráží výrazný prvek nejistoty v prognózách budoucího vývoje.</w:t>
      </w:r>
    </w:p>
    <w:p w14:paraId="2522EEB8" w14:textId="77777777" w:rsidR="00287AC6" w:rsidRDefault="00287AC6" w:rsidP="00612BDB">
      <w:pPr>
        <w:rPr>
          <w:rFonts w:ascii="Times New Roman" w:hAnsi="Times New Roman"/>
          <w:sz w:val="24"/>
        </w:rPr>
        <w:sectPr w:rsidR="00287AC6" w:rsidSect="00586243">
          <w:type w:val="continuous"/>
          <w:pgSz w:w="11906" w:h="16838" w:code="9"/>
          <w:pgMar w:top="1134" w:right="1134" w:bottom="1418" w:left="1134" w:header="709" w:footer="709" w:gutter="0"/>
          <w:cols w:num="2" w:space="397"/>
          <w:docGrid w:linePitch="360"/>
        </w:sectPr>
      </w:pPr>
    </w:p>
    <w:p w14:paraId="482CC6A9" w14:textId="66C158FE" w:rsidR="006E7D36" w:rsidRDefault="00A01FB3" w:rsidP="008E4347">
      <w:pPr>
        <w:pStyle w:val="Titulek"/>
        <w:rPr>
          <w:noProof/>
        </w:rPr>
      </w:pPr>
      <w:bookmarkStart w:id="29" w:name="_Toc51676896"/>
      <w:r w:rsidRPr="00B87A57">
        <w:t xml:space="preserve">Tabulka </w:t>
      </w:r>
      <w:r w:rsidR="008F78E8">
        <w:fldChar w:fldCharType="begin"/>
      </w:r>
      <w:r w:rsidR="008F78E8">
        <w:instrText xml:space="preserve"> STYLEREF 1 \s </w:instrText>
      </w:r>
      <w:r w:rsidR="008F78E8">
        <w:fldChar w:fldCharType="separate"/>
      </w:r>
      <w:r w:rsidR="00F31E8E">
        <w:rPr>
          <w:noProof/>
        </w:rPr>
        <w:t>2</w:t>
      </w:r>
      <w:r w:rsidR="008F78E8">
        <w:rPr>
          <w:noProof/>
        </w:rPr>
        <w:fldChar w:fldCharType="end"/>
      </w:r>
      <w:r w:rsidRPr="00B87A57">
        <w:t>.</w:t>
      </w:r>
      <w:r w:rsidR="008F78E8">
        <w:fldChar w:fldCharType="begin"/>
      </w:r>
      <w:r w:rsidR="008F78E8">
        <w:instrText xml:space="preserve"> SEQ Tabulka \* ARABIC \s 1 </w:instrText>
      </w:r>
      <w:r w:rsidR="008F78E8">
        <w:fldChar w:fldCharType="separate"/>
      </w:r>
      <w:r w:rsidR="00F31E8E">
        <w:rPr>
          <w:noProof/>
        </w:rPr>
        <w:t>1</w:t>
      </w:r>
      <w:r w:rsidR="008F78E8">
        <w:rPr>
          <w:noProof/>
        </w:rPr>
        <w:fldChar w:fldCharType="end"/>
      </w:r>
      <w:r w:rsidRPr="00B87A57">
        <w:t>:</w:t>
      </w:r>
      <w:r w:rsidRPr="00877BE7">
        <w:t xml:space="preserve"> </w:t>
      </w:r>
      <w:r w:rsidR="00287AC6" w:rsidRPr="006B7212">
        <w:rPr>
          <w:noProof/>
        </w:rPr>
        <w:t>Ověření makroekonomického rámce nezávislými prognózami</w:t>
      </w:r>
      <w:bookmarkEnd w:id="29"/>
    </w:p>
    <w:p w14:paraId="78CE159C" w14:textId="77777777" w:rsidR="008E4347" w:rsidRDefault="00695CCE" w:rsidP="008E4347">
      <w:pPr>
        <w:spacing w:after="0"/>
      </w:pPr>
      <w:r w:rsidRPr="00695CCE">
        <w:rPr>
          <w:noProof/>
        </w:rPr>
        <w:drawing>
          <wp:inline distT="0" distB="0" distL="0" distR="0" wp14:anchorId="7E6474A2" wp14:editId="6EDB6C1A">
            <wp:extent cx="6116400" cy="1440000"/>
            <wp:effectExtent l="0" t="0" r="0" b="8255"/>
            <wp:docPr id="2" name="Obrázek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116400" cy="1440000"/>
                    </a:xfrm>
                    <a:prstGeom prst="rect">
                      <a:avLst/>
                    </a:prstGeom>
                    <a:noFill/>
                    <a:ln>
                      <a:noFill/>
                    </a:ln>
                  </pic:spPr>
                </pic:pic>
              </a:graphicData>
            </a:graphic>
          </wp:inline>
        </w:drawing>
      </w:r>
    </w:p>
    <w:p w14:paraId="1520082C" w14:textId="77777777" w:rsidR="00332D4D" w:rsidRDefault="00332D4D" w:rsidP="00332D4D">
      <w:pPr>
        <w:pStyle w:val="Zdrojpodtabulkounebografem"/>
      </w:pPr>
      <w:r w:rsidRPr="00B45D51">
        <w:t>Zdroj</w:t>
      </w:r>
      <w:r w:rsidRPr="006C10CA">
        <w:t xml:space="preserve">: </w:t>
      </w:r>
      <w:r w:rsidR="00287AC6">
        <w:t>P</w:t>
      </w:r>
      <w:r w:rsidR="00287AC6" w:rsidRPr="00287AC6">
        <w:t xml:space="preserve">rognózy jednotlivých </w:t>
      </w:r>
      <w:r w:rsidR="00287AC6" w:rsidRPr="004F24FA">
        <w:t>institucí k</w:t>
      </w:r>
      <w:r w:rsidR="002C7011" w:rsidRPr="004F24FA">
        <w:t> </w:t>
      </w:r>
      <w:r w:rsidR="00695CCE" w:rsidRPr="004F24FA">
        <w:t>11</w:t>
      </w:r>
      <w:r w:rsidR="002C7011" w:rsidRPr="004F24FA">
        <w:t xml:space="preserve">. </w:t>
      </w:r>
      <w:r w:rsidR="004572E8" w:rsidRPr="004F24FA">
        <w:t>září 2020</w:t>
      </w:r>
      <w:r w:rsidR="00287AC6" w:rsidRPr="004F24FA">
        <w:t>. Výpočty</w:t>
      </w:r>
      <w:r w:rsidR="00287AC6" w:rsidRPr="00287AC6">
        <w:t xml:space="preserve"> a predikce MF ČR.</w:t>
      </w:r>
    </w:p>
    <w:p w14:paraId="08E63543" w14:textId="77777777" w:rsidR="00A279F2" w:rsidRDefault="00A279F2" w:rsidP="005C6EB8">
      <w:pPr>
        <w:pStyle w:val="Nadpis1"/>
        <w:sectPr w:rsidR="00A279F2" w:rsidSect="006E7D36">
          <w:type w:val="continuous"/>
          <w:pgSz w:w="11906" w:h="16838" w:code="9"/>
          <w:pgMar w:top="1134" w:right="1134" w:bottom="1418" w:left="1134" w:header="709" w:footer="709" w:gutter="0"/>
          <w:cols w:space="708"/>
          <w:docGrid w:linePitch="360"/>
        </w:sectPr>
      </w:pPr>
    </w:p>
    <w:p w14:paraId="0A9BA5CA" w14:textId="77777777" w:rsidR="0089096E" w:rsidRDefault="0089096E" w:rsidP="0089096E">
      <w:pPr>
        <w:pStyle w:val="Nadpis3"/>
        <w:tabs>
          <w:tab w:val="clear" w:pos="1145"/>
          <w:tab w:val="num" w:pos="720"/>
        </w:tabs>
        <w:spacing w:before="0"/>
        <w:ind w:left="720" w:hanging="720"/>
      </w:pPr>
      <w:r>
        <w:t>Porovnání s prognózou Evropské komise</w:t>
      </w:r>
    </w:p>
    <w:p w14:paraId="1033EC69" w14:textId="77777777" w:rsidR="0089096E" w:rsidRPr="00C94F01" w:rsidRDefault="0089096E" w:rsidP="0089096E">
      <w:r w:rsidRPr="00C94F01">
        <w:t>Makroekonomická predikce Ministerstva financí je v plném rozsahu ukazatelů se čtvrtletní periodicitou publikována vždy, zatímco Ekonomická prognóza Evropské komise jen dvakrát ročně, přičemž v mezidobí je aktualizována pou</w:t>
      </w:r>
      <w:r>
        <w:t>ze v hlavních parametrech HDP a </w:t>
      </w:r>
      <w:r w:rsidRPr="00C94F01">
        <w:t>inflaci. Navíc nevycházejí vždy ve stejnou dobu. Striktní srovnání tedy není možné, neboť obě predikce pracují s jinou aktuální datovou základnou.</w:t>
      </w:r>
    </w:p>
    <w:p w14:paraId="33012A33" w14:textId="7730CAB9" w:rsidR="0089096E" w:rsidRPr="00DF52AA" w:rsidRDefault="0089096E" w:rsidP="0089096E">
      <w:pPr>
        <w:rPr>
          <w:highlight w:val="yellow"/>
        </w:rPr>
      </w:pPr>
      <w:r w:rsidRPr="00C94F01">
        <w:t xml:space="preserve">Období vzniku obou predikcí dělí několik měsíců, během nichž proběhla revize většiny agregátů </w:t>
      </w:r>
      <w:r w:rsidRPr="00E061E9">
        <w:t xml:space="preserve">v souvislosti se zveřejněním ročních národních účtů. Dynamika reálného HDP doznala v předchozím roce snížení </w:t>
      </w:r>
      <w:r>
        <w:t>o </w:t>
      </w:r>
      <w:r w:rsidRPr="00E061E9">
        <w:t>0,3</w:t>
      </w:r>
      <w:r>
        <w:t> </w:t>
      </w:r>
      <w:r w:rsidRPr="00E061E9">
        <w:t>p.</w:t>
      </w:r>
      <w:r w:rsidR="00AC436C">
        <w:t> </w:t>
      </w:r>
      <w:r w:rsidRPr="00E061E9">
        <w:t>b. Změny proběhly také ve struktuře růstu, zejména ve snížení tempa tvorby hrubého kapitálu. Tabulka</w:t>
      </w:r>
      <w:r>
        <w:t xml:space="preserve"> 2.3</w:t>
      </w:r>
      <w:r w:rsidRPr="00C94F01">
        <w:t xml:space="preserve"> srovnává předpovědi </w:t>
      </w:r>
      <w:r>
        <w:t>MF ČR</w:t>
      </w:r>
      <w:r w:rsidRPr="00C94F01">
        <w:t xml:space="preserve"> a poslední úplnou predikci Evropské komise z května 2020.</w:t>
      </w:r>
    </w:p>
    <w:p w14:paraId="4EBCA6E4" w14:textId="77777777" w:rsidR="0089096E" w:rsidRPr="00DF52AA" w:rsidRDefault="0089096E" w:rsidP="0089096E">
      <w:pPr>
        <w:rPr>
          <w:highlight w:val="yellow"/>
        </w:rPr>
      </w:pPr>
      <w:r w:rsidRPr="00857980">
        <w:t xml:space="preserve">Predikce reálného HDP </w:t>
      </w:r>
      <w:r>
        <w:t>je v případě</w:t>
      </w:r>
      <w:r w:rsidRPr="00857980">
        <w:t xml:space="preserve"> Evropské komise v</w:t>
      </w:r>
      <w:r>
        <w:t> </w:t>
      </w:r>
      <w:r w:rsidRPr="00857980">
        <w:t xml:space="preserve">obou letech optimističtější. Zatímco </w:t>
      </w:r>
      <w:r>
        <w:t>pro rok 2020</w:t>
      </w:r>
      <w:r w:rsidRPr="00857980">
        <w:t xml:space="preserve"> jsou odchylky obou institucí minimální, v roce </w:t>
      </w:r>
      <w:r w:rsidRPr="00361A7D">
        <w:t xml:space="preserve">2021 Evropská komise očekává </w:t>
      </w:r>
      <w:r>
        <w:t>silnější oživení</w:t>
      </w:r>
      <w:r w:rsidRPr="00361A7D">
        <w:t xml:space="preserve">. Z hlediska struktury růstu dochází k významnějším odchylkám, </w:t>
      </w:r>
      <w:r>
        <w:t>zejména</w:t>
      </w:r>
      <w:r w:rsidRPr="00361A7D">
        <w:t xml:space="preserve"> na položce tvorby hrubého fixního kapitálu, </w:t>
      </w:r>
      <w:r w:rsidRPr="00361A7D">
        <w:t xml:space="preserve">kde MF ČR předpokládá nižší pokles investiční aktivity </w:t>
      </w:r>
      <w:r>
        <w:t>daný</w:t>
      </w:r>
      <w:r w:rsidRPr="00361A7D">
        <w:t> </w:t>
      </w:r>
      <w:r>
        <w:t xml:space="preserve">především </w:t>
      </w:r>
      <w:r w:rsidRPr="00361A7D">
        <w:t xml:space="preserve">růstem investic sektoru vládních </w:t>
      </w:r>
      <w:r>
        <w:t>institucí</w:t>
      </w:r>
      <w:r w:rsidRPr="00361A7D">
        <w:t xml:space="preserve"> </w:t>
      </w:r>
      <w:r>
        <w:t>do nerezidentské výstavby</w:t>
      </w:r>
      <w:r w:rsidRPr="00361A7D">
        <w:t xml:space="preserve"> </w:t>
      </w:r>
      <w:r>
        <w:t>ve 2. čtvrtletí 2020</w:t>
      </w:r>
      <w:r w:rsidRPr="00361A7D">
        <w:t xml:space="preserve">, pro rok 2021 pak MF ČR očekává pozvolnější oživení </w:t>
      </w:r>
      <w:r>
        <w:t>investic. Relativně mírnější snížení dovozně náročné investiční poptávky se promítlo do zhoršení příspěvku čistého vývozu k HDP v roce 2020</w:t>
      </w:r>
      <w:r w:rsidRPr="00361A7D">
        <w:t xml:space="preserve">. </w:t>
      </w:r>
      <w:r>
        <w:t>V případě spotřeby domácností a vlády dochází k větším odchylkám v roce 2021. MF ČR očekává nižší růst spotřeby domácností, v případě spotřeby vlády je situace opačná</w:t>
      </w:r>
      <w:r w:rsidRPr="004C61B6">
        <w:t>.</w:t>
      </w:r>
    </w:p>
    <w:p w14:paraId="365B53CB" w14:textId="77777777" w:rsidR="0089096E" w:rsidRPr="0065796B" w:rsidRDefault="0089096E" w:rsidP="0089096E">
      <w:r>
        <w:t>Zásadní odlišnosti jsou také</w:t>
      </w:r>
      <w:r w:rsidRPr="0065796B">
        <w:t xml:space="preserve"> v případě ostatních uvedených veličin. Evropská komise očekává </w:t>
      </w:r>
      <w:r>
        <w:t>v obou letech silnější</w:t>
      </w:r>
      <w:r w:rsidRPr="0065796B">
        <w:t xml:space="preserve"> růst nezaměstnanosti, MF ČR naproti tomu </w:t>
      </w:r>
      <w:r>
        <w:t>odhaduje</w:t>
      </w:r>
      <w:r w:rsidRPr="0065796B">
        <w:t xml:space="preserve"> větší dynamiku růstu cen v letošním roce</w:t>
      </w:r>
      <w:r>
        <w:t xml:space="preserve"> v důsledku dosavadního převážení negativních nabídkových efektů nad poptávkovými. P</w:t>
      </w:r>
      <w:r w:rsidRPr="0065796B">
        <w:t>ro rok 2021 pak obě instituce očekávají návrat inflace k cíli České národní banky.</w:t>
      </w:r>
    </w:p>
    <w:p w14:paraId="68AA59DA" w14:textId="77777777" w:rsidR="0089096E" w:rsidRDefault="0089096E" w:rsidP="0089096E">
      <w:r w:rsidRPr="00F75B86">
        <w:t>V červenci 2020 byla publikována předběžná prognóza Evropské komise, která v</w:t>
      </w:r>
      <w:r>
        <w:t> letošním roce zhoršuje pokles reálného HDP o 1,6 p. b</w:t>
      </w:r>
      <w:r w:rsidRPr="003765C7">
        <w:t>. na -7,8 %, pro rok 2021 pak očekává oživení ve výši 4,5 %. Míra inflace byla pro rok 2020 zvýšena na 2,8 %, pro rok 2021 na 2,2 %.</w:t>
      </w:r>
    </w:p>
    <w:p w14:paraId="6A45E87E" w14:textId="77777777" w:rsidR="0089096E" w:rsidRDefault="0089096E" w:rsidP="0089096E">
      <w:pPr>
        <w:sectPr w:rsidR="0089096E" w:rsidSect="00D13E36">
          <w:type w:val="continuous"/>
          <w:pgSz w:w="11906" w:h="16838" w:code="9"/>
          <w:pgMar w:top="1134" w:right="1134" w:bottom="1418" w:left="1134" w:header="709" w:footer="709" w:gutter="0"/>
          <w:cols w:num="2" w:space="708"/>
          <w:docGrid w:linePitch="360"/>
        </w:sectPr>
      </w:pPr>
    </w:p>
    <w:p w14:paraId="16F523FC" w14:textId="05429498" w:rsidR="0089096E" w:rsidRPr="005876A1" w:rsidRDefault="0089096E" w:rsidP="0089096E">
      <w:pPr>
        <w:pStyle w:val="Titulek"/>
      </w:pPr>
      <w:bookmarkStart w:id="30" w:name="_Toc17733205"/>
      <w:bookmarkStart w:id="31" w:name="_Toc51676897"/>
      <w:r w:rsidRPr="00B87A57">
        <w:lastRenderedPageBreak/>
        <w:t xml:space="preserve">Tabulka </w:t>
      </w:r>
      <w:r w:rsidR="008F78E8">
        <w:fldChar w:fldCharType="begin"/>
      </w:r>
      <w:r w:rsidR="008F78E8">
        <w:instrText xml:space="preserve"> SEQ Tabulka \* ARABIC </w:instrText>
      </w:r>
      <w:r w:rsidR="008F78E8">
        <w:instrText xml:space="preserve">\s 1 </w:instrText>
      </w:r>
      <w:r w:rsidR="008F78E8">
        <w:fldChar w:fldCharType="separate"/>
      </w:r>
      <w:r w:rsidR="00F31E8E">
        <w:rPr>
          <w:noProof/>
        </w:rPr>
        <w:t>1</w:t>
      </w:r>
      <w:r w:rsidR="008F78E8">
        <w:rPr>
          <w:noProof/>
        </w:rPr>
        <w:fldChar w:fldCharType="end"/>
      </w:r>
      <w:r w:rsidRPr="00B87A57">
        <w:t>.</w:t>
      </w:r>
      <w:r>
        <w:t>3</w:t>
      </w:r>
      <w:r w:rsidRPr="00B87A57">
        <w:t>:</w:t>
      </w:r>
      <w:r w:rsidRPr="00877BE7">
        <w:t xml:space="preserve"> </w:t>
      </w:r>
      <w:r>
        <w:rPr>
          <w:noProof/>
        </w:rPr>
        <w:t xml:space="preserve">Porovnání prognóz </w:t>
      </w:r>
      <w:r w:rsidRPr="00A61669">
        <w:t>Ministerstva</w:t>
      </w:r>
      <w:r>
        <w:rPr>
          <w:noProof/>
        </w:rPr>
        <w:t xml:space="preserve"> financí a Evropské komise</w:t>
      </w:r>
      <w:r>
        <w:rPr>
          <w:rStyle w:val="Znakapoznpodarou"/>
          <w:noProof/>
        </w:rPr>
        <w:footnoteReference w:id="1"/>
      </w:r>
      <w:bookmarkEnd w:id="30"/>
      <w:bookmarkEnd w:id="31"/>
      <w:r w:rsidRPr="00220482">
        <w:t xml:space="preserve"> </w:t>
      </w:r>
    </w:p>
    <w:p w14:paraId="557237D6" w14:textId="77777777" w:rsidR="0089096E" w:rsidRPr="004C308D" w:rsidRDefault="0089096E" w:rsidP="0089096E">
      <w:pPr>
        <w:keepNext/>
        <w:spacing w:after="0"/>
      </w:pPr>
      <w:r w:rsidRPr="00DF52AA">
        <w:rPr>
          <w:noProof/>
        </w:rPr>
        <w:drawing>
          <wp:inline distT="0" distB="0" distL="0" distR="0" wp14:anchorId="1C5BDC48" wp14:editId="0B1E80F0">
            <wp:extent cx="6120130" cy="2581999"/>
            <wp:effectExtent l="0" t="0" r="0" b="889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120130" cy="2581999"/>
                    </a:xfrm>
                    <a:prstGeom prst="rect">
                      <a:avLst/>
                    </a:prstGeom>
                    <a:noFill/>
                    <a:ln>
                      <a:noFill/>
                    </a:ln>
                  </pic:spPr>
                </pic:pic>
              </a:graphicData>
            </a:graphic>
          </wp:inline>
        </w:drawing>
      </w:r>
    </w:p>
    <w:p w14:paraId="19D4FCEA" w14:textId="77777777" w:rsidR="0089096E" w:rsidRDefault="0089096E" w:rsidP="0089096E">
      <w:pPr>
        <w:pStyle w:val="Zdrojpodtabulkounebografem"/>
        <w:spacing w:after="0"/>
      </w:pPr>
      <w:r>
        <w:t xml:space="preserve">Pozn.: Saldo běžného účtu </w:t>
      </w:r>
      <w:r w:rsidRPr="002A0848">
        <w:t xml:space="preserve">vychází </w:t>
      </w:r>
      <w:r>
        <w:t xml:space="preserve">v případě MF ČR </w:t>
      </w:r>
      <w:r w:rsidRPr="002A0848">
        <w:t xml:space="preserve">z metodiky platební bilance, </w:t>
      </w:r>
      <w:r>
        <w:t>údaje</w:t>
      </w:r>
      <w:r w:rsidRPr="002A0848">
        <w:t xml:space="preserve"> EK z národně-účetní metodiky ESA 2010.</w:t>
      </w:r>
    </w:p>
    <w:p w14:paraId="1AF74D44" w14:textId="77777777" w:rsidR="0089096E" w:rsidRPr="004E070A" w:rsidRDefault="0089096E" w:rsidP="0089096E">
      <w:pPr>
        <w:rPr>
          <w:i/>
          <w:sz w:val="16"/>
          <w:szCs w:val="16"/>
        </w:rPr>
      </w:pPr>
      <w:r w:rsidRPr="004E070A">
        <w:rPr>
          <w:i/>
          <w:sz w:val="16"/>
          <w:szCs w:val="16"/>
        </w:rPr>
        <w:t xml:space="preserve">Zdroj: Predikce MF </w:t>
      </w:r>
      <w:r w:rsidRPr="00E16792">
        <w:rPr>
          <w:i/>
          <w:sz w:val="16"/>
          <w:szCs w:val="16"/>
        </w:rPr>
        <w:t>ČR (</w:t>
      </w:r>
      <w:r>
        <w:rPr>
          <w:i/>
          <w:sz w:val="16"/>
          <w:szCs w:val="16"/>
        </w:rPr>
        <w:t>září 2020</w:t>
      </w:r>
      <w:r w:rsidRPr="00E16792">
        <w:rPr>
          <w:i/>
          <w:sz w:val="16"/>
          <w:szCs w:val="16"/>
        </w:rPr>
        <w:t>), predikce</w:t>
      </w:r>
      <w:r>
        <w:rPr>
          <w:i/>
          <w:sz w:val="16"/>
          <w:szCs w:val="16"/>
        </w:rPr>
        <w:t xml:space="preserve"> EK (květen 2020</w:t>
      </w:r>
      <w:r w:rsidRPr="004E070A">
        <w:rPr>
          <w:i/>
          <w:sz w:val="16"/>
          <w:szCs w:val="16"/>
        </w:rPr>
        <w:t>).</w:t>
      </w:r>
    </w:p>
    <w:p w14:paraId="41502F44" w14:textId="77777777" w:rsidR="0089096E" w:rsidRDefault="0089096E" w:rsidP="00A279F2">
      <w:pPr>
        <w:sectPr w:rsidR="0089096E" w:rsidSect="0089096E">
          <w:headerReference w:type="even" r:id="rId30"/>
          <w:footerReference w:type="even" r:id="rId31"/>
          <w:type w:val="continuous"/>
          <w:pgSz w:w="11906" w:h="16838" w:code="9"/>
          <w:pgMar w:top="1134" w:right="1134" w:bottom="1418" w:left="1134" w:header="709" w:footer="709" w:gutter="0"/>
          <w:cols w:space="397"/>
          <w:docGrid w:linePitch="360"/>
        </w:sectPr>
      </w:pPr>
    </w:p>
    <w:p w14:paraId="6E6C2B1E" w14:textId="77777777" w:rsidR="00AF764A" w:rsidRDefault="00AF764A" w:rsidP="00AF764A">
      <w:pPr>
        <w:pStyle w:val="Nadpis1"/>
      </w:pPr>
      <w:bookmarkStart w:id="32" w:name="_Toc51746177"/>
      <w:bookmarkStart w:id="33" w:name="_Toc52267345"/>
      <w:r w:rsidRPr="005C6EB8">
        <w:lastRenderedPageBreak/>
        <w:t xml:space="preserve">Fiskální politika a </w:t>
      </w:r>
      <w:r>
        <w:t>veřejné finance</w:t>
      </w:r>
      <w:bookmarkEnd w:id="32"/>
      <w:bookmarkEnd w:id="33"/>
    </w:p>
    <w:p w14:paraId="29048A75" w14:textId="2FA7DE0C" w:rsidR="00AF764A" w:rsidRDefault="00AF764A" w:rsidP="00AF764A">
      <w:pPr>
        <w:sectPr w:rsidR="00AF764A" w:rsidSect="006E7D36">
          <w:type w:val="continuous"/>
          <w:pgSz w:w="11906" w:h="16838" w:code="9"/>
          <w:pgMar w:top="1134" w:right="1134" w:bottom="1418" w:left="1134" w:header="709" w:footer="709" w:gutter="0"/>
          <w:cols w:space="708"/>
          <w:docGrid w:linePitch="360"/>
        </w:sectPr>
      </w:pPr>
    </w:p>
    <w:p w14:paraId="7CDF03D9" w14:textId="77777777" w:rsidR="00D706C3" w:rsidRDefault="00D706C3" w:rsidP="00D706C3">
      <w:r w:rsidRPr="0056559F">
        <w:t xml:space="preserve">V roce 2019 skončilo </w:t>
      </w:r>
      <w:r w:rsidRPr="00DE0E26">
        <w:rPr>
          <w:b/>
        </w:rPr>
        <w:t>hospodaření sektoru vládních institucí</w:t>
      </w:r>
      <w:r w:rsidRPr="0056559F">
        <w:t xml:space="preserve"> přebytkem ve výši 0,3 % HDP, přičemž strukturální saldo dosáhlo hodnoty -1,1 % HDP. Česká republika tak v zásadě splnila svůj střednědobý rozpočtový cíl, stanovený na -1 % HDP</w:t>
      </w:r>
      <w:r>
        <w:t xml:space="preserve">, jelikož </w:t>
      </w:r>
      <w:r w:rsidRPr="0056559F">
        <w:t xml:space="preserve">dle evropských pravidel </w:t>
      </w:r>
      <w:r>
        <w:t xml:space="preserve">je </w:t>
      </w:r>
      <w:r w:rsidRPr="0056559F">
        <w:t xml:space="preserve">z důvodu nejistot při výpočtu strukturálního salda </w:t>
      </w:r>
      <w:r>
        <w:t xml:space="preserve">uvažována vždy </w:t>
      </w:r>
      <w:r w:rsidRPr="0056559F">
        <w:t xml:space="preserve">tolerance 0,25 </w:t>
      </w:r>
      <w:r>
        <w:t>procentního bodu</w:t>
      </w:r>
      <w:r w:rsidRPr="0056559F">
        <w:t xml:space="preserve">. </w:t>
      </w:r>
      <w:r w:rsidRPr="005760E1">
        <w:rPr>
          <w:b/>
        </w:rPr>
        <w:t>Zadlužení</w:t>
      </w:r>
      <w:r>
        <w:t xml:space="preserve"> veřejných financí pokleslo na 30,2 % HDP.</w:t>
      </w:r>
    </w:p>
    <w:p w14:paraId="12A38CFA" w14:textId="46539ABA" w:rsidR="00D706C3" w:rsidRPr="00300420" w:rsidRDefault="00D706C3" w:rsidP="00D706C3">
      <w:r w:rsidRPr="005760E1">
        <w:rPr>
          <w:b/>
        </w:rPr>
        <w:t>Fiskální pozice</w:t>
      </w:r>
      <w:r w:rsidRPr="0056559F">
        <w:t xml:space="preserve"> je v roce 2020 </w:t>
      </w:r>
      <w:r>
        <w:t>výrazně</w:t>
      </w:r>
      <w:r w:rsidRPr="0056559F">
        <w:t xml:space="preserve"> determinována situací související s novým typem </w:t>
      </w:r>
      <w:proofErr w:type="spellStart"/>
      <w:r w:rsidRPr="0056559F">
        <w:t>koronaviru</w:t>
      </w:r>
      <w:proofErr w:type="spellEnd"/>
      <w:r w:rsidRPr="0056559F">
        <w:t xml:space="preserve"> a opatření</w:t>
      </w:r>
      <w:r>
        <w:t>mi</w:t>
      </w:r>
      <w:r w:rsidRPr="0056559F">
        <w:t xml:space="preserve"> </w:t>
      </w:r>
      <w:r>
        <w:t xml:space="preserve">zavedenými </w:t>
      </w:r>
      <w:r w:rsidRPr="0056559F">
        <w:t>proti jeho šíření</w:t>
      </w:r>
      <w:r>
        <w:t xml:space="preserve">. </w:t>
      </w:r>
      <w:r w:rsidRPr="0056559F">
        <w:t xml:space="preserve">Hospodaření </w:t>
      </w:r>
      <w:r>
        <w:t xml:space="preserve">veřejných financí je proto dotčeno nejenom výpadkem příjmů v důsledku působení automatických stabilizátorů, ale i fiskálními stimulačními opatřeními. Vzhledem k očekávané záporné produkční mezeře a pouze postupnému návratu na úroveň ekonomického výkonu před propuknutím pandemie, bude saldo hospodaření veřejných financí velmi pravděpodobně záporné </w:t>
      </w:r>
      <w:r w:rsidR="00742FB4">
        <w:t>i v následujícím roce</w:t>
      </w:r>
      <w:r w:rsidRPr="0056559F">
        <w:t xml:space="preserve">. </w:t>
      </w:r>
      <w:r w:rsidRPr="00AF397C">
        <w:rPr>
          <w:b/>
        </w:rPr>
        <w:t>Nastavení fiskální politiky</w:t>
      </w:r>
      <w:r w:rsidRPr="0056559F">
        <w:t xml:space="preserve"> </w:t>
      </w:r>
      <w:r w:rsidR="00742FB4">
        <w:t>by mělo být</w:t>
      </w:r>
      <w:r>
        <w:t xml:space="preserve"> </w:t>
      </w:r>
      <w:r w:rsidR="00742FB4">
        <w:t>v letech 2020 a 2021</w:t>
      </w:r>
      <w:r>
        <w:t xml:space="preserve"> expanzivní </w:t>
      </w:r>
      <w:r w:rsidR="00742FB4">
        <w:t>a napomáhat ekonomickému oživení</w:t>
      </w:r>
      <w:r>
        <w:t>.</w:t>
      </w:r>
    </w:p>
    <w:p w14:paraId="27641116" w14:textId="77777777" w:rsidR="00D706C3" w:rsidRPr="00300420" w:rsidRDefault="00D706C3" w:rsidP="00D706C3">
      <w:pPr>
        <w:sectPr w:rsidR="00D706C3" w:rsidRPr="00300420" w:rsidSect="006E7D36">
          <w:headerReference w:type="default" r:id="rId32"/>
          <w:footerReference w:type="even" r:id="rId33"/>
          <w:type w:val="continuous"/>
          <w:pgSz w:w="11906" w:h="16838" w:code="9"/>
          <w:pgMar w:top="1134" w:right="1134" w:bottom="1418" w:left="1134" w:header="709" w:footer="709" w:gutter="0"/>
          <w:cols w:space="708"/>
          <w:docGrid w:linePitch="360"/>
        </w:sectPr>
      </w:pPr>
    </w:p>
    <w:p w14:paraId="79D4D9FA" w14:textId="60C497E7" w:rsidR="009D0B99" w:rsidRPr="009D0B99" w:rsidRDefault="009D0B99" w:rsidP="009D0B99">
      <w:r w:rsidRPr="009D0B99">
        <w:t xml:space="preserve">Důležitým indikátorem pozice ekonomiky v rámci hospodářského cyklu je </w:t>
      </w:r>
      <w:r w:rsidRPr="009D0B99">
        <w:rPr>
          <w:b/>
        </w:rPr>
        <w:t>produkční mezera</w:t>
      </w:r>
      <w:r w:rsidRPr="009D0B99">
        <w:t>, která vyjadřuje rozdíl mezi skutečnou úrovní ekonomického výkonu a úrovní optimálně využívající disponibilní zdroje (rovnovážnou). Ta současně slouží i k určení charakteru fiskální politiky. Dle výpočtů MF ČR dosáhla produkční mezera svého vrcholu v roce 2019 (3,7 % potenciálního produktu). V letošním roce naopak ekonomický výkon klesne pod svůj potenciál ve výši -3,5 %, tedy meziročně dojde ke změně produkční mezery o 7,2 procentního bodu. V další</w:t>
      </w:r>
      <w:r>
        <w:t>m</w:t>
      </w:r>
      <w:r w:rsidRPr="009D0B99">
        <w:t xml:space="preserve"> </w:t>
      </w:r>
      <w:r>
        <w:t>roce</w:t>
      </w:r>
      <w:r w:rsidRPr="009D0B99">
        <w:t xml:space="preserve"> by mělo dojít k</w:t>
      </w:r>
      <w:r>
        <w:t> výrazné redukci záporné</w:t>
      </w:r>
      <w:r w:rsidRPr="009D0B99">
        <w:t xml:space="preserve"> mezery výstupu.</w:t>
      </w:r>
    </w:p>
    <w:p w14:paraId="75BB4F3E" w14:textId="68B7DAEF" w:rsidR="009D0B99" w:rsidRPr="009D0B99" w:rsidRDefault="009D0B99" w:rsidP="009D0B99">
      <w:r w:rsidRPr="009D0B99">
        <w:t xml:space="preserve">Meziroční rozdíl v produkční mezeře mezi rokem 2020 a 2019, při aplikaci schválené metodiky cyklického očišťování salda sektoru vládních institucí, by za striktního dodržování střednědobého rozpočtového cíle vedl k nutné konsolidaci přesahující 2 % HDP. Z tohoto důvodu byla přijata novela zákona o pravidlech rozpočtové odpovědnosti, která explicitně nastavila trajektorii strukturálních sald s počáteční hodnotou -4 % HDP. Výchozí hodnota měla, za tehdy předpokládaných makroekonomických podmínek, umožnit mírnou fiskální expanzi a </w:t>
      </w:r>
      <w:r w:rsidRPr="009D0B99">
        <w:t xml:space="preserve">pomoci ekonomice k oživení. V dalších letech byla stanovena konsolidace alespoň o 0,5 p. b. v souladu s fiskálními pravidly EU. </w:t>
      </w:r>
      <w:r w:rsidRPr="009D0B99">
        <w:rPr>
          <w:b/>
        </w:rPr>
        <w:t>Zákon č. 288/2020 Sb.</w:t>
      </w:r>
      <w:r w:rsidRPr="009D0B99">
        <w:t>, kterým se stanoví termín předložení návrhu zákona o státním rozpočtu ČR na rok 2021 vládě a Poslanecké sněmovně Parlamentu ČR, pak umožnil zohlednit při aktualizaci výdajov</w:t>
      </w:r>
      <w:r>
        <w:t>ého</w:t>
      </w:r>
      <w:r w:rsidRPr="009D0B99">
        <w:t xml:space="preserve"> rámc</w:t>
      </w:r>
      <w:r>
        <w:t>e</w:t>
      </w:r>
      <w:r w:rsidRPr="009D0B99">
        <w:t xml:space="preserve"> mimo rozsah povolených úprav i vliv makroekonomické situace. Tím se pro nadcházející rok dále snižuje strukturální saldo</w:t>
      </w:r>
      <w:r>
        <w:t xml:space="preserve"> celkem</w:t>
      </w:r>
      <w:r w:rsidRPr="009D0B99">
        <w:t xml:space="preserve"> o 0,</w:t>
      </w:r>
      <w:r>
        <w:t>5</w:t>
      </w:r>
      <w:r w:rsidRPr="009D0B99">
        <w:t xml:space="preserve"> p. b.</w:t>
      </w:r>
    </w:p>
    <w:p w14:paraId="68AE4A64" w14:textId="2DDBEE71" w:rsidR="008F6817" w:rsidRDefault="009D0B99" w:rsidP="009D0B99">
      <w:pPr>
        <w:sectPr w:rsidR="008F6817" w:rsidSect="00586243">
          <w:headerReference w:type="even" r:id="rId34"/>
          <w:footerReference w:type="even" r:id="rId35"/>
          <w:type w:val="continuous"/>
          <w:pgSz w:w="11906" w:h="16838" w:code="9"/>
          <w:pgMar w:top="1134" w:right="1134" w:bottom="1418" w:left="1134" w:header="709" w:footer="709" w:gutter="0"/>
          <w:cols w:num="2" w:space="397"/>
          <w:docGrid w:linePitch="360"/>
        </w:sectPr>
      </w:pPr>
      <w:r w:rsidRPr="009D0B99">
        <w:t xml:space="preserve">Uvedený přístup je opačný od fiskální strategie přijaté po předešlé krizi. Tehdy se přistoupilo prakticky okamžitě ke konsolidaci veřejných financí s cílem co nejrychlejšího ukončení </w:t>
      </w:r>
      <w:r w:rsidRPr="009D0B99">
        <w:rPr>
          <w:b/>
        </w:rPr>
        <w:t>postupu při nadměrném schodku</w:t>
      </w:r>
      <w:r w:rsidRPr="009D0B99">
        <w:t xml:space="preserve">. Současná situace je odlišná. V celé EU byla poprvé v historii aktivována pro rok 2020 </w:t>
      </w:r>
      <w:r w:rsidRPr="009D0B99">
        <w:rPr>
          <w:b/>
        </w:rPr>
        <w:t>všeobecná úniková doložka</w:t>
      </w:r>
      <w:r w:rsidRPr="009D0B99">
        <w:t>, a následně i pro rok 2021. To odráží fakt, že predikovaný hospodářský pokles je citelnější, než byl v letech 2008 a 2009. Počáteční fiskální expanze s následnou pozvolnou konsolidací má za cíl návrat do normálních podmínek bez druhé vyvolané recese a pokles dluhové kvóty skrze vyšší růst nominálního HDP.</w:t>
      </w:r>
    </w:p>
    <w:p w14:paraId="0168C43C" w14:textId="669FE24D" w:rsidR="008F6817" w:rsidRPr="00C245F0" w:rsidRDefault="008F6817" w:rsidP="008F6817">
      <w:pPr>
        <w:pStyle w:val="Titulek"/>
      </w:pPr>
      <w:bookmarkStart w:id="34" w:name="_Toc17727797"/>
      <w:r w:rsidRPr="00C245F0">
        <w:t xml:space="preserve">Tabulka </w:t>
      </w:r>
      <w:r w:rsidR="008F78E8">
        <w:fldChar w:fldCharType="begin"/>
      </w:r>
      <w:r w:rsidR="008F78E8">
        <w:instrText xml:space="preserve"> STYLEREF 1 \s </w:instrText>
      </w:r>
      <w:r w:rsidR="008F78E8">
        <w:fldChar w:fldCharType="separate"/>
      </w:r>
      <w:r w:rsidR="00F31E8E">
        <w:rPr>
          <w:noProof/>
        </w:rPr>
        <w:t>3</w:t>
      </w:r>
      <w:r w:rsidR="008F78E8">
        <w:rPr>
          <w:noProof/>
        </w:rPr>
        <w:fldChar w:fldCharType="end"/>
      </w:r>
      <w:r w:rsidRPr="00C245F0">
        <w:t>.</w:t>
      </w:r>
      <w:r w:rsidR="008F78E8">
        <w:fldChar w:fldCharType="begin"/>
      </w:r>
      <w:r w:rsidR="008F78E8">
        <w:instrText xml:space="preserve"> SEQ Tabulka \* ARABIC \s 1 </w:instrText>
      </w:r>
      <w:r w:rsidR="008F78E8">
        <w:fldChar w:fldCharType="separate"/>
      </w:r>
      <w:r w:rsidR="00F31E8E">
        <w:rPr>
          <w:noProof/>
        </w:rPr>
        <w:t>1</w:t>
      </w:r>
      <w:r w:rsidR="008F78E8">
        <w:rPr>
          <w:noProof/>
        </w:rPr>
        <w:fldChar w:fldCharType="end"/>
      </w:r>
      <w:r w:rsidRPr="00C245F0">
        <w:t>: Saldo a dluh sektoru vládních institucí</w:t>
      </w:r>
      <w:bookmarkEnd w:id="34"/>
    </w:p>
    <w:p w14:paraId="2B3CE679" w14:textId="66260204" w:rsidR="008F6817" w:rsidRPr="00C245F0" w:rsidRDefault="00523B71" w:rsidP="008F6817">
      <w:pPr>
        <w:spacing w:after="0"/>
      </w:pPr>
      <w:r w:rsidRPr="00523B71">
        <w:rPr>
          <w:noProof/>
        </w:rPr>
        <w:drawing>
          <wp:inline distT="0" distB="0" distL="0" distR="0" wp14:anchorId="0D6B31E4" wp14:editId="7EBAEEE0">
            <wp:extent cx="6120130" cy="799519"/>
            <wp:effectExtent l="0" t="0" r="0" b="635"/>
            <wp:docPr id="16" name="Obráze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120130" cy="799519"/>
                    </a:xfrm>
                    <a:prstGeom prst="rect">
                      <a:avLst/>
                    </a:prstGeom>
                    <a:noFill/>
                    <a:ln>
                      <a:noFill/>
                    </a:ln>
                  </pic:spPr>
                </pic:pic>
              </a:graphicData>
            </a:graphic>
          </wp:inline>
        </w:drawing>
      </w:r>
    </w:p>
    <w:p w14:paraId="5A627E08" w14:textId="77777777" w:rsidR="008F6817" w:rsidRDefault="008F6817" w:rsidP="008F6817">
      <w:pPr>
        <w:pStyle w:val="Zdrojpodtabulkounebografem"/>
      </w:pPr>
      <w:r w:rsidRPr="00C245F0">
        <w:t>Zdroj: ČSÚ. Výpočty a predikce MF ČR.</w:t>
      </w:r>
    </w:p>
    <w:p w14:paraId="0F89E897" w14:textId="77777777" w:rsidR="008F6817" w:rsidRDefault="008F6817" w:rsidP="008F6817">
      <w:pPr>
        <w:pStyle w:val="Nadpis2"/>
      </w:pPr>
      <w:bookmarkStart w:id="35" w:name="_Toc51746178"/>
      <w:bookmarkStart w:id="36" w:name="_Toc52267346"/>
      <w:r>
        <w:t>Očekávané hospodaření sektoru vládních institucí v roce 2020</w:t>
      </w:r>
      <w:bookmarkEnd w:id="35"/>
      <w:bookmarkEnd w:id="36"/>
    </w:p>
    <w:p w14:paraId="38ACA566" w14:textId="77777777" w:rsidR="008F6817" w:rsidRPr="00A01FB3" w:rsidRDefault="008F6817" w:rsidP="008F6817">
      <w:pPr>
        <w:sectPr w:rsidR="008F6817" w:rsidRPr="00A01FB3" w:rsidSect="00A01FB3">
          <w:type w:val="continuous"/>
          <w:pgSz w:w="11906" w:h="16838" w:code="9"/>
          <w:pgMar w:top="1134" w:right="1134" w:bottom="1418" w:left="1134" w:header="709" w:footer="709" w:gutter="0"/>
          <w:cols w:space="397"/>
          <w:docGrid w:linePitch="360"/>
        </w:sectPr>
      </w:pPr>
    </w:p>
    <w:p w14:paraId="48C66EFA" w14:textId="77777777" w:rsidR="00977B6B" w:rsidRPr="00977B6B" w:rsidRDefault="00977B6B" w:rsidP="00977B6B">
      <w:r w:rsidRPr="00977B6B">
        <w:t>V roce 2020 očekáváme deficitní hospodaření sektoru vládních institucí ve výši 6,4 % HDP, který jde na vrub především státního rozpočtu, neboť ten v ČR téměř výlučně zabezpečuje stabilizační a redistribuční funkci veřejných financí. Poprvé od roku 2015 lze očekávat rovněž záporné saldo fondů sociálního zabezpečení (zdravotních pojišťoven). Naproti tomu u místních vládních institucí predikujeme stále přebytkové hospodaření. Z pohledu strukturálního salda by expanzivní fiskální politika měla vést k saldu −3,1 % HDP.</w:t>
      </w:r>
    </w:p>
    <w:p w14:paraId="7F9C5737" w14:textId="77777777" w:rsidR="00977B6B" w:rsidRPr="00977B6B" w:rsidRDefault="00977B6B" w:rsidP="00977B6B">
      <w:r w:rsidRPr="00977B6B">
        <w:t xml:space="preserve">Příjmová strana je poznamenána značným výpadkem daňových příjmů z titulu hluboké ekonomické recese. Daňové příjmy včetně příspěvků na sociální zabezpečení by měly meziročně poklesnout o 3,9 %, přičemž největší propad lze očekávat u výnosu daně z příjmů právnických osob (přes 22 %). Naproti tomu v případě výnosu daně z příjmů fyzických osob očekáváme, i vlivem vládních opatření stabilizujících zaměstnanost, nepatrný meziroční růst. Stejné makroekonomické faktory spolu s navýšením plateb státu za státního pojištěnce ve výši přes 26 mld. Kč a prominutím minimálních záloh na </w:t>
      </w:r>
      <w:r w:rsidRPr="00977B6B">
        <w:lastRenderedPageBreak/>
        <w:t>sociální a zdravotní pojištění pro osoby samostatně výdělečně činné (14,4 mld. Kč), stejně jako pojistného na sociální zabezpečení a státní politiku zaměstnanosti placeného zaměstnavatelem v rámci programu „Antivirus C“ (13,5 mld. Kč), jsou určující pro meziroční pokles výnosů příspěvků na sociální zabezpečení o 1,2 %.</w:t>
      </w:r>
    </w:p>
    <w:p w14:paraId="2BCAD67D" w14:textId="77777777" w:rsidR="00977B6B" w:rsidRPr="00977B6B" w:rsidRDefault="00977B6B" w:rsidP="00977B6B">
      <w:r w:rsidRPr="00977B6B">
        <w:t xml:space="preserve">V návaznosti na odhadovaný vývoj nominální spotřeby domácností a relevantní části výdajů vládních institucí očekáváme meziroční pokles výnosu daně z přidané hodnoty o 3,1 %. Příjem je dále tlumen nižšími sazbami daně u pravidelné hromadné dopravy od února 2019, na teplo a chlad od ledna 2020, stravovací služby a další od května a července 2020. Výnos spotřebních daní (bez dotací na obnovitelné zdroje energie) by měl poklesnout o 1,6 %. U daně z minerálních olejů se projevuje pokles spotřeby nafty a benzínu v důsledku reálného poklesu ekonomiky. Na daň z tabákových výrobků má významný vliv objem přeshraničních nákupů a cestovní ruch, které jsou v roce 2020 výrazně omezeny. Naopak kladný diskreční efekt by měla mít změna sazeb na tabákové výrobky a líh či zavedení spotřební daně ze zahřívaného tabáku s celkovým očekávaným dopadem do 11 mld. Kč. Opačným směrem působí zrušení daně z nabytí nemovitých věcí ve výši téměř 14 mld. Kč. </w:t>
      </w:r>
    </w:p>
    <w:p w14:paraId="1F93367B" w14:textId="77777777" w:rsidR="00977B6B" w:rsidRPr="00977B6B" w:rsidRDefault="00977B6B" w:rsidP="00977B6B">
      <w:r w:rsidRPr="00977B6B">
        <w:t xml:space="preserve">Predikce výdajů na konečnou spotřebu sektoru vládních institucí, která již zahrnuje údaje za první dvě čtvrtletí 2020 (7,6 %), počítá s meziročním růstem o 8,1 %. V něm by se měly odrazit náhrady zaměstnancům (meziroční růst o 7,8 %) mj. z důvodu 10% nárůstu prostředků na platy pracovníků ve školství, navýšení prostředků na odměny pracovníků ve zdravotnictví, sociálních službách a jiné v souvislosti s pandemií. V meziročním porovnání by nepatrně pomaleji měla růst </w:t>
      </w:r>
      <w:proofErr w:type="spellStart"/>
      <w:r w:rsidRPr="00977B6B">
        <w:t>mezispotřeba</w:t>
      </w:r>
      <w:proofErr w:type="spellEnd"/>
      <w:r w:rsidRPr="00977B6B">
        <w:t xml:space="preserve"> (7,7 %), a to jak vlivem reálné spotřeby (především vyšší výdaje na zdravotnický materiál a ochranné pomůcky), tak rovněž kvůli meziročně vyšší míře inflace. Očekávaný více než 7% růst naturálních sociálních dávek zahrnuje zvýšení výdajů na zdravotní péči.</w:t>
      </w:r>
    </w:p>
    <w:p w14:paraId="6D9DC195" w14:textId="77777777" w:rsidR="00977B6B" w:rsidRPr="00977B6B" w:rsidRDefault="00977B6B" w:rsidP="00977B6B">
      <w:r w:rsidRPr="00977B6B">
        <w:t xml:space="preserve">S citelným navýšením počítáme v oblasti peněžitých dávek sociálního zabezpečení, což reflektuje nejen dříve schválená opatření v oblasti dávek důchodového pojištění a státní sociální podpory (navýšení rodičovského </w:t>
      </w:r>
      <w:r w:rsidRPr="00977B6B">
        <w:t>příspěvku), ale také očekávaný ekonomický vývoj. Vedle toho dávky sociálního zabezpečení navyšuje ošetřovné, které bylo určeno pro rodiče dětí do 13 let v případě, že nemohli vykonávat pracovní činnost z důvodu péče o dítě po dobu uzavření škol během epidemie (cca 12 mld. Kč). Jednorázový příspěvek příjemcům dávek důchodového pojištění ve výši 5 000 Kč jako finanční výpomoc na pokrytí jejich rostoucích životních nákladů, bude vyplacen v závěru roku 2020 v celkovém objemu téměř 15 mld. Kč.</w:t>
      </w:r>
    </w:p>
    <w:p w14:paraId="5818541C" w14:textId="77777777" w:rsidR="00977B6B" w:rsidRPr="00977B6B" w:rsidRDefault="00977B6B" w:rsidP="00977B6B">
      <w:r w:rsidRPr="00977B6B">
        <w:t>Vyšší výpůjční potřeba vyvolaná krytím zvýšeného deficitu státního rozpočtu a posílením likvidních rezerv státní pokladny povede k předpokládanému růstu úrokových nákladů o 4,3 % na úroveň 0,8 % HDP.</w:t>
      </w:r>
    </w:p>
    <w:p w14:paraId="385F8E10" w14:textId="77777777" w:rsidR="00977B6B" w:rsidRPr="00977B6B" w:rsidRDefault="00977B6B" w:rsidP="00977B6B">
      <w:r w:rsidRPr="00977B6B">
        <w:t>Investiční výdaje by po předchozích 3 letech vysoké dynamiky měly letos dosáhnout výše přes 267 mld. Kč, přičemž z více než 80 % by měly být financovány z národních zdrojů.</w:t>
      </w:r>
    </w:p>
    <w:p w14:paraId="44D9D820" w14:textId="77777777" w:rsidR="00977B6B" w:rsidRPr="00977B6B" w:rsidRDefault="00977B6B" w:rsidP="00977B6B">
      <w:r w:rsidRPr="00977B6B">
        <w:t xml:space="preserve">Predikce zahrnuje 35% meziroční růst dotací, které reflektují podporu různých skupin ekonomických subjektů postižených pandemií, resp. opatřeními přijatými ve snaze zabránit jejímu šíření. Jedná se v prvé řadě o příspěvek na náhradu mzdy v důsledku vzniku překážky v práci na straně zaměstnance či zaměstnavatele způsobené karanténními opatřeními nebo jinými souvisejícími s nákazou COVID-19 (program „Antivirus“ - režim A </w:t>
      </w:r>
      <w:proofErr w:type="spellStart"/>
      <w:r w:rsidRPr="00977B6B">
        <w:t>a</w:t>
      </w:r>
      <w:proofErr w:type="spellEnd"/>
      <w:r w:rsidRPr="00977B6B">
        <w:t xml:space="preserve"> B) s odhadovaným dopadem přes 21 mld. Kč.</w:t>
      </w:r>
    </w:p>
    <w:p w14:paraId="74451512" w14:textId="77777777" w:rsidR="00977B6B" w:rsidRPr="00977B6B" w:rsidRDefault="00977B6B" w:rsidP="00977B6B">
      <w:r w:rsidRPr="00977B6B">
        <w:t>Další část opatření se promítá v silném navýšení transferů (více než 40 %). Jde v prvé řadě o kompenzační bonusy vyplacené osobám samostatně výdělečně činným, jednatelům malých společností s ručením omezeným a zaměstnancům pracujícím na dohodu o pracovní činnosti či o provedení práce (přes 22,2 mld. Kč). S fiskálním dopadem okolo 20 mld. Kč kalkulujeme při institutu zpětného působení daňové ztráty, kterého mohou využít jak podnikající fyzické, tak právnické osoby.</w:t>
      </w:r>
    </w:p>
    <w:p w14:paraId="10912A72" w14:textId="19463E64" w:rsidR="008F6817" w:rsidRDefault="00977B6B" w:rsidP="00977B6B">
      <w:r w:rsidRPr="00977B6B">
        <w:t>Deficitní hospodaření vládních institucí, zejména pak státního rozpočtu, v roce 2020 se promítne i do výše zadlužení. V poměru k nominálnímu HDP odhadujeme, že vzroste o více než 9 p. b. na 39,4 % HDP.</w:t>
      </w:r>
    </w:p>
    <w:p w14:paraId="2C161A07" w14:textId="77777777" w:rsidR="008F6817" w:rsidRDefault="008F6817" w:rsidP="008F6817">
      <w:pPr>
        <w:sectPr w:rsidR="008F6817" w:rsidSect="00586243">
          <w:type w:val="continuous"/>
          <w:pgSz w:w="11906" w:h="16838" w:code="9"/>
          <w:pgMar w:top="1134" w:right="1134" w:bottom="1418" w:left="1134" w:header="709" w:footer="709" w:gutter="0"/>
          <w:cols w:num="2" w:space="397"/>
          <w:docGrid w:linePitch="360"/>
        </w:sectPr>
      </w:pPr>
    </w:p>
    <w:p w14:paraId="66F14460" w14:textId="77777777" w:rsidR="008F6817" w:rsidRDefault="008F6817" w:rsidP="008F6817">
      <w:pPr>
        <w:pStyle w:val="Nadpis2"/>
      </w:pPr>
      <w:bookmarkStart w:id="37" w:name="_Toc51746179"/>
      <w:bookmarkStart w:id="38" w:name="_Toc52267347"/>
      <w:r>
        <w:t xml:space="preserve">Predikce </w:t>
      </w:r>
      <w:r w:rsidRPr="00BE7746">
        <w:t>hospodaření</w:t>
      </w:r>
      <w:r>
        <w:t xml:space="preserve"> sektoru vládních institucí v roce 2021</w:t>
      </w:r>
      <w:bookmarkEnd w:id="37"/>
      <w:bookmarkEnd w:id="38"/>
    </w:p>
    <w:p w14:paraId="50D8FBCD" w14:textId="77777777" w:rsidR="008F6817" w:rsidRPr="00A01FB3" w:rsidRDefault="008F6817" w:rsidP="008F6817">
      <w:pPr>
        <w:sectPr w:rsidR="008F6817" w:rsidRPr="00A01FB3" w:rsidSect="00A01FB3">
          <w:type w:val="continuous"/>
          <w:pgSz w:w="11906" w:h="16838" w:code="9"/>
          <w:pgMar w:top="1134" w:right="1134" w:bottom="1418" w:left="1134" w:header="709" w:footer="709" w:gutter="0"/>
          <w:cols w:space="397"/>
          <w:docGrid w:linePitch="360"/>
        </w:sectPr>
      </w:pPr>
    </w:p>
    <w:p w14:paraId="40F7B63C" w14:textId="77777777" w:rsidR="00977B6B" w:rsidRPr="00977B6B" w:rsidRDefault="00977B6B" w:rsidP="00977B6B">
      <w:r w:rsidRPr="00977B6B">
        <w:t>V roce 2021 by mělo dojít k meziročnímu zlepšení salda na -4,9 % HDP. Ve strukturálním vyjádření by ovšem mělo jít o fiskální expanzi v rozsahu 1,4 p. b.</w:t>
      </w:r>
    </w:p>
    <w:p w14:paraId="7A16F58F" w14:textId="77777777" w:rsidR="00977B6B" w:rsidRPr="00977B6B" w:rsidRDefault="00977B6B" w:rsidP="00977B6B">
      <w:r w:rsidRPr="00977B6B">
        <w:t>Celkové příjmy sektoru vládních institucí by dle predikce měly v roce 2021 vzrůst o 5,1 %. Dynamika je však výrazně ovlivněna výchozí základnou roku 2020, která odráží prudký hospodářský pokles a řadu jednorázových opatření. Daň z příjmů fyzických osob by měla vzrůst o 2 %. Příjmy z příspěvků na sociální zabezpečení, jejichž růst je odhadován na 6,5 %, budou rovněž, jako v tomto roce, značně ovlivněny růstem platby za státního pojiš</w:t>
      </w:r>
      <w:r w:rsidRPr="00977B6B">
        <w:t>těnce o 30 mld. Kč. Kromě toho již nebudou účinná jednorázová opatření jako odpuštění záloh na 6 měsíců pro osoby samostatně výdělečně činné či program „Antivirus“ v režimu C, což rovněž meziročně ovlivní dynamiku. Daň z příjmů právnických osob by, vzhledem k predikci růstu hrubého provozního přebytku a výraznému poklesu v předchozím roce, měla růst o 7,3 %. Dynamika daní ze spotřeby by měla být ovlivněna rovněž schválenými efekty diskrečních opatření (snížení sazby daně z přidané hodnoty na ubytování, sportovní a kulturní akce, lyžař</w:t>
      </w:r>
      <w:r w:rsidRPr="00977B6B">
        <w:lastRenderedPageBreak/>
        <w:t>ské vleky a další vybrané služby). Daně ze spotřeby by tak celkem měly zaznamenat nárůst o cca 5 %.</w:t>
      </w:r>
    </w:p>
    <w:p w14:paraId="5DD76004" w14:textId="77777777" w:rsidR="00977B6B" w:rsidRPr="00977B6B" w:rsidRDefault="00977B6B" w:rsidP="00977B6B">
      <w:r w:rsidRPr="00977B6B">
        <w:t xml:space="preserve">Zvolnění dynamiky celkových výdajů na 1,9 % je částečně dáno predikcí menšího tempa výdajů na konečnou spotřebu vládních institucí, které by mělo dosáhnout 4,5 %. Náhrady zaměstnancům v sektoru vládních institucí by měly zpomalit ke 4 % vlivem nižšího nárůstu tarifů v téměř všech segmentech vládních institucí. Naturální sociální dávky by měly mít v roce 2021 nižší tempo než v letošním roce, což je dáno hlavně postupným návratem do normálních podmínek v systému zdravotní péče. Růst </w:t>
      </w:r>
      <w:proofErr w:type="spellStart"/>
      <w:r w:rsidRPr="00977B6B">
        <w:t>mezispotřeby</w:t>
      </w:r>
      <w:proofErr w:type="spellEnd"/>
      <w:r w:rsidRPr="00977B6B">
        <w:t xml:space="preserve"> na necelých 6 % je v porovnání s rokem 2020 podstatně méně dynamický primárně v důsledku nižších nákupů zejména zdravotnických pomůcek a rovněž nižší očekávané míry inflace.</w:t>
      </w:r>
    </w:p>
    <w:p w14:paraId="2A8B570A" w14:textId="77777777" w:rsidR="00977B6B" w:rsidRPr="00977B6B" w:rsidRDefault="00977B6B" w:rsidP="00977B6B">
      <w:r w:rsidRPr="00977B6B">
        <w:t>V oblasti peněžitých dávek sociálního zabezpečení počítáme v roce 2021 s citelným navýšením, zejména díky růstu výdajů na výplatu důchodů. Schválená valorizace důchodů v průměru o cca 840 Kč by měla zatížit výdajovou stranu o částku kolem 33 mld. Kč. Dopad na výdaje bude mít i zvýšení výplat na pasivní politiku zaměstna</w:t>
      </w:r>
      <w:r w:rsidRPr="00977B6B">
        <w:t>nosti. Ve vývoji dávek sociálního zabezpečení se v metodice ESA 2010 odráží i růst platby za státního pojištěnce o cca 30 mld. Kč na rok 2021. V důsledku ekonomického vývoje a uvedených diskrečních opatření by peněžité sociální dávky měly vzrůst o necelých 6 %.</w:t>
      </w:r>
    </w:p>
    <w:p w14:paraId="3E96EF74" w14:textId="77777777" w:rsidR="00977B6B" w:rsidRPr="00977B6B" w:rsidRDefault="00977B6B" w:rsidP="00977B6B">
      <w:r w:rsidRPr="00977B6B">
        <w:t>U výdajů na investice do fixních aktiv spolufinancovaných nebo v plné míře financovaných z fondů EU očekáváme navýšení o zhruba 20 %. Kromě standardních fondů EU je připravováno několik dalších nástrojů na podporu oživení evropských ekonomik (</w:t>
      </w:r>
      <w:proofErr w:type="spellStart"/>
      <w:r w:rsidRPr="00977B6B">
        <w:t>Next</w:t>
      </w:r>
      <w:proofErr w:type="spellEnd"/>
      <w:r w:rsidRPr="00977B6B">
        <w:t xml:space="preserve"> </w:t>
      </w:r>
      <w:proofErr w:type="spellStart"/>
      <w:r w:rsidRPr="00977B6B">
        <w:t>Generation</w:t>
      </w:r>
      <w:proofErr w:type="spellEnd"/>
      <w:r w:rsidRPr="00977B6B">
        <w:t xml:space="preserve"> EU). Z těchto počítáme prozatím jen s Nástrojem na podporu oživení a odolnosti. Dynamika celkových investic by mohla dosáhnout 11 %, čímž by investice vládních institucí vzrostly na 5,1 % HDP. </w:t>
      </w:r>
    </w:p>
    <w:p w14:paraId="7D945E1C" w14:textId="3F6D004B" w:rsidR="008F6817" w:rsidRDefault="00977B6B" w:rsidP="00977B6B">
      <w:pPr>
        <w:sectPr w:rsidR="008F6817" w:rsidSect="00586243">
          <w:type w:val="continuous"/>
          <w:pgSz w:w="11906" w:h="16838" w:code="9"/>
          <w:pgMar w:top="1134" w:right="1134" w:bottom="1418" w:left="1134" w:header="709" w:footer="709" w:gutter="0"/>
          <w:cols w:num="2" w:space="397"/>
          <w:docGrid w:linePitch="360"/>
        </w:sectPr>
      </w:pPr>
      <w:r w:rsidRPr="00977B6B">
        <w:t>Přestože očekáváme, že úrokové výdaje budou vlivem predikovaného deficitu hospodaření sektoru vládních institucí a vývoje úrokových měr mírně růst, v poměrovém vyjádření k HDP by měly setrvat na 0,8 % HDP. Zadlužení vládních institucí by měl v roce 2021 vzrůst o 3,3 p. b. na hodnotu 42,7 % HDP.</w:t>
      </w:r>
    </w:p>
    <w:p w14:paraId="23895986" w14:textId="77777777" w:rsidR="005C6EB8" w:rsidRPr="005C6EB8" w:rsidRDefault="005C6EB8" w:rsidP="00242137"/>
    <w:sectPr w:rsidR="005C6EB8" w:rsidRPr="005C6EB8" w:rsidSect="00586243">
      <w:headerReference w:type="even" r:id="rId37"/>
      <w:footerReference w:type="even" r:id="rId38"/>
      <w:type w:val="continuous"/>
      <w:pgSz w:w="11906" w:h="16838" w:code="9"/>
      <w:pgMar w:top="1134" w:right="1134" w:bottom="1418" w:left="1134" w:header="709" w:footer="709" w:gutter="0"/>
      <w:cols w:num="2"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14D721" w14:textId="77777777" w:rsidR="008F78E8" w:rsidRDefault="008F78E8" w:rsidP="00332D4D">
      <w:pPr>
        <w:spacing w:after="0"/>
      </w:pPr>
      <w:r>
        <w:separator/>
      </w:r>
    </w:p>
  </w:endnote>
  <w:endnote w:type="continuationSeparator" w:id="0">
    <w:p w14:paraId="7BEB0182" w14:textId="77777777" w:rsidR="008F78E8" w:rsidRDefault="008F78E8" w:rsidP="00332D4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624558" w14:textId="77777777" w:rsidR="0018356F" w:rsidRDefault="0018356F" w:rsidP="007A1923">
    <w:pPr>
      <w:jc w:val="cen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5F2A3" w14:textId="77777777" w:rsidR="0018356F" w:rsidRPr="00A12A05" w:rsidRDefault="0018356F" w:rsidP="007A1923">
    <w:pPr>
      <w:pStyle w:val="Zpat"/>
    </w:pPr>
    <w:r>
      <w:rPr>
        <w:noProof/>
      </w:rPr>
      <mc:AlternateContent>
        <mc:Choice Requires="wps">
          <w:drawing>
            <wp:anchor distT="0" distB="0" distL="114300" distR="114300" simplePos="0" relativeHeight="251663360" behindDoc="0" locked="0" layoutInCell="1" allowOverlap="1" wp14:anchorId="0DC8714B" wp14:editId="5DAF1566">
              <wp:simplePos x="0" y="0"/>
              <wp:positionH relativeFrom="column">
                <wp:posOffset>-113665</wp:posOffset>
              </wp:positionH>
              <wp:positionV relativeFrom="paragraph">
                <wp:posOffset>-1175385</wp:posOffset>
              </wp:positionV>
              <wp:extent cx="2743200" cy="1257300"/>
              <wp:effectExtent l="0" t="0" r="0" b="0"/>
              <wp:wrapNone/>
              <wp:docPr id="3" name="Textové pol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EBB241" w14:textId="77777777" w:rsidR="0018356F" w:rsidRPr="000F3D4A" w:rsidRDefault="0018356F" w:rsidP="007A1923">
                          <w:pPr>
                            <w:spacing w:after="0"/>
                            <w:jc w:val="left"/>
                            <w:rPr>
                              <w:b/>
                              <w:sz w:val="24"/>
                            </w:rPr>
                          </w:pPr>
                          <w:r w:rsidRPr="000F3D4A">
                            <w:rPr>
                              <w:b/>
                              <w:sz w:val="24"/>
                            </w:rPr>
                            <w:t>Ministerstvo financí České republiky</w:t>
                          </w:r>
                        </w:p>
                        <w:p w14:paraId="7C224D4A" w14:textId="77777777" w:rsidR="0018356F" w:rsidRPr="000F3D4A" w:rsidRDefault="0018356F" w:rsidP="007A1923">
                          <w:pPr>
                            <w:spacing w:after="0"/>
                            <w:jc w:val="left"/>
                            <w:rPr>
                              <w:sz w:val="24"/>
                            </w:rPr>
                          </w:pPr>
                          <w:r w:rsidRPr="000F3D4A">
                            <w:rPr>
                              <w:sz w:val="24"/>
                            </w:rPr>
                            <w:t>Letenská 15</w:t>
                          </w:r>
                        </w:p>
                        <w:p w14:paraId="4AFBFC61" w14:textId="77777777" w:rsidR="0018356F" w:rsidRPr="000F3D4A" w:rsidRDefault="0018356F" w:rsidP="007A1923">
                          <w:pPr>
                            <w:spacing w:after="0"/>
                            <w:jc w:val="left"/>
                            <w:rPr>
                              <w:sz w:val="24"/>
                            </w:rPr>
                          </w:pPr>
                          <w:r w:rsidRPr="000F3D4A">
                            <w:rPr>
                              <w:sz w:val="24"/>
                            </w:rPr>
                            <w:t>118 10 Praha 1</w:t>
                          </w:r>
                        </w:p>
                        <w:p w14:paraId="400DEFAD" w14:textId="77777777" w:rsidR="0018356F" w:rsidRPr="000F3D4A" w:rsidRDefault="0018356F" w:rsidP="007A1923">
                          <w:pPr>
                            <w:spacing w:before="240" w:after="0"/>
                            <w:rPr>
                              <w:sz w:val="24"/>
                            </w:rPr>
                          </w:pPr>
                          <w:r w:rsidRPr="000F3D4A">
                            <w:rPr>
                              <w:sz w:val="24"/>
                            </w:rPr>
                            <w:t>http://www.mfcr.cz</w:t>
                          </w:r>
                        </w:p>
                      </w:txbxContent>
                    </wps:txbx>
                    <wps:bodyPr rot="0" vert="horz" wrap="square" lIns="91440" tIns="9000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C8714B" id="_x0000_t202" coordsize="21600,21600" o:spt="202" path="m,l,21600r21600,l21600,xe">
              <v:stroke joinstyle="miter"/>
              <v:path gradientshapeok="t" o:connecttype="rect"/>
            </v:shapetype>
            <v:shape id="Textové pole 3" o:spid="_x0000_s1034" type="#_x0000_t202" style="position:absolute;left:0;text-align:left;margin-left:-8.95pt;margin-top:-92.55pt;width:3in;height:9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" filled="f" stroked="f">
              <v:textbox inset=",2.5mm,,0">
                <w:txbxContent>
                  <w:p w14:paraId="5BEBB241" w14:textId="77777777" w:rsidR="0018356F" w:rsidRPr="000F3D4A" w:rsidRDefault="0018356F" w:rsidP="007A1923">
                    <w:pPr>
                      <w:spacing w:after="0"/>
                      <w:jc w:val="left"/>
                      <w:rPr>
                        <w:b/>
                        <w:sz w:val="24"/>
                      </w:rPr>
                    </w:pPr>
                    <w:r w:rsidRPr="000F3D4A">
                      <w:rPr>
                        <w:b/>
                        <w:sz w:val="24"/>
                      </w:rPr>
                      <w:t>Ministerstvo financí České republiky</w:t>
                    </w:r>
                  </w:p>
                  <w:p w14:paraId="7C224D4A" w14:textId="77777777" w:rsidR="0018356F" w:rsidRPr="000F3D4A" w:rsidRDefault="0018356F" w:rsidP="007A1923">
                    <w:pPr>
                      <w:spacing w:after="0"/>
                      <w:jc w:val="left"/>
                      <w:rPr>
                        <w:sz w:val="24"/>
                      </w:rPr>
                    </w:pPr>
                    <w:r w:rsidRPr="000F3D4A">
                      <w:rPr>
                        <w:sz w:val="24"/>
                      </w:rPr>
                      <w:t>Letenská 15</w:t>
                    </w:r>
                  </w:p>
                  <w:p w14:paraId="4AFBFC61" w14:textId="77777777" w:rsidR="0018356F" w:rsidRPr="000F3D4A" w:rsidRDefault="0018356F" w:rsidP="007A1923">
                    <w:pPr>
                      <w:spacing w:after="0"/>
                      <w:jc w:val="left"/>
                      <w:rPr>
                        <w:sz w:val="24"/>
                      </w:rPr>
                    </w:pPr>
                    <w:r w:rsidRPr="000F3D4A">
                      <w:rPr>
                        <w:sz w:val="24"/>
                      </w:rPr>
                      <w:t>118 10 Praha 1</w:t>
                    </w:r>
                  </w:p>
                  <w:p w14:paraId="400DEFAD" w14:textId="77777777" w:rsidR="0018356F" w:rsidRPr="000F3D4A" w:rsidRDefault="0018356F" w:rsidP="007A1923">
                    <w:pPr>
                      <w:spacing w:before="240" w:after="0"/>
                      <w:rPr>
                        <w:sz w:val="24"/>
                      </w:rPr>
                    </w:pPr>
                    <w:r w:rsidRPr="000F3D4A">
                      <w:rPr>
                        <w:sz w:val="24"/>
                      </w:rPr>
                      <w:t>http://www.mfcr.cz</w:t>
                    </w:r>
                  </w:p>
                </w:txbxContent>
              </v:textbox>
            </v:shape>
          </w:pict>
        </mc:Fallback>
      </mc:AlternateContent>
    </w:r>
    <w:r>
      <w:rPr>
        <w:noProof/>
      </w:rPr>
      <mc:AlternateContent>
        <mc:Choice Requires="wpg">
          <w:drawing>
            <wp:anchor distT="0" distB="0" distL="114300" distR="114300" simplePos="0" relativeHeight="251662336" behindDoc="1" locked="0" layoutInCell="1" allowOverlap="1" wp14:anchorId="20D4CB04" wp14:editId="1E7D0D94">
              <wp:simplePos x="0" y="0"/>
              <wp:positionH relativeFrom="column">
                <wp:posOffset>4572000</wp:posOffset>
              </wp:positionH>
              <wp:positionV relativeFrom="paragraph">
                <wp:posOffset>-10036175</wp:posOffset>
              </wp:positionV>
              <wp:extent cx="2352040" cy="10756265"/>
              <wp:effectExtent l="0" t="3175" r="635" b="3810"/>
              <wp:wrapNone/>
              <wp:docPr id="4" name="Skupina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52040" cy="10756265"/>
                        <a:chOff x="8334" y="-41"/>
                        <a:chExt cx="3704" cy="16939"/>
                      </a:xfrm>
                    </wpg:grpSpPr>
                    <wps:wsp>
                      <wps:cNvPr id="10" name="Rectangle 25" descr="BlueBar"/>
                      <wps:cNvSpPr>
                        <a:spLocks noChangeAspect="1" noChangeArrowheads="1"/>
                      </wps:cNvSpPr>
                      <wps:spPr bwMode="auto">
                        <a:xfrm rot="5400000">
                          <a:off x="1674" y="6619"/>
                          <a:ext cx="16920" cy="3600"/>
                        </a:xfrm>
                        <a:prstGeom prst="rect">
                          <a:avLst/>
                        </a:prstGeom>
                        <a:gradFill rotWithShape="1">
                          <a:gsLst>
                            <a:gs pos="0">
                              <a:srgbClr val="995979"/>
                            </a:gs>
                            <a:gs pos="100000">
                              <a:srgbClr val="995979">
                                <a:gamma/>
                                <a:tint val="20000"/>
                                <a:invGamma/>
                              </a:srgbClr>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Text Box 26"/>
                      <wps:cNvSpPr txBox="1">
                        <a:spLocks noChangeAspect="1" noChangeArrowheads="1"/>
                      </wps:cNvSpPr>
                      <wps:spPr bwMode="auto">
                        <a:xfrm>
                          <a:off x="8798" y="-22"/>
                          <a:ext cx="3240" cy="16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6656B4" w14:textId="77777777" w:rsidR="0018356F" w:rsidRPr="006F476A" w:rsidRDefault="0018356F" w:rsidP="007A1923">
                            <w:pPr>
                              <w:rPr>
                                <w:color w:val="FFFFFF"/>
                              </w:rPr>
                            </w:pPr>
                            <w:r>
                              <w:rPr>
                                <w:color w:val="FFFFFF"/>
                              </w:rPr>
                              <w:t>východiska a priority návrhu státního rozpočtu, výdajový rámec</w:t>
                            </w:r>
                            <w:r w:rsidRPr="006F476A">
                              <w:rPr>
                                <w:color w:val="FFFFFF"/>
                              </w:rPr>
                              <w:t>,</w:t>
                            </w:r>
                            <w:r>
                              <w:rPr>
                                <w:color w:val="FFFFFF"/>
                              </w:rPr>
                              <w:t xml:space="preserve"> daňové a sociální příjmy, ostatní příjmy, mandatorní výdaje, kapitálové výdaje, běžné výdaje, finanční vztahy k rozpočtu EU a finančním mechanismům, východiska a priority návrhu státního rozpočtu, výdajový rámec</w:t>
                            </w:r>
                            <w:r w:rsidRPr="006F476A">
                              <w:rPr>
                                <w:color w:val="FFFFFF"/>
                              </w:rPr>
                              <w:t>,</w:t>
                            </w:r>
                            <w:r>
                              <w:rPr>
                                <w:color w:val="FFFFFF"/>
                              </w:rPr>
                              <w:t xml:space="preserve"> daňové a sociální příjmy, ostatní příjmy, mandatorní výdaje, kapitálové výdaje, běžné výdaje, finanční vztahy k rozpočtu EU a finančním mechanismům,</w:t>
                            </w:r>
                            <w:r w:rsidRPr="002C30E3">
                              <w:rPr>
                                <w:color w:val="FFFFFF"/>
                              </w:rPr>
                              <w:t xml:space="preserve"> </w:t>
                            </w:r>
                            <w:r>
                              <w:rPr>
                                <w:color w:val="FFFFFF"/>
                              </w:rPr>
                              <w:t>východiska a priority návrhu státního rozpočtu, výdajový rámec</w:t>
                            </w:r>
                            <w:r w:rsidRPr="006F476A">
                              <w:rPr>
                                <w:color w:val="FFFFFF"/>
                              </w:rPr>
                              <w:t>,</w:t>
                            </w:r>
                            <w:r>
                              <w:rPr>
                                <w:color w:val="FFFFFF"/>
                              </w:rPr>
                              <w:t xml:space="preserve"> daňové a sociální příjmy, ostatní příjmy, mandatorní výdaje, kapitálové výdaje, běžné výdaje, finanční vztahy k rozpočtu EU a finančním mechanismům,</w:t>
                            </w:r>
                            <w:r w:rsidRPr="002C30E3">
                              <w:rPr>
                                <w:color w:val="FFFFFF"/>
                              </w:rPr>
                              <w:t xml:space="preserve"> </w:t>
                            </w:r>
                            <w:r>
                              <w:rPr>
                                <w:color w:val="FFFFFF"/>
                              </w:rPr>
                              <w:t>východiska a priority návrhu státního rozpočtu, výdajový rámec</w:t>
                            </w:r>
                            <w:r w:rsidRPr="006F476A">
                              <w:rPr>
                                <w:color w:val="FFFFFF"/>
                              </w:rPr>
                              <w:t>,</w:t>
                            </w:r>
                            <w:r>
                              <w:rPr>
                                <w:color w:val="FFFFFF"/>
                              </w:rPr>
                              <w:t xml:space="preserve"> daňové a sociální příjmy, ostatní příjmy, mandatorní výdaje, kapitálové výdaje, běžné výdaje, finanční vztahy k rozpočtu EU a finančním mechanismům,</w:t>
                            </w:r>
                            <w:r w:rsidRPr="002C30E3">
                              <w:rPr>
                                <w:color w:val="FFFFFF"/>
                              </w:rPr>
                              <w:t xml:space="preserve"> </w:t>
                            </w:r>
                            <w:r>
                              <w:rPr>
                                <w:color w:val="FFFFFF"/>
                              </w:rPr>
                              <w:t>východiska a priority návrhu státního rozpočtu, výdajový rámec</w:t>
                            </w:r>
                            <w:r w:rsidRPr="006F476A">
                              <w:rPr>
                                <w:color w:val="FFFFFF"/>
                              </w:rPr>
                              <w:t>,</w:t>
                            </w:r>
                            <w:r>
                              <w:rPr>
                                <w:color w:val="FFFFFF"/>
                              </w:rPr>
                              <w:t xml:space="preserve"> daňové a sociální příjmy, ostatní příjmy, mandatorní výdaje, kapitálové výdaje, běžné výdaje, finanční vztahy k rozpočtu EU a finančním mechanismům,</w:t>
                            </w:r>
                            <w:r w:rsidRPr="002C30E3">
                              <w:rPr>
                                <w:color w:val="FFFFFF"/>
                              </w:rPr>
                              <w:t xml:space="preserve"> </w:t>
                            </w:r>
                            <w:r>
                              <w:rPr>
                                <w:color w:val="FFFFFF"/>
                              </w:rPr>
                              <w:t>východiska a priority návrhu státního rozpočtu, výdajový rámec</w:t>
                            </w:r>
                            <w:r w:rsidRPr="006F476A">
                              <w:rPr>
                                <w:color w:val="FFFFFF"/>
                              </w:rPr>
                              <w:t>,</w:t>
                            </w:r>
                            <w:r>
                              <w:rPr>
                                <w:color w:val="FFFFFF"/>
                              </w:rPr>
                              <w:t xml:space="preserve"> daňové a sociální příjmy, ostatní příjmy, mandatorní výdaje, kapitálové výdaje, běžné výdaje, finanční vztahy k rozpočtu EU a finančním mechanismům,</w:t>
                            </w:r>
                            <w:r w:rsidRPr="002C30E3">
                              <w:rPr>
                                <w:color w:val="FFFFFF"/>
                              </w:rPr>
                              <w:t xml:space="preserve"> </w:t>
                            </w:r>
                            <w:r>
                              <w:rPr>
                                <w:color w:val="FFFFFF"/>
                              </w:rPr>
                              <w:t>východiska a priority návrhu státního rozpočtu, výdajový rámec</w:t>
                            </w:r>
                            <w:r w:rsidRPr="006F476A">
                              <w:rPr>
                                <w:color w:val="FFFFFF"/>
                              </w:rPr>
                              <w:t>,</w:t>
                            </w:r>
                            <w:r>
                              <w:rPr>
                                <w:color w:val="FFFFFF"/>
                              </w:rPr>
                              <w:t xml:space="preserve"> daňové a sociální příjmy, ostatní příjmy, mandatorní výdaje, kapitálové výdaje, běžné výdaje, finanční vztahy k rozpočtu EU a finančním mechanismům,</w:t>
                            </w:r>
                            <w:r w:rsidRPr="002C30E3">
                              <w:rPr>
                                <w:color w:val="FFFFFF"/>
                              </w:rPr>
                              <w:t xml:space="preserve"> </w:t>
                            </w:r>
                            <w:r>
                              <w:rPr>
                                <w:color w:val="FFFFFF"/>
                              </w:rPr>
                              <w:t>východiska a priority návrhu státního rozpočtu, výdajový rámec</w:t>
                            </w:r>
                            <w:r w:rsidRPr="006F476A">
                              <w:rPr>
                                <w:color w:val="FFFFFF"/>
                              </w:rPr>
                              <w:t>,</w:t>
                            </w:r>
                            <w:r>
                              <w:rPr>
                                <w:color w:val="FFFFFF"/>
                              </w:rPr>
                              <w:t xml:space="preserve"> daňové a sociální příjmy, ostatní příjmy, mandatorní výdaje, kapitálové výdaje, běžné výdaje, finanční vztahy k rozpočtu EU a finančním mechanismům,</w:t>
                            </w:r>
                            <w:r w:rsidRPr="002C30E3">
                              <w:rPr>
                                <w:color w:val="FFFFFF"/>
                              </w:rPr>
                              <w:t xml:space="preserve"> </w:t>
                            </w:r>
                            <w:r>
                              <w:rPr>
                                <w:color w:val="FFFFFF"/>
                              </w:rPr>
                              <w:t>východiska a priority návrhu státního rozpočtu, výdajový rámec</w:t>
                            </w:r>
                            <w:r w:rsidRPr="006F476A">
                              <w:rPr>
                                <w:color w:val="FFFFFF"/>
                              </w:rPr>
                              <w:t>,</w:t>
                            </w:r>
                            <w:r>
                              <w:rPr>
                                <w:color w:val="FFFFFF"/>
                              </w:rPr>
                              <w:t xml:space="preserve"> daňové a sociální příjmy, ostatní příjmy, mandatorní výdaje, kapitálové výdaje, běžné výdaje, finanční vztahy k rozpočtu EU a finančním mechanismům,</w:t>
                            </w:r>
                            <w:r w:rsidRPr="002C30E3">
                              <w:rPr>
                                <w:color w:val="FFFFFF"/>
                              </w:rPr>
                              <w:t xml:space="preserve"> </w:t>
                            </w:r>
                            <w:r>
                              <w:rPr>
                                <w:color w:val="FFFFFF"/>
                              </w:rPr>
                              <w:t>východiska a priority návrhu státního rozpočtu, výdajový rámec</w:t>
                            </w:r>
                            <w:r w:rsidRPr="006F476A">
                              <w:rPr>
                                <w:color w:val="FFFFFF"/>
                              </w:rPr>
                              <w:t>,</w:t>
                            </w:r>
                            <w:r>
                              <w:rPr>
                                <w:color w:val="FFFFFF"/>
                              </w:rPr>
                              <w:t xml:space="preserve"> daňové a sociální příjmy, ostatní příjmy, mandatorní výdaje, kapitálové výdaje, běžné výdaje, finanční vztahy k rozpočtu EU a finančním mechanismům,</w:t>
                            </w:r>
                            <w:r w:rsidRPr="002C30E3">
                              <w:rPr>
                                <w:color w:val="FFFFFF"/>
                              </w:rPr>
                              <w:t xml:space="preserve"> </w:t>
                            </w:r>
                            <w:r>
                              <w:rPr>
                                <w:color w:val="FFFFFF"/>
                              </w:rPr>
                              <w:t>východiska a priority návrhu státního rozpočtu, výdajový rámec</w:t>
                            </w:r>
                            <w:r w:rsidRPr="006F476A">
                              <w:rPr>
                                <w:color w:val="FFFFFF"/>
                              </w:rPr>
                              <w:t>,</w:t>
                            </w:r>
                            <w:r>
                              <w:rPr>
                                <w:color w:val="FFFFFF"/>
                              </w:rPr>
                              <w:t xml:space="preserve"> daňové a sociální příjmy, ostatní příjmy, mandatorní výdaje, kapitálové výdaje, běžné výdaje, finanční vztahy k rozpočtu EU a finančním mechanismům,</w:t>
                            </w:r>
                            <w:r w:rsidRPr="002C30E3">
                              <w:rPr>
                                <w:color w:val="FFFFFF"/>
                              </w:rPr>
                              <w:t xml:space="preserve"> </w:t>
                            </w:r>
                            <w:r>
                              <w:rPr>
                                <w:color w:val="FFFFFF"/>
                              </w:rPr>
                              <w:t>východiska a priority návrhu státního rozpočtu, výdajový rámec</w:t>
                            </w:r>
                            <w:r w:rsidRPr="006F476A">
                              <w:rPr>
                                <w:color w:val="FFFFFF"/>
                              </w:rPr>
                              <w:t>,</w:t>
                            </w:r>
                            <w:r>
                              <w:rPr>
                                <w:color w:val="FFFFFF"/>
                              </w:rPr>
                              <w:t xml:space="preserve"> daňové a sociální příjmy, ostatní příjmy, mandatorní výdaje, kapitálové výdaje, běžné výdaje, finanční vztahy k rozpočtu EU a finančním mechanismům,</w:t>
                            </w:r>
                          </w:p>
                        </w:txbxContent>
                      </wps:txbx>
                      <wps:bodyPr rot="0" vert="vert" wrap="square" lIns="9000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D4CB04" id="Skupina 4" o:spid="_x0000_s1035" style="position:absolute;left:0;text-align:left;margin-left:5in;margin-top:-790.25pt;width:185.2pt;height:846.95pt;z-index:-251654144" coordorigin="8334,-41" coordsize="3704,169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">
              <v:rect id="Rectangle 25" o:spid="_x0000_s1036" alt="BlueBar" style="position:absolute;left:1674;top:6619;width:16920;height:360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" fillcolor="#995979" stroked="f">
                <v:fill color2="#ebdee4" rotate="t" focus="100%" type="gradient"/>
                <o:lock v:ext="edit" aspectratio="t"/>
              </v:rect>
              <v:shape id="Text Box 26" o:spid="_x0000_s1037" type="#_x0000_t202" style="position:absolute;left:8798;top:-22;width:3240;height:169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" filled="f" stroked="f">
                <o:lock v:ext="edit" aspectratio="t"/>
                <v:textbox style="layout-flow:vertical" inset="2.5mm">
                  <w:txbxContent>
                    <w:p w14:paraId="206656B4" w14:textId="77777777" w:rsidR="0018356F" w:rsidRPr="006F476A" w:rsidRDefault="0018356F" w:rsidP="007A1923">
                      <w:pPr>
                        <w:rPr>
                          <w:color w:val="FFFFFF"/>
                        </w:rPr>
                      </w:pPr>
                      <w:r>
                        <w:rPr>
                          <w:color w:val="FFFFFF"/>
                        </w:rPr>
                        <w:t>východiska a priority návrhu státního rozpočtu, výdajový rámec</w:t>
                      </w:r>
                      <w:r w:rsidRPr="006F476A">
                        <w:rPr>
                          <w:color w:val="FFFFFF"/>
                        </w:rPr>
                        <w:t>,</w:t>
                      </w:r>
                      <w:r>
                        <w:rPr>
                          <w:color w:val="FFFFFF"/>
                        </w:rPr>
                        <w:t xml:space="preserve"> daňové a sociální příjmy, ostatní příjmy, mandatorní výdaje, kapitálové výdaje, běžné výdaje, finanční vztahy k rozpočtu EU a finančním mechanismům, východiska a priority návrhu státního rozpočtu, výdajový rámec</w:t>
                      </w:r>
                      <w:r w:rsidRPr="006F476A">
                        <w:rPr>
                          <w:color w:val="FFFFFF"/>
                        </w:rPr>
                        <w:t>,</w:t>
                      </w:r>
                      <w:r>
                        <w:rPr>
                          <w:color w:val="FFFFFF"/>
                        </w:rPr>
                        <w:t xml:space="preserve"> daňové a sociální příjmy, ostatní příjmy, mandatorní výdaje, kapitálové výdaje, běžné výdaje, finanční vztahy k rozpočtu EU a finančním mechanismům,</w:t>
                      </w:r>
                      <w:r w:rsidRPr="002C30E3">
                        <w:rPr>
                          <w:color w:val="FFFFFF"/>
                        </w:rPr>
                        <w:t xml:space="preserve"> </w:t>
                      </w:r>
                      <w:r>
                        <w:rPr>
                          <w:color w:val="FFFFFF"/>
                        </w:rPr>
                        <w:t>východiska a priority návrhu státního rozpočtu, výdajový rámec</w:t>
                      </w:r>
                      <w:r w:rsidRPr="006F476A">
                        <w:rPr>
                          <w:color w:val="FFFFFF"/>
                        </w:rPr>
                        <w:t>,</w:t>
                      </w:r>
                      <w:r>
                        <w:rPr>
                          <w:color w:val="FFFFFF"/>
                        </w:rPr>
                        <w:t xml:space="preserve"> daňové a sociální příjmy, ostatní příjmy, mandatorní výdaje, kapitálové výdaje, běžné výdaje, finanční vztahy k rozpočtu EU a finančním mechanismům,</w:t>
                      </w:r>
                      <w:r w:rsidRPr="002C30E3">
                        <w:rPr>
                          <w:color w:val="FFFFFF"/>
                        </w:rPr>
                        <w:t xml:space="preserve"> </w:t>
                      </w:r>
                      <w:r>
                        <w:rPr>
                          <w:color w:val="FFFFFF"/>
                        </w:rPr>
                        <w:t>východiska a priority návrhu státního rozpočtu, výdajový rámec</w:t>
                      </w:r>
                      <w:r w:rsidRPr="006F476A">
                        <w:rPr>
                          <w:color w:val="FFFFFF"/>
                        </w:rPr>
                        <w:t>,</w:t>
                      </w:r>
                      <w:r>
                        <w:rPr>
                          <w:color w:val="FFFFFF"/>
                        </w:rPr>
                        <w:t xml:space="preserve"> daňové a sociální příjmy, ostatní příjmy, mandatorní výdaje, kapitálové výdaje, běžné výdaje, finanční vztahy k rozpočtu EU a finančním mechanismům,</w:t>
                      </w:r>
                      <w:r w:rsidRPr="002C30E3">
                        <w:rPr>
                          <w:color w:val="FFFFFF"/>
                        </w:rPr>
                        <w:t xml:space="preserve"> </w:t>
                      </w:r>
                      <w:r>
                        <w:rPr>
                          <w:color w:val="FFFFFF"/>
                        </w:rPr>
                        <w:t>východiska a priority návrhu státního rozpočtu, výdajový rámec</w:t>
                      </w:r>
                      <w:r w:rsidRPr="006F476A">
                        <w:rPr>
                          <w:color w:val="FFFFFF"/>
                        </w:rPr>
                        <w:t>,</w:t>
                      </w:r>
                      <w:r>
                        <w:rPr>
                          <w:color w:val="FFFFFF"/>
                        </w:rPr>
                        <w:t xml:space="preserve"> daňové a sociální příjmy, ostatní příjmy, mandatorní výdaje, kapitálové výdaje, běžné výdaje, finanční vztahy k rozpočtu EU a finančním mechanismům,</w:t>
                      </w:r>
                      <w:r w:rsidRPr="002C30E3">
                        <w:rPr>
                          <w:color w:val="FFFFFF"/>
                        </w:rPr>
                        <w:t xml:space="preserve"> </w:t>
                      </w:r>
                      <w:r>
                        <w:rPr>
                          <w:color w:val="FFFFFF"/>
                        </w:rPr>
                        <w:t>východiska a priority návrhu státního rozpočtu, výdajový rámec</w:t>
                      </w:r>
                      <w:r w:rsidRPr="006F476A">
                        <w:rPr>
                          <w:color w:val="FFFFFF"/>
                        </w:rPr>
                        <w:t>,</w:t>
                      </w:r>
                      <w:r>
                        <w:rPr>
                          <w:color w:val="FFFFFF"/>
                        </w:rPr>
                        <w:t xml:space="preserve"> daňové a sociální příjmy, ostatní příjmy, mandatorní výdaje, kapitálové výdaje, běžné výdaje, finanční vztahy k rozpočtu EU a finančním mechanismům,</w:t>
                      </w:r>
                      <w:r w:rsidRPr="002C30E3">
                        <w:rPr>
                          <w:color w:val="FFFFFF"/>
                        </w:rPr>
                        <w:t xml:space="preserve"> </w:t>
                      </w:r>
                      <w:r>
                        <w:rPr>
                          <w:color w:val="FFFFFF"/>
                        </w:rPr>
                        <w:t>východiska a priority návrhu státního rozpočtu, výdajový rámec</w:t>
                      </w:r>
                      <w:r w:rsidRPr="006F476A">
                        <w:rPr>
                          <w:color w:val="FFFFFF"/>
                        </w:rPr>
                        <w:t>,</w:t>
                      </w:r>
                      <w:r>
                        <w:rPr>
                          <w:color w:val="FFFFFF"/>
                        </w:rPr>
                        <w:t xml:space="preserve"> daňové a sociální příjmy, ostatní příjmy, mandatorní výdaje, kapitálové výdaje, běžné výdaje, finanční vztahy k rozpočtu EU a finančním mechanismům,</w:t>
                      </w:r>
                      <w:r w:rsidRPr="002C30E3">
                        <w:rPr>
                          <w:color w:val="FFFFFF"/>
                        </w:rPr>
                        <w:t xml:space="preserve"> </w:t>
                      </w:r>
                      <w:r>
                        <w:rPr>
                          <w:color w:val="FFFFFF"/>
                        </w:rPr>
                        <w:t>východiska a priority návrhu státního rozpočtu, výdajový rámec</w:t>
                      </w:r>
                      <w:r w:rsidRPr="006F476A">
                        <w:rPr>
                          <w:color w:val="FFFFFF"/>
                        </w:rPr>
                        <w:t>,</w:t>
                      </w:r>
                      <w:r>
                        <w:rPr>
                          <w:color w:val="FFFFFF"/>
                        </w:rPr>
                        <w:t xml:space="preserve"> daňové a sociální příjmy, ostatní příjmy, mandatorní výdaje, kapitálové výdaje, běžné výdaje, finanční vztahy k rozpočtu EU a finančním mechanismům,</w:t>
                      </w:r>
                      <w:r w:rsidRPr="002C30E3">
                        <w:rPr>
                          <w:color w:val="FFFFFF"/>
                        </w:rPr>
                        <w:t xml:space="preserve"> </w:t>
                      </w:r>
                      <w:r>
                        <w:rPr>
                          <w:color w:val="FFFFFF"/>
                        </w:rPr>
                        <w:t>východiska a priority návrhu státního rozpočtu, výdajový rámec</w:t>
                      </w:r>
                      <w:r w:rsidRPr="006F476A">
                        <w:rPr>
                          <w:color w:val="FFFFFF"/>
                        </w:rPr>
                        <w:t>,</w:t>
                      </w:r>
                      <w:r>
                        <w:rPr>
                          <w:color w:val="FFFFFF"/>
                        </w:rPr>
                        <w:t xml:space="preserve"> daňové a sociální příjmy, ostatní příjmy, mandatorní výdaje, kapitálové výdaje, běžné výdaje, finanční vztahy k rozpočtu EU a finančním mechanismům,</w:t>
                      </w:r>
                      <w:r w:rsidRPr="002C30E3">
                        <w:rPr>
                          <w:color w:val="FFFFFF"/>
                        </w:rPr>
                        <w:t xml:space="preserve"> </w:t>
                      </w:r>
                      <w:r>
                        <w:rPr>
                          <w:color w:val="FFFFFF"/>
                        </w:rPr>
                        <w:t>východiska a priority návrhu státního rozpočtu, výdajový rámec</w:t>
                      </w:r>
                      <w:r w:rsidRPr="006F476A">
                        <w:rPr>
                          <w:color w:val="FFFFFF"/>
                        </w:rPr>
                        <w:t>,</w:t>
                      </w:r>
                      <w:r>
                        <w:rPr>
                          <w:color w:val="FFFFFF"/>
                        </w:rPr>
                        <w:t xml:space="preserve"> daňové a sociální příjmy, ostatní příjmy, mandatorní výdaje, kapitálové výdaje, běžné výdaje, finanční vztahy k rozpočtu EU a finančním mechanismům,</w:t>
                      </w:r>
                      <w:r w:rsidRPr="002C30E3">
                        <w:rPr>
                          <w:color w:val="FFFFFF"/>
                        </w:rPr>
                        <w:t xml:space="preserve"> </w:t>
                      </w:r>
                      <w:r>
                        <w:rPr>
                          <w:color w:val="FFFFFF"/>
                        </w:rPr>
                        <w:t>východiska a priority návrhu státního rozpočtu, výdajový rámec</w:t>
                      </w:r>
                      <w:r w:rsidRPr="006F476A">
                        <w:rPr>
                          <w:color w:val="FFFFFF"/>
                        </w:rPr>
                        <w:t>,</w:t>
                      </w:r>
                      <w:r>
                        <w:rPr>
                          <w:color w:val="FFFFFF"/>
                        </w:rPr>
                        <w:t xml:space="preserve"> daňové a sociální příjmy, ostatní příjmy, mandatorní výdaje, kapitálové výdaje, běžné výdaje, finanční vztahy k rozpočtu EU a finančním mechanismům,</w:t>
                      </w:r>
                      <w:r w:rsidRPr="002C30E3">
                        <w:rPr>
                          <w:color w:val="FFFFFF"/>
                        </w:rPr>
                        <w:t xml:space="preserve"> </w:t>
                      </w:r>
                      <w:r>
                        <w:rPr>
                          <w:color w:val="FFFFFF"/>
                        </w:rPr>
                        <w:t>východiska a priority návrhu státního rozpočtu, výdajový rámec</w:t>
                      </w:r>
                      <w:r w:rsidRPr="006F476A">
                        <w:rPr>
                          <w:color w:val="FFFFFF"/>
                        </w:rPr>
                        <w:t>,</w:t>
                      </w:r>
                      <w:r>
                        <w:rPr>
                          <w:color w:val="FFFFFF"/>
                        </w:rPr>
                        <w:t xml:space="preserve"> daňové a sociální příjmy, ostatní příjmy, mandatorní výdaje, kapitálové výdaje, běžné výdaje, finanční vztahy k rozpočtu EU a finančním mechanismům,</w:t>
                      </w:r>
                    </w:p>
                  </w:txbxContent>
                </v:textbox>
              </v:shap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8C1A0D" w14:textId="77777777" w:rsidR="0018356F" w:rsidRPr="00A12A05" w:rsidRDefault="0018356F" w:rsidP="007A1923">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BE9B3C" w14:textId="77777777" w:rsidR="0018356F" w:rsidRPr="00A12A05" w:rsidRDefault="0018356F" w:rsidP="007A1923">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42" w:rightFromText="142" w:vertAnchor="text" w:horzAnchor="page" w:tblpX="568" w:tblpY="1"/>
      <w:tblOverlap w:val="never"/>
      <w:tblW w:w="1730" w:type="pct"/>
      <w:tblBorders>
        <w:top w:val="single" w:sz="2" w:space="0" w:color="FFFFFF"/>
        <w:left w:val="single" w:sz="2" w:space="0" w:color="FFFFFF"/>
        <w:bottom w:val="single" w:sz="2" w:space="0" w:color="FFFFFF"/>
        <w:right w:val="single" w:sz="2" w:space="0" w:color="FFFFFF"/>
        <w:insideH w:val="single" w:sz="12" w:space="0" w:color="999999"/>
        <w:insideV w:val="single" w:sz="12" w:space="0" w:color="999999"/>
      </w:tblBorders>
      <w:tblLook w:val="01E0" w:firstRow="1" w:lastRow="1" w:firstColumn="1" w:lastColumn="1" w:noHBand="0" w:noVBand="0"/>
    </w:tblPr>
    <w:tblGrid>
      <w:gridCol w:w="633"/>
      <w:gridCol w:w="2700"/>
    </w:tblGrid>
    <w:tr w:rsidR="0018356F" w:rsidRPr="00175F17" w14:paraId="65CFA8BC" w14:textId="77777777" w:rsidTr="007A1923">
      <w:trPr>
        <w:cantSplit/>
      </w:trPr>
      <w:tc>
        <w:tcPr>
          <w:tcW w:w="950" w:type="pct"/>
          <w:shd w:val="clear" w:color="auto" w:fill="auto"/>
          <w:vAlign w:val="center"/>
        </w:tcPr>
        <w:p w14:paraId="4DA7E34F" w14:textId="77777777" w:rsidR="0018356F" w:rsidRPr="00175F17" w:rsidRDefault="0018356F" w:rsidP="007A1923">
          <w:pPr>
            <w:spacing w:after="0"/>
            <w:jc w:val="right"/>
            <w:rPr>
              <w:color w:val="999999"/>
              <w:sz w:val="16"/>
              <w:szCs w:val="16"/>
            </w:rPr>
          </w:pPr>
          <w:r>
            <w:rPr>
              <w:rStyle w:val="slostrnky"/>
              <w:sz w:val="32"/>
              <w:szCs w:val="32"/>
            </w:rPr>
            <w:fldChar w:fldCharType="begin"/>
          </w:r>
          <w:r>
            <w:rPr>
              <w:rStyle w:val="slostrnky"/>
              <w:sz w:val="32"/>
              <w:szCs w:val="32"/>
            </w:rPr>
            <w:instrText xml:space="preserve"> PAGE  </w:instrText>
          </w:r>
          <w:r>
            <w:rPr>
              <w:rStyle w:val="slostrnky"/>
              <w:sz w:val="32"/>
              <w:szCs w:val="32"/>
            </w:rPr>
            <w:fldChar w:fldCharType="separate"/>
          </w:r>
          <w:r>
            <w:rPr>
              <w:rStyle w:val="slostrnky"/>
              <w:noProof/>
              <w:sz w:val="32"/>
              <w:szCs w:val="32"/>
            </w:rPr>
            <w:t>4</w:t>
          </w:r>
          <w:r>
            <w:rPr>
              <w:rStyle w:val="slostrnky"/>
              <w:sz w:val="32"/>
              <w:szCs w:val="32"/>
            </w:rPr>
            <w:fldChar w:fldCharType="end"/>
          </w:r>
        </w:p>
      </w:tc>
      <w:tc>
        <w:tcPr>
          <w:tcW w:w="4050" w:type="pct"/>
          <w:shd w:val="clear" w:color="auto" w:fill="auto"/>
          <w:vAlign w:val="center"/>
        </w:tcPr>
        <w:p w14:paraId="3CC828BD" w14:textId="77777777" w:rsidR="0018356F" w:rsidRPr="00175F17" w:rsidRDefault="0018356F" w:rsidP="007A1923">
          <w:pPr>
            <w:suppressAutoHyphens/>
            <w:spacing w:after="0"/>
            <w:jc w:val="left"/>
            <w:rPr>
              <w:color w:val="999999"/>
              <w:sz w:val="32"/>
              <w:szCs w:val="32"/>
            </w:rPr>
          </w:pPr>
          <w:r w:rsidRPr="0017797C">
            <w:rPr>
              <w:b/>
              <w:color w:val="999999"/>
              <w:sz w:val="16"/>
              <w:szCs w:val="16"/>
            </w:rPr>
            <w:t>Zpráva ke státnímu rozpočtu České republiky na rok 2019</w:t>
          </w:r>
        </w:p>
      </w:tc>
    </w:tr>
  </w:tbl>
  <w:p w14:paraId="6A891879" w14:textId="77777777" w:rsidR="0018356F" w:rsidRPr="00A12A05" w:rsidRDefault="0018356F" w:rsidP="007A1923">
    <w:pPr>
      <w:pStyle w:val="Zpa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42" w:rightFromText="142" w:vertAnchor="text" w:horzAnchor="page" w:tblpX="7939" w:tblpY="1"/>
      <w:tblOverlap w:val="never"/>
      <w:tblW w:w="1881" w:type="pct"/>
      <w:tblBorders>
        <w:top w:val="single" w:sz="2" w:space="0" w:color="FFFFFF"/>
        <w:left w:val="single" w:sz="2" w:space="0" w:color="FFFFFF"/>
        <w:bottom w:val="single" w:sz="2" w:space="0" w:color="FFFFFF"/>
        <w:right w:val="single" w:sz="2" w:space="0" w:color="FFFFFF"/>
        <w:insideH w:val="single" w:sz="12" w:space="0" w:color="999999"/>
        <w:insideV w:val="single" w:sz="12" w:space="0" w:color="999999"/>
      </w:tblBorders>
      <w:tblLook w:val="01E0" w:firstRow="1" w:lastRow="1" w:firstColumn="1" w:lastColumn="1" w:noHBand="0" w:noVBand="0"/>
    </w:tblPr>
    <w:tblGrid>
      <w:gridCol w:w="2921"/>
      <w:gridCol w:w="703"/>
    </w:tblGrid>
    <w:tr w:rsidR="0018356F" w:rsidRPr="00175F17" w14:paraId="6F7D0731" w14:textId="77777777" w:rsidTr="007A1923">
      <w:trPr>
        <w:cantSplit/>
      </w:trPr>
      <w:tc>
        <w:tcPr>
          <w:tcW w:w="4030" w:type="pct"/>
          <w:shd w:val="clear" w:color="auto" w:fill="auto"/>
          <w:vAlign w:val="center"/>
        </w:tcPr>
        <w:p w14:paraId="520AC37F" w14:textId="77777777" w:rsidR="0018356F" w:rsidRPr="009B5C89" w:rsidRDefault="0018356F" w:rsidP="007C6528">
          <w:pPr>
            <w:suppressAutoHyphens/>
            <w:spacing w:after="0"/>
            <w:jc w:val="right"/>
            <w:rPr>
              <w:b/>
              <w:color w:val="999999"/>
              <w:sz w:val="16"/>
              <w:szCs w:val="16"/>
            </w:rPr>
          </w:pPr>
          <w:r w:rsidRPr="009B5C89">
            <w:rPr>
              <w:b/>
              <w:color w:val="999999"/>
              <w:sz w:val="16"/>
              <w:szCs w:val="16"/>
            </w:rPr>
            <w:t>Makroekonomický rámec</w:t>
          </w:r>
        </w:p>
        <w:p w14:paraId="57F29244" w14:textId="3EBE9041" w:rsidR="0018356F" w:rsidRPr="0017797C" w:rsidRDefault="0018356F" w:rsidP="007C6528">
          <w:pPr>
            <w:suppressAutoHyphens/>
            <w:spacing w:after="0"/>
            <w:jc w:val="right"/>
            <w:rPr>
              <w:b/>
              <w:noProof/>
              <w:color w:val="999999"/>
              <w:sz w:val="16"/>
              <w:szCs w:val="16"/>
            </w:rPr>
          </w:pPr>
          <w:r w:rsidRPr="009B5C89">
            <w:rPr>
              <w:b/>
              <w:color w:val="999999"/>
              <w:sz w:val="16"/>
              <w:szCs w:val="16"/>
            </w:rPr>
            <w:t>a fiskální politika</w:t>
          </w:r>
        </w:p>
      </w:tc>
      <w:tc>
        <w:tcPr>
          <w:tcW w:w="970" w:type="pct"/>
          <w:shd w:val="clear" w:color="auto" w:fill="auto"/>
          <w:vAlign w:val="center"/>
        </w:tcPr>
        <w:p w14:paraId="0FE21645" w14:textId="40EFD5CD" w:rsidR="0018356F" w:rsidRPr="006E3BB6" w:rsidRDefault="0018356F" w:rsidP="007A1923">
          <w:pPr>
            <w:spacing w:after="0"/>
            <w:rPr>
              <w:rStyle w:val="slostrnky"/>
              <w:sz w:val="32"/>
            </w:rPr>
          </w:pPr>
          <w:r w:rsidRPr="00175F17">
            <w:rPr>
              <w:rStyle w:val="slostrnky"/>
              <w:sz w:val="32"/>
              <w:szCs w:val="32"/>
            </w:rPr>
            <w:fldChar w:fldCharType="begin"/>
          </w:r>
          <w:r w:rsidRPr="00175F17">
            <w:rPr>
              <w:rStyle w:val="slostrnky"/>
              <w:sz w:val="32"/>
              <w:szCs w:val="32"/>
            </w:rPr>
            <w:instrText xml:space="preserve"> PAGE </w:instrText>
          </w:r>
          <w:r w:rsidRPr="00175F17">
            <w:rPr>
              <w:rStyle w:val="slostrnky"/>
              <w:sz w:val="32"/>
              <w:szCs w:val="32"/>
            </w:rPr>
            <w:fldChar w:fldCharType="separate"/>
          </w:r>
          <w:r w:rsidR="008C3E06">
            <w:rPr>
              <w:rStyle w:val="slostrnky"/>
              <w:noProof/>
              <w:sz w:val="32"/>
              <w:szCs w:val="32"/>
            </w:rPr>
            <w:t>8</w:t>
          </w:r>
          <w:r w:rsidRPr="00175F17">
            <w:rPr>
              <w:rStyle w:val="slostrnky"/>
              <w:sz w:val="32"/>
              <w:szCs w:val="32"/>
            </w:rPr>
            <w:fldChar w:fldCharType="end"/>
          </w:r>
        </w:p>
      </w:tc>
    </w:tr>
  </w:tbl>
  <w:p w14:paraId="2A89D07F" w14:textId="77777777" w:rsidR="0018356F" w:rsidRPr="00A12A05" w:rsidRDefault="0018356F" w:rsidP="007A1923">
    <w:pPr>
      <w:pStyle w:val="Zpa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42" w:rightFromText="142" w:vertAnchor="text" w:horzAnchor="page" w:tblpX="568" w:tblpY="1"/>
      <w:tblOverlap w:val="never"/>
      <w:tblW w:w="1730" w:type="pct"/>
      <w:tblBorders>
        <w:top w:val="single" w:sz="2" w:space="0" w:color="FFFFFF"/>
        <w:left w:val="single" w:sz="2" w:space="0" w:color="FFFFFF"/>
        <w:bottom w:val="single" w:sz="2" w:space="0" w:color="FFFFFF"/>
        <w:right w:val="single" w:sz="2" w:space="0" w:color="FFFFFF"/>
        <w:insideH w:val="single" w:sz="12" w:space="0" w:color="999999"/>
        <w:insideV w:val="single" w:sz="12" w:space="0" w:color="999999"/>
      </w:tblBorders>
      <w:tblLook w:val="01E0" w:firstRow="1" w:lastRow="1" w:firstColumn="1" w:lastColumn="1" w:noHBand="0" w:noVBand="0"/>
    </w:tblPr>
    <w:tblGrid>
      <w:gridCol w:w="633"/>
      <w:gridCol w:w="2700"/>
    </w:tblGrid>
    <w:tr w:rsidR="0018356F" w:rsidRPr="00175F17" w14:paraId="563A9D31" w14:textId="77777777" w:rsidTr="007A1923">
      <w:trPr>
        <w:cantSplit/>
      </w:trPr>
      <w:tc>
        <w:tcPr>
          <w:tcW w:w="950" w:type="pct"/>
          <w:shd w:val="clear" w:color="auto" w:fill="auto"/>
          <w:vAlign w:val="center"/>
        </w:tcPr>
        <w:p w14:paraId="68AC3D5F" w14:textId="77777777" w:rsidR="0018356F" w:rsidRPr="00175F17" w:rsidRDefault="0018356F" w:rsidP="007A1923">
          <w:pPr>
            <w:spacing w:after="0"/>
            <w:jc w:val="right"/>
            <w:rPr>
              <w:color w:val="999999"/>
              <w:sz w:val="16"/>
              <w:szCs w:val="16"/>
            </w:rPr>
          </w:pPr>
          <w:r>
            <w:rPr>
              <w:rStyle w:val="slostrnky"/>
              <w:sz w:val="32"/>
              <w:szCs w:val="32"/>
            </w:rPr>
            <w:fldChar w:fldCharType="begin"/>
          </w:r>
          <w:r>
            <w:rPr>
              <w:rStyle w:val="slostrnky"/>
              <w:sz w:val="32"/>
              <w:szCs w:val="32"/>
            </w:rPr>
            <w:instrText xml:space="preserve"> PAGE  </w:instrText>
          </w:r>
          <w:r>
            <w:rPr>
              <w:rStyle w:val="slostrnky"/>
              <w:sz w:val="32"/>
              <w:szCs w:val="32"/>
            </w:rPr>
            <w:fldChar w:fldCharType="separate"/>
          </w:r>
          <w:r>
            <w:rPr>
              <w:rStyle w:val="slostrnky"/>
              <w:noProof/>
              <w:sz w:val="32"/>
              <w:szCs w:val="32"/>
            </w:rPr>
            <w:t>8</w:t>
          </w:r>
          <w:r>
            <w:rPr>
              <w:rStyle w:val="slostrnky"/>
              <w:sz w:val="32"/>
              <w:szCs w:val="32"/>
            </w:rPr>
            <w:fldChar w:fldCharType="end"/>
          </w:r>
        </w:p>
      </w:tc>
      <w:tc>
        <w:tcPr>
          <w:tcW w:w="4050" w:type="pct"/>
          <w:shd w:val="clear" w:color="auto" w:fill="auto"/>
          <w:vAlign w:val="center"/>
        </w:tcPr>
        <w:p w14:paraId="32BB4B0A" w14:textId="77777777" w:rsidR="0018356F" w:rsidRPr="00175F17" w:rsidRDefault="0018356F" w:rsidP="007A1923">
          <w:pPr>
            <w:suppressAutoHyphens/>
            <w:spacing w:after="0"/>
            <w:jc w:val="left"/>
            <w:rPr>
              <w:color w:val="999999"/>
              <w:sz w:val="32"/>
              <w:szCs w:val="32"/>
            </w:rPr>
          </w:pPr>
          <w:r w:rsidRPr="0017797C">
            <w:rPr>
              <w:b/>
              <w:color w:val="999999"/>
              <w:sz w:val="16"/>
              <w:szCs w:val="16"/>
            </w:rPr>
            <w:t>Zpráva ke státnímu rozpočtu České republiky na rok 2019</w:t>
          </w:r>
        </w:p>
      </w:tc>
    </w:tr>
  </w:tbl>
  <w:p w14:paraId="21AD437C" w14:textId="77777777" w:rsidR="0018356F" w:rsidRPr="00A12A05" w:rsidRDefault="0018356F" w:rsidP="007A1923">
    <w:pPr>
      <w:pStyle w:val="Zpat"/>
    </w:pPr>
  </w:p>
  <w:p w14:paraId="0F02A7FE" w14:textId="77777777" w:rsidR="0018356F" w:rsidRDefault="0018356F"/>
  <w:p w14:paraId="73F37ABC" w14:textId="77777777" w:rsidR="0018356F" w:rsidRDefault="0018356F"/>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B46844" w14:textId="77777777" w:rsidR="0018356F" w:rsidRPr="00A12A05" w:rsidRDefault="0018356F" w:rsidP="007A1923">
    <w:pPr>
      <w:pStyle w:val="Zpat"/>
    </w:pPr>
    <w:r>
      <w:rPr>
        <w:noProof/>
      </w:rPr>
      <mc:AlternateContent>
        <mc:Choice Requires="wps">
          <w:drawing>
            <wp:anchor distT="0" distB="0" distL="114300" distR="114300" simplePos="0" relativeHeight="251657216" behindDoc="0" locked="0" layoutInCell="1" allowOverlap="1" wp14:anchorId="16AE1CAB" wp14:editId="308E8B23">
              <wp:simplePos x="0" y="0"/>
              <wp:positionH relativeFrom="column">
                <wp:posOffset>-113665</wp:posOffset>
              </wp:positionH>
              <wp:positionV relativeFrom="paragraph">
                <wp:posOffset>-1175385</wp:posOffset>
              </wp:positionV>
              <wp:extent cx="2743200" cy="1257300"/>
              <wp:effectExtent l="0" t="0" r="0" b="0"/>
              <wp:wrapNone/>
              <wp:docPr id="8" name="Textové pol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A880D0" w14:textId="77777777" w:rsidR="0018356F" w:rsidRPr="000F3D4A" w:rsidRDefault="0018356F" w:rsidP="007A1923">
                          <w:pPr>
                            <w:spacing w:after="0"/>
                            <w:jc w:val="left"/>
                            <w:rPr>
                              <w:b/>
                              <w:sz w:val="24"/>
                            </w:rPr>
                          </w:pPr>
                          <w:r w:rsidRPr="000F3D4A">
                            <w:rPr>
                              <w:b/>
                              <w:sz w:val="24"/>
                            </w:rPr>
                            <w:t>Ministerstvo financí České republiky</w:t>
                          </w:r>
                        </w:p>
                        <w:p w14:paraId="2E62986F" w14:textId="77777777" w:rsidR="0018356F" w:rsidRPr="000F3D4A" w:rsidRDefault="0018356F" w:rsidP="007A1923">
                          <w:pPr>
                            <w:spacing w:after="0"/>
                            <w:jc w:val="left"/>
                            <w:rPr>
                              <w:sz w:val="24"/>
                            </w:rPr>
                          </w:pPr>
                          <w:r w:rsidRPr="000F3D4A">
                            <w:rPr>
                              <w:sz w:val="24"/>
                            </w:rPr>
                            <w:t>Letenská 15</w:t>
                          </w:r>
                        </w:p>
                        <w:p w14:paraId="177EB152" w14:textId="77777777" w:rsidR="0018356F" w:rsidRPr="000F3D4A" w:rsidRDefault="0018356F" w:rsidP="007A1923">
                          <w:pPr>
                            <w:spacing w:after="0"/>
                            <w:jc w:val="left"/>
                            <w:rPr>
                              <w:sz w:val="24"/>
                            </w:rPr>
                          </w:pPr>
                          <w:r w:rsidRPr="000F3D4A">
                            <w:rPr>
                              <w:sz w:val="24"/>
                            </w:rPr>
                            <w:t>118 10 Praha 1</w:t>
                          </w:r>
                        </w:p>
                        <w:p w14:paraId="726545D7" w14:textId="77777777" w:rsidR="0018356F" w:rsidRPr="000F3D4A" w:rsidRDefault="0018356F" w:rsidP="007A1923">
                          <w:pPr>
                            <w:spacing w:before="240" w:after="0"/>
                            <w:rPr>
                              <w:sz w:val="24"/>
                            </w:rPr>
                          </w:pPr>
                          <w:r w:rsidRPr="000F3D4A">
                            <w:rPr>
                              <w:sz w:val="24"/>
                            </w:rPr>
                            <w:t>http://www.mfcr.cz</w:t>
                          </w:r>
                        </w:p>
                      </w:txbxContent>
                    </wps:txbx>
                    <wps:bodyPr rot="0" vert="horz" wrap="square" lIns="91440" tIns="9000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AE1CAB" id="_x0000_t202" coordsize="21600,21600" o:spt="202" path="m,l,21600r21600,l21600,xe">
              <v:stroke joinstyle="miter"/>
              <v:path gradientshapeok="t" o:connecttype="rect"/>
            </v:shapetype>
            <v:shape id="Textové pole 8" o:spid="_x0000_s1026" type="#_x0000_t202" style="position:absolute;left:0;text-align:left;margin-left:-8.95pt;margin-top:-92.55pt;width:3in;height:9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" filled="f" stroked="f">
              <v:textbox inset=",2.5mm,,0">
                <w:txbxContent>
                  <w:p w14:paraId="6FA880D0" w14:textId="77777777" w:rsidR="0018356F" w:rsidRPr="000F3D4A" w:rsidRDefault="0018356F" w:rsidP="007A1923">
                    <w:pPr>
                      <w:spacing w:after="0"/>
                      <w:jc w:val="left"/>
                      <w:rPr>
                        <w:b/>
                        <w:sz w:val="24"/>
                      </w:rPr>
                    </w:pPr>
                    <w:r w:rsidRPr="000F3D4A">
                      <w:rPr>
                        <w:b/>
                        <w:sz w:val="24"/>
                      </w:rPr>
                      <w:t>Ministerstvo financí České republiky</w:t>
                    </w:r>
                  </w:p>
                  <w:p w14:paraId="2E62986F" w14:textId="77777777" w:rsidR="0018356F" w:rsidRPr="000F3D4A" w:rsidRDefault="0018356F" w:rsidP="007A1923">
                    <w:pPr>
                      <w:spacing w:after="0"/>
                      <w:jc w:val="left"/>
                      <w:rPr>
                        <w:sz w:val="24"/>
                      </w:rPr>
                    </w:pPr>
                    <w:r w:rsidRPr="000F3D4A">
                      <w:rPr>
                        <w:sz w:val="24"/>
                      </w:rPr>
                      <w:t>Letenská 15</w:t>
                    </w:r>
                  </w:p>
                  <w:p w14:paraId="177EB152" w14:textId="77777777" w:rsidR="0018356F" w:rsidRPr="000F3D4A" w:rsidRDefault="0018356F" w:rsidP="007A1923">
                    <w:pPr>
                      <w:spacing w:after="0"/>
                      <w:jc w:val="left"/>
                      <w:rPr>
                        <w:sz w:val="24"/>
                      </w:rPr>
                    </w:pPr>
                    <w:r w:rsidRPr="000F3D4A">
                      <w:rPr>
                        <w:sz w:val="24"/>
                      </w:rPr>
                      <w:t>118 10 Praha 1</w:t>
                    </w:r>
                  </w:p>
                  <w:p w14:paraId="726545D7" w14:textId="77777777" w:rsidR="0018356F" w:rsidRPr="000F3D4A" w:rsidRDefault="0018356F" w:rsidP="007A1923">
                    <w:pPr>
                      <w:spacing w:before="240" w:after="0"/>
                      <w:rPr>
                        <w:sz w:val="24"/>
                      </w:rPr>
                    </w:pPr>
                    <w:r w:rsidRPr="000F3D4A">
                      <w:rPr>
                        <w:sz w:val="24"/>
                      </w:rPr>
                      <w:t>http://www.mfcr.cz</w:t>
                    </w:r>
                  </w:p>
                </w:txbxContent>
              </v:textbox>
            </v:shape>
          </w:pict>
        </mc:Fallback>
      </mc:AlternateContent>
    </w:r>
    <w:r>
      <w:rPr>
        <w:noProof/>
      </w:rPr>
      <mc:AlternateContent>
        <mc:Choice Requires="wpg">
          <w:drawing>
            <wp:anchor distT="0" distB="0" distL="114300" distR="114300" simplePos="0" relativeHeight="251655168" behindDoc="1" locked="0" layoutInCell="1" allowOverlap="1" wp14:anchorId="677C8E56" wp14:editId="306D642B">
              <wp:simplePos x="0" y="0"/>
              <wp:positionH relativeFrom="column">
                <wp:posOffset>4572000</wp:posOffset>
              </wp:positionH>
              <wp:positionV relativeFrom="paragraph">
                <wp:posOffset>-10036175</wp:posOffset>
              </wp:positionV>
              <wp:extent cx="2352040" cy="10756265"/>
              <wp:effectExtent l="0" t="3175" r="635" b="3810"/>
              <wp:wrapNone/>
              <wp:docPr id="5" name="Skupina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52040" cy="10756265"/>
                        <a:chOff x="8334" y="-41"/>
                        <a:chExt cx="3704" cy="16939"/>
                      </a:xfrm>
                    </wpg:grpSpPr>
                    <wps:wsp>
                      <wps:cNvPr id="6" name="Rectangle 25" descr="BlueBar"/>
                      <wps:cNvSpPr>
                        <a:spLocks noChangeAspect="1" noChangeArrowheads="1"/>
                      </wps:cNvSpPr>
                      <wps:spPr bwMode="auto">
                        <a:xfrm rot="5400000">
                          <a:off x="1674" y="6619"/>
                          <a:ext cx="16920" cy="3600"/>
                        </a:xfrm>
                        <a:prstGeom prst="rect">
                          <a:avLst/>
                        </a:prstGeom>
                        <a:gradFill rotWithShape="1">
                          <a:gsLst>
                            <a:gs pos="0">
                              <a:srgbClr val="995979"/>
                            </a:gs>
                            <a:gs pos="100000">
                              <a:srgbClr val="995979">
                                <a:gamma/>
                                <a:tint val="20000"/>
                                <a:invGamma/>
                              </a:srgbClr>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Text Box 26"/>
                      <wps:cNvSpPr txBox="1">
                        <a:spLocks noChangeAspect="1" noChangeArrowheads="1"/>
                      </wps:cNvSpPr>
                      <wps:spPr bwMode="auto">
                        <a:xfrm>
                          <a:off x="8798" y="-22"/>
                          <a:ext cx="3240" cy="16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B1A8CA" w14:textId="77777777" w:rsidR="0018356F" w:rsidRPr="006F476A" w:rsidRDefault="0018356F" w:rsidP="007A1923">
                            <w:pPr>
                              <w:rPr>
                                <w:color w:val="FFFFFF"/>
                              </w:rPr>
                            </w:pPr>
                            <w:r>
                              <w:rPr>
                                <w:color w:val="FFFFFF"/>
                              </w:rPr>
                              <w:t>východiska a priority návrhu státního rozpočtu, výdajový rámec</w:t>
                            </w:r>
                            <w:r w:rsidRPr="006F476A">
                              <w:rPr>
                                <w:color w:val="FFFFFF"/>
                              </w:rPr>
                              <w:t>,</w:t>
                            </w:r>
                            <w:r>
                              <w:rPr>
                                <w:color w:val="FFFFFF"/>
                              </w:rPr>
                              <w:t xml:space="preserve"> daňové a sociální příjmy, ostatní příjmy, mandatorní výdaje, kapitálové výdaje, běžné výdaje, finanční vztahy k rozpočtu EU a finančním mechanismům, východiska a priority návrhu státního rozpočtu, výdajový rámec</w:t>
                            </w:r>
                            <w:r w:rsidRPr="006F476A">
                              <w:rPr>
                                <w:color w:val="FFFFFF"/>
                              </w:rPr>
                              <w:t>,</w:t>
                            </w:r>
                            <w:r>
                              <w:rPr>
                                <w:color w:val="FFFFFF"/>
                              </w:rPr>
                              <w:t xml:space="preserve"> daňové a sociální příjmy, ostatní příjmy, mandatorní výdaje, kapitálové výdaje, běžné výdaje, finanční vztahy k rozpočtu EU a finančním mechanismům,</w:t>
                            </w:r>
                            <w:r w:rsidRPr="002C30E3">
                              <w:rPr>
                                <w:color w:val="FFFFFF"/>
                              </w:rPr>
                              <w:t xml:space="preserve"> </w:t>
                            </w:r>
                            <w:r>
                              <w:rPr>
                                <w:color w:val="FFFFFF"/>
                              </w:rPr>
                              <w:t>východiska a priority návrhu státního rozpočtu, výdajový rámec</w:t>
                            </w:r>
                            <w:r w:rsidRPr="006F476A">
                              <w:rPr>
                                <w:color w:val="FFFFFF"/>
                              </w:rPr>
                              <w:t>,</w:t>
                            </w:r>
                            <w:r>
                              <w:rPr>
                                <w:color w:val="FFFFFF"/>
                              </w:rPr>
                              <w:t xml:space="preserve"> daňové a sociální příjmy, ostatní příjmy, mandatorní výdaje, kapitálové výdaje, běžné výdaje, finanční vztahy k rozpočtu EU a finančním mechanismům,</w:t>
                            </w:r>
                            <w:r w:rsidRPr="002C30E3">
                              <w:rPr>
                                <w:color w:val="FFFFFF"/>
                              </w:rPr>
                              <w:t xml:space="preserve"> </w:t>
                            </w:r>
                            <w:r>
                              <w:rPr>
                                <w:color w:val="FFFFFF"/>
                              </w:rPr>
                              <w:t>východiska a priority návrhu státního rozpočtu, výdajový rámec</w:t>
                            </w:r>
                            <w:r w:rsidRPr="006F476A">
                              <w:rPr>
                                <w:color w:val="FFFFFF"/>
                              </w:rPr>
                              <w:t>,</w:t>
                            </w:r>
                            <w:r>
                              <w:rPr>
                                <w:color w:val="FFFFFF"/>
                              </w:rPr>
                              <w:t xml:space="preserve"> daňové a sociální příjmy, ostatní příjmy, mandatorní výdaje, kapitálové výdaje, běžné výdaje, finanční vztahy k rozpočtu EU a finančním mechanismům,</w:t>
                            </w:r>
                            <w:r w:rsidRPr="002C30E3">
                              <w:rPr>
                                <w:color w:val="FFFFFF"/>
                              </w:rPr>
                              <w:t xml:space="preserve"> </w:t>
                            </w:r>
                            <w:r>
                              <w:rPr>
                                <w:color w:val="FFFFFF"/>
                              </w:rPr>
                              <w:t>východiska a priority návrhu státního rozpočtu, výdajový rámec</w:t>
                            </w:r>
                            <w:r w:rsidRPr="006F476A">
                              <w:rPr>
                                <w:color w:val="FFFFFF"/>
                              </w:rPr>
                              <w:t>,</w:t>
                            </w:r>
                            <w:r>
                              <w:rPr>
                                <w:color w:val="FFFFFF"/>
                              </w:rPr>
                              <w:t xml:space="preserve"> daňové a sociální příjmy, ostatní příjmy, mandatorní výdaje, kapitálové výdaje, běžné výdaje, finanční vztahy k rozpočtu EU a finančním mechanismům,</w:t>
                            </w:r>
                            <w:r w:rsidRPr="002C30E3">
                              <w:rPr>
                                <w:color w:val="FFFFFF"/>
                              </w:rPr>
                              <w:t xml:space="preserve"> </w:t>
                            </w:r>
                            <w:r>
                              <w:rPr>
                                <w:color w:val="FFFFFF"/>
                              </w:rPr>
                              <w:t>východiska a priority návrhu státního rozpočtu, výdajový rámec</w:t>
                            </w:r>
                            <w:r w:rsidRPr="006F476A">
                              <w:rPr>
                                <w:color w:val="FFFFFF"/>
                              </w:rPr>
                              <w:t>,</w:t>
                            </w:r>
                            <w:r>
                              <w:rPr>
                                <w:color w:val="FFFFFF"/>
                              </w:rPr>
                              <w:t xml:space="preserve"> daňové a sociální příjmy, ostatní příjmy, mandatorní výdaje, kapitálové výdaje, běžné výdaje, finanční vztahy k rozpočtu EU a finančním mechanismům,</w:t>
                            </w:r>
                            <w:r w:rsidRPr="002C30E3">
                              <w:rPr>
                                <w:color w:val="FFFFFF"/>
                              </w:rPr>
                              <w:t xml:space="preserve"> </w:t>
                            </w:r>
                            <w:r>
                              <w:rPr>
                                <w:color w:val="FFFFFF"/>
                              </w:rPr>
                              <w:t>východiska a priority návrhu státního rozpočtu, výdajový rámec</w:t>
                            </w:r>
                            <w:r w:rsidRPr="006F476A">
                              <w:rPr>
                                <w:color w:val="FFFFFF"/>
                              </w:rPr>
                              <w:t>,</w:t>
                            </w:r>
                            <w:r>
                              <w:rPr>
                                <w:color w:val="FFFFFF"/>
                              </w:rPr>
                              <w:t xml:space="preserve"> daňové a sociální příjmy, ostatní příjmy, mandatorní výdaje, kapitálové výdaje, běžné výdaje, finanční vztahy k rozpočtu EU a finančním mechanismům,</w:t>
                            </w:r>
                            <w:r w:rsidRPr="002C30E3">
                              <w:rPr>
                                <w:color w:val="FFFFFF"/>
                              </w:rPr>
                              <w:t xml:space="preserve"> </w:t>
                            </w:r>
                            <w:r>
                              <w:rPr>
                                <w:color w:val="FFFFFF"/>
                              </w:rPr>
                              <w:t>východiska a priority návrhu státního rozpočtu, výdajový rámec</w:t>
                            </w:r>
                            <w:r w:rsidRPr="006F476A">
                              <w:rPr>
                                <w:color w:val="FFFFFF"/>
                              </w:rPr>
                              <w:t>,</w:t>
                            </w:r>
                            <w:r>
                              <w:rPr>
                                <w:color w:val="FFFFFF"/>
                              </w:rPr>
                              <w:t xml:space="preserve"> daňové a sociální příjmy, ostatní příjmy, mandatorní výdaje, kapitálové výdaje, běžné výdaje, finanční vztahy k rozpočtu EU a finančním mechanismům,</w:t>
                            </w:r>
                            <w:r w:rsidRPr="002C30E3">
                              <w:rPr>
                                <w:color w:val="FFFFFF"/>
                              </w:rPr>
                              <w:t xml:space="preserve"> </w:t>
                            </w:r>
                            <w:r>
                              <w:rPr>
                                <w:color w:val="FFFFFF"/>
                              </w:rPr>
                              <w:t>východiska a priority návrhu státního rozpočtu, výdajový rámec</w:t>
                            </w:r>
                            <w:r w:rsidRPr="006F476A">
                              <w:rPr>
                                <w:color w:val="FFFFFF"/>
                              </w:rPr>
                              <w:t>,</w:t>
                            </w:r>
                            <w:r>
                              <w:rPr>
                                <w:color w:val="FFFFFF"/>
                              </w:rPr>
                              <w:t xml:space="preserve"> daňové a sociální příjmy, ostatní příjmy, mandatorní výdaje, kapitálové výdaje, běžné výdaje, finanční vztahy k rozpočtu EU a finančním mechanismům,</w:t>
                            </w:r>
                            <w:r w:rsidRPr="002C30E3">
                              <w:rPr>
                                <w:color w:val="FFFFFF"/>
                              </w:rPr>
                              <w:t xml:space="preserve"> </w:t>
                            </w:r>
                            <w:r>
                              <w:rPr>
                                <w:color w:val="FFFFFF"/>
                              </w:rPr>
                              <w:t>východiska a priority návrhu státního rozpočtu, výdajový rámec</w:t>
                            </w:r>
                            <w:r w:rsidRPr="006F476A">
                              <w:rPr>
                                <w:color w:val="FFFFFF"/>
                              </w:rPr>
                              <w:t>,</w:t>
                            </w:r>
                            <w:r>
                              <w:rPr>
                                <w:color w:val="FFFFFF"/>
                              </w:rPr>
                              <w:t xml:space="preserve"> daňové a sociální příjmy, ostatní příjmy, mandatorní výdaje, kapitálové výdaje, běžné výdaje, finanční vztahy k rozpočtu EU a finančním mechanismům,</w:t>
                            </w:r>
                            <w:r w:rsidRPr="002C30E3">
                              <w:rPr>
                                <w:color w:val="FFFFFF"/>
                              </w:rPr>
                              <w:t xml:space="preserve"> </w:t>
                            </w:r>
                            <w:r>
                              <w:rPr>
                                <w:color w:val="FFFFFF"/>
                              </w:rPr>
                              <w:t>východiska a priority návrhu státního rozpočtu, výdajový rámec</w:t>
                            </w:r>
                            <w:r w:rsidRPr="006F476A">
                              <w:rPr>
                                <w:color w:val="FFFFFF"/>
                              </w:rPr>
                              <w:t>,</w:t>
                            </w:r>
                            <w:r>
                              <w:rPr>
                                <w:color w:val="FFFFFF"/>
                              </w:rPr>
                              <w:t xml:space="preserve"> daňové a sociální příjmy, ostatní příjmy, mandatorní výdaje, kapitálové výdaje, běžné výdaje, finanční vztahy k rozpočtu EU a finančním mechanismům,</w:t>
                            </w:r>
                            <w:r w:rsidRPr="002C30E3">
                              <w:rPr>
                                <w:color w:val="FFFFFF"/>
                              </w:rPr>
                              <w:t xml:space="preserve"> </w:t>
                            </w:r>
                            <w:r>
                              <w:rPr>
                                <w:color w:val="FFFFFF"/>
                              </w:rPr>
                              <w:t>východiska a priority návrhu státního rozpočtu, výdajový rámec</w:t>
                            </w:r>
                            <w:r w:rsidRPr="006F476A">
                              <w:rPr>
                                <w:color w:val="FFFFFF"/>
                              </w:rPr>
                              <w:t>,</w:t>
                            </w:r>
                            <w:r>
                              <w:rPr>
                                <w:color w:val="FFFFFF"/>
                              </w:rPr>
                              <w:t xml:space="preserve"> daňové a sociální příjmy, ostatní příjmy, mandatorní výdaje, kapitálové výdaje, běžné výdaje, finanční vztahy k rozpočtu EU a finančním mechanismům,</w:t>
                            </w:r>
                          </w:p>
                        </w:txbxContent>
                      </wps:txbx>
                      <wps:bodyPr rot="0" vert="vert" wrap="square" lIns="9000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7C8E56" id="Skupina 5" o:spid="_x0000_s1027" style="position:absolute;left:0;text-align:left;margin-left:5in;margin-top:-790.25pt;width:185.2pt;height:846.95pt;z-index:-251661312" coordorigin="8334,-41" coordsize="3704,169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">
              <v:rect id="Rectangle 25" o:spid="_x0000_s1028" alt="BlueBar" style="position:absolute;left:1674;top:6619;width:16920;height:360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" fillcolor="#995979" stroked="f">
                <v:fill color2="#ebdee4" rotate="t" focus="100%" type="gradient"/>
                <o:lock v:ext="edit" aspectratio="t"/>
              </v:rect>
              <v:shape id="Text Box 26" o:spid="_x0000_s1029" type="#_x0000_t202" style="position:absolute;left:8798;top:-22;width:3240;height:169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" filled="f" stroked="f">
                <o:lock v:ext="edit" aspectratio="t"/>
                <v:textbox style="layout-flow:vertical" inset="2.5mm">
                  <w:txbxContent>
                    <w:p w14:paraId="41B1A8CA" w14:textId="77777777" w:rsidR="0018356F" w:rsidRPr="006F476A" w:rsidRDefault="0018356F" w:rsidP="007A1923">
                      <w:pPr>
                        <w:rPr>
                          <w:color w:val="FFFFFF"/>
                        </w:rPr>
                      </w:pPr>
                      <w:r>
                        <w:rPr>
                          <w:color w:val="FFFFFF"/>
                        </w:rPr>
                        <w:t>východiska a priority návrhu státního rozpočtu, výdajový rámec</w:t>
                      </w:r>
                      <w:r w:rsidRPr="006F476A">
                        <w:rPr>
                          <w:color w:val="FFFFFF"/>
                        </w:rPr>
                        <w:t>,</w:t>
                      </w:r>
                      <w:r>
                        <w:rPr>
                          <w:color w:val="FFFFFF"/>
                        </w:rPr>
                        <w:t xml:space="preserve"> daňové a sociální příjmy, ostatní příjmy, mandatorní výdaje, kapitálové výdaje, běžné výdaje, finanční vztahy k rozpočtu EU a finančním mechanismům, východiska a priority návrhu státního rozpočtu, výdajový rámec</w:t>
                      </w:r>
                      <w:r w:rsidRPr="006F476A">
                        <w:rPr>
                          <w:color w:val="FFFFFF"/>
                        </w:rPr>
                        <w:t>,</w:t>
                      </w:r>
                      <w:r>
                        <w:rPr>
                          <w:color w:val="FFFFFF"/>
                        </w:rPr>
                        <w:t xml:space="preserve"> daňové a sociální příjmy, ostatní příjmy, mandatorní výdaje, kapitálové výdaje, běžné výdaje, finanční vztahy k rozpočtu EU a finančním mechanismům,</w:t>
                      </w:r>
                      <w:r w:rsidRPr="002C30E3">
                        <w:rPr>
                          <w:color w:val="FFFFFF"/>
                        </w:rPr>
                        <w:t xml:space="preserve"> </w:t>
                      </w:r>
                      <w:r>
                        <w:rPr>
                          <w:color w:val="FFFFFF"/>
                        </w:rPr>
                        <w:t>východiska a priority návrhu státního rozpočtu, výdajový rámec</w:t>
                      </w:r>
                      <w:r w:rsidRPr="006F476A">
                        <w:rPr>
                          <w:color w:val="FFFFFF"/>
                        </w:rPr>
                        <w:t>,</w:t>
                      </w:r>
                      <w:r>
                        <w:rPr>
                          <w:color w:val="FFFFFF"/>
                        </w:rPr>
                        <w:t xml:space="preserve"> daňové a sociální příjmy, ostatní příjmy, mandatorní výdaje, kapitálové výdaje, běžné výdaje, finanční vztahy k rozpočtu EU a finančním mechanismům,</w:t>
                      </w:r>
                      <w:r w:rsidRPr="002C30E3">
                        <w:rPr>
                          <w:color w:val="FFFFFF"/>
                        </w:rPr>
                        <w:t xml:space="preserve"> </w:t>
                      </w:r>
                      <w:r>
                        <w:rPr>
                          <w:color w:val="FFFFFF"/>
                        </w:rPr>
                        <w:t>východiska a priority návrhu státního rozpočtu, výdajový rámec</w:t>
                      </w:r>
                      <w:r w:rsidRPr="006F476A">
                        <w:rPr>
                          <w:color w:val="FFFFFF"/>
                        </w:rPr>
                        <w:t>,</w:t>
                      </w:r>
                      <w:r>
                        <w:rPr>
                          <w:color w:val="FFFFFF"/>
                        </w:rPr>
                        <w:t xml:space="preserve"> daňové a sociální příjmy, ostatní příjmy, mandatorní výdaje, kapitálové výdaje, běžné výdaje, finanční vztahy k rozpočtu EU a finančním mechanismům,</w:t>
                      </w:r>
                      <w:r w:rsidRPr="002C30E3">
                        <w:rPr>
                          <w:color w:val="FFFFFF"/>
                        </w:rPr>
                        <w:t xml:space="preserve"> </w:t>
                      </w:r>
                      <w:r>
                        <w:rPr>
                          <w:color w:val="FFFFFF"/>
                        </w:rPr>
                        <w:t>východiska a priority návrhu státního rozpočtu, výdajový rámec</w:t>
                      </w:r>
                      <w:r w:rsidRPr="006F476A">
                        <w:rPr>
                          <w:color w:val="FFFFFF"/>
                        </w:rPr>
                        <w:t>,</w:t>
                      </w:r>
                      <w:r>
                        <w:rPr>
                          <w:color w:val="FFFFFF"/>
                        </w:rPr>
                        <w:t xml:space="preserve"> daňové a sociální příjmy, ostatní příjmy, mandatorní výdaje, kapitálové výdaje, běžné výdaje, finanční vztahy k rozpočtu EU a finančním mechanismům,</w:t>
                      </w:r>
                      <w:r w:rsidRPr="002C30E3">
                        <w:rPr>
                          <w:color w:val="FFFFFF"/>
                        </w:rPr>
                        <w:t xml:space="preserve"> </w:t>
                      </w:r>
                      <w:r>
                        <w:rPr>
                          <w:color w:val="FFFFFF"/>
                        </w:rPr>
                        <w:t>východiska a priority návrhu státního rozpočtu, výdajový rámec</w:t>
                      </w:r>
                      <w:r w:rsidRPr="006F476A">
                        <w:rPr>
                          <w:color w:val="FFFFFF"/>
                        </w:rPr>
                        <w:t>,</w:t>
                      </w:r>
                      <w:r>
                        <w:rPr>
                          <w:color w:val="FFFFFF"/>
                        </w:rPr>
                        <w:t xml:space="preserve"> daňové a sociální příjmy, ostatní příjmy, mandatorní výdaje, kapitálové výdaje, běžné výdaje, finanční vztahy k rozpočtu EU a finančním mechanismům,</w:t>
                      </w:r>
                      <w:r w:rsidRPr="002C30E3">
                        <w:rPr>
                          <w:color w:val="FFFFFF"/>
                        </w:rPr>
                        <w:t xml:space="preserve"> </w:t>
                      </w:r>
                      <w:r>
                        <w:rPr>
                          <w:color w:val="FFFFFF"/>
                        </w:rPr>
                        <w:t>východiska a priority návrhu státního rozpočtu, výdajový rámec</w:t>
                      </w:r>
                      <w:r w:rsidRPr="006F476A">
                        <w:rPr>
                          <w:color w:val="FFFFFF"/>
                        </w:rPr>
                        <w:t>,</w:t>
                      </w:r>
                      <w:r>
                        <w:rPr>
                          <w:color w:val="FFFFFF"/>
                        </w:rPr>
                        <w:t xml:space="preserve"> daňové a sociální příjmy, ostatní příjmy, mandatorní výdaje, kapitálové výdaje, běžné výdaje, finanční vztahy k rozpočtu EU a finančním mechanismům,</w:t>
                      </w:r>
                      <w:r w:rsidRPr="002C30E3">
                        <w:rPr>
                          <w:color w:val="FFFFFF"/>
                        </w:rPr>
                        <w:t xml:space="preserve"> </w:t>
                      </w:r>
                      <w:r>
                        <w:rPr>
                          <w:color w:val="FFFFFF"/>
                        </w:rPr>
                        <w:t>východiska a priority návrhu státního rozpočtu, výdajový rámec</w:t>
                      </w:r>
                      <w:r w:rsidRPr="006F476A">
                        <w:rPr>
                          <w:color w:val="FFFFFF"/>
                        </w:rPr>
                        <w:t>,</w:t>
                      </w:r>
                      <w:r>
                        <w:rPr>
                          <w:color w:val="FFFFFF"/>
                        </w:rPr>
                        <w:t xml:space="preserve"> daňové a sociální příjmy, ostatní příjmy, mandatorní výdaje, kapitálové výdaje, běžné výdaje, finanční vztahy k rozpočtu EU a finančním mechanismům,</w:t>
                      </w:r>
                      <w:r w:rsidRPr="002C30E3">
                        <w:rPr>
                          <w:color w:val="FFFFFF"/>
                        </w:rPr>
                        <w:t xml:space="preserve"> </w:t>
                      </w:r>
                      <w:r>
                        <w:rPr>
                          <w:color w:val="FFFFFF"/>
                        </w:rPr>
                        <w:t>východiska a priority návrhu státního rozpočtu, výdajový rámec</w:t>
                      </w:r>
                      <w:r w:rsidRPr="006F476A">
                        <w:rPr>
                          <w:color w:val="FFFFFF"/>
                        </w:rPr>
                        <w:t>,</w:t>
                      </w:r>
                      <w:r>
                        <w:rPr>
                          <w:color w:val="FFFFFF"/>
                        </w:rPr>
                        <w:t xml:space="preserve"> daňové a sociální příjmy, ostatní příjmy, mandatorní výdaje, kapitálové výdaje, běžné výdaje, finanční vztahy k rozpočtu EU a finančním mechanismům,</w:t>
                      </w:r>
                      <w:r w:rsidRPr="002C30E3">
                        <w:rPr>
                          <w:color w:val="FFFFFF"/>
                        </w:rPr>
                        <w:t xml:space="preserve"> </w:t>
                      </w:r>
                      <w:r>
                        <w:rPr>
                          <w:color w:val="FFFFFF"/>
                        </w:rPr>
                        <w:t>východiska a priority návrhu státního rozpočtu, výdajový rámec</w:t>
                      </w:r>
                      <w:r w:rsidRPr="006F476A">
                        <w:rPr>
                          <w:color w:val="FFFFFF"/>
                        </w:rPr>
                        <w:t>,</w:t>
                      </w:r>
                      <w:r>
                        <w:rPr>
                          <w:color w:val="FFFFFF"/>
                        </w:rPr>
                        <w:t xml:space="preserve"> daňové a sociální příjmy, ostatní příjmy, mandatorní výdaje, kapitálové výdaje, běžné výdaje, finanční vztahy k rozpočtu EU a finančním mechanismům,</w:t>
                      </w:r>
                      <w:r w:rsidRPr="002C30E3">
                        <w:rPr>
                          <w:color w:val="FFFFFF"/>
                        </w:rPr>
                        <w:t xml:space="preserve"> </w:t>
                      </w:r>
                      <w:r>
                        <w:rPr>
                          <w:color w:val="FFFFFF"/>
                        </w:rPr>
                        <w:t>východiska a priority návrhu státního rozpočtu, výdajový rámec</w:t>
                      </w:r>
                      <w:r w:rsidRPr="006F476A">
                        <w:rPr>
                          <w:color w:val="FFFFFF"/>
                        </w:rPr>
                        <w:t>,</w:t>
                      </w:r>
                      <w:r>
                        <w:rPr>
                          <w:color w:val="FFFFFF"/>
                        </w:rPr>
                        <w:t xml:space="preserve"> daňové a sociální příjmy, ostatní příjmy, mandatorní výdaje, kapitálové výdaje, běžné výdaje, finanční vztahy k rozpočtu EU a finančním mechanismům,</w:t>
                      </w:r>
                      <w:r w:rsidRPr="002C30E3">
                        <w:rPr>
                          <w:color w:val="FFFFFF"/>
                        </w:rPr>
                        <w:t xml:space="preserve"> </w:t>
                      </w:r>
                      <w:r>
                        <w:rPr>
                          <w:color w:val="FFFFFF"/>
                        </w:rPr>
                        <w:t>východiska a priority návrhu státního rozpočtu, výdajový rámec</w:t>
                      </w:r>
                      <w:r w:rsidRPr="006F476A">
                        <w:rPr>
                          <w:color w:val="FFFFFF"/>
                        </w:rPr>
                        <w:t>,</w:t>
                      </w:r>
                      <w:r>
                        <w:rPr>
                          <w:color w:val="FFFFFF"/>
                        </w:rPr>
                        <w:t xml:space="preserve"> daňové a sociální příjmy, ostatní příjmy, mandatorní výdaje, kapitálové výdaje, běžné výdaje, finanční vztahy k rozpočtu EU a finančním mechanismům,</w:t>
                      </w:r>
                    </w:p>
                  </w:txbxContent>
                </v:textbox>
              </v:shape>
            </v:group>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42" w:rightFromText="142" w:vertAnchor="text" w:horzAnchor="page" w:tblpX="568" w:tblpY="1"/>
      <w:tblOverlap w:val="never"/>
      <w:tblW w:w="1730" w:type="pct"/>
      <w:tblBorders>
        <w:top w:val="single" w:sz="2" w:space="0" w:color="FFFFFF"/>
        <w:left w:val="single" w:sz="2" w:space="0" w:color="FFFFFF"/>
        <w:bottom w:val="single" w:sz="2" w:space="0" w:color="FFFFFF"/>
        <w:right w:val="single" w:sz="2" w:space="0" w:color="FFFFFF"/>
        <w:insideH w:val="single" w:sz="12" w:space="0" w:color="999999"/>
        <w:insideV w:val="single" w:sz="12" w:space="0" w:color="999999"/>
      </w:tblBorders>
      <w:tblLook w:val="01E0" w:firstRow="1" w:lastRow="1" w:firstColumn="1" w:lastColumn="1" w:noHBand="0" w:noVBand="0"/>
    </w:tblPr>
    <w:tblGrid>
      <w:gridCol w:w="633"/>
      <w:gridCol w:w="2700"/>
    </w:tblGrid>
    <w:tr w:rsidR="00D706C3" w:rsidRPr="00175F17" w14:paraId="63998C51" w14:textId="77777777" w:rsidTr="007A1923">
      <w:trPr>
        <w:cantSplit/>
      </w:trPr>
      <w:tc>
        <w:tcPr>
          <w:tcW w:w="950" w:type="pct"/>
          <w:shd w:val="clear" w:color="auto" w:fill="auto"/>
          <w:vAlign w:val="center"/>
        </w:tcPr>
        <w:p w14:paraId="7DE76A90" w14:textId="77777777" w:rsidR="00D706C3" w:rsidRPr="00175F17" w:rsidRDefault="00D706C3" w:rsidP="007A1923">
          <w:pPr>
            <w:spacing w:after="0"/>
            <w:jc w:val="right"/>
            <w:rPr>
              <w:color w:val="999999"/>
              <w:sz w:val="16"/>
              <w:szCs w:val="16"/>
            </w:rPr>
          </w:pPr>
          <w:r>
            <w:rPr>
              <w:rStyle w:val="slostrnky"/>
              <w:sz w:val="32"/>
              <w:szCs w:val="32"/>
            </w:rPr>
            <w:fldChar w:fldCharType="begin"/>
          </w:r>
          <w:r>
            <w:rPr>
              <w:rStyle w:val="slostrnky"/>
              <w:sz w:val="32"/>
              <w:szCs w:val="32"/>
            </w:rPr>
            <w:instrText xml:space="preserve"> PAGE  </w:instrText>
          </w:r>
          <w:r>
            <w:rPr>
              <w:rStyle w:val="slostrnky"/>
              <w:sz w:val="32"/>
              <w:szCs w:val="32"/>
            </w:rPr>
            <w:fldChar w:fldCharType="separate"/>
          </w:r>
          <w:r>
            <w:rPr>
              <w:rStyle w:val="slostrnky"/>
              <w:noProof/>
              <w:sz w:val="32"/>
              <w:szCs w:val="32"/>
            </w:rPr>
            <w:t>8</w:t>
          </w:r>
          <w:r>
            <w:rPr>
              <w:rStyle w:val="slostrnky"/>
              <w:sz w:val="32"/>
              <w:szCs w:val="32"/>
            </w:rPr>
            <w:fldChar w:fldCharType="end"/>
          </w:r>
        </w:p>
      </w:tc>
      <w:tc>
        <w:tcPr>
          <w:tcW w:w="4050" w:type="pct"/>
          <w:shd w:val="clear" w:color="auto" w:fill="auto"/>
          <w:vAlign w:val="center"/>
        </w:tcPr>
        <w:p w14:paraId="31F01D1C" w14:textId="77777777" w:rsidR="00D706C3" w:rsidRPr="00175F17" w:rsidRDefault="00D706C3" w:rsidP="007A1923">
          <w:pPr>
            <w:suppressAutoHyphens/>
            <w:spacing w:after="0"/>
            <w:jc w:val="left"/>
            <w:rPr>
              <w:color w:val="999999"/>
              <w:sz w:val="32"/>
              <w:szCs w:val="32"/>
            </w:rPr>
          </w:pPr>
          <w:r w:rsidRPr="0017797C">
            <w:rPr>
              <w:b/>
              <w:color w:val="999999"/>
              <w:sz w:val="16"/>
              <w:szCs w:val="16"/>
            </w:rPr>
            <w:t>Zpráva ke státnímu rozpočtu České republiky na rok 2019</w:t>
          </w:r>
        </w:p>
      </w:tc>
    </w:tr>
  </w:tbl>
  <w:p w14:paraId="14A8F4C4" w14:textId="77777777" w:rsidR="00D706C3" w:rsidRPr="00A12A05" w:rsidRDefault="00D706C3" w:rsidP="007A1923">
    <w:pPr>
      <w:pStyle w:val="Zpat"/>
    </w:pPr>
  </w:p>
  <w:p w14:paraId="30C2C7EA" w14:textId="77777777" w:rsidR="00D706C3" w:rsidRDefault="00D706C3"/>
  <w:p w14:paraId="3B7C2523" w14:textId="77777777" w:rsidR="00D706C3" w:rsidRDefault="00D706C3"/>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43E065" w14:textId="77777777" w:rsidR="0018356F" w:rsidRPr="00A12A05" w:rsidRDefault="0018356F" w:rsidP="007A1923">
    <w:pPr>
      <w:pStyle w:val="Zpat"/>
    </w:pPr>
    <w:r>
      <w:rPr>
        <w:noProof/>
      </w:rPr>
      <mc:AlternateContent>
        <mc:Choice Requires="wps">
          <w:drawing>
            <wp:anchor distT="0" distB="0" distL="114300" distR="114300" simplePos="0" relativeHeight="251661312" behindDoc="0" locked="0" layoutInCell="1" allowOverlap="1" wp14:anchorId="12EBFB46" wp14:editId="02136F7F">
              <wp:simplePos x="0" y="0"/>
              <wp:positionH relativeFrom="column">
                <wp:posOffset>-113665</wp:posOffset>
              </wp:positionH>
              <wp:positionV relativeFrom="paragraph">
                <wp:posOffset>-1175385</wp:posOffset>
              </wp:positionV>
              <wp:extent cx="2743200" cy="1257300"/>
              <wp:effectExtent l="0" t="0" r="0" b="0"/>
              <wp:wrapNone/>
              <wp:docPr id="12" name="Textové pol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7D8401" w14:textId="77777777" w:rsidR="0018356F" w:rsidRPr="000F3D4A" w:rsidRDefault="0018356F" w:rsidP="007A1923">
                          <w:pPr>
                            <w:spacing w:after="0"/>
                            <w:jc w:val="left"/>
                            <w:rPr>
                              <w:b/>
                              <w:sz w:val="24"/>
                            </w:rPr>
                          </w:pPr>
                          <w:r w:rsidRPr="000F3D4A">
                            <w:rPr>
                              <w:b/>
                              <w:sz w:val="24"/>
                            </w:rPr>
                            <w:t>Ministerstvo financí České republiky</w:t>
                          </w:r>
                        </w:p>
                        <w:p w14:paraId="5C3DD1F5" w14:textId="77777777" w:rsidR="0018356F" w:rsidRPr="000F3D4A" w:rsidRDefault="0018356F" w:rsidP="007A1923">
                          <w:pPr>
                            <w:spacing w:after="0"/>
                            <w:jc w:val="left"/>
                            <w:rPr>
                              <w:sz w:val="24"/>
                            </w:rPr>
                          </w:pPr>
                          <w:r w:rsidRPr="000F3D4A">
                            <w:rPr>
                              <w:sz w:val="24"/>
                            </w:rPr>
                            <w:t>Letenská 15</w:t>
                          </w:r>
                        </w:p>
                        <w:p w14:paraId="4AAC9BAA" w14:textId="77777777" w:rsidR="0018356F" w:rsidRPr="000F3D4A" w:rsidRDefault="0018356F" w:rsidP="007A1923">
                          <w:pPr>
                            <w:spacing w:after="0"/>
                            <w:jc w:val="left"/>
                            <w:rPr>
                              <w:sz w:val="24"/>
                            </w:rPr>
                          </w:pPr>
                          <w:r w:rsidRPr="000F3D4A">
                            <w:rPr>
                              <w:sz w:val="24"/>
                            </w:rPr>
                            <w:t>118 10 Praha 1</w:t>
                          </w:r>
                        </w:p>
                        <w:p w14:paraId="5ADCA5AB" w14:textId="77777777" w:rsidR="0018356F" w:rsidRPr="000F3D4A" w:rsidRDefault="0018356F" w:rsidP="007A1923">
                          <w:pPr>
                            <w:spacing w:before="240" w:after="0"/>
                            <w:rPr>
                              <w:sz w:val="24"/>
                            </w:rPr>
                          </w:pPr>
                          <w:r w:rsidRPr="000F3D4A">
                            <w:rPr>
                              <w:sz w:val="24"/>
                            </w:rPr>
                            <w:t>http://www.mfcr.cz</w:t>
                          </w:r>
                        </w:p>
                      </w:txbxContent>
                    </wps:txbx>
                    <wps:bodyPr rot="0" vert="horz" wrap="square" lIns="91440" tIns="9000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EBFB46" id="_x0000_t202" coordsize="21600,21600" o:spt="202" path="m,l,21600r21600,l21600,xe">
              <v:stroke joinstyle="miter"/>
              <v:path gradientshapeok="t" o:connecttype="rect"/>
            </v:shapetype>
            <v:shape id="Textové pole 12" o:spid="_x0000_s1030" type="#_x0000_t202" style="position:absolute;left:0;text-align:left;margin-left:-8.95pt;margin-top:-92.55pt;width:3in;height:9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" filled="f" stroked="f">
              <v:textbox inset=",2.5mm,,0">
                <w:txbxContent>
                  <w:p w14:paraId="1A7D8401" w14:textId="77777777" w:rsidR="0018356F" w:rsidRPr="000F3D4A" w:rsidRDefault="0018356F" w:rsidP="007A1923">
                    <w:pPr>
                      <w:spacing w:after="0"/>
                      <w:jc w:val="left"/>
                      <w:rPr>
                        <w:b/>
                        <w:sz w:val="24"/>
                      </w:rPr>
                    </w:pPr>
                    <w:r w:rsidRPr="000F3D4A">
                      <w:rPr>
                        <w:b/>
                        <w:sz w:val="24"/>
                      </w:rPr>
                      <w:t>Ministerstvo financí České republiky</w:t>
                    </w:r>
                  </w:p>
                  <w:p w14:paraId="5C3DD1F5" w14:textId="77777777" w:rsidR="0018356F" w:rsidRPr="000F3D4A" w:rsidRDefault="0018356F" w:rsidP="007A1923">
                    <w:pPr>
                      <w:spacing w:after="0"/>
                      <w:jc w:val="left"/>
                      <w:rPr>
                        <w:sz w:val="24"/>
                      </w:rPr>
                    </w:pPr>
                    <w:r w:rsidRPr="000F3D4A">
                      <w:rPr>
                        <w:sz w:val="24"/>
                      </w:rPr>
                      <w:t>Letenská 15</w:t>
                    </w:r>
                  </w:p>
                  <w:p w14:paraId="4AAC9BAA" w14:textId="77777777" w:rsidR="0018356F" w:rsidRPr="000F3D4A" w:rsidRDefault="0018356F" w:rsidP="007A1923">
                    <w:pPr>
                      <w:spacing w:after="0"/>
                      <w:jc w:val="left"/>
                      <w:rPr>
                        <w:sz w:val="24"/>
                      </w:rPr>
                    </w:pPr>
                    <w:r w:rsidRPr="000F3D4A">
                      <w:rPr>
                        <w:sz w:val="24"/>
                      </w:rPr>
                      <w:t>118 10 Praha 1</w:t>
                    </w:r>
                  </w:p>
                  <w:p w14:paraId="5ADCA5AB" w14:textId="77777777" w:rsidR="0018356F" w:rsidRPr="000F3D4A" w:rsidRDefault="0018356F" w:rsidP="007A1923">
                    <w:pPr>
                      <w:spacing w:before="240" w:after="0"/>
                      <w:rPr>
                        <w:sz w:val="24"/>
                      </w:rPr>
                    </w:pPr>
                    <w:r w:rsidRPr="000F3D4A">
                      <w:rPr>
                        <w:sz w:val="24"/>
                      </w:rPr>
                      <w:t>http://www.mfcr.cz</w:t>
                    </w:r>
                  </w:p>
                </w:txbxContent>
              </v:textbox>
            </v:shape>
          </w:pict>
        </mc:Fallback>
      </mc:AlternateContent>
    </w:r>
    <w:r>
      <w:rPr>
        <w:noProof/>
      </w:rPr>
      <mc:AlternateContent>
        <mc:Choice Requires="wpg">
          <w:drawing>
            <wp:anchor distT="0" distB="0" distL="114300" distR="114300" simplePos="0" relativeHeight="251659264" behindDoc="1" locked="0" layoutInCell="1" allowOverlap="1" wp14:anchorId="3EA8FE0E" wp14:editId="74272B4A">
              <wp:simplePos x="0" y="0"/>
              <wp:positionH relativeFrom="column">
                <wp:posOffset>4572000</wp:posOffset>
              </wp:positionH>
              <wp:positionV relativeFrom="paragraph">
                <wp:posOffset>-10036175</wp:posOffset>
              </wp:positionV>
              <wp:extent cx="2352040" cy="10756265"/>
              <wp:effectExtent l="0" t="3175" r="635" b="3810"/>
              <wp:wrapNone/>
              <wp:docPr id="13" name="Skupina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52040" cy="10756265"/>
                        <a:chOff x="8334" y="-41"/>
                        <a:chExt cx="3704" cy="16939"/>
                      </a:xfrm>
                    </wpg:grpSpPr>
                    <wps:wsp>
                      <wps:cNvPr id="14" name="Rectangle 25" descr="BlueBar"/>
                      <wps:cNvSpPr>
                        <a:spLocks noChangeAspect="1" noChangeArrowheads="1"/>
                      </wps:cNvSpPr>
                      <wps:spPr bwMode="auto">
                        <a:xfrm rot="5400000">
                          <a:off x="1674" y="6619"/>
                          <a:ext cx="16920" cy="3600"/>
                        </a:xfrm>
                        <a:prstGeom prst="rect">
                          <a:avLst/>
                        </a:prstGeom>
                        <a:gradFill rotWithShape="1">
                          <a:gsLst>
                            <a:gs pos="0">
                              <a:srgbClr val="995979"/>
                            </a:gs>
                            <a:gs pos="100000">
                              <a:srgbClr val="995979">
                                <a:gamma/>
                                <a:tint val="20000"/>
                                <a:invGamma/>
                              </a:srgbClr>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Text Box 26"/>
                      <wps:cNvSpPr txBox="1">
                        <a:spLocks noChangeAspect="1" noChangeArrowheads="1"/>
                      </wps:cNvSpPr>
                      <wps:spPr bwMode="auto">
                        <a:xfrm>
                          <a:off x="8798" y="-22"/>
                          <a:ext cx="3240" cy="16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892186" w14:textId="77777777" w:rsidR="0018356F" w:rsidRPr="006F476A" w:rsidRDefault="0018356F" w:rsidP="007A1923">
                            <w:pPr>
                              <w:rPr>
                                <w:color w:val="FFFFFF"/>
                              </w:rPr>
                            </w:pPr>
                            <w:r>
                              <w:rPr>
                                <w:color w:val="FFFFFF"/>
                              </w:rPr>
                              <w:t>východiska a priority návrhu státního rozpočtu, výdajový rámec</w:t>
                            </w:r>
                            <w:r w:rsidRPr="006F476A">
                              <w:rPr>
                                <w:color w:val="FFFFFF"/>
                              </w:rPr>
                              <w:t>,</w:t>
                            </w:r>
                            <w:r>
                              <w:rPr>
                                <w:color w:val="FFFFFF"/>
                              </w:rPr>
                              <w:t xml:space="preserve"> daňové a sociální příjmy, ostatní příjmy, mandatorní výdaje, kapitálové výdaje, běžné výdaje, finanční vztahy k rozpočtu EU a finančním mechanismům, východiska a priority návrhu státního rozpočtu, výdajový rámec</w:t>
                            </w:r>
                            <w:r w:rsidRPr="006F476A">
                              <w:rPr>
                                <w:color w:val="FFFFFF"/>
                              </w:rPr>
                              <w:t>,</w:t>
                            </w:r>
                            <w:r>
                              <w:rPr>
                                <w:color w:val="FFFFFF"/>
                              </w:rPr>
                              <w:t xml:space="preserve"> daňové a sociální příjmy, ostatní příjmy, mandatorní výdaje, kapitálové výdaje, běžné výdaje, finanční vztahy k rozpočtu EU a finančním mechanismům,</w:t>
                            </w:r>
                            <w:r w:rsidRPr="002C30E3">
                              <w:rPr>
                                <w:color w:val="FFFFFF"/>
                              </w:rPr>
                              <w:t xml:space="preserve"> </w:t>
                            </w:r>
                            <w:r>
                              <w:rPr>
                                <w:color w:val="FFFFFF"/>
                              </w:rPr>
                              <w:t>východiska a priority návrhu státního rozpočtu, výdajový rámec</w:t>
                            </w:r>
                            <w:r w:rsidRPr="006F476A">
                              <w:rPr>
                                <w:color w:val="FFFFFF"/>
                              </w:rPr>
                              <w:t>,</w:t>
                            </w:r>
                            <w:r>
                              <w:rPr>
                                <w:color w:val="FFFFFF"/>
                              </w:rPr>
                              <w:t xml:space="preserve"> daňové a sociální příjmy, ostatní příjmy, mandatorní výdaje, kapitálové výdaje, běžné výdaje, finanční vztahy k rozpočtu EU a finančním mechanismům,</w:t>
                            </w:r>
                            <w:r w:rsidRPr="002C30E3">
                              <w:rPr>
                                <w:color w:val="FFFFFF"/>
                              </w:rPr>
                              <w:t xml:space="preserve"> </w:t>
                            </w:r>
                            <w:r>
                              <w:rPr>
                                <w:color w:val="FFFFFF"/>
                              </w:rPr>
                              <w:t>východiska a priority návrhu státního rozpočtu, výdajový rámec</w:t>
                            </w:r>
                            <w:r w:rsidRPr="006F476A">
                              <w:rPr>
                                <w:color w:val="FFFFFF"/>
                              </w:rPr>
                              <w:t>,</w:t>
                            </w:r>
                            <w:r>
                              <w:rPr>
                                <w:color w:val="FFFFFF"/>
                              </w:rPr>
                              <w:t xml:space="preserve"> daňové a sociální příjmy, ostatní příjmy, mandatorní výdaje, kapitálové výdaje, běžné výdaje, finanční vztahy k rozpočtu EU a finančním mechanismům,</w:t>
                            </w:r>
                            <w:r w:rsidRPr="002C30E3">
                              <w:rPr>
                                <w:color w:val="FFFFFF"/>
                              </w:rPr>
                              <w:t xml:space="preserve"> </w:t>
                            </w:r>
                            <w:r>
                              <w:rPr>
                                <w:color w:val="FFFFFF"/>
                              </w:rPr>
                              <w:t>východiska a priority návrhu státního rozpočtu, výdajový rámec</w:t>
                            </w:r>
                            <w:r w:rsidRPr="006F476A">
                              <w:rPr>
                                <w:color w:val="FFFFFF"/>
                              </w:rPr>
                              <w:t>,</w:t>
                            </w:r>
                            <w:r>
                              <w:rPr>
                                <w:color w:val="FFFFFF"/>
                              </w:rPr>
                              <w:t xml:space="preserve"> daňové a sociální příjmy, ostatní příjmy, mandatorní výdaje, kapitálové výdaje, běžné výdaje, finanční vztahy k rozpočtu EU a finančním mechanismům,</w:t>
                            </w:r>
                            <w:r w:rsidRPr="002C30E3">
                              <w:rPr>
                                <w:color w:val="FFFFFF"/>
                              </w:rPr>
                              <w:t xml:space="preserve"> </w:t>
                            </w:r>
                            <w:r>
                              <w:rPr>
                                <w:color w:val="FFFFFF"/>
                              </w:rPr>
                              <w:t>východiska a priority návrhu státního rozpočtu, výdajový rámec</w:t>
                            </w:r>
                            <w:r w:rsidRPr="006F476A">
                              <w:rPr>
                                <w:color w:val="FFFFFF"/>
                              </w:rPr>
                              <w:t>,</w:t>
                            </w:r>
                            <w:r>
                              <w:rPr>
                                <w:color w:val="FFFFFF"/>
                              </w:rPr>
                              <w:t xml:space="preserve"> daňové a sociální příjmy, ostatní příjmy, mandatorní výdaje, kapitálové výdaje, běžné výdaje, finanční vztahy k rozpočtu EU a finančním mechanismům,</w:t>
                            </w:r>
                            <w:r w:rsidRPr="002C30E3">
                              <w:rPr>
                                <w:color w:val="FFFFFF"/>
                              </w:rPr>
                              <w:t xml:space="preserve"> </w:t>
                            </w:r>
                            <w:r>
                              <w:rPr>
                                <w:color w:val="FFFFFF"/>
                              </w:rPr>
                              <w:t>východiska a priority návrhu státního rozpočtu, výdajový rámec</w:t>
                            </w:r>
                            <w:r w:rsidRPr="006F476A">
                              <w:rPr>
                                <w:color w:val="FFFFFF"/>
                              </w:rPr>
                              <w:t>,</w:t>
                            </w:r>
                            <w:r>
                              <w:rPr>
                                <w:color w:val="FFFFFF"/>
                              </w:rPr>
                              <w:t xml:space="preserve"> daňové a sociální příjmy, ostatní příjmy, mandatorní výdaje, kapitálové výdaje, běžné výdaje, finanční vztahy k rozpočtu EU a finančním mechanismům,</w:t>
                            </w:r>
                            <w:r w:rsidRPr="002C30E3">
                              <w:rPr>
                                <w:color w:val="FFFFFF"/>
                              </w:rPr>
                              <w:t xml:space="preserve"> </w:t>
                            </w:r>
                            <w:r>
                              <w:rPr>
                                <w:color w:val="FFFFFF"/>
                              </w:rPr>
                              <w:t>východiska a priority návrhu státního rozpočtu, výdajový rámec</w:t>
                            </w:r>
                            <w:r w:rsidRPr="006F476A">
                              <w:rPr>
                                <w:color w:val="FFFFFF"/>
                              </w:rPr>
                              <w:t>,</w:t>
                            </w:r>
                            <w:r>
                              <w:rPr>
                                <w:color w:val="FFFFFF"/>
                              </w:rPr>
                              <w:t xml:space="preserve"> daňové a sociální příjmy, ostatní příjmy, mandatorní výdaje, kapitálové výdaje, běžné výdaje, finanční vztahy k rozpočtu EU a finančním mechanismům,</w:t>
                            </w:r>
                            <w:r w:rsidRPr="002C30E3">
                              <w:rPr>
                                <w:color w:val="FFFFFF"/>
                              </w:rPr>
                              <w:t xml:space="preserve"> </w:t>
                            </w:r>
                            <w:r>
                              <w:rPr>
                                <w:color w:val="FFFFFF"/>
                              </w:rPr>
                              <w:t>východiska a priority návrhu státního rozpočtu, výdajový rámec</w:t>
                            </w:r>
                            <w:r w:rsidRPr="006F476A">
                              <w:rPr>
                                <w:color w:val="FFFFFF"/>
                              </w:rPr>
                              <w:t>,</w:t>
                            </w:r>
                            <w:r>
                              <w:rPr>
                                <w:color w:val="FFFFFF"/>
                              </w:rPr>
                              <w:t xml:space="preserve"> daňové a sociální příjmy, ostatní příjmy, mandatorní výdaje, kapitálové výdaje, běžné výdaje, finanční vztahy k rozpočtu EU a finančním mechanismům,</w:t>
                            </w:r>
                            <w:r w:rsidRPr="002C30E3">
                              <w:rPr>
                                <w:color w:val="FFFFFF"/>
                              </w:rPr>
                              <w:t xml:space="preserve"> </w:t>
                            </w:r>
                            <w:r>
                              <w:rPr>
                                <w:color w:val="FFFFFF"/>
                              </w:rPr>
                              <w:t>východiska a priority návrhu státního rozpočtu, výdajový rámec</w:t>
                            </w:r>
                            <w:r w:rsidRPr="006F476A">
                              <w:rPr>
                                <w:color w:val="FFFFFF"/>
                              </w:rPr>
                              <w:t>,</w:t>
                            </w:r>
                            <w:r>
                              <w:rPr>
                                <w:color w:val="FFFFFF"/>
                              </w:rPr>
                              <w:t xml:space="preserve"> daňové a sociální příjmy, ostatní příjmy, mandatorní výdaje, kapitálové výdaje, běžné výdaje, finanční vztahy k rozpočtu EU a finančním mechanismům,</w:t>
                            </w:r>
                            <w:r w:rsidRPr="002C30E3">
                              <w:rPr>
                                <w:color w:val="FFFFFF"/>
                              </w:rPr>
                              <w:t xml:space="preserve"> </w:t>
                            </w:r>
                            <w:r>
                              <w:rPr>
                                <w:color w:val="FFFFFF"/>
                              </w:rPr>
                              <w:t>východiska a priority návrhu státního rozpočtu, výdajový rámec</w:t>
                            </w:r>
                            <w:r w:rsidRPr="006F476A">
                              <w:rPr>
                                <w:color w:val="FFFFFF"/>
                              </w:rPr>
                              <w:t>,</w:t>
                            </w:r>
                            <w:r>
                              <w:rPr>
                                <w:color w:val="FFFFFF"/>
                              </w:rPr>
                              <w:t xml:space="preserve"> daňové a sociální příjmy, ostatní příjmy, mandatorní výdaje, kapitálové výdaje, běžné výdaje, finanční vztahy k rozpočtu EU a finančním mechanismům,</w:t>
                            </w:r>
                            <w:r w:rsidRPr="002C30E3">
                              <w:rPr>
                                <w:color w:val="FFFFFF"/>
                              </w:rPr>
                              <w:t xml:space="preserve"> </w:t>
                            </w:r>
                            <w:r>
                              <w:rPr>
                                <w:color w:val="FFFFFF"/>
                              </w:rPr>
                              <w:t>východiska a priority návrhu státního rozpočtu, výdajový rámec</w:t>
                            </w:r>
                            <w:r w:rsidRPr="006F476A">
                              <w:rPr>
                                <w:color w:val="FFFFFF"/>
                              </w:rPr>
                              <w:t>,</w:t>
                            </w:r>
                            <w:r>
                              <w:rPr>
                                <w:color w:val="FFFFFF"/>
                              </w:rPr>
                              <w:t xml:space="preserve"> daňové a sociální příjmy, ostatní příjmy, mandatorní výdaje, kapitálové výdaje, běžné výdaje, finanční vztahy k rozpočtu EU a finančním mechanismům,</w:t>
                            </w:r>
                          </w:p>
                        </w:txbxContent>
                      </wps:txbx>
                      <wps:bodyPr rot="0" vert="vert" wrap="square" lIns="9000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A8FE0E" id="Skupina 13" o:spid="_x0000_s1031" style="position:absolute;left:0;text-align:left;margin-left:5in;margin-top:-790.25pt;width:185.2pt;height:846.95pt;z-index:-251657216" coordorigin="8334,-41" coordsize="3704,169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">
              <v:rect id="Rectangle 25" o:spid="_x0000_s1032" alt="BlueBar" style="position:absolute;left:1674;top:6619;width:16920;height:360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" fillcolor="#995979" stroked="f">
                <v:fill color2="#ebdee4" rotate="t" focus="100%" type="gradient"/>
                <o:lock v:ext="edit" aspectratio="t"/>
              </v:rect>
              <v:shape id="Text Box 26" o:spid="_x0000_s1033" type="#_x0000_t202" style="position:absolute;left:8798;top:-22;width:3240;height:169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" filled="f" stroked="f">
                <o:lock v:ext="edit" aspectratio="t"/>
                <v:textbox style="layout-flow:vertical" inset="2.5mm">
                  <w:txbxContent>
                    <w:p w14:paraId="07892186" w14:textId="77777777" w:rsidR="0018356F" w:rsidRPr="006F476A" w:rsidRDefault="0018356F" w:rsidP="007A1923">
                      <w:pPr>
                        <w:rPr>
                          <w:color w:val="FFFFFF"/>
                        </w:rPr>
                      </w:pPr>
                      <w:r>
                        <w:rPr>
                          <w:color w:val="FFFFFF"/>
                        </w:rPr>
                        <w:t>východiska a priority návrhu státního rozpočtu, výdajový rámec</w:t>
                      </w:r>
                      <w:r w:rsidRPr="006F476A">
                        <w:rPr>
                          <w:color w:val="FFFFFF"/>
                        </w:rPr>
                        <w:t>,</w:t>
                      </w:r>
                      <w:r>
                        <w:rPr>
                          <w:color w:val="FFFFFF"/>
                        </w:rPr>
                        <w:t xml:space="preserve"> daňové a sociální příjmy, ostatní příjmy, mandatorní výdaje, kapitálové výdaje, běžné výdaje, finanční vztahy k rozpočtu EU a finančním mechanismům, východiska a priority návrhu státního rozpočtu, výdajový rámec</w:t>
                      </w:r>
                      <w:r w:rsidRPr="006F476A">
                        <w:rPr>
                          <w:color w:val="FFFFFF"/>
                        </w:rPr>
                        <w:t>,</w:t>
                      </w:r>
                      <w:r>
                        <w:rPr>
                          <w:color w:val="FFFFFF"/>
                        </w:rPr>
                        <w:t xml:space="preserve"> daňové a sociální příjmy, ostatní příjmy, mandatorní výdaje, kapitálové výdaje, běžné výdaje, finanční vztahy k rozpočtu EU a finančním mechanismům,</w:t>
                      </w:r>
                      <w:r w:rsidRPr="002C30E3">
                        <w:rPr>
                          <w:color w:val="FFFFFF"/>
                        </w:rPr>
                        <w:t xml:space="preserve"> </w:t>
                      </w:r>
                      <w:r>
                        <w:rPr>
                          <w:color w:val="FFFFFF"/>
                        </w:rPr>
                        <w:t>východiska a priority návrhu státního rozpočtu, výdajový rámec</w:t>
                      </w:r>
                      <w:r w:rsidRPr="006F476A">
                        <w:rPr>
                          <w:color w:val="FFFFFF"/>
                        </w:rPr>
                        <w:t>,</w:t>
                      </w:r>
                      <w:r>
                        <w:rPr>
                          <w:color w:val="FFFFFF"/>
                        </w:rPr>
                        <w:t xml:space="preserve"> daňové a sociální příjmy, ostatní příjmy, mandatorní výdaje, kapitálové výdaje, běžné výdaje, finanční vztahy k rozpočtu EU a finančním mechanismům,</w:t>
                      </w:r>
                      <w:r w:rsidRPr="002C30E3">
                        <w:rPr>
                          <w:color w:val="FFFFFF"/>
                        </w:rPr>
                        <w:t xml:space="preserve"> </w:t>
                      </w:r>
                      <w:r>
                        <w:rPr>
                          <w:color w:val="FFFFFF"/>
                        </w:rPr>
                        <w:t>východiska a priority návrhu státního rozpočtu, výdajový rámec</w:t>
                      </w:r>
                      <w:r w:rsidRPr="006F476A">
                        <w:rPr>
                          <w:color w:val="FFFFFF"/>
                        </w:rPr>
                        <w:t>,</w:t>
                      </w:r>
                      <w:r>
                        <w:rPr>
                          <w:color w:val="FFFFFF"/>
                        </w:rPr>
                        <w:t xml:space="preserve"> daňové a sociální příjmy, ostatní příjmy, mandatorní výdaje, kapitálové výdaje, běžné výdaje, finanční vztahy k rozpočtu EU a finančním mechanismům,</w:t>
                      </w:r>
                      <w:r w:rsidRPr="002C30E3">
                        <w:rPr>
                          <w:color w:val="FFFFFF"/>
                        </w:rPr>
                        <w:t xml:space="preserve"> </w:t>
                      </w:r>
                      <w:r>
                        <w:rPr>
                          <w:color w:val="FFFFFF"/>
                        </w:rPr>
                        <w:t>východiska a priority návrhu státního rozpočtu, výdajový rámec</w:t>
                      </w:r>
                      <w:r w:rsidRPr="006F476A">
                        <w:rPr>
                          <w:color w:val="FFFFFF"/>
                        </w:rPr>
                        <w:t>,</w:t>
                      </w:r>
                      <w:r>
                        <w:rPr>
                          <w:color w:val="FFFFFF"/>
                        </w:rPr>
                        <w:t xml:space="preserve"> daňové a sociální příjmy, ostatní příjmy, mandatorní výdaje, kapitálové výdaje, běžné výdaje, finanční vztahy k rozpočtu EU a finančním mechanismům,</w:t>
                      </w:r>
                      <w:r w:rsidRPr="002C30E3">
                        <w:rPr>
                          <w:color w:val="FFFFFF"/>
                        </w:rPr>
                        <w:t xml:space="preserve"> </w:t>
                      </w:r>
                      <w:r>
                        <w:rPr>
                          <w:color w:val="FFFFFF"/>
                        </w:rPr>
                        <w:t>východiska a priority návrhu státního rozpočtu, výdajový rámec</w:t>
                      </w:r>
                      <w:r w:rsidRPr="006F476A">
                        <w:rPr>
                          <w:color w:val="FFFFFF"/>
                        </w:rPr>
                        <w:t>,</w:t>
                      </w:r>
                      <w:r>
                        <w:rPr>
                          <w:color w:val="FFFFFF"/>
                        </w:rPr>
                        <w:t xml:space="preserve"> daňové a sociální příjmy, ostatní příjmy, mandatorní výdaje, kapitálové výdaje, běžné výdaje, finanční vztahy k rozpočtu EU a finančním mechanismům,</w:t>
                      </w:r>
                      <w:r w:rsidRPr="002C30E3">
                        <w:rPr>
                          <w:color w:val="FFFFFF"/>
                        </w:rPr>
                        <w:t xml:space="preserve"> </w:t>
                      </w:r>
                      <w:r>
                        <w:rPr>
                          <w:color w:val="FFFFFF"/>
                        </w:rPr>
                        <w:t>východiska a priority návrhu státního rozpočtu, výdajový rámec</w:t>
                      </w:r>
                      <w:r w:rsidRPr="006F476A">
                        <w:rPr>
                          <w:color w:val="FFFFFF"/>
                        </w:rPr>
                        <w:t>,</w:t>
                      </w:r>
                      <w:r>
                        <w:rPr>
                          <w:color w:val="FFFFFF"/>
                        </w:rPr>
                        <w:t xml:space="preserve"> daňové a sociální příjmy, ostatní příjmy, mandatorní výdaje, kapitálové výdaje, běžné výdaje, finanční vztahy k rozpočtu EU a finančním mechanismům,</w:t>
                      </w:r>
                      <w:r w:rsidRPr="002C30E3">
                        <w:rPr>
                          <w:color w:val="FFFFFF"/>
                        </w:rPr>
                        <w:t xml:space="preserve"> </w:t>
                      </w:r>
                      <w:r>
                        <w:rPr>
                          <w:color w:val="FFFFFF"/>
                        </w:rPr>
                        <w:t>východiska a priority návrhu státního rozpočtu, výdajový rámec</w:t>
                      </w:r>
                      <w:r w:rsidRPr="006F476A">
                        <w:rPr>
                          <w:color w:val="FFFFFF"/>
                        </w:rPr>
                        <w:t>,</w:t>
                      </w:r>
                      <w:r>
                        <w:rPr>
                          <w:color w:val="FFFFFF"/>
                        </w:rPr>
                        <w:t xml:space="preserve"> daňové a sociální příjmy, ostatní příjmy, mandatorní výdaje, kapitálové výdaje, běžné výdaje, finanční vztahy k rozpočtu EU a finančním mechanismům,</w:t>
                      </w:r>
                      <w:r w:rsidRPr="002C30E3">
                        <w:rPr>
                          <w:color w:val="FFFFFF"/>
                        </w:rPr>
                        <w:t xml:space="preserve"> </w:t>
                      </w:r>
                      <w:r>
                        <w:rPr>
                          <w:color w:val="FFFFFF"/>
                        </w:rPr>
                        <w:t>východiska a priority návrhu státního rozpočtu, výdajový rámec</w:t>
                      </w:r>
                      <w:r w:rsidRPr="006F476A">
                        <w:rPr>
                          <w:color w:val="FFFFFF"/>
                        </w:rPr>
                        <w:t>,</w:t>
                      </w:r>
                      <w:r>
                        <w:rPr>
                          <w:color w:val="FFFFFF"/>
                        </w:rPr>
                        <w:t xml:space="preserve"> daňové a sociální příjmy, ostatní příjmy, mandatorní výdaje, kapitálové výdaje, běžné výdaje, finanční vztahy k rozpočtu EU a finančním mechanismům,</w:t>
                      </w:r>
                      <w:r w:rsidRPr="002C30E3">
                        <w:rPr>
                          <w:color w:val="FFFFFF"/>
                        </w:rPr>
                        <w:t xml:space="preserve"> </w:t>
                      </w:r>
                      <w:r>
                        <w:rPr>
                          <w:color w:val="FFFFFF"/>
                        </w:rPr>
                        <w:t>východiska a priority návrhu státního rozpočtu, výdajový rámec</w:t>
                      </w:r>
                      <w:r w:rsidRPr="006F476A">
                        <w:rPr>
                          <w:color w:val="FFFFFF"/>
                        </w:rPr>
                        <w:t>,</w:t>
                      </w:r>
                      <w:r>
                        <w:rPr>
                          <w:color w:val="FFFFFF"/>
                        </w:rPr>
                        <w:t xml:space="preserve"> daňové a sociální příjmy, ostatní příjmy, mandatorní výdaje, kapitálové výdaje, běžné výdaje, finanční vztahy k rozpočtu EU a finančním mechanismům,</w:t>
                      </w:r>
                      <w:r w:rsidRPr="002C30E3">
                        <w:rPr>
                          <w:color w:val="FFFFFF"/>
                        </w:rPr>
                        <w:t xml:space="preserve"> </w:t>
                      </w:r>
                      <w:r>
                        <w:rPr>
                          <w:color w:val="FFFFFF"/>
                        </w:rPr>
                        <w:t>východiska a priority návrhu státního rozpočtu, výdajový rámec</w:t>
                      </w:r>
                      <w:r w:rsidRPr="006F476A">
                        <w:rPr>
                          <w:color w:val="FFFFFF"/>
                        </w:rPr>
                        <w:t>,</w:t>
                      </w:r>
                      <w:r>
                        <w:rPr>
                          <w:color w:val="FFFFFF"/>
                        </w:rPr>
                        <w:t xml:space="preserve"> daňové a sociální příjmy, ostatní příjmy, mandatorní výdaje, kapitálové výdaje, běžné výdaje, finanční vztahy k rozpočtu EU a finančním mechanismům,</w:t>
                      </w:r>
                      <w:r w:rsidRPr="002C30E3">
                        <w:rPr>
                          <w:color w:val="FFFFFF"/>
                        </w:rPr>
                        <w:t xml:space="preserve"> </w:t>
                      </w:r>
                      <w:r>
                        <w:rPr>
                          <w:color w:val="FFFFFF"/>
                        </w:rPr>
                        <w:t>východiska a priority návrhu státního rozpočtu, výdajový rámec</w:t>
                      </w:r>
                      <w:r w:rsidRPr="006F476A">
                        <w:rPr>
                          <w:color w:val="FFFFFF"/>
                        </w:rPr>
                        <w:t>,</w:t>
                      </w:r>
                      <w:r>
                        <w:rPr>
                          <w:color w:val="FFFFFF"/>
                        </w:rPr>
                        <w:t xml:space="preserve"> daňové a sociální příjmy, ostatní příjmy, mandatorní výdaje, kapitálové výdaje, běžné výdaje, finanční vztahy k rozpočtu EU a finančním mechanismům,</w:t>
                      </w:r>
                    </w:p>
                  </w:txbxContent>
                </v:textbox>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B66106" w14:textId="77777777" w:rsidR="008F78E8" w:rsidRDefault="008F78E8" w:rsidP="00332D4D">
      <w:pPr>
        <w:spacing w:after="0"/>
      </w:pPr>
      <w:r>
        <w:separator/>
      </w:r>
    </w:p>
  </w:footnote>
  <w:footnote w:type="continuationSeparator" w:id="0">
    <w:p w14:paraId="047DF8F1" w14:textId="77777777" w:rsidR="008F78E8" w:rsidRDefault="008F78E8" w:rsidP="00332D4D">
      <w:pPr>
        <w:spacing w:after="0"/>
      </w:pPr>
      <w:r>
        <w:continuationSeparator/>
      </w:r>
    </w:p>
  </w:footnote>
  <w:footnote w:id="1">
    <w:p w14:paraId="2C45354E" w14:textId="77777777" w:rsidR="0018356F" w:rsidRDefault="0018356F" w:rsidP="0089096E">
      <w:pPr>
        <w:pStyle w:val="Textpoznpodarou"/>
      </w:pPr>
      <w:r>
        <w:rPr>
          <w:rStyle w:val="Znakapoznpodarou"/>
        </w:rPr>
        <w:footnoteRef/>
      </w:r>
      <w:r>
        <w:t xml:space="preserve"> </w:t>
      </w:r>
      <w:r w:rsidRPr="00947503">
        <w:t xml:space="preserve">Porovnání makroekonomického rámce s aktuální prognózou Evropské komise podle požadavků </w:t>
      </w:r>
      <w:r>
        <w:t>zákona č. 23/2017 Sb., o pravidlech rozpočtové odpovědnosti</w:t>
      </w:r>
      <w:r w:rsidRPr="00947503">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16089E" w14:textId="77777777" w:rsidR="0018356F" w:rsidRDefault="0018356F">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D25074" w14:textId="77777777" w:rsidR="0018356F" w:rsidRDefault="0018356F">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7AC71" w14:textId="77777777" w:rsidR="0018356F" w:rsidRDefault="0018356F">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7E5AAB" w14:textId="77777777" w:rsidR="0018356F" w:rsidRDefault="0018356F" w:rsidP="00343525"/>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FC7047" w14:textId="77777777" w:rsidR="0018356F" w:rsidRDefault="0018356F">
    <w:pPr>
      <w:pStyle w:val="Zhlav"/>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C33BE5" w14:textId="77777777" w:rsidR="00D706C3" w:rsidRDefault="00D706C3" w:rsidP="00343525"/>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9F45C5" w14:textId="77777777" w:rsidR="0018356F" w:rsidRDefault="0018356F">
    <w:pPr>
      <w:pStyle w:val="Zhlav"/>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6F24DA" w14:textId="77777777" w:rsidR="0018356F" w:rsidRDefault="0018356F">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77D0E93A"/>
    <w:lvl w:ilvl="0">
      <w:start w:val="1"/>
      <w:numFmt w:val="decimal"/>
      <w:lvlText w:val="%1."/>
      <w:lvlJc w:val="left"/>
      <w:pPr>
        <w:tabs>
          <w:tab w:val="num" w:pos="926"/>
        </w:tabs>
        <w:ind w:left="926" w:hanging="360"/>
      </w:pPr>
    </w:lvl>
  </w:abstractNum>
  <w:abstractNum w:abstractNumId="1" w15:restartNumberingAfterBreak="0">
    <w:nsid w:val="FFFFFFFE"/>
    <w:multiLevelType w:val="singleLevel"/>
    <w:tmpl w:val="C1C2A784"/>
    <w:lvl w:ilvl="0">
      <w:numFmt w:val="bullet"/>
      <w:lvlText w:val="*"/>
      <w:lvlJc w:val="left"/>
    </w:lvl>
  </w:abstractNum>
  <w:abstractNum w:abstractNumId="2" w15:restartNumberingAfterBreak="0">
    <w:nsid w:val="06510C8F"/>
    <w:multiLevelType w:val="hybridMultilevel"/>
    <w:tmpl w:val="1802883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4472"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7C36C3A"/>
    <w:multiLevelType w:val="hybridMultilevel"/>
    <w:tmpl w:val="67D82D26"/>
    <w:lvl w:ilvl="0" w:tplc="04050017">
      <w:start w:val="1"/>
      <w:numFmt w:val="lowerLetter"/>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B04516C"/>
    <w:multiLevelType w:val="hybridMultilevel"/>
    <w:tmpl w:val="CA3E4E36"/>
    <w:lvl w:ilvl="0" w:tplc="3BD83D1E">
      <w:start w:val="1"/>
      <w:numFmt w:val="bullet"/>
      <w:lvlText w:val=""/>
      <w:lvlJc w:val="left"/>
      <w:pPr>
        <w:tabs>
          <w:tab w:val="num" w:pos="170"/>
        </w:tabs>
        <w:ind w:left="1078" w:hanging="1078"/>
      </w:pPr>
      <w:rPr>
        <w:rFonts w:ascii="Symbol" w:hAnsi="Symbol" w:hint="default"/>
      </w:rPr>
    </w:lvl>
    <w:lvl w:ilvl="1" w:tplc="7DC8EA06">
      <w:start w:val="5"/>
      <w:numFmt w:val="upperLetter"/>
      <w:lvlText w:val="%2."/>
      <w:lvlJc w:val="left"/>
      <w:pPr>
        <w:tabs>
          <w:tab w:val="num" w:pos="1080"/>
        </w:tabs>
        <w:ind w:left="1080" w:hanging="360"/>
      </w:pPr>
      <w:rPr>
        <w:rFonts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5" w15:restartNumberingAfterBreak="0">
    <w:nsid w:val="0B754639"/>
    <w:multiLevelType w:val="hybridMultilevel"/>
    <w:tmpl w:val="86784518"/>
    <w:lvl w:ilvl="0" w:tplc="3522B648">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CF425E7"/>
    <w:multiLevelType w:val="hybridMultilevel"/>
    <w:tmpl w:val="9CA292CC"/>
    <w:lvl w:ilvl="0" w:tplc="04050017">
      <w:start w:val="1"/>
      <w:numFmt w:val="lowerLetter"/>
      <w:lvlText w:val="%1)"/>
      <w:lvlJc w:val="left"/>
      <w:pPr>
        <w:ind w:left="1429" w:hanging="360"/>
      </w:pPr>
    </w:lvl>
    <w:lvl w:ilvl="1" w:tplc="04050017">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7" w15:restartNumberingAfterBreak="0">
    <w:nsid w:val="18B34158"/>
    <w:multiLevelType w:val="hybridMultilevel"/>
    <w:tmpl w:val="2E502622"/>
    <w:lvl w:ilvl="0" w:tplc="D41480FA">
      <w:start w:val="1"/>
      <w:numFmt w:val="bullet"/>
      <w:lvlText w:val=""/>
      <w:lvlJc w:val="left"/>
      <w:pPr>
        <w:tabs>
          <w:tab w:val="num" w:pos="1106"/>
        </w:tabs>
        <w:ind w:left="1389" w:hanging="1105"/>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96542D"/>
    <w:multiLevelType w:val="hybridMultilevel"/>
    <w:tmpl w:val="00C27B2C"/>
    <w:lvl w:ilvl="0" w:tplc="0405001B">
      <w:start w:val="1"/>
      <w:numFmt w:val="lowerRoman"/>
      <w:lvlText w:val="%1."/>
      <w:lvlJc w:val="right"/>
      <w:pPr>
        <w:ind w:left="720" w:hanging="360"/>
      </w:pPr>
    </w:lvl>
    <w:lvl w:ilvl="1" w:tplc="9000EC0E">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79E15A6"/>
    <w:multiLevelType w:val="multilevel"/>
    <w:tmpl w:val="D4181EF2"/>
    <w:lvl w:ilvl="0">
      <w:start w:val="1"/>
      <w:numFmt w:val="decimal"/>
      <w:pStyle w:val="Nadpis1"/>
      <w:lvlText w:val="%1"/>
      <w:lvlJc w:val="left"/>
      <w:pPr>
        <w:tabs>
          <w:tab w:val="num" w:pos="567"/>
        </w:tabs>
        <w:ind w:left="567" w:hanging="567"/>
      </w:pPr>
      <w:rPr>
        <w:rFonts w:ascii="Calibri" w:hAnsi="Calibri" w:hint="default"/>
        <w:color w:val="auto"/>
      </w:rPr>
    </w:lvl>
    <w:lvl w:ilvl="1">
      <w:start w:val="1"/>
      <w:numFmt w:val="decimal"/>
      <w:pStyle w:val="Nadpis2"/>
      <w:lvlText w:val="%1.%2"/>
      <w:lvlJc w:val="left"/>
      <w:pPr>
        <w:tabs>
          <w:tab w:val="num" w:pos="1275"/>
        </w:tabs>
        <w:ind w:left="1275" w:hanging="567"/>
      </w:pPr>
      <w:rPr>
        <w:rFonts w:hint="default"/>
        <w:b/>
      </w:rPr>
    </w:lvl>
    <w:lvl w:ilvl="2">
      <w:start w:val="1"/>
      <w:numFmt w:val="decimal"/>
      <w:pStyle w:val="Nadpis3"/>
      <w:lvlText w:val="%1.%2.%3"/>
      <w:lvlJc w:val="left"/>
      <w:pPr>
        <w:tabs>
          <w:tab w:val="num" w:pos="1145"/>
        </w:tabs>
        <w:ind w:left="1145" w:hanging="72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28C66AF3"/>
    <w:multiLevelType w:val="hybridMultilevel"/>
    <w:tmpl w:val="7A72EEF2"/>
    <w:lvl w:ilvl="0" w:tplc="2B76D952">
      <w:start w:val="1"/>
      <w:numFmt w:val="bullet"/>
      <w:lvlText w:val=""/>
      <w:lvlJc w:val="left"/>
      <w:pPr>
        <w:tabs>
          <w:tab w:val="num" w:pos="1275"/>
        </w:tabs>
        <w:ind w:left="1275" w:hanging="567"/>
      </w:pPr>
      <w:rPr>
        <w:rFonts w:ascii="Symbol" w:hAnsi="Symbol" w:hint="default"/>
      </w:rPr>
    </w:lvl>
    <w:lvl w:ilvl="1" w:tplc="04050003" w:tentative="1">
      <w:start w:val="1"/>
      <w:numFmt w:val="bullet"/>
      <w:lvlText w:val="o"/>
      <w:lvlJc w:val="left"/>
      <w:pPr>
        <w:tabs>
          <w:tab w:val="num" w:pos="2148"/>
        </w:tabs>
        <w:ind w:left="2148" w:hanging="360"/>
      </w:pPr>
      <w:rPr>
        <w:rFonts w:ascii="Courier New" w:hAnsi="Courier New" w:cs="Courier New" w:hint="default"/>
      </w:rPr>
    </w:lvl>
    <w:lvl w:ilvl="2" w:tplc="04050005" w:tentative="1">
      <w:start w:val="1"/>
      <w:numFmt w:val="bullet"/>
      <w:lvlText w:val=""/>
      <w:lvlJc w:val="left"/>
      <w:pPr>
        <w:tabs>
          <w:tab w:val="num" w:pos="2868"/>
        </w:tabs>
        <w:ind w:left="2868" w:hanging="360"/>
      </w:pPr>
      <w:rPr>
        <w:rFonts w:ascii="Wingdings" w:hAnsi="Wingdings" w:hint="default"/>
      </w:rPr>
    </w:lvl>
    <w:lvl w:ilvl="3" w:tplc="04050001" w:tentative="1">
      <w:start w:val="1"/>
      <w:numFmt w:val="bullet"/>
      <w:lvlText w:val=""/>
      <w:lvlJc w:val="left"/>
      <w:pPr>
        <w:tabs>
          <w:tab w:val="num" w:pos="3588"/>
        </w:tabs>
        <w:ind w:left="3588" w:hanging="360"/>
      </w:pPr>
      <w:rPr>
        <w:rFonts w:ascii="Symbol" w:hAnsi="Symbol" w:hint="default"/>
      </w:rPr>
    </w:lvl>
    <w:lvl w:ilvl="4" w:tplc="04050003" w:tentative="1">
      <w:start w:val="1"/>
      <w:numFmt w:val="bullet"/>
      <w:lvlText w:val="o"/>
      <w:lvlJc w:val="left"/>
      <w:pPr>
        <w:tabs>
          <w:tab w:val="num" w:pos="4308"/>
        </w:tabs>
        <w:ind w:left="4308" w:hanging="360"/>
      </w:pPr>
      <w:rPr>
        <w:rFonts w:ascii="Courier New" w:hAnsi="Courier New" w:cs="Courier New" w:hint="default"/>
      </w:rPr>
    </w:lvl>
    <w:lvl w:ilvl="5" w:tplc="04050005" w:tentative="1">
      <w:start w:val="1"/>
      <w:numFmt w:val="bullet"/>
      <w:lvlText w:val=""/>
      <w:lvlJc w:val="left"/>
      <w:pPr>
        <w:tabs>
          <w:tab w:val="num" w:pos="5028"/>
        </w:tabs>
        <w:ind w:left="5028" w:hanging="360"/>
      </w:pPr>
      <w:rPr>
        <w:rFonts w:ascii="Wingdings" w:hAnsi="Wingdings" w:hint="default"/>
      </w:rPr>
    </w:lvl>
    <w:lvl w:ilvl="6" w:tplc="04050001" w:tentative="1">
      <w:start w:val="1"/>
      <w:numFmt w:val="bullet"/>
      <w:lvlText w:val=""/>
      <w:lvlJc w:val="left"/>
      <w:pPr>
        <w:tabs>
          <w:tab w:val="num" w:pos="5748"/>
        </w:tabs>
        <w:ind w:left="5748" w:hanging="360"/>
      </w:pPr>
      <w:rPr>
        <w:rFonts w:ascii="Symbol" w:hAnsi="Symbol" w:hint="default"/>
      </w:rPr>
    </w:lvl>
    <w:lvl w:ilvl="7" w:tplc="04050003" w:tentative="1">
      <w:start w:val="1"/>
      <w:numFmt w:val="bullet"/>
      <w:lvlText w:val="o"/>
      <w:lvlJc w:val="left"/>
      <w:pPr>
        <w:tabs>
          <w:tab w:val="num" w:pos="6468"/>
        </w:tabs>
        <w:ind w:left="6468" w:hanging="360"/>
      </w:pPr>
      <w:rPr>
        <w:rFonts w:ascii="Courier New" w:hAnsi="Courier New" w:cs="Courier New" w:hint="default"/>
      </w:rPr>
    </w:lvl>
    <w:lvl w:ilvl="8" w:tplc="04050005" w:tentative="1">
      <w:start w:val="1"/>
      <w:numFmt w:val="bullet"/>
      <w:lvlText w:val=""/>
      <w:lvlJc w:val="left"/>
      <w:pPr>
        <w:tabs>
          <w:tab w:val="num" w:pos="7188"/>
        </w:tabs>
        <w:ind w:left="7188" w:hanging="360"/>
      </w:pPr>
      <w:rPr>
        <w:rFonts w:ascii="Wingdings" w:hAnsi="Wingdings" w:hint="default"/>
      </w:rPr>
    </w:lvl>
  </w:abstractNum>
  <w:abstractNum w:abstractNumId="11" w15:restartNumberingAfterBreak="0">
    <w:nsid w:val="32883A2C"/>
    <w:multiLevelType w:val="hybridMultilevel"/>
    <w:tmpl w:val="D34235B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2" w15:restartNumberingAfterBreak="0">
    <w:nsid w:val="35F94892"/>
    <w:multiLevelType w:val="hybridMultilevel"/>
    <w:tmpl w:val="3F341808"/>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6662474"/>
    <w:multiLevelType w:val="hybridMultilevel"/>
    <w:tmpl w:val="7DE8BE2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732337B"/>
    <w:multiLevelType w:val="hybridMultilevel"/>
    <w:tmpl w:val="7864EF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4472"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A2C5894"/>
    <w:multiLevelType w:val="hybridMultilevel"/>
    <w:tmpl w:val="BF187128"/>
    <w:lvl w:ilvl="0" w:tplc="04050019">
      <w:start w:val="1"/>
      <w:numFmt w:val="lowerLetter"/>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CE271B8"/>
    <w:multiLevelType w:val="hybridMultilevel"/>
    <w:tmpl w:val="E03CDDC0"/>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EF039B4"/>
    <w:multiLevelType w:val="hybridMultilevel"/>
    <w:tmpl w:val="C1AA1666"/>
    <w:lvl w:ilvl="0" w:tplc="2B76D952">
      <w:start w:val="1"/>
      <w:numFmt w:val="bullet"/>
      <w:lvlText w:val=""/>
      <w:lvlJc w:val="left"/>
      <w:pPr>
        <w:tabs>
          <w:tab w:val="num" w:pos="1275"/>
        </w:tabs>
        <w:ind w:left="1275" w:hanging="567"/>
      </w:pPr>
      <w:rPr>
        <w:rFonts w:ascii="Symbol" w:hAnsi="Symbol" w:hint="default"/>
      </w:rPr>
    </w:lvl>
    <w:lvl w:ilvl="1" w:tplc="04050003" w:tentative="1">
      <w:start w:val="1"/>
      <w:numFmt w:val="bullet"/>
      <w:lvlText w:val="o"/>
      <w:lvlJc w:val="left"/>
      <w:pPr>
        <w:tabs>
          <w:tab w:val="num" w:pos="2148"/>
        </w:tabs>
        <w:ind w:left="2148" w:hanging="360"/>
      </w:pPr>
      <w:rPr>
        <w:rFonts w:ascii="Courier New" w:hAnsi="Courier New" w:cs="Courier New" w:hint="default"/>
      </w:rPr>
    </w:lvl>
    <w:lvl w:ilvl="2" w:tplc="04050005" w:tentative="1">
      <w:start w:val="1"/>
      <w:numFmt w:val="bullet"/>
      <w:lvlText w:val=""/>
      <w:lvlJc w:val="left"/>
      <w:pPr>
        <w:tabs>
          <w:tab w:val="num" w:pos="2868"/>
        </w:tabs>
        <w:ind w:left="2868" w:hanging="360"/>
      </w:pPr>
      <w:rPr>
        <w:rFonts w:ascii="Wingdings" w:hAnsi="Wingdings" w:hint="default"/>
      </w:rPr>
    </w:lvl>
    <w:lvl w:ilvl="3" w:tplc="04050001" w:tentative="1">
      <w:start w:val="1"/>
      <w:numFmt w:val="bullet"/>
      <w:lvlText w:val=""/>
      <w:lvlJc w:val="left"/>
      <w:pPr>
        <w:tabs>
          <w:tab w:val="num" w:pos="3588"/>
        </w:tabs>
        <w:ind w:left="3588" w:hanging="360"/>
      </w:pPr>
      <w:rPr>
        <w:rFonts w:ascii="Symbol" w:hAnsi="Symbol" w:hint="default"/>
      </w:rPr>
    </w:lvl>
    <w:lvl w:ilvl="4" w:tplc="04050003" w:tentative="1">
      <w:start w:val="1"/>
      <w:numFmt w:val="bullet"/>
      <w:lvlText w:val="o"/>
      <w:lvlJc w:val="left"/>
      <w:pPr>
        <w:tabs>
          <w:tab w:val="num" w:pos="4308"/>
        </w:tabs>
        <w:ind w:left="4308" w:hanging="360"/>
      </w:pPr>
      <w:rPr>
        <w:rFonts w:ascii="Courier New" w:hAnsi="Courier New" w:cs="Courier New" w:hint="default"/>
      </w:rPr>
    </w:lvl>
    <w:lvl w:ilvl="5" w:tplc="04050005" w:tentative="1">
      <w:start w:val="1"/>
      <w:numFmt w:val="bullet"/>
      <w:lvlText w:val=""/>
      <w:lvlJc w:val="left"/>
      <w:pPr>
        <w:tabs>
          <w:tab w:val="num" w:pos="5028"/>
        </w:tabs>
        <w:ind w:left="5028" w:hanging="360"/>
      </w:pPr>
      <w:rPr>
        <w:rFonts w:ascii="Wingdings" w:hAnsi="Wingdings" w:hint="default"/>
      </w:rPr>
    </w:lvl>
    <w:lvl w:ilvl="6" w:tplc="04050001" w:tentative="1">
      <w:start w:val="1"/>
      <w:numFmt w:val="bullet"/>
      <w:lvlText w:val=""/>
      <w:lvlJc w:val="left"/>
      <w:pPr>
        <w:tabs>
          <w:tab w:val="num" w:pos="5748"/>
        </w:tabs>
        <w:ind w:left="5748" w:hanging="360"/>
      </w:pPr>
      <w:rPr>
        <w:rFonts w:ascii="Symbol" w:hAnsi="Symbol" w:hint="default"/>
      </w:rPr>
    </w:lvl>
    <w:lvl w:ilvl="7" w:tplc="04050003" w:tentative="1">
      <w:start w:val="1"/>
      <w:numFmt w:val="bullet"/>
      <w:lvlText w:val="o"/>
      <w:lvlJc w:val="left"/>
      <w:pPr>
        <w:tabs>
          <w:tab w:val="num" w:pos="6468"/>
        </w:tabs>
        <w:ind w:left="6468" w:hanging="360"/>
      </w:pPr>
      <w:rPr>
        <w:rFonts w:ascii="Courier New" w:hAnsi="Courier New" w:cs="Courier New" w:hint="default"/>
      </w:rPr>
    </w:lvl>
    <w:lvl w:ilvl="8" w:tplc="04050005" w:tentative="1">
      <w:start w:val="1"/>
      <w:numFmt w:val="bullet"/>
      <w:lvlText w:val=""/>
      <w:lvlJc w:val="left"/>
      <w:pPr>
        <w:tabs>
          <w:tab w:val="num" w:pos="7188"/>
        </w:tabs>
        <w:ind w:left="7188" w:hanging="360"/>
      </w:pPr>
      <w:rPr>
        <w:rFonts w:ascii="Wingdings" w:hAnsi="Wingdings" w:hint="default"/>
      </w:rPr>
    </w:lvl>
  </w:abstractNum>
  <w:abstractNum w:abstractNumId="18" w15:restartNumberingAfterBreak="0">
    <w:nsid w:val="3F5A2276"/>
    <w:multiLevelType w:val="hybridMultilevel"/>
    <w:tmpl w:val="E44E262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9" w15:restartNumberingAfterBreak="0">
    <w:nsid w:val="42033C76"/>
    <w:multiLevelType w:val="hybridMultilevel"/>
    <w:tmpl w:val="8A62718A"/>
    <w:lvl w:ilvl="0" w:tplc="2B76D952">
      <w:start w:val="1"/>
      <w:numFmt w:val="bullet"/>
      <w:lvlText w:val=""/>
      <w:lvlJc w:val="left"/>
      <w:pPr>
        <w:tabs>
          <w:tab w:val="num" w:pos="567"/>
        </w:tabs>
        <w:ind w:left="567" w:hanging="567"/>
      </w:pPr>
      <w:rPr>
        <w:rFonts w:ascii="Symbol" w:hAnsi="Symbol" w:hint="default"/>
      </w:rPr>
    </w:lvl>
    <w:lvl w:ilvl="1" w:tplc="2B76D952">
      <w:start w:val="1"/>
      <w:numFmt w:val="bullet"/>
      <w:lvlText w:val=""/>
      <w:lvlJc w:val="left"/>
      <w:pPr>
        <w:tabs>
          <w:tab w:val="num" w:pos="1647"/>
        </w:tabs>
        <w:ind w:left="1647" w:hanging="567"/>
      </w:pPr>
      <w:rPr>
        <w:rFonts w:ascii="Symbol" w:hAnsi="Symbo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44B2CB0"/>
    <w:multiLevelType w:val="hybridMultilevel"/>
    <w:tmpl w:val="507030E8"/>
    <w:lvl w:ilvl="0" w:tplc="17A8D9A0">
      <w:start w:val="1"/>
      <w:numFmt w:val="lowerRoman"/>
      <w:lvlText w:val="%1)"/>
      <w:lvlJc w:val="left"/>
      <w:pPr>
        <w:ind w:left="1636" w:hanging="360"/>
      </w:pPr>
      <w:rPr>
        <w:rFonts w:hint="default"/>
      </w:rPr>
    </w:lvl>
    <w:lvl w:ilvl="1" w:tplc="04050019" w:tentative="1">
      <w:start w:val="1"/>
      <w:numFmt w:val="lowerLetter"/>
      <w:lvlText w:val="%2."/>
      <w:lvlJc w:val="left"/>
      <w:pPr>
        <w:ind w:left="2356" w:hanging="360"/>
      </w:pPr>
    </w:lvl>
    <w:lvl w:ilvl="2" w:tplc="0405001B" w:tentative="1">
      <w:start w:val="1"/>
      <w:numFmt w:val="lowerRoman"/>
      <w:lvlText w:val="%3."/>
      <w:lvlJc w:val="right"/>
      <w:pPr>
        <w:ind w:left="3076" w:hanging="180"/>
      </w:pPr>
    </w:lvl>
    <w:lvl w:ilvl="3" w:tplc="0405000F" w:tentative="1">
      <w:start w:val="1"/>
      <w:numFmt w:val="decimal"/>
      <w:lvlText w:val="%4."/>
      <w:lvlJc w:val="left"/>
      <w:pPr>
        <w:ind w:left="3796" w:hanging="360"/>
      </w:pPr>
    </w:lvl>
    <w:lvl w:ilvl="4" w:tplc="04050019" w:tentative="1">
      <w:start w:val="1"/>
      <w:numFmt w:val="lowerLetter"/>
      <w:lvlText w:val="%5."/>
      <w:lvlJc w:val="left"/>
      <w:pPr>
        <w:ind w:left="4516" w:hanging="360"/>
      </w:pPr>
    </w:lvl>
    <w:lvl w:ilvl="5" w:tplc="0405001B" w:tentative="1">
      <w:start w:val="1"/>
      <w:numFmt w:val="lowerRoman"/>
      <w:lvlText w:val="%6."/>
      <w:lvlJc w:val="right"/>
      <w:pPr>
        <w:ind w:left="5236" w:hanging="180"/>
      </w:pPr>
    </w:lvl>
    <w:lvl w:ilvl="6" w:tplc="0405000F" w:tentative="1">
      <w:start w:val="1"/>
      <w:numFmt w:val="decimal"/>
      <w:lvlText w:val="%7."/>
      <w:lvlJc w:val="left"/>
      <w:pPr>
        <w:ind w:left="5956" w:hanging="360"/>
      </w:pPr>
    </w:lvl>
    <w:lvl w:ilvl="7" w:tplc="04050019" w:tentative="1">
      <w:start w:val="1"/>
      <w:numFmt w:val="lowerLetter"/>
      <w:lvlText w:val="%8."/>
      <w:lvlJc w:val="left"/>
      <w:pPr>
        <w:ind w:left="6676" w:hanging="360"/>
      </w:pPr>
    </w:lvl>
    <w:lvl w:ilvl="8" w:tplc="0405001B" w:tentative="1">
      <w:start w:val="1"/>
      <w:numFmt w:val="lowerRoman"/>
      <w:lvlText w:val="%9."/>
      <w:lvlJc w:val="right"/>
      <w:pPr>
        <w:ind w:left="7396" w:hanging="180"/>
      </w:pPr>
    </w:lvl>
  </w:abstractNum>
  <w:abstractNum w:abstractNumId="21" w15:restartNumberingAfterBreak="0">
    <w:nsid w:val="4651619E"/>
    <w:multiLevelType w:val="hybridMultilevel"/>
    <w:tmpl w:val="629EE31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7A00450"/>
    <w:multiLevelType w:val="hybridMultilevel"/>
    <w:tmpl w:val="3F341808"/>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CC26E90"/>
    <w:multiLevelType w:val="hybridMultilevel"/>
    <w:tmpl w:val="969EB758"/>
    <w:lvl w:ilvl="0" w:tplc="04050017">
      <w:start w:val="1"/>
      <w:numFmt w:val="lowerLetter"/>
      <w:lvlText w:val="%1)"/>
      <w:lvlJc w:val="left"/>
      <w:pPr>
        <w:ind w:left="5038" w:hanging="360"/>
      </w:pPr>
    </w:lvl>
    <w:lvl w:ilvl="1" w:tplc="04050019" w:tentative="1">
      <w:start w:val="1"/>
      <w:numFmt w:val="lowerLetter"/>
      <w:lvlText w:val="%2."/>
      <w:lvlJc w:val="left"/>
      <w:pPr>
        <w:ind w:left="5758" w:hanging="360"/>
      </w:pPr>
    </w:lvl>
    <w:lvl w:ilvl="2" w:tplc="0405001B" w:tentative="1">
      <w:start w:val="1"/>
      <w:numFmt w:val="lowerRoman"/>
      <w:lvlText w:val="%3."/>
      <w:lvlJc w:val="right"/>
      <w:pPr>
        <w:ind w:left="6478" w:hanging="180"/>
      </w:pPr>
    </w:lvl>
    <w:lvl w:ilvl="3" w:tplc="0405000F" w:tentative="1">
      <w:start w:val="1"/>
      <w:numFmt w:val="decimal"/>
      <w:lvlText w:val="%4."/>
      <w:lvlJc w:val="left"/>
      <w:pPr>
        <w:ind w:left="7198" w:hanging="360"/>
      </w:pPr>
    </w:lvl>
    <w:lvl w:ilvl="4" w:tplc="04050019" w:tentative="1">
      <w:start w:val="1"/>
      <w:numFmt w:val="lowerLetter"/>
      <w:lvlText w:val="%5."/>
      <w:lvlJc w:val="left"/>
      <w:pPr>
        <w:ind w:left="7918" w:hanging="360"/>
      </w:pPr>
    </w:lvl>
    <w:lvl w:ilvl="5" w:tplc="0405001B" w:tentative="1">
      <w:start w:val="1"/>
      <w:numFmt w:val="lowerRoman"/>
      <w:lvlText w:val="%6."/>
      <w:lvlJc w:val="right"/>
      <w:pPr>
        <w:ind w:left="8638" w:hanging="180"/>
      </w:pPr>
    </w:lvl>
    <w:lvl w:ilvl="6" w:tplc="0405000F" w:tentative="1">
      <w:start w:val="1"/>
      <w:numFmt w:val="decimal"/>
      <w:lvlText w:val="%7."/>
      <w:lvlJc w:val="left"/>
      <w:pPr>
        <w:ind w:left="9358" w:hanging="360"/>
      </w:pPr>
    </w:lvl>
    <w:lvl w:ilvl="7" w:tplc="04050019" w:tentative="1">
      <w:start w:val="1"/>
      <w:numFmt w:val="lowerLetter"/>
      <w:lvlText w:val="%8."/>
      <w:lvlJc w:val="left"/>
      <w:pPr>
        <w:ind w:left="10078" w:hanging="360"/>
      </w:pPr>
    </w:lvl>
    <w:lvl w:ilvl="8" w:tplc="0405001B" w:tentative="1">
      <w:start w:val="1"/>
      <w:numFmt w:val="lowerRoman"/>
      <w:lvlText w:val="%9."/>
      <w:lvlJc w:val="right"/>
      <w:pPr>
        <w:ind w:left="10798" w:hanging="180"/>
      </w:pPr>
    </w:lvl>
  </w:abstractNum>
  <w:abstractNum w:abstractNumId="24" w15:restartNumberingAfterBreak="0">
    <w:nsid w:val="53C74D05"/>
    <w:multiLevelType w:val="hybridMultilevel"/>
    <w:tmpl w:val="FC8C38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552D71C8"/>
    <w:multiLevelType w:val="hybridMultilevel"/>
    <w:tmpl w:val="C79C1FB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5CC9639E"/>
    <w:multiLevelType w:val="multilevel"/>
    <w:tmpl w:val="DF30E1C8"/>
    <w:styleLink w:val="StylSodrkami"/>
    <w:lvl w:ilvl="0">
      <w:start w:val="1"/>
      <w:numFmt w:val="bullet"/>
      <w:lvlText w:val="−"/>
      <w:lvlJc w:val="left"/>
      <w:pPr>
        <w:tabs>
          <w:tab w:val="num" w:pos="720"/>
        </w:tabs>
        <w:ind w:left="720" w:hanging="360"/>
      </w:pPr>
      <w:rPr>
        <w:rFonts w:ascii="Calibri" w:hAnsi="Calibri"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7934CC6"/>
    <w:multiLevelType w:val="hybridMultilevel"/>
    <w:tmpl w:val="1CBC9A0A"/>
    <w:lvl w:ilvl="0" w:tplc="04050017">
      <w:start w:val="1"/>
      <w:numFmt w:val="lowerLetter"/>
      <w:lvlText w:val="%1)"/>
      <w:lvlJc w:val="left"/>
      <w:pPr>
        <w:ind w:left="1429" w:hanging="360"/>
      </w:pPr>
    </w:lvl>
    <w:lvl w:ilvl="1" w:tplc="04050017">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8" w15:restartNumberingAfterBreak="0">
    <w:nsid w:val="6C3D1E20"/>
    <w:multiLevelType w:val="hybridMultilevel"/>
    <w:tmpl w:val="E5BCF8E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6E783B01"/>
    <w:multiLevelType w:val="hybridMultilevel"/>
    <w:tmpl w:val="A0D6D5F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0" w15:restartNumberingAfterBreak="0">
    <w:nsid w:val="72EB6A47"/>
    <w:multiLevelType w:val="hybridMultilevel"/>
    <w:tmpl w:val="C8167C36"/>
    <w:lvl w:ilvl="0" w:tplc="2B76D952">
      <w:start w:val="1"/>
      <w:numFmt w:val="bullet"/>
      <w:lvlText w:val=""/>
      <w:lvlJc w:val="left"/>
      <w:pPr>
        <w:tabs>
          <w:tab w:val="num" w:pos="1275"/>
        </w:tabs>
        <w:ind w:left="1275" w:hanging="567"/>
      </w:pPr>
      <w:rPr>
        <w:rFonts w:ascii="Symbol" w:hAnsi="Symbol" w:hint="default"/>
      </w:rPr>
    </w:lvl>
    <w:lvl w:ilvl="1" w:tplc="04050003" w:tentative="1">
      <w:start w:val="1"/>
      <w:numFmt w:val="bullet"/>
      <w:lvlText w:val="o"/>
      <w:lvlJc w:val="left"/>
      <w:pPr>
        <w:tabs>
          <w:tab w:val="num" w:pos="2148"/>
        </w:tabs>
        <w:ind w:left="2148" w:hanging="360"/>
      </w:pPr>
      <w:rPr>
        <w:rFonts w:ascii="Courier New" w:hAnsi="Courier New" w:cs="Courier New" w:hint="default"/>
      </w:rPr>
    </w:lvl>
    <w:lvl w:ilvl="2" w:tplc="04050005" w:tentative="1">
      <w:start w:val="1"/>
      <w:numFmt w:val="bullet"/>
      <w:lvlText w:val=""/>
      <w:lvlJc w:val="left"/>
      <w:pPr>
        <w:tabs>
          <w:tab w:val="num" w:pos="2868"/>
        </w:tabs>
        <w:ind w:left="2868" w:hanging="360"/>
      </w:pPr>
      <w:rPr>
        <w:rFonts w:ascii="Wingdings" w:hAnsi="Wingdings" w:hint="default"/>
      </w:rPr>
    </w:lvl>
    <w:lvl w:ilvl="3" w:tplc="04050001" w:tentative="1">
      <w:start w:val="1"/>
      <w:numFmt w:val="bullet"/>
      <w:lvlText w:val=""/>
      <w:lvlJc w:val="left"/>
      <w:pPr>
        <w:tabs>
          <w:tab w:val="num" w:pos="3588"/>
        </w:tabs>
        <w:ind w:left="3588" w:hanging="360"/>
      </w:pPr>
      <w:rPr>
        <w:rFonts w:ascii="Symbol" w:hAnsi="Symbol" w:hint="default"/>
      </w:rPr>
    </w:lvl>
    <w:lvl w:ilvl="4" w:tplc="04050003" w:tentative="1">
      <w:start w:val="1"/>
      <w:numFmt w:val="bullet"/>
      <w:lvlText w:val="o"/>
      <w:lvlJc w:val="left"/>
      <w:pPr>
        <w:tabs>
          <w:tab w:val="num" w:pos="4308"/>
        </w:tabs>
        <w:ind w:left="4308" w:hanging="360"/>
      </w:pPr>
      <w:rPr>
        <w:rFonts w:ascii="Courier New" w:hAnsi="Courier New" w:cs="Courier New" w:hint="default"/>
      </w:rPr>
    </w:lvl>
    <w:lvl w:ilvl="5" w:tplc="04050005" w:tentative="1">
      <w:start w:val="1"/>
      <w:numFmt w:val="bullet"/>
      <w:lvlText w:val=""/>
      <w:lvlJc w:val="left"/>
      <w:pPr>
        <w:tabs>
          <w:tab w:val="num" w:pos="5028"/>
        </w:tabs>
        <w:ind w:left="5028" w:hanging="360"/>
      </w:pPr>
      <w:rPr>
        <w:rFonts w:ascii="Wingdings" w:hAnsi="Wingdings" w:hint="default"/>
      </w:rPr>
    </w:lvl>
    <w:lvl w:ilvl="6" w:tplc="04050001" w:tentative="1">
      <w:start w:val="1"/>
      <w:numFmt w:val="bullet"/>
      <w:lvlText w:val=""/>
      <w:lvlJc w:val="left"/>
      <w:pPr>
        <w:tabs>
          <w:tab w:val="num" w:pos="5748"/>
        </w:tabs>
        <w:ind w:left="5748" w:hanging="360"/>
      </w:pPr>
      <w:rPr>
        <w:rFonts w:ascii="Symbol" w:hAnsi="Symbol" w:hint="default"/>
      </w:rPr>
    </w:lvl>
    <w:lvl w:ilvl="7" w:tplc="04050003" w:tentative="1">
      <w:start w:val="1"/>
      <w:numFmt w:val="bullet"/>
      <w:lvlText w:val="o"/>
      <w:lvlJc w:val="left"/>
      <w:pPr>
        <w:tabs>
          <w:tab w:val="num" w:pos="6468"/>
        </w:tabs>
        <w:ind w:left="6468" w:hanging="360"/>
      </w:pPr>
      <w:rPr>
        <w:rFonts w:ascii="Courier New" w:hAnsi="Courier New" w:cs="Courier New" w:hint="default"/>
      </w:rPr>
    </w:lvl>
    <w:lvl w:ilvl="8" w:tplc="04050005" w:tentative="1">
      <w:start w:val="1"/>
      <w:numFmt w:val="bullet"/>
      <w:lvlText w:val=""/>
      <w:lvlJc w:val="left"/>
      <w:pPr>
        <w:tabs>
          <w:tab w:val="num" w:pos="7188"/>
        </w:tabs>
        <w:ind w:left="7188" w:hanging="360"/>
      </w:pPr>
      <w:rPr>
        <w:rFonts w:ascii="Wingdings" w:hAnsi="Wingdings" w:hint="default"/>
      </w:rPr>
    </w:lvl>
  </w:abstractNum>
  <w:abstractNum w:abstractNumId="31" w15:restartNumberingAfterBreak="0">
    <w:nsid w:val="761719E6"/>
    <w:multiLevelType w:val="hybridMultilevel"/>
    <w:tmpl w:val="44E8D2D4"/>
    <w:lvl w:ilvl="0" w:tplc="E0C0DC1E">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7A014842"/>
    <w:multiLevelType w:val="multilevel"/>
    <w:tmpl w:val="5330EC4A"/>
    <w:lvl w:ilvl="0">
      <w:start w:val="1"/>
      <w:numFmt w:val="upperLetter"/>
      <w:pStyle w:val="NadpisAB"/>
      <w:lvlText w:val="%1"/>
      <w:lvlJc w:val="left"/>
      <w:pPr>
        <w:tabs>
          <w:tab w:val="num" w:pos="567"/>
        </w:tabs>
        <w:ind w:left="567" w:hanging="567"/>
      </w:pPr>
      <w:rPr>
        <w:rFonts w:ascii="Calibri" w:hAnsi="Calibri" w:hint="default"/>
        <w:color w:val="auto"/>
      </w:rPr>
    </w:lvl>
    <w:lvl w:ilvl="1">
      <w:start w:val="1"/>
      <w:numFmt w:val="decimal"/>
      <w:lvlText w:val="%1.%2"/>
      <w:lvlJc w:val="left"/>
      <w:pPr>
        <w:tabs>
          <w:tab w:val="num" w:pos="567"/>
        </w:tabs>
        <w:ind w:left="567" w:hanging="567"/>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7C9A7F40"/>
    <w:multiLevelType w:val="hybridMultilevel"/>
    <w:tmpl w:val="ED881F64"/>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7D55727B"/>
    <w:multiLevelType w:val="hybridMultilevel"/>
    <w:tmpl w:val="0CE06802"/>
    <w:lvl w:ilvl="0" w:tplc="04050001">
      <w:numFmt w:val="bullet"/>
      <w:lvlText w:val=""/>
      <w:lvlJc w:val="left"/>
      <w:pPr>
        <w:ind w:left="720" w:hanging="360"/>
      </w:pPr>
      <w:rPr>
        <w:rFonts w:ascii="Symbol" w:eastAsia="Times New Roman"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9"/>
  </w:num>
  <w:num w:numId="2">
    <w:abstractNumId w:val="26"/>
  </w:num>
  <w:num w:numId="3">
    <w:abstractNumId w:val="32"/>
  </w:num>
  <w:num w:numId="4">
    <w:abstractNumId w:val="13"/>
  </w:num>
  <w:num w:numId="5">
    <w:abstractNumId w:val="34"/>
  </w:num>
  <w:num w:numId="6">
    <w:abstractNumId w:val="5"/>
  </w:num>
  <w:num w:numId="7">
    <w:abstractNumId w:val="15"/>
  </w:num>
  <w:num w:numId="8">
    <w:abstractNumId w:val="8"/>
  </w:num>
  <w:num w:numId="9">
    <w:abstractNumId w:val="6"/>
  </w:num>
  <w:num w:numId="10">
    <w:abstractNumId w:val="27"/>
  </w:num>
  <w:num w:numId="11">
    <w:abstractNumId w:val="20"/>
  </w:num>
  <w:num w:numId="12">
    <w:abstractNumId w:val="23"/>
  </w:num>
  <w:num w:numId="13">
    <w:abstractNumId w:val="3"/>
  </w:num>
  <w:num w:numId="14">
    <w:abstractNumId w:val="22"/>
  </w:num>
  <w:num w:numId="15">
    <w:abstractNumId w:val="12"/>
  </w:num>
  <w:num w:numId="16">
    <w:abstractNumId w:val="0"/>
  </w:num>
  <w:num w:numId="17">
    <w:abstractNumId w:val="4"/>
  </w:num>
  <w:num w:numId="18">
    <w:abstractNumId w:val="14"/>
  </w:num>
  <w:num w:numId="19">
    <w:abstractNumId w:val="2"/>
  </w:num>
  <w:num w:numId="20">
    <w:abstractNumId w:val="33"/>
  </w:num>
  <w:num w:numId="21">
    <w:abstractNumId w:val="24"/>
  </w:num>
  <w:num w:numId="22">
    <w:abstractNumId w:val="28"/>
  </w:num>
  <w:num w:numId="23">
    <w:abstractNumId w:val="21"/>
  </w:num>
  <w:num w:numId="24">
    <w:abstractNumId w:val="16"/>
  </w:num>
  <w:num w:numId="25">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26">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27">
    <w:abstractNumId w:val="7"/>
  </w:num>
  <w:num w:numId="28">
    <w:abstractNumId w:val="10"/>
  </w:num>
  <w:num w:numId="29">
    <w:abstractNumId w:val="17"/>
  </w:num>
  <w:num w:numId="30">
    <w:abstractNumId w:val="19"/>
  </w:num>
  <w:num w:numId="31">
    <w:abstractNumId w:val="30"/>
  </w:num>
  <w:num w:numId="32">
    <w:abstractNumId w:val="25"/>
  </w:num>
  <w:num w:numId="33">
    <w:abstractNumId w:val="18"/>
  </w:num>
  <w:num w:numId="34">
    <w:abstractNumId w:val="11"/>
  </w:num>
  <w:num w:numId="35">
    <w:abstractNumId w:val="31"/>
  </w:num>
  <w:num w:numId="36">
    <w:abstractNumId w:val="1"/>
    <w:lvlOverride w:ilvl="0">
      <w:lvl w:ilvl="0">
        <w:start w:val="3"/>
        <w:numFmt w:val="bullet"/>
        <w:lvlText w:val="-"/>
        <w:legacy w:legacy="1" w:legacySpace="120" w:legacyIndent="360"/>
        <w:lvlJc w:val="left"/>
        <w:pPr>
          <w:ind w:left="720" w:hanging="360"/>
        </w:pPr>
      </w:lvl>
    </w:lvlOverride>
  </w:num>
  <w:num w:numId="37">
    <w:abstractNumId w:val="29"/>
  </w:num>
  <w:num w:numId="38">
    <w:abstractNumId w:val="9"/>
  </w:num>
  <w:num w:numId="39">
    <w:abstractNumId w:val="9"/>
  </w:num>
  <w:num w:numId="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D4D"/>
    <w:rsid w:val="000034D3"/>
    <w:rsid w:val="000251BA"/>
    <w:rsid w:val="00027B66"/>
    <w:rsid w:val="00027D0D"/>
    <w:rsid w:val="000357B5"/>
    <w:rsid w:val="000402C5"/>
    <w:rsid w:val="0004349A"/>
    <w:rsid w:val="00043541"/>
    <w:rsid w:val="00046A9E"/>
    <w:rsid w:val="0005737B"/>
    <w:rsid w:val="00057C96"/>
    <w:rsid w:val="0006144B"/>
    <w:rsid w:val="00061AEE"/>
    <w:rsid w:val="00067664"/>
    <w:rsid w:val="00070A44"/>
    <w:rsid w:val="00071457"/>
    <w:rsid w:val="00075E9E"/>
    <w:rsid w:val="00082E8B"/>
    <w:rsid w:val="00084691"/>
    <w:rsid w:val="00085740"/>
    <w:rsid w:val="000A09E5"/>
    <w:rsid w:val="000A2F3A"/>
    <w:rsid w:val="000A52C8"/>
    <w:rsid w:val="000A74B6"/>
    <w:rsid w:val="000B0BE7"/>
    <w:rsid w:val="000C5214"/>
    <w:rsid w:val="000D0CD2"/>
    <w:rsid w:val="000D1784"/>
    <w:rsid w:val="000D330C"/>
    <w:rsid w:val="000D66A1"/>
    <w:rsid w:val="000E29BA"/>
    <w:rsid w:val="000E7624"/>
    <w:rsid w:val="000F1410"/>
    <w:rsid w:val="000F67A1"/>
    <w:rsid w:val="0010302E"/>
    <w:rsid w:val="00111630"/>
    <w:rsid w:val="001470C9"/>
    <w:rsid w:val="00167D45"/>
    <w:rsid w:val="0018356F"/>
    <w:rsid w:val="00183A53"/>
    <w:rsid w:val="00185BE4"/>
    <w:rsid w:val="001877E6"/>
    <w:rsid w:val="0019444B"/>
    <w:rsid w:val="00195B34"/>
    <w:rsid w:val="00195B5C"/>
    <w:rsid w:val="001962E3"/>
    <w:rsid w:val="00196528"/>
    <w:rsid w:val="001B0429"/>
    <w:rsid w:val="001B4449"/>
    <w:rsid w:val="001C4C8D"/>
    <w:rsid w:val="001C5E5D"/>
    <w:rsid w:val="001D4C6E"/>
    <w:rsid w:val="001D4F8A"/>
    <w:rsid w:val="001D70CA"/>
    <w:rsid w:val="001F6365"/>
    <w:rsid w:val="00200BB8"/>
    <w:rsid w:val="0020417E"/>
    <w:rsid w:val="00206B9F"/>
    <w:rsid w:val="0021596D"/>
    <w:rsid w:val="00220B5A"/>
    <w:rsid w:val="0023262B"/>
    <w:rsid w:val="00241F17"/>
    <w:rsid w:val="00242137"/>
    <w:rsid w:val="002454D0"/>
    <w:rsid w:val="0024692A"/>
    <w:rsid w:val="002502DA"/>
    <w:rsid w:val="00250CC5"/>
    <w:rsid w:val="0026078A"/>
    <w:rsid w:val="002648C2"/>
    <w:rsid w:val="00265487"/>
    <w:rsid w:val="00272889"/>
    <w:rsid w:val="00272D6E"/>
    <w:rsid w:val="00274A86"/>
    <w:rsid w:val="00280D02"/>
    <w:rsid w:val="00287AC6"/>
    <w:rsid w:val="00295DDC"/>
    <w:rsid w:val="002B1D10"/>
    <w:rsid w:val="002C2C3C"/>
    <w:rsid w:val="002C7011"/>
    <w:rsid w:val="002D2CA9"/>
    <w:rsid w:val="002D3342"/>
    <w:rsid w:val="002E05D8"/>
    <w:rsid w:val="002E09CA"/>
    <w:rsid w:val="002E3C4D"/>
    <w:rsid w:val="002E3E19"/>
    <w:rsid w:val="002E7320"/>
    <w:rsid w:val="002F2619"/>
    <w:rsid w:val="002F2E01"/>
    <w:rsid w:val="00302B9E"/>
    <w:rsid w:val="00304E91"/>
    <w:rsid w:val="003164A9"/>
    <w:rsid w:val="00317DEF"/>
    <w:rsid w:val="00332D4D"/>
    <w:rsid w:val="00332F94"/>
    <w:rsid w:val="00337956"/>
    <w:rsid w:val="00337AD5"/>
    <w:rsid w:val="00343525"/>
    <w:rsid w:val="003507B7"/>
    <w:rsid w:val="00351F50"/>
    <w:rsid w:val="00363C03"/>
    <w:rsid w:val="00364592"/>
    <w:rsid w:val="003661C6"/>
    <w:rsid w:val="003A1237"/>
    <w:rsid w:val="003A496F"/>
    <w:rsid w:val="003A50DA"/>
    <w:rsid w:val="003B4283"/>
    <w:rsid w:val="003C411B"/>
    <w:rsid w:val="003D2212"/>
    <w:rsid w:val="003E00A3"/>
    <w:rsid w:val="003F4A43"/>
    <w:rsid w:val="003F53F5"/>
    <w:rsid w:val="00401E95"/>
    <w:rsid w:val="0040300D"/>
    <w:rsid w:val="00403442"/>
    <w:rsid w:val="00404C4A"/>
    <w:rsid w:val="00405368"/>
    <w:rsid w:val="00407CE1"/>
    <w:rsid w:val="004131FC"/>
    <w:rsid w:val="00413E96"/>
    <w:rsid w:val="0041440C"/>
    <w:rsid w:val="00414870"/>
    <w:rsid w:val="00417F12"/>
    <w:rsid w:val="004325B6"/>
    <w:rsid w:val="00435D5C"/>
    <w:rsid w:val="00436E35"/>
    <w:rsid w:val="00443997"/>
    <w:rsid w:val="00447C3E"/>
    <w:rsid w:val="00451AF1"/>
    <w:rsid w:val="00456C0A"/>
    <w:rsid w:val="004572E8"/>
    <w:rsid w:val="004630B0"/>
    <w:rsid w:val="00466FA3"/>
    <w:rsid w:val="00480B67"/>
    <w:rsid w:val="00480C8C"/>
    <w:rsid w:val="00482A90"/>
    <w:rsid w:val="004857C2"/>
    <w:rsid w:val="00490CAF"/>
    <w:rsid w:val="004965E8"/>
    <w:rsid w:val="004B3C59"/>
    <w:rsid w:val="004C55BF"/>
    <w:rsid w:val="004C7187"/>
    <w:rsid w:val="004C7B3E"/>
    <w:rsid w:val="004D1096"/>
    <w:rsid w:val="004D470A"/>
    <w:rsid w:val="004E070A"/>
    <w:rsid w:val="004E219C"/>
    <w:rsid w:val="004F24FA"/>
    <w:rsid w:val="00503805"/>
    <w:rsid w:val="005052A9"/>
    <w:rsid w:val="0051115F"/>
    <w:rsid w:val="00513704"/>
    <w:rsid w:val="00523B71"/>
    <w:rsid w:val="0052751B"/>
    <w:rsid w:val="00527F20"/>
    <w:rsid w:val="005303DE"/>
    <w:rsid w:val="00551CED"/>
    <w:rsid w:val="00556EC7"/>
    <w:rsid w:val="00557E7D"/>
    <w:rsid w:val="00570444"/>
    <w:rsid w:val="005716D5"/>
    <w:rsid w:val="00571E42"/>
    <w:rsid w:val="00575C6F"/>
    <w:rsid w:val="00577271"/>
    <w:rsid w:val="0058437E"/>
    <w:rsid w:val="00586243"/>
    <w:rsid w:val="00590FFB"/>
    <w:rsid w:val="00597E9E"/>
    <w:rsid w:val="005A42E2"/>
    <w:rsid w:val="005B7BBA"/>
    <w:rsid w:val="005C584D"/>
    <w:rsid w:val="005C6EB8"/>
    <w:rsid w:val="005D1F16"/>
    <w:rsid w:val="005D5FFD"/>
    <w:rsid w:val="005F3E29"/>
    <w:rsid w:val="005F4227"/>
    <w:rsid w:val="005F65C3"/>
    <w:rsid w:val="00612BDB"/>
    <w:rsid w:val="0061619B"/>
    <w:rsid w:val="00616FBF"/>
    <w:rsid w:val="00623FA9"/>
    <w:rsid w:val="006320C1"/>
    <w:rsid w:val="00636A45"/>
    <w:rsid w:val="00637C2B"/>
    <w:rsid w:val="00640187"/>
    <w:rsid w:val="00641F19"/>
    <w:rsid w:val="00650A26"/>
    <w:rsid w:val="00652B1B"/>
    <w:rsid w:val="00656B2E"/>
    <w:rsid w:val="006610AB"/>
    <w:rsid w:val="00663D3D"/>
    <w:rsid w:val="00663E1D"/>
    <w:rsid w:val="00680751"/>
    <w:rsid w:val="00686F97"/>
    <w:rsid w:val="006910D1"/>
    <w:rsid w:val="00695CCE"/>
    <w:rsid w:val="0069677C"/>
    <w:rsid w:val="006B65A9"/>
    <w:rsid w:val="006C6F16"/>
    <w:rsid w:val="006D0D7B"/>
    <w:rsid w:val="006D27C2"/>
    <w:rsid w:val="006D3AF4"/>
    <w:rsid w:val="006E7551"/>
    <w:rsid w:val="006E7D36"/>
    <w:rsid w:val="006F1625"/>
    <w:rsid w:val="006F672C"/>
    <w:rsid w:val="00700AE1"/>
    <w:rsid w:val="00702082"/>
    <w:rsid w:val="00711D65"/>
    <w:rsid w:val="00715A31"/>
    <w:rsid w:val="00715DC6"/>
    <w:rsid w:val="00716919"/>
    <w:rsid w:val="00717970"/>
    <w:rsid w:val="00725C45"/>
    <w:rsid w:val="0073247C"/>
    <w:rsid w:val="00735040"/>
    <w:rsid w:val="00742FB4"/>
    <w:rsid w:val="00744833"/>
    <w:rsid w:val="007513C2"/>
    <w:rsid w:val="007526FD"/>
    <w:rsid w:val="00753C8F"/>
    <w:rsid w:val="007567A5"/>
    <w:rsid w:val="00757C59"/>
    <w:rsid w:val="00766B0C"/>
    <w:rsid w:val="007817CC"/>
    <w:rsid w:val="00794928"/>
    <w:rsid w:val="00795129"/>
    <w:rsid w:val="0079562F"/>
    <w:rsid w:val="007A1923"/>
    <w:rsid w:val="007A3EE2"/>
    <w:rsid w:val="007B2BA2"/>
    <w:rsid w:val="007C148B"/>
    <w:rsid w:val="007C258F"/>
    <w:rsid w:val="007C2C90"/>
    <w:rsid w:val="007C6528"/>
    <w:rsid w:val="007D18B3"/>
    <w:rsid w:val="007D641B"/>
    <w:rsid w:val="007E1814"/>
    <w:rsid w:val="007E6D54"/>
    <w:rsid w:val="007E777E"/>
    <w:rsid w:val="0080136E"/>
    <w:rsid w:val="00801B86"/>
    <w:rsid w:val="0080293F"/>
    <w:rsid w:val="008138A1"/>
    <w:rsid w:val="00814ED7"/>
    <w:rsid w:val="00817EF3"/>
    <w:rsid w:val="008223E6"/>
    <w:rsid w:val="00827770"/>
    <w:rsid w:val="00827FE9"/>
    <w:rsid w:val="00830FCC"/>
    <w:rsid w:val="00840347"/>
    <w:rsid w:val="00842E08"/>
    <w:rsid w:val="00844634"/>
    <w:rsid w:val="00846275"/>
    <w:rsid w:val="0084662A"/>
    <w:rsid w:val="00854A05"/>
    <w:rsid w:val="008565C1"/>
    <w:rsid w:val="00864777"/>
    <w:rsid w:val="00873B89"/>
    <w:rsid w:val="008901A6"/>
    <w:rsid w:val="0089096E"/>
    <w:rsid w:val="00893576"/>
    <w:rsid w:val="008A1BC6"/>
    <w:rsid w:val="008B0ED2"/>
    <w:rsid w:val="008B5113"/>
    <w:rsid w:val="008C3E06"/>
    <w:rsid w:val="008C564D"/>
    <w:rsid w:val="008E15B2"/>
    <w:rsid w:val="008E34A6"/>
    <w:rsid w:val="008E4347"/>
    <w:rsid w:val="008F0549"/>
    <w:rsid w:val="008F0E7D"/>
    <w:rsid w:val="008F140B"/>
    <w:rsid w:val="008F58BF"/>
    <w:rsid w:val="008F6817"/>
    <w:rsid w:val="008F78E8"/>
    <w:rsid w:val="00912DC5"/>
    <w:rsid w:val="00924A8C"/>
    <w:rsid w:val="009325F1"/>
    <w:rsid w:val="00940983"/>
    <w:rsid w:val="00946A82"/>
    <w:rsid w:val="009525C3"/>
    <w:rsid w:val="009538CF"/>
    <w:rsid w:val="00956945"/>
    <w:rsid w:val="00960086"/>
    <w:rsid w:val="00960986"/>
    <w:rsid w:val="00973C2B"/>
    <w:rsid w:val="00977B6B"/>
    <w:rsid w:val="00987B45"/>
    <w:rsid w:val="0099203E"/>
    <w:rsid w:val="00992455"/>
    <w:rsid w:val="009A0EFB"/>
    <w:rsid w:val="009B674C"/>
    <w:rsid w:val="009C6175"/>
    <w:rsid w:val="009D040A"/>
    <w:rsid w:val="009D0B99"/>
    <w:rsid w:val="009D1153"/>
    <w:rsid w:val="009D378D"/>
    <w:rsid w:val="009E572A"/>
    <w:rsid w:val="009F034A"/>
    <w:rsid w:val="009F16D5"/>
    <w:rsid w:val="00A01FB3"/>
    <w:rsid w:val="00A028ED"/>
    <w:rsid w:val="00A04152"/>
    <w:rsid w:val="00A171D3"/>
    <w:rsid w:val="00A279F2"/>
    <w:rsid w:val="00A30E4B"/>
    <w:rsid w:val="00A37197"/>
    <w:rsid w:val="00A414BF"/>
    <w:rsid w:val="00A45937"/>
    <w:rsid w:val="00A46C13"/>
    <w:rsid w:val="00A50034"/>
    <w:rsid w:val="00A53081"/>
    <w:rsid w:val="00A54518"/>
    <w:rsid w:val="00A57A36"/>
    <w:rsid w:val="00A62A40"/>
    <w:rsid w:val="00A726C4"/>
    <w:rsid w:val="00A7453B"/>
    <w:rsid w:val="00A75868"/>
    <w:rsid w:val="00A76519"/>
    <w:rsid w:val="00A76B24"/>
    <w:rsid w:val="00A76CAE"/>
    <w:rsid w:val="00A81CF9"/>
    <w:rsid w:val="00A8503F"/>
    <w:rsid w:val="00A87454"/>
    <w:rsid w:val="00A90607"/>
    <w:rsid w:val="00A907E9"/>
    <w:rsid w:val="00A91AE7"/>
    <w:rsid w:val="00A9547A"/>
    <w:rsid w:val="00A96FCE"/>
    <w:rsid w:val="00AA0B04"/>
    <w:rsid w:val="00AA1A89"/>
    <w:rsid w:val="00AA4C94"/>
    <w:rsid w:val="00AA5850"/>
    <w:rsid w:val="00AA60BA"/>
    <w:rsid w:val="00AB3AFE"/>
    <w:rsid w:val="00AB569C"/>
    <w:rsid w:val="00AC261C"/>
    <w:rsid w:val="00AC425D"/>
    <w:rsid w:val="00AC436C"/>
    <w:rsid w:val="00AC5505"/>
    <w:rsid w:val="00AD1703"/>
    <w:rsid w:val="00AE7EC9"/>
    <w:rsid w:val="00AF52E8"/>
    <w:rsid w:val="00AF764A"/>
    <w:rsid w:val="00B06530"/>
    <w:rsid w:val="00B12CE2"/>
    <w:rsid w:val="00B24846"/>
    <w:rsid w:val="00B418CB"/>
    <w:rsid w:val="00B41B9D"/>
    <w:rsid w:val="00B50F6D"/>
    <w:rsid w:val="00B75B5A"/>
    <w:rsid w:val="00B76A53"/>
    <w:rsid w:val="00B76EB2"/>
    <w:rsid w:val="00B81313"/>
    <w:rsid w:val="00B81E2D"/>
    <w:rsid w:val="00B84991"/>
    <w:rsid w:val="00B91DAA"/>
    <w:rsid w:val="00B933B0"/>
    <w:rsid w:val="00B94D4E"/>
    <w:rsid w:val="00BA2F06"/>
    <w:rsid w:val="00BA4BBC"/>
    <w:rsid w:val="00BA641D"/>
    <w:rsid w:val="00BC0973"/>
    <w:rsid w:val="00BC4DE6"/>
    <w:rsid w:val="00BD088A"/>
    <w:rsid w:val="00BD10A6"/>
    <w:rsid w:val="00BD164E"/>
    <w:rsid w:val="00BD20AB"/>
    <w:rsid w:val="00BE7746"/>
    <w:rsid w:val="00BF09C9"/>
    <w:rsid w:val="00BF5107"/>
    <w:rsid w:val="00BF57B1"/>
    <w:rsid w:val="00BF6C29"/>
    <w:rsid w:val="00C041AD"/>
    <w:rsid w:val="00C06867"/>
    <w:rsid w:val="00C136CA"/>
    <w:rsid w:val="00C1497B"/>
    <w:rsid w:val="00C229B4"/>
    <w:rsid w:val="00C245F0"/>
    <w:rsid w:val="00C43D9D"/>
    <w:rsid w:val="00C503F4"/>
    <w:rsid w:val="00C550F5"/>
    <w:rsid w:val="00C567E9"/>
    <w:rsid w:val="00C6506B"/>
    <w:rsid w:val="00C755B5"/>
    <w:rsid w:val="00C825FA"/>
    <w:rsid w:val="00C96646"/>
    <w:rsid w:val="00C96A6C"/>
    <w:rsid w:val="00CA20FD"/>
    <w:rsid w:val="00CA73E5"/>
    <w:rsid w:val="00CB6969"/>
    <w:rsid w:val="00CD6ECA"/>
    <w:rsid w:val="00CF0C90"/>
    <w:rsid w:val="00CF4D02"/>
    <w:rsid w:val="00D0560E"/>
    <w:rsid w:val="00D13E36"/>
    <w:rsid w:val="00D32E8A"/>
    <w:rsid w:val="00D46288"/>
    <w:rsid w:val="00D60631"/>
    <w:rsid w:val="00D61639"/>
    <w:rsid w:val="00D61CAD"/>
    <w:rsid w:val="00D648A2"/>
    <w:rsid w:val="00D706C3"/>
    <w:rsid w:val="00D717CF"/>
    <w:rsid w:val="00D838C1"/>
    <w:rsid w:val="00D93437"/>
    <w:rsid w:val="00D97B58"/>
    <w:rsid w:val="00DA669D"/>
    <w:rsid w:val="00DB1589"/>
    <w:rsid w:val="00DC180D"/>
    <w:rsid w:val="00DC6329"/>
    <w:rsid w:val="00DD3453"/>
    <w:rsid w:val="00DD5764"/>
    <w:rsid w:val="00DE136D"/>
    <w:rsid w:val="00DE2C93"/>
    <w:rsid w:val="00E0060B"/>
    <w:rsid w:val="00E055B3"/>
    <w:rsid w:val="00E148A6"/>
    <w:rsid w:val="00E14CAC"/>
    <w:rsid w:val="00E26B20"/>
    <w:rsid w:val="00E34A12"/>
    <w:rsid w:val="00E360C9"/>
    <w:rsid w:val="00E4064C"/>
    <w:rsid w:val="00E53175"/>
    <w:rsid w:val="00E57468"/>
    <w:rsid w:val="00E57EE8"/>
    <w:rsid w:val="00E6167E"/>
    <w:rsid w:val="00E663E3"/>
    <w:rsid w:val="00E70C8F"/>
    <w:rsid w:val="00E71956"/>
    <w:rsid w:val="00E8319A"/>
    <w:rsid w:val="00E83D5A"/>
    <w:rsid w:val="00E93B86"/>
    <w:rsid w:val="00E96375"/>
    <w:rsid w:val="00EA09B4"/>
    <w:rsid w:val="00EA17AE"/>
    <w:rsid w:val="00EA597B"/>
    <w:rsid w:val="00EB38DE"/>
    <w:rsid w:val="00EC2245"/>
    <w:rsid w:val="00EC5D56"/>
    <w:rsid w:val="00ED7ED9"/>
    <w:rsid w:val="00EE08C3"/>
    <w:rsid w:val="00EE68CB"/>
    <w:rsid w:val="00EF0118"/>
    <w:rsid w:val="00F00C1C"/>
    <w:rsid w:val="00F06376"/>
    <w:rsid w:val="00F068A0"/>
    <w:rsid w:val="00F14ADE"/>
    <w:rsid w:val="00F17006"/>
    <w:rsid w:val="00F30E97"/>
    <w:rsid w:val="00F31E8E"/>
    <w:rsid w:val="00F374A1"/>
    <w:rsid w:val="00F50A2C"/>
    <w:rsid w:val="00F52D6C"/>
    <w:rsid w:val="00F64A9B"/>
    <w:rsid w:val="00F66CCB"/>
    <w:rsid w:val="00F7455F"/>
    <w:rsid w:val="00F74DE4"/>
    <w:rsid w:val="00FB753B"/>
    <w:rsid w:val="00FE3A4A"/>
    <w:rsid w:val="00FE41FF"/>
    <w:rsid w:val="00FF35F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3B1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hidden/>
    <w:qFormat/>
    <w:rsid w:val="00332D4D"/>
    <w:pPr>
      <w:spacing w:after="120" w:line="240" w:lineRule="auto"/>
      <w:jc w:val="both"/>
    </w:pPr>
    <w:rPr>
      <w:rFonts w:ascii="Calibri" w:eastAsia="Times New Roman" w:hAnsi="Calibri" w:cs="Times New Roman"/>
      <w:sz w:val="20"/>
      <w:szCs w:val="20"/>
      <w:lang w:eastAsia="cs-CZ"/>
    </w:rPr>
  </w:style>
  <w:style w:type="paragraph" w:styleId="Nadpis1">
    <w:name w:val="heading 1"/>
    <w:basedOn w:val="Normln"/>
    <w:next w:val="Normln"/>
    <w:link w:val="Nadpis1Char"/>
    <w:qFormat/>
    <w:rsid w:val="00332D4D"/>
    <w:pPr>
      <w:keepNext/>
      <w:pageBreakBefore/>
      <w:numPr>
        <w:numId w:val="1"/>
      </w:numPr>
      <w:outlineLvl w:val="0"/>
    </w:pPr>
    <w:rPr>
      <w:rFonts w:cs="Arial"/>
      <w:b/>
      <w:bCs/>
      <w:kern w:val="32"/>
      <w:sz w:val="40"/>
      <w:szCs w:val="32"/>
    </w:rPr>
  </w:style>
  <w:style w:type="paragraph" w:styleId="Nadpis2">
    <w:name w:val="heading 2"/>
    <w:basedOn w:val="Normln"/>
    <w:next w:val="Normln"/>
    <w:link w:val="Nadpis2Char"/>
    <w:qFormat/>
    <w:rsid w:val="00B81313"/>
    <w:pPr>
      <w:keepNext/>
      <w:numPr>
        <w:ilvl w:val="1"/>
        <w:numId w:val="1"/>
      </w:numPr>
      <w:pBdr>
        <w:bottom w:val="single" w:sz="12" w:space="1" w:color="E4DFEC"/>
      </w:pBdr>
      <w:tabs>
        <w:tab w:val="clear" w:pos="1275"/>
        <w:tab w:val="num" w:pos="567"/>
      </w:tabs>
      <w:spacing w:before="480" w:after="60"/>
      <w:ind w:left="567"/>
      <w:outlineLvl w:val="1"/>
    </w:pPr>
    <w:rPr>
      <w:rFonts w:cs="Arial"/>
      <w:b/>
      <w:bCs/>
      <w:iCs/>
      <w:sz w:val="28"/>
      <w:szCs w:val="28"/>
    </w:rPr>
  </w:style>
  <w:style w:type="paragraph" w:styleId="Nadpis3">
    <w:name w:val="heading 3"/>
    <w:basedOn w:val="Normln"/>
    <w:next w:val="Normln"/>
    <w:link w:val="Nadpis3Char"/>
    <w:qFormat/>
    <w:rsid w:val="00111630"/>
    <w:pPr>
      <w:keepNext/>
      <w:numPr>
        <w:ilvl w:val="2"/>
        <w:numId w:val="1"/>
      </w:numPr>
      <w:spacing w:before="240" w:after="0"/>
      <w:ind w:left="567" w:hanging="567"/>
      <w:outlineLvl w:val="2"/>
    </w:pPr>
    <w:rPr>
      <w:rFonts w:cs="Arial"/>
      <w:b/>
      <w:bCs/>
      <w:szCs w:val="26"/>
    </w:rPr>
  </w:style>
  <w:style w:type="paragraph" w:styleId="Nadpis4">
    <w:name w:val="heading 4"/>
    <w:basedOn w:val="Nadpis3"/>
    <w:next w:val="Normln"/>
    <w:link w:val="Nadpis4Char"/>
    <w:qFormat/>
    <w:rsid w:val="00332D4D"/>
    <w:pPr>
      <w:numPr>
        <w:ilvl w:val="0"/>
        <w:numId w:val="0"/>
      </w:numPr>
      <w:tabs>
        <w:tab w:val="num" w:pos="864"/>
      </w:tabs>
      <w:spacing w:before="120"/>
      <w:outlineLvl w:val="3"/>
    </w:pPr>
    <w:rPr>
      <w:bCs w:val="0"/>
      <w:szCs w:val="28"/>
    </w:rPr>
  </w:style>
  <w:style w:type="paragraph" w:styleId="Nadpis5">
    <w:name w:val="heading 5"/>
    <w:basedOn w:val="Normln"/>
    <w:next w:val="Normln"/>
    <w:link w:val="Nadpis5Char"/>
    <w:rsid w:val="00332D4D"/>
    <w:pPr>
      <w:keepNext/>
      <w:tabs>
        <w:tab w:val="num" w:pos="1008"/>
      </w:tabs>
      <w:spacing w:before="480" w:after="480"/>
      <w:ind w:left="1009" w:hanging="1009"/>
      <w:outlineLvl w:val="4"/>
    </w:pPr>
    <w:rPr>
      <w:rFonts w:ascii="Arial" w:hAnsi="Arial"/>
      <w:b/>
      <w:bCs/>
    </w:rPr>
  </w:style>
  <w:style w:type="paragraph" w:styleId="Nadpis6">
    <w:name w:val="heading 6"/>
    <w:basedOn w:val="Normln"/>
    <w:next w:val="Normln"/>
    <w:link w:val="Nadpis6Char"/>
    <w:rsid w:val="00332D4D"/>
    <w:pPr>
      <w:keepNext/>
      <w:keepLines/>
      <w:pageBreakBefore/>
      <w:tabs>
        <w:tab w:val="num" w:pos="1152"/>
      </w:tabs>
      <w:outlineLvl w:val="5"/>
    </w:pPr>
    <w:rPr>
      <w:b/>
      <w:bCs/>
      <w:sz w:val="40"/>
      <w:szCs w:val="22"/>
    </w:rPr>
  </w:style>
  <w:style w:type="paragraph" w:styleId="Nadpis7">
    <w:name w:val="heading 7"/>
    <w:basedOn w:val="Normln"/>
    <w:next w:val="Normln"/>
    <w:link w:val="Nadpis7Char"/>
    <w:rsid w:val="00332D4D"/>
    <w:pPr>
      <w:tabs>
        <w:tab w:val="num" w:pos="1296"/>
      </w:tabs>
      <w:spacing w:before="240" w:after="60"/>
      <w:ind w:left="1296" w:hanging="1296"/>
      <w:outlineLvl w:val="6"/>
    </w:pPr>
    <w:rPr>
      <w:rFonts w:ascii="Times New Roman" w:hAnsi="Times New Roman"/>
      <w:sz w:val="24"/>
    </w:rPr>
  </w:style>
  <w:style w:type="paragraph" w:styleId="Nadpis8">
    <w:name w:val="heading 8"/>
    <w:basedOn w:val="Normln"/>
    <w:next w:val="Normln"/>
    <w:link w:val="Nadpis8Char"/>
    <w:rsid w:val="00332D4D"/>
    <w:pPr>
      <w:tabs>
        <w:tab w:val="num" w:pos="1440"/>
      </w:tabs>
      <w:spacing w:before="240" w:after="60"/>
      <w:ind w:left="1440" w:hanging="1440"/>
      <w:outlineLvl w:val="7"/>
    </w:pPr>
    <w:rPr>
      <w:rFonts w:ascii="Times New Roman" w:hAnsi="Times New Roman"/>
      <w:i/>
      <w:iCs/>
      <w:sz w:val="24"/>
    </w:rPr>
  </w:style>
  <w:style w:type="paragraph" w:styleId="Nadpis9">
    <w:name w:val="heading 9"/>
    <w:basedOn w:val="Normln"/>
    <w:next w:val="Normln"/>
    <w:link w:val="Nadpis9Char"/>
    <w:rsid w:val="00332D4D"/>
    <w:pPr>
      <w:keepNext/>
      <w:tabs>
        <w:tab w:val="num" w:pos="1584"/>
      </w:tabs>
      <w:ind w:left="1584" w:hanging="1584"/>
      <w:jc w:val="center"/>
      <w:outlineLvl w:val="8"/>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332D4D"/>
    <w:rPr>
      <w:rFonts w:ascii="Calibri" w:eastAsia="Times New Roman" w:hAnsi="Calibri" w:cs="Arial"/>
      <w:b/>
      <w:bCs/>
      <w:kern w:val="32"/>
      <w:sz w:val="40"/>
      <w:szCs w:val="32"/>
      <w:lang w:eastAsia="cs-CZ"/>
    </w:rPr>
  </w:style>
  <w:style w:type="character" w:customStyle="1" w:styleId="Nadpis2Char">
    <w:name w:val="Nadpis 2 Char"/>
    <w:basedOn w:val="Standardnpsmoodstavce"/>
    <w:link w:val="Nadpis2"/>
    <w:rsid w:val="00B81313"/>
    <w:rPr>
      <w:rFonts w:ascii="Calibri" w:eastAsia="Times New Roman" w:hAnsi="Calibri" w:cs="Arial"/>
      <w:b/>
      <w:bCs/>
      <w:iCs/>
      <w:sz w:val="28"/>
      <w:szCs w:val="28"/>
      <w:lang w:eastAsia="cs-CZ"/>
    </w:rPr>
  </w:style>
  <w:style w:type="character" w:customStyle="1" w:styleId="Nadpis3Char">
    <w:name w:val="Nadpis 3 Char"/>
    <w:basedOn w:val="Standardnpsmoodstavce"/>
    <w:link w:val="Nadpis3"/>
    <w:rsid w:val="00111630"/>
    <w:rPr>
      <w:rFonts w:ascii="Calibri" w:eastAsia="Times New Roman" w:hAnsi="Calibri" w:cs="Arial"/>
      <w:b/>
      <w:bCs/>
      <w:sz w:val="20"/>
      <w:szCs w:val="26"/>
      <w:lang w:eastAsia="cs-CZ"/>
    </w:rPr>
  </w:style>
  <w:style w:type="character" w:customStyle="1" w:styleId="Nadpis4Char">
    <w:name w:val="Nadpis 4 Char"/>
    <w:basedOn w:val="Standardnpsmoodstavce"/>
    <w:link w:val="Nadpis4"/>
    <w:rsid w:val="00332D4D"/>
    <w:rPr>
      <w:rFonts w:ascii="Calibri" w:eastAsia="Times New Roman" w:hAnsi="Calibri" w:cs="Arial"/>
      <w:b/>
      <w:sz w:val="20"/>
      <w:szCs w:val="28"/>
      <w:lang w:eastAsia="cs-CZ"/>
    </w:rPr>
  </w:style>
  <w:style w:type="character" w:customStyle="1" w:styleId="Nadpis5Char">
    <w:name w:val="Nadpis 5 Char"/>
    <w:basedOn w:val="Standardnpsmoodstavce"/>
    <w:link w:val="Nadpis5"/>
    <w:rsid w:val="00332D4D"/>
    <w:rPr>
      <w:rFonts w:ascii="Arial" w:eastAsia="Times New Roman" w:hAnsi="Arial" w:cs="Times New Roman"/>
      <w:b/>
      <w:bCs/>
      <w:sz w:val="20"/>
      <w:szCs w:val="20"/>
      <w:lang w:eastAsia="cs-CZ"/>
    </w:rPr>
  </w:style>
  <w:style w:type="character" w:customStyle="1" w:styleId="Nadpis6Char">
    <w:name w:val="Nadpis 6 Char"/>
    <w:basedOn w:val="Standardnpsmoodstavce"/>
    <w:link w:val="Nadpis6"/>
    <w:rsid w:val="00332D4D"/>
    <w:rPr>
      <w:rFonts w:ascii="Calibri" w:eastAsia="Times New Roman" w:hAnsi="Calibri" w:cs="Times New Roman"/>
      <w:b/>
      <w:bCs/>
      <w:sz w:val="40"/>
      <w:lang w:eastAsia="cs-CZ"/>
    </w:rPr>
  </w:style>
  <w:style w:type="character" w:customStyle="1" w:styleId="Nadpis7Char">
    <w:name w:val="Nadpis 7 Char"/>
    <w:basedOn w:val="Standardnpsmoodstavce"/>
    <w:link w:val="Nadpis7"/>
    <w:rsid w:val="00332D4D"/>
    <w:rPr>
      <w:rFonts w:ascii="Times New Roman" w:eastAsia="Times New Roman" w:hAnsi="Times New Roman" w:cs="Times New Roman"/>
      <w:sz w:val="24"/>
      <w:szCs w:val="20"/>
      <w:lang w:eastAsia="cs-CZ"/>
    </w:rPr>
  </w:style>
  <w:style w:type="character" w:customStyle="1" w:styleId="Nadpis8Char">
    <w:name w:val="Nadpis 8 Char"/>
    <w:basedOn w:val="Standardnpsmoodstavce"/>
    <w:link w:val="Nadpis8"/>
    <w:rsid w:val="00332D4D"/>
    <w:rPr>
      <w:rFonts w:ascii="Times New Roman" w:eastAsia="Times New Roman" w:hAnsi="Times New Roman" w:cs="Times New Roman"/>
      <w:i/>
      <w:iCs/>
      <w:sz w:val="24"/>
      <w:szCs w:val="20"/>
      <w:lang w:eastAsia="cs-CZ"/>
    </w:rPr>
  </w:style>
  <w:style w:type="character" w:customStyle="1" w:styleId="Nadpis9Char">
    <w:name w:val="Nadpis 9 Char"/>
    <w:basedOn w:val="Standardnpsmoodstavce"/>
    <w:link w:val="Nadpis9"/>
    <w:rsid w:val="00332D4D"/>
    <w:rPr>
      <w:rFonts w:ascii="Calibri" w:eastAsia="Times New Roman" w:hAnsi="Calibri" w:cs="Times New Roman"/>
      <w:b/>
      <w:bCs/>
      <w:sz w:val="20"/>
      <w:szCs w:val="20"/>
      <w:lang w:eastAsia="cs-CZ"/>
    </w:rPr>
  </w:style>
  <w:style w:type="paragraph" w:styleId="Zhlav">
    <w:name w:val="header"/>
    <w:basedOn w:val="Normln"/>
    <w:link w:val="ZhlavChar"/>
    <w:rsid w:val="00332D4D"/>
    <w:pPr>
      <w:tabs>
        <w:tab w:val="center" w:pos="4536"/>
        <w:tab w:val="right" w:pos="9072"/>
      </w:tabs>
    </w:pPr>
  </w:style>
  <w:style w:type="character" w:customStyle="1" w:styleId="ZhlavChar">
    <w:name w:val="Záhlaví Char"/>
    <w:basedOn w:val="Standardnpsmoodstavce"/>
    <w:link w:val="Zhlav"/>
    <w:rsid w:val="00332D4D"/>
    <w:rPr>
      <w:rFonts w:ascii="Calibri" w:eastAsia="Times New Roman" w:hAnsi="Calibri" w:cs="Times New Roman"/>
      <w:sz w:val="20"/>
      <w:szCs w:val="20"/>
      <w:lang w:eastAsia="cs-CZ"/>
    </w:rPr>
  </w:style>
  <w:style w:type="paragraph" w:styleId="Zpat">
    <w:name w:val="footer"/>
    <w:basedOn w:val="Normln"/>
    <w:link w:val="ZpatChar"/>
    <w:rsid w:val="00332D4D"/>
    <w:pPr>
      <w:tabs>
        <w:tab w:val="center" w:pos="4536"/>
        <w:tab w:val="right" w:pos="9072"/>
      </w:tabs>
    </w:pPr>
  </w:style>
  <w:style w:type="character" w:customStyle="1" w:styleId="ZpatChar">
    <w:name w:val="Zápatí Char"/>
    <w:basedOn w:val="Standardnpsmoodstavce"/>
    <w:link w:val="Zpat"/>
    <w:rsid w:val="00332D4D"/>
    <w:rPr>
      <w:rFonts w:ascii="Calibri" w:eastAsia="Times New Roman" w:hAnsi="Calibri" w:cs="Times New Roman"/>
      <w:sz w:val="20"/>
      <w:szCs w:val="20"/>
      <w:lang w:eastAsia="cs-CZ"/>
    </w:rPr>
  </w:style>
  <w:style w:type="character" w:styleId="slostrnky">
    <w:name w:val="page number"/>
    <w:rsid w:val="00332D4D"/>
    <w:rPr>
      <w:rFonts w:ascii="Calibri" w:hAnsi="Calibri"/>
      <w:sz w:val="16"/>
    </w:rPr>
  </w:style>
  <w:style w:type="character" w:styleId="Hypertextovodkaz">
    <w:name w:val="Hyperlink"/>
    <w:uiPriority w:val="99"/>
    <w:rsid w:val="00332D4D"/>
    <w:rPr>
      <w:color w:val="0000FF"/>
      <w:u w:val="single"/>
    </w:rPr>
  </w:style>
  <w:style w:type="paragraph" w:styleId="Obsah1">
    <w:name w:val="toc 1"/>
    <w:basedOn w:val="Normln"/>
    <w:next w:val="Normln"/>
    <w:autoRedefine/>
    <w:uiPriority w:val="39"/>
    <w:rsid w:val="00332D4D"/>
    <w:pPr>
      <w:tabs>
        <w:tab w:val="left" w:pos="284"/>
        <w:tab w:val="right" w:leader="dot" w:pos="9628"/>
      </w:tabs>
      <w:spacing w:before="120" w:after="60"/>
    </w:pPr>
    <w:rPr>
      <w:b/>
      <w:noProof/>
    </w:rPr>
  </w:style>
  <w:style w:type="paragraph" w:styleId="Obsah2">
    <w:name w:val="toc 2"/>
    <w:basedOn w:val="Normln"/>
    <w:next w:val="Normln"/>
    <w:autoRedefine/>
    <w:uiPriority w:val="39"/>
    <w:rsid w:val="00332D4D"/>
    <w:pPr>
      <w:tabs>
        <w:tab w:val="left" w:pos="960"/>
        <w:tab w:val="right" w:leader="dot" w:pos="9628"/>
      </w:tabs>
      <w:spacing w:after="60"/>
      <w:ind w:left="567"/>
    </w:pPr>
  </w:style>
  <w:style w:type="paragraph" w:customStyle="1" w:styleId="Nadpiszacatek">
    <w:name w:val="Nadpis zacatek"/>
    <w:basedOn w:val="Normln"/>
    <w:semiHidden/>
    <w:rsid w:val="00332D4D"/>
    <w:pPr>
      <w:spacing w:after="240"/>
    </w:pPr>
    <w:rPr>
      <w:b/>
      <w:bCs/>
      <w:sz w:val="32"/>
    </w:rPr>
  </w:style>
  <w:style w:type="paragraph" w:styleId="Seznamobrzk">
    <w:name w:val="table of figures"/>
    <w:basedOn w:val="Normln"/>
    <w:next w:val="Normln"/>
    <w:uiPriority w:val="99"/>
    <w:rsid w:val="00332D4D"/>
    <w:pPr>
      <w:tabs>
        <w:tab w:val="right" w:leader="dot" w:pos="9639"/>
      </w:tabs>
      <w:spacing w:after="60"/>
      <w:ind w:left="482" w:hanging="482"/>
    </w:pPr>
  </w:style>
  <w:style w:type="paragraph" w:customStyle="1" w:styleId="Nadpismal">
    <w:name w:val="Nadpis malý"/>
    <w:next w:val="Normln"/>
    <w:qFormat/>
    <w:rsid w:val="00332D4D"/>
    <w:pPr>
      <w:keepNext/>
      <w:keepLines/>
      <w:spacing w:before="360" w:after="60" w:line="240" w:lineRule="auto"/>
      <w:jc w:val="both"/>
    </w:pPr>
    <w:rPr>
      <w:rFonts w:ascii="Calibri" w:eastAsia="Times New Roman" w:hAnsi="Calibri" w:cs="Times New Roman"/>
      <w:b/>
      <w:sz w:val="24"/>
      <w:szCs w:val="24"/>
      <w:lang w:eastAsia="cs-CZ"/>
    </w:rPr>
  </w:style>
  <w:style w:type="paragraph" w:customStyle="1" w:styleId="Seznamliteratury">
    <w:name w:val="Seznam literatury"/>
    <w:basedOn w:val="Normln"/>
    <w:uiPriority w:val="99"/>
    <w:qFormat/>
    <w:rsid w:val="00332D4D"/>
    <w:pPr>
      <w:ind w:left="540" w:hanging="540"/>
    </w:pPr>
  </w:style>
  <w:style w:type="paragraph" w:styleId="Titulek">
    <w:name w:val="caption"/>
    <w:basedOn w:val="Normln"/>
    <w:next w:val="Normln"/>
    <w:link w:val="TitulekChar"/>
    <w:qFormat/>
    <w:rsid w:val="00332D4D"/>
    <w:pPr>
      <w:keepNext/>
      <w:keepLines/>
      <w:spacing w:before="240" w:after="0"/>
    </w:pPr>
    <w:rPr>
      <w:b/>
      <w:bCs/>
    </w:rPr>
  </w:style>
  <w:style w:type="paragraph" w:customStyle="1" w:styleId="Odkazyvvodnmboxu">
    <w:name w:val="Odkazy v úvodním boxu"/>
    <w:basedOn w:val="Normln"/>
    <w:rsid w:val="00332D4D"/>
    <w:pPr>
      <w:ind w:left="567"/>
    </w:pPr>
    <w:rPr>
      <w:b/>
      <w:bCs/>
      <w:i/>
      <w:iCs/>
    </w:rPr>
  </w:style>
  <w:style w:type="paragraph" w:customStyle="1" w:styleId="Seznamzkratek">
    <w:name w:val="Seznam zkratek"/>
    <w:basedOn w:val="Normln"/>
    <w:rsid w:val="00332D4D"/>
    <w:pPr>
      <w:tabs>
        <w:tab w:val="left" w:leader="dot" w:pos="3119"/>
      </w:tabs>
      <w:spacing w:after="0" w:line="264" w:lineRule="auto"/>
    </w:pPr>
  </w:style>
  <w:style w:type="paragraph" w:customStyle="1" w:styleId="Zdrojpoznmkapodtabulkougrafem">
    <w:name w:val="Zdroj/poznámka pod tabulkou/grafem"/>
    <w:basedOn w:val="Normln"/>
    <w:next w:val="Normln"/>
    <w:link w:val="ZdrojpoznmkapodtabulkougrafemCharChar"/>
    <w:rsid w:val="00332D4D"/>
    <w:pPr>
      <w:spacing w:after="240"/>
      <w:contextualSpacing/>
    </w:pPr>
    <w:rPr>
      <w:i/>
      <w:sz w:val="16"/>
      <w:szCs w:val="16"/>
    </w:rPr>
  </w:style>
  <w:style w:type="character" w:customStyle="1" w:styleId="ZdrojpoznmkapodtabulkougrafemCharChar">
    <w:name w:val="Zdroj/poznámka pod tabulkou/grafem Char Char"/>
    <w:link w:val="Zdrojpoznmkapodtabulkougrafem"/>
    <w:rsid w:val="00332D4D"/>
    <w:rPr>
      <w:rFonts w:ascii="Calibri" w:eastAsia="Times New Roman" w:hAnsi="Calibri" w:cs="Times New Roman"/>
      <w:i/>
      <w:sz w:val="16"/>
      <w:szCs w:val="16"/>
      <w:lang w:eastAsia="cs-CZ"/>
    </w:rPr>
  </w:style>
  <w:style w:type="table" w:styleId="Mkatabulky">
    <w:name w:val="Table Grid"/>
    <w:basedOn w:val="Normlntabulka"/>
    <w:uiPriority w:val="59"/>
    <w:rsid w:val="00332D4D"/>
    <w:pPr>
      <w:spacing w:after="120" w:line="240" w:lineRule="auto"/>
      <w:jc w:val="both"/>
    </w:pPr>
    <w:rPr>
      <w:rFonts w:ascii="Calibri" w:eastAsia="Times New Roman" w:hAnsi="Calibri"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Nadpis1bezsla">
    <w:name w:val="Styl Nadpis 1 bez čísla"/>
    <w:basedOn w:val="Nadpis1"/>
    <w:semiHidden/>
    <w:locked/>
    <w:rsid w:val="00332D4D"/>
    <w:pPr>
      <w:ind w:left="0" w:firstLine="0"/>
    </w:pPr>
    <w:rPr>
      <w:rFonts w:cs="Times New Roman"/>
      <w:szCs w:val="20"/>
    </w:rPr>
  </w:style>
  <w:style w:type="paragraph" w:customStyle="1" w:styleId="Jednotkypodnadpisemgrafunebotabulky">
    <w:name w:val="Jednotky pod nadpisem grafu nebo tabulky"/>
    <w:basedOn w:val="Normln"/>
    <w:rsid w:val="00332D4D"/>
    <w:pPr>
      <w:keepNext/>
      <w:spacing w:after="0"/>
    </w:pPr>
    <w:rPr>
      <w:i/>
      <w:iCs/>
      <w:sz w:val="16"/>
    </w:rPr>
  </w:style>
  <w:style w:type="character" w:styleId="Znakapoznpodarou">
    <w:name w:val="footnote reference"/>
    <w:aliases w:val="Footnote symbol,Footnote reference number,Times 10 Point,Exposant 3 Point,EN Footnote Reference,note TESI, Exposant 3 Point,PGI Fußnote Ziffer + Times New Roman,12 b.,Zúžené o ...,PGI Fußnote Ziffer,BVI fnr"/>
    <w:rsid w:val="00332D4D"/>
    <w:rPr>
      <w:vertAlign w:val="superscript"/>
    </w:rPr>
  </w:style>
  <w:style w:type="paragraph" w:customStyle="1" w:styleId="Titulky">
    <w:name w:val="Titulky"/>
    <w:basedOn w:val="Titulek"/>
    <w:semiHidden/>
    <w:rsid w:val="00332D4D"/>
    <w:pPr>
      <w:keepLines w:val="0"/>
      <w:spacing w:beforeLines="75" w:before="180"/>
      <w:jc w:val="left"/>
    </w:pPr>
    <w:rPr>
      <w:rFonts w:ascii="Arial" w:hAnsi="Arial"/>
    </w:rPr>
  </w:style>
  <w:style w:type="paragraph" w:customStyle="1" w:styleId="Fisklnvhled1strana">
    <w:name w:val="Fiskální výhled (1. strana)"/>
    <w:basedOn w:val="Zpat"/>
    <w:next w:val="eskrepubliky1strana"/>
    <w:semiHidden/>
    <w:locked/>
    <w:rsid w:val="00332D4D"/>
    <w:pPr>
      <w:spacing w:before="7800" w:after="0"/>
      <w:ind w:left="1440" w:right="-289"/>
      <w:jc w:val="right"/>
    </w:pPr>
    <w:rPr>
      <w:b/>
      <w:bCs/>
      <w:spacing w:val="10"/>
      <w:sz w:val="96"/>
    </w:rPr>
  </w:style>
  <w:style w:type="paragraph" w:customStyle="1" w:styleId="eskrepubliky1strana">
    <w:name w:val="České republiky (1. strana)"/>
    <w:basedOn w:val="Zpat"/>
    <w:semiHidden/>
    <w:locked/>
    <w:rsid w:val="00332D4D"/>
    <w:pPr>
      <w:spacing w:after="0"/>
      <w:ind w:left="1440" w:right="-288"/>
      <w:jc w:val="right"/>
    </w:pPr>
    <w:rPr>
      <w:b/>
      <w:bCs/>
      <w:sz w:val="56"/>
    </w:rPr>
  </w:style>
  <w:style w:type="paragraph" w:customStyle="1" w:styleId="Zdrojpodtabulkounebografem">
    <w:name w:val="Zdroj pod tabulkou nebo grafem"/>
    <w:basedOn w:val="Normln"/>
    <w:next w:val="Normln"/>
    <w:link w:val="ZdrojpodtabulkounebografemChar"/>
    <w:qFormat/>
    <w:rsid w:val="00332D4D"/>
    <w:pPr>
      <w:spacing w:after="240"/>
      <w:contextualSpacing/>
    </w:pPr>
    <w:rPr>
      <w:i/>
      <w:sz w:val="16"/>
      <w:szCs w:val="16"/>
    </w:rPr>
  </w:style>
  <w:style w:type="paragraph" w:styleId="Textbubliny">
    <w:name w:val="Balloon Text"/>
    <w:basedOn w:val="Normln"/>
    <w:link w:val="TextbublinyChar"/>
    <w:semiHidden/>
    <w:rsid w:val="00332D4D"/>
    <w:rPr>
      <w:rFonts w:ascii="Tahoma" w:hAnsi="Tahoma" w:cs="Tahoma"/>
      <w:sz w:val="16"/>
      <w:szCs w:val="16"/>
    </w:rPr>
  </w:style>
  <w:style w:type="character" w:customStyle="1" w:styleId="TextbublinyChar">
    <w:name w:val="Text bubliny Char"/>
    <w:basedOn w:val="Standardnpsmoodstavce"/>
    <w:link w:val="Textbubliny"/>
    <w:semiHidden/>
    <w:rsid w:val="00332D4D"/>
    <w:rPr>
      <w:rFonts w:ascii="Tahoma" w:eastAsia="Times New Roman" w:hAnsi="Tahoma" w:cs="Tahoma"/>
      <w:sz w:val="16"/>
      <w:szCs w:val="16"/>
      <w:lang w:eastAsia="cs-CZ"/>
    </w:rPr>
  </w:style>
  <w:style w:type="paragraph" w:customStyle="1" w:styleId="Titulek-jednotkypodnadpisemgrafunebotabulky">
    <w:name w:val="Titulek - jednotky pod nadpisem grafu nebo tabulky"/>
    <w:basedOn w:val="Normln"/>
    <w:rsid w:val="00332D4D"/>
    <w:pPr>
      <w:keepNext/>
      <w:keepLines/>
      <w:spacing w:after="0"/>
    </w:pPr>
    <w:rPr>
      <w:i/>
      <w:iCs/>
      <w:sz w:val="16"/>
    </w:rPr>
  </w:style>
  <w:style w:type="paragraph" w:styleId="Rozloendokumentu">
    <w:name w:val="Document Map"/>
    <w:basedOn w:val="Normln"/>
    <w:link w:val="RozloendokumentuChar"/>
    <w:semiHidden/>
    <w:rsid w:val="00332D4D"/>
    <w:pPr>
      <w:shd w:val="clear" w:color="auto" w:fill="000080"/>
    </w:pPr>
    <w:rPr>
      <w:rFonts w:ascii="Tahoma" w:hAnsi="Tahoma" w:cs="Tahoma"/>
    </w:rPr>
  </w:style>
  <w:style w:type="character" w:customStyle="1" w:styleId="RozloendokumentuChar">
    <w:name w:val="Rozložení dokumentu Char"/>
    <w:basedOn w:val="Standardnpsmoodstavce"/>
    <w:link w:val="Rozloendokumentu"/>
    <w:semiHidden/>
    <w:rsid w:val="00332D4D"/>
    <w:rPr>
      <w:rFonts w:ascii="Tahoma" w:eastAsia="Times New Roman" w:hAnsi="Tahoma" w:cs="Tahoma"/>
      <w:sz w:val="20"/>
      <w:szCs w:val="20"/>
      <w:shd w:val="clear" w:color="auto" w:fill="000080"/>
      <w:lang w:eastAsia="cs-CZ"/>
    </w:rPr>
  </w:style>
  <w:style w:type="character" w:styleId="Odkaznakoment">
    <w:name w:val="annotation reference"/>
    <w:rsid w:val="00332D4D"/>
    <w:rPr>
      <w:sz w:val="16"/>
      <w:szCs w:val="16"/>
    </w:rPr>
  </w:style>
  <w:style w:type="paragraph" w:styleId="Textkomente">
    <w:name w:val="annotation text"/>
    <w:basedOn w:val="Normln"/>
    <w:link w:val="TextkomenteChar"/>
    <w:rsid w:val="00332D4D"/>
  </w:style>
  <w:style w:type="character" w:customStyle="1" w:styleId="TextkomenteChar">
    <w:name w:val="Text komentáře Char"/>
    <w:basedOn w:val="Standardnpsmoodstavce"/>
    <w:link w:val="Textkomente"/>
    <w:rsid w:val="00332D4D"/>
    <w:rPr>
      <w:rFonts w:ascii="Calibri" w:eastAsia="Times New Roman" w:hAnsi="Calibri" w:cs="Times New Roman"/>
      <w:sz w:val="20"/>
      <w:szCs w:val="20"/>
      <w:lang w:eastAsia="cs-CZ"/>
    </w:rPr>
  </w:style>
  <w:style w:type="paragraph" w:styleId="Pedmtkomente">
    <w:name w:val="annotation subject"/>
    <w:basedOn w:val="Textkomente"/>
    <w:next w:val="Textkomente"/>
    <w:link w:val="PedmtkomenteChar"/>
    <w:semiHidden/>
    <w:rsid w:val="00332D4D"/>
    <w:rPr>
      <w:b/>
      <w:bCs/>
    </w:rPr>
  </w:style>
  <w:style w:type="character" w:customStyle="1" w:styleId="PedmtkomenteChar">
    <w:name w:val="Předmět komentáře Char"/>
    <w:basedOn w:val="TextkomenteChar"/>
    <w:link w:val="Pedmtkomente"/>
    <w:semiHidden/>
    <w:rsid w:val="00332D4D"/>
    <w:rPr>
      <w:rFonts w:ascii="Calibri" w:eastAsia="Times New Roman" w:hAnsi="Calibri" w:cs="Times New Roman"/>
      <w:b/>
      <w:bCs/>
      <w:sz w:val="20"/>
      <w:szCs w:val="20"/>
      <w:lang w:eastAsia="cs-CZ"/>
    </w:rPr>
  </w:style>
  <w:style w:type="paragraph" w:styleId="Zkladntext">
    <w:name w:val="Body Text"/>
    <w:basedOn w:val="Normln"/>
    <w:link w:val="ZkladntextChar"/>
    <w:rsid w:val="00332D4D"/>
    <w:rPr>
      <w:lang w:eastAsia="en-US"/>
    </w:rPr>
  </w:style>
  <w:style w:type="character" w:customStyle="1" w:styleId="ZkladntextChar">
    <w:name w:val="Základní text Char"/>
    <w:basedOn w:val="Standardnpsmoodstavce"/>
    <w:link w:val="Zkladntext"/>
    <w:rsid w:val="00332D4D"/>
    <w:rPr>
      <w:rFonts w:ascii="Calibri" w:eastAsia="Times New Roman" w:hAnsi="Calibri" w:cs="Times New Roman"/>
      <w:sz w:val="20"/>
      <w:szCs w:val="20"/>
    </w:rPr>
  </w:style>
  <w:style w:type="paragraph" w:styleId="Textpoznpodarou">
    <w:name w:val="footnote text"/>
    <w:aliases w:val="Schriftart: 9 pt,Schriftart: 10 pt,Schriftart: 8 pt,Char,Text pozn. pod čarou1,Char Char Char1,Char Char1,Footnote Text Char1"/>
    <w:basedOn w:val="Normln"/>
    <w:link w:val="TextpoznpodarouChar"/>
    <w:rsid w:val="00332D4D"/>
    <w:rPr>
      <w:sz w:val="16"/>
    </w:rPr>
  </w:style>
  <w:style w:type="character" w:customStyle="1" w:styleId="TextpoznpodarouChar">
    <w:name w:val="Text pozn. pod čarou Char"/>
    <w:aliases w:val="Schriftart: 9 pt Char1,Schriftart: 10 pt Char1,Schriftart: 8 pt Char1,Char Char2,Text pozn. pod čarou1 Char1,Char Char Char1 Char1,Char Char1 Char1,Footnote Text Char1 Char1"/>
    <w:basedOn w:val="Standardnpsmoodstavce"/>
    <w:link w:val="Textpoznpodarou"/>
    <w:rsid w:val="00332D4D"/>
    <w:rPr>
      <w:rFonts w:ascii="Calibri" w:eastAsia="Times New Roman" w:hAnsi="Calibri" w:cs="Times New Roman"/>
      <w:sz w:val="16"/>
      <w:szCs w:val="20"/>
      <w:lang w:eastAsia="cs-CZ"/>
    </w:rPr>
  </w:style>
  <w:style w:type="numbering" w:customStyle="1" w:styleId="StylSodrkami">
    <w:name w:val="Styl S odrážkami"/>
    <w:basedOn w:val="Bezseznamu"/>
    <w:rsid w:val="00332D4D"/>
    <w:pPr>
      <w:numPr>
        <w:numId w:val="2"/>
      </w:numPr>
    </w:pPr>
  </w:style>
  <w:style w:type="paragraph" w:customStyle="1" w:styleId="NadpisAB">
    <w:name w:val="Nadpis AB"/>
    <w:basedOn w:val="Nadpis1"/>
    <w:rsid w:val="00332D4D"/>
    <w:pPr>
      <w:numPr>
        <w:numId w:val="3"/>
      </w:numPr>
      <w:jc w:val="left"/>
    </w:pPr>
  </w:style>
  <w:style w:type="character" w:customStyle="1" w:styleId="TitulekChar">
    <w:name w:val="Titulek Char"/>
    <w:link w:val="Titulek"/>
    <w:rsid w:val="00332D4D"/>
    <w:rPr>
      <w:rFonts w:ascii="Calibri" w:eastAsia="Times New Roman" w:hAnsi="Calibri" w:cs="Times New Roman"/>
      <w:b/>
      <w:bCs/>
      <w:sz w:val="20"/>
      <w:szCs w:val="20"/>
      <w:lang w:eastAsia="cs-CZ"/>
    </w:rPr>
  </w:style>
  <w:style w:type="paragraph" w:styleId="Revize">
    <w:name w:val="Revision"/>
    <w:hidden/>
    <w:uiPriority w:val="99"/>
    <w:semiHidden/>
    <w:rsid w:val="00332D4D"/>
    <w:pPr>
      <w:spacing w:after="0" w:line="240" w:lineRule="auto"/>
    </w:pPr>
    <w:rPr>
      <w:rFonts w:ascii="Calibri" w:eastAsia="Times New Roman" w:hAnsi="Calibri" w:cs="Times New Roman"/>
      <w:sz w:val="20"/>
      <w:szCs w:val="20"/>
      <w:lang w:eastAsia="cs-CZ"/>
    </w:rPr>
  </w:style>
  <w:style w:type="character" w:customStyle="1" w:styleId="ZdrojpodtabulkounebografemChar">
    <w:name w:val="Zdroj pod tabulkou nebo grafem Char"/>
    <w:link w:val="Zdrojpodtabulkounebografem"/>
    <w:rsid w:val="00332D4D"/>
    <w:rPr>
      <w:rFonts w:ascii="Calibri" w:eastAsia="Times New Roman" w:hAnsi="Calibri" w:cs="Times New Roman"/>
      <w:i/>
      <w:sz w:val="16"/>
      <w:szCs w:val="16"/>
      <w:lang w:eastAsia="cs-CZ"/>
    </w:rPr>
  </w:style>
  <w:style w:type="paragraph" w:customStyle="1" w:styleId="StylZdrojpoznmkapodtabulkougrafemnenKurzva">
    <w:name w:val="Styl Zdroj/poznámka pod tabulkou/grafem + není Kurzíva"/>
    <w:basedOn w:val="Zdrojpoznmkapodtabulkougrafem"/>
    <w:semiHidden/>
    <w:rsid w:val="00332D4D"/>
    <w:rPr>
      <w:i w:val="0"/>
    </w:rPr>
  </w:style>
  <w:style w:type="paragraph" w:customStyle="1" w:styleId="Seznamtabulekaobrzk">
    <w:name w:val="Seznam tabulek a obrázků"/>
    <w:basedOn w:val="Seznamobrzk"/>
    <w:next w:val="Normln"/>
    <w:rsid w:val="00332D4D"/>
    <w:pPr>
      <w:spacing w:line="20" w:lineRule="atLeast"/>
    </w:pPr>
  </w:style>
  <w:style w:type="paragraph" w:customStyle="1" w:styleId="Tunodstavec">
    <w:name w:val="Tučný odstavec"/>
    <w:basedOn w:val="Normln"/>
    <w:link w:val="TunodstavecChar1"/>
    <w:rsid w:val="00332D4D"/>
    <w:pPr>
      <w:spacing w:before="240" w:line="264" w:lineRule="auto"/>
    </w:pPr>
    <w:rPr>
      <w:rFonts w:ascii="Times New Roman" w:hAnsi="Times New Roman"/>
      <w:b/>
      <w:bCs/>
      <w:sz w:val="22"/>
    </w:rPr>
  </w:style>
  <w:style w:type="paragraph" w:customStyle="1" w:styleId="vod">
    <w:name w:val="Úvod"/>
    <w:basedOn w:val="Nadpis1"/>
    <w:next w:val="Normln"/>
    <w:semiHidden/>
    <w:rsid w:val="00332D4D"/>
    <w:pPr>
      <w:numPr>
        <w:numId w:val="0"/>
      </w:numPr>
    </w:pPr>
    <w:rPr>
      <w:rFonts w:cs="Times New Roman"/>
      <w:szCs w:val="20"/>
    </w:rPr>
  </w:style>
  <w:style w:type="character" w:customStyle="1" w:styleId="TunodstavecChar1">
    <w:name w:val="Tučný odstavec Char1"/>
    <w:link w:val="Tunodstavec"/>
    <w:rsid w:val="00332D4D"/>
    <w:rPr>
      <w:rFonts w:ascii="Times New Roman" w:eastAsia="Times New Roman" w:hAnsi="Times New Roman" w:cs="Times New Roman"/>
      <w:b/>
      <w:bCs/>
      <w:szCs w:val="20"/>
      <w:lang w:eastAsia="cs-CZ"/>
    </w:rPr>
  </w:style>
  <w:style w:type="paragraph" w:customStyle="1" w:styleId="Box-text">
    <w:name w:val="Box - text"/>
    <w:basedOn w:val="Normln"/>
    <w:uiPriority w:val="1"/>
    <w:qFormat/>
    <w:rsid w:val="00332D4D"/>
    <w:rPr>
      <w:sz w:val="18"/>
    </w:rPr>
  </w:style>
  <w:style w:type="paragraph" w:customStyle="1" w:styleId="Box-nadpis">
    <w:name w:val="Box - nadpis"/>
    <w:basedOn w:val="Nadpismal"/>
    <w:next w:val="Box-text"/>
    <w:uiPriority w:val="1"/>
    <w:qFormat/>
    <w:rsid w:val="00332D4D"/>
    <w:pPr>
      <w:spacing w:before="120"/>
    </w:pPr>
    <w:rPr>
      <w:bCs/>
      <w:sz w:val="20"/>
      <w:szCs w:val="20"/>
    </w:rPr>
  </w:style>
  <w:style w:type="paragraph" w:styleId="Odstavecseseznamem">
    <w:name w:val="List Paragraph"/>
    <w:basedOn w:val="Normln"/>
    <w:uiPriority w:val="34"/>
    <w:rsid w:val="00332D4D"/>
    <w:pPr>
      <w:ind w:left="720"/>
      <w:contextualSpacing/>
    </w:pPr>
    <w:rPr>
      <w:rFonts w:eastAsia="Calibri"/>
    </w:rPr>
  </w:style>
  <w:style w:type="character" w:styleId="Siln">
    <w:name w:val="Strong"/>
    <w:uiPriority w:val="22"/>
    <w:qFormat/>
    <w:rsid w:val="00332D4D"/>
    <w:rPr>
      <w:b/>
      <w:bCs/>
    </w:rPr>
  </w:style>
  <w:style w:type="character" w:customStyle="1" w:styleId="TextpoznpodarouChar1">
    <w:name w:val="Text pozn. pod čarou Char1"/>
    <w:aliases w:val="Schriftart: 9 pt Char,Schriftart: 10 pt Char,Schriftart: 8 pt Char,Text pozn. pod čarou Char Char, Char Char,Char Char,Text pozn. pod čarou1 Char,Char Char Char1 Char,Char Char1 Char,Footnote Text Char1 Char"/>
    <w:semiHidden/>
    <w:rsid w:val="00332D4D"/>
    <w:rPr>
      <w:lang w:val="cs-CZ" w:eastAsia="cs-CZ" w:bidi="ar-SA"/>
    </w:rPr>
  </w:style>
  <w:style w:type="paragraph" w:customStyle="1" w:styleId="Poznmkaazdroj">
    <w:name w:val="Poznámka a zdroj"/>
    <w:basedOn w:val="Normln"/>
    <w:next w:val="Normln"/>
    <w:uiPriority w:val="7"/>
    <w:qFormat/>
    <w:rsid w:val="00332D4D"/>
    <w:pPr>
      <w:spacing w:after="240"/>
      <w:contextualSpacing/>
    </w:pPr>
    <w:rPr>
      <w:rFonts w:eastAsia="Calibri"/>
      <w:i/>
      <w:sz w:val="16"/>
      <w:lang w:eastAsia="en-US"/>
    </w:rPr>
  </w:style>
  <w:style w:type="paragraph" w:customStyle="1" w:styleId="Jednotka">
    <w:name w:val="Jednotka"/>
    <w:basedOn w:val="Normln"/>
    <w:next w:val="Bezmezer"/>
    <w:uiPriority w:val="7"/>
    <w:qFormat/>
    <w:rsid w:val="00332D4D"/>
    <w:pPr>
      <w:keepNext/>
      <w:keepLines/>
      <w:spacing w:after="0"/>
      <w:jc w:val="left"/>
    </w:pPr>
    <w:rPr>
      <w:rFonts w:eastAsia="Calibri"/>
      <w:i/>
      <w:sz w:val="16"/>
      <w:szCs w:val="16"/>
      <w:lang w:eastAsia="en-US"/>
    </w:rPr>
  </w:style>
  <w:style w:type="paragraph" w:styleId="Bezmezer">
    <w:name w:val="No Spacing"/>
    <w:uiPriority w:val="1"/>
    <w:qFormat/>
    <w:rsid w:val="00332D4D"/>
    <w:pPr>
      <w:spacing w:after="0" w:line="240" w:lineRule="auto"/>
      <w:jc w:val="both"/>
    </w:pPr>
    <w:rPr>
      <w:rFonts w:ascii="Calibri" w:eastAsia="Times New Roman" w:hAnsi="Calibri" w:cs="Times New Roman"/>
      <w:sz w:val="20"/>
      <w:szCs w:val="20"/>
      <w:lang w:eastAsia="cs-CZ"/>
    </w:rPr>
  </w:style>
  <w:style w:type="paragraph" w:customStyle="1" w:styleId="Zdrojelit">
    <w:name w:val="Zdroje lit."/>
    <w:basedOn w:val="Normln"/>
    <w:qFormat/>
    <w:rsid w:val="00332D4D"/>
    <w:pPr>
      <w:ind w:left="540" w:hanging="540"/>
    </w:pPr>
  </w:style>
  <w:style w:type="paragraph" w:styleId="Zkladntextodsazen">
    <w:name w:val="Body Text Indent"/>
    <w:basedOn w:val="Normln"/>
    <w:link w:val="ZkladntextodsazenChar"/>
    <w:rsid w:val="00332D4D"/>
    <w:pPr>
      <w:ind w:left="283"/>
    </w:pPr>
  </w:style>
  <w:style w:type="character" w:customStyle="1" w:styleId="ZkladntextodsazenChar">
    <w:name w:val="Základní text odsazený Char"/>
    <w:basedOn w:val="Standardnpsmoodstavce"/>
    <w:link w:val="Zkladntextodsazen"/>
    <w:rsid w:val="00332D4D"/>
    <w:rPr>
      <w:rFonts w:ascii="Calibri" w:eastAsia="Times New Roman" w:hAnsi="Calibri" w:cs="Times New Roman"/>
      <w:sz w:val="20"/>
      <w:szCs w:val="20"/>
      <w:lang w:eastAsia="cs-CZ"/>
    </w:rPr>
  </w:style>
  <w:style w:type="character" w:customStyle="1" w:styleId="st">
    <w:name w:val="st"/>
    <w:rsid w:val="00612BDB"/>
  </w:style>
  <w:style w:type="paragraph" w:styleId="Obsah3">
    <w:name w:val="toc 3"/>
    <w:basedOn w:val="Normln"/>
    <w:next w:val="Normln"/>
    <w:autoRedefine/>
    <w:uiPriority w:val="39"/>
    <w:unhideWhenUsed/>
    <w:rsid w:val="00302B9E"/>
    <w:pPr>
      <w:spacing w:after="100"/>
      <w:ind w:left="400"/>
    </w:pPr>
  </w:style>
  <w:style w:type="paragraph" w:styleId="Rejstk1">
    <w:name w:val="index 1"/>
    <w:basedOn w:val="Normln"/>
    <w:next w:val="Normln"/>
    <w:autoRedefine/>
    <w:uiPriority w:val="99"/>
    <w:semiHidden/>
    <w:unhideWhenUsed/>
    <w:rsid w:val="00BA4BBC"/>
    <w:pPr>
      <w:spacing w:after="0"/>
      <w:ind w:left="200" w:hanging="200"/>
    </w:pPr>
  </w:style>
  <w:style w:type="paragraph" w:customStyle="1" w:styleId="ZKDvousloupcov">
    <w:name w:val="ZK_Dvousloupcový"/>
    <w:basedOn w:val="Normln"/>
    <w:link w:val="ZKDvousloupcovChar"/>
    <w:rsid w:val="00695CCE"/>
    <w:rPr>
      <w:kern w:val="20"/>
      <w:szCs w:val="24"/>
    </w:rPr>
  </w:style>
  <w:style w:type="character" w:customStyle="1" w:styleId="ZKDvousloupcovChar">
    <w:name w:val="ZK_Dvousloupcový Char"/>
    <w:link w:val="ZKDvousloupcov"/>
    <w:rsid w:val="00695CCE"/>
    <w:rPr>
      <w:rFonts w:ascii="Calibri" w:eastAsia="Times New Roman" w:hAnsi="Calibri" w:cs="Times New Roman"/>
      <w:kern w:val="20"/>
      <w:sz w:val="20"/>
      <w:szCs w:val="24"/>
      <w:lang w:eastAsia="cs-CZ"/>
    </w:rPr>
  </w:style>
  <w:style w:type="character" w:styleId="Sledovanodkaz">
    <w:name w:val="FollowedHyperlink"/>
    <w:basedOn w:val="Standardnpsmoodstavce"/>
    <w:uiPriority w:val="99"/>
    <w:semiHidden/>
    <w:unhideWhenUsed/>
    <w:rsid w:val="0051115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9112910">
      <w:bodyDiv w:val="1"/>
      <w:marLeft w:val="0"/>
      <w:marRight w:val="0"/>
      <w:marTop w:val="0"/>
      <w:marBottom w:val="0"/>
      <w:divBdr>
        <w:top w:val="none" w:sz="0" w:space="0" w:color="auto"/>
        <w:left w:val="none" w:sz="0" w:space="0" w:color="auto"/>
        <w:bottom w:val="none" w:sz="0" w:space="0" w:color="auto"/>
        <w:right w:val="none" w:sz="0" w:space="0" w:color="auto"/>
      </w:divBdr>
    </w:div>
    <w:div w:id="1377317793">
      <w:bodyDiv w:val="1"/>
      <w:marLeft w:val="0"/>
      <w:marRight w:val="0"/>
      <w:marTop w:val="0"/>
      <w:marBottom w:val="0"/>
      <w:divBdr>
        <w:top w:val="none" w:sz="0" w:space="0" w:color="auto"/>
        <w:left w:val="none" w:sz="0" w:space="0" w:color="auto"/>
        <w:bottom w:val="none" w:sz="0" w:space="0" w:color="auto"/>
        <w:right w:val="none" w:sz="0" w:space="0" w:color="auto"/>
      </w:divBdr>
    </w:div>
    <w:div w:id="1775786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chart" Target="charts/chart2.xml"/><Relationship Id="rId26" Type="http://schemas.openxmlformats.org/officeDocument/2006/relationships/header" Target="header4.xml"/><Relationship Id="rId39" Type="http://schemas.openxmlformats.org/officeDocument/2006/relationships/fontTable" Target="fontTable.xml"/><Relationship Id="rId21" Type="http://schemas.openxmlformats.org/officeDocument/2006/relationships/chart" Target="charts/chart5.xml"/><Relationship Id="rId34"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chart" Target="charts/chart1.xml"/><Relationship Id="rId25" Type="http://schemas.openxmlformats.org/officeDocument/2006/relationships/chart" Target="charts/chart9.xml"/><Relationship Id="rId33" Type="http://schemas.openxmlformats.org/officeDocument/2006/relationships/footer" Target="footer8.xml"/><Relationship Id="rId38"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image" Target="media/image1.emf"/><Relationship Id="rId20" Type="http://schemas.openxmlformats.org/officeDocument/2006/relationships/chart" Target="charts/chart4.xml"/><Relationship Id="rId29"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chart" Target="charts/chart8.xml"/><Relationship Id="rId32" Type="http://schemas.openxmlformats.org/officeDocument/2006/relationships/header" Target="header6.xml"/><Relationship Id="rId37" Type="http://schemas.openxmlformats.org/officeDocument/2006/relationships/header" Target="header8.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chart" Target="charts/chart7.xml"/><Relationship Id="rId28" Type="http://schemas.openxmlformats.org/officeDocument/2006/relationships/image" Target="media/image2.emf"/><Relationship Id="rId36" Type="http://schemas.openxmlformats.org/officeDocument/2006/relationships/image" Target="media/image4.emf"/><Relationship Id="rId10" Type="http://schemas.openxmlformats.org/officeDocument/2006/relationships/footer" Target="footer2.xml"/><Relationship Id="rId19" Type="http://schemas.openxmlformats.org/officeDocument/2006/relationships/chart" Target="charts/chart3.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chart" Target="charts/chart6.xml"/><Relationship Id="rId27" Type="http://schemas.openxmlformats.org/officeDocument/2006/relationships/footer" Target="footer6.xml"/><Relationship Id="rId30" Type="http://schemas.openxmlformats.org/officeDocument/2006/relationships/header" Target="header5.xml"/><Relationship Id="rId35" Type="http://schemas.openxmlformats.org/officeDocument/2006/relationships/footer" Target="footer9.xml"/><Relationship Id="rId8" Type="http://schemas.openxmlformats.org/officeDocument/2006/relationships/footer" Target="footer1.xml"/><Relationship Id="rId3"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file:///\\URAD\NS1\ODBORY\Odbor37\372\_Vl&#225;da\SR\2021\Tabulky_Grafy\St&#225;tn&#237;%20rozpo&#269;et.xlsm"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URAD\NS1\ODBORY\Odbor37\372\_Vl&#225;da\SR\2021\Tabulky_Grafy\St&#225;tn&#237;%20rozpo&#269;et.xlsm"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URAD\NS1\ODBORY\Odbor37\372\_Vl&#225;da\SR\2021\Tabulky_Grafy\St&#225;tn&#237;%20rozpo&#269;et.xlsm"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URAD\NS1\ODBORY\Odbor37\372\_Vl&#225;da\SR\2021\Tabulky_Grafy\St&#225;tn&#237;%20rozpo&#269;et.xlsm"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URAD\NS1\ODBORY\Odbor37\372\_Vl&#225;da\SR\2021\Tabulky_Grafy\St&#225;tn&#237;%20rozpo&#269;et.xlsm"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URAD\NS1\ODBORY\Odbor37\372\_Vl&#225;da\SR\2021\Tabulky_Grafy\St&#225;tn&#237;%20rozpo&#269;et.xlsm"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URAD\NS1\ODBORY\Odbor37\372\_Vl&#225;da\SR\2021\Tabulky_Grafy\St&#225;tn&#237;%20rozpo&#269;et.xlsm"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URAD\NS1\ODBORY\Odbor37\372\_Vl&#225;da\SR\2021\Tabulky_Grafy\St&#225;tn&#237;%20rozpo&#269;et.xlsm"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URAD\NS1\ODBORY\Odbor37\372\_Vl&#225;da\SR\2021\Tabulky_Grafy\St&#225;tn&#237;%20rozpo&#269;et.xlsm"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2441240342142975E-2"/>
          <c:y val="5.9376950613137608E-2"/>
          <c:w val="0.89505094227199089"/>
          <c:h val="0.806277117449133"/>
        </c:manualLayout>
      </c:layout>
      <c:barChart>
        <c:barDir val="col"/>
        <c:grouping val="stacked"/>
        <c:varyColors val="0"/>
        <c:ser>
          <c:idx val="0"/>
          <c:order val="0"/>
          <c:tx>
            <c:strRef>
              <c:f>Data!$A$2</c:f>
              <c:strCache>
                <c:ptCount val="1"/>
                <c:pt idx="0">
                  <c:v>HDP EA19</c:v>
                </c:pt>
              </c:strCache>
            </c:strRef>
          </c:tx>
          <c:spPr>
            <a:solidFill>
              <a:srgbClr val="31527B"/>
            </a:solidFill>
            <a:ln w="25400">
              <a:noFill/>
            </a:ln>
          </c:spPr>
          <c:invertIfNegative val="0"/>
          <c:dPt>
            <c:idx val="13"/>
            <c:invertIfNegative val="0"/>
            <c:bubble3D val="0"/>
            <c:spPr>
              <a:solidFill>
                <a:schemeClr val="tx2"/>
              </a:solidFill>
              <a:ln w="25400">
                <a:noFill/>
              </a:ln>
            </c:spPr>
            <c:extLst>
              <c:ext xmlns:c16="http://schemas.microsoft.com/office/drawing/2014/chart" uri="{C3380CC4-5D6E-409C-BE32-E72D297353CC}">
                <c16:uniqueId val="{00000001-C02D-44C6-8586-D902C45327E2}"/>
              </c:ext>
            </c:extLst>
          </c:dPt>
          <c:dPt>
            <c:idx val="14"/>
            <c:invertIfNegative val="0"/>
            <c:bubble3D val="0"/>
            <c:spPr>
              <a:solidFill>
                <a:srgbClr val="A0C7E8"/>
              </a:solidFill>
              <a:ln w="25400">
                <a:noFill/>
              </a:ln>
            </c:spPr>
            <c:extLst>
              <c:ext xmlns:c16="http://schemas.microsoft.com/office/drawing/2014/chart" uri="{C3380CC4-5D6E-409C-BE32-E72D297353CC}">
                <c16:uniqueId val="{00000003-C02D-44C6-8586-D902C45327E2}"/>
              </c:ext>
            </c:extLst>
          </c:dPt>
          <c:dPt>
            <c:idx val="15"/>
            <c:invertIfNegative val="0"/>
            <c:bubble3D val="0"/>
            <c:spPr>
              <a:solidFill>
                <a:srgbClr val="A0C7E8"/>
              </a:solidFill>
              <a:ln w="25400">
                <a:noFill/>
              </a:ln>
            </c:spPr>
            <c:extLst>
              <c:ext xmlns:c16="http://schemas.microsoft.com/office/drawing/2014/chart" uri="{C3380CC4-5D6E-409C-BE32-E72D297353CC}">
                <c16:uniqueId val="{00000005-C02D-44C6-8586-D902C45327E2}"/>
              </c:ext>
            </c:extLst>
          </c:dPt>
          <c:dPt>
            <c:idx val="16"/>
            <c:invertIfNegative val="0"/>
            <c:bubble3D val="0"/>
            <c:spPr>
              <a:solidFill>
                <a:srgbClr val="A0C7E8"/>
              </a:solidFill>
              <a:ln w="25400">
                <a:noFill/>
              </a:ln>
            </c:spPr>
            <c:extLst>
              <c:ext xmlns:c16="http://schemas.microsoft.com/office/drawing/2014/chart" uri="{C3380CC4-5D6E-409C-BE32-E72D297353CC}">
                <c16:uniqueId val="{00000007-C02D-44C6-8586-D902C45327E2}"/>
              </c:ext>
            </c:extLst>
          </c:dPt>
          <c:dPt>
            <c:idx val="17"/>
            <c:invertIfNegative val="0"/>
            <c:bubble3D val="0"/>
            <c:spPr>
              <a:solidFill>
                <a:srgbClr val="A0C7E8"/>
              </a:solidFill>
              <a:ln w="25400">
                <a:noFill/>
              </a:ln>
            </c:spPr>
            <c:extLst>
              <c:ext xmlns:c16="http://schemas.microsoft.com/office/drawing/2014/chart" uri="{C3380CC4-5D6E-409C-BE32-E72D297353CC}">
                <c16:uniqueId val="{00000009-C02D-44C6-8586-D902C45327E2}"/>
              </c:ext>
            </c:extLst>
          </c:dPt>
          <c:dPt>
            <c:idx val="18"/>
            <c:invertIfNegative val="0"/>
            <c:bubble3D val="0"/>
            <c:spPr>
              <a:solidFill>
                <a:srgbClr val="A0C7E8"/>
              </a:solidFill>
              <a:ln w="25400">
                <a:noFill/>
              </a:ln>
            </c:spPr>
            <c:extLst>
              <c:ext xmlns:c16="http://schemas.microsoft.com/office/drawing/2014/chart" uri="{C3380CC4-5D6E-409C-BE32-E72D297353CC}">
                <c16:uniqueId val="{0000000B-C02D-44C6-8586-D902C45327E2}"/>
              </c:ext>
            </c:extLst>
          </c:dPt>
          <c:dPt>
            <c:idx val="19"/>
            <c:invertIfNegative val="0"/>
            <c:bubble3D val="0"/>
            <c:spPr>
              <a:solidFill>
                <a:srgbClr val="A0C7E8"/>
              </a:solidFill>
              <a:ln w="25400">
                <a:noFill/>
              </a:ln>
            </c:spPr>
            <c:extLst>
              <c:ext xmlns:c16="http://schemas.microsoft.com/office/drawing/2014/chart" uri="{C3380CC4-5D6E-409C-BE32-E72D297353CC}">
                <c16:uniqueId val="{0000000D-C02D-44C6-8586-D902C45327E2}"/>
              </c:ext>
            </c:extLst>
          </c:dPt>
          <c:dPt>
            <c:idx val="20"/>
            <c:invertIfNegative val="0"/>
            <c:bubble3D val="0"/>
            <c:spPr>
              <a:solidFill>
                <a:srgbClr val="A0C7E8"/>
              </a:solidFill>
              <a:ln w="25400">
                <a:noFill/>
              </a:ln>
            </c:spPr>
            <c:extLst>
              <c:ext xmlns:c16="http://schemas.microsoft.com/office/drawing/2014/chart" uri="{C3380CC4-5D6E-409C-BE32-E72D297353CC}">
                <c16:uniqueId val="{0000000F-C02D-44C6-8586-D902C45327E2}"/>
              </c:ext>
            </c:extLst>
          </c:dPt>
          <c:cat>
            <c:numRef>
              <c:f>Data!$L$1:$AA$1</c:f>
              <c:numCache>
                <c:formatCode>General</c:formatCode>
                <c:ptCount val="16"/>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pt idx="13">
                  <c:v>2019</c:v>
                </c:pt>
                <c:pt idx="14">
                  <c:v>2020</c:v>
                </c:pt>
                <c:pt idx="15">
                  <c:v>2021</c:v>
                </c:pt>
              </c:numCache>
            </c:numRef>
          </c:cat>
          <c:val>
            <c:numRef>
              <c:f>Data!$L$2:$AA$2</c:f>
              <c:numCache>
                <c:formatCode>0.0</c:formatCode>
                <c:ptCount val="16"/>
                <c:pt idx="0">
                  <c:v>3.3273211944067294</c:v>
                </c:pt>
                <c:pt idx="1">
                  <c:v>2.9891446350183593</c:v>
                </c:pt>
                <c:pt idx="2">
                  <c:v>0.29814419007336834</c:v>
                </c:pt>
                <c:pt idx="3">
                  <c:v>-4.4653661705041703</c:v>
                </c:pt>
                <c:pt idx="4">
                  <c:v>2.0609160900971313</c:v>
                </c:pt>
                <c:pt idx="5">
                  <c:v>1.7368237949587195</c:v>
                </c:pt>
                <c:pt idx="6">
                  <c:v>-0.83426286047103559</c:v>
                </c:pt>
                <c:pt idx="7">
                  <c:v>-0.20430055775143563</c:v>
                </c:pt>
                <c:pt idx="8">
                  <c:v>1.4179658004150886</c:v>
                </c:pt>
                <c:pt idx="9">
                  <c:v>1.9275981696368572</c:v>
                </c:pt>
                <c:pt idx="10">
                  <c:v>1.8475378416576094</c:v>
                </c:pt>
                <c:pt idx="11">
                  <c:v>2.7502342038229877</c:v>
                </c:pt>
                <c:pt idx="12">
                  <c:v>1.8460480632863652</c:v>
                </c:pt>
                <c:pt idx="13">
                  <c:v>1.2832798174378546</c:v>
                </c:pt>
                <c:pt idx="14">
                  <c:v>-9.0174144465243309</c:v>
                </c:pt>
                <c:pt idx="15">
                  <c:v>5.4099433877250247</c:v>
                </c:pt>
              </c:numCache>
            </c:numRef>
          </c:val>
          <c:extLst>
            <c:ext xmlns:c16="http://schemas.microsoft.com/office/drawing/2014/chart" uri="{C3380CC4-5D6E-409C-BE32-E72D297353CC}">
              <c16:uniqueId val="{00000010-C02D-44C6-8586-D902C45327E2}"/>
            </c:ext>
          </c:extLst>
        </c:ser>
        <c:dLbls>
          <c:showLegendKey val="0"/>
          <c:showVal val="0"/>
          <c:showCatName val="0"/>
          <c:showSerName val="0"/>
          <c:showPercent val="0"/>
          <c:showBubbleSize val="0"/>
        </c:dLbls>
        <c:gapWidth val="40"/>
        <c:overlap val="100"/>
        <c:axId val="100821632"/>
        <c:axId val="100827520"/>
      </c:barChart>
      <c:catAx>
        <c:axId val="100821632"/>
        <c:scaling>
          <c:orientation val="minMax"/>
        </c:scaling>
        <c:delete val="0"/>
        <c:axPos val="b"/>
        <c:majorGridlines>
          <c:spPr>
            <a:ln w="3175">
              <a:solidFill>
                <a:srgbClr val="C0C0C0"/>
              </a:solidFill>
              <a:prstDash val="solid"/>
            </a:ln>
          </c:spPr>
        </c:majorGridlines>
        <c:numFmt formatCode="General" sourceLinked="1"/>
        <c:majorTickMark val="none"/>
        <c:minorTickMark val="none"/>
        <c:tickLblPos val="low"/>
        <c:spPr>
          <a:ln w="3175">
            <a:solidFill>
              <a:srgbClr val="000000"/>
            </a:solidFill>
            <a:prstDash val="solid"/>
          </a:ln>
        </c:spPr>
        <c:txPr>
          <a:bodyPr rot="0" vert="horz"/>
          <a:lstStyle/>
          <a:p>
            <a:pPr>
              <a:defRPr sz="700" b="0" i="0" u="none" strike="noStrike" baseline="0">
                <a:solidFill>
                  <a:srgbClr val="000000"/>
                </a:solidFill>
                <a:latin typeface="Calibri"/>
                <a:ea typeface="Calibri"/>
                <a:cs typeface="Calibri"/>
              </a:defRPr>
            </a:pPr>
            <a:endParaRPr lang="cs-CZ"/>
          </a:p>
        </c:txPr>
        <c:crossAx val="100827520"/>
        <c:crosses val="autoZero"/>
        <c:auto val="1"/>
        <c:lblAlgn val="ctr"/>
        <c:lblOffset val="100"/>
        <c:tickLblSkip val="2"/>
        <c:tickMarkSkip val="1"/>
        <c:noMultiLvlLbl val="0"/>
      </c:catAx>
      <c:valAx>
        <c:axId val="100827520"/>
        <c:scaling>
          <c:orientation val="minMax"/>
        </c:scaling>
        <c:delete val="0"/>
        <c:axPos val="l"/>
        <c:majorGridlines>
          <c:spPr>
            <a:ln w="3175">
              <a:solidFill>
                <a:srgbClr val="C0C0C0"/>
              </a:solidFill>
              <a:prstDash val="solid"/>
            </a:ln>
          </c:spPr>
        </c:majorGridlines>
        <c:numFmt formatCode="0" sourceLinked="0"/>
        <c:majorTickMark val="none"/>
        <c:minorTickMark val="none"/>
        <c:tickLblPos val="nextTo"/>
        <c:spPr>
          <a:ln w="3175">
            <a:solidFill>
              <a:srgbClr val="000000"/>
            </a:solidFill>
            <a:prstDash val="solid"/>
          </a:ln>
        </c:spPr>
        <c:txPr>
          <a:bodyPr rot="0" vert="horz"/>
          <a:lstStyle/>
          <a:p>
            <a:pPr>
              <a:defRPr sz="700" b="0" i="0" u="none" strike="noStrike" baseline="0">
                <a:solidFill>
                  <a:srgbClr val="000000"/>
                </a:solidFill>
                <a:latin typeface="Calibri"/>
                <a:ea typeface="Calibri"/>
                <a:cs typeface="Calibri"/>
              </a:defRPr>
            </a:pPr>
            <a:endParaRPr lang="cs-CZ"/>
          </a:p>
        </c:txPr>
        <c:crossAx val="100821632"/>
        <c:crosses val="autoZero"/>
        <c:crossBetween val="between"/>
      </c:valAx>
      <c:spPr>
        <a:solidFill>
          <a:srgbClr val="FFFFFF"/>
        </a:solidFill>
        <a:ln w="3175">
          <a:solidFill>
            <a:srgbClr val="000000"/>
          </a:solidFill>
          <a:prstDash val="solid"/>
        </a:ln>
      </c:spPr>
    </c:plotArea>
    <c:plotVisOnly val="1"/>
    <c:dispBlanksAs val="gap"/>
    <c:showDLblsOverMax val="0"/>
  </c:chart>
  <c:spPr>
    <a:noFill/>
    <a:ln w="9525">
      <a:noFill/>
    </a:ln>
  </c:spPr>
  <c:txPr>
    <a:bodyPr/>
    <a:lstStyle/>
    <a:p>
      <a:pPr>
        <a:defRPr sz="1200" b="0" i="0" u="none" strike="noStrike" baseline="0">
          <a:solidFill>
            <a:srgbClr val="000000"/>
          </a:solidFill>
          <a:latin typeface="Calibri"/>
          <a:ea typeface="Calibri"/>
          <a:cs typeface="Calibri"/>
        </a:defRPr>
      </a:pPr>
      <a:endParaRPr lang="cs-CZ"/>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2441240342142975E-2"/>
          <c:y val="5.9376950613137608E-2"/>
          <c:w val="0.89505094227199089"/>
          <c:h val="0.806277117449133"/>
        </c:manualLayout>
      </c:layout>
      <c:barChart>
        <c:barDir val="col"/>
        <c:grouping val="stacked"/>
        <c:varyColors val="0"/>
        <c:ser>
          <c:idx val="0"/>
          <c:order val="0"/>
          <c:tx>
            <c:strRef>
              <c:f>Data!$A$3</c:f>
              <c:strCache>
                <c:ptCount val="1"/>
                <c:pt idx="0">
                  <c:v>Ropa</c:v>
                </c:pt>
              </c:strCache>
            </c:strRef>
          </c:tx>
          <c:spPr>
            <a:solidFill>
              <a:srgbClr val="31527B"/>
            </a:solidFill>
            <a:ln w="25400">
              <a:noFill/>
            </a:ln>
          </c:spPr>
          <c:invertIfNegative val="0"/>
          <c:dPt>
            <c:idx val="13"/>
            <c:invertIfNegative val="0"/>
            <c:bubble3D val="0"/>
            <c:spPr>
              <a:solidFill>
                <a:schemeClr val="tx2"/>
              </a:solidFill>
              <a:ln w="25400">
                <a:noFill/>
              </a:ln>
            </c:spPr>
            <c:extLst>
              <c:ext xmlns:c16="http://schemas.microsoft.com/office/drawing/2014/chart" uri="{C3380CC4-5D6E-409C-BE32-E72D297353CC}">
                <c16:uniqueId val="{00000001-6DFC-44DF-911B-BA7348B48031}"/>
              </c:ext>
            </c:extLst>
          </c:dPt>
          <c:dPt>
            <c:idx val="14"/>
            <c:invertIfNegative val="0"/>
            <c:bubble3D val="0"/>
            <c:spPr>
              <a:solidFill>
                <a:srgbClr val="A0C7E8"/>
              </a:solidFill>
              <a:ln w="25400">
                <a:noFill/>
              </a:ln>
            </c:spPr>
            <c:extLst>
              <c:ext xmlns:c16="http://schemas.microsoft.com/office/drawing/2014/chart" uri="{C3380CC4-5D6E-409C-BE32-E72D297353CC}">
                <c16:uniqueId val="{00000003-6DFC-44DF-911B-BA7348B48031}"/>
              </c:ext>
            </c:extLst>
          </c:dPt>
          <c:dPt>
            <c:idx val="15"/>
            <c:invertIfNegative val="0"/>
            <c:bubble3D val="0"/>
            <c:spPr>
              <a:solidFill>
                <a:srgbClr val="A0C7E8"/>
              </a:solidFill>
              <a:ln w="25400">
                <a:noFill/>
              </a:ln>
            </c:spPr>
            <c:extLst>
              <c:ext xmlns:c16="http://schemas.microsoft.com/office/drawing/2014/chart" uri="{C3380CC4-5D6E-409C-BE32-E72D297353CC}">
                <c16:uniqueId val="{00000005-6DFC-44DF-911B-BA7348B48031}"/>
              </c:ext>
            </c:extLst>
          </c:dPt>
          <c:dPt>
            <c:idx val="16"/>
            <c:invertIfNegative val="0"/>
            <c:bubble3D val="0"/>
            <c:spPr>
              <a:solidFill>
                <a:srgbClr val="A0C7E8"/>
              </a:solidFill>
              <a:ln w="25400">
                <a:noFill/>
              </a:ln>
            </c:spPr>
            <c:extLst>
              <c:ext xmlns:c16="http://schemas.microsoft.com/office/drawing/2014/chart" uri="{C3380CC4-5D6E-409C-BE32-E72D297353CC}">
                <c16:uniqueId val="{00000007-6DFC-44DF-911B-BA7348B48031}"/>
              </c:ext>
            </c:extLst>
          </c:dPt>
          <c:dPt>
            <c:idx val="17"/>
            <c:invertIfNegative val="0"/>
            <c:bubble3D val="0"/>
            <c:spPr>
              <a:solidFill>
                <a:srgbClr val="A0C7E8"/>
              </a:solidFill>
              <a:ln w="25400">
                <a:noFill/>
              </a:ln>
            </c:spPr>
            <c:extLst>
              <c:ext xmlns:c16="http://schemas.microsoft.com/office/drawing/2014/chart" uri="{C3380CC4-5D6E-409C-BE32-E72D297353CC}">
                <c16:uniqueId val="{00000009-6DFC-44DF-911B-BA7348B48031}"/>
              </c:ext>
            </c:extLst>
          </c:dPt>
          <c:dPt>
            <c:idx val="18"/>
            <c:invertIfNegative val="0"/>
            <c:bubble3D val="0"/>
            <c:spPr>
              <a:solidFill>
                <a:srgbClr val="A0C7E8"/>
              </a:solidFill>
              <a:ln w="25400">
                <a:noFill/>
              </a:ln>
            </c:spPr>
            <c:extLst>
              <c:ext xmlns:c16="http://schemas.microsoft.com/office/drawing/2014/chart" uri="{C3380CC4-5D6E-409C-BE32-E72D297353CC}">
                <c16:uniqueId val="{0000000B-6DFC-44DF-911B-BA7348B48031}"/>
              </c:ext>
            </c:extLst>
          </c:dPt>
          <c:dPt>
            <c:idx val="19"/>
            <c:invertIfNegative val="0"/>
            <c:bubble3D val="0"/>
            <c:spPr>
              <a:solidFill>
                <a:srgbClr val="A0C7E8"/>
              </a:solidFill>
              <a:ln w="25400">
                <a:noFill/>
              </a:ln>
            </c:spPr>
            <c:extLst>
              <c:ext xmlns:c16="http://schemas.microsoft.com/office/drawing/2014/chart" uri="{C3380CC4-5D6E-409C-BE32-E72D297353CC}">
                <c16:uniqueId val="{0000000D-6DFC-44DF-911B-BA7348B48031}"/>
              </c:ext>
            </c:extLst>
          </c:dPt>
          <c:dPt>
            <c:idx val="20"/>
            <c:invertIfNegative val="0"/>
            <c:bubble3D val="0"/>
            <c:spPr>
              <a:solidFill>
                <a:srgbClr val="A0C7E8"/>
              </a:solidFill>
              <a:ln w="25400">
                <a:noFill/>
              </a:ln>
            </c:spPr>
            <c:extLst>
              <c:ext xmlns:c16="http://schemas.microsoft.com/office/drawing/2014/chart" uri="{C3380CC4-5D6E-409C-BE32-E72D297353CC}">
                <c16:uniqueId val="{0000000F-6DFC-44DF-911B-BA7348B48031}"/>
              </c:ext>
            </c:extLst>
          </c:dPt>
          <c:cat>
            <c:numRef>
              <c:f>Data!$L$1:$AA$1</c:f>
              <c:numCache>
                <c:formatCode>General</c:formatCode>
                <c:ptCount val="16"/>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pt idx="13">
                  <c:v>2019</c:v>
                </c:pt>
                <c:pt idx="14">
                  <c:v>2020</c:v>
                </c:pt>
                <c:pt idx="15">
                  <c:v>2021</c:v>
                </c:pt>
              </c:numCache>
            </c:numRef>
          </c:cat>
          <c:val>
            <c:numRef>
              <c:f>Data!$L$3:$AA$3</c:f>
              <c:numCache>
                <c:formatCode>0.0</c:formatCode>
                <c:ptCount val="16"/>
                <c:pt idx="0">
                  <c:v>65.125</c:v>
                </c:pt>
                <c:pt idx="1">
                  <c:v>72.375</c:v>
                </c:pt>
                <c:pt idx="2">
                  <c:v>96.95</c:v>
                </c:pt>
                <c:pt idx="3">
                  <c:v>61.524999999999999</c:v>
                </c:pt>
                <c:pt idx="4">
                  <c:v>79.55</c:v>
                </c:pt>
                <c:pt idx="5">
                  <c:v>111.25</c:v>
                </c:pt>
                <c:pt idx="6">
                  <c:v>111.52500000000001</c:v>
                </c:pt>
                <c:pt idx="7">
                  <c:v>108.6</c:v>
                </c:pt>
                <c:pt idx="8">
                  <c:v>99.025000000000006</c:v>
                </c:pt>
                <c:pt idx="9">
                  <c:v>52.424999999999997</c:v>
                </c:pt>
                <c:pt idx="10">
                  <c:v>43.575000000000003</c:v>
                </c:pt>
                <c:pt idx="11">
                  <c:v>54.175000000000004</c:v>
                </c:pt>
                <c:pt idx="12">
                  <c:v>71.375</c:v>
                </c:pt>
                <c:pt idx="13">
                  <c:v>64.325000000000003</c:v>
                </c:pt>
                <c:pt idx="14">
                  <c:v>42.437657407407407</c:v>
                </c:pt>
                <c:pt idx="15">
                  <c:v>47.894666666666666</c:v>
                </c:pt>
              </c:numCache>
            </c:numRef>
          </c:val>
          <c:extLst>
            <c:ext xmlns:c16="http://schemas.microsoft.com/office/drawing/2014/chart" uri="{C3380CC4-5D6E-409C-BE32-E72D297353CC}">
              <c16:uniqueId val="{00000010-6DFC-44DF-911B-BA7348B48031}"/>
            </c:ext>
          </c:extLst>
        </c:ser>
        <c:dLbls>
          <c:showLegendKey val="0"/>
          <c:showVal val="0"/>
          <c:showCatName val="0"/>
          <c:showSerName val="0"/>
          <c:showPercent val="0"/>
          <c:showBubbleSize val="0"/>
        </c:dLbls>
        <c:gapWidth val="40"/>
        <c:overlap val="100"/>
        <c:axId val="108427520"/>
        <c:axId val="110141440"/>
      </c:barChart>
      <c:catAx>
        <c:axId val="108427520"/>
        <c:scaling>
          <c:orientation val="minMax"/>
        </c:scaling>
        <c:delete val="0"/>
        <c:axPos val="b"/>
        <c:majorGridlines>
          <c:spPr>
            <a:ln w="3175">
              <a:solidFill>
                <a:srgbClr val="C0C0C0"/>
              </a:solidFill>
              <a:prstDash val="solid"/>
            </a:ln>
          </c:spPr>
        </c:majorGridlines>
        <c:numFmt formatCode="General" sourceLinked="1"/>
        <c:majorTickMark val="none"/>
        <c:minorTickMark val="none"/>
        <c:tickLblPos val="low"/>
        <c:spPr>
          <a:ln w="3175">
            <a:solidFill>
              <a:srgbClr val="000000"/>
            </a:solidFill>
            <a:prstDash val="solid"/>
          </a:ln>
        </c:spPr>
        <c:txPr>
          <a:bodyPr rot="0" vert="horz"/>
          <a:lstStyle/>
          <a:p>
            <a:pPr>
              <a:defRPr sz="700" b="0" i="0" u="none" strike="noStrike" baseline="0">
                <a:solidFill>
                  <a:srgbClr val="000000"/>
                </a:solidFill>
                <a:latin typeface="Calibri"/>
                <a:ea typeface="Calibri"/>
                <a:cs typeface="Calibri"/>
              </a:defRPr>
            </a:pPr>
            <a:endParaRPr lang="cs-CZ"/>
          </a:p>
        </c:txPr>
        <c:crossAx val="110141440"/>
        <c:crosses val="autoZero"/>
        <c:auto val="1"/>
        <c:lblAlgn val="ctr"/>
        <c:lblOffset val="100"/>
        <c:tickLblSkip val="2"/>
        <c:tickMarkSkip val="1"/>
        <c:noMultiLvlLbl val="0"/>
      </c:catAx>
      <c:valAx>
        <c:axId val="110141440"/>
        <c:scaling>
          <c:orientation val="minMax"/>
        </c:scaling>
        <c:delete val="0"/>
        <c:axPos val="l"/>
        <c:majorGridlines>
          <c:spPr>
            <a:ln w="3175">
              <a:solidFill>
                <a:srgbClr val="C0C0C0"/>
              </a:solidFill>
              <a:prstDash val="solid"/>
            </a:ln>
          </c:spPr>
        </c:majorGridlines>
        <c:numFmt formatCode="0" sourceLinked="0"/>
        <c:majorTickMark val="none"/>
        <c:minorTickMark val="none"/>
        <c:tickLblPos val="nextTo"/>
        <c:spPr>
          <a:ln w="3175">
            <a:solidFill>
              <a:srgbClr val="000000"/>
            </a:solidFill>
            <a:prstDash val="solid"/>
          </a:ln>
        </c:spPr>
        <c:txPr>
          <a:bodyPr rot="0" vert="horz"/>
          <a:lstStyle/>
          <a:p>
            <a:pPr>
              <a:defRPr sz="700" b="0" i="0" u="none" strike="noStrike" baseline="0">
                <a:solidFill>
                  <a:srgbClr val="000000"/>
                </a:solidFill>
                <a:latin typeface="Calibri"/>
                <a:ea typeface="Calibri"/>
                <a:cs typeface="Calibri"/>
              </a:defRPr>
            </a:pPr>
            <a:endParaRPr lang="cs-CZ"/>
          </a:p>
        </c:txPr>
        <c:crossAx val="108427520"/>
        <c:crosses val="autoZero"/>
        <c:crossBetween val="between"/>
      </c:valAx>
      <c:spPr>
        <a:solidFill>
          <a:srgbClr val="FFFFFF"/>
        </a:solidFill>
        <a:ln w="3175">
          <a:solidFill>
            <a:srgbClr val="000000"/>
          </a:solidFill>
          <a:prstDash val="solid"/>
        </a:ln>
      </c:spPr>
    </c:plotArea>
    <c:plotVisOnly val="1"/>
    <c:dispBlanksAs val="gap"/>
    <c:showDLblsOverMax val="0"/>
  </c:chart>
  <c:spPr>
    <a:noFill/>
    <a:ln w="9525">
      <a:noFill/>
    </a:ln>
  </c:spPr>
  <c:txPr>
    <a:bodyPr/>
    <a:lstStyle/>
    <a:p>
      <a:pPr>
        <a:defRPr sz="1200" b="0" i="0" u="none" strike="noStrike" baseline="0">
          <a:solidFill>
            <a:srgbClr val="000000"/>
          </a:solidFill>
          <a:latin typeface="Calibri"/>
          <a:ea typeface="Calibri"/>
          <a:cs typeface="Calibri"/>
        </a:defRPr>
      </a:pPr>
      <a:endParaRPr lang="cs-CZ"/>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2441240342142975E-2"/>
          <c:y val="5.9376950613137608E-2"/>
          <c:w val="0.89505094227199089"/>
          <c:h val="0.806277117449133"/>
        </c:manualLayout>
      </c:layout>
      <c:lineChart>
        <c:grouping val="standard"/>
        <c:varyColors val="0"/>
        <c:ser>
          <c:idx val="0"/>
          <c:order val="0"/>
          <c:tx>
            <c:strRef>
              <c:f>Data!$A$5</c:f>
              <c:strCache>
                <c:ptCount val="1"/>
                <c:pt idx="0">
                  <c:v>CZK/EUR</c:v>
                </c:pt>
              </c:strCache>
            </c:strRef>
          </c:tx>
          <c:spPr>
            <a:ln>
              <a:solidFill>
                <a:srgbClr val="31527B"/>
              </a:solidFill>
            </a:ln>
          </c:spPr>
          <c:marker>
            <c:symbol val="none"/>
          </c:marker>
          <c:dPt>
            <c:idx val="13"/>
            <c:bubble3D val="0"/>
            <c:spPr>
              <a:ln>
                <a:solidFill>
                  <a:schemeClr val="tx2"/>
                </a:solidFill>
              </a:ln>
            </c:spPr>
            <c:extLst>
              <c:ext xmlns:c16="http://schemas.microsoft.com/office/drawing/2014/chart" uri="{C3380CC4-5D6E-409C-BE32-E72D297353CC}">
                <c16:uniqueId val="{00000001-BAD2-43B9-8161-ACCB79F4F6B3}"/>
              </c:ext>
            </c:extLst>
          </c:dPt>
          <c:dPt>
            <c:idx val="14"/>
            <c:bubble3D val="0"/>
            <c:spPr>
              <a:ln>
                <a:solidFill>
                  <a:srgbClr val="A0C7E8"/>
                </a:solidFill>
              </a:ln>
            </c:spPr>
            <c:extLst>
              <c:ext xmlns:c16="http://schemas.microsoft.com/office/drawing/2014/chart" uri="{C3380CC4-5D6E-409C-BE32-E72D297353CC}">
                <c16:uniqueId val="{00000003-BAD2-43B9-8161-ACCB79F4F6B3}"/>
              </c:ext>
            </c:extLst>
          </c:dPt>
          <c:dPt>
            <c:idx val="15"/>
            <c:bubble3D val="0"/>
            <c:spPr>
              <a:ln>
                <a:solidFill>
                  <a:srgbClr val="A0C7E8"/>
                </a:solidFill>
              </a:ln>
            </c:spPr>
            <c:extLst>
              <c:ext xmlns:c16="http://schemas.microsoft.com/office/drawing/2014/chart" uri="{C3380CC4-5D6E-409C-BE32-E72D297353CC}">
                <c16:uniqueId val="{00000005-BAD2-43B9-8161-ACCB79F4F6B3}"/>
              </c:ext>
            </c:extLst>
          </c:dPt>
          <c:dPt>
            <c:idx val="16"/>
            <c:bubble3D val="0"/>
            <c:spPr>
              <a:ln>
                <a:solidFill>
                  <a:srgbClr val="A0C7E8"/>
                </a:solidFill>
              </a:ln>
            </c:spPr>
            <c:extLst>
              <c:ext xmlns:c16="http://schemas.microsoft.com/office/drawing/2014/chart" uri="{C3380CC4-5D6E-409C-BE32-E72D297353CC}">
                <c16:uniqueId val="{00000007-BAD2-43B9-8161-ACCB79F4F6B3}"/>
              </c:ext>
            </c:extLst>
          </c:dPt>
          <c:dPt>
            <c:idx val="17"/>
            <c:bubble3D val="0"/>
            <c:spPr>
              <a:ln>
                <a:solidFill>
                  <a:srgbClr val="31527B"/>
                </a:solidFill>
              </a:ln>
            </c:spPr>
            <c:extLst>
              <c:ext xmlns:c16="http://schemas.microsoft.com/office/drawing/2014/chart" uri="{C3380CC4-5D6E-409C-BE32-E72D297353CC}">
                <c16:uniqueId val="{00000009-BAD2-43B9-8161-ACCB79F4F6B3}"/>
              </c:ext>
            </c:extLst>
          </c:dPt>
          <c:dPt>
            <c:idx val="18"/>
            <c:bubble3D val="0"/>
            <c:spPr>
              <a:ln>
                <a:solidFill>
                  <a:srgbClr val="31527B"/>
                </a:solidFill>
              </a:ln>
            </c:spPr>
            <c:extLst>
              <c:ext xmlns:c16="http://schemas.microsoft.com/office/drawing/2014/chart" uri="{C3380CC4-5D6E-409C-BE32-E72D297353CC}">
                <c16:uniqueId val="{0000000B-BAD2-43B9-8161-ACCB79F4F6B3}"/>
              </c:ext>
            </c:extLst>
          </c:dPt>
          <c:dPt>
            <c:idx val="19"/>
            <c:bubble3D val="0"/>
            <c:spPr>
              <a:ln>
                <a:solidFill>
                  <a:srgbClr val="31527B"/>
                </a:solidFill>
              </a:ln>
            </c:spPr>
            <c:extLst>
              <c:ext xmlns:c16="http://schemas.microsoft.com/office/drawing/2014/chart" uri="{C3380CC4-5D6E-409C-BE32-E72D297353CC}">
                <c16:uniqueId val="{0000000D-BAD2-43B9-8161-ACCB79F4F6B3}"/>
              </c:ext>
            </c:extLst>
          </c:dPt>
          <c:dPt>
            <c:idx val="20"/>
            <c:bubble3D val="0"/>
            <c:spPr>
              <a:ln>
                <a:solidFill>
                  <a:srgbClr val="31527B"/>
                </a:solidFill>
              </a:ln>
            </c:spPr>
            <c:extLst>
              <c:ext xmlns:c16="http://schemas.microsoft.com/office/drawing/2014/chart" uri="{C3380CC4-5D6E-409C-BE32-E72D297353CC}">
                <c16:uniqueId val="{0000000F-BAD2-43B9-8161-ACCB79F4F6B3}"/>
              </c:ext>
            </c:extLst>
          </c:dPt>
          <c:cat>
            <c:numRef>
              <c:f>Data!$L$1:$AA$1</c:f>
              <c:numCache>
                <c:formatCode>General</c:formatCode>
                <c:ptCount val="16"/>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pt idx="13">
                  <c:v>2019</c:v>
                </c:pt>
                <c:pt idx="14">
                  <c:v>2020</c:v>
                </c:pt>
                <c:pt idx="15">
                  <c:v>2021</c:v>
                </c:pt>
              </c:numCache>
            </c:numRef>
          </c:cat>
          <c:val>
            <c:numRef>
              <c:f>Data!$L$5:$AA$5</c:f>
              <c:numCache>
                <c:formatCode>0.0</c:formatCode>
                <c:ptCount val="16"/>
                <c:pt idx="0">
                  <c:v>28.342968127490018</c:v>
                </c:pt>
                <c:pt idx="1">
                  <c:v>27.762051792828668</c:v>
                </c:pt>
                <c:pt idx="2">
                  <c:v>24.942450592885379</c:v>
                </c:pt>
                <c:pt idx="3">
                  <c:v>26.445019920318718</c:v>
                </c:pt>
                <c:pt idx="4">
                  <c:v>25.290276679841913</c:v>
                </c:pt>
                <c:pt idx="5">
                  <c:v>24.58581027667983</c:v>
                </c:pt>
                <c:pt idx="6">
                  <c:v>25.143492063492051</c:v>
                </c:pt>
                <c:pt idx="7">
                  <c:v>25.974087301587286</c:v>
                </c:pt>
                <c:pt idx="8">
                  <c:v>27.533134920634922</c:v>
                </c:pt>
                <c:pt idx="9">
                  <c:v>27.282713147410337</c:v>
                </c:pt>
                <c:pt idx="10">
                  <c:v>27.032964426877541</c:v>
                </c:pt>
                <c:pt idx="11">
                  <c:v>26.33138554216869</c:v>
                </c:pt>
                <c:pt idx="12">
                  <c:v>25.645076305220869</c:v>
                </c:pt>
                <c:pt idx="13">
                  <c:v>25.672179282868527</c:v>
                </c:pt>
                <c:pt idx="14">
                  <c:v>26.290992680162095</c:v>
                </c:pt>
                <c:pt idx="15">
                  <c:v>25.811374226254397</c:v>
                </c:pt>
              </c:numCache>
            </c:numRef>
          </c:val>
          <c:smooth val="0"/>
          <c:extLst>
            <c:ext xmlns:c16="http://schemas.microsoft.com/office/drawing/2014/chart" uri="{C3380CC4-5D6E-409C-BE32-E72D297353CC}">
              <c16:uniqueId val="{00000010-BAD2-43B9-8161-ACCB79F4F6B3}"/>
            </c:ext>
          </c:extLst>
        </c:ser>
        <c:dLbls>
          <c:showLegendKey val="0"/>
          <c:showVal val="0"/>
          <c:showCatName val="0"/>
          <c:showSerName val="0"/>
          <c:showPercent val="0"/>
          <c:showBubbleSize val="0"/>
        </c:dLbls>
        <c:smooth val="0"/>
        <c:axId val="110217088"/>
        <c:axId val="110218624"/>
      </c:lineChart>
      <c:catAx>
        <c:axId val="110217088"/>
        <c:scaling>
          <c:orientation val="minMax"/>
        </c:scaling>
        <c:delete val="0"/>
        <c:axPos val="t"/>
        <c:majorGridlines>
          <c:spPr>
            <a:ln w="3175">
              <a:solidFill>
                <a:srgbClr val="C0C0C0"/>
              </a:solidFill>
              <a:prstDash val="solid"/>
            </a:ln>
          </c:spPr>
        </c:majorGridlines>
        <c:numFmt formatCode="General" sourceLinked="1"/>
        <c:majorTickMark val="none"/>
        <c:minorTickMark val="none"/>
        <c:tickLblPos val="high"/>
        <c:spPr>
          <a:ln w="3175">
            <a:solidFill>
              <a:srgbClr val="000000"/>
            </a:solidFill>
            <a:prstDash val="solid"/>
          </a:ln>
        </c:spPr>
        <c:txPr>
          <a:bodyPr rot="0" vert="horz"/>
          <a:lstStyle/>
          <a:p>
            <a:pPr>
              <a:defRPr sz="700" b="0" i="0" u="none" strike="noStrike" baseline="0">
                <a:solidFill>
                  <a:srgbClr val="000000"/>
                </a:solidFill>
                <a:latin typeface="Calibri"/>
                <a:ea typeface="Calibri"/>
                <a:cs typeface="Calibri"/>
              </a:defRPr>
            </a:pPr>
            <a:endParaRPr lang="cs-CZ"/>
          </a:p>
        </c:txPr>
        <c:crossAx val="110218624"/>
        <c:crosses val="autoZero"/>
        <c:auto val="1"/>
        <c:lblAlgn val="ctr"/>
        <c:lblOffset val="100"/>
        <c:noMultiLvlLbl val="0"/>
      </c:catAx>
      <c:valAx>
        <c:axId val="110218624"/>
        <c:scaling>
          <c:orientation val="maxMin"/>
          <c:max val="28.5"/>
          <c:min val="24"/>
        </c:scaling>
        <c:delete val="0"/>
        <c:axPos val="l"/>
        <c:majorGridlines>
          <c:spPr>
            <a:ln w="3175">
              <a:solidFill>
                <a:srgbClr val="C0C0C0"/>
              </a:solidFill>
              <a:prstDash val="solid"/>
            </a:ln>
          </c:spPr>
        </c:majorGridlines>
        <c:numFmt formatCode="0.0" sourceLinked="0"/>
        <c:majorTickMark val="none"/>
        <c:minorTickMark val="none"/>
        <c:tickLblPos val="nextTo"/>
        <c:spPr>
          <a:ln w="3175">
            <a:solidFill>
              <a:srgbClr val="000000"/>
            </a:solidFill>
            <a:prstDash val="solid"/>
          </a:ln>
        </c:spPr>
        <c:txPr>
          <a:bodyPr rot="0" vert="horz"/>
          <a:lstStyle/>
          <a:p>
            <a:pPr>
              <a:defRPr sz="700" b="0" i="0" u="none" strike="noStrike" baseline="0">
                <a:solidFill>
                  <a:srgbClr val="000000"/>
                </a:solidFill>
                <a:latin typeface="Calibri"/>
                <a:ea typeface="Calibri"/>
                <a:cs typeface="Calibri"/>
              </a:defRPr>
            </a:pPr>
            <a:endParaRPr lang="cs-CZ"/>
          </a:p>
        </c:txPr>
        <c:crossAx val="110217088"/>
        <c:crosses val="autoZero"/>
        <c:crossBetween val="between"/>
      </c:valAx>
      <c:spPr>
        <a:solidFill>
          <a:srgbClr val="FFFFFF"/>
        </a:solidFill>
        <a:ln w="3175">
          <a:solidFill>
            <a:srgbClr val="000000"/>
          </a:solidFill>
          <a:prstDash val="solid"/>
        </a:ln>
      </c:spPr>
    </c:plotArea>
    <c:plotVisOnly val="1"/>
    <c:dispBlanksAs val="gap"/>
    <c:showDLblsOverMax val="0"/>
  </c:chart>
  <c:spPr>
    <a:noFill/>
    <a:ln w="9525">
      <a:noFill/>
    </a:ln>
  </c:spPr>
  <c:txPr>
    <a:bodyPr/>
    <a:lstStyle/>
    <a:p>
      <a:pPr>
        <a:defRPr sz="1200" b="0" i="0" u="none" strike="noStrike" baseline="0">
          <a:solidFill>
            <a:srgbClr val="000000"/>
          </a:solidFill>
          <a:latin typeface="Calibri"/>
          <a:ea typeface="Calibri"/>
          <a:cs typeface="Calibri"/>
        </a:defRPr>
      </a:pPr>
      <a:endParaRPr lang="cs-CZ"/>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2441240342142975E-2"/>
          <c:y val="5.9376950613137608E-2"/>
          <c:w val="0.89505094227199089"/>
          <c:h val="0.806277117449133"/>
        </c:manualLayout>
      </c:layout>
      <c:barChart>
        <c:barDir val="col"/>
        <c:grouping val="stacked"/>
        <c:varyColors val="0"/>
        <c:ser>
          <c:idx val="0"/>
          <c:order val="0"/>
          <c:tx>
            <c:strRef>
              <c:f>Data!$A$6</c:f>
              <c:strCache>
                <c:ptCount val="1"/>
                <c:pt idx="0">
                  <c:v>HDP ČR růst</c:v>
                </c:pt>
              </c:strCache>
            </c:strRef>
          </c:tx>
          <c:spPr>
            <a:solidFill>
              <a:srgbClr val="31527B"/>
            </a:solidFill>
            <a:ln w="25400">
              <a:noFill/>
            </a:ln>
          </c:spPr>
          <c:invertIfNegative val="0"/>
          <c:dPt>
            <c:idx val="13"/>
            <c:invertIfNegative val="0"/>
            <c:bubble3D val="0"/>
            <c:spPr>
              <a:solidFill>
                <a:schemeClr val="tx2"/>
              </a:solidFill>
              <a:ln w="25400">
                <a:noFill/>
              </a:ln>
            </c:spPr>
            <c:extLst>
              <c:ext xmlns:c16="http://schemas.microsoft.com/office/drawing/2014/chart" uri="{C3380CC4-5D6E-409C-BE32-E72D297353CC}">
                <c16:uniqueId val="{00000001-7D3B-483D-A935-F2380B906D9A}"/>
              </c:ext>
            </c:extLst>
          </c:dPt>
          <c:dPt>
            <c:idx val="14"/>
            <c:invertIfNegative val="0"/>
            <c:bubble3D val="0"/>
            <c:spPr>
              <a:solidFill>
                <a:srgbClr val="A0C7E8"/>
              </a:solidFill>
              <a:ln w="25400">
                <a:noFill/>
              </a:ln>
            </c:spPr>
            <c:extLst>
              <c:ext xmlns:c16="http://schemas.microsoft.com/office/drawing/2014/chart" uri="{C3380CC4-5D6E-409C-BE32-E72D297353CC}">
                <c16:uniqueId val="{00000003-7D3B-483D-A935-F2380B906D9A}"/>
              </c:ext>
            </c:extLst>
          </c:dPt>
          <c:dPt>
            <c:idx val="15"/>
            <c:invertIfNegative val="0"/>
            <c:bubble3D val="0"/>
            <c:spPr>
              <a:solidFill>
                <a:srgbClr val="A0C7E8"/>
              </a:solidFill>
              <a:ln w="25400">
                <a:noFill/>
              </a:ln>
            </c:spPr>
            <c:extLst>
              <c:ext xmlns:c16="http://schemas.microsoft.com/office/drawing/2014/chart" uri="{C3380CC4-5D6E-409C-BE32-E72D297353CC}">
                <c16:uniqueId val="{00000005-7D3B-483D-A935-F2380B906D9A}"/>
              </c:ext>
            </c:extLst>
          </c:dPt>
          <c:dPt>
            <c:idx val="16"/>
            <c:invertIfNegative val="0"/>
            <c:bubble3D val="0"/>
            <c:spPr>
              <a:solidFill>
                <a:srgbClr val="A0C7E8"/>
              </a:solidFill>
              <a:ln w="25400">
                <a:noFill/>
              </a:ln>
            </c:spPr>
            <c:extLst>
              <c:ext xmlns:c16="http://schemas.microsoft.com/office/drawing/2014/chart" uri="{C3380CC4-5D6E-409C-BE32-E72D297353CC}">
                <c16:uniqueId val="{00000007-7D3B-483D-A935-F2380B906D9A}"/>
              </c:ext>
            </c:extLst>
          </c:dPt>
          <c:dPt>
            <c:idx val="17"/>
            <c:invertIfNegative val="0"/>
            <c:bubble3D val="0"/>
            <c:spPr>
              <a:solidFill>
                <a:srgbClr val="A0C7E8"/>
              </a:solidFill>
              <a:ln w="25400">
                <a:noFill/>
              </a:ln>
            </c:spPr>
            <c:extLst>
              <c:ext xmlns:c16="http://schemas.microsoft.com/office/drawing/2014/chart" uri="{C3380CC4-5D6E-409C-BE32-E72D297353CC}">
                <c16:uniqueId val="{00000009-7D3B-483D-A935-F2380B906D9A}"/>
              </c:ext>
            </c:extLst>
          </c:dPt>
          <c:dPt>
            <c:idx val="18"/>
            <c:invertIfNegative val="0"/>
            <c:bubble3D val="0"/>
            <c:spPr>
              <a:solidFill>
                <a:srgbClr val="A0C7E8"/>
              </a:solidFill>
              <a:ln w="25400">
                <a:noFill/>
              </a:ln>
            </c:spPr>
            <c:extLst>
              <c:ext xmlns:c16="http://schemas.microsoft.com/office/drawing/2014/chart" uri="{C3380CC4-5D6E-409C-BE32-E72D297353CC}">
                <c16:uniqueId val="{0000000B-7D3B-483D-A935-F2380B906D9A}"/>
              </c:ext>
            </c:extLst>
          </c:dPt>
          <c:dPt>
            <c:idx val="19"/>
            <c:invertIfNegative val="0"/>
            <c:bubble3D val="0"/>
            <c:spPr>
              <a:solidFill>
                <a:srgbClr val="A0C7E8"/>
              </a:solidFill>
              <a:ln w="25400">
                <a:noFill/>
              </a:ln>
            </c:spPr>
            <c:extLst>
              <c:ext xmlns:c16="http://schemas.microsoft.com/office/drawing/2014/chart" uri="{C3380CC4-5D6E-409C-BE32-E72D297353CC}">
                <c16:uniqueId val="{0000000D-7D3B-483D-A935-F2380B906D9A}"/>
              </c:ext>
            </c:extLst>
          </c:dPt>
          <c:dPt>
            <c:idx val="20"/>
            <c:invertIfNegative val="0"/>
            <c:bubble3D val="0"/>
            <c:spPr>
              <a:solidFill>
                <a:srgbClr val="A0C7E8"/>
              </a:solidFill>
              <a:ln w="25400">
                <a:noFill/>
              </a:ln>
            </c:spPr>
            <c:extLst>
              <c:ext xmlns:c16="http://schemas.microsoft.com/office/drawing/2014/chart" uri="{C3380CC4-5D6E-409C-BE32-E72D297353CC}">
                <c16:uniqueId val="{0000000F-7D3B-483D-A935-F2380B906D9A}"/>
              </c:ext>
            </c:extLst>
          </c:dPt>
          <c:cat>
            <c:numRef>
              <c:f>Data!$L$1:$AA$1</c:f>
              <c:numCache>
                <c:formatCode>General</c:formatCode>
                <c:ptCount val="16"/>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pt idx="13">
                  <c:v>2019</c:v>
                </c:pt>
                <c:pt idx="14">
                  <c:v>2020</c:v>
                </c:pt>
                <c:pt idx="15">
                  <c:v>2021</c:v>
                </c:pt>
              </c:numCache>
            </c:numRef>
          </c:cat>
          <c:val>
            <c:numRef>
              <c:f>Data!$L$6:$AA$6</c:f>
              <c:numCache>
                <c:formatCode>0.0</c:formatCode>
                <c:ptCount val="16"/>
                <c:pt idx="0">
                  <c:v>6.7669326812542785</c:v>
                </c:pt>
                <c:pt idx="1">
                  <c:v>5.5703388592102554</c:v>
                </c:pt>
                <c:pt idx="2">
                  <c:v>2.686411950927603</c:v>
                </c:pt>
                <c:pt idx="3">
                  <c:v>-4.6573310917175537</c:v>
                </c:pt>
                <c:pt idx="4">
                  <c:v>2.4349021590451825</c:v>
                </c:pt>
                <c:pt idx="5">
                  <c:v>1.7603596244522235</c:v>
                </c:pt>
                <c:pt idx="6">
                  <c:v>-0.78500429900361102</c:v>
                </c:pt>
                <c:pt idx="7">
                  <c:v>-4.5903673551528357E-2</c:v>
                </c:pt>
                <c:pt idx="8">
                  <c:v>2.2621028970807755</c:v>
                </c:pt>
                <c:pt idx="9">
                  <c:v>5.3883808381530729</c:v>
                </c:pt>
                <c:pt idx="10">
                  <c:v>2.5372845203138095</c:v>
                </c:pt>
                <c:pt idx="11">
                  <c:v>5.1687243041307118</c:v>
                </c:pt>
                <c:pt idx="12">
                  <c:v>3.1813140503091697</c:v>
                </c:pt>
                <c:pt idx="13">
                  <c:v>2.3353092825571187</c:v>
                </c:pt>
                <c:pt idx="14">
                  <c:v>-6.5892108409393968</c:v>
                </c:pt>
                <c:pt idx="15">
                  <c:v>3.9086660072154</c:v>
                </c:pt>
              </c:numCache>
            </c:numRef>
          </c:val>
          <c:extLst>
            <c:ext xmlns:c16="http://schemas.microsoft.com/office/drawing/2014/chart" uri="{C3380CC4-5D6E-409C-BE32-E72D297353CC}">
              <c16:uniqueId val="{00000010-7D3B-483D-A935-F2380B906D9A}"/>
            </c:ext>
          </c:extLst>
        </c:ser>
        <c:dLbls>
          <c:showLegendKey val="0"/>
          <c:showVal val="0"/>
          <c:showCatName val="0"/>
          <c:showSerName val="0"/>
          <c:showPercent val="0"/>
          <c:showBubbleSize val="0"/>
        </c:dLbls>
        <c:gapWidth val="40"/>
        <c:overlap val="100"/>
        <c:axId val="113939968"/>
        <c:axId val="113941504"/>
      </c:barChart>
      <c:catAx>
        <c:axId val="113939968"/>
        <c:scaling>
          <c:orientation val="minMax"/>
        </c:scaling>
        <c:delete val="0"/>
        <c:axPos val="b"/>
        <c:majorGridlines>
          <c:spPr>
            <a:ln w="3175">
              <a:solidFill>
                <a:srgbClr val="C0C0C0"/>
              </a:solidFill>
              <a:prstDash val="solid"/>
            </a:ln>
          </c:spPr>
        </c:majorGridlines>
        <c:numFmt formatCode="General" sourceLinked="1"/>
        <c:majorTickMark val="none"/>
        <c:minorTickMark val="none"/>
        <c:tickLblPos val="low"/>
        <c:spPr>
          <a:ln w="3175">
            <a:solidFill>
              <a:srgbClr val="000000"/>
            </a:solidFill>
            <a:prstDash val="solid"/>
          </a:ln>
        </c:spPr>
        <c:txPr>
          <a:bodyPr rot="0" vert="horz"/>
          <a:lstStyle/>
          <a:p>
            <a:pPr>
              <a:defRPr sz="700" b="0" i="0" u="none" strike="noStrike" baseline="0">
                <a:solidFill>
                  <a:srgbClr val="000000"/>
                </a:solidFill>
                <a:latin typeface="Calibri"/>
                <a:ea typeface="Calibri"/>
                <a:cs typeface="Calibri"/>
              </a:defRPr>
            </a:pPr>
            <a:endParaRPr lang="cs-CZ"/>
          </a:p>
        </c:txPr>
        <c:crossAx val="113941504"/>
        <c:crosses val="autoZero"/>
        <c:auto val="1"/>
        <c:lblAlgn val="ctr"/>
        <c:lblOffset val="100"/>
        <c:tickLblSkip val="2"/>
        <c:tickMarkSkip val="1"/>
        <c:noMultiLvlLbl val="0"/>
      </c:catAx>
      <c:valAx>
        <c:axId val="113941504"/>
        <c:scaling>
          <c:orientation val="minMax"/>
        </c:scaling>
        <c:delete val="0"/>
        <c:axPos val="l"/>
        <c:majorGridlines>
          <c:spPr>
            <a:ln w="3175">
              <a:solidFill>
                <a:srgbClr val="C0C0C0"/>
              </a:solidFill>
              <a:prstDash val="solid"/>
            </a:ln>
          </c:spPr>
        </c:majorGridlines>
        <c:numFmt formatCode="0" sourceLinked="0"/>
        <c:majorTickMark val="none"/>
        <c:minorTickMark val="none"/>
        <c:tickLblPos val="nextTo"/>
        <c:spPr>
          <a:ln w="3175">
            <a:solidFill>
              <a:srgbClr val="000000"/>
            </a:solidFill>
            <a:prstDash val="solid"/>
          </a:ln>
        </c:spPr>
        <c:txPr>
          <a:bodyPr rot="0" vert="horz"/>
          <a:lstStyle/>
          <a:p>
            <a:pPr>
              <a:defRPr sz="700" b="0" i="0" u="none" strike="noStrike" baseline="0">
                <a:solidFill>
                  <a:srgbClr val="000000"/>
                </a:solidFill>
                <a:latin typeface="Calibri"/>
                <a:ea typeface="Calibri"/>
                <a:cs typeface="Calibri"/>
              </a:defRPr>
            </a:pPr>
            <a:endParaRPr lang="cs-CZ"/>
          </a:p>
        </c:txPr>
        <c:crossAx val="113939968"/>
        <c:crosses val="autoZero"/>
        <c:crossBetween val="between"/>
      </c:valAx>
      <c:spPr>
        <a:solidFill>
          <a:srgbClr val="FFFFFF"/>
        </a:solidFill>
        <a:ln w="3175">
          <a:solidFill>
            <a:srgbClr val="000000"/>
          </a:solidFill>
          <a:prstDash val="solid"/>
        </a:ln>
      </c:spPr>
    </c:plotArea>
    <c:plotVisOnly val="1"/>
    <c:dispBlanksAs val="gap"/>
    <c:showDLblsOverMax val="0"/>
  </c:chart>
  <c:spPr>
    <a:noFill/>
    <a:ln w="9525">
      <a:noFill/>
    </a:ln>
  </c:spPr>
  <c:txPr>
    <a:bodyPr/>
    <a:lstStyle/>
    <a:p>
      <a:pPr>
        <a:defRPr sz="1200" b="0" i="0" u="none" strike="noStrike" baseline="0">
          <a:solidFill>
            <a:srgbClr val="000000"/>
          </a:solidFill>
          <a:latin typeface="Calibri"/>
          <a:ea typeface="Calibri"/>
          <a:cs typeface="Calibri"/>
        </a:defRPr>
      </a:pPr>
      <a:endParaRPr lang="cs-CZ"/>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2441240342142975E-2"/>
          <c:y val="5.9376950613137608E-2"/>
          <c:w val="0.89505094227199089"/>
          <c:h val="0.806277117449133"/>
        </c:manualLayout>
      </c:layout>
      <c:barChart>
        <c:barDir val="col"/>
        <c:grouping val="stacked"/>
        <c:varyColors val="0"/>
        <c:ser>
          <c:idx val="0"/>
          <c:order val="0"/>
          <c:tx>
            <c:strRef>
              <c:f>Data!$A$7</c:f>
              <c:strCache>
                <c:ptCount val="1"/>
                <c:pt idx="0">
                  <c:v>Inflace</c:v>
                </c:pt>
              </c:strCache>
            </c:strRef>
          </c:tx>
          <c:spPr>
            <a:solidFill>
              <a:srgbClr val="31527B"/>
            </a:solidFill>
            <a:ln w="25400">
              <a:noFill/>
            </a:ln>
          </c:spPr>
          <c:invertIfNegative val="0"/>
          <c:dPt>
            <c:idx val="13"/>
            <c:invertIfNegative val="0"/>
            <c:bubble3D val="0"/>
            <c:spPr>
              <a:solidFill>
                <a:schemeClr val="tx2"/>
              </a:solidFill>
              <a:ln w="25400">
                <a:noFill/>
              </a:ln>
            </c:spPr>
            <c:extLst>
              <c:ext xmlns:c16="http://schemas.microsoft.com/office/drawing/2014/chart" uri="{C3380CC4-5D6E-409C-BE32-E72D297353CC}">
                <c16:uniqueId val="{00000001-E90B-40E0-9232-98728C3527D3}"/>
              </c:ext>
            </c:extLst>
          </c:dPt>
          <c:dPt>
            <c:idx val="14"/>
            <c:invertIfNegative val="0"/>
            <c:bubble3D val="0"/>
            <c:spPr>
              <a:solidFill>
                <a:srgbClr val="A0C7E8"/>
              </a:solidFill>
              <a:ln w="25400">
                <a:noFill/>
              </a:ln>
            </c:spPr>
            <c:extLst>
              <c:ext xmlns:c16="http://schemas.microsoft.com/office/drawing/2014/chart" uri="{C3380CC4-5D6E-409C-BE32-E72D297353CC}">
                <c16:uniqueId val="{00000003-E90B-40E0-9232-98728C3527D3}"/>
              </c:ext>
            </c:extLst>
          </c:dPt>
          <c:dPt>
            <c:idx val="15"/>
            <c:invertIfNegative val="0"/>
            <c:bubble3D val="0"/>
            <c:spPr>
              <a:solidFill>
                <a:srgbClr val="A0C7E8"/>
              </a:solidFill>
              <a:ln w="25400">
                <a:noFill/>
              </a:ln>
            </c:spPr>
            <c:extLst>
              <c:ext xmlns:c16="http://schemas.microsoft.com/office/drawing/2014/chart" uri="{C3380CC4-5D6E-409C-BE32-E72D297353CC}">
                <c16:uniqueId val="{00000005-E90B-40E0-9232-98728C3527D3}"/>
              </c:ext>
            </c:extLst>
          </c:dPt>
          <c:dPt>
            <c:idx val="16"/>
            <c:invertIfNegative val="0"/>
            <c:bubble3D val="0"/>
            <c:spPr>
              <a:solidFill>
                <a:srgbClr val="A0C7E8"/>
              </a:solidFill>
              <a:ln w="25400">
                <a:noFill/>
              </a:ln>
            </c:spPr>
            <c:extLst>
              <c:ext xmlns:c16="http://schemas.microsoft.com/office/drawing/2014/chart" uri="{C3380CC4-5D6E-409C-BE32-E72D297353CC}">
                <c16:uniqueId val="{00000007-E90B-40E0-9232-98728C3527D3}"/>
              </c:ext>
            </c:extLst>
          </c:dPt>
          <c:dPt>
            <c:idx val="17"/>
            <c:invertIfNegative val="0"/>
            <c:bubble3D val="0"/>
            <c:spPr>
              <a:solidFill>
                <a:srgbClr val="A0C7E8"/>
              </a:solidFill>
              <a:ln w="25400">
                <a:noFill/>
              </a:ln>
            </c:spPr>
            <c:extLst>
              <c:ext xmlns:c16="http://schemas.microsoft.com/office/drawing/2014/chart" uri="{C3380CC4-5D6E-409C-BE32-E72D297353CC}">
                <c16:uniqueId val="{00000009-E90B-40E0-9232-98728C3527D3}"/>
              </c:ext>
            </c:extLst>
          </c:dPt>
          <c:dPt>
            <c:idx val="18"/>
            <c:invertIfNegative val="0"/>
            <c:bubble3D val="0"/>
            <c:spPr>
              <a:solidFill>
                <a:srgbClr val="A0C7E8"/>
              </a:solidFill>
              <a:ln w="25400">
                <a:noFill/>
              </a:ln>
            </c:spPr>
            <c:extLst>
              <c:ext xmlns:c16="http://schemas.microsoft.com/office/drawing/2014/chart" uri="{C3380CC4-5D6E-409C-BE32-E72D297353CC}">
                <c16:uniqueId val="{0000000B-E90B-40E0-9232-98728C3527D3}"/>
              </c:ext>
            </c:extLst>
          </c:dPt>
          <c:dPt>
            <c:idx val="19"/>
            <c:invertIfNegative val="0"/>
            <c:bubble3D val="0"/>
            <c:spPr>
              <a:solidFill>
                <a:srgbClr val="A0C7E8"/>
              </a:solidFill>
              <a:ln w="25400">
                <a:noFill/>
              </a:ln>
            </c:spPr>
            <c:extLst>
              <c:ext xmlns:c16="http://schemas.microsoft.com/office/drawing/2014/chart" uri="{C3380CC4-5D6E-409C-BE32-E72D297353CC}">
                <c16:uniqueId val="{0000000D-E90B-40E0-9232-98728C3527D3}"/>
              </c:ext>
            </c:extLst>
          </c:dPt>
          <c:dPt>
            <c:idx val="20"/>
            <c:invertIfNegative val="0"/>
            <c:bubble3D val="0"/>
            <c:spPr>
              <a:solidFill>
                <a:srgbClr val="A0C7E8"/>
              </a:solidFill>
              <a:ln w="25400">
                <a:noFill/>
              </a:ln>
            </c:spPr>
            <c:extLst>
              <c:ext xmlns:c16="http://schemas.microsoft.com/office/drawing/2014/chart" uri="{C3380CC4-5D6E-409C-BE32-E72D297353CC}">
                <c16:uniqueId val="{0000000F-E90B-40E0-9232-98728C3527D3}"/>
              </c:ext>
            </c:extLst>
          </c:dPt>
          <c:cat>
            <c:numRef>
              <c:f>Data!$L$1:$AA$1</c:f>
              <c:numCache>
                <c:formatCode>General</c:formatCode>
                <c:ptCount val="16"/>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pt idx="13">
                  <c:v>2019</c:v>
                </c:pt>
                <c:pt idx="14">
                  <c:v>2020</c:v>
                </c:pt>
                <c:pt idx="15">
                  <c:v>2021</c:v>
                </c:pt>
              </c:numCache>
            </c:numRef>
          </c:cat>
          <c:val>
            <c:numRef>
              <c:f>Data!$L$7:$AA$7</c:f>
              <c:numCache>
                <c:formatCode>0.0</c:formatCode>
                <c:ptCount val="16"/>
                <c:pt idx="0">
                  <c:v>2.5</c:v>
                </c:pt>
                <c:pt idx="1">
                  <c:v>2.8</c:v>
                </c:pt>
                <c:pt idx="2">
                  <c:v>6.3</c:v>
                </c:pt>
                <c:pt idx="3">
                  <c:v>1</c:v>
                </c:pt>
                <c:pt idx="4">
                  <c:v>1.5</c:v>
                </c:pt>
                <c:pt idx="5">
                  <c:v>1.9</c:v>
                </c:pt>
                <c:pt idx="6">
                  <c:v>3.3</c:v>
                </c:pt>
                <c:pt idx="7">
                  <c:v>1.4</c:v>
                </c:pt>
                <c:pt idx="8">
                  <c:v>0.4</c:v>
                </c:pt>
                <c:pt idx="9">
                  <c:v>0.3</c:v>
                </c:pt>
                <c:pt idx="10">
                  <c:v>0.7</c:v>
                </c:pt>
                <c:pt idx="11">
                  <c:v>2.5</c:v>
                </c:pt>
                <c:pt idx="12">
                  <c:v>2.1</c:v>
                </c:pt>
                <c:pt idx="13">
                  <c:v>2.8</c:v>
                </c:pt>
                <c:pt idx="14">
                  <c:v>3.2403452025525894</c:v>
                </c:pt>
                <c:pt idx="15">
                  <c:v>1.8637348251985912</c:v>
                </c:pt>
              </c:numCache>
            </c:numRef>
          </c:val>
          <c:extLst>
            <c:ext xmlns:c16="http://schemas.microsoft.com/office/drawing/2014/chart" uri="{C3380CC4-5D6E-409C-BE32-E72D297353CC}">
              <c16:uniqueId val="{00000010-E90B-40E0-9232-98728C3527D3}"/>
            </c:ext>
          </c:extLst>
        </c:ser>
        <c:dLbls>
          <c:showLegendKey val="0"/>
          <c:showVal val="0"/>
          <c:showCatName val="0"/>
          <c:showSerName val="0"/>
          <c:showPercent val="0"/>
          <c:showBubbleSize val="0"/>
        </c:dLbls>
        <c:gapWidth val="40"/>
        <c:overlap val="100"/>
        <c:axId val="116020352"/>
        <c:axId val="116021888"/>
      </c:barChart>
      <c:catAx>
        <c:axId val="116020352"/>
        <c:scaling>
          <c:orientation val="minMax"/>
        </c:scaling>
        <c:delete val="0"/>
        <c:axPos val="b"/>
        <c:majorGridlines>
          <c:spPr>
            <a:ln w="3175">
              <a:solidFill>
                <a:srgbClr val="C0C0C0"/>
              </a:solidFill>
              <a:prstDash val="solid"/>
            </a:ln>
          </c:spPr>
        </c:majorGridlines>
        <c:numFmt formatCode="General" sourceLinked="1"/>
        <c:majorTickMark val="none"/>
        <c:minorTickMark val="none"/>
        <c:tickLblPos val="low"/>
        <c:spPr>
          <a:ln w="3175">
            <a:solidFill>
              <a:srgbClr val="000000"/>
            </a:solidFill>
            <a:prstDash val="solid"/>
          </a:ln>
        </c:spPr>
        <c:txPr>
          <a:bodyPr rot="0" vert="horz"/>
          <a:lstStyle/>
          <a:p>
            <a:pPr>
              <a:defRPr sz="700" b="0" i="0" u="none" strike="noStrike" baseline="0">
                <a:solidFill>
                  <a:srgbClr val="000000"/>
                </a:solidFill>
                <a:latin typeface="Calibri"/>
                <a:ea typeface="Calibri"/>
                <a:cs typeface="Calibri"/>
              </a:defRPr>
            </a:pPr>
            <a:endParaRPr lang="cs-CZ"/>
          </a:p>
        </c:txPr>
        <c:crossAx val="116021888"/>
        <c:crosses val="autoZero"/>
        <c:auto val="1"/>
        <c:lblAlgn val="ctr"/>
        <c:lblOffset val="100"/>
        <c:tickLblSkip val="2"/>
        <c:tickMarkSkip val="1"/>
        <c:noMultiLvlLbl val="0"/>
      </c:catAx>
      <c:valAx>
        <c:axId val="116021888"/>
        <c:scaling>
          <c:orientation val="minMax"/>
        </c:scaling>
        <c:delete val="0"/>
        <c:axPos val="l"/>
        <c:majorGridlines>
          <c:spPr>
            <a:ln w="3175">
              <a:solidFill>
                <a:srgbClr val="C0C0C0"/>
              </a:solidFill>
              <a:prstDash val="solid"/>
            </a:ln>
          </c:spPr>
        </c:majorGridlines>
        <c:numFmt formatCode="0" sourceLinked="0"/>
        <c:majorTickMark val="none"/>
        <c:minorTickMark val="none"/>
        <c:tickLblPos val="nextTo"/>
        <c:spPr>
          <a:ln w="3175">
            <a:solidFill>
              <a:srgbClr val="000000"/>
            </a:solidFill>
            <a:prstDash val="solid"/>
          </a:ln>
        </c:spPr>
        <c:txPr>
          <a:bodyPr rot="0" vert="horz"/>
          <a:lstStyle/>
          <a:p>
            <a:pPr>
              <a:defRPr sz="700" b="0" i="0" u="none" strike="noStrike" baseline="0">
                <a:solidFill>
                  <a:srgbClr val="000000"/>
                </a:solidFill>
                <a:latin typeface="Calibri"/>
                <a:ea typeface="Calibri"/>
                <a:cs typeface="Calibri"/>
              </a:defRPr>
            </a:pPr>
            <a:endParaRPr lang="cs-CZ"/>
          </a:p>
        </c:txPr>
        <c:crossAx val="116020352"/>
        <c:crosses val="autoZero"/>
        <c:crossBetween val="between"/>
      </c:valAx>
      <c:spPr>
        <a:solidFill>
          <a:srgbClr val="FFFFFF"/>
        </a:solidFill>
        <a:ln w="3175">
          <a:solidFill>
            <a:srgbClr val="000000"/>
          </a:solidFill>
          <a:prstDash val="solid"/>
        </a:ln>
      </c:spPr>
    </c:plotArea>
    <c:plotVisOnly val="1"/>
    <c:dispBlanksAs val="gap"/>
    <c:showDLblsOverMax val="0"/>
  </c:chart>
  <c:spPr>
    <a:noFill/>
    <a:ln w="9525">
      <a:noFill/>
    </a:ln>
  </c:spPr>
  <c:txPr>
    <a:bodyPr/>
    <a:lstStyle/>
    <a:p>
      <a:pPr>
        <a:defRPr sz="1200" b="0" i="0" u="none" strike="noStrike" baseline="0">
          <a:solidFill>
            <a:srgbClr val="000000"/>
          </a:solidFill>
          <a:latin typeface="Calibri"/>
          <a:ea typeface="Calibri"/>
          <a:cs typeface="Calibri"/>
        </a:defRPr>
      </a:pPr>
      <a:endParaRPr lang="cs-CZ"/>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2441240342142975E-2"/>
          <c:y val="5.9376950613137608E-2"/>
          <c:w val="0.89505094227199089"/>
          <c:h val="0.806277117449133"/>
        </c:manualLayout>
      </c:layout>
      <c:barChart>
        <c:barDir val="col"/>
        <c:grouping val="stacked"/>
        <c:varyColors val="0"/>
        <c:ser>
          <c:idx val="0"/>
          <c:order val="0"/>
          <c:tx>
            <c:strRef>
              <c:f>Data!$A$8</c:f>
              <c:strCache>
                <c:ptCount val="1"/>
                <c:pt idx="0">
                  <c:v>Zaměstnanost</c:v>
                </c:pt>
              </c:strCache>
            </c:strRef>
          </c:tx>
          <c:spPr>
            <a:solidFill>
              <a:srgbClr val="31527B"/>
            </a:solidFill>
            <a:ln w="25400">
              <a:noFill/>
            </a:ln>
          </c:spPr>
          <c:invertIfNegative val="0"/>
          <c:dPt>
            <c:idx val="13"/>
            <c:invertIfNegative val="0"/>
            <c:bubble3D val="0"/>
            <c:spPr>
              <a:solidFill>
                <a:schemeClr val="tx2"/>
              </a:solidFill>
              <a:ln w="25400">
                <a:noFill/>
              </a:ln>
            </c:spPr>
            <c:extLst>
              <c:ext xmlns:c16="http://schemas.microsoft.com/office/drawing/2014/chart" uri="{C3380CC4-5D6E-409C-BE32-E72D297353CC}">
                <c16:uniqueId val="{00000001-F5A0-4B36-A4DB-F653A56C3F70}"/>
              </c:ext>
            </c:extLst>
          </c:dPt>
          <c:dPt>
            <c:idx val="14"/>
            <c:invertIfNegative val="0"/>
            <c:bubble3D val="0"/>
            <c:spPr>
              <a:solidFill>
                <a:srgbClr val="A0C7E8"/>
              </a:solidFill>
              <a:ln w="25400">
                <a:noFill/>
              </a:ln>
            </c:spPr>
            <c:extLst>
              <c:ext xmlns:c16="http://schemas.microsoft.com/office/drawing/2014/chart" uri="{C3380CC4-5D6E-409C-BE32-E72D297353CC}">
                <c16:uniqueId val="{00000003-F5A0-4B36-A4DB-F653A56C3F70}"/>
              </c:ext>
            </c:extLst>
          </c:dPt>
          <c:dPt>
            <c:idx val="15"/>
            <c:invertIfNegative val="0"/>
            <c:bubble3D val="0"/>
            <c:spPr>
              <a:solidFill>
                <a:srgbClr val="A0C7E8"/>
              </a:solidFill>
              <a:ln w="25400">
                <a:noFill/>
              </a:ln>
            </c:spPr>
            <c:extLst>
              <c:ext xmlns:c16="http://schemas.microsoft.com/office/drawing/2014/chart" uri="{C3380CC4-5D6E-409C-BE32-E72D297353CC}">
                <c16:uniqueId val="{00000005-F5A0-4B36-A4DB-F653A56C3F70}"/>
              </c:ext>
            </c:extLst>
          </c:dPt>
          <c:dPt>
            <c:idx val="16"/>
            <c:invertIfNegative val="0"/>
            <c:bubble3D val="0"/>
            <c:spPr>
              <a:solidFill>
                <a:srgbClr val="A0C7E8"/>
              </a:solidFill>
              <a:ln w="25400">
                <a:noFill/>
              </a:ln>
            </c:spPr>
            <c:extLst>
              <c:ext xmlns:c16="http://schemas.microsoft.com/office/drawing/2014/chart" uri="{C3380CC4-5D6E-409C-BE32-E72D297353CC}">
                <c16:uniqueId val="{00000007-F5A0-4B36-A4DB-F653A56C3F70}"/>
              </c:ext>
            </c:extLst>
          </c:dPt>
          <c:dPt>
            <c:idx val="17"/>
            <c:invertIfNegative val="0"/>
            <c:bubble3D val="0"/>
            <c:spPr>
              <a:solidFill>
                <a:srgbClr val="A0C7E8"/>
              </a:solidFill>
              <a:ln w="25400">
                <a:noFill/>
              </a:ln>
            </c:spPr>
            <c:extLst>
              <c:ext xmlns:c16="http://schemas.microsoft.com/office/drawing/2014/chart" uri="{C3380CC4-5D6E-409C-BE32-E72D297353CC}">
                <c16:uniqueId val="{00000009-F5A0-4B36-A4DB-F653A56C3F70}"/>
              </c:ext>
            </c:extLst>
          </c:dPt>
          <c:dPt>
            <c:idx val="18"/>
            <c:invertIfNegative val="0"/>
            <c:bubble3D val="0"/>
            <c:spPr>
              <a:solidFill>
                <a:srgbClr val="A0C7E8"/>
              </a:solidFill>
              <a:ln w="25400">
                <a:noFill/>
              </a:ln>
            </c:spPr>
            <c:extLst>
              <c:ext xmlns:c16="http://schemas.microsoft.com/office/drawing/2014/chart" uri="{C3380CC4-5D6E-409C-BE32-E72D297353CC}">
                <c16:uniqueId val="{0000000B-F5A0-4B36-A4DB-F653A56C3F70}"/>
              </c:ext>
            </c:extLst>
          </c:dPt>
          <c:dPt>
            <c:idx val="19"/>
            <c:invertIfNegative val="0"/>
            <c:bubble3D val="0"/>
            <c:spPr>
              <a:solidFill>
                <a:srgbClr val="A0C7E8"/>
              </a:solidFill>
              <a:ln w="25400">
                <a:noFill/>
              </a:ln>
            </c:spPr>
            <c:extLst>
              <c:ext xmlns:c16="http://schemas.microsoft.com/office/drawing/2014/chart" uri="{C3380CC4-5D6E-409C-BE32-E72D297353CC}">
                <c16:uniqueId val="{0000000D-F5A0-4B36-A4DB-F653A56C3F70}"/>
              </c:ext>
            </c:extLst>
          </c:dPt>
          <c:dPt>
            <c:idx val="20"/>
            <c:invertIfNegative val="0"/>
            <c:bubble3D val="0"/>
            <c:spPr>
              <a:solidFill>
                <a:srgbClr val="A0C7E8"/>
              </a:solidFill>
              <a:ln w="25400">
                <a:noFill/>
              </a:ln>
            </c:spPr>
            <c:extLst>
              <c:ext xmlns:c16="http://schemas.microsoft.com/office/drawing/2014/chart" uri="{C3380CC4-5D6E-409C-BE32-E72D297353CC}">
                <c16:uniqueId val="{0000000F-F5A0-4B36-A4DB-F653A56C3F70}"/>
              </c:ext>
            </c:extLst>
          </c:dPt>
          <c:cat>
            <c:numRef>
              <c:f>Data!$L$1:$AA$1</c:f>
              <c:numCache>
                <c:formatCode>General</c:formatCode>
                <c:ptCount val="16"/>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pt idx="13">
                  <c:v>2019</c:v>
                </c:pt>
                <c:pt idx="14">
                  <c:v>2020</c:v>
                </c:pt>
                <c:pt idx="15">
                  <c:v>2021</c:v>
                </c:pt>
              </c:numCache>
            </c:numRef>
          </c:cat>
          <c:val>
            <c:numRef>
              <c:f>Data!$L$8:$AA$8</c:f>
              <c:numCache>
                <c:formatCode>0.0</c:formatCode>
                <c:ptCount val="16"/>
                <c:pt idx="0">
                  <c:v>1.3444364181999235</c:v>
                </c:pt>
                <c:pt idx="1">
                  <c:v>1.9454535321737687</c:v>
                </c:pt>
                <c:pt idx="2">
                  <c:v>1.6352231074887369</c:v>
                </c:pt>
                <c:pt idx="3">
                  <c:v>-1.3635292234363328</c:v>
                </c:pt>
                <c:pt idx="4">
                  <c:v>-0.9936353787696417</c:v>
                </c:pt>
                <c:pt idx="5">
                  <c:v>-0.26269132778349302</c:v>
                </c:pt>
                <c:pt idx="6">
                  <c:v>0.36218277383230912</c:v>
                </c:pt>
                <c:pt idx="7">
                  <c:v>0.96175765130470658</c:v>
                </c:pt>
                <c:pt idx="8">
                  <c:v>0.75370724329746341</c:v>
                </c:pt>
                <c:pt idx="9">
                  <c:v>1.3591406597891487</c:v>
                </c:pt>
                <c:pt idx="10">
                  <c:v>1.9174375911035879</c:v>
                </c:pt>
                <c:pt idx="11">
                  <c:v>1.6157557959702418</c:v>
                </c:pt>
                <c:pt idx="12">
                  <c:v>1.3824093933391124</c:v>
                </c:pt>
                <c:pt idx="13">
                  <c:v>0.17593393293120485</c:v>
                </c:pt>
                <c:pt idx="14">
                  <c:v>-1.1544198155713836</c:v>
                </c:pt>
                <c:pt idx="15">
                  <c:v>-0.66277868656133831</c:v>
                </c:pt>
              </c:numCache>
            </c:numRef>
          </c:val>
          <c:extLst>
            <c:ext xmlns:c16="http://schemas.microsoft.com/office/drawing/2014/chart" uri="{C3380CC4-5D6E-409C-BE32-E72D297353CC}">
              <c16:uniqueId val="{00000010-F5A0-4B36-A4DB-F653A56C3F70}"/>
            </c:ext>
          </c:extLst>
        </c:ser>
        <c:dLbls>
          <c:showLegendKey val="0"/>
          <c:showVal val="0"/>
          <c:showCatName val="0"/>
          <c:showSerName val="0"/>
          <c:showPercent val="0"/>
          <c:showBubbleSize val="0"/>
        </c:dLbls>
        <c:gapWidth val="40"/>
        <c:overlap val="100"/>
        <c:axId val="116171520"/>
        <c:axId val="116173056"/>
      </c:barChart>
      <c:catAx>
        <c:axId val="116171520"/>
        <c:scaling>
          <c:orientation val="minMax"/>
        </c:scaling>
        <c:delete val="0"/>
        <c:axPos val="b"/>
        <c:majorGridlines>
          <c:spPr>
            <a:ln w="3175">
              <a:solidFill>
                <a:srgbClr val="C0C0C0"/>
              </a:solidFill>
              <a:prstDash val="solid"/>
            </a:ln>
          </c:spPr>
        </c:majorGridlines>
        <c:numFmt formatCode="General" sourceLinked="1"/>
        <c:majorTickMark val="none"/>
        <c:minorTickMark val="none"/>
        <c:tickLblPos val="low"/>
        <c:spPr>
          <a:ln w="3175">
            <a:solidFill>
              <a:srgbClr val="000000"/>
            </a:solidFill>
            <a:prstDash val="solid"/>
          </a:ln>
        </c:spPr>
        <c:txPr>
          <a:bodyPr rot="0" vert="horz"/>
          <a:lstStyle/>
          <a:p>
            <a:pPr>
              <a:defRPr sz="700" b="0" i="0" u="none" strike="noStrike" baseline="0">
                <a:solidFill>
                  <a:srgbClr val="000000"/>
                </a:solidFill>
                <a:latin typeface="Calibri"/>
                <a:ea typeface="Calibri"/>
                <a:cs typeface="Calibri"/>
              </a:defRPr>
            </a:pPr>
            <a:endParaRPr lang="cs-CZ"/>
          </a:p>
        </c:txPr>
        <c:crossAx val="116173056"/>
        <c:crosses val="autoZero"/>
        <c:auto val="1"/>
        <c:lblAlgn val="ctr"/>
        <c:lblOffset val="100"/>
        <c:tickLblSkip val="2"/>
        <c:tickMarkSkip val="1"/>
        <c:noMultiLvlLbl val="0"/>
      </c:catAx>
      <c:valAx>
        <c:axId val="116173056"/>
        <c:scaling>
          <c:orientation val="minMax"/>
          <c:max val="2"/>
          <c:min val="-1.5"/>
        </c:scaling>
        <c:delete val="0"/>
        <c:axPos val="l"/>
        <c:majorGridlines>
          <c:spPr>
            <a:ln w="3175">
              <a:solidFill>
                <a:srgbClr val="C0C0C0"/>
              </a:solidFill>
              <a:prstDash val="solid"/>
            </a:ln>
          </c:spPr>
        </c:majorGridlines>
        <c:numFmt formatCode="0.0" sourceLinked="0"/>
        <c:majorTickMark val="none"/>
        <c:minorTickMark val="none"/>
        <c:tickLblPos val="nextTo"/>
        <c:spPr>
          <a:ln w="3175">
            <a:solidFill>
              <a:srgbClr val="000000"/>
            </a:solidFill>
            <a:prstDash val="solid"/>
          </a:ln>
        </c:spPr>
        <c:txPr>
          <a:bodyPr rot="0" vert="horz"/>
          <a:lstStyle/>
          <a:p>
            <a:pPr>
              <a:defRPr sz="700" b="0" i="0" u="none" strike="noStrike" baseline="0">
                <a:solidFill>
                  <a:srgbClr val="000000"/>
                </a:solidFill>
                <a:latin typeface="Calibri"/>
                <a:ea typeface="Calibri"/>
                <a:cs typeface="Calibri"/>
              </a:defRPr>
            </a:pPr>
            <a:endParaRPr lang="cs-CZ"/>
          </a:p>
        </c:txPr>
        <c:crossAx val="116171520"/>
        <c:crosses val="autoZero"/>
        <c:crossBetween val="between"/>
      </c:valAx>
      <c:spPr>
        <a:solidFill>
          <a:srgbClr val="FFFFFF"/>
        </a:solidFill>
        <a:ln w="3175">
          <a:solidFill>
            <a:srgbClr val="000000"/>
          </a:solidFill>
          <a:prstDash val="solid"/>
        </a:ln>
      </c:spPr>
    </c:plotArea>
    <c:plotVisOnly val="1"/>
    <c:dispBlanksAs val="gap"/>
    <c:showDLblsOverMax val="0"/>
  </c:chart>
  <c:spPr>
    <a:noFill/>
    <a:ln w="9525">
      <a:noFill/>
    </a:ln>
  </c:spPr>
  <c:txPr>
    <a:bodyPr/>
    <a:lstStyle/>
    <a:p>
      <a:pPr>
        <a:defRPr sz="1200" b="0" i="0" u="none" strike="noStrike" baseline="0">
          <a:solidFill>
            <a:srgbClr val="000000"/>
          </a:solidFill>
          <a:latin typeface="Calibri"/>
          <a:ea typeface="Calibri"/>
          <a:cs typeface="Calibri"/>
        </a:defRPr>
      </a:pPr>
      <a:endParaRPr lang="cs-CZ"/>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2441240342142975E-2"/>
          <c:y val="5.9376950613137608E-2"/>
          <c:w val="0.89505094227199089"/>
          <c:h val="0.806277117449133"/>
        </c:manualLayout>
      </c:layout>
      <c:barChart>
        <c:barDir val="col"/>
        <c:grouping val="stacked"/>
        <c:varyColors val="0"/>
        <c:ser>
          <c:idx val="0"/>
          <c:order val="0"/>
          <c:tx>
            <c:strRef>
              <c:f>Data!$A$9</c:f>
              <c:strCache>
                <c:ptCount val="1"/>
                <c:pt idx="0">
                  <c:v>Míra nezaměstnanosti (VŠPS)</c:v>
                </c:pt>
              </c:strCache>
            </c:strRef>
          </c:tx>
          <c:spPr>
            <a:solidFill>
              <a:srgbClr val="31527B"/>
            </a:solidFill>
            <a:ln w="25400">
              <a:noFill/>
            </a:ln>
          </c:spPr>
          <c:invertIfNegative val="0"/>
          <c:dPt>
            <c:idx val="13"/>
            <c:invertIfNegative val="0"/>
            <c:bubble3D val="0"/>
            <c:spPr>
              <a:solidFill>
                <a:schemeClr val="tx2"/>
              </a:solidFill>
              <a:ln w="25400">
                <a:noFill/>
              </a:ln>
            </c:spPr>
            <c:extLst>
              <c:ext xmlns:c16="http://schemas.microsoft.com/office/drawing/2014/chart" uri="{C3380CC4-5D6E-409C-BE32-E72D297353CC}">
                <c16:uniqueId val="{00000001-67F7-408B-89B0-BA3706A3C598}"/>
              </c:ext>
            </c:extLst>
          </c:dPt>
          <c:dPt>
            <c:idx val="14"/>
            <c:invertIfNegative val="0"/>
            <c:bubble3D val="0"/>
            <c:spPr>
              <a:solidFill>
                <a:srgbClr val="A0C7E8"/>
              </a:solidFill>
              <a:ln w="25400">
                <a:noFill/>
              </a:ln>
            </c:spPr>
            <c:extLst>
              <c:ext xmlns:c16="http://schemas.microsoft.com/office/drawing/2014/chart" uri="{C3380CC4-5D6E-409C-BE32-E72D297353CC}">
                <c16:uniqueId val="{00000003-67F7-408B-89B0-BA3706A3C598}"/>
              </c:ext>
            </c:extLst>
          </c:dPt>
          <c:dPt>
            <c:idx val="15"/>
            <c:invertIfNegative val="0"/>
            <c:bubble3D val="0"/>
            <c:spPr>
              <a:solidFill>
                <a:srgbClr val="A0C7E8"/>
              </a:solidFill>
              <a:ln w="25400">
                <a:noFill/>
              </a:ln>
            </c:spPr>
            <c:extLst>
              <c:ext xmlns:c16="http://schemas.microsoft.com/office/drawing/2014/chart" uri="{C3380CC4-5D6E-409C-BE32-E72D297353CC}">
                <c16:uniqueId val="{00000005-67F7-408B-89B0-BA3706A3C598}"/>
              </c:ext>
            </c:extLst>
          </c:dPt>
          <c:dPt>
            <c:idx val="16"/>
            <c:invertIfNegative val="0"/>
            <c:bubble3D val="0"/>
            <c:spPr>
              <a:solidFill>
                <a:srgbClr val="A0C7E8"/>
              </a:solidFill>
              <a:ln w="25400">
                <a:noFill/>
              </a:ln>
            </c:spPr>
            <c:extLst>
              <c:ext xmlns:c16="http://schemas.microsoft.com/office/drawing/2014/chart" uri="{C3380CC4-5D6E-409C-BE32-E72D297353CC}">
                <c16:uniqueId val="{00000007-67F7-408B-89B0-BA3706A3C598}"/>
              </c:ext>
            </c:extLst>
          </c:dPt>
          <c:dPt>
            <c:idx val="17"/>
            <c:invertIfNegative val="0"/>
            <c:bubble3D val="0"/>
            <c:spPr>
              <a:solidFill>
                <a:srgbClr val="A0C7E8"/>
              </a:solidFill>
              <a:ln w="25400">
                <a:noFill/>
              </a:ln>
            </c:spPr>
            <c:extLst>
              <c:ext xmlns:c16="http://schemas.microsoft.com/office/drawing/2014/chart" uri="{C3380CC4-5D6E-409C-BE32-E72D297353CC}">
                <c16:uniqueId val="{00000009-67F7-408B-89B0-BA3706A3C598}"/>
              </c:ext>
            </c:extLst>
          </c:dPt>
          <c:dPt>
            <c:idx val="18"/>
            <c:invertIfNegative val="0"/>
            <c:bubble3D val="0"/>
            <c:spPr>
              <a:solidFill>
                <a:srgbClr val="A0C7E8"/>
              </a:solidFill>
              <a:ln w="25400">
                <a:noFill/>
              </a:ln>
            </c:spPr>
            <c:extLst>
              <c:ext xmlns:c16="http://schemas.microsoft.com/office/drawing/2014/chart" uri="{C3380CC4-5D6E-409C-BE32-E72D297353CC}">
                <c16:uniqueId val="{0000000B-67F7-408B-89B0-BA3706A3C598}"/>
              </c:ext>
            </c:extLst>
          </c:dPt>
          <c:dPt>
            <c:idx val="19"/>
            <c:invertIfNegative val="0"/>
            <c:bubble3D val="0"/>
            <c:spPr>
              <a:solidFill>
                <a:srgbClr val="A0C7E8"/>
              </a:solidFill>
              <a:ln w="25400">
                <a:noFill/>
              </a:ln>
            </c:spPr>
            <c:extLst>
              <c:ext xmlns:c16="http://schemas.microsoft.com/office/drawing/2014/chart" uri="{C3380CC4-5D6E-409C-BE32-E72D297353CC}">
                <c16:uniqueId val="{0000000D-67F7-408B-89B0-BA3706A3C598}"/>
              </c:ext>
            </c:extLst>
          </c:dPt>
          <c:dPt>
            <c:idx val="20"/>
            <c:invertIfNegative val="0"/>
            <c:bubble3D val="0"/>
            <c:spPr>
              <a:solidFill>
                <a:srgbClr val="A0C7E8"/>
              </a:solidFill>
              <a:ln w="25400">
                <a:noFill/>
              </a:ln>
            </c:spPr>
            <c:extLst>
              <c:ext xmlns:c16="http://schemas.microsoft.com/office/drawing/2014/chart" uri="{C3380CC4-5D6E-409C-BE32-E72D297353CC}">
                <c16:uniqueId val="{0000000F-67F7-408B-89B0-BA3706A3C598}"/>
              </c:ext>
            </c:extLst>
          </c:dPt>
          <c:cat>
            <c:numRef>
              <c:f>Data!$L$1:$AA$1</c:f>
              <c:numCache>
                <c:formatCode>General</c:formatCode>
                <c:ptCount val="16"/>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pt idx="13">
                  <c:v>2019</c:v>
                </c:pt>
                <c:pt idx="14">
                  <c:v>2020</c:v>
                </c:pt>
                <c:pt idx="15">
                  <c:v>2021</c:v>
                </c:pt>
              </c:numCache>
            </c:numRef>
          </c:cat>
          <c:val>
            <c:numRef>
              <c:f>Data!$L$9:$AA$9</c:f>
              <c:numCache>
                <c:formatCode>0.0</c:formatCode>
                <c:ptCount val="16"/>
                <c:pt idx="0">
                  <c:v>7.1411393507108016</c:v>
                </c:pt>
                <c:pt idx="1">
                  <c:v>5.3158178729529091</c:v>
                </c:pt>
                <c:pt idx="2">
                  <c:v>4.3925557696117679</c:v>
                </c:pt>
                <c:pt idx="3">
                  <c:v>6.6621112036606176</c:v>
                </c:pt>
                <c:pt idx="4">
                  <c:v>7.2814243462407582</c:v>
                </c:pt>
                <c:pt idx="5">
                  <c:v>6.7119685162101632</c:v>
                </c:pt>
                <c:pt idx="6">
                  <c:v>6.9792274875157894</c:v>
                </c:pt>
                <c:pt idx="7">
                  <c:v>6.9532054324343155</c:v>
                </c:pt>
                <c:pt idx="8">
                  <c:v>6.1079148326470536</c:v>
                </c:pt>
                <c:pt idx="9">
                  <c:v>5.0520366782490607</c:v>
                </c:pt>
                <c:pt idx="10">
                  <c:v>3.9522222439721664</c:v>
                </c:pt>
                <c:pt idx="11">
                  <c:v>2.8925279277838687</c:v>
                </c:pt>
                <c:pt idx="12">
                  <c:v>2.2458549528410159</c:v>
                </c:pt>
                <c:pt idx="13">
                  <c:v>2.0153079248051631</c:v>
                </c:pt>
                <c:pt idx="14">
                  <c:v>2.62382720894046</c:v>
                </c:pt>
                <c:pt idx="15">
                  <c:v>3.4394353082675266</c:v>
                </c:pt>
              </c:numCache>
            </c:numRef>
          </c:val>
          <c:extLst>
            <c:ext xmlns:c16="http://schemas.microsoft.com/office/drawing/2014/chart" uri="{C3380CC4-5D6E-409C-BE32-E72D297353CC}">
              <c16:uniqueId val="{00000010-67F7-408B-89B0-BA3706A3C598}"/>
            </c:ext>
          </c:extLst>
        </c:ser>
        <c:dLbls>
          <c:showLegendKey val="0"/>
          <c:showVal val="0"/>
          <c:showCatName val="0"/>
          <c:showSerName val="0"/>
          <c:showPercent val="0"/>
          <c:showBubbleSize val="0"/>
        </c:dLbls>
        <c:gapWidth val="40"/>
        <c:overlap val="100"/>
        <c:axId val="117649792"/>
        <c:axId val="117651328"/>
      </c:barChart>
      <c:catAx>
        <c:axId val="117649792"/>
        <c:scaling>
          <c:orientation val="minMax"/>
        </c:scaling>
        <c:delete val="0"/>
        <c:axPos val="b"/>
        <c:majorGridlines>
          <c:spPr>
            <a:ln w="3175">
              <a:solidFill>
                <a:srgbClr val="C0C0C0"/>
              </a:solidFill>
              <a:prstDash val="solid"/>
            </a:ln>
          </c:spPr>
        </c:majorGridlines>
        <c:numFmt formatCode="General" sourceLinked="1"/>
        <c:majorTickMark val="none"/>
        <c:minorTickMark val="none"/>
        <c:tickLblPos val="low"/>
        <c:spPr>
          <a:ln w="3175">
            <a:solidFill>
              <a:srgbClr val="000000"/>
            </a:solidFill>
            <a:prstDash val="solid"/>
          </a:ln>
        </c:spPr>
        <c:txPr>
          <a:bodyPr rot="0" vert="horz"/>
          <a:lstStyle/>
          <a:p>
            <a:pPr>
              <a:defRPr sz="700" b="0" i="0" u="none" strike="noStrike" baseline="0">
                <a:solidFill>
                  <a:srgbClr val="000000"/>
                </a:solidFill>
                <a:latin typeface="Calibri"/>
                <a:ea typeface="Calibri"/>
                <a:cs typeface="Calibri"/>
              </a:defRPr>
            </a:pPr>
            <a:endParaRPr lang="cs-CZ"/>
          </a:p>
        </c:txPr>
        <c:crossAx val="117651328"/>
        <c:crosses val="autoZero"/>
        <c:auto val="1"/>
        <c:lblAlgn val="ctr"/>
        <c:lblOffset val="100"/>
        <c:tickLblSkip val="2"/>
        <c:tickMarkSkip val="1"/>
        <c:noMultiLvlLbl val="0"/>
      </c:catAx>
      <c:valAx>
        <c:axId val="117651328"/>
        <c:scaling>
          <c:orientation val="minMax"/>
        </c:scaling>
        <c:delete val="0"/>
        <c:axPos val="l"/>
        <c:majorGridlines>
          <c:spPr>
            <a:ln w="3175">
              <a:solidFill>
                <a:srgbClr val="C0C0C0"/>
              </a:solidFill>
              <a:prstDash val="solid"/>
            </a:ln>
          </c:spPr>
        </c:majorGridlines>
        <c:numFmt formatCode="0" sourceLinked="0"/>
        <c:majorTickMark val="none"/>
        <c:minorTickMark val="none"/>
        <c:tickLblPos val="nextTo"/>
        <c:spPr>
          <a:ln w="3175">
            <a:solidFill>
              <a:srgbClr val="000000"/>
            </a:solidFill>
            <a:prstDash val="solid"/>
          </a:ln>
        </c:spPr>
        <c:txPr>
          <a:bodyPr rot="0" vert="horz"/>
          <a:lstStyle/>
          <a:p>
            <a:pPr>
              <a:defRPr sz="700" b="0" i="0" u="none" strike="noStrike" baseline="0">
                <a:solidFill>
                  <a:srgbClr val="000000"/>
                </a:solidFill>
                <a:latin typeface="Calibri"/>
                <a:ea typeface="Calibri"/>
                <a:cs typeface="Calibri"/>
              </a:defRPr>
            </a:pPr>
            <a:endParaRPr lang="cs-CZ"/>
          </a:p>
        </c:txPr>
        <c:crossAx val="117649792"/>
        <c:crosses val="autoZero"/>
        <c:crossBetween val="between"/>
      </c:valAx>
      <c:spPr>
        <a:solidFill>
          <a:srgbClr val="FFFFFF"/>
        </a:solidFill>
        <a:ln w="3175">
          <a:solidFill>
            <a:srgbClr val="000000"/>
          </a:solidFill>
          <a:prstDash val="solid"/>
        </a:ln>
      </c:spPr>
    </c:plotArea>
    <c:plotVisOnly val="1"/>
    <c:dispBlanksAs val="gap"/>
    <c:showDLblsOverMax val="0"/>
  </c:chart>
  <c:spPr>
    <a:noFill/>
    <a:ln w="9525">
      <a:noFill/>
    </a:ln>
  </c:spPr>
  <c:txPr>
    <a:bodyPr/>
    <a:lstStyle/>
    <a:p>
      <a:pPr>
        <a:defRPr sz="1200" b="0" i="0" u="none" strike="noStrike" baseline="0">
          <a:solidFill>
            <a:srgbClr val="000000"/>
          </a:solidFill>
          <a:latin typeface="Calibri"/>
          <a:ea typeface="Calibri"/>
          <a:cs typeface="Calibri"/>
        </a:defRPr>
      </a:pPr>
      <a:endParaRPr lang="cs-CZ"/>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2441240342142975E-2"/>
          <c:y val="5.9376950613137608E-2"/>
          <c:w val="0.89505094227199089"/>
          <c:h val="0.806277117449133"/>
        </c:manualLayout>
      </c:layout>
      <c:barChart>
        <c:barDir val="col"/>
        <c:grouping val="stacked"/>
        <c:varyColors val="0"/>
        <c:ser>
          <c:idx val="0"/>
          <c:order val="0"/>
          <c:tx>
            <c:strRef>
              <c:f>Data!$A$10</c:f>
              <c:strCache>
                <c:ptCount val="1"/>
                <c:pt idx="0">
                  <c:v>Objem mezd a platů</c:v>
                </c:pt>
              </c:strCache>
            </c:strRef>
          </c:tx>
          <c:spPr>
            <a:solidFill>
              <a:srgbClr val="31527B"/>
            </a:solidFill>
            <a:ln w="25400">
              <a:noFill/>
            </a:ln>
          </c:spPr>
          <c:invertIfNegative val="0"/>
          <c:dPt>
            <c:idx val="13"/>
            <c:invertIfNegative val="0"/>
            <c:bubble3D val="0"/>
            <c:spPr>
              <a:solidFill>
                <a:schemeClr val="tx2"/>
              </a:solidFill>
              <a:ln w="25400">
                <a:noFill/>
              </a:ln>
            </c:spPr>
            <c:extLst>
              <c:ext xmlns:c16="http://schemas.microsoft.com/office/drawing/2014/chart" uri="{C3380CC4-5D6E-409C-BE32-E72D297353CC}">
                <c16:uniqueId val="{00000001-D4A3-4C28-B8C5-779EB8462806}"/>
              </c:ext>
            </c:extLst>
          </c:dPt>
          <c:dPt>
            <c:idx val="14"/>
            <c:invertIfNegative val="0"/>
            <c:bubble3D val="0"/>
            <c:spPr>
              <a:solidFill>
                <a:srgbClr val="A0C7E8"/>
              </a:solidFill>
              <a:ln w="25400">
                <a:noFill/>
              </a:ln>
            </c:spPr>
            <c:extLst>
              <c:ext xmlns:c16="http://schemas.microsoft.com/office/drawing/2014/chart" uri="{C3380CC4-5D6E-409C-BE32-E72D297353CC}">
                <c16:uniqueId val="{00000003-D4A3-4C28-B8C5-779EB8462806}"/>
              </c:ext>
            </c:extLst>
          </c:dPt>
          <c:dPt>
            <c:idx val="15"/>
            <c:invertIfNegative val="0"/>
            <c:bubble3D val="0"/>
            <c:spPr>
              <a:solidFill>
                <a:srgbClr val="A0C7E8"/>
              </a:solidFill>
              <a:ln w="25400">
                <a:noFill/>
              </a:ln>
            </c:spPr>
            <c:extLst>
              <c:ext xmlns:c16="http://schemas.microsoft.com/office/drawing/2014/chart" uri="{C3380CC4-5D6E-409C-BE32-E72D297353CC}">
                <c16:uniqueId val="{00000005-D4A3-4C28-B8C5-779EB8462806}"/>
              </c:ext>
            </c:extLst>
          </c:dPt>
          <c:dPt>
            <c:idx val="16"/>
            <c:invertIfNegative val="0"/>
            <c:bubble3D val="0"/>
            <c:spPr>
              <a:solidFill>
                <a:srgbClr val="A0C7E8"/>
              </a:solidFill>
              <a:ln w="25400">
                <a:noFill/>
              </a:ln>
            </c:spPr>
            <c:extLst>
              <c:ext xmlns:c16="http://schemas.microsoft.com/office/drawing/2014/chart" uri="{C3380CC4-5D6E-409C-BE32-E72D297353CC}">
                <c16:uniqueId val="{00000007-D4A3-4C28-B8C5-779EB8462806}"/>
              </c:ext>
            </c:extLst>
          </c:dPt>
          <c:dPt>
            <c:idx val="17"/>
            <c:invertIfNegative val="0"/>
            <c:bubble3D val="0"/>
            <c:spPr>
              <a:solidFill>
                <a:srgbClr val="A0C7E8"/>
              </a:solidFill>
              <a:ln w="25400">
                <a:noFill/>
              </a:ln>
            </c:spPr>
            <c:extLst>
              <c:ext xmlns:c16="http://schemas.microsoft.com/office/drawing/2014/chart" uri="{C3380CC4-5D6E-409C-BE32-E72D297353CC}">
                <c16:uniqueId val="{00000009-D4A3-4C28-B8C5-779EB8462806}"/>
              </c:ext>
            </c:extLst>
          </c:dPt>
          <c:dPt>
            <c:idx val="18"/>
            <c:invertIfNegative val="0"/>
            <c:bubble3D val="0"/>
            <c:spPr>
              <a:solidFill>
                <a:srgbClr val="A0C7E8"/>
              </a:solidFill>
              <a:ln w="25400">
                <a:noFill/>
              </a:ln>
            </c:spPr>
            <c:extLst>
              <c:ext xmlns:c16="http://schemas.microsoft.com/office/drawing/2014/chart" uri="{C3380CC4-5D6E-409C-BE32-E72D297353CC}">
                <c16:uniqueId val="{0000000B-D4A3-4C28-B8C5-779EB8462806}"/>
              </c:ext>
            </c:extLst>
          </c:dPt>
          <c:dPt>
            <c:idx val="19"/>
            <c:invertIfNegative val="0"/>
            <c:bubble3D val="0"/>
            <c:spPr>
              <a:solidFill>
                <a:srgbClr val="A0C7E8"/>
              </a:solidFill>
              <a:ln w="25400">
                <a:noFill/>
              </a:ln>
            </c:spPr>
            <c:extLst>
              <c:ext xmlns:c16="http://schemas.microsoft.com/office/drawing/2014/chart" uri="{C3380CC4-5D6E-409C-BE32-E72D297353CC}">
                <c16:uniqueId val="{0000000D-D4A3-4C28-B8C5-779EB8462806}"/>
              </c:ext>
            </c:extLst>
          </c:dPt>
          <c:dPt>
            <c:idx val="20"/>
            <c:invertIfNegative val="0"/>
            <c:bubble3D val="0"/>
            <c:spPr>
              <a:solidFill>
                <a:srgbClr val="A0C7E8"/>
              </a:solidFill>
              <a:ln w="25400">
                <a:noFill/>
              </a:ln>
            </c:spPr>
            <c:extLst>
              <c:ext xmlns:c16="http://schemas.microsoft.com/office/drawing/2014/chart" uri="{C3380CC4-5D6E-409C-BE32-E72D297353CC}">
                <c16:uniqueId val="{0000000F-D4A3-4C28-B8C5-779EB8462806}"/>
              </c:ext>
            </c:extLst>
          </c:dPt>
          <c:cat>
            <c:numRef>
              <c:f>Data!$L$1:$AA$1</c:f>
              <c:numCache>
                <c:formatCode>General</c:formatCode>
                <c:ptCount val="16"/>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pt idx="13">
                  <c:v>2019</c:v>
                </c:pt>
                <c:pt idx="14">
                  <c:v>2020</c:v>
                </c:pt>
                <c:pt idx="15">
                  <c:v>2021</c:v>
                </c:pt>
              </c:numCache>
            </c:numRef>
          </c:cat>
          <c:val>
            <c:numRef>
              <c:f>Data!$L$10:$AA$10</c:f>
              <c:numCache>
                <c:formatCode>0.0</c:formatCode>
                <c:ptCount val="16"/>
                <c:pt idx="0">
                  <c:v>7.1575922025415073</c:v>
                </c:pt>
                <c:pt idx="1">
                  <c:v>8.2905095349827818</c:v>
                </c:pt>
                <c:pt idx="2">
                  <c:v>7.9400887762434369</c:v>
                </c:pt>
                <c:pt idx="3">
                  <c:v>-2.1486059438600491</c:v>
                </c:pt>
                <c:pt idx="4">
                  <c:v>1.2972861693307358</c:v>
                </c:pt>
                <c:pt idx="5">
                  <c:v>2.2318880388298101</c:v>
                </c:pt>
                <c:pt idx="6">
                  <c:v>2.7992685000757023</c:v>
                </c:pt>
                <c:pt idx="7">
                  <c:v>0.75252320380598814</c:v>
                </c:pt>
                <c:pt idx="8">
                  <c:v>3.903956814305265</c:v>
                </c:pt>
                <c:pt idx="9">
                  <c:v>4.9689539594976351</c:v>
                </c:pt>
                <c:pt idx="10">
                  <c:v>5.7327008119160805</c:v>
                </c:pt>
                <c:pt idx="11">
                  <c:v>9.2411356601419534</c:v>
                </c:pt>
                <c:pt idx="12">
                  <c:v>9.6432709870441169</c:v>
                </c:pt>
                <c:pt idx="13">
                  <c:v>6.6189031026413492</c:v>
                </c:pt>
                <c:pt idx="14">
                  <c:v>-1.9343245847611712</c:v>
                </c:pt>
                <c:pt idx="15">
                  <c:v>0.77261340586247673</c:v>
                </c:pt>
              </c:numCache>
            </c:numRef>
          </c:val>
          <c:extLst>
            <c:ext xmlns:c16="http://schemas.microsoft.com/office/drawing/2014/chart" uri="{C3380CC4-5D6E-409C-BE32-E72D297353CC}">
              <c16:uniqueId val="{00000010-D4A3-4C28-B8C5-779EB8462806}"/>
            </c:ext>
          </c:extLst>
        </c:ser>
        <c:dLbls>
          <c:showLegendKey val="0"/>
          <c:showVal val="0"/>
          <c:showCatName val="0"/>
          <c:showSerName val="0"/>
          <c:showPercent val="0"/>
          <c:showBubbleSize val="0"/>
        </c:dLbls>
        <c:gapWidth val="40"/>
        <c:overlap val="100"/>
        <c:axId val="117669888"/>
        <c:axId val="117671424"/>
      </c:barChart>
      <c:catAx>
        <c:axId val="117669888"/>
        <c:scaling>
          <c:orientation val="minMax"/>
        </c:scaling>
        <c:delete val="0"/>
        <c:axPos val="b"/>
        <c:majorGridlines>
          <c:spPr>
            <a:ln w="3175">
              <a:solidFill>
                <a:srgbClr val="C0C0C0"/>
              </a:solidFill>
              <a:prstDash val="solid"/>
            </a:ln>
          </c:spPr>
        </c:majorGridlines>
        <c:numFmt formatCode="General" sourceLinked="1"/>
        <c:majorTickMark val="none"/>
        <c:minorTickMark val="none"/>
        <c:tickLblPos val="low"/>
        <c:spPr>
          <a:ln w="3175">
            <a:solidFill>
              <a:srgbClr val="000000"/>
            </a:solidFill>
            <a:prstDash val="solid"/>
          </a:ln>
        </c:spPr>
        <c:txPr>
          <a:bodyPr rot="0" vert="horz"/>
          <a:lstStyle/>
          <a:p>
            <a:pPr>
              <a:defRPr sz="700" b="0" i="0" u="none" strike="noStrike" baseline="0">
                <a:solidFill>
                  <a:srgbClr val="000000"/>
                </a:solidFill>
                <a:latin typeface="Calibri"/>
                <a:ea typeface="Calibri"/>
                <a:cs typeface="Calibri"/>
              </a:defRPr>
            </a:pPr>
            <a:endParaRPr lang="cs-CZ"/>
          </a:p>
        </c:txPr>
        <c:crossAx val="117671424"/>
        <c:crosses val="autoZero"/>
        <c:auto val="1"/>
        <c:lblAlgn val="ctr"/>
        <c:lblOffset val="100"/>
        <c:tickLblSkip val="2"/>
        <c:tickMarkSkip val="1"/>
        <c:noMultiLvlLbl val="0"/>
      </c:catAx>
      <c:valAx>
        <c:axId val="117671424"/>
        <c:scaling>
          <c:orientation val="minMax"/>
          <c:max val="10"/>
        </c:scaling>
        <c:delete val="0"/>
        <c:axPos val="l"/>
        <c:majorGridlines>
          <c:spPr>
            <a:ln w="3175">
              <a:solidFill>
                <a:srgbClr val="C0C0C0"/>
              </a:solidFill>
              <a:prstDash val="solid"/>
            </a:ln>
          </c:spPr>
        </c:majorGridlines>
        <c:numFmt formatCode="0" sourceLinked="0"/>
        <c:majorTickMark val="none"/>
        <c:minorTickMark val="none"/>
        <c:tickLblPos val="nextTo"/>
        <c:spPr>
          <a:ln w="3175">
            <a:solidFill>
              <a:srgbClr val="000000"/>
            </a:solidFill>
            <a:prstDash val="solid"/>
          </a:ln>
        </c:spPr>
        <c:txPr>
          <a:bodyPr rot="0" vert="horz"/>
          <a:lstStyle/>
          <a:p>
            <a:pPr>
              <a:defRPr sz="700" b="0" i="0" u="none" strike="noStrike" baseline="0">
                <a:solidFill>
                  <a:srgbClr val="000000"/>
                </a:solidFill>
                <a:latin typeface="Calibri"/>
                <a:ea typeface="Calibri"/>
                <a:cs typeface="Calibri"/>
              </a:defRPr>
            </a:pPr>
            <a:endParaRPr lang="cs-CZ"/>
          </a:p>
        </c:txPr>
        <c:crossAx val="117669888"/>
        <c:crosses val="autoZero"/>
        <c:crossBetween val="between"/>
      </c:valAx>
      <c:spPr>
        <a:solidFill>
          <a:srgbClr val="FFFFFF"/>
        </a:solidFill>
        <a:ln w="3175">
          <a:solidFill>
            <a:srgbClr val="000000"/>
          </a:solidFill>
          <a:prstDash val="solid"/>
        </a:ln>
      </c:spPr>
    </c:plotArea>
    <c:plotVisOnly val="1"/>
    <c:dispBlanksAs val="gap"/>
    <c:showDLblsOverMax val="0"/>
  </c:chart>
  <c:spPr>
    <a:noFill/>
    <a:ln w="9525">
      <a:noFill/>
    </a:ln>
  </c:spPr>
  <c:txPr>
    <a:bodyPr/>
    <a:lstStyle/>
    <a:p>
      <a:pPr>
        <a:defRPr sz="1200" b="0" i="0" u="none" strike="noStrike" baseline="0">
          <a:solidFill>
            <a:srgbClr val="000000"/>
          </a:solidFill>
          <a:latin typeface="Calibri"/>
          <a:ea typeface="Calibri"/>
          <a:cs typeface="Calibri"/>
        </a:defRPr>
      </a:pPr>
      <a:endParaRPr lang="cs-CZ"/>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2441240342142975E-2"/>
          <c:y val="5.9376950613137608E-2"/>
          <c:w val="0.89505094227199089"/>
          <c:h val="0.806277117449133"/>
        </c:manualLayout>
      </c:layout>
      <c:barChart>
        <c:barDir val="col"/>
        <c:grouping val="stacked"/>
        <c:varyColors val="0"/>
        <c:ser>
          <c:idx val="0"/>
          <c:order val="0"/>
          <c:tx>
            <c:strRef>
              <c:f>Data!$A$11</c:f>
              <c:strCache>
                <c:ptCount val="1"/>
                <c:pt idx="0">
                  <c:v>BÚ/HDP</c:v>
                </c:pt>
              </c:strCache>
            </c:strRef>
          </c:tx>
          <c:spPr>
            <a:solidFill>
              <a:srgbClr val="31527B"/>
            </a:solidFill>
            <a:ln w="25400">
              <a:noFill/>
            </a:ln>
          </c:spPr>
          <c:invertIfNegative val="0"/>
          <c:dPt>
            <c:idx val="13"/>
            <c:invertIfNegative val="0"/>
            <c:bubble3D val="0"/>
            <c:spPr>
              <a:solidFill>
                <a:schemeClr val="tx2"/>
              </a:solidFill>
              <a:ln w="25400">
                <a:noFill/>
              </a:ln>
            </c:spPr>
            <c:extLst>
              <c:ext xmlns:c16="http://schemas.microsoft.com/office/drawing/2014/chart" uri="{C3380CC4-5D6E-409C-BE32-E72D297353CC}">
                <c16:uniqueId val="{00000001-034B-4D16-9299-49AFB3FE1934}"/>
              </c:ext>
            </c:extLst>
          </c:dPt>
          <c:dPt>
            <c:idx val="14"/>
            <c:invertIfNegative val="0"/>
            <c:bubble3D val="0"/>
            <c:spPr>
              <a:solidFill>
                <a:srgbClr val="A0C7E8"/>
              </a:solidFill>
              <a:ln w="25400">
                <a:noFill/>
              </a:ln>
            </c:spPr>
            <c:extLst>
              <c:ext xmlns:c16="http://schemas.microsoft.com/office/drawing/2014/chart" uri="{C3380CC4-5D6E-409C-BE32-E72D297353CC}">
                <c16:uniqueId val="{00000003-034B-4D16-9299-49AFB3FE1934}"/>
              </c:ext>
            </c:extLst>
          </c:dPt>
          <c:dPt>
            <c:idx val="15"/>
            <c:invertIfNegative val="0"/>
            <c:bubble3D val="0"/>
            <c:spPr>
              <a:solidFill>
                <a:srgbClr val="A0C7E8"/>
              </a:solidFill>
              <a:ln w="25400">
                <a:noFill/>
              </a:ln>
            </c:spPr>
            <c:extLst>
              <c:ext xmlns:c16="http://schemas.microsoft.com/office/drawing/2014/chart" uri="{C3380CC4-5D6E-409C-BE32-E72D297353CC}">
                <c16:uniqueId val="{00000005-034B-4D16-9299-49AFB3FE1934}"/>
              </c:ext>
            </c:extLst>
          </c:dPt>
          <c:dPt>
            <c:idx val="16"/>
            <c:invertIfNegative val="0"/>
            <c:bubble3D val="0"/>
            <c:spPr>
              <a:solidFill>
                <a:srgbClr val="A0C7E8"/>
              </a:solidFill>
              <a:ln w="25400">
                <a:noFill/>
              </a:ln>
            </c:spPr>
            <c:extLst>
              <c:ext xmlns:c16="http://schemas.microsoft.com/office/drawing/2014/chart" uri="{C3380CC4-5D6E-409C-BE32-E72D297353CC}">
                <c16:uniqueId val="{00000007-034B-4D16-9299-49AFB3FE1934}"/>
              </c:ext>
            </c:extLst>
          </c:dPt>
          <c:dPt>
            <c:idx val="17"/>
            <c:invertIfNegative val="0"/>
            <c:bubble3D val="0"/>
            <c:spPr>
              <a:solidFill>
                <a:srgbClr val="A0C7E8"/>
              </a:solidFill>
              <a:ln w="25400">
                <a:noFill/>
              </a:ln>
            </c:spPr>
            <c:extLst>
              <c:ext xmlns:c16="http://schemas.microsoft.com/office/drawing/2014/chart" uri="{C3380CC4-5D6E-409C-BE32-E72D297353CC}">
                <c16:uniqueId val="{00000009-034B-4D16-9299-49AFB3FE1934}"/>
              </c:ext>
            </c:extLst>
          </c:dPt>
          <c:dPt>
            <c:idx val="18"/>
            <c:invertIfNegative val="0"/>
            <c:bubble3D val="0"/>
            <c:spPr>
              <a:solidFill>
                <a:srgbClr val="A0C7E8"/>
              </a:solidFill>
              <a:ln w="25400">
                <a:noFill/>
              </a:ln>
            </c:spPr>
            <c:extLst>
              <c:ext xmlns:c16="http://schemas.microsoft.com/office/drawing/2014/chart" uri="{C3380CC4-5D6E-409C-BE32-E72D297353CC}">
                <c16:uniqueId val="{0000000B-034B-4D16-9299-49AFB3FE1934}"/>
              </c:ext>
            </c:extLst>
          </c:dPt>
          <c:dPt>
            <c:idx val="19"/>
            <c:invertIfNegative val="0"/>
            <c:bubble3D val="0"/>
            <c:spPr>
              <a:solidFill>
                <a:srgbClr val="A0C7E8"/>
              </a:solidFill>
              <a:ln w="25400">
                <a:noFill/>
              </a:ln>
            </c:spPr>
            <c:extLst>
              <c:ext xmlns:c16="http://schemas.microsoft.com/office/drawing/2014/chart" uri="{C3380CC4-5D6E-409C-BE32-E72D297353CC}">
                <c16:uniqueId val="{0000000D-034B-4D16-9299-49AFB3FE1934}"/>
              </c:ext>
            </c:extLst>
          </c:dPt>
          <c:dPt>
            <c:idx val="20"/>
            <c:invertIfNegative val="0"/>
            <c:bubble3D val="0"/>
            <c:spPr>
              <a:solidFill>
                <a:srgbClr val="A0C7E8"/>
              </a:solidFill>
              <a:ln w="25400">
                <a:noFill/>
              </a:ln>
            </c:spPr>
            <c:extLst>
              <c:ext xmlns:c16="http://schemas.microsoft.com/office/drawing/2014/chart" uri="{C3380CC4-5D6E-409C-BE32-E72D297353CC}">
                <c16:uniqueId val="{0000000F-034B-4D16-9299-49AFB3FE1934}"/>
              </c:ext>
            </c:extLst>
          </c:dPt>
          <c:cat>
            <c:numRef>
              <c:f>Data!$L$1:$AA$1</c:f>
              <c:numCache>
                <c:formatCode>General</c:formatCode>
                <c:ptCount val="16"/>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pt idx="13">
                  <c:v>2019</c:v>
                </c:pt>
                <c:pt idx="14">
                  <c:v>2020</c:v>
                </c:pt>
                <c:pt idx="15">
                  <c:v>2021</c:v>
                </c:pt>
              </c:numCache>
            </c:numRef>
          </c:cat>
          <c:val>
            <c:numRef>
              <c:f>Data!$L$11:$AA$11</c:f>
              <c:numCache>
                <c:formatCode>0.0</c:formatCode>
                <c:ptCount val="16"/>
                <c:pt idx="0">
                  <c:v>-2.4533531577456817</c:v>
                </c:pt>
                <c:pt idx="1">
                  <c:v>-4.5884145077720211</c:v>
                </c:pt>
                <c:pt idx="2">
                  <c:v>-1.8613579025476132</c:v>
                </c:pt>
                <c:pt idx="3">
                  <c:v>-2.2560192210419827</c:v>
                </c:pt>
                <c:pt idx="4">
                  <c:v>-3.5506311044327576</c:v>
                </c:pt>
                <c:pt idx="5">
                  <c:v>-2.087663712456918</c:v>
                </c:pt>
                <c:pt idx="6">
                  <c:v>-1.5483736854976768</c:v>
                </c:pt>
                <c:pt idx="7">
                  <c:v>-0.52580979966208063</c:v>
                </c:pt>
                <c:pt idx="8">
                  <c:v>0.1813805798435342</c:v>
                </c:pt>
                <c:pt idx="9">
                  <c:v>0.44856216216216216</c:v>
                </c:pt>
                <c:pt idx="10">
                  <c:v>1.7756306024598705</c:v>
                </c:pt>
                <c:pt idx="11">
                  <c:v>1.5474388573664641</c:v>
                </c:pt>
                <c:pt idx="12">
                  <c:v>0.44555370678498807</c:v>
                </c:pt>
                <c:pt idx="13">
                  <c:v>-0.29504609497303891</c:v>
                </c:pt>
                <c:pt idx="14">
                  <c:v>0.30283676410216404</c:v>
                </c:pt>
                <c:pt idx="15">
                  <c:v>0.39837789225244746</c:v>
                </c:pt>
              </c:numCache>
            </c:numRef>
          </c:val>
          <c:extLst>
            <c:ext xmlns:c16="http://schemas.microsoft.com/office/drawing/2014/chart" uri="{C3380CC4-5D6E-409C-BE32-E72D297353CC}">
              <c16:uniqueId val="{00000010-034B-4D16-9299-49AFB3FE1934}"/>
            </c:ext>
          </c:extLst>
        </c:ser>
        <c:dLbls>
          <c:showLegendKey val="0"/>
          <c:showVal val="0"/>
          <c:showCatName val="0"/>
          <c:showSerName val="0"/>
          <c:showPercent val="0"/>
          <c:showBubbleSize val="0"/>
        </c:dLbls>
        <c:gapWidth val="40"/>
        <c:overlap val="100"/>
        <c:axId val="117718400"/>
        <c:axId val="117724288"/>
      </c:barChart>
      <c:catAx>
        <c:axId val="117718400"/>
        <c:scaling>
          <c:orientation val="minMax"/>
        </c:scaling>
        <c:delete val="0"/>
        <c:axPos val="b"/>
        <c:majorGridlines>
          <c:spPr>
            <a:ln w="3175">
              <a:solidFill>
                <a:srgbClr val="C0C0C0"/>
              </a:solidFill>
              <a:prstDash val="solid"/>
            </a:ln>
          </c:spPr>
        </c:majorGridlines>
        <c:numFmt formatCode="General" sourceLinked="1"/>
        <c:majorTickMark val="none"/>
        <c:minorTickMark val="none"/>
        <c:tickLblPos val="low"/>
        <c:spPr>
          <a:ln w="3175">
            <a:solidFill>
              <a:srgbClr val="000000"/>
            </a:solidFill>
            <a:prstDash val="solid"/>
          </a:ln>
        </c:spPr>
        <c:txPr>
          <a:bodyPr rot="0" vert="horz"/>
          <a:lstStyle/>
          <a:p>
            <a:pPr>
              <a:defRPr sz="700" b="0" i="0" u="none" strike="noStrike" baseline="0">
                <a:solidFill>
                  <a:srgbClr val="000000"/>
                </a:solidFill>
                <a:latin typeface="Calibri"/>
                <a:ea typeface="Calibri"/>
                <a:cs typeface="Calibri"/>
              </a:defRPr>
            </a:pPr>
            <a:endParaRPr lang="cs-CZ"/>
          </a:p>
        </c:txPr>
        <c:crossAx val="117724288"/>
        <c:crosses val="autoZero"/>
        <c:auto val="1"/>
        <c:lblAlgn val="ctr"/>
        <c:lblOffset val="100"/>
        <c:tickLblSkip val="2"/>
        <c:tickMarkSkip val="1"/>
        <c:noMultiLvlLbl val="0"/>
      </c:catAx>
      <c:valAx>
        <c:axId val="117724288"/>
        <c:scaling>
          <c:orientation val="minMax"/>
        </c:scaling>
        <c:delete val="0"/>
        <c:axPos val="l"/>
        <c:majorGridlines>
          <c:spPr>
            <a:ln w="3175">
              <a:solidFill>
                <a:srgbClr val="C0C0C0"/>
              </a:solidFill>
              <a:prstDash val="solid"/>
            </a:ln>
          </c:spPr>
        </c:majorGridlines>
        <c:numFmt formatCode="0" sourceLinked="0"/>
        <c:majorTickMark val="none"/>
        <c:minorTickMark val="none"/>
        <c:tickLblPos val="nextTo"/>
        <c:spPr>
          <a:ln w="3175">
            <a:solidFill>
              <a:srgbClr val="000000"/>
            </a:solidFill>
            <a:prstDash val="solid"/>
          </a:ln>
        </c:spPr>
        <c:txPr>
          <a:bodyPr rot="0" vert="horz"/>
          <a:lstStyle/>
          <a:p>
            <a:pPr>
              <a:defRPr sz="700" b="0" i="0" u="none" strike="noStrike" baseline="0">
                <a:solidFill>
                  <a:srgbClr val="000000"/>
                </a:solidFill>
                <a:latin typeface="Calibri"/>
                <a:ea typeface="Calibri"/>
                <a:cs typeface="Calibri"/>
              </a:defRPr>
            </a:pPr>
            <a:endParaRPr lang="cs-CZ"/>
          </a:p>
        </c:txPr>
        <c:crossAx val="117718400"/>
        <c:crosses val="autoZero"/>
        <c:crossBetween val="between"/>
      </c:valAx>
      <c:spPr>
        <a:solidFill>
          <a:srgbClr val="FFFFFF"/>
        </a:solidFill>
        <a:ln w="3175">
          <a:solidFill>
            <a:srgbClr val="000000"/>
          </a:solidFill>
          <a:prstDash val="solid"/>
        </a:ln>
      </c:spPr>
    </c:plotArea>
    <c:plotVisOnly val="1"/>
    <c:dispBlanksAs val="gap"/>
    <c:showDLblsOverMax val="0"/>
  </c:chart>
  <c:spPr>
    <a:noFill/>
    <a:ln w="9525">
      <a:noFill/>
    </a:ln>
  </c:spPr>
  <c:txPr>
    <a:bodyPr/>
    <a:lstStyle/>
    <a:p>
      <a:pPr>
        <a:defRPr sz="1200" b="0" i="0" u="none" strike="noStrike" baseline="0">
          <a:solidFill>
            <a:srgbClr val="000000"/>
          </a:solidFill>
          <a:latin typeface="Calibri"/>
          <a:ea typeface="Calibri"/>
          <a:cs typeface="Calibri"/>
        </a:defRPr>
      </a:pPr>
      <a:endParaRPr lang="cs-CZ"/>
    </a:p>
  </c:txPr>
  <c:externalData r:id="rId1">
    <c:autoUpdate val="0"/>
  </c:externalData>
</c:chartSpace>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C9B429-74A6-4284-A555-FBADA0A85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5888</Words>
  <Characters>34743</Characters>
  <Application>Microsoft Office Word</Application>
  <DocSecurity>0</DocSecurity>
  <Lines>289</Lines>
  <Paragraphs>81</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40550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2020-10-08T07:00:00Z</dcterms:created>
  <dcterms:modified xsi:type="dcterms:W3CDTF">2020-10-08T07:00:00Z</dcterms:modified>
</cp:coreProperties>
</file>