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78E53" w14:textId="77777777" w:rsidR="008B509B" w:rsidRDefault="008B509B" w:rsidP="008B509B">
      <w:pPr>
        <w:pStyle w:val="nadpiszkona"/>
        <w:tabs>
          <w:tab w:val="left" w:pos="2175"/>
        </w:tabs>
        <w:rPr>
          <w:sz w:val="28"/>
        </w:rPr>
      </w:pPr>
      <w:r>
        <w:rPr>
          <w:sz w:val="28"/>
        </w:rPr>
        <w:t>Důvodová zpráva</w:t>
      </w:r>
    </w:p>
    <w:p w14:paraId="20FBB6DC" w14:textId="77777777" w:rsidR="008B509B" w:rsidRDefault="008B509B" w:rsidP="008B509B">
      <w:pPr>
        <w:pStyle w:val="nadpiszkona"/>
      </w:pPr>
      <w:r>
        <w:t>k návrhu zákona o státním rozpočtu České republiky na rok 2021</w:t>
      </w:r>
    </w:p>
    <w:p w14:paraId="73A2E2F2" w14:textId="77777777" w:rsidR="008B509B" w:rsidRDefault="008B509B" w:rsidP="008B509B">
      <w:pPr>
        <w:jc w:val="center"/>
      </w:pPr>
    </w:p>
    <w:p w14:paraId="4AE953A0" w14:textId="77777777" w:rsidR="008B509B" w:rsidRPr="002C0096" w:rsidRDefault="008B509B" w:rsidP="008B509B">
      <w:pPr>
        <w:pStyle w:val="Nadpis3"/>
        <w:spacing w:after="240"/>
        <w:rPr>
          <w:rFonts w:ascii="Times New Roman" w:hAnsi="Times New Roman" w:cs="Times New Roman"/>
        </w:rPr>
      </w:pPr>
      <w:r w:rsidRPr="002C0096">
        <w:rPr>
          <w:rFonts w:ascii="Times New Roman" w:hAnsi="Times New Roman" w:cs="Times New Roman"/>
        </w:rPr>
        <w:t>Obecná část</w:t>
      </w:r>
    </w:p>
    <w:p w14:paraId="743A08BF" w14:textId="77777777" w:rsidR="008B509B" w:rsidRDefault="008B509B" w:rsidP="008B509B">
      <w:pPr>
        <w:pStyle w:val="Zkladntextodsazen"/>
        <w:jc w:val="both"/>
      </w:pPr>
      <w:r>
        <w:t xml:space="preserve">Návrh zákona o státním rozpočtu legislativně zabezpečuje základní dokument finanční a rozpočtové politiky vlády České republiky. Finanční a rozpočtová politika vlády České republiky na rok 2021 je podrobně popsána ve „Zprávě k návrhu zákona o státním rozpočtu České republiky na rok 2021“, která je součástí doprovodného materiálu, číselně je pak doložena i dalšími podkladovými materiály.   </w:t>
      </w:r>
    </w:p>
    <w:p w14:paraId="716E8F9B" w14:textId="77777777" w:rsidR="008B509B" w:rsidRPr="00464030" w:rsidRDefault="008B509B" w:rsidP="008B509B">
      <w:pPr>
        <w:pStyle w:val="Zkladntext21"/>
        <w:spacing w:after="0"/>
        <w:ind w:firstLine="709"/>
      </w:pPr>
      <w:r w:rsidRPr="00464030">
        <w:t xml:space="preserve">Návrh státního rozpočtu </w:t>
      </w:r>
      <w:r>
        <w:t>na rok 2021</w:t>
      </w:r>
      <w:r w:rsidRPr="00464030">
        <w:t xml:space="preserve"> je předkládán jako schodkový v objemu příjmů</w:t>
      </w:r>
      <w:r>
        <w:t xml:space="preserve"> </w:t>
      </w:r>
      <w:r w:rsidR="003476B4">
        <w:t>1</w:t>
      </w:r>
      <w:r w:rsidR="00834C04">
        <w:t>486,8 mld.</w:t>
      </w:r>
      <w:r>
        <w:t xml:space="preserve"> Kč a v objemu výdajů </w:t>
      </w:r>
      <w:r w:rsidR="003476B4">
        <w:t>18</w:t>
      </w:r>
      <w:r w:rsidR="00834C04">
        <w:t>06,8</w:t>
      </w:r>
      <w:r w:rsidR="003476B4">
        <w:t xml:space="preserve"> </w:t>
      </w:r>
      <w:r w:rsidR="00834C04">
        <w:t>mld.</w:t>
      </w:r>
      <w:r w:rsidRPr="00464030">
        <w:t xml:space="preserve"> Kč. </w:t>
      </w:r>
    </w:p>
    <w:p w14:paraId="39880FD7" w14:textId="77777777" w:rsidR="008B509B" w:rsidRDefault="008B509B" w:rsidP="008B509B">
      <w:pPr>
        <w:pStyle w:val="Zkladntext21"/>
        <w:spacing w:after="0"/>
        <w:ind w:firstLine="709"/>
      </w:pPr>
      <w:r>
        <w:t>Příjmy státního rozpočtu jsou tvořeny zejména z daní, pojistného na sociální zabezpečení a příspěvku na státní politiku zaměstnanosti a nedaňovými příjmy včetně kapitálových. Za nedaňové příjmy se považuje také podíl z výnosu cel, který podle práva Evropské unie zůstává ponechán členským státům na úhradu nákladů spojených s jejich výběrem. Součástí příjmů státního rozpočtu jsou dále peněžní prostředky poskytnuté z rozpočtu Evropské unie na realizaci politik Evropské unie, tj. zejména prostředky poskytnuté z Evropských strukturálních a investičních fondů (</w:t>
      </w:r>
      <w:r w:rsidRPr="001E7CB0">
        <w:t>Evropský fond pro regionální rozvoj, Evropský sociáln</w:t>
      </w:r>
      <w:r>
        <w:t xml:space="preserve">í fond, Fond soudržnosti, </w:t>
      </w:r>
      <w:r w:rsidRPr="001E7CB0">
        <w:t>Evropský zemědělský fond pro rozvoj venkova a Ev</w:t>
      </w:r>
      <w:r>
        <w:t xml:space="preserve">ropský námořní a rybářský fond) a z </w:t>
      </w:r>
      <w:r>
        <w:rPr>
          <w:szCs w:val="24"/>
        </w:rPr>
        <w:t>Evropského zemědělského</w:t>
      </w:r>
      <w:r w:rsidRPr="004F05C4">
        <w:rPr>
          <w:szCs w:val="24"/>
        </w:rPr>
        <w:t xml:space="preserve"> a záruční</w:t>
      </w:r>
      <w:r>
        <w:rPr>
          <w:szCs w:val="24"/>
        </w:rPr>
        <w:t>ho fondu</w:t>
      </w:r>
      <w:r>
        <w:t>. Dále jsou příjmem státního rozpočtu prostředky z finančních mechanismů EHP/Norsko svěřené České republice na základě mezinárodních smluv.</w:t>
      </w:r>
    </w:p>
    <w:p w14:paraId="33D47F8D" w14:textId="77777777" w:rsidR="008B509B" w:rsidRDefault="008B509B" w:rsidP="008B509B">
      <w:pPr>
        <w:pStyle w:val="Zkladntext21"/>
        <w:spacing w:after="0"/>
        <w:ind w:firstLine="709"/>
        <w:rPr>
          <w:b/>
        </w:rPr>
      </w:pPr>
      <w:r>
        <w:t xml:space="preserve">  Výdaji státního rozpočtu jsou zejména výdaje organizačních složek státu včetně příspěvků </w:t>
      </w:r>
      <w:r w:rsidR="00752222">
        <w:t xml:space="preserve">státním </w:t>
      </w:r>
      <w:r>
        <w:t>příspěvkovým organizacím, které zabezpečují funkce státu,</w:t>
      </w:r>
      <w:r>
        <w:rPr>
          <w:i/>
          <w:iCs/>
        </w:rPr>
        <w:t xml:space="preserve"> </w:t>
      </w:r>
      <w:r w:rsidR="00AE4A7F">
        <w:t>dotace a </w:t>
      </w:r>
      <w:r>
        <w:t>příspěvky krajům a</w:t>
      </w:r>
      <w:r>
        <w:rPr>
          <w:i/>
          <w:iCs/>
        </w:rPr>
        <w:t xml:space="preserve"> </w:t>
      </w:r>
      <w:r>
        <w:t>obcím, státním fondům, dotace podnikatelským subjektům, nestátním neziskovým organizacím a výdaje související s dluhovou službou. Součástí výdajů státního rozpočtu jsou i odvody peněžních prostředků vlastních zdrojů Evropské unie, prostředky na zajištění předfinancování u výdajů, které jsou spolufinancovány ze zdrojů Evropské unie nebo finančních mechanismů EHP/Norsko a podíly státního rozpočtu na financování těchto výdajů.</w:t>
      </w:r>
      <w:r w:rsidRPr="001477EC">
        <w:rPr>
          <w:b/>
          <w:highlight w:val="yellow"/>
        </w:rPr>
        <w:t xml:space="preserve"> </w:t>
      </w:r>
    </w:p>
    <w:p w14:paraId="7A2E12E5" w14:textId="77777777" w:rsidR="008B509B" w:rsidRDefault="008B509B" w:rsidP="008B509B">
      <w:pPr>
        <w:pStyle w:val="Zkladntext21"/>
        <w:spacing w:after="0"/>
        <w:ind w:firstLine="709"/>
      </w:pPr>
      <w:r>
        <w:t>Návrh zákona je v souladu s vyhlášenými mezinárodními smlouvami podle čl. 10 Ústavy České republiky a je rovněž v souladu s ústavním pořádkem České republiky.</w:t>
      </w:r>
    </w:p>
    <w:p w14:paraId="5497D0C1" w14:textId="77777777" w:rsidR="009B2312" w:rsidRDefault="008B509B" w:rsidP="008B509B">
      <w:pPr>
        <w:pStyle w:val="Zkladntext21"/>
        <w:spacing w:after="0"/>
        <w:ind w:firstLine="709"/>
      </w:pPr>
      <w:r w:rsidRPr="00AD2B95">
        <w:lastRenderedPageBreak/>
        <w:t>Návrh zákona o státním rozpočtu je slučitelný s právem Evropské unie. Tvorba rozpočtů členských států EU není právem EU přímo upravena. Primární právo EU však v návaznosti na existenci vnitřního trhu EU</w:t>
      </w:r>
      <w:r>
        <w:t xml:space="preserve"> a</w:t>
      </w:r>
      <w:r w:rsidRPr="00AD2B95">
        <w:t xml:space="preserve"> </w:t>
      </w:r>
      <w:r>
        <w:t>H</w:t>
      </w:r>
      <w:r w:rsidRPr="00AD2B95">
        <w:t>ospodářské a měnové unie a s ohledem na cíle, které EU sleduje (čl. 3 Smlouvy o EU), obsahuje závazky, kte</w:t>
      </w:r>
      <w:r>
        <w:t>ré do oblasti tvorby státního a </w:t>
      </w:r>
      <w:r w:rsidRPr="00AD2B95">
        <w:t xml:space="preserve">veřejných rozpočtů obecně zasahují. Jde především o povinnost vyvarovat se nadměrných schodků veřejných financí (čl. 126 SFEU, Protokol /č. 12/ o postupu při nadměrném schodku) nebo obecněji povinnost provádět národní hospodářskou politiku se záměrem přispívat k dosažení cílů Unie (čl. </w:t>
      </w:r>
      <w:smartTag w:uri="urn:schemas-microsoft-com:office:smarttags" w:element="metricconverter">
        <w:smartTagPr>
          <w:attr w:name="ProductID" w:val="120 a"/>
        </w:smartTagPr>
        <w:r w:rsidRPr="00AD2B95">
          <w:t>120 a</w:t>
        </w:r>
      </w:smartTag>
      <w:r w:rsidRPr="00AD2B95">
        <w:t xml:space="preserve"> násl. SFEU).</w:t>
      </w:r>
      <w:r w:rsidR="0016220D">
        <w:t xml:space="preserve"> </w:t>
      </w:r>
      <w:r w:rsidRPr="00AD2B95">
        <w:t xml:space="preserve">Závazky z primárního práva EU jsou dále konkretizovány v přímo použitelných nařízeních </w:t>
      </w:r>
      <w:r w:rsidRPr="001402BA">
        <w:t xml:space="preserve">Rady </w:t>
      </w:r>
      <w:r>
        <w:t>(ES)</w:t>
      </w:r>
      <w:r w:rsidRPr="00AD2B95">
        <w:t xml:space="preserve"> č. </w:t>
      </w:r>
      <w:r w:rsidRPr="001402BA">
        <w:t xml:space="preserve">1466/97 </w:t>
      </w:r>
      <w:r w:rsidR="009B2312">
        <w:rPr>
          <w:bCs/>
        </w:rPr>
        <w:t>o </w:t>
      </w:r>
      <w:r w:rsidRPr="00AD2B95">
        <w:rPr>
          <w:bCs/>
        </w:rPr>
        <w:t>posílení dohledu nad stavy rozpočtů a nad hospodářskými politikami a o posílení koordinace hospodářských politik</w:t>
      </w:r>
      <w:r>
        <w:rPr>
          <w:bCs/>
        </w:rPr>
        <w:t>, v platném znění</w:t>
      </w:r>
      <w:r>
        <w:rPr>
          <w:rStyle w:val="Znakapoznpodarou"/>
          <w:bCs/>
        </w:rPr>
        <w:footnoteReference w:id="1"/>
      </w:r>
      <w:r>
        <w:rPr>
          <w:bCs/>
        </w:rPr>
        <w:t>,</w:t>
      </w:r>
      <w:r w:rsidRPr="00AD2B95">
        <w:rPr>
          <w:b/>
          <w:bCs/>
        </w:rPr>
        <w:t xml:space="preserve"> </w:t>
      </w:r>
      <w:r w:rsidRPr="00AD2B95">
        <w:t>a č. 1467/97 o urychlení a vyjasnění postupu při nadměrném schodku, v platném znění</w:t>
      </w:r>
      <w:r w:rsidRPr="00A22CE7">
        <w:rPr>
          <w:vertAlign w:val="superscript"/>
        </w:rPr>
        <w:footnoteReference w:id="2"/>
      </w:r>
      <w:r w:rsidR="00F208BD" w:rsidRPr="00A22CE7">
        <w:t xml:space="preserve"> a </w:t>
      </w:r>
      <w:r w:rsidR="00E56036" w:rsidRPr="00A22CE7">
        <w:t>ve směrnici Rady 2011/85/EU o </w:t>
      </w:r>
      <w:r w:rsidR="00F208BD" w:rsidRPr="00A22CE7">
        <w:t>požadavcích na rozpočtové rámce členských států.</w:t>
      </w:r>
      <w:r w:rsidR="009B2312" w:rsidRPr="009B2312">
        <w:t xml:space="preserve"> </w:t>
      </w:r>
    </w:p>
    <w:p w14:paraId="5F3055CD" w14:textId="77777777" w:rsidR="008B509B" w:rsidRDefault="009B2312" w:rsidP="001D4CD1">
      <w:pPr>
        <w:pStyle w:val="Zkladntext21"/>
        <w:spacing w:after="0"/>
        <w:ind w:firstLine="709"/>
      </w:pPr>
      <w:r>
        <w:t xml:space="preserve">Výši střednědobého rozpočtového cíle stanovila </w:t>
      </w:r>
      <w:r w:rsidRPr="009B2312">
        <w:t>pro roky 2020-2022 Evropská komise v únoru 2019 na -0,75 % (vyjádřeno jako pomě</w:t>
      </w:r>
      <w:r>
        <w:t>r strukturálního salda na HDP).</w:t>
      </w:r>
      <w:r w:rsidR="001D4CD1">
        <w:t xml:space="preserve"> </w:t>
      </w:r>
      <w:r w:rsidR="001D4CD1" w:rsidRPr="001D4CD1">
        <w:t xml:space="preserve">V reakci na ekonomické dopady pandemie nového </w:t>
      </w:r>
      <w:proofErr w:type="spellStart"/>
      <w:r w:rsidR="001D4CD1" w:rsidRPr="001D4CD1">
        <w:t>koronaviru</w:t>
      </w:r>
      <w:proofErr w:type="spellEnd"/>
      <w:r w:rsidR="001D4CD1" w:rsidRPr="001D4CD1">
        <w:t>, byla na jaře 2020 zákonem č. 207/2020 Sb. schválena novela zákona č. 23/2017 Sb., o pravidlech rozpočtové odpovědnosti, která dočasně vytvořila fiskální prostor n</w:t>
      </w:r>
      <w:r w:rsidR="001D4CD1">
        <w:t xml:space="preserve">a úrovni strukturálního </w:t>
      </w:r>
      <w:r w:rsidR="001D4CD1" w:rsidRPr="001D4CD1">
        <w:t>deficitu</w:t>
      </w:r>
      <w:r w:rsidR="009A719F">
        <w:t xml:space="preserve"> </w:t>
      </w:r>
      <w:r w:rsidR="005603FD">
        <w:t xml:space="preserve">ve výši </w:t>
      </w:r>
      <w:r w:rsidR="009A719F">
        <w:t xml:space="preserve">až </w:t>
      </w:r>
      <w:r w:rsidR="005603FD">
        <w:t xml:space="preserve">4 % HDP pro rok 2021, </w:t>
      </w:r>
      <w:r w:rsidR="001D4CD1">
        <w:t>s postupným snižováním o 0,5 procentního bodu</w:t>
      </w:r>
      <w:r w:rsidR="00792079">
        <w:t xml:space="preserve"> </w:t>
      </w:r>
      <w:r w:rsidR="001E3AA4">
        <w:t xml:space="preserve">HDP </w:t>
      </w:r>
      <w:r w:rsidR="00792079">
        <w:t>ročně</w:t>
      </w:r>
      <w:r w:rsidR="009A719F">
        <w:t>, tj. pro rok 2022 až 3,5 </w:t>
      </w:r>
      <w:r w:rsidR="00427289">
        <w:t>% HDP, pro rok 2023 až 3</w:t>
      </w:r>
      <w:r w:rsidR="001E3AA4">
        <w:t xml:space="preserve"> </w:t>
      </w:r>
      <w:r w:rsidR="00427289">
        <w:t xml:space="preserve">% HDP až do roku 2027, přičemž od roku 2028 </w:t>
      </w:r>
      <w:r w:rsidR="001E3AA4">
        <w:t>by</w:t>
      </w:r>
      <w:r w:rsidR="00427289" w:rsidRPr="00427289">
        <w:t xml:space="preserve"> Česká republika </w:t>
      </w:r>
      <w:r w:rsidR="001E3AA4">
        <w:t xml:space="preserve">měla </w:t>
      </w:r>
      <w:r w:rsidR="00427289" w:rsidRPr="00427289">
        <w:t xml:space="preserve">opět plnit </w:t>
      </w:r>
      <w:r w:rsidR="001E3AA4">
        <w:t xml:space="preserve">současný </w:t>
      </w:r>
      <w:r w:rsidR="00427289" w:rsidRPr="00427289">
        <w:t>střednědobý rozpočtový cíl</w:t>
      </w:r>
      <w:r w:rsidR="00B43D46">
        <w:t>.</w:t>
      </w:r>
      <w:r w:rsidR="001E3AA4">
        <w:rPr>
          <w:rStyle w:val="Znakapoznpodarou"/>
        </w:rPr>
        <w:footnoteReference w:id="3"/>
      </w:r>
      <w:r w:rsidR="00427289" w:rsidRPr="00427289">
        <w:t xml:space="preserve"> </w:t>
      </w:r>
    </w:p>
    <w:p w14:paraId="5C588392" w14:textId="77777777" w:rsidR="008B509B" w:rsidRDefault="008B509B" w:rsidP="00674DCD">
      <w:pPr>
        <w:pStyle w:val="Zkladntextodsazen"/>
        <w:jc w:val="both"/>
      </w:pPr>
      <w:r>
        <w:t xml:space="preserve">Dopady </w:t>
      </w:r>
      <w:r w:rsidR="00427289">
        <w:t xml:space="preserve">návrhu zákona </w:t>
      </w:r>
      <w:r>
        <w:t>na státní rozpočet se neuvádějí, což vyplývá z</w:t>
      </w:r>
      <w:r w:rsidR="00D75CBA">
        <w:t>e </w:t>
      </w:r>
      <w:r w:rsidR="00427289">
        <w:t>samotného</w:t>
      </w:r>
      <w:r>
        <w:t xml:space="preserve"> charakteru zákona. Při aplikaci Obecných zásad pro hodnocení dopadů regulace (RIA) podléhá tento zákon zvláštnímu režimu podle výjimky uvedené v čl. I. 3. 8. písm. b) těchto zásad.  </w:t>
      </w:r>
    </w:p>
    <w:p w14:paraId="4ABC59AC" w14:textId="77777777" w:rsidR="008B509B" w:rsidRDefault="008B509B" w:rsidP="008B509B">
      <w:pPr>
        <w:pStyle w:val="Zkladntextodsazen"/>
        <w:spacing w:line="240" w:lineRule="auto"/>
        <w:ind w:firstLine="0"/>
        <w:jc w:val="both"/>
      </w:pPr>
    </w:p>
    <w:p w14:paraId="36C8E8F6" w14:textId="77777777" w:rsidR="008B509B" w:rsidRPr="002C0096" w:rsidRDefault="008B509B" w:rsidP="008B509B">
      <w:pPr>
        <w:pStyle w:val="Nadpis3"/>
        <w:spacing w:after="240"/>
        <w:rPr>
          <w:rFonts w:ascii="Times New Roman" w:hAnsi="Times New Roman" w:cs="Times New Roman"/>
        </w:rPr>
      </w:pPr>
      <w:r w:rsidRPr="002C0096">
        <w:rPr>
          <w:rFonts w:ascii="Times New Roman" w:hAnsi="Times New Roman" w:cs="Times New Roman"/>
        </w:rPr>
        <w:lastRenderedPageBreak/>
        <w:t>Zvláštní část</w:t>
      </w:r>
    </w:p>
    <w:p w14:paraId="549DF829" w14:textId="77777777" w:rsidR="008B509B" w:rsidRPr="00C57184" w:rsidRDefault="008B509B" w:rsidP="008B509B">
      <w:pPr>
        <w:pStyle w:val="Nadpis3"/>
        <w:rPr>
          <w:rFonts w:ascii="Times New Roman" w:hAnsi="Times New Roman" w:cs="Times New Roman"/>
          <w:bCs w:val="0"/>
          <w:u w:val="single"/>
        </w:rPr>
      </w:pPr>
      <w:r w:rsidRPr="00C57184">
        <w:rPr>
          <w:rFonts w:ascii="Times New Roman" w:hAnsi="Times New Roman" w:cs="Times New Roman"/>
          <w:bCs w:val="0"/>
          <w:u w:val="single"/>
        </w:rPr>
        <w:t>K § 1:</w:t>
      </w:r>
    </w:p>
    <w:p w14:paraId="4B463215" w14:textId="77777777" w:rsidR="008B509B" w:rsidRDefault="008B509B" w:rsidP="008B509B">
      <w:pPr>
        <w:spacing w:line="360" w:lineRule="auto"/>
        <w:ind w:firstLine="708"/>
        <w:jc w:val="both"/>
      </w:pPr>
      <w:r>
        <w:t xml:space="preserve">Státní rozpočet se navrhuje se schodkem ve výši </w:t>
      </w:r>
      <w:r w:rsidR="003476B4">
        <w:t>320 mld.</w:t>
      </w:r>
      <w:r>
        <w:t xml:space="preserve"> Kč. V navrhovaném ustanovení jsou obsaženy základní údaje o příjmech a výdajích státního rozpočtu a jeho finančních vztazích k rozpočtu Evropské unie. </w:t>
      </w:r>
    </w:p>
    <w:p w14:paraId="5EFC2CC3" w14:textId="77777777" w:rsidR="008B509B" w:rsidRDefault="008B509B" w:rsidP="008B509B">
      <w:pPr>
        <w:pStyle w:val="Zkladntext21"/>
        <w:ind w:firstLine="708"/>
      </w:pPr>
      <w:r>
        <w:t xml:space="preserve">Součástí finančního vztahu státního rozpočtu k rozpočtu Evropské unie jsou jím přijímané peněžní prostředky z rozpočtu Evropské unie a odvody peněžních prostředků vlastních zdrojů Evropské unie. </w:t>
      </w:r>
    </w:p>
    <w:p w14:paraId="0B4E2C94" w14:textId="77777777" w:rsidR="008B509B" w:rsidRDefault="008B509B" w:rsidP="008B509B">
      <w:pPr>
        <w:pStyle w:val="Zkladntext21"/>
        <w:ind w:firstLine="708"/>
      </w:pPr>
      <w:r>
        <w:t xml:space="preserve">Výdaje na programové financování jsou i v roce 2021 stanoveny jako průřezový ukazatel v příloze č. </w:t>
      </w:r>
      <w:smartTag w:uri="urn:schemas-microsoft-com:office:smarttags" w:element="metricconverter">
        <w:smartTagPr>
          <w:attr w:name="ProductID" w:val="4, a"/>
        </w:smartTagPr>
        <w:r>
          <w:t>4, a</w:t>
        </w:r>
      </w:smartTag>
      <w:r>
        <w:t xml:space="preserve"> to jedním číslem pro kapitolu. </w:t>
      </w:r>
    </w:p>
    <w:p w14:paraId="5110E748" w14:textId="77777777" w:rsidR="008B509B" w:rsidRPr="009C284F" w:rsidRDefault="008B509B" w:rsidP="008B509B">
      <w:pPr>
        <w:pStyle w:val="Zkladntext21"/>
        <w:rPr>
          <w:b/>
          <w:u w:val="single"/>
        </w:rPr>
      </w:pPr>
      <w:r w:rsidRPr="009C284F">
        <w:rPr>
          <w:b/>
          <w:u w:val="single"/>
        </w:rPr>
        <w:t>K § 2:</w:t>
      </w:r>
    </w:p>
    <w:p w14:paraId="108593DE" w14:textId="77777777" w:rsidR="008B509B" w:rsidRPr="003969B9" w:rsidRDefault="008B509B" w:rsidP="008B509B">
      <w:pPr>
        <w:pStyle w:val="Zkladntextodsazen3"/>
        <w:spacing w:line="360" w:lineRule="auto"/>
        <w:ind w:left="0" w:firstLine="708"/>
        <w:jc w:val="both"/>
        <w:rPr>
          <w:sz w:val="24"/>
          <w:szCs w:val="24"/>
        </w:rPr>
      </w:pPr>
      <w:r w:rsidRPr="003969B9">
        <w:rPr>
          <w:sz w:val="24"/>
          <w:szCs w:val="24"/>
        </w:rPr>
        <w:t>Součástí návrhu záko</w:t>
      </w:r>
      <w:r>
        <w:rPr>
          <w:sz w:val="24"/>
          <w:szCs w:val="24"/>
        </w:rPr>
        <w:t>na o státním rozpočtu na rok 2021</w:t>
      </w:r>
      <w:r w:rsidRPr="003969B9">
        <w:rPr>
          <w:sz w:val="24"/>
          <w:szCs w:val="24"/>
        </w:rPr>
        <w:t xml:space="preserve"> jsou finanční vztahy státního rozpočtu k rozpočtům krajů, obcí a hl. m. Prahy. </w:t>
      </w:r>
    </w:p>
    <w:p w14:paraId="6F8675E6" w14:textId="77777777" w:rsidR="008B509B" w:rsidRDefault="008B509B" w:rsidP="008B509B">
      <w:pPr>
        <w:pStyle w:val="Zkladntext21"/>
        <w:ind w:firstLine="708"/>
      </w:pPr>
      <w:r>
        <w:t xml:space="preserve">Obsahem finančních vztahů státního rozpočtu k rozpočtům krajů, k rozpočtům obcí a k rozpočtu hlavního města Prahy jsou příspěvky na výkon státní správy. </w:t>
      </w:r>
    </w:p>
    <w:p w14:paraId="1465F8FC" w14:textId="77777777" w:rsidR="008B509B" w:rsidRPr="009C284F" w:rsidRDefault="008B509B" w:rsidP="008B509B">
      <w:pPr>
        <w:pStyle w:val="Zkladntext21"/>
        <w:rPr>
          <w:b/>
          <w:u w:val="single"/>
        </w:rPr>
      </w:pPr>
      <w:r w:rsidRPr="009C284F">
        <w:rPr>
          <w:b/>
          <w:u w:val="single"/>
        </w:rPr>
        <w:t>K § 3:</w:t>
      </w:r>
    </w:p>
    <w:p w14:paraId="270D9BEA" w14:textId="77777777" w:rsidR="008B509B" w:rsidRDefault="008B509B" w:rsidP="008B509B">
      <w:pPr>
        <w:pStyle w:val="Zkladntext21"/>
        <w:ind w:firstLine="708"/>
      </w:pPr>
      <w:r>
        <w:t xml:space="preserve">Na základě ustanovení § 4 odst. 5 zákona č. 58/1995 Sb., </w:t>
      </w:r>
      <w:r w:rsidRPr="00CC46D7">
        <w:t>o pojišťování a financování vývozu se státní podporou a o doplnění zákona č. 166/1993 Sb., o Nejvyšším kontrolním úřadu, ve znění</w:t>
      </w:r>
      <w:r>
        <w:t xml:space="preserve"> zákona č. 60/1998 Sb., je pro Exportní garanční a pojišťovací společnost, a. s. stanovena výše pojistné kapacity.</w:t>
      </w:r>
    </w:p>
    <w:p w14:paraId="5023149B" w14:textId="77777777" w:rsidR="008B509B" w:rsidRPr="00D32D86" w:rsidRDefault="008B509B" w:rsidP="00D32D86">
      <w:pPr>
        <w:pStyle w:val="Nadpis3"/>
        <w:rPr>
          <w:rFonts w:ascii="Times New Roman" w:hAnsi="Times New Roman" w:cs="Times New Roman"/>
          <w:bCs w:val="0"/>
          <w:u w:val="single"/>
        </w:rPr>
      </w:pPr>
      <w:r>
        <w:rPr>
          <w:rFonts w:ascii="Times New Roman" w:hAnsi="Times New Roman" w:cs="Times New Roman"/>
          <w:bCs w:val="0"/>
          <w:u w:val="single"/>
        </w:rPr>
        <w:t>K § 4</w:t>
      </w:r>
      <w:r w:rsidRPr="00B156F6">
        <w:rPr>
          <w:rFonts w:ascii="Times New Roman" w:hAnsi="Times New Roman" w:cs="Times New Roman"/>
          <w:bCs w:val="0"/>
          <w:u w:val="single"/>
        </w:rPr>
        <w:t>:</w:t>
      </w:r>
    </w:p>
    <w:p w14:paraId="6CDA6BC7" w14:textId="77777777" w:rsidR="008B509B" w:rsidRDefault="008B509B" w:rsidP="008B509B">
      <w:pPr>
        <w:pStyle w:val="Zkladntext"/>
        <w:keepNext/>
        <w:spacing w:line="360" w:lineRule="auto"/>
        <w:rPr>
          <w:b/>
          <w:i/>
        </w:rPr>
      </w:pPr>
    </w:p>
    <w:p w14:paraId="12659999" w14:textId="77777777" w:rsidR="008B509B" w:rsidRDefault="008B509B" w:rsidP="008B509B">
      <w:pPr>
        <w:pStyle w:val="Zkladntextodsazen2"/>
        <w:keepNext/>
        <w:spacing w:line="360" w:lineRule="auto"/>
        <w:ind w:left="0" w:firstLine="709"/>
        <w:jc w:val="both"/>
      </w:pPr>
      <w:r>
        <w:t xml:space="preserve">Tento převod je uložen v § 36 odst. 3 zákona o rozpočtových pravidlech. Vyčíslené prostředky, resp. výše kladného salda důchodového pojištění, budou jako výdaj kapitoly Všeobecná pokladní správa rozpočtově zařazené na položku rozpočtové skladby 5318 - Neinvestiční transfery prostředků do státních finančních aktiv a bankovním převodem po projednání státního závěrečného účtu za předchozí rok Poslaneckou sněmovnou Parlamentu České republiky poukázány ve prospěch účtu státních finančních aktiv „Rezervy důchodového pojištění“, rozpočtově zařazené na podseskupení položek rozpočtové skladby 411- Neinvestiční přijaté transfery od veřejných rozpočtů ústřední úrovně. </w:t>
      </w:r>
    </w:p>
    <w:p w14:paraId="5EC23010" w14:textId="77777777" w:rsidR="00D32D86" w:rsidRDefault="00D32D86" w:rsidP="00D32D86">
      <w:pPr>
        <w:pStyle w:val="Zkladntext"/>
        <w:spacing w:line="360" w:lineRule="auto"/>
        <w:ind w:firstLine="708"/>
      </w:pPr>
    </w:p>
    <w:p w14:paraId="5ABAB977" w14:textId="77777777" w:rsidR="00D32D86" w:rsidRDefault="00D32D86" w:rsidP="008B509B">
      <w:pPr>
        <w:pStyle w:val="Zkladntextodsazen2"/>
        <w:keepNext/>
        <w:spacing w:line="360" w:lineRule="auto"/>
        <w:ind w:left="0" w:firstLine="709"/>
        <w:jc w:val="both"/>
      </w:pPr>
    </w:p>
    <w:p w14:paraId="4869FA66" w14:textId="77777777" w:rsidR="00427289" w:rsidRDefault="00427289" w:rsidP="001D4CD1"/>
    <w:p w14:paraId="24B7F1AC" w14:textId="77777777" w:rsidR="00427289" w:rsidRDefault="00427289" w:rsidP="008B509B">
      <w:pPr>
        <w:jc w:val="center"/>
      </w:pPr>
    </w:p>
    <w:p w14:paraId="3FBF2C6D" w14:textId="77777777" w:rsidR="008B509B" w:rsidRDefault="008B509B" w:rsidP="008B509B">
      <w:pPr>
        <w:jc w:val="center"/>
      </w:pPr>
      <w:r>
        <w:t>V Praze dne …………….. 2020</w:t>
      </w:r>
    </w:p>
    <w:p w14:paraId="24181C61" w14:textId="77777777" w:rsidR="008B509B" w:rsidRDefault="008B509B" w:rsidP="008B509B">
      <w:pPr>
        <w:jc w:val="center"/>
      </w:pPr>
    </w:p>
    <w:p w14:paraId="4C05735A" w14:textId="77777777" w:rsidR="008B509B" w:rsidRDefault="008B509B" w:rsidP="008B509B">
      <w:pPr>
        <w:pStyle w:val="Zkladntext21"/>
        <w:spacing w:before="0" w:after="0"/>
        <w:jc w:val="center"/>
      </w:pPr>
      <w:r>
        <w:t>Předseda vlády:</w:t>
      </w:r>
    </w:p>
    <w:p w14:paraId="082733CB" w14:textId="77777777" w:rsidR="008B509B" w:rsidRDefault="008B509B" w:rsidP="008B509B">
      <w:pPr>
        <w:pStyle w:val="Zkladntext21"/>
        <w:spacing w:before="0" w:after="0"/>
        <w:jc w:val="center"/>
      </w:pPr>
      <w:r>
        <w:t>Ing. Andrej Babiš v. r.</w:t>
      </w:r>
    </w:p>
    <w:p w14:paraId="62FA9C08" w14:textId="77777777" w:rsidR="008B509B" w:rsidRDefault="008B509B" w:rsidP="008B509B">
      <w:pPr>
        <w:pStyle w:val="Zkladntext21"/>
        <w:spacing w:before="0" w:after="0"/>
        <w:jc w:val="center"/>
      </w:pPr>
    </w:p>
    <w:p w14:paraId="4340BBF8" w14:textId="77777777" w:rsidR="008B509B" w:rsidRDefault="008B509B" w:rsidP="008B509B">
      <w:pPr>
        <w:pStyle w:val="Zkladntext21"/>
        <w:spacing w:before="0" w:after="0"/>
        <w:jc w:val="center"/>
      </w:pPr>
      <w:r>
        <w:t>Místopředsedkyně vlády a ministryně financí:</w:t>
      </w:r>
    </w:p>
    <w:p w14:paraId="2577E380" w14:textId="77777777" w:rsidR="008B509B" w:rsidRDefault="008B509B" w:rsidP="008B509B">
      <w:pPr>
        <w:pStyle w:val="Zkladntext21"/>
        <w:spacing w:before="0" w:after="0"/>
        <w:jc w:val="center"/>
      </w:pPr>
      <w:r>
        <w:t>JUDr. Alena Schillerová, Ph.D.</w:t>
      </w:r>
      <w:r w:rsidR="00AE4A7F">
        <w:t>,</w:t>
      </w:r>
      <w:r>
        <w:t xml:space="preserve"> v. r. </w:t>
      </w:r>
    </w:p>
    <w:p w14:paraId="035F6724" w14:textId="77777777" w:rsidR="00DB7155" w:rsidRDefault="00DB7155"/>
    <w:sectPr w:rsidR="00DB7155" w:rsidSect="00665C97">
      <w:headerReference w:type="even" r:id="rId7"/>
      <w:headerReference w:type="default" r:id="rId8"/>
      <w:pgSz w:w="11906" w:h="16838"/>
      <w:pgMar w:top="1417" w:right="1417" w:bottom="1417" w:left="1417" w:header="708" w:footer="708" w:gutter="0"/>
      <w:pgNumType w:start="7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240A" w14:textId="77777777" w:rsidR="00B240CC" w:rsidRDefault="00B240CC" w:rsidP="008B509B">
      <w:r>
        <w:separator/>
      </w:r>
    </w:p>
  </w:endnote>
  <w:endnote w:type="continuationSeparator" w:id="0">
    <w:p w14:paraId="30FCEE0D" w14:textId="77777777" w:rsidR="00B240CC" w:rsidRDefault="00B240CC" w:rsidP="008B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7D3F" w14:textId="77777777" w:rsidR="00B240CC" w:rsidRDefault="00B240CC" w:rsidP="008B509B">
      <w:r>
        <w:separator/>
      </w:r>
    </w:p>
  </w:footnote>
  <w:footnote w:type="continuationSeparator" w:id="0">
    <w:p w14:paraId="0B49BD5D" w14:textId="77777777" w:rsidR="00B240CC" w:rsidRDefault="00B240CC" w:rsidP="008B509B">
      <w:r>
        <w:continuationSeparator/>
      </w:r>
    </w:p>
  </w:footnote>
  <w:footnote w:id="1">
    <w:p w14:paraId="5A4EA09C" w14:textId="77777777" w:rsidR="008B509B" w:rsidRPr="00991018" w:rsidRDefault="008B509B" w:rsidP="008B509B">
      <w:pPr>
        <w:pStyle w:val="Textpoznpodarou"/>
        <w:ind w:left="0" w:firstLine="0"/>
      </w:pPr>
      <w:r w:rsidRPr="00991018">
        <w:rPr>
          <w:rStyle w:val="Znakapoznpodarou"/>
        </w:rPr>
        <w:footnoteRef/>
      </w:r>
      <w:r w:rsidRPr="00991018">
        <w:t xml:space="preserve"> </w:t>
      </w:r>
      <w:r w:rsidRPr="001A23DB">
        <w:t xml:space="preserve">Nařízení Rady (ES) č. 1466/97 ze dne 7. července 1997 </w:t>
      </w:r>
      <w:r w:rsidRPr="001A23DB">
        <w:rPr>
          <w:bCs/>
          <w:color w:val="000000"/>
        </w:rPr>
        <w:t>o posílení dohledu nad stavy rozpočtů a nad hospodářskými politikami a o posílení koordinace hospodářských politik</w:t>
      </w:r>
      <w:r>
        <w:rPr>
          <w:bCs/>
          <w:color w:val="000000"/>
        </w:rPr>
        <w:t>, v platném znění.</w:t>
      </w:r>
    </w:p>
  </w:footnote>
  <w:footnote w:id="2">
    <w:p w14:paraId="15747257" w14:textId="77777777" w:rsidR="008B509B" w:rsidRPr="004338E4" w:rsidRDefault="008B509B" w:rsidP="008B509B">
      <w:pPr>
        <w:pStyle w:val="Textpoznpodarou"/>
        <w:ind w:left="0" w:firstLine="0"/>
      </w:pPr>
      <w:r w:rsidRPr="004338E4">
        <w:rPr>
          <w:rStyle w:val="Znakapoznpodarou"/>
        </w:rPr>
        <w:footnoteRef/>
      </w:r>
      <w:r w:rsidRPr="004338E4">
        <w:t xml:space="preserve"> Nařízení Rady (ES) č. 1467/97 ze dne 7. července 1997 o urychlení a vyjasnění postupu při nadměrném schodku, v platném znění.</w:t>
      </w:r>
    </w:p>
  </w:footnote>
  <w:footnote w:id="3">
    <w:p w14:paraId="2F533C23" w14:textId="77777777" w:rsidR="001E3AA4" w:rsidRDefault="001E3AA4" w:rsidP="005313F4">
      <w:pPr>
        <w:pStyle w:val="Textpoznpodarou"/>
        <w:ind w:left="0" w:firstLine="0"/>
      </w:pPr>
      <w:r>
        <w:rPr>
          <w:rStyle w:val="Znakapoznpodarou"/>
        </w:rPr>
        <w:footnoteRef/>
      </w:r>
      <w:r w:rsidR="005313F4">
        <w:t xml:space="preserve"> S</w:t>
      </w:r>
      <w:r>
        <w:t>třednědobý rozpočtový cíl (MTO) ČR se do té doby může změnit, mj. v návaznosti na pravidelné přezkumy minimálních MTO</w:t>
      </w:r>
      <w:r w:rsidR="00D02527">
        <w:t xml:space="preserve"> na úrovni EU, které se konají každé tři roky.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ACE9" w14:textId="77777777" w:rsidR="009912EB" w:rsidRDefault="003043D8" w:rsidP="00EA24D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AC2762" w14:textId="77777777" w:rsidR="009912EB" w:rsidRDefault="00B240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790902"/>
      <w:docPartObj>
        <w:docPartGallery w:val="Page Numbers (Top of Page)"/>
        <w:docPartUnique/>
      </w:docPartObj>
    </w:sdtPr>
    <w:sdtEndPr/>
    <w:sdtContent>
      <w:p w14:paraId="5C0E28DC" w14:textId="77777777" w:rsidR="00665C97" w:rsidRDefault="00665C97" w:rsidP="00665C97">
        <w:pPr>
          <w:pStyle w:val="Zhlav"/>
          <w:framePr w:wrap="around" w:vAnchor="text" w:hAnchor="margin" w:xAlign="center" w:y="1"/>
          <w:jc w:val="center"/>
        </w:pPr>
        <w:r>
          <w:fldChar w:fldCharType="begin"/>
        </w:r>
        <w:r>
          <w:instrText>PAGE   \* MERGEFORMAT</w:instrText>
        </w:r>
        <w:r>
          <w:fldChar w:fldCharType="separate"/>
        </w:r>
        <w:r w:rsidR="006314B4">
          <w:rPr>
            <w:noProof/>
          </w:rPr>
          <w:t>79</w:t>
        </w:r>
        <w:r>
          <w:fldChar w:fldCharType="end"/>
        </w:r>
      </w:p>
    </w:sdtContent>
  </w:sdt>
  <w:p w14:paraId="26426A19" w14:textId="77777777" w:rsidR="009912EB" w:rsidRDefault="00B240CC" w:rsidP="00EA24D0">
    <w:pPr>
      <w:pStyle w:val="Zhlav"/>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9B"/>
    <w:rsid w:val="0002294C"/>
    <w:rsid w:val="000D2DA6"/>
    <w:rsid w:val="0012479C"/>
    <w:rsid w:val="00130217"/>
    <w:rsid w:val="00154ED4"/>
    <w:rsid w:val="0016220D"/>
    <w:rsid w:val="00186006"/>
    <w:rsid w:val="001A0A62"/>
    <w:rsid w:val="001C29CC"/>
    <w:rsid w:val="001D4CD1"/>
    <w:rsid w:val="001E2029"/>
    <w:rsid w:val="001E3AA4"/>
    <w:rsid w:val="00214AB2"/>
    <w:rsid w:val="002370AF"/>
    <w:rsid w:val="002439B5"/>
    <w:rsid w:val="00280B8F"/>
    <w:rsid w:val="002F4B3F"/>
    <w:rsid w:val="003043D8"/>
    <w:rsid w:val="00321394"/>
    <w:rsid w:val="003476B4"/>
    <w:rsid w:val="003832F5"/>
    <w:rsid w:val="003E160D"/>
    <w:rsid w:val="00427289"/>
    <w:rsid w:val="004533B6"/>
    <w:rsid w:val="004728C7"/>
    <w:rsid w:val="005313F4"/>
    <w:rsid w:val="005603FD"/>
    <w:rsid w:val="005C1CF1"/>
    <w:rsid w:val="005D664A"/>
    <w:rsid w:val="006314B4"/>
    <w:rsid w:val="006329E7"/>
    <w:rsid w:val="00665C97"/>
    <w:rsid w:val="00674DCD"/>
    <w:rsid w:val="006B094E"/>
    <w:rsid w:val="006F23CE"/>
    <w:rsid w:val="007322DA"/>
    <w:rsid w:val="00752222"/>
    <w:rsid w:val="0078113B"/>
    <w:rsid w:val="00792079"/>
    <w:rsid w:val="00810A6B"/>
    <w:rsid w:val="00834C04"/>
    <w:rsid w:val="00882576"/>
    <w:rsid w:val="00886F2E"/>
    <w:rsid w:val="008B509B"/>
    <w:rsid w:val="008D2348"/>
    <w:rsid w:val="008E6584"/>
    <w:rsid w:val="008F2B8A"/>
    <w:rsid w:val="009A719F"/>
    <w:rsid w:val="009B2312"/>
    <w:rsid w:val="009E63FA"/>
    <w:rsid w:val="00A138AE"/>
    <w:rsid w:val="00A22CE7"/>
    <w:rsid w:val="00AD4E30"/>
    <w:rsid w:val="00AE4A7F"/>
    <w:rsid w:val="00B04D3E"/>
    <w:rsid w:val="00B07CC5"/>
    <w:rsid w:val="00B240CC"/>
    <w:rsid w:val="00B27EE7"/>
    <w:rsid w:val="00B43D46"/>
    <w:rsid w:val="00B6060E"/>
    <w:rsid w:val="00BA06A3"/>
    <w:rsid w:val="00BC6462"/>
    <w:rsid w:val="00C21B9E"/>
    <w:rsid w:val="00C23BAE"/>
    <w:rsid w:val="00C547E3"/>
    <w:rsid w:val="00C6467D"/>
    <w:rsid w:val="00D00473"/>
    <w:rsid w:val="00D02527"/>
    <w:rsid w:val="00D32D86"/>
    <w:rsid w:val="00D63528"/>
    <w:rsid w:val="00D75CBA"/>
    <w:rsid w:val="00D8248F"/>
    <w:rsid w:val="00DB7155"/>
    <w:rsid w:val="00E56036"/>
    <w:rsid w:val="00EE6106"/>
    <w:rsid w:val="00F208BD"/>
    <w:rsid w:val="00F66BC5"/>
    <w:rsid w:val="00F84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68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509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8B509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8B509B"/>
    <w:rPr>
      <w:rFonts w:ascii="Arial" w:eastAsia="Times New Roman" w:hAnsi="Arial" w:cs="Arial"/>
      <w:b/>
      <w:bCs/>
      <w:sz w:val="26"/>
      <w:szCs w:val="26"/>
      <w:lang w:eastAsia="cs-CZ"/>
    </w:rPr>
  </w:style>
  <w:style w:type="paragraph" w:styleId="Zhlav">
    <w:name w:val="header"/>
    <w:basedOn w:val="Normln"/>
    <w:link w:val="ZhlavChar"/>
    <w:uiPriority w:val="99"/>
    <w:rsid w:val="008B509B"/>
    <w:pPr>
      <w:tabs>
        <w:tab w:val="center" w:pos="4536"/>
        <w:tab w:val="right" w:pos="9072"/>
      </w:tabs>
      <w:jc w:val="both"/>
    </w:pPr>
    <w:rPr>
      <w:szCs w:val="20"/>
    </w:rPr>
  </w:style>
  <w:style w:type="character" w:customStyle="1" w:styleId="ZhlavChar">
    <w:name w:val="Záhlaví Char"/>
    <w:basedOn w:val="Standardnpsmoodstavce"/>
    <w:link w:val="Zhlav"/>
    <w:uiPriority w:val="99"/>
    <w:rsid w:val="008B509B"/>
    <w:rPr>
      <w:rFonts w:ascii="Times New Roman" w:eastAsia="Times New Roman" w:hAnsi="Times New Roman" w:cs="Times New Roman"/>
      <w:sz w:val="24"/>
      <w:szCs w:val="20"/>
      <w:lang w:eastAsia="cs-CZ"/>
    </w:rPr>
  </w:style>
  <w:style w:type="paragraph" w:styleId="Zkladntext">
    <w:name w:val="Body Text"/>
    <w:basedOn w:val="Normln"/>
    <w:link w:val="ZkladntextChar"/>
    <w:rsid w:val="008B509B"/>
    <w:pPr>
      <w:jc w:val="both"/>
    </w:pPr>
  </w:style>
  <w:style w:type="character" w:customStyle="1" w:styleId="ZkladntextChar">
    <w:name w:val="Základní text Char"/>
    <w:basedOn w:val="Standardnpsmoodstavce"/>
    <w:link w:val="Zkladntext"/>
    <w:rsid w:val="008B509B"/>
    <w:rPr>
      <w:rFonts w:ascii="Times New Roman" w:eastAsia="Times New Roman" w:hAnsi="Times New Roman" w:cs="Times New Roman"/>
      <w:sz w:val="24"/>
      <w:szCs w:val="24"/>
      <w:lang w:eastAsia="cs-CZ"/>
    </w:rPr>
  </w:style>
  <w:style w:type="character" w:styleId="slostrnky">
    <w:name w:val="page number"/>
    <w:basedOn w:val="Standardnpsmoodstavce"/>
    <w:rsid w:val="008B509B"/>
  </w:style>
  <w:style w:type="paragraph" w:styleId="Zkladntextodsazen">
    <w:name w:val="Body Text Indent"/>
    <w:basedOn w:val="Normln"/>
    <w:link w:val="ZkladntextodsazenChar"/>
    <w:rsid w:val="008B509B"/>
    <w:pPr>
      <w:spacing w:line="360" w:lineRule="auto"/>
      <w:ind w:firstLine="708"/>
    </w:pPr>
    <w:rPr>
      <w:szCs w:val="20"/>
    </w:rPr>
  </w:style>
  <w:style w:type="character" w:customStyle="1" w:styleId="ZkladntextodsazenChar">
    <w:name w:val="Základní text odsazený Char"/>
    <w:basedOn w:val="Standardnpsmoodstavce"/>
    <w:link w:val="Zkladntextodsazen"/>
    <w:rsid w:val="008B509B"/>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8B509B"/>
    <w:pPr>
      <w:spacing w:after="120" w:line="480" w:lineRule="auto"/>
      <w:ind w:left="283"/>
    </w:pPr>
  </w:style>
  <w:style w:type="character" w:customStyle="1" w:styleId="Zkladntextodsazen2Char">
    <w:name w:val="Základní text odsazený 2 Char"/>
    <w:basedOn w:val="Standardnpsmoodstavce"/>
    <w:link w:val="Zkladntextodsazen2"/>
    <w:rsid w:val="008B50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8B509B"/>
    <w:pPr>
      <w:spacing w:after="120"/>
      <w:ind w:left="283"/>
    </w:pPr>
    <w:rPr>
      <w:sz w:val="16"/>
      <w:szCs w:val="16"/>
    </w:rPr>
  </w:style>
  <w:style w:type="character" w:customStyle="1" w:styleId="Zkladntextodsazen3Char">
    <w:name w:val="Základní text odsazený 3 Char"/>
    <w:basedOn w:val="Standardnpsmoodstavce"/>
    <w:link w:val="Zkladntextodsazen3"/>
    <w:rsid w:val="008B509B"/>
    <w:rPr>
      <w:rFonts w:ascii="Times New Roman" w:eastAsia="Times New Roman" w:hAnsi="Times New Roman" w:cs="Times New Roman"/>
      <w:sz w:val="16"/>
      <w:szCs w:val="16"/>
      <w:lang w:eastAsia="cs-CZ"/>
    </w:rPr>
  </w:style>
  <w:style w:type="paragraph" w:customStyle="1" w:styleId="nadpiszkona">
    <w:name w:val="nadpis zákona"/>
    <w:basedOn w:val="Normln"/>
    <w:next w:val="Normln"/>
    <w:rsid w:val="008B509B"/>
    <w:pPr>
      <w:keepNext/>
      <w:keepLines/>
      <w:spacing w:before="120"/>
      <w:jc w:val="center"/>
      <w:outlineLvl w:val="0"/>
    </w:pPr>
    <w:rPr>
      <w:b/>
      <w:szCs w:val="20"/>
    </w:rPr>
  </w:style>
  <w:style w:type="paragraph" w:customStyle="1" w:styleId="Zkladntext21">
    <w:name w:val="Základní text 21"/>
    <w:basedOn w:val="Normln"/>
    <w:rsid w:val="008B509B"/>
    <w:pPr>
      <w:spacing w:before="120" w:after="120" w:line="360" w:lineRule="auto"/>
      <w:jc w:val="both"/>
    </w:pPr>
    <w:rPr>
      <w:szCs w:val="2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qFormat/>
    <w:rsid w:val="008B509B"/>
    <w:pPr>
      <w:ind w:left="720" w:hanging="720"/>
      <w:jc w:val="both"/>
    </w:pPr>
    <w:rPr>
      <w:snapToGrid w:val="0"/>
      <w:sz w:val="20"/>
      <w:szCs w:val="20"/>
      <w:lang w:eastAsia="en-GB"/>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rsid w:val="008B509B"/>
    <w:rPr>
      <w:rFonts w:ascii="Times New Roman" w:eastAsia="Times New Roman" w:hAnsi="Times New Roman" w:cs="Times New Roman"/>
      <w:snapToGrid w:val="0"/>
      <w:sz w:val="20"/>
      <w:szCs w:val="20"/>
      <w:lang w:eastAsia="en-GB"/>
    </w:rPr>
  </w:style>
  <w:style w:type="character" w:styleId="Znakapoznpodarou">
    <w:name w:val="footnote reference"/>
    <w:aliases w:val="BVI fnr,Footnote symbol,Footnote Reference Superscript,Appel note de bas de p,Appel note de bas de page,Légende,Char Car Car Car Car,Voetnootverwijzing,PGI Fußnote Ziffer,Légende;Char Car Car Car Car,Footnote Reference Number"/>
    <w:rsid w:val="008B509B"/>
    <w:rPr>
      <w:vertAlign w:val="superscript"/>
    </w:rPr>
  </w:style>
  <w:style w:type="paragraph" w:styleId="Zpat">
    <w:name w:val="footer"/>
    <w:basedOn w:val="Normln"/>
    <w:link w:val="ZpatChar"/>
    <w:rsid w:val="008B509B"/>
    <w:pPr>
      <w:tabs>
        <w:tab w:val="center" w:pos="4536"/>
        <w:tab w:val="right" w:pos="9072"/>
      </w:tabs>
    </w:pPr>
  </w:style>
  <w:style w:type="character" w:customStyle="1" w:styleId="ZpatChar">
    <w:name w:val="Zápatí Char"/>
    <w:basedOn w:val="Standardnpsmoodstavce"/>
    <w:link w:val="Zpat"/>
    <w:rsid w:val="008B509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B094E"/>
    <w:rPr>
      <w:rFonts w:ascii="Tahoma" w:hAnsi="Tahoma" w:cs="Tahoma"/>
      <w:sz w:val="16"/>
      <w:szCs w:val="16"/>
    </w:rPr>
  </w:style>
  <w:style w:type="character" w:customStyle="1" w:styleId="TextbublinyChar">
    <w:name w:val="Text bubliny Char"/>
    <w:basedOn w:val="Standardnpsmoodstavce"/>
    <w:link w:val="Textbubliny"/>
    <w:uiPriority w:val="99"/>
    <w:semiHidden/>
    <w:rsid w:val="006B094E"/>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E3AA4"/>
    <w:rPr>
      <w:sz w:val="16"/>
      <w:szCs w:val="16"/>
    </w:rPr>
  </w:style>
  <w:style w:type="paragraph" w:styleId="Textkomente">
    <w:name w:val="annotation text"/>
    <w:basedOn w:val="Normln"/>
    <w:link w:val="TextkomenteChar"/>
    <w:uiPriority w:val="99"/>
    <w:semiHidden/>
    <w:unhideWhenUsed/>
    <w:rsid w:val="001E3AA4"/>
    <w:rPr>
      <w:sz w:val="20"/>
      <w:szCs w:val="20"/>
    </w:rPr>
  </w:style>
  <w:style w:type="character" w:customStyle="1" w:styleId="TextkomenteChar">
    <w:name w:val="Text komentáře Char"/>
    <w:basedOn w:val="Standardnpsmoodstavce"/>
    <w:link w:val="Textkomente"/>
    <w:uiPriority w:val="99"/>
    <w:semiHidden/>
    <w:rsid w:val="001E3AA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E3AA4"/>
    <w:rPr>
      <w:b/>
      <w:bCs/>
    </w:rPr>
  </w:style>
  <w:style w:type="character" w:customStyle="1" w:styleId="PedmtkomenteChar">
    <w:name w:val="Předmět komentáře Char"/>
    <w:basedOn w:val="TextkomenteChar"/>
    <w:link w:val="Pedmtkomente"/>
    <w:uiPriority w:val="99"/>
    <w:semiHidden/>
    <w:rsid w:val="001E3AA4"/>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3B4A-2E0B-438E-BE1B-F87616E1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5370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2020-10-08T06:47:00Z</dcterms:created>
  <dcterms:modified xsi:type="dcterms:W3CDTF">2020-10-08T06:47:00Z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