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48" w:rsidRDefault="00F72AB5" w:rsidP="00F72AB5">
      <w:pPr>
        <w:pStyle w:val="Nzev"/>
      </w:pPr>
      <w:r>
        <w:t>Aktuální situace na Ukrajině a její dopady na ČR</w:t>
      </w:r>
    </w:p>
    <w:p w:rsidR="00F72AB5" w:rsidRDefault="00F72AB5" w:rsidP="00A308CB">
      <w:r>
        <w:t xml:space="preserve">Podkladový materiál MPO pro </w:t>
      </w:r>
      <w:r w:rsidRPr="00F72AB5">
        <w:t>mimořádné zasedání Plenární schůze RHSD</w:t>
      </w:r>
      <w:r>
        <w:t> </w:t>
      </w:r>
      <w:r w:rsidRPr="00F72AB5">
        <w:t xml:space="preserve">ČR </w:t>
      </w:r>
      <w:r>
        <w:t xml:space="preserve">dne </w:t>
      </w:r>
      <w:r w:rsidRPr="00F72AB5">
        <w:t>17. března 2022</w:t>
      </w:r>
    </w:p>
    <w:p w:rsidR="00F72AB5" w:rsidRDefault="00F72AB5" w:rsidP="00F72AB5"/>
    <w:p w:rsidR="000979FB" w:rsidRDefault="000979FB" w:rsidP="000979FB">
      <w:pPr>
        <w:pStyle w:val="Nadpis1"/>
      </w:pPr>
      <w:r>
        <w:t>Úvod</w:t>
      </w:r>
    </w:p>
    <w:p w:rsidR="002060AC" w:rsidRDefault="002060AC" w:rsidP="002060AC">
      <w:pPr>
        <w:jc w:val="both"/>
      </w:pPr>
      <w:r>
        <w:t xml:space="preserve">Od čtvrtka 24. února 2022 Rusko vojensky útočí na Ukrajinu. Západ na invazi reaguje sankcemi doposud bezprecedentního rozsahu směřovanými na ruskou a běloruskou ekonomiku. Zároveň vojenskými dodávkami, humanitárně a ekonomicky podporuje Ukrajinu. Česká republika je aktivní jak v rámci Evropské unie, tak i NATO a patří ke státům prosazujícím přísný přístup k agresivnímu chování Ruska. </w:t>
      </w:r>
    </w:p>
    <w:p w:rsidR="00F72AB5" w:rsidRDefault="00F72AB5" w:rsidP="00D05219">
      <w:pPr>
        <w:jc w:val="both"/>
      </w:pPr>
      <w:r>
        <w:t xml:space="preserve">Dopady tohoto konfliktu již teď pociťuje celá Evropa. Na krizi </w:t>
      </w:r>
      <w:proofErr w:type="spellStart"/>
      <w:r>
        <w:t>covidovou</w:t>
      </w:r>
      <w:proofErr w:type="spellEnd"/>
      <w:r>
        <w:t xml:space="preserve"> a následně energetickou navázala krize válečná. Její dopady nejsou citelné pouze v obchodě a energetice, ale lze očekávat, že se negativně promítnou prakticky do všech oblastí hospodářství. Řešení nastalých hospodářských problémů bude vyžadovat i nadále provádění krátkodobých operativních kroků, </w:t>
      </w:r>
      <w:r w:rsidR="00F378DD">
        <w:t>ale</w:t>
      </w:r>
      <w:r>
        <w:t xml:space="preserve"> i přehodnocení</w:t>
      </w:r>
      <w:r w:rsidR="00F378DD">
        <w:t xml:space="preserve"> a vyšší důslednost v provádění střednědobých a dlouhodobých opatření v oblasti hospodářské politiky. </w:t>
      </w:r>
    </w:p>
    <w:p w:rsidR="00F378DD" w:rsidRDefault="00E3240D" w:rsidP="00D05219">
      <w:pPr>
        <w:jc w:val="both"/>
      </w:pPr>
      <w:r>
        <w:t>Tento materiál stručně shrnuje dopady konfliktu a uvádí konkrétní opatření pro jejich řešení.</w:t>
      </w:r>
    </w:p>
    <w:p w:rsidR="00E3240D" w:rsidRDefault="00B90C90" w:rsidP="002060AC">
      <w:pPr>
        <w:pStyle w:val="Nadpis1"/>
      </w:pPr>
      <w:r>
        <w:t>D</w:t>
      </w:r>
      <w:r w:rsidR="000979FB">
        <w:t>opad</w:t>
      </w:r>
      <w:r w:rsidR="00FB7252">
        <w:t>y na ČR</w:t>
      </w:r>
    </w:p>
    <w:p w:rsidR="00E3623A" w:rsidRDefault="000979FB" w:rsidP="00E3623A">
      <w:pPr>
        <w:jc w:val="both"/>
      </w:pPr>
      <w:r>
        <w:t xml:space="preserve">Konflikt na Ukrajině se do české ekonomiky promítne prostřednictvím několika kanálů. </w:t>
      </w:r>
      <w:r w:rsidR="007B7A33">
        <w:t xml:space="preserve">Bezprostřední dopady jsou citelné v oblastech (1) migrace, (2) narušení obchodu, (3) </w:t>
      </w:r>
      <w:r w:rsidR="005B488A">
        <w:t>cenový</w:t>
      </w:r>
      <w:r w:rsidR="00224AE8">
        <w:t>ch</w:t>
      </w:r>
      <w:r w:rsidR="005B488A">
        <w:t xml:space="preserve"> šok</w:t>
      </w:r>
      <w:r w:rsidR="00224AE8">
        <w:t>ů</w:t>
      </w:r>
      <w:r w:rsidR="005B488A">
        <w:t xml:space="preserve">, (4) </w:t>
      </w:r>
      <w:r w:rsidR="00224AE8">
        <w:t xml:space="preserve">investic a úvěrových expozic. </w:t>
      </w:r>
    </w:p>
    <w:p w:rsidR="002400CF" w:rsidRDefault="002400CF" w:rsidP="002400CF">
      <w:pPr>
        <w:pStyle w:val="Nadpis2"/>
      </w:pPr>
      <w:r>
        <w:t>Migrace</w:t>
      </w:r>
    </w:p>
    <w:p w:rsidR="002400CF" w:rsidRDefault="002400CF" w:rsidP="00300345">
      <w:pPr>
        <w:jc w:val="both"/>
      </w:pPr>
      <w:r>
        <w:t xml:space="preserve">Z počátku mířily útoky Rusky pouze na vojenské objekty ukrajinské armády, následně se útoky začaly soustřeďovat i na centra ukrajinských měst, tedy na civilní cíle. To způsobilo hromadný odliv ukrajinského obyvatelstva, na které se nevztahovala branná povinnost, z východu a středu Ukrajiny směrem k ukrajinským hranicím se státy EU. Válka vyhnala ze svých domovů již přes 2 miliony osob, což je z hlediska dynamiky nebývalé tempo, které nemá v Evropě od doby druhé světové války srovnání. Největší primární zátěž v tomto ohledu nese Polsko. </w:t>
      </w:r>
    </w:p>
    <w:p w:rsidR="002400CF" w:rsidRPr="002400CF" w:rsidRDefault="002400CF" w:rsidP="00300345">
      <w:pPr>
        <w:jc w:val="both"/>
      </w:pPr>
      <w:r w:rsidRPr="002400CF">
        <w:t>Dle hodnocení OSN budou nuceny v krátké době odejít další čtyři miliony lidí. Dle rozsahu postupu ruských vojsk může být toto číslo ještě vyšší. V současné době vnější hranici EU každodenně překročí přes 200 tisíc lidí.</w:t>
      </w:r>
    </w:p>
    <w:p w:rsidR="002400CF" w:rsidRDefault="002400CF" w:rsidP="00300345">
      <w:pPr>
        <w:jc w:val="both"/>
      </w:pPr>
      <w:r w:rsidRPr="002400CF">
        <w:t>Nejvíce uprchlíků dosud vstoupilo do Polska (cca 1,2 mil.), Rumunska (cca 500 000), Maďarska (cca 200 000) a Slovenska (cca 150 000 osob). V Polsku cca 80 % lidí zůstává. Z ostatních hraničních zemí většina však odchází do dalších zemí – v případě Slovenska odchází 94 % lidí (především do ČR), obdobně v menší míře i z Maďarska a Rumunska.</w:t>
      </w:r>
    </w:p>
    <w:p w:rsidR="009E6D6B" w:rsidRDefault="009E6D6B" w:rsidP="00300345">
      <w:pPr>
        <w:jc w:val="both"/>
      </w:pPr>
      <w:r w:rsidRPr="009E6D6B">
        <w:t xml:space="preserve">Od počátku konfliktu do ČR dorazilo odhadem již </w:t>
      </w:r>
      <w:r w:rsidR="00561439">
        <w:t xml:space="preserve">přes </w:t>
      </w:r>
      <w:r w:rsidRPr="009E6D6B">
        <w:t>2</w:t>
      </w:r>
      <w:r w:rsidR="00561439">
        <w:t>7</w:t>
      </w:r>
      <w:r w:rsidRPr="009E6D6B">
        <w:t>0 tisíc ukrajinských uprchlíků, téměř polovinu z nich tvoří děti, mezi dospělými osobami je velká převaha žen. Každý den do ČR do Krajských asistenčních center pomoci Ukrajině dorazí přes 10 tisíc osob. Z důvodu velké diaspory, která odpovídá cca 2 % české populace, lze očekávat, že většina osob bude chtít v rámci ČR zůstat.</w:t>
      </w:r>
    </w:p>
    <w:p w:rsidR="00A9478E" w:rsidRDefault="00A9478E" w:rsidP="00300345">
      <w:pPr>
        <w:jc w:val="both"/>
      </w:pPr>
      <w:r>
        <w:t xml:space="preserve">Opačným způsobem působí odchod v ČR dosud pracujících ukrajinských pracovníků zpět do vlasti. Jedná se zejména o muže, kteří se vrací v souvislosti se všeobecnou </w:t>
      </w:r>
      <w:proofErr w:type="spellStart"/>
      <w:r>
        <w:t>mobilisací</w:t>
      </w:r>
      <w:proofErr w:type="spellEnd"/>
      <w:r>
        <w:t xml:space="preserve"> na Ukrajině. Mezi odchody nejvíce zasažení ekonomická odvětví patří stavebnictví a doprava. </w:t>
      </w:r>
    </w:p>
    <w:p w:rsidR="00F51BC8" w:rsidRPr="00300345" w:rsidRDefault="00F51BC8" w:rsidP="00300345">
      <w:pPr>
        <w:tabs>
          <w:tab w:val="num" w:pos="720"/>
        </w:tabs>
        <w:spacing w:line="256" w:lineRule="auto"/>
        <w:jc w:val="both"/>
        <w:rPr>
          <w:rFonts w:ascii="Calibri" w:eastAsia="Calibri" w:hAnsi="Calibri" w:cs="Calibri"/>
        </w:rPr>
      </w:pPr>
      <w:r w:rsidRPr="00D8252C">
        <w:rPr>
          <w:rFonts w:ascii="Calibri" w:eastAsia="Calibri" w:hAnsi="Calibri" w:cs="Calibri"/>
        </w:rPr>
        <w:t>S cílem zvládnout velký nápor ukrajinských uprchlíků byla</w:t>
      </w:r>
      <w:r w:rsidRPr="00300345">
        <w:rPr>
          <w:rFonts w:ascii="Calibri" w:eastAsia="Calibri" w:hAnsi="Calibri" w:cs="Calibri"/>
        </w:rPr>
        <w:t xml:space="preserve"> v každém kraji zřízena Krajská asistenční centra pomoci Ukrajině (KACPU), která příchozím poskytují komplexní asistenci. </w:t>
      </w:r>
    </w:p>
    <w:p w:rsidR="00F51BC8" w:rsidRPr="00300345" w:rsidRDefault="00F51BC8" w:rsidP="00F51BC8">
      <w:pPr>
        <w:tabs>
          <w:tab w:val="num" w:pos="720"/>
        </w:tabs>
        <w:spacing w:line="256" w:lineRule="auto"/>
        <w:jc w:val="both"/>
        <w:rPr>
          <w:rFonts w:ascii="Calibri" w:eastAsia="Calibri" w:hAnsi="Calibri" w:cs="Calibri"/>
        </w:rPr>
      </w:pPr>
      <w:r w:rsidRPr="00300345">
        <w:rPr>
          <w:rFonts w:ascii="Calibri" w:eastAsia="Calibri" w:hAnsi="Calibri" w:cs="Calibri"/>
        </w:rPr>
        <w:t xml:space="preserve">Centra jsou provozována ve spolupráci krajů a Hasičského záchranného sboru, na jejich chodu se podílí i další orgány státní správy (policie, MV). Jsou koordinována Národním asistenčním centrem pomoci Ukrajině. </w:t>
      </w:r>
      <w:r w:rsidRPr="00300345">
        <w:rPr>
          <w:rFonts w:ascii="Calibri" w:eastAsia="Calibri" w:hAnsi="Calibri" w:cs="Calibri"/>
        </w:rPr>
        <w:lastRenderedPageBreak/>
        <w:t>NACPU je složeno ze zástupců Hasičského záchranného sboru ČR, odboru azylové a migrační politiky MV, Správy uprchlických zařízení MV, Policie ČR, Ministerstva zahraničních věcí, Ministerstva dopravy, Správy státních hmotných rezerv, Ministerstva práce a sociálních věcí a dalších subjektů.</w:t>
      </w:r>
      <w:r w:rsidRPr="00300345">
        <w:rPr>
          <w:rFonts w:ascii="Calibri" w:hAnsi="Calibri" w:cs="Calibri"/>
        </w:rPr>
        <w:t xml:space="preserve"> </w:t>
      </w:r>
      <w:r w:rsidRPr="00300345">
        <w:rPr>
          <w:rFonts w:ascii="Calibri" w:eastAsia="Calibri" w:hAnsi="Calibri" w:cs="Calibri"/>
        </w:rPr>
        <w:t>Z důvodu velké diaspory, která odpovídá cca 2 % české populace, lze očekávat, že většina osob bude chtít v rámci ČR zůstat.</w:t>
      </w:r>
    </w:p>
    <w:p w:rsidR="00F51BC8" w:rsidRPr="00300345" w:rsidRDefault="00F51BC8" w:rsidP="00F51BC8">
      <w:pPr>
        <w:spacing w:line="256" w:lineRule="auto"/>
        <w:jc w:val="both"/>
        <w:rPr>
          <w:rFonts w:ascii="Calibri" w:eastAsia="Calibri" w:hAnsi="Calibri" w:cs="Calibri"/>
        </w:rPr>
      </w:pPr>
      <w:r w:rsidRPr="00300345">
        <w:rPr>
          <w:rFonts w:ascii="Calibri" w:eastAsia="Calibri" w:hAnsi="Calibri" w:cs="Calibri"/>
          <w:iCs/>
        </w:rPr>
        <w:t xml:space="preserve">Jednotlivé KACPU zajišťují především vyřízení speciálního dlouhodobého víza OAMP MV a lustraci Policií ČR, registraci do zdravotního pojištění, sběr požadavků na ubytování a jeho následné zajištění (včetně dopravy), sběr specifických požadavků (medikace, asistenční služby, péče o nezletilé děti., poskytování informační podpory, dále poskytuje psychosociální </w:t>
      </w:r>
      <w:proofErr w:type="spellStart"/>
      <w:r w:rsidRPr="00300345">
        <w:rPr>
          <w:rFonts w:ascii="Calibri" w:eastAsia="Calibri" w:hAnsi="Calibri" w:cs="Calibri"/>
          <w:iCs/>
        </w:rPr>
        <w:t>screening</w:t>
      </w:r>
      <w:proofErr w:type="spellEnd"/>
      <w:r w:rsidRPr="00300345">
        <w:rPr>
          <w:rFonts w:ascii="Calibri" w:eastAsia="Calibri" w:hAnsi="Calibri" w:cs="Calibri"/>
          <w:iCs/>
        </w:rPr>
        <w:t xml:space="preserve">, tlumočení a humanitární pomoc. Ve spolupráci s Úřady práce je zajišťována finanční pomoc a předávány informace k možnosti zaměstnání. </w:t>
      </w:r>
      <w:r w:rsidRPr="00300345">
        <w:rPr>
          <w:rFonts w:ascii="Calibri" w:eastAsia="Calibri" w:hAnsi="Calibri" w:cs="Calibri"/>
        </w:rPr>
        <w:t xml:space="preserve">Ukrajinským uprchlíkům je vydáváno speciální vízum za účelem strpění na dobu platnosti 1 rok. </w:t>
      </w:r>
    </w:p>
    <w:p w:rsidR="00F51BC8" w:rsidRPr="00300345" w:rsidRDefault="00F51BC8" w:rsidP="00F51BC8">
      <w:pPr>
        <w:spacing w:line="256" w:lineRule="auto"/>
        <w:jc w:val="both"/>
        <w:rPr>
          <w:rFonts w:ascii="Calibri" w:eastAsia="Calibri" w:hAnsi="Calibri" w:cs="Calibri"/>
        </w:rPr>
      </w:pPr>
      <w:r w:rsidRPr="002060AC">
        <w:rPr>
          <w:rFonts w:ascii="Calibri" w:eastAsia="Calibri" w:hAnsi="Calibri" w:cs="Calibri"/>
          <w:b/>
        </w:rPr>
        <w:t>Vláda schválila souhrn komplexnějších opatření – tzv. lex Ukrajina</w:t>
      </w:r>
      <w:r w:rsidRPr="00300345">
        <w:rPr>
          <w:rFonts w:ascii="Calibri" w:eastAsia="Calibri" w:hAnsi="Calibri" w:cs="Calibri"/>
        </w:rPr>
        <w:t xml:space="preserve">, který připravily rezorty – MV, MPSV, </w:t>
      </w:r>
      <w:proofErr w:type="spellStart"/>
      <w:r w:rsidRPr="00300345">
        <w:rPr>
          <w:rFonts w:ascii="Calibri" w:eastAsia="Calibri" w:hAnsi="Calibri" w:cs="Calibri"/>
        </w:rPr>
        <w:t>MZd</w:t>
      </w:r>
      <w:proofErr w:type="spellEnd"/>
      <w:r w:rsidRPr="00300345">
        <w:rPr>
          <w:rFonts w:ascii="Calibri" w:eastAsia="Calibri" w:hAnsi="Calibri" w:cs="Calibri"/>
        </w:rPr>
        <w:t xml:space="preserve"> a MŠMT (vládní návrh zákona o opatřeních v oblasti zaměstnanosti a oblasti sociálního zabezpečení v souvislosti s ozbrojeným konfliktem na území Ukrajiny </w:t>
      </w:r>
      <w:proofErr w:type="gramStart"/>
      <w:r w:rsidRPr="00300345">
        <w:rPr>
          <w:rFonts w:ascii="Calibri" w:eastAsia="Calibri" w:hAnsi="Calibri" w:cs="Calibri"/>
        </w:rPr>
        <w:t>vyvolaným</w:t>
      </w:r>
      <w:proofErr w:type="gramEnd"/>
      <w:r w:rsidRPr="00300345">
        <w:rPr>
          <w:rFonts w:ascii="Calibri" w:eastAsia="Calibri" w:hAnsi="Calibri" w:cs="Calibri"/>
        </w:rPr>
        <w:t xml:space="preserve"> invazí vojsk Ruské federace – tj. rychlé zapojení do pracovního procesu, zapojení dětí do dětských skupin, škol, ochrana dětí, sociální služby, humanitární pomoc…). Pro urychlené projednání legislativních návrhů byl vládou vyhlášen stav legislativní nouze.</w:t>
      </w:r>
    </w:p>
    <w:p w:rsidR="00F51BC8" w:rsidRPr="00300345" w:rsidRDefault="00F51BC8" w:rsidP="00F51BC8">
      <w:pPr>
        <w:spacing w:line="256" w:lineRule="auto"/>
        <w:jc w:val="both"/>
        <w:rPr>
          <w:rFonts w:ascii="Calibri" w:eastAsia="Calibri" w:hAnsi="Calibri" w:cs="Calibri"/>
        </w:rPr>
      </w:pPr>
      <w:r w:rsidRPr="00300345">
        <w:rPr>
          <w:rFonts w:ascii="Calibri" w:eastAsia="Calibri" w:hAnsi="Calibri" w:cs="Calibri"/>
        </w:rPr>
        <w:t xml:space="preserve">Dalším nástrojem je </w:t>
      </w:r>
      <w:r w:rsidRPr="002060AC">
        <w:rPr>
          <w:rFonts w:ascii="Calibri" w:eastAsia="Calibri" w:hAnsi="Calibri" w:cs="Calibri"/>
          <w:b/>
        </w:rPr>
        <w:t>vyhlášený nouzový stav</w:t>
      </w:r>
      <w:r w:rsidRPr="00300345">
        <w:rPr>
          <w:rFonts w:ascii="Calibri" w:eastAsia="Calibri" w:hAnsi="Calibri" w:cs="Calibri"/>
        </w:rPr>
        <w:t xml:space="preserve">, který umožňuje pomocí krizových opatření vlády pružně reagovat na vyvíjející se situaci. V současné době se připravuje krizové opatření směřující k zajištění dalších ubytovacích kapacit v krajích, a to včetně tzv. nouzového ubytování. </w:t>
      </w:r>
      <w:r w:rsidRPr="002060AC">
        <w:rPr>
          <w:b/>
        </w:rPr>
        <w:t>Určité formy pevných umístěnek do jednotlivých krajů budou nutné</w:t>
      </w:r>
      <w:r w:rsidRPr="00300345">
        <w:t>. Současně s</w:t>
      </w:r>
      <w:r w:rsidRPr="00300345">
        <w:rPr>
          <w:rFonts w:ascii="Calibri" w:eastAsia="Calibri" w:hAnsi="Calibri" w:cs="Calibri"/>
        </w:rPr>
        <w:t xml:space="preserve">tátní instituce budou muset dát k dispozici státní ubytovací zařízení, která ještě nejsou plně využita, bude se rovněž motivovat ubytovávání doma. Výše finanční podpory soukromého sektoru k tomuto účelu je stále ještě diskutována. Opatření obsažené v krizových plánech byly nastaveny na přijetí až 250 000 uprchlíků, což dopovídá 2,5 % obyvatel ČR. S ohledem na to, že těchto osob bude mnohem víc, vláda požádala o podporu v rámci EU (např. poskytnutí modulárních základen). </w:t>
      </w:r>
    </w:p>
    <w:p w:rsidR="00F51BC8" w:rsidRPr="00300345" w:rsidRDefault="00F51BC8" w:rsidP="00F51BC8">
      <w:pPr>
        <w:jc w:val="both"/>
        <w:rPr>
          <w:rFonts w:ascii="Calibri" w:eastAsia="Calibri" w:hAnsi="Calibri" w:cs="Calibri"/>
          <w:i/>
          <w:iCs/>
        </w:rPr>
      </w:pPr>
      <w:r w:rsidRPr="002060AC">
        <w:rPr>
          <w:rFonts w:ascii="Calibri" w:eastAsia="Calibri" w:hAnsi="Calibri" w:cs="Calibri"/>
          <w:b/>
        </w:rPr>
        <w:t xml:space="preserve">ČR již více než dvě dekády </w:t>
      </w:r>
      <w:r w:rsidRPr="002060AC">
        <w:rPr>
          <w:rFonts w:ascii="Calibri" w:eastAsia="Calibri" w:hAnsi="Calibri" w:cs="Calibri"/>
          <w:b/>
          <w:bCs/>
        </w:rPr>
        <w:t>buduje integrační politiku</w:t>
      </w:r>
      <w:r w:rsidRPr="00300345">
        <w:rPr>
          <w:rFonts w:ascii="Calibri" w:eastAsia="Calibri" w:hAnsi="Calibri" w:cs="Calibri"/>
        </w:rPr>
        <w:t xml:space="preserve"> v současnosti opřenou především o 18 </w:t>
      </w:r>
      <w:r w:rsidRPr="00300345">
        <w:rPr>
          <w:rFonts w:ascii="Calibri" w:eastAsia="Calibri" w:hAnsi="Calibri" w:cs="Calibri"/>
          <w:bCs/>
        </w:rPr>
        <w:t>Center na podporu integrace cizinců</w:t>
      </w:r>
      <w:r w:rsidRPr="00300345">
        <w:rPr>
          <w:rFonts w:ascii="Calibri" w:eastAsia="Calibri" w:hAnsi="Calibri" w:cs="Calibri"/>
        </w:rPr>
        <w:t xml:space="preserve"> a silný sektor nestátních neziskových organizací, které se zaměřují na pomoc cizincům. Praha a Brno již mají své vlastní koncepce integrace cizinců a podporovány jsou dlouhodobě i projekty obcí na podporu integrace cizinců na lokální úrovni. Připravuje se využití současné funkční struktury a její zásadní posílení novými dotačními tituly. </w:t>
      </w:r>
    </w:p>
    <w:p w:rsidR="00A9478E" w:rsidRPr="002060AC" w:rsidRDefault="00A9478E" w:rsidP="002400CF">
      <w:pPr>
        <w:jc w:val="both"/>
        <w:rPr>
          <w:b/>
        </w:rPr>
      </w:pPr>
      <w:r w:rsidRPr="002060AC">
        <w:rPr>
          <w:b/>
        </w:rPr>
        <w:t xml:space="preserve">Migrační vlna bude mít přímé </w:t>
      </w:r>
      <w:r w:rsidR="00A308CB" w:rsidRPr="002060AC">
        <w:rPr>
          <w:b/>
        </w:rPr>
        <w:t xml:space="preserve">bezprostřední </w:t>
      </w:r>
      <w:r w:rsidRPr="002060AC">
        <w:rPr>
          <w:b/>
        </w:rPr>
        <w:t>dopady do sociáln</w:t>
      </w:r>
      <w:r w:rsidR="00F51BC8" w:rsidRPr="002060AC">
        <w:rPr>
          <w:b/>
        </w:rPr>
        <w:t>ího a pracovního</w:t>
      </w:r>
      <w:r w:rsidRPr="002060AC">
        <w:rPr>
          <w:b/>
        </w:rPr>
        <w:t xml:space="preserve">, zdravotního a vzdělávacího systému. </w:t>
      </w:r>
    </w:p>
    <w:p w:rsidR="00A308CB" w:rsidRDefault="00D54CE9" w:rsidP="002400CF">
      <w:pPr>
        <w:jc w:val="both"/>
      </w:pPr>
      <w:r>
        <w:t>Česká republika stejně jako další s</w:t>
      </w:r>
      <w:r w:rsidRPr="007F6BE0">
        <w:rPr>
          <w:b/>
        </w:rPr>
        <w:t>táty EU poskytují migrantům tzv. dočasnou ochranu</w:t>
      </w:r>
      <w:r>
        <w:t xml:space="preserve">. </w:t>
      </w:r>
      <w:r w:rsidR="00561439" w:rsidRPr="00561439">
        <w:t xml:space="preserve">Ministerstvo práce a sociálních věcí </w:t>
      </w:r>
      <w:r w:rsidR="00561439">
        <w:t xml:space="preserve">předložilo </w:t>
      </w:r>
      <w:r w:rsidR="00561439" w:rsidRPr="00561439">
        <w:t xml:space="preserve">návrh na zavedení tzv. </w:t>
      </w:r>
      <w:r w:rsidR="00561439" w:rsidRPr="007F6BE0">
        <w:rPr>
          <w:b/>
        </w:rPr>
        <w:t>humanitární dávky</w:t>
      </w:r>
      <w:r w:rsidR="00561439" w:rsidRPr="00561439">
        <w:t xml:space="preserve">, která je určena pro ukrajinské státní příslušníky v nouzi. Pomoc ve výši 5 000 korun </w:t>
      </w:r>
      <w:r w:rsidR="00561439">
        <w:t>je poskytována</w:t>
      </w:r>
      <w:r w:rsidR="00561439" w:rsidRPr="00561439">
        <w:t xml:space="preserve"> všem uprchlíkům z Ukrajiny. Dávka je určena pro úhrad</w:t>
      </w:r>
      <w:r w:rsidR="00561439">
        <w:t>u</w:t>
      </w:r>
      <w:r w:rsidR="00561439" w:rsidRPr="00561439">
        <w:t xml:space="preserve"> základních životních potřeb. Zásadní novinkou je také </w:t>
      </w:r>
      <w:r w:rsidR="00561439" w:rsidRPr="007F6BE0">
        <w:rPr>
          <w:b/>
        </w:rPr>
        <w:t>volný vstup na trh práce</w:t>
      </w:r>
      <w:r w:rsidR="00561439" w:rsidRPr="00561439">
        <w:t xml:space="preserve"> pro držitele speciálních víz vydávaných Ministerstvem vnitra. Upravit by se v souvislosti s příchodem uprchlíků z Ukrajiny měl také zákon o dětských skupinách. Návrh legislativní úpravy schválila vláda, musí ji ještě projednat parlament.</w:t>
      </w:r>
      <w:r w:rsidR="00561439">
        <w:t xml:space="preserve"> </w:t>
      </w:r>
    </w:p>
    <w:p w:rsidR="002D45F9" w:rsidRDefault="00D03A58" w:rsidP="002D45F9">
      <w:pPr>
        <w:jc w:val="both"/>
      </w:pPr>
      <w:r>
        <w:t xml:space="preserve">Přestože je na </w:t>
      </w:r>
      <w:r w:rsidRPr="007F6BE0">
        <w:rPr>
          <w:b/>
        </w:rPr>
        <w:t>pracovních úřadech evidováno okolo 370 tis. volných pracovních míst</w:t>
      </w:r>
      <w:r>
        <w:t xml:space="preserve">, lze předpokládat, že </w:t>
      </w:r>
      <w:r w:rsidRPr="007F6BE0">
        <w:rPr>
          <w:b/>
        </w:rPr>
        <w:t>struktura poptávky a nabídky práce bude překážkou pro rychlou integraci uprchlíků</w:t>
      </w:r>
      <w:r>
        <w:t xml:space="preserve">. </w:t>
      </w:r>
      <w:r w:rsidR="002D45F9">
        <w:t>U zhruba 74,7 % volných pracovních míst zaměstnavatelé poptávají uchazeče se základním či nižším vzděláním, 72,8 % pak tvoří volná místa vhodná i pro cizince. Pracovníci dnes již chybí ve všech sektorech ekonomiky, zaměstnavatelé projevují zájem o dělníky výstavby budov, obsluhu vysokozdvižných vozíků, montážní dělníky, pomocníky ve výrobě nebo řidiče nákladních automobilů, uklízeče a zedníky. Nejvyšší poptávka po nových zaměstnancích je v Praze (91 tis. míst) a ve Středočeském kraji (67 tis. míst).</w:t>
      </w:r>
      <w:r w:rsidR="00B57CA2">
        <w:t xml:space="preserve"> </w:t>
      </w:r>
      <w:r w:rsidR="002D45F9" w:rsidRPr="007F6BE0">
        <w:rPr>
          <w:b/>
        </w:rPr>
        <w:t xml:space="preserve">V současné době </w:t>
      </w:r>
      <w:r w:rsidR="00B57CA2" w:rsidRPr="007F6BE0">
        <w:rPr>
          <w:b/>
        </w:rPr>
        <w:t>úřady práce</w:t>
      </w:r>
      <w:r w:rsidR="002D45F9" w:rsidRPr="007F6BE0">
        <w:rPr>
          <w:b/>
        </w:rPr>
        <w:t xml:space="preserve"> eviduj</w:t>
      </w:r>
      <w:r w:rsidR="00B57CA2" w:rsidRPr="007F6BE0">
        <w:rPr>
          <w:b/>
        </w:rPr>
        <w:t>í</w:t>
      </w:r>
      <w:r w:rsidR="002D45F9" w:rsidRPr="007F6BE0">
        <w:rPr>
          <w:b/>
        </w:rPr>
        <w:t xml:space="preserve"> zhruba 15 tis. volných pracovních pozic pro uprchlíky a nabídka se rozrůstá.</w:t>
      </w:r>
      <w:r w:rsidR="002D45F9">
        <w:t xml:space="preserve"> Je třeba si ale uvědomit, že do ČR přicházejí především </w:t>
      </w:r>
      <w:r w:rsidR="002D45F9" w:rsidRPr="007F6BE0">
        <w:rPr>
          <w:b/>
        </w:rPr>
        <w:t xml:space="preserve">matky s dětmi </w:t>
      </w:r>
      <w:r w:rsidR="002D45F9">
        <w:t xml:space="preserve">a v první řadě se zajímají o to, jak se o ně postarat a kde se ubytovat. Předpokládá se, že by se mohly uplatnit zejména sociálních a zdravotnických službách, </w:t>
      </w:r>
      <w:r w:rsidR="002D45F9">
        <w:lastRenderedPageBreak/>
        <w:t xml:space="preserve">obchodě apod. </w:t>
      </w:r>
      <w:r w:rsidR="007F6BE0">
        <w:t>Ukrajinské ženy by mohly být dočasně s výjimkou uplatněny také ve vzdělávacím systému, od školek až po druhý stupeň ZŠ, případně v rámci středních škol.</w:t>
      </w:r>
    </w:p>
    <w:p w:rsidR="002D45F9" w:rsidRDefault="002D45F9" w:rsidP="002D45F9">
      <w:pPr>
        <w:jc w:val="both"/>
      </w:pPr>
      <w:r>
        <w:t>Zdravotní pojištění mohou v ČR získat ti, kteří mají vízum o strpění. Situace je v současnosti zvládnutelná a není ohrožena dostupnost zdravotní péče pro české pojištěnce. Nejvíce uprchlíků eviduje pojišťovna v Praze, zhruba 39</w:t>
      </w:r>
      <w:r w:rsidR="00B57CA2">
        <w:t xml:space="preserve"> </w:t>
      </w:r>
      <w:r>
        <w:t>tis. Doba platnosti zdravotního pojištění je shodná s platností uděleného víza, většinou je stanovená na jeden rok. Pokud uprchlíci nemají v Česku zaměstnání, pojistné za ně bude hradit stát. Primární péče by měla být přesměrována zejména do nemocnic. Bude nutné provézt proočkování (TBC, černý kašel, spalničky), sledovat HIV pozitivitu a další.</w:t>
      </w:r>
    </w:p>
    <w:p w:rsidR="002D45F9" w:rsidRDefault="002D45F9" w:rsidP="002D45F9">
      <w:pPr>
        <w:jc w:val="both"/>
      </w:pPr>
      <w:r>
        <w:t>Z dospělých jde zejména o ženy ve věku 20-40 let, lidí nad 60 let je malé množství. VZP je připravená v rámci svých rezerv krýt veškeré náklady spojené s péči o ukrajinské uprchlíky.  Náklady veřejného zdravotního pojištění na péči o Ukrajince budou srovnatelné s průměrnými náklady na péči o českého občana, šlo by asi o jednu až 1,5 miliardy korun za rok na 100</w:t>
      </w:r>
      <w:r w:rsidR="00B57CA2">
        <w:t xml:space="preserve"> </w:t>
      </w:r>
      <w:r>
        <w:t xml:space="preserve">tis. </w:t>
      </w:r>
      <w:r w:rsidR="00B57CA2">
        <w:t>uprchlíků</w:t>
      </w:r>
      <w:r>
        <w:t>.</w:t>
      </w:r>
    </w:p>
    <w:p w:rsidR="00B57CA2" w:rsidRDefault="00F51BC8" w:rsidP="00F51BC8">
      <w:pPr>
        <w:jc w:val="both"/>
      </w:pPr>
      <w:r>
        <w:t xml:space="preserve">Povinná školní docházka se vztahuje na cizince, kteří mají v ČR právo pobývat na dobu delší než 90 dnů (ať už se jedná o azyl, vízum za účelem strpění pobytu nebo za účelem dočasné ochrany nebo jiný právní titul). ČR má již nyní komplexní systém podpory vzdělávání dětí s odlišným mateřským jazykem ukotven. </w:t>
      </w:r>
    </w:p>
    <w:p w:rsidR="00F51BC8" w:rsidRDefault="00F51BC8" w:rsidP="00F51BC8">
      <w:pPr>
        <w:jc w:val="both"/>
      </w:pPr>
      <w:r w:rsidRPr="007F6BE0">
        <w:rPr>
          <w:b/>
        </w:rPr>
        <w:t xml:space="preserve">Lex Ukrajina umožní v období březen–srpen 2022 přechodný režim péče o ukrajinské děti </w:t>
      </w:r>
      <w:r>
        <w:t>v následujících variantách:</w:t>
      </w:r>
    </w:p>
    <w:p w:rsidR="00F51BC8" w:rsidRDefault="00F51BC8" w:rsidP="00300345">
      <w:pPr>
        <w:pStyle w:val="Odstavecseseznamem"/>
        <w:numPr>
          <w:ilvl w:val="0"/>
          <w:numId w:val="39"/>
        </w:numPr>
        <w:jc w:val="both"/>
      </w:pPr>
      <w:r>
        <w:t>zařazení do „adaptačních skupin“ mimo školu (města, obce, NNO, mateřská centra…)</w:t>
      </w:r>
    </w:p>
    <w:p w:rsidR="00F51BC8" w:rsidRDefault="00F51BC8" w:rsidP="00300345">
      <w:pPr>
        <w:pStyle w:val="Odstavecseseznamem"/>
        <w:numPr>
          <w:ilvl w:val="0"/>
          <w:numId w:val="39"/>
        </w:numPr>
        <w:jc w:val="both"/>
      </w:pPr>
      <w:r>
        <w:t>zařazení do ukrajinských jednotřídek v rámci projektu Nadace děti Ukrajiny a ukrajinské ambasády</w:t>
      </w:r>
    </w:p>
    <w:p w:rsidR="00F51BC8" w:rsidRDefault="00300345" w:rsidP="00300345">
      <w:pPr>
        <w:pStyle w:val="Odstavecseseznamem"/>
        <w:numPr>
          <w:ilvl w:val="0"/>
          <w:numId w:val="39"/>
        </w:numPr>
        <w:jc w:val="both"/>
      </w:pPr>
      <w:r>
        <w:t>z</w:t>
      </w:r>
      <w:r w:rsidR="00F51BC8">
        <w:t>ařazení do běžných tříd ZŠ, MŠ dle kapacit konkrétní školy</w:t>
      </w:r>
    </w:p>
    <w:p w:rsidR="00F51BC8" w:rsidRDefault="00F51BC8" w:rsidP="00300345">
      <w:pPr>
        <w:pStyle w:val="Odstavecseseznamem"/>
        <w:numPr>
          <w:ilvl w:val="0"/>
          <w:numId w:val="39"/>
        </w:numPr>
        <w:jc w:val="both"/>
      </w:pPr>
      <w:r>
        <w:t>vznik homogenních ukrajinských tříd v českých školách s možností ukrajinských pedagogů a dočasné změny vzdělávacího programu</w:t>
      </w:r>
    </w:p>
    <w:p w:rsidR="00F51BC8" w:rsidRDefault="00F51BC8" w:rsidP="00300345">
      <w:pPr>
        <w:pStyle w:val="Odstavecseseznamem"/>
        <w:numPr>
          <w:ilvl w:val="0"/>
          <w:numId w:val="39"/>
        </w:numPr>
        <w:jc w:val="both"/>
      </w:pPr>
      <w:r>
        <w:t>možnost flexibilního navýšení kapacit bez dokládání stanoviska hygieny a stavebního úřadu</w:t>
      </w:r>
    </w:p>
    <w:p w:rsidR="00F51BC8" w:rsidRDefault="00F51BC8" w:rsidP="00F51BC8">
      <w:pPr>
        <w:jc w:val="both"/>
      </w:pPr>
      <w:r>
        <w:t xml:space="preserve">Od září 2022 se předpokládá plnění povinné školní docházky a zapojení do standardního režimu vzdělávání dle českého vzdělávacího programu. </w:t>
      </w:r>
    </w:p>
    <w:p w:rsidR="00D05219" w:rsidRDefault="00F51BC8" w:rsidP="00D05219">
      <w:pPr>
        <w:jc w:val="both"/>
      </w:pPr>
      <w:r w:rsidRPr="007F6BE0">
        <w:rPr>
          <w:b/>
        </w:rPr>
        <w:t>Školství se potýká s kapacitními problémy</w:t>
      </w:r>
      <w:r w:rsidR="00D05219">
        <w:t xml:space="preserve">, neboť formální kapacity neodpovídají vždy skutečnosti a kapacity ve školách nekorespondují s preferovaným místem pobytu Ukrajinců. </w:t>
      </w:r>
      <w:r w:rsidR="00D05219" w:rsidRPr="007F6BE0">
        <w:rPr>
          <w:b/>
        </w:rPr>
        <w:t>Možnosti navyšování kapacit jsou</w:t>
      </w:r>
      <w:r w:rsidR="00D05219">
        <w:t xml:space="preserve">: využití odborných učeben budovaných z evropských dotací nově jako kmenových – přislíbena výjimka Evropské komise; využití prostor dosud sloužících pro neformální vzdělávání – domy dětí a mládeže, základní umělecké školy, knihovny, volnočasová a kulturní centra; úpravy dalších prostor, které by v dočasném režimu mohly sloužit jako třídy. </w:t>
      </w:r>
    </w:p>
    <w:p w:rsidR="00D03A58" w:rsidRDefault="00786CE0" w:rsidP="00786CE0">
      <w:pPr>
        <w:pStyle w:val="Nadpis2"/>
      </w:pPr>
      <w:r>
        <w:t>Narušení obchodu</w:t>
      </w:r>
    </w:p>
    <w:p w:rsidR="00786CE0" w:rsidRDefault="009373EF" w:rsidP="002D45F9">
      <w:pPr>
        <w:jc w:val="both"/>
      </w:pPr>
      <w:r w:rsidRPr="007F6BE0">
        <w:rPr>
          <w:b/>
        </w:rPr>
        <w:t xml:space="preserve">Válečný konflikt a </w:t>
      </w:r>
      <w:r w:rsidR="002D45F9" w:rsidRPr="007F6BE0">
        <w:rPr>
          <w:b/>
        </w:rPr>
        <w:t>uvalené sankce mají zásadní dopad na tok zboží, ale i služeb, nejen mezi Ruskem, Běloruskem, Ukrajinou a Evropou</w:t>
      </w:r>
      <w:r w:rsidR="002D45F9">
        <w:t xml:space="preserve">, ale skrze váznoucí dodávky meziproduktů brzdí nebo zastavují další navazující procesy. </w:t>
      </w:r>
    </w:p>
    <w:p w:rsidR="002D45F9" w:rsidRDefault="002D45F9" w:rsidP="002D45F9">
      <w:pPr>
        <w:pStyle w:val="Nadpis3"/>
      </w:pPr>
      <w:r>
        <w:t>Přímý obchod</w:t>
      </w:r>
      <w:r w:rsidR="00E831CB">
        <w:t xml:space="preserve"> a dovozní závislost</w:t>
      </w:r>
    </w:p>
    <w:p w:rsidR="00FB1654" w:rsidRDefault="002D45F9" w:rsidP="002D45F9">
      <w:pPr>
        <w:jc w:val="both"/>
      </w:pPr>
      <w:r>
        <w:t xml:space="preserve">Hodnota </w:t>
      </w:r>
      <w:r w:rsidRPr="007F6BE0">
        <w:rPr>
          <w:b/>
        </w:rPr>
        <w:t>vývozu z ČR do Ruské federace v r. 2021</w:t>
      </w:r>
      <w:r>
        <w:t xml:space="preserve"> měla hodnotu </w:t>
      </w:r>
      <w:r w:rsidRPr="007F6BE0">
        <w:rPr>
          <w:b/>
        </w:rPr>
        <w:t>93,6 mld. CZK</w:t>
      </w:r>
      <w:r>
        <w:t xml:space="preserve">. V exportní relaci zaujímá RF pro ČR místo 2. nejvýznamnější destinace mimo EU. V hodnotě obratu je RF pro ČR 11. nejvýznamnějším obchodním partnerem. V rámci tříd SITC ČR do RF v r. 2021 vyvezla největší hodnotu zboží v třídě 7 (kategorie Stroje a dopravní prostředky), a dále ve třídách 6 (kategorie Tržní výrobky tříděné hlavně podle materiálu) a 8 (kategorie Průmyslové spotřební zboží), a to v hodnotách cca 61 mld. CZK, 10,8 mld. CZK a 10 mld. CZK. </w:t>
      </w:r>
      <w:r w:rsidR="00D77B7D" w:rsidRPr="007F6BE0">
        <w:rPr>
          <w:b/>
        </w:rPr>
        <w:t>Na straně dovozů z Ruska dominovaly jednoznačně ropa a plyn, železo a ocel, dále chemikálie a další suroviny</w:t>
      </w:r>
      <w:r w:rsidR="00D77B7D">
        <w:t xml:space="preserve">. </w:t>
      </w:r>
    </w:p>
    <w:p w:rsidR="002D45F9" w:rsidRDefault="002D45F9" w:rsidP="002D45F9">
      <w:pPr>
        <w:jc w:val="both"/>
      </w:pPr>
      <w:r>
        <w:t>Hodnota v</w:t>
      </w:r>
      <w:r w:rsidRPr="007F6BE0">
        <w:rPr>
          <w:b/>
        </w:rPr>
        <w:t>ývozu z ČR na Ukrajinu v r. 2021</w:t>
      </w:r>
      <w:r>
        <w:t xml:space="preserve"> měla hodnotu </w:t>
      </w:r>
      <w:r w:rsidRPr="007F6BE0">
        <w:rPr>
          <w:b/>
        </w:rPr>
        <w:t>34,8 mld. CZK</w:t>
      </w:r>
      <w:r>
        <w:t xml:space="preserve">. V hodnotě obratu je UA pro ČR 22. nejvýznamnějším obchodním partnerem. V rámci tříd SITC ČR do UA v roce 2021 vyvezla největší hodnotu zboží v třídě 7 (kategorie Stroje a dopravní prostředky), a dále ve třídách 5 (Chemikálie a příbuzné výrobky jinde neuvedené) a 6 (Tržní výrobky tříděné hlavně podle materiálu), a to v hodnotách 21,7 mld. CZK, 4,4 mld. </w:t>
      </w:r>
      <w:r>
        <w:lastRenderedPageBreak/>
        <w:t>CZK a 4 mld. CZK.</w:t>
      </w:r>
      <w:r w:rsidR="00B21C1F">
        <w:t xml:space="preserve"> </w:t>
      </w:r>
      <w:r w:rsidR="00B21C1F" w:rsidRPr="007F6BE0">
        <w:rPr>
          <w:b/>
        </w:rPr>
        <w:t xml:space="preserve">Na straně dovozů z Ukrajiny dominovaly železné rudy, soupravy kabelů pro auta, letadla a lodě, </w:t>
      </w:r>
      <w:r w:rsidR="00D77B7D" w:rsidRPr="007F6BE0">
        <w:rPr>
          <w:b/>
        </w:rPr>
        <w:t>organické chemikálie</w:t>
      </w:r>
      <w:r w:rsidR="00B21C1F" w:rsidRPr="007F6BE0">
        <w:rPr>
          <w:b/>
        </w:rPr>
        <w:t xml:space="preserve">, válcované výrobky, </w:t>
      </w:r>
      <w:r w:rsidR="00D77B7D" w:rsidRPr="007F6BE0">
        <w:rPr>
          <w:b/>
        </w:rPr>
        <w:t>zelenina a ovoce, ropa a ropné výrobky.</w:t>
      </w:r>
      <w:r w:rsidR="00D77B7D">
        <w:t xml:space="preserve"> </w:t>
      </w:r>
    </w:p>
    <w:p w:rsidR="002D45F9" w:rsidRDefault="002D45F9" w:rsidP="002D45F9">
      <w:pPr>
        <w:jc w:val="both"/>
      </w:pPr>
      <w:r>
        <w:t xml:space="preserve">V r. 2021 bylo saldo obchodu ČR s oběma zeměmi negativní, s RF v hodnotě -43,8 mld. CZK, s UA v hodnotě - 5,7 mld. CZK.  </w:t>
      </w:r>
    </w:p>
    <w:p w:rsidR="00300345" w:rsidRDefault="00300345" w:rsidP="00300345">
      <w:pPr>
        <w:pStyle w:val="Titulek"/>
        <w:keepNext/>
      </w:pPr>
      <w:r>
        <w:t xml:space="preserve">Tabulka </w:t>
      </w:r>
      <w:r w:rsidR="00A75B5E">
        <w:fldChar w:fldCharType="begin"/>
      </w:r>
      <w:r w:rsidR="00A75B5E">
        <w:instrText xml:space="preserve"> SEQ Tabulka \* ARABIC </w:instrText>
      </w:r>
      <w:r w:rsidR="00A75B5E">
        <w:fldChar w:fldCharType="separate"/>
      </w:r>
      <w:r w:rsidR="00750361">
        <w:rPr>
          <w:noProof/>
        </w:rPr>
        <w:t>1</w:t>
      </w:r>
      <w:r w:rsidR="00A75B5E">
        <w:rPr>
          <w:noProof/>
        </w:rPr>
        <w:fldChar w:fldCharType="end"/>
      </w:r>
      <w:r>
        <w:t xml:space="preserve"> – Podíl dovozu z Ruska na celkovém dovozu dané kategorie zboží</w:t>
      </w:r>
      <w:r w:rsidR="00750361">
        <w:t xml:space="preserve"> (nad 50 %, nad hodnotou 10 mil. Kč, r. 2020)</w:t>
      </w:r>
    </w:p>
    <w:p w:rsidR="002D45F9" w:rsidRDefault="00750361" w:rsidP="002D45F9">
      <w:pPr>
        <w:jc w:val="both"/>
      </w:pPr>
      <w:r w:rsidRPr="00750361">
        <w:rPr>
          <w:noProof/>
        </w:rPr>
        <w:drawing>
          <wp:inline distT="0" distB="0" distL="0" distR="0">
            <wp:extent cx="6120130" cy="47335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61" w:rsidRDefault="00750361" w:rsidP="00750361">
      <w:pPr>
        <w:pStyle w:val="Titulek"/>
        <w:keepNext/>
      </w:pPr>
      <w:r>
        <w:t xml:space="preserve">Tabulka </w:t>
      </w:r>
      <w:r w:rsidR="00A75B5E">
        <w:fldChar w:fldCharType="begin"/>
      </w:r>
      <w:r w:rsidR="00A75B5E">
        <w:instrText xml:space="preserve"> SEQ Tabulka \* ARABIC </w:instrText>
      </w:r>
      <w:r w:rsidR="00A75B5E">
        <w:fldChar w:fldCharType="separate"/>
      </w:r>
      <w:r>
        <w:rPr>
          <w:noProof/>
        </w:rPr>
        <w:t>2</w:t>
      </w:r>
      <w:r w:rsidR="00A75B5E">
        <w:rPr>
          <w:noProof/>
        </w:rPr>
        <w:fldChar w:fldCharType="end"/>
      </w:r>
      <w:r>
        <w:t xml:space="preserve"> – Podíl dovozu z Ukrajiny na celkovém dovozu dané kategorie zboží (nad 50 %, nad hodnotou 10 mil. Kč, r. 2020)</w:t>
      </w:r>
    </w:p>
    <w:p w:rsidR="00561439" w:rsidRDefault="002060AC" w:rsidP="002400CF">
      <w:pPr>
        <w:jc w:val="both"/>
      </w:pPr>
      <w:r w:rsidRPr="002060AC">
        <w:drawing>
          <wp:inline distT="0" distB="0" distL="0" distR="0">
            <wp:extent cx="6120130" cy="229409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CB" w:rsidRDefault="00E831CB" w:rsidP="00E831CB">
      <w:pPr>
        <w:pStyle w:val="Nadpis3"/>
      </w:pPr>
      <w:r>
        <w:lastRenderedPageBreak/>
        <w:t>Surovinová závislost</w:t>
      </w:r>
    </w:p>
    <w:p w:rsidR="00E831CB" w:rsidRDefault="00E831CB" w:rsidP="00E831CB">
      <w:pPr>
        <w:jc w:val="both"/>
      </w:pPr>
      <w:r>
        <w:t xml:space="preserve">Relativně detailně je již zanalyzována relace k Rusku z pohledu významných surovin. RF patří mezi přední světové producenty </w:t>
      </w:r>
      <w:proofErr w:type="gramStart"/>
      <w:r>
        <w:t>komodit - palladium</w:t>
      </w:r>
      <w:proofErr w:type="gramEnd"/>
      <w:r>
        <w:t xml:space="preserve"> (1. místo na světě, 42% podíl na světové produkci), vanad (2. místo na světě, 20% podíl na světové produkci), zemní plyn (2. místo na světě, 18% podíl na světové produkci), ropa (2. místo na světě, 13% podíl na světové produkci), platina (2. místo na světě; 12% podíl na světové produkci), dále kobaltu, hliníku, antimonu, niklu, zlata, koksovatelného uhlí, a dalších surovin.</w:t>
      </w:r>
    </w:p>
    <w:p w:rsidR="00E831CB" w:rsidRPr="007F6BE0" w:rsidRDefault="00E831CB" w:rsidP="00E831CB">
      <w:pPr>
        <w:jc w:val="both"/>
        <w:rPr>
          <w:b/>
        </w:rPr>
      </w:pPr>
      <w:r w:rsidRPr="007F6BE0">
        <w:rPr>
          <w:b/>
        </w:rPr>
        <w:t>ČR dováží z Ruska zejména ropu, zemní plyn, hliník, olovo, železnou rudu a surové železo.</w:t>
      </w:r>
    </w:p>
    <w:p w:rsidR="009C2DC1" w:rsidRDefault="009C2DC1" w:rsidP="009C2DC1">
      <w:pPr>
        <w:pStyle w:val="Nadpis4"/>
      </w:pPr>
      <w:r>
        <w:t>Ropa</w:t>
      </w:r>
    </w:p>
    <w:p w:rsidR="009C2DC1" w:rsidRDefault="0067020E" w:rsidP="009C2DC1">
      <w:pPr>
        <w:jc w:val="both"/>
      </w:pPr>
      <w:r w:rsidRPr="0067020E">
        <w:t xml:space="preserve">Pokud se týká </w:t>
      </w:r>
      <w:r w:rsidRPr="007833DD">
        <w:rPr>
          <w:b/>
        </w:rPr>
        <w:t>dodávek ropy, zajišťuje je pro potřeby svých rafinerií provozovatel a vlastník tuzemských rafinerií, společnost ORLEN UNIPETROL</w:t>
      </w:r>
      <w:r w:rsidRPr="0067020E">
        <w:t>. Dodávky ropy z Ruské federace, přepravované ropovodem Družba přes území Běloruska, Ukrajiny a Slovenska tvoří cca 50 % ročního importu ropy do ČR</w:t>
      </w:r>
      <w:r>
        <w:t xml:space="preserve"> (</w:t>
      </w:r>
      <w:r w:rsidRPr="0067020E">
        <w:t>druh</w:t>
      </w:r>
      <w:r>
        <w:t>ou</w:t>
      </w:r>
      <w:r w:rsidRPr="0067020E">
        <w:t xml:space="preserve"> polovin</w:t>
      </w:r>
      <w:r>
        <w:t>u</w:t>
      </w:r>
      <w:r w:rsidRPr="0067020E">
        <w:t xml:space="preserve"> importu ropy </w:t>
      </w:r>
      <w:r>
        <w:t>tvoří dodávky</w:t>
      </w:r>
      <w:r w:rsidRPr="0067020E">
        <w:t xml:space="preserve"> z Kazachstánu (</w:t>
      </w:r>
      <w:proofErr w:type="gramStart"/>
      <w:r w:rsidRPr="0067020E">
        <w:t>18%</w:t>
      </w:r>
      <w:proofErr w:type="gramEnd"/>
      <w:r w:rsidRPr="0067020E">
        <w:t xml:space="preserve">), </w:t>
      </w:r>
      <w:proofErr w:type="spellStart"/>
      <w:r w:rsidRPr="0067020E">
        <w:t>Ázerbajdžanu</w:t>
      </w:r>
      <w:proofErr w:type="spellEnd"/>
      <w:r w:rsidRPr="0067020E">
        <w:t xml:space="preserve"> (16%), USA (12%), Libye (2%), Norska (1%) a Nigérie (1%)</w:t>
      </w:r>
      <w:r>
        <w:t>)</w:t>
      </w:r>
      <w:r w:rsidRPr="0067020E">
        <w:t xml:space="preserve"> a jsou zpracovávány v rafinerii Litvínov (rafinerie Kralupy je určena pro zpracování jiného typu ropy). </w:t>
      </w:r>
    </w:p>
    <w:p w:rsidR="0067020E" w:rsidRPr="007833DD" w:rsidRDefault="0067020E" w:rsidP="0067020E">
      <w:pPr>
        <w:jc w:val="both"/>
        <w:rPr>
          <w:b/>
        </w:rPr>
      </w:pPr>
      <w:r w:rsidRPr="007833DD">
        <w:rPr>
          <w:b/>
        </w:rPr>
        <w:t>Situaci ohledně dodávek ropy z Ruské federace do EU je podrobně monitorována a v současné době nejsou žádné signály o tom, že by existovaly jakékoliv problémy.</w:t>
      </w:r>
    </w:p>
    <w:p w:rsidR="0067020E" w:rsidRPr="0067020E" w:rsidRDefault="0067020E" w:rsidP="0067020E">
      <w:pPr>
        <w:jc w:val="both"/>
      </w:pPr>
      <w:r w:rsidRPr="007833DD">
        <w:rPr>
          <w:b/>
        </w:rPr>
        <w:t>Případný krátkodobý výpadek dodávek ropy z Ruské federace ropovodem Družba je zajistitelný uvolněním ropy z nouzových zásob Správy státních hmotných rezerv.</w:t>
      </w:r>
      <w:r>
        <w:t xml:space="preserve"> </w:t>
      </w:r>
      <w:r w:rsidRPr="0067020E">
        <w:t xml:space="preserve"> Její objem, společně s objemy již hotových pohonných hmot skladovaných </w:t>
      </w:r>
      <w:r w:rsidRPr="007833DD">
        <w:rPr>
          <w:b/>
        </w:rPr>
        <w:t>pro případ krize představují více jak 94 dnů průměrné spotřeby</w:t>
      </w:r>
      <w:r w:rsidRPr="0067020E">
        <w:t>. K</w:t>
      </w:r>
      <w:r w:rsidR="007833DD">
        <w:t> </w:t>
      </w:r>
      <w:r w:rsidRPr="0067020E">
        <w:t>přesměrování dodávek ruské ropy místo ropovodem Družba jinými cestami či jejím nahrazením dodávkami ropy obdobného typu potřebuje ORLEN UNIPETROL podle momentální situace na trhu cca 30-40 dnů, což by zásoby Správy státních hmotných rezerv měly pokrýt. Limitem je do určité míry pouze celková kapacita ropovodu TAL z Terstu do oblasti Ingolstadt (SRN), neboť tímto potrubím je zásobováno nejen Německo, ale i Rakousko. Nicméně aktuální využití ropovodu TAL je pod úrovní maximální instalované kapacity. Navazující ropovod IKL do ČR kapacitní omezení vzhledem k velikosti tuzemské spotřeby nemá.</w:t>
      </w:r>
    </w:p>
    <w:p w:rsidR="00F5302B" w:rsidRPr="00F5302B" w:rsidRDefault="009C2DC1" w:rsidP="00F5302B">
      <w:pPr>
        <w:jc w:val="both"/>
      </w:pPr>
      <w:r w:rsidRPr="00382ABF">
        <w:t xml:space="preserve">Ruská ropa byla v posledních letech přepravována takřka výhradně ropovodem Družba, jehož jižní větev prochází územím Ukrajiny, i když v minulosti se několikrát uskutečnila logisticky náročnější dodávka ruské ropy tankery a ropovodem TAL (teoreticky je možná i přeprava ropy ropovodem </w:t>
      </w:r>
      <w:proofErr w:type="spellStart"/>
      <w:r w:rsidRPr="00382ABF">
        <w:t>Adria</w:t>
      </w:r>
      <w:proofErr w:type="spellEnd"/>
      <w:r w:rsidRPr="00382ABF">
        <w:t>). Jižní Družba, kterou jdou dávky do Maďarska, Polska a ČR by mohla být v ohrožení, nicméně poměrně nedávno jsme si na dobu více jak jednoho měsíce zažili situaci, kdy ropa Družbou nešla a bez větších problémů jsme ji s využitím nouzových zásob SSHR zvládli.</w:t>
      </w:r>
      <w:r w:rsidR="00F5302B" w:rsidRPr="00F5302B">
        <w:t xml:space="preserve"> ORLEN Unipetrol má zatím dodávky z Ruska na březen potvrzené v systému </w:t>
      </w:r>
      <w:proofErr w:type="spellStart"/>
      <w:r w:rsidR="00F5302B" w:rsidRPr="00F5302B">
        <w:t>Transněfti</w:t>
      </w:r>
      <w:proofErr w:type="spellEnd"/>
      <w:r w:rsidR="00F5302B" w:rsidRPr="00F5302B">
        <w:t xml:space="preserve"> (ruský operátor ropovodů) a není indikováno jakékoliv jejich ponížení či změna v harmonogramu dodání.  Jako určitou pojistku se mu podařilo pro duben zarezervovat si navýšení přepravní kapacity na ropovodu TAL pro předzásobení se dodávkou Arabskou ropou, jenž představuje alternativu za ruskou ropu a je možné ji zpracovat v litvínovské rafinerii. </w:t>
      </w:r>
    </w:p>
    <w:p w:rsidR="00E831CB" w:rsidRDefault="009C2DC1" w:rsidP="00E831CB">
      <w:pPr>
        <w:jc w:val="both"/>
      </w:pPr>
      <w:r w:rsidRPr="007833DD">
        <w:rPr>
          <w:b/>
        </w:rPr>
        <w:t xml:space="preserve">Případné narušení dodávek ropy </w:t>
      </w:r>
      <w:r w:rsidR="00F5302B" w:rsidRPr="007833DD">
        <w:rPr>
          <w:b/>
        </w:rPr>
        <w:t>ropovodem Družba</w:t>
      </w:r>
      <w:r w:rsidR="007F6BE0" w:rsidRPr="007833DD">
        <w:rPr>
          <w:b/>
        </w:rPr>
        <w:t xml:space="preserve"> </w:t>
      </w:r>
      <w:r w:rsidR="00F5302B" w:rsidRPr="007833DD">
        <w:rPr>
          <w:b/>
        </w:rPr>
        <w:t>by</w:t>
      </w:r>
      <w:r w:rsidRPr="007833DD">
        <w:rPr>
          <w:b/>
        </w:rPr>
        <w:t xml:space="preserve"> se týkalo i sousedních zemí </w:t>
      </w:r>
      <w:r w:rsidRPr="00382ABF">
        <w:t>na jižní větvi</w:t>
      </w:r>
      <w:r w:rsidR="00F5302B">
        <w:t xml:space="preserve">, tedy </w:t>
      </w:r>
      <w:r w:rsidRPr="00382ABF">
        <w:t>Ukrajin</w:t>
      </w:r>
      <w:r w:rsidR="00F5302B">
        <w:t>y</w:t>
      </w:r>
      <w:r w:rsidRPr="00382ABF">
        <w:t>, Slovensk</w:t>
      </w:r>
      <w:r w:rsidR="00F5302B">
        <w:t>a</w:t>
      </w:r>
      <w:r w:rsidRPr="00382ABF">
        <w:t>, Maďarsk</w:t>
      </w:r>
      <w:r w:rsidR="00F5302B">
        <w:t>a</w:t>
      </w:r>
      <w:r w:rsidRPr="00382ABF">
        <w:t>, případně i </w:t>
      </w:r>
      <w:r w:rsidR="00F5302B">
        <w:t xml:space="preserve">zemí </w:t>
      </w:r>
      <w:r w:rsidRPr="00382ABF">
        <w:t xml:space="preserve">na severní větvi </w:t>
      </w:r>
      <w:r w:rsidR="00F5302B">
        <w:t xml:space="preserve">tedy </w:t>
      </w:r>
      <w:r w:rsidRPr="00382ABF">
        <w:t>Polsk</w:t>
      </w:r>
      <w:r w:rsidR="00F5302B">
        <w:t>a</w:t>
      </w:r>
      <w:r w:rsidRPr="00382ABF">
        <w:t xml:space="preserve"> a část</w:t>
      </w:r>
      <w:r w:rsidR="00F5302B">
        <w:t>i</w:t>
      </w:r>
      <w:r w:rsidRPr="00382ABF">
        <w:t xml:space="preserve"> Německa.</w:t>
      </w:r>
    </w:p>
    <w:p w:rsidR="009C2DC1" w:rsidRDefault="009C2DC1" w:rsidP="009C2DC1">
      <w:pPr>
        <w:pStyle w:val="Nadpis4"/>
      </w:pPr>
      <w:r>
        <w:t>Zemní plyn</w:t>
      </w:r>
    </w:p>
    <w:p w:rsidR="00D04AC9" w:rsidRDefault="00D04AC9" w:rsidP="00E831CB">
      <w:pPr>
        <w:jc w:val="both"/>
      </w:pPr>
      <w:r w:rsidRPr="007833DD">
        <w:rPr>
          <w:b/>
        </w:rPr>
        <w:t>Plyn pro tuzemský trh zajišťují privátní obchodníci s plynem (stát již po privatizaci odvětví v roce 2022 žádného obchodníka nevlastní) většinou na krátkodobých a spotových trzích v západní Evropě, kde prakticky není možné jednoznačně určit zemi původu nakoupeného plynu.</w:t>
      </w:r>
      <w:r w:rsidRPr="00D04AC9">
        <w:t xml:space="preserve"> Reálně však lze předpokládat, že </w:t>
      </w:r>
      <w:r w:rsidRPr="007833DD">
        <w:rPr>
          <w:b/>
        </w:rPr>
        <w:t>fyzicky jde většinově o plyn právě z Ruské federace.</w:t>
      </w:r>
      <w:r w:rsidR="007833DD">
        <w:rPr>
          <w:b/>
        </w:rPr>
        <w:t xml:space="preserve"> </w:t>
      </w:r>
      <w:r w:rsidR="00E831CB" w:rsidRPr="00382ABF">
        <w:t xml:space="preserve">Dříve většinově využívaná trasa přes Ukrajinu a Slovensko je po změně evropských toků plynu v důsledku zprovoznění plynovodu </w:t>
      </w:r>
      <w:proofErr w:type="spellStart"/>
      <w:r w:rsidR="00E831CB" w:rsidRPr="00382ABF">
        <w:t>Nord</w:t>
      </w:r>
      <w:proofErr w:type="spellEnd"/>
      <w:r w:rsidR="00E831CB" w:rsidRPr="00382ABF">
        <w:t xml:space="preserve"> </w:t>
      </w:r>
      <w:proofErr w:type="spellStart"/>
      <w:r w:rsidR="00E831CB" w:rsidRPr="00382ABF">
        <w:t>Stream</w:t>
      </w:r>
      <w:proofErr w:type="spellEnd"/>
      <w:r w:rsidR="00E831CB" w:rsidRPr="00382ABF">
        <w:t xml:space="preserve"> 1 využívána pro potřeby ČR pouze minimálně, </w:t>
      </w:r>
      <w:r w:rsidR="00E831CB" w:rsidRPr="007833DD">
        <w:rPr>
          <w:b/>
        </w:rPr>
        <w:t>drtivá většina plynu pro zásobování tuzemského trhu s plynem i jeho mezinárodní tranzit vstupuje do tuzemské plynárenské soustavy z </w:t>
      </w:r>
      <w:r w:rsidR="009C2DC1" w:rsidRPr="007833DD">
        <w:rPr>
          <w:b/>
        </w:rPr>
        <w:t>Německa</w:t>
      </w:r>
      <w:r w:rsidR="00E831CB">
        <w:t xml:space="preserve"> </w:t>
      </w:r>
      <w:r w:rsidR="00E831CB" w:rsidRPr="00382ABF">
        <w:t>přes hraniční předávací stanice Brandov</w:t>
      </w:r>
      <w:r>
        <w:t xml:space="preserve"> a Hora </w:t>
      </w:r>
      <w:proofErr w:type="gramStart"/>
      <w:r>
        <w:t>Sv.</w:t>
      </w:r>
      <w:proofErr w:type="gramEnd"/>
      <w:r>
        <w:t xml:space="preserve"> Kateřiny</w:t>
      </w:r>
      <w:r w:rsidR="00E831CB" w:rsidRPr="00382ABF">
        <w:t>, předávací stanice Lanžhot na hranicích se Slovenskem nemá pro zásobování ČR dlouhodobě prakticky žádný vliv.</w:t>
      </w:r>
      <w:r w:rsidR="009C2DC1">
        <w:t xml:space="preserve"> </w:t>
      </w:r>
      <w:r w:rsidRPr="00D04AC9">
        <w:t>Situac</w:t>
      </w:r>
      <w:r>
        <w:t xml:space="preserve">e </w:t>
      </w:r>
      <w:r w:rsidRPr="00D04AC9">
        <w:t xml:space="preserve">ohledně dodávek plynu z Ruské federace do Evropské unie </w:t>
      </w:r>
      <w:r>
        <w:t xml:space="preserve">je </w:t>
      </w:r>
      <w:r w:rsidRPr="00D04AC9">
        <w:t>podrobně monitor</w:t>
      </w:r>
      <w:r>
        <w:t>ována</w:t>
      </w:r>
      <w:r w:rsidRPr="00D04AC9">
        <w:t xml:space="preserve"> a v současné době ne</w:t>
      </w:r>
      <w:r>
        <w:t xml:space="preserve">jsou </w:t>
      </w:r>
      <w:r w:rsidRPr="00D04AC9">
        <w:t>žádné signály o tom, že</w:t>
      </w:r>
      <w:r w:rsidR="007833DD">
        <w:t xml:space="preserve"> </w:t>
      </w:r>
      <w:r>
        <w:t xml:space="preserve">by </w:t>
      </w:r>
      <w:r w:rsidRPr="00D04AC9">
        <w:t xml:space="preserve">pokud jde o kteroukoliv ze čtyř hlavních tras dodávek plynu z Ruské federace do Evropské unie, existovaly jakékoliv problémy. Naopak </w:t>
      </w:r>
      <w:r w:rsidRPr="007833DD">
        <w:rPr>
          <w:b/>
        </w:rPr>
        <w:t xml:space="preserve">toky </w:t>
      </w:r>
      <w:r w:rsidRPr="007833DD">
        <w:rPr>
          <w:b/>
        </w:rPr>
        <w:lastRenderedPageBreak/>
        <w:t>ruského plynu do Evropy se za poslední dva týdny dokonce zvýšily.</w:t>
      </w:r>
      <w:r w:rsidRPr="00D04AC9">
        <w:t xml:space="preserve"> </w:t>
      </w:r>
      <w:proofErr w:type="spellStart"/>
      <w:r w:rsidRPr="007833DD">
        <w:rPr>
          <w:b/>
        </w:rPr>
        <w:t>Nord</w:t>
      </w:r>
      <w:proofErr w:type="spellEnd"/>
      <w:r w:rsidRPr="007833DD">
        <w:rPr>
          <w:b/>
        </w:rPr>
        <w:t xml:space="preserve"> </w:t>
      </w:r>
      <w:proofErr w:type="spellStart"/>
      <w:r w:rsidRPr="007833DD">
        <w:rPr>
          <w:b/>
        </w:rPr>
        <w:t>Stream</w:t>
      </w:r>
      <w:proofErr w:type="spellEnd"/>
      <w:r w:rsidRPr="007833DD">
        <w:rPr>
          <w:b/>
        </w:rPr>
        <w:t xml:space="preserve"> 1 běží na maximální technickou kapacitu, tranzit plynu přes Ukrajinu se výrazně zvýšil a toky plynu na polsko-německé hranici se využívají k vyrovnávání poptávky.</w:t>
      </w:r>
    </w:p>
    <w:p w:rsidR="00D04AC9" w:rsidRPr="00D04AC9" w:rsidRDefault="00E831CB" w:rsidP="00D04AC9">
      <w:pPr>
        <w:jc w:val="both"/>
      </w:pPr>
      <w:r w:rsidRPr="007833DD">
        <w:rPr>
          <w:b/>
        </w:rPr>
        <w:t xml:space="preserve">V případě úplného přerušení dodávek z RF, z níž pochází více jak 40 % celkového dovozu plynu do EU, </w:t>
      </w:r>
      <w:r w:rsidR="00D04AC9" w:rsidRPr="007833DD">
        <w:rPr>
          <w:b/>
        </w:rPr>
        <w:t xml:space="preserve">bude </w:t>
      </w:r>
      <w:r w:rsidRPr="007833DD">
        <w:rPr>
          <w:b/>
        </w:rPr>
        <w:t>postižena téměř celá EU.</w:t>
      </w:r>
      <w:r w:rsidRPr="00382ABF">
        <w:t xml:space="preserve"> </w:t>
      </w:r>
      <w:r w:rsidR="00D04AC9" w:rsidRPr="00D04AC9">
        <w:t xml:space="preserve">Při jejich krátkodobém přerušení by bylo nutné v souladu s tuzemskou legislativou aktivizovat vyšší využití </w:t>
      </w:r>
      <w:r w:rsidR="00D04AC9" w:rsidRPr="007833DD">
        <w:rPr>
          <w:b/>
        </w:rPr>
        <w:t>tuzemských zásobníků</w:t>
      </w:r>
      <w:r w:rsidR="00D04AC9" w:rsidRPr="00D04AC9">
        <w:t xml:space="preserve"> (v současnosti se stav jejich </w:t>
      </w:r>
      <w:r w:rsidR="00D04AC9" w:rsidRPr="007833DD">
        <w:rPr>
          <w:b/>
        </w:rPr>
        <w:t>naplněnosti pohybuje okolo 15</w:t>
      </w:r>
      <w:r w:rsidR="007833DD">
        <w:rPr>
          <w:b/>
        </w:rPr>
        <w:t> </w:t>
      </w:r>
      <w:r w:rsidR="00D04AC9" w:rsidRPr="007833DD">
        <w:rPr>
          <w:b/>
        </w:rPr>
        <w:t>%</w:t>
      </w:r>
      <w:r w:rsidR="00D04AC9" w:rsidRPr="00D04AC9">
        <w:t xml:space="preserve">, jde ovšem o hodnotu, která se každým dnem </w:t>
      </w:r>
      <w:r w:rsidR="00D04AC9">
        <w:t xml:space="preserve">s blížícím se koncem uskladňovacího období </w:t>
      </w:r>
      <w:r w:rsidR="00D04AC9" w:rsidRPr="00D04AC9">
        <w:t>průběžně mění) i</w:t>
      </w:r>
      <w:r w:rsidR="007833DD">
        <w:t> </w:t>
      </w:r>
      <w:r w:rsidR="00D04AC9" w:rsidRPr="00D04AC9">
        <w:t xml:space="preserve">těžby plynu a ve zvýšené míře by obchodníci museli na evropských trzích zajistit plyn z jiných zdrojů. </w:t>
      </w:r>
    </w:p>
    <w:p w:rsidR="00D04AC9" w:rsidRPr="00D04AC9" w:rsidRDefault="00D04AC9" w:rsidP="00D04AC9">
      <w:pPr>
        <w:jc w:val="both"/>
      </w:pPr>
      <w:r w:rsidRPr="00D04AC9">
        <w:t>Při možném delším přerušení všech dodávek plynu z Ruské federace do EU by však následné kroky nemohly představovat řešení pouze na národní úrovni, ale jelikož podíl plynu z Ruské federace na celkovém importu této energetické komodity do Evropské unie</w:t>
      </w:r>
      <w:r w:rsidR="007833DD">
        <w:t xml:space="preserve"> </w:t>
      </w:r>
      <w:r w:rsidRPr="00D04AC9">
        <w:t>se v posledních letech pohybuje okolo 40 %</w:t>
      </w:r>
      <w:r w:rsidR="007833DD">
        <w:t>,</w:t>
      </w:r>
      <w:r w:rsidRPr="00D04AC9">
        <w:t xml:space="preserve"> </w:t>
      </w:r>
      <w:r w:rsidRPr="007833DD">
        <w:rPr>
          <w:b/>
        </w:rPr>
        <w:t>muselo</w:t>
      </w:r>
      <w:r w:rsidR="007833DD" w:rsidRPr="007833DD">
        <w:rPr>
          <w:b/>
        </w:rPr>
        <w:t xml:space="preserve"> by</w:t>
      </w:r>
      <w:r w:rsidRPr="007833DD">
        <w:rPr>
          <w:b/>
        </w:rPr>
        <w:t xml:space="preserve"> přijít celoevropské řešení</w:t>
      </w:r>
      <w:r w:rsidRPr="00D04AC9">
        <w:t>, spočívající zejména v aktivizaci navýšených dodávek z dalších zdrojů (Norsko, Alžírsko, Střední Asie) do Evropské unie + navýšení dodávek zkapalněného zemního plynu (LNG).</w:t>
      </w:r>
      <w:r w:rsidRPr="00D04AC9">
        <w:rPr>
          <w:iCs/>
        </w:rPr>
        <w:t xml:space="preserve"> U dodávek LNG však panuje realistická obava, že i pokud by se v rámci celoevropského řešení podařilo získat </w:t>
      </w:r>
      <w:r>
        <w:rPr>
          <w:iCs/>
        </w:rPr>
        <w:t xml:space="preserve">jejich </w:t>
      </w:r>
      <w:r w:rsidRPr="00D04AC9">
        <w:rPr>
          <w:iCs/>
        </w:rPr>
        <w:t>vyšší objemy (Evropská komise vypočítala možné navýšení o cca 2 miliardy m</w:t>
      </w:r>
      <w:r w:rsidRPr="00D04AC9">
        <w:rPr>
          <w:iCs/>
          <w:vertAlign w:val="superscript"/>
        </w:rPr>
        <w:t>3</w:t>
      </w:r>
      <w:r w:rsidRPr="00D04AC9">
        <w:rPr>
          <w:iCs/>
        </w:rPr>
        <w:t xml:space="preserve"> měsíčně do celé EU), logistické problémy a kapacitní omezení evropských přepravních tras by způsobily, že </w:t>
      </w:r>
      <w:r w:rsidRPr="007833DD">
        <w:rPr>
          <w:b/>
          <w:iCs/>
        </w:rPr>
        <w:t>dodávky LNG by nemohly být plně využity ve všech členských státech</w:t>
      </w:r>
      <w:r>
        <w:rPr>
          <w:iCs/>
        </w:rPr>
        <w:t xml:space="preserve">. </w:t>
      </w:r>
    </w:p>
    <w:p w:rsidR="00D04AC9" w:rsidRPr="00D04AC9" w:rsidRDefault="00D04AC9" w:rsidP="00D04AC9">
      <w:pPr>
        <w:jc w:val="both"/>
      </w:pPr>
      <w:r w:rsidRPr="00D04AC9">
        <w:t xml:space="preserve">Pokud by ani zmíněná opatření situaci neřešila a ta by se prudce a dlouhodobě zhoršila, bylo by v České republice postupováno dle energetické legislativy – případným vyhlašovatelem stavu nouze je v takovém případě provozovatel přepravní soustavy, společnost NET4GAS, která by za stavu nouze tuzemskou plynárenskou soustavu řídila.  V případě vyhlášení stavu nouze by bylo postupováno v souladu s energetickým zákonem a vyhláškou č. 344/2012 Sb. o stavu nouze v plynárenství a způsobu zajištění bezpečnostního standardu dodávky plynu.  </w:t>
      </w:r>
    </w:p>
    <w:p w:rsidR="009C2DC1" w:rsidRDefault="009C2DC1" w:rsidP="007833DD">
      <w:pPr>
        <w:pStyle w:val="Nadpis4"/>
      </w:pPr>
      <w:r>
        <w:t>Další suroviny</w:t>
      </w:r>
    </w:p>
    <w:p w:rsidR="009C2DC1" w:rsidRDefault="009C2DC1" w:rsidP="009C2DC1">
      <w:pPr>
        <w:jc w:val="both"/>
      </w:pPr>
      <w:r>
        <w:t xml:space="preserve">Dodávky železných rud a koncentrátů z Ruska sice tvoří jen cca 12 % dovozu, </w:t>
      </w:r>
      <w:r w:rsidRPr="003860CC">
        <w:rPr>
          <w:b/>
        </w:rPr>
        <w:t>hlavním dodavatelem železných rud a koncentrátů do ČR je Ukrajina (cca 80 % dovozu)</w:t>
      </w:r>
      <w:r>
        <w:t xml:space="preserve">. </w:t>
      </w:r>
      <w:r w:rsidRPr="003860CC">
        <w:rPr>
          <w:b/>
        </w:rPr>
        <w:t>Náhradní dodávky</w:t>
      </w:r>
      <w:r>
        <w:t xml:space="preserve"> rudy z Austrálie či Brazílie </w:t>
      </w:r>
      <w:r w:rsidRPr="003860CC">
        <w:rPr>
          <w:b/>
        </w:rPr>
        <w:t>nejsou jednoduché</w:t>
      </w:r>
      <w:r>
        <w:t xml:space="preserve">, ať už délkou dodávky nebo nedostatečnou kapacitou v přístavech a na lodích, železničního spojení. </w:t>
      </w:r>
      <w:r w:rsidRPr="003860CC">
        <w:rPr>
          <w:b/>
        </w:rPr>
        <w:t>Jedná se o důležitou surovinu pro automobilový průmysl.</w:t>
      </w:r>
      <w:r>
        <w:t xml:space="preserve"> Všechny komodity používané jako vstupní suroviny pro výrobu oceli vč. železné rudy zdražují, stejně jako energie.</w:t>
      </w:r>
    </w:p>
    <w:p w:rsidR="00E831CB" w:rsidRDefault="00E831CB" w:rsidP="00E831CB">
      <w:pPr>
        <w:jc w:val="both"/>
      </w:pPr>
      <w:r>
        <w:t>Řešením v případě výpadku dodávek hliníku do ČR je diverzifikace dodávek hliníku do ČR od dodavatelů z Islandu, Norska, SAE a jiných.</w:t>
      </w:r>
    </w:p>
    <w:p w:rsidR="00E831CB" w:rsidRDefault="00E831CB" w:rsidP="00E831CB">
      <w:pPr>
        <w:jc w:val="both"/>
      </w:pPr>
      <w:r>
        <w:t xml:space="preserve">Podíl dodávek olova z Ruska poklesl na cca 3 % (z cca 8 % v letech 2017-2018). V posledních letech docházelo k další diverzifikaci dodavatelů. </w:t>
      </w:r>
    </w:p>
    <w:p w:rsidR="009C2DC1" w:rsidRPr="003860CC" w:rsidRDefault="009C2DC1" w:rsidP="00E831CB">
      <w:pPr>
        <w:jc w:val="both"/>
        <w:rPr>
          <w:b/>
        </w:rPr>
      </w:pPr>
      <w:r w:rsidRPr="003860CC">
        <w:rPr>
          <w:b/>
        </w:rPr>
        <w:t xml:space="preserve">Surovinová závislost je problémem nejen pro Českou republiku, ale i pro celou Evropskou unii. </w:t>
      </w:r>
    </w:p>
    <w:p w:rsidR="009C2DC1" w:rsidRDefault="009C2DC1" w:rsidP="007F6BE0">
      <w:pPr>
        <w:pStyle w:val="Titulek"/>
        <w:keepNext/>
      </w:pPr>
      <w:r>
        <w:lastRenderedPageBreak/>
        <w:t xml:space="preserve">Tabulka </w:t>
      </w:r>
      <w:r w:rsidR="00A75B5E">
        <w:fldChar w:fldCharType="begin"/>
      </w:r>
      <w:r w:rsidR="00A75B5E">
        <w:instrText xml:space="preserve"> SEQ Tabulka \* ARABIC </w:instrText>
      </w:r>
      <w:r w:rsidR="00A75B5E">
        <w:fldChar w:fldCharType="separate"/>
      </w:r>
      <w:r>
        <w:rPr>
          <w:noProof/>
        </w:rPr>
        <w:t>2</w:t>
      </w:r>
      <w:r w:rsidR="00A75B5E">
        <w:rPr>
          <w:noProof/>
        </w:rPr>
        <w:fldChar w:fldCharType="end"/>
      </w:r>
      <w:r>
        <w:t xml:space="preserve"> – Podíl dovozu z Ruska na celkovém dovozu dané suroviny do EU 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</w:tblGrid>
      <w:tr w:rsidR="009C2DC1" w:rsidRPr="009C2DC1" w:rsidTr="009C2DC1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b/>
                <w:sz w:val="16"/>
                <w:szCs w:val="24"/>
                <w:lang w:eastAsia="cs-CZ"/>
              </w:rPr>
            </w:pPr>
            <w:r w:rsidRPr="009C2DC1">
              <w:rPr>
                <w:rFonts w:cstheme="minorHAnsi"/>
                <w:b/>
                <w:sz w:val="16"/>
                <w:szCs w:val="24"/>
                <w:lang w:eastAsia="cs-CZ"/>
              </w:rPr>
              <w:t>Surovina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b/>
                <w:sz w:val="16"/>
                <w:szCs w:val="24"/>
                <w:lang w:eastAsia="cs-CZ"/>
              </w:rPr>
            </w:pPr>
            <w:r w:rsidRPr="009C2DC1">
              <w:rPr>
                <w:rFonts w:cstheme="minorHAnsi"/>
                <w:b/>
                <w:sz w:val="16"/>
                <w:szCs w:val="24"/>
                <w:lang w:eastAsia="cs-CZ"/>
              </w:rPr>
              <w:t xml:space="preserve">Podíl Ruské federace na dovozech </w:t>
            </w:r>
            <w:r>
              <w:rPr>
                <w:rFonts w:cstheme="minorHAnsi"/>
                <w:b/>
                <w:sz w:val="16"/>
                <w:szCs w:val="24"/>
                <w:lang w:eastAsia="cs-CZ"/>
              </w:rPr>
              <w:t xml:space="preserve">do </w:t>
            </w:r>
            <w:r w:rsidRPr="009C2DC1">
              <w:rPr>
                <w:rFonts w:cstheme="minorHAnsi"/>
                <w:b/>
                <w:sz w:val="16"/>
                <w:szCs w:val="24"/>
                <w:lang w:eastAsia="cs-CZ"/>
              </w:rPr>
              <w:t>EU (%)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szCs w:val="20"/>
                <w:lang w:eastAsia="cs-CZ" w:bidi="hi-IN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Hliník a bauxit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4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Kadmium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17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Uhlí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12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Měď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16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Helium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1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Železo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5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Molybden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1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Nikl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22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Fosforit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28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Platina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17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Potaš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26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Selen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28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Ocel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44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Tellur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4</w:t>
            </w:r>
          </w:p>
        </w:tc>
      </w:tr>
      <w:tr w:rsidR="009C2DC1" w:rsidRPr="009C2DC1" w:rsidTr="009C2DC1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Wolfram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DC1" w:rsidRPr="009C2DC1" w:rsidRDefault="009C2DC1" w:rsidP="007F6BE0">
            <w:pPr>
              <w:keepNext/>
              <w:spacing w:after="0"/>
              <w:jc w:val="center"/>
              <w:rPr>
                <w:rFonts w:cstheme="minorHAnsi"/>
                <w:color w:val="000000"/>
                <w:sz w:val="16"/>
                <w:lang w:eastAsia="cs-CZ"/>
              </w:rPr>
            </w:pPr>
            <w:r w:rsidRPr="009C2DC1">
              <w:rPr>
                <w:rFonts w:cstheme="minorHAnsi"/>
                <w:color w:val="000000"/>
                <w:sz w:val="16"/>
                <w:lang w:eastAsia="cs-CZ"/>
              </w:rPr>
              <w:t>5</w:t>
            </w:r>
          </w:p>
        </w:tc>
      </w:tr>
    </w:tbl>
    <w:p w:rsidR="009C2DC1" w:rsidRPr="009C2DC1" w:rsidRDefault="009C2DC1" w:rsidP="009C2DC1">
      <w:pPr>
        <w:pStyle w:val="TextAutor1"/>
        <w:numPr>
          <w:ilvl w:val="0"/>
          <w:numId w:val="0"/>
        </w:numPr>
        <w:jc w:val="left"/>
        <w:rPr>
          <w:rStyle w:val="Text12"/>
          <w:rFonts w:cstheme="minorHAnsi"/>
          <w:i w:val="0"/>
          <w:sz w:val="18"/>
        </w:rPr>
      </w:pPr>
      <w:r w:rsidRPr="009C2DC1">
        <w:rPr>
          <w:rStyle w:val="Text12"/>
          <w:rFonts w:cstheme="minorHAnsi"/>
          <w:i w:val="0"/>
          <w:sz w:val="18"/>
        </w:rPr>
        <w:t>Zdroj: Evropská komise</w:t>
      </w:r>
    </w:p>
    <w:p w:rsidR="00E17D0F" w:rsidRDefault="00024672" w:rsidP="00024672">
      <w:pPr>
        <w:pStyle w:val="Nadpis3"/>
      </w:pPr>
      <w:r>
        <w:t>Dopady do odvětví</w:t>
      </w:r>
    </w:p>
    <w:p w:rsidR="00024672" w:rsidRPr="00B337CA" w:rsidRDefault="00024672" w:rsidP="00024672">
      <w:pPr>
        <w:jc w:val="both"/>
        <w:rPr>
          <w:rFonts w:cstheme="minorHAnsi"/>
          <w:szCs w:val="24"/>
        </w:rPr>
      </w:pPr>
      <w:r w:rsidRPr="00382ABF">
        <w:rPr>
          <w:rFonts w:cstheme="minorHAnsi"/>
          <w:szCs w:val="24"/>
        </w:rPr>
        <w:t xml:space="preserve">Vzhledem ke globálnímu propojení hodnotových řetězců a narušení dodavatelsko-odběratelských vztahů na globální úrovni </w:t>
      </w:r>
      <w:r>
        <w:rPr>
          <w:rFonts w:cstheme="minorHAnsi"/>
          <w:szCs w:val="24"/>
        </w:rPr>
        <w:t xml:space="preserve">jsou pro ČR významné dopady do jednotlivých odvětví, které působí přímo nebo zprostředkovaně. </w:t>
      </w:r>
    </w:p>
    <w:p w:rsidR="00024672" w:rsidRPr="00E810B5" w:rsidRDefault="00024672" w:rsidP="00024672">
      <w:pPr>
        <w:pStyle w:val="Nadpis4"/>
      </w:pPr>
      <w:r w:rsidRPr="00382ABF">
        <w:t>Ocelářský průmysl</w:t>
      </w:r>
    </w:p>
    <w:p w:rsidR="00024672" w:rsidRPr="00382ABF" w:rsidRDefault="00024672" w:rsidP="00024672">
      <w:pPr>
        <w:jc w:val="both"/>
        <w:rPr>
          <w:i/>
        </w:rPr>
      </w:pPr>
      <w:r w:rsidRPr="003860CC">
        <w:rPr>
          <w:b/>
        </w:rPr>
        <w:t xml:space="preserve">Pro ocelářství ČR je největší hrozbou přerušení dodávek železné rudy z Ukrajiny, odkud pochází </w:t>
      </w:r>
      <w:proofErr w:type="gramStart"/>
      <w:r w:rsidRPr="003860CC">
        <w:rPr>
          <w:b/>
        </w:rPr>
        <w:t>80 – 90</w:t>
      </w:r>
      <w:proofErr w:type="gramEnd"/>
      <w:r w:rsidRPr="003860CC">
        <w:rPr>
          <w:b/>
        </w:rPr>
        <w:t xml:space="preserve"> % rudy spotřebované v ČR. </w:t>
      </w:r>
      <w:r w:rsidRPr="00E810B5">
        <w:t xml:space="preserve">Z Ruska i Ukrajiny se dále odebírají polotovary, speciální suroviny jako je žáruvzdorný materiál do vysokých pecí či antracit, ale také náhradní díly do válcoven apod. </w:t>
      </w:r>
      <w:r w:rsidRPr="003860CC">
        <w:rPr>
          <w:b/>
        </w:rPr>
        <w:t>Některé firmy jsou závislé na dodávkách z Ruska ze 100 %</w:t>
      </w:r>
      <w:r w:rsidRPr="00E810B5">
        <w:t xml:space="preserve">. Ocelárny, které mají zásoby železné rudy asi na jeden měsíc, už zaznamenaly vynechávky v dodávkách. Náhradní dodávky rudy z Austrálie či Brazílie jsou komplikované z důvodů: 1) délka dodávky (2-3 měsíce), 2) nedostatečná kapacita v přístavech a na lodích, 4) nedostatečná kapacita železničního spojení z přístavů v PL do ČR, 5) cena. Ukrajina ani Rusko nejsou významným trhem pro českou ocel, spíše pro odběratelská odvětví jako je </w:t>
      </w:r>
      <w:r>
        <w:t>automobilový průmysl</w:t>
      </w:r>
      <w:r w:rsidRPr="00E810B5">
        <w:t xml:space="preserve">, což na české firmy může mít nepřímý negativní dopad. Všechny komodity používané jako vstupní suroviny pro výrobu oceli vč. železné rudy zdražují, stejně jako energie. Podobná je situace v jiných energeticky náročných odvětvích. </w:t>
      </w:r>
      <w:r w:rsidRPr="003860CC">
        <w:rPr>
          <w:b/>
        </w:rPr>
        <w:t>Dopady budou na </w:t>
      </w:r>
      <w:proofErr w:type="spellStart"/>
      <w:r w:rsidRPr="003860CC">
        <w:rPr>
          <w:b/>
        </w:rPr>
        <w:t>downstream</w:t>
      </w:r>
      <w:proofErr w:type="spellEnd"/>
      <w:r w:rsidRPr="003860CC">
        <w:rPr>
          <w:b/>
        </w:rPr>
        <w:t xml:space="preserve"> sektory, včetně stavebnictví. To přispěje k růstu inflace a k zesílení makroekonomických rizik. Dopad může být takový, že firmy budou nuceny omezit či dokonce přerušit výrobu. To může přinést negativní dopady v sociální oblasti</w:t>
      </w:r>
      <w:r w:rsidRPr="003860CC">
        <w:rPr>
          <w:b/>
          <w:i/>
        </w:rPr>
        <w:t>.</w:t>
      </w:r>
      <w:r w:rsidRPr="00382ABF">
        <w:rPr>
          <w:i/>
        </w:rPr>
        <w:t xml:space="preserve">  </w:t>
      </w:r>
    </w:p>
    <w:p w:rsidR="00024672" w:rsidRPr="00533C27" w:rsidRDefault="00024672" w:rsidP="00024672">
      <w:pPr>
        <w:pStyle w:val="Nadpis4"/>
      </w:pPr>
      <w:r w:rsidRPr="00382ABF">
        <w:t>Chemický průmysl</w:t>
      </w:r>
    </w:p>
    <w:p w:rsidR="00024672" w:rsidRPr="00533C27" w:rsidRDefault="00024672" w:rsidP="00024672">
      <w:pPr>
        <w:jc w:val="both"/>
      </w:pPr>
      <w:r>
        <w:t xml:space="preserve">ČR </w:t>
      </w:r>
      <w:r w:rsidRPr="00533C27">
        <w:t xml:space="preserve">nemá dostatečné kapacity pro alternativní dlouhodobé </w:t>
      </w:r>
      <w:r w:rsidRPr="003860CC">
        <w:rPr>
          <w:b/>
        </w:rPr>
        <w:t>zásobování ropou a plynem, v případě omezování dodávek z Ruské federace</w:t>
      </w:r>
      <w:r w:rsidRPr="00533C27">
        <w:t xml:space="preserve">. V případě nedostatku těchto surovin </w:t>
      </w:r>
      <w:r>
        <w:t>by bylo</w:t>
      </w:r>
      <w:r w:rsidRPr="00533C27">
        <w:t xml:space="preserve"> pro chemický průmysl nezbytné (s ohledem na současný stav zásob) </w:t>
      </w:r>
      <w:r w:rsidRPr="003860CC">
        <w:rPr>
          <w:b/>
        </w:rPr>
        <w:t>omezit výroby, včetně navazujících odvětví.</w:t>
      </w:r>
      <w:r w:rsidRPr="00533C27">
        <w:t xml:space="preserve"> Co se týká dovozů dalších surovin a chemických výrobků z Ruské federace </w:t>
      </w:r>
      <w:r>
        <w:t xml:space="preserve">a Ukrajiny </w:t>
      </w:r>
      <w:r w:rsidRPr="00533C27">
        <w:t xml:space="preserve">je nezbytné uvést, že tyto </w:t>
      </w:r>
      <w:r w:rsidRPr="003860CC">
        <w:rPr>
          <w:b/>
        </w:rPr>
        <w:t>nemají vždy okamžitou disponibilní náhradu</w:t>
      </w:r>
      <w:r w:rsidRPr="00533C27">
        <w:t xml:space="preserve"> (co se týče množství a kvality, např. fosfáty). Dalšími surovinami mohou být anorganické suroviny (apatit, ilmenit aj.). Lze tedy předpokládat, že </w:t>
      </w:r>
      <w:r w:rsidRPr="003860CC">
        <w:rPr>
          <w:b/>
        </w:rPr>
        <w:t>bude muset dojít ke snížení nebo odstavení některých provozovaných kapacit</w:t>
      </w:r>
      <w:r w:rsidRPr="00533C27">
        <w:t xml:space="preserve">, </w:t>
      </w:r>
      <w:r w:rsidRPr="003860CC">
        <w:rPr>
          <w:b/>
        </w:rPr>
        <w:t>případně omezit dodávky příslušného derivátu na trh</w:t>
      </w:r>
      <w:r w:rsidRPr="00533C27">
        <w:t xml:space="preserve">.  </w:t>
      </w:r>
    </w:p>
    <w:p w:rsidR="00024672" w:rsidRPr="00533C27" w:rsidRDefault="00024672" w:rsidP="00024672">
      <w:pPr>
        <w:jc w:val="both"/>
      </w:pPr>
      <w:r w:rsidRPr="00533C27">
        <w:t xml:space="preserve">Co se týká </w:t>
      </w:r>
      <w:r w:rsidRPr="003860CC">
        <w:rPr>
          <w:b/>
        </w:rPr>
        <w:t>výrobků, které konkurují tuzemským</w:t>
      </w:r>
      <w:r w:rsidRPr="00533C27">
        <w:t xml:space="preserve">, případně evropským kapacitám, je naopak žádoucí, </w:t>
      </w:r>
      <w:r w:rsidRPr="003860CC">
        <w:rPr>
          <w:b/>
        </w:rPr>
        <w:t>aby jejich dovoz do EU byl omezen</w:t>
      </w:r>
      <w:r w:rsidRPr="00533C27">
        <w:t xml:space="preserve">. Již nyní zaznamenaný extrémní nárůst cen energií se významně projevuje v konkurenceschopnosti chemických výrob a tato katastrofální situace je navíc živena dodávkami produktů ruských výrobců, kteří mají extrémně nízké ceny plynu, a tedy extrémně nízké výrobní náklady na řadu výrobků, jako jsou </w:t>
      </w:r>
      <w:r w:rsidRPr="003860CC">
        <w:rPr>
          <w:b/>
        </w:rPr>
        <w:t xml:space="preserve">hnojiva, močovina, </w:t>
      </w:r>
      <w:proofErr w:type="spellStart"/>
      <w:r w:rsidRPr="003860CC">
        <w:rPr>
          <w:b/>
        </w:rPr>
        <w:t>methanol</w:t>
      </w:r>
      <w:proofErr w:type="spellEnd"/>
      <w:r w:rsidRPr="003860CC">
        <w:rPr>
          <w:b/>
        </w:rPr>
        <w:t xml:space="preserve">. Tyto ruské společnosti tak dosahují masivních zisků na úkor evropských konkurentů v důsledku strukturálního narušení hospodářské soutěže. Výsledkem omezení výroby hnojiv budou nižší výnosy zemědělských komodit v zemích EU, které se promítnou do vyšších cen potravin a větší závislosti EU na dovozu potravin, kdy dovozy z Ukrajiny a Ruska budou nejisté. </w:t>
      </w:r>
    </w:p>
    <w:p w:rsidR="00024672" w:rsidRPr="00382ABF" w:rsidRDefault="00024672" w:rsidP="00024672">
      <w:pPr>
        <w:pStyle w:val="Nadpis4"/>
      </w:pPr>
      <w:r w:rsidRPr="00382ABF">
        <w:lastRenderedPageBreak/>
        <w:t>Dřevozpracující a nábytkářský průmysl</w:t>
      </w:r>
    </w:p>
    <w:p w:rsidR="00024672" w:rsidRPr="00975F64" w:rsidRDefault="003860CC" w:rsidP="00024672">
      <w:pPr>
        <w:jc w:val="both"/>
      </w:pPr>
      <w:r>
        <w:t>Ohrožení spočívá v</w:t>
      </w:r>
      <w:r w:rsidRPr="00975F64">
        <w:t xml:space="preserve"> částečn</w:t>
      </w:r>
      <w:r>
        <w:t>é</w:t>
      </w:r>
      <w:r w:rsidRPr="00975F64">
        <w:t xml:space="preserve"> ztrát</w:t>
      </w:r>
      <w:r>
        <w:t>ě</w:t>
      </w:r>
      <w:r w:rsidRPr="00975F64">
        <w:t xml:space="preserve"> surovinové základny. </w:t>
      </w:r>
      <w:r w:rsidR="00024672" w:rsidRPr="00975F64">
        <w:t xml:space="preserve"> </w:t>
      </w:r>
      <w:r w:rsidR="00024672" w:rsidRPr="003860CC">
        <w:rPr>
          <w:b/>
        </w:rPr>
        <w:t>Ukrajina a Bělorusko</w:t>
      </w:r>
      <w:r w:rsidR="00024672" w:rsidRPr="00975F64">
        <w:t xml:space="preserve"> je pro české </w:t>
      </w:r>
      <w:proofErr w:type="spellStart"/>
      <w:r w:rsidR="00024672" w:rsidRPr="00975F64">
        <w:t>dřevozpracovatele</w:t>
      </w:r>
      <w:proofErr w:type="spellEnd"/>
      <w:r w:rsidR="00024672" w:rsidRPr="00975F64">
        <w:t xml:space="preserve"> a výrobce nábytku také zdrojem dřeva s certifikací FSC. Co se týká dovozů a exportu zde je dopad v mezích zvládnutí. Na Ukrajinu se vyvážel nábytek v malé míře. Stejně tak do Ruska nebo do Běloruska. V případě Ruska byly dodávky v posledních letech výrazně utlumeny.</w:t>
      </w:r>
    </w:p>
    <w:p w:rsidR="00024672" w:rsidRPr="00975F64" w:rsidRDefault="00024672" w:rsidP="00024672">
      <w:pPr>
        <w:jc w:val="both"/>
      </w:pPr>
      <w:r w:rsidRPr="003860CC">
        <w:rPr>
          <w:b/>
        </w:rPr>
        <w:t>Jednoznačně jsou i tato odvětví výrazně poškozena prudkým nárůstem cen energií, u menších či středních podniků může znamenat “existenční hrozbu”.</w:t>
      </w:r>
      <w:r w:rsidRPr="00975F64">
        <w:t xml:space="preserve"> Celkové ekonomické zpomalení se promítne do snížení výroby nábytku. I když lze předpokládat, že zpomalení v tomto sektoru bude s určitým zpožděním oproti zbytku ekonomiky. Delší dobu byl zaznamenáván nedostatek zahraničních pracovníků, který z velké části může být nahrazen příchozími uprchlíky.</w:t>
      </w:r>
    </w:p>
    <w:p w:rsidR="00024672" w:rsidRPr="00382ABF" w:rsidRDefault="00024672" w:rsidP="00024672">
      <w:pPr>
        <w:pStyle w:val="Nadpis4"/>
      </w:pPr>
      <w:r w:rsidRPr="00382ABF">
        <w:t>Textilní průmysl</w:t>
      </w:r>
    </w:p>
    <w:p w:rsidR="00024672" w:rsidRPr="00335B66" w:rsidRDefault="00024672" w:rsidP="00024672">
      <w:pPr>
        <w:jc w:val="both"/>
      </w:pPr>
      <w:r w:rsidRPr="00335B66">
        <w:t>Dodavatelské řetězce v textilním a oděvním průmyslu byly v posledních dvou letech výrazně ovlivněny pandemií COVID-19. Konflikt na Ukrajině tuto situaci ještě vyostřil, a to i díky odchodu některých ukrajinských zaměstnanců na Ukrajinu. Vzhledem k širším souvislostem jsou obchodní vztahy v oblasti textilu a oděvů spíše okrajové. Vliv exportu a importu se odhaduje do pěti procent.</w:t>
      </w:r>
    </w:p>
    <w:p w:rsidR="00024672" w:rsidRPr="00335B66" w:rsidRDefault="00024672" w:rsidP="00024672">
      <w:pPr>
        <w:jc w:val="both"/>
      </w:pPr>
      <w:r w:rsidRPr="003860CC">
        <w:rPr>
          <w:b/>
        </w:rPr>
        <w:t>Celkové dopady jsou však velmi hrozivé, zejména pokud jde o růst cen plynu a elektřiny a narušení stability obchodních vztahů.</w:t>
      </w:r>
      <w:r w:rsidRPr="00335B66">
        <w:t xml:space="preserve"> Celkové dopady je obtížné odhadnout kvůli souběhu více dopadů. Velmi zhruba lze s přihlédnutím k růstu </w:t>
      </w:r>
      <w:r w:rsidRPr="003860CC">
        <w:rPr>
          <w:b/>
        </w:rPr>
        <w:t>cen energií odhadnout dopad na růst výrobních nákladů 20 % - 40 %.</w:t>
      </w:r>
    </w:p>
    <w:p w:rsidR="00024672" w:rsidRPr="00382ABF" w:rsidRDefault="00024672" w:rsidP="00024672">
      <w:pPr>
        <w:pStyle w:val="Nadpis4"/>
      </w:pPr>
      <w:r w:rsidRPr="00382ABF">
        <w:t>Automobilový průmysl</w:t>
      </w:r>
    </w:p>
    <w:p w:rsidR="00024672" w:rsidRPr="00ED3B21" w:rsidRDefault="003860CC" w:rsidP="00024672">
      <w:pPr>
        <w:jc w:val="both"/>
      </w:pPr>
      <w:r w:rsidRPr="00ED3B21">
        <w:t>Dopady na tuzemský automobilový průmysl bud</w:t>
      </w:r>
      <w:r>
        <w:t>ou</w:t>
      </w:r>
      <w:r w:rsidRPr="00ED3B21">
        <w:t xml:space="preserve"> </w:t>
      </w:r>
      <w:r>
        <w:t>spočívat</w:t>
      </w:r>
      <w:r w:rsidRPr="00ED3B21">
        <w:t xml:space="preserve"> zejména </w:t>
      </w:r>
      <w:r>
        <w:t xml:space="preserve">v </w:t>
      </w:r>
      <w:r w:rsidR="00024672" w:rsidRPr="003860CC">
        <w:rPr>
          <w:b/>
        </w:rPr>
        <w:t>ohrožení dovozu základních surovin, a to jak z Ruska, tak z Ukrajiny</w:t>
      </w:r>
      <w:r w:rsidR="00024672" w:rsidRPr="00ED3B21">
        <w:t xml:space="preserve">. Škodovka oznámila, že na Ukrajině má 13 dodavatelů. </w:t>
      </w:r>
      <w:r w:rsidR="00024672" w:rsidRPr="003860CC">
        <w:rPr>
          <w:b/>
        </w:rPr>
        <w:t>V reakci na konflikt na Ukrajině narůstají už tak vysoké ceny drahých kovů nepostradatelných pro výrobu automobilů.</w:t>
      </w:r>
      <w:r w:rsidR="00024672" w:rsidRPr="00ED3B21">
        <w:t xml:space="preserve"> Promítat rostoucí náklady do cen zákazníkům se výrobcům daří jen částečně, přesněji v jednotkách procent. Možnosti dodavatelů zvýšit ceny automobilkám či jiným odběratelům jsou však omezené. </w:t>
      </w:r>
    </w:p>
    <w:p w:rsidR="00024672" w:rsidRPr="00ED3B21" w:rsidRDefault="00024672" w:rsidP="00024672">
      <w:pPr>
        <w:jc w:val="both"/>
      </w:pPr>
      <w:r w:rsidRPr="003860CC">
        <w:rPr>
          <w:b/>
        </w:rPr>
        <w:t>Výrobci automobilů jako BMW, Volkswagen včetně Škoda a Porsche mají některé ze svých klíčových dodavatelů (převážně) na západě Ukrajiny</w:t>
      </w:r>
      <w:r w:rsidRPr="00ED3B21">
        <w:t>, což má za následek to, že automobilky v Německu byly nuceny zastavit výrobu. Automobilové kabely vyprodukované jen v Ukrajině necelých 7 % dovezeného zboží na území Evropské unie.</w:t>
      </w:r>
    </w:p>
    <w:p w:rsidR="00024672" w:rsidRPr="00ED3B21" w:rsidRDefault="00024672" w:rsidP="00024672">
      <w:pPr>
        <w:jc w:val="both"/>
      </w:pPr>
      <w:r w:rsidRPr="00ED3B21">
        <w:t>Automobilka Škoda přerušila výrobu v</w:t>
      </w:r>
      <w:r>
        <w:t xml:space="preserve"> obou</w:t>
      </w:r>
      <w:r w:rsidRPr="00ED3B21">
        <w:t xml:space="preserve"> svých závodech v Rusku a pozastavila vývoz vozidel do této země. </w:t>
      </w:r>
    </w:p>
    <w:p w:rsidR="00024672" w:rsidRPr="00382ABF" w:rsidRDefault="00024672" w:rsidP="00024672">
      <w:pPr>
        <w:pStyle w:val="Nadpis4"/>
      </w:pPr>
      <w:r w:rsidRPr="00382ABF">
        <w:t>Letecký průmysl</w:t>
      </w:r>
    </w:p>
    <w:p w:rsidR="00024672" w:rsidRPr="00550B69" w:rsidRDefault="00024672" w:rsidP="00024672">
      <w:pPr>
        <w:jc w:val="both"/>
      </w:pPr>
      <w:r w:rsidRPr="00550B69">
        <w:t xml:space="preserve">Celkové dopady na letecký průmysl jsou </w:t>
      </w:r>
      <w:r w:rsidRPr="003860CC">
        <w:rPr>
          <w:b/>
        </w:rPr>
        <w:t>velmi vážné, ale ne likvidační.</w:t>
      </w:r>
      <w:r w:rsidRPr="00550B69">
        <w:t xml:space="preserve"> Když se však podíváme na konkrétní společnosti, z nichž některé jsou téměř výhradně orientované na trh RF (např. </w:t>
      </w:r>
      <w:proofErr w:type="spellStart"/>
      <w:r w:rsidRPr="00550B69">
        <w:t>Aircraft</w:t>
      </w:r>
      <w:proofErr w:type="spellEnd"/>
      <w:r w:rsidRPr="00550B69">
        <w:t xml:space="preserve"> </w:t>
      </w:r>
      <w:proofErr w:type="spellStart"/>
      <w:r w:rsidRPr="00550B69">
        <w:t>Industries</w:t>
      </w:r>
      <w:proofErr w:type="spellEnd"/>
      <w:r w:rsidRPr="00550B69">
        <w:t>), pak je ta aktuální</w:t>
      </w:r>
      <w:bookmarkStart w:id="0" w:name="_Hlk97627231"/>
      <w:r w:rsidRPr="00550B69">
        <w:t xml:space="preserve"> situace mnohem závažnější a pro některé z nich může být až likvidační. Obzvlášť v kombinaci s rostoucími cenami el. energie, plynu i paliva.</w:t>
      </w:r>
      <w:bookmarkEnd w:id="0"/>
      <w:r w:rsidRPr="00550B69">
        <w:t xml:space="preserve"> Dodávky z RF směrem do ČR jsou naprosto zanedbatelné a nahraditelné (opět však s výhradou </w:t>
      </w:r>
      <w:proofErr w:type="spellStart"/>
      <w:r w:rsidRPr="00550B69">
        <w:t>Aircraft</w:t>
      </w:r>
      <w:proofErr w:type="spellEnd"/>
      <w:r w:rsidRPr="00550B69">
        <w:t xml:space="preserve"> </w:t>
      </w:r>
      <w:proofErr w:type="spellStart"/>
      <w:r w:rsidRPr="00550B69">
        <w:t>Industries</w:t>
      </w:r>
      <w:proofErr w:type="spellEnd"/>
      <w:r w:rsidRPr="00550B69">
        <w:t xml:space="preserve"> a L410, kde může být problematická návaznost na ruské materiály).</w:t>
      </w:r>
    </w:p>
    <w:p w:rsidR="00024672" w:rsidRPr="003860CC" w:rsidRDefault="00024672" w:rsidP="00024672">
      <w:pPr>
        <w:jc w:val="both"/>
        <w:rPr>
          <w:b/>
        </w:rPr>
      </w:pPr>
      <w:r w:rsidRPr="003860CC">
        <w:rPr>
          <w:b/>
        </w:rPr>
        <w:t>V roce 2020 byla RF po USA druhou TOP zemí vývozu letecké techniky z ČR. Téměř 4.5 mld. Kč. To činí cca 17 % ročního vývozu letecké techniky z ČR.</w:t>
      </w:r>
    </w:p>
    <w:p w:rsidR="00024672" w:rsidRPr="00382ABF" w:rsidRDefault="00024672" w:rsidP="00024672">
      <w:pPr>
        <w:pStyle w:val="Nadpis4"/>
      </w:pPr>
      <w:r w:rsidRPr="00382ABF">
        <w:t>Strojírenský průmysl</w:t>
      </w:r>
    </w:p>
    <w:p w:rsidR="00024672" w:rsidRDefault="00024672" w:rsidP="00024672">
      <w:pPr>
        <w:jc w:val="both"/>
      </w:pPr>
      <w:r w:rsidRPr="00E56116">
        <w:t xml:space="preserve">Obor obráběcích a tvářecích strojů je klíčovým sektorem českého strojírenství. Prostřednictvím Svazu strojírenské technologie (SST), který je členem evropského sdružení CECIMO je zapojen i do evropských struktur. V rámci CECIMO je ČR na 9. místě z hlediska produkce a na 11. místě z hlediska exportu. Nejvýznamnějším exportním trhem je Německo, dále Rusko, Čína, Slovensko a Polsko. Export na Ukrajinu dosáhl v roce 2021 3,4 mil EUR. </w:t>
      </w:r>
      <w:r w:rsidRPr="003860CC">
        <w:rPr>
          <w:b/>
        </w:rPr>
        <w:t>Export do Ruska</w:t>
      </w:r>
      <w:r w:rsidRPr="00E56116">
        <w:t xml:space="preserve"> od roku 2014, kdy byly zavedeny sankce EU, výrazně poklesl a v roce 2021 dosáhl cca 43,6 mil EUR, což </w:t>
      </w:r>
      <w:r w:rsidRPr="003860CC">
        <w:rPr>
          <w:b/>
        </w:rPr>
        <w:t>představuje cca 11 % exportu za rok 2021</w:t>
      </w:r>
      <w:r w:rsidRPr="00E56116">
        <w:t xml:space="preserve">. Většina exportérů do Ruska pracuje na obchodní bázi, tj. prostřednictvím ruských obchodních zastoupení. </w:t>
      </w:r>
    </w:p>
    <w:p w:rsidR="00502E27" w:rsidRDefault="00502E27" w:rsidP="00502E27">
      <w:pPr>
        <w:pStyle w:val="Nadpis2"/>
      </w:pPr>
      <w:r>
        <w:lastRenderedPageBreak/>
        <w:t>Cenový šok</w:t>
      </w:r>
    </w:p>
    <w:p w:rsidR="00502E27" w:rsidRPr="00D8252C" w:rsidRDefault="003860CC" w:rsidP="00502E27">
      <w:pPr>
        <w:pStyle w:val="TextAutor1"/>
        <w:numPr>
          <w:ilvl w:val="0"/>
          <w:numId w:val="0"/>
        </w:numPr>
        <w:rPr>
          <w:rStyle w:val="Text12"/>
          <w:rFonts w:cstheme="minorHAnsi"/>
          <w:i w:val="0"/>
          <w:color w:val="000000" w:themeColor="text1"/>
        </w:rPr>
      </w:pPr>
      <w:r w:rsidRPr="00502E27">
        <w:rPr>
          <w:rFonts w:cstheme="minorHAnsi"/>
          <w:noProof/>
          <w:color w:val="000000" w:themeColor="text1"/>
          <w:kern w:val="2"/>
        </w:rPr>
        <mc:AlternateContent>
          <mc:Choice Requires="wps">
            <w:drawing>
              <wp:anchor distT="151130" distB="151130" distL="114300" distR="114300" simplePos="0" relativeHeight="251659264" behindDoc="0" locked="0" layoutInCell="1" allowOverlap="1" wp14:anchorId="174467E8" wp14:editId="3652DBDD">
                <wp:simplePos x="0" y="0"/>
                <wp:positionH relativeFrom="margin">
                  <wp:align>right</wp:align>
                </wp:positionH>
                <wp:positionV relativeFrom="margin">
                  <wp:posOffset>305353</wp:posOffset>
                </wp:positionV>
                <wp:extent cx="3059430" cy="2358390"/>
                <wp:effectExtent l="0" t="0" r="762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358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252" w:rsidRPr="00C872A3" w:rsidRDefault="00FB7252" w:rsidP="00502E27">
                            <w:pPr>
                              <w:pStyle w:val="Bezmezer"/>
                              <w:keepNext/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kern w:val="2"/>
                                <w:sz w:val="20"/>
                                <w:szCs w:val="16"/>
                              </w:rPr>
                            </w:pPr>
                            <w:r w:rsidRPr="00C0068D">
                              <w:rPr>
                                <w:kern w:val="2"/>
                                <w:sz w:val="20"/>
                                <w:szCs w:val="16"/>
                              </w:rPr>
                              <w:t>Vývoj cen ropy Brent (USD/Barel)</w:t>
                            </w:r>
                            <w:r w:rsidRPr="00C872A3">
                              <w:rPr>
                                <w:kern w:val="2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FB7252" w:rsidRPr="003514B1" w:rsidRDefault="00FB7252" w:rsidP="00502E27">
                            <w:pPr>
                              <w:pStyle w:val="Bezmezer"/>
                              <w:keepNext/>
                              <w:widowControl w:val="0"/>
                              <w:rPr>
                                <w:kern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0616F" wp14:editId="0A56E7FF">
                                  <wp:extent cx="3050540" cy="1799539"/>
                                  <wp:effectExtent l="0" t="0" r="0" b="0"/>
                                  <wp:docPr id="10" name="Graf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23DD81D-D8F0-48C7-8E7F-9BAD23EFC3F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7252" w:rsidRPr="00C0068D" w:rsidRDefault="00FB7252" w:rsidP="00502E27">
                            <w:pPr>
                              <w:widowControl w:val="0"/>
                              <w:pBdr>
                                <w:top w:val="single" w:sz="4" w:space="1" w:color="auto"/>
                              </w:pBdr>
                              <w:rPr>
                                <w:rFonts w:cstheme="minorHAnsi"/>
                                <w:kern w:val="2"/>
                                <w:sz w:val="14"/>
                                <w:szCs w:val="16"/>
                              </w:rPr>
                            </w:pPr>
                            <w:r w:rsidRPr="00C0068D">
                              <w:rPr>
                                <w:rFonts w:cstheme="minorHAnsi"/>
                                <w:kern w:val="2"/>
                                <w:sz w:val="14"/>
                                <w:szCs w:val="16"/>
                              </w:rPr>
                              <w:t>Pramen: www.oenergetice.cz, graf MPO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467E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9.7pt;margin-top:24.05pt;width:240.9pt;height:185.7pt;z-index:251659264;visibility:visible;mso-wrap-style:square;mso-width-percent:0;mso-height-percent:0;mso-wrap-distance-left:9pt;mso-wrap-distance-top:11.9pt;mso-wrap-distance-right:9pt;mso-wrap-distance-bottom:11.9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" filled="f" stroked="f">
                <v:textbox style="mso-fit-shape-to-text:t" inset="0,0,0,0">
                  <w:txbxContent>
                    <w:p w:rsidR="00FB7252" w:rsidRPr="00C872A3" w:rsidRDefault="00FB7252" w:rsidP="00502E27">
                      <w:pPr>
                        <w:pStyle w:val="Bezmezer"/>
                        <w:keepNext/>
                        <w:widowControl w:val="0"/>
                        <w:pBdr>
                          <w:bottom w:val="single" w:sz="4" w:space="1" w:color="auto"/>
                        </w:pBdr>
                        <w:rPr>
                          <w:kern w:val="2"/>
                          <w:sz w:val="20"/>
                          <w:szCs w:val="16"/>
                        </w:rPr>
                      </w:pPr>
                      <w:r w:rsidRPr="00C0068D">
                        <w:rPr>
                          <w:kern w:val="2"/>
                          <w:sz w:val="20"/>
                          <w:szCs w:val="16"/>
                        </w:rPr>
                        <w:t>Vývoj cen ropy Brent (USD/Barel)</w:t>
                      </w:r>
                      <w:r w:rsidRPr="00C872A3">
                        <w:rPr>
                          <w:kern w:val="2"/>
                          <w:sz w:val="20"/>
                          <w:szCs w:val="16"/>
                        </w:rPr>
                        <w:t xml:space="preserve"> </w:t>
                      </w:r>
                    </w:p>
                    <w:p w:rsidR="00FB7252" w:rsidRPr="003514B1" w:rsidRDefault="00FB7252" w:rsidP="00502E27">
                      <w:pPr>
                        <w:pStyle w:val="Bezmezer"/>
                        <w:keepNext/>
                        <w:widowControl w:val="0"/>
                        <w:rPr>
                          <w:kern w:val="2"/>
                          <w:sz w:val="18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70616F" wp14:editId="0A56E7FF">
                            <wp:extent cx="3050540" cy="1799539"/>
                            <wp:effectExtent l="0" t="0" r="0" b="0"/>
                            <wp:docPr id="10" name="Graf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23DD81D-D8F0-48C7-8E7F-9BAD23EFC3F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FB7252" w:rsidRPr="00C0068D" w:rsidRDefault="00FB7252" w:rsidP="00502E27">
                      <w:pPr>
                        <w:widowControl w:val="0"/>
                        <w:pBdr>
                          <w:top w:val="single" w:sz="4" w:space="1" w:color="auto"/>
                        </w:pBdr>
                        <w:rPr>
                          <w:rFonts w:cstheme="minorHAnsi"/>
                          <w:kern w:val="2"/>
                          <w:sz w:val="14"/>
                          <w:szCs w:val="16"/>
                        </w:rPr>
                      </w:pPr>
                      <w:r w:rsidRPr="00C0068D">
                        <w:rPr>
                          <w:rFonts w:cstheme="minorHAnsi"/>
                          <w:kern w:val="2"/>
                          <w:sz w:val="14"/>
                          <w:szCs w:val="16"/>
                        </w:rPr>
                        <w:t>Pramen: www.oenergetice.cz, graf MPO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2E27" w:rsidRPr="00D8252C">
        <w:rPr>
          <w:rStyle w:val="Text12"/>
          <w:rFonts w:cstheme="minorHAnsi"/>
          <w:i w:val="0"/>
          <w:color w:val="000000" w:themeColor="text1"/>
        </w:rPr>
        <w:t xml:space="preserve">Ceny energií na domácích i světových trzích </w:t>
      </w:r>
      <w:r w:rsidR="00502E27" w:rsidRPr="003860CC">
        <w:rPr>
          <w:rStyle w:val="Text12"/>
          <w:rFonts w:cstheme="minorHAnsi"/>
          <w:b/>
          <w:i w:val="0"/>
          <w:color w:val="000000" w:themeColor="text1"/>
        </w:rPr>
        <w:t>atakují svá historická maxima</w:t>
      </w:r>
      <w:r w:rsidR="00502E27" w:rsidRPr="00D8252C">
        <w:rPr>
          <w:rStyle w:val="Text12"/>
          <w:rFonts w:cstheme="minorHAnsi"/>
          <w:i w:val="0"/>
          <w:color w:val="000000" w:themeColor="text1"/>
        </w:rPr>
        <w:t xml:space="preserve">. Intenzita zdražování energetických komodit je natolik výrazná, že bude mít </w:t>
      </w:r>
      <w:r w:rsidR="00502E27" w:rsidRPr="003860CC">
        <w:rPr>
          <w:rStyle w:val="Text12"/>
          <w:rFonts w:cstheme="minorHAnsi"/>
          <w:b/>
          <w:i w:val="0"/>
          <w:color w:val="000000" w:themeColor="text1"/>
        </w:rPr>
        <w:t>nezanedbatelný dopad nejen na finanční situaci domácností, ale silně se projeví i v nákladech firem</w:t>
      </w:r>
      <w:r w:rsidR="00502E27" w:rsidRPr="00D8252C">
        <w:rPr>
          <w:rStyle w:val="Text12"/>
          <w:rFonts w:cstheme="minorHAnsi"/>
          <w:i w:val="0"/>
          <w:color w:val="000000" w:themeColor="text1"/>
        </w:rPr>
        <w:t xml:space="preserve">. </w:t>
      </w:r>
    </w:p>
    <w:p w:rsidR="00502E27" w:rsidRPr="00502E27" w:rsidRDefault="00502E27" w:rsidP="00502E27">
      <w:pPr>
        <w:pStyle w:val="TextAutor1"/>
        <w:numPr>
          <w:ilvl w:val="0"/>
          <w:numId w:val="0"/>
        </w:numPr>
        <w:rPr>
          <w:rStyle w:val="Text12"/>
          <w:rFonts w:cstheme="minorHAnsi"/>
          <w:i w:val="0"/>
          <w:color w:val="000000" w:themeColor="text1"/>
        </w:rPr>
      </w:pPr>
      <w:r w:rsidRPr="00D8252C">
        <w:rPr>
          <w:rStyle w:val="Text12"/>
          <w:rFonts w:cstheme="minorHAnsi"/>
          <w:i w:val="0"/>
          <w:color w:val="000000" w:themeColor="text1"/>
        </w:rPr>
        <w:t>Globální oživení ekonomik po pandemii vyvolalo velký zájem o využití zemního plynu a ostatních energií a materiálů. Nabídková strana ale nereagovala dostatečně rychle na rostoucí poptávku a ceny tak začaly rake</w:t>
      </w:r>
      <w:r w:rsidRPr="00502E27">
        <w:rPr>
          <w:rStyle w:val="Text12"/>
          <w:rFonts w:cstheme="minorHAnsi"/>
          <w:i w:val="0"/>
          <w:color w:val="000000" w:themeColor="text1"/>
        </w:rPr>
        <w:t xml:space="preserve">tově růst. </w:t>
      </w:r>
    </w:p>
    <w:p w:rsidR="00502E27" w:rsidRPr="00502E27" w:rsidRDefault="00502E27" w:rsidP="00502E27">
      <w:pPr>
        <w:pStyle w:val="TextAutor1"/>
        <w:numPr>
          <w:ilvl w:val="0"/>
          <w:numId w:val="0"/>
        </w:numPr>
        <w:rPr>
          <w:rStyle w:val="Text12"/>
          <w:rFonts w:cstheme="minorHAnsi"/>
          <w:i w:val="0"/>
          <w:color w:val="000000" w:themeColor="text1"/>
        </w:rPr>
      </w:pPr>
      <w:r w:rsidRPr="00502E27">
        <w:rPr>
          <w:rStyle w:val="Text12"/>
          <w:rFonts w:cstheme="minorHAnsi"/>
          <w:i w:val="0"/>
          <w:color w:val="000000" w:themeColor="text1"/>
        </w:rPr>
        <w:t xml:space="preserve">Výrazný nedostatek plynu se projevil v asijských státech (vyčerpané zásoby po zimě) - energetická krize v Číně, v Brazílii (sucho a nízká produkce vodních elektráren) i v Evropě (dlouhá zima; nedoplněné zásobníky, nízká produkce větrných elektráren v Německu, </w:t>
      </w:r>
      <w:proofErr w:type="spellStart"/>
      <w:r w:rsidRPr="00502E27">
        <w:rPr>
          <w:rStyle w:val="Text12"/>
          <w:rFonts w:cstheme="minorHAnsi"/>
          <w:i w:val="0"/>
          <w:color w:val="000000" w:themeColor="text1"/>
        </w:rPr>
        <w:t>European</w:t>
      </w:r>
      <w:proofErr w:type="spellEnd"/>
      <w:r w:rsidRPr="00502E27">
        <w:rPr>
          <w:rStyle w:val="Text12"/>
          <w:rFonts w:cstheme="minorHAnsi"/>
          <w:i w:val="0"/>
          <w:color w:val="000000" w:themeColor="text1"/>
        </w:rPr>
        <w:t xml:space="preserve"> Green </w:t>
      </w:r>
      <w:proofErr w:type="spellStart"/>
      <w:r w:rsidRPr="00502E27">
        <w:rPr>
          <w:rStyle w:val="Text12"/>
          <w:rFonts w:cstheme="minorHAnsi"/>
          <w:i w:val="0"/>
          <w:color w:val="000000" w:themeColor="text1"/>
        </w:rPr>
        <w:t>Deal</w:t>
      </w:r>
      <w:proofErr w:type="spellEnd"/>
      <w:r w:rsidRPr="00502E27">
        <w:rPr>
          <w:rStyle w:val="Text12"/>
          <w:rFonts w:cstheme="minorHAnsi"/>
          <w:i w:val="0"/>
          <w:color w:val="000000" w:themeColor="text1"/>
        </w:rPr>
        <w:t>, pokles evropské produkce v Norsku); přispěly i zhoršující se politické vztahy s Ruskem.</w:t>
      </w:r>
    </w:p>
    <w:p w:rsidR="00502E27" w:rsidRPr="003860CC" w:rsidRDefault="00502E27" w:rsidP="00502E27">
      <w:pPr>
        <w:pStyle w:val="TextAutor1"/>
        <w:numPr>
          <w:ilvl w:val="0"/>
          <w:numId w:val="0"/>
        </w:numPr>
        <w:rPr>
          <w:rStyle w:val="Text12"/>
          <w:rFonts w:cstheme="minorHAnsi"/>
          <w:b/>
          <w:i w:val="0"/>
          <w:color w:val="000000" w:themeColor="text1"/>
        </w:rPr>
      </w:pPr>
      <w:r w:rsidRPr="003860CC">
        <w:rPr>
          <w:rStyle w:val="Text12"/>
          <w:rFonts w:cstheme="minorHAnsi"/>
          <w:b/>
          <w:i w:val="0"/>
          <w:color w:val="000000" w:themeColor="text1"/>
        </w:rPr>
        <w:t xml:space="preserve">Od ceny plynu se pak odvozuje cena elektřiny, jen menší část jejího růstu jde za prudce rostoucími cenami emisních povolenek; důvodem pro růst cen je vypínání uhelných a jaderných elektráren v Německu (snížení nabídky), k dalším faktorům patří i nestabilita produkce z obnovitelných zdrojů a další. </w:t>
      </w:r>
    </w:p>
    <w:p w:rsidR="00502E27" w:rsidRPr="00D8252C" w:rsidRDefault="00540C53" w:rsidP="00502E27">
      <w:pPr>
        <w:pStyle w:val="TextAutor1"/>
        <w:numPr>
          <w:ilvl w:val="0"/>
          <w:numId w:val="0"/>
        </w:numPr>
        <w:rPr>
          <w:rStyle w:val="Text12"/>
          <w:rFonts w:cstheme="minorHAnsi"/>
          <w:i w:val="0"/>
          <w:color w:val="000000" w:themeColor="text1"/>
        </w:rPr>
      </w:pPr>
      <w:r>
        <w:rPr>
          <w:rStyle w:val="Text12"/>
          <w:rFonts w:cstheme="minorHAnsi"/>
          <w:i w:val="0"/>
          <w:color w:val="000000" w:themeColor="text1"/>
        </w:rPr>
        <w:t xml:space="preserve">Již delší dobu pozorovaný růst cen ropy </w:t>
      </w:r>
      <w:r w:rsidR="00502E27" w:rsidRPr="00502E27">
        <w:rPr>
          <w:rStyle w:val="Text12"/>
          <w:rFonts w:cstheme="minorHAnsi"/>
          <w:i w:val="0"/>
          <w:color w:val="000000" w:themeColor="text1"/>
        </w:rPr>
        <w:t>j</w:t>
      </w:r>
      <w:r w:rsidR="00502E27" w:rsidRPr="00D8252C">
        <w:rPr>
          <w:rStyle w:val="Text12"/>
          <w:rFonts w:cstheme="minorHAnsi"/>
          <w:i w:val="0"/>
          <w:color w:val="000000" w:themeColor="text1"/>
        </w:rPr>
        <w:t>e umocněn vojenským konfliktem mezi Ruskem a Ukrajinou. Budoucnost vývozů z Ruska je ve stínu války a souvisejících sankcí nejistá. To umožňuje ostatním exportérům (zejména na Blízkém východě ale i dalším) určovat vyšší cenu za barel, jelikož přetrvává vysoká poptávka po této komoditě.</w:t>
      </w:r>
    </w:p>
    <w:p w:rsidR="00502E27" w:rsidRPr="00D8252C" w:rsidRDefault="00502E27" w:rsidP="00502E27">
      <w:pPr>
        <w:pStyle w:val="TextAutor1"/>
        <w:numPr>
          <w:ilvl w:val="0"/>
          <w:numId w:val="0"/>
        </w:numPr>
        <w:rPr>
          <w:rStyle w:val="Text12"/>
          <w:rFonts w:cstheme="minorHAnsi"/>
          <w:i w:val="0"/>
          <w:color w:val="000000" w:themeColor="text1"/>
        </w:rPr>
      </w:pPr>
      <w:r w:rsidRPr="00D8252C">
        <w:rPr>
          <w:rStyle w:val="Text12"/>
          <w:rFonts w:cstheme="minorHAnsi"/>
          <w:i w:val="0"/>
          <w:color w:val="000000" w:themeColor="text1"/>
        </w:rPr>
        <w:t>Nejvíce energie spotřebuje v tuzemsku sektor domácností, těsně následovaný odvětvími průmyslu a dopravy. Na opačném pólu stojí služby, které přitom vytvářejí téměř polovinu celkové hrubé přidané hodnoty. Dvaceti procentní zdražení elektřiny, plynu a tepla znamená celoroční negativní dopad do reálné spotřeby domácností v rozsahu téměř 2,5 %.</w:t>
      </w:r>
    </w:p>
    <w:p w:rsidR="00502E27" w:rsidRDefault="00502E27" w:rsidP="00502E27">
      <w:pPr>
        <w:pStyle w:val="TextAutor1"/>
        <w:numPr>
          <w:ilvl w:val="0"/>
          <w:numId w:val="0"/>
        </w:numPr>
        <w:rPr>
          <w:rStyle w:val="Text12"/>
          <w:rFonts w:cstheme="minorHAnsi"/>
          <w:i w:val="0"/>
          <w:color w:val="000000" w:themeColor="text1"/>
        </w:rPr>
      </w:pPr>
      <w:r w:rsidRPr="00D8252C">
        <w:rPr>
          <w:rStyle w:val="Text12"/>
          <w:rFonts w:cstheme="minorHAnsi"/>
          <w:i w:val="0"/>
          <w:color w:val="000000" w:themeColor="text1"/>
        </w:rPr>
        <w:t>Konkurenční výhodou českého průmyslu je zatím nižší (než průměrný evropský) podíl elektřiny a plynu související s výraznou spotřebou pevných fosilních paliv. V současnosti přitom pevná fosilní paliva představují oproti jiným komoditám levnější zdroj energi</w:t>
      </w:r>
      <w:r>
        <w:rPr>
          <w:rStyle w:val="Text12"/>
          <w:rFonts w:cstheme="minorHAnsi"/>
          <w:i w:val="0"/>
          <w:color w:val="000000" w:themeColor="text1"/>
        </w:rPr>
        <w:t>e</w:t>
      </w:r>
      <w:r w:rsidRPr="00D8252C">
        <w:rPr>
          <w:rStyle w:val="Text12"/>
          <w:rFonts w:cstheme="minorHAnsi"/>
          <w:i w:val="0"/>
          <w:color w:val="000000" w:themeColor="text1"/>
        </w:rPr>
        <w:t>.</w:t>
      </w:r>
    </w:p>
    <w:p w:rsidR="00540C53" w:rsidRPr="00C408BC" w:rsidRDefault="00540C53" w:rsidP="00540C53">
      <w:pPr>
        <w:jc w:val="both"/>
      </w:pPr>
      <w:r w:rsidRPr="00540C53">
        <w:rPr>
          <w:b/>
        </w:rPr>
        <w:t xml:space="preserve">Cena ropy </w:t>
      </w:r>
      <w:r w:rsidRPr="00540C53">
        <w:t xml:space="preserve">zásadním způsobem ovlivňuje i cenu ropných produktů zejména </w:t>
      </w:r>
      <w:r w:rsidRPr="00540C53">
        <w:rPr>
          <w:b/>
        </w:rPr>
        <w:t>pohonných hmot.</w:t>
      </w:r>
      <w:r w:rsidRPr="00C408BC">
        <w:t xml:space="preserve"> Které logicky rovněž stouply. Mimo cen ropy jsou do značné míry ovlivněny i směnným kursem koruny a EURO.</w:t>
      </w:r>
      <w:r>
        <w:t xml:space="preserve"> </w:t>
      </w:r>
      <w:r w:rsidRPr="00C408BC">
        <w:t>Níže uvádíme pro srovnání s cenami v sousedních státech (podrobnosti viz příloha)</w:t>
      </w:r>
    </w:p>
    <w:p w:rsidR="00EB1E8E" w:rsidRDefault="00EB1E8E">
      <w:pPr>
        <w:spacing w:after="200" w:line="276" w:lineRule="auto"/>
        <w:rPr>
          <w:b/>
          <w:i/>
        </w:rPr>
      </w:pPr>
    </w:p>
    <w:p w:rsidR="00540C53" w:rsidRPr="00C408BC" w:rsidRDefault="00540C53" w:rsidP="00277AF5">
      <w:pPr>
        <w:keepNext/>
        <w:jc w:val="both"/>
        <w:rPr>
          <w:b/>
          <w:i/>
        </w:rPr>
      </w:pPr>
      <w:r w:rsidRPr="00C408BC">
        <w:rPr>
          <w:b/>
          <w:i/>
        </w:rPr>
        <w:lastRenderedPageBreak/>
        <w:t>Cena benzínu v EURO/litr</w:t>
      </w:r>
    </w:p>
    <w:p w:rsidR="00540C53" w:rsidRPr="00C408BC" w:rsidRDefault="00540C53" w:rsidP="00540C53">
      <w:pPr>
        <w:jc w:val="both"/>
      </w:pPr>
      <w:r w:rsidRPr="00C408BC">
        <w:rPr>
          <w:noProof/>
        </w:rPr>
        <w:drawing>
          <wp:inline distT="0" distB="0" distL="0" distR="0" wp14:anchorId="35959428" wp14:editId="46618BE3">
            <wp:extent cx="5924550" cy="2609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4997" cy="261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C53" w:rsidRPr="00C408BC" w:rsidRDefault="00540C53" w:rsidP="00277AF5">
      <w:pPr>
        <w:keepNext/>
        <w:jc w:val="both"/>
        <w:rPr>
          <w:b/>
          <w:i/>
        </w:rPr>
      </w:pPr>
      <w:r w:rsidRPr="00C408BC">
        <w:rPr>
          <w:b/>
          <w:i/>
        </w:rPr>
        <w:t>Cena nafty v EURO/litr</w:t>
      </w:r>
    </w:p>
    <w:p w:rsidR="00540C53" w:rsidRPr="00C408BC" w:rsidRDefault="00540C53" w:rsidP="00540C53">
      <w:pPr>
        <w:jc w:val="both"/>
      </w:pPr>
      <w:r w:rsidRPr="00C408BC">
        <w:rPr>
          <w:noProof/>
        </w:rPr>
        <w:drawing>
          <wp:inline distT="0" distB="0" distL="0" distR="0" wp14:anchorId="274056A3" wp14:editId="6A487684">
            <wp:extent cx="5867400" cy="3238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C53" w:rsidRPr="00540C53" w:rsidRDefault="00540C53" w:rsidP="00540C53">
      <w:pPr>
        <w:jc w:val="both"/>
      </w:pPr>
      <w:r w:rsidRPr="00C408BC">
        <w:t>Pokud by</w:t>
      </w:r>
      <w:r w:rsidRPr="00540C53">
        <w:t xml:space="preserve">chom se na ně podívali blíže, je patrné, že tuzemské ceny pohonných hmot zůstávají i přes současný nárůst, poměrně výrazně pod cenami pohonných hmot ve Spolkové republice Německo a jsou srovnatelné s Rakouskem. Pokud jde o Polsko a Maďarsko, ceny tam jsou nižší, neboť tamní vlády rozhodly o intervenci pro vlastní trhy ve smyslu </w:t>
      </w:r>
      <w:proofErr w:type="spellStart"/>
      <w:r w:rsidRPr="00540C53">
        <w:t>zastropování</w:t>
      </w:r>
      <w:proofErr w:type="spellEnd"/>
      <w:r w:rsidRPr="00540C53">
        <w:t xml:space="preserve"> maximální ceny nebo snížení DPH.</w:t>
      </w:r>
    </w:p>
    <w:p w:rsidR="00540C53" w:rsidRDefault="00540C53" w:rsidP="00540C53">
      <w:pPr>
        <w:jc w:val="both"/>
      </w:pPr>
      <w:r w:rsidRPr="00540C53">
        <w:t>Obecně lze konstatovat, že ceny pohonných hmot v ČR nejsou svázány žádnými pevnými pravidly a jsou výsledkem hospodářské soutěže mezi jednotlivými subjekty, které pohonné hmoty vyrábějí, případně importují ze zahraničí, distribuují a prodávají konečným zákazníkům. Jediné položky, které se v ceně pohonných hmot objevují a jsou stanoveny zákony je spotřební daň podle zákona č. 353/2006 Sb., ve znění pozdějších předpisů a DPH podle zákona 235/2004 Sb. ve znění pozdějších předpisů.</w:t>
      </w:r>
    </w:p>
    <w:p w:rsidR="00CE31C1" w:rsidRPr="00540C53" w:rsidRDefault="00CE31C1" w:rsidP="00540C53">
      <w:pPr>
        <w:jc w:val="both"/>
      </w:pPr>
      <w:proofErr w:type="gramStart"/>
      <w:r w:rsidRPr="00CE31C1">
        <w:t>Vláda  České</w:t>
      </w:r>
      <w:proofErr w:type="gramEnd"/>
      <w:r w:rsidRPr="00CE31C1">
        <w:t xml:space="preserve"> republiky se problematikou cen pohonných hmot  na svém zasedání dne 9. března t.r. zabývala a rozhodla, že Česká republika půjde cestou zrušení povinného přimíchávání biosložky do motorové nafty a také o zrušení silniční daně pro osobní vozy a dodávky do 12 tun. Zároveň vláda rozhodla o tom, </w:t>
      </w:r>
      <w:proofErr w:type="gramStart"/>
      <w:r w:rsidRPr="00CE31C1">
        <w:t>že  příslušné</w:t>
      </w:r>
      <w:proofErr w:type="gramEnd"/>
      <w:r w:rsidRPr="00CE31C1">
        <w:t xml:space="preserve"> úřady budou v rámci platné legislativy intenzivně monitorovat marže distributorů a prodejců pohonných hmot a výrazně posílí kontroly s cílem vyšší prevence před nezákonnými kartelovými dohodami.</w:t>
      </w:r>
    </w:p>
    <w:p w:rsidR="00540C53" w:rsidRPr="00A912B0" w:rsidRDefault="00540C53" w:rsidP="00540C53">
      <w:pPr>
        <w:jc w:val="both"/>
        <w:rPr>
          <w:bCs/>
        </w:rPr>
      </w:pPr>
      <w:r w:rsidRPr="00540C53">
        <w:rPr>
          <w:b/>
          <w:bCs/>
        </w:rPr>
        <w:lastRenderedPageBreak/>
        <w:t>Vysoké ceny plynu</w:t>
      </w:r>
      <w:r w:rsidRPr="00540C53">
        <w:rPr>
          <w:bCs/>
        </w:rPr>
        <w:t xml:space="preserve"> na evropských trzích se promítají i do tuzemska a postupně ovlivňují všechny zákazníky s tím, jak jim budou postupně končí fixace či platnost dosavadních smluv. Nejprudší, ve své podstatě šokový nárůst cen, se projevil u zákazníků, kteří se ocitli v režimu dodávky poslední instance. Tito zákazníci prakticky okamžitě čelili přecenění veškeré své spotřeby na aktuální velkoobchodní ceny. Naopak zákazníci, kteří mají bonitního dodavatele a uzavřeli smlouvy s delší fixací na 2 až 3 roky nemusí pocítit v tomto oka</w:t>
      </w:r>
      <w:r w:rsidRPr="00A912B0">
        <w:rPr>
          <w:bCs/>
        </w:rPr>
        <w:t>mžiku či nejbližší budoucnosti žádný nárůst cen, přičemž záleží na tom, zda daný dodavatel disponuje právem smlouvu vypovědět a zda tohoto práva využije.</w:t>
      </w:r>
    </w:p>
    <w:p w:rsidR="00540C53" w:rsidRPr="00A912B0" w:rsidRDefault="00540C53" w:rsidP="00540C53">
      <w:pPr>
        <w:jc w:val="both"/>
        <w:rPr>
          <w:bCs/>
        </w:rPr>
      </w:pPr>
      <w:r w:rsidRPr="00A912B0">
        <w:rPr>
          <w:bCs/>
        </w:rPr>
        <w:t>Možnosti státu</w:t>
      </w:r>
      <w:r>
        <w:rPr>
          <w:bCs/>
        </w:rPr>
        <w:t>,</w:t>
      </w:r>
      <w:r w:rsidRPr="00A912B0">
        <w:rPr>
          <w:bCs/>
        </w:rPr>
        <w:t xml:space="preserve"> respektive Energetického regulačního úřadu</w:t>
      </w:r>
      <w:r>
        <w:rPr>
          <w:bCs/>
        </w:rPr>
        <w:t>,</w:t>
      </w:r>
      <w:r w:rsidRPr="00A912B0">
        <w:rPr>
          <w:bCs/>
        </w:rPr>
        <w:t xml:space="preserve"> ovlivnit výši cen energií jsou omezené. U plynu je regulovaná složka ceny (přeprava, distribuce a poplatek OTE) výrazně minoritní a činí pouze </w:t>
      </w:r>
      <w:proofErr w:type="gramStart"/>
      <w:r w:rsidRPr="00A912B0">
        <w:rPr>
          <w:bCs/>
        </w:rPr>
        <w:t>20 – 25</w:t>
      </w:r>
      <w:proofErr w:type="gramEnd"/>
      <w:r w:rsidRPr="00A912B0">
        <w:rPr>
          <w:bCs/>
        </w:rPr>
        <w:t xml:space="preserve"> %. Ostatní složky ceny plynu jsou neregulované a tvoří se na základě trhu.</w:t>
      </w:r>
    </w:p>
    <w:p w:rsidR="00540C53" w:rsidRDefault="00540C53" w:rsidP="00540C53">
      <w:pPr>
        <w:jc w:val="both"/>
      </w:pPr>
      <w:r w:rsidRPr="00A912B0">
        <w:rPr>
          <w:bCs/>
        </w:rPr>
        <w:t xml:space="preserve">Pokud se jedná o srovnání se sousedními státy, tak asi nejobjektivnějším kritériem ke srovnání se sousedními státy je pravidelný čtvrtletní přehled trhu Evropské unie, vydávaný Evropskou komisí. Z výsledků 3. čtvrtletí loňského roku (přehled za poslední čtvrtletí uplynulého roku ještě není k dispozici) vyplývá, že co se týká tuzemských domácností, tak jejich průměrné ceny elektřiny i plynu byly sice vyšší než v Polsku či na Slovensku, ale pohybovaly se pod úrovní Spolkové republiky Německo či Rakouska. Naopak tuzemští průmysloví zákazníci měli nižší ceny jak elektřiny, tak i plynu, než tomu bylo ve všech státech sousedících s Českou </w:t>
      </w:r>
      <w:proofErr w:type="spellStart"/>
      <w:proofErr w:type="gramStart"/>
      <w:r w:rsidRPr="00A912B0">
        <w:rPr>
          <w:bCs/>
        </w:rPr>
        <w:t>republikou.</w:t>
      </w:r>
      <w:r w:rsidRPr="008D0BEA">
        <w:t>V</w:t>
      </w:r>
      <w:proofErr w:type="spellEnd"/>
      <w:proofErr w:type="gramEnd"/>
      <w:r w:rsidRPr="008D0BEA">
        <w:t xml:space="preserve"> souvislosti s válkou na Ukrajině rostou ceny energetických komodit (zemní plyn, ropa, uhlí), což se projevuje </w:t>
      </w:r>
      <w:r w:rsidRPr="00540C53">
        <w:rPr>
          <w:b/>
        </w:rPr>
        <w:t>i na ceně elektřiny</w:t>
      </w:r>
      <w:r w:rsidRPr="008D0BEA">
        <w:t xml:space="preserve">, která v posledních dnech dosahovala historických maxim (EEX-PXE Czech </w:t>
      </w:r>
      <w:proofErr w:type="spellStart"/>
      <w:r w:rsidRPr="008D0BEA">
        <w:t>Power</w:t>
      </w:r>
      <w:proofErr w:type="spellEnd"/>
      <w:r w:rsidRPr="008D0BEA">
        <w:t xml:space="preserve"> </w:t>
      </w:r>
      <w:proofErr w:type="spellStart"/>
      <w:r w:rsidRPr="008D0BEA">
        <w:t>Future</w:t>
      </w:r>
      <w:proofErr w:type="spellEnd"/>
      <w:r w:rsidRPr="008D0BEA">
        <w:t xml:space="preserve"> BL 487,41 eur/</w:t>
      </w:r>
      <w:proofErr w:type="spellStart"/>
      <w:r w:rsidRPr="008D0BEA">
        <w:t>MWh</w:t>
      </w:r>
      <w:proofErr w:type="spellEnd"/>
      <w:r w:rsidRPr="008D0BEA">
        <w:t xml:space="preserve"> zavírací cena dne 8.3.2022; na burze SEEPEX dokonce dosáhla 540 eur/</w:t>
      </w:r>
      <w:proofErr w:type="spellStart"/>
      <w:r w:rsidRPr="008D0BEA">
        <w:t>MWh</w:t>
      </w:r>
      <w:proofErr w:type="spellEnd"/>
      <w:r w:rsidRPr="008D0BEA">
        <w:t xml:space="preserve">). </w:t>
      </w:r>
      <w:r w:rsidR="00526075">
        <w:t>C</w:t>
      </w:r>
      <w:r w:rsidRPr="008D0BEA">
        <w:t>eny elektřiny, které byly již před začátkem konfliktu velmi vysoké</w:t>
      </w:r>
      <w:r>
        <w:t>,</w:t>
      </w:r>
      <w:r w:rsidRPr="008D0BEA">
        <w:t xml:space="preserve"> se prakticky během týdne od začátku konfliktu vyšplhaly ve všech sousedních státech nad 400 euro/</w:t>
      </w:r>
      <w:proofErr w:type="spellStart"/>
      <w:r w:rsidRPr="008D0BEA">
        <w:t>MWh</w:t>
      </w:r>
      <w:proofErr w:type="spellEnd"/>
      <w:r w:rsidRPr="008D0BEA">
        <w:t xml:space="preserve"> (reakce trhu na konflikt na Ukrajině se na burze s elektřinou projevila již 26.2.2022). Výjimkou je Polsko, které vyrábí z domácího zdroje – uhlí, a jehož trh je mnohem méně ovlivňován poptávkou okolních států kvůli nízkému přeshraničnímu propojení (oproti např. ČR, která je úzce navázaná na německý trh). </w:t>
      </w:r>
    </w:p>
    <w:p w:rsidR="002C4E07" w:rsidRDefault="002C4E07" w:rsidP="002C4E07">
      <w:pPr>
        <w:jc w:val="both"/>
      </w:pPr>
      <w:r>
        <w:t>Růst cen elektřiny a plynu vyvolává následný tlak na možnost určitých podpor pro zákazníky. Nemohou však být řešeny izolovaně jen na úrovni České republiky, ale musí jít o řešení dohodnutá v rámci jednání Evropské rady či Rady ministrů pro energetiku. Z jejích jednání vyplynuly některé možnosti, které mohou členské státy uplatnit při podpoře konečných zákazníků. Prioritně tato podpora ovšem směřuje k zákazníkům typu domácností, kde jsou nejvážnější sociální dopady, neboť značné části z nich reálně hrozí „energetická chudoba“.</w:t>
      </w:r>
    </w:p>
    <w:p w:rsidR="002C4E07" w:rsidRDefault="002C4E07" w:rsidP="002C4E07">
      <w:pPr>
        <w:jc w:val="both"/>
      </w:pPr>
      <w:r>
        <w:t xml:space="preserve"> V oblasti pomoci podnikům nebo průmyslovým odvětvím má však vláda omezenější prostor, neboť k ní lze použít pouze taková podpůrná opatření, která jsou v souladu s pravidly státní podpory a pravidly mezinárodních subvencí, nenarušují hospodářskou soutěž nebo nevedou k roztříštěnosti vnitřního trhu. Proto první opatření pomoci bylo logicky směrováno na ty malé a střední podnikatele, kterým stávající dodavatelé energií přestali poskytovat svoje služby (dodávky elektřiny nebo plynu) z důvodu náhlého ukončení své činnosti, a byli tak případně nuceni odebírat po přechodnou dobu energie od dodavatele poslední instance a následně uzavřeli smlouvy s novým dodavatelem energií, v důsledku čehož u nich došlo k nárůstu ceny energií. Na úhrady takto zvýšených nákladů budou moci požádat u Národní rozvojové banky o úvěr se státní zárukou až do výše dvou milionů korun. Umožní to rozšíření programu Záruka 2015 až 2023 poskytovaného touto státem vlastněnou bankou. Doba ručení je 2 roky, bez poplatků a ceny za poskytnutí záruky. Žádosti je možné podávat až do 30. listopadu 2023.</w:t>
      </w:r>
    </w:p>
    <w:p w:rsidR="002C4E07" w:rsidRDefault="002C4E07" w:rsidP="002C4E07">
      <w:pPr>
        <w:jc w:val="both"/>
      </w:pPr>
      <w:r>
        <w:t xml:space="preserve">Vyšší ceny energií, zejména elektřiny a plynu, však postupně ovlivňují všechny zákazníky s tím, jak jim postupně končí fixace či platnost dosavadních smluv. Pouze ti zákazníci, kteří mají bonitního dodavatele a uzavřeli smlouvy s delší fixací na 2 až 3 roky, nemusí v tomto okamžiku pocítit žádný nárůst cen, přičemž záleží na tom, zda daný dodavatel disponuje právem smlouvu vypovědět a zda tohoto práva využije. </w:t>
      </w:r>
    </w:p>
    <w:p w:rsidR="002C4E07" w:rsidRDefault="002C4E07" w:rsidP="002C4E07">
      <w:pPr>
        <w:jc w:val="both"/>
      </w:pPr>
      <w:r>
        <w:t xml:space="preserve">Mimo výše uvedených upozorňuji i na možnost využití dalšího záručního programu Národní rozvojové banky, a to Expanze – záruky, „Standardní záruka“. Program usnadňuje malým a středním podnikatelům přístup k investičním a provozním úvěrům od komerčních bank a dalších úvěrujících institucí. Záruku lze využít k úvěru, kterým lze financovat buď provozní výdaje (např. mzdy, nájemné, náklady na energie, dodavatelsko-odběratelské faktury, pořízení zásob a materiálu apod.), nebo projekt investičního charakteru. Záruku lze </w:t>
      </w:r>
      <w:r>
        <w:lastRenderedPageBreak/>
        <w:t>poskytnout až do výše 70 % jistiny úvěru. Výše zaručovaného úvěru je 4 až 40 mil. Kč. Doba ručení je poskytována až na 7 let, bez poplatků a ceny za poskytnutí záruky. Pokud v projektu převažují nemovité věci až na 10 let. Žádosti je možné podávat až do 30. června 2023.</w:t>
      </w:r>
    </w:p>
    <w:p w:rsidR="00526075" w:rsidRDefault="002C4E07" w:rsidP="00277AF5">
      <w:pPr>
        <w:jc w:val="both"/>
      </w:pPr>
      <w:r>
        <w:t xml:space="preserve">Firmy s náklady na energie, které převyšují deset procent z celkových provozních nákladů, budou moci získat na úvěr jeden až deset milionů korun a státní záruku až do 80 procent jistiny. Záruka Energie funguje v rámci programu Expanze-záruky pro malé a střední podnikatele, který je financovaný z evropských strukturálních a investičních fondů. Stát na pomoc vyčlenil miliardu korun. </w:t>
      </w:r>
      <w:r w:rsidRPr="002C4E07">
        <w:t xml:space="preserve">Podobně </w:t>
      </w:r>
      <w:r>
        <w:t xml:space="preserve">je </w:t>
      </w:r>
      <w:r w:rsidRPr="002C4E07">
        <w:t>zvaž</w:t>
      </w:r>
      <w:r>
        <w:t>ována</w:t>
      </w:r>
      <w:r w:rsidRPr="002C4E07">
        <w:t xml:space="preserve"> pomoc i velkým firmám, které mají energeticky náročný </w:t>
      </w:r>
      <w:proofErr w:type="spellStart"/>
      <w:proofErr w:type="gramStart"/>
      <w:r w:rsidRPr="002C4E07">
        <w:t>provoz.</w:t>
      </w:r>
      <w:r w:rsidR="00526075">
        <w:t>Investice</w:t>
      </w:r>
      <w:proofErr w:type="spellEnd"/>
      <w:proofErr w:type="gramEnd"/>
    </w:p>
    <w:p w:rsidR="00E601E3" w:rsidRDefault="00E601E3" w:rsidP="00E601E3">
      <w:pPr>
        <w:jc w:val="both"/>
      </w:pPr>
      <w:r>
        <w:t>Aktuální situace má dopady na investice v dotčených státech a na investice v subjektů z těchto států v České republice. Přímé zahraniční investice</w:t>
      </w:r>
      <w:r w:rsidR="000C03D3">
        <w:t xml:space="preserve"> (PZI)</w:t>
      </w:r>
      <w:r>
        <w:t xml:space="preserve"> do a ze států Ruska, Běloruska a Ukrajiny nejsou pro ČR, jako celek, významné. Jednotlivé sektory/firmy ovšem mohou evidovat omezení v investiční aktivitě. </w:t>
      </w:r>
    </w:p>
    <w:p w:rsidR="00E601E3" w:rsidRDefault="00E601E3" w:rsidP="00E601E3">
      <w:pPr>
        <w:jc w:val="both"/>
      </w:pPr>
      <w:r>
        <w:t xml:space="preserve">S ohledem na to, že Rusko provedlo již některé kroky, které lze považovat za praktické zabavení majetku západních subjektů (případ leasingu letadel), jsou i české firmy vystaveny těmto rizikům. Řada firem pak již ohlásila částečné nebo trvalé stažení se z ruského trhu. </w:t>
      </w:r>
    </w:p>
    <w:p w:rsidR="00E601E3" w:rsidRDefault="00E601E3" w:rsidP="0048307C">
      <w:pPr>
        <w:jc w:val="both"/>
      </w:pPr>
      <w:r w:rsidRPr="000C03D3">
        <w:rPr>
          <w:b/>
        </w:rPr>
        <w:t>Rusko</w:t>
      </w:r>
      <w:r>
        <w:t xml:space="preserve"> je 18. nejvýraznější investor v ČR.</w:t>
      </w:r>
      <w:r w:rsidRPr="00E601E3">
        <w:t xml:space="preserve"> </w:t>
      </w:r>
      <w:r>
        <w:t xml:space="preserve">Ruské PZI tvořily dle ČNB ke konci roku 2019 necelých </w:t>
      </w:r>
      <w:r w:rsidRPr="00E601E3">
        <w:t>0,6 %</w:t>
      </w:r>
      <w:r>
        <w:t xml:space="preserve"> celkových investic v ČR v hodnotě </w:t>
      </w:r>
      <w:r w:rsidRPr="00E601E3">
        <w:t>22 978,3 mil. Kč</w:t>
      </w:r>
      <w:r>
        <w:t xml:space="preserve">, z čehož </w:t>
      </w:r>
      <w:r w:rsidRPr="00E601E3">
        <w:t>22 035,9 mil. Kč</w:t>
      </w:r>
      <w:r>
        <w:t xml:space="preserve"> je základní kapitál, </w:t>
      </w:r>
      <w:r w:rsidRPr="00E601E3">
        <w:t>-3 057,1 mil. Kč</w:t>
      </w:r>
      <w:r>
        <w:t xml:space="preserve"> jsou reinvestované zisky a </w:t>
      </w:r>
      <w:r w:rsidRPr="00E601E3">
        <w:t>3 999,6 mil. Kč</w:t>
      </w:r>
      <w:r>
        <w:t xml:space="preserve"> jsou ostatní investice. Nejvíc ruských investic bylo alokováno v odvětví s</w:t>
      </w:r>
      <w:r w:rsidRPr="00CD0BA2">
        <w:t>oukrom</w:t>
      </w:r>
      <w:r>
        <w:t>ého</w:t>
      </w:r>
      <w:r w:rsidRPr="00CD0BA2">
        <w:t xml:space="preserve"> nákup</w:t>
      </w:r>
      <w:r>
        <w:t>u</w:t>
      </w:r>
      <w:r w:rsidRPr="00CD0BA2">
        <w:t xml:space="preserve"> a prodej</w:t>
      </w:r>
      <w:r>
        <w:t>e</w:t>
      </w:r>
      <w:r w:rsidRPr="00CD0BA2">
        <w:t xml:space="preserve"> nemovitostí</w:t>
      </w:r>
      <w:r>
        <w:t xml:space="preserve"> (</w:t>
      </w:r>
      <w:r w:rsidRPr="00E601E3">
        <w:t>13 782,3 mil. Kč</w:t>
      </w:r>
      <w:r>
        <w:t>, až 60,0 %) následováno sektorem služeb (</w:t>
      </w:r>
      <w:r w:rsidRPr="00E601E3">
        <w:t>7 089,6 mil. Kč</w:t>
      </w:r>
      <w:r>
        <w:t>, až 30,9 %).</w:t>
      </w:r>
    </w:p>
    <w:p w:rsidR="0048307C" w:rsidRDefault="00E601E3" w:rsidP="0048307C">
      <w:pPr>
        <w:jc w:val="both"/>
      </w:pPr>
      <w:r>
        <w:t xml:space="preserve">Rusko se ke konci roku 2019 nacházelo na 14. pozici s </w:t>
      </w:r>
      <w:r w:rsidRPr="00E601E3">
        <w:t>11 488,1 mil. Kč</w:t>
      </w:r>
      <w:r>
        <w:t xml:space="preserve">, co je 1,1 % celkových českých investic v zahraničí. Z toho bylo </w:t>
      </w:r>
      <w:r w:rsidRPr="00E601E3">
        <w:t>4 708,1 mil. Kč</w:t>
      </w:r>
      <w:r>
        <w:t xml:space="preserve"> základní kapitál, </w:t>
      </w:r>
      <w:r w:rsidRPr="00E601E3">
        <w:t>3 888,9 mil. Kč</w:t>
      </w:r>
      <w:r>
        <w:t xml:space="preserve"> reinvestovaný zisk a </w:t>
      </w:r>
      <w:r w:rsidRPr="00E601E3">
        <w:t>2 891,1 mil. Kč</w:t>
      </w:r>
      <w:r>
        <w:t xml:space="preserve"> ostatní kapitál.</w:t>
      </w:r>
      <w:r w:rsidR="0048307C">
        <w:t xml:space="preserve"> Zde je však nezbytné uvést, že statistika přímých investic českých subjektů nepracuje s pojetím koncového vlastníka. Tudíž některé i významné expozice vůči dotčeným trhům nemusejí být takto podchyceny. </w:t>
      </w:r>
    </w:p>
    <w:p w:rsidR="000C03D3" w:rsidRDefault="000C03D3" w:rsidP="000C03D3">
      <w:pPr>
        <w:jc w:val="both"/>
      </w:pPr>
      <w:r w:rsidRPr="000C03D3">
        <w:rPr>
          <w:b/>
        </w:rPr>
        <w:t>Bělorusko</w:t>
      </w:r>
      <w:r>
        <w:t xml:space="preserve"> je až 43. nejvýraznější investor v ČR.</w:t>
      </w:r>
      <w:r w:rsidRPr="00603F70">
        <w:t xml:space="preserve"> </w:t>
      </w:r>
      <w:r>
        <w:t xml:space="preserve">Běloruské PZI tvořily dle ČNB ke konci roku 2019 pouze </w:t>
      </w:r>
      <w:r w:rsidRPr="00CD0BA2">
        <w:t>0,0075</w:t>
      </w:r>
      <w:r>
        <w:t> </w:t>
      </w:r>
      <w:r w:rsidRPr="00CD0BA2">
        <w:t>%</w:t>
      </w:r>
      <w:r>
        <w:t xml:space="preserve"> celkových investic v ČR v hodnotě </w:t>
      </w:r>
      <w:r w:rsidRPr="000C03D3">
        <w:t>290,9 mil. Kč</w:t>
      </w:r>
      <w:r>
        <w:t xml:space="preserve">, z čehož </w:t>
      </w:r>
      <w:r w:rsidRPr="000C03D3">
        <w:t>250,1 mil. Kč</w:t>
      </w:r>
      <w:r>
        <w:t xml:space="preserve"> je základní kapitál. Nejvíc běloruských investic bylo alokováno v odvětví s</w:t>
      </w:r>
      <w:r w:rsidRPr="00CD0BA2">
        <w:t>oukrom</w:t>
      </w:r>
      <w:r>
        <w:t>ého</w:t>
      </w:r>
      <w:r w:rsidRPr="00CD0BA2">
        <w:t xml:space="preserve"> nákup</w:t>
      </w:r>
      <w:r>
        <w:t>u</w:t>
      </w:r>
      <w:r w:rsidRPr="00CD0BA2">
        <w:t xml:space="preserve"> a prodej</w:t>
      </w:r>
      <w:r>
        <w:t>e</w:t>
      </w:r>
      <w:r w:rsidRPr="00CD0BA2">
        <w:t xml:space="preserve"> nemovitostí</w:t>
      </w:r>
      <w:r>
        <w:t xml:space="preserve"> (</w:t>
      </w:r>
      <w:r w:rsidRPr="000C03D3">
        <w:t>250,1 mil. Kč</w:t>
      </w:r>
      <w:r>
        <w:t>).</w:t>
      </w:r>
    </w:p>
    <w:p w:rsidR="00526075" w:rsidRDefault="000C03D3" w:rsidP="000C03D3">
      <w:pPr>
        <w:jc w:val="both"/>
      </w:pPr>
      <w:r>
        <w:t xml:space="preserve">Pro ČR se Bělorusko nachází na 25. pozici s </w:t>
      </w:r>
      <w:r w:rsidRPr="000C03D3">
        <w:t>1 000,4 mil. Kč</w:t>
      </w:r>
      <w:r>
        <w:t xml:space="preserve">, co je 0,1 % celkových českých investic v zahraničí. Z toho bylo </w:t>
      </w:r>
      <w:r w:rsidRPr="000C03D3">
        <w:t>553,6 mil. Kč</w:t>
      </w:r>
      <w:r>
        <w:t xml:space="preserve"> základní kapitál, </w:t>
      </w:r>
      <w:r w:rsidRPr="000C03D3">
        <w:t>439,8 mil. Kč</w:t>
      </w:r>
      <w:r>
        <w:t xml:space="preserve"> reinvestovaný zisk a </w:t>
      </w:r>
      <w:r w:rsidRPr="000C03D3">
        <w:t>6,9 mil. Kč</w:t>
      </w:r>
      <w:r>
        <w:t xml:space="preserve"> ostatní kapitál.</w:t>
      </w:r>
    </w:p>
    <w:p w:rsidR="000C03D3" w:rsidRDefault="000C03D3" w:rsidP="000C03D3">
      <w:pPr>
        <w:jc w:val="both"/>
      </w:pPr>
      <w:r w:rsidRPr="000C03D3">
        <w:rPr>
          <w:b/>
        </w:rPr>
        <w:t>Ukrajina</w:t>
      </w:r>
      <w:r>
        <w:t xml:space="preserve"> je až 31. nejvýraznější investor v ČR.</w:t>
      </w:r>
      <w:r w:rsidRPr="00603F70">
        <w:t xml:space="preserve"> </w:t>
      </w:r>
      <w:r>
        <w:t xml:space="preserve">Ukrajinské PZI tvořily dle ČNB ke konci roku 2019 pouhých </w:t>
      </w:r>
      <w:r w:rsidRPr="00C52B0D">
        <w:t>0,074</w:t>
      </w:r>
      <w:r>
        <w:t xml:space="preserve"> % celkových investic v ČR v hodnotě </w:t>
      </w:r>
      <w:r w:rsidRPr="000C03D3">
        <w:t>2 881,7 mil. Kč</w:t>
      </w:r>
      <w:r>
        <w:t xml:space="preserve">, z čehož </w:t>
      </w:r>
      <w:r w:rsidRPr="000C03D3">
        <w:t>3 092,8 mil. Kč</w:t>
      </w:r>
      <w:r>
        <w:t xml:space="preserve"> je základní kapitál, </w:t>
      </w:r>
      <w:r w:rsidRPr="000C03D3">
        <w:t>-326,0 mil. Kč</w:t>
      </w:r>
      <w:r>
        <w:t xml:space="preserve"> jsou reinvestované zisky a </w:t>
      </w:r>
      <w:r w:rsidRPr="000C03D3">
        <w:t xml:space="preserve">114,8 mil. Kč </w:t>
      </w:r>
      <w:r>
        <w:t>jsou ostatní investice. Nejvíc ukrajinských investic bylo alokováno v odvětví s</w:t>
      </w:r>
      <w:r w:rsidRPr="00CD0BA2">
        <w:t>oukrom</w:t>
      </w:r>
      <w:r>
        <w:t>ého</w:t>
      </w:r>
      <w:r w:rsidRPr="00CD0BA2">
        <w:t xml:space="preserve"> nákup</w:t>
      </w:r>
      <w:r>
        <w:t>u</w:t>
      </w:r>
      <w:r w:rsidRPr="00CD0BA2">
        <w:t xml:space="preserve"> a prodej</w:t>
      </w:r>
      <w:r>
        <w:t>e</w:t>
      </w:r>
      <w:r w:rsidRPr="00CD0BA2">
        <w:t xml:space="preserve"> nemovitostí</w:t>
      </w:r>
      <w:r>
        <w:t xml:space="preserve"> (</w:t>
      </w:r>
      <w:r w:rsidRPr="000C03D3">
        <w:t>2 727,6 mil. Kč</w:t>
      </w:r>
      <w:r>
        <w:t>) následováno sektorem služeb (</w:t>
      </w:r>
      <w:r w:rsidRPr="000C03D3">
        <w:t>658,7 mil. Kč</w:t>
      </w:r>
      <w:r>
        <w:t>, až 22,9 %).</w:t>
      </w:r>
    </w:p>
    <w:p w:rsidR="00540C53" w:rsidRDefault="000C03D3" w:rsidP="00540C53">
      <w:pPr>
        <w:jc w:val="both"/>
      </w:pPr>
      <w:r>
        <w:t xml:space="preserve">Pro ČR se Ukrajina nachází na 24. pozici s </w:t>
      </w:r>
      <w:r w:rsidRPr="000C03D3">
        <w:t>1 560,5 mil. Kč</w:t>
      </w:r>
      <w:r>
        <w:t xml:space="preserve">, což je 0,2 % celkových českých investic v zahraničí. Z toho bylo </w:t>
      </w:r>
      <w:r w:rsidRPr="000C03D3">
        <w:t>611,8 mil. Kč</w:t>
      </w:r>
      <w:r>
        <w:t xml:space="preserve"> základní kapitál, </w:t>
      </w:r>
      <w:r w:rsidRPr="000C03D3">
        <w:t>746,1 mil. Kč</w:t>
      </w:r>
      <w:r>
        <w:t xml:space="preserve"> reinvestovaný zisk a </w:t>
      </w:r>
      <w:r w:rsidRPr="000C03D3">
        <w:t>202,7 mil. Kč</w:t>
      </w:r>
      <w:r>
        <w:t xml:space="preserve"> ostatní kapitál. </w:t>
      </w:r>
    </w:p>
    <w:p w:rsidR="00A75B5E" w:rsidRPr="00A75B5E" w:rsidRDefault="00A75B5E" w:rsidP="00A75B5E">
      <w:pPr>
        <w:jc w:val="both"/>
        <w:rPr>
          <w:b/>
        </w:rPr>
      </w:pPr>
      <w:r w:rsidRPr="00A75B5E">
        <w:rPr>
          <w:b/>
        </w:rPr>
        <w:t xml:space="preserve">České investice v teritoriu jsou tak ve značném ohrožení, kde kromě přímého majetkové dopadu vyvstává i riziko pro napojený dodavatelský řetězec. </w:t>
      </w:r>
    </w:p>
    <w:p w:rsidR="00540C53" w:rsidRPr="00FB7252" w:rsidRDefault="00FB7252" w:rsidP="00FB7252">
      <w:pPr>
        <w:pStyle w:val="Nadpis2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t>Makroekonomické dopady</w:t>
      </w:r>
    </w:p>
    <w:p w:rsidR="00FB7252" w:rsidRPr="00FB7252" w:rsidRDefault="00FB7252" w:rsidP="00FB7252">
      <w:pPr>
        <w:jc w:val="both"/>
      </w:pPr>
      <w:r w:rsidRPr="00FB7252">
        <w:t>V danou chvíli je obtížné kvantifikovat souhrnné dopady. Významně jsou narušeny dodavatelsko-odběratelské řetězce, a to nejen problémy s dopravou, ale i faktickými výpadky dodávek některých surovin a produktů. Ukazuje se přitom, že problémy se světovými dodávkami surovin sehrály zásadní roli již v </w:t>
      </w:r>
      <w:proofErr w:type="spellStart"/>
      <w:r w:rsidRPr="00FB7252">
        <w:t>covidové</w:t>
      </w:r>
      <w:proofErr w:type="spellEnd"/>
      <w:r w:rsidRPr="00FB7252">
        <w:t xml:space="preserve"> krizi, a tyto aspekty byly v dřívějších predikcích vývoje podceněny. Modelování těchto změn je v rámci standar</w:t>
      </w:r>
      <w:r w:rsidR="007833DD">
        <w:t>d</w:t>
      </w:r>
      <w:r w:rsidRPr="00FB7252">
        <w:t xml:space="preserve">ně používaných modelů krátkodobých fluktuací složité. V tuto chvíli proto lze proto spíše naznačit budoucí směry, nicméně práce na predikci s kvantitativními údaji se zpracovává. </w:t>
      </w:r>
    </w:p>
    <w:p w:rsidR="00FB7252" w:rsidRPr="00FB7252" w:rsidRDefault="00FB7252" w:rsidP="00FB7252">
      <w:pPr>
        <w:jc w:val="both"/>
      </w:pPr>
      <w:r w:rsidRPr="00FB7252">
        <w:t>Z hlediska budoucího vývoje očekáváme</w:t>
      </w:r>
      <w:r w:rsidR="008B50A4">
        <w:t>:</w:t>
      </w:r>
    </w:p>
    <w:p w:rsidR="00FB7252" w:rsidRPr="00FB7252" w:rsidRDefault="00FB7252" w:rsidP="00FB7252">
      <w:pPr>
        <w:pStyle w:val="Odstavecseseznamem"/>
        <w:numPr>
          <w:ilvl w:val="0"/>
          <w:numId w:val="42"/>
        </w:numPr>
        <w:jc w:val="both"/>
        <w:rPr>
          <w:rStyle w:val="Siln"/>
          <w:rFonts w:cstheme="minorHAnsi"/>
          <w:b w:val="0"/>
        </w:rPr>
      </w:pPr>
      <w:r w:rsidRPr="00FB7252">
        <w:rPr>
          <w:rStyle w:val="Siln"/>
          <w:rFonts w:cstheme="minorHAnsi"/>
          <w:b w:val="0"/>
        </w:rPr>
        <w:lastRenderedPageBreak/>
        <w:t>pomalejší růst HDP: V</w:t>
      </w:r>
      <w:r w:rsidRPr="00FB7252">
        <w:rPr>
          <w:rStyle w:val="Text12"/>
          <w:rFonts w:cstheme="minorHAnsi"/>
          <w:color w:val="000000" w:themeColor="text1"/>
        </w:rPr>
        <w:t>zhledem k vyhrocené geopolitické situaci budou ještě déle</w:t>
      </w:r>
      <w:r w:rsidR="008B50A4">
        <w:rPr>
          <w:rStyle w:val="Text12"/>
          <w:rFonts w:cstheme="minorHAnsi"/>
          <w:color w:val="000000" w:themeColor="text1"/>
        </w:rPr>
        <w:t>,</w:t>
      </w:r>
      <w:r w:rsidRPr="00FB7252">
        <w:rPr>
          <w:rStyle w:val="Text12"/>
          <w:rFonts w:cstheme="minorHAnsi"/>
          <w:color w:val="000000" w:themeColor="text1"/>
        </w:rPr>
        <w:t xml:space="preserve"> než se původně očekávalo, přetrvávat nepříznivé efekty růstu cen vstupů i narušení výrobních a obchodních řetězců, možné problémy v průmyslu, nižší spotřeba domácností. </w:t>
      </w:r>
    </w:p>
    <w:p w:rsidR="00FB7252" w:rsidRPr="00FB7252" w:rsidRDefault="00FB7252" w:rsidP="00FB7252">
      <w:pPr>
        <w:pStyle w:val="Odstavecseseznamem"/>
        <w:numPr>
          <w:ilvl w:val="0"/>
          <w:numId w:val="42"/>
        </w:numPr>
        <w:jc w:val="both"/>
        <w:rPr>
          <w:rStyle w:val="Siln"/>
          <w:rFonts w:cs="Times New Roman"/>
          <w:b w:val="0"/>
        </w:rPr>
      </w:pPr>
      <w:r w:rsidRPr="00FB7252">
        <w:rPr>
          <w:rStyle w:val="Siln"/>
          <w:rFonts w:cstheme="minorHAnsi"/>
          <w:b w:val="0"/>
        </w:rPr>
        <w:t>růst inflace: V únoru stoupla meziročně na 11,1 %, bez započtení vlivu konfliktu, který se projeví až v následujících měsících. Důvodem jsou zejména d</w:t>
      </w:r>
      <w:r w:rsidRPr="00FB7252">
        <w:rPr>
          <w:rFonts w:cstheme="minorHAnsi"/>
        </w:rPr>
        <w:t xml:space="preserve">ražší energie – </w:t>
      </w:r>
      <w:r w:rsidRPr="00FB7252">
        <w:rPr>
          <w:rStyle w:val="Text12"/>
          <w:rFonts w:cstheme="minorHAnsi"/>
          <w:color w:val="000000" w:themeColor="text1"/>
        </w:rPr>
        <w:t>zrychlil růst cen elektřiny, zemního plynu, pohonných hmot</w:t>
      </w:r>
      <w:r w:rsidRPr="00FB7252">
        <w:rPr>
          <w:rFonts w:cstheme="minorHAnsi"/>
        </w:rPr>
        <w:t>, což je projevilo zejména v nákladech na bydlení a v růstu cen potravin.</w:t>
      </w:r>
      <w:r w:rsidRPr="00FB7252">
        <w:rPr>
          <w:rStyle w:val="Text12"/>
          <w:rFonts w:cstheme="minorHAnsi"/>
          <w:color w:val="000000" w:themeColor="text1"/>
        </w:rPr>
        <w:t xml:space="preserve"> Bydlení, doprava </w:t>
      </w:r>
      <w:r w:rsidRPr="00FB7252">
        <w:rPr>
          <w:rStyle w:val="Siln"/>
          <w:b w:val="0"/>
        </w:rPr>
        <w:t xml:space="preserve">a potraviny jako tři nejvýznamnější položky spotřebitelského koše se nyní na inflaci podílejí téměř ze dvou třetin. </w:t>
      </w:r>
      <w:r w:rsidR="00EB1E8E">
        <w:rPr>
          <w:rStyle w:val="Siln"/>
          <w:b w:val="0"/>
        </w:rPr>
        <w:t xml:space="preserve">Strmý meziroční vzestup na úrovni nad 20 % zaznamenaly v únoru ceny zemědělských výrobců i průmyslových výrobců. </w:t>
      </w:r>
      <w:r w:rsidR="0019240E">
        <w:rPr>
          <w:rStyle w:val="Siln"/>
          <w:b w:val="0"/>
        </w:rPr>
        <w:t xml:space="preserve">Zásadní roli hraje rovněž nárůst na evropských trzích, kde ceny průmyslových výrobců v lednu vzrostly meziročně o 30 %. </w:t>
      </w:r>
      <w:r w:rsidR="00EB1E8E">
        <w:rPr>
          <w:rStyle w:val="Siln"/>
          <w:b w:val="0"/>
        </w:rPr>
        <w:t xml:space="preserve"> </w:t>
      </w:r>
    </w:p>
    <w:p w:rsidR="00FB7252" w:rsidRPr="00FB7252" w:rsidRDefault="00FB7252" w:rsidP="00FB7252">
      <w:pPr>
        <w:pStyle w:val="Odstavecseseznamem"/>
        <w:numPr>
          <w:ilvl w:val="0"/>
          <w:numId w:val="42"/>
        </w:numPr>
        <w:jc w:val="both"/>
        <w:rPr>
          <w:rStyle w:val="Siln"/>
          <w:rFonts w:cstheme="minorHAnsi"/>
          <w:b w:val="0"/>
        </w:rPr>
      </w:pPr>
      <w:r w:rsidRPr="00FB7252">
        <w:rPr>
          <w:rStyle w:val="Siln"/>
          <w:rFonts w:cstheme="minorHAnsi"/>
          <w:b w:val="0"/>
        </w:rPr>
        <w:t>nebezpečn</w:t>
      </w:r>
      <w:r w:rsidR="00EB1E8E">
        <w:rPr>
          <w:rStyle w:val="Siln"/>
          <w:rFonts w:cstheme="minorHAnsi"/>
          <w:b w:val="0"/>
        </w:rPr>
        <w:t>ý</w:t>
      </w:r>
      <w:r w:rsidRPr="00FB7252">
        <w:rPr>
          <w:rStyle w:val="Siln"/>
          <w:rFonts w:cstheme="minorHAnsi"/>
          <w:b w:val="0"/>
        </w:rPr>
        <w:t xml:space="preserve"> mix tlaků na inflaci jak z poptávkové, tak i nabídkové strany</w:t>
      </w:r>
      <w:r w:rsidR="00EB1E8E">
        <w:rPr>
          <w:rStyle w:val="Siln"/>
          <w:rFonts w:cstheme="minorHAnsi"/>
          <w:b w:val="0"/>
        </w:rPr>
        <w:t>:</w:t>
      </w:r>
      <w:r w:rsidRPr="00FB7252">
        <w:rPr>
          <w:rStyle w:val="Siln"/>
          <w:rFonts w:cstheme="minorHAnsi"/>
          <w:b w:val="0"/>
        </w:rPr>
        <w:t xml:space="preserve"> Na straně nabídky bude působit rozpad některých dodavatelských řetězců a nárůst cen primárních vstup</w:t>
      </w:r>
      <w:r>
        <w:rPr>
          <w:rStyle w:val="Siln"/>
          <w:rFonts w:cstheme="minorHAnsi"/>
          <w:b w:val="0"/>
        </w:rPr>
        <w:t>ů</w:t>
      </w:r>
      <w:r w:rsidRPr="00FB7252">
        <w:rPr>
          <w:rStyle w:val="Siln"/>
          <w:rFonts w:cstheme="minorHAnsi"/>
          <w:b w:val="0"/>
        </w:rPr>
        <w:t xml:space="preserve">, který bude dále prolínat přes meziprodukty až směrem k finálním produktům. Na straně poptávky se může projevit silná migrační vlna, která vyvolá zvýšený tlak ze </w:t>
      </w:r>
      <w:r>
        <w:rPr>
          <w:rStyle w:val="Siln"/>
          <w:rFonts w:cstheme="minorHAnsi"/>
          <w:b w:val="0"/>
        </w:rPr>
        <w:t>růstu</w:t>
      </w:r>
      <w:r w:rsidRPr="00FB7252">
        <w:rPr>
          <w:rStyle w:val="Siln"/>
          <w:rFonts w:cstheme="minorHAnsi"/>
          <w:b w:val="0"/>
        </w:rPr>
        <w:t xml:space="preserve"> celkové spotřeby. </w:t>
      </w:r>
    </w:p>
    <w:p w:rsidR="00FB7252" w:rsidRPr="00FB7252" w:rsidRDefault="00FB7252" w:rsidP="00FB7252">
      <w:pPr>
        <w:pStyle w:val="Odstavecseseznamem"/>
        <w:numPr>
          <w:ilvl w:val="0"/>
          <w:numId w:val="42"/>
        </w:numPr>
        <w:jc w:val="both"/>
        <w:rPr>
          <w:rStyle w:val="Siln"/>
          <w:rFonts w:cs="Times New Roman"/>
          <w:b w:val="0"/>
        </w:rPr>
      </w:pPr>
      <w:r w:rsidRPr="00FB7252">
        <w:rPr>
          <w:rStyle w:val="Siln"/>
          <w:rFonts w:eastAsiaTheme="majorEastAsia" w:cstheme="minorHAnsi"/>
          <w:b w:val="0"/>
        </w:rPr>
        <w:t>kontrakce na trhu práce</w:t>
      </w:r>
      <w:r w:rsidRPr="00FB7252">
        <w:rPr>
          <w:rStyle w:val="Siln"/>
          <w:rFonts w:cstheme="minorHAnsi"/>
          <w:b w:val="0"/>
        </w:rPr>
        <w:t xml:space="preserve">: kvalifikační struktura </w:t>
      </w:r>
      <w:r w:rsidR="0019240E">
        <w:rPr>
          <w:rStyle w:val="Siln"/>
          <w:rFonts w:cstheme="minorHAnsi"/>
          <w:b w:val="0"/>
        </w:rPr>
        <w:t xml:space="preserve">uprchlíků je </w:t>
      </w:r>
      <w:r w:rsidRPr="00FB7252">
        <w:rPr>
          <w:rStyle w:val="Siln"/>
          <w:rFonts w:cstheme="minorHAnsi"/>
          <w:b w:val="0"/>
        </w:rPr>
        <w:t>pravděpodobně odlišná od struktury nabízených pozic. Zaměstnanci chybí napříč celou ekonomikou, zájem je o dělníky výstavby budov, obsluhu vysokozdvižných vozíků, montážní dělníky, pomocníky ve výrobě nebo řidiče nákladních automobilů, uklízeče a zedníky, pracovníky ve zdravotních a sociálních službách.</w:t>
      </w:r>
      <w:r w:rsidR="0019240E">
        <w:rPr>
          <w:rStyle w:val="Siln"/>
          <w:rFonts w:cstheme="minorHAnsi"/>
          <w:b w:val="0"/>
        </w:rPr>
        <w:t xml:space="preserve"> V souvislosti se zpomalením ekonomického oživení očekáváme tlak na růst nezaměstnanosti.  </w:t>
      </w:r>
    </w:p>
    <w:p w:rsidR="00EB1E8E" w:rsidRPr="00EB1E8E" w:rsidRDefault="00FB7252" w:rsidP="00FB7252">
      <w:pPr>
        <w:pStyle w:val="Odstavecseseznamem"/>
        <w:numPr>
          <w:ilvl w:val="0"/>
          <w:numId w:val="42"/>
        </w:numPr>
        <w:jc w:val="both"/>
        <w:rPr>
          <w:rFonts w:ascii="Calibri" w:eastAsia="Calibri" w:hAnsi="Calibri" w:cstheme="minorHAnsi"/>
        </w:rPr>
      </w:pPr>
      <w:r w:rsidRPr="00FB7252">
        <w:rPr>
          <w:rFonts w:cstheme="minorHAnsi"/>
          <w:bCs/>
        </w:rPr>
        <w:t>tlak na veřejné finance: D</w:t>
      </w:r>
      <w:r w:rsidRPr="00FB7252">
        <w:rPr>
          <w:rFonts w:cstheme="minorHAnsi"/>
        </w:rPr>
        <w:t>alší eskalace konfliktu spojená s možným omezením dodávek strategických surovin by přerušila započatou fiskální konsolidaci. Očekáváme významné dopady do sociálního a zdravotního systému.</w:t>
      </w:r>
      <w:r w:rsidR="00EB1E8E">
        <w:rPr>
          <w:rFonts w:cstheme="minorHAnsi"/>
        </w:rPr>
        <w:t xml:space="preserve"> </w:t>
      </w:r>
    </w:p>
    <w:p w:rsidR="00FB7252" w:rsidRPr="00EB1E8E" w:rsidRDefault="00EB1E8E" w:rsidP="00EB1E8E">
      <w:pPr>
        <w:jc w:val="both"/>
        <w:rPr>
          <w:rFonts w:ascii="Calibri" w:eastAsia="Calibri" w:hAnsi="Calibri" w:cstheme="minorHAnsi"/>
        </w:rPr>
      </w:pPr>
      <w:r>
        <w:t xml:space="preserve">Důležitá je skutečnost, že dopady budou u domácností asymetrické napříč jednotlivými příjmovými skupinami a u firem napříč odvětvími ve kterých působí. Dopady budou rovněž působit různou hloubkou na jednotlivé státy. </w:t>
      </w:r>
      <w:r w:rsidR="00FB7252">
        <w:t xml:space="preserve">Firmy budou čelit dalším problémům v oblasti likvidity a plynulostí dodávek. </w:t>
      </w:r>
    </w:p>
    <w:p w:rsidR="00FB7252" w:rsidRDefault="00FB7252" w:rsidP="00FB7252">
      <w:pPr>
        <w:jc w:val="both"/>
      </w:pPr>
      <w:r>
        <w:t xml:space="preserve">Situace se projeví nepochybně ve financování rizik, tedy dražším pojištění obchodních aktivit a obecně vzrostou náklady na financování obchodních operací. </w:t>
      </w:r>
    </w:p>
    <w:p w:rsidR="003F1D1C" w:rsidRDefault="006C068E" w:rsidP="003F1D1C">
      <w:pPr>
        <w:pStyle w:val="Nadpis1"/>
      </w:pPr>
      <w:r>
        <w:t xml:space="preserve">Prioritní oblasti </w:t>
      </w:r>
      <w:r w:rsidR="007B1F77">
        <w:t>pro zmírnění důsledků války na</w:t>
      </w:r>
      <w:r w:rsidR="00E964CB">
        <w:t> </w:t>
      </w:r>
      <w:r w:rsidR="007B1F77">
        <w:t>Ukrajině</w:t>
      </w:r>
    </w:p>
    <w:p w:rsidR="00E964CB" w:rsidRDefault="00E964CB" w:rsidP="00501B42">
      <w:pPr>
        <w:pStyle w:val="Nadpis2"/>
      </w:pPr>
      <w:r w:rsidRPr="007257A9">
        <w:t>Operativní a krátkodobá opatření</w:t>
      </w:r>
    </w:p>
    <w:p w:rsidR="0034278F" w:rsidRDefault="0034278F" w:rsidP="0034278F">
      <w:r>
        <w:t>Ř</w:t>
      </w:r>
      <w:r w:rsidR="00501B42">
        <w:t>ízení</w:t>
      </w:r>
    </w:p>
    <w:p w:rsidR="00501B42" w:rsidRDefault="00724012" w:rsidP="007257A9">
      <w:pPr>
        <w:pStyle w:val="Odstavecseseznamem"/>
        <w:numPr>
          <w:ilvl w:val="0"/>
          <w:numId w:val="44"/>
        </w:numPr>
        <w:jc w:val="both"/>
      </w:pPr>
      <w:r>
        <w:t xml:space="preserve">Určit </w:t>
      </w:r>
      <w:r w:rsidR="00501B42">
        <w:t xml:space="preserve">funkční </w:t>
      </w:r>
      <w:r>
        <w:t xml:space="preserve">meziresortní </w:t>
      </w:r>
      <w:r w:rsidR="00501B42">
        <w:t>platform</w:t>
      </w:r>
      <w:r>
        <w:t>u</w:t>
      </w:r>
      <w:r w:rsidR="00501B42">
        <w:t xml:space="preserve"> pro koordinaci ekonomických opatření</w:t>
      </w:r>
    </w:p>
    <w:p w:rsidR="0034278F" w:rsidRDefault="0034278F" w:rsidP="00943100">
      <w:pPr>
        <w:pStyle w:val="Odstavecseseznamem"/>
        <w:numPr>
          <w:ilvl w:val="0"/>
          <w:numId w:val="44"/>
        </w:numPr>
        <w:jc w:val="both"/>
      </w:pPr>
      <w:r>
        <w:t>P</w:t>
      </w:r>
      <w:r w:rsidR="006C068E">
        <w:t>růběžn</w:t>
      </w:r>
      <w:r w:rsidR="00501B42">
        <w:t>ě</w:t>
      </w:r>
      <w:r w:rsidR="006C068E">
        <w:t xml:space="preserve"> a koordinovan</w:t>
      </w:r>
      <w:r w:rsidR="00501B42">
        <w:t>ě</w:t>
      </w:r>
      <w:r w:rsidR="006C068E">
        <w:t xml:space="preserve"> monitorov</w:t>
      </w:r>
      <w:r w:rsidR="00501B42">
        <w:t>at</w:t>
      </w:r>
      <w:r w:rsidR="006C068E">
        <w:t xml:space="preserve"> </w:t>
      </w:r>
      <w:r>
        <w:t xml:space="preserve">a vyhodnocovat </w:t>
      </w:r>
      <w:r w:rsidR="006C068E">
        <w:t>dopad</w:t>
      </w:r>
      <w:r w:rsidR="00501B42">
        <w:t>y</w:t>
      </w:r>
      <w:r w:rsidR="006C068E">
        <w:t xml:space="preserve"> </w:t>
      </w:r>
    </w:p>
    <w:p w:rsidR="0034278F" w:rsidRDefault="0034278F" w:rsidP="0034278F">
      <w:pPr>
        <w:pStyle w:val="Odstavecseseznamem"/>
        <w:numPr>
          <w:ilvl w:val="0"/>
          <w:numId w:val="44"/>
        </w:numPr>
        <w:jc w:val="both"/>
      </w:pPr>
      <w:r>
        <w:t>Promítnout priority do nadcházejícího českého předsednictví v EU</w:t>
      </w:r>
    </w:p>
    <w:p w:rsidR="0034278F" w:rsidRDefault="0034278F" w:rsidP="0034278F">
      <w:pPr>
        <w:jc w:val="both"/>
      </w:pPr>
      <w:r>
        <w:t>Zvládnutí migrační vlny</w:t>
      </w:r>
    </w:p>
    <w:p w:rsidR="00E964CB" w:rsidRDefault="0034278F" w:rsidP="007257A9">
      <w:pPr>
        <w:pStyle w:val="Odstavecseseznamem"/>
        <w:numPr>
          <w:ilvl w:val="0"/>
          <w:numId w:val="44"/>
        </w:numPr>
        <w:jc w:val="both"/>
      </w:pPr>
      <w:r>
        <w:t>Posílit kapacity pro zvládání migrační vlny</w:t>
      </w:r>
    </w:p>
    <w:p w:rsidR="0034278F" w:rsidRDefault="0034278F" w:rsidP="007257A9">
      <w:pPr>
        <w:pStyle w:val="Odstavecseseznamem"/>
        <w:numPr>
          <w:ilvl w:val="0"/>
          <w:numId w:val="44"/>
        </w:numPr>
        <w:jc w:val="both"/>
      </w:pPr>
      <w:r>
        <w:t>Posílit logistické zajištění zejména ve vztahu k ubytování uprchlíků</w:t>
      </w:r>
    </w:p>
    <w:p w:rsidR="009141F8" w:rsidRDefault="0034278F" w:rsidP="007257A9">
      <w:pPr>
        <w:pStyle w:val="Odstavecseseznamem"/>
        <w:numPr>
          <w:ilvl w:val="0"/>
          <w:numId w:val="44"/>
        </w:numPr>
        <w:jc w:val="both"/>
      </w:pPr>
      <w:r>
        <w:t>P</w:t>
      </w:r>
      <w:r w:rsidR="009141F8">
        <w:t>osílení zdravotního, sociálního a vzdělávacího sektoru</w:t>
      </w:r>
    </w:p>
    <w:p w:rsidR="0034278F" w:rsidRDefault="0034278F" w:rsidP="0034278F">
      <w:pPr>
        <w:jc w:val="both"/>
      </w:pPr>
      <w:r>
        <w:t>Ekonomická opatření</w:t>
      </w:r>
    </w:p>
    <w:p w:rsidR="00A75B5E" w:rsidRDefault="00A75B5E" w:rsidP="00A75B5E">
      <w:pPr>
        <w:pStyle w:val="Odstavecseseznamem"/>
        <w:numPr>
          <w:ilvl w:val="0"/>
          <w:numId w:val="44"/>
        </w:numPr>
        <w:jc w:val="both"/>
      </w:pPr>
      <w:r>
        <w:t>Strategická komunikace s podnikatelským sektorem k dopadům ruské krize</w:t>
      </w:r>
    </w:p>
    <w:p w:rsidR="00A75B5E" w:rsidRDefault="00A75B5E" w:rsidP="00A75B5E">
      <w:pPr>
        <w:pStyle w:val="Odstavecseseznamem"/>
        <w:numPr>
          <w:ilvl w:val="0"/>
          <w:numId w:val="44"/>
        </w:numPr>
        <w:jc w:val="both"/>
      </w:pPr>
      <w:r>
        <w:t xml:space="preserve">Pozastavení/ukončení aktivit </w:t>
      </w:r>
      <w:proofErr w:type="spellStart"/>
      <w:r>
        <w:t>CzechTrade</w:t>
      </w:r>
      <w:proofErr w:type="spellEnd"/>
      <w:r>
        <w:t xml:space="preserve"> a </w:t>
      </w:r>
      <w:proofErr w:type="spellStart"/>
      <w:r>
        <w:t>CzechInvest</w:t>
      </w:r>
      <w:proofErr w:type="spellEnd"/>
      <w:r>
        <w:t xml:space="preserve"> na Ukrajině, v Rusku a Bělorusku a jejich přesměrování na jiné trhy</w:t>
      </w:r>
    </w:p>
    <w:p w:rsidR="00A75B5E" w:rsidRDefault="00A75B5E" w:rsidP="00A75B5E">
      <w:pPr>
        <w:pStyle w:val="Odstavecseseznamem"/>
        <w:numPr>
          <w:ilvl w:val="0"/>
          <w:numId w:val="44"/>
        </w:numPr>
        <w:jc w:val="both"/>
      </w:pPr>
      <w:r>
        <w:t xml:space="preserve">Analýza ruského majetkového a účinného vlivu nad vybranými strategickými firmami z pohledu národní bezpečnosti a navržení dalšího postupu k minimalizaci rizik včetně aktivního využití mechanismu na prověřování zahraničních investic, pokud by se dané firmy rozhodli jejich majitelé prodat </w:t>
      </w:r>
    </w:p>
    <w:p w:rsidR="00A75B5E" w:rsidRDefault="00A75B5E" w:rsidP="00A75B5E">
      <w:pPr>
        <w:pStyle w:val="Odstavecseseznamem"/>
        <w:numPr>
          <w:ilvl w:val="0"/>
          <w:numId w:val="44"/>
        </w:numPr>
        <w:jc w:val="both"/>
      </w:pPr>
      <w:r>
        <w:t>Pozastavení účasti občanů Ruska a Běloruska ve vládních programech ekonomické migrace</w:t>
      </w:r>
    </w:p>
    <w:p w:rsidR="00A75B5E" w:rsidRDefault="00A75B5E" w:rsidP="00A75B5E">
      <w:pPr>
        <w:pStyle w:val="Odstavecseseznamem"/>
        <w:numPr>
          <w:ilvl w:val="0"/>
          <w:numId w:val="44"/>
        </w:numPr>
        <w:jc w:val="both"/>
      </w:pPr>
      <w:r>
        <w:t>Hledání dočasné náhrady ukrajinských občanů ve vládních programech ekonomické migrace (</w:t>
      </w:r>
      <w:proofErr w:type="spellStart"/>
      <w:r>
        <w:t>zdrojování</w:t>
      </w:r>
      <w:proofErr w:type="spellEnd"/>
      <w:r>
        <w:t xml:space="preserve"> v jiných zemích)</w:t>
      </w:r>
    </w:p>
    <w:p w:rsidR="00A75B5E" w:rsidRDefault="00A75B5E" w:rsidP="00A75B5E">
      <w:pPr>
        <w:pStyle w:val="Odstavecseseznamem"/>
        <w:numPr>
          <w:ilvl w:val="0"/>
          <w:numId w:val="44"/>
        </w:numPr>
        <w:jc w:val="both"/>
      </w:pPr>
      <w:r>
        <w:lastRenderedPageBreak/>
        <w:t>Prověření možnosti zavedení sankčních opatření národního charakteru – otázka dalšího fungování strategických podniků, které jsou nyní ve vlastnictví ruských subjektů pod sankcemi</w:t>
      </w:r>
    </w:p>
    <w:p w:rsidR="00A75B5E" w:rsidRDefault="00A75B5E" w:rsidP="00A75B5E">
      <w:pPr>
        <w:pStyle w:val="Odstavecseseznamem"/>
        <w:numPr>
          <w:ilvl w:val="0"/>
          <w:numId w:val="44"/>
        </w:numPr>
        <w:jc w:val="both"/>
      </w:pPr>
      <w:r>
        <w:t>Zefektivnění dovozů zboží nevojenského charakteru poptávaného ukrajinskou stranou prostřednictvím zřízení koordinačního týmu</w:t>
      </w:r>
    </w:p>
    <w:p w:rsidR="0034278F" w:rsidRDefault="0034278F" w:rsidP="0034278F">
      <w:pPr>
        <w:pStyle w:val="Odstavecseseznamem"/>
        <w:numPr>
          <w:ilvl w:val="0"/>
          <w:numId w:val="44"/>
        </w:numPr>
        <w:jc w:val="both"/>
      </w:pPr>
      <w:r>
        <w:t>Zajištění provádění</w:t>
      </w:r>
      <w:r w:rsidR="00A75B5E">
        <w:t xml:space="preserve"> mezinárodních </w:t>
      </w:r>
      <w:r>
        <w:t xml:space="preserve">sankčních režimů </w:t>
      </w:r>
    </w:p>
    <w:p w:rsidR="00E964CB" w:rsidRPr="00E964CB" w:rsidRDefault="002C4E07" w:rsidP="007257A9">
      <w:pPr>
        <w:pStyle w:val="Odstavecseseznamem"/>
        <w:numPr>
          <w:ilvl w:val="0"/>
          <w:numId w:val="44"/>
        </w:numPr>
        <w:jc w:val="both"/>
      </w:pPr>
      <w:r>
        <w:t xml:space="preserve">Snaha dotčených podnikatelských subjektů </w:t>
      </w:r>
      <w:r w:rsidR="000D3559">
        <w:t>s podporou</w:t>
      </w:r>
      <w:r>
        <w:t xml:space="preserve"> státu z</w:t>
      </w:r>
      <w:r w:rsidR="00E964CB">
        <w:t>aji</w:t>
      </w:r>
      <w:r>
        <w:t xml:space="preserve">stit dostatečné dodávky energetických komodit, </w:t>
      </w:r>
      <w:proofErr w:type="gramStart"/>
      <w:r>
        <w:t>zejména  ropy</w:t>
      </w:r>
      <w:proofErr w:type="gramEnd"/>
      <w:r>
        <w:t xml:space="preserve"> a</w:t>
      </w:r>
      <w:r w:rsidR="00E964CB" w:rsidRPr="00E964CB">
        <w:t xml:space="preserve"> plynu</w:t>
      </w:r>
      <w:r w:rsidR="006C068E">
        <w:t xml:space="preserve">, </w:t>
      </w:r>
      <w:r>
        <w:t xml:space="preserve"> pro zásobování tuzemského trhu, zejména pak</w:t>
      </w:r>
      <w:r w:rsidR="006C068E">
        <w:t xml:space="preserve"> </w:t>
      </w:r>
      <w:r w:rsidR="00E964CB">
        <w:t>nadcházející topnou sezónu</w:t>
      </w:r>
    </w:p>
    <w:p w:rsidR="006C068E" w:rsidRDefault="0034278F" w:rsidP="007257A9">
      <w:pPr>
        <w:pStyle w:val="Odstavecseseznamem"/>
        <w:numPr>
          <w:ilvl w:val="0"/>
          <w:numId w:val="44"/>
        </w:numPr>
        <w:jc w:val="both"/>
      </w:pPr>
      <w:r>
        <w:t>Ř</w:t>
      </w:r>
      <w:r w:rsidR="006C068E">
        <w:t>ešení dodávek surovin pro strategické provozy</w:t>
      </w:r>
      <w:r w:rsidR="00724012">
        <w:t>, hledání nových dodavatelských trhů a monitorování vlivu na výrobní řetězce</w:t>
      </w:r>
    </w:p>
    <w:p w:rsidR="006C068E" w:rsidRDefault="0034278F" w:rsidP="007257A9">
      <w:pPr>
        <w:pStyle w:val="Odstavecseseznamem"/>
        <w:numPr>
          <w:ilvl w:val="0"/>
          <w:numId w:val="44"/>
        </w:numPr>
        <w:jc w:val="both"/>
      </w:pPr>
      <w:r>
        <w:t>Z</w:t>
      </w:r>
      <w:r w:rsidR="006C068E">
        <w:t>mírňování cenových šoků</w:t>
      </w:r>
      <w:r w:rsidR="009141F8">
        <w:t xml:space="preserve"> – zabránění případné panice na trzích</w:t>
      </w:r>
      <w:r w:rsidR="00724012">
        <w:t>, provádění monitoringu cen a marží</w:t>
      </w:r>
    </w:p>
    <w:p w:rsidR="00724012" w:rsidRDefault="00724012" w:rsidP="007257A9">
      <w:pPr>
        <w:pStyle w:val="Odstavecseseznamem"/>
        <w:numPr>
          <w:ilvl w:val="0"/>
          <w:numId w:val="44"/>
        </w:numPr>
        <w:jc w:val="both"/>
      </w:pPr>
      <w:r>
        <w:t>Realizovat kompenzace nepřímých nákladů u odvětví ohrožených tzv. únikem uhlíku</w:t>
      </w:r>
    </w:p>
    <w:p w:rsidR="009141F8" w:rsidRDefault="0034278F" w:rsidP="007257A9">
      <w:pPr>
        <w:pStyle w:val="Odstavecseseznamem"/>
        <w:numPr>
          <w:ilvl w:val="0"/>
          <w:numId w:val="44"/>
        </w:numPr>
        <w:jc w:val="both"/>
      </w:pPr>
      <w:r>
        <w:t>Poskytování c</w:t>
      </w:r>
      <w:r w:rsidR="009141F8">
        <w:t>ílen</w:t>
      </w:r>
      <w:r>
        <w:t>é, nikoliv plošné,</w:t>
      </w:r>
      <w:r w:rsidR="009141F8">
        <w:t xml:space="preserve"> pomoc</w:t>
      </w:r>
      <w:r>
        <w:t>i</w:t>
      </w:r>
      <w:r w:rsidR="009141F8">
        <w:t xml:space="preserve"> domácnostem a firmám zásadně zasaženým růstem nákladů</w:t>
      </w:r>
    </w:p>
    <w:p w:rsidR="00E964CB" w:rsidRPr="007257A9" w:rsidRDefault="00E964CB" w:rsidP="00890829">
      <w:pPr>
        <w:pStyle w:val="Nadpis2"/>
      </w:pPr>
      <w:r w:rsidRPr="007257A9">
        <w:t>Střednědobé a dlouhodobé priority</w:t>
      </w:r>
      <w:r w:rsidR="00890829">
        <w:t xml:space="preserve"> v ekonomické oblasti</w:t>
      </w:r>
      <w:r w:rsidRPr="007257A9">
        <w:tab/>
      </w:r>
    </w:p>
    <w:p w:rsidR="00890829" w:rsidRDefault="00890829" w:rsidP="007257A9">
      <w:pPr>
        <w:pStyle w:val="Odstavecseseznamem"/>
        <w:numPr>
          <w:ilvl w:val="0"/>
          <w:numId w:val="44"/>
        </w:numPr>
        <w:jc w:val="both"/>
      </w:pPr>
      <w:r>
        <w:t>Integrace uprchlíků na domácím trhu práce</w:t>
      </w:r>
      <w:r w:rsidR="00724012">
        <w:t xml:space="preserve"> a z</w:t>
      </w:r>
      <w:r w:rsidR="00724012" w:rsidRPr="00724012">
        <w:t xml:space="preserve">jednodušení </w:t>
      </w:r>
      <w:r w:rsidR="00724012">
        <w:t xml:space="preserve">jejich </w:t>
      </w:r>
      <w:r w:rsidR="00724012" w:rsidRPr="00724012">
        <w:t>zaměstnávání</w:t>
      </w:r>
    </w:p>
    <w:p w:rsidR="00890829" w:rsidRDefault="00890829" w:rsidP="00A75B5E">
      <w:pPr>
        <w:pStyle w:val="Odstavecseseznamem"/>
        <w:numPr>
          <w:ilvl w:val="0"/>
          <w:numId w:val="44"/>
        </w:numPr>
        <w:jc w:val="both"/>
      </w:pPr>
      <w:r>
        <w:t>Podpora podnikům v orientaci na nové trhy</w:t>
      </w:r>
      <w:r w:rsidR="00A75B5E">
        <w:t xml:space="preserve"> </w:t>
      </w:r>
      <w:r w:rsidR="00A75B5E">
        <w:t xml:space="preserve">a příprava posílení kapacit na diverzifikaci exportu a další proexportní opatření </w:t>
      </w:r>
    </w:p>
    <w:p w:rsidR="00510641" w:rsidRDefault="00510641" w:rsidP="00510641">
      <w:pPr>
        <w:pStyle w:val="Odstavecseseznamem"/>
        <w:numPr>
          <w:ilvl w:val="0"/>
          <w:numId w:val="44"/>
        </w:numPr>
        <w:jc w:val="both"/>
      </w:pPr>
      <w:r>
        <w:t>O</w:t>
      </w:r>
      <w:r w:rsidRPr="00E964CB">
        <w:t>r</w:t>
      </w:r>
      <w:r w:rsidRPr="003860CC">
        <w:t>ientace na energetickou bezpečnost a zajištění nových nízko-emisních zdrojů energie (jádro, OZE) a systémů skladování energie (baterie, vodík), zvážení dílčího přehodnocení administrativního útlumu zdrojů spalujících fosilní paliva dostupná na území EU (zejména uhlí) a možných úprav v oblasti Zelené dohody pro Evropu a z ní vyplývajících legislativních návrhů</w:t>
      </w:r>
    </w:p>
    <w:p w:rsidR="0003427D" w:rsidRPr="00E964CB" w:rsidRDefault="0003427D" w:rsidP="0003427D">
      <w:pPr>
        <w:pStyle w:val="Odstavecseseznamem"/>
        <w:numPr>
          <w:ilvl w:val="0"/>
          <w:numId w:val="44"/>
        </w:numPr>
        <w:jc w:val="both"/>
      </w:pPr>
      <w:r>
        <w:t>Snižování energetické náročnosti ekonomiky</w:t>
      </w:r>
    </w:p>
    <w:p w:rsidR="00724012" w:rsidRDefault="00890829" w:rsidP="00724012">
      <w:pPr>
        <w:pStyle w:val="Odstavecseseznamem"/>
        <w:numPr>
          <w:ilvl w:val="0"/>
          <w:numId w:val="44"/>
        </w:numPr>
        <w:jc w:val="both"/>
      </w:pPr>
      <w:r>
        <w:t>A</w:t>
      </w:r>
      <w:r w:rsidR="00BC4CE3">
        <w:t>ktivizace evropských finančních zdrojů pro řešení následků konfliktu</w:t>
      </w:r>
      <w:r w:rsidR="003B649D">
        <w:t xml:space="preserve"> a zapojení se do </w:t>
      </w:r>
      <w:r w:rsidR="007257A9">
        <w:t xml:space="preserve">klíčových </w:t>
      </w:r>
      <w:r w:rsidR="003B649D">
        <w:t>evropských investičních projektů</w:t>
      </w:r>
      <w:r>
        <w:t>, vč. b</w:t>
      </w:r>
      <w:r w:rsidR="007257A9">
        <w:t>udování společných evropských kapacit pro dodávky surovin a zajištění dodávek prostřednictvím kontraktů z jinak bezpečných lokali</w:t>
      </w:r>
      <w:r w:rsidR="00724012">
        <w:t>t</w:t>
      </w:r>
    </w:p>
    <w:p w:rsidR="00724012" w:rsidRDefault="00724012" w:rsidP="00724012">
      <w:pPr>
        <w:pStyle w:val="Odstavecseseznamem"/>
        <w:numPr>
          <w:ilvl w:val="0"/>
          <w:numId w:val="44"/>
        </w:numPr>
        <w:jc w:val="both"/>
      </w:pPr>
      <w:r>
        <w:t>Realizace opatření pro snížení cen pohonných hmot – zrušení povinnosti přimíchávání biosložky do nafty, z</w:t>
      </w:r>
      <w:r w:rsidRPr="00724012">
        <w:t xml:space="preserve">rušení silniční daně pro osobní auta a dodávky do 12 tun, a snížení daně pro automobily nad </w:t>
      </w:r>
      <w:proofErr w:type="gramStart"/>
      <w:r w:rsidRPr="00724012">
        <w:t>12t</w:t>
      </w:r>
      <w:proofErr w:type="gramEnd"/>
    </w:p>
    <w:p w:rsidR="003860CC" w:rsidRDefault="003860CC" w:rsidP="003860CC">
      <w:pPr>
        <w:pStyle w:val="Odstavecseseznamem"/>
        <w:numPr>
          <w:ilvl w:val="0"/>
          <w:numId w:val="44"/>
        </w:numPr>
        <w:jc w:val="both"/>
      </w:pPr>
      <w:r>
        <w:t>Revize legislativy směřující k minimálně dočasnému zjednodušení procesů ve stavebním řízení tak, aby byly rychle zajištěna infrastruktura (bydlení, kapacita školek, škol, zdravotnická střediska atd.) pro ukrajinské uprchlíky i rychlý restart stavebnictví po současné krizi.</w:t>
      </w:r>
    </w:p>
    <w:p w:rsidR="00A75B5E" w:rsidRDefault="00A75B5E" w:rsidP="00A75B5E">
      <w:pPr>
        <w:pStyle w:val="Odstavecseseznamem"/>
        <w:numPr>
          <w:ilvl w:val="0"/>
          <w:numId w:val="44"/>
        </w:numPr>
        <w:jc w:val="both"/>
      </w:pPr>
      <w:r>
        <w:t>Příprava na CZ PRES, kdy pravděpodobně bude jednou z klíčových aktivit organizace rekonstrukce Ukrajiny a zejm. její průmyslové základny</w:t>
      </w:r>
    </w:p>
    <w:p w:rsidR="007257A9" w:rsidRDefault="007257A9" w:rsidP="007257A9">
      <w:pPr>
        <w:jc w:val="both"/>
      </w:pPr>
      <w:bookmarkStart w:id="1" w:name="_GoBack"/>
      <w:bookmarkEnd w:id="1"/>
    </w:p>
    <w:p w:rsidR="00926ACD" w:rsidRDefault="00926ACD" w:rsidP="007257A9">
      <w:pPr>
        <w:jc w:val="both"/>
      </w:pPr>
    </w:p>
    <w:p w:rsidR="00926ACD" w:rsidRPr="00E964CB" w:rsidRDefault="00926ACD" w:rsidP="007257A9">
      <w:pPr>
        <w:jc w:val="both"/>
      </w:pPr>
      <w:r>
        <w:t xml:space="preserve">Přílohou materiálu jsou uvedeny </w:t>
      </w:r>
      <w:r w:rsidR="009637E7">
        <w:t>detailnější návrhy opatření resortů MPO, MF, MZE a MPSV</w:t>
      </w:r>
    </w:p>
    <w:p w:rsidR="007B1F77" w:rsidRPr="007B1F77" w:rsidRDefault="007B1F77" w:rsidP="007B1F77"/>
    <w:p w:rsidR="00FB7252" w:rsidRPr="00FB7252" w:rsidRDefault="00FB7252" w:rsidP="00FB7252"/>
    <w:p w:rsidR="00540C53" w:rsidRPr="00A912B0" w:rsidRDefault="00540C53" w:rsidP="00540C53">
      <w:pPr>
        <w:jc w:val="both"/>
        <w:rPr>
          <w:bCs/>
        </w:rPr>
      </w:pPr>
    </w:p>
    <w:p w:rsidR="00540C53" w:rsidRPr="00C408BC" w:rsidRDefault="00540C53" w:rsidP="00540C53">
      <w:pPr>
        <w:jc w:val="both"/>
      </w:pPr>
    </w:p>
    <w:p w:rsidR="00540C53" w:rsidRDefault="00540C53" w:rsidP="00502E27">
      <w:pPr>
        <w:pStyle w:val="TextAutor1"/>
        <w:numPr>
          <w:ilvl w:val="0"/>
          <w:numId w:val="0"/>
        </w:numPr>
        <w:rPr>
          <w:rStyle w:val="Text12"/>
          <w:rFonts w:cstheme="minorHAnsi"/>
          <w:i w:val="0"/>
          <w:color w:val="000000" w:themeColor="text1"/>
        </w:rPr>
      </w:pPr>
    </w:p>
    <w:p w:rsidR="00502E27" w:rsidRPr="00D8252C" w:rsidRDefault="00502E27" w:rsidP="00502E27">
      <w:pPr>
        <w:pStyle w:val="TextAutor1"/>
        <w:numPr>
          <w:ilvl w:val="0"/>
          <w:numId w:val="0"/>
        </w:numPr>
        <w:rPr>
          <w:rStyle w:val="Text12"/>
          <w:rFonts w:cstheme="minorHAnsi"/>
          <w:i w:val="0"/>
          <w:color w:val="000000" w:themeColor="text1"/>
        </w:rPr>
      </w:pPr>
    </w:p>
    <w:p w:rsidR="00502E27" w:rsidRPr="00502E27" w:rsidRDefault="00502E27" w:rsidP="00502E27"/>
    <w:p w:rsidR="00E3623A" w:rsidRPr="000979FB" w:rsidRDefault="00E3623A" w:rsidP="00024672">
      <w:pPr>
        <w:jc w:val="both"/>
      </w:pPr>
    </w:p>
    <w:p w:rsidR="00F72AB5" w:rsidRDefault="00F72AB5" w:rsidP="00024672">
      <w:pPr>
        <w:jc w:val="both"/>
      </w:pPr>
    </w:p>
    <w:p w:rsidR="00F72AB5" w:rsidRPr="00F72AB5" w:rsidRDefault="00F72AB5" w:rsidP="00024672">
      <w:pPr>
        <w:jc w:val="both"/>
      </w:pPr>
    </w:p>
    <w:p w:rsidR="00F72AB5" w:rsidRPr="00F72AB5" w:rsidRDefault="00F72AB5" w:rsidP="00024672">
      <w:pPr>
        <w:jc w:val="both"/>
      </w:pPr>
    </w:p>
    <w:sectPr w:rsidR="00F72AB5" w:rsidRPr="00F72AB5" w:rsidSect="00CC5E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13" w:rsidRDefault="00786F13" w:rsidP="00677FE0">
      <w:pPr>
        <w:spacing w:after="0"/>
      </w:pPr>
      <w:r>
        <w:separator/>
      </w:r>
    </w:p>
  </w:endnote>
  <w:endnote w:type="continuationSeparator" w:id="0">
    <w:p w:rsidR="00786F13" w:rsidRDefault="00786F13" w:rsidP="00677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52" w:rsidRDefault="00FB72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52" w:rsidRDefault="00FB72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52" w:rsidRDefault="00FB7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13" w:rsidRDefault="00786F13" w:rsidP="00677FE0">
      <w:pPr>
        <w:spacing w:after="0"/>
      </w:pPr>
      <w:r>
        <w:separator/>
      </w:r>
    </w:p>
  </w:footnote>
  <w:footnote w:type="continuationSeparator" w:id="0">
    <w:p w:rsidR="00786F13" w:rsidRDefault="00786F13" w:rsidP="00677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52" w:rsidRDefault="00FB72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52" w:rsidRDefault="00FB72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52" w:rsidRDefault="00FB72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1E2B08"/>
    <w:multiLevelType w:val="hybridMultilevel"/>
    <w:tmpl w:val="18DC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0ED0015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5CE0490"/>
    <w:multiLevelType w:val="hybridMultilevel"/>
    <w:tmpl w:val="4FA02B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4736EBF"/>
    <w:multiLevelType w:val="hybridMultilevel"/>
    <w:tmpl w:val="7E7A7386"/>
    <w:lvl w:ilvl="0" w:tplc="29C82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131EF"/>
    <w:multiLevelType w:val="multilevel"/>
    <w:tmpl w:val="E8A48D7C"/>
    <w:numStyleLink w:val="VariantaA-sla"/>
  </w:abstractNum>
  <w:abstractNum w:abstractNumId="31" w15:restartNumberingAfterBreak="0">
    <w:nsid w:val="421A0F58"/>
    <w:multiLevelType w:val="hybridMultilevel"/>
    <w:tmpl w:val="9C8AEF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74D3384"/>
    <w:multiLevelType w:val="hybridMultilevel"/>
    <w:tmpl w:val="FF643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81C0E"/>
    <w:multiLevelType w:val="hybridMultilevel"/>
    <w:tmpl w:val="F01ACF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642C7"/>
    <w:multiLevelType w:val="hybridMultilevel"/>
    <w:tmpl w:val="4CACC702"/>
    <w:lvl w:ilvl="0" w:tplc="640824E6">
      <w:start w:val="1"/>
      <w:numFmt w:val="bullet"/>
      <w:pStyle w:val="TextAutor1"/>
      <w:lvlText w:val=""/>
      <w:lvlJc w:val="left"/>
      <w:pPr>
        <w:ind w:left="227" w:hanging="227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2"/>
  </w:num>
  <w:num w:numId="18">
    <w:abstractNumId w:val="6"/>
  </w:num>
  <w:num w:numId="19">
    <w:abstractNumId w:val="13"/>
  </w:num>
  <w:num w:numId="20">
    <w:abstractNumId w:val="8"/>
  </w:num>
  <w:num w:numId="21">
    <w:abstractNumId w:val="30"/>
  </w:num>
  <w:num w:numId="22">
    <w:abstractNumId w:val="11"/>
  </w:num>
  <w:num w:numId="23">
    <w:abstractNumId w:val="23"/>
  </w:num>
  <w:num w:numId="24">
    <w:abstractNumId w:val="12"/>
  </w:num>
  <w:num w:numId="25">
    <w:abstractNumId w:val="17"/>
  </w:num>
  <w:num w:numId="26">
    <w:abstractNumId w:val="32"/>
  </w:num>
  <w:num w:numId="27">
    <w:abstractNumId w:val="28"/>
  </w:num>
  <w:num w:numId="28">
    <w:abstractNumId w:val="27"/>
  </w:num>
  <w:num w:numId="29">
    <w:abstractNumId w:val="20"/>
  </w:num>
  <w:num w:numId="30">
    <w:abstractNumId w:val="34"/>
  </w:num>
  <w:num w:numId="31">
    <w:abstractNumId w:val="38"/>
  </w:num>
  <w:num w:numId="32">
    <w:abstractNumId w:val="25"/>
  </w:num>
  <w:num w:numId="33">
    <w:abstractNumId w:val="19"/>
  </w:num>
  <w:num w:numId="34">
    <w:abstractNumId w:val="10"/>
  </w:num>
  <w:num w:numId="35">
    <w:abstractNumId w:val="26"/>
  </w:num>
  <w:num w:numId="36">
    <w:abstractNumId w:val="15"/>
  </w:num>
  <w:num w:numId="37">
    <w:abstractNumId w:val="24"/>
  </w:num>
  <w:num w:numId="38">
    <w:abstractNumId w:val="24"/>
  </w:num>
  <w:num w:numId="39">
    <w:abstractNumId w:val="40"/>
  </w:num>
  <w:num w:numId="40">
    <w:abstractNumId w:val="41"/>
  </w:num>
  <w:num w:numId="41">
    <w:abstractNumId w:val="41"/>
  </w:num>
  <w:num w:numId="42">
    <w:abstractNumId w:val="9"/>
  </w:num>
  <w:num w:numId="43">
    <w:abstractNumId w:val="39"/>
  </w:num>
  <w:num w:numId="44">
    <w:abstractNumId w:val="31"/>
  </w:num>
  <w:num w:numId="45">
    <w:abstractNumId w:val="29"/>
  </w:num>
  <w:num w:numId="4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B5"/>
    <w:rsid w:val="00015306"/>
    <w:rsid w:val="00024672"/>
    <w:rsid w:val="0002674B"/>
    <w:rsid w:val="0003427D"/>
    <w:rsid w:val="0004162E"/>
    <w:rsid w:val="0004786B"/>
    <w:rsid w:val="00063405"/>
    <w:rsid w:val="000809B9"/>
    <w:rsid w:val="00090B40"/>
    <w:rsid w:val="00095A0A"/>
    <w:rsid w:val="000979FB"/>
    <w:rsid w:val="000B1B3D"/>
    <w:rsid w:val="000C03D3"/>
    <w:rsid w:val="000C4CAF"/>
    <w:rsid w:val="000D3559"/>
    <w:rsid w:val="00121485"/>
    <w:rsid w:val="001268B0"/>
    <w:rsid w:val="0018051B"/>
    <w:rsid w:val="0019240E"/>
    <w:rsid w:val="001B1E4A"/>
    <w:rsid w:val="001D27C0"/>
    <w:rsid w:val="001E74C3"/>
    <w:rsid w:val="001F6937"/>
    <w:rsid w:val="002060AC"/>
    <w:rsid w:val="00220DE3"/>
    <w:rsid w:val="00224AE8"/>
    <w:rsid w:val="002400CF"/>
    <w:rsid w:val="0025290D"/>
    <w:rsid w:val="00260372"/>
    <w:rsid w:val="00262DAF"/>
    <w:rsid w:val="00277AF5"/>
    <w:rsid w:val="00285AED"/>
    <w:rsid w:val="002C4E07"/>
    <w:rsid w:val="002D45F9"/>
    <w:rsid w:val="002E2442"/>
    <w:rsid w:val="002F0E8C"/>
    <w:rsid w:val="00300345"/>
    <w:rsid w:val="00310FA0"/>
    <w:rsid w:val="00320481"/>
    <w:rsid w:val="003250CB"/>
    <w:rsid w:val="0034278F"/>
    <w:rsid w:val="00363201"/>
    <w:rsid w:val="00377E04"/>
    <w:rsid w:val="003860CC"/>
    <w:rsid w:val="0039063C"/>
    <w:rsid w:val="003A46A8"/>
    <w:rsid w:val="003A51AA"/>
    <w:rsid w:val="003B565A"/>
    <w:rsid w:val="003B649D"/>
    <w:rsid w:val="003D00A1"/>
    <w:rsid w:val="003F1D1C"/>
    <w:rsid w:val="0041427F"/>
    <w:rsid w:val="004509E5"/>
    <w:rsid w:val="0048307C"/>
    <w:rsid w:val="00486FB9"/>
    <w:rsid w:val="004C212A"/>
    <w:rsid w:val="00500232"/>
    <w:rsid w:val="00501B42"/>
    <w:rsid w:val="00502E27"/>
    <w:rsid w:val="00504668"/>
    <w:rsid w:val="00510641"/>
    <w:rsid w:val="00516B63"/>
    <w:rsid w:val="00526075"/>
    <w:rsid w:val="00540C53"/>
    <w:rsid w:val="005455E1"/>
    <w:rsid w:val="005502BD"/>
    <w:rsid w:val="00556787"/>
    <w:rsid w:val="00561439"/>
    <w:rsid w:val="00582276"/>
    <w:rsid w:val="005B488A"/>
    <w:rsid w:val="005C2560"/>
    <w:rsid w:val="005F7585"/>
    <w:rsid w:val="00605759"/>
    <w:rsid w:val="00650C6C"/>
    <w:rsid w:val="00652FE6"/>
    <w:rsid w:val="00667898"/>
    <w:rsid w:val="0067020E"/>
    <w:rsid w:val="00677FE0"/>
    <w:rsid w:val="006C068E"/>
    <w:rsid w:val="006D04EF"/>
    <w:rsid w:val="006E2FB0"/>
    <w:rsid w:val="007102D2"/>
    <w:rsid w:val="00713948"/>
    <w:rsid w:val="00724012"/>
    <w:rsid w:val="007257A9"/>
    <w:rsid w:val="00750361"/>
    <w:rsid w:val="00753A27"/>
    <w:rsid w:val="007833DD"/>
    <w:rsid w:val="00786CE0"/>
    <w:rsid w:val="00786F13"/>
    <w:rsid w:val="0079342A"/>
    <w:rsid w:val="007B1F77"/>
    <w:rsid w:val="007B4949"/>
    <w:rsid w:val="007B7A33"/>
    <w:rsid w:val="007F0BC6"/>
    <w:rsid w:val="007F6BE0"/>
    <w:rsid w:val="00831374"/>
    <w:rsid w:val="0083753C"/>
    <w:rsid w:val="00857580"/>
    <w:rsid w:val="00865238"/>
    <w:rsid w:val="008667BF"/>
    <w:rsid w:val="00890829"/>
    <w:rsid w:val="00895645"/>
    <w:rsid w:val="008A7851"/>
    <w:rsid w:val="008B50A4"/>
    <w:rsid w:val="008C2515"/>
    <w:rsid w:val="008C3782"/>
    <w:rsid w:val="008D4A32"/>
    <w:rsid w:val="008D593A"/>
    <w:rsid w:val="008E7760"/>
    <w:rsid w:val="009141F8"/>
    <w:rsid w:val="00922001"/>
    <w:rsid w:val="00922716"/>
    <w:rsid w:val="00922C17"/>
    <w:rsid w:val="00926ACD"/>
    <w:rsid w:val="009373EF"/>
    <w:rsid w:val="00942DDD"/>
    <w:rsid w:val="009516A8"/>
    <w:rsid w:val="009637E7"/>
    <w:rsid w:val="0097705C"/>
    <w:rsid w:val="009C2DC1"/>
    <w:rsid w:val="009E6D6B"/>
    <w:rsid w:val="009F393D"/>
    <w:rsid w:val="009F7F46"/>
    <w:rsid w:val="00A000BF"/>
    <w:rsid w:val="00A0587E"/>
    <w:rsid w:val="00A275BC"/>
    <w:rsid w:val="00A308CB"/>
    <w:rsid w:val="00A464B4"/>
    <w:rsid w:val="00A63D6B"/>
    <w:rsid w:val="00A64C67"/>
    <w:rsid w:val="00A75B5E"/>
    <w:rsid w:val="00A84B52"/>
    <w:rsid w:val="00A8660F"/>
    <w:rsid w:val="00A9478E"/>
    <w:rsid w:val="00A95C48"/>
    <w:rsid w:val="00AA7056"/>
    <w:rsid w:val="00AB31C6"/>
    <w:rsid w:val="00AB523B"/>
    <w:rsid w:val="00AD7E40"/>
    <w:rsid w:val="00B1477A"/>
    <w:rsid w:val="00B20993"/>
    <w:rsid w:val="00B21C1F"/>
    <w:rsid w:val="00B42E96"/>
    <w:rsid w:val="00B50EE6"/>
    <w:rsid w:val="00B52185"/>
    <w:rsid w:val="00B57CA2"/>
    <w:rsid w:val="00B90C90"/>
    <w:rsid w:val="00B9753A"/>
    <w:rsid w:val="00BB479C"/>
    <w:rsid w:val="00BC4720"/>
    <w:rsid w:val="00BC4CE3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E31C1"/>
    <w:rsid w:val="00D03A58"/>
    <w:rsid w:val="00D04AC9"/>
    <w:rsid w:val="00D05219"/>
    <w:rsid w:val="00D1569F"/>
    <w:rsid w:val="00D20B1E"/>
    <w:rsid w:val="00D22462"/>
    <w:rsid w:val="00D230AC"/>
    <w:rsid w:val="00D32489"/>
    <w:rsid w:val="00D3349E"/>
    <w:rsid w:val="00D54CE9"/>
    <w:rsid w:val="00D73CB8"/>
    <w:rsid w:val="00D77B7D"/>
    <w:rsid w:val="00DA7591"/>
    <w:rsid w:val="00E17D0F"/>
    <w:rsid w:val="00E3240D"/>
    <w:rsid w:val="00E32798"/>
    <w:rsid w:val="00E33CC8"/>
    <w:rsid w:val="00E3623A"/>
    <w:rsid w:val="00E51C91"/>
    <w:rsid w:val="00E601E3"/>
    <w:rsid w:val="00E667C1"/>
    <w:rsid w:val="00E831CB"/>
    <w:rsid w:val="00E964CB"/>
    <w:rsid w:val="00EB1E8E"/>
    <w:rsid w:val="00EC3F88"/>
    <w:rsid w:val="00ED36D8"/>
    <w:rsid w:val="00EE6BD7"/>
    <w:rsid w:val="00F0689D"/>
    <w:rsid w:val="00F378DD"/>
    <w:rsid w:val="00F51BC8"/>
    <w:rsid w:val="00F5302B"/>
    <w:rsid w:val="00F72AB5"/>
    <w:rsid w:val="00FB01B5"/>
    <w:rsid w:val="00FB1654"/>
    <w:rsid w:val="00FB640F"/>
    <w:rsid w:val="00FB7252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677AA"/>
  <w15:chartTrackingRefBased/>
  <w15:docId w15:val="{6990769F-1B3F-41E7-A965-AE09FB3D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5219"/>
    <w:pPr>
      <w:spacing w:after="160" w:line="240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300345"/>
    <w:pPr>
      <w:keepNext/>
      <w:keepLines/>
      <w:numPr>
        <w:numId w:val="46"/>
      </w:numPr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300345"/>
    <w:pPr>
      <w:keepNext/>
      <w:keepLines/>
      <w:numPr>
        <w:ilvl w:val="1"/>
        <w:numId w:val="46"/>
      </w:numPr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300345"/>
    <w:pPr>
      <w:keepNext/>
      <w:keepLines/>
      <w:numPr>
        <w:ilvl w:val="2"/>
        <w:numId w:val="46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4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46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46"/>
      </w:numPr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46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46"/>
      </w:numPr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4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nad 1,Nad,Odstavec_muj,Odstavec se seznamem1,Název grafu,List Paragraph,Odstavec se seznamem5,Odstavec_muj1,Odstavec_muj2,Odstavec_muj3,Nad1,List Paragraph1,Odstavec_muj4,Nad2,List Paragraph2,Odstavec_muj5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00345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00345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0034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D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stavec cíl se seznamem Char,nad 1 Char,Nad Char,Odstavec_muj Char,Odstavec se seznamem1 Char,Název grafu Char,List Paragraph Char,Odstavec se seznamem5 Char,Odstavec_muj1 Char,Odstavec_muj2 Char,Odstavec_muj3 Char,Nad1 Char"/>
    <w:basedOn w:val="Standardnpsmoodstavce"/>
    <w:link w:val="Odstavecseseznamem"/>
    <w:uiPriority w:val="35"/>
    <w:qFormat/>
    <w:locked/>
    <w:rsid w:val="00D05219"/>
    <w:rPr>
      <w:color w:val="000000" w:themeColor="text1"/>
    </w:rPr>
  </w:style>
  <w:style w:type="paragraph" w:styleId="Titulek">
    <w:name w:val="caption"/>
    <w:basedOn w:val="Normln"/>
    <w:next w:val="Normln"/>
    <w:uiPriority w:val="37"/>
    <w:unhideWhenUsed/>
    <w:qFormat/>
    <w:rsid w:val="00300345"/>
    <w:pPr>
      <w:spacing w:after="200"/>
    </w:pPr>
    <w:rPr>
      <w:i/>
      <w:iCs/>
      <w:color w:val="004B8D" w:themeColor="text2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2DC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Autor1Char">
    <w:name w:val="TextAutor1 Char"/>
    <w:basedOn w:val="Standardnpsmoodstavce"/>
    <w:link w:val="TextAutor1"/>
    <w:locked/>
    <w:rsid w:val="009C2DC1"/>
    <w:rPr>
      <w:rFonts w:eastAsia="Times New Roman" w:cs="Times New Roman"/>
      <w:i/>
      <w:color w:val="E31B23" w:themeColor="accent1"/>
      <w:lang w:eastAsia="cs-CZ"/>
    </w:rPr>
  </w:style>
  <w:style w:type="paragraph" w:customStyle="1" w:styleId="TextAutor1">
    <w:name w:val="TextAutor1"/>
    <w:link w:val="TextAutor1Char"/>
    <w:rsid w:val="009C2DC1"/>
    <w:pPr>
      <w:numPr>
        <w:numId w:val="40"/>
      </w:numPr>
      <w:spacing w:after="120" w:line="240" w:lineRule="auto"/>
      <w:jc w:val="both"/>
    </w:pPr>
    <w:rPr>
      <w:rFonts w:eastAsia="Times New Roman" w:cs="Times New Roman"/>
      <w:i/>
      <w:color w:val="E31B23" w:themeColor="accent1"/>
      <w:lang w:eastAsia="cs-CZ"/>
    </w:rPr>
  </w:style>
  <w:style w:type="character" w:customStyle="1" w:styleId="Text12">
    <w:name w:val="Text12"/>
    <w:rsid w:val="009C2DC1"/>
    <w:rPr>
      <w:rFonts w:ascii="Calibri" w:eastAsia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  <w:lang w:eastAsia="en-US" w:bidi="ar-SA"/>
    </w:rPr>
  </w:style>
  <w:style w:type="paragraph" w:styleId="Bezmezer">
    <w:name w:val="No Spacing"/>
    <w:uiPriority w:val="1"/>
    <w:qFormat/>
    <w:rsid w:val="00502E27"/>
    <w:pPr>
      <w:spacing w:after="0" w:line="240" w:lineRule="auto"/>
    </w:pPr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FB72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A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AC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rhome\data$\81100\_HLAVN&#205;%20&#218;KOLY\Situa&#269;n&#237;%20zpr&#225;va\Cenov&#253;%20v&#253;voj%20energi&#237;_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1714785651793"/>
          <c:y val="6.9861111111111124E-2"/>
          <c:w val="0.8533358670528558"/>
          <c:h val="0.66977617381160692"/>
        </c:manualLayout>
      </c:layout>
      <c:lineChart>
        <c:grouping val="standard"/>
        <c:varyColors val="0"/>
        <c:ser>
          <c:idx val="0"/>
          <c:order val="0"/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'Ropa,Povolenky'!$J$4:$J$279</c:f>
              <c:numCache>
                <c:formatCode>m/d/yyyy</c:formatCode>
                <c:ptCount val="276"/>
                <c:pt idx="0">
                  <c:v>44242</c:v>
                </c:pt>
                <c:pt idx="1">
                  <c:v>44243</c:v>
                </c:pt>
                <c:pt idx="2">
                  <c:v>44244</c:v>
                </c:pt>
                <c:pt idx="3">
                  <c:v>44245</c:v>
                </c:pt>
                <c:pt idx="4">
                  <c:v>44246</c:v>
                </c:pt>
                <c:pt idx="5">
                  <c:v>44249</c:v>
                </c:pt>
                <c:pt idx="6">
                  <c:v>44250</c:v>
                </c:pt>
                <c:pt idx="7">
                  <c:v>44251</c:v>
                </c:pt>
                <c:pt idx="8">
                  <c:v>44252</c:v>
                </c:pt>
                <c:pt idx="9">
                  <c:v>44253</c:v>
                </c:pt>
                <c:pt idx="10">
                  <c:v>44256</c:v>
                </c:pt>
                <c:pt idx="11">
                  <c:v>44257</c:v>
                </c:pt>
                <c:pt idx="12">
                  <c:v>44258</c:v>
                </c:pt>
                <c:pt idx="13">
                  <c:v>44259</c:v>
                </c:pt>
                <c:pt idx="14">
                  <c:v>44260</c:v>
                </c:pt>
                <c:pt idx="15">
                  <c:v>44263</c:v>
                </c:pt>
                <c:pt idx="16">
                  <c:v>44265</c:v>
                </c:pt>
                <c:pt idx="17">
                  <c:v>44266</c:v>
                </c:pt>
                <c:pt idx="18">
                  <c:v>44267</c:v>
                </c:pt>
                <c:pt idx="19">
                  <c:v>44269</c:v>
                </c:pt>
                <c:pt idx="20">
                  <c:v>44270</c:v>
                </c:pt>
                <c:pt idx="21">
                  <c:v>44271</c:v>
                </c:pt>
                <c:pt idx="22">
                  <c:v>44272</c:v>
                </c:pt>
                <c:pt idx="23">
                  <c:v>44273</c:v>
                </c:pt>
                <c:pt idx="24">
                  <c:v>44274</c:v>
                </c:pt>
                <c:pt idx="25">
                  <c:v>44276</c:v>
                </c:pt>
                <c:pt idx="26">
                  <c:v>44277</c:v>
                </c:pt>
                <c:pt idx="27">
                  <c:v>44278</c:v>
                </c:pt>
                <c:pt idx="28">
                  <c:v>44279</c:v>
                </c:pt>
                <c:pt idx="29">
                  <c:v>44280</c:v>
                </c:pt>
                <c:pt idx="30">
                  <c:v>44281</c:v>
                </c:pt>
                <c:pt idx="31">
                  <c:v>44284</c:v>
                </c:pt>
                <c:pt idx="32">
                  <c:v>44285</c:v>
                </c:pt>
                <c:pt idx="33">
                  <c:v>44286</c:v>
                </c:pt>
                <c:pt idx="34">
                  <c:v>44287</c:v>
                </c:pt>
                <c:pt idx="35">
                  <c:v>44291</c:v>
                </c:pt>
                <c:pt idx="36">
                  <c:v>44292</c:v>
                </c:pt>
                <c:pt idx="37">
                  <c:v>44293</c:v>
                </c:pt>
                <c:pt idx="38">
                  <c:v>44294</c:v>
                </c:pt>
                <c:pt idx="39">
                  <c:v>44295</c:v>
                </c:pt>
                <c:pt idx="40">
                  <c:v>44298</c:v>
                </c:pt>
                <c:pt idx="41">
                  <c:v>44299</c:v>
                </c:pt>
                <c:pt idx="42">
                  <c:v>44300</c:v>
                </c:pt>
                <c:pt idx="43">
                  <c:v>44301</c:v>
                </c:pt>
                <c:pt idx="44">
                  <c:v>44302</c:v>
                </c:pt>
                <c:pt idx="45">
                  <c:v>44305</c:v>
                </c:pt>
                <c:pt idx="46">
                  <c:v>44306</c:v>
                </c:pt>
                <c:pt idx="47">
                  <c:v>44307</c:v>
                </c:pt>
                <c:pt idx="48">
                  <c:v>44308</c:v>
                </c:pt>
                <c:pt idx="49">
                  <c:v>44309</c:v>
                </c:pt>
                <c:pt idx="50">
                  <c:v>44312</c:v>
                </c:pt>
                <c:pt idx="51">
                  <c:v>44313</c:v>
                </c:pt>
                <c:pt idx="52">
                  <c:v>44314</c:v>
                </c:pt>
                <c:pt idx="53">
                  <c:v>44315</c:v>
                </c:pt>
                <c:pt idx="54">
                  <c:v>44316</c:v>
                </c:pt>
                <c:pt idx="55">
                  <c:v>44319</c:v>
                </c:pt>
                <c:pt idx="56">
                  <c:v>44320</c:v>
                </c:pt>
                <c:pt idx="57">
                  <c:v>44321</c:v>
                </c:pt>
                <c:pt idx="58">
                  <c:v>44322</c:v>
                </c:pt>
                <c:pt idx="59">
                  <c:v>44323</c:v>
                </c:pt>
                <c:pt idx="60">
                  <c:v>44326</c:v>
                </c:pt>
                <c:pt idx="61">
                  <c:v>44327</c:v>
                </c:pt>
                <c:pt idx="62">
                  <c:v>44328</c:v>
                </c:pt>
                <c:pt idx="63">
                  <c:v>44329</c:v>
                </c:pt>
                <c:pt idx="64">
                  <c:v>44330</c:v>
                </c:pt>
                <c:pt idx="65">
                  <c:v>44333</c:v>
                </c:pt>
                <c:pt idx="66">
                  <c:v>44334</c:v>
                </c:pt>
                <c:pt idx="67">
                  <c:v>44335</c:v>
                </c:pt>
                <c:pt idx="68">
                  <c:v>44336</c:v>
                </c:pt>
                <c:pt idx="69">
                  <c:v>44337</c:v>
                </c:pt>
                <c:pt idx="70">
                  <c:v>44340</c:v>
                </c:pt>
                <c:pt idx="71">
                  <c:v>44341</c:v>
                </c:pt>
                <c:pt idx="72">
                  <c:v>44343</c:v>
                </c:pt>
                <c:pt idx="73">
                  <c:v>44344</c:v>
                </c:pt>
                <c:pt idx="74">
                  <c:v>44347</c:v>
                </c:pt>
                <c:pt idx="75">
                  <c:v>44348</c:v>
                </c:pt>
                <c:pt idx="76">
                  <c:v>44349</c:v>
                </c:pt>
                <c:pt idx="77">
                  <c:v>44350</c:v>
                </c:pt>
                <c:pt idx="78">
                  <c:v>44351</c:v>
                </c:pt>
                <c:pt idx="79">
                  <c:v>44354</c:v>
                </c:pt>
                <c:pt idx="80">
                  <c:v>44355</c:v>
                </c:pt>
                <c:pt idx="81">
                  <c:v>44356</c:v>
                </c:pt>
                <c:pt idx="82">
                  <c:v>44357</c:v>
                </c:pt>
                <c:pt idx="83">
                  <c:v>44358</c:v>
                </c:pt>
                <c:pt idx="84">
                  <c:v>44361</c:v>
                </c:pt>
                <c:pt idx="85">
                  <c:v>44362</c:v>
                </c:pt>
                <c:pt idx="86">
                  <c:v>44363</c:v>
                </c:pt>
                <c:pt idx="87">
                  <c:v>44364</c:v>
                </c:pt>
                <c:pt idx="88">
                  <c:v>44365</c:v>
                </c:pt>
                <c:pt idx="89">
                  <c:v>44369</c:v>
                </c:pt>
                <c:pt idx="90">
                  <c:v>44370</c:v>
                </c:pt>
                <c:pt idx="91">
                  <c:v>44371</c:v>
                </c:pt>
                <c:pt idx="92">
                  <c:v>44372</c:v>
                </c:pt>
                <c:pt idx="93">
                  <c:v>44375</c:v>
                </c:pt>
                <c:pt idx="94">
                  <c:v>44376</c:v>
                </c:pt>
                <c:pt idx="95">
                  <c:v>44377</c:v>
                </c:pt>
                <c:pt idx="96">
                  <c:v>44378</c:v>
                </c:pt>
                <c:pt idx="97">
                  <c:v>44379</c:v>
                </c:pt>
                <c:pt idx="98">
                  <c:v>44382</c:v>
                </c:pt>
                <c:pt idx="99">
                  <c:v>44383</c:v>
                </c:pt>
                <c:pt idx="100">
                  <c:v>44384</c:v>
                </c:pt>
                <c:pt idx="101">
                  <c:v>44385</c:v>
                </c:pt>
                <c:pt idx="102">
                  <c:v>44386</c:v>
                </c:pt>
                <c:pt idx="103">
                  <c:v>44389</c:v>
                </c:pt>
                <c:pt idx="104">
                  <c:v>44390</c:v>
                </c:pt>
                <c:pt idx="105">
                  <c:v>44391</c:v>
                </c:pt>
                <c:pt idx="106">
                  <c:v>44392</c:v>
                </c:pt>
                <c:pt idx="107">
                  <c:v>44393</c:v>
                </c:pt>
                <c:pt idx="108">
                  <c:v>44396</c:v>
                </c:pt>
                <c:pt idx="109">
                  <c:v>44397</c:v>
                </c:pt>
                <c:pt idx="110">
                  <c:v>44398</c:v>
                </c:pt>
                <c:pt idx="111">
                  <c:v>44399</c:v>
                </c:pt>
                <c:pt idx="112">
                  <c:v>44400</c:v>
                </c:pt>
                <c:pt idx="113">
                  <c:v>44403</c:v>
                </c:pt>
                <c:pt idx="114">
                  <c:v>44404</c:v>
                </c:pt>
                <c:pt idx="115">
                  <c:v>44405</c:v>
                </c:pt>
                <c:pt idx="116">
                  <c:v>44406</c:v>
                </c:pt>
                <c:pt idx="117">
                  <c:v>44407</c:v>
                </c:pt>
                <c:pt idx="118">
                  <c:v>44410</c:v>
                </c:pt>
                <c:pt idx="119">
                  <c:v>44411</c:v>
                </c:pt>
                <c:pt idx="120">
                  <c:v>44412</c:v>
                </c:pt>
                <c:pt idx="121">
                  <c:v>44413</c:v>
                </c:pt>
                <c:pt idx="122">
                  <c:v>44414</c:v>
                </c:pt>
                <c:pt idx="123">
                  <c:v>44417</c:v>
                </c:pt>
                <c:pt idx="124">
                  <c:v>44418</c:v>
                </c:pt>
                <c:pt idx="125">
                  <c:v>44419</c:v>
                </c:pt>
                <c:pt idx="126">
                  <c:v>44420</c:v>
                </c:pt>
                <c:pt idx="127">
                  <c:v>44421</c:v>
                </c:pt>
                <c:pt idx="128">
                  <c:v>44424</c:v>
                </c:pt>
                <c:pt idx="129">
                  <c:v>44425</c:v>
                </c:pt>
                <c:pt idx="130">
                  <c:v>44426</c:v>
                </c:pt>
                <c:pt idx="131">
                  <c:v>44427</c:v>
                </c:pt>
                <c:pt idx="132">
                  <c:v>44428</c:v>
                </c:pt>
                <c:pt idx="133">
                  <c:v>44431</c:v>
                </c:pt>
                <c:pt idx="134">
                  <c:v>44432</c:v>
                </c:pt>
                <c:pt idx="135">
                  <c:v>44433</c:v>
                </c:pt>
                <c:pt idx="136">
                  <c:v>44434</c:v>
                </c:pt>
                <c:pt idx="137">
                  <c:v>44435</c:v>
                </c:pt>
                <c:pt idx="138">
                  <c:v>44438</c:v>
                </c:pt>
                <c:pt idx="139">
                  <c:v>44439</c:v>
                </c:pt>
                <c:pt idx="140">
                  <c:v>44440</c:v>
                </c:pt>
                <c:pt idx="141">
                  <c:v>44441</c:v>
                </c:pt>
                <c:pt idx="142">
                  <c:v>44442</c:v>
                </c:pt>
                <c:pt idx="143">
                  <c:v>44445</c:v>
                </c:pt>
                <c:pt idx="144">
                  <c:v>44446</c:v>
                </c:pt>
                <c:pt idx="145">
                  <c:v>44447</c:v>
                </c:pt>
                <c:pt idx="146">
                  <c:v>44448</c:v>
                </c:pt>
                <c:pt idx="147">
                  <c:v>44449</c:v>
                </c:pt>
                <c:pt idx="148">
                  <c:v>44452</c:v>
                </c:pt>
                <c:pt idx="149">
                  <c:v>44453</c:v>
                </c:pt>
                <c:pt idx="150">
                  <c:v>44454</c:v>
                </c:pt>
                <c:pt idx="151">
                  <c:v>44455</c:v>
                </c:pt>
                <c:pt idx="152">
                  <c:v>44456</c:v>
                </c:pt>
                <c:pt idx="153">
                  <c:v>44459</c:v>
                </c:pt>
                <c:pt idx="154">
                  <c:v>44460</c:v>
                </c:pt>
                <c:pt idx="155">
                  <c:v>44461</c:v>
                </c:pt>
                <c:pt idx="156">
                  <c:v>44462</c:v>
                </c:pt>
                <c:pt idx="157">
                  <c:v>44463</c:v>
                </c:pt>
                <c:pt idx="158">
                  <c:v>44466</c:v>
                </c:pt>
                <c:pt idx="159">
                  <c:v>44467</c:v>
                </c:pt>
                <c:pt idx="160">
                  <c:v>44468</c:v>
                </c:pt>
                <c:pt idx="161">
                  <c:v>44469</c:v>
                </c:pt>
                <c:pt idx="162">
                  <c:v>44470</c:v>
                </c:pt>
                <c:pt idx="163">
                  <c:v>44473</c:v>
                </c:pt>
                <c:pt idx="164">
                  <c:v>44474</c:v>
                </c:pt>
                <c:pt idx="165">
                  <c:v>44475</c:v>
                </c:pt>
                <c:pt idx="166">
                  <c:v>44476</c:v>
                </c:pt>
                <c:pt idx="167">
                  <c:v>44477</c:v>
                </c:pt>
                <c:pt idx="168">
                  <c:v>44480</c:v>
                </c:pt>
                <c:pt idx="169">
                  <c:v>44481</c:v>
                </c:pt>
                <c:pt idx="170">
                  <c:v>44482</c:v>
                </c:pt>
                <c:pt idx="171">
                  <c:v>44483</c:v>
                </c:pt>
                <c:pt idx="172">
                  <c:v>44484</c:v>
                </c:pt>
                <c:pt idx="173">
                  <c:v>44487</c:v>
                </c:pt>
                <c:pt idx="174">
                  <c:v>44488</c:v>
                </c:pt>
                <c:pt idx="175">
                  <c:v>44489</c:v>
                </c:pt>
                <c:pt idx="176">
                  <c:v>44490</c:v>
                </c:pt>
                <c:pt idx="177">
                  <c:v>44491</c:v>
                </c:pt>
                <c:pt idx="178">
                  <c:v>44494</c:v>
                </c:pt>
                <c:pt idx="179">
                  <c:v>44495</c:v>
                </c:pt>
                <c:pt idx="180">
                  <c:v>44496</c:v>
                </c:pt>
                <c:pt idx="181">
                  <c:v>44497</c:v>
                </c:pt>
                <c:pt idx="182">
                  <c:v>44498</c:v>
                </c:pt>
                <c:pt idx="183">
                  <c:v>44500</c:v>
                </c:pt>
                <c:pt idx="184">
                  <c:v>44501</c:v>
                </c:pt>
                <c:pt idx="185">
                  <c:v>44502</c:v>
                </c:pt>
                <c:pt idx="186">
                  <c:v>44503</c:v>
                </c:pt>
                <c:pt idx="187">
                  <c:v>44504</c:v>
                </c:pt>
                <c:pt idx="188">
                  <c:v>44505</c:v>
                </c:pt>
                <c:pt idx="189">
                  <c:v>44508</c:v>
                </c:pt>
                <c:pt idx="190">
                  <c:v>44509</c:v>
                </c:pt>
                <c:pt idx="191">
                  <c:v>44510</c:v>
                </c:pt>
                <c:pt idx="192">
                  <c:v>44511</c:v>
                </c:pt>
                <c:pt idx="193">
                  <c:v>44512</c:v>
                </c:pt>
                <c:pt idx="194">
                  <c:v>44515</c:v>
                </c:pt>
                <c:pt idx="195">
                  <c:v>44516</c:v>
                </c:pt>
                <c:pt idx="196">
                  <c:v>44517</c:v>
                </c:pt>
                <c:pt idx="197">
                  <c:v>44518</c:v>
                </c:pt>
                <c:pt idx="198">
                  <c:v>44519</c:v>
                </c:pt>
                <c:pt idx="199">
                  <c:v>44522</c:v>
                </c:pt>
                <c:pt idx="200">
                  <c:v>44523</c:v>
                </c:pt>
                <c:pt idx="201">
                  <c:v>44524</c:v>
                </c:pt>
                <c:pt idx="202">
                  <c:v>44525</c:v>
                </c:pt>
                <c:pt idx="203">
                  <c:v>44526</c:v>
                </c:pt>
                <c:pt idx="204">
                  <c:v>44529</c:v>
                </c:pt>
                <c:pt idx="205">
                  <c:v>44530</c:v>
                </c:pt>
                <c:pt idx="206">
                  <c:v>44531</c:v>
                </c:pt>
                <c:pt idx="207">
                  <c:v>44532</c:v>
                </c:pt>
                <c:pt idx="208">
                  <c:v>44533</c:v>
                </c:pt>
                <c:pt idx="209">
                  <c:v>44536</c:v>
                </c:pt>
                <c:pt idx="210">
                  <c:v>44537</c:v>
                </c:pt>
                <c:pt idx="211">
                  <c:v>44538</c:v>
                </c:pt>
                <c:pt idx="212">
                  <c:v>44539</c:v>
                </c:pt>
                <c:pt idx="213">
                  <c:v>44540</c:v>
                </c:pt>
                <c:pt idx="214">
                  <c:v>44544</c:v>
                </c:pt>
                <c:pt idx="215">
                  <c:v>44545</c:v>
                </c:pt>
                <c:pt idx="216">
                  <c:v>44546</c:v>
                </c:pt>
                <c:pt idx="217">
                  <c:v>44547</c:v>
                </c:pt>
                <c:pt idx="218">
                  <c:v>44550</c:v>
                </c:pt>
                <c:pt idx="219">
                  <c:v>44551</c:v>
                </c:pt>
                <c:pt idx="220">
                  <c:v>44552</c:v>
                </c:pt>
                <c:pt idx="221">
                  <c:v>44553</c:v>
                </c:pt>
                <c:pt idx="222">
                  <c:v>44554</c:v>
                </c:pt>
                <c:pt idx="223">
                  <c:v>44557</c:v>
                </c:pt>
                <c:pt idx="224">
                  <c:v>44558</c:v>
                </c:pt>
                <c:pt idx="225">
                  <c:v>44559</c:v>
                </c:pt>
                <c:pt idx="226">
                  <c:v>44560</c:v>
                </c:pt>
                <c:pt idx="227">
                  <c:v>44561</c:v>
                </c:pt>
                <c:pt idx="228">
                  <c:v>44565</c:v>
                </c:pt>
                <c:pt idx="229">
                  <c:v>44566</c:v>
                </c:pt>
                <c:pt idx="230">
                  <c:v>44567</c:v>
                </c:pt>
                <c:pt idx="231">
                  <c:v>44568</c:v>
                </c:pt>
                <c:pt idx="232">
                  <c:v>44572</c:v>
                </c:pt>
                <c:pt idx="233">
                  <c:v>44572</c:v>
                </c:pt>
                <c:pt idx="234">
                  <c:v>44573</c:v>
                </c:pt>
                <c:pt idx="235">
                  <c:v>44574</c:v>
                </c:pt>
                <c:pt idx="236">
                  <c:v>44575</c:v>
                </c:pt>
                <c:pt idx="237">
                  <c:v>44578</c:v>
                </c:pt>
                <c:pt idx="238">
                  <c:v>44579</c:v>
                </c:pt>
                <c:pt idx="239">
                  <c:v>44580</c:v>
                </c:pt>
                <c:pt idx="240">
                  <c:v>44581</c:v>
                </c:pt>
                <c:pt idx="241">
                  <c:v>44582</c:v>
                </c:pt>
                <c:pt idx="242">
                  <c:v>44585</c:v>
                </c:pt>
                <c:pt idx="243">
                  <c:v>44586</c:v>
                </c:pt>
                <c:pt idx="244">
                  <c:v>44587</c:v>
                </c:pt>
                <c:pt idx="245">
                  <c:v>44588</c:v>
                </c:pt>
                <c:pt idx="246">
                  <c:v>44589</c:v>
                </c:pt>
                <c:pt idx="247">
                  <c:v>44592</c:v>
                </c:pt>
                <c:pt idx="248">
                  <c:v>44593</c:v>
                </c:pt>
                <c:pt idx="249">
                  <c:v>44594</c:v>
                </c:pt>
                <c:pt idx="250">
                  <c:v>44595</c:v>
                </c:pt>
                <c:pt idx="251">
                  <c:v>44596</c:v>
                </c:pt>
                <c:pt idx="252">
                  <c:v>44599</c:v>
                </c:pt>
                <c:pt idx="253">
                  <c:v>44600</c:v>
                </c:pt>
                <c:pt idx="254">
                  <c:v>44601</c:v>
                </c:pt>
                <c:pt idx="255">
                  <c:v>44602</c:v>
                </c:pt>
                <c:pt idx="256">
                  <c:v>44603</c:v>
                </c:pt>
                <c:pt idx="257">
                  <c:v>44606</c:v>
                </c:pt>
                <c:pt idx="258">
                  <c:v>44607</c:v>
                </c:pt>
                <c:pt idx="259">
                  <c:v>44608</c:v>
                </c:pt>
                <c:pt idx="260">
                  <c:v>44609</c:v>
                </c:pt>
                <c:pt idx="261">
                  <c:v>44610</c:v>
                </c:pt>
                <c:pt idx="262">
                  <c:v>44613</c:v>
                </c:pt>
                <c:pt idx="263">
                  <c:v>44614</c:v>
                </c:pt>
                <c:pt idx="264">
                  <c:v>44615</c:v>
                </c:pt>
                <c:pt idx="265">
                  <c:v>44616</c:v>
                </c:pt>
                <c:pt idx="266">
                  <c:v>44617</c:v>
                </c:pt>
                <c:pt idx="267">
                  <c:v>44620</c:v>
                </c:pt>
                <c:pt idx="268">
                  <c:v>44621</c:v>
                </c:pt>
                <c:pt idx="269">
                  <c:v>44622</c:v>
                </c:pt>
                <c:pt idx="270">
                  <c:v>44623</c:v>
                </c:pt>
                <c:pt idx="271">
                  <c:v>44624</c:v>
                </c:pt>
                <c:pt idx="272">
                  <c:v>44627</c:v>
                </c:pt>
                <c:pt idx="273">
                  <c:v>44628</c:v>
                </c:pt>
                <c:pt idx="274">
                  <c:v>44629</c:v>
                </c:pt>
                <c:pt idx="275">
                  <c:v>44630</c:v>
                </c:pt>
              </c:numCache>
            </c:numRef>
          </c:cat>
          <c:val>
            <c:numRef>
              <c:f>'Ropa,Povolenky'!$K$4:$K$279</c:f>
              <c:numCache>
                <c:formatCode>0.00</c:formatCode>
                <c:ptCount val="276"/>
                <c:pt idx="0">
                  <c:v>62.72</c:v>
                </c:pt>
                <c:pt idx="1">
                  <c:v>62.76</c:v>
                </c:pt>
                <c:pt idx="2">
                  <c:v>63.6</c:v>
                </c:pt>
                <c:pt idx="3">
                  <c:v>63.15</c:v>
                </c:pt>
                <c:pt idx="4">
                  <c:v>62.14</c:v>
                </c:pt>
                <c:pt idx="5">
                  <c:v>64.36</c:v>
                </c:pt>
                <c:pt idx="6">
                  <c:v>64.48</c:v>
                </c:pt>
                <c:pt idx="7">
                  <c:v>66.180000000000007</c:v>
                </c:pt>
                <c:pt idx="8">
                  <c:v>66.11</c:v>
                </c:pt>
                <c:pt idx="9">
                  <c:v>64.42</c:v>
                </c:pt>
                <c:pt idx="10">
                  <c:v>63.69</c:v>
                </c:pt>
                <c:pt idx="11">
                  <c:v>62.7</c:v>
                </c:pt>
                <c:pt idx="12">
                  <c:v>64.069999999999993</c:v>
                </c:pt>
                <c:pt idx="13">
                  <c:v>66.739999999999995</c:v>
                </c:pt>
                <c:pt idx="14">
                  <c:v>69.36</c:v>
                </c:pt>
                <c:pt idx="15">
                  <c:v>68.239999999999995</c:v>
                </c:pt>
                <c:pt idx="16">
                  <c:v>67.900000000000006</c:v>
                </c:pt>
                <c:pt idx="17">
                  <c:v>69.63</c:v>
                </c:pt>
                <c:pt idx="18">
                  <c:v>69.22</c:v>
                </c:pt>
                <c:pt idx="19">
                  <c:v>69.459999999999994</c:v>
                </c:pt>
                <c:pt idx="20">
                  <c:v>68.88</c:v>
                </c:pt>
                <c:pt idx="21">
                  <c:v>68.39</c:v>
                </c:pt>
                <c:pt idx="22">
                  <c:v>68</c:v>
                </c:pt>
                <c:pt idx="23">
                  <c:v>63.28</c:v>
                </c:pt>
                <c:pt idx="24">
                  <c:v>64.53</c:v>
                </c:pt>
                <c:pt idx="25">
                  <c:v>64.150000000000006</c:v>
                </c:pt>
                <c:pt idx="26">
                  <c:v>64.62</c:v>
                </c:pt>
                <c:pt idx="27">
                  <c:v>60.79</c:v>
                </c:pt>
                <c:pt idx="28">
                  <c:v>64.41</c:v>
                </c:pt>
                <c:pt idx="29">
                  <c:v>61.95</c:v>
                </c:pt>
                <c:pt idx="30">
                  <c:v>64.569999999999993</c:v>
                </c:pt>
                <c:pt idx="31">
                  <c:v>64.98</c:v>
                </c:pt>
                <c:pt idx="32">
                  <c:v>64.14</c:v>
                </c:pt>
                <c:pt idx="33">
                  <c:v>63.54</c:v>
                </c:pt>
                <c:pt idx="34">
                  <c:v>64.86</c:v>
                </c:pt>
                <c:pt idx="35">
                  <c:v>62.15</c:v>
                </c:pt>
                <c:pt idx="36">
                  <c:v>62.74</c:v>
                </c:pt>
                <c:pt idx="37">
                  <c:v>63.16</c:v>
                </c:pt>
                <c:pt idx="38">
                  <c:v>63.2</c:v>
                </c:pt>
                <c:pt idx="39">
                  <c:v>62.95</c:v>
                </c:pt>
                <c:pt idx="40">
                  <c:v>63.28</c:v>
                </c:pt>
                <c:pt idx="41">
                  <c:v>63.67</c:v>
                </c:pt>
                <c:pt idx="42">
                  <c:v>66.58</c:v>
                </c:pt>
                <c:pt idx="43">
                  <c:v>66.94</c:v>
                </c:pt>
                <c:pt idx="44">
                  <c:v>66.77</c:v>
                </c:pt>
                <c:pt idx="45">
                  <c:v>67.05</c:v>
                </c:pt>
                <c:pt idx="46">
                  <c:v>66.569999999999993</c:v>
                </c:pt>
                <c:pt idx="47">
                  <c:v>65.319999999999993</c:v>
                </c:pt>
                <c:pt idx="48">
                  <c:v>65.400000000000006</c:v>
                </c:pt>
                <c:pt idx="49">
                  <c:v>66.11</c:v>
                </c:pt>
                <c:pt idx="50">
                  <c:v>65.650000000000006</c:v>
                </c:pt>
                <c:pt idx="51">
                  <c:v>66.42</c:v>
                </c:pt>
                <c:pt idx="52">
                  <c:v>67.27</c:v>
                </c:pt>
                <c:pt idx="53">
                  <c:v>68.56</c:v>
                </c:pt>
                <c:pt idx="54">
                  <c:v>67.239999999999995</c:v>
                </c:pt>
                <c:pt idx="55">
                  <c:v>67.56</c:v>
                </c:pt>
                <c:pt idx="56">
                  <c:v>68.88</c:v>
                </c:pt>
                <c:pt idx="57">
                  <c:v>68.959999999999994</c:v>
                </c:pt>
                <c:pt idx="58">
                  <c:v>68.09</c:v>
                </c:pt>
                <c:pt idx="59">
                  <c:v>68.28</c:v>
                </c:pt>
                <c:pt idx="60">
                  <c:v>68.319999999999993</c:v>
                </c:pt>
                <c:pt idx="61">
                  <c:v>68.55</c:v>
                </c:pt>
                <c:pt idx="62">
                  <c:v>69.319999999999993</c:v>
                </c:pt>
                <c:pt idx="63">
                  <c:v>67.05</c:v>
                </c:pt>
                <c:pt idx="64">
                  <c:v>68.709999999999994</c:v>
                </c:pt>
                <c:pt idx="65">
                  <c:v>69.459999999999994</c:v>
                </c:pt>
                <c:pt idx="66">
                  <c:v>68.709999999999994</c:v>
                </c:pt>
                <c:pt idx="67">
                  <c:v>66.66</c:v>
                </c:pt>
                <c:pt idx="68">
                  <c:v>65.11</c:v>
                </c:pt>
                <c:pt idx="69">
                  <c:v>66.44</c:v>
                </c:pt>
                <c:pt idx="70">
                  <c:v>68.459999999999994</c:v>
                </c:pt>
                <c:pt idx="71">
                  <c:v>68.650000000000006</c:v>
                </c:pt>
                <c:pt idx="72">
                  <c:v>69.459999999999994</c:v>
                </c:pt>
                <c:pt idx="73">
                  <c:v>69.650000000000006</c:v>
                </c:pt>
                <c:pt idx="74">
                  <c:v>69.319999999999993</c:v>
                </c:pt>
                <c:pt idx="75">
                  <c:v>70.25</c:v>
                </c:pt>
                <c:pt idx="76">
                  <c:v>71.349999999999994</c:v>
                </c:pt>
                <c:pt idx="77">
                  <c:v>71.31</c:v>
                </c:pt>
                <c:pt idx="78">
                  <c:v>71.89</c:v>
                </c:pt>
                <c:pt idx="79">
                  <c:v>71.489999999999995</c:v>
                </c:pt>
                <c:pt idx="80">
                  <c:v>72.22</c:v>
                </c:pt>
                <c:pt idx="81">
                  <c:v>72.22</c:v>
                </c:pt>
                <c:pt idx="82">
                  <c:v>71.98</c:v>
                </c:pt>
                <c:pt idx="83">
                  <c:v>72.11</c:v>
                </c:pt>
                <c:pt idx="84">
                  <c:v>72.290000000000006</c:v>
                </c:pt>
                <c:pt idx="85">
                  <c:v>73.3</c:v>
                </c:pt>
                <c:pt idx="86">
                  <c:v>73.59</c:v>
                </c:pt>
                <c:pt idx="87">
                  <c:v>72.290000000000006</c:v>
                </c:pt>
                <c:pt idx="88">
                  <c:v>72.73</c:v>
                </c:pt>
                <c:pt idx="89">
                  <c:v>74.08</c:v>
                </c:pt>
                <c:pt idx="90">
                  <c:v>74.5</c:v>
                </c:pt>
                <c:pt idx="91">
                  <c:v>74.81</c:v>
                </c:pt>
                <c:pt idx="92">
                  <c:v>75.38</c:v>
                </c:pt>
                <c:pt idx="93">
                  <c:v>74.14</c:v>
                </c:pt>
                <c:pt idx="94">
                  <c:v>74.28</c:v>
                </c:pt>
                <c:pt idx="95">
                  <c:v>74.62</c:v>
                </c:pt>
                <c:pt idx="96">
                  <c:v>75.84</c:v>
                </c:pt>
                <c:pt idx="97">
                  <c:v>76.17</c:v>
                </c:pt>
                <c:pt idx="98">
                  <c:v>77.16</c:v>
                </c:pt>
                <c:pt idx="99">
                  <c:v>74.53</c:v>
                </c:pt>
                <c:pt idx="100">
                  <c:v>73.430000000000007</c:v>
                </c:pt>
                <c:pt idx="101">
                  <c:v>74.12</c:v>
                </c:pt>
                <c:pt idx="102">
                  <c:v>75.55</c:v>
                </c:pt>
                <c:pt idx="103">
                  <c:v>75.16</c:v>
                </c:pt>
                <c:pt idx="104">
                  <c:v>76.489999999999995</c:v>
                </c:pt>
                <c:pt idx="105">
                  <c:v>74.760000000000005</c:v>
                </c:pt>
                <c:pt idx="106">
                  <c:v>73.47</c:v>
                </c:pt>
                <c:pt idx="107">
                  <c:v>73.59</c:v>
                </c:pt>
                <c:pt idx="108">
                  <c:v>68.62</c:v>
                </c:pt>
                <c:pt idx="109">
                  <c:v>69.349999999999994</c:v>
                </c:pt>
                <c:pt idx="110">
                  <c:v>72.23</c:v>
                </c:pt>
                <c:pt idx="111">
                  <c:v>73.790000000000006</c:v>
                </c:pt>
                <c:pt idx="112">
                  <c:v>74.099999999999994</c:v>
                </c:pt>
                <c:pt idx="113">
                  <c:v>74.5</c:v>
                </c:pt>
                <c:pt idx="114">
                  <c:v>74.48</c:v>
                </c:pt>
                <c:pt idx="115">
                  <c:v>74.739999999999995</c:v>
                </c:pt>
                <c:pt idx="116">
                  <c:v>76.05</c:v>
                </c:pt>
                <c:pt idx="117">
                  <c:v>76.33</c:v>
                </c:pt>
                <c:pt idx="118">
                  <c:v>72.89</c:v>
                </c:pt>
                <c:pt idx="119">
                  <c:v>72.41</c:v>
                </c:pt>
                <c:pt idx="120">
                  <c:v>70.38</c:v>
                </c:pt>
                <c:pt idx="121">
                  <c:v>71.290000000000006</c:v>
                </c:pt>
                <c:pt idx="122">
                  <c:v>70.7</c:v>
                </c:pt>
                <c:pt idx="123">
                  <c:v>69.040000000000006</c:v>
                </c:pt>
                <c:pt idx="124">
                  <c:v>70.63</c:v>
                </c:pt>
                <c:pt idx="125">
                  <c:v>71.44</c:v>
                </c:pt>
                <c:pt idx="126">
                  <c:v>71.31</c:v>
                </c:pt>
                <c:pt idx="127">
                  <c:v>70.59</c:v>
                </c:pt>
                <c:pt idx="128">
                  <c:v>69.510000000000005</c:v>
                </c:pt>
                <c:pt idx="129">
                  <c:v>69.03</c:v>
                </c:pt>
                <c:pt idx="130">
                  <c:v>68.23</c:v>
                </c:pt>
                <c:pt idx="131">
                  <c:v>66.45</c:v>
                </c:pt>
                <c:pt idx="132">
                  <c:v>65.180000000000007</c:v>
                </c:pt>
                <c:pt idx="133">
                  <c:v>68.75</c:v>
                </c:pt>
                <c:pt idx="134">
                  <c:v>71.05</c:v>
                </c:pt>
                <c:pt idx="135">
                  <c:v>72.25</c:v>
                </c:pt>
                <c:pt idx="136">
                  <c:v>71.069999999999993</c:v>
                </c:pt>
                <c:pt idx="137">
                  <c:v>72.7</c:v>
                </c:pt>
                <c:pt idx="138">
                  <c:v>73.41</c:v>
                </c:pt>
                <c:pt idx="139">
                  <c:v>72.989999999999995</c:v>
                </c:pt>
                <c:pt idx="140">
                  <c:v>71.59</c:v>
                </c:pt>
                <c:pt idx="141">
                  <c:v>73.03</c:v>
                </c:pt>
                <c:pt idx="142">
                  <c:v>72.61</c:v>
                </c:pt>
                <c:pt idx="143">
                  <c:v>72.22</c:v>
                </c:pt>
                <c:pt idx="144">
                  <c:v>71.69</c:v>
                </c:pt>
                <c:pt idx="145">
                  <c:v>72.599999999999994</c:v>
                </c:pt>
                <c:pt idx="146">
                  <c:v>71.45</c:v>
                </c:pt>
                <c:pt idx="147">
                  <c:v>72.92</c:v>
                </c:pt>
                <c:pt idx="148">
                  <c:v>73.510000000000005</c:v>
                </c:pt>
                <c:pt idx="149">
                  <c:v>73.599999999999994</c:v>
                </c:pt>
                <c:pt idx="150">
                  <c:v>75.459999999999994</c:v>
                </c:pt>
                <c:pt idx="151">
                  <c:v>75.67</c:v>
                </c:pt>
                <c:pt idx="152">
                  <c:v>75.34</c:v>
                </c:pt>
                <c:pt idx="153">
                  <c:v>73.92</c:v>
                </c:pt>
                <c:pt idx="154">
                  <c:v>74.36</c:v>
                </c:pt>
                <c:pt idx="155">
                  <c:v>76.19</c:v>
                </c:pt>
                <c:pt idx="156">
                  <c:v>77.25</c:v>
                </c:pt>
                <c:pt idx="157">
                  <c:v>78.09</c:v>
                </c:pt>
                <c:pt idx="158">
                  <c:v>79.53</c:v>
                </c:pt>
                <c:pt idx="159">
                  <c:v>79.09</c:v>
                </c:pt>
                <c:pt idx="160">
                  <c:v>78.64</c:v>
                </c:pt>
                <c:pt idx="161">
                  <c:v>78.52</c:v>
                </c:pt>
                <c:pt idx="162">
                  <c:v>79.28</c:v>
                </c:pt>
                <c:pt idx="163">
                  <c:v>81.260000000000005</c:v>
                </c:pt>
                <c:pt idx="164">
                  <c:v>82.56</c:v>
                </c:pt>
                <c:pt idx="165">
                  <c:v>81.08</c:v>
                </c:pt>
                <c:pt idx="166">
                  <c:v>81.95</c:v>
                </c:pt>
                <c:pt idx="167">
                  <c:v>82.39</c:v>
                </c:pt>
                <c:pt idx="168">
                  <c:v>82.92</c:v>
                </c:pt>
                <c:pt idx="169">
                  <c:v>82.73</c:v>
                </c:pt>
                <c:pt idx="170">
                  <c:v>82.56</c:v>
                </c:pt>
                <c:pt idx="171">
                  <c:v>83.34</c:v>
                </c:pt>
                <c:pt idx="172">
                  <c:v>84.15</c:v>
                </c:pt>
                <c:pt idx="173">
                  <c:v>83.66</c:v>
                </c:pt>
                <c:pt idx="174">
                  <c:v>84.36</c:v>
                </c:pt>
                <c:pt idx="175">
                  <c:v>85.15</c:v>
                </c:pt>
                <c:pt idx="176">
                  <c:v>83.93</c:v>
                </c:pt>
                <c:pt idx="177">
                  <c:v>84.64</c:v>
                </c:pt>
                <c:pt idx="178">
                  <c:v>85.17</c:v>
                </c:pt>
                <c:pt idx="179">
                  <c:v>85.65</c:v>
                </c:pt>
                <c:pt idx="180">
                  <c:v>83.87</c:v>
                </c:pt>
                <c:pt idx="181">
                  <c:v>83.66</c:v>
                </c:pt>
                <c:pt idx="182">
                  <c:v>83.72</c:v>
                </c:pt>
                <c:pt idx="183">
                  <c:v>83.35</c:v>
                </c:pt>
                <c:pt idx="184">
                  <c:v>84.71</c:v>
                </c:pt>
                <c:pt idx="185">
                  <c:v>84.72</c:v>
                </c:pt>
                <c:pt idx="186">
                  <c:v>81.99</c:v>
                </c:pt>
                <c:pt idx="187">
                  <c:v>80.540000000000006</c:v>
                </c:pt>
                <c:pt idx="188">
                  <c:v>82.74</c:v>
                </c:pt>
                <c:pt idx="189">
                  <c:v>83.43</c:v>
                </c:pt>
                <c:pt idx="190">
                  <c:v>84.78</c:v>
                </c:pt>
                <c:pt idx="191">
                  <c:v>82.64</c:v>
                </c:pt>
                <c:pt idx="192">
                  <c:v>82.87</c:v>
                </c:pt>
                <c:pt idx="193">
                  <c:v>82.17</c:v>
                </c:pt>
                <c:pt idx="194">
                  <c:v>82.05</c:v>
                </c:pt>
                <c:pt idx="195">
                  <c:v>82.43</c:v>
                </c:pt>
                <c:pt idx="196">
                  <c:v>80.28</c:v>
                </c:pt>
                <c:pt idx="197">
                  <c:v>81.239999999999995</c:v>
                </c:pt>
                <c:pt idx="198">
                  <c:v>78.89</c:v>
                </c:pt>
                <c:pt idx="199">
                  <c:v>79.7</c:v>
                </c:pt>
                <c:pt idx="200">
                  <c:v>82.31</c:v>
                </c:pt>
                <c:pt idx="201">
                  <c:v>82.25</c:v>
                </c:pt>
                <c:pt idx="202">
                  <c:v>82.22</c:v>
                </c:pt>
                <c:pt idx="203">
                  <c:v>72.72</c:v>
                </c:pt>
                <c:pt idx="204">
                  <c:v>73.44</c:v>
                </c:pt>
                <c:pt idx="205">
                  <c:v>70.569999999999993</c:v>
                </c:pt>
                <c:pt idx="206">
                  <c:v>68.87</c:v>
                </c:pt>
                <c:pt idx="207">
                  <c:v>69.67</c:v>
                </c:pt>
                <c:pt idx="208">
                  <c:v>69.88</c:v>
                </c:pt>
                <c:pt idx="209">
                  <c:v>73.08</c:v>
                </c:pt>
                <c:pt idx="210">
                  <c:v>75.44</c:v>
                </c:pt>
                <c:pt idx="211">
                  <c:v>75.819999999999993</c:v>
                </c:pt>
                <c:pt idx="212">
                  <c:v>74.42</c:v>
                </c:pt>
                <c:pt idx="213">
                  <c:v>74.91</c:v>
                </c:pt>
                <c:pt idx="214">
                  <c:v>73.63</c:v>
                </c:pt>
                <c:pt idx="215">
                  <c:v>73.78</c:v>
                </c:pt>
                <c:pt idx="216">
                  <c:v>74.92</c:v>
                </c:pt>
                <c:pt idx="217">
                  <c:v>73.52</c:v>
                </c:pt>
                <c:pt idx="218">
                  <c:v>71.569999999999993</c:v>
                </c:pt>
                <c:pt idx="219">
                  <c:v>73.959999999999994</c:v>
                </c:pt>
                <c:pt idx="220">
                  <c:v>75.28</c:v>
                </c:pt>
                <c:pt idx="221">
                  <c:v>76.64</c:v>
                </c:pt>
                <c:pt idx="222">
                  <c:v>75.790000000000006</c:v>
                </c:pt>
                <c:pt idx="223">
                  <c:v>78.22</c:v>
                </c:pt>
                <c:pt idx="224">
                  <c:v>78.67</c:v>
                </c:pt>
                <c:pt idx="225">
                  <c:v>79.209999999999994</c:v>
                </c:pt>
                <c:pt idx="226">
                  <c:v>79.53</c:v>
                </c:pt>
                <c:pt idx="227">
                  <c:v>77.78</c:v>
                </c:pt>
                <c:pt idx="228">
                  <c:v>80</c:v>
                </c:pt>
                <c:pt idx="229">
                  <c:v>80.8</c:v>
                </c:pt>
                <c:pt idx="230">
                  <c:v>81.99</c:v>
                </c:pt>
                <c:pt idx="231">
                  <c:v>81.75</c:v>
                </c:pt>
                <c:pt idx="232">
                  <c:v>80.87</c:v>
                </c:pt>
                <c:pt idx="233">
                  <c:v>83.72</c:v>
                </c:pt>
                <c:pt idx="234">
                  <c:v>84.67</c:v>
                </c:pt>
                <c:pt idx="235">
                  <c:v>84.47</c:v>
                </c:pt>
                <c:pt idx="236">
                  <c:v>86.06</c:v>
                </c:pt>
                <c:pt idx="237">
                  <c:v>86.48</c:v>
                </c:pt>
                <c:pt idx="238">
                  <c:v>87.51</c:v>
                </c:pt>
                <c:pt idx="239">
                  <c:v>88.44</c:v>
                </c:pt>
                <c:pt idx="240">
                  <c:v>88.38</c:v>
                </c:pt>
                <c:pt idx="241">
                  <c:v>87.89</c:v>
                </c:pt>
                <c:pt idx="242">
                  <c:v>86.27</c:v>
                </c:pt>
                <c:pt idx="243">
                  <c:v>88.2</c:v>
                </c:pt>
                <c:pt idx="244">
                  <c:v>89.96</c:v>
                </c:pt>
                <c:pt idx="245">
                  <c:v>89.34</c:v>
                </c:pt>
                <c:pt idx="246">
                  <c:v>90.03</c:v>
                </c:pt>
                <c:pt idx="247">
                  <c:v>91.21</c:v>
                </c:pt>
                <c:pt idx="248">
                  <c:v>89.16</c:v>
                </c:pt>
                <c:pt idx="249">
                  <c:v>89.47</c:v>
                </c:pt>
                <c:pt idx="250">
                  <c:v>91.11</c:v>
                </c:pt>
                <c:pt idx="251">
                  <c:v>93.27</c:v>
                </c:pt>
                <c:pt idx="252">
                  <c:v>92.69</c:v>
                </c:pt>
                <c:pt idx="253">
                  <c:v>90.78</c:v>
                </c:pt>
                <c:pt idx="254">
                  <c:v>91.55</c:v>
                </c:pt>
                <c:pt idx="255">
                  <c:v>91.41</c:v>
                </c:pt>
                <c:pt idx="256">
                  <c:v>94.44</c:v>
                </c:pt>
                <c:pt idx="257">
                  <c:v>96.48</c:v>
                </c:pt>
                <c:pt idx="258">
                  <c:v>93.6</c:v>
                </c:pt>
                <c:pt idx="259">
                  <c:v>92.49</c:v>
                </c:pt>
                <c:pt idx="260">
                  <c:v>90.81</c:v>
                </c:pt>
                <c:pt idx="261">
                  <c:v>91.39</c:v>
                </c:pt>
                <c:pt idx="262">
                  <c:v>92.99</c:v>
                </c:pt>
                <c:pt idx="263">
                  <c:v>93.85</c:v>
                </c:pt>
                <c:pt idx="264">
                  <c:v>94.05</c:v>
                </c:pt>
                <c:pt idx="265">
                  <c:v>95.42</c:v>
                </c:pt>
                <c:pt idx="266">
                  <c:v>94.12</c:v>
                </c:pt>
                <c:pt idx="267">
                  <c:v>97.97</c:v>
                </c:pt>
                <c:pt idx="268">
                  <c:v>104.97</c:v>
                </c:pt>
                <c:pt idx="269">
                  <c:v>112.93</c:v>
                </c:pt>
                <c:pt idx="270">
                  <c:v>118.39</c:v>
                </c:pt>
                <c:pt idx="271">
                  <c:v>118.11</c:v>
                </c:pt>
                <c:pt idx="272">
                  <c:v>123.21</c:v>
                </c:pt>
                <c:pt idx="273">
                  <c:v>127.98</c:v>
                </c:pt>
                <c:pt idx="274">
                  <c:v>111.14</c:v>
                </c:pt>
                <c:pt idx="275">
                  <c:v>116.83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BD-4FBE-8F6B-9CE0C503B6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9445152"/>
        <c:axId val="659440232"/>
      </c:lineChart>
      <c:dateAx>
        <c:axId val="65944515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59440232"/>
        <c:crosses val="autoZero"/>
        <c:auto val="1"/>
        <c:lblOffset val="100"/>
        <c:baseTimeUnit val="days"/>
      </c:dateAx>
      <c:valAx>
        <c:axId val="659440232"/>
        <c:scaling>
          <c:orientation val="minMax"/>
          <c:max val="14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5944515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628AB788.dotm</Template>
  <TotalTime>3</TotalTime>
  <Pages>15</Pages>
  <Words>6798</Words>
  <Characters>40109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Hronza Martin</dc:creator>
  <cp:keywords/>
  <dc:description/>
  <cp:lastModifiedBy>Hronza Martin</cp:lastModifiedBy>
  <cp:revision>4</cp:revision>
  <dcterms:created xsi:type="dcterms:W3CDTF">2022-03-16T10:09:00Z</dcterms:created>
  <dcterms:modified xsi:type="dcterms:W3CDTF">2022-03-16T10:14:00Z</dcterms:modified>
</cp:coreProperties>
</file>