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070D7" w14:textId="05D6435D" w:rsidR="002B266D" w:rsidRPr="002B266D" w:rsidRDefault="003D7869" w:rsidP="002B266D">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6AD8B621" w:rsidR="00D6359F" w:rsidRPr="005B2FA0" w:rsidRDefault="003F1441" w:rsidP="003F1441">
      <w:pPr>
        <w:spacing w:after="0"/>
        <w:jc w:val="both"/>
        <w:rPr>
          <w:rFonts w:ascii="Times New Roman" w:hAnsi="Times New Roman" w:cs="Times New Roman"/>
          <w:b/>
          <w:sz w:val="56"/>
          <w:szCs w:val="56"/>
        </w:rPr>
      </w:pPr>
      <w:proofErr w:type="gramStart"/>
      <w:r w:rsidRPr="00D9156B">
        <w:rPr>
          <w:rFonts w:ascii="Times New Roman" w:hAnsi="Times New Roman" w:cs="Times New Roman"/>
          <w:sz w:val="36"/>
          <w:szCs w:val="36"/>
        </w:rPr>
        <w:t xml:space="preserve">Číslo:  </w:t>
      </w:r>
      <w:r w:rsidR="007C7CEA">
        <w:rPr>
          <w:rFonts w:ascii="Times New Roman" w:hAnsi="Times New Roman" w:cs="Times New Roman"/>
          <w:sz w:val="36"/>
          <w:szCs w:val="36"/>
        </w:rPr>
        <w:t xml:space="preserve"> </w:t>
      </w:r>
      <w:proofErr w:type="gramEnd"/>
      <w:r w:rsidR="00F22B97">
        <w:rPr>
          <w:rFonts w:ascii="Times New Roman" w:hAnsi="Times New Roman" w:cs="Times New Roman"/>
          <w:b/>
          <w:bCs/>
          <w:sz w:val="56"/>
          <w:szCs w:val="56"/>
        </w:rPr>
        <w:t>1</w:t>
      </w:r>
      <w:r w:rsidRPr="00D9156B">
        <w:rPr>
          <w:rFonts w:ascii="Times New Roman" w:hAnsi="Times New Roman" w:cs="Times New Roman"/>
          <w:sz w:val="36"/>
          <w:szCs w:val="36"/>
        </w:rPr>
        <w:t xml:space="preserve"> </w:t>
      </w:r>
      <w:r w:rsidR="00C162AC">
        <w:rPr>
          <w:rFonts w:ascii="Times New Roman" w:hAnsi="Times New Roman" w:cs="Times New Roman"/>
          <w:b/>
          <w:sz w:val="56"/>
          <w:szCs w:val="56"/>
        </w:rPr>
        <w:t>/202</w:t>
      </w:r>
      <w:r w:rsidR="00F22B97">
        <w:rPr>
          <w:rFonts w:ascii="Times New Roman" w:hAnsi="Times New Roman" w:cs="Times New Roman"/>
          <w:b/>
          <w:sz w:val="56"/>
          <w:szCs w:val="56"/>
        </w:rPr>
        <w:t>5</w:t>
      </w: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3A431035" w:rsidR="000760C2" w:rsidRDefault="00643155" w:rsidP="008D7BED">
      <w:pPr>
        <w:spacing w:after="0"/>
        <w:jc w:val="both"/>
        <w:rPr>
          <w:rFonts w:ascii="Times New Roman" w:hAnsi="Times New Roman" w:cs="Times New Roman"/>
          <w:sz w:val="28"/>
          <w:szCs w:val="28"/>
        </w:rPr>
      </w:pPr>
      <w:r>
        <w:rPr>
          <w:rFonts w:ascii="Times New Roman" w:hAnsi="Times New Roman" w:cs="Times New Roman"/>
          <w:sz w:val="28"/>
          <w:szCs w:val="28"/>
        </w:rPr>
        <w:t>Úvodní slovo předsedy OSPZV-ASO ČR</w:t>
      </w:r>
      <w:r w:rsidR="00752B49">
        <w:rPr>
          <w:rFonts w:ascii="Times New Roman" w:hAnsi="Times New Roman" w:cs="Times New Roman"/>
          <w:sz w:val="28"/>
          <w:szCs w:val="28"/>
        </w:rPr>
        <w:t xml:space="preserve"> Bohumíra Dufka do roku 2025</w:t>
      </w:r>
    </w:p>
    <w:p w14:paraId="072689EF" w14:textId="1918DA05" w:rsidR="00FA2979" w:rsidRDefault="0034574B" w:rsidP="008D7BED">
      <w:pPr>
        <w:spacing w:after="0"/>
        <w:jc w:val="both"/>
        <w:rPr>
          <w:rFonts w:ascii="Times New Roman" w:hAnsi="Times New Roman" w:cs="Times New Roman"/>
          <w:sz w:val="28"/>
          <w:szCs w:val="28"/>
        </w:rPr>
      </w:pPr>
      <w:r>
        <w:rPr>
          <w:rFonts w:ascii="Times New Roman" w:hAnsi="Times New Roman" w:cs="Times New Roman"/>
          <w:sz w:val="28"/>
          <w:szCs w:val="28"/>
        </w:rPr>
        <w:t>Zaměstnavatel</w:t>
      </w:r>
      <w:r w:rsidR="00C247A5">
        <w:rPr>
          <w:rFonts w:ascii="Times New Roman" w:hAnsi="Times New Roman" w:cs="Times New Roman"/>
          <w:sz w:val="28"/>
          <w:szCs w:val="28"/>
        </w:rPr>
        <w:t xml:space="preserve"> nechce uznat odškodnění za pracovní úraz</w:t>
      </w:r>
    </w:p>
    <w:p w14:paraId="0F118F9A" w14:textId="12A2F156" w:rsidR="00EB0C8D" w:rsidRDefault="00C247A5" w:rsidP="008D7BED">
      <w:pPr>
        <w:spacing w:after="0"/>
        <w:jc w:val="both"/>
        <w:rPr>
          <w:rFonts w:ascii="Times New Roman" w:hAnsi="Times New Roman" w:cs="Times New Roman"/>
          <w:sz w:val="28"/>
          <w:szCs w:val="28"/>
        </w:rPr>
      </w:pPr>
      <w:r>
        <w:rPr>
          <w:rFonts w:ascii="Times New Roman" w:hAnsi="Times New Roman" w:cs="Times New Roman"/>
          <w:sz w:val="28"/>
          <w:szCs w:val="28"/>
        </w:rPr>
        <w:t>Podpora v nezaměstnanosti v roce 2025</w:t>
      </w:r>
    </w:p>
    <w:p w14:paraId="0DED9221" w14:textId="61C456BF" w:rsidR="00A20055" w:rsidRDefault="00564DFD" w:rsidP="008D7BED">
      <w:pPr>
        <w:spacing w:after="0"/>
        <w:jc w:val="both"/>
        <w:rPr>
          <w:rFonts w:ascii="Times New Roman" w:hAnsi="Times New Roman" w:cs="Times New Roman"/>
          <w:sz w:val="28"/>
          <w:szCs w:val="28"/>
        </w:rPr>
      </w:pPr>
      <w:r>
        <w:rPr>
          <w:rFonts w:ascii="Times New Roman" w:hAnsi="Times New Roman" w:cs="Times New Roman"/>
          <w:sz w:val="28"/>
          <w:szCs w:val="28"/>
        </w:rPr>
        <w:t>Nejdůležitější údaje pro sociální zabezpečení</w:t>
      </w:r>
      <w:r w:rsidR="00D900F5">
        <w:rPr>
          <w:rFonts w:ascii="Times New Roman" w:hAnsi="Times New Roman" w:cs="Times New Roman"/>
          <w:sz w:val="28"/>
          <w:szCs w:val="28"/>
        </w:rPr>
        <w:t xml:space="preserve"> v roce 2025</w:t>
      </w:r>
      <w:r w:rsidR="00517BA3">
        <w:rPr>
          <w:rFonts w:ascii="Times New Roman" w:hAnsi="Times New Roman" w:cs="Times New Roman"/>
          <w:sz w:val="28"/>
          <w:szCs w:val="28"/>
        </w:rPr>
        <w:t xml:space="preserve"> </w:t>
      </w:r>
      <w:r w:rsidR="00416807">
        <w:rPr>
          <w:rFonts w:ascii="Times New Roman" w:hAnsi="Times New Roman" w:cs="Times New Roman"/>
          <w:sz w:val="28"/>
          <w:szCs w:val="28"/>
        </w:rPr>
        <w:t xml:space="preserve"> </w:t>
      </w:r>
    </w:p>
    <w:p w14:paraId="1F166855" w14:textId="0A328FC2" w:rsidR="000760C2" w:rsidRDefault="00D900F5" w:rsidP="003F1441">
      <w:pPr>
        <w:spacing w:after="0"/>
        <w:jc w:val="both"/>
        <w:rPr>
          <w:rFonts w:ascii="Times New Roman" w:hAnsi="Times New Roman" w:cs="Times New Roman"/>
          <w:sz w:val="28"/>
          <w:szCs w:val="28"/>
        </w:rPr>
      </w:pPr>
      <w:r>
        <w:rPr>
          <w:rFonts w:ascii="Times New Roman" w:hAnsi="Times New Roman" w:cs="Times New Roman"/>
          <w:sz w:val="28"/>
          <w:szCs w:val="28"/>
        </w:rPr>
        <w:t>Nadbytečnost zaměstnance – rozhodování, které má svá pravidla</w:t>
      </w:r>
    </w:p>
    <w:p w14:paraId="5F5CAB5C" w14:textId="70379815" w:rsidR="00EB0C8D" w:rsidRDefault="00EB0C8D"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2E54E060" w14:textId="089878FC" w:rsidR="00353F28" w:rsidRDefault="003D7869" w:rsidP="00B56AA1">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500B057E" w14:textId="77777777" w:rsidR="005E2CAF" w:rsidRPr="005E2CAF" w:rsidRDefault="005E2CAF" w:rsidP="00B56AA1">
      <w:pPr>
        <w:rPr>
          <w:rFonts w:ascii="Times New Roman" w:hAnsi="Times New Roman" w:cs="Times New Roman"/>
        </w:rPr>
      </w:pPr>
    </w:p>
    <w:p w14:paraId="3A763E1F" w14:textId="77777777" w:rsidR="00B56AA1" w:rsidRDefault="00B56AA1" w:rsidP="00B56AA1">
      <w:pPr>
        <w:rPr>
          <w:rFonts w:ascii="Times New Roman" w:hAnsi="Times New Roman" w:cs="Times New Roman"/>
          <w:sz w:val="28"/>
          <w:szCs w:val="28"/>
        </w:rPr>
      </w:pPr>
    </w:p>
    <w:p w14:paraId="576DB630" w14:textId="77777777" w:rsidR="0050007D" w:rsidRDefault="0050007D" w:rsidP="00B56AA1">
      <w:pPr>
        <w:rPr>
          <w:rFonts w:ascii="Times New Roman" w:hAnsi="Times New Roman" w:cs="Times New Roman"/>
          <w:sz w:val="28"/>
          <w:szCs w:val="28"/>
        </w:rPr>
      </w:pPr>
    </w:p>
    <w:p w14:paraId="73BDB1C5" w14:textId="77777777" w:rsidR="00D96711" w:rsidRDefault="00D96711" w:rsidP="00B56AA1">
      <w:pPr>
        <w:rPr>
          <w:rFonts w:ascii="Times New Roman" w:hAnsi="Times New Roman" w:cs="Times New Roman"/>
          <w:sz w:val="28"/>
          <w:szCs w:val="28"/>
        </w:rPr>
      </w:pPr>
    </w:p>
    <w:p w14:paraId="771850EB" w14:textId="77777777" w:rsidR="00CB15C8" w:rsidRDefault="00CB15C8" w:rsidP="00B56AA1">
      <w:pPr>
        <w:rPr>
          <w:rFonts w:ascii="Times New Roman" w:hAnsi="Times New Roman" w:cs="Times New Roman"/>
          <w:sz w:val="28"/>
          <w:szCs w:val="28"/>
        </w:rPr>
      </w:pPr>
    </w:p>
    <w:p w14:paraId="5566CF72" w14:textId="41D3B1EB" w:rsidR="00F440E0" w:rsidRPr="000649AB" w:rsidRDefault="00B56AA1" w:rsidP="000649AB">
      <w:pPr>
        <w:ind w:firstLine="709"/>
        <w:rPr>
          <w:rFonts w:ascii="Times New Roman" w:hAnsi="Times New Roman" w:cs="Times New Roman"/>
          <w:b/>
          <w:sz w:val="32"/>
          <w:szCs w:val="32"/>
        </w:rPr>
      </w:pPr>
      <w:r>
        <w:rPr>
          <w:rFonts w:ascii="Times New Roman" w:hAnsi="Times New Roman" w:cs="Times New Roman"/>
          <w:sz w:val="28"/>
          <w:szCs w:val="28"/>
        </w:rPr>
        <w:t xml:space="preserve">                                </w:t>
      </w:r>
      <w:proofErr w:type="gramStart"/>
      <w:r w:rsidR="00C36A2B" w:rsidRPr="00D9156B">
        <w:rPr>
          <w:rFonts w:ascii="Times New Roman" w:hAnsi="Times New Roman" w:cs="Times New Roman"/>
          <w:b/>
          <w:sz w:val="32"/>
          <w:szCs w:val="32"/>
        </w:rPr>
        <w:t>O  B</w:t>
      </w:r>
      <w:proofErr w:type="gramEnd"/>
      <w:r w:rsidR="00C36A2B" w:rsidRPr="00D9156B">
        <w:rPr>
          <w:rFonts w:ascii="Times New Roman" w:hAnsi="Times New Roman" w:cs="Times New Roman"/>
          <w:b/>
          <w:sz w:val="32"/>
          <w:szCs w:val="32"/>
        </w:rPr>
        <w:t xml:space="preserve">  S  A  H</w:t>
      </w:r>
    </w:p>
    <w:p w14:paraId="65A3D1FD" w14:textId="65EA7909" w:rsidR="00BC02CF" w:rsidRDefault="00F440E0" w:rsidP="00353F2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0B3A6F91"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BD06367" w14:textId="77777777" w:rsidR="00CB15C8" w:rsidRDefault="00CB15C8" w:rsidP="00353F28">
      <w:pPr>
        <w:tabs>
          <w:tab w:val="left" w:pos="1134"/>
          <w:tab w:val="right" w:leader="dot" w:pos="7938"/>
        </w:tabs>
        <w:spacing w:after="0" w:line="240" w:lineRule="auto"/>
        <w:jc w:val="both"/>
        <w:rPr>
          <w:rFonts w:ascii="Times New Roman" w:hAnsi="Times New Roman" w:cs="Times New Roman"/>
          <w:b/>
          <w:sz w:val="28"/>
          <w:szCs w:val="28"/>
        </w:rPr>
      </w:pPr>
    </w:p>
    <w:p w14:paraId="59D3D6D8" w14:textId="77777777" w:rsidR="0050007D" w:rsidRDefault="0050007D" w:rsidP="00353F28">
      <w:pPr>
        <w:tabs>
          <w:tab w:val="left" w:pos="1134"/>
          <w:tab w:val="right" w:leader="dot" w:pos="7938"/>
        </w:tabs>
        <w:spacing w:after="0" w:line="240" w:lineRule="auto"/>
        <w:jc w:val="both"/>
        <w:rPr>
          <w:rFonts w:ascii="Times New Roman" w:hAnsi="Times New Roman" w:cs="Times New Roman"/>
          <w:b/>
          <w:sz w:val="28"/>
          <w:szCs w:val="28"/>
        </w:rPr>
      </w:pPr>
    </w:p>
    <w:p w14:paraId="5741A0A7" w14:textId="3307CD45" w:rsidR="00740AFA" w:rsidRDefault="00BC02CF" w:rsidP="00410FC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643EA">
        <w:rPr>
          <w:rFonts w:ascii="Times New Roman" w:hAnsi="Times New Roman" w:cs="Times New Roman"/>
          <w:b/>
          <w:sz w:val="28"/>
          <w:szCs w:val="28"/>
        </w:rPr>
        <w:t xml:space="preserve"> </w:t>
      </w:r>
    </w:p>
    <w:p w14:paraId="5D78E604" w14:textId="77777777" w:rsidR="005F2D90" w:rsidRDefault="003F1D8D" w:rsidP="005F2D90">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410FC5">
        <w:rPr>
          <w:rFonts w:ascii="Times New Roman" w:hAnsi="Times New Roman" w:cs="Times New Roman"/>
          <w:b/>
          <w:sz w:val="28"/>
          <w:szCs w:val="28"/>
        </w:rPr>
        <w:t xml:space="preserve"> </w:t>
      </w:r>
      <w:r w:rsidR="001501C9">
        <w:rPr>
          <w:rFonts w:ascii="Times New Roman" w:hAnsi="Times New Roman" w:cs="Times New Roman"/>
          <w:b/>
          <w:sz w:val="28"/>
          <w:szCs w:val="28"/>
        </w:rPr>
        <w:t xml:space="preserve"> </w:t>
      </w:r>
      <w:r w:rsidR="00434539">
        <w:rPr>
          <w:rFonts w:ascii="Times New Roman" w:hAnsi="Times New Roman" w:cs="Times New Roman"/>
          <w:b/>
          <w:sz w:val="28"/>
          <w:szCs w:val="28"/>
        </w:rPr>
        <w:t>Úvodní slovo předsedy O</w:t>
      </w:r>
      <w:r w:rsidR="005F2D90">
        <w:rPr>
          <w:rFonts w:ascii="Times New Roman" w:hAnsi="Times New Roman" w:cs="Times New Roman"/>
          <w:b/>
          <w:sz w:val="28"/>
          <w:szCs w:val="28"/>
        </w:rPr>
        <w:t>S</w:t>
      </w:r>
      <w:r w:rsidR="00434539">
        <w:rPr>
          <w:rFonts w:ascii="Times New Roman" w:hAnsi="Times New Roman" w:cs="Times New Roman"/>
          <w:b/>
          <w:sz w:val="28"/>
          <w:szCs w:val="28"/>
        </w:rPr>
        <w:t>PZV</w:t>
      </w:r>
      <w:r w:rsidR="005F2D90">
        <w:rPr>
          <w:rFonts w:ascii="Times New Roman" w:hAnsi="Times New Roman" w:cs="Times New Roman"/>
          <w:b/>
          <w:sz w:val="28"/>
          <w:szCs w:val="28"/>
        </w:rPr>
        <w:t>-ASO ČR</w:t>
      </w:r>
    </w:p>
    <w:p w14:paraId="689AC5DB" w14:textId="6E36F995" w:rsidR="00353F28" w:rsidRDefault="005F2D90" w:rsidP="007E1E04">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2037D">
        <w:rPr>
          <w:rFonts w:ascii="Times New Roman" w:hAnsi="Times New Roman" w:cs="Times New Roman"/>
          <w:b/>
          <w:sz w:val="28"/>
          <w:szCs w:val="28"/>
        </w:rPr>
        <w:t>Bohumíra Dufka do nového roku</w:t>
      </w:r>
      <w:r w:rsidR="007E1E04">
        <w:rPr>
          <w:rFonts w:ascii="Times New Roman" w:hAnsi="Times New Roman" w:cs="Times New Roman"/>
          <w:b/>
          <w:sz w:val="28"/>
          <w:szCs w:val="28"/>
        </w:rPr>
        <w:t xml:space="preserve"> 2025</w:t>
      </w:r>
      <w:r w:rsidR="0022037D">
        <w:rPr>
          <w:rFonts w:ascii="Times New Roman" w:hAnsi="Times New Roman" w:cs="Times New Roman"/>
          <w:b/>
          <w:sz w:val="28"/>
          <w:szCs w:val="28"/>
        </w:rPr>
        <w:t xml:space="preserve"> </w:t>
      </w:r>
      <w:r w:rsidR="001F7487">
        <w:rPr>
          <w:rFonts w:ascii="Times New Roman" w:hAnsi="Times New Roman" w:cs="Times New Roman"/>
          <w:b/>
          <w:sz w:val="28"/>
          <w:szCs w:val="28"/>
        </w:rPr>
        <w:tab/>
      </w:r>
      <w:r w:rsidR="007623B0">
        <w:rPr>
          <w:rFonts w:ascii="Times New Roman" w:hAnsi="Times New Roman" w:cs="Times New Roman"/>
          <w:b/>
          <w:sz w:val="28"/>
          <w:szCs w:val="28"/>
        </w:rPr>
        <w:t>st</w:t>
      </w:r>
      <w:r w:rsidR="009E4246">
        <w:rPr>
          <w:rFonts w:ascii="Times New Roman" w:hAnsi="Times New Roman" w:cs="Times New Roman"/>
          <w:b/>
          <w:sz w:val="28"/>
          <w:szCs w:val="28"/>
        </w:rPr>
        <w:t>r. 3</w:t>
      </w:r>
    </w:p>
    <w:p w14:paraId="648031C4" w14:textId="32400E27" w:rsidR="007D2434" w:rsidRDefault="00B96A6D" w:rsidP="0075274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1501C9">
        <w:rPr>
          <w:rFonts w:ascii="Times New Roman" w:hAnsi="Times New Roman" w:cs="Times New Roman"/>
          <w:b/>
          <w:sz w:val="28"/>
          <w:szCs w:val="28"/>
        </w:rPr>
        <w:t xml:space="preserve"> </w:t>
      </w:r>
      <w:r w:rsidR="00752745">
        <w:rPr>
          <w:rFonts w:ascii="Times New Roman" w:hAnsi="Times New Roman" w:cs="Times New Roman"/>
          <w:b/>
          <w:sz w:val="28"/>
          <w:szCs w:val="28"/>
        </w:rPr>
        <w:t>Mezinárodní konference ASO – 27. 12. 202</w:t>
      </w:r>
      <w:r w:rsidR="0041531F">
        <w:rPr>
          <w:rFonts w:ascii="Times New Roman" w:hAnsi="Times New Roman" w:cs="Times New Roman"/>
          <w:b/>
          <w:sz w:val="28"/>
          <w:szCs w:val="28"/>
        </w:rPr>
        <w:t>4</w:t>
      </w:r>
    </w:p>
    <w:p w14:paraId="4A2DA3F6" w14:textId="71F5D38B" w:rsidR="00752745" w:rsidRDefault="00F83A7B" w:rsidP="0041531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AD5D1D">
        <w:rPr>
          <w:rFonts w:ascii="Times New Roman" w:hAnsi="Times New Roman" w:cs="Times New Roman"/>
          <w:b/>
          <w:sz w:val="28"/>
          <w:szCs w:val="28"/>
        </w:rPr>
        <w:t>v</w:t>
      </w:r>
      <w:r>
        <w:rPr>
          <w:rFonts w:ascii="Times New Roman" w:hAnsi="Times New Roman" w:cs="Times New Roman"/>
          <w:b/>
          <w:sz w:val="28"/>
          <w:szCs w:val="28"/>
        </w:rPr>
        <w:t>ystoupení doc. Ing. Karla Havlíčka, P</w:t>
      </w:r>
      <w:r w:rsidR="00DF6C49">
        <w:rPr>
          <w:rFonts w:ascii="Times New Roman" w:hAnsi="Times New Roman" w:cs="Times New Roman"/>
          <w:b/>
          <w:sz w:val="28"/>
          <w:szCs w:val="28"/>
        </w:rPr>
        <w:t>h</w:t>
      </w:r>
      <w:r>
        <w:rPr>
          <w:rFonts w:ascii="Times New Roman" w:hAnsi="Times New Roman" w:cs="Times New Roman"/>
          <w:b/>
          <w:sz w:val="28"/>
          <w:szCs w:val="28"/>
        </w:rPr>
        <w:t>.D.</w:t>
      </w:r>
      <w:r w:rsidR="00BD0CD6">
        <w:rPr>
          <w:rFonts w:ascii="Times New Roman" w:hAnsi="Times New Roman" w:cs="Times New Roman"/>
          <w:b/>
          <w:sz w:val="28"/>
          <w:szCs w:val="28"/>
        </w:rPr>
        <w:t xml:space="preserve"> MBA</w:t>
      </w:r>
      <w:r w:rsidR="002350E0">
        <w:rPr>
          <w:rFonts w:ascii="Times New Roman" w:hAnsi="Times New Roman" w:cs="Times New Roman"/>
          <w:b/>
          <w:sz w:val="28"/>
          <w:szCs w:val="28"/>
        </w:rPr>
        <w:t>…</w:t>
      </w:r>
      <w:r w:rsidR="00BD0CD6">
        <w:rPr>
          <w:rFonts w:ascii="Times New Roman" w:hAnsi="Times New Roman" w:cs="Times New Roman"/>
          <w:b/>
          <w:sz w:val="28"/>
          <w:szCs w:val="28"/>
        </w:rPr>
        <w:t xml:space="preserve"> str.5</w:t>
      </w:r>
      <w:r>
        <w:rPr>
          <w:rFonts w:ascii="Times New Roman" w:hAnsi="Times New Roman" w:cs="Times New Roman"/>
          <w:b/>
          <w:sz w:val="28"/>
          <w:szCs w:val="28"/>
        </w:rPr>
        <w:t xml:space="preserve"> </w:t>
      </w:r>
    </w:p>
    <w:p w14:paraId="6C96B3D7" w14:textId="28167059" w:rsidR="00353F28" w:rsidRDefault="005F6594" w:rsidP="007A5D65">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22553">
        <w:rPr>
          <w:rFonts w:ascii="Times New Roman" w:hAnsi="Times New Roman" w:cs="Times New Roman"/>
          <w:b/>
          <w:sz w:val="28"/>
          <w:szCs w:val="28"/>
        </w:rPr>
        <w:t xml:space="preserve"> </w:t>
      </w:r>
      <w:r w:rsidR="00A61923">
        <w:rPr>
          <w:rFonts w:ascii="Times New Roman" w:hAnsi="Times New Roman" w:cs="Times New Roman"/>
          <w:b/>
          <w:sz w:val="28"/>
          <w:szCs w:val="28"/>
        </w:rPr>
        <w:t xml:space="preserve">Zaměstnavatel nechce </w:t>
      </w:r>
      <w:r w:rsidR="007A5D65">
        <w:rPr>
          <w:rFonts w:ascii="Times New Roman" w:hAnsi="Times New Roman" w:cs="Times New Roman"/>
          <w:b/>
          <w:sz w:val="28"/>
          <w:szCs w:val="28"/>
        </w:rPr>
        <w:t>uznat odškodnění za</w:t>
      </w:r>
    </w:p>
    <w:p w14:paraId="5C3D259A" w14:textId="7EC1612C" w:rsidR="007A5D65" w:rsidRDefault="00AD5D1D" w:rsidP="0017007D">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pracovní úraz</w:t>
      </w:r>
      <w:r w:rsidR="0017007D">
        <w:rPr>
          <w:rFonts w:ascii="Times New Roman" w:hAnsi="Times New Roman" w:cs="Times New Roman"/>
          <w:b/>
          <w:sz w:val="28"/>
          <w:szCs w:val="28"/>
        </w:rPr>
        <w:tab/>
      </w:r>
      <w:r w:rsidR="002350E0">
        <w:rPr>
          <w:rFonts w:ascii="Times New Roman" w:hAnsi="Times New Roman" w:cs="Times New Roman"/>
          <w:b/>
          <w:sz w:val="28"/>
          <w:szCs w:val="28"/>
        </w:rPr>
        <w:t>.</w:t>
      </w:r>
      <w:r w:rsidR="0017007D">
        <w:rPr>
          <w:rFonts w:ascii="Times New Roman" w:hAnsi="Times New Roman" w:cs="Times New Roman"/>
          <w:b/>
          <w:sz w:val="28"/>
          <w:szCs w:val="28"/>
        </w:rPr>
        <w:t xml:space="preserve">  str. 7</w:t>
      </w:r>
    </w:p>
    <w:p w14:paraId="757B3DDC" w14:textId="4C194200" w:rsidR="000F5B65" w:rsidRDefault="000F5B65" w:rsidP="008C5C3E">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3D1492">
        <w:rPr>
          <w:rFonts w:ascii="Times New Roman" w:hAnsi="Times New Roman" w:cs="Times New Roman"/>
          <w:b/>
          <w:sz w:val="28"/>
          <w:szCs w:val="28"/>
        </w:rPr>
        <w:t>Podpora v nezaměstnanosti v roce 2025</w:t>
      </w:r>
      <w:r>
        <w:rPr>
          <w:rFonts w:ascii="Times New Roman" w:hAnsi="Times New Roman" w:cs="Times New Roman"/>
          <w:b/>
          <w:sz w:val="28"/>
          <w:szCs w:val="28"/>
        </w:rPr>
        <w:tab/>
        <w:t xml:space="preserve"> str. </w:t>
      </w:r>
      <w:r w:rsidR="005774B2">
        <w:rPr>
          <w:rFonts w:ascii="Times New Roman" w:hAnsi="Times New Roman" w:cs="Times New Roman"/>
          <w:b/>
          <w:sz w:val="28"/>
          <w:szCs w:val="28"/>
        </w:rPr>
        <w:t>9</w:t>
      </w:r>
    </w:p>
    <w:p w14:paraId="0FB5B2F3" w14:textId="72DEBA00" w:rsidR="00B97869" w:rsidRDefault="003F1D8D" w:rsidP="00FE1047">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A20832">
        <w:rPr>
          <w:rFonts w:ascii="Times New Roman" w:hAnsi="Times New Roman" w:cs="Times New Roman"/>
          <w:b/>
          <w:sz w:val="28"/>
          <w:szCs w:val="28"/>
        </w:rPr>
        <w:t xml:space="preserve"> </w:t>
      </w:r>
      <w:r w:rsidR="00955C7D">
        <w:rPr>
          <w:rFonts w:ascii="Times New Roman" w:hAnsi="Times New Roman" w:cs="Times New Roman"/>
          <w:b/>
          <w:sz w:val="28"/>
          <w:szCs w:val="28"/>
        </w:rPr>
        <w:tab/>
        <w:t xml:space="preserve">  </w:t>
      </w:r>
      <w:r w:rsidR="009612FB">
        <w:rPr>
          <w:rFonts w:ascii="Times New Roman" w:hAnsi="Times New Roman" w:cs="Times New Roman"/>
          <w:b/>
          <w:sz w:val="28"/>
          <w:szCs w:val="28"/>
        </w:rPr>
        <w:t>Nejdůležitě</w:t>
      </w:r>
      <w:r w:rsidR="008C1EC8">
        <w:rPr>
          <w:rFonts w:ascii="Times New Roman" w:hAnsi="Times New Roman" w:cs="Times New Roman"/>
          <w:b/>
          <w:sz w:val="28"/>
          <w:szCs w:val="28"/>
        </w:rPr>
        <w:t>jší údaje pro sociální zabezpečení</w:t>
      </w:r>
    </w:p>
    <w:p w14:paraId="399A135D" w14:textId="5B1BB231" w:rsidR="005F0A64" w:rsidRDefault="00B97869" w:rsidP="00B97869">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8C1EC8">
        <w:rPr>
          <w:rFonts w:ascii="Times New Roman" w:hAnsi="Times New Roman" w:cs="Times New Roman"/>
          <w:b/>
          <w:sz w:val="28"/>
          <w:szCs w:val="28"/>
        </w:rPr>
        <w:t>v roce 2025</w:t>
      </w:r>
      <w:r w:rsidR="007C7CEA">
        <w:rPr>
          <w:rFonts w:ascii="Times New Roman" w:hAnsi="Times New Roman" w:cs="Times New Roman"/>
          <w:b/>
          <w:sz w:val="28"/>
          <w:szCs w:val="28"/>
        </w:rPr>
        <w:tab/>
      </w:r>
      <w:r w:rsidR="00CA37AE">
        <w:rPr>
          <w:rFonts w:ascii="Times New Roman" w:hAnsi="Times New Roman" w:cs="Times New Roman"/>
          <w:b/>
          <w:sz w:val="28"/>
          <w:szCs w:val="28"/>
        </w:rPr>
        <w:t xml:space="preserve"> str. </w:t>
      </w:r>
      <w:r w:rsidR="008C1EC8">
        <w:rPr>
          <w:rFonts w:ascii="Times New Roman" w:hAnsi="Times New Roman" w:cs="Times New Roman"/>
          <w:b/>
          <w:sz w:val="28"/>
          <w:szCs w:val="28"/>
        </w:rPr>
        <w:t>15</w:t>
      </w:r>
    </w:p>
    <w:p w14:paraId="32F2C354" w14:textId="448DA76B" w:rsidR="005E048E" w:rsidRDefault="00DE2DE3" w:rsidP="00FE1FF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11280">
        <w:rPr>
          <w:rFonts w:ascii="Times New Roman" w:hAnsi="Times New Roman" w:cs="Times New Roman"/>
          <w:b/>
          <w:sz w:val="28"/>
          <w:szCs w:val="28"/>
        </w:rPr>
        <w:t xml:space="preserve">  </w:t>
      </w:r>
      <w:r w:rsidR="00D4306B">
        <w:rPr>
          <w:rFonts w:ascii="Times New Roman" w:hAnsi="Times New Roman" w:cs="Times New Roman"/>
          <w:b/>
          <w:sz w:val="28"/>
          <w:szCs w:val="28"/>
        </w:rPr>
        <w:t>Které změny připravuje ministerstvo financí</w:t>
      </w:r>
    </w:p>
    <w:p w14:paraId="3C8757B2" w14:textId="0E574476" w:rsidR="0046153A" w:rsidRDefault="005E048E" w:rsidP="006300B3">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r>
      <w:r w:rsidR="000C6C8C">
        <w:rPr>
          <w:rFonts w:ascii="Times New Roman" w:hAnsi="Times New Roman" w:cs="Times New Roman"/>
          <w:b/>
          <w:sz w:val="28"/>
          <w:szCs w:val="28"/>
        </w:rPr>
        <w:t xml:space="preserve">  </w:t>
      </w:r>
      <w:r w:rsidR="00674506">
        <w:rPr>
          <w:rFonts w:ascii="Times New Roman" w:hAnsi="Times New Roman" w:cs="Times New Roman"/>
          <w:b/>
          <w:sz w:val="28"/>
          <w:szCs w:val="28"/>
        </w:rPr>
        <w:t>pro rok 2025</w:t>
      </w:r>
      <w:r w:rsidR="00FE1FF2">
        <w:rPr>
          <w:rFonts w:ascii="Times New Roman" w:hAnsi="Times New Roman" w:cs="Times New Roman"/>
          <w:b/>
          <w:sz w:val="28"/>
          <w:szCs w:val="28"/>
        </w:rPr>
        <w:tab/>
        <w:t xml:space="preserve"> str.</w:t>
      </w:r>
      <w:r w:rsidR="00B10215">
        <w:rPr>
          <w:rFonts w:ascii="Times New Roman" w:hAnsi="Times New Roman" w:cs="Times New Roman"/>
          <w:b/>
          <w:sz w:val="28"/>
          <w:szCs w:val="28"/>
        </w:rPr>
        <w:t>2</w:t>
      </w:r>
      <w:r w:rsidR="00674506">
        <w:rPr>
          <w:rFonts w:ascii="Times New Roman" w:hAnsi="Times New Roman" w:cs="Times New Roman"/>
          <w:b/>
          <w:sz w:val="28"/>
          <w:szCs w:val="28"/>
        </w:rPr>
        <w:t>1</w:t>
      </w:r>
    </w:p>
    <w:p w14:paraId="32AEAACC" w14:textId="77777777" w:rsidR="00600F8A" w:rsidRDefault="003247E2" w:rsidP="0043508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74506">
        <w:rPr>
          <w:rFonts w:ascii="Times New Roman" w:hAnsi="Times New Roman" w:cs="Times New Roman"/>
          <w:b/>
          <w:sz w:val="28"/>
          <w:szCs w:val="28"/>
        </w:rPr>
        <w:t xml:space="preserve">Vývoj spotřebitelských cen – inflace – </w:t>
      </w:r>
    </w:p>
    <w:p w14:paraId="1A2BF1AF" w14:textId="77777777" w:rsidR="003622DF" w:rsidRDefault="00600F8A" w:rsidP="003622DF">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43508B">
        <w:rPr>
          <w:rFonts w:ascii="Times New Roman" w:hAnsi="Times New Roman" w:cs="Times New Roman"/>
          <w:b/>
          <w:sz w:val="28"/>
          <w:szCs w:val="28"/>
        </w:rPr>
        <w:t xml:space="preserve"> </w:t>
      </w:r>
      <w:r>
        <w:rPr>
          <w:rFonts w:ascii="Times New Roman" w:hAnsi="Times New Roman" w:cs="Times New Roman"/>
          <w:b/>
          <w:sz w:val="28"/>
          <w:szCs w:val="28"/>
        </w:rPr>
        <w:t>p</w:t>
      </w:r>
      <w:r w:rsidR="0043508B">
        <w:rPr>
          <w:rFonts w:ascii="Times New Roman" w:hAnsi="Times New Roman" w:cs="Times New Roman"/>
          <w:b/>
          <w:sz w:val="28"/>
          <w:szCs w:val="28"/>
        </w:rPr>
        <w:t>rosinec 2024</w:t>
      </w:r>
      <w:r>
        <w:rPr>
          <w:rFonts w:ascii="Times New Roman" w:hAnsi="Times New Roman" w:cs="Times New Roman"/>
          <w:b/>
          <w:sz w:val="28"/>
          <w:szCs w:val="28"/>
        </w:rPr>
        <w:tab/>
        <w:t xml:space="preserve"> str. 28</w:t>
      </w:r>
    </w:p>
    <w:p w14:paraId="198802DD" w14:textId="77777777" w:rsidR="003622DF" w:rsidRDefault="003622DF" w:rsidP="003622D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Nadbytečnost zaměstnance – rozhodování, které</w:t>
      </w:r>
    </w:p>
    <w:p w14:paraId="5D452470" w14:textId="72CA2992" w:rsidR="00090BCF" w:rsidRDefault="003622DF" w:rsidP="003622DF">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28063B">
        <w:rPr>
          <w:rFonts w:ascii="Times New Roman" w:hAnsi="Times New Roman" w:cs="Times New Roman"/>
          <w:b/>
          <w:sz w:val="28"/>
          <w:szCs w:val="28"/>
        </w:rPr>
        <w:t>má svá pravidla</w:t>
      </w:r>
      <w:r w:rsidR="0028063B">
        <w:rPr>
          <w:rFonts w:ascii="Times New Roman" w:hAnsi="Times New Roman" w:cs="Times New Roman"/>
          <w:b/>
          <w:sz w:val="28"/>
          <w:szCs w:val="28"/>
        </w:rPr>
        <w:tab/>
        <w:t xml:space="preserve"> str. 31</w:t>
      </w:r>
      <w:r w:rsidR="00063FA1">
        <w:rPr>
          <w:rFonts w:ascii="Times New Roman" w:hAnsi="Times New Roman" w:cs="Times New Roman"/>
          <w:b/>
          <w:sz w:val="28"/>
          <w:szCs w:val="28"/>
        </w:rPr>
        <w:t xml:space="preserve"> </w:t>
      </w:r>
    </w:p>
    <w:p w14:paraId="38893E7A" w14:textId="2BEB38F0" w:rsidR="007F1577" w:rsidRDefault="007F1577" w:rsidP="005629D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08286E2B" w14:textId="77777777" w:rsidR="00B90559" w:rsidRDefault="00B90559" w:rsidP="005629D8">
      <w:pPr>
        <w:tabs>
          <w:tab w:val="left" w:pos="1134"/>
          <w:tab w:val="right" w:leader="dot" w:pos="7938"/>
        </w:tabs>
        <w:spacing w:after="0" w:line="360" w:lineRule="auto"/>
        <w:jc w:val="both"/>
        <w:rPr>
          <w:rFonts w:ascii="Times New Roman" w:hAnsi="Times New Roman" w:cs="Times New Roman"/>
          <w:b/>
          <w:sz w:val="28"/>
          <w:szCs w:val="28"/>
        </w:rPr>
      </w:pPr>
    </w:p>
    <w:p w14:paraId="039B5AE6" w14:textId="4E8E9DED" w:rsidR="00B20CD7" w:rsidRDefault="00B20CD7" w:rsidP="00FC4ED4">
      <w:pPr>
        <w:tabs>
          <w:tab w:val="left" w:pos="1134"/>
          <w:tab w:val="right" w:leader="dot" w:pos="7938"/>
        </w:tabs>
        <w:spacing w:after="0" w:line="240" w:lineRule="auto"/>
        <w:jc w:val="both"/>
        <w:rPr>
          <w:rFonts w:ascii="Times New Roman" w:hAnsi="Times New Roman" w:cs="Times New Roman"/>
          <w:b/>
          <w:sz w:val="28"/>
          <w:szCs w:val="28"/>
        </w:rPr>
      </w:pPr>
    </w:p>
    <w:p w14:paraId="57C58EAF"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7E1296A5" w14:textId="77777777" w:rsidR="00FE1FF2" w:rsidRDefault="00FE1FF2" w:rsidP="00353F28">
      <w:pPr>
        <w:tabs>
          <w:tab w:val="left" w:pos="1134"/>
          <w:tab w:val="right" w:leader="dot" w:pos="7938"/>
        </w:tabs>
        <w:spacing w:after="0" w:line="360" w:lineRule="auto"/>
        <w:jc w:val="both"/>
        <w:rPr>
          <w:rFonts w:ascii="Times New Roman" w:hAnsi="Times New Roman" w:cs="Times New Roman"/>
          <w:b/>
          <w:sz w:val="28"/>
          <w:szCs w:val="28"/>
        </w:rPr>
      </w:pPr>
    </w:p>
    <w:p w14:paraId="1C422A8F" w14:textId="14DE7567" w:rsidR="0028286D" w:rsidRPr="00D9156B" w:rsidRDefault="0028286D" w:rsidP="00FE1FF2">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 xml:space="preserve">Zpracovala: Ing. Naděžda </w:t>
      </w:r>
      <w:proofErr w:type="spellStart"/>
      <w:r w:rsidRPr="00D9156B">
        <w:rPr>
          <w:rFonts w:ascii="Times New Roman" w:hAnsi="Times New Roman" w:cs="Times New Roman"/>
          <w:b/>
          <w:sz w:val="28"/>
          <w:szCs w:val="28"/>
        </w:rPr>
        <w:t>Pikierská</w:t>
      </w:r>
      <w:proofErr w:type="spellEnd"/>
      <w:r w:rsidRPr="00D9156B">
        <w:rPr>
          <w:rFonts w:ascii="Times New Roman" w:hAnsi="Times New Roman" w:cs="Times New Roman"/>
          <w:b/>
          <w:sz w:val="28"/>
          <w:szCs w:val="28"/>
        </w:rPr>
        <w:t>,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4B2FEA18" w14:textId="77777777" w:rsidR="00687941" w:rsidRDefault="00687941" w:rsidP="00687941">
      <w:pPr>
        <w:tabs>
          <w:tab w:val="left" w:pos="4820"/>
        </w:tabs>
        <w:rPr>
          <w:sz w:val="28"/>
          <w:szCs w:val="28"/>
        </w:rPr>
      </w:pPr>
    </w:p>
    <w:p w14:paraId="608CAF73" w14:textId="77777777" w:rsidR="008D3A7C" w:rsidRDefault="008D3A7C" w:rsidP="008D3A7C">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 xml:space="preserve">VSTOUPILI JSME DO NOVÉHO ROKU. </w:t>
      </w:r>
    </w:p>
    <w:p w14:paraId="1033B522" w14:textId="77777777" w:rsidR="008D3A7C" w:rsidRDefault="008D3A7C" w:rsidP="008D3A7C">
      <w:pPr>
        <w:spacing w:after="0" w:line="240" w:lineRule="auto"/>
        <w:jc w:val="center"/>
        <w:rPr>
          <w:rFonts w:ascii="Times New Roman" w:hAnsi="Times New Roman"/>
          <w:b/>
          <w:bCs/>
          <w:sz w:val="28"/>
          <w:szCs w:val="28"/>
        </w:rPr>
      </w:pPr>
      <w:r>
        <w:rPr>
          <w:rFonts w:ascii="Times New Roman" w:hAnsi="Times New Roman"/>
          <w:b/>
          <w:bCs/>
          <w:sz w:val="28"/>
          <w:szCs w:val="28"/>
        </w:rPr>
        <w:t>CO OD NĚJ MŮŽEME OČEKÁVAT?</w:t>
      </w:r>
    </w:p>
    <w:p w14:paraId="2AB89179" w14:textId="77777777" w:rsidR="008D3A7C" w:rsidRDefault="008D3A7C" w:rsidP="008D3A7C">
      <w:pPr>
        <w:spacing w:after="0" w:line="240" w:lineRule="auto"/>
        <w:jc w:val="center"/>
        <w:rPr>
          <w:rFonts w:ascii="Times New Roman" w:hAnsi="Times New Roman"/>
          <w:b/>
          <w:bCs/>
          <w:sz w:val="28"/>
          <w:szCs w:val="28"/>
        </w:rPr>
      </w:pPr>
    </w:p>
    <w:p w14:paraId="05B1AAAC" w14:textId="77777777" w:rsidR="008D3A7C" w:rsidRDefault="008D3A7C" w:rsidP="008D3A7C">
      <w:pPr>
        <w:spacing w:after="0" w:line="240" w:lineRule="auto"/>
        <w:jc w:val="center"/>
        <w:rPr>
          <w:rFonts w:ascii="Times New Roman" w:hAnsi="Times New Roman"/>
          <w:b/>
          <w:bCs/>
          <w:sz w:val="28"/>
          <w:szCs w:val="28"/>
        </w:rPr>
      </w:pPr>
    </w:p>
    <w:p w14:paraId="0BED488D"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Kolegyně a kolegové.</w:t>
      </w:r>
    </w:p>
    <w:p w14:paraId="29050850" w14:textId="77777777" w:rsidR="008D3A7C" w:rsidRDefault="008D3A7C" w:rsidP="008D3A7C">
      <w:pPr>
        <w:spacing w:after="0" w:line="240" w:lineRule="auto"/>
        <w:jc w:val="both"/>
        <w:rPr>
          <w:rFonts w:ascii="Times New Roman" w:hAnsi="Times New Roman"/>
          <w:sz w:val="28"/>
          <w:szCs w:val="28"/>
        </w:rPr>
      </w:pPr>
    </w:p>
    <w:p w14:paraId="411CBCA7"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Letošní rok bude velice důležitý, a to jak z pohledu života občanů České republiky, tak z pohledu práce a činnosti našeho odborového svazu.</w:t>
      </w:r>
    </w:p>
    <w:p w14:paraId="067E3979" w14:textId="77777777" w:rsidR="008D3A7C" w:rsidRDefault="008D3A7C" w:rsidP="008D3A7C">
      <w:pPr>
        <w:spacing w:after="0" w:line="240" w:lineRule="auto"/>
        <w:jc w:val="both"/>
        <w:rPr>
          <w:rFonts w:ascii="Times New Roman" w:hAnsi="Times New Roman"/>
          <w:sz w:val="28"/>
          <w:szCs w:val="28"/>
        </w:rPr>
      </w:pPr>
    </w:p>
    <w:p w14:paraId="336F9287"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Je to rok volební a čeká nás velmi náročná volební kampaň, kdy na nás bude útočit množství informací různého charakteru. Velice Vás nabádám k tomu, abyste si velmi dobře vyhodnotili jejich pravost a věrohodnost, ale i jejich dopad na naše životy a kvalitu životní úrovně.</w:t>
      </w:r>
    </w:p>
    <w:p w14:paraId="5A550807" w14:textId="77777777" w:rsidR="008D3A7C" w:rsidRDefault="008D3A7C" w:rsidP="008D3A7C">
      <w:pPr>
        <w:spacing w:after="0" w:line="240" w:lineRule="auto"/>
        <w:jc w:val="both"/>
        <w:rPr>
          <w:rFonts w:ascii="Times New Roman" w:hAnsi="Times New Roman"/>
          <w:sz w:val="28"/>
          <w:szCs w:val="28"/>
        </w:rPr>
      </w:pPr>
    </w:p>
    <w:p w14:paraId="0B21DD39"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Ztratili jsme za minulé dva roky jednu třetinu naší životní úrovně a neměli bychom dopustit, aby se dál kvalita našeho života snižovala.</w:t>
      </w:r>
    </w:p>
    <w:p w14:paraId="2D307DAB" w14:textId="77777777" w:rsidR="008D3A7C" w:rsidRDefault="008D3A7C" w:rsidP="008D3A7C">
      <w:pPr>
        <w:spacing w:after="0" w:line="240" w:lineRule="auto"/>
        <w:jc w:val="both"/>
        <w:rPr>
          <w:rFonts w:ascii="Times New Roman" w:hAnsi="Times New Roman"/>
          <w:sz w:val="28"/>
          <w:szCs w:val="28"/>
        </w:rPr>
      </w:pPr>
    </w:p>
    <w:p w14:paraId="3851D82C"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Naplno se bude projevovat v našem životě schválený rozpočet České republiky, který je velice nevýhodný pro značnou část obyvatelstva. Rozpočet nově zaútočí na životní náklady našich rodin a výši důchodů. Jak všichni víte, byly zrušeny příspěvky státu důchodcům, kteří mají uzavřeno důchodové připojištění.</w:t>
      </w:r>
    </w:p>
    <w:p w14:paraId="36DEDBAA" w14:textId="77777777" w:rsidR="008D3A7C" w:rsidRDefault="008D3A7C" w:rsidP="008D3A7C">
      <w:pPr>
        <w:spacing w:after="0" w:line="240" w:lineRule="auto"/>
        <w:jc w:val="both"/>
        <w:rPr>
          <w:rFonts w:ascii="Times New Roman" w:hAnsi="Times New Roman"/>
          <w:sz w:val="28"/>
          <w:szCs w:val="28"/>
        </w:rPr>
      </w:pPr>
    </w:p>
    <w:p w14:paraId="1E9DCDC5"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Na druhé straně věříme, že nebude stoupat inflace a že nedojde na zvýšení nákladů na pohonné hmoty, plyn a elektrickou energii. Doufáme, že nedojde k zavedení ETS2, což jsou emisní povolenky uvalené na občany. U benzinu je předpokládaná cena povolenky v nejnižší částce 3 Kč na 1 litr. Tyto náklady z ETS2 by měly veliký dopad na snížení životní úrovně obyvatel. </w:t>
      </w:r>
    </w:p>
    <w:p w14:paraId="26EBBD35"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OSPZV-ASO ČR a naše odborová centrála ASO udělají vše pro to, aby tento zelený evropský nesmysl byl zrušen.</w:t>
      </w:r>
    </w:p>
    <w:p w14:paraId="3CC66E66" w14:textId="77777777" w:rsidR="008D3A7C" w:rsidRDefault="008D3A7C" w:rsidP="008D3A7C">
      <w:pPr>
        <w:spacing w:after="0" w:line="240" w:lineRule="auto"/>
        <w:jc w:val="both"/>
        <w:rPr>
          <w:rFonts w:ascii="Times New Roman" w:hAnsi="Times New Roman"/>
          <w:sz w:val="28"/>
          <w:szCs w:val="28"/>
        </w:rPr>
      </w:pPr>
    </w:p>
    <w:p w14:paraId="23861839"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Jasné signály jsou o tom, že se propadá stavební výroba, což se odrazí i ve vyšších cenách jak bytů, tak stávajícího nájemného.</w:t>
      </w:r>
    </w:p>
    <w:p w14:paraId="6A5BFC06" w14:textId="77777777" w:rsidR="008D3A7C" w:rsidRDefault="008D3A7C" w:rsidP="008D3A7C">
      <w:pPr>
        <w:spacing w:after="0" w:line="240" w:lineRule="auto"/>
        <w:jc w:val="both"/>
        <w:rPr>
          <w:rFonts w:ascii="Times New Roman" w:hAnsi="Times New Roman"/>
          <w:sz w:val="28"/>
          <w:szCs w:val="28"/>
        </w:rPr>
      </w:pPr>
    </w:p>
    <w:p w14:paraId="65E070A8"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Dále nás všechny bude dusit státní správa a další byrokratické nesmysly, které vedou ke zpomalení průmyslové výroby, například jako je situace v čištění odpadních vod, které bude stát každého občana včetně dětí 2000 Kč ročně.</w:t>
      </w:r>
    </w:p>
    <w:p w14:paraId="6E4ECE3F" w14:textId="77777777" w:rsidR="008D3A7C" w:rsidRDefault="008D3A7C" w:rsidP="008D3A7C">
      <w:pPr>
        <w:spacing w:after="0" w:line="240" w:lineRule="auto"/>
        <w:jc w:val="both"/>
        <w:rPr>
          <w:rFonts w:ascii="Times New Roman" w:hAnsi="Times New Roman"/>
          <w:sz w:val="28"/>
          <w:szCs w:val="28"/>
        </w:rPr>
      </w:pPr>
    </w:p>
    <w:p w14:paraId="604B3255"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Je jednoznačně potvrzeno, že není možné Green </w:t>
      </w:r>
      <w:proofErr w:type="spellStart"/>
      <w:r>
        <w:rPr>
          <w:rFonts w:ascii="Times New Roman" w:hAnsi="Times New Roman"/>
          <w:sz w:val="28"/>
          <w:szCs w:val="28"/>
        </w:rPr>
        <w:t>deal</w:t>
      </w:r>
      <w:proofErr w:type="spellEnd"/>
      <w:r>
        <w:rPr>
          <w:rFonts w:ascii="Times New Roman" w:hAnsi="Times New Roman"/>
          <w:sz w:val="28"/>
          <w:szCs w:val="28"/>
        </w:rPr>
        <w:t xml:space="preserve"> bezhlavě podporovat, ale že musí být radikálně změněn, ne-li zlikvidován.</w:t>
      </w:r>
    </w:p>
    <w:p w14:paraId="3FD6D300" w14:textId="77777777" w:rsidR="008D3A7C" w:rsidRDefault="008D3A7C" w:rsidP="008D3A7C">
      <w:pPr>
        <w:spacing w:after="0" w:line="240" w:lineRule="auto"/>
        <w:jc w:val="both"/>
        <w:rPr>
          <w:rFonts w:ascii="Times New Roman" w:hAnsi="Times New Roman"/>
          <w:sz w:val="28"/>
          <w:szCs w:val="28"/>
        </w:rPr>
      </w:pPr>
    </w:p>
    <w:p w14:paraId="2F6984F6" w14:textId="77777777" w:rsidR="008D3A7C" w:rsidRDefault="008D3A7C" w:rsidP="008D3A7C">
      <w:pPr>
        <w:spacing w:after="0" w:line="240" w:lineRule="auto"/>
        <w:jc w:val="both"/>
        <w:rPr>
          <w:rFonts w:ascii="Times New Roman" w:hAnsi="Times New Roman"/>
          <w:sz w:val="28"/>
          <w:szCs w:val="28"/>
        </w:rPr>
      </w:pPr>
    </w:p>
    <w:p w14:paraId="7E1EA2A9" w14:textId="77777777" w:rsidR="008D3A7C" w:rsidRDefault="008D3A7C" w:rsidP="008D3A7C">
      <w:pPr>
        <w:spacing w:after="0" w:line="240" w:lineRule="auto"/>
        <w:jc w:val="both"/>
        <w:rPr>
          <w:rFonts w:ascii="Times New Roman" w:hAnsi="Times New Roman"/>
          <w:sz w:val="28"/>
          <w:szCs w:val="28"/>
        </w:rPr>
      </w:pPr>
    </w:p>
    <w:p w14:paraId="785330AA"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My budeme chtít ve volbách, aby se politické strany jasně vyjádřily a daly nám návrhy, že budou řešit:</w:t>
      </w:r>
    </w:p>
    <w:p w14:paraId="2A7EF2F4" w14:textId="77777777" w:rsidR="008D3A7C" w:rsidRDefault="008D3A7C" w:rsidP="008D3A7C">
      <w:pPr>
        <w:spacing w:after="0" w:line="240" w:lineRule="auto"/>
        <w:jc w:val="both"/>
        <w:rPr>
          <w:rFonts w:ascii="Times New Roman" w:hAnsi="Times New Roman"/>
          <w:sz w:val="28"/>
          <w:szCs w:val="28"/>
        </w:rPr>
      </w:pPr>
    </w:p>
    <w:p w14:paraId="633B4498"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 xml:space="preserve">kolektivní vyjednávání a naši životní </w:t>
      </w:r>
      <w:proofErr w:type="gramStart"/>
      <w:r>
        <w:rPr>
          <w:rFonts w:ascii="Times New Roman" w:hAnsi="Times New Roman"/>
          <w:sz w:val="28"/>
          <w:szCs w:val="28"/>
        </w:rPr>
        <w:t>úroveň ,</w:t>
      </w:r>
      <w:proofErr w:type="gramEnd"/>
    </w:p>
    <w:p w14:paraId="73C35FC5"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ceny elektrické energie, plynu a pohonných hmot a že se stát stane stoprocentním vlastníkem ČEZ a postaví minimálně dvě atomové elektrárny,</w:t>
      </w:r>
    </w:p>
    <w:p w14:paraId="293DFFA1"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bude snižovat státní byrokracii, zavede funkční stavební zákon a zvýší výstavbu bytů,</w:t>
      </w:r>
    </w:p>
    <w:p w14:paraId="4A848F17"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stanoví ekonomické priority a bude je prosazovat v České republice, ale také v Evropské unii,</w:t>
      </w:r>
    </w:p>
    <w:p w14:paraId="5A7249C2"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zavede státní úrazovou pojišťovnu a vrátí důchodový zákon v původních parametrech,</w:t>
      </w:r>
    </w:p>
    <w:p w14:paraId="6D848099" w14:textId="77777777" w:rsidR="008D3A7C" w:rsidRDefault="008D3A7C" w:rsidP="008D3A7C">
      <w:pPr>
        <w:pStyle w:val="Odstavecseseznamem"/>
        <w:numPr>
          <w:ilvl w:val="0"/>
          <w:numId w:val="41"/>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chceme zásadní debatu o reformě penzí, která vyústí ve skutečnou a spravedlivou reformu, stanoví rizikové profese, umožní předčasný odchod do starobního důchodu a stát se zaváže, že se nebude minimálně deset let tato politika měnit.</w:t>
      </w:r>
    </w:p>
    <w:p w14:paraId="0F4667B8" w14:textId="77777777" w:rsidR="008D3A7C" w:rsidRDefault="008D3A7C" w:rsidP="008D3A7C">
      <w:pPr>
        <w:spacing w:after="0" w:line="240" w:lineRule="auto"/>
        <w:jc w:val="both"/>
        <w:rPr>
          <w:rFonts w:ascii="Times New Roman" w:hAnsi="Times New Roman"/>
          <w:sz w:val="28"/>
          <w:szCs w:val="28"/>
        </w:rPr>
      </w:pPr>
    </w:p>
    <w:p w14:paraId="1B05B452"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Jsem přesvědčen, že volby urychlí změny ve státní správě, v administrativě, ale především v kvalitě našeho života.</w:t>
      </w:r>
    </w:p>
    <w:p w14:paraId="44E3634A" w14:textId="77777777" w:rsidR="008D3A7C" w:rsidRDefault="008D3A7C" w:rsidP="008D3A7C">
      <w:pPr>
        <w:spacing w:after="0" w:line="240" w:lineRule="auto"/>
        <w:jc w:val="both"/>
        <w:rPr>
          <w:rFonts w:ascii="Times New Roman" w:hAnsi="Times New Roman"/>
          <w:sz w:val="28"/>
          <w:szCs w:val="28"/>
        </w:rPr>
      </w:pPr>
    </w:p>
    <w:p w14:paraId="6264DBE2"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Proto volme s rozvahou a ukažme našim politikům, že umíme používat rozum a nejsme manipulovatelní v jejich prospěch.</w:t>
      </w:r>
    </w:p>
    <w:p w14:paraId="52544A50" w14:textId="77777777" w:rsidR="008D3A7C" w:rsidRDefault="008D3A7C" w:rsidP="008D3A7C">
      <w:pPr>
        <w:spacing w:after="0" w:line="240" w:lineRule="auto"/>
        <w:jc w:val="both"/>
        <w:rPr>
          <w:rFonts w:ascii="Times New Roman" w:hAnsi="Times New Roman"/>
          <w:sz w:val="28"/>
          <w:szCs w:val="28"/>
        </w:rPr>
      </w:pPr>
    </w:p>
    <w:p w14:paraId="06B3B768"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Máme naději, že se náš život zlepší. A to tento rok rozhodne!</w:t>
      </w:r>
    </w:p>
    <w:p w14:paraId="378FCA2D" w14:textId="77777777" w:rsidR="008D3A7C" w:rsidRDefault="008D3A7C" w:rsidP="008D3A7C">
      <w:pPr>
        <w:spacing w:after="0" w:line="240" w:lineRule="auto"/>
        <w:jc w:val="both"/>
        <w:rPr>
          <w:rFonts w:ascii="Times New Roman" w:hAnsi="Times New Roman"/>
          <w:sz w:val="28"/>
          <w:szCs w:val="28"/>
        </w:rPr>
      </w:pPr>
    </w:p>
    <w:p w14:paraId="224BFF6F" w14:textId="77777777" w:rsidR="008D3A7C" w:rsidRDefault="008D3A7C" w:rsidP="008D3A7C">
      <w:pPr>
        <w:spacing w:after="0" w:line="240" w:lineRule="auto"/>
        <w:jc w:val="both"/>
        <w:rPr>
          <w:rFonts w:ascii="Times New Roman" w:hAnsi="Times New Roman"/>
          <w:sz w:val="28"/>
          <w:szCs w:val="28"/>
        </w:rPr>
      </w:pPr>
      <w:r>
        <w:rPr>
          <w:rFonts w:ascii="Times New Roman" w:hAnsi="Times New Roman"/>
          <w:sz w:val="28"/>
          <w:szCs w:val="28"/>
        </w:rPr>
        <w:t xml:space="preserve">     Přeji nám všem, abychom se toho dočkali. </w:t>
      </w:r>
    </w:p>
    <w:p w14:paraId="58930C0E" w14:textId="77777777" w:rsidR="008D3A7C" w:rsidRDefault="008D3A7C" w:rsidP="008D3A7C">
      <w:pPr>
        <w:spacing w:after="0" w:line="240" w:lineRule="auto"/>
        <w:jc w:val="both"/>
        <w:rPr>
          <w:rFonts w:ascii="Times New Roman" w:hAnsi="Times New Roman"/>
          <w:sz w:val="28"/>
          <w:szCs w:val="28"/>
        </w:rPr>
      </w:pPr>
    </w:p>
    <w:p w14:paraId="1C4260E9" w14:textId="77777777" w:rsidR="008D3A7C" w:rsidRDefault="008D3A7C" w:rsidP="008D3A7C">
      <w:pPr>
        <w:spacing w:after="0" w:line="240" w:lineRule="auto"/>
        <w:jc w:val="both"/>
        <w:rPr>
          <w:rFonts w:ascii="Times New Roman" w:hAnsi="Times New Roman"/>
          <w:sz w:val="28"/>
          <w:szCs w:val="28"/>
        </w:rPr>
      </w:pPr>
    </w:p>
    <w:p w14:paraId="398C8CBB" w14:textId="77777777" w:rsidR="008D3A7C" w:rsidRDefault="008D3A7C" w:rsidP="008D3A7C">
      <w:pPr>
        <w:spacing w:after="0" w:line="240" w:lineRule="auto"/>
        <w:jc w:val="both"/>
      </w:pPr>
      <w:r>
        <w:rPr>
          <w:rFonts w:ascii="Times New Roman" w:hAnsi="Times New Roman"/>
          <w:noProof/>
          <w:sz w:val="28"/>
          <w:szCs w:val="28"/>
        </w:rPr>
        <w:drawing>
          <wp:inline distT="0" distB="0" distL="0" distR="0" wp14:anchorId="232201BF" wp14:editId="6AA9CC09">
            <wp:extent cx="2107390" cy="945068"/>
            <wp:effectExtent l="0" t="0" r="7160" b="7432"/>
            <wp:docPr id="1387673197" name="Obráze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07390" cy="945068"/>
                    </a:xfrm>
                    <a:prstGeom prst="rect">
                      <a:avLst/>
                    </a:prstGeom>
                    <a:noFill/>
                    <a:ln>
                      <a:noFill/>
                      <a:prstDash/>
                    </a:ln>
                  </pic:spPr>
                </pic:pic>
              </a:graphicData>
            </a:graphic>
          </wp:inline>
        </w:drawing>
      </w:r>
    </w:p>
    <w:p w14:paraId="5FFFC3B7" w14:textId="77777777" w:rsidR="008D3A7C" w:rsidRDefault="008D3A7C" w:rsidP="008D3A7C">
      <w:pPr>
        <w:spacing w:after="0" w:line="240" w:lineRule="auto"/>
        <w:jc w:val="both"/>
        <w:rPr>
          <w:rFonts w:ascii="Times New Roman" w:hAnsi="Times New Roman"/>
          <w:sz w:val="28"/>
          <w:szCs w:val="28"/>
        </w:rPr>
      </w:pPr>
    </w:p>
    <w:p w14:paraId="72041EE4" w14:textId="77777777" w:rsidR="008D3A7C" w:rsidRDefault="008D3A7C" w:rsidP="008D3A7C">
      <w:pPr>
        <w:spacing w:after="0" w:line="240" w:lineRule="auto"/>
        <w:jc w:val="both"/>
        <w:rPr>
          <w:rFonts w:ascii="Times New Roman" w:hAnsi="Times New Roman"/>
          <w:sz w:val="28"/>
          <w:szCs w:val="28"/>
        </w:rPr>
      </w:pPr>
    </w:p>
    <w:p w14:paraId="43C103B2" w14:textId="77777777" w:rsidR="00D96711" w:rsidRDefault="00D96711" w:rsidP="00687941">
      <w:pPr>
        <w:tabs>
          <w:tab w:val="left" w:pos="4820"/>
        </w:tabs>
        <w:rPr>
          <w:sz w:val="28"/>
          <w:szCs w:val="28"/>
        </w:rPr>
      </w:pPr>
    </w:p>
    <w:p w14:paraId="4AED4B02" w14:textId="77777777" w:rsidR="008C306D" w:rsidRDefault="008C306D" w:rsidP="008C306D"/>
    <w:p w14:paraId="0C637B99" w14:textId="77777777" w:rsidR="008C306D" w:rsidRDefault="008C306D" w:rsidP="008C306D"/>
    <w:p w14:paraId="5F895753" w14:textId="77777777" w:rsidR="008C306D" w:rsidRDefault="008C306D" w:rsidP="008C306D"/>
    <w:p w14:paraId="32E7F494" w14:textId="77777777" w:rsidR="008C306D" w:rsidRDefault="008C306D" w:rsidP="008C306D"/>
    <w:p w14:paraId="079E9B0D" w14:textId="77777777" w:rsidR="008C306D" w:rsidRDefault="008C306D" w:rsidP="008C306D"/>
    <w:p w14:paraId="0E2472F5" w14:textId="77777777" w:rsidR="00227E84" w:rsidRDefault="00227E84" w:rsidP="00227E8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MEZINÁRODNÍ KONFERENCE ASO – 27. 12. 2024</w:t>
      </w:r>
    </w:p>
    <w:p w14:paraId="275AE38B" w14:textId="77777777" w:rsidR="00227E84" w:rsidRDefault="00227E84" w:rsidP="00227E84">
      <w:pPr>
        <w:spacing w:after="0" w:line="240" w:lineRule="auto"/>
        <w:jc w:val="center"/>
        <w:rPr>
          <w:rFonts w:ascii="Times New Roman" w:hAnsi="Times New Roman"/>
          <w:b/>
          <w:bCs/>
          <w:sz w:val="28"/>
          <w:szCs w:val="28"/>
        </w:rPr>
      </w:pPr>
      <w:r>
        <w:rPr>
          <w:rFonts w:ascii="Times New Roman" w:hAnsi="Times New Roman"/>
          <w:b/>
          <w:bCs/>
          <w:sz w:val="28"/>
          <w:szCs w:val="28"/>
        </w:rPr>
        <w:t>Vystoupení doc. Ing. Karla HAVLÍČKA, Ph.D. MBA</w:t>
      </w:r>
    </w:p>
    <w:p w14:paraId="64D80A5C" w14:textId="77777777" w:rsidR="00227E84" w:rsidRDefault="00227E84" w:rsidP="00227E84">
      <w:pPr>
        <w:spacing w:after="0" w:line="240" w:lineRule="auto"/>
        <w:jc w:val="center"/>
        <w:rPr>
          <w:rFonts w:ascii="Times New Roman" w:hAnsi="Times New Roman"/>
          <w:b/>
          <w:bCs/>
          <w:sz w:val="28"/>
          <w:szCs w:val="28"/>
        </w:rPr>
      </w:pPr>
    </w:p>
    <w:p w14:paraId="4F125479" w14:textId="77777777" w:rsidR="00227E84" w:rsidRDefault="00227E84" w:rsidP="00227E84">
      <w:pPr>
        <w:spacing w:after="0" w:line="240" w:lineRule="auto"/>
        <w:jc w:val="center"/>
        <w:rPr>
          <w:rFonts w:ascii="Times New Roman" w:hAnsi="Times New Roman"/>
          <w:b/>
          <w:bCs/>
          <w:sz w:val="28"/>
          <w:szCs w:val="28"/>
        </w:rPr>
      </w:pPr>
    </w:p>
    <w:p w14:paraId="0D3F72C3" w14:textId="77777777" w:rsidR="00227E84" w:rsidRDefault="00227E84" w:rsidP="00227E84">
      <w:pPr>
        <w:spacing w:after="0" w:line="240" w:lineRule="auto"/>
        <w:jc w:val="both"/>
        <w:rPr>
          <w:rFonts w:ascii="Times New Roman" w:hAnsi="Times New Roman"/>
          <w:i/>
          <w:iCs/>
          <w:sz w:val="28"/>
          <w:szCs w:val="28"/>
        </w:rPr>
      </w:pPr>
      <w:r>
        <w:rPr>
          <w:rFonts w:ascii="Times New Roman" w:hAnsi="Times New Roman"/>
          <w:i/>
          <w:iCs/>
          <w:sz w:val="28"/>
          <w:szCs w:val="28"/>
        </w:rPr>
        <w:t xml:space="preserve">V prosincovém čísle </w:t>
      </w:r>
      <w:proofErr w:type="spellStart"/>
      <w:r>
        <w:rPr>
          <w:rFonts w:ascii="Times New Roman" w:hAnsi="Times New Roman"/>
          <w:i/>
          <w:iCs/>
          <w:sz w:val="28"/>
          <w:szCs w:val="28"/>
        </w:rPr>
        <w:t>Agros</w:t>
      </w:r>
      <w:proofErr w:type="spellEnd"/>
      <w:r>
        <w:rPr>
          <w:rFonts w:ascii="Times New Roman" w:hAnsi="Times New Roman"/>
          <w:i/>
          <w:iCs/>
          <w:sz w:val="28"/>
          <w:szCs w:val="28"/>
        </w:rPr>
        <w:t>-bulletinu jsme avizovali, že všechna zajímavá vystoupení na mezinárodní konferenci Asociace samostatných odborů budeme postupně zveřejňovat. Po úvodním vystoupení Bohumíra Dufka, předsedy ASO, nyní uvádíme vystoupení prvního z hostů – poslance a místopředsedy Poslanecké sněmovny Parlamentu ČR Karla Havlíčka.</w:t>
      </w:r>
    </w:p>
    <w:p w14:paraId="56225D48" w14:textId="77777777" w:rsidR="00227E84" w:rsidRDefault="00227E84" w:rsidP="00227E84">
      <w:pPr>
        <w:spacing w:after="0" w:line="240" w:lineRule="auto"/>
        <w:jc w:val="both"/>
        <w:rPr>
          <w:rFonts w:ascii="Times New Roman" w:hAnsi="Times New Roman"/>
          <w:i/>
          <w:iCs/>
          <w:sz w:val="28"/>
          <w:szCs w:val="28"/>
        </w:rPr>
      </w:pPr>
    </w:p>
    <w:p w14:paraId="7F618711" w14:textId="77777777" w:rsidR="00227E84" w:rsidRDefault="00227E84" w:rsidP="00227E84">
      <w:pPr>
        <w:spacing w:after="0" w:line="240" w:lineRule="auto"/>
        <w:jc w:val="both"/>
        <w:rPr>
          <w:rFonts w:ascii="Times New Roman" w:hAnsi="Times New Roman"/>
          <w:i/>
          <w:iCs/>
          <w:sz w:val="28"/>
          <w:szCs w:val="28"/>
        </w:rPr>
      </w:pPr>
    </w:p>
    <w:p w14:paraId="5B87974D" w14:textId="77777777" w:rsidR="00227E84" w:rsidRDefault="00227E84" w:rsidP="00227E84">
      <w:pPr>
        <w:spacing w:after="0" w:line="240" w:lineRule="auto"/>
        <w:jc w:val="both"/>
      </w:pPr>
      <w:r>
        <w:rPr>
          <w:rFonts w:ascii="Times New Roman" w:hAnsi="Times New Roman"/>
          <w:sz w:val="28"/>
          <w:szCs w:val="28"/>
        </w:rPr>
        <w:t xml:space="preserve">     Karel Havlíček hned v úvodu svého vystoupení uvedl co musí být naším hlavním cílem – </w:t>
      </w:r>
      <w:r>
        <w:rPr>
          <w:rFonts w:ascii="Times New Roman" w:hAnsi="Times New Roman"/>
          <w:b/>
          <w:bCs/>
          <w:sz w:val="28"/>
          <w:szCs w:val="28"/>
        </w:rPr>
        <w:t>oživit ekonomiku a růst hospodářství.</w:t>
      </w:r>
    </w:p>
    <w:p w14:paraId="7BC45630" w14:textId="77777777" w:rsidR="00227E84" w:rsidRDefault="00227E84" w:rsidP="00227E84">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Zpochybnil hospodářskou politiku současné vlády, v důsledku čehož </w:t>
      </w:r>
      <w:proofErr w:type="gramStart"/>
      <w:r>
        <w:rPr>
          <w:rFonts w:ascii="Times New Roman" w:hAnsi="Times New Roman"/>
          <w:sz w:val="28"/>
          <w:szCs w:val="28"/>
        </w:rPr>
        <w:t>dochází  k</w:t>
      </w:r>
      <w:proofErr w:type="gramEnd"/>
      <w:r>
        <w:rPr>
          <w:rFonts w:ascii="Times New Roman" w:hAnsi="Times New Roman"/>
          <w:sz w:val="28"/>
          <w:szCs w:val="28"/>
        </w:rPr>
        <w:t xml:space="preserve"> propadu české ekonomiky. Poukázal na velice chybně sestavený státní rozpočet pro rok 2025. Podle něj je předpokládaný růst HDP o 2,7 % pro rok 2025 naprosto nereálný. Už třeba jen proto, že letošní růst HDP činil jen 1 %, což, podle něj, dokazuje nesmyslnost tvrzení vládních představitelů o růstu HDP v roce </w:t>
      </w:r>
      <w:proofErr w:type="gramStart"/>
      <w:r>
        <w:rPr>
          <w:rFonts w:ascii="Times New Roman" w:hAnsi="Times New Roman"/>
          <w:sz w:val="28"/>
          <w:szCs w:val="28"/>
        </w:rPr>
        <w:t>2025  o</w:t>
      </w:r>
      <w:proofErr w:type="gramEnd"/>
      <w:r>
        <w:rPr>
          <w:rFonts w:ascii="Times New Roman" w:hAnsi="Times New Roman"/>
          <w:sz w:val="28"/>
          <w:szCs w:val="28"/>
        </w:rPr>
        <w:t xml:space="preserve"> 2,7 %.</w:t>
      </w:r>
    </w:p>
    <w:p w14:paraId="362B5AE3" w14:textId="77777777" w:rsidR="00227E84" w:rsidRDefault="00227E84" w:rsidP="00227E84">
      <w:pPr>
        <w:spacing w:after="0" w:line="240" w:lineRule="auto"/>
        <w:jc w:val="both"/>
        <w:rPr>
          <w:rFonts w:ascii="Times New Roman" w:hAnsi="Times New Roman"/>
          <w:sz w:val="28"/>
          <w:szCs w:val="28"/>
        </w:rPr>
      </w:pPr>
    </w:p>
    <w:p w14:paraId="384A7C39" w14:textId="77777777" w:rsidR="00227E84" w:rsidRDefault="00227E84" w:rsidP="00227E84">
      <w:pPr>
        <w:spacing w:after="0" w:line="240" w:lineRule="auto"/>
        <w:jc w:val="both"/>
        <w:rPr>
          <w:rFonts w:ascii="Times New Roman" w:hAnsi="Times New Roman"/>
          <w:sz w:val="28"/>
          <w:szCs w:val="28"/>
        </w:rPr>
      </w:pPr>
      <w:r>
        <w:rPr>
          <w:rFonts w:ascii="Times New Roman" w:hAnsi="Times New Roman"/>
          <w:sz w:val="28"/>
          <w:szCs w:val="28"/>
        </w:rPr>
        <w:t xml:space="preserve">     Dál uvedl, že za uplynulé tři roky došlo k poklesu naší ekonomiky o 30 %. První a hlavní příčinou byl enormní růst cen energií v roce 2022 v Evropě, a především u nás. Obrovskou chybou této vlády bylo </w:t>
      </w:r>
      <w:proofErr w:type="spellStart"/>
      <w:r>
        <w:rPr>
          <w:rFonts w:ascii="Times New Roman" w:hAnsi="Times New Roman"/>
          <w:sz w:val="28"/>
          <w:szCs w:val="28"/>
        </w:rPr>
        <w:t>zastropování</w:t>
      </w:r>
      <w:proofErr w:type="spellEnd"/>
      <w:r>
        <w:rPr>
          <w:rFonts w:ascii="Times New Roman" w:hAnsi="Times New Roman"/>
          <w:sz w:val="28"/>
          <w:szCs w:val="28"/>
        </w:rPr>
        <w:t xml:space="preserve"> cen </w:t>
      </w:r>
      <w:proofErr w:type="gramStart"/>
      <w:r>
        <w:rPr>
          <w:rFonts w:ascii="Times New Roman" w:hAnsi="Times New Roman"/>
          <w:sz w:val="28"/>
          <w:szCs w:val="28"/>
        </w:rPr>
        <w:t>energií  u</w:t>
      </w:r>
      <w:proofErr w:type="gramEnd"/>
      <w:r>
        <w:rPr>
          <w:rFonts w:ascii="Times New Roman" w:hAnsi="Times New Roman"/>
          <w:sz w:val="28"/>
          <w:szCs w:val="28"/>
        </w:rPr>
        <w:t xml:space="preserve"> výrobců, nikoliv u spotřebitelů, jako tomu bylo v řadě evropských zemí. Dále připomněl slib premiéra Petra Fialy o růstu platů u nás na úroveň platů v Německu, pokud voliči dají svůj hlas současné vládě na další čtyři roky. Takový slib označil za naprosto nesmyslný.</w:t>
      </w:r>
    </w:p>
    <w:p w14:paraId="1C8C74AB" w14:textId="77777777" w:rsidR="00227E84" w:rsidRDefault="00227E84" w:rsidP="00227E84">
      <w:pPr>
        <w:spacing w:after="0" w:line="240" w:lineRule="auto"/>
        <w:jc w:val="both"/>
        <w:rPr>
          <w:rFonts w:ascii="Times New Roman" w:hAnsi="Times New Roman"/>
          <w:sz w:val="28"/>
          <w:szCs w:val="28"/>
        </w:rPr>
      </w:pPr>
    </w:p>
    <w:p w14:paraId="5364956B" w14:textId="77777777" w:rsidR="00227E84" w:rsidRDefault="00227E84" w:rsidP="00227E84">
      <w:pPr>
        <w:spacing w:after="0" w:line="240" w:lineRule="auto"/>
        <w:jc w:val="both"/>
      </w:pPr>
      <w:r>
        <w:rPr>
          <w:rFonts w:ascii="Times New Roman" w:hAnsi="Times New Roman"/>
          <w:sz w:val="28"/>
          <w:szCs w:val="28"/>
        </w:rPr>
        <w:t xml:space="preserve">     </w:t>
      </w:r>
      <w:r>
        <w:rPr>
          <w:rFonts w:ascii="Times New Roman" w:hAnsi="Times New Roman"/>
          <w:b/>
          <w:bCs/>
          <w:sz w:val="28"/>
          <w:szCs w:val="28"/>
        </w:rPr>
        <w:t>Růst ekonomiky může zajistit podpora privátního sektoru</w:t>
      </w:r>
      <w:r>
        <w:rPr>
          <w:rFonts w:ascii="Times New Roman" w:hAnsi="Times New Roman"/>
          <w:sz w:val="28"/>
          <w:szCs w:val="28"/>
        </w:rPr>
        <w:t xml:space="preserve">! </w:t>
      </w:r>
    </w:p>
    <w:p w14:paraId="54C506C8" w14:textId="77777777" w:rsidR="00227E84" w:rsidRDefault="00227E84" w:rsidP="00227E84">
      <w:pPr>
        <w:spacing w:after="0" w:line="240" w:lineRule="auto"/>
        <w:jc w:val="both"/>
        <w:rPr>
          <w:rFonts w:ascii="Times New Roman" w:hAnsi="Times New Roman"/>
          <w:sz w:val="28"/>
          <w:szCs w:val="28"/>
        </w:rPr>
      </w:pPr>
      <w:r>
        <w:rPr>
          <w:rFonts w:ascii="Times New Roman" w:hAnsi="Times New Roman"/>
          <w:sz w:val="28"/>
          <w:szCs w:val="28"/>
        </w:rPr>
        <w:t xml:space="preserve">     Podle Karla Havlíčka je cestou k růstu naší ekonomiky posílení úlohy privátního sektoru, který, díky vysokým ziskům, by mohl dobře a zodpovědně investovat do dalšího růstu našeho hospodářství. Upozornil, že forma státních půjček a dalšího zadlužování, jak to uplatňuje současná vláda, k růstu ekonomiky nevede. Připomněl, že česká ekonomika je především proexportní. Takže solidní zisky těchto firem by se měly projevit i v národním hospodářství.</w:t>
      </w:r>
    </w:p>
    <w:p w14:paraId="25A2097D" w14:textId="77777777" w:rsidR="00227E84" w:rsidRDefault="00227E84" w:rsidP="00227E84">
      <w:pPr>
        <w:spacing w:after="0" w:line="240" w:lineRule="auto"/>
        <w:jc w:val="both"/>
        <w:rPr>
          <w:rFonts w:ascii="Times New Roman" w:hAnsi="Times New Roman"/>
          <w:sz w:val="28"/>
          <w:szCs w:val="28"/>
        </w:rPr>
      </w:pPr>
    </w:p>
    <w:p w14:paraId="5452CA4A" w14:textId="77777777" w:rsidR="00227E84" w:rsidRDefault="00227E84" w:rsidP="00227E84">
      <w:pPr>
        <w:spacing w:after="0" w:line="240" w:lineRule="auto"/>
        <w:jc w:val="both"/>
        <w:rPr>
          <w:rFonts w:ascii="Times New Roman" w:hAnsi="Times New Roman"/>
          <w:sz w:val="28"/>
          <w:szCs w:val="28"/>
        </w:rPr>
      </w:pPr>
      <w:r>
        <w:rPr>
          <w:rFonts w:ascii="Times New Roman" w:hAnsi="Times New Roman"/>
          <w:sz w:val="28"/>
          <w:szCs w:val="28"/>
        </w:rPr>
        <w:t xml:space="preserve">     Karel Havlíček rovněž vzpomenul důchodovou reformu. Rozhodně odmítá prodloužení věku odchodu do důchodu na 67 let. Zkritizoval vládní koalici i za to, že z původního počtu cca 400 000 lidí, kteří pracují v těžkých profesích, koalice toto číslo nejprve redukovala na 120 000, a při projednávání zákona v Poslanecké sněmovně ho snížila jen na 20 000 osob.</w:t>
      </w:r>
    </w:p>
    <w:p w14:paraId="07275679" w14:textId="77777777" w:rsidR="00227E84" w:rsidRDefault="00227E84" w:rsidP="00227E84">
      <w:pPr>
        <w:spacing w:after="0" w:line="240" w:lineRule="auto"/>
        <w:jc w:val="both"/>
        <w:rPr>
          <w:rFonts w:ascii="Times New Roman" w:hAnsi="Times New Roman"/>
          <w:sz w:val="28"/>
          <w:szCs w:val="28"/>
        </w:rPr>
      </w:pPr>
    </w:p>
    <w:p w14:paraId="0B2D0E6B" w14:textId="77777777" w:rsidR="00227E84" w:rsidRDefault="00227E84" w:rsidP="00227E84">
      <w:pPr>
        <w:spacing w:after="0" w:line="240" w:lineRule="auto"/>
        <w:jc w:val="both"/>
        <w:rPr>
          <w:rFonts w:ascii="Times New Roman" w:hAnsi="Times New Roman"/>
          <w:sz w:val="28"/>
          <w:szCs w:val="28"/>
        </w:rPr>
      </w:pPr>
      <w:r>
        <w:rPr>
          <w:rFonts w:ascii="Times New Roman" w:hAnsi="Times New Roman"/>
          <w:sz w:val="28"/>
          <w:szCs w:val="28"/>
        </w:rPr>
        <w:t xml:space="preserve">     Věnoval se také otázce vážných ekonomických problémů v Německu, což se díky úzkému propojení našich ekonomik odráží i v naší ekonomice. Na druhé straně jiná </w:t>
      </w:r>
      <w:r>
        <w:rPr>
          <w:rFonts w:ascii="Times New Roman" w:hAnsi="Times New Roman"/>
          <w:sz w:val="28"/>
          <w:szCs w:val="28"/>
        </w:rPr>
        <w:lastRenderedPageBreak/>
        <w:t xml:space="preserve">situace je v sousedním Polsku. Zatímco u nás jsme </w:t>
      </w:r>
      <w:proofErr w:type="gramStart"/>
      <w:r>
        <w:rPr>
          <w:rFonts w:ascii="Times New Roman" w:hAnsi="Times New Roman"/>
          <w:sz w:val="28"/>
          <w:szCs w:val="28"/>
        </w:rPr>
        <w:t>dosáhli  růstu</w:t>
      </w:r>
      <w:proofErr w:type="gramEnd"/>
      <w:r>
        <w:rPr>
          <w:rFonts w:ascii="Times New Roman" w:hAnsi="Times New Roman"/>
          <w:sz w:val="28"/>
          <w:szCs w:val="28"/>
        </w:rPr>
        <w:t xml:space="preserve"> HDP v roce 2024 pouze v výši jen 1 %, tak v Polsku to byly 3 %. To signalizuje lepší výkonnost jejich ekonomiky ve srovnání s naší.   </w:t>
      </w:r>
    </w:p>
    <w:p w14:paraId="5A8EC3A9" w14:textId="77777777" w:rsidR="00227E84" w:rsidRDefault="00227E84" w:rsidP="00227E84">
      <w:pPr>
        <w:spacing w:after="0" w:line="240" w:lineRule="auto"/>
        <w:jc w:val="both"/>
        <w:rPr>
          <w:rFonts w:ascii="Times New Roman" w:hAnsi="Times New Roman"/>
          <w:sz w:val="28"/>
          <w:szCs w:val="28"/>
        </w:rPr>
      </w:pPr>
    </w:p>
    <w:p w14:paraId="31F50B5A" w14:textId="77777777" w:rsidR="00227E84" w:rsidRDefault="00227E84" w:rsidP="00227E84">
      <w:pPr>
        <w:spacing w:after="0" w:line="240" w:lineRule="auto"/>
        <w:jc w:val="both"/>
        <w:rPr>
          <w:rFonts w:ascii="Times New Roman" w:hAnsi="Times New Roman"/>
          <w:sz w:val="28"/>
          <w:szCs w:val="28"/>
        </w:rPr>
      </w:pPr>
      <w:r>
        <w:rPr>
          <w:rFonts w:ascii="Times New Roman" w:hAnsi="Times New Roman"/>
          <w:sz w:val="28"/>
          <w:szCs w:val="28"/>
        </w:rPr>
        <w:t xml:space="preserve">     V závěru svého vystoupení Karel Havlíček zdůraznil, že pro příští roky je nutné zabezpečit hospodářský růst naší ekonomiky s tím, že by k tomu měly přispět především investice do budování průmyslové a dopravní infrastruktury, a zároveň rozvoj jednotlivých sektorů našeho hospodářství.</w:t>
      </w:r>
    </w:p>
    <w:p w14:paraId="20C1572F" w14:textId="77777777" w:rsidR="00227E84" w:rsidRDefault="00227E84" w:rsidP="00227E84">
      <w:pPr>
        <w:spacing w:after="0" w:line="240" w:lineRule="auto"/>
        <w:jc w:val="both"/>
        <w:rPr>
          <w:rFonts w:ascii="Times New Roman" w:hAnsi="Times New Roman"/>
          <w:sz w:val="28"/>
          <w:szCs w:val="28"/>
        </w:rPr>
      </w:pPr>
    </w:p>
    <w:p w14:paraId="343A7799" w14:textId="77777777" w:rsidR="00227E84" w:rsidRDefault="00227E84" w:rsidP="00227E84">
      <w:pPr>
        <w:spacing w:after="0" w:line="240" w:lineRule="auto"/>
        <w:jc w:val="both"/>
        <w:rPr>
          <w:rFonts w:ascii="Times New Roman" w:hAnsi="Times New Roman"/>
          <w:sz w:val="28"/>
          <w:szCs w:val="28"/>
        </w:rPr>
      </w:pPr>
    </w:p>
    <w:p w14:paraId="420AF409" w14:textId="77777777" w:rsidR="00227E84" w:rsidRDefault="00227E84" w:rsidP="00227E84">
      <w:pPr>
        <w:spacing w:after="0" w:line="240" w:lineRule="auto"/>
        <w:jc w:val="both"/>
        <w:rPr>
          <w:rFonts w:ascii="Times New Roman" w:hAnsi="Times New Roman"/>
          <w:sz w:val="28"/>
          <w:szCs w:val="28"/>
        </w:rPr>
      </w:pPr>
    </w:p>
    <w:p w14:paraId="6AAEE78F" w14:textId="77777777" w:rsidR="008C306D" w:rsidRDefault="008C306D" w:rsidP="008C306D"/>
    <w:p w14:paraId="3E3376A5" w14:textId="77777777" w:rsidR="001142D0" w:rsidRDefault="001142D0" w:rsidP="008C306D"/>
    <w:p w14:paraId="6A3456CF" w14:textId="77777777" w:rsidR="001142D0" w:rsidRDefault="001142D0" w:rsidP="008C306D"/>
    <w:p w14:paraId="30E3F552" w14:textId="77777777" w:rsidR="001142D0" w:rsidRDefault="001142D0" w:rsidP="008C306D"/>
    <w:p w14:paraId="241C36CA" w14:textId="77777777" w:rsidR="001142D0" w:rsidRDefault="001142D0" w:rsidP="008C306D"/>
    <w:p w14:paraId="54CBEE81" w14:textId="77777777" w:rsidR="001142D0" w:rsidRDefault="001142D0" w:rsidP="008C306D"/>
    <w:p w14:paraId="725AD53B" w14:textId="77777777" w:rsidR="001142D0" w:rsidRDefault="001142D0" w:rsidP="008C306D"/>
    <w:p w14:paraId="728DE299" w14:textId="77777777" w:rsidR="001142D0" w:rsidRDefault="001142D0" w:rsidP="008C306D"/>
    <w:p w14:paraId="1AB7E66E" w14:textId="77777777" w:rsidR="001142D0" w:rsidRDefault="001142D0" w:rsidP="008C306D"/>
    <w:p w14:paraId="225669B3" w14:textId="77777777" w:rsidR="001142D0" w:rsidRDefault="001142D0" w:rsidP="008C306D"/>
    <w:p w14:paraId="703014D9" w14:textId="77777777" w:rsidR="001142D0" w:rsidRDefault="001142D0" w:rsidP="008C306D"/>
    <w:p w14:paraId="3D99C76D" w14:textId="77777777" w:rsidR="001142D0" w:rsidRDefault="001142D0" w:rsidP="008C306D"/>
    <w:p w14:paraId="293FE204" w14:textId="77777777" w:rsidR="001142D0" w:rsidRDefault="001142D0" w:rsidP="008C306D"/>
    <w:p w14:paraId="15943003" w14:textId="77777777" w:rsidR="001142D0" w:rsidRDefault="001142D0" w:rsidP="008C306D"/>
    <w:p w14:paraId="0D007736" w14:textId="77777777" w:rsidR="001142D0" w:rsidRDefault="001142D0" w:rsidP="008C306D"/>
    <w:p w14:paraId="5E82922E" w14:textId="77777777" w:rsidR="001142D0" w:rsidRDefault="001142D0" w:rsidP="008C306D"/>
    <w:p w14:paraId="6C9923CD" w14:textId="77777777" w:rsidR="001142D0" w:rsidRDefault="001142D0" w:rsidP="008C306D"/>
    <w:p w14:paraId="62F9C4CE" w14:textId="77777777" w:rsidR="001142D0" w:rsidRDefault="001142D0" w:rsidP="008C306D"/>
    <w:p w14:paraId="533AEB93" w14:textId="77777777" w:rsidR="001142D0" w:rsidRDefault="001142D0" w:rsidP="008C306D"/>
    <w:p w14:paraId="51E0BC95" w14:textId="77777777" w:rsidR="001142D0" w:rsidRDefault="001142D0" w:rsidP="008C306D"/>
    <w:p w14:paraId="29AFFC34" w14:textId="77777777" w:rsidR="001142D0" w:rsidRDefault="001142D0" w:rsidP="008C306D"/>
    <w:p w14:paraId="2DB22DAF" w14:textId="77777777" w:rsidR="001142D0" w:rsidRDefault="001142D0" w:rsidP="008C306D"/>
    <w:p w14:paraId="44758DB9" w14:textId="77777777" w:rsidR="001142D0" w:rsidRDefault="001142D0" w:rsidP="008C306D"/>
    <w:p w14:paraId="3AB51D86" w14:textId="77777777" w:rsidR="001142D0" w:rsidRDefault="001142D0" w:rsidP="008C306D"/>
    <w:p w14:paraId="464264DF" w14:textId="77777777" w:rsidR="001142D0" w:rsidRDefault="001142D0" w:rsidP="001142D0">
      <w:pPr>
        <w:jc w:val="both"/>
      </w:pPr>
    </w:p>
    <w:p w14:paraId="7C249134" w14:textId="77777777" w:rsidR="001142D0" w:rsidRPr="00360CBA" w:rsidRDefault="001142D0" w:rsidP="001142D0">
      <w:pPr>
        <w:jc w:val="center"/>
        <w:rPr>
          <w:rFonts w:ascii="Times New Roman" w:hAnsi="Times New Roman" w:cs="Times New Roman"/>
          <w:b/>
          <w:bCs/>
          <w:sz w:val="32"/>
          <w:szCs w:val="32"/>
        </w:rPr>
      </w:pPr>
      <w:r w:rsidRPr="00360CBA">
        <w:rPr>
          <w:rFonts w:ascii="Times New Roman" w:hAnsi="Times New Roman" w:cs="Times New Roman"/>
          <w:b/>
          <w:bCs/>
          <w:sz w:val="32"/>
          <w:szCs w:val="32"/>
        </w:rPr>
        <w:t>Zaměstnavatel nechce uznat odškodnění za pracovní úraz</w:t>
      </w:r>
    </w:p>
    <w:p w14:paraId="21E38210" w14:textId="77777777" w:rsidR="001142D0" w:rsidRDefault="001142D0" w:rsidP="001142D0">
      <w:pPr>
        <w:jc w:val="center"/>
        <w:rPr>
          <w:rFonts w:ascii="Times New Roman" w:hAnsi="Times New Roman" w:cs="Times New Roman"/>
          <w:b/>
          <w:bCs/>
          <w:sz w:val="32"/>
          <w:szCs w:val="32"/>
        </w:rPr>
      </w:pPr>
      <w:r w:rsidRPr="00360CBA">
        <w:rPr>
          <w:rFonts w:ascii="Times New Roman" w:hAnsi="Times New Roman" w:cs="Times New Roman"/>
          <w:b/>
          <w:bCs/>
          <w:sz w:val="32"/>
          <w:szCs w:val="32"/>
        </w:rPr>
        <w:t>Zaměstnavatel krátí neoprávněně odškodnění pracovního úrazu</w:t>
      </w:r>
    </w:p>
    <w:p w14:paraId="30015131" w14:textId="77777777" w:rsidR="001142D0" w:rsidRPr="00360CBA" w:rsidRDefault="001142D0" w:rsidP="001142D0">
      <w:pPr>
        <w:jc w:val="center"/>
        <w:rPr>
          <w:rFonts w:ascii="Times New Roman" w:hAnsi="Times New Roman" w:cs="Times New Roman"/>
          <w:b/>
          <w:bCs/>
          <w:sz w:val="32"/>
          <w:szCs w:val="32"/>
        </w:rPr>
      </w:pPr>
    </w:p>
    <w:p w14:paraId="3D94932D" w14:textId="77777777" w:rsidR="001142D0" w:rsidRPr="00360CBA" w:rsidRDefault="001142D0" w:rsidP="001142D0">
      <w:pPr>
        <w:jc w:val="both"/>
        <w:rPr>
          <w:rFonts w:ascii="Times New Roman" w:hAnsi="Times New Roman" w:cs="Times New Roman"/>
          <w:sz w:val="28"/>
          <w:szCs w:val="28"/>
        </w:rPr>
      </w:pPr>
      <w:r w:rsidRPr="00360CBA">
        <w:rPr>
          <w:rFonts w:ascii="Times New Roman" w:hAnsi="Times New Roman" w:cs="Times New Roman"/>
          <w:sz w:val="28"/>
          <w:szCs w:val="28"/>
        </w:rPr>
        <w:t>Jako odborová inspekce bezpečnosti práce Odborového svazu pracovníků zemědělství a výživy – ASO ČR se bohužel v poslední době setkáváme stále častěji s tím, že zaměstnavatel neuzná pracovníkovi odškodnění za pracovní úraz, nebo odškodnění krátí s poukazem na to, že zaměstnanec porušil předpisy, se kterými byl seznámen. Musíme připomenout, že zaměstnavatel na to v krajním případě má zákonnou možnost a toto jeho rozhodnutí může změnit jen soud. Někteří zaměstnavatelé tak nesmyslně dokazují svoji moc a spoléhají na to, že se postižení pracovníci na soud neobrátí, protože je to administrativně i finančně poměrně náročná záležitost</w:t>
      </w:r>
    </w:p>
    <w:p w14:paraId="07DEFF0A" w14:textId="77777777" w:rsidR="001142D0" w:rsidRDefault="001142D0" w:rsidP="001142D0">
      <w:pPr>
        <w:jc w:val="both"/>
        <w:rPr>
          <w:rFonts w:ascii="Times New Roman" w:hAnsi="Times New Roman" w:cs="Times New Roman"/>
          <w:sz w:val="28"/>
          <w:szCs w:val="28"/>
        </w:rPr>
      </w:pPr>
      <w:r w:rsidRPr="00360CBA">
        <w:rPr>
          <w:rFonts w:ascii="Times New Roman" w:hAnsi="Times New Roman" w:cs="Times New Roman"/>
          <w:sz w:val="28"/>
          <w:szCs w:val="28"/>
        </w:rPr>
        <w:t>Pokud zaměstnavatel odmítne uznat pracovní úraz a odškodnit zaměstnance, je důležité, aby zaměstnanec věděl, jaká má práva a jak postupovat. Zde je několik kroků, které může zaměstnanec podniknout:</w:t>
      </w:r>
    </w:p>
    <w:p w14:paraId="10EAE65F" w14:textId="77777777" w:rsidR="001142D0" w:rsidRPr="00360CBA" w:rsidRDefault="001142D0" w:rsidP="001142D0">
      <w:pPr>
        <w:jc w:val="both"/>
        <w:rPr>
          <w:rFonts w:ascii="Times New Roman" w:hAnsi="Times New Roman" w:cs="Times New Roman"/>
          <w:sz w:val="28"/>
          <w:szCs w:val="28"/>
        </w:rPr>
      </w:pPr>
    </w:p>
    <w:p w14:paraId="1E9485C8" w14:textId="77777777" w:rsidR="001142D0" w:rsidRPr="00360CBA" w:rsidRDefault="001142D0" w:rsidP="001142D0">
      <w:pPr>
        <w:pStyle w:val="Odstavecseseznamem"/>
        <w:numPr>
          <w:ilvl w:val="0"/>
          <w:numId w:val="42"/>
        </w:numPr>
        <w:spacing w:after="160" w:line="240" w:lineRule="auto"/>
        <w:jc w:val="both"/>
        <w:rPr>
          <w:rFonts w:ascii="Times New Roman" w:hAnsi="Times New Roman" w:cs="Times New Roman"/>
          <w:sz w:val="28"/>
          <w:szCs w:val="28"/>
        </w:rPr>
      </w:pPr>
      <w:r w:rsidRPr="00360CBA">
        <w:rPr>
          <w:rFonts w:ascii="Times New Roman" w:hAnsi="Times New Roman" w:cs="Times New Roman"/>
          <w:b/>
          <w:bCs/>
          <w:sz w:val="28"/>
          <w:szCs w:val="28"/>
        </w:rPr>
        <w:t>**Dokumentace úrazu**:</w:t>
      </w:r>
      <w:r w:rsidRPr="00360CBA">
        <w:rPr>
          <w:rFonts w:ascii="Times New Roman" w:hAnsi="Times New Roman" w:cs="Times New Roman"/>
          <w:sz w:val="28"/>
          <w:szCs w:val="28"/>
        </w:rPr>
        <w:t xml:space="preserve"> Zaměstnanec by měl co nejdříve po úrazu informovat svého nadřízeného a zajistit, aby byl úraz zaznamenán v knize úrazů. Pokud je to možné, měl by také získat svědectví kolegů, kteří byli svědky úrazu.</w:t>
      </w:r>
    </w:p>
    <w:p w14:paraId="42DD1722" w14:textId="77777777" w:rsidR="001142D0" w:rsidRPr="00360CBA" w:rsidRDefault="001142D0" w:rsidP="001142D0">
      <w:pPr>
        <w:pStyle w:val="Odstavecseseznamem"/>
        <w:spacing w:line="240" w:lineRule="auto"/>
        <w:ind w:left="744"/>
        <w:jc w:val="both"/>
        <w:rPr>
          <w:rFonts w:ascii="Times New Roman" w:hAnsi="Times New Roman" w:cs="Times New Roman"/>
          <w:sz w:val="28"/>
          <w:szCs w:val="28"/>
        </w:rPr>
      </w:pPr>
    </w:p>
    <w:p w14:paraId="36CD4626" w14:textId="77777777" w:rsidR="001142D0" w:rsidRPr="00360CBA" w:rsidRDefault="001142D0" w:rsidP="001142D0">
      <w:pPr>
        <w:pStyle w:val="Odstavecseseznamem"/>
        <w:numPr>
          <w:ilvl w:val="0"/>
          <w:numId w:val="42"/>
        </w:numPr>
        <w:spacing w:after="160" w:line="259" w:lineRule="auto"/>
        <w:jc w:val="both"/>
        <w:rPr>
          <w:rFonts w:ascii="Times New Roman" w:hAnsi="Times New Roman" w:cs="Times New Roman"/>
          <w:sz w:val="28"/>
          <w:szCs w:val="28"/>
        </w:rPr>
      </w:pPr>
      <w:r w:rsidRPr="00360CBA">
        <w:rPr>
          <w:rFonts w:ascii="Times New Roman" w:hAnsi="Times New Roman" w:cs="Times New Roman"/>
          <w:b/>
          <w:bCs/>
          <w:sz w:val="28"/>
          <w:szCs w:val="28"/>
        </w:rPr>
        <w:t>**Lékařská zpráva**:</w:t>
      </w:r>
      <w:r w:rsidRPr="00360CBA">
        <w:rPr>
          <w:rFonts w:ascii="Times New Roman" w:hAnsi="Times New Roman" w:cs="Times New Roman"/>
          <w:sz w:val="28"/>
          <w:szCs w:val="28"/>
        </w:rPr>
        <w:t xml:space="preserve"> Zaměstnanec by měl navštívit lékaře a získat lékařskou zprávu, která potvrzuje pracovní úraz a popisuje jeho následky. Tato zpráva bude důležitým důkazem při jednání se zaměstnavatelem nebo pojišťovnou.</w:t>
      </w:r>
    </w:p>
    <w:p w14:paraId="7C08EEA0" w14:textId="77777777" w:rsidR="001142D0" w:rsidRPr="00360CBA" w:rsidRDefault="001142D0" w:rsidP="001142D0">
      <w:pPr>
        <w:pStyle w:val="Odstavecseseznamem"/>
        <w:rPr>
          <w:rFonts w:ascii="Times New Roman" w:hAnsi="Times New Roman" w:cs="Times New Roman"/>
          <w:sz w:val="28"/>
          <w:szCs w:val="28"/>
        </w:rPr>
      </w:pPr>
    </w:p>
    <w:p w14:paraId="7DB7739F" w14:textId="77777777" w:rsidR="001142D0" w:rsidRPr="00360CBA" w:rsidRDefault="001142D0" w:rsidP="001142D0">
      <w:pPr>
        <w:pStyle w:val="Odstavecseseznamem"/>
        <w:ind w:left="744"/>
        <w:jc w:val="both"/>
        <w:rPr>
          <w:rFonts w:ascii="Times New Roman" w:hAnsi="Times New Roman" w:cs="Times New Roman"/>
          <w:sz w:val="28"/>
          <w:szCs w:val="28"/>
        </w:rPr>
      </w:pPr>
    </w:p>
    <w:p w14:paraId="01DB9294" w14:textId="77777777" w:rsidR="001142D0" w:rsidRPr="00360CBA" w:rsidRDefault="001142D0" w:rsidP="001142D0">
      <w:pPr>
        <w:pStyle w:val="Odstavecseseznamem"/>
        <w:numPr>
          <w:ilvl w:val="0"/>
          <w:numId w:val="42"/>
        </w:numPr>
        <w:spacing w:after="160" w:line="259" w:lineRule="auto"/>
        <w:jc w:val="both"/>
        <w:rPr>
          <w:rFonts w:ascii="Times New Roman" w:hAnsi="Times New Roman" w:cs="Times New Roman"/>
          <w:sz w:val="28"/>
          <w:szCs w:val="28"/>
        </w:rPr>
      </w:pPr>
      <w:r w:rsidRPr="00360CBA">
        <w:rPr>
          <w:rFonts w:ascii="Times New Roman" w:hAnsi="Times New Roman" w:cs="Times New Roman"/>
          <w:b/>
          <w:bCs/>
          <w:sz w:val="28"/>
          <w:szCs w:val="28"/>
        </w:rPr>
        <w:t>**Kontaktování pojišťovny**:</w:t>
      </w:r>
      <w:r w:rsidRPr="00360CBA">
        <w:rPr>
          <w:rFonts w:ascii="Times New Roman" w:hAnsi="Times New Roman" w:cs="Times New Roman"/>
          <w:sz w:val="28"/>
          <w:szCs w:val="28"/>
        </w:rPr>
        <w:t xml:space="preserve"> Většina zaměstnavatelů má povinnost mít uzavřené pojištění odpovědnosti za pracovní úrazy. Zaměstnanec by měl kontaktovat pojišťovnu a nahlásit úraz. Pojišťovna by měla provést šetření a rozhodnout o nároku na odškodnění.</w:t>
      </w:r>
    </w:p>
    <w:p w14:paraId="5F92D5F6" w14:textId="77777777" w:rsidR="001142D0" w:rsidRPr="00360CBA" w:rsidRDefault="001142D0" w:rsidP="001142D0">
      <w:pPr>
        <w:pStyle w:val="Odstavecseseznamem"/>
        <w:ind w:left="744"/>
        <w:jc w:val="both"/>
        <w:rPr>
          <w:rFonts w:ascii="Times New Roman" w:hAnsi="Times New Roman" w:cs="Times New Roman"/>
          <w:sz w:val="28"/>
          <w:szCs w:val="28"/>
        </w:rPr>
      </w:pPr>
    </w:p>
    <w:p w14:paraId="1F271FEE" w14:textId="77777777" w:rsidR="001142D0" w:rsidRPr="00360CBA" w:rsidRDefault="001142D0" w:rsidP="001142D0">
      <w:pPr>
        <w:pStyle w:val="Odstavecseseznamem"/>
        <w:numPr>
          <w:ilvl w:val="0"/>
          <w:numId w:val="42"/>
        </w:numPr>
        <w:spacing w:after="160" w:line="259" w:lineRule="auto"/>
        <w:jc w:val="both"/>
        <w:rPr>
          <w:rFonts w:ascii="Times New Roman" w:hAnsi="Times New Roman" w:cs="Times New Roman"/>
          <w:sz w:val="28"/>
          <w:szCs w:val="28"/>
        </w:rPr>
      </w:pPr>
      <w:r w:rsidRPr="00360CBA">
        <w:rPr>
          <w:rFonts w:ascii="Times New Roman" w:hAnsi="Times New Roman" w:cs="Times New Roman"/>
          <w:b/>
          <w:bCs/>
          <w:sz w:val="28"/>
          <w:szCs w:val="28"/>
        </w:rPr>
        <w:t>**Právní pomoc**:</w:t>
      </w:r>
      <w:r w:rsidRPr="00360CBA">
        <w:rPr>
          <w:rFonts w:ascii="Times New Roman" w:hAnsi="Times New Roman" w:cs="Times New Roman"/>
          <w:sz w:val="28"/>
          <w:szCs w:val="28"/>
        </w:rPr>
        <w:t xml:space="preserve"> Pokud zaměstnavatel nebo pojišťovna odmítají uznat nárok na odškodnění, zaměstnanec by měl zvážit konzultaci s právníkem specializujícím se na pracovní právo. Právník může pomoci s podáním žaloby a zastupováním zaměstnance před soudem.</w:t>
      </w:r>
    </w:p>
    <w:p w14:paraId="3B00A49C" w14:textId="77777777" w:rsidR="001142D0" w:rsidRPr="00360CBA" w:rsidRDefault="001142D0" w:rsidP="001142D0">
      <w:pPr>
        <w:pStyle w:val="Odstavecseseznamem"/>
        <w:rPr>
          <w:rFonts w:ascii="Times New Roman" w:hAnsi="Times New Roman" w:cs="Times New Roman"/>
          <w:sz w:val="28"/>
          <w:szCs w:val="28"/>
        </w:rPr>
      </w:pPr>
    </w:p>
    <w:p w14:paraId="22B7C286" w14:textId="77777777" w:rsidR="001142D0" w:rsidRPr="00360CBA" w:rsidRDefault="001142D0" w:rsidP="001142D0">
      <w:pPr>
        <w:pStyle w:val="Odstavecseseznamem"/>
        <w:ind w:left="744"/>
        <w:jc w:val="both"/>
        <w:rPr>
          <w:rFonts w:ascii="Times New Roman" w:hAnsi="Times New Roman" w:cs="Times New Roman"/>
          <w:sz w:val="28"/>
          <w:szCs w:val="28"/>
        </w:rPr>
      </w:pPr>
    </w:p>
    <w:p w14:paraId="7EAE5DF3" w14:textId="77777777" w:rsidR="001142D0" w:rsidRPr="00360CBA" w:rsidRDefault="001142D0" w:rsidP="001142D0">
      <w:pPr>
        <w:pStyle w:val="Odstavecseseznamem"/>
        <w:numPr>
          <w:ilvl w:val="0"/>
          <w:numId w:val="42"/>
        </w:numPr>
        <w:spacing w:after="160" w:line="259" w:lineRule="auto"/>
        <w:jc w:val="both"/>
        <w:rPr>
          <w:rFonts w:ascii="Times New Roman" w:hAnsi="Times New Roman" w:cs="Times New Roman"/>
          <w:sz w:val="28"/>
          <w:szCs w:val="28"/>
        </w:rPr>
      </w:pPr>
      <w:r w:rsidRPr="00360CBA">
        <w:rPr>
          <w:rFonts w:ascii="Times New Roman" w:hAnsi="Times New Roman" w:cs="Times New Roman"/>
          <w:b/>
          <w:bCs/>
          <w:sz w:val="28"/>
          <w:szCs w:val="28"/>
        </w:rPr>
        <w:t>**Odborová organizace**:</w:t>
      </w:r>
      <w:r w:rsidRPr="00360CBA">
        <w:rPr>
          <w:rFonts w:ascii="Times New Roman" w:hAnsi="Times New Roman" w:cs="Times New Roman"/>
          <w:sz w:val="28"/>
          <w:szCs w:val="28"/>
        </w:rPr>
        <w:t xml:space="preserve"> Pokud je zaměstnanec členem odborové organizace, může se obrátit na odbory s žádostí o pomoc. Odbory mohou poskytnout právní poradenství a podporu při jednání se zaměstnavatelem.</w:t>
      </w:r>
    </w:p>
    <w:p w14:paraId="02573A3A" w14:textId="77777777" w:rsidR="001142D0" w:rsidRPr="00360CBA" w:rsidRDefault="001142D0" w:rsidP="001142D0">
      <w:pPr>
        <w:pStyle w:val="Odstavecseseznamem"/>
        <w:ind w:left="744"/>
        <w:jc w:val="both"/>
        <w:rPr>
          <w:rFonts w:ascii="Times New Roman" w:hAnsi="Times New Roman" w:cs="Times New Roman"/>
          <w:sz w:val="28"/>
          <w:szCs w:val="28"/>
        </w:rPr>
      </w:pPr>
    </w:p>
    <w:p w14:paraId="67617BCA" w14:textId="77777777" w:rsidR="001142D0" w:rsidRPr="00360CBA" w:rsidRDefault="001142D0" w:rsidP="001142D0">
      <w:pPr>
        <w:pStyle w:val="Odstavecseseznamem"/>
        <w:numPr>
          <w:ilvl w:val="0"/>
          <w:numId w:val="42"/>
        </w:numPr>
        <w:spacing w:after="160" w:line="259" w:lineRule="auto"/>
        <w:jc w:val="both"/>
        <w:rPr>
          <w:rFonts w:ascii="Times New Roman" w:hAnsi="Times New Roman" w:cs="Times New Roman"/>
          <w:sz w:val="28"/>
          <w:szCs w:val="28"/>
        </w:rPr>
      </w:pPr>
      <w:r w:rsidRPr="00360CBA">
        <w:rPr>
          <w:rFonts w:ascii="Times New Roman" w:hAnsi="Times New Roman" w:cs="Times New Roman"/>
          <w:b/>
          <w:bCs/>
          <w:sz w:val="28"/>
          <w:szCs w:val="28"/>
        </w:rPr>
        <w:t>**Inspektorát práce**:</w:t>
      </w:r>
      <w:r w:rsidRPr="00360CBA">
        <w:rPr>
          <w:rFonts w:ascii="Times New Roman" w:hAnsi="Times New Roman" w:cs="Times New Roman"/>
          <w:sz w:val="28"/>
          <w:szCs w:val="28"/>
        </w:rPr>
        <w:t xml:space="preserve"> Zaměstnanec může také kontaktovat místní inspektorát práce a podat stížnost na zaměstnavatele. Inspektorát práce může provést šetření a případně uložit zaměstnavateli sankce za porušení pracovněprávních předpisů.</w:t>
      </w:r>
    </w:p>
    <w:p w14:paraId="21D6E17C" w14:textId="77777777" w:rsidR="001142D0" w:rsidRPr="00360CBA" w:rsidRDefault="001142D0" w:rsidP="001142D0">
      <w:pPr>
        <w:pStyle w:val="Odstavecseseznamem"/>
        <w:rPr>
          <w:rFonts w:ascii="Times New Roman" w:hAnsi="Times New Roman" w:cs="Times New Roman"/>
          <w:sz w:val="28"/>
          <w:szCs w:val="28"/>
        </w:rPr>
      </w:pPr>
    </w:p>
    <w:p w14:paraId="4B950825" w14:textId="77777777" w:rsidR="001142D0" w:rsidRPr="00360CBA" w:rsidRDefault="001142D0" w:rsidP="001142D0">
      <w:pPr>
        <w:pStyle w:val="Odstavecseseznamem"/>
        <w:ind w:left="744"/>
        <w:jc w:val="both"/>
        <w:rPr>
          <w:rFonts w:ascii="Times New Roman" w:hAnsi="Times New Roman" w:cs="Times New Roman"/>
          <w:sz w:val="28"/>
          <w:szCs w:val="28"/>
        </w:rPr>
      </w:pPr>
    </w:p>
    <w:p w14:paraId="2F6652D4" w14:textId="77777777" w:rsidR="001142D0" w:rsidRPr="00360CBA" w:rsidRDefault="001142D0" w:rsidP="001142D0">
      <w:pPr>
        <w:jc w:val="both"/>
        <w:rPr>
          <w:rFonts w:ascii="Times New Roman" w:hAnsi="Times New Roman" w:cs="Times New Roman"/>
          <w:sz w:val="28"/>
          <w:szCs w:val="28"/>
        </w:rPr>
      </w:pPr>
      <w:r w:rsidRPr="00360CBA">
        <w:rPr>
          <w:rFonts w:ascii="Times New Roman" w:hAnsi="Times New Roman" w:cs="Times New Roman"/>
          <w:sz w:val="28"/>
          <w:szCs w:val="28"/>
        </w:rPr>
        <w:t>Je důležité, aby zaměstnanec jednal rychle a důsledně, aby zajistil, že jeho práva budou chráněna a že obdrží spravedlivé odškodnění za pracovní úraz.</w:t>
      </w:r>
    </w:p>
    <w:p w14:paraId="03844B43" w14:textId="77777777" w:rsidR="001142D0" w:rsidRPr="00360CBA" w:rsidRDefault="001142D0" w:rsidP="001142D0">
      <w:pPr>
        <w:rPr>
          <w:rFonts w:ascii="Times New Roman" w:hAnsi="Times New Roman" w:cs="Times New Roman"/>
        </w:rPr>
      </w:pPr>
    </w:p>
    <w:p w14:paraId="0547FE51" w14:textId="77777777" w:rsidR="001142D0" w:rsidRPr="00360CBA" w:rsidRDefault="001142D0" w:rsidP="001142D0">
      <w:pPr>
        <w:rPr>
          <w:rFonts w:ascii="Times New Roman" w:hAnsi="Times New Roman" w:cs="Times New Roman"/>
          <w:sz w:val="28"/>
          <w:szCs w:val="28"/>
        </w:rPr>
      </w:pPr>
      <w:r w:rsidRPr="00360CBA">
        <w:rPr>
          <w:rFonts w:ascii="Times New Roman" w:hAnsi="Times New Roman" w:cs="Times New Roman"/>
          <w:sz w:val="28"/>
          <w:szCs w:val="28"/>
        </w:rPr>
        <w:t>Ing. Jaromír Šedivec, svazový inspektor bezpečnosti práce OSPZV – ASO ČR</w:t>
      </w:r>
    </w:p>
    <w:p w14:paraId="4A67023B" w14:textId="77777777" w:rsidR="001142D0" w:rsidRDefault="001142D0" w:rsidP="008C306D"/>
    <w:p w14:paraId="1A4205CD" w14:textId="77777777" w:rsidR="00651EF6" w:rsidRDefault="00651EF6" w:rsidP="008C306D"/>
    <w:p w14:paraId="027CC6A9" w14:textId="77777777" w:rsidR="00651EF6" w:rsidRDefault="00651EF6" w:rsidP="008C306D"/>
    <w:p w14:paraId="68896660" w14:textId="77777777" w:rsidR="00651EF6" w:rsidRDefault="00651EF6" w:rsidP="008C306D"/>
    <w:p w14:paraId="1EF28F52" w14:textId="77777777" w:rsidR="00651EF6" w:rsidRDefault="00651EF6" w:rsidP="008C306D"/>
    <w:p w14:paraId="3D6D07F5" w14:textId="77777777" w:rsidR="00651EF6" w:rsidRDefault="00651EF6" w:rsidP="008C306D"/>
    <w:p w14:paraId="47E9CF6F" w14:textId="77777777" w:rsidR="00651EF6" w:rsidRDefault="00651EF6" w:rsidP="008C306D"/>
    <w:p w14:paraId="5D9A0D45" w14:textId="77777777" w:rsidR="00651EF6" w:rsidRDefault="00651EF6" w:rsidP="008C306D"/>
    <w:p w14:paraId="51742D81" w14:textId="77777777" w:rsidR="00651EF6" w:rsidRDefault="00651EF6" w:rsidP="008C306D"/>
    <w:p w14:paraId="081461F7" w14:textId="77777777" w:rsidR="00651EF6" w:rsidRDefault="00651EF6" w:rsidP="008C306D"/>
    <w:p w14:paraId="1F336F34" w14:textId="77777777" w:rsidR="00651EF6" w:rsidRDefault="00651EF6" w:rsidP="008C306D"/>
    <w:p w14:paraId="4A8C5BA8" w14:textId="77777777" w:rsidR="00651EF6" w:rsidRDefault="00651EF6" w:rsidP="008C306D"/>
    <w:p w14:paraId="2C303C0F" w14:textId="77777777" w:rsidR="00651EF6" w:rsidRDefault="00651EF6" w:rsidP="008C306D"/>
    <w:p w14:paraId="3FCB55AD" w14:textId="77777777" w:rsidR="00651EF6" w:rsidRDefault="00651EF6" w:rsidP="008C306D"/>
    <w:p w14:paraId="57AEEC21" w14:textId="77777777" w:rsidR="00651EF6" w:rsidRDefault="00651EF6" w:rsidP="008C306D"/>
    <w:p w14:paraId="24AC2973" w14:textId="77777777" w:rsidR="00651EF6" w:rsidRDefault="00651EF6" w:rsidP="008C306D"/>
    <w:p w14:paraId="65657650" w14:textId="77777777" w:rsidR="00651EF6" w:rsidRDefault="00651EF6" w:rsidP="008C306D"/>
    <w:p w14:paraId="1737C767" w14:textId="77777777" w:rsidR="009F7385" w:rsidRDefault="009F7385" w:rsidP="009F738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PODPORA V NEZAMĚSTNANOSTI V ROCE 2025</w:t>
      </w:r>
    </w:p>
    <w:p w14:paraId="51E9845F" w14:textId="77777777" w:rsidR="009F7385" w:rsidRDefault="009F7385" w:rsidP="009F7385">
      <w:pPr>
        <w:spacing w:after="0" w:line="240" w:lineRule="auto"/>
        <w:jc w:val="center"/>
        <w:rPr>
          <w:rFonts w:ascii="Times New Roman" w:hAnsi="Times New Roman"/>
          <w:b/>
          <w:bCs/>
          <w:sz w:val="28"/>
          <w:szCs w:val="28"/>
        </w:rPr>
      </w:pPr>
    </w:p>
    <w:p w14:paraId="06881512" w14:textId="77777777" w:rsidR="009F7385" w:rsidRDefault="009F7385" w:rsidP="009F7385">
      <w:pPr>
        <w:spacing w:after="0" w:line="240" w:lineRule="auto"/>
        <w:jc w:val="center"/>
        <w:rPr>
          <w:rFonts w:ascii="Times New Roman" w:hAnsi="Times New Roman"/>
          <w:b/>
          <w:bCs/>
          <w:sz w:val="28"/>
          <w:szCs w:val="28"/>
        </w:rPr>
      </w:pPr>
    </w:p>
    <w:p w14:paraId="2D9CFDE0" w14:textId="77777777" w:rsidR="009F7385" w:rsidRDefault="009F7385" w:rsidP="009F7385">
      <w:pPr>
        <w:spacing w:after="0" w:line="240" w:lineRule="auto"/>
        <w:jc w:val="both"/>
        <w:rPr>
          <w:rFonts w:ascii="Times New Roman" w:hAnsi="Times New Roman"/>
          <w:b/>
          <w:bCs/>
          <w:sz w:val="28"/>
          <w:szCs w:val="28"/>
        </w:rPr>
      </w:pPr>
      <w:r>
        <w:rPr>
          <w:rFonts w:ascii="Times New Roman" w:hAnsi="Times New Roman"/>
          <w:b/>
          <w:bCs/>
          <w:sz w:val="28"/>
          <w:szCs w:val="28"/>
        </w:rPr>
        <w:t>Každoročně dochází k úpravě maximální možné podpory v nezaměstnanosti. Uchazeči musí dodržet zákonem dané podmínky, aby nemuseli již vyplacenou podporu vracet.</w:t>
      </w:r>
    </w:p>
    <w:p w14:paraId="7AC445E6" w14:textId="77777777" w:rsidR="009F7385" w:rsidRDefault="009F7385" w:rsidP="009F7385">
      <w:pPr>
        <w:spacing w:after="0" w:line="240" w:lineRule="auto"/>
        <w:jc w:val="both"/>
        <w:rPr>
          <w:rFonts w:ascii="Times New Roman" w:hAnsi="Times New Roman"/>
          <w:b/>
          <w:bCs/>
          <w:sz w:val="28"/>
          <w:szCs w:val="28"/>
        </w:rPr>
      </w:pPr>
    </w:p>
    <w:p w14:paraId="56BA8C5A" w14:textId="77777777" w:rsidR="009F7385" w:rsidRDefault="009F7385" w:rsidP="009F7385">
      <w:pPr>
        <w:spacing w:after="0" w:line="240" w:lineRule="auto"/>
        <w:jc w:val="both"/>
        <w:rPr>
          <w:rFonts w:ascii="Times New Roman" w:hAnsi="Times New Roman"/>
          <w:b/>
          <w:bCs/>
          <w:sz w:val="28"/>
          <w:szCs w:val="28"/>
        </w:rPr>
      </w:pPr>
    </w:p>
    <w:p w14:paraId="4DA74604" w14:textId="77777777" w:rsidR="009F7385" w:rsidRDefault="009F7385" w:rsidP="009F7385">
      <w:pPr>
        <w:spacing w:after="0" w:line="240" w:lineRule="auto"/>
        <w:jc w:val="both"/>
      </w:pPr>
      <w:r>
        <w:rPr>
          <w:rFonts w:ascii="Times New Roman" w:hAnsi="Times New Roman"/>
          <w:sz w:val="28"/>
          <w:szCs w:val="28"/>
        </w:rPr>
        <w:t xml:space="preserve">     Sdělení Ministerstva práce a sociálních věcí ČR o vyhlášení průměrné mzdy v národním hospodářství za první až třetí čtvrtletí 2024 pro účely zákona o zaměstnanosti má číslo 410/2024 Sb. Jde o částku (mimo jiné) důležitou pro výpočet maximální podpory v nezaměstnanosti a rekvalifikaci. Průměrná mzda za první až třetí čtvrtletí roku 2024 činí </w:t>
      </w:r>
      <w:r>
        <w:rPr>
          <w:rFonts w:ascii="Times New Roman" w:hAnsi="Times New Roman"/>
          <w:b/>
          <w:bCs/>
          <w:sz w:val="28"/>
          <w:szCs w:val="28"/>
        </w:rPr>
        <w:t>45 107 Kč.</w:t>
      </w:r>
    </w:p>
    <w:p w14:paraId="2535E1D2" w14:textId="77777777" w:rsidR="009F7385" w:rsidRDefault="009F7385" w:rsidP="009F7385">
      <w:pPr>
        <w:spacing w:after="0" w:line="240" w:lineRule="auto"/>
        <w:jc w:val="both"/>
        <w:rPr>
          <w:rFonts w:ascii="Times New Roman" w:hAnsi="Times New Roman"/>
          <w:b/>
          <w:bCs/>
          <w:sz w:val="28"/>
          <w:szCs w:val="28"/>
        </w:rPr>
      </w:pPr>
    </w:p>
    <w:p w14:paraId="1F24EB04" w14:textId="77777777" w:rsidR="009F7385" w:rsidRDefault="009F7385" w:rsidP="009F7385">
      <w:pPr>
        <w:spacing w:after="0" w:line="240" w:lineRule="auto"/>
        <w:jc w:val="both"/>
        <w:rPr>
          <w:rFonts w:ascii="Times New Roman" w:hAnsi="Times New Roman"/>
          <w:b/>
          <w:bCs/>
          <w:sz w:val="28"/>
          <w:szCs w:val="28"/>
        </w:rPr>
      </w:pPr>
    </w:p>
    <w:p w14:paraId="6658B4FE" w14:textId="77777777" w:rsidR="009F7385" w:rsidRDefault="009F7385" w:rsidP="009F7385">
      <w:pPr>
        <w:spacing w:after="0" w:line="240" w:lineRule="auto"/>
        <w:jc w:val="both"/>
        <w:rPr>
          <w:rFonts w:ascii="Times New Roman" w:hAnsi="Times New Roman"/>
          <w:b/>
          <w:bCs/>
          <w:sz w:val="28"/>
          <w:szCs w:val="28"/>
        </w:rPr>
      </w:pPr>
      <w:r>
        <w:rPr>
          <w:rFonts w:ascii="Times New Roman" w:hAnsi="Times New Roman"/>
          <w:b/>
          <w:bCs/>
          <w:sz w:val="28"/>
          <w:szCs w:val="28"/>
        </w:rPr>
        <w:t>Jaká je délka pobírání podpory?</w:t>
      </w:r>
    </w:p>
    <w:p w14:paraId="74246B7B" w14:textId="77777777" w:rsidR="009F7385" w:rsidRDefault="009F7385" w:rsidP="009F7385">
      <w:pPr>
        <w:spacing w:after="0" w:line="240" w:lineRule="auto"/>
        <w:jc w:val="both"/>
        <w:rPr>
          <w:rFonts w:ascii="Times New Roman" w:hAnsi="Times New Roman"/>
          <w:b/>
          <w:bCs/>
          <w:sz w:val="28"/>
          <w:szCs w:val="28"/>
        </w:rPr>
      </w:pPr>
    </w:p>
    <w:p w14:paraId="343C4D83" w14:textId="77777777" w:rsidR="009F7385" w:rsidRDefault="009F7385" w:rsidP="009F7385">
      <w:pPr>
        <w:spacing w:after="0" w:line="240" w:lineRule="auto"/>
        <w:jc w:val="both"/>
        <w:rPr>
          <w:rFonts w:ascii="Times New Roman" w:hAnsi="Times New Roman"/>
          <w:sz w:val="28"/>
          <w:szCs w:val="28"/>
        </w:rPr>
      </w:pPr>
      <w:r>
        <w:rPr>
          <w:rFonts w:ascii="Times New Roman" w:hAnsi="Times New Roman"/>
          <w:sz w:val="28"/>
          <w:szCs w:val="28"/>
        </w:rPr>
        <w:t xml:space="preserve">     Nezbytným předpokladem pro nárok na podporu v nezaměstnanosti je získání předchozích alespoň dvanácti měsíců důchodového pojištění, a to během dvou let před registrací do evidence úřadu práce. Dobu účasti na pojištění je možné získat zaměstnáním (ze kterého se odvádí sociální pojištění), samostatnou výdělečnou činností nebo dobrovolným důchodovým pojištěním. Uchazeči splňujícímu podmínky pro nárok na podporu v nezaměstnanosti se podpora vyplácí po určenou podpůrčí dobu, která činí:</w:t>
      </w:r>
    </w:p>
    <w:p w14:paraId="08766FF0" w14:textId="77777777" w:rsidR="009F7385" w:rsidRDefault="009F7385" w:rsidP="009F7385">
      <w:pPr>
        <w:spacing w:after="0" w:line="240" w:lineRule="auto"/>
        <w:jc w:val="both"/>
        <w:rPr>
          <w:rFonts w:ascii="Times New Roman" w:hAnsi="Times New Roman"/>
          <w:sz w:val="28"/>
          <w:szCs w:val="28"/>
        </w:rPr>
      </w:pPr>
    </w:p>
    <w:p w14:paraId="42B0F964" w14:textId="77777777" w:rsidR="009F7385" w:rsidRDefault="009F7385" w:rsidP="009F7385">
      <w:pPr>
        <w:pStyle w:val="Odstavecseseznamem"/>
        <w:numPr>
          <w:ilvl w:val="0"/>
          <w:numId w:val="43"/>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5 měsíců u uchazečů o zaměstnání do 50 let věku,</w:t>
      </w:r>
    </w:p>
    <w:p w14:paraId="1A5C5BCE" w14:textId="77777777" w:rsidR="009F7385" w:rsidRDefault="009F7385" w:rsidP="009F7385">
      <w:pPr>
        <w:pStyle w:val="Odstavecseseznamem"/>
        <w:numPr>
          <w:ilvl w:val="0"/>
          <w:numId w:val="43"/>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8 měsíců u uchazečů o zaměstnání nad 50 a do 55 let věku,</w:t>
      </w:r>
    </w:p>
    <w:p w14:paraId="643AA595" w14:textId="77777777" w:rsidR="009F7385" w:rsidRDefault="009F7385" w:rsidP="009F7385">
      <w:pPr>
        <w:pStyle w:val="Odstavecseseznamem"/>
        <w:numPr>
          <w:ilvl w:val="0"/>
          <w:numId w:val="43"/>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11 měsíců u uchazečů o zaměstnání nad 55 let věku.</w:t>
      </w:r>
    </w:p>
    <w:p w14:paraId="38EF245D" w14:textId="77777777" w:rsidR="009F7385" w:rsidRDefault="009F7385" w:rsidP="009F7385">
      <w:pPr>
        <w:pStyle w:val="Odstavecseseznamem"/>
        <w:spacing w:after="0" w:line="360" w:lineRule="auto"/>
        <w:ind w:left="714"/>
        <w:jc w:val="both"/>
        <w:rPr>
          <w:rFonts w:ascii="Times New Roman" w:hAnsi="Times New Roman"/>
          <w:sz w:val="28"/>
          <w:szCs w:val="28"/>
        </w:rPr>
      </w:pPr>
    </w:p>
    <w:p w14:paraId="4952D874" w14:textId="77777777" w:rsidR="009F7385" w:rsidRDefault="009F7385" w:rsidP="009F7385">
      <w:pPr>
        <w:spacing w:after="0" w:line="240" w:lineRule="auto"/>
        <w:jc w:val="both"/>
      </w:pPr>
      <w:r>
        <w:rPr>
          <w:rFonts w:ascii="Times New Roman" w:hAnsi="Times New Roman"/>
          <w:sz w:val="28"/>
          <w:szCs w:val="28"/>
        </w:rPr>
        <w:t xml:space="preserve">Rozhodující je věk uchazeče o zaměstnání dosažený ke dni podání žádosti o podporu v nezaměstnanosti. </w:t>
      </w:r>
      <w:r>
        <w:rPr>
          <w:rFonts w:ascii="Times New Roman" w:hAnsi="Times New Roman"/>
          <w:b/>
          <w:bCs/>
          <w:sz w:val="28"/>
          <w:szCs w:val="28"/>
        </w:rPr>
        <w:t xml:space="preserve">Podpora se vyplácí již od prvního měsíce. </w:t>
      </w:r>
      <w:r>
        <w:rPr>
          <w:rFonts w:ascii="Times New Roman" w:hAnsi="Times New Roman"/>
          <w:sz w:val="28"/>
          <w:szCs w:val="28"/>
        </w:rPr>
        <w:t>Do konce roku 2023 se uchazečům o zaměstnání s nárokem na odstupné od bývalého zaměstnavatele poskytovala až po uplynutí doby stanovené podle počtu násobků průměrného výdělku, z něhož byla odvozena zákonná výše odstupného (příp. odbytného nebo odchodného).</w:t>
      </w:r>
    </w:p>
    <w:p w14:paraId="0A46BDB9" w14:textId="77777777" w:rsidR="009F7385" w:rsidRDefault="009F7385" w:rsidP="009F7385">
      <w:pPr>
        <w:spacing w:after="0" w:line="240" w:lineRule="auto"/>
        <w:jc w:val="both"/>
        <w:rPr>
          <w:rFonts w:ascii="Times New Roman" w:hAnsi="Times New Roman"/>
          <w:sz w:val="28"/>
          <w:szCs w:val="28"/>
        </w:rPr>
      </w:pPr>
    </w:p>
    <w:p w14:paraId="56E9250B" w14:textId="77777777" w:rsidR="009F7385" w:rsidRDefault="009F7385" w:rsidP="009F7385">
      <w:pPr>
        <w:spacing w:after="0" w:line="240" w:lineRule="auto"/>
        <w:jc w:val="both"/>
      </w:pPr>
      <w:r>
        <w:rPr>
          <w:rFonts w:ascii="Times New Roman" w:hAnsi="Times New Roman"/>
          <w:sz w:val="28"/>
          <w:szCs w:val="28"/>
        </w:rPr>
        <w:t xml:space="preserve">     Jestliže uchazeč o zaměstnání požádá o poskytnutí podpory v nezaměstnanosti nejpozději do 3 pracovních dnů po skončení zaměstnání, přizná se podpora v nezaměstnanosti ode dne následujícího po skončení zaměstnání nebo uvedených činností. Žádat o zprostředkování zaměstnání lze dokonce elektronicky, např. jen prostřednictvím mobilu. Je však nezbytné ověření totožnosti osobní identitou nebo </w:t>
      </w:r>
      <w:r>
        <w:rPr>
          <w:rFonts w:ascii="Times New Roman" w:hAnsi="Times New Roman"/>
          <w:sz w:val="28"/>
          <w:szCs w:val="28"/>
        </w:rPr>
        <w:lastRenderedPageBreak/>
        <w:t xml:space="preserve">datovou schránkou. Žádost je tak možné podat osobně na pobočce úřadu práce nebo online prostřednictvím aplikace, kterou je od 1. ledna 2025 </w:t>
      </w:r>
      <w:r>
        <w:rPr>
          <w:rFonts w:ascii="Times New Roman" w:hAnsi="Times New Roman"/>
          <w:b/>
          <w:bCs/>
          <w:sz w:val="28"/>
          <w:szCs w:val="28"/>
        </w:rPr>
        <w:t>Klientská zóna Jenda.</w:t>
      </w:r>
    </w:p>
    <w:p w14:paraId="493EF1BC" w14:textId="77777777" w:rsidR="009F7385" w:rsidRDefault="009F7385" w:rsidP="009F7385">
      <w:pPr>
        <w:spacing w:after="0" w:line="240" w:lineRule="auto"/>
        <w:jc w:val="both"/>
        <w:rPr>
          <w:rFonts w:ascii="Times New Roman" w:hAnsi="Times New Roman"/>
          <w:b/>
          <w:bCs/>
          <w:sz w:val="28"/>
          <w:szCs w:val="28"/>
        </w:rPr>
      </w:pPr>
    </w:p>
    <w:p w14:paraId="0ECC91DE" w14:textId="77777777" w:rsidR="009F7385" w:rsidRDefault="009F7385" w:rsidP="009F7385">
      <w:pPr>
        <w:spacing w:after="0" w:line="240" w:lineRule="auto"/>
        <w:jc w:val="both"/>
        <w:rPr>
          <w:rFonts w:ascii="Times New Roman" w:hAnsi="Times New Roman"/>
          <w:b/>
          <w:bCs/>
          <w:sz w:val="28"/>
          <w:szCs w:val="28"/>
        </w:rPr>
      </w:pPr>
      <w:r>
        <w:rPr>
          <w:rFonts w:ascii="Times New Roman" w:hAnsi="Times New Roman"/>
          <w:b/>
          <w:bCs/>
          <w:sz w:val="28"/>
          <w:szCs w:val="28"/>
        </w:rPr>
        <w:t>Výše podpory v nezaměstnanosti</w:t>
      </w:r>
    </w:p>
    <w:p w14:paraId="59049996" w14:textId="77777777" w:rsidR="009F7385" w:rsidRDefault="009F7385" w:rsidP="009F7385">
      <w:pPr>
        <w:spacing w:after="0" w:line="240" w:lineRule="auto"/>
        <w:jc w:val="both"/>
        <w:rPr>
          <w:rFonts w:ascii="Times New Roman" w:hAnsi="Times New Roman"/>
          <w:b/>
          <w:bCs/>
          <w:sz w:val="28"/>
          <w:szCs w:val="28"/>
        </w:rPr>
      </w:pPr>
    </w:p>
    <w:p w14:paraId="2084E237" w14:textId="77777777" w:rsidR="009F7385" w:rsidRDefault="009F7385" w:rsidP="009F7385">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Výše podpory se určí procentní sazbou z posledního výdělku zaměstnance nebo vyměřovacího základu OSVČ. </w:t>
      </w:r>
      <w:r>
        <w:rPr>
          <w:rFonts w:ascii="Times New Roman" w:hAnsi="Times New Roman"/>
          <w:b/>
          <w:bCs/>
          <w:sz w:val="28"/>
          <w:szCs w:val="28"/>
        </w:rPr>
        <w:t xml:space="preserve">Sazba podpory v nezaměstnanosti </w:t>
      </w:r>
      <w:r>
        <w:rPr>
          <w:rFonts w:ascii="Times New Roman" w:hAnsi="Times New Roman"/>
          <w:sz w:val="28"/>
          <w:szCs w:val="28"/>
        </w:rPr>
        <w:t>činí:</w:t>
      </w:r>
    </w:p>
    <w:p w14:paraId="24E71FD7" w14:textId="77777777" w:rsidR="009F7385" w:rsidRDefault="009F7385" w:rsidP="009F7385">
      <w:pPr>
        <w:spacing w:after="0" w:line="240" w:lineRule="auto"/>
        <w:jc w:val="both"/>
        <w:rPr>
          <w:rFonts w:ascii="Times New Roman" w:hAnsi="Times New Roman"/>
          <w:sz w:val="28"/>
          <w:szCs w:val="28"/>
        </w:rPr>
      </w:pPr>
    </w:p>
    <w:p w14:paraId="51BD3600" w14:textId="77777777" w:rsidR="009F7385" w:rsidRDefault="009F7385" w:rsidP="009F7385">
      <w:pPr>
        <w:pStyle w:val="Odstavecseseznamem"/>
        <w:numPr>
          <w:ilvl w:val="0"/>
          <w:numId w:val="44"/>
        </w:numPr>
        <w:suppressAutoHyphens/>
        <w:autoSpaceDN w:val="0"/>
        <w:spacing w:after="0" w:line="360" w:lineRule="auto"/>
        <w:ind w:left="714" w:hanging="357"/>
        <w:contextualSpacing w:val="0"/>
        <w:jc w:val="both"/>
        <w:textAlignment w:val="baseline"/>
      </w:pPr>
      <w:r>
        <w:rPr>
          <w:rFonts w:ascii="Times New Roman" w:hAnsi="Times New Roman"/>
          <w:sz w:val="28"/>
          <w:szCs w:val="28"/>
        </w:rPr>
        <w:t xml:space="preserve">první 2 měsíce podpůrčí doby </w:t>
      </w:r>
      <w:r>
        <w:rPr>
          <w:rFonts w:ascii="Times New Roman" w:hAnsi="Times New Roman"/>
          <w:b/>
          <w:bCs/>
          <w:sz w:val="28"/>
          <w:szCs w:val="28"/>
        </w:rPr>
        <w:t xml:space="preserve">65 % </w:t>
      </w:r>
      <w:r>
        <w:rPr>
          <w:rFonts w:ascii="Times New Roman" w:hAnsi="Times New Roman"/>
          <w:sz w:val="28"/>
          <w:szCs w:val="28"/>
        </w:rPr>
        <w:t>průměrného měsíčního čistého výdělku</w:t>
      </w:r>
    </w:p>
    <w:p w14:paraId="62CD6EFF" w14:textId="77777777" w:rsidR="009F7385" w:rsidRDefault="009F7385" w:rsidP="009F7385">
      <w:pPr>
        <w:pStyle w:val="Odstavecseseznamem"/>
        <w:numPr>
          <w:ilvl w:val="0"/>
          <w:numId w:val="44"/>
        </w:numPr>
        <w:suppressAutoHyphens/>
        <w:autoSpaceDN w:val="0"/>
        <w:spacing w:after="0" w:line="360" w:lineRule="auto"/>
        <w:ind w:left="714" w:hanging="357"/>
        <w:contextualSpacing w:val="0"/>
        <w:jc w:val="both"/>
        <w:textAlignment w:val="baseline"/>
      </w:pPr>
      <w:r>
        <w:rPr>
          <w:rFonts w:ascii="Times New Roman" w:hAnsi="Times New Roman"/>
          <w:sz w:val="28"/>
          <w:szCs w:val="28"/>
        </w:rPr>
        <w:t xml:space="preserve">třetí a čtvrtý měsíc </w:t>
      </w:r>
      <w:r>
        <w:rPr>
          <w:rFonts w:ascii="Times New Roman" w:hAnsi="Times New Roman"/>
          <w:b/>
          <w:bCs/>
          <w:sz w:val="28"/>
          <w:szCs w:val="28"/>
        </w:rPr>
        <w:t xml:space="preserve">50 % </w:t>
      </w:r>
      <w:r>
        <w:rPr>
          <w:rFonts w:ascii="Times New Roman" w:hAnsi="Times New Roman"/>
          <w:sz w:val="28"/>
          <w:szCs w:val="28"/>
        </w:rPr>
        <w:t>průměrného měsíčního čistého výdělku</w:t>
      </w:r>
    </w:p>
    <w:p w14:paraId="7E281409" w14:textId="77777777" w:rsidR="009F7385" w:rsidRDefault="009F7385" w:rsidP="009F7385">
      <w:pPr>
        <w:pStyle w:val="Odstavecseseznamem"/>
        <w:numPr>
          <w:ilvl w:val="0"/>
          <w:numId w:val="44"/>
        </w:numPr>
        <w:suppressAutoHyphens/>
        <w:autoSpaceDN w:val="0"/>
        <w:spacing w:after="0" w:line="240" w:lineRule="auto"/>
        <w:ind w:left="714" w:hanging="357"/>
        <w:contextualSpacing w:val="0"/>
        <w:jc w:val="both"/>
        <w:textAlignment w:val="baseline"/>
      </w:pPr>
      <w:r>
        <w:rPr>
          <w:rFonts w:ascii="Times New Roman" w:hAnsi="Times New Roman"/>
          <w:sz w:val="28"/>
          <w:szCs w:val="28"/>
        </w:rPr>
        <w:t xml:space="preserve">po zbývající podpůrčí dobu (celkem pět, osm nebo jedenáct měsíců v závislosti na věku uchazeče o zaměstnání) </w:t>
      </w:r>
      <w:r>
        <w:rPr>
          <w:rFonts w:ascii="Times New Roman" w:hAnsi="Times New Roman"/>
          <w:b/>
          <w:bCs/>
          <w:sz w:val="28"/>
          <w:szCs w:val="28"/>
        </w:rPr>
        <w:t>45 %</w:t>
      </w:r>
      <w:r>
        <w:rPr>
          <w:rFonts w:ascii="Times New Roman" w:hAnsi="Times New Roman"/>
          <w:sz w:val="28"/>
          <w:szCs w:val="28"/>
        </w:rPr>
        <w:t xml:space="preserve"> průměrného měsíčního čistého výdělku</w:t>
      </w:r>
    </w:p>
    <w:p w14:paraId="62959095" w14:textId="77777777" w:rsidR="009F7385" w:rsidRDefault="009F7385" w:rsidP="009F7385">
      <w:pPr>
        <w:spacing w:after="0" w:line="240" w:lineRule="auto"/>
        <w:jc w:val="both"/>
        <w:rPr>
          <w:rFonts w:ascii="Times New Roman" w:hAnsi="Times New Roman"/>
          <w:sz w:val="28"/>
          <w:szCs w:val="28"/>
        </w:rPr>
      </w:pPr>
    </w:p>
    <w:p w14:paraId="1ED892F3" w14:textId="77777777" w:rsidR="009F7385" w:rsidRDefault="009F7385" w:rsidP="009F7385">
      <w:pPr>
        <w:spacing w:after="0" w:line="240" w:lineRule="auto"/>
        <w:jc w:val="both"/>
        <w:rPr>
          <w:rFonts w:ascii="Times New Roman" w:hAnsi="Times New Roman"/>
          <w:sz w:val="28"/>
          <w:szCs w:val="28"/>
        </w:rPr>
      </w:pPr>
      <w:r>
        <w:rPr>
          <w:rFonts w:ascii="Times New Roman" w:hAnsi="Times New Roman"/>
          <w:sz w:val="28"/>
          <w:szCs w:val="28"/>
        </w:rPr>
        <w:t xml:space="preserve">     Průměrný čistý výdělek uchazeče se počítá z posledního zaměstnání, a pokud se jedná o OSVČ, pak z posledního vyměřovacího základu přepočteného na jeden kalendářní měsíc. Osoby samostatně výdělečně činné musí samozřejmě výdělečnou činnost ukončit nebo přerušit. </w:t>
      </w:r>
    </w:p>
    <w:p w14:paraId="758A408D" w14:textId="77777777" w:rsidR="009F7385" w:rsidRDefault="009F7385" w:rsidP="009F7385">
      <w:pPr>
        <w:spacing w:after="0" w:line="240" w:lineRule="auto"/>
        <w:jc w:val="both"/>
        <w:rPr>
          <w:rFonts w:ascii="Times New Roman" w:hAnsi="Times New Roman"/>
          <w:sz w:val="28"/>
          <w:szCs w:val="28"/>
        </w:rPr>
      </w:pPr>
    </w:p>
    <w:p w14:paraId="53DB5DFA" w14:textId="77777777" w:rsidR="009F7385" w:rsidRDefault="009F7385" w:rsidP="009F7385">
      <w:pPr>
        <w:spacing w:after="0" w:line="240" w:lineRule="auto"/>
        <w:jc w:val="both"/>
      </w:pPr>
      <w:r>
        <w:rPr>
          <w:rFonts w:ascii="Times New Roman" w:hAnsi="Times New Roman"/>
          <w:sz w:val="28"/>
          <w:szCs w:val="28"/>
        </w:rPr>
        <w:t xml:space="preserve">     Procentní sazba </w:t>
      </w:r>
      <w:r>
        <w:rPr>
          <w:rFonts w:ascii="Times New Roman" w:hAnsi="Times New Roman"/>
          <w:b/>
          <w:bCs/>
          <w:sz w:val="28"/>
          <w:szCs w:val="28"/>
        </w:rPr>
        <w:t xml:space="preserve">při rekvalifikaci </w:t>
      </w:r>
      <w:r>
        <w:rPr>
          <w:rFonts w:ascii="Times New Roman" w:hAnsi="Times New Roman"/>
          <w:sz w:val="28"/>
          <w:szCs w:val="28"/>
        </w:rPr>
        <w:t xml:space="preserve">činí </w:t>
      </w:r>
      <w:r>
        <w:rPr>
          <w:rFonts w:ascii="Times New Roman" w:hAnsi="Times New Roman"/>
          <w:b/>
          <w:bCs/>
          <w:sz w:val="28"/>
          <w:szCs w:val="28"/>
        </w:rPr>
        <w:t xml:space="preserve">60 % </w:t>
      </w:r>
      <w:r>
        <w:rPr>
          <w:rFonts w:ascii="Times New Roman" w:hAnsi="Times New Roman"/>
          <w:sz w:val="28"/>
          <w:szCs w:val="28"/>
        </w:rPr>
        <w:t>průměrného čistého měsíčního výdělku nebo vyměřovacího základu a vyplácí se po celou dobu rekvalifikace.</w:t>
      </w:r>
    </w:p>
    <w:p w14:paraId="21B12A4C" w14:textId="77777777" w:rsidR="009F7385" w:rsidRDefault="009F7385" w:rsidP="009F7385">
      <w:pPr>
        <w:spacing w:after="0" w:line="240" w:lineRule="auto"/>
        <w:jc w:val="both"/>
        <w:rPr>
          <w:rFonts w:ascii="Times New Roman" w:hAnsi="Times New Roman"/>
          <w:sz w:val="28"/>
          <w:szCs w:val="28"/>
        </w:rPr>
      </w:pPr>
    </w:p>
    <w:p w14:paraId="24B05D5C" w14:textId="77777777" w:rsidR="009F7385" w:rsidRDefault="009F7385" w:rsidP="009F7385">
      <w:pPr>
        <w:spacing w:after="0" w:line="240" w:lineRule="auto"/>
        <w:jc w:val="both"/>
        <w:rPr>
          <w:rFonts w:ascii="Times New Roman" w:hAnsi="Times New Roman"/>
          <w:sz w:val="28"/>
          <w:szCs w:val="28"/>
        </w:rPr>
      </w:pPr>
    </w:p>
    <w:p w14:paraId="1CFA4B4B" w14:textId="77777777" w:rsidR="009F7385" w:rsidRDefault="009F7385" w:rsidP="009F7385">
      <w:pPr>
        <w:spacing w:after="0" w:line="240" w:lineRule="auto"/>
        <w:jc w:val="both"/>
        <w:rPr>
          <w:rFonts w:ascii="Times New Roman" w:hAnsi="Times New Roman"/>
          <w:b/>
          <w:bCs/>
          <w:sz w:val="28"/>
          <w:szCs w:val="28"/>
        </w:rPr>
      </w:pPr>
      <w:r>
        <w:rPr>
          <w:rFonts w:ascii="Times New Roman" w:hAnsi="Times New Roman"/>
          <w:b/>
          <w:bCs/>
          <w:sz w:val="28"/>
          <w:szCs w:val="28"/>
        </w:rPr>
        <w:t>Uchazeči bez nároku nebo snížená podpora</w:t>
      </w:r>
    </w:p>
    <w:p w14:paraId="492750EA" w14:textId="77777777" w:rsidR="009F7385" w:rsidRDefault="009F7385" w:rsidP="009F7385">
      <w:pPr>
        <w:spacing w:after="0" w:line="240" w:lineRule="auto"/>
        <w:jc w:val="both"/>
        <w:rPr>
          <w:rFonts w:ascii="Times New Roman" w:hAnsi="Times New Roman"/>
          <w:b/>
          <w:bCs/>
          <w:sz w:val="28"/>
          <w:szCs w:val="28"/>
        </w:rPr>
      </w:pPr>
    </w:p>
    <w:p w14:paraId="04580497" w14:textId="77777777" w:rsidR="009F7385" w:rsidRDefault="009F7385" w:rsidP="009F7385">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Ne všichni uchazeči o zaměstnání mají nárok na standardní podporu v nezaměstnanosti. Uchazeč, jenž před zařazením do evidence bez vážného důvodu ukončil poslední zaměstnání sám, případně dohodou se zaměstnavatelem, má nárok na podporu </w:t>
      </w:r>
      <w:r>
        <w:rPr>
          <w:rFonts w:ascii="Times New Roman" w:hAnsi="Times New Roman"/>
          <w:b/>
          <w:bCs/>
          <w:sz w:val="28"/>
          <w:szCs w:val="28"/>
        </w:rPr>
        <w:t xml:space="preserve">jen ve výši 45 % </w:t>
      </w:r>
      <w:r>
        <w:rPr>
          <w:rFonts w:ascii="Times New Roman" w:hAnsi="Times New Roman"/>
          <w:sz w:val="28"/>
          <w:szCs w:val="28"/>
        </w:rPr>
        <w:t>průměrného měsíčního čistého výdělku nebo vyměřovacího základu. Naopak na podporu není nárok vůbec za situace, kdy byl s uchazečem v době posledních 6 měsíců před zařazením do evidence zaměstnavatelem skončen pracovněprávní vztah z důvodu porušení povinnosti vyplývající z právních předpisů vztahujících se k jím vykonávané práci zvlášť hrubým způsobem (okamžitým zrušením podle § 55 odst. 1 písm. b), dále výpovědí dle § 52 písm. g) nebo výpovědí za porušení jiné povinnosti zaměstnance podle § 301a zákoníku práce zvlášť hrubým způsobem).</w:t>
      </w:r>
    </w:p>
    <w:p w14:paraId="3FB4D7B1" w14:textId="77777777" w:rsidR="009F7385" w:rsidRDefault="009F7385" w:rsidP="009F7385">
      <w:pPr>
        <w:spacing w:after="0" w:line="240" w:lineRule="auto"/>
        <w:jc w:val="both"/>
        <w:rPr>
          <w:rFonts w:ascii="Times New Roman" w:hAnsi="Times New Roman"/>
          <w:sz w:val="28"/>
          <w:szCs w:val="28"/>
        </w:rPr>
      </w:pPr>
    </w:p>
    <w:p w14:paraId="17C37C0B" w14:textId="77777777" w:rsidR="009F7385" w:rsidRDefault="009F7385" w:rsidP="009F7385">
      <w:pPr>
        <w:spacing w:after="0" w:line="240" w:lineRule="auto"/>
        <w:jc w:val="both"/>
      </w:pPr>
      <w:r>
        <w:rPr>
          <w:rFonts w:ascii="Times New Roman" w:hAnsi="Times New Roman"/>
          <w:sz w:val="28"/>
          <w:szCs w:val="28"/>
        </w:rPr>
        <w:t xml:space="preserve">     Podpora v nezaměstnanosti se rovněž neposkytuje v době pobírání starobního důchodu, pobírání nemocenských dávek, pobírání podpory při rekvalifikaci nebo po dobu výkonu vazby. </w:t>
      </w:r>
      <w:r>
        <w:rPr>
          <w:rFonts w:ascii="Times New Roman" w:hAnsi="Times New Roman"/>
          <w:b/>
          <w:bCs/>
          <w:sz w:val="28"/>
          <w:szCs w:val="28"/>
        </w:rPr>
        <w:t>Maximální výše podpory</w:t>
      </w:r>
      <w:r>
        <w:rPr>
          <w:rFonts w:ascii="Times New Roman" w:hAnsi="Times New Roman"/>
          <w:sz w:val="28"/>
          <w:szCs w:val="28"/>
        </w:rPr>
        <w:t xml:space="preserve"> v nezaměstnanosti činí 0,58násobek průměrné mzdy v národním hospodářství za první až třetí čtvrtletí kalendářního roku předcházejícího kalendářnímu roku, ve kterém byla podána žádost o podporu </w:t>
      </w:r>
      <w:r>
        <w:rPr>
          <w:rFonts w:ascii="Times New Roman" w:hAnsi="Times New Roman"/>
          <w:sz w:val="28"/>
          <w:szCs w:val="28"/>
        </w:rPr>
        <w:lastRenderedPageBreak/>
        <w:t>v nezaměstnanosti. Odvíjí se tedy ode dne podání žádosti o podporu, tj. do 31. prosince nebo po 31. prosinci (při rekvalifikaci je rozhodující den nástupu na rekvalifikaci).</w:t>
      </w:r>
    </w:p>
    <w:p w14:paraId="417A6433" w14:textId="77777777" w:rsidR="009F7385" w:rsidRDefault="009F7385" w:rsidP="009F7385">
      <w:pPr>
        <w:spacing w:after="0" w:line="240" w:lineRule="auto"/>
        <w:jc w:val="both"/>
        <w:rPr>
          <w:rFonts w:ascii="Times New Roman" w:hAnsi="Times New Roman"/>
          <w:sz w:val="28"/>
          <w:szCs w:val="28"/>
        </w:rPr>
      </w:pPr>
    </w:p>
    <w:p w14:paraId="0F62C6D5" w14:textId="77777777" w:rsidR="009F7385" w:rsidRDefault="009F7385" w:rsidP="009F7385">
      <w:pPr>
        <w:spacing w:after="0" w:line="240" w:lineRule="auto"/>
        <w:jc w:val="both"/>
        <w:rPr>
          <w:rFonts w:ascii="Times New Roman" w:hAnsi="Times New Roman"/>
          <w:sz w:val="28"/>
          <w:szCs w:val="28"/>
        </w:rPr>
      </w:pPr>
    </w:p>
    <w:p w14:paraId="5B7285BC" w14:textId="77777777" w:rsidR="009F7385" w:rsidRDefault="009F7385" w:rsidP="009F7385">
      <w:pPr>
        <w:spacing w:after="0" w:line="240" w:lineRule="auto"/>
        <w:jc w:val="both"/>
        <w:rPr>
          <w:rFonts w:ascii="Times New Roman" w:hAnsi="Times New Roman"/>
          <w:b/>
          <w:bCs/>
          <w:sz w:val="28"/>
          <w:szCs w:val="28"/>
        </w:rPr>
      </w:pPr>
      <w:r>
        <w:rPr>
          <w:rFonts w:ascii="Times New Roman" w:hAnsi="Times New Roman"/>
          <w:b/>
          <w:bCs/>
          <w:sz w:val="28"/>
          <w:szCs w:val="28"/>
        </w:rPr>
        <w:t>Maximální výše podpory v nezaměstnanosti a při rekvalifikaci</w:t>
      </w:r>
    </w:p>
    <w:p w14:paraId="53816B84" w14:textId="77777777" w:rsidR="009F7385" w:rsidRDefault="009F7385" w:rsidP="009F7385">
      <w:pPr>
        <w:spacing w:after="0" w:line="240" w:lineRule="auto"/>
        <w:jc w:val="both"/>
        <w:rPr>
          <w:rFonts w:ascii="Times New Roman" w:hAnsi="Times New Roman"/>
          <w:b/>
          <w:bCs/>
          <w:sz w:val="28"/>
          <w:szCs w:val="28"/>
        </w:rPr>
      </w:pPr>
    </w:p>
    <w:p w14:paraId="27068836" w14:textId="77777777" w:rsidR="009F7385" w:rsidRDefault="009F7385" w:rsidP="009F7385">
      <w:pPr>
        <w:spacing w:after="0" w:line="240" w:lineRule="auto"/>
        <w:jc w:val="both"/>
        <w:rPr>
          <w:rFonts w:ascii="Times New Roman" w:hAnsi="Times New Roman"/>
          <w:b/>
          <w:bCs/>
          <w:sz w:val="28"/>
          <w:szCs w:val="28"/>
        </w:rPr>
      </w:pPr>
    </w:p>
    <w:p w14:paraId="40A4509D"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Rok</w:t>
      </w:r>
      <w:r>
        <w:rPr>
          <w:rFonts w:ascii="Times New Roman" w:hAnsi="Times New Roman"/>
          <w:b/>
          <w:bCs/>
          <w:sz w:val="24"/>
          <w:szCs w:val="24"/>
        </w:rPr>
        <w:tab/>
        <w:t>2021</w:t>
      </w:r>
      <w:r>
        <w:rPr>
          <w:rFonts w:ascii="Times New Roman" w:hAnsi="Times New Roman"/>
          <w:b/>
          <w:bCs/>
          <w:sz w:val="24"/>
          <w:szCs w:val="24"/>
        </w:rPr>
        <w:tab/>
        <w:t>2022</w:t>
      </w:r>
      <w:r>
        <w:rPr>
          <w:rFonts w:ascii="Times New Roman" w:hAnsi="Times New Roman"/>
          <w:b/>
          <w:bCs/>
          <w:sz w:val="24"/>
          <w:szCs w:val="24"/>
        </w:rPr>
        <w:tab/>
        <w:t>2023</w:t>
      </w:r>
      <w:r>
        <w:rPr>
          <w:rFonts w:ascii="Times New Roman" w:hAnsi="Times New Roman"/>
          <w:b/>
          <w:bCs/>
          <w:sz w:val="24"/>
          <w:szCs w:val="24"/>
        </w:rPr>
        <w:tab/>
        <w:t>2024</w:t>
      </w:r>
      <w:r>
        <w:rPr>
          <w:rFonts w:ascii="Times New Roman" w:hAnsi="Times New Roman"/>
          <w:b/>
          <w:bCs/>
          <w:sz w:val="24"/>
          <w:szCs w:val="24"/>
        </w:rPr>
        <w:tab/>
        <w:t>2025</w:t>
      </w:r>
    </w:p>
    <w:p w14:paraId="7AB57E6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p>
    <w:p w14:paraId="1FC05BA4"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b/>
          <w:bCs/>
          <w:sz w:val="24"/>
          <w:szCs w:val="24"/>
        </w:rPr>
        <w:t>Maximální</w:t>
      </w:r>
      <w:r>
        <w:rPr>
          <w:rFonts w:ascii="Times New Roman" w:hAnsi="Times New Roman"/>
          <w:b/>
          <w:bCs/>
          <w:sz w:val="24"/>
          <w:szCs w:val="24"/>
        </w:rPr>
        <w:tab/>
      </w:r>
      <w:r>
        <w:rPr>
          <w:rFonts w:ascii="Times New Roman" w:hAnsi="Times New Roman"/>
          <w:sz w:val="24"/>
          <w:szCs w:val="24"/>
        </w:rPr>
        <w:t>20 075 Kč</w:t>
      </w:r>
      <w:r>
        <w:rPr>
          <w:rFonts w:ascii="Times New Roman" w:hAnsi="Times New Roman"/>
          <w:sz w:val="24"/>
          <w:szCs w:val="24"/>
        </w:rPr>
        <w:tab/>
        <w:t>21 488 Kč</w:t>
      </w:r>
      <w:r>
        <w:rPr>
          <w:rFonts w:ascii="Times New Roman" w:hAnsi="Times New Roman"/>
          <w:sz w:val="24"/>
          <w:szCs w:val="24"/>
        </w:rPr>
        <w:tab/>
        <w:t>22 798 Kč</w:t>
      </w:r>
      <w:r>
        <w:rPr>
          <w:rFonts w:ascii="Times New Roman" w:hAnsi="Times New Roman"/>
          <w:sz w:val="24"/>
          <w:szCs w:val="24"/>
        </w:rPr>
        <w:tab/>
        <w:t>24 608 Kč</w:t>
      </w:r>
      <w:r>
        <w:rPr>
          <w:rFonts w:ascii="Times New Roman" w:hAnsi="Times New Roman"/>
          <w:sz w:val="24"/>
          <w:szCs w:val="24"/>
        </w:rPr>
        <w:tab/>
        <w:t>26 163 Kč</w:t>
      </w:r>
    </w:p>
    <w:p w14:paraId="31886B09"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podpora</w:t>
      </w:r>
    </w:p>
    <w:p w14:paraId="597F048C"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v nezaměstnanosti</w:t>
      </w:r>
    </w:p>
    <w:p w14:paraId="78DE454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p>
    <w:p w14:paraId="021392A7"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b/>
          <w:bCs/>
          <w:sz w:val="24"/>
          <w:szCs w:val="24"/>
        </w:rPr>
        <w:t>Maximální</w:t>
      </w:r>
      <w:r>
        <w:rPr>
          <w:rFonts w:ascii="Times New Roman" w:hAnsi="Times New Roman"/>
          <w:b/>
          <w:bCs/>
          <w:sz w:val="24"/>
          <w:szCs w:val="24"/>
        </w:rPr>
        <w:tab/>
      </w:r>
      <w:r>
        <w:rPr>
          <w:rFonts w:ascii="Times New Roman" w:hAnsi="Times New Roman"/>
          <w:sz w:val="24"/>
          <w:szCs w:val="24"/>
        </w:rPr>
        <w:t>22 498 Kč</w:t>
      </w:r>
      <w:r>
        <w:rPr>
          <w:rFonts w:ascii="Times New Roman" w:hAnsi="Times New Roman"/>
          <w:sz w:val="24"/>
          <w:szCs w:val="24"/>
        </w:rPr>
        <w:tab/>
        <w:t>24 081 Kč</w:t>
      </w:r>
      <w:r>
        <w:rPr>
          <w:rFonts w:ascii="Times New Roman" w:hAnsi="Times New Roman"/>
          <w:sz w:val="24"/>
          <w:szCs w:val="24"/>
        </w:rPr>
        <w:tab/>
        <w:t>25 549 Kč</w:t>
      </w:r>
      <w:r>
        <w:rPr>
          <w:rFonts w:ascii="Times New Roman" w:hAnsi="Times New Roman"/>
          <w:sz w:val="24"/>
          <w:szCs w:val="24"/>
        </w:rPr>
        <w:tab/>
        <w:t>27 578 Kč</w:t>
      </w:r>
      <w:r>
        <w:rPr>
          <w:rFonts w:ascii="Times New Roman" w:hAnsi="Times New Roman"/>
          <w:sz w:val="24"/>
          <w:szCs w:val="24"/>
        </w:rPr>
        <w:tab/>
        <w:t>29 320 Kč</w:t>
      </w:r>
    </w:p>
    <w:p w14:paraId="43EDC172"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podpora</w:t>
      </w:r>
    </w:p>
    <w:p w14:paraId="132315C6"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r>
        <w:rPr>
          <w:rFonts w:ascii="Times New Roman" w:hAnsi="Times New Roman"/>
          <w:b/>
          <w:bCs/>
          <w:sz w:val="24"/>
          <w:szCs w:val="24"/>
        </w:rPr>
        <w:t>v rekvalifikaci</w:t>
      </w:r>
    </w:p>
    <w:p w14:paraId="440711DD"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p>
    <w:p w14:paraId="5E452952"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p>
    <w:p w14:paraId="1E4F070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4"/>
          <w:szCs w:val="24"/>
        </w:rPr>
      </w:pPr>
    </w:p>
    <w:p w14:paraId="58CE7CE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Podporu lze počítat i z náhradní doby</w:t>
      </w:r>
    </w:p>
    <w:p w14:paraId="04998096"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0FE69A7D"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sz w:val="24"/>
          <w:szCs w:val="24"/>
        </w:rPr>
        <w:t xml:space="preserve">     </w:t>
      </w:r>
      <w:r>
        <w:rPr>
          <w:rFonts w:ascii="Times New Roman" w:hAnsi="Times New Roman"/>
          <w:sz w:val="28"/>
          <w:szCs w:val="28"/>
        </w:rPr>
        <w:t xml:space="preserve">Může dojít k situaci, kdy zaměstnanec splní podmínku doby účasti na pojištění, ale není schopen doložit svůj předchozí příjem, například z důvodu likvidace nebo bankrotu zaměstnavatele. Podpora se stanoví procentem z průměrné mzdy v národním hospodářství. Obdobné podmínky platí pro uchazeče, kteří splní účast na důchodovém pojištění takzvanou </w:t>
      </w:r>
      <w:r>
        <w:rPr>
          <w:rFonts w:ascii="Times New Roman" w:hAnsi="Times New Roman"/>
          <w:b/>
          <w:bCs/>
          <w:sz w:val="28"/>
          <w:szCs w:val="28"/>
        </w:rPr>
        <w:t xml:space="preserve">náhradní dobou. </w:t>
      </w:r>
      <w:r>
        <w:rPr>
          <w:rFonts w:ascii="Times New Roman" w:hAnsi="Times New Roman"/>
          <w:sz w:val="28"/>
          <w:szCs w:val="28"/>
        </w:rPr>
        <w:t xml:space="preserve">Zde je pro výši podpory rozhodující, </w:t>
      </w:r>
      <w:r>
        <w:rPr>
          <w:rFonts w:ascii="Times New Roman" w:hAnsi="Times New Roman"/>
          <w:b/>
          <w:bCs/>
          <w:sz w:val="28"/>
          <w:szCs w:val="28"/>
        </w:rPr>
        <w:t>zda bylo</w:t>
      </w:r>
      <w:r>
        <w:rPr>
          <w:rFonts w:ascii="Times New Roman" w:hAnsi="Times New Roman"/>
          <w:sz w:val="28"/>
          <w:szCs w:val="28"/>
        </w:rPr>
        <w:t xml:space="preserve"> do období dvanácti měsíců důchodového pojištění během dvou let před registrací do evidence úřadu práce </w:t>
      </w:r>
      <w:r>
        <w:rPr>
          <w:rFonts w:ascii="Times New Roman" w:hAnsi="Times New Roman"/>
          <w:b/>
          <w:bCs/>
          <w:sz w:val="28"/>
          <w:szCs w:val="28"/>
        </w:rPr>
        <w:t xml:space="preserve">potřeba započítat náhradní dobu </w:t>
      </w:r>
      <w:r>
        <w:rPr>
          <w:rFonts w:ascii="Times New Roman" w:hAnsi="Times New Roman"/>
          <w:sz w:val="28"/>
          <w:szCs w:val="28"/>
        </w:rPr>
        <w:t>(např. péče o dítě do 4 let věku, pracovní neschopnost po skončení zaměstnání atd.). Pokud ano, záleží, zda bylo jako poslední:</w:t>
      </w:r>
    </w:p>
    <w:p w14:paraId="1CC17665"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44E7B105" w14:textId="77777777" w:rsidR="009F7385" w:rsidRDefault="009F7385" w:rsidP="009F7385">
      <w:pPr>
        <w:pStyle w:val="Odstavecseseznamem"/>
        <w:numPr>
          <w:ilvl w:val="0"/>
          <w:numId w:val="45"/>
        </w:numPr>
        <w:tabs>
          <w:tab w:val="left" w:pos="1701"/>
          <w:tab w:val="left" w:pos="3119"/>
          <w:tab w:val="left" w:pos="4536"/>
          <w:tab w:val="left" w:pos="5954"/>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zaměstnání, příp. samostatná výdělečná činnost (pro výpočet podpory se použije průměrný čistý měsíční výdělek nebo vyměřovací základ OSVČ) nebo</w:t>
      </w:r>
    </w:p>
    <w:p w14:paraId="077EECBA"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2B4C623B" w14:textId="77777777" w:rsidR="009F7385" w:rsidRDefault="009F7385" w:rsidP="009F7385">
      <w:pPr>
        <w:pStyle w:val="Odstavecseseznamem"/>
        <w:numPr>
          <w:ilvl w:val="0"/>
          <w:numId w:val="45"/>
        </w:numPr>
        <w:tabs>
          <w:tab w:val="left" w:pos="1701"/>
          <w:tab w:val="left" w:pos="3119"/>
          <w:tab w:val="left" w:pos="4536"/>
          <w:tab w:val="left" w:pos="5954"/>
          <w:tab w:val="left" w:pos="737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náhradní doba (pro výpočet se použije průměrná mzda v národním hospodářství).</w:t>
      </w:r>
    </w:p>
    <w:p w14:paraId="2C612FED" w14:textId="77777777" w:rsidR="009F7385" w:rsidRDefault="009F7385" w:rsidP="009F7385">
      <w:pPr>
        <w:pStyle w:val="Odstavecseseznamem"/>
        <w:rPr>
          <w:rFonts w:ascii="Times New Roman" w:hAnsi="Times New Roman"/>
          <w:sz w:val="28"/>
          <w:szCs w:val="28"/>
        </w:rPr>
      </w:pPr>
    </w:p>
    <w:p w14:paraId="27785D4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Podpora z průměrné mzdy v národním hospodářství je aktuálně za:</w:t>
      </w:r>
    </w:p>
    <w:p w14:paraId="4FA05ABE"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55C609F5" w14:textId="77777777" w:rsidR="009F7385" w:rsidRDefault="009F7385" w:rsidP="009F7385">
      <w:pPr>
        <w:pStyle w:val="Odstavecseseznamem"/>
        <w:numPr>
          <w:ilvl w:val="0"/>
          <w:numId w:val="46"/>
        </w:numPr>
        <w:tabs>
          <w:tab w:val="left" w:pos="1701"/>
          <w:tab w:val="left" w:pos="3119"/>
          <w:tab w:val="left" w:pos="4536"/>
          <w:tab w:val="left" w:pos="5954"/>
          <w:tab w:val="left" w:pos="7371"/>
        </w:tabs>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první 2 měsíce ve výši 0,15násobku průměrné mzdy (tj. 6767 Kč),</w:t>
      </w:r>
    </w:p>
    <w:p w14:paraId="2978DB2A" w14:textId="77777777" w:rsidR="009F7385" w:rsidRDefault="009F7385" w:rsidP="009F7385">
      <w:pPr>
        <w:pStyle w:val="Odstavecseseznamem"/>
        <w:numPr>
          <w:ilvl w:val="0"/>
          <w:numId w:val="46"/>
        </w:numPr>
        <w:tabs>
          <w:tab w:val="left" w:pos="1701"/>
          <w:tab w:val="left" w:pos="3119"/>
          <w:tab w:val="left" w:pos="4536"/>
          <w:tab w:val="left" w:pos="5954"/>
          <w:tab w:val="left" w:pos="7371"/>
        </w:tabs>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třetí a čtvrtý měsíc ve výši 0,12násobku průměrné mzdy (tj. 5413 Kč),</w:t>
      </w:r>
    </w:p>
    <w:p w14:paraId="1C7CA7F6" w14:textId="77777777" w:rsidR="009F7385" w:rsidRDefault="009F7385" w:rsidP="009F7385">
      <w:pPr>
        <w:pStyle w:val="Odstavecseseznamem"/>
        <w:numPr>
          <w:ilvl w:val="0"/>
          <w:numId w:val="46"/>
        </w:numPr>
        <w:tabs>
          <w:tab w:val="left" w:pos="1701"/>
          <w:tab w:val="left" w:pos="3119"/>
          <w:tab w:val="left" w:pos="4536"/>
          <w:tab w:val="left" w:pos="5954"/>
          <w:tab w:val="left" w:pos="7371"/>
        </w:tabs>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lastRenderedPageBreak/>
        <w:t>po zbývající podpůrčí dobu 0,11násobku průměrné mzdy (tj. 4962 Kč).</w:t>
      </w:r>
    </w:p>
    <w:p w14:paraId="754449B4" w14:textId="77777777" w:rsidR="009F7385" w:rsidRDefault="009F7385" w:rsidP="009F7385">
      <w:pPr>
        <w:tabs>
          <w:tab w:val="left" w:pos="1701"/>
          <w:tab w:val="left" w:pos="3119"/>
          <w:tab w:val="left" w:pos="4536"/>
          <w:tab w:val="left" w:pos="5954"/>
          <w:tab w:val="left" w:pos="7371"/>
        </w:tabs>
        <w:spacing w:after="0" w:line="360" w:lineRule="auto"/>
        <w:jc w:val="both"/>
        <w:rPr>
          <w:rFonts w:ascii="Times New Roman" w:hAnsi="Times New Roman"/>
          <w:sz w:val="28"/>
          <w:szCs w:val="28"/>
        </w:rPr>
      </w:pPr>
    </w:p>
    <w:p w14:paraId="57CC6737" w14:textId="77777777" w:rsidR="009F7385" w:rsidRDefault="009F7385" w:rsidP="009F7385">
      <w:pPr>
        <w:tabs>
          <w:tab w:val="left" w:pos="1701"/>
          <w:tab w:val="left" w:pos="3119"/>
          <w:tab w:val="left" w:pos="4536"/>
          <w:tab w:val="left" w:pos="5954"/>
          <w:tab w:val="left" w:pos="7371"/>
        </w:tabs>
        <w:spacing w:after="0" w:line="360" w:lineRule="auto"/>
        <w:jc w:val="both"/>
        <w:rPr>
          <w:rFonts w:ascii="Times New Roman" w:hAnsi="Times New Roman"/>
          <w:b/>
          <w:bCs/>
          <w:sz w:val="28"/>
          <w:szCs w:val="28"/>
        </w:rPr>
      </w:pPr>
      <w:r>
        <w:rPr>
          <w:rFonts w:ascii="Times New Roman" w:hAnsi="Times New Roman"/>
          <w:b/>
          <w:bCs/>
          <w:sz w:val="28"/>
          <w:szCs w:val="28"/>
        </w:rPr>
        <w:t>Opakovaně na podpoře a podpůrčí doba</w:t>
      </w:r>
    </w:p>
    <w:p w14:paraId="57A0875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4473FC34"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r>
        <w:rPr>
          <w:rFonts w:ascii="Times New Roman" w:hAnsi="Times New Roman"/>
          <w:sz w:val="28"/>
          <w:szCs w:val="28"/>
        </w:rPr>
        <w:t xml:space="preserve">     Řada uchazečů se na úřad práce vrací opakovaně. V takových případech je rozhodující, jak dlouho byli předtím na podpoře (jaká část z podpůrčí doby je vyčerpaná) a jakou dobu v mezidobí odpracovali. Samozřejmě je nezbytné splnění podmínky dvanáct měsíců výdělečné činnosti, která založí účast na důchodovém pojištění v posledních dvou letech před podáním žádosti o podporu. Podmínku lze splnit i výše uvedenou náhradní dobou.</w:t>
      </w:r>
    </w:p>
    <w:p w14:paraId="309F1F33"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637CA5DE"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3FF41448" w14:textId="77777777" w:rsidR="009F7385" w:rsidRDefault="009F7385" w:rsidP="009F7385">
      <w:pPr>
        <w:pStyle w:val="Odstavecseseznamem"/>
        <w:numPr>
          <w:ilvl w:val="0"/>
          <w:numId w:val="47"/>
        </w:numPr>
        <w:tabs>
          <w:tab w:val="left" w:pos="1701"/>
          <w:tab w:val="left" w:pos="3119"/>
          <w:tab w:val="left" w:pos="4536"/>
          <w:tab w:val="left" w:pos="5954"/>
          <w:tab w:val="left" w:pos="7371"/>
        </w:tabs>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Vyčerpána část podpůrčí doby</w:t>
      </w:r>
    </w:p>
    <w:p w14:paraId="11BAF7C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4CC17805"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sz w:val="28"/>
          <w:szCs w:val="28"/>
        </w:rPr>
        <w:t xml:space="preserve">     Uchazeč o zaměstnání, kterému v posledních 2 letech před zařazením do evidence uchazečů o zaměstnání </w:t>
      </w:r>
      <w:r>
        <w:rPr>
          <w:rFonts w:ascii="Times New Roman" w:hAnsi="Times New Roman"/>
          <w:b/>
          <w:bCs/>
          <w:sz w:val="28"/>
          <w:szCs w:val="28"/>
        </w:rPr>
        <w:t>neuplynula celá podpůrčí doba</w:t>
      </w:r>
      <w:r>
        <w:rPr>
          <w:rFonts w:ascii="Times New Roman" w:hAnsi="Times New Roman"/>
          <w:sz w:val="28"/>
          <w:szCs w:val="28"/>
        </w:rPr>
        <w:t xml:space="preserve"> (nevyčerpal maximum) a po uplynutí části podpůrčí doby získal zaměstnáním nebo jinou výdělečnou činností dobu důchodového pojištění v délce </w:t>
      </w:r>
      <w:r>
        <w:rPr>
          <w:rFonts w:ascii="Times New Roman" w:hAnsi="Times New Roman"/>
          <w:b/>
          <w:bCs/>
          <w:sz w:val="28"/>
          <w:szCs w:val="28"/>
        </w:rPr>
        <w:t xml:space="preserve">alespoň 6 měsíců, </w:t>
      </w:r>
      <w:r>
        <w:rPr>
          <w:rFonts w:ascii="Times New Roman" w:hAnsi="Times New Roman"/>
          <w:sz w:val="28"/>
          <w:szCs w:val="28"/>
        </w:rPr>
        <w:t>má nárok na podporu v nezaměstnanosti po celou podpůrčí dobu (opět až na 5 měsíců, pokud dosáhl ke dni podání žádosti o podporu 50 let věku a méně; na 8 měsíců, pokud mu je více než 50 let, ale ne více než 55 let; na 11 měsíců, pokud je mu více než 55 let). Naopak, pokud pracoval nebo podnikal méně než 6 měsíců, má nárok jen na zbývající nevyčerpanou část podpůrčí doby. Samozřejmě nadále platí podmínka, že nesmí být pracovní poměr ukončen pro porušení povinností zvlášť hrubým způsobem.</w:t>
      </w:r>
    </w:p>
    <w:p w14:paraId="35263E05"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1726165E" w14:textId="77777777" w:rsidR="009F7385" w:rsidRDefault="009F7385" w:rsidP="009F7385">
      <w:pPr>
        <w:pStyle w:val="Odstavecseseznamem"/>
        <w:numPr>
          <w:ilvl w:val="0"/>
          <w:numId w:val="47"/>
        </w:numPr>
        <w:tabs>
          <w:tab w:val="left" w:pos="1701"/>
          <w:tab w:val="left" w:pos="3119"/>
          <w:tab w:val="left" w:pos="4536"/>
          <w:tab w:val="left" w:pos="5954"/>
          <w:tab w:val="left" w:pos="7371"/>
        </w:tabs>
        <w:suppressAutoHyphens/>
        <w:autoSpaceDN w:val="0"/>
        <w:spacing w:after="0" w:line="240" w:lineRule="auto"/>
        <w:contextualSpacing w:val="0"/>
        <w:jc w:val="both"/>
        <w:textAlignment w:val="baseline"/>
        <w:rPr>
          <w:rFonts w:ascii="Times New Roman" w:hAnsi="Times New Roman"/>
          <w:b/>
          <w:bCs/>
          <w:sz w:val="28"/>
          <w:szCs w:val="28"/>
        </w:rPr>
      </w:pPr>
      <w:r>
        <w:rPr>
          <w:rFonts w:ascii="Times New Roman" w:hAnsi="Times New Roman"/>
          <w:b/>
          <w:bCs/>
          <w:sz w:val="28"/>
          <w:szCs w:val="28"/>
        </w:rPr>
        <w:t>Vyčerpána celá podpůrčí doba</w:t>
      </w:r>
    </w:p>
    <w:p w14:paraId="2B34D1BE"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245F2557"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sz w:val="28"/>
          <w:szCs w:val="28"/>
        </w:rPr>
        <w:t xml:space="preserve">     Uchazeč, který </w:t>
      </w:r>
      <w:r>
        <w:rPr>
          <w:rFonts w:ascii="Times New Roman" w:hAnsi="Times New Roman"/>
          <w:b/>
          <w:bCs/>
          <w:sz w:val="28"/>
          <w:szCs w:val="28"/>
        </w:rPr>
        <w:t>vyčerpal celou podpůrčí dobu</w:t>
      </w:r>
      <w:r>
        <w:rPr>
          <w:rFonts w:ascii="Times New Roman" w:hAnsi="Times New Roman"/>
          <w:sz w:val="28"/>
          <w:szCs w:val="28"/>
        </w:rPr>
        <w:t xml:space="preserve"> (pobíral tedy podporu v nezaměstnanosti po maximální dobu 5, 8 nebo 11 měsíců), má nárok na podporu v nezaměstnanosti, pouze pokud znovu získal zaměstnáním nebo jinou výdělečnou činností dobu důchodového pojištění v délce alespoň </w:t>
      </w:r>
      <w:r>
        <w:rPr>
          <w:rFonts w:ascii="Times New Roman" w:hAnsi="Times New Roman"/>
          <w:b/>
          <w:bCs/>
          <w:sz w:val="28"/>
          <w:szCs w:val="28"/>
        </w:rPr>
        <w:t>9 měsíců.</w:t>
      </w:r>
    </w:p>
    <w:p w14:paraId="712840BC"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30486D1A"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658E3B36"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b/>
          <w:bCs/>
          <w:sz w:val="28"/>
          <w:szCs w:val="28"/>
        </w:rPr>
        <w:t>Podpora a možnost přivýdělku</w:t>
      </w:r>
      <w:r>
        <w:rPr>
          <w:rFonts w:ascii="Times New Roman" w:hAnsi="Times New Roman"/>
          <w:sz w:val="28"/>
          <w:szCs w:val="28"/>
        </w:rPr>
        <w:t xml:space="preserve"> </w:t>
      </w:r>
    </w:p>
    <w:p w14:paraId="1C826C5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5284459D"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sz w:val="28"/>
          <w:szCs w:val="28"/>
        </w:rPr>
        <w:t xml:space="preserve">     Uchazeč o zaměstnání si může po dobu vedení v evidenci úřadu práce přivydělat v rámci nekolidujícího zaměstnání, tedy zaměstnání, které nepřesáhne polovinu aktuální minimální mzdy. Částka, kterou si může uchazeč o zaměstnání vydělat, tak činí </w:t>
      </w:r>
      <w:r>
        <w:rPr>
          <w:rFonts w:ascii="Times New Roman" w:hAnsi="Times New Roman"/>
          <w:b/>
          <w:bCs/>
          <w:sz w:val="28"/>
          <w:szCs w:val="28"/>
        </w:rPr>
        <w:t xml:space="preserve">10 400 Kč. </w:t>
      </w:r>
      <w:r>
        <w:rPr>
          <w:rFonts w:ascii="Times New Roman" w:hAnsi="Times New Roman"/>
          <w:sz w:val="28"/>
          <w:szCs w:val="28"/>
        </w:rPr>
        <w:t xml:space="preserve">V případě pobírání podpory se po dobu výkonu práce v takzvaném nekolidujícím zaměstnání výplata podpory zastaví. Tato doba se uchazečům nezapočítává do doby potřebné pro opětovný vznik nároku na podporu </w:t>
      </w:r>
      <w:r>
        <w:rPr>
          <w:rFonts w:ascii="Times New Roman" w:hAnsi="Times New Roman"/>
          <w:sz w:val="28"/>
          <w:szCs w:val="28"/>
        </w:rPr>
        <w:lastRenderedPageBreak/>
        <w:t>v nezaměstnanosti. Není umožněna kombinace nekolidujícího zaměstnání a dohody o provedení práce. Přivydělat si lze pouze v rámci pracovní smlouvy či dohody o pracovní činnosti.</w:t>
      </w:r>
    </w:p>
    <w:p w14:paraId="376F6E5A"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48E9562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Osobní podání žádosti o podporu v nezaměstnanosti</w:t>
      </w:r>
    </w:p>
    <w:p w14:paraId="3A99E4E3"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3CEEBB72" w14:textId="77777777" w:rsidR="009F7385" w:rsidRDefault="009F7385" w:rsidP="009F7385">
      <w:pPr>
        <w:tabs>
          <w:tab w:val="left" w:pos="1701"/>
          <w:tab w:val="left" w:pos="3119"/>
          <w:tab w:val="left" w:pos="4536"/>
          <w:tab w:val="left" w:pos="5954"/>
          <w:tab w:val="left" w:pos="7371"/>
        </w:tabs>
        <w:spacing w:after="0" w:line="240" w:lineRule="auto"/>
        <w:jc w:val="both"/>
      </w:pPr>
      <w:r>
        <w:rPr>
          <w:rFonts w:ascii="Times New Roman" w:hAnsi="Times New Roman"/>
          <w:sz w:val="28"/>
          <w:szCs w:val="28"/>
        </w:rPr>
        <w:t xml:space="preserve">     Při osobním podání </w:t>
      </w:r>
      <w:r>
        <w:rPr>
          <w:rFonts w:ascii="Times New Roman" w:hAnsi="Times New Roman"/>
          <w:b/>
          <w:bCs/>
          <w:sz w:val="28"/>
          <w:szCs w:val="28"/>
        </w:rPr>
        <w:t xml:space="preserve">žádosti o zprostředkování zaměstnání </w:t>
      </w:r>
      <w:r>
        <w:rPr>
          <w:rFonts w:ascii="Times New Roman" w:hAnsi="Times New Roman"/>
          <w:sz w:val="28"/>
          <w:szCs w:val="28"/>
        </w:rPr>
        <w:t>se na Úřadu práce České republiky předkládá:</w:t>
      </w:r>
    </w:p>
    <w:p w14:paraId="2D99DC3B"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02A298C8" w14:textId="77777777" w:rsidR="009F7385" w:rsidRDefault="009F7385" w:rsidP="009F7385">
      <w:pPr>
        <w:pStyle w:val="Odstavecseseznamem"/>
        <w:numPr>
          <w:ilvl w:val="0"/>
          <w:numId w:val="48"/>
        </w:numPr>
        <w:tabs>
          <w:tab w:val="left" w:pos="1551"/>
          <w:tab w:val="left" w:pos="2969"/>
          <w:tab w:val="left" w:pos="4386"/>
          <w:tab w:val="left" w:pos="5804"/>
          <w:tab w:val="left" w:pos="722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doklad k ověření totožnosti, státního občanství a místa trvalého pobytu (občanský průkaz),</w:t>
      </w:r>
    </w:p>
    <w:p w14:paraId="32CBDFDD" w14:textId="77777777" w:rsidR="009F7385" w:rsidRDefault="009F7385" w:rsidP="009F7385">
      <w:pPr>
        <w:tabs>
          <w:tab w:val="left" w:pos="1701"/>
          <w:tab w:val="left" w:pos="3119"/>
          <w:tab w:val="left" w:pos="4536"/>
          <w:tab w:val="left" w:pos="5954"/>
          <w:tab w:val="left" w:pos="7371"/>
        </w:tabs>
        <w:spacing w:after="0" w:line="240" w:lineRule="auto"/>
        <w:ind w:left="435"/>
        <w:jc w:val="both"/>
        <w:rPr>
          <w:rFonts w:ascii="Times New Roman" w:hAnsi="Times New Roman"/>
          <w:sz w:val="28"/>
          <w:szCs w:val="28"/>
        </w:rPr>
      </w:pPr>
    </w:p>
    <w:p w14:paraId="5257E566" w14:textId="77777777" w:rsidR="009F7385" w:rsidRDefault="009F7385" w:rsidP="009F7385">
      <w:pPr>
        <w:pStyle w:val="Odstavecseseznamem"/>
        <w:numPr>
          <w:ilvl w:val="0"/>
          <w:numId w:val="48"/>
        </w:numPr>
        <w:tabs>
          <w:tab w:val="left" w:pos="1551"/>
          <w:tab w:val="left" w:pos="2969"/>
          <w:tab w:val="left" w:pos="4386"/>
          <w:tab w:val="left" w:pos="5804"/>
          <w:tab w:val="left" w:pos="722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doklad o ukončení zaměstnání (zápočtový list), o ukončení samostatné výdělečné činnosti nebo o ukončení soustavné přípravy na budoucí povolání (např. maturitní vysvědčení, diplom atd.),</w:t>
      </w:r>
    </w:p>
    <w:p w14:paraId="110848CF" w14:textId="77777777" w:rsidR="009F7385" w:rsidRDefault="009F7385" w:rsidP="009F7385">
      <w:pPr>
        <w:pStyle w:val="Odstavecseseznamem"/>
        <w:rPr>
          <w:rFonts w:ascii="Times New Roman" w:hAnsi="Times New Roman"/>
          <w:sz w:val="28"/>
          <w:szCs w:val="28"/>
        </w:rPr>
      </w:pPr>
    </w:p>
    <w:p w14:paraId="05DDDD02" w14:textId="77777777" w:rsidR="009F7385" w:rsidRDefault="009F7385" w:rsidP="009F7385">
      <w:pPr>
        <w:pStyle w:val="Odstavecseseznamem"/>
        <w:numPr>
          <w:ilvl w:val="0"/>
          <w:numId w:val="48"/>
        </w:numPr>
        <w:tabs>
          <w:tab w:val="left" w:pos="1551"/>
          <w:tab w:val="left" w:pos="2969"/>
          <w:tab w:val="left" w:pos="4386"/>
          <w:tab w:val="left" w:pos="5804"/>
          <w:tab w:val="left" w:pos="722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u osoby samostatně výdělečně činné potvrzení o vyměřovacím základu,</w:t>
      </w:r>
    </w:p>
    <w:p w14:paraId="2B7444DC" w14:textId="77777777" w:rsidR="009F7385" w:rsidRDefault="009F7385" w:rsidP="009F7385">
      <w:pPr>
        <w:pStyle w:val="Odstavecseseznamem"/>
        <w:rPr>
          <w:rFonts w:ascii="Times New Roman" w:hAnsi="Times New Roman"/>
          <w:sz w:val="28"/>
          <w:szCs w:val="28"/>
        </w:rPr>
      </w:pPr>
    </w:p>
    <w:p w14:paraId="26826911" w14:textId="77777777" w:rsidR="009F7385" w:rsidRDefault="009F7385" w:rsidP="009F7385">
      <w:pPr>
        <w:pStyle w:val="Odstavecseseznamem"/>
        <w:numPr>
          <w:ilvl w:val="0"/>
          <w:numId w:val="48"/>
        </w:numPr>
        <w:tabs>
          <w:tab w:val="left" w:pos="1551"/>
          <w:tab w:val="left" w:pos="2969"/>
          <w:tab w:val="left" w:pos="4386"/>
          <w:tab w:val="left" w:pos="5804"/>
          <w:tab w:val="left" w:pos="722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doklad o zdravotním omezení (lékařský posudek),</w:t>
      </w:r>
    </w:p>
    <w:p w14:paraId="74056D0A" w14:textId="77777777" w:rsidR="009F7385" w:rsidRDefault="009F7385" w:rsidP="009F7385">
      <w:pPr>
        <w:pStyle w:val="Odstavecseseznamem"/>
        <w:rPr>
          <w:rFonts w:ascii="Times New Roman" w:hAnsi="Times New Roman"/>
          <w:sz w:val="28"/>
          <w:szCs w:val="28"/>
        </w:rPr>
      </w:pPr>
    </w:p>
    <w:p w14:paraId="0F351DDC" w14:textId="77777777" w:rsidR="009F7385" w:rsidRDefault="009F7385" w:rsidP="009F7385">
      <w:pPr>
        <w:pStyle w:val="Odstavecseseznamem"/>
        <w:numPr>
          <w:ilvl w:val="0"/>
          <w:numId w:val="48"/>
        </w:numPr>
        <w:tabs>
          <w:tab w:val="left" w:pos="1551"/>
          <w:tab w:val="left" w:pos="2969"/>
          <w:tab w:val="left" w:pos="4386"/>
          <w:tab w:val="left" w:pos="5804"/>
          <w:tab w:val="left" w:pos="7221"/>
        </w:tabs>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pokud uchazeč vykonává pracovní činnost, která nebrání zařazení a vedení v evidenci uchazečů o zaměstnání, tzv. nekolidující zaměstnání, dokládá také výkon této činnosti a výši odměny.</w:t>
      </w:r>
    </w:p>
    <w:p w14:paraId="03C732E7" w14:textId="77777777" w:rsidR="009F7385" w:rsidRDefault="009F7385" w:rsidP="009F7385">
      <w:pPr>
        <w:pStyle w:val="Odstavecseseznamem"/>
        <w:rPr>
          <w:rFonts w:ascii="Times New Roman" w:hAnsi="Times New Roman"/>
          <w:sz w:val="28"/>
          <w:szCs w:val="28"/>
        </w:rPr>
      </w:pPr>
    </w:p>
    <w:p w14:paraId="0BF88151"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r>
        <w:rPr>
          <w:rFonts w:ascii="Times New Roman" w:hAnsi="Times New Roman"/>
          <w:sz w:val="28"/>
          <w:szCs w:val="28"/>
        </w:rPr>
        <w:t xml:space="preserve">     Uchazeči o zaměstnání (propuštění zaměstnanci) již nemusí předkládat potvrzení o výši průměrného výdělku (potvrzení o ukončení zaměstnání, tj. zápočtový list se dokládá nadále). Údaje pro stanovení nároku na podporu si opatří úřad práce sám u ČSSZ. Té je zasílají zaměstnavatelé.</w:t>
      </w:r>
    </w:p>
    <w:p w14:paraId="5785B925"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401CAD8A"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273A4C98"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i/>
          <w:iCs/>
          <w:sz w:val="28"/>
          <w:szCs w:val="28"/>
        </w:rPr>
      </w:pPr>
      <w:r>
        <w:rPr>
          <w:rFonts w:ascii="Times New Roman" w:hAnsi="Times New Roman"/>
          <w:i/>
          <w:iCs/>
          <w:sz w:val="28"/>
          <w:szCs w:val="28"/>
        </w:rPr>
        <w:t xml:space="preserve">     Úřad práce je oprávněn získávat údaje rozhodné pro přiznání a poskytování podpory v nezaměstnanosti z informačních systémů vedených Českou správou sociálního zabezpečení, a to údaj o druhu zaměstnání, době trvání zaměstnání, době důchodového pojištění, výši průměrného nebo pravděpodobného měsíčního čistého výdělku zjištěného podle příslušných právních předpisů a způsobu a důvodu skončení zaměstnání.</w:t>
      </w:r>
    </w:p>
    <w:p w14:paraId="0299254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i/>
          <w:iCs/>
          <w:sz w:val="28"/>
          <w:szCs w:val="28"/>
        </w:rPr>
      </w:pPr>
    </w:p>
    <w:p w14:paraId="4839031E"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i/>
          <w:iCs/>
          <w:sz w:val="28"/>
          <w:szCs w:val="28"/>
        </w:rPr>
      </w:pPr>
    </w:p>
    <w:p w14:paraId="4E39715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r>
        <w:rPr>
          <w:rFonts w:ascii="Times New Roman" w:hAnsi="Times New Roman"/>
          <w:b/>
          <w:bCs/>
          <w:sz w:val="28"/>
          <w:szCs w:val="28"/>
        </w:rPr>
        <w:t>Pozor na evidenci všech DPP</w:t>
      </w:r>
    </w:p>
    <w:p w14:paraId="0CBCEB9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46A7F945"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r>
        <w:rPr>
          <w:rFonts w:ascii="Times New Roman" w:hAnsi="Times New Roman"/>
          <w:sz w:val="28"/>
          <w:szCs w:val="28"/>
        </w:rPr>
        <w:t xml:space="preserve">     Od poloviny roku 2024 oznamují zaměstnavatelé nástup všech zaměstnání na dohody o provedení práce do evidence České správy sociálního zabezpečení, a to i </w:t>
      </w:r>
      <w:r>
        <w:rPr>
          <w:rFonts w:ascii="Times New Roman" w:hAnsi="Times New Roman"/>
          <w:sz w:val="28"/>
          <w:szCs w:val="28"/>
        </w:rPr>
        <w:lastRenderedPageBreak/>
        <w:t>dohod, které účast na nemocenském pojištění nezaloží. Této skutečnosti si musí být zaměstnanci vedení v evidenci uchazečů o zaměstnání při případném sjednání DPP vědomi. Úřad práce nyní lehce zjistí, že byla DPP (byť i v minimální výši) sjednána. Jednalo by se o porušení pravidel, jejichž důsledkem je vrácení neoprávněně vyplacené podpory v nezaměstnanosti uchazečem o zaměstnání.</w:t>
      </w:r>
    </w:p>
    <w:p w14:paraId="3512A2FC"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p>
    <w:p w14:paraId="27036C00"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sz w:val="28"/>
          <w:szCs w:val="28"/>
        </w:rPr>
      </w:pPr>
      <w:r>
        <w:rPr>
          <w:rFonts w:ascii="Times New Roman" w:hAnsi="Times New Roman"/>
          <w:sz w:val="28"/>
          <w:szCs w:val="28"/>
        </w:rPr>
        <w:t>Zdroj: Podnikatel.cz</w:t>
      </w:r>
    </w:p>
    <w:p w14:paraId="4952F64B"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0EBF813A"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63CD49B6"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5591BB6F"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52D075E1" w14:textId="77777777" w:rsidR="009F7385" w:rsidRDefault="009F7385" w:rsidP="009F7385">
      <w:pPr>
        <w:tabs>
          <w:tab w:val="left" w:pos="1701"/>
          <w:tab w:val="left" w:pos="3119"/>
          <w:tab w:val="left" w:pos="4536"/>
          <w:tab w:val="left" w:pos="5954"/>
          <w:tab w:val="left" w:pos="7371"/>
        </w:tabs>
        <w:spacing w:after="0" w:line="240" w:lineRule="auto"/>
        <w:jc w:val="both"/>
        <w:rPr>
          <w:rFonts w:ascii="Times New Roman" w:hAnsi="Times New Roman"/>
          <w:b/>
          <w:bCs/>
          <w:sz w:val="28"/>
          <w:szCs w:val="28"/>
        </w:rPr>
      </w:pPr>
    </w:p>
    <w:p w14:paraId="22470970" w14:textId="77777777" w:rsidR="009F7385" w:rsidRDefault="009F7385" w:rsidP="009F7385">
      <w:pPr>
        <w:spacing w:after="0" w:line="240" w:lineRule="auto"/>
        <w:jc w:val="both"/>
        <w:rPr>
          <w:rFonts w:ascii="Times New Roman" w:hAnsi="Times New Roman"/>
          <w:b/>
          <w:bCs/>
          <w:sz w:val="28"/>
          <w:szCs w:val="28"/>
        </w:rPr>
      </w:pPr>
    </w:p>
    <w:p w14:paraId="1A41D938" w14:textId="77777777" w:rsidR="009F7385" w:rsidRDefault="009F7385" w:rsidP="009F7385">
      <w:pPr>
        <w:spacing w:after="0" w:line="240" w:lineRule="auto"/>
        <w:jc w:val="both"/>
        <w:rPr>
          <w:rFonts w:ascii="Times New Roman" w:hAnsi="Times New Roman"/>
          <w:b/>
          <w:bCs/>
          <w:sz w:val="28"/>
          <w:szCs w:val="28"/>
        </w:rPr>
      </w:pPr>
    </w:p>
    <w:p w14:paraId="6B36F06A" w14:textId="77777777" w:rsidR="009F7385" w:rsidRDefault="009F7385" w:rsidP="009F7385">
      <w:pPr>
        <w:pStyle w:val="Odstavecseseznamem"/>
        <w:numPr>
          <w:ilvl w:val="0"/>
          <w:numId w:val="49"/>
        </w:numPr>
        <w:suppressAutoHyphens/>
        <w:autoSpaceDN w:val="0"/>
        <w:spacing w:after="0" w:line="240" w:lineRule="auto"/>
        <w:contextualSpacing w:val="0"/>
        <w:jc w:val="both"/>
        <w:textAlignment w:val="baseline"/>
        <w:rPr>
          <w:rFonts w:ascii="Times New Roman" w:hAnsi="Times New Roman"/>
          <w:sz w:val="28"/>
          <w:szCs w:val="28"/>
        </w:rPr>
      </w:pPr>
    </w:p>
    <w:p w14:paraId="36276818" w14:textId="77777777" w:rsidR="00651EF6" w:rsidRDefault="00651EF6" w:rsidP="008C306D"/>
    <w:p w14:paraId="58A8AB89" w14:textId="77777777" w:rsidR="009F7385" w:rsidRDefault="009F7385" w:rsidP="008C306D"/>
    <w:p w14:paraId="221B5510" w14:textId="77777777" w:rsidR="009F7385" w:rsidRDefault="009F7385" w:rsidP="008C306D"/>
    <w:p w14:paraId="0EE80A64" w14:textId="77777777" w:rsidR="009F7385" w:rsidRDefault="009F7385" w:rsidP="008C306D"/>
    <w:p w14:paraId="0CFF1865" w14:textId="77777777" w:rsidR="009F7385" w:rsidRDefault="009F7385" w:rsidP="008C306D"/>
    <w:p w14:paraId="07E18EB1" w14:textId="77777777" w:rsidR="009F7385" w:rsidRDefault="009F7385" w:rsidP="008C306D"/>
    <w:p w14:paraId="73D74B10" w14:textId="77777777" w:rsidR="009F7385" w:rsidRDefault="009F7385" w:rsidP="008C306D"/>
    <w:p w14:paraId="14D354F6" w14:textId="77777777" w:rsidR="009F7385" w:rsidRDefault="009F7385" w:rsidP="008C306D"/>
    <w:p w14:paraId="636289EC" w14:textId="77777777" w:rsidR="009F7385" w:rsidRDefault="009F7385" w:rsidP="008C306D"/>
    <w:p w14:paraId="253623D7" w14:textId="77777777" w:rsidR="009F7385" w:rsidRDefault="009F7385" w:rsidP="008C306D"/>
    <w:p w14:paraId="73DF8694" w14:textId="77777777" w:rsidR="009F7385" w:rsidRDefault="009F7385" w:rsidP="008C306D"/>
    <w:p w14:paraId="2A51E80D" w14:textId="77777777" w:rsidR="009F7385" w:rsidRDefault="009F7385" w:rsidP="008C306D"/>
    <w:p w14:paraId="6AD7DBB3" w14:textId="77777777" w:rsidR="009F7385" w:rsidRDefault="009F7385" w:rsidP="008C306D"/>
    <w:p w14:paraId="055736A3" w14:textId="77777777" w:rsidR="009F7385" w:rsidRDefault="009F7385" w:rsidP="008C306D"/>
    <w:p w14:paraId="59F1D001" w14:textId="77777777" w:rsidR="009F7385" w:rsidRDefault="009F7385" w:rsidP="008C306D"/>
    <w:p w14:paraId="3478D2B3" w14:textId="77777777" w:rsidR="009F7385" w:rsidRDefault="009F7385" w:rsidP="008C306D"/>
    <w:p w14:paraId="6D2C552B" w14:textId="77777777" w:rsidR="009F7385" w:rsidRDefault="009F7385" w:rsidP="008C306D"/>
    <w:p w14:paraId="2D64EA83" w14:textId="77777777" w:rsidR="009F7385" w:rsidRDefault="009F7385" w:rsidP="008C306D"/>
    <w:p w14:paraId="7E2A902E" w14:textId="77777777" w:rsidR="009F7385" w:rsidRDefault="009F7385" w:rsidP="008C306D"/>
    <w:p w14:paraId="4FC93484" w14:textId="77777777" w:rsidR="009F7385" w:rsidRDefault="009F7385" w:rsidP="008C306D"/>
    <w:p w14:paraId="4D0F8E79" w14:textId="77777777" w:rsidR="009F7385" w:rsidRDefault="009F7385" w:rsidP="008C306D"/>
    <w:p w14:paraId="0A409925" w14:textId="77777777" w:rsidR="00C7556A" w:rsidRDefault="00C7556A" w:rsidP="00C7556A">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NEJDŮLEŽITĚJŠÍ ÚDAJE PRO SOCIÁLNÍ ZABEZPEČENÍ</w:t>
      </w:r>
    </w:p>
    <w:p w14:paraId="6B3FD2A4" w14:textId="77777777" w:rsidR="00C7556A" w:rsidRDefault="00C7556A" w:rsidP="00C7556A">
      <w:pPr>
        <w:spacing w:after="0" w:line="240" w:lineRule="auto"/>
        <w:jc w:val="center"/>
        <w:rPr>
          <w:rFonts w:ascii="Times New Roman" w:hAnsi="Times New Roman"/>
          <w:b/>
          <w:bCs/>
          <w:sz w:val="28"/>
          <w:szCs w:val="28"/>
        </w:rPr>
      </w:pPr>
      <w:r>
        <w:rPr>
          <w:rFonts w:ascii="Times New Roman" w:hAnsi="Times New Roman"/>
          <w:b/>
          <w:bCs/>
          <w:sz w:val="28"/>
          <w:szCs w:val="28"/>
        </w:rPr>
        <w:t>V ROCE 2025</w:t>
      </w:r>
    </w:p>
    <w:p w14:paraId="0A80D23F" w14:textId="77777777" w:rsidR="00C7556A" w:rsidRDefault="00C7556A" w:rsidP="00C7556A">
      <w:pPr>
        <w:spacing w:after="0" w:line="240" w:lineRule="auto"/>
        <w:jc w:val="center"/>
        <w:rPr>
          <w:rFonts w:ascii="Times New Roman" w:hAnsi="Times New Roman"/>
          <w:b/>
          <w:bCs/>
          <w:sz w:val="28"/>
          <w:szCs w:val="28"/>
        </w:rPr>
      </w:pPr>
    </w:p>
    <w:p w14:paraId="0B0E6753" w14:textId="77777777" w:rsidR="00C7556A" w:rsidRDefault="00C7556A" w:rsidP="00C7556A">
      <w:pPr>
        <w:spacing w:after="0" w:line="240" w:lineRule="auto"/>
        <w:jc w:val="center"/>
        <w:rPr>
          <w:rFonts w:ascii="Times New Roman" w:hAnsi="Times New Roman"/>
          <w:b/>
          <w:bCs/>
          <w:sz w:val="28"/>
          <w:szCs w:val="28"/>
        </w:rPr>
      </w:pPr>
    </w:p>
    <w:p w14:paraId="429E839D" w14:textId="77777777" w:rsidR="00C7556A" w:rsidRDefault="00C7556A" w:rsidP="00C7556A">
      <w:pPr>
        <w:spacing w:after="0" w:line="240" w:lineRule="auto"/>
        <w:jc w:val="both"/>
        <w:rPr>
          <w:rFonts w:ascii="Times New Roman" w:hAnsi="Times New Roman"/>
          <w:b/>
          <w:bCs/>
          <w:sz w:val="28"/>
          <w:szCs w:val="28"/>
        </w:rPr>
      </w:pPr>
      <w:r>
        <w:rPr>
          <w:rFonts w:ascii="Times New Roman" w:hAnsi="Times New Roman"/>
          <w:b/>
          <w:bCs/>
          <w:sz w:val="28"/>
          <w:szCs w:val="28"/>
        </w:rPr>
        <w:t>Česká správa sociálního zabezpečení zveřejnila přehled důležitých parametrů platných pro sociální zabezpečení v roce 2025. Týkají se důchodového i nemocenského pojištění a pojistného na sociální zabezpečení.</w:t>
      </w:r>
    </w:p>
    <w:p w14:paraId="562BFB2C" w14:textId="77777777" w:rsidR="00C7556A" w:rsidRDefault="00C7556A" w:rsidP="00C7556A">
      <w:pPr>
        <w:spacing w:after="0" w:line="240" w:lineRule="auto"/>
        <w:jc w:val="both"/>
        <w:rPr>
          <w:rFonts w:ascii="Times New Roman" w:hAnsi="Times New Roman"/>
          <w:b/>
          <w:bCs/>
          <w:sz w:val="28"/>
          <w:szCs w:val="28"/>
        </w:rPr>
      </w:pPr>
    </w:p>
    <w:p w14:paraId="704F985B" w14:textId="77777777" w:rsidR="00C7556A" w:rsidRDefault="00C7556A" w:rsidP="00C7556A">
      <w:pPr>
        <w:spacing w:after="0" w:line="240" w:lineRule="auto"/>
        <w:jc w:val="both"/>
        <w:rPr>
          <w:rFonts w:ascii="Times New Roman" w:hAnsi="Times New Roman"/>
          <w:b/>
          <w:bCs/>
          <w:sz w:val="28"/>
          <w:szCs w:val="28"/>
        </w:rPr>
      </w:pPr>
      <w:r>
        <w:rPr>
          <w:rFonts w:ascii="Times New Roman" w:hAnsi="Times New Roman"/>
          <w:b/>
          <w:bCs/>
          <w:sz w:val="28"/>
          <w:szCs w:val="28"/>
        </w:rPr>
        <w:t>Sociální pojištění v roce 2025</w:t>
      </w:r>
    </w:p>
    <w:p w14:paraId="3894BEF0" w14:textId="77777777" w:rsidR="00C7556A" w:rsidRDefault="00C7556A" w:rsidP="00C7556A">
      <w:pPr>
        <w:spacing w:after="0" w:line="240" w:lineRule="auto"/>
        <w:jc w:val="both"/>
        <w:rPr>
          <w:rFonts w:ascii="Times New Roman" w:hAnsi="Times New Roman"/>
          <w:b/>
          <w:bCs/>
          <w:sz w:val="28"/>
          <w:szCs w:val="28"/>
        </w:rPr>
      </w:pPr>
    </w:p>
    <w:p w14:paraId="3D6DDBF9" w14:textId="77777777" w:rsidR="00C7556A" w:rsidRDefault="00C7556A" w:rsidP="00C7556A">
      <w:pPr>
        <w:pBdr>
          <w:top w:val="single" w:sz="4" w:space="1" w:color="000000"/>
          <w:left w:val="single" w:sz="4" w:space="4"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Všeobecný vyměřovací základ pro rok 2023</w:t>
      </w:r>
      <w:r>
        <w:rPr>
          <w:rFonts w:ascii="Times New Roman" w:hAnsi="Times New Roman"/>
          <w:sz w:val="24"/>
          <w:szCs w:val="24"/>
        </w:rPr>
        <w:tab/>
        <w:t>43 682 Kč</w:t>
      </w:r>
    </w:p>
    <w:p w14:paraId="3A9CB0AE"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Přepočítávací koeficient v roce 2025</w:t>
      </w:r>
      <w:r>
        <w:rPr>
          <w:rFonts w:ascii="Times New Roman" w:hAnsi="Times New Roman"/>
          <w:sz w:val="24"/>
          <w:szCs w:val="24"/>
        </w:rPr>
        <w:tab/>
        <w:t>1,0658 Kč</w:t>
      </w:r>
    </w:p>
    <w:p w14:paraId="2832D928"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Průměrná mzda (tj. 43 682 Kč x 1,0658</w:t>
      </w:r>
      <w:r>
        <w:rPr>
          <w:rFonts w:ascii="Times New Roman" w:hAnsi="Times New Roman"/>
          <w:sz w:val="24"/>
          <w:szCs w:val="24"/>
        </w:rPr>
        <w:tab/>
        <w:t>46 557 Kč</w:t>
      </w:r>
    </w:p>
    <w:p w14:paraId="41C1941F"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Maximální roční vyměřovací základ pro pojistné</w:t>
      </w:r>
    </w:p>
    <w:p w14:paraId="3A5C32C4"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na sociální zabezpečení (tj. 48 x 46 557 Kč)</w:t>
      </w:r>
      <w:r>
        <w:rPr>
          <w:rFonts w:ascii="Times New Roman" w:hAnsi="Times New Roman"/>
          <w:sz w:val="24"/>
          <w:szCs w:val="24"/>
        </w:rPr>
        <w:tab/>
        <w:t>2 234 736 Kč</w:t>
      </w:r>
    </w:p>
    <w:p w14:paraId="7E146A4F" w14:textId="77777777" w:rsidR="00C7556A" w:rsidRDefault="00C7556A" w:rsidP="00C7556A">
      <w:pPr>
        <w:tabs>
          <w:tab w:val="left" w:pos="5670"/>
        </w:tabs>
        <w:spacing w:after="0" w:line="240" w:lineRule="auto"/>
        <w:jc w:val="both"/>
        <w:rPr>
          <w:rFonts w:ascii="Times New Roman" w:hAnsi="Times New Roman"/>
          <w:sz w:val="24"/>
          <w:szCs w:val="24"/>
        </w:rPr>
      </w:pPr>
    </w:p>
    <w:p w14:paraId="703F421F" w14:textId="77777777" w:rsidR="00C7556A" w:rsidRDefault="00C7556A" w:rsidP="00C7556A">
      <w:pPr>
        <w:tabs>
          <w:tab w:val="left" w:pos="5670"/>
        </w:tabs>
        <w:spacing w:after="0" w:line="240" w:lineRule="auto"/>
        <w:jc w:val="both"/>
        <w:rPr>
          <w:rFonts w:ascii="Times New Roman" w:hAnsi="Times New Roman"/>
          <w:sz w:val="24"/>
          <w:szCs w:val="24"/>
        </w:rPr>
      </w:pPr>
    </w:p>
    <w:p w14:paraId="45D88EFB" w14:textId="77777777" w:rsidR="00C7556A" w:rsidRDefault="00C7556A" w:rsidP="00C7556A">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Účast na nemocenském a důchodovém pojištění</w:t>
      </w:r>
    </w:p>
    <w:p w14:paraId="1FF2066E" w14:textId="77777777" w:rsidR="00C7556A" w:rsidRDefault="00C7556A" w:rsidP="00C7556A">
      <w:pPr>
        <w:tabs>
          <w:tab w:val="left" w:pos="5670"/>
        </w:tabs>
        <w:spacing w:after="0" w:line="240" w:lineRule="auto"/>
        <w:jc w:val="both"/>
        <w:rPr>
          <w:rFonts w:ascii="Times New Roman" w:hAnsi="Times New Roman"/>
          <w:sz w:val="28"/>
          <w:szCs w:val="28"/>
        </w:rPr>
      </w:pPr>
    </w:p>
    <w:p w14:paraId="22ED7C3C" w14:textId="77777777" w:rsidR="00C7556A" w:rsidRDefault="00C7556A" w:rsidP="00C7556A">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Rozhodný příjem podmiňující účast zaměstnanců na nemocenském, a tedy i důchodovém pojištění v roce 2025 činí 4 500 Kč. Účast OSVČ na nemocenském pojištění je dobrovolná.</w:t>
      </w:r>
    </w:p>
    <w:p w14:paraId="0BC3CE36" w14:textId="77777777" w:rsidR="00C7556A" w:rsidRDefault="00C7556A" w:rsidP="00C7556A">
      <w:pPr>
        <w:tabs>
          <w:tab w:val="left" w:pos="5670"/>
        </w:tabs>
        <w:spacing w:after="0" w:line="240" w:lineRule="auto"/>
        <w:jc w:val="both"/>
        <w:rPr>
          <w:rFonts w:ascii="Times New Roman" w:hAnsi="Times New Roman"/>
          <w:sz w:val="28"/>
          <w:szCs w:val="28"/>
        </w:rPr>
      </w:pPr>
    </w:p>
    <w:p w14:paraId="71CA9ADF" w14:textId="77777777" w:rsidR="00C7556A" w:rsidRDefault="00C7556A" w:rsidP="00C7556A">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Rozhodná částka pro povinnou účast na důchodovém pojištění u OSVČ vykonávající vedlejší činnost v roce 2025 činí 111 736 Kč.</w:t>
      </w:r>
    </w:p>
    <w:p w14:paraId="04A45221" w14:textId="77777777" w:rsidR="00C7556A" w:rsidRDefault="00C7556A" w:rsidP="00C7556A">
      <w:pPr>
        <w:tabs>
          <w:tab w:val="left" w:pos="5670"/>
        </w:tabs>
        <w:spacing w:after="0" w:line="240" w:lineRule="auto"/>
        <w:jc w:val="both"/>
        <w:rPr>
          <w:rFonts w:ascii="Times New Roman" w:hAnsi="Times New Roman"/>
          <w:sz w:val="28"/>
          <w:szCs w:val="28"/>
        </w:rPr>
      </w:pPr>
    </w:p>
    <w:p w14:paraId="2EEF6BDE" w14:textId="77777777" w:rsidR="00C7556A" w:rsidRDefault="00C7556A" w:rsidP="00C7556A">
      <w:pPr>
        <w:tabs>
          <w:tab w:val="left" w:pos="5670"/>
        </w:tabs>
        <w:spacing w:after="0" w:line="240" w:lineRule="auto"/>
        <w:jc w:val="both"/>
        <w:rPr>
          <w:rFonts w:ascii="Times New Roman" w:hAnsi="Times New Roman"/>
          <w:b/>
          <w:bCs/>
          <w:sz w:val="28"/>
          <w:szCs w:val="28"/>
        </w:rPr>
      </w:pPr>
      <w:r>
        <w:rPr>
          <w:rFonts w:ascii="Times New Roman" w:hAnsi="Times New Roman"/>
          <w:b/>
          <w:bCs/>
          <w:sz w:val="28"/>
          <w:szCs w:val="28"/>
        </w:rPr>
        <w:t>Dávky nemocenského pojištění</w:t>
      </w:r>
    </w:p>
    <w:p w14:paraId="320A001C" w14:textId="77777777" w:rsidR="00C7556A" w:rsidRDefault="00C7556A" w:rsidP="00C7556A">
      <w:pPr>
        <w:tabs>
          <w:tab w:val="left" w:pos="5670"/>
        </w:tabs>
        <w:spacing w:after="0" w:line="240" w:lineRule="auto"/>
        <w:jc w:val="both"/>
        <w:rPr>
          <w:rFonts w:ascii="Times New Roman" w:hAnsi="Times New Roman"/>
          <w:b/>
          <w:bCs/>
          <w:sz w:val="28"/>
          <w:szCs w:val="28"/>
        </w:rPr>
      </w:pPr>
    </w:p>
    <w:p w14:paraId="44B3118E" w14:textId="77777777" w:rsidR="00C7556A" w:rsidRDefault="00C7556A" w:rsidP="00C7556A">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I letos došlo v oblasti dávek nemocenského pojištění ke zvýšení redukčních hranic pro stanovení denního vyměřovacího základu pro výpočet dávek nemocenského pojištění. Ty jsou pro rok 2025 následující:</w:t>
      </w:r>
    </w:p>
    <w:p w14:paraId="24B55732" w14:textId="77777777" w:rsidR="00C7556A" w:rsidRDefault="00C7556A" w:rsidP="00C7556A">
      <w:pPr>
        <w:tabs>
          <w:tab w:val="left" w:pos="5670"/>
        </w:tabs>
        <w:spacing w:after="0" w:line="240" w:lineRule="auto"/>
        <w:jc w:val="both"/>
        <w:rPr>
          <w:rFonts w:ascii="Times New Roman" w:hAnsi="Times New Roman"/>
          <w:sz w:val="28"/>
          <w:szCs w:val="28"/>
        </w:rPr>
      </w:pPr>
    </w:p>
    <w:p w14:paraId="5BDECE23" w14:textId="77777777" w:rsidR="00C7556A" w:rsidRDefault="00C7556A" w:rsidP="00C7556A">
      <w:pPr>
        <w:pStyle w:val="Odstavecseseznamem"/>
        <w:numPr>
          <w:ilvl w:val="0"/>
          <w:numId w:val="50"/>
        </w:numPr>
        <w:pBdr>
          <w:top w:val="single" w:sz="4" w:space="1" w:color="000000"/>
          <w:left w:val="single" w:sz="4" w:space="4" w:color="000000"/>
          <w:right w:val="single" w:sz="4" w:space="4" w:color="000000"/>
        </w:pBdr>
        <w:tabs>
          <w:tab w:val="left" w:pos="5670"/>
        </w:tabs>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Redukční hranice</w:t>
      </w:r>
      <w:r>
        <w:rPr>
          <w:rFonts w:ascii="Times New Roman" w:hAnsi="Times New Roman"/>
          <w:sz w:val="24"/>
          <w:szCs w:val="24"/>
        </w:rPr>
        <w:tab/>
        <w:t>1 552 Kč</w:t>
      </w:r>
    </w:p>
    <w:p w14:paraId="0D96FEAB" w14:textId="77777777" w:rsidR="00C7556A" w:rsidRDefault="00C7556A" w:rsidP="00C7556A">
      <w:pPr>
        <w:pStyle w:val="Odstavecseseznamem"/>
        <w:numPr>
          <w:ilvl w:val="0"/>
          <w:numId w:val="50"/>
        </w:numPr>
        <w:pBdr>
          <w:left w:val="single" w:sz="4" w:space="4" w:color="000000"/>
          <w:bottom w:val="single" w:sz="4" w:space="1" w:color="000000"/>
          <w:right w:val="single" w:sz="4" w:space="4" w:color="000000"/>
        </w:pBdr>
        <w:tabs>
          <w:tab w:val="left" w:pos="5670"/>
        </w:tabs>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Redukční hranice</w:t>
      </w:r>
      <w:r>
        <w:rPr>
          <w:rFonts w:ascii="Times New Roman" w:hAnsi="Times New Roman"/>
          <w:sz w:val="24"/>
          <w:szCs w:val="24"/>
        </w:rPr>
        <w:tab/>
        <w:t>2 328 Kč</w:t>
      </w:r>
    </w:p>
    <w:p w14:paraId="74B49373" w14:textId="77777777" w:rsidR="00C7556A" w:rsidRDefault="00C7556A" w:rsidP="00C7556A">
      <w:pPr>
        <w:pStyle w:val="Odstavecseseznamem"/>
        <w:numPr>
          <w:ilvl w:val="0"/>
          <w:numId w:val="50"/>
        </w:numPr>
        <w:pBdr>
          <w:left w:val="single" w:sz="4" w:space="4" w:color="000000"/>
          <w:bottom w:val="single" w:sz="4" w:space="1" w:color="000000"/>
          <w:right w:val="single" w:sz="4" w:space="4" w:color="000000"/>
        </w:pBdr>
        <w:tabs>
          <w:tab w:val="left" w:pos="5670"/>
        </w:tabs>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sz w:val="24"/>
          <w:szCs w:val="24"/>
        </w:rPr>
        <w:t>Redukční hranice</w:t>
      </w:r>
      <w:r>
        <w:rPr>
          <w:rFonts w:ascii="Times New Roman" w:hAnsi="Times New Roman"/>
          <w:sz w:val="24"/>
          <w:szCs w:val="24"/>
        </w:rPr>
        <w:tab/>
        <w:t>4 656 Kč</w:t>
      </w:r>
    </w:p>
    <w:p w14:paraId="4E899EDC" w14:textId="77777777" w:rsidR="00C7556A" w:rsidRDefault="00C7556A" w:rsidP="00C7556A">
      <w:pPr>
        <w:tabs>
          <w:tab w:val="left" w:pos="5670"/>
        </w:tabs>
        <w:spacing w:after="0" w:line="240" w:lineRule="auto"/>
        <w:jc w:val="both"/>
        <w:rPr>
          <w:rFonts w:ascii="Times New Roman" w:hAnsi="Times New Roman"/>
          <w:sz w:val="24"/>
          <w:szCs w:val="24"/>
        </w:rPr>
      </w:pPr>
    </w:p>
    <w:p w14:paraId="10A02FF9" w14:textId="77777777" w:rsidR="00C7556A" w:rsidRDefault="00C7556A" w:rsidP="00C7556A">
      <w:pPr>
        <w:tabs>
          <w:tab w:val="left" w:pos="5670"/>
        </w:tabs>
        <w:spacing w:after="0" w:line="240" w:lineRule="auto"/>
        <w:jc w:val="both"/>
        <w:rPr>
          <w:rFonts w:ascii="Times New Roman" w:hAnsi="Times New Roman"/>
          <w:sz w:val="28"/>
          <w:szCs w:val="28"/>
        </w:rPr>
      </w:pPr>
      <w:r>
        <w:rPr>
          <w:rFonts w:ascii="Times New Roman" w:hAnsi="Times New Roman"/>
          <w:sz w:val="28"/>
          <w:szCs w:val="28"/>
        </w:rPr>
        <w:t xml:space="preserve">     Výpočet redukovaného denního vyměřovacího základu pro stanovení výše nemocenského, ošetřovného a dlouhodobého ošetřovaného zůstává beze změny.</w:t>
      </w:r>
    </w:p>
    <w:p w14:paraId="6C5D12F6" w14:textId="77777777" w:rsidR="00C7556A" w:rsidRDefault="00C7556A" w:rsidP="00C7556A">
      <w:pPr>
        <w:tabs>
          <w:tab w:val="left" w:pos="5670"/>
        </w:tabs>
        <w:spacing w:after="0" w:line="240" w:lineRule="auto"/>
        <w:jc w:val="both"/>
        <w:rPr>
          <w:rFonts w:ascii="Times New Roman" w:hAnsi="Times New Roman"/>
          <w:sz w:val="28"/>
          <w:szCs w:val="28"/>
        </w:rPr>
      </w:pPr>
    </w:p>
    <w:p w14:paraId="49AD475A" w14:textId="77777777" w:rsidR="00C7556A" w:rsidRDefault="00C7556A" w:rsidP="00C7556A">
      <w:pPr>
        <w:pBdr>
          <w:top w:val="single" w:sz="4" w:space="1" w:color="000000"/>
          <w:left w:val="single" w:sz="4" w:space="4"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Do 1. redukční hranice</w:t>
      </w:r>
      <w:r>
        <w:rPr>
          <w:rFonts w:ascii="Times New Roman" w:hAnsi="Times New Roman"/>
          <w:sz w:val="24"/>
          <w:szCs w:val="24"/>
        </w:rPr>
        <w:tab/>
        <w:t>90 %</w:t>
      </w:r>
    </w:p>
    <w:p w14:paraId="17971566"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Nad 1. do 2. redukční hranice</w:t>
      </w:r>
      <w:r>
        <w:rPr>
          <w:rFonts w:ascii="Times New Roman" w:hAnsi="Times New Roman"/>
          <w:sz w:val="24"/>
          <w:szCs w:val="24"/>
        </w:rPr>
        <w:tab/>
        <w:t>60 %</w:t>
      </w:r>
    </w:p>
    <w:p w14:paraId="1A1CAB65"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Nad 2. do 3. redukční hranice</w:t>
      </w:r>
      <w:r>
        <w:rPr>
          <w:rFonts w:ascii="Times New Roman" w:hAnsi="Times New Roman"/>
          <w:sz w:val="24"/>
          <w:szCs w:val="24"/>
        </w:rPr>
        <w:tab/>
        <w:t>30 %</w:t>
      </w:r>
    </w:p>
    <w:p w14:paraId="58E80427" w14:textId="77777777" w:rsidR="00C7556A" w:rsidRDefault="00C7556A" w:rsidP="00C7556A">
      <w:pPr>
        <w:pBdr>
          <w:left w:val="single" w:sz="4" w:space="4" w:color="000000"/>
          <w:bottom w:val="single" w:sz="4" w:space="1" w:color="000000"/>
          <w:right w:val="single" w:sz="4" w:space="4" w:color="000000"/>
        </w:pBdr>
        <w:tabs>
          <w:tab w:val="left" w:pos="5670"/>
        </w:tabs>
        <w:spacing w:after="0" w:line="240" w:lineRule="auto"/>
        <w:jc w:val="both"/>
        <w:rPr>
          <w:rFonts w:ascii="Times New Roman" w:hAnsi="Times New Roman"/>
          <w:sz w:val="24"/>
          <w:szCs w:val="24"/>
        </w:rPr>
      </w:pPr>
      <w:r>
        <w:rPr>
          <w:rFonts w:ascii="Times New Roman" w:hAnsi="Times New Roman"/>
          <w:sz w:val="24"/>
          <w:szCs w:val="24"/>
        </w:rPr>
        <w:t>Nad 3. redukční hranici</w:t>
      </w:r>
      <w:r>
        <w:rPr>
          <w:rFonts w:ascii="Times New Roman" w:hAnsi="Times New Roman"/>
          <w:sz w:val="24"/>
          <w:szCs w:val="24"/>
        </w:rPr>
        <w:tab/>
        <w:t>Nepřihlíží se</w:t>
      </w:r>
    </w:p>
    <w:p w14:paraId="57F42A6D" w14:textId="77777777" w:rsidR="00C7556A" w:rsidRDefault="00C7556A" w:rsidP="00C7556A">
      <w:pPr>
        <w:tabs>
          <w:tab w:val="left" w:pos="5670"/>
        </w:tabs>
        <w:spacing w:after="0" w:line="240" w:lineRule="auto"/>
        <w:jc w:val="both"/>
        <w:rPr>
          <w:rFonts w:ascii="Times New Roman" w:hAnsi="Times New Roman"/>
          <w:sz w:val="24"/>
          <w:szCs w:val="24"/>
        </w:rPr>
      </w:pPr>
    </w:p>
    <w:p w14:paraId="4D0C84C5" w14:textId="77777777" w:rsidR="00C7556A" w:rsidRDefault="00C7556A" w:rsidP="00C7556A">
      <w:pPr>
        <w:tabs>
          <w:tab w:val="left" w:pos="5670"/>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Stejně tak se nemění výše nemocenského z redukovaného denního vyměřovacího základu:</w:t>
      </w:r>
    </w:p>
    <w:p w14:paraId="744E45FE" w14:textId="77777777" w:rsidR="00C7556A" w:rsidRDefault="00C7556A" w:rsidP="00C7556A">
      <w:pPr>
        <w:tabs>
          <w:tab w:val="left" w:pos="5670"/>
        </w:tabs>
        <w:spacing w:after="0" w:line="240" w:lineRule="auto"/>
        <w:jc w:val="both"/>
        <w:rPr>
          <w:rFonts w:ascii="Times New Roman" w:hAnsi="Times New Roman"/>
          <w:sz w:val="28"/>
          <w:szCs w:val="28"/>
        </w:rPr>
      </w:pPr>
    </w:p>
    <w:p w14:paraId="79E00599"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Od 15. do 30. dne trvání dočasné pracovní neschopnosti</w:t>
      </w:r>
      <w:r>
        <w:rPr>
          <w:rFonts w:ascii="Times New Roman" w:hAnsi="Times New Roman"/>
          <w:sz w:val="24"/>
          <w:szCs w:val="24"/>
        </w:rPr>
        <w:tab/>
        <w:t>60 %</w:t>
      </w:r>
    </w:p>
    <w:p w14:paraId="2243C72E"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Od 31. do 60. dne trvání dočasné pracovní neschopnosti</w:t>
      </w:r>
      <w:r>
        <w:rPr>
          <w:rFonts w:ascii="Times New Roman" w:hAnsi="Times New Roman"/>
          <w:sz w:val="24"/>
          <w:szCs w:val="24"/>
        </w:rPr>
        <w:tab/>
        <w:t>66 %</w:t>
      </w:r>
    </w:p>
    <w:p w14:paraId="1D3CE849"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Od 61. dne trvání dočasné pracovní neschopnosti</w:t>
      </w:r>
      <w:r>
        <w:rPr>
          <w:rFonts w:ascii="Times New Roman" w:hAnsi="Times New Roman"/>
          <w:sz w:val="24"/>
          <w:szCs w:val="24"/>
        </w:rPr>
        <w:tab/>
        <w:t>72 %</w:t>
      </w:r>
    </w:p>
    <w:p w14:paraId="44A7F151" w14:textId="77777777" w:rsidR="00C7556A" w:rsidRDefault="00C7556A" w:rsidP="00C7556A">
      <w:pPr>
        <w:tabs>
          <w:tab w:val="left" w:pos="6237"/>
        </w:tabs>
        <w:spacing w:after="0" w:line="240" w:lineRule="auto"/>
        <w:jc w:val="both"/>
        <w:rPr>
          <w:rFonts w:ascii="Times New Roman" w:hAnsi="Times New Roman"/>
          <w:sz w:val="24"/>
          <w:szCs w:val="24"/>
        </w:rPr>
      </w:pPr>
    </w:p>
    <w:p w14:paraId="79E17E20" w14:textId="77777777" w:rsidR="00C7556A" w:rsidRDefault="00C7556A" w:rsidP="00C7556A">
      <w:pPr>
        <w:tabs>
          <w:tab w:val="left" w:pos="6237"/>
        </w:tabs>
        <w:spacing w:after="0" w:line="240" w:lineRule="auto"/>
        <w:jc w:val="both"/>
        <w:rPr>
          <w:rFonts w:ascii="Times New Roman" w:hAnsi="Times New Roman"/>
          <w:sz w:val="24"/>
          <w:szCs w:val="24"/>
        </w:rPr>
      </w:pPr>
    </w:p>
    <w:p w14:paraId="5AB07953"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Výše ošetřovného a dlouhodobého ošetřovného z redukovaného denního vyměřovacího základu pro rok 2025 činí:</w:t>
      </w:r>
    </w:p>
    <w:p w14:paraId="3F2B4DFA" w14:textId="77777777" w:rsidR="00C7556A" w:rsidRDefault="00C7556A" w:rsidP="00C7556A">
      <w:pPr>
        <w:tabs>
          <w:tab w:val="left" w:pos="6237"/>
        </w:tabs>
        <w:spacing w:after="0" w:line="240" w:lineRule="auto"/>
        <w:jc w:val="both"/>
        <w:rPr>
          <w:rFonts w:ascii="Times New Roman" w:hAnsi="Times New Roman"/>
          <w:sz w:val="28"/>
          <w:szCs w:val="28"/>
        </w:rPr>
      </w:pPr>
    </w:p>
    <w:p w14:paraId="7B5B4E14"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Výše dlouhodobého ošetřovného</w:t>
      </w:r>
      <w:r>
        <w:rPr>
          <w:rFonts w:ascii="Times New Roman" w:hAnsi="Times New Roman"/>
          <w:sz w:val="24"/>
          <w:szCs w:val="24"/>
        </w:rPr>
        <w:tab/>
        <w:t>60 %</w:t>
      </w:r>
    </w:p>
    <w:p w14:paraId="78CF426F"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Výše ošetřovného</w:t>
      </w:r>
      <w:r>
        <w:rPr>
          <w:rFonts w:ascii="Times New Roman" w:hAnsi="Times New Roman"/>
          <w:sz w:val="24"/>
          <w:szCs w:val="24"/>
        </w:rPr>
        <w:tab/>
        <w:t>60 %</w:t>
      </w:r>
    </w:p>
    <w:p w14:paraId="42348F31" w14:textId="77777777" w:rsidR="00C7556A" w:rsidRDefault="00C7556A" w:rsidP="00C7556A">
      <w:pPr>
        <w:tabs>
          <w:tab w:val="left" w:pos="6237"/>
        </w:tabs>
        <w:spacing w:after="0" w:line="240" w:lineRule="auto"/>
        <w:jc w:val="both"/>
        <w:rPr>
          <w:rFonts w:ascii="Times New Roman" w:hAnsi="Times New Roman"/>
          <w:sz w:val="24"/>
          <w:szCs w:val="24"/>
        </w:rPr>
      </w:pPr>
    </w:p>
    <w:p w14:paraId="75660FCF" w14:textId="77777777" w:rsidR="00C7556A" w:rsidRDefault="00C7556A" w:rsidP="00C7556A">
      <w:pPr>
        <w:tabs>
          <w:tab w:val="left" w:pos="6237"/>
        </w:tabs>
        <w:spacing w:after="0" w:line="240" w:lineRule="auto"/>
        <w:jc w:val="both"/>
        <w:rPr>
          <w:rFonts w:ascii="Times New Roman" w:hAnsi="Times New Roman"/>
          <w:sz w:val="24"/>
          <w:szCs w:val="24"/>
        </w:rPr>
      </w:pPr>
    </w:p>
    <w:p w14:paraId="67795D33"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Výpočet redukovaného denního vyměřovacího základu pro stanovení výše peněžité pomoci v mateřství, otcovské a vyrovnávacího příspěvku v těhotenství a mateřství:</w:t>
      </w:r>
    </w:p>
    <w:p w14:paraId="35F96809" w14:textId="77777777" w:rsidR="00C7556A" w:rsidRDefault="00C7556A" w:rsidP="00C7556A">
      <w:pPr>
        <w:tabs>
          <w:tab w:val="left" w:pos="6237"/>
        </w:tabs>
        <w:spacing w:after="0" w:line="240" w:lineRule="auto"/>
        <w:jc w:val="both"/>
        <w:rPr>
          <w:rFonts w:ascii="Times New Roman" w:hAnsi="Times New Roman"/>
          <w:sz w:val="28"/>
          <w:szCs w:val="28"/>
        </w:rPr>
      </w:pPr>
    </w:p>
    <w:p w14:paraId="3C18FA6F"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Do 1. redukční hranice</w:t>
      </w:r>
      <w:r>
        <w:rPr>
          <w:rFonts w:ascii="Times New Roman" w:hAnsi="Times New Roman"/>
          <w:sz w:val="24"/>
          <w:szCs w:val="24"/>
        </w:rPr>
        <w:tab/>
        <w:t>100 %</w:t>
      </w:r>
    </w:p>
    <w:p w14:paraId="254C5402"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Nad 1. do 2. redukční hranice</w:t>
      </w:r>
      <w:r>
        <w:rPr>
          <w:rFonts w:ascii="Times New Roman" w:hAnsi="Times New Roman"/>
          <w:sz w:val="24"/>
          <w:szCs w:val="24"/>
        </w:rPr>
        <w:tab/>
        <w:t>60 %</w:t>
      </w:r>
    </w:p>
    <w:p w14:paraId="7C3FA8D7"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Nad 2. do 3. redukční hranice</w:t>
      </w:r>
      <w:r>
        <w:rPr>
          <w:rFonts w:ascii="Times New Roman" w:hAnsi="Times New Roman"/>
          <w:sz w:val="24"/>
          <w:szCs w:val="24"/>
        </w:rPr>
        <w:tab/>
        <w:t>30 %</w:t>
      </w:r>
    </w:p>
    <w:p w14:paraId="313D3153"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Nad 3. redukční hranici</w:t>
      </w:r>
      <w:r>
        <w:rPr>
          <w:rFonts w:ascii="Times New Roman" w:hAnsi="Times New Roman"/>
          <w:sz w:val="24"/>
          <w:szCs w:val="24"/>
        </w:rPr>
        <w:tab/>
        <w:t>nepřihlíží se</w:t>
      </w:r>
    </w:p>
    <w:p w14:paraId="139A0250" w14:textId="77777777" w:rsidR="00C7556A" w:rsidRDefault="00C7556A" w:rsidP="00C7556A">
      <w:pPr>
        <w:tabs>
          <w:tab w:val="left" w:pos="6237"/>
        </w:tabs>
        <w:spacing w:after="0" w:line="240" w:lineRule="auto"/>
        <w:jc w:val="both"/>
        <w:rPr>
          <w:rFonts w:ascii="Times New Roman" w:hAnsi="Times New Roman"/>
          <w:sz w:val="24"/>
          <w:szCs w:val="24"/>
        </w:rPr>
      </w:pPr>
    </w:p>
    <w:p w14:paraId="165783A4" w14:textId="77777777" w:rsidR="00C7556A" w:rsidRDefault="00C7556A" w:rsidP="00C7556A">
      <w:pPr>
        <w:tabs>
          <w:tab w:val="left" w:pos="6237"/>
        </w:tabs>
        <w:spacing w:after="0" w:line="240" w:lineRule="auto"/>
        <w:jc w:val="both"/>
        <w:rPr>
          <w:rFonts w:ascii="Times New Roman" w:hAnsi="Times New Roman"/>
          <w:sz w:val="24"/>
          <w:szCs w:val="24"/>
        </w:rPr>
      </w:pPr>
    </w:p>
    <w:p w14:paraId="3661F67B" w14:textId="77777777" w:rsidR="00C7556A" w:rsidRDefault="00C7556A" w:rsidP="00C7556A">
      <w:pPr>
        <w:tabs>
          <w:tab w:val="left" w:pos="6237"/>
        </w:tabs>
        <w:spacing w:after="0" w:line="240" w:lineRule="auto"/>
        <w:jc w:val="both"/>
      </w:pPr>
      <w:r>
        <w:rPr>
          <w:rFonts w:ascii="Times New Roman" w:hAnsi="Times New Roman"/>
          <w:sz w:val="24"/>
          <w:szCs w:val="24"/>
        </w:rPr>
        <w:t xml:space="preserve">     </w:t>
      </w:r>
      <w:r>
        <w:rPr>
          <w:rFonts w:ascii="Times New Roman" w:hAnsi="Times New Roman"/>
          <w:sz w:val="28"/>
          <w:szCs w:val="28"/>
        </w:rPr>
        <w:t>Procentuální výše dávek z redukovaného denního vyměřovacího základu:</w:t>
      </w:r>
    </w:p>
    <w:p w14:paraId="6739A698" w14:textId="77777777" w:rsidR="00C7556A" w:rsidRDefault="00C7556A" w:rsidP="00C7556A">
      <w:pPr>
        <w:tabs>
          <w:tab w:val="left" w:pos="6237"/>
        </w:tabs>
        <w:spacing w:after="0" w:line="240" w:lineRule="auto"/>
        <w:jc w:val="both"/>
        <w:rPr>
          <w:rFonts w:ascii="Times New Roman" w:hAnsi="Times New Roman"/>
          <w:sz w:val="28"/>
          <w:szCs w:val="28"/>
        </w:rPr>
      </w:pPr>
    </w:p>
    <w:p w14:paraId="29B91439"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Výše peněžité pomoci v mateřství (PPM) z redukovaného</w:t>
      </w:r>
    </w:p>
    <w:p w14:paraId="3C49A3FA"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denního vyměřovacího základu</w:t>
      </w:r>
      <w:r>
        <w:rPr>
          <w:rFonts w:ascii="Times New Roman" w:hAnsi="Times New Roman"/>
          <w:sz w:val="24"/>
          <w:szCs w:val="24"/>
        </w:rPr>
        <w:tab/>
        <w:t>70 %</w:t>
      </w:r>
    </w:p>
    <w:p w14:paraId="70247C6B"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Výše otcovské z redukovaného denního vyměřovacího</w:t>
      </w:r>
    </w:p>
    <w:p w14:paraId="42C60377"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základu</w:t>
      </w:r>
      <w:r>
        <w:rPr>
          <w:rFonts w:ascii="Times New Roman" w:hAnsi="Times New Roman"/>
          <w:sz w:val="24"/>
          <w:szCs w:val="24"/>
        </w:rPr>
        <w:tab/>
        <w:t>70 %</w:t>
      </w:r>
    </w:p>
    <w:p w14:paraId="417FC9F7" w14:textId="77777777" w:rsidR="00C7556A" w:rsidRDefault="00C7556A" w:rsidP="00C7556A">
      <w:pPr>
        <w:tabs>
          <w:tab w:val="left" w:pos="6237"/>
        </w:tabs>
        <w:spacing w:after="0" w:line="240" w:lineRule="auto"/>
        <w:jc w:val="both"/>
        <w:rPr>
          <w:rFonts w:ascii="Times New Roman" w:hAnsi="Times New Roman"/>
          <w:sz w:val="24"/>
          <w:szCs w:val="24"/>
        </w:rPr>
      </w:pPr>
    </w:p>
    <w:p w14:paraId="5E73EB7C" w14:textId="77777777" w:rsidR="00C7556A" w:rsidRDefault="00C7556A" w:rsidP="00C7556A">
      <w:pPr>
        <w:tabs>
          <w:tab w:val="left" w:pos="6237"/>
        </w:tabs>
        <w:spacing w:after="0" w:line="240" w:lineRule="auto"/>
        <w:jc w:val="both"/>
        <w:rPr>
          <w:rFonts w:ascii="Times New Roman" w:hAnsi="Times New Roman"/>
          <w:sz w:val="24"/>
          <w:szCs w:val="24"/>
        </w:rPr>
      </w:pPr>
    </w:p>
    <w:p w14:paraId="201DDD53"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Výše vyrovnávacího příspěvku v těhotenství a mateřství je rozdílem mezi redukovaným denním vyměřovacím základem pro účely zákona o nemocenském pojištění zjištěným ke dni převedení a průměrem započitatelných příjmů připadajících na jeden kalendářní den po převedení.</w:t>
      </w:r>
    </w:p>
    <w:p w14:paraId="34C0747F" w14:textId="77777777" w:rsidR="00C7556A" w:rsidRDefault="00C7556A" w:rsidP="00C7556A">
      <w:pPr>
        <w:tabs>
          <w:tab w:val="left" w:pos="6237"/>
        </w:tabs>
        <w:spacing w:after="0" w:line="240" w:lineRule="auto"/>
        <w:jc w:val="both"/>
        <w:rPr>
          <w:rFonts w:ascii="Times New Roman" w:hAnsi="Times New Roman"/>
          <w:sz w:val="28"/>
          <w:szCs w:val="28"/>
        </w:rPr>
      </w:pPr>
    </w:p>
    <w:p w14:paraId="56420094"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Na webových stránkách Ministerstva práce a sociálních věcí naleznete kalkulačku pro orientační výpočet dávek nemocenského pojištění.</w:t>
      </w:r>
    </w:p>
    <w:p w14:paraId="3D1D22CE" w14:textId="77777777" w:rsidR="00C7556A" w:rsidRDefault="00C7556A" w:rsidP="00C7556A">
      <w:pPr>
        <w:tabs>
          <w:tab w:val="left" w:pos="6237"/>
        </w:tabs>
        <w:spacing w:after="0" w:line="240" w:lineRule="auto"/>
        <w:jc w:val="both"/>
        <w:rPr>
          <w:rFonts w:ascii="Times New Roman" w:hAnsi="Times New Roman"/>
          <w:sz w:val="28"/>
          <w:szCs w:val="28"/>
        </w:rPr>
      </w:pPr>
    </w:p>
    <w:p w14:paraId="21CD080A" w14:textId="77777777" w:rsidR="00C7556A" w:rsidRDefault="00C7556A" w:rsidP="00C7556A">
      <w:pPr>
        <w:tabs>
          <w:tab w:val="left" w:pos="6237"/>
        </w:tabs>
        <w:spacing w:after="0" w:line="240" w:lineRule="auto"/>
        <w:jc w:val="both"/>
        <w:rPr>
          <w:rFonts w:ascii="Times New Roman" w:hAnsi="Times New Roman"/>
          <w:sz w:val="28"/>
          <w:szCs w:val="28"/>
        </w:rPr>
      </w:pPr>
    </w:p>
    <w:p w14:paraId="51BA1AE2" w14:textId="77777777" w:rsidR="00C7556A" w:rsidRDefault="00C7556A" w:rsidP="00C7556A">
      <w:pPr>
        <w:tabs>
          <w:tab w:val="left" w:pos="6237"/>
        </w:tabs>
        <w:spacing w:after="0" w:line="240" w:lineRule="auto"/>
        <w:jc w:val="both"/>
        <w:rPr>
          <w:rFonts w:ascii="Times New Roman" w:hAnsi="Times New Roman"/>
          <w:sz w:val="28"/>
          <w:szCs w:val="28"/>
        </w:rPr>
      </w:pPr>
    </w:p>
    <w:p w14:paraId="6BA6333B" w14:textId="5E6294D5" w:rsidR="00C7556A" w:rsidRDefault="00C7556A" w:rsidP="00C7556A">
      <w:pPr>
        <w:tabs>
          <w:tab w:val="left" w:pos="6237"/>
        </w:tabs>
        <w:spacing w:after="0" w:line="240" w:lineRule="auto"/>
        <w:jc w:val="both"/>
        <w:rPr>
          <w:rFonts w:ascii="Times New Roman" w:hAnsi="Times New Roman"/>
          <w:sz w:val="28"/>
          <w:szCs w:val="28"/>
        </w:rPr>
      </w:pPr>
    </w:p>
    <w:p w14:paraId="3034385A" w14:textId="77777777" w:rsidR="000113C3" w:rsidRDefault="000113C3" w:rsidP="00C7556A">
      <w:pPr>
        <w:tabs>
          <w:tab w:val="left" w:pos="6237"/>
        </w:tabs>
        <w:spacing w:after="0" w:line="240" w:lineRule="auto"/>
        <w:jc w:val="both"/>
        <w:rPr>
          <w:rFonts w:ascii="Times New Roman" w:hAnsi="Times New Roman"/>
          <w:sz w:val="28"/>
          <w:szCs w:val="28"/>
        </w:rPr>
      </w:pPr>
    </w:p>
    <w:p w14:paraId="6208442F" w14:textId="77777777" w:rsidR="00C7556A" w:rsidRDefault="00C7556A" w:rsidP="00C7556A">
      <w:pPr>
        <w:tabs>
          <w:tab w:val="left" w:pos="6237"/>
        </w:tabs>
        <w:spacing w:after="0" w:line="240" w:lineRule="auto"/>
        <w:jc w:val="both"/>
        <w:rPr>
          <w:rFonts w:ascii="Times New Roman" w:hAnsi="Times New Roman"/>
          <w:sz w:val="28"/>
          <w:szCs w:val="28"/>
        </w:rPr>
      </w:pPr>
    </w:p>
    <w:p w14:paraId="722CB2B0" w14:textId="77777777" w:rsidR="00C7556A" w:rsidRDefault="00C7556A" w:rsidP="00C7556A">
      <w:pPr>
        <w:tabs>
          <w:tab w:val="left" w:pos="6237"/>
        </w:tabs>
        <w:spacing w:after="0" w:line="240" w:lineRule="auto"/>
        <w:jc w:val="both"/>
        <w:rPr>
          <w:rFonts w:ascii="Times New Roman" w:hAnsi="Times New Roman"/>
          <w:b/>
          <w:bCs/>
          <w:sz w:val="28"/>
          <w:szCs w:val="28"/>
        </w:rPr>
      </w:pPr>
      <w:r>
        <w:rPr>
          <w:rFonts w:ascii="Times New Roman" w:hAnsi="Times New Roman"/>
          <w:b/>
          <w:bCs/>
          <w:sz w:val="28"/>
          <w:szCs w:val="28"/>
        </w:rPr>
        <w:lastRenderedPageBreak/>
        <w:t>DŮCHODY</w:t>
      </w:r>
    </w:p>
    <w:p w14:paraId="37CFEE31" w14:textId="77777777" w:rsidR="00C7556A" w:rsidRDefault="00C7556A" w:rsidP="00C7556A">
      <w:pPr>
        <w:tabs>
          <w:tab w:val="left" w:pos="6237"/>
        </w:tabs>
        <w:spacing w:after="0" w:line="240" w:lineRule="auto"/>
        <w:jc w:val="both"/>
        <w:rPr>
          <w:rFonts w:ascii="Times New Roman" w:hAnsi="Times New Roman"/>
          <w:b/>
          <w:bCs/>
          <w:sz w:val="28"/>
          <w:szCs w:val="28"/>
        </w:rPr>
      </w:pPr>
    </w:p>
    <w:p w14:paraId="3EF1A924"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Každý důchod se skládá ze základní a procentní výměry. Základní výměra důchodu je pevně stanovená část důchodu stejná pro všechny důchodce. Její výše je určena zákonem na 10 % průměrné mzdy. Procentní výměra důchodu je individuální, závisí na konkrétním průběhu pojištění a platí, že čím jsou vyšší příjmy dosažené v rozhodném období a delší získaná doba pojištění, tím vyšší je procentní výměra důchodu. Minimální zákonem zaručená výše procentní výměry důchodu činí 770 Kč měsíčně.</w:t>
      </w:r>
    </w:p>
    <w:p w14:paraId="57F28DAA" w14:textId="77777777" w:rsidR="00C7556A" w:rsidRDefault="00C7556A" w:rsidP="00C7556A">
      <w:pPr>
        <w:tabs>
          <w:tab w:val="left" w:pos="6237"/>
        </w:tabs>
        <w:spacing w:after="0" w:line="240" w:lineRule="auto"/>
        <w:jc w:val="both"/>
        <w:rPr>
          <w:rFonts w:ascii="Times New Roman" w:hAnsi="Times New Roman"/>
          <w:sz w:val="28"/>
          <w:szCs w:val="28"/>
        </w:rPr>
      </w:pPr>
    </w:p>
    <w:p w14:paraId="0F318675"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Při pravidelné valorizaci, která je každý rok v lednu, dochází od 1. 1. daného kalendářního roku k navýšení nejen základní výměry důchodu, ale v roce 2025 dojde i ke zvýšení procentní výměry o 0,6 %.</w:t>
      </w:r>
    </w:p>
    <w:p w14:paraId="79FFE5DB" w14:textId="77777777" w:rsidR="00C7556A" w:rsidRDefault="00C7556A" w:rsidP="00C7556A">
      <w:pPr>
        <w:tabs>
          <w:tab w:val="left" w:pos="6237"/>
        </w:tabs>
        <w:spacing w:after="0" w:line="240" w:lineRule="auto"/>
        <w:jc w:val="both"/>
        <w:rPr>
          <w:rFonts w:ascii="Times New Roman" w:hAnsi="Times New Roman"/>
          <w:sz w:val="28"/>
          <w:szCs w:val="28"/>
        </w:rPr>
      </w:pPr>
    </w:p>
    <w:p w14:paraId="6921FAF7" w14:textId="77777777" w:rsidR="00C7556A" w:rsidRDefault="00C7556A" w:rsidP="00C7556A">
      <w:pPr>
        <w:tabs>
          <w:tab w:val="left" w:pos="6237"/>
        </w:tabs>
        <w:spacing w:after="0" w:line="240" w:lineRule="auto"/>
        <w:jc w:val="both"/>
        <w:rPr>
          <w:rFonts w:ascii="Times New Roman" w:hAnsi="Times New Roman"/>
          <w:b/>
          <w:bCs/>
          <w:sz w:val="28"/>
          <w:szCs w:val="28"/>
        </w:rPr>
      </w:pPr>
      <w:r>
        <w:rPr>
          <w:rFonts w:ascii="Times New Roman" w:hAnsi="Times New Roman"/>
          <w:b/>
          <w:bCs/>
          <w:sz w:val="28"/>
          <w:szCs w:val="28"/>
        </w:rPr>
        <w:t>Základní údaje:</w:t>
      </w:r>
      <w:r>
        <w:rPr>
          <w:rFonts w:ascii="Times New Roman" w:hAnsi="Times New Roman"/>
          <w:b/>
          <w:bCs/>
          <w:sz w:val="28"/>
          <w:szCs w:val="28"/>
        </w:rPr>
        <w:tab/>
      </w:r>
    </w:p>
    <w:p w14:paraId="57A5D209" w14:textId="77777777" w:rsidR="00C7556A" w:rsidRDefault="00C7556A" w:rsidP="00C7556A">
      <w:pPr>
        <w:tabs>
          <w:tab w:val="left" w:pos="6237"/>
        </w:tabs>
        <w:spacing w:after="0" w:line="240" w:lineRule="auto"/>
        <w:jc w:val="both"/>
        <w:rPr>
          <w:rFonts w:ascii="Times New Roman" w:hAnsi="Times New Roman"/>
          <w:b/>
          <w:bCs/>
          <w:sz w:val="28"/>
          <w:szCs w:val="28"/>
        </w:rPr>
      </w:pPr>
    </w:p>
    <w:p w14:paraId="0F778A39"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Základní výměra důchodu přiznaného od 1. 1. 2025</w:t>
      </w:r>
      <w:r>
        <w:rPr>
          <w:rFonts w:ascii="Times New Roman" w:hAnsi="Times New Roman"/>
          <w:sz w:val="24"/>
          <w:szCs w:val="24"/>
        </w:rPr>
        <w:tab/>
        <w:t>4 660 Kč</w:t>
      </w:r>
    </w:p>
    <w:p w14:paraId="77FE7635"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Potřebná doba důchodového pojištění pro nárok na</w:t>
      </w:r>
    </w:p>
    <w:p w14:paraId="7809D6B9"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starobní důchod (v roce 2025)</w:t>
      </w:r>
      <w:r>
        <w:rPr>
          <w:rFonts w:ascii="Times New Roman" w:hAnsi="Times New Roman"/>
          <w:sz w:val="24"/>
          <w:szCs w:val="24"/>
        </w:rPr>
        <w:tab/>
        <w:t>35 let</w:t>
      </w:r>
    </w:p>
    <w:p w14:paraId="2C7F60A2" w14:textId="77777777" w:rsidR="00C7556A" w:rsidRDefault="00C7556A" w:rsidP="00C7556A">
      <w:pPr>
        <w:tabs>
          <w:tab w:val="left" w:pos="6237"/>
        </w:tabs>
        <w:spacing w:after="0" w:line="240" w:lineRule="auto"/>
        <w:jc w:val="both"/>
        <w:rPr>
          <w:rFonts w:ascii="Times New Roman" w:hAnsi="Times New Roman"/>
          <w:sz w:val="24"/>
          <w:szCs w:val="24"/>
        </w:rPr>
      </w:pPr>
    </w:p>
    <w:p w14:paraId="2DAAF035" w14:textId="77777777" w:rsidR="00C7556A" w:rsidRDefault="00C7556A" w:rsidP="00C7556A">
      <w:pPr>
        <w:tabs>
          <w:tab w:val="left" w:pos="6237"/>
        </w:tabs>
        <w:spacing w:after="0" w:line="240" w:lineRule="auto"/>
        <w:jc w:val="both"/>
        <w:rPr>
          <w:rFonts w:ascii="Times New Roman" w:hAnsi="Times New Roman"/>
          <w:sz w:val="24"/>
          <w:szCs w:val="24"/>
        </w:rPr>
      </w:pPr>
    </w:p>
    <w:p w14:paraId="11CDF46D"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Potřebná doba důchodového pojištění pro nárok na předčasný starobní důchod (v roce 2025) je 40 let.</w:t>
      </w:r>
    </w:p>
    <w:p w14:paraId="2526C4E7" w14:textId="77777777" w:rsidR="00C7556A" w:rsidRDefault="00C7556A" w:rsidP="00C7556A">
      <w:pPr>
        <w:tabs>
          <w:tab w:val="left" w:pos="6237"/>
        </w:tabs>
        <w:spacing w:after="0" w:line="240" w:lineRule="auto"/>
        <w:jc w:val="both"/>
        <w:rPr>
          <w:rFonts w:ascii="Times New Roman" w:hAnsi="Times New Roman"/>
          <w:sz w:val="28"/>
          <w:szCs w:val="28"/>
        </w:rPr>
      </w:pPr>
    </w:p>
    <w:p w14:paraId="5B5C9A72"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Od ledna 2023 bylo zavedeno tzv. výchovné. Jedná se o zvýšení starobního důchodu za výchovu dětí. Konkrétně dochází ke zvýšení procentní výměry starobního důchodu za každé dítě, které poživatel tohoto důchodu vychoval. V roce 2025 se jedná o 503 Kč za každé vychované dítě. V případě výchovy více dětí se výchovné násobí počtem těchto dětí, není zde žádný limit.</w:t>
      </w:r>
    </w:p>
    <w:p w14:paraId="0A9E0107" w14:textId="77777777" w:rsidR="00C7556A" w:rsidRDefault="00C7556A" w:rsidP="00C7556A">
      <w:pPr>
        <w:tabs>
          <w:tab w:val="left" w:pos="6237"/>
        </w:tabs>
        <w:spacing w:after="0" w:line="240" w:lineRule="auto"/>
        <w:jc w:val="both"/>
        <w:rPr>
          <w:rFonts w:ascii="Times New Roman" w:hAnsi="Times New Roman"/>
          <w:sz w:val="28"/>
          <w:szCs w:val="28"/>
        </w:rPr>
      </w:pPr>
    </w:p>
    <w:p w14:paraId="6A9A1573" w14:textId="77777777" w:rsidR="00C7556A" w:rsidRDefault="00C7556A" w:rsidP="00C7556A">
      <w:pPr>
        <w:tabs>
          <w:tab w:val="left" w:pos="6237"/>
        </w:tabs>
        <w:spacing w:after="0" w:line="240" w:lineRule="auto"/>
        <w:jc w:val="both"/>
      </w:pPr>
      <w:r>
        <w:rPr>
          <w:rFonts w:ascii="Times New Roman" w:hAnsi="Times New Roman"/>
          <w:b/>
          <w:bCs/>
          <w:sz w:val="28"/>
          <w:szCs w:val="28"/>
        </w:rPr>
        <w:t>Redukční částky pro výpočet důchodu v roce 2025:</w:t>
      </w:r>
    </w:p>
    <w:p w14:paraId="3435C78D" w14:textId="77777777" w:rsidR="00C7556A" w:rsidRDefault="00C7556A" w:rsidP="00C7556A">
      <w:pPr>
        <w:tabs>
          <w:tab w:val="left" w:pos="6237"/>
        </w:tabs>
        <w:spacing w:after="0" w:line="240" w:lineRule="auto"/>
        <w:jc w:val="both"/>
        <w:rPr>
          <w:rFonts w:ascii="Times New Roman" w:hAnsi="Times New Roman"/>
          <w:sz w:val="28"/>
          <w:szCs w:val="28"/>
        </w:rPr>
      </w:pPr>
    </w:p>
    <w:p w14:paraId="0E353FD9"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Do 20 486 Kč</w:t>
      </w:r>
      <w:r>
        <w:rPr>
          <w:rFonts w:ascii="Times New Roman" w:hAnsi="Times New Roman"/>
          <w:sz w:val="24"/>
          <w:szCs w:val="24"/>
        </w:rPr>
        <w:tab/>
        <w:t>zápočet plně (100 %)</w:t>
      </w:r>
    </w:p>
    <w:p w14:paraId="2BDF1038"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Nad 20 486 Kč do 186 228 Kč</w:t>
      </w:r>
      <w:r>
        <w:rPr>
          <w:rFonts w:ascii="Times New Roman" w:hAnsi="Times New Roman"/>
          <w:sz w:val="24"/>
          <w:szCs w:val="24"/>
        </w:rPr>
        <w:tab/>
        <w:t>zápočet 26 %</w:t>
      </w:r>
    </w:p>
    <w:p w14:paraId="277E0A83"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Nad 186 228 Kč</w:t>
      </w:r>
      <w:r>
        <w:rPr>
          <w:rFonts w:ascii="Times New Roman" w:hAnsi="Times New Roman"/>
          <w:sz w:val="24"/>
          <w:szCs w:val="24"/>
        </w:rPr>
        <w:tab/>
        <w:t>nepřihlíží se</w:t>
      </w:r>
    </w:p>
    <w:p w14:paraId="29661916" w14:textId="77777777" w:rsidR="00C7556A" w:rsidRDefault="00C7556A" w:rsidP="00C7556A">
      <w:pPr>
        <w:tabs>
          <w:tab w:val="left" w:pos="6237"/>
        </w:tabs>
        <w:spacing w:after="0" w:line="240" w:lineRule="auto"/>
        <w:jc w:val="both"/>
        <w:rPr>
          <w:rFonts w:ascii="Times New Roman" w:hAnsi="Times New Roman"/>
          <w:sz w:val="24"/>
          <w:szCs w:val="24"/>
        </w:rPr>
      </w:pPr>
    </w:p>
    <w:p w14:paraId="4CDD1E22"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Pokud vás zajímá, zda budete mít nárok na starobní důchod, odkdy, jak vysoký by mohl být a zároveň co ještě musíte splnit pro nárok na starobní důchod, tj. zejména kolik let vám chybí k dosažení důchodového věku nebo k získání potřebné doby pojištění, můžete využít Informativní důchodovou aplikaci (IDA). IDA funguje v prostředí </w:t>
      </w:r>
      <w:proofErr w:type="spellStart"/>
      <w:r>
        <w:rPr>
          <w:rFonts w:ascii="Times New Roman" w:hAnsi="Times New Roman"/>
          <w:sz w:val="28"/>
          <w:szCs w:val="28"/>
        </w:rPr>
        <w:t>ePortálu</w:t>
      </w:r>
      <w:proofErr w:type="spellEnd"/>
      <w:r>
        <w:rPr>
          <w:rFonts w:ascii="Times New Roman" w:hAnsi="Times New Roman"/>
          <w:sz w:val="28"/>
          <w:szCs w:val="28"/>
        </w:rPr>
        <w:t xml:space="preserve"> ČSSZ pro přihlášené uživatele a je zcela zdarma. Přihlášení je jednoduché, stačí datová schránka nebo Identita občana. Jednoduchým a oblíbeným způsobem přihlášení je bankovní identita.</w:t>
      </w:r>
    </w:p>
    <w:p w14:paraId="59D9E095" w14:textId="77777777" w:rsidR="00C7556A" w:rsidRDefault="00C7556A" w:rsidP="00C7556A">
      <w:pPr>
        <w:tabs>
          <w:tab w:val="left" w:pos="6237"/>
        </w:tabs>
        <w:spacing w:after="0" w:line="240" w:lineRule="auto"/>
        <w:jc w:val="both"/>
        <w:rPr>
          <w:rFonts w:ascii="Times New Roman" w:hAnsi="Times New Roman"/>
          <w:sz w:val="28"/>
          <w:szCs w:val="28"/>
        </w:rPr>
      </w:pPr>
    </w:p>
    <w:p w14:paraId="168992FE"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lastRenderedPageBreak/>
        <w:t xml:space="preserve">     Přesný výpočet důchodu se zohledněním všech rozhodných skutečností provádí ČSSZ až na základě řádně uplatněné žádosti u OSSZ. Rovněž je možné žádost o důchod uplatnit online v elektronické formě prostřednictvím služby </w:t>
      </w:r>
      <w:proofErr w:type="spellStart"/>
      <w:r>
        <w:rPr>
          <w:rFonts w:ascii="Times New Roman" w:hAnsi="Times New Roman"/>
          <w:sz w:val="28"/>
          <w:szCs w:val="28"/>
        </w:rPr>
        <w:t>ePortálu</w:t>
      </w:r>
      <w:proofErr w:type="spellEnd"/>
      <w:r>
        <w:rPr>
          <w:rFonts w:ascii="Times New Roman" w:hAnsi="Times New Roman"/>
          <w:sz w:val="28"/>
          <w:szCs w:val="28"/>
        </w:rPr>
        <w:t xml:space="preserve"> ČSSZ Žádost o důchod online.</w:t>
      </w:r>
    </w:p>
    <w:p w14:paraId="36D8CC1A" w14:textId="77777777" w:rsidR="00C7556A" w:rsidRDefault="00C7556A" w:rsidP="00C7556A">
      <w:pPr>
        <w:tabs>
          <w:tab w:val="left" w:pos="6237"/>
        </w:tabs>
        <w:spacing w:after="0" w:line="240" w:lineRule="auto"/>
        <w:jc w:val="both"/>
        <w:rPr>
          <w:rFonts w:ascii="Times New Roman" w:hAnsi="Times New Roman"/>
          <w:sz w:val="28"/>
          <w:szCs w:val="28"/>
        </w:rPr>
      </w:pPr>
    </w:p>
    <w:p w14:paraId="361AD345" w14:textId="77777777" w:rsidR="00C7556A" w:rsidRDefault="00C7556A" w:rsidP="00C7556A">
      <w:pPr>
        <w:tabs>
          <w:tab w:val="left" w:pos="6237"/>
        </w:tabs>
        <w:spacing w:after="0" w:line="240" w:lineRule="auto"/>
        <w:jc w:val="both"/>
        <w:rPr>
          <w:rFonts w:ascii="Times New Roman" w:hAnsi="Times New Roman"/>
          <w:sz w:val="28"/>
          <w:szCs w:val="28"/>
        </w:rPr>
      </w:pPr>
    </w:p>
    <w:p w14:paraId="3E27BF08" w14:textId="77777777" w:rsidR="00C7556A" w:rsidRDefault="00C7556A" w:rsidP="00C7556A">
      <w:pPr>
        <w:tabs>
          <w:tab w:val="left" w:pos="6237"/>
        </w:tabs>
        <w:spacing w:after="0" w:line="240" w:lineRule="auto"/>
        <w:jc w:val="both"/>
        <w:rPr>
          <w:rFonts w:ascii="Times New Roman" w:hAnsi="Times New Roman"/>
          <w:b/>
          <w:bCs/>
          <w:sz w:val="28"/>
          <w:szCs w:val="28"/>
        </w:rPr>
      </w:pPr>
      <w:r>
        <w:rPr>
          <w:rFonts w:ascii="Times New Roman" w:hAnsi="Times New Roman"/>
          <w:b/>
          <w:bCs/>
          <w:sz w:val="28"/>
          <w:szCs w:val="28"/>
        </w:rPr>
        <w:t>POJISTNÉ NA SOCIÁLNÍ ZABEZPEČENÍ A PŘÍSPĚVEK NA STÁTNÍ POLITIKU ZAMĚSTNANOSTI</w:t>
      </w:r>
    </w:p>
    <w:p w14:paraId="15D85BE4" w14:textId="77777777" w:rsidR="00C7556A" w:rsidRDefault="00C7556A" w:rsidP="00C7556A">
      <w:pPr>
        <w:tabs>
          <w:tab w:val="left" w:pos="6237"/>
        </w:tabs>
        <w:spacing w:after="0" w:line="240" w:lineRule="auto"/>
        <w:jc w:val="both"/>
        <w:rPr>
          <w:rFonts w:ascii="Times New Roman" w:hAnsi="Times New Roman"/>
          <w:b/>
          <w:bCs/>
          <w:sz w:val="28"/>
          <w:szCs w:val="28"/>
        </w:rPr>
      </w:pPr>
    </w:p>
    <w:p w14:paraId="284A0655"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Pro zaměstnavatele se v roce 2025 budou uplatňovat hned tři různé sazby pro odvod pojistného, přičemž bude záležet na tom, zda tito zaměstnavatelé zaměstnávají tzv. zdravotnické záchranáře a členy jednotek hasičského záchranného sboru podniku nebo zaměstnance, kteří vykonávají činnost v rizikovém zaměstnání:</w:t>
      </w:r>
    </w:p>
    <w:p w14:paraId="3AE1AFD0" w14:textId="77777777" w:rsidR="00C7556A" w:rsidRDefault="00C7556A" w:rsidP="00C7556A">
      <w:pPr>
        <w:tabs>
          <w:tab w:val="left" w:pos="6237"/>
        </w:tabs>
        <w:spacing w:after="0" w:line="240" w:lineRule="auto"/>
        <w:jc w:val="both"/>
        <w:rPr>
          <w:rFonts w:ascii="Times New Roman" w:hAnsi="Times New Roman"/>
          <w:sz w:val="28"/>
          <w:szCs w:val="28"/>
        </w:rPr>
      </w:pPr>
    </w:p>
    <w:p w14:paraId="7F229C98" w14:textId="77777777" w:rsidR="00C7556A" w:rsidRDefault="00C7556A" w:rsidP="00C7556A">
      <w:pPr>
        <w:tabs>
          <w:tab w:val="left" w:pos="6237"/>
        </w:tabs>
        <w:spacing w:after="0" w:line="240" w:lineRule="auto"/>
        <w:jc w:val="both"/>
      </w:pPr>
      <w:r>
        <w:rPr>
          <w:rFonts w:ascii="Times New Roman" w:hAnsi="Times New Roman"/>
          <w:b/>
          <w:bCs/>
          <w:sz w:val="28"/>
          <w:szCs w:val="28"/>
        </w:rPr>
        <w:t>24, 8 %</w:t>
      </w:r>
      <w:r>
        <w:rPr>
          <w:rFonts w:ascii="Times New Roman" w:hAnsi="Times New Roman"/>
          <w:sz w:val="28"/>
          <w:szCs w:val="28"/>
        </w:rPr>
        <w:t xml:space="preserve"> z částky vyměřovacího základu, jež odpovídá úhrnu vyměřovacích základů jeho zaměstnanců, kteří nevykonávají činnost v rizikovém zaměstnání nebo činnost zdravotnického záchranáře nebo člena jednotky hasičského záchranného sboru podniku (z toho 2,1 % na nemocenské pojištění, 21,5 % na důchodové pojištění a 1,2 % na státní politiku zaměstnanosti);</w:t>
      </w:r>
    </w:p>
    <w:p w14:paraId="6DDE71D8" w14:textId="77777777" w:rsidR="00C7556A" w:rsidRDefault="00C7556A" w:rsidP="00C7556A">
      <w:pPr>
        <w:tabs>
          <w:tab w:val="left" w:pos="6237"/>
        </w:tabs>
        <w:spacing w:after="0" w:line="240" w:lineRule="auto"/>
        <w:jc w:val="both"/>
        <w:rPr>
          <w:rFonts w:ascii="Times New Roman" w:hAnsi="Times New Roman"/>
          <w:sz w:val="28"/>
          <w:szCs w:val="28"/>
        </w:rPr>
      </w:pPr>
    </w:p>
    <w:p w14:paraId="09C26AC7" w14:textId="77777777" w:rsidR="00C7556A" w:rsidRDefault="00C7556A" w:rsidP="00C7556A">
      <w:pPr>
        <w:tabs>
          <w:tab w:val="left" w:pos="6237"/>
        </w:tabs>
        <w:spacing w:after="0" w:line="240" w:lineRule="auto"/>
        <w:jc w:val="both"/>
      </w:pPr>
      <w:r>
        <w:rPr>
          <w:rFonts w:ascii="Times New Roman" w:hAnsi="Times New Roman"/>
          <w:b/>
          <w:bCs/>
          <w:sz w:val="28"/>
          <w:szCs w:val="28"/>
        </w:rPr>
        <w:t xml:space="preserve">28,8 % </w:t>
      </w:r>
      <w:r>
        <w:rPr>
          <w:rFonts w:ascii="Times New Roman" w:hAnsi="Times New Roman"/>
          <w:sz w:val="28"/>
          <w:szCs w:val="28"/>
        </w:rPr>
        <w:t xml:space="preserve">z částky vyměřovacího základu, jež odpovídá úhrnu vyměřovacích základů jeho zaměstnanců, kteří vykonávají činnost zdravotnického záchranáře nebo člena jednotky hasičského záchranného sboru podniku (z toho 2,1 % na nemocenské pojištění, 25,5 % na důchodové pojištění a 1,2 % na státní politiku zaměstnanosti). </w:t>
      </w:r>
    </w:p>
    <w:p w14:paraId="0286F8CA"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Dochází k postupnému navyšování, které bude završeno v roce 2026, a to sazbou 29,8 %;</w:t>
      </w:r>
    </w:p>
    <w:p w14:paraId="0F02FC1B" w14:textId="77777777" w:rsidR="00C7556A" w:rsidRDefault="00C7556A" w:rsidP="00C7556A">
      <w:pPr>
        <w:tabs>
          <w:tab w:val="left" w:pos="6237"/>
        </w:tabs>
        <w:spacing w:after="0" w:line="240" w:lineRule="auto"/>
        <w:jc w:val="both"/>
        <w:rPr>
          <w:rFonts w:ascii="Times New Roman" w:hAnsi="Times New Roman"/>
          <w:sz w:val="28"/>
          <w:szCs w:val="28"/>
        </w:rPr>
      </w:pPr>
    </w:p>
    <w:p w14:paraId="008E5D6C"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Sazby pojistného u ostatních poplatníků se nemění. Výše sazeb pro daný kalendářní rok bude přehledně uvedena na webových stránkách ČSSZ od 1. 1. 2025.</w:t>
      </w:r>
    </w:p>
    <w:p w14:paraId="70A2B8E5" w14:textId="77777777" w:rsidR="00C7556A" w:rsidRDefault="00C7556A" w:rsidP="00C7556A">
      <w:pPr>
        <w:tabs>
          <w:tab w:val="left" w:pos="6237"/>
        </w:tabs>
        <w:spacing w:after="0" w:line="240" w:lineRule="auto"/>
        <w:jc w:val="both"/>
        <w:rPr>
          <w:rFonts w:ascii="Times New Roman" w:hAnsi="Times New Roman"/>
          <w:sz w:val="28"/>
          <w:szCs w:val="28"/>
        </w:rPr>
      </w:pPr>
    </w:p>
    <w:p w14:paraId="2D9C2008"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Od 1. 1. 2025 se zavádí sleva na pojistném pro zaměstnance, kteří dosáhli důchodového věku, jsou poživateli starobního důchodu a mají nárok na výplatu starobního důchodu v plné výši podle zákona o důchodovém pojištění (pracující důchodci). Nárok na slevu uplatňuje takový zaměstnanec u svého zaměstnavatele, kterému zároveň prokáže splnění podmínek nároku na slevu. Sleva za kalendářní měsíc činí 6,5 % z vyměřovacího základu zaměstnance.</w:t>
      </w:r>
    </w:p>
    <w:p w14:paraId="59859511" w14:textId="77777777" w:rsidR="00C7556A" w:rsidRDefault="00C7556A" w:rsidP="00C7556A">
      <w:pPr>
        <w:tabs>
          <w:tab w:val="left" w:pos="6237"/>
        </w:tabs>
        <w:spacing w:after="0" w:line="240" w:lineRule="auto"/>
        <w:jc w:val="both"/>
        <w:rPr>
          <w:rFonts w:ascii="Times New Roman" w:hAnsi="Times New Roman"/>
          <w:sz w:val="28"/>
          <w:szCs w:val="28"/>
        </w:rPr>
      </w:pPr>
    </w:p>
    <w:p w14:paraId="74B495EC" w14:textId="77777777" w:rsidR="00C7556A" w:rsidRDefault="00C7556A" w:rsidP="00C7556A">
      <w:pPr>
        <w:tabs>
          <w:tab w:val="left" w:pos="6237"/>
        </w:tabs>
        <w:spacing w:after="0" w:line="240" w:lineRule="auto"/>
        <w:jc w:val="both"/>
        <w:rPr>
          <w:rFonts w:ascii="Times New Roman" w:hAnsi="Times New Roman"/>
          <w:sz w:val="28"/>
          <w:szCs w:val="28"/>
        </w:rPr>
      </w:pPr>
    </w:p>
    <w:p w14:paraId="4EE87C63" w14:textId="77777777" w:rsidR="00C7556A" w:rsidRDefault="00C7556A" w:rsidP="00C7556A">
      <w:pPr>
        <w:tabs>
          <w:tab w:val="left" w:pos="6237"/>
        </w:tabs>
        <w:spacing w:after="0" w:line="240" w:lineRule="auto"/>
        <w:jc w:val="both"/>
        <w:rPr>
          <w:rFonts w:ascii="Times New Roman" w:hAnsi="Times New Roman"/>
          <w:sz w:val="28"/>
          <w:szCs w:val="28"/>
        </w:rPr>
      </w:pPr>
    </w:p>
    <w:p w14:paraId="47F8D355"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Každoročně dochází ke změně minimálního vyměřovacího základu OSVČ pro pojistné na důchodové pojištění, a to jak pro hlavní, tak vedlejší činnost.</w:t>
      </w:r>
    </w:p>
    <w:p w14:paraId="2FD036E7" w14:textId="77777777" w:rsidR="00C7556A" w:rsidRDefault="00C7556A" w:rsidP="00C7556A">
      <w:pPr>
        <w:tabs>
          <w:tab w:val="left" w:pos="6237"/>
        </w:tabs>
        <w:spacing w:after="0" w:line="240" w:lineRule="auto"/>
        <w:jc w:val="both"/>
        <w:rPr>
          <w:rFonts w:ascii="Times New Roman" w:hAnsi="Times New Roman"/>
          <w:sz w:val="28"/>
          <w:szCs w:val="28"/>
        </w:rPr>
      </w:pPr>
    </w:p>
    <w:p w14:paraId="61D6F948"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lastRenderedPageBreak/>
        <w:t>Minimální měsíční vyměřovací základ OSVČ po podání přehledu o příjmech a výdajích za rok 2024:</w:t>
      </w:r>
    </w:p>
    <w:p w14:paraId="0F26364C" w14:textId="77777777" w:rsidR="00C7556A" w:rsidRDefault="00C7556A" w:rsidP="00C7556A">
      <w:pPr>
        <w:tabs>
          <w:tab w:val="left" w:pos="6237"/>
        </w:tabs>
        <w:spacing w:after="0" w:line="240" w:lineRule="auto"/>
        <w:jc w:val="both"/>
        <w:rPr>
          <w:rFonts w:ascii="Times New Roman" w:hAnsi="Times New Roman"/>
          <w:sz w:val="28"/>
          <w:szCs w:val="28"/>
        </w:rPr>
      </w:pPr>
    </w:p>
    <w:p w14:paraId="47FDADBE"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Při hlavní činnosti (35 % průměrné mzdy)</w:t>
      </w:r>
      <w:r>
        <w:rPr>
          <w:rFonts w:ascii="Times New Roman" w:hAnsi="Times New Roman"/>
          <w:sz w:val="24"/>
          <w:szCs w:val="24"/>
        </w:rPr>
        <w:tab/>
        <w:t>16 295 Kč</w:t>
      </w:r>
    </w:p>
    <w:p w14:paraId="69FF2B56"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Při vedlejší činnosti (11 % průměrné mzdy)</w:t>
      </w:r>
      <w:r>
        <w:rPr>
          <w:rFonts w:ascii="Times New Roman" w:hAnsi="Times New Roman"/>
          <w:sz w:val="24"/>
          <w:szCs w:val="24"/>
        </w:rPr>
        <w:tab/>
        <w:t>5 122 Kč</w:t>
      </w:r>
    </w:p>
    <w:p w14:paraId="7D2E6FDC" w14:textId="77777777" w:rsidR="00C7556A" w:rsidRDefault="00C7556A" w:rsidP="00C7556A">
      <w:pPr>
        <w:tabs>
          <w:tab w:val="left" w:pos="6237"/>
        </w:tabs>
        <w:spacing w:after="0" w:line="240" w:lineRule="auto"/>
        <w:jc w:val="both"/>
        <w:rPr>
          <w:rFonts w:ascii="Times New Roman" w:hAnsi="Times New Roman"/>
          <w:sz w:val="24"/>
          <w:szCs w:val="24"/>
        </w:rPr>
      </w:pPr>
    </w:p>
    <w:p w14:paraId="79864128" w14:textId="77777777" w:rsidR="00C7556A" w:rsidRDefault="00C7556A" w:rsidP="00C7556A">
      <w:pPr>
        <w:tabs>
          <w:tab w:val="left" w:pos="6237"/>
        </w:tabs>
        <w:spacing w:after="0" w:line="240" w:lineRule="auto"/>
        <w:jc w:val="both"/>
      </w:pPr>
      <w:r>
        <w:rPr>
          <w:rFonts w:ascii="Times New Roman" w:hAnsi="Times New Roman"/>
          <w:sz w:val="28"/>
          <w:szCs w:val="28"/>
        </w:rPr>
        <w:t xml:space="preserve">     Má-li OSVČ v roce 2024 povinnost platit zálohy na pojistné v minimální výši, trvá tato povinnost i v roce 2025, a to až do měsíce, ve kterém bude nebo by měl být podán přehled o příjmech a výdajích OSVČ za kalendářní rok 2024, avšak od ledna 2025 musí být záloha na pojistné alespoň ve výši, která odpovídá minimálnímu měsíčnímu vyměřovacího základu platnému pro rok 2025, tj</w:t>
      </w:r>
      <w:r>
        <w:rPr>
          <w:rFonts w:ascii="Times New Roman" w:hAnsi="Times New Roman"/>
          <w:b/>
          <w:bCs/>
          <w:sz w:val="28"/>
          <w:szCs w:val="28"/>
        </w:rPr>
        <w:t>. 4 759</w:t>
      </w:r>
      <w:r>
        <w:rPr>
          <w:rFonts w:ascii="Times New Roman" w:hAnsi="Times New Roman"/>
          <w:sz w:val="28"/>
          <w:szCs w:val="28"/>
        </w:rPr>
        <w:t xml:space="preserve"> </w:t>
      </w:r>
      <w:r>
        <w:rPr>
          <w:rFonts w:ascii="Times New Roman" w:hAnsi="Times New Roman"/>
          <w:b/>
          <w:bCs/>
          <w:sz w:val="28"/>
          <w:szCs w:val="28"/>
        </w:rPr>
        <w:t>Kč</w:t>
      </w:r>
      <w:r>
        <w:rPr>
          <w:rFonts w:ascii="Times New Roman" w:hAnsi="Times New Roman"/>
          <w:sz w:val="28"/>
          <w:szCs w:val="28"/>
        </w:rPr>
        <w:t xml:space="preserve"> pro OSVČ vykonávající hlavní samostatnou výdělečnou činnost </w:t>
      </w:r>
      <w:r>
        <w:rPr>
          <w:rFonts w:ascii="Times New Roman" w:hAnsi="Times New Roman"/>
          <w:b/>
          <w:bCs/>
          <w:sz w:val="28"/>
          <w:szCs w:val="28"/>
        </w:rPr>
        <w:t>a 1 496 Kč</w:t>
      </w:r>
      <w:r>
        <w:rPr>
          <w:rFonts w:ascii="Times New Roman" w:hAnsi="Times New Roman"/>
          <w:sz w:val="28"/>
          <w:szCs w:val="28"/>
        </w:rPr>
        <w:t xml:space="preserve"> pro OSVČ vykonávající vedlejší samostatnou výdělečnou činnost. Uvedené platí i pro ty OSVČ, kterým byl rozhodnutím příslušné okresní správy sociálního zabezpečení snížen měsíční vyměřovací základ. Každá OSVČ, která tedy měla v roce 2024 zálohy na pojistné v nižší výši, než je minimum platné pro rok 2025, musí od ledna platit zálohy na pojistné alespoň ve výši minima stanoveného pro rok 2025.</w:t>
      </w:r>
    </w:p>
    <w:p w14:paraId="2E7E8DA6" w14:textId="77777777" w:rsidR="00C7556A" w:rsidRDefault="00C7556A" w:rsidP="00C7556A">
      <w:pPr>
        <w:tabs>
          <w:tab w:val="left" w:pos="6237"/>
        </w:tabs>
        <w:spacing w:after="0" w:line="240" w:lineRule="auto"/>
        <w:jc w:val="both"/>
        <w:rPr>
          <w:rFonts w:ascii="Times New Roman" w:hAnsi="Times New Roman"/>
          <w:sz w:val="28"/>
          <w:szCs w:val="28"/>
        </w:rPr>
      </w:pPr>
    </w:p>
    <w:p w14:paraId="480CE55B"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     Pokud OSVČ samostatnou výdělečnou činnost zahájila, vykonává ji jako činnost hlavní a po dobu 20 kalendářních let předcházejících roku zahájení tuto činnost nevykonávala, činí v roce zahájení samostatné výdělečné činnosti a v bezprostředně následujících dvou kalendářních letech minimální měsíční vyměřovací základ 25 % průměrné mzdy. V takovém případě pro rok 2025 činí minimální měsíční vyměřovací základ této OSVČ 11 640 Kč a minimální výše záloha na pojistné proto činí 3 399 Kč.</w:t>
      </w:r>
    </w:p>
    <w:p w14:paraId="31C7BBE9" w14:textId="77777777" w:rsidR="00C7556A" w:rsidRDefault="00C7556A" w:rsidP="00C7556A">
      <w:pPr>
        <w:tabs>
          <w:tab w:val="left" w:pos="6237"/>
        </w:tabs>
        <w:spacing w:after="0" w:line="240" w:lineRule="auto"/>
        <w:jc w:val="both"/>
        <w:rPr>
          <w:rFonts w:ascii="Times New Roman" w:hAnsi="Times New Roman"/>
          <w:sz w:val="28"/>
          <w:szCs w:val="28"/>
        </w:rPr>
      </w:pPr>
    </w:p>
    <w:p w14:paraId="5680AA0B" w14:textId="77777777" w:rsidR="00C7556A" w:rsidRDefault="00C7556A" w:rsidP="00C7556A">
      <w:pPr>
        <w:tabs>
          <w:tab w:val="left" w:pos="6237"/>
        </w:tabs>
        <w:spacing w:after="0" w:line="240" w:lineRule="auto"/>
        <w:jc w:val="both"/>
        <w:rPr>
          <w:rFonts w:ascii="Times New Roman" w:hAnsi="Times New Roman"/>
          <w:sz w:val="28"/>
          <w:szCs w:val="28"/>
        </w:rPr>
      </w:pPr>
    </w:p>
    <w:p w14:paraId="21083E04"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t xml:space="preserve">Minimální výše měsíční zálohy na pojistné na důchodové pojištění OSVČ v roce 2025: </w:t>
      </w:r>
    </w:p>
    <w:p w14:paraId="543FE702" w14:textId="77777777" w:rsidR="00C7556A" w:rsidRDefault="00C7556A" w:rsidP="00C7556A">
      <w:pPr>
        <w:tabs>
          <w:tab w:val="left" w:pos="6237"/>
        </w:tabs>
        <w:spacing w:after="0" w:line="240" w:lineRule="auto"/>
        <w:jc w:val="both"/>
        <w:rPr>
          <w:rFonts w:ascii="Times New Roman" w:hAnsi="Times New Roman"/>
          <w:sz w:val="28"/>
          <w:szCs w:val="28"/>
        </w:rPr>
      </w:pPr>
    </w:p>
    <w:p w14:paraId="328E2379" w14:textId="77777777" w:rsidR="00C7556A" w:rsidRDefault="00C7556A" w:rsidP="00C7556A">
      <w:pPr>
        <w:pBdr>
          <w:top w:val="single" w:sz="4" w:space="1" w:color="000000"/>
          <w:left w:val="single" w:sz="4" w:space="4"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Při hlavní činnosti</w:t>
      </w:r>
    </w:p>
    <w:p w14:paraId="11F3BA71"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p>
    <w:p w14:paraId="4E444097"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hAnsi="Times New Roman"/>
          <w:sz w:val="24"/>
          <w:szCs w:val="24"/>
        </w:rPr>
      </w:pPr>
      <w:r>
        <w:rPr>
          <w:rFonts w:ascii="Times New Roman" w:hAnsi="Times New Roman"/>
          <w:sz w:val="24"/>
          <w:szCs w:val="24"/>
        </w:rPr>
        <w:t xml:space="preserve">(důchodové pojistné 28 % + pojistné na státní politiku </w:t>
      </w:r>
    </w:p>
    <w:p w14:paraId="2B6EBBE5"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pPr>
      <w:r>
        <w:rPr>
          <w:rFonts w:ascii="Times New Roman" w:hAnsi="Times New Roman"/>
          <w:sz w:val="24"/>
          <w:szCs w:val="24"/>
        </w:rPr>
        <w:t>zaměstnanosti 1,2 % -</w:t>
      </w:r>
      <m:oMath>
        <m:r>
          <w:rPr>
            <w:rFonts w:ascii="Cambria Math" w:hAnsi="Cambria Math"/>
          </w:rPr>
          <m:t>&gt;</m:t>
        </m:r>
        <m:r>
          <m:rPr>
            <m:sty m:val="p"/>
          </m:rPr>
          <w:rPr>
            <w:rFonts w:ascii="Cambria Math" w:hAnsi="Cambria Math"/>
          </w:rPr>
          <m:t>29,2</m:t>
        </m:r>
        <m:r>
          <w:rPr>
            <w:rFonts w:ascii="Cambria Math" w:hAnsi="Cambria Math"/>
          </w:rPr>
          <m:t xml:space="preserve"> % z 16 295 Kč)</m:t>
        </m:r>
      </m:oMath>
      <w:r>
        <w:rPr>
          <w:rFonts w:ascii="Times New Roman" w:eastAsia="Times New Roman" w:hAnsi="Times New Roman"/>
          <w:sz w:val="24"/>
          <w:szCs w:val="24"/>
        </w:rPr>
        <w:tab/>
        <w:t>4 759 Kč</w:t>
      </w:r>
    </w:p>
    <w:p w14:paraId="522B0E44"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___________________________________________________________________________</w:t>
      </w:r>
    </w:p>
    <w:p w14:paraId="58CF2AE2"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Při vedlejší činnosti</w:t>
      </w:r>
    </w:p>
    <w:p w14:paraId="1EACF453"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p>
    <w:p w14:paraId="6C25CDEB"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(důchodové pojistné 28 % + pojistné na státní politiku</w:t>
      </w:r>
    </w:p>
    <w:p w14:paraId="0159B24D" w14:textId="77777777" w:rsidR="00C7556A" w:rsidRDefault="00C7556A" w:rsidP="00C7556A">
      <w:pPr>
        <w:pBdr>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zaměstnanosti 1,2 % -≥ 29,2 % z 5 122 Kč)</w:t>
      </w:r>
      <w:r>
        <w:rPr>
          <w:rFonts w:ascii="Times New Roman" w:eastAsia="Times New Roman" w:hAnsi="Times New Roman"/>
          <w:sz w:val="24"/>
          <w:szCs w:val="24"/>
        </w:rPr>
        <w:tab/>
        <w:t>1 496 Kč</w:t>
      </w:r>
    </w:p>
    <w:p w14:paraId="6919E63F" w14:textId="77777777" w:rsidR="00C7556A" w:rsidRDefault="00C7556A" w:rsidP="00C7556A">
      <w:pP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21A2FA86" w14:textId="77777777" w:rsidR="00C7556A" w:rsidRDefault="00C7556A" w:rsidP="00C7556A">
      <w:pPr>
        <w:tabs>
          <w:tab w:val="left" w:pos="6237"/>
        </w:tabs>
        <w:spacing w:after="0" w:line="240" w:lineRule="auto"/>
        <w:jc w:val="both"/>
        <w:rPr>
          <w:rFonts w:ascii="Times New Roman" w:eastAsia="Times New Roman" w:hAnsi="Times New Roman"/>
          <w:sz w:val="24"/>
          <w:szCs w:val="24"/>
        </w:rPr>
      </w:pPr>
    </w:p>
    <w:p w14:paraId="04719A62"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Minimální roční vyměřovací základ OSVČ pro hlavní činnost:</w:t>
      </w:r>
    </w:p>
    <w:p w14:paraId="153C61D1"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48815BF4" w14:textId="77777777" w:rsidR="00C7556A" w:rsidRDefault="00C7556A" w:rsidP="00C7556A">
      <w:pPr>
        <w:pBdr>
          <w:top w:val="single" w:sz="4" w:space="1" w:color="000000"/>
          <w:left w:val="single" w:sz="4" w:space="4" w:color="000000"/>
          <w:bottom w:val="single" w:sz="4" w:space="1" w:color="000000"/>
          <w:right w:val="single" w:sz="4" w:space="4" w:color="000000"/>
        </w:pBdr>
        <w:tabs>
          <w:tab w:val="left" w:pos="6237"/>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Minimální roční vyměřovací základ (16 295 Kč x 12)</w:t>
      </w:r>
      <w:r>
        <w:rPr>
          <w:rFonts w:ascii="Times New Roman" w:eastAsia="Times New Roman" w:hAnsi="Times New Roman"/>
          <w:sz w:val="24"/>
          <w:szCs w:val="24"/>
        </w:rPr>
        <w:tab/>
        <w:t>195 540 Kč</w:t>
      </w:r>
    </w:p>
    <w:p w14:paraId="25B16EFE" w14:textId="77777777" w:rsidR="00C7556A" w:rsidRDefault="00C7556A" w:rsidP="00C7556A">
      <w:pPr>
        <w:tabs>
          <w:tab w:val="left" w:pos="6237"/>
        </w:tabs>
        <w:spacing w:after="0" w:line="240" w:lineRule="auto"/>
        <w:jc w:val="both"/>
        <w:rPr>
          <w:rFonts w:ascii="Times New Roman" w:hAnsi="Times New Roman"/>
          <w:sz w:val="28"/>
          <w:szCs w:val="28"/>
        </w:rPr>
      </w:pPr>
      <w:r>
        <w:rPr>
          <w:rFonts w:ascii="Times New Roman" w:hAnsi="Times New Roman"/>
          <w:sz w:val="28"/>
          <w:szCs w:val="28"/>
        </w:rPr>
        <w:lastRenderedPageBreak/>
        <w:br/>
        <w:t>Minimální roční vyměřovací základ OSVČ pro vedlejší činnost:</w:t>
      </w:r>
    </w:p>
    <w:p w14:paraId="22FBC777" w14:textId="77777777" w:rsidR="00C7556A" w:rsidRDefault="00C7556A" w:rsidP="00C7556A">
      <w:pPr>
        <w:tabs>
          <w:tab w:val="left" w:pos="6237"/>
        </w:tabs>
        <w:spacing w:after="0" w:line="240" w:lineRule="auto"/>
        <w:jc w:val="both"/>
        <w:rPr>
          <w:rFonts w:ascii="Times New Roman" w:hAnsi="Times New Roman"/>
          <w:sz w:val="28"/>
          <w:szCs w:val="28"/>
        </w:rPr>
      </w:pPr>
    </w:p>
    <w:p w14:paraId="301FD4C2" w14:textId="77777777" w:rsidR="00C7556A" w:rsidRDefault="00C7556A" w:rsidP="00C7556A">
      <w:pPr>
        <w:pBdr>
          <w:top w:val="single" w:sz="4" w:space="1" w:color="000000"/>
          <w:left w:val="single" w:sz="4" w:space="4" w:color="000000"/>
          <w:bottom w:val="single" w:sz="4" w:space="1" w:color="000000"/>
          <w:right w:val="single" w:sz="4" w:space="4" w:color="000000"/>
        </w:pBdr>
        <w:tabs>
          <w:tab w:val="left" w:pos="6237"/>
        </w:tabs>
        <w:spacing w:after="0" w:line="240" w:lineRule="auto"/>
        <w:jc w:val="both"/>
      </w:pPr>
      <w:r>
        <w:rPr>
          <w:rFonts w:ascii="Times New Roman" w:hAnsi="Times New Roman"/>
          <w:sz w:val="28"/>
          <w:szCs w:val="28"/>
        </w:rPr>
        <w:t xml:space="preserve"> </w:t>
      </w:r>
      <w:r>
        <w:rPr>
          <w:rFonts w:ascii="Times New Roman" w:hAnsi="Times New Roman"/>
          <w:sz w:val="24"/>
          <w:szCs w:val="24"/>
        </w:rPr>
        <w:t>Minimální roční vyměřovací základ (5 122 Kč x 12)</w:t>
      </w:r>
      <w:r>
        <w:rPr>
          <w:rFonts w:ascii="Times New Roman" w:hAnsi="Times New Roman"/>
          <w:sz w:val="24"/>
          <w:szCs w:val="24"/>
        </w:rPr>
        <w:tab/>
        <w:t>61 464 Kč</w:t>
      </w:r>
    </w:p>
    <w:p w14:paraId="5031D69D" w14:textId="77777777" w:rsidR="00C7556A" w:rsidRDefault="00C7556A" w:rsidP="00C7556A">
      <w:pPr>
        <w:tabs>
          <w:tab w:val="left" w:pos="6237"/>
        </w:tabs>
        <w:spacing w:after="0" w:line="240" w:lineRule="auto"/>
        <w:jc w:val="both"/>
        <w:rPr>
          <w:rFonts w:ascii="Times New Roman" w:hAnsi="Times New Roman"/>
          <w:sz w:val="24"/>
          <w:szCs w:val="24"/>
        </w:rPr>
      </w:pPr>
    </w:p>
    <w:p w14:paraId="23033175" w14:textId="77777777" w:rsidR="00C7556A" w:rsidRDefault="00C7556A" w:rsidP="00C7556A">
      <w:pPr>
        <w:tabs>
          <w:tab w:val="left" w:pos="6237"/>
        </w:tabs>
        <w:spacing w:after="0" w:line="240" w:lineRule="auto"/>
        <w:jc w:val="both"/>
        <w:rPr>
          <w:rFonts w:ascii="Times New Roman" w:eastAsia="Times New Roman" w:hAnsi="Times New Roman"/>
          <w:sz w:val="24"/>
          <w:szCs w:val="24"/>
        </w:rPr>
      </w:pPr>
    </w:p>
    <w:p w14:paraId="4C8D28F9"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Maximální vyměřovací základ činí u zaměstnanců i OSVČ 48násobek průměrné mzdy, tedy 2 234 736 Kč.</w:t>
      </w:r>
    </w:p>
    <w:p w14:paraId="5E69BFA2"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19E98844"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Minimální měsíční pojistné na nemocenské pojištění OSVČ se od ledna 2025 zvyšuje na 243 Kč.</w:t>
      </w:r>
    </w:p>
    <w:p w14:paraId="2F1D4716"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113CDB2E"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Minimální měsíční vyměřovací základ pro pojistné na dobrovolné důchodové pojištění hrazené v roce 2025 činí 11 640 Kč, minimální měsíční pojistné pak 3 260 Kč.</w:t>
      </w:r>
    </w:p>
    <w:p w14:paraId="66B1326D"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36E85AB6"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Také OSVČ, která dosáhla důchodového věku a má nárok na výplatu starobního důchodu v plné výši a splňuje tuto podmínku alespoň po jeden celý kalendářní měsíc v kalendářním roce, má od 1. 1. 2025 nárok na slevu na pojistném na důchodové pojištění a příspěvku na státní politiku zaměstnanosti za kalendářní rok, a to ve výši 6,5 % z vyměřovacího základu. Pokud měla OSVČ nárok na výplatu starobního důchodu v plné výši pouze v některých kalendářních měsících kalendářního roku, v nichž vykonávala samostatnou výdělečnou činnost, náleží sleva na pojistném jen z poměrné části vyměřovacího základu. Nárok na slevu za kalendářní rok uplatňuje OSVČ na přehledu o příjmech a výdajích za tento kalendářní rok, tj. za každý kalendářní rok samostatně.</w:t>
      </w:r>
    </w:p>
    <w:p w14:paraId="0AECCD2A"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39877DF4"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OSVČ, která splňuje podmínky nároku na slevu na pojistném, může uplatnit nárok na sníženou sazbu pro zálohy na pojistné ve výši 22,7 %. Stanovit výši zálohy ve snížené sazbě pojistného lze ale nejdříve od kalendářního měsíce, v němž OSVČ obdržela rozhodnutí o přiznání starobního důchodu.</w:t>
      </w:r>
    </w:p>
    <w:p w14:paraId="1DF7CE3D" w14:textId="77777777" w:rsidR="00C7556A" w:rsidRDefault="00C7556A" w:rsidP="00C7556A">
      <w:pPr>
        <w:tabs>
          <w:tab w:val="left" w:pos="6237"/>
        </w:tabs>
        <w:spacing w:after="0" w:line="240" w:lineRule="auto"/>
        <w:jc w:val="both"/>
        <w:rPr>
          <w:rFonts w:ascii="Times New Roman" w:eastAsia="Times New Roman" w:hAnsi="Times New Roman"/>
          <w:sz w:val="28"/>
          <w:szCs w:val="28"/>
        </w:rPr>
      </w:pPr>
    </w:p>
    <w:p w14:paraId="46AFB068" w14:textId="77777777" w:rsidR="00C7556A" w:rsidRDefault="00C7556A" w:rsidP="00C7556A">
      <w:pPr>
        <w:tabs>
          <w:tab w:val="left" w:pos="6237"/>
        </w:tabs>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Zproštění povinnosti OSVČ platit zálohy na pojistné</w:t>
      </w:r>
    </w:p>
    <w:p w14:paraId="5D0F731A" w14:textId="77777777" w:rsidR="00C7556A" w:rsidRDefault="00C7556A" w:rsidP="00C7556A">
      <w:pPr>
        <w:tabs>
          <w:tab w:val="left" w:pos="6237"/>
        </w:tabs>
        <w:spacing w:after="0" w:line="240" w:lineRule="auto"/>
        <w:jc w:val="both"/>
        <w:rPr>
          <w:rFonts w:ascii="Times New Roman" w:eastAsia="Times New Roman" w:hAnsi="Times New Roman"/>
          <w:b/>
          <w:bCs/>
          <w:sz w:val="28"/>
          <w:szCs w:val="28"/>
        </w:rPr>
      </w:pPr>
    </w:p>
    <w:p w14:paraId="34BF86CF" w14:textId="77777777" w:rsidR="00C7556A" w:rsidRDefault="00C7556A" w:rsidP="00C7556A">
      <w:pPr>
        <w:tabs>
          <w:tab w:val="left" w:pos="6237"/>
        </w:tabs>
        <w:spacing w:after="0" w:line="240" w:lineRule="auto"/>
        <w:jc w:val="both"/>
      </w:pPr>
      <w:r>
        <w:rPr>
          <w:rFonts w:ascii="Times New Roman" w:eastAsia="Times New Roman" w:hAnsi="Times New Roman"/>
          <w:sz w:val="28"/>
          <w:szCs w:val="28"/>
        </w:rPr>
        <w:t xml:space="preserve">     Zálohy na pojistné není povinna platit OSVČ za kalendářní měsíce kalendářního roku, v němž zahájila samostatnou výdělečnou činnost, a za kalendářní měsíce bezprostředně následujícího kalendářního roku, pokud tato OSVČ v období pěti kalendářních let před kalendářním rokem, v němž zahájila tuto činnost, nebyla OSVČ. To neplatí pro OSVČ, která je poplatníkem v paušálním režimu.</w:t>
      </w:r>
    </w:p>
    <w:p w14:paraId="005BB286" w14:textId="77777777" w:rsidR="009F7385" w:rsidRDefault="009F7385" w:rsidP="008C306D"/>
    <w:p w14:paraId="14136C71" w14:textId="77777777" w:rsidR="00C7556A" w:rsidRDefault="00C7556A" w:rsidP="008C306D"/>
    <w:p w14:paraId="0973CCA4" w14:textId="77777777" w:rsidR="00C7556A" w:rsidRDefault="00C7556A" w:rsidP="008C306D"/>
    <w:p w14:paraId="1D51C5C5" w14:textId="77777777" w:rsidR="00C7556A" w:rsidRDefault="00C7556A" w:rsidP="008C306D"/>
    <w:p w14:paraId="250D8108" w14:textId="77777777" w:rsidR="00EE3034" w:rsidRDefault="00EE3034" w:rsidP="00EE3034">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KTERÉ ZMĚNY PŘIPRAVUJE MINISTERSTVO FINANCÍ</w:t>
      </w:r>
    </w:p>
    <w:p w14:paraId="121BC75B" w14:textId="77777777" w:rsidR="00EE3034" w:rsidRDefault="00EE3034" w:rsidP="00EE3034">
      <w:pPr>
        <w:spacing w:after="0" w:line="240" w:lineRule="auto"/>
        <w:jc w:val="center"/>
        <w:rPr>
          <w:rFonts w:ascii="Times New Roman" w:hAnsi="Times New Roman"/>
          <w:b/>
          <w:bCs/>
          <w:sz w:val="28"/>
          <w:szCs w:val="28"/>
        </w:rPr>
      </w:pPr>
      <w:r>
        <w:rPr>
          <w:rFonts w:ascii="Times New Roman" w:hAnsi="Times New Roman"/>
          <w:b/>
          <w:bCs/>
          <w:sz w:val="28"/>
          <w:szCs w:val="28"/>
        </w:rPr>
        <w:t xml:space="preserve"> PRO ROK 2025</w:t>
      </w:r>
    </w:p>
    <w:p w14:paraId="4EBBB16B" w14:textId="77777777" w:rsidR="00EE3034" w:rsidRDefault="00EE3034" w:rsidP="00EE3034">
      <w:pPr>
        <w:spacing w:after="0" w:line="240" w:lineRule="auto"/>
        <w:jc w:val="center"/>
        <w:rPr>
          <w:rFonts w:ascii="Times New Roman" w:hAnsi="Times New Roman"/>
          <w:b/>
          <w:bCs/>
          <w:sz w:val="28"/>
          <w:szCs w:val="28"/>
        </w:rPr>
      </w:pPr>
    </w:p>
    <w:p w14:paraId="11923B07" w14:textId="77777777" w:rsidR="00EE3034" w:rsidRDefault="00EE3034" w:rsidP="00EE3034">
      <w:pPr>
        <w:spacing w:after="0" w:line="240" w:lineRule="auto"/>
        <w:jc w:val="center"/>
        <w:rPr>
          <w:rFonts w:ascii="Times New Roman" w:hAnsi="Times New Roman"/>
          <w:b/>
          <w:bCs/>
          <w:sz w:val="28"/>
          <w:szCs w:val="28"/>
        </w:rPr>
      </w:pPr>
    </w:p>
    <w:p w14:paraId="31EF3743"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Pro rok 2025 připravilo Ministerstvo financí řadu změn, které ovlivní každodenní život občanů a firem v ČR. Mezi novinky patří např. možnost zaměstnanců čerpat vyšší nezdaněné zdravotní benefity, zjednodušení čerpání příspěvku na koupi automobilu pro osoby se zdravotním znevýhodněním, ochrana investorů a majitelů kryptoměn nebo osvobození od daně z prodeje kryptoměn, cenných papírů a obchodních podílů.</w:t>
      </w:r>
    </w:p>
    <w:p w14:paraId="4127D643" w14:textId="77777777" w:rsidR="00EE3034" w:rsidRDefault="00EE3034" w:rsidP="00EE3034">
      <w:pPr>
        <w:spacing w:after="0" w:line="240" w:lineRule="auto"/>
        <w:jc w:val="both"/>
        <w:rPr>
          <w:rFonts w:ascii="Times New Roman" w:hAnsi="Times New Roman"/>
          <w:b/>
          <w:bCs/>
          <w:sz w:val="28"/>
          <w:szCs w:val="28"/>
        </w:rPr>
      </w:pPr>
    </w:p>
    <w:p w14:paraId="3053A8C6" w14:textId="77777777" w:rsidR="00EE3034" w:rsidRDefault="00EE3034" w:rsidP="00EE3034">
      <w:pPr>
        <w:spacing w:after="0" w:line="240" w:lineRule="auto"/>
        <w:jc w:val="both"/>
        <w:rPr>
          <w:rFonts w:ascii="Times New Roman" w:hAnsi="Times New Roman"/>
          <w:b/>
          <w:bCs/>
          <w:sz w:val="28"/>
          <w:szCs w:val="28"/>
        </w:rPr>
      </w:pPr>
    </w:p>
    <w:p w14:paraId="147E8501" w14:textId="77777777" w:rsidR="00EE3034" w:rsidRDefault="00EE3034" w:rsidP="00EE3034">
      <w:pPr>
        <w:spacing w:after="0" w:line="240" w:lineRule="auto"/>
        <w:jc w:val="both"/>
        <w:rPr>
          <w:rFonts w:ascii="Times New Roman" w:hAnsi="Times New Roman"/>
          <w:b/>
          <w:bCs/>
          <w:i/>
          <w:iCs/>
          <w:sz w:val="28"/>
          <w:szCs w:val="28"/>
        </w:rPr>
      </w:pPr>
      <w:r>
        <w:rPr>
          <w:rFonts w:ascii="Times New Roman" w:hAnsi="Times New Roman"/>
          <w:b/>
          <w:bCs/>
          <w:i/>
          <w:iCs/>
          <w:sz w:val="28"/>
          <w:szCs w:val="28"/>
        </w:rPr>
        <w:t xml:space="preserve">ZMĚNY S ÚČINNOSTÍ OD 1. LEDNA 2025  </w:t>
      </w:r>
    </w:p>
    <w:p w14:paraId="54C13F5E" w14:textId="77777777" w:rsidR="00EE3034" w:rsidRDefault="00EE3034" w:rsidP="00EE3034">
      <w:pPr>
        <w:spacing w:after="0" w:line="240" w:lineRule="auto"/>
        <w:jc w:val="both"/>
        <w:rPr>
          <w:rFonts w:ascii="Times New Roman" w:hAnsi="Times New Roman"/>
          <w:b/>
          <w:bCs/>
          <w:i/>
          <w:iCs/>
          <w:sz w:val="28"/>
          <w:szCs w:val="28"/>
        </w:rPr>
      </w:pPr>
    </w:p>
    <w:p w14:paraId="14A8E858"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Zvýšení příspěvku na pořízení motorového vozidla osobám se zdravotním postižením namísto vracení DPH</w:t>
      </w:r>
    </w:p>
    <w:p w14:paraId="2EE640BA" w14:textId="77777777" w:rsidR="00EE3034" w:rsidRDefault="00EE3034" w:rsidP="00EE3034">
      <w:pPr>
        <w:spacing w:after="0" w:line="240" w:lineRule="auto"/>
        <w:jc w:val="both"/>
        <w:rPr>
          <w:rFonts w:ascii="Times New Roman" w:hAnsi="Times New Roman"/>
          <w:b/>
          <w:bCs/>
          <w:sz w:val="28"/>
          <w:szCs w:val="28"/>
        </w:rPr>
      </w:pPr>
    </w:p>
    <w:p w14:paraId="524DE15B"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2025 bude zrušena vratka DPH př nákupu motorového vozidla pro osoby se zdravotním postižením a bude nahrazena zvýšením příspěvku na nákup motorového vozidla o 85 tis. Kč, což je průměrná částka, která byla na DPH vyplácena. Dojde tak k odstranění dvojkolejnosti podpory osob se zdravotním postižením, kteří celou částku na pořízení motorového vozidla získají rovnou u Úřadu práce a nebudou již muset žádat o vracení DPH na finančním úřadě. Zrušení vratky DPH je zároveň splněním bodu programového prohlášení vlády, který si vytkla v kapitole Zdravé finance.</w:t>
      </w:r>
    </w:p>
    <w:p w14:paraId="10CB4C55" w14:textId="77777777" w:rsidR="00EE3034" w:rsidRDefault="00EE3034" w:rsidP="00EE3034">
      <w:pPr>
        <w:spacing w:after="0" w:line="240" w:lineRule="auto"/>
        <w:jc w:val="both"/>
        <w:rPr>
          <w:rFonts w:ascii="Times New Roman" w:hAnsi="Times New Roman"/>
          <w:sz w:val="28"/>
          <w:szCs w:val="28"/>
        </w:rPr>
      </w:pPr>
    </w:p>
    <w:p w14:paraId="623C1E69"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 xml:space="preserve">Snížení sazby DPH na pulzní </w:t>
      </w:r>
      <w:proofErr w:type="spellStart"/>
      <w:r>
        <w:rPr>
          <w:rFonts w:ascii="Times New Roman" w:hAnsi="Times New Roman"/>
          <w:b/>
          <w:bCs/>
          <w:sz w:val="28"/>
          <w:szCs w:val="28"/>
        </w:rPr>
        <w:t>oxymetry</w:t>
      </w:r>
      <w:proofErr w:type="spellEnd"/>
      <w:r>
        <w:rPr>
          <w:rFonts w:ascii="Times New Roman" w:hAnsi="Times New Roman"/>
          <w:b/>
          <w:bCs/>
          <w:sz w:val="28"/>
          <w:szCs w:val="28"/>
        </w:rPr>
        <w:t xml:space="preserve"> a tlakoměry</w:t>
      </w:r>
    </w:p>
    <w:p w14:paraId="37679190" w14:textId="77777777" w:rsidR="00EE3034" w:rsidRDefault="00EE3034" w:rsidP="00EE3034">
      <w:pPr>
        <w:spacing w:after="0" w:line="240" w:lineRule="auto"/>
        <w:jc w:val="both"/>
        <w:rPr>
          <w:rFonts w:ascii="Times New Roman" w:hAnsi="Times New Roman"/>
          <w:b/>
          <w:bCs/>
          <w:sz w:val="28"/>
          <w:szCs w:val="28"/>
        </w:rPr>
      </w:pPr>
    </w:p>
    <w:p w14:paraId="1B481EFA"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bude na pulzní </w:t>
      </w:r>
      <w:proofErr w:type="spellStart"/>
      <w:r>
        <w:rPr>
          <w:rFonts w:ascii="Times New Roman" w:hAnsi="Times New Roman"/>
          <w:sz w:val="28"/>
          <w:szCs w:val="28"/>
        </w:rPr>
        <w:t>oxymetr</w:t>
      </w:r>
      <w:proofErr w:type="spellEnd"/>
      <w:r>
        <w:rPr>
          <w:rFonts w:ascii="Times New Roman" w:hAnsi="Times New Roman"/>
          <w:sz w:val="28"/>
          <w:szCs w:val="28"/>
        </w:rPr>
        <w:t xml:space="preserve"> a tlakoměr aplikována snížená sazba DPH ve výši 12 %. Ke změně dochází zpřesněním kódu celní nomenklatury zdravotnických prostředků v návaznosti na opatření ozdravného balíčku, které je účinné od roku 2024.</w:t>
      </w:r>
    </w:p>
    <w:p w14:paraId="38D9123F" w14:textId="77777777" w:rsidR="00EE3034" w:rsidRDefault="00EE3034" w:rsidP="00EE3034">
      <w:pPr>
        <w:spacing w:after="0" w:line="240" w:lineRule="auto"/>
        <w:jc w:val="both"/>
        <w:rPr>
          <w:rFonts w:ascii="Times New Roman" w:hAnsi="Times New Roman"/>
          <w:sz w:val="28"/>
          <w:szCs w:val="28"/>
        </w:rPr>
      </w:pPr>
    </w:p>
    <w:p w14:paraId="7A9DC1EA"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Zvýšení limitu u zaměstnaneckých benefitů na podporu zdraví</w:t>
      </w:r>
    </w:p>
    <w:p w14:paraId="112535B5" w14:textId="77777777" w:rsidR="00EE3034" w:rsidRDefault="00EE3034" w:rsidP="00EE3034">
      <w:pPr>
        <w:spacing w:after="0" w:line="240" w:lineRule="auto"/>
        <w:jc w:val="both"/>
        <w:rPr>
          <w:rFonts w:ascii="Times New Roman" w:hAnsi="Times New Roman"/>
          <w:b/>
          <w:bCs/>
          <w:sz w:val="28"/>
          <w:szCs w:val="28"/>
        </w:rPr>
      </w:pPr>
    </w:p>
    <w:p w14:paraId="5B8A126E"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U zaměstnaneckých benefitů na podporu zdraví (např. příspěvků na rehabilitaci ve zdravotnickém zařízení) se od 1. ledna 2025 zvýší limit pro osvobození od daně z příjmů. Tento limit bude nově odpovídat průměrné mzdě stanovené podle zákona upravujícího pojistné na sociální zabezpečení za daný rok, což znamená, že zaměstnanci budou moci čerpat vyšší benefity bez daňového zatížení.</w:t>
      </w:r>
    </w:p>
    <w:p w14:paraId="5AF1F035" w14:textId="77777777" w:rsidR="00EE3034" w:rsidRDefault="00EE3034" w:rsidP="00EE3034">
      <w:pPr>
        <w:spacing w:after="0" w:line="240" w:lineRule="auto"/>
        <w:jc w:val="both"/>
        <w:rPr>
          <w:rFonts w:ascii="Times New Roman" w:hAnsi="Times New Roman"/>
          <w:sz w:val="28"/>
          <w:szCs w:val="28"/>
        </w:rPr>
      </w:pPr>
    </w:p>
    <w:p w14:paraId="51965BCF" w14:textId="77777777" w:rsidR="00230D18" w:rsidRDefault="00230D18" w:rsidP="00EE3034">
      <w:pPr>
        <w:spacing w:after="0" w:line="240" w:lineRule="auto"/>
        <w:jc w:val="both"/>
        <w:rPr>
          <w:rFonts w:ascii="Times New Roman" w:hAnsi="Times New Roman"/>
          <w:sz w:val="28"/>
          <w:szCs w:val="28"/>
        </w:rPr>
      </w:pPr>
    </w:p>
    <w:p w14:paraId="0E9910D3"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Sčítání spořící doby při změně poskytovatele daňově podporovaného dlouhodobého investičního produktu (DIP)</w:t>
      </w:r>
    </w:p>
    <w:p w14:paraId="212733E3" w14:textId="77777777" w:rsidR="00EE3034" w:rsidRDefault="00EE3034" w:rsidP="00EE3034">
      <w:pPr>
        <w:spacing w:after="0" w:line="240" w:lineRule="auto"/>
        <w:jc w:val="both"/>
        <w:rPr>
          <w:rFonts w:ascii="Times New Roman" w:hAnsi="Times New Roman"/>
          <w:b/>
          <w:bCs/>
          <w:sz w:val="28"/>
          <w:szCs w:val="28"/>
        </w:rPr>
      </w:pPr>
    </w:p>
    <w:p w14:paraId="77FE5F02"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2025 dojde ke změně podmínek, za kterých se budou spořící doby při změně poskytovatele DIP sčítat pro účely posouzení, zda nemá dojít k navrácení daňové podpory. V případě, že klient převede veškeré naspořené prostředky z daňově podporovaného DIP u jednoho poskytovatele k jinému poskytovateli, spořící doba ze zaniklého DIP se mu započte do podmínky 120 kalendářních měsíců doby trvání nově vzniklého DIP, v </w:t>
      </w:r>
      <w:proofErr w:type="gramStart"/>
      <w:r>
        <w:rPr>
          <w:rFonts w:ascii="Times New Roman" w:hAnsi="Times New Roman"/>
          <w:sz w:val="28"/>
          <w:szCs w:val="28"/>
        </w:rPr>
        <w:t>rámci</w:t>
      </w:r>
      <w:proofErr w:type="gramEnd"/>
      <w:r>
        <w:rPr>
          <w:rFonts w:ascii="Times New Roman" w:hAnsi="Times New Roman"/>
          <w:sz w:val="28"/>
          <w:szCs w:val="28"/>
        </w:rPr>
        <w:t xml:space="preserve"> které poplatník nemůže prostředky z DIP vybrat. Pokud by tak učinil, daňovou podporu by musel vracet.  </w:t>
      </w:r>
    </w:p>
    <w:p w14:paraId="748FBDDE" w14:textId="77777777" w:rsidR="00EE3034" w:rsidRDefault="00EE3034" w:rsidP="00EE3034">
      <w:pPr>
        <w:spacing w:after="0" w:line="240" w:lineRule="auto"/>
        <w:jc w:val="both"/>
        <w:rPr>
          <w:rFonts w:ascii="Times New Roman" w:hAnsi="Times New Roman"/>
          <w:sz w:val="28"/>
          <w:szCs w:val="28"/>
        </w:rPr>
      </w:pPr>
    </w:p>
    <w:p w14:paraId="4973EE73"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Úprava zaměstnaneckých akcií</w:t>
      </w:r>
    </w:p>
    <w:p w14:paraId="7F8F94E7" w14:textId="77777777" w:rsidR="00EE3034" w:rsidRDefault="00EE3034" w:rsidP="00EE3034">
      <w:pPr>
        <w:spacing w:after="0" w:line="240" w:lineRule="auto"/>
        <w:jc w:val="both"/>
        <w:rPr>
          <w:rFonts w:ascii="Times New Roman" w:hAnsi="Times New Roman"/>
          <w:b/>
          <w:bCs/>
          <w:sz w:val="28"/>
          <w:szCs w:val="28"/>
        </w:rPr>
      </w:pPr>
    </w:p>
    <w:p w14:paraId="42506E09"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2025 se bude stávající režim pro zaměstnanecké akcie (tj. odložení zdanění) aplikovat jen dobrovolně. Bude možné se rozhodnout zdanit benefit ze zaměstnaneckých akcií okamžitě (stejně jako do roku 2023) nebo za podmínek, které jsou vyjmenovány v § 6 odst. 14 zákona o daních z příjmů.   </w:t>
      </w:r>
    </w:p>
    <w:p w14:paraId="229A1C86" w14:textId="77777777" w:rsidR="00EE3034" w:rsidRDefault="00EE3034" w:rsidP="00EE3034">
      <w:pPr>
        <w:spacing w:after="0" w:line="240" w:lineRule="auto"/>
        <w:jc w:val="both"/>
        <w:rPr>
          <w:rFonts w:ascii="Times New Roman" w:hAnsi="Times New Roman"/>
          <w:sz w:val="28"/>
          <w:szCs w:val="28"/>
        </w:rPr>
      </w:pPr>
    </w:p>
    <w:p w14:paraId="0D44FE93" w14:textId="77777777" w:rsidR="00EE3034" w:rsidRDefault="00EE3034" w:rsidP="00EE3034">
      <w:pPr>
        <w:spacing w:after="0" w:line="240" w:lineRule="auto"/>
        <w:jc w:val="both"/>
      </w:pPr>
      <w:r>
        <w:rPr>
          <w:rFonts w:ascii="Times New Roman" w:hAnsi="Times New Roman"/>
          <w:b/>
          <w:bCs/>
          <w:sz w:val="28"/>
          <w:szCs w:val="28"/>
        </w:rPr>
        <w:t>Změna srážkové daně u dohod o provedení práce (DPP)</w:t>
      </w:r>
      <w:r>
        <w:rPr>
          <w:rFonts w:ascii="Times New Roman" w:hAnsi="Times New Roman"/>
          <w:sz w:val="28"/>
          <w:szCs w:val="28"/>
        </w:rPr>
        <w:t xml:space="preserve"> </w:t>
      </w:r>
    </w:p>
    <w:p w14:paraId="2AE7023A" w14:textId="77777777" w:rsidR="00EE3034" w:rsidRDefault="00EE3034" w:rsidP="00EE3034">
      <w:pPr>
        <w:spacing w:after="0" w:line="240" w:lineRule="auto"/>
        <w:jc w:val="both"/>
        <w:rPr>
          <w:rFonts w:ascii="Times New Roman" w:hAnsi="Times New Roman"/>
          <w:sz w:val="28"/>
          <w:szCs w:val="28"/>
        </w:rPr>
      </w:pPr>
    </w:p>
    <w:p w14:paraId="7B4D4714" w14:textId="77777777" w:rsidR="00EE3034" w:rsidRDefault="00EE3034" w:rsidP="00EE30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Měsíční příjem zaměstnance z DPP nebude od 1. ledna 2025 podléhat odvodům na sociální a zdravotní pojištění, pokud u jednoho zaměstnavatele nedosáhne částky, která je rozhodná pro účast na nemocenském pojištění. Stejný limit bude platit i pro možnost zdanění příjmu z DPP pomocí srážkové daně, a to za dalších podmínek stanovených zákonem o daních z příjmů. Pokud zaměstnanec na DPP vydělá méně než tento limit, nebude z jeho příjmu odváděno zdravotní a sociální pojištění a příjem může být zdaněn jednoduše daní vybíranou srážkou podle zvláštní sazby daně.</w:t>
      </w:r>
    </w:p>
    <w:p w14:paraId="5EACCC90" w14:textId="77777777" w:rsidR="00EE3034" w:rsidRDefault="00EE3034" w:rsidP="00EE3034">
      <w:pPr>
        <w:spacing w:after="0" w:line="240" w:lineRule="auto"/>
        <w:jc w:val="both"/>
        <w:rPr>
          <w:rFonts w:ascii="Times New Roman" w:hAnsi="Times New Roman"/>
          <w:sz w:val="28"/>
          <w:szCs w:val="28"/>
        </w:rPr>
      </w:pPr>
    </w:p>
    <w:p w14:paraId="2630ABB9"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Označování balených potravinářských a nepotravinářských výrobků měrnou cenou</w:t>
      </w:r>
    </w:p>
    <w:p w14:paraId="343891E7" w14:textId="77777777" w:rsidR="00EE3034" w:rsidRDefault="00EE3034" w:rsidP="00EE3034">
      <w:pPr>
        <w:spacing w:after="0" w:line="240" w:lineRule="auto"/>
        <w:jc w:val="both"/>
        <w:rPr>
          <w:rFonts w:ascii="Times New Roman" w:hAnsi="Times New Roman"/>
          <w:b/>
          <w:bCs/>
          <w:sz w:val="28"/>
          <w:szCs w:val="28"/>
        </w:rPr>
      </w:pPr>
    </w:p>
    <w:p w14:paraId="79421F82"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2025 budou všechny balené potravinářské a nepotravinářské výrobky označeny kromě prodejní ceny také měrnou cenou, což dá spotřebiteli možnost snadného a spolehlivého srovnání cen. Nebalené výrobky, které jsou váženy nebo měřeny v přítomnosti nakupujícího, a to buď samoobsluhy, nebo v prodeji s obsluhou, musí být označeny pouze měrnou cenou. Konkrétní seznam baleného nepotravinářského zboží bude zveřejněn ve vyhlášce Ministerstva financí.</w:t>
      </w:r>
    </w:p>
    <w:p w14:paraId="78BFC133" w14:textId="77777777" w:rsidR="00EE3034" w:rsidRDefault="00EE3034" w:rsidP="00EE3034">
      <w:pPr>
        <w:spacing w:after="0" w:line="240" w:lineRule="auto"/>
        <w:jc w:val="both"/>
        <w:rPr>
          <w:rFonts w:ascii="Times New Roman" w:hAnsi="Times New Roman"/>
          <w:sz w:val="28"/>
          <w:szCs w:val="28"/>
        </w:rPr>
      </w:pPr>
    </w:p>
    <w:p w14:paraId="6F63AED8" w14:textId="77777777" w:rsidR="00EE3034" w:rsidRDefault="00EE3034" w:rsidP="00EE3034">
      <w:pPr>
        <w:spacing w:after="0" w:line="240" w:lineRule="auto"/>
        <w:jc w:val="both"/>
        <w:rPr>
          <w:rFonts w:ascii="Times New Roman" w:hAnsi="Times New Roman"/>
          <w:i/>
          <w:iCs/>
          <w:sz w:val="28"/>
          <w:szCs w:val="28"/>
        </w:rPr>
      </w:pPr>
      <w:r>
        <w:rPr>
          <w:rFonts w:ascii="Times New Roman" w:hAnsi="Times New Roman"/>
          <w:i/>
          <w:iCs/>
          <w:sz w:val="28"/>
          <w:szCs w:val="28"/>
        </w:rPr>
        <w:t>Měrná cena je cena vztahující se k určité měrné jednotce (např. kilogram, litr, metr, kus) a používá se k usnadnění porovnávání cen různých výrobků nebo služeb, které mohou být baleny nebo nabízeny v různých množstvích.</w:t>
      </w:r>
    </w:p>
    <w:p w14:paraId="7FAF2E1F" w14:textId="77777777" w:rsidR="00230D18" w:rsidRDefault="00230D18" w:rsidP="00EE3034">
      <w:pPr>
        <w:spacing w:after="0" w:line="240" w:lineRule="auto"/>
        <w:jc w:val="both"/>
        <w:rPr>
          <w:rFonts w:ascii="Times New Roman" w:hAnsi="Times New Roman"/>
          <w:i/>
          <w:iCs/>
          <w:sz w:val="28"/>
          <w:szCs w:val="28"/>
        </w:rPr>
      </w:pPr>
    </w:p>
    <w:p w14:paraId="75EB7CF5" w14:textId="77777777" w:rsidR="00230D18" w:rsidRDefault="00230D18" w:rsidP="00EE3034">
      <w:pPr>
        <w:spacing w:after="0" w:line="240" w:lineRule="auto"/>
        <w:jc w:val="both"/>
        <w:rPr>
          <w:rFonts w:ascii="Times New Roman" w:hAnsi="Times New Roman"/>
          <w:i/>
          <w:iCs/>
          <w:sz w:val="28"/>
          <w:szCs w:val="28"/>
        </w:rPr>
      </w:pPr>
    </w:p>
    <w:p w14:paraId="15665B33"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Změny v oblasti FKSP</w:t>
      </w:r>
    </w:p>
    <w:p w14:paraId="12C572EB" w14:textId="77777777" w:rsidR="00EE3034" w:rsidRDefault="00EE3034" w:rsidP="00EE3034">
      <w:pPr>
        <w:spacing w:after="0" w:line="240" w:lineRule="auto"/>
        <w:jc w:val="both"/>
        <w:rPr>
          <w:rFonts w:ascii="Times New Roman" w:hAnsi="Times New Roman"/>
          <w:b/>
          <w:bCs/>
          <w:sz w:val="28"/>
          <w:szCs w:val="28"/>
        </w:rPr>
      </w:pPr>
    </w:p>
    <w:p w14:paraId="3BD66E79"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příštího roku bude zrušena podmínka čerpání FKSP, kdy nejméně polovina základního přídělu do fondu je povinně určena na podporu produktů na zabezpečení ve stáří zaměstnanců, které jsou osvobozeny od daně z příjmů fyzických osob.    Celý základní příděl tak bude možné čerpat na jakékoliv kulturní nebo sociální potřeby. Výše základního přídělu se nemění a zůstává ve výši 1 % z objemu nákladů zúčtovaných na platy/mzdy, jejich náhrady a odměny za pracovní pohotovost. (návrh na změnu v oblasti FKSP se v současné chvíli teprve nachází před projednáním Senátem ČR – viz pozměňovací návrh rozpočtového výboru k sněmovní tisk 700, je tedy možné, že změny nebudou účinné od 1. 1. 2025).</w:t>
      </w:r>
    </w:p>
    <w:p w14:paraId="2C58EE47" w14:textId="77777777" w:rsidR="00EE3034" w:rsidRDefault="00EE3034" w:rsidP="00EE3034">
      <w:pPr>
        <w:spacing w:after="0" w:line="240" w:lineRule="auto"/>
        <w:jc w:val="both"/>
        <w:rPr>
          <w:rFonts w:ascii="Times New Roman" w:hAnsi="Times New Roman"/>
          <w:sz w:val="28"/>
          <w:szCs w:val="28"/>
        </w:rPr>
      </w:pPr>
    </w:p>
    <w:p w14:paraId="6AB9D6DB"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 xml:space="preserve">Prodloužení platnosti daňových úlev na dary na podporu Ukrajiny až do roku 2027 </w:t>
      </w:r>
    </w:p>
    <w:p w14:paraId="7674912E" w14:textId="77777777" w:rsidR="00EE3034" w:rsidRDefault="00EE3034" w:rsidP="00EE3034">
      <w:pPr>
        <w:spacing w:after="0" w:line="240" w:lineRule="auto"/>
        <w:jc w:val="both"/>
        <w:rPr>
          <w:rFonts w:ascii="Times New Roman" w:hAnsi="Times New Roman"/>
          <w:b/>
          <w:bCs/>
          <w:sz w:val="28"/>
          <w:szCs w:val="28"/>
        </w:rPr>
      </w:pPr>
    </w:p>
    <w:p w14:paraId="70F29B0D"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Až do roku 2027 pokračuje zachování zvýšeného odpočtu darů na podporu Ukrajiny do </w:t>
      </w:r>
      <w:proofErr w:type="gramStart"/>
      <w:r>
        <w:rPr>
          <w:rFonts w:ascii="Times New Roman" w:hAnsi="Times New Roman"/>
          <w:sz w:val="28"/>
          <w:szCs w:val="28"/>
        </w:rPr>
        <w:t>výše  30</w:t>
      </w:r>
      <w:proofErr w:type="gramEnd"/>
      <w:r>
        <w:rPr>
          <w:rFonts w:ascii="Times New Roman" w:hAnsi="Times New Roman"/>
          <w:sz w:val="28"/>
          <w:szCs w:val="28"/>
        </w:rPr>
        <w:t xml:space="preserve"> % základu daně z příjmů. Současně stále platí, že finanční dary pořadatelům sbírek na veřejně prospěšné účely, tedy např. na dary v souvislosti se zářijovými povodněmi, jsou ze zákona odečitatelné od základu daně při splnění zákonem stanovených podmínek, a to rovněž maximálně do výše 30 % základu daně. (návrh zákona se v současné době nachází před 3. čtením v Poslanecké sněmovně – sněmovní tisk 727. Ministerstvo financí počítá s jeho přijetím tak, aby byl validní i pro zdaňovací období 2024).</w:t>
      </w:r>
    </w:p>
    <w:p w14:paraId="26333FFB" w14:textId="77777777" w:rsidR="00EE3034" w:rsidRDefault="00EE3034" w:rsidP="00EE3034">
      <w:pPr>
        <w:spacing w:after="0" w:line="240" w:lineRule="auto"/>
        <w:jc w:val="both"/>
        <w:rPr>
          <w:rFonts w:ascii="Times New Roman" w:hAnsi="Times New Roman"/>
          <w:sz w:val="28"/>
          <w:szCs w:val="28"/>
        </w:rPr>
      </w:pPr>
    </w:p>
    <w:p w14:paraId="3B5F5CA3" w14:textId="77777777" w:rsidR="000F4224" w:rsidRDefault="000F4224" w:rsidP="00EE3034">
      <w:pPr>
        <w:spacing w:after="0" w:line="240" w:lineRule="auto"/>
        <w:jc w:val="both"/>
        <w:rPr>
          <w:rFonts w:ascii="Times New Roman" w:hAnsi="Times New Roman"/>
          <w:sz w:val="28"/>
          <w:szCs w:val="28"/>
        </w:rPr>
      </w:pPr>
    </w:p>
    <w:p w14:paraId="172A3636"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 xml:space="preserve">Ochrana investorů do </w:t>
      </w:r>
      <w:proofErr w:type="spellStart"/>
      <w:r>
        <w:rPr>
          <w:rFonts w:ascii="Times New Roman" w:hAnsi="Times New Roman"/>
          <w:b/>
          <w:bCs/>
          <w:sz w:val="28"/>
          <w:szCs w:val="28"/>
        </w:rPr>
        <w:t>kryptoaktiv</w:t>
      </w:r>
      <w:proofErr w:type="spellEnd"/>
      <w:r>
        <w:rPr>
          <w:rFonts w:ascii="Times New Roman" w:hAnsi="Times New Roman"/>
          <w:b/>
          <w:bCs/>
          <w:sz w:val="28"/>
          <w:szCs w:val="28"/>
        </w:rPr>
        <w:t xml:space="preserve"> a nastavení pravidel pro obchodování s nimi</w:t>
      </w:r>
    </w:p>
    <w:p w14:paraId="496E67AB" w14:textId="77777777" w:rsidR="00EE3034" w:rsidRDefault="00EE3034" w:rsidP="00EE3034">
      <w:pPr>
        <w:spacing w:after="0" w:line="240" w:lineRule="auto"/>
        <w:jc w:val="both"/>
        <w:rPr>
          <w:rFonts w:ascii="Times New Roman" w:hAnsi="Times New Roman"/>
          <w:b/>
          <w:bCs/>
          <w:sz w:val="28"/>
          <w:szCs w:val="28"/>
        </w:rPr>
      </w:pPr>
    </w:p>
    <w:p w14:paraId="2B8BF1D9"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Obchodování s </w:t>
      </w:r>
      <w:proofErr w:type="spellStart"/>
      <w:r>
        <w:rPr>
          <w:rFonts w:ascii="Times New Roman" w:hAnsi="Times New Roman"/>
          <w:sz w:val="28"/>
          <w:szCs w:val="28"/>
        </w:rPr>
        <w:t>kryptoaktivy</w:t>
      </w:r>
      <w:proofErr w:type="spellEnd"/>
      <w:r>
        <w:rPr>
          <w:rFonts w:ascii="Times New Roman" w:hAnsi="Times New Roman"/>
          <w:sz w:val="28"/>
          <w:szCs w:val="28"/>
        </w:rPr>
        <w:t xml:space="preserve"> začne od 30. 12. 2024 podléhat zevrubné regulaci vycházející z evropského nařízení </w:t>
      </w:r>
      <w:proofErr w:type="spellStart"/>
      <w:r>
        <w:rPr>
          <w:rFonts w:ascii="Times New Roman" w:hAnsi="Times New Roman"/>
          <w:sz w:val="28"/>
          <w:szCs w:val="28"/>
        </w:rPr>
        <w:t>MiCA</w:t>
      </w:r>
      <w:proofErr w:type="spellEnd"/>
      <w:r>
        <w:rPr>
          <w:rFonts w:ascii="Times New Roman" w:hAnsi="Times New Roman"/>
          <w:sz w:val="28"/>
          <w:szCs w:val="28"/>
        </w:rPr>
        <w:t>. Hlavní dopady nařízení budou viditelné v roce 2025 a plně se uplatní od poloviny roku 2026. Služby související s </w:t>
      </w:r>
      <w:proofErr w:type="spellStart"/>
      <w:r>
        <w:rPr>
          <w:rFonts w:ascii="Times New Roman" w:hAnsi="Times New Roman"/>
          <w:sz w:val="28"/>
          <w:szCs w:val="28"/>
        </w:rPr>
        <w:t>kryptoaktivy</w:t>
      </w:r>
      <w:proofErr w:type="spellEnd"/>
      <w:r>
        <w:rPr>
          <w:rFonts w:ascii="Times New Roman" w:hAnsi="Times New Roman"/>
          <w:sz w:val="28"/>
          <w:szCs w:val="28"/>
        </w:rPr>
        <w:t xml:space="preserve"> budou nově moci poskytovat nebo </w:t>
      </w:r>
      <w:proofErr w:type="spellStart"/>
      <w:r>
        <w:rPr>
          <w:rFonts w:ascii="Times New Roman" w:hAnsi="Times New Roman"/>
          <w:sz w:val="28"/>
          <w:szCs w:val="28"/>
        </w:rPr>
        <w:t>kryptoaktiva</w:t>
      </w:r>
      <w:proofErr w:type="spellEnd"/>
      <w:r>
        <w:rPr>
          <w:rFonts w:ascii="Times New Roman" w:hAnsi="Times New Roman"/>
          <w:sz w:val="28"/>
          <w:szCs w:val="28"/>
        </w:rPr>
        <w:t xml:space="preserve"> veřejně nabízet jen subjekty dohlížené Českou národní bankou. To povede ke zkvalitnění poskytovaných služeb, ale především k větší ochraně investorů. Pravidla pro poskytování služeb souvisejících s </w:t>
      </w:r>
      <w:proofErr w:type="spellStart"/>
      <w:r>
        <w:rPr>
          <w:rFonts w:ascii="Times New Roman" w:hAnsi="Times New Roman"/>
          <w:sz w:val="28"/>
          <w:szCs w:val="28"/>
        </w:rPr>
        <w:t>kryptoaktivy</w:t>
      </w:r>
      <w:proofErr w:type="spellEnd"/>
      <w:r>
        <w:rPr>
          <w:rFonts w:ascii="Times New Roman" w:hAnsi="Times New Roman"/>
          <w:sz w:val="28"/>
          <w:szCs w:val="28"/>
        </w:rPr>
        <w:t xml:space="preserve"> se tak přiblíží tradičním investičním službám. Budou platit podmínky pro časový a hodnotový test pro osvobození od daně z příjmů fyzických osob. Časový test zaručí, že pokud jsou kryptoměny drženy déle než tři roky, jejich prodej nebude zdaněn. Hodnotový test zase umožní, že transakce do 100 tisíc Kč ročně nebude třeba uvádět v daňovém přiznání, podobně jako u cenných papírů. (návrh zákona se v současné chvíli nachází před projednáním Senátem ČR – Sněmovní tisk 692 a Sněmovní tisk 694).</w:t>
      </w:r>
    </w:p>
    <w:p w14:paraId="32C9ECCC" w14:textId="77777777" w:rsidR="00EE3034" w:rsidRDefault="00EE3034" w:rsidP="00EE3034">
      <w:pPr>
        <w:spacing w:after="0" w:line="240" w:lineRule="auto"/>
        <w:jc w:val="both"/>
        <w:rPr>
          <w:rFonts w:ascii="Times New Roman" w:hAnsi="Times New Roman"/>
          <w:sz w:val="28"/>
          <w:szCs w:val="28"/>
        </w:rPr>
      </w:pPr>
    </w:p>
    <w:p w14:paraId="2542FC0D" w14:textId="77777777" w:rsidR="000F4224" w:rsidRDefault="000F4224" w:rsidP="00EE3034">
      <w:pPr>
        <w:spacing w:after="0" w:line="240" w:lineRule="auto"/>
        <w:jc w:val="both"/>
        <w:rPr>
          <w:rFonts w:ascii="Times New Roman" w:hAnsi="Times New Roman"/>
          <w:sz w:val="28"/>
          <w:szCs w:val="28"/>
        </w:rPr>
      </w:pPr>
    </w:p>
    <w:p w14:paraId="078E1538"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Zvýšení daně z tabákových výrobků, zahřívaného tabáku a alternativních výrobků v souladu s principy ochrany veřejného zdraví</w:t>
      </w:r>
    </w:p>
    <w:p w14:paraId="70D0C747" w14:textId="77777777" w:rsidR="00EE3034" w:rsidRDefault="00EE3034" w:rsidP="00EE3034">
      <w:pPr>
        <w:spacing w:after="0" w:line="240" w:lineRule="auto"/>
        <w:jc w:val="both"/>
        <w:rPr>
          <w:rFonts w:ascii="Times New Roman" w:hAnsi="Times New Roman"/>
          <w:b/>
          <w:bCs/>
          <w:sz w:val="28"/>
          <w:szCs w:val="28"/>
        </w:rPr>
      </w:pPr>
    </w:p>
    <w:p w14:paraId="1479E901"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souladu s principy ochrany veřejného zdraví, bojem se závislostmi a doporučeními NERV pokračuje postupné zvyšování spotřební daně z tabákových výrobků, zahřívaných tabákových výrobků a tzv. výrobků souvisejících s tabákovými výrobky. </w:t>
      </w:r>
    </w:p>
    <w:p w14:paraId="23EC88BB" w14:textId="77777777" w:rsidR="00EE3034" w:rsidRDefault="00EE3034" w:rsidP="00EE3034">
      <w:pPr>
        <w:spacing w:after="0" w:line="240" w:lineRule="auto"/>
        <w:jc w:val="both"/>
        <w:rPr>
          <w:rFonts w:ascii="Times New Roman" w:hAnsi="Times New Roman"/>
          <w:sz w:val="28"/>
          <w:szCs w:val="28"/>
        </w:rPr>
      </w:pPr>
    </w:p>
    <w:p w14:paraId="44463EB5"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ledna 2025 dojde ke zvýšení sazeb spotřební daně z cigaret, tabáku ke kouření, doutníků a </w:t>
      </w:r>
      <w:proofErr w:type="spellStart"/>
      <w:r>
        <w:rPr>
          <w:rFonts w:ascii="Times New Roman" w:hAnsi="Times New Roman"/>
          <w:sz w:val="28"/>
          <w:szCs w:val="28"/>
        </w:rPr>
        <w:t>cigarillos</w:t>
      </w:r>
      <w:proofErr w:type="spellEnd"/>
      <w:r>
        <w:rPr>
          <w:rFonts w:ascii="Times New Roman" w:hAnsi="Times New Roman"/>
          <w:sz w:val="28"/>
          <w:szCs w:val="28"/>
        </w:rPr>
        <w:t xml:space="preserve"> o 5 %. Stejným tempem porostou sazby spotřební daně u těchto výrobků i v letech 2026 a 2027. V letech 2025-2027 dojde také k navyšování sazeb spotřební daně u zahřívaného tabáku, a to tempem 15 % ročně. Rychlejší růst sazeb u zahřívaného tabáku sleduje vývoj v okolních zemích a odborníky doporučované přiblížení zdanění zahřívaného tabáku k cigaretám.</w:t>
      </w:r>
    </w:p>
    <w:p w14:paraId="55E07840"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br/>
        <w:t xml:space="preserve">     Zvýšení sazeb spotřební daně se bude aplikovat i u nově zdaňovaných alternativních tabákových výrobků. Sazba spotřební daně z náplní do elektronických cigaret bude v roce 2025 činit 5 Kč/ml, v případě nikotinových sáčků 0,8 Kč/g. S nárůstem sazeb je nutné počítat i v následujících dvou letech. V případě náplní do elektronických cigaret sazba spotřební daně v roce 2027 dosáhne úrovně 10 Kč/ml, u nikotinových sáčků to bude 1,7 Kč/g. Zdanění nových alternativních výrobků sleduje celoevropský trend, a to aplikovat spotřební daň na všechny komodity, které fungují nejenom na bázi tabáku, ale i nikotinu a případně dalších látek. Nastavená míra zdanění je však v případě těchto inovativních výrobků významně nižší než u tradičních tabákových výrobků, a to zejména z důvodu jejich deklarované nižší míry škodlivosti pro lidské zdraví.</w:t>
      </w:r>
    </w:p>
    <w:p w14:paraId="1F720891" w14:textId="77777777" w:rsidR="00EE3034" w:rsidRDefault="00EE3034" w:rsidP="00EE3034">
      <w:pPr>
        <w:spacing w:after="0" w:line="240" w:lineRule="auto"/>
        <w:jc w:val="both"/>
        <w:rPr>
          <w:rFonts w:ascii="Times New Roman" w:hAnsi="Times New Roman"/>
          <w:sz w:val="28"/>
          <w:szCs w:val="28"/>
        </w:rPr>
      </w:pPr>
    </w:p>
    <w:p w14:paraId="74BF69EE"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Co se týká zdanění tradičních tabákových výrobků v okolních zemích, jmenovitě cigaret, nejvyšší minimální sazba spotřební daně je v Německu (177 EUR/1 000 ks), dále v Rakousku a České republice (173 EUR), na Slovensku (148 EUR) a na posledním místě v Polsku (123 EUR). Všechny okolní státy postupně navyšují sazby spotřební daně. V případě Polska je odsouhlasen růst sazeb spotřební daně o 10 %, a to jak pro rok 2025, tak pro rok 2026.</w:t>
      </w:r>
    </w:p>
    <w:p w14:paraId="6E4FC5B2" w14:textId="77777777" w:rsidR="00EE3034" w:rsidRDefault="00EE3034" w:rsidP="00EE3034">
      <w:pPr>
        <w:spacing w:after="0" w:line="240" w:lineRule="auto"/>
        <w:jc w:val="both"/>
        <w:rPr>
          <w:rFonts w:ascii="Times New Roman" w:hAnsi="Times New Roman"/>
          <w:sz w:val="28"/>
          <w:szCs w:val="28"/>
        </w:rPr>
      </w:pPr>
    </w:p>
    <w:p w14:paraId="05602FC9"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Zvýšení daně z lihu v souladu s principy ochrany veřejného zdraví</w:t>
      </w:r>
    </w:p>
    <w:p w14:paraId="5615D7B5" w14:textId="77777777" w:rsidR="00EE3034" w:rsidRDefault="00EE3034" w:rsidP="00EE3034">
      <w:pPr>
        <w:spacing w:after="0" w:line="240" w:lineRule="auto"/>
        <w:jc w:val="both"/>
        <w:rPr>
          <w:rFonts w:ascii="Times New Roman" w:hAnsi="Times New Roman"/>
          <w:b/>
          <w:bCs/>
          <w:sz w:val="28"/>
          <w:szCs w:val="28"/>
        </w:rPr>
      </w:pPr>
    </w:p>
    <w:p w14:paraId="1F01229B"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návaznosti na ozdravný balíček pokračuje zvýšení sazby spotřební daně z lihu. V roce 2025 se navýší o 10 % a následně v roce 2026 o 5 %.</w:t>
      </w:r>
    </w:p>
    <w:p w14:paraId="099964B6" w14:textId="77777777" w:rsidR="00EE3034" w:rsidRDefault="00EE3034" w:rsidP="00EE3034">
      <w:pPr>
        <w:spacing w:after="0" w:line="240" w:lineRule="auto"/>
        <w:jc w:val="both"/>
        <w:rPr>
          <w:rFonts w:ascii="Times New Roman" w:hAnsi="Times New Roman"/>
          <w:sz w:val="28"/>
          <w:szCs w:val="28"/>
        </w:rPr>
      </w:pPr>
    </w:p>
    <w:p w14:paraId="5CB949C5"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souladu s principy ochrany veřejného zdraví, bojem se závislostmi a doporučeními z NERV byl od 1. ledna 2024 nastaven tříletý harmonogram růstu sazeb spotřební daně z lihu. Tento harmonogram přináší transparentní plán a svým přesahem přes stávající volební období této vlády nebude ovlivněn volebním </w:t>
      </w:r>
      <w:r>
        <w:rPr>
          <w:rFonts w:ascii="Times New Roman" w:hAnsi="Times New Roman"/>
          <w:sz w:val="28"/>
          <w:szCs w:val="28"/>
        </w:rPr>
        <w:lastRenderedPageBreak/>
        <w:t>cyklem. Na základě trvalé výjimky dojednané v EU se bude nadále uplatňovat poloviční sazba u produktů z pěstitelského pálení pro vlastní spotřebu pěstitele.</w:t>
      </w:r>
    </w:p>
    <w:p w14:paraId="4B4FF87C" w14:textId="77777777" w:rsidR="00EE3034" w:rsidRDefault="00EE3034" w:rsidP="00EE3034">
      <w:pPr>
        <w:spacing w:after="0" w:line="240" w:lineRule="auto"/>
        <w:jc w:val="both"/>
        <w:rPr>
          <w:rFonts w:ascii="Times New Roman" w:hAnsi="Times New Roman"/>
          <w:sz w:val="28"/>
          <w:szCs w:val="28"/>
        </w:rPr>
      </w:pPr>
    </w:p>
    <w:p w14:paraId="55FC98CB"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Pro srovnání, výše spotřební daně z lihu v roce 2024 činí v případě půl litru 40 % lihoviny 71 Kč, v roce 2025 vzroste tato sazba na 78,2 Kč, tedy o 7,2 Kč.</w:t>
      </w:r>
    </w:p>
    <w:p w14:paraId="567E853A"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Zrušení registrace ke spotřební dani a zjednodušení v oblasti povolovacích řízení.</w:t>
      </w:r>
    </w:p>
    <w:p w14:paraId="4EC9E7F9" w14:textId="77777777" w:rsidR="00EE3034" w:rsidRDefault="00EE3034" w:rsidP="00EE3034">
      <w:pPr>
        <w:spacing w:after="0" w:line="240" w:lineRule="auto"/>
        <w:jc w:val="both"/>
        <w:rPr>
          <w:rFonts w:ascii="Times New Roman" w:hAnsi="Times New Roman"/>
          <w:sz w:val="28"/>
          <w:szCs w:val="28"/>
        </w:rPr>
      </w:pPr>
    </w:p>
    <w:p w14:paraId="32D5167F"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Pro nadbytečnost bude od roku 2025 zrušeno registrační řízení ke spotřební dani a bude ponecháno pouze řízení povolovací, ze kterého bude správce daně automaticky zjišťovat většinu dnes získávaných údajů, např. údaje o bezdlužnosti. Tím se výrazně sníží administrativa subjektů spojená s vydáváním a změnou povolení.</w:t>
      </w:r>
    </w:p>
    <w:p w14:paraId="33CCD437" w14:textId="77777777" w:rsidR="00EE3034" w:rsidRDefault="00EE3034" w:rsidP="00EE3034">
      <w:pPr>
        <w:spacing w:after="0" w:line="240" w:lineRule="auto"/>
        <w:jc w:val="both"/>
        <w:rPr>
          <w:rFonts w:ascii="Times New Roman" w:hAnsi="Times New Roman"/>
          <w:sz w:val="28"/>
          <w:szCs w:val="28"/>
        </w:rPr>
      </w:pPr>
    </w:p>
    <w:p w14:paraId="53F5FFCC"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Vracení spotřební daně u tzv. zelené nafty</w:t>
      </w:r>
    </w:p>
    <w:p w14:paraId="1F630955" w14:textId="77777777" w:rsidR="00EE3034" w:rsidRDefault="00EE3034" w:rsidP="00EE3034">
      <w:pPr>
        <w:spacing w:after="0" w:line="240" w:lineRule="auto"/>
        <w:jc w:val="both"/>
        <w:rPr>
          <w:rFonts w:ascii="Times New Roman" w:hAnsi="Times New Roman"/>
          <w:b/>
          <w:bCs/>
          <w:sz w:val="28"/>
          <w:szCs w:val="28"/>
        </w:rPr>
      </w:pPr>
    </w:p>
    <w:p w14:paraId="3569BBA6"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Zemědělci mohou od roku 2025 žádat o vratku části spotřební daně ze zelené nafty, tedy nafty prokazatelně používané pro rostlinnou nebo živočišnou výrobu, dvakrát ročně, namísto dosavadní jedné žádosti. Změna se vztahuje na ty subjekty, kteří uplatňují vratku daně vyšší než 50 000 Kč za rok.</w:t>
      </w:r>
    </w:p>
    <w:p w14:paraId="3450AADE" w14:textId="77777777" w:rsidR="00EE3034" w:rsidRDefault="00EE3034" w:rsidP="00EE3034">
      <w:pPr>
        <w:spacing w:after="0" w:line="240" w:lineRule="auto"/>
        <w:jc w:val="both"/>
        <w:rPr>
          <w:rFonts w:ascii="Times New Roman" w:hAnsi="Times New Roman"/>
          <w:sz w:val="28"/>
          <w:szCs w:val="28"/>
        </w:rPr>
      </w:pPr>
    </w:p>
    <w:p w14:paraId="15B7DF24"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Snížená sazba spotřební daně pro malé nezávislé pivovary</w:t>
      </w:r>
    </w:p>
    <w:p w14:paraId="49F82F69" w14:textId="77777777" w:rsidR="00EE3034" w:rsidRDefault="00EE3034" w:rsidP="00EE3034">
      <w:pPr>
        <w:spacing w:after="0" w:line="240" w:lineRule="auto"/>
        <w:jc w:val="both"/>
        <w:rPr>
          <w:rFonts w:ascii="Times New Roman" w:hAnsi="Times New Roman"/>
          <w:b/>
          <w:bCs/>
          <w:sz w:val="28"/>
          <w:szCs w:val="28"/>
        </w:rPr>
      </w:pPr>
    </w:p>
    <w:p w14:paraId="513FA5FC"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Malé pivovary vzájemně hospodářsky a právně závislé mohou od roku 2025 při splnění několika podmínek (limit výroby, výrobní nezávislost) dosáhnout ze zákona na sníženou sazbu spotřební daně z piva a hledí se na ně jako na malé nezávislé pivovary. Objem výroby malých nezávislých pivovarů, které jsou právně nebo hospodářsky propojené nebo vyrábí pivo v licenci ve vzájemném vztahu, se bude moci sčítat a v takovém případě bude moci být uplatňována snížená sazba spotřební daně z piva stanovená na základě součtu jejich ročních výrob.</w:t>
      </w:r>
    </w:p>
    <w:p w14:paraId="11CFA265" w14:textId="77777777" w:rsidR="00EE3034" w:rsidRDefault="00EE3034" w:rsidP="00EE3034">
      <w:pPr>
        <w:spacing w:after="0" w:line="240" w:lineRule="auto"/>
        <w:jc w:val="both"/>
        <w:rPr>
          <w:rFonts w:ascii="Times New Roman" w:hAnsi="Times New Roman"/>
          <w:sz w:val="28"/>
          <w:szCs w:val="28"/>
        </w:rPr>
      </w:pPr>
    </w:p>
    <w:p w14:paraId="6595BB1B"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Úprava zdaňovacího období pro malé plátce daně z elektřiny</w:t>
      </w:r>
    </w:p>
    <w:p w14:paraId="3C37E069" w14:textId="77777777" w:rsidR="00EE3034" w:rsidRDefault="00EE3034" w:rsidP="00EE3034">
      <w:pPr>
        <w:spacing w:after="0" w:line="240" w:lineRule="auto"/>
        <w:jc w:val="both"/>
        <w:rPr>
          <w:rFonts w:ascii="Times New Roman" w:hAnsi="Times New Roman"/>
          <w:b/>
          <w:bCs/>
          <w:sz w:val="28"/>
          <w:szCs w:val="28"/>
        </w:rPr>
      </w:pPr>
    </w:p>
    <w:p w14:paraId="46A901AC"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Plátci daně z elektřiny, kteří mají daňový základ nižší než 350 </w:t>
      </w:r>
      <w:proofErr w:type="spellStart"/>
      <w:r>
        <w:rPr>
          <w:rFonts w:ascii="Times New Roman" w:hAnsi="Times New Roman"/>
          <w:sz w:val="28"/>
          <w:szCs w:val="28"/>
        </w:rPr>
        <w:t>MWh</w:t>
      </w:r>
      <w:proofErr w:type="spellEnd"/>
      <w:r>
        <w:rPr>
          <w:rFonts w:ascii="Times New Roman" w:hAnsi="Times New Roman"/>
          <w:sz w:val="28"/>
          <w:szCs w:val="28"/>
        </w:rPr>
        <w:t xml:space="preserve"> ročně (což odpovídá výši daně cca 10 000 Kč ročně), budou mít roku 2025 prodlouženo zdaňovací období z kalendářního měsíce na kalendářní pololetí. Dotčený plátce bude podávat dvě daňová přiznání ročně namísto stávajících dvanácti, čímž dojde ke značnému snížení jeho administrativní zátěže.</w:t>
      </w:r>
    </w:p>
    <w:p w14:paraId="5CB2020B" w14:textId="77777777" w:rsidR="00EE3034" w:rsidRDefault="00EE3034" w:rsidP="00EE3034">
      <w:pPr>
        <w:spacing w:after="0" w:line="240" w:lineRule="auto"/>
        <w:jc w:val="both"/>
        <w:rPr>
          <w:rFonts w:ascii="Times New Roman" w:hAnsi="Times New Roman"/>
          <w:sz w:val="28"/>
          <w:szCs w:val="28"/>
        </w:rPr>
      </w:pPr>
    </w:p>
    <w:p w14:paraId="340542AD" w14:textId="77777777" w:rsidR="00EE3034" w:rsidRDefault="00EE3034" w:rsidP="00EE3034">
      <w:pPr>
        <w:spacing w:after="0" w:line="240" w:lineRule="auto"/>
        <w:jc w:val="both"/>
        <w:rPr>
          <w:rFonts w:ascii="Times New Roman" w:hAnsi="Times New Roman"/>
          <w:sz w:val="28"/>
          <w:szCs w:val="28"/>
        </w:rPr>
      </w:pPr>
    </w:p>
    <w:p w14:paraId="48DBC927"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Změny v osvobození pozemků od daně z nemovitých věcí</w:t>
      </w:r>
    </w:p>
    <w:p w14:paraId="32C0C2FF" w14:textId="77777777" w:rsidR="00EE3034" w:rsidRDefault="00EE3034" w:rsidP="00EE3034">
      <w:pPr>
        <w:spacing w:after="0" w:line="240" w:lineRule="auto"/>
        <w:jc w:val="both"/>
        <w:rPr>
          <w:rFonts w:ascii="Times New Roman" w:hAnsi="Times New Roman"/>
          <w:b/>
          <w:bCs/>
          <w:sz w:val="28"/>
          <w:szCs w:val="28"/>
        </w:rPr>
      </w:pPr>
    </w:p>
    <w:p w14:paraId="280584B5" w14:textId="77777777" w:rsidR="00EE3034" w:rsidRDefault="00EE3034" w:rsidP="00EE3034">
      <w:pPr>
        <w:spacing w:after="0" w:line="240" w:lineRule="auto"/>
        <w:jc w:val="both"/>
      </w:pPr>
      <w:r>
        <w:rPr>
          <w:rFonts w:ascii="Times New Roman" w:hAnsi="Times New Roman"/>
          <w:sz w:val="28"/>
          <w:szCs w:val="28"/>
        </w:rPr>
        <w:t xml:space="preserve">     Od daně z nemovitých věcí zůstávají osvobozeny pozemky s krajinnými prvky (např. dřeviny, mokřady nebo příkopy), pokud jsou vedeny v evidenci ekologicky </w:t>
      </w:r>
      <w:r>
        <w:rPr>
          <w:rFonts w:ascii="Times New Roman" w:hAnsi="Times New Roman"/>
          <w:sz w:val="28"/>
          <w:szCs w:val="28"/>
        </w:rPr>
        <w:lastRenderedPageBreak/>
        <w:t xml:space="preserve">významných prvků, tzv. LPIS. Od 1. ledna 2025 se osvobození od daně rozšiřuje o další krajinné prvky, jako jsou krajinotvorné sady, terasy, solitérní dřeviny nebo skalky, to znamená, že </w:t>
      </w:r>
      <w:r>
        <w:rPr>
          <w:rFonts w:ascii="Times New Roman" w:hAnsi="Times New Roman"/>
          <w:b/>
          <w:bCs/>
          <w:sz w:val="28"/>
          <w:szCs w:val="28"/>
        </w:rPr>
        <w:t xml:space="preserve">od 1. ledna 2025 jsou od daně osvobozeny všechny ekologicky významné prvky evidované v LPIS. </w:t>
      </w:r>
      <w:r>
        <w:rPr>
          <w:rFonts w:ascii="Times New Roman" w:hAnsi="Times New Roman"/>
          <w:sz w:val="28"/>
          <w:szCs w:val="28"/>
        </w:rPr>
        <w:t>Zároveň se ruší osvobození u pozemků „ostatní plochy“ mimo zastavěné území, na kterých se nacházejí krajinné prvky a jiné vybrané útvary, které nejsou v LPIS evidovány, s tím, že drtivá většina pozemků, na kterých se tyto přírodní útvary nacházejí, bude zdaněna výrazně nižší sazbou daně (0,08 Kč/m</w:t>
      </w:r>
      <w:r>
        <w:rPr>
          <w:rFonts w:ascii="Times New Roman" w:hAnsi="Times New Roman"/>
          <w:sz w:val="28"/>
          <w:szCs w:val="28"/>
          <w:vertAlign w:val="superscript"/>
        </w:rPr>
        <w:t>2</w:t>
      </w:r>
      <w:r>
        <w:rPr>
          <w:rFonts w:ascii="Times New Roman" w:hAnsi="Times New Roman"/>
          <w:sz w:val="28"/>
          <w:szCs w:val="28"/>
        </w:rPr>
        <w:t>). Obce mohou tuto daň dále snížit až na polovinu stanovením místního koeficientu nebo tyto pozemky zcela osvobodit obecně závaznou vyhláškou.</w:t>
      </w:r>
    </w:p>
    <w:p w14:paraId="76C0E5F2" w14:textId="77777777" w:rsidR="00EE3034" w:rsidRDefault="00EE3034" w:rsidP="00EE3034">
      <w:pPr>
        <w:spacing w:after="0" w:line="240" w:lineRule="auto"/>
        <w:jc w:val="both"/>
        <w:rPr>
          <w:rFonts w:ascii="Times New Roman" w:hAnsi="Times New Roman"/>
          <w:sz w:val="28"/>
          <w:szCs w:val="28"/>
        </w:rPr>
      </w:pPr>
    </w:p>
    <w:p w14:paraId="61427F15"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Osvobozeny zůstávají také lesní pozemky určené pro rozvody elektřiny a plynu, přičemž od roku 2025 je přesněji vymezeno, že jde o hospodářské lesy v rozsahu potřebném pro tyto rozvody.</w:t>
      </w:r>
    </w:p>
    <w:p w14:paraId="4F12205F" w14:textId="77777777" w:rsidR="00EE3034" w:rsidRDefault="00EE3034" w:rsidP="00EE3034">
      <w:pPr>
        <w:spacing w:after="0" w:line="240" w:lineRule="auto"/>
        <w:jc w:val="both"/>
        <w:rPr>
          <w:rFonts w:ascii="Times New Roman" w:hAnsi="Times New Roman"/>
          <w:sz w:val="28"/>
          <w:szCs w:val="28"/>
        </w:rPr>
      </w:pPr>
    </w:p>
    <w:p w14:paraId="0570AAE4"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Změny v místních koeficientech obcí</w:t>
      </w:r>
    </w:p>
    <w:p w14:paraId="4E58A027" w14:textId="77777777" w:rsidR="00EE3034" w:rsidRDefault="00EE3034" w:rsidP="00EE3034">
      <w:pPr>
        <w:spacing w:after="0" w:line="240" w:lineRule="auto"/>
        <w:jc w:val="both"/>
        <w:rPr>
          <w:rFonts w:ascii="Times New Roman" w:hAnsi="Times New Roman"/>
          <w:b/>
          <w:bCs/>
          <w:sz w:val="28"/>
          <w:szCs w:val="28"/>
        </w:rPr>
      </w:pPr>
    </w:p>
    <w:p w14:paraId="3904E244" w14:textId="77777777" w:rsidR="00EE3034" w:rsidRDefault="00EE3034" w:rsidP="00EE30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1. ledna 2025 budou mít obce větší pravomoc upravovat místní koeficient podle svých potřeb a místních specifik. Ruší se možnost obce snižovat koeficient podle počtu obyvatel, který se uplatní u stavebních pozemků, obytných budov a ostatních zdanitelných jednotek. Nově obce mohou stanovit místní koeficient již od hodnoty 0,5, a tím zachovat snížení daně u těchto nemovitých věcí.</w:t>
      </w:r>
    </w:p>
    <w:p w14:paraId="0B692C57" w14:textId="77777777" w:rsidR="00EE3034" w:rsidRDefault="00EE3034" w:rsidP="00EE3034">
      <w:pPr>
        <w:spacing w:after="0" w:line="240" w:lineRule="auto"/>
        <w:jc w:val="both"/>
        <w:rPr>
          <w:rFonts w:ascii="Times New Roman" w:hAnsi="Times New Roman"/>
          <w:sz w:val="28"/>
          <w:szCs w:val="28"/>
        </w:rPr>
      </w:pPr>
    </w:p>
    <w:p w14:paraId="5CD6ACB7"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Zároveň se ruší koeficient 1,5 pro rekreační budovy, garáže a nemovité věci užívané k podnikání. Jako náhradu mohou obce nově stanovit místní koeficient pro konkrétní skupiny nemovitých věcí, například pro rekreační budovy nebo garáže. Změny provede správce daně automaticky, takže poplatníci nemusí podávat nové daňové přiznání na rok 2025.</w:t>
      </w:r>
    </w:p>
    <w:p w14:paraId="32ACE1A4" w14:textId="77777777" w:rsidR="00EE3034" w:rsidRDefault="00EE3034" w:rsidP="00EE3034">
      <w:pPr>
        <w:spacing w:after="0" w:line="240" w:lineRule="auto"/>
        <w:jc w:val="both"/>
        <w:rPr>
          <w:rFonts w:ascii="Times New Roman" w:hAnsi="Times New Roman"/>
          <w:sz w:val="28"/>
          <w:szCs w:val="28"/>
        </w:rPr>
      </w:pPr>
    </w:p>
    <w:p w14:paraId="2D591F67"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případě koeficientů podle počtu obyvatel od 1. ledna 2025 nebude rozhodující počet obyvatel obce podle posledního sčítání lidu, ale bude vycházet se z údajů uvedených ve vyhlášce k provedení zákona o rozpočtovém určení daní, ve znění účinném k prvnímu dni zdaňovacího období.</w:t>
      </w:r>
    </w:p>
    <w:p w14:paraId="4F168F8E" w14:textId="77777777" w:rsidR="00EE3034" w:rsidRDefault="00EE3034" w:rsidP="00EE3034">
      <w:pPr>
        <w:spacing w:after="0" w:line="240" w:lineRule="auto"/>
        <w:jc w:val="both"/>
        <w:rPr>
          <w:rFonts w:ascii="Times New Roman" w:hAnsi="Times New Roman"/>
          <w:sz w:val="28"/>
          <w:szCs w:val="28"/>
        </w:rPr>
      </w:pPr>
    </w:p>
    <w:p w14:paraId="09825256" w14:textId="77777777" w:rsidR="00031FE1" w:rsidRDefault="00031FE1" w:rsidP="00EE3034">
      <w:pPr>
        <w:spacing w:after="0" w:line="240" w:lineRule="auto"/>
        <w:jc w:val="both"/>
        <w:rPr>
          <w:rFonts w:ascii="Times New Roman" w:hAnsi="Times New Roman"/>
          <w:sz w:val="28"/>
          <w:szCs w:val="28"/>
        </w:rPr>
      </w:pPr>
    </w:p>
    <w:p w14:paraId="2F8E0BF6"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Komplexní úprava stanovování místních koeficientů u daně z nemovitých věcí</w:t>
      </w:r>
    </w:p>
    <w:p w14:paraId="776D99E1" w14:textId="77777777" w:rsidR="00EE3034" w:rsidRDefault="00EE3034" w:rsidP="00EE3034">
      <w:pPr>
        <w:spacing w:after="0" w:line="240" w:lineRule="auto"/>
        <w:jc w:val="both"/>
        <w:rPr>
          <w:rFonts w:ascii="Times New Roman" w:hAnsi="Times New Roman"/>
          <w:b/>
          <w:bCs/>
          <w:sz w:val="28"/>
          <w:szCs w:val="28"/>
        </w:rPr>
      </w:pPr>
    </w:p>
    <w:p w14:paraId="411062D1" w14:textId="51AC8896" w:rsidR="00EE3034" w:rsidRPr="00031FE1" w:rsidRDefault="00EE3034" w:rsidP="00EE3034">
      <w:pPr>
        <w:spacing w:after="0" w:line="240" w:lineRule="auto"/>
        <w:jc w:val="both"/>
      </w:pPr>
      <w:r>
        <w:rPr>
          <w:rFonts w:ascii="Times New Roman" w:hAnsi="Times New Roman"/>
          <w:b/>
          <w:bCs/>
          <w:sz w:val="28"/>
          <w:szCs w:val="28"/>
        </w:rPr>
        <w:t xml:space="preserve">     </w:t>
      </w:r>
      <w:r>
        <w:rPr>
          <w:rFonts w:ascii="Times New Roman" w:hAnsi="Times New Roman"/>
          <w:sz w:val="28"/>
          <w:szCs w:val="28"/>
        </w:rPr>
        <w:t>Doposud mohly obce stanovit místní koeficient pouze obecně závaznou vyhláškou. Od 1. ledna 2025 se upřesňují pravidla, podle kterých obce mohou nastavit místní koeficient obecně závaznou vyhláškou pro územně nebo druhově vymezené nemovité věci (např. pro městské části, katastrální území, všechny garáže nebo všechny budovy užívané k podnikání) a nově i opatřením obecné povahy pro jednotlivé nemovité věci.</w:t>
      </w:r>
    </w:p>
    <w:p w14:paraId="2CABC5FE"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Aby se tyto změny projevily ve zdaňovacím období roku 2025, musely být provedeny platnou obecně závaznou vyhláškou do 1. října 2024, v případě opatření obecné povahy pak do 30. června 2024.</w:t>
      </w:r>
    </w:p>
    <w:p w14:paraId="54D7617C" w14:textId="77777777" w:rsidR="00EE3034" w:rsidRDefault="00EE3034" w:rsidP="00EE3034">
      <w:pPr>
        <w:spacing w:after="0" w:line="240" w:lineRule="auto"/>
        <w:jc w:val="both"/>
        <w:rPr>
          <w:rFonts w:ascii="Times New Roman" w:hAnsi="Times New Roman"/>
          <w:sz w:val="28"/>
          <w:szCs w:val="28"/>
        </w:rPr>
      </w:pPr>
    </w:p>
    <w:p w14:paraId="227A290A" w14:textId="0C991742"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Přeshraniční režim pro malé podniky</w:t>
      </w:r>
    </w:p>
    <w:p w14:paraId="438525D2"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souladu s unijní úpravou od roku 2025 malé podniky se sídlem v jiném členském státu EU, které v kalendářním roce nepřekročí tuzemský obrat 2 mil. Kč a unijní obrat ve výši 100 000 EUR, mohou využívat osvobození v tzv. režimu pro malé podniky jako tuzemští neplátci. To znamená, že se v ČR nestanou plátci. Totéž bude obdobně platit i pro české malé podniky (bez ohledu na to, zda jsou v ČR plátci či nikoli), které budou chtít využít tohoto osvobození v jiných členských státech EU.</w:t>
      </w:r>
    </w:p>
    <w:p w14:paraId="6608C42D" w14:textId="77777777" w:rsidR="00EE3034" w:rsidRDefault="00EE3034" w:rsidP="00EE3034">
      <w:pPr>
        <w:spacing w:after="0" w:line="240" w:lineRule="auto"/>
        <w:jc w:val="both"/>
        <w:rPr>
          <w:rFonts w:ascii="Times New Roman" w:hAnsi="Times New Roman"/>
          <w:sz w:val="28"/>
          <w:szCs w:val="28"/>
        </w:rPr>
      </w:pPr>
    </w:p>
    <w:p w14:paraId="795AD8D9"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Změny v osvobození od DPH v případě dodání nemovité věci</w:t>
      </w:r>
    </w:p>
    <w:p w14:paraId="2D3DE941" w14:textId="77777777" w:rsidR="00EE3034" w:rsidRDefault="00EE3034" w:rsidP="00EE3034">
      <w:pPr>
        <w:spacing w:after="0" w:line="240" w:lineRule="auto"/>
        <w:jc w:val="both"/>
        <w:rPr>
          <w:rFonts w:ascii="Times New Roman" w:hAnsi="Times New Roman"/>
          <w:b/>
          <w:bCs/>
          <w:sz w:val="28"/>
          <w:szCs w:val="28"/>
        </w:rPr>
      </w:pPr>
    </w:p>
    <w:p w14:paraId="3B2A3629"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Od 1. července 2025 dojde ke zjednodušení systému zdanění, resp. osvobození u prodeje nemovité věci. Nově se zdaní pouze první prodej nemovité věci po kolaudaci nebo po podstatné změně. Následné prodeje již budou osvobozeny bez nároku na odpočet. I nadále zůstává možnost prodej nemovité věci zdanit.</w:t>
      </w:r>
    </w:p>
    <w:p w14:paraId="5D6C8AAD" w14:textId="77777777" w:rsidR="00EE3034" w:rsidRDefault="00EE3034" w:rsidP="00EE3034">
      <w:pPr>
        <w:spacing w:after="0" w:line="240" w:lineRule="auto"/>
        <w:jc w:val="both"/>
        <w:rPr>
          <w:rFonts w:ascii="Times New Roman" w:hAnsi="Times New Roman"/>
          <w:sz w:val="28"/>
          <w:szCs w:val="28"/>
        </w:rPr>
      </w:pPr>
    </w:p>
    <w:p w14:paraId="2810E923" w14:textId="77777777" w:rsidR="00EE3034" w:rsidRDefault="00EE3034" w:rsidP="00EE3034">
      <w:pPr>
        <w:spacing w:after="0" w:line="240" w:lineRule="auto"/>
        <w:jc w:val="both"/>
        <w:rPr>
          <w:rFonts w:ascii="Times New Roman" w:hAnsi="Times New Roman"/>
          <w:b/>
          <w:bCs/>
          <w:sz w:val="28"/>
          <w:szCs w:val="28"/>
        </w:rPr>
      </w:pPr>
      <w:r>
        <w:rPr>
          <w:rFonts w:ascii="Times New Roman" w:hAnsi="Times New Roman"/>
          <w:b/>
          <w:bCs/>
          <w:sz w:val="28"/>
          <w:szCs w:val="28"/>
        </w:rPr>
        <w:t>Redukce poboček Celní správy ČR a změna kompetence</w:t>
      </w:r>
    </w:p>
    <w:p w14:paraId="2BCCB8D6" w14:textId="77777777" w:rsidR="00EE3034" w:rsidRDefault="00EE3034" w:rsidP="00EE3034">
      <w:pPr>
        <w:spacing w:after="0" w:line="240" w:lineRule="auto"/>
        <w:jc w:val="both"/>
        <w:rPr>
          <w:rFonts w:ascii="Times New Roman" w:hAnsi="Times New Roman"/>
          <w:b/>
          <w:bCs/>
          <w:sz w:val="28"/>
          <w:szCs w:val="28"/>
        </w:rPr>
      </w:pPr>
    </w:p>
    <w:p w14:paraId="67DBAA67"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V souvislosti s ozdravným balíčkem dojde od 1. července 2025 k redukci celních úřadů z dosavadních 15 na 6 celních úřadů. Tím dojde k vytvoření srovnatelně zatížených celních úřadů.</w:t>
      </w:r>
    </w:p>
    <w:p w14:paraId="71252840" w14:textId="77777777" w:rsidR="00EE3034" w:rsidRDefault="00EE3034" w:rsidP="00EE3034">
      <w:pPr>
        <w:spacing w:after="0" w:line="240" w:lineRule="auto"/>
        <w:jc w:val="both"/>
        <w:rPr>
          <w:rFonts w:ascii="Times New Roman" w:hAnsi="Times New Roman"/>
          <w:sz w:val="28"/>
          <w:szCs w:val="28"/>
        </w:rPr>
      </w:pPr>
    </w:p>
    <w:p w14:paraId="3986229A"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 xml:space="preserve">     Zároveň dojde ke změně kompetence Celní správy ČR. Jejími kmenovými působnostmi budou: celnictví, správa daní (zejména spotřebních a energetických), dělená správa (správa placení a vymáhání peněžitých plnění za jiné orgány) a dozor v oblasti hazardních her. Podpůrnými oblastmi pro výkon hlavních kompetencí budou oblasti pátrání (role policejního orgánu) a dohledové činnosti primárně ve vztahu ke zboží.</w:t>
      </w:r>
    </w:p>
    <w:p w14:paraId="69EA3174" w14:textId="77777777" w:rsidR="00EE3034" w:rsidRDefault="00EE3034" w:rsidP="00EE3034">
      <w:pPr>
        <w:spacing w:after="0" w:line="240" w:lineRule="auto"/>
        <w:jc w:val="both"/>
        <w:rPr>
          <w:rFonts w:ascii="Times New Roman" w:hAnsi="Times New Roman"/>
          <w:sz w:val="28"/>
          <w:szCs w:val="28"/>
        </w:rPr>
      </w:pPr>
    </w:p>
    <w:p w14:paraId="5878223B" w14:textId="77777777" w:rsidR="00EE3034" w:rsidRDefault="00EE3034" w:rsidP="00EE3034">
      <w:pPr>
        <w:spacing w:after="0" w:line="240" w:lineRule="auto"/>
        <w:jc w:val="both"/>
        <w:rPr>
          <w:rFonts w:ascii="Times New Roman" w:hAnsi="Times New Roman"/>
          <w:sz w:val="28"/>
          <w:szCs w:val="28"/>
        </w:rPr>
      </w:pPr>
      <w:r>
        <w:rPr>
          <w:rFonts w:ascii="Times New Roman" w:hAnsi="Times New Roman"/>
          <w:sz w:val="28"/>
          <w:szCs w:val="28"/>
        </w:rPr>
        <w:t>Zdroj: Ministerstvo financí ČR</w:t>
      </w:r>
    </w:p>
    <w:p w14:paraId="13C60B47" w14:textId="77777777" w:rsidR="00EE3034" w:rsidRDefault="00EE3034" w:rsidP="00EE3034">
      <w:pPr>
        <w:spacing w:after="0" w:line="240" w:lineRule="auto"/>
        <w:jc w:val="both"/>
        <w:rPr>
          <w:rFonts w:ascii="Times New Roman" w:hAnsi="Times New Roman"/>
          <w:sz w:val="28"/>
          <w:szCs w:val="28"/>
        </w:rPr>
      </w:pPr>
    </w:p>
    <w:p w14:paraId="2FAB4E1A" w14:textId="77777777" w:rsidR="00EE3034" w:rsidRDefault="00EE3034" w:rsidP="00EE3034">
      <w:pPr>
        <w:spacing w:after="0" w:line="240" w:lineRule="auto"/>
        <w:jc w:val="both"/>
        <w:rPr>
          <w:rFonts w:ascii="Times New Roman" w:hAnsi="Times New Roman"/>
          <w:sz w:val="28"/>
          <w:szCs w:val="28"/>
        </w:rPr>
      </w:pPr>
    </w:p>
    <w:p w14:paraId="59E014D5" w14:textId="77777777" w:rsidR="00EE3034" w:rsidRDefault="00EE3034" w:rsidP="00EE3034">
      <w:pPr>
        <w:spacing w:after="0" w:line="240" w:lineRule="auto"/>
        <w:jc w:val="both"/>
        <w:rPr>
          <w:rFonts w:ascii="Times New Roman" w:hAnsi="Times New Roman"/>
          <w:b/>
          <w:bCs/>
          <w:sz w:val="28"/>
          <w:szCs w:val="28"/>
        </w:rPr>
      </w:pPr>
    </w:p>
    <w:p w14:paraId="1E546497" w14:textId="77777777" w:rsidR="00C7556A" w:rsidRDefault="00C7556A" w:rsidP="008C306D"/>
    <w:p w14:paraId="0DF3B986" w14:textId="77777777" w:rsidR="008B6696" w:rsidRDefault="008B6696" w:rsidP="008C306D"/>
    <w:p w14:paraId="3F26B2FF" w14:textId="77777777" w:rsidR="008B6696" w:rsidRDefault="008B6696" w:rsidP="008C306D"/>
    <w:p w14:paraId="04E0771E" w14:textId="77777777" w:rsidR="008B6696" w:rsidRDefault="008B6696" w:rsidP="008C306D"/>
    <w:p w14:paraId="542C3E8B" w14:textId="77777777" w:rsidR="008B6696" w:rsidRDefault="008B6696" w:rsidP="008C306D"/>
    <w:p w14:paraId="732B5B55" w14:textId="77777777" w:rsidR="008B6696" w:rsidRDefault="008B6696" w:rsidP="008C306D"/>
    <w:p w14:paraId="20308C17" w14:textId="77777777" w:rsidR="00F520A6" w:rsidRDefault="00F520A6" w:rsidP="00F520A6">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 INFLACE – PROSINEC 2024</w:t>
      </w:r>
    </w:p>
    <w:p w14:paraId="017B1714" w14:textId="77777777" w:rsidR="00F520A6" w:rsidRDefault="00F520A6" w:rsidP="00F520A6">
      <w:pPr>
        <w:spacing w:after="0" w:line="240" w:lineRule="auto"/>
        <w:jc w:val="center"/>
        <w:rPr>
          <w:rFonts w:ascii="Times New Roman" w:hAnsi="Times New Roman"/>
          <w:b/>
          <w:bCs/>
          <w:sz w:val="28"/>
          <w:szCs w:val="28"/>
        </w:rPr>
      </w:pPr>
    </w:p>
    <w:p w14:paraId="6A310562" w14:textId="77777777" w:rsidR="00F520A6" w:rsidRDefault="00F520A6" w:rsidP="00F520A6">
      <w:pPr>
        <w:spacing w:after="0" w:line="240" w:lineRule="auto"/>
        <w:jc w:val="center"/>
        <w:rPr>
          <w:rFonts w:ascii="Times New Roman" w:hAnsi="Times New Roman"/>
          <w:b/>
          <w:bCs/>
          <w:sz w:val="28"/>
          <w:szCs w:val="28"/>
        </w:rPr>
      </w:pPr>
    </w:p>
    <w:p w14:paraId="75A8821D" w14:textId="77777777" w:rsidR="00F520A6" w:rsidRDefault="00F520A6" w:rsidP="00F520A6">
      <w:pPr>
        <w:spacing w:after="0" w:line="240" w:lineRule="auto"/>
        <w:jc w:val="center"/>
        <w:rPr>
          <w:rFonts w:ascii="Times New Roman" w:hAnsi="Times New Roman"/>
          <w:b/>
          <w:bCs/>
          <w:sz w:val="28"/>
          <w:szCs w:val="28"/>
        </w:rPr>
      </w:pPr>
    </w:p>
    <w:p w14:paraId="5C9489BF" w14:textId="77777777" w:rsidR="00F520A6" w:rsidRDefault="00F520A6" w:rsidP="00F520A6">
      <w:pPr>
        <w:spacing w:after="0" w:line="240" w:lineRule="auto"/>
        <w:jc w:val="both"/>
        <w:rPr>
          <w:rFonts w:ascii="Times New Roman" w:hAnsi="Times New Roman"/>
          <w:b/>
          <w:bCs/>
          <w:sz w:val="28"/>
          <w:szCs w:val="28"/>
        </w:rPr>
      </w:pPr>
      <w:r>
        <w:rPr>
          <w:rFonts w:ascii="Times New Roman" w:hAnsi="Times New Roman"/>
          <w:b/>
          <w:bCs/>
          <w:sz w:val="28"/>
          <w:szCs w:val="28"/>
        </w:rPr>
        <w:t xml:space="preserve">Spotřebitelské ceny meziměsíčně klesly o 0,3 %. Tento vývoj byl ovlivněn zejména nižšími cenami v oddíle potraviny a nealkoholické nápoje a v oddíle alkoholické nápoje, tabák. Meziročně vzrostly spotřebitelské ceny v prosinci o 3,0 %, což bylo o </w:t>
      </w:r>
      <w:proofErr w:type="gramStart"/>
      <w:r>
        <w:rPr>
          <w:rFonts w:ascii="Times New Roman" w:hAnsi="Times New Roman"/>
          <w:b/>
          <w:bCs/>
          <w:sz w:val="28"/>
          <w:szCs w:val="28"/>
        </w:rPr>
        <w:t>0,2 procentního</w:t>
      </w:r>
      <w:proofErr w:type="gramEnd"/>
      <w:r>
        <w:rPr>
          <w:rFonts w:ascii="Times New Roman" w:hAnsi="Times New Roman"/>
          <w:b/>
          <w:bCs/>
          <w:sz w:val="28"/>
          <w:szCs w:val="28"/>
        </w:rPr>
        <w:t xml:space="preserve"> bodu více než v listopadu. Průměrná míra inflace za celý rok 2024 byl 2,4 %.</w:t>
      </w:r>
    </w:p>
    <w:p w14:paraId="49753DED" w14:textId="77777777" w:rsidR="00F520A6" w:rsidRDefault="00F520A6" w:rsidP="00F520A6">
      <w:pPr>
        <w:spacing w:after="0" w:line="240" w:lineRule="auto"/>
        <w:jc w:val="both"/>
        <w:rPr>
          <w:rFonts w:ascii="Times New Roman" w:hAnsi="Times New Roman"/>
          <w:b/>
          <w:bCs/>
          <w:sz w:val="28"/>
          <w:szCs w:val="28"/>
        </w:rPr>
      </w:pPr>
    </w:p>
    <w:p w14:paraId="31D58943" w14:textId="77777777" w:rsidR="00F520A6" w:rsidRDefault="00F520A6" w:rsidP="00F520A6">
      <w:pPr>
        <w:spacing w:after="0" w:line="240" w:lineRule="auto"/>
        <w:jc w:val="both"/>
        <w:rPr>
          <w:rFonts w:ascii="Times New Roman" w:hAnsi="Times New Roman"/>
          <w:b/>
          <w:bCs/>
          <w:sz w:val="28"/>
          <w:szCs w:val="28"/>
        </w:rPr>
      </w:pPr>
    </w:p>
    <w:p w14:paraId="67FF92D9" w14:textId="77777777" w:rsidR="00F520A6" w:rsidRDefault="00F520A6" w:rsidP="00F520A6">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52B181EC" w14:textId="77777777" w:rsidR="00F520A6" w:rsidRDefault="00F520A6" w:rsidP="00F520A6">
      <w:pPr>
        <w:spacing w:after="0" w:line="240" w:lineRule="auto"/>
        <w:jc w:val="both"/>
        <w:rPr>
          <w:rFonts w:ascii="Times New Roman" w:hAnsi="Times New Roman"/>
          <w:b/>
          <w:bCs/>
          <w:sz w:val="28"/>
          <w:szCs w:val="28"/>
        </w:rPr>
      </w:pPr>
    </w:p>
    <w:p w14:paraId="7ED21492" w14:textId="77777777" w:rsidR="00F520A6" w:rsidRDefault="00F520A6" w:rsidP="00F520A6">
      <w:pPr>
        <w:spacing w:after="0" w:line="240" w:lineRule="auto"/>
        <w:jc w:val="both"/>
      </w:pPr>
      <w:r>
        <w:rPr>
          <w:rFonts w:ascii="Times New Roman" w:hAnsi="Times New Roman"/>
          <w:sz w:val="28"/>
          <w:szCs w:val="28"/>
        </w:rPr>
        <w:t xml:space="preserve">     Meziměsíčně klesly spotřebitelské ceny v prosinci o 0,3 %. V oddíle potraviny a nealkoholické nápoje byly nižší především ceny ovoce o 2,8 %, zeleniny o 1,8 %, drůbežího masa o 2,2 %, vepřového masa o 1,9 %, uzenin o 1,1 %, polotučného trvanlivého mléka o 4,0 % a sýrů a tvarohů o 1,0 %. Naopak ceny brambor meziměsíčně vzrostly o 10,9 % a ceny másla o 5,1 %. Vývoj cen v oddíle alkoholické nápoje, tabák byl ovlivněn nižšími cenami vína o 5,5 %, lihovin o 2,5 % a piva o 1,2 %. V oddíle bydlení klesly ceny zemního plynu o 2,4 % a v oddíle ostatní zboží a služby ceny výrobků a služeb pro osobní péči o 1,1 %.</w:t>
      </w:r>
      <w:r>
        <w:rPr>
          <w:rFonts w:ascii="Times New Roman" w:hAnsi="Times New Roman"/>
          <w:b/>
          <w:bCs/>
          <w:sz w:val="28"/>
          <w:szCs w:val="28"/>
        </w:rPr>
        <w:t xml:space="preserve"> </w:t>
      </w:r>
    </w:p>
    <w:p w14:paraId="5C6C1D13" w14:textId="77777777" w:rsidR="00F520A6" w:rsidRDefault="00F520A6" w:rsidP="00F520A6">
      <w:pPr>
        <w:spacing w:after="0" w:line="240" w:lineRule="auto"/>
        <w:jc w:val="both"/>
        <w:rPr>
          <w:rFonts w:ascii="Times New Roman" w:hAnsi="Times New Roman"/>
          <w:b/>
          <w:bCs/>
          <w:sz w:val="28"/>
          <w:szCs w:val="28"/>
        </w:rPr>
      </w:pPr>
    </w:p>
    <w:p w14:paraId="3AA43B71" w14:textId="77777777" w:rsidR="00F520A6" w:rsidRDefault="00F520A6" w:rsidP="00F520A6">
      <w:pPr>
        <w:spacing w:after="0" w:line="240" w:lineRule="auto"/>
        <w:jc w:val="both"/>
        <w:rPr>
          <w:rFonts w:ascii="Times New Roman" w:hAnsi="Times New Roman"/>
          <w:sz w:val="28"/>
          <w:szCs w:val="28"/>
        </w:rPr>
      </w:pPr>
      <w:r>
        <w:rPr>
          <w:rFonts w:ascii="Times New Roman" w:hAnsi="Times New Roman"/>
          <w:sz w:val="28"/>
          <w:szCs w:val="28"/>
        </w:rPr>
        <w:t>Ceny zboží úhrnem klesly o 0,5 % a ceny služeb zůstaly na úrovni měsíce listopadu.</w:t>
      </w:r>
    </w:p>
    <w:p w14:paraId="49893A36" w14:textId="77777777" w:rsidR="00F520A6" w:rsidRDefault="00F520A6" w:rsidP="00F520A6">
      <w:pPr>
        <w:spacing w:after="0" w:line="240" w:lineRule="auto"/>
        <w:jc w:val="both"/>
        <w:rPr>
          <w:rFonts w:ascii="Times New Roman" w:hAnsi="Times New Roman"/>
          <w:sz w:val="28"/>
          <w:szCs w:val="28"/>
        </w:rPr>
      </w:pPr>
    </w:p>
    <w:p w14:paraId="308B137E" w14:textId="77777777" w:rsidR="00F520A6" w:rsidRDefault="00F520A6" w:rsidP="00F520A6">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62779580" w14:textId="77777777" w:rsidR="00F520A6" w:rsidRDefault="00F520A6" w:rsidP="00F520A6">
      <w:pPr>
        <w:spacing w:after="0" w:line="240" w:lineRule="auto"/>
        <w:jc w:val="both"/>
        <w:rPr>
          <w:rFonts w:ascii="Times New Roman" w:hAnsi="Times New Roman"/>
          <w:b/>
          <w:bCs/>
          <w:sz w:val="28"/>
          <w:szCs w:val="28"/>
        </w:rPr>
      </w:pPr>
    </w:p>
    <w:p w14:paraId="20AF2957" w14:textId="77777777" w:rsidR="00F520A6" w:rsidRDefault="00F520A6" w:rsidP="00F520A6">
      <w:pPr>
        <w:spacing w:after="0" w:line="240" w:lineRule="auto"/>
        <w:jc w:val="both"/>
      </w:pPr>
      <w:r>
        <w:rPr>
          <w:rFonts w:ascii="Times New Roman" w:hAnsi="Times New Roman"/>
          <w:sz w:val="28"/>
          <w:szCs w:val="28"/>
        </w:rPr>
        <w:t xml:space="preserve">     Meziročně vzrostly spotřebitelské ceny v prosinci o 3,0 % což bylo o 0,2 % procentního bodu více než v listopadu. Ke </w:t>
      </w:r>
      <w:r>
        <w:rPr>
          <w:rFonts w:ascii="Times New Roman" w:hAnsi="Times New Roman"/>
          <w:b/>
          <w:bCs/>
          <w:sz w:val="28"/>
          <w:szCs w:val="28"/>
        </w:rPr>
        <w:t xml:space="preserve">zrychlení </w:t>
      </w:r>
      <w:r>
        <w:rPr>
          <w:rFonts w:ascii="Times New Roman" w:hAnsi="Times New Roman"/>
          <w:sz w:val="28"/>
          <w:szCs w:val="28"/>
        </w:rPr>
        <w:t>meziročního cenového růstu došlo zejména v oddíle potraviny a nealkoholické nápoje (částečně vlivem většího meziměsíčního poklesu v prosinci 2023) a v oddíle doprava. V oddíle potraviny a nealkoholické nápoje v prosinci vzrostly ceny vajec o 36,3 % (v listopadu o 31,7 %), olejů a tuků o 16,9 % (v listopadu o 10,0 %), ovoce o 5,9 % (v listopadu o 2,8 %), čokolády a čokoládových výrobků o 28,0 % (v listopadu o 15,8 %) a nealkoholických nápojů o 5,9 % (v listopadu o 4,3 %). Vývoj cen v oddíle doprava byl ovlivněn především zmírněním poklesu cen pohonných hmot a olejů. Ty byly v prosinci meziročně nižší o 2,6 % (v listopadu pokles o 7,6 %).</w:t>
      </w:r>
    </w:p>
    <w:p w14:paraId="7AD1C046" w14:textId="77777777" w:rsidR="00F520A6" w:rsidRDefault="00F520A6" w:rsidP="00F520A6">
      <w:pPr>
        <w:spacing w:after="0" w:line="240" w:lineRule="auto"/>
        <w:jc w:val="both"/>
        <w:rPr>
          <w:rFonts w:ascii="Times New Roman" w:hAnsi="Times New Roman"/>
          <w:sz w:val="28"/>
          <w:szCs w:val="28"/>
        </w:rPr>
      </w:pPr>
    </w:p>
    <w:p w14:paraId="5BCA3D2E" w14:textId="77777777" w:rsidR="00F520A6" w:rsidRDefault="00F520A6" w:rsidP="00F520A6">
      <w:pPr>
        <w:spacing w:after="0" w:line="240" w:lineRule="auto"/>
        <w:jc w:val="both"/>
      </w:pPr>
      <w:r>
        <w:rPr>
          <w:rFonts w:ascii="Times New Roman" w:hAnsi="Times New Roman"/>
          <w:sz w:val="28"/>
          <w:szCs w:val="28"/>
        </w:rPr>
        <w:t xml:space="preserve">     Na meziroční </w:t>
      </w:r>
      <w:r>
        <w:rPr>
          <w:rFonts w:ascii="Times New Roman" w:hAnsi="Times New Roman"/>
          <w:b/>
          <w:bCs/>
          <w:sz w:val="28"/>
          <w:szCs w:val="28"/>
        </w:rPr>
        <w:t xml:space="preserve">růst cenové hladiny </w:t>
      </w:r>
      <w:r>
        <w:rPr>
          <w:rFonts w:ascii="Times New Roman" w:hAnsi="Times New Roman"/>
          <w:sz w:val="28"/>
          <w:szCs w:val="28"/>
        </w:rPr>
        <w:t xml:space="preserve">měly v prosinci největší vliv ceny v oddíle bydlení, kde vzrostly ceny nájemného z bytu o 6,2 %, výrobků a služeb pro běžnou údržbu bytu o 4,1 %, vodného o 10,9 %, stočného o 13,4 %, elektřiny o 8,0 %, tepla a teplé vody o 8,5 %. Ceny zemního plynu klesly o 5,5 %. Další v pořadí vlivu byly ceny v oddíle alkoholické nápoje, tabák, kde se zvýšily ceny lihovin o 3,4 %, piva o 4,8 % a tabákových výrobků o 7,0 %. Ceny vína meziročně klesly o 2,3 %. V oddíle </w:t>
      </w:r>
      <w:r>
        <w:rPr>
          <w:rFonts w:ascii="Times New Roman" w:hAnsi="Times New Roman"/>
          <w:sz w:val="28"/>
          <w:szCs w:val="28"/>
        </w:rPr>
        <w:lastRenderedPageBreak/>
        <w:t>stravování a ubytování byly vyšší ceny stravovacích služeb o 6,4 % a ubytovacích služeb o 9,0 %. Ceny v oddíle potraviny a nealkoholické nápoje meziročně vzrostly o 1,7 %. V oddíle rekreace a kultura se zvýšily ceny dovolených s komplexními službami o 4,9 %. Na meziroční snižování celkové cenové hladiny působily v prosinci ceny v oddíle odívání a obuv, kde klesly ceny oděvů o 0,4 % a obuvi o 2,3 %.</w:t>
      </w:r>
    </w:p>
    <w:p w14:paraId="789A025F" w14:textId="77777777" w:rsidR="00F520A6" w:rsidRDefault="00F520A6" w:rsidP="00F520A6">
      <w:pPr>
        <w:spacing w:after="0" w:line="240" w:lineRule="auto"/>
        <w:jc w:val="both"/>
        <w:rPr>
          <w:rFonts w:ascii="Times New Roman" w:hAnsi="Times New Roman"/>
          <w:sz w:val="28"/>
          <w:szCs w:val="28"/>
        </w:rPr>
      </w:pPr>
    </w:p>
    <w:p w14:paraId="4759EF99" w14:textId="77777777" w:rsidR="00F520A6" w:rsidRDefault="00F520A6" w:rsidP="00F520A6">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meziročně vzrostly o 1,7 % (v listopadu o 1,5 %) zejména v důsledku růstu cen nových nemovitostí. Úhrnný index spotřebitelských cen bez započtení nákladů vlastnického bydlení byl 103,1 %.</w:t>
      </w:r>
    </w:p>
    <w:p w14:paraId="60498870" w14:textId="77777777" w:rsidR="00F520A6" w:rsidRDefault="00F520A6" w:rsidP="00F520A6">
      <w:pPr>
        <w:spacing w:after="0" w:line="240" w:lineRule="auto"/>
        <w:jc w:val="both"/>
        <w:rPr>
          <w:rFonts w:ascii="Times New Roman" w:hAnsi="Times New Roman"/>
          <w:sz w:val="28"/>
          <w:szCs w:val="28"/>
        </w:rPr>
      </w:pPr>
    </w:p>
    <w:p w14:paraId="000411F3" w14:textId="77777777" w:rsidR="00F520A6" w:rsidRDefault="00F520A6" w:rsidP="00F520A6">
      <w:pPr>
        <w:spacing w:after="0" w:line="240" w:lineRule="auto"/>
        <w:jc w:val="both"/>
        <w:rPr>
          <w:rFonts w:ascii="Times New Roman" w:hAnsi="Times New Roman"/>
          <w:sz w:val="28"/>
          <w:szCs w:val="28"/>
        </w:rPr>
      </w:pPr>
      <w:r>
        <w:rPr>
          <w:rFonts w:ascii="Times New Roman" w:hAnsi="Times New Roman"/>
          <w:sz w:val="28"/>
          <w:szCs w:val="28"/>
        </w:rPr>
        <w:t>Ceny zboží úhrnem vzrostly o 1,7 % a ceny služeb o 5,0 %.</w:t>
      </w:r>
    </w:p>
    <w:p w14:paraId="373141EA" w14:textId="77777777" w:rsidR="00F520A6" w:rsidRDefault="00F520A6" w:rsidP="00F520A6">
      <w:pPr>
        <w:spacing w:after="0" w:line="240" w:lineRule="auto"/>
        <w:jc w:val="both"/>
        <w:rPr>
          <w:rFonts w:ascii="Times New Roman" w:hAnsi="Times New Roman"/>
          <w:sz w:val="28"/>
          <w:szCs w:val="28"/>
        </w:rPr>
      </w:pPr>
    </w:p>
    <w:p w14:paraId="77BA6F0B" w14:textId="77777777" w:rsidR="00F520A6" w:rsidRDefault="00F520A6" w:rsidP="00F520A6">
      <w:pPr>
        <w:spacing w:after="0" w:line="240" w:lineRule="auto"/>
        <w:jc w:val="both"/>
        <w:rPr>
          <w:rFonts w:ascii="Times New Roman" w:hAnsi="Times New Roman"/>
          <w:b/>
          <w:bCs/>
          <w:sz w:val="28"/>
          <w:szCs w:val="28"/>
        </w:rPr>
      </w:pPr>
      <w:r>
        <w:rPr>
          <w:rFonts w:ascii="Times New Roman" w:hAnsi="Times New Roman"/>
          <w:b/>
          <w:bCs/>
          <w:sz w:val="28"/>
          <w:szCs w:val="28"/>
        </w:rPr>
        <w:t>Průměrná míra inflace</w:t>
      </w:r>
    </w:p>
    <w:p w14:paraId="4642FA2C" w14:textId="77777777" w:rsidR="00F520A6" w:rsidRDefault="00F520A6" w:rsidP="00F520A6">
      <w:pPr>
        <w:spacing w:after="0" w:line="240" w:lineRule="auto"/>
        <w:jc w:val="both"/>
        <w:rPr>
          <w:rFonts w:ascii="Times New Roman" w:hAnsi="Times New Roman"/>
          <w:b/>
          <w:bCs/>
          <w:sz w:val="28"/>
          <w:szCs w:val="28"/>
        </w:rPr>
      </w:pPr>
    </w:p>
    <w:p w14:paraId="12844985" w14:textId="77777777" w:rsidR="00F520A6" w:rsidRDefault="00F520A6" w:rsidP="00F520A6">
      <w:pPr>
        <w:spacing w:after="0" w:line="240" w:lineRule="auto"/>
        <w:jc w:val="both"/>
      </w:pPr>
      <w:r>
        <w:rPr>
          <w:rFonts w:ascii="Times New Roman" w:hAnsi="Times New Roman"/>
          <w:i/>
          <w:iCs/>
          <w:sz w:val="28"/>
          <w:szCs w:val="28"/>
        </w:rPr>
        <w:t>„Průměrná míra inflace za rok 2024 činila 2,4 %. Ceny zboží úhrnem v roce 2024 vzrostly</w:t>
      </w:r>
      <w:r>
        <w:rPr>
          <w:rFonts w:ascii="Times New Roman" w:hAnsi="Times New Roman"/>
          <w:sz w:val="28"/>
          <w:szCs w:val="28"/>
        </w:rPr>
        <w:t xml:space="preserve"> </w:t>
      </w:r>
      <w:r>
        <w:rPr>
          <w:rFonts w:ascii="Times New Roman" w:hAnsi="Times New Roman"/>
          <w:i/>
          <w:iCs/>
          <w:sz w:val="28"/>
          <w:szCs w:val="28"/>
        </w:rPr>
        <w:t xml:space="preserve">o 0,9 % a ceny služeb o 5,1 %.“ </w:t>
      </w:r>
      <w:r>
        <w:rPr>
          <w:rFonts w:ascii="Times New Roman" w:hAnsi="Times New Roman"/>
          <w:sz w:val="28"/>
          <w:szCs w:val="28"/>
        </w:rPr>
        <w:t xml:space="preserve"> uvedla Pavla Šedivá, vedoucí oddělení statistiky spotřebitelských cen ČSÚ.</w:t>
      </w:r>
    </w:p>
    <w:p w14:paraId="78053D7E" w14:textId="77777777" w:rsidR="00F520A6" w:rsidRDefault="00F520A6" w:rsidP="00F520A6">
      <w:pPr>
        <w:spacing w:after="0" w:line="240" w:lineRule="auto"/>
        <w:jc w:val="both"/>
        <w:rPr>
          <w:rFonts w:ascii="Times New Roman" w:hAnsi="Times New Roman"/>
          <w:sz w:val="28"/>
          <w:szCs w:val="28"/>
        </w:rPr>
      </w:pPr>
    </w:p>
    <w:p w14:paraId="7C15043B" w14:textId="77777777" w:rsidR="00F520A6" w:rsidRDefault="00F520A6" w:rsidP="00F520A6">
      <w:pPr>
        <w:spacing w:after="0" w:line="240" w:lineRule="auto"/>
        <w:jc w:val="both"/>
        <w:rPr>
          <w:rFonts w:ascii="Times New Roman" w:hAnsi="Times New Roman"/>
          <w:sz w:val="28"/>
          <w:szCs w:val="28"/>
        </w:rPr>
      </w:pPr>
    </w:p>
    <w:p w14:paraId="4D503635" w14:textId="77777777" w:rsidR="00F520A6" w:rsidRDefault="00F520A6" w:rsidP="00F520A6">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 (HICP)</w:t>
      </w:r>
    </w:p>
    <w:p w14:paraId="193C62F4" w14:textId="77777777" w:rsidR="00F520A6" w:rsidRDefault="00F520A6" w:rsidP="00F520A6">
      <w:pPr>
        <w:spacing w:after="0" w:line="240" w:lineRule="auto"/>
        <w:jc w:val="both"/>
        <w:rPr>
          <w:rFonts w:ascii="Times New Roman" w:hAnsi="Times New Roman"/>
          <w:b/>
          <w:bCs/>
          <w:sz w:val="28"/>
          <w:szCs w:val="28"/>
        </w:rPr>
      </w:pPr>
    </w:p>
    <w:p w14:paraId="3CACD9FF" w14:textId="77777777" w:rsidR="00F520A6" w:rsidRDefault="00F520A6" w:rsidP="00F520A6">
      <w:pPr>
        <w:spacing w:after="0" w:line="240" w:lineRule="auto"/>
        <w:jc w:val="both"/>
      </w:pPr>
      <w:r>
        <w:rPr>
          <w:rFonts w:ascii="Times New Roman" w:hAnsi="Times New Roman"/>
          <w:sz w:val="28"/>
          <w:szCs w:val="28"/>
        </w:rPr>
        <w:t xml:space="preserve">     Podle předběžných výpočtů HICP </w:t>
      </w:r>
      <w:r>
        <w:rPr>
          <w:rFonts w:ascii="Times New Roman" w:hAnsi="Times New Roman"/>
          <w:b/>
          <w:bCs/>
          <w:sz w:val="28"/>
          <w:szCs w:val="28"/>
        </w:rPr>
        <w:t xml:space="preserve">v prosinci v Česku meziměsíčně klesl o 0,3 % a meziročně vzrostl o 3,3 % </w:t>
      </w:r>
      <w:r>
        <w:rPr>
          <w:rFonts w:ascii="Times New Roman" w:hAnsi="Times New Roman"/>
          <w:sz w:val="28"/>
          <w:szCs w:val="28"/>
        </w:rPr>
        <w:t xml:space="preserve">(v listopadu o 3,1 %).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prosinci 2024 za Eurozónu 2,4 % </w:t>
      </w:r>
      <w:r>
        <w:rPr>
          <w:rFonts w:ascii="Times New Roman" w:hAnsi="Times New Roman"/>
          <w:sz w:val="28"/>
          <w:szCs w:val="28"/>
        </w:rPr>
        <w:t xml:space="preserve">(v listopadu 2,2 %), v Německu 2,8 % a na Slovensku 3,1 %. Nejvyšší byla v prosinci v Chorvatsku (4,5 %) a nejnižší v Irsku (1,0 %).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27 členských zemí EU v listopadu 2,5 %, </w:t>
      </w:r>
      <w:r>
        <w:rPr>
          <w:rFonts w:ascii="Times New Roman" w:hAnsi="Times New Roman"/>
          <w:sz w:val="28"/>
          <w:szCs w:val="28"/>
        </w:rPr>
        <w:t xml:space="preserve">což bylo o </w:t>
      </w:r>
      <w:proofErr w:type="gramStart"/>
      <w:r>
        <w:rPr>
          <w:rFonts w:ascii="Times New Roman" w:hAnsi="Times New Roman"/>
          <w:sz w:val="28"/>
          <w:szCs w:val="28"/>
        </w:rPr>
        <w:t>0,2 procentního</w:t>
      </w:r>
      <w:proofErr w:type="gramEnd"/>
      <w:r>
        <w:rPr>
          <w:rFonts w:ascii="Times New Roman" w:hAnsi="Times New Roman"/>
          <w:sz w:val="28"/>
          <w:szCs w:val="28"/>
        </w:rPr>
        <w:t xml:space="preserve"> bodu více než v říjnu. Nejvyšší byla v listopadu v Rumunsku (5,4 %) a nejnižší v Irsku (0,5 %).</w:t>
      </w:r>
    </w:p>
    <w:p w14:paraId="4E33DDAF" w14:textId="77777777" w:rsidR="00F520A6" w:rsidRDefault="00F520A6" w:rsidP="00F520A6">
      <w:pPr>
        <w:spacing w:after="0" w:line="240" w:lineRule="auto"/>
        <w:jc w:val="both"/>
        <w:rPr>
          <w:rFonts w:ascii="Times New Roman" w:hAnsi="Times New Roman"/>
          <w:sz w:val="28"/>
          <w:szCs w:val="28"/>
        </w:rPr>
      </w:pPr>
    </w:p>
    <w:p w14:paraId="36CC5871" w14:textId="77777777" w:rsidR="00F520A6" w:rsidRDefault="00F520A6" w:rsidP="00F520A6">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5869C708" w14:textId="77777777" w:rsidR="00F520A6" w:rsidRDefault="00F520A6" w:rsidP="00F520A6">
      <w:pPr>
        <w:spacing w:after="0" w:line="240" w:lineRule="auto"/>
        <w:jc w:val="both"/>
        <w:rPr>
          <w:rFonts w:ascii="Times New Roman" w:hAnsi="Times New Roman"/>
          <w:sz w:val="28"/>
          <w:szCs w:val="28"/>
        </w:rPr>
      </w:pPr>
    </w:p>
    <w:p w14:paraId="6D0571E5" w14:textId="77777777" w:rsidR="00F520A6" w:rsidRDefault="00F520A6" w:rsidP="00F520A6">
      <w:pPr>
        <w:spacing w:after="0" w:line="240" w:lineRule="auto"/>
        <w:jc w:val="both"/>
        <w:rPr>
          <w:rFonts w:ascii="Times New Roman" w:hAnsi="Times New Roman"/>
          <w:sz w:val="28"/>
          <w:szCs w:val="28"/>
        </w:rPr>
      </w:pPr>
    </w:p>
    <w:p w14:paraId="04EF3EEE" w14:textId="77777777" w:rsidR="00F520A6" w:rsidRDefault="00F520A6" w:rsidP="00F520A6">
      <w:pPr>
        <w:spacing w:after="0" w:line="240" w:lineRule="auto"/>
        <w:jc w:val="both"/>
        <w:rPr>
          <w:rFonts w:ascii="Times New Roman" w:hAnsi="Times New Roman"/>
          <w:sz w:val="28"/>
          <w:szCs w:val="28"/>
        </w:rPr>
      </w:pPr>
    </w:p>
    <w:p w14:paraId="694DD0C1" w14:textId="77777777" w:rsidR="00F520A6" w:rsidRDefault="00F520A6" w:rsidP="00F520A6">
      <w:pPr>
        <w:spacing w:after="0" w:line="240" w:lineRule="auto"/>
        <w:jc w:val="both"/>
        <w:rPr>
          <w:rFonts w:ascii="Times New Roman" w:hAnsi="Times New Roman"/>
          <w:sz w:val="28"/>
          <w:szCs w:val="28"/>
        </w:rPr>
      </w:pPr>
    </w:p>
    <w:p w14:paraId="694E60F7" w14:textId="77777777" w:rsidR="00F520A6" w:rsidRDefault="00F520A6" w:rsidP="00F520A6">
      <w:pPr>
        <w:spacing w:after="0" w:line="240" w:lineRule="auto"/>
        <w:jc w:val="both"/>
        <w:rPr>
          <w:rFonts w:ascii="Times New Roman" w:hAnsi="Times New Roman"/>
          <w:sz w:val="28"/>
          <w:szCs w:val="28"/>
        </w:rPr>
      </w:pPr>
    </w:p>
    <w:p w14:paraId="7EEAD04C" w14:textId="77777777" w:rsidR="00F520A6" w:rsidRDefault="00F520A6" w:rsidP="00F520A6">
      <w:pPr>
        <w:spacing w:after="0" w:line="240" w:lineRule="auto"/>
        <w:jc w:val="both"/>
        <w:rPr>
          <w:rFonts w:ascii="Times New Roman" w:hAnsi="Times New Roman"/>
          <w:sz w:val="28"/>
          <w:szCs w:val="28"/>
        </w:rPr>
      </w:pPr>
    </w:p>
    <w:p w14:paraId="1145FB62" w14:textId="77777777" w:rsidR="00F520A6" w:rsidRDefault="00F520A6" w:rsidP="00F520A6">
      <w:pPr>
        <w:spacing w:after="0" w:line="240" w:lineRule="auto"/>
        <w:jc w:val="both"/>
        <w:rPr>
          <w:rFonts w:ascii="Times New Roman" w:hAnsi="Times New Roman"/>
          <w:sz w:val="28"/>
          <w:szCs w:val="28"/>
        </w:rPr>
      </w:pPr>
    </w:p>
    <w:p w14:paraId="44C9972C" w14:textId="77777777" w:rsidR="00F520A6" w:rsidRDefault="00F520A6" w:rsidP="00F520A6">
      <w:pPr>
        <w:spacing w:after="0" w:line="240" w:lineRule="auto"/>
        <w:jc w:val="both"/>
        <w:rPr>
          <w:rFonts w:ascii="Times New Roman" w:hAnsi="Times New Roman"/>
          <w:sz w:val="28"/>
          <w:szCs w:val="28"/>
        </w:rPr>
      </w:pPr>
    </w:p>
    <w:p w14:paraId="0E4FB95B" w14:textId="77777777" w:rsidR="00F520A6" w:rsidRDefault="00F520A6" w:rsidP="00F520A6">
      <w:pPr>
        <w:spacing w:after="0" w:line="240" w:lineRule="auto"/>
        <w:jc w:val="both"/>
        <w:rPr>
          <w:rFonts w:ascii="Times New Roman" w:hAnsi="Times New Roman"/>
          <w:sz w:val="28"/>
          <w:szCs w:val="28"/>
        </w:rPr>
      </w:pPr>
    </w:p>
    <w:p w14:paraId="7B9C94A5" w14:textId="77777777" w:rsidR="00F520A6" w:rsidRDefault="00F520A6" w:rsidP="00F520A6">
      <w:pPr>
        <w:spacing w:after="0" w:line="240" w:lineRule="auto"/>
        <w:jc w:val="both"/>
        <w:rPr>
          <w:rFonts w:ascii="Times New Roman" w:hAnsi="Times New Roman"/>
          <w:sz w:val="28"/>
          <w:szCs w:val="28"/>
        </w:rPr>
      </w:pPr>
    </w:p>
    <w:p w14:paraId="21A32521" w14:textId="77777777" w:rsidR="00F520A6" w:rsidRDefault="00F520A6" w:rsidP="00F520A6">
      <w:pPr>
        <w:spacing w:after="0" w:line="240" w:lineRule="auto"/>
        <w:jc w:val="both"/>
        <w:rPr>
          <w:rFonts w:ascii="Times New Roman" w:hAnsi="Times New Roman"/>
          <w:sz w:val="28"/>
          <w:szCs w:val="28"/>
        </w:rPr>
      </w:pPr>
    </w:p>
    <w:p w14:paraId="04B95226" w14:textId="77777777" w:rsidR="00F520A6" w:rsidRDefault="00F520A6" w:rsidP="00F520A6">
      <w:pPr>
        <w:spacing w:after="0" w:line="240" w:lineRule="auto"/>
        <w:jc w:val="both"/>
        <w:rPr>
          <w:rFonts w:ascii="Times New Roman" w:hAnsi="Times New Roman"/>
          <w:sz w:val="28"/>
          <w:szCs w:val="28"/>
        </w:rPr>
      </w:pPr>
    </w:p>
    <w:p w14:paraId="54912324" w14:textId="77777777" w:rsidR="00F520A6" w:rsidRDefault="00F520A6" w:rsidP="00F520A6">
      <w:pPr>
        <w:spacing w:after="0" w:line="240" w:lineRule="auto"/>
        <w:jc w:val="both"/>
        <w:rPr>
          <w:rFonts w:ascii="Times New Roman" w:hAnsi="Times New Roman"/>
          <w:sz w:val="24"/>
          <w:szCs w:val="24"/>
        </w:rPr>
      </w:pPr>
      <w:r>
        <w:rPr>
          <w:rFonts w:ascii="Times New Roman" w:hAnsi="Times New Roman"/>
          <w:sz w:val="24"/>
          <w:szCs w:val="24"/>
        </w:rPr>
        <w:t>Vývoj spotřebitelských cen</w:t>
      </w:r>
    </w:p>
    <w:p w14:paraId="5EFE03C7" w14:textId="77777777" w:rsidR="00F520A6" w:rsidRDefault="00F520A6" w:rsidP="00F520A6">
      <w:pPr>
        <w:spacing w:after="0" w:line="240" w:lineRule="auto"/>
        <w:jc w:val="both"/>
        <w:rPr>
          <w:rFonts w:ascii="Times New Roman" w:hAnsi="Times New Roman"/>
          <w:sz w:val="24"/>
          <w:szCs w:val="24"/>
        </w:rPr>
      </w:pPr>
    </w:p>
    <w:p w14:paraId="51E3D21E" w14:textId="77777777" w:rsidR="00F520A6" w:rsidRDefault="00F520A6" w:rsidP="00F520A6">
      <w:pPr>
        <w:spacing w:after="0" w:line="240" w:lineRule="auto"/>
        <w:jc w:val="both"/>
        <w:rPr>
          <w:rFonts w:ascii="Times New Roman" w:hAnsi="Times New Roman"/>
          <w:sz w:val="24"/>
          <w:szCs w:val="24"/>
        </w:rPr>
      </w:pPr>
    </w:p>
    <w:p w14:paraId="2C00A729" w14:textId="77777777" w:rsidR="00F520A6" w:rsidRDefault="00F520A6" w:rsidP="00F520A6">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sz w:val="24"/>
          <w:szCs w:val="24"/>
        </w:rPr>
      </w:pPr>
      <w:r>
        <w:rPr>
          <w:rFonts w:ascii="Times New Roman" w:hAnsi="Times New Roman"/>
          <w:sz w:val="24"/>
          <w:szCs w:val="24"/>
        </w:rPr>
        <w:t>Oddíl</w:t>
      </w:r>
      <w:r>
        <w:rPr>
          <w:rFonts w:ascii="Times New Roman" w:hAnsi="Times New Roman"/>
          <w:sz w:val="24"/>
          <w:szCs w:val="24"/>
        </w:rPr>
        <w:tab/>
        <w:t>Předchozí</w:t>
      </w:r>
      <w:r>
        <w:rPr>
          <w:rFonts w:ascii="Times New Roman" w:hAnsi="Times New Roman"/>
          <w:sz w:val="24"/>
          <w:szCs w:val="24"/>
        </w:rPr>
        <w:tab/>
        <w:t>Stejné období předchozího</w:t>
      </w:r>
      <w:r>
        <w:rPr>
          <w:rFonts w:ascii="Times New Roman" w:hAnsi="Times New Roman"/>
          <w:sz w:val="24"/>
          <w:szCs w:val="24"/>
        </w:rPr>
        <w:tab/>
        <w:t>Míra</w:t>
      </w:r>
    </w:p>
    <w:p w14:paraId="301996B4"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7655"/>
        </w:tabs>
        <w:spacing w:after="0" w:line="360" w:lineRule="auto"/>
        <w:jc w:val="both"/>
        <w:rPr>
          <w:rFonts w:ascii="Times New Roman" w:hAnsi="Times New Roman"/>
          <w:sz w:val="24"/>
          <w:szCs w:val="24"/>
        </w:rPr>
      </w:pPr>
      <w:r>
        <w:rPr>
          <w:rFonts w:ascii="Times New Roman" w:hAnsi="Times New Roman"/>
          <w:sz w:val="24"/>
          <w:szCs w:val="24"/>
        </w:rPr>
        <w:tab/>
        <w:t>měsíc=100                  roku=100</w:t>
      </w:r>
      <w:r>
        <w:rPr>
          <w:rFonts w:ascii="Times New Roman" w:hAnsi="Times New Roman"/>
          <w:sz w:val="24"/>
          <w:szCs w:val="24"/>
        </w:rPr>
        <w:tab/>
        <w:t>inflace</w:t>
      </w:r>
    </w:p>
    <w:p w14:paraId="60B743D1"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10/24</w:t>
      </w:r>
      <w:r>
        <w:rPr>
          <w:rFonts w:ascii="Times New Roman" w:hAnsi="Times New Roman"/>
          <w:sz w:val="24"/>
          <w:szCs w:val="24"/>
        </w:rPr>
        <w:tab/>
        <w:t>11/24</w:t>
      </w:r>
      <w:r>
        <w:rPr>
          <w:rFonts w:ascii="Times New Roman" w:hAnsi="Times New Roman"/>
          <w:sz w:val="24"/>
          <w:szCs w:val="24"/>
        </w:rPr>
        <w:tab/>
        <w:t>12/24</w:t>
      </w:r>
    </w:p>
    <w:p w14:paraId="71B18D41"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8"/>
          <w:szCs w:val="28"/>
        </w:rPr>
      </w:pPr>
      <w:r>
        <w:rPr>
          <w:rFonts w:ascii="Times New Roman" w:hAnsi="Times New Roman"/>
          <w:sz w:val="28"/>
          <w:szCs w:val="28"/>
        </w:rPr>
        <w:t xml:space="preserve">________________________________________________________________                                                                                                     </w:t>
      </w:r>
    </w:p>
    <w:p w14:paraId="4384D8C5"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sz w:val="24"/>
          <w:szCs w:val="24"/>
        </w:rPr>
      </w:pPr>
    </w:p>
    <w:p w14:paraId="5A7CD59B"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Úhrn</w:t>
      </w:r>
      <w:proofErr w:type="gramStart"/>
      <w:r>
        <w:rPr>
          <w:rFonts w:ascii="Times New Roman" w:hAnsi="Times New Roman"/>
          <w:sz w:val="24"/>
          <w:szCs w:val="24"/>
        </w:rPr>
        <w:tab/>
        <w:t xml:space="preserve">  99</w:t>
      </w:r>
      <w:proofErr w:type="gramEnd"/>
      <w:r>
        <w:rPr>
          <w:rFonts w:ascii="Times New Roman" w:hAnsi="Times New Roman"/>
          <w:sz w:val="24"/>
          <w:szCs w:val="24"/>
        </w:rPr>
        <w:t>,7</w:t>
      </w:r>
      <w:r>
        <w:rPr>
          <w:rFonts w:ascii="Times New Roman" w:hAnsi="Times New Roman"/>
          <w:sz w:val="24"/>
          <w:szCs w:val="24"/>
        </w:rPr>
        <w:tab/>
        <w:t>102,8</w:t>
      </w:r>
      <w:r>
        <w:rPr>
          <w:rFonts w:ascii="Times New Roman" w:hAnsi="Times New Roman"/>
          <w:sz w:val="24"/>
          <w:szCs w:val="24"/>
        </w:rPr>
        <w:tab/>
        <w:t>102,8</w:t>
      </w:r>
      <w:r>
        <w:rPr>
          <w:rFonts w:ascii="Times New Roman" w:hAnsi="Times New Roman"/>
          <w:sz w:val="24"/>
          <w:szCs w:val="24"/>
        </w:rPr>
        <w:tab/>
        <w:t>103,0</w:t>
      </w:r>
      <w:r>
        <w:rPr>
          <w:rFonts w:ascii="Times New Roman" w:hAnsi="Times New Roman"/>
          <w:sz w:val="24"/>
          <w:szCs w:val="24"/>
        </w:rPr>
        <w:tab/>
        <w:t>102,4</w:t>
      </w:r>
    </w:p>
    <w:p w14:paraId="021B8590"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74DF8827"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,3</w:t>
      </w:r>
      <w:r>
        <w:rPr>
          <w:rFonts w:ascii="Times New Roman" w:hAnsi="Times New Roman"/>
          <w:sz w:val="24"/>
          <w:szCs w:val="24"/>
        </w:rPr>
        <w:tab/>
        <w:t>100,1</w:t>
      </w:r>
      <w:r>
        <w:rPr>
          <w:rFonts w:ascii="Times New Roman" w:hAnsi="Times New Roman"/>
          <w:sz w:val="24"/>
          <w:szCs w:val="24"/>
        </w:rPr>
        <w:tab/>
        <w:t>100,9</w:t>
      </w:r>
      <w:r>
        <w:rPr>
          <w:rFonts w:ascii="Times New Roman" w:hAnsi="Times New Roman"/>
          <w:sz w:val="24"/>
          <w:szCs w:val="24"/>
        </w:rPr>
        <w:tab/>
        <w:t>101,7</w:t>
      </w:r>
      <w:r>
        <w:rPr>
          <w:rFonts w:ascii="Times New Roman" w:hAnsi="Times New Roman"/>
          <w:sz w:val="24"/>
          <w:szCs w:val="24"/>
        </w:rPr>
        <w:tab/>
        <w:t xml:space="preserve">  97,7</w:t>
      </w:r>
    </w:p>
    <w:p w14:paraId="3E772BC5"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proofErr w:type="gramStart"/>
      <w:r>
        <w:rPr>
          <w:rFonts w:ascii="Times New Roman" w:hAnsi="Times New Roman"/>
          <w:sz w:val="24"/>
          <w:szCs w:val="24"/>
        </w:rPr>
        <w:tab/>
        <w:t xml:space="preserve">  98</w:t>
      </w:r>
      <w:proofErr w:type="gramEnd"/>
      <w:r>
        <w:rPr>
          <w:rFonts w:ascii="Times New Roman" w:hAnsi="Times New Roman"/>
          <w:sz w:val="24"/>
          <w:szCs w:val="24"/>
        </w:rPr>
        <w:t>,7</w:t>
      </w:r>
      <w:r>
        <w:rPr>
          <w:rFonts w:ascii="Times New Roman" w:hAnsi="Times New Roman"/>
          <w:sz w:val="24"/>
          <w:szCs w:val="24"/>
        </w:rPr>
        <w:tab/>
        <w:t>105,0</w:t>
      </w:r>
      <w:r>
        <w:rPr>
          <w:rFonts w:ascii="Times New Roman" w:hAnsi="Times New Roman"/>
          <w:sz w:val="24"/>
          <w:szCs w:val="24"/>
        </w:rPr>
        <w:tab/>
        <w:t>104,6</w:t>
      </w:r>
      <w:r>
        <w:rPr>
          <w:rFonts w:ascii="Times New Roman" w:hAnsi="Times New Roman"/>
          <w:sz w:val="24"/>
          <w:szCs w:val="24"/>
        </w:rPr>
        <w:tab/>
        <w:t>104,8</w:t>
      </w:r>
      <w:r>
        <w:rPr>
          <w:rFonts w:ascii="Times New Roman" w:hAnsi="Times New Roman"/>
          <w:sz w:val="24"/>
          <w:szCs w:val="24"/>
        </w:rPr>
        <w:tab/>
        <w:t>105,1</w:t>
      </w:r>
    </w:p>
    <w:p w14:paraId="7CD6E8D3"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proofErr w:type="gramStart"/>
      <w:r>
        <w:rPr>
          <w:rFonts w:ascii="Times New Roman" w:hAnsi="Times New Roman"/>
          <w:b/>
          <w:bCs/>
          <w:sz w:val="24"/>
          <w:szCs w:val="24"/>
        </w:rPr>
        <w:t>Odívání  a</w:t>
      </w:r>
      <w:proofErr w:type="gramEnd"/>
      <w:r>
        <w:rPr>
          <w:rFonts w:ascii="Times New Roman" w:hAnsi="Times New Roman"/>
          <w:b/>
          <w:bCs/>
          <w:sz w:val="24"/>
          <w:szCs w:val="24"/>
        </w:rPr>
        <w:t xml:space="preserve"> obuv</w:t>
      </w:r>
      <w:r>
        <w:rPr>
          <w:rFonts w:ascii="Times New Roman" w:hAnsi="Times New Roman"/>
          <w:b/>
          <w:bCs/>
          <w:sz w:val="24"/>
          <w:szCs w:val="24"/>
        </w:rPr>
        <w:tab/>
      </w:r>
      <w:r>
        <w:rPr>
          <w:rFonts w:ascii="Times New Roman" w:hAnsi="Times New Roman"/>
          <w:sz w:val="24"/>
          <w:szCs w:val="24"/>
        </w:rPr>
        <w:t xml:space="preserve">  99,6</w:t>
      </w:r>
      <w:r>
        <w:rPr>
          <w:rFonts w:ascii="Times New Roman" w:hAnsi="Times New Roman"/>
          <w:sz w:val="24"/>
          <w:szCs w:val="24"/>
        </w:rPr>
        <w:tab/>
        <w:t xml:space="preserve">  99,7</w:t>
      </w:r>
      <w:r>
        <w:rPr>
          <w:rFonts w:ascii="Times New Roman" w:hAnsi="Times New Roman"/>
          <w:sz w:val="24"/>
          <w:szCs w:val="24"/>
        </w:rPr>
        <w:tab/>
        <w:t xml:space="preserve">  99,3</w:t>
      </w:r>
      <w:r>
        <w:rPr>
          <w:rFonts w:ascii="Times New Roman" w:hAnsi="Times New Roman"/>
          <w:sz w:val="24"/>
          <w:szCs w:val="24"/>
        </w:rPr>
        <w:tab/>
        <w:t xml:space="preserve">  99,3</w:t>
      </w:r>
      <w:r>
        <w:rPr>
          <w:rFonts w:ascii="Times New Roman" w:hAnsi="Times New Roman"/>
          <w:sz w:val="24"/>
          <w:szCs w:val="24"/>
        </w:rPr>
        <w:tab/>
        <w:t>102,5</w:t>
      </w:r>
    </w:p>
    <w:p w14:paraId="5BAED2B3"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5CD5F42B"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,9</w:t>
      </w:r>
      <w:r>
        <w:rPr>
          <w:rFonts w:ascii="Times New Roman" w:hAnsi="Times New Roman"/>
          <w:sz w:val="24"/>
          <w:szCs w:val="24"/>
        </w:rPr>
        <w:tab/>
        <w:t>104,6</w:t>
      </w:r>
      <w:r>
        <w:rPr>
          <w:rFonts w:ascii="Times New Roman" w:hAnsi="Times New Roman"/>
          <w:sz w:val="24"/>
          <w:szCs w:val="24"/>
        </w:rPr>
        <w:tab/>
        <w:t>104,2</w:t>
      </w:r>
      <w:r>
        <w:rPr>
          <w:rFonts w:ascii="Times New Roman" w:hAnsi="Times New Roman"/>
          <w:sz w:val="24"/>
          <w:szCs w:val="24"/>
        </w:rPr>
        <w:tab/>
        <w:t>103,9</w:t>
      </w:r>
      <w:r>
        <w:rPr>
          <w:rFonts w:ascii="Times New Roman" w:hAnsi="Times New Roman"/>
          <w:sz w:val="24"/>
          <w:szCs w:val="24"/>
        </w:rPr>
        <w:tab/>
        <w:t>103,5</w:t>
      </w:r>
    </w:p>
    <w:p w14:paraId="1704F8FB"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sz w:val="24"/>
          <w:szCs w:val="24"/>
        </w:rPr>
        <w:tab/>
        <w:t>100,3</w:t>
      </w:r>
      <w:r>
        <w:rPr>
          <w:rFonts w:ascii="Times New Roman" w:hAnsi="Times New Roman"/>
          <w:sz w:val="24"/>
          <w:szCs w:val="24"/>
        </w:rPr>
        <w:tab/>
        <w:t>100,8</w:t>
      </w:r>
      <w:r>
        <w:rPr>
          <w:rFonts w:ascii="Times New Roman" w:hAnsi="Times New Roman"/>
          <w:sz w:val="24"/>
          <w:szCs w:val="24"/>
        </w:rPr>
        <w:tab/>
        <w:t>101,0</w:t>
      </w:r>
      <w:r>
        <w:rPr>
          <w:rFonts w:ascii="Times New Roman" w:hAnsi="Times New Roman"/>
          <w:sz w:val="24"/>
          <w:szCs w:val="24"/>
        </w:rPr>
        <w:tab/>
        <w:t>101,3</w:t>
      </w:r>
      <w:r>
        <w:rPr>
          <w:rFonts w:ascii="Times New Roman" w:hAnsi="Times New Roman"/>
          <w:sz w:val="24"/>
          <w:szCs w:val="24"/>
        </w:rPr>
        <w:tab/>
        <w:t>100,5</w:t>
      </w:r>
      <w:r>
        <w:rPr>
          <w:rFonts w:ascii="Times New Roman" w:hAnsi="Times New Roman"/>
          <w:sz w:val="24"/>
          <w:szCs w:val="24"/>
        </w:rPr>
        <w:br/>
      </w:r>
      <w:r>
        <w:rPr>
          <w:rFonts w:ascii="Times New Roman" w:hAnsi="Times New Roman"/>
          <w:b/>
          <w:bCs/>
          <w:sz w:val="24"/>
          <w:szCs w:val="24"/>
        </w:rPr>
        <w:t>Zdraví</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,8</w:t>
      </w:r>
      <w:r>
        <w:rPr>
          <w:rFonts w:ascii="Times New Roman" w:hAnsi="Times New Roman"/>
          <w:sz w:val="24"/>
          <w:szCs w:val="24"/>
        </w:rPr>
        <w:tab/>
        <w:t>103,2</w:t>
      </w:r>
      <w:r>
        <w:rPr>
          <w:rFonts w:ascii="Times New Roman" w:hAnsi="Times New Roman"/>
          <w:sz w:val="24"/>
          <w:szCs w:val="24"/>
        </w:rPr>
        <w:tab/>
        <w:t>104,3</w:t>
      </w:r>
      <w:r>
        <w:rPr>
          <w:rFonts w:ascii="Times New Roman" w:hAnsi="Times New Roman"/>
          <w:sz w:val="24"/>
          <w:szCs w:val="24"/>
        </w:rPr>
        <w:tab/>
        <w:t>103,9</w:t>
      </w:r>
      <w:r>
        <w:rPr>
          <w:rFonts w:ascii="Times New Roman" w:hAnsi="Times New Roman"/>
          <w:sz w:val="24"/>
          <w:szCs w:val="24"/>
        </w:rPr>
        <w:tab/>
        <w:t>104,2</w:t>
      </w:r>
    </w:p>
    <w:p w14:paraId="34D0631E"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100,1</w:t>
      </w:r>
      <w:proofErr w:type="gramStart"/>
      <w:r>
        <w:rPr>
          <w:rFonts w:ascii="Times New Roman" w:hAnsi="Times New Roman"/>
          <w:sz w:val="24"/>
          <w:szCs w:val="24"/>
        </w:rPr>
        <w:tab/>
        <w:t xml:space="preserve">  98</w:t>
      </w:r>
      <w:proofErr w:type="gramEnd"/>
      <w:r>
        <w:rPr>
          <w:rFonts w:ascii="Times New Roman" w:hAnsi="Times New Roman"/>
          <w:sz w:val="24"/>
          <w:szCs w:val="24"/>
        </w:rPr>
        <w:t>,7</w:t>
      </w:r>
      <w:r>
        <w:rPr>
          <w:rFonts w:ascii="Times New Roman" w:hAnsi="Times New Roman"/>
          <w:sz w:val="24"/>
          <w:szCs w:val="24"/>
        </w:rPr>
        <w:tab/>
        <w:t>100,1</w:t>
      </w:r>
      <w:r>
        <w:rPr>
          <w:rFonts w:ascii="Times New Roman" w:hAnsi="Times New Roman"/>
          <w:sz w:val="24"/>
          <w:szCs w:val="24"/>
        </w:rPr>
        <w:tab/>
        <w:t>101,4</w:t>
      </w:r>
      <w:r>
        <w:rPr>
          <w:rFonts w:ascii="Times New Roman" w:hAnsi="Times New Roman"/>
          <w:sz w:val="24"/>
          <w:szCs w:val="24"/>
        </w:rPr>
        <w:tab/>
        <w:t>101,8</w:t>
      </w:r>
    </w:p>
    <w:p w14:paraId="397736A3"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100,9</w:t>
      </w:r>
      <w:r>
        <w:rPr>
          <w:rFonts w:ascii="Times New Roman" w:hAnsi="Times New Roman"/>
          <w:sz w:val="24"/>
          <w:szCs w:val="24"/>
        </w:rPr>
        <w:tab/>
        <w:t>100,7</w:t>
      </w:r>
      <w:r>
        <w:rPr>
          <w:rFonts w:ascii="Times New Roman" w:hAnsi="Times New Roman"/>
          <w:sz w:val="24"/>
          <w:szCs w:val="24"/>
        </w:rPr>
        <w:tab/>
        <w:t>100,3</w:t>
      </w:r>
      <w:r>
        <w:rPr>
          <w:rFonts w:ascii="Times New Roman" w:hAnsi="Times New Roman"/>
          <w:sz w:val="24"/>
          <w:szCs w:val="24"/>
        </w:rPr>
        <w:tab/>
        <w:t>101,6</w:t>
      </w:r>
    </w:p>
    <w:p w14:paraId="2D77E2A8"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proofErr w:type="gramStart"/>
      <w:r>
        <w:rPr>
          <w:rFonts w:ascii="Times New Roman" w:hAnsi="Times New Roman"/>
          <w:b/>
          <w:bCs/>
          <w:sz w:val="24"/>
          <w:szCs w:val="24"/>
        </w:rPr>
        <w:tab/>
      </w:r>
      <w:r>
        <w:rPr>
          <w:rFonts w:ascii="Times New Roman" w:hAnsi="Times New Roman"/>
          <w:sz w:val="24"/>
          <w:szCs w:val="24"/>
        </w:rPr>
        <w:t xml:space="preserve">  99</w:t>
      </w:r>
      <w:proofErr w:type="gramEnd"/>
      <w:r>
        <w:rPr>
          <w:rFonts w:ascii="Times New Roman" w:hAnsi="Times New Roman"/>
          <w:sz w:val="24"/>
          <w:szCs w:val="24"/>
        </w:rPr>
        <w:t>,9</w:t>
      </w:r>
      <w:r>
        <w:rPr>
          <w:rFonts w:ascii="Times New Roman" w:hAnsi="Times New Roman"/>
          <w:sz w:val="24"/>
          <w:szCs w:val="24"/>
        </w:rPr>
        <w:tab/>
        <w:t>103,8</w:t>
      </w:r>
      <w:r>
        <w:rPr>
          <w:rFonts w:ascii="Times New Roman" w:hAnsi="Times New Roman"/>
          <w:sz w:val="24"/>
          <w:szCs w:val="24"/>
        </w:rPr>
        <w:tab/>
        <w:t>103,5</w:t>
      </w:r>
      <w:r>
        <w:rPr>
          <w:rFonts w:ascii="Times New Roman" w:hAnsi="Times New Roman"/>
          <w:sz w:val="24"/>
          <w:szCs w:val="24"/>
        </w:rPr>
        <w:tab/>
        <w:t>103,3</w:t>
      </w:r>
      <w:r>
        <w:rPr>
          <w:rFonts w:ascii="Times New Roman" w:hAnsi="Times New Roman"/>
          <w:sz w:val="24"/>
          <w:szCs w:val="24"/>
        </w:rPr>
        <w:tab/>
        <w:t>103,8</w:t>
      </w:r>
    </w:p>
    <w:p w14:paraId="6B3F1FE5"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100,0</w:t>
      </w:r>
      <w:r>
        <w:rPr>
          <w:rFonts w:ascii="Times New Roman" w:hAnsi="Times New Roman"/>
          <w:sz w:val="24"/>
          <w:szCs w:val="24"/>
        </w:rPr>
        <w:tab/>
        <w:t>111,3</w:t>
      </w:r>
      <w:r>
        <w:rPr>
          <w:rFonts w:ascii="Times New Roman" w:hAnsi="Times New Roman"/>
          <w:sz w:val="24"/>
          <w:szCs w:val="24"/>
        </w:rPr>
        <w:tab/>
        <w:t>111,4</w:t>
      </w:r>
      <w:r>
        <w:rPr>
          <w:rFonts w:ascii="Times New Roman" w:hAnsi="Times New Roman"/>
          <w:sz w:val="24"/>
          <w:szCs w:val="24"/>
        </w:rPr>
        <w:tab/>
        <w:t>111,4</w:t>
      </w:r>
      <w:r>
        <w:rPr>
          <w:rFonts w:ascii="Times New Roman" w:hAnsi="Times New Roman"/>
          <w:sz w:val="24"/>
          <w:szCs w:val="24"/>
        </w:rPr>
        <w:tab/>
        <w:t>108,2</w:t>
      </w:r>
    </w:p>
    <w:p w14:paraId="6FB77E5D"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100,2</w:t>
      </w:r>
      <w:r>
        <w:rPr>
          <w:rFonts w:ascii="Times New Roman" w:hAnsi="Times New Roman"/>
          <w:sz w:val="24"/>
          <w:szCs w:val="24"/>
        </w:rPr>
        <w:tab/>
        <w:t>107,2</w:t>
      </w:r>
      <w:r>
        <w:rPr>
          <w:rFonts w:ascii="Times New Roman" w:hAnsi="Times New Roman"/>
          <w:sz w:val="24"/>
          <w:szCs w:val="24"/>
        </w:rPr>
        <w:tab/>
        <w:t>107,0</w:t>
      </w:r>
      <w:r>
        <w:rPr>
          <w:rFonts w:ascii="Times New Roman" w:hAnsi="Times New Roman"/>
          <w:sz w:val="24"/>
          <w:szCs w:val="24"/>
        </w:rPr>
        <w:tab/>
        <w:t>106,8</w:t>
      </w:r>
      <w:r>
        <w:rPr>
          <w:rFonts w:ascii="Times New Roman" w:hAnsi="Times New Roman"/>
          <w:sz w:val="24"/>
          <w:szCs w:val="24"/>
        </w:rPr>
        <w:tab/>
        <w:t>107,6</w:t>
      </w:r>
    </w:p>
    <w:p w14:paraId="6D779E75" w14:textId="77777777" w:rsidR="00F520A6" w:rsidRDefault="00F520A6" w:rsidP="00F520A6">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proofErr w:type="gramStart"/>
      <w:r>
        <w:rPr>
          <w:rFonts w:ascii="Times New Roman" w:hAnsi="Times New Roman"/>
          <w:sz w:val="24"/>
          <w:szCs w:val="24"/>
        </w:rPr>
        <w:tab/>
        <w:t xml:space="preserve">  99</w:t>
      </w:r>
      <w:proofErr w:type="gramEnd"/>
      <w:r>
        <w:rPr>
          <w:rFonts w:ascii="Times New Roman" w:hAnsi="Times New Roman"/>
          <w:sz w:val="24"/>
          <w:szCs w:val="24"/>
        </w:rPr>
        <w:t>,7</w:t>
      </w:r>
      <w:r>
        <w:rPr>
          <w:rFonts w:ascii="Times New Roman" w:hAnsi="Times New Roman"/>
          <w:sz w:val="24"/>
          <w:szCs w:val="24"/>
        </w:rPr>
        <w:tab/>
        <w:t>104,0</w:t>
      </w:r>
      <w:r>
        <w:rPr>
          <w:rFonts w:ascii="Times New Roman" w:hAnsi="Times New Roman"/>
          <w:sz w:val="24"/>
          <w:szCs w:val="24"/>
        </w:rPr>
        <w:tab/>
        <w:t>103,2</w:t>
      </w:r>
      <w:r>
        <w:rPr>
          <w:rFonts w:ascii="Times New Roman" w:hAnsi="Times New Roman"/>
          <w:sz w:val="24"/>
          <w:szCs w:val="24"/>
        </w:rPr>
        <w:tab/>
        <w:t>103,5</w:t>
      </w:r>
      <w:r>
        <w:rPr>
          <w:rFonts w:ascii="Times New Roman" w:hAnsi="Times New Roman"/>
          <w:sz w:val="24"/>
          <w:szCs w:val="24"/>
        </w:rPr>
        <w:tab/>
        <w:t>103,4</w:t>
      </w:r>
    </w:p>
    <w:p w14:paraId="2106E544" w14:textId="77777777" w:rsidR="00F520A6" w:rsidRDefault="00F520A6"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09637CC" w14:textId="77777777" w:rsidR="00F520A6" w:rsidRDefault="00F520A6"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DE75BA2" w14:textId="77777777" w:rsidR="00F520A6" w:rsidRDefault="00F520A6"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ab/>
      </w:r>
    </w:p>
    <w:p w14:paraId="6FB33D7A" w14:textId="77777777" w:rsidR="00F520A6" w:rsidRDefault="00F520A6"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0E9D191" w14:textId="77777777" w:rsidR="00C43FA0" w:rsidRDefault="00F520A6"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 xml:space="preserve">    </w:t>
      </w:r>
    </w:p>
    <w:p w14:paraId="3E22FB48"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5EC9BE1"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2E6C6394"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BD0F7BE"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3D4D17E"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E6197B7"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D1D5ED0" w14:textId="77777777" w:rsidR="00C43FA0" w:rsidRDefault="00C43FA0" w:rsidP="00F520A6">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C9447A0" w14:textId="77777777" w:rsidR="00C43FA0" w:rsidRDefault="00C43FA0" w:rsidP="00C43FA0">
      <w:pPr>
        <w:spacing w:after="0" w:line="240" w:lineRule="auto"/>
        <w:jc w:val="center"/>
        <w:rPr>
          <w:rFonts w:ascii="Times New Roman" w:hAnsi="Times New Roman"/>
          <w:b/>
          <w:bCs/>
          <w:sz w:val="24"/>
          <w:szCs w:val="24"/>
        </w:rPr>
      </w:pPr>
      <w:r>
        <w:rPr>
          <w:rFonts w:ascii="Times New Roman" w:hAnsi="Times New Roman" w:cs="Times New Roman"/>
          <w:b/>
          <w:bCs/>
          <w:sz w:val="24"/>
          <w:szCs w:val="24"/>
        </w:rPr>
        <w:lastRenderedPageBreak/>
        <w:t>NADBYTEČNOST ZAMĚSTNANCE – ROZHODOVÁNÍ, KTERÉ MÁ SVÁ PRAVIDLA</w:t>
      </w:r>
    </w:p>
    <w:p w14:paraId="2F8C8FE8" w14:textId="77777777" w:rsidR="00C43FA0" w:rsidRDefault="00C43FA0" w:rsidP="00C43FA0">
      <w:pPr>
        <w:spacing w:after="0" w:line="240" w:lineRule="auto"/>
        <w:jc w:val="center"/>
        <w:rPr>
          <w:rFonts w:ascii="Times New Roman" w:hAnsi="Times New Roman"/>
          <w:b/>
          <w:bCs/>
          <w:sz w:val="24"/>
          <w:szCs w:val="24"/>
        </w:rPr>
      </w:pPr>
    </w:p>
    <w:p w14:paraId="3E797566" w14:textId="77777777" w:rsidR="00C43FA0" w:rsidRDefault="00C43FA0" w:rsidP="00C43FA0">
      <w:pPr>
        <w:spacing w:after="0" w:line="240" w:lineRule="auto"/>
        <w:jc w:val="center"/>
        <w:rPr>
          <w:rFonts w:ascii="Times New Roman" w:hAnsi="Times New Roman"/>
          <w:b/>
          <w:bCs/>
          <w:sz w:val="24"/>
          <w:szCs w:val="24"/>
        </w:rPr>
      </w:pPr>
    </w:p>
    <w:p w14:paraId="549993C8" w14:textId="77777777" w:rsidR="00C43FA0" w:rsidRDefault="00C43FA0" w:rsidP="00C43FA0">
      <w:pPr>
        <w:spacing w:after="0" w:line="240" w:lineRule="auto"/>
        <w:jc w:val="both"/>
        <w:rPr>
          <w:rFonts w:ascii="Times New Roman" w:hAnsi="Times New Roman"/>
          <w:b/>
          <w:bCs/>
          <w:sz w:val="24"/>
          <w:szCs w:val="24"/>
        </w:rPr>
      </w:pPr>
      <w:r>
        <w:rPr>
          <w:rFonts w:ascii="Times New Roman" w:hAnsi="Times New Roman" w:cs="Times New Roman"/>
          <w:b/>
          <w:bCs/>
          <w:sz w:val="24"/>
          <w:szCs w:val="24"/>
        </w:rPr>
        <w:t>Rozhodování o ukončení pracovního poměru z důvodu nadbytečnosti zaměstnance je pro každého zaměstnavatele i zaměstnance citlivé téma. Zákoník práce stanoví pro tuto situaci jasné limity. Jaké podmínky musí být splněny a na co si dát pozor, aby rozhodnutí nebylo právně napadnutelné?</w:t>
      </w:r>
    </w:p>
    <w:p w14:paraId="22C755AC" w14:textId="77777777" w:rsidR="00C43FA0" w:rsidRDefault="00C43FA0" w:rsidP="00C43FA0">
      <w:pPr>
        <w:spacing w:after="0" w:line="240" w:lineRule="auto"/>
        <w:jc w:val="both"/>
        <w:rPr>
          <w:rFonts w:ascii="Times New Roman" w:hAnsi="Times New Roman"/>
          <w:b/>
          <w:bCs/>
          <w:sz w:val="24"/>
          <w:szCs w:val="24"/>
        </w:rPr>
      </w:pPr>
    </w:p>
    <w:p w14:paraId="542E5E2E" w14:textId="77777777" w:rsidR="00C43FA0" w:rsidRDefault="00C43FA0" w:rsidP="00C43FA0">
      <w:pPr>
        <w:spacing w:after="0" w:line="240" w:lineRule="auto"/>
        <w:jc w:val="both"/>
        <w:rPr>
          <w:rFonts w:ascii="Times New Roman" w:hAnsi="Times New Roman"/>
          <w:b/>
          <w:bCs/>
          <w:sz w:val="24"/>
          <w:szCs w:val="24"/>
        </w:rPr>
      </w:pPr>
    </w:p>
    <w:p w14:paraId="11DFFB7B"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Aby bylo možné použít výpovědní důvod ze strany zaměstnavatele uvedený v § 52 písm. c) zákoníku práce, musejí být splněny 3 základní předpoklady:</w:t>
      </w:r>
    </w:p>
    <w:p w14:paraId="58BF5F52" w14:textId="77777777" w:rsidR="00C43FA0" w:rsidRDefault="00C43FA0" w:rsidP="00C43FA0">
      <w:pPr>
        <w:spacing w:after="0" w:line="240" w:lineRule="auto"/>
        <w:jc w:val="both"/>
        <w:rPr>
          <w:rFonts w:ascii="Times New Roman" w:hAnsi="Times New Roman"/>
          <w:sz w:val="24"/>
          <w:szCs w:val="24"/>
        </w:rPr>
      </w:pPr>
    </w:p>
    <w:p w14:paraId="40B8AB20" w14:textId="77777777" w:rsidR="00C43FA0" w:rsidRDefault="00C43FA0" w:rsidP="00C43FA0">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cs="Times New Roman"/>
          <w:sz w:val="24"/>
          <w:szCs w:val="24"/>
        </w:rPr>
        <w:t>existence rozhodnutí zaměstnavatele o organizační změně</w:t>
      </w:r>
    </w:p>
    <w:p w14:paraId="0789B868" w14:textId="77777777" w:rsidR="00C43FA0" w:rsidRDefault="00C43FA0" w:rsidP="00C43FA0">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cs="Times New Roman"/>
          <w:sz w:val="24"/>
          <w:szCs w:val="24"/>
        </w:rPr>
        <w:t>nadbytečnost zaměstnance a</w:t>
      </w:r>
    </w:p>
    <w:p w14:paraId="49740FB9" w14:textId="77777777" w:rsidR="00C43FA0" w:rsidRDefault="00C43FA0" w:rsidP="00C43FA0">
      <w:pPr>
        <w:pStyle w:val="Odstavecseseznamem"/>
        <w:numPr>
          <w:ilvl w:val="0"/>
          <w:numId w:val="51"/>
        </w:numPr>
        <w:suppressAutoHyphens/>
        <w:autoSpaceDN w:val="0"/>
        <w:spacing w:after="0" w:line="240" w:lineRule="auto"/>
        <w:contextualSpacing w:val="0"/>
        <w:jc w:val="both"/>
        <w:textAlignment w:val="baseline"/>
        <w:rPr>
          <w:rFonts w:ascii="Times New Roman" w:hAnsi="Times New Roman"/>
          <w:sz w:val="24"/>
          <w:szCs w:val="24"/>
        </w:rPr>
      </w:pPr>
      <w:r>
        <w:rPr>
          <w:rFonts w:ascii="Times New Roman" w:hAnsi="Times New Roman" w:cs="Times New Roman"/>
          <w:sz w:val="24"/>
          <w:szCs w:val="24"/>
        </w:rPr>
        <w:t>příčinná souvislost mezi rozhodnutím zaměstnavatele a nadbytečností zaměstnance, tj. že zaměstnanec se stane nadbytečným právě a jen v důsledku tohoto rozhodnutí.</w:t>
      </w:r>
    </w:p>
    <w:p w14:paraId="048C10EA" w14:textId="77777777" w:rsidR="00C43FA0" w:rsidRDefault="00C43FA0" w:rsidP="00C43FA0">
      <w:pPr>
        <w:spacing w:after="0" w:line="240" w:lineRule="auto"/>
        <w:jc w:val="both"/>
        <w:rPr>
          <w:rFonts w:ascii="Times New Roman" w:hAnsi="Times New Roman"/>
          <w:sz w:val="24"/>
          <w:szCs w:val="24"/>
        </w:rPr>
      </w:pPr>
    </w:p>
    <w:p w14:paraId="0C719948" w14:textId="77777777" w:rsidR="00C43FA0" w:rsidRDefault="00C43FA0" w:rsidP="00C43FA0">
      <w:pPr>
        <w:spacing w:after="0" w:line="240" w:lineRule="auto"/>
        <w:jc w:val="both"/>
      </w:pPr>
      <w:r>
        <w:rPr>
          <w:rFonts w:ascii="Times New Roman" w:hAnsi="Times New Roman" w:cs="Times New Roman"/>
          <w:sz w:val="24"/>
          <w:szCs w:val="24"/>
        </w:rPr>
        <w:t xml:space="preserve">     Nadbytečným </w:t>
      </w:r>
      <w:r>
        <w:rPr>
          <w:rFonts w:ascii="Times New Roman" w:hAnsi="Times New Roman" w:cs="Times New Roman"/>
          <w:b/>
          <w:bCs/>
          <w:sz w:val="24"/>
          <w:szCs w:val="24"/>
        </w:rPr>
        <w:t xml:space="preserve">nemusí být zaměstnanec již v době dání výpovědi z pracovního poměru. </w:t>
      </w:r>
      <w:r>
        <w:rPr>
          <w:rFonts w:ascii="Times New Roman" w:hAnsi="Times New Roman" w:cs="Times New Roman"/>
          <w:sz w:val="24"/>
          <w:szCs w:val="24"/>
        </w:rPr>
        <w:t>Rozhodnutí zaměstnavatele o organizační změně musí být ovšem přijato před dáním výpovědi a má-li být skutečnou příčinou nadbytečnosti zaměstnance, musí zaměstnavatel dát zmíněnou výpověď v takovém okamžiku, aby pracovní poměr skončil na základě této výpovědi nejdříve v pracovním dni předcházejícím dni, v němž nastává účinnost přijatých organizačních změn.</w:t>
      </w:r>
    </w:p>
    <w:p w14:paraId="7D122270" w14:textId="77777777" w:rsidR="00C43FA0" w:rsidRDefault="00C43FA0" w:rsidP="00C43FA0">
      <w:pPr>
        <w:spacing w:after="0" w:line="240" w:lineRule="auto"/>
        <w:jc w:val="both"/>
        <w:rPr>
          <w:rFonts w:ascii="Times New Roman" w:hAnsi="Times New Roman"/>
          <w:sz w:val="24"/>
          <w:szCs w:val="24"/>
        </w:rPr>
      </w:pPr>
    </w:p>
    <w:p w14:paraId="3BC0273C"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Pokud je účinnost organizační změny stanovena např. ke dni 1. 6., je účelné doručit zaměstnanci výpověď z pracovního poměru v měsíci březnu téhož roku, aby pracovní poměr skončil uplynutím dvouměsíční výpovědní doby ke dni 31. 5. Kdyby byla výpověď zaměstnanci doručena a pracovní poměr skončil později, může nastat situace, že zaměstnavatel nebude moci zaměstnanci přidělovat práci, půjde o překážku v práci na jeho straně a zaměstnanci bude náležet v souladu s ustanovením § 208 ZP náhrada mzdy (platu) ve výši průměrného výdělku. Zaměstnavatel se musí ale vyvarovat toho, aby pracovní poměr skončil dříve (v dřívější pracovní den) než 31. 5., protože pak by mohla být zpochybněna příčinná souvislost mezi rozhodnutím zaměstnavatele o organizační změně a nadbytečností zaměstnance a napadena i platnost samotné výpovědi.</w:t>
      </w:r>
    </w:p>
    <w:p w14:paraId="55AE0F13" w14:textId="77777777" w:rsidR="00C43FA0" w:rsidRDefault="00C43FA0" w:rsidP="00C43FA0">
      <w:pPr>
        <w:spacing w:after="0" w:line="240" w:lineRule="auto"/>
        <w:jc w:val="both"/>
        <w:rPr>
          <w:rFonts w:ascii="Times New Roman" w:hAnsi="Times New Roman"/>
          <w:sz w:val="24"/>
          <w:szCs w:val="24"/>
        </w:rPr>
      </w:pPr>
    </w:p>
    <w:p w14:paraId="1185236C" w14:textId="363235F9"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ZP nestanoví pro rozhodnutí zaměstnavatele o příslušné organizační změně požadavek písemné formy ani nepředpokládá, že by muselo být zaměstnavatelem nějakým způsobem zveřejněno. Zaměstnanec, jehož se rozhodnutí o organizační změně týká, s ním však musí být seznámen, přičemž postačí, pokud se tak stane až ve výpovědi z pracovního poměru. Nelze než doporučit, aby takové rozhodnutí v písemné podobě skutečně vyhotoveno bylo. Tímto postupem zaměstnavatel předejde zbytečným problémům s dokazováním toho, zdali nějaké rozhodnutí přijal, či nikoliv.</w:t>
      </w:r>
    </w:p>
    <w:p w14:paraId="3BAC9FB4" w14:textId="77777777" w:rsidR="00C43FA0" w:rsidRDefault="00C43FA0" w:rsidP="00C43FA0">
      <w:pPr>
        <w:spacing w:after="0" w:line="240" w:lineRule="auto"/>
        <w:jc w:val="both"/>
        <w:rPr>
          <w:rFonts w:ascii="Times New Roman" w:hAnsi="Times New Roman"/>
          <w:sz w:val="24"/>
          <w:szCs w:val="24"/>
        </w:rPr>
      </w:pPr>
    </w:p>
    <w:p w14:paraId="6877A271"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Rozhodnutí o organizační změně není právním jednáním, ale jen předpokladem pro to, aby mohla být zaměstnanci dána výpověď z důvodu nadbytečnosti. Zaměstnanec nemůže tedy žalovat za to, že zmíněné rozhodnutí je neplatné. V případném soudním sporu (a to o platnost výpovědi) se soud zabývá jen tím, zda takové rozhodnutí bylo skutečně přijato a zda je učinila oprávněná osoba sama (zpravidla fyzická osoba – zaměstnavatel nebo statutární orgán u právnické osoby).</w:t>
      </w:r>
    </w:p>
    <w:p w14:paraId="509FB206" w14:textId="77777777" w:rsidR="00C43FA0" w:rsidRDefault="00C43FA0" w:rsidP="00C43FA0">
      <w:pPr>
        <w:spacing w:after="0" w:line="240" w:lineRule="auto"/>
        <w:jc w:val="both"/>
        <w:rPr>
          <w:rFonts w:ascii="Times New Roman" w:hAnsi="Times New Roman"/>
          <w:sz w:val="24"/>
          <w:szCs w:val="24"/>
        </w:rPr>
      </w:pPr>
    </w:p>
    <w:p w14:paraId="197D7C61"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Jednou z možných organizačních změn, o které se zmiňuje ustanovení § 52 písm. c) ZP, je též „snížení stavu zaměstnanců za účelem zvýšení efektivnosti práce“. Rozhodne-li zaměstnavatel o této organizační změně, není podle judikatury nadbytečnost zaměstnance v příčinné souvislosti s rozhodnutím o organizační změně, jestliže předpokládané (organizační změnou stanovené) </w:t>
      </w:r>
      <w:r>
        <w:rPr>
          <w:rFonts w:ascii="Times New Roman" w:hAnsi="Times New Roman" w:cs="Times New Roman"/>
          <w:sz w:val="24"/>
          <w:szCs w:val="24"/>
        </w:rPr>
        <w:lastRenderedPageBreak/>
        <w:t>snížení stavu zaměstnanců má nastat jinak, dokonce bez nutnosti rozvázání pracovního poměru výpovědí. Tak tomu může být např. v důsledku výpovědi dané jiným zaměstnancem dle ustanovení § 50 odst. 3 ZP nebo skončením pracovního poměru na dobu určitou jiných zaměstnanců uplynutím této doby.</w:t>
      </w:r>
    </w:p>
    <w:p w14:paraId="7E1953CD" w14:textId="77777777" w:rsidR="00C43FA0" w:rsidRDefault="00C43FA0" w:rsidP="00C43FA0">
      <w:pPr>
        <w:spacing w:after="0" w:line="240" w:lineRule="auto"/>
        <w:jc w:val="both"/>
        <w:rPr>
          <w:rFonts w:ascii="Times New Roman" w:hAnsi="Times New Roman"/>
          <w:sz w:val="24"/>
          <w:szCs w:val="24"/>
        </w:rPr>
      </w:pPr>
    </w:p>
    <w:p w14:paraId="2CB0D303"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Rozvázání pracovního poměru výpovědí pro nadbytečnost zaměstnance není přitom podmíněno absolutním snížením počtu zaměstnanců, naopak může k němu dojít i při zvyšování počtu zaměstnanců. Zaměstnavatelům zákon umožňuje, aby regulovali nejen počet svých zaměstnanců, ale i jejich kvalifikační složení tak, aby zaměstnávali jen takový počet zaměstnanců a v takovém kvalifikačním složení, jaké odpovídá jejich potřebám.,</w:t>
      </w:r>
    </w:p>
    <w:p w14:paraId="169BF787" w14:textId="77777777" w:rsidR="00C43FA0" w:rsidRDefault="00C43FA0" w:rsidP="00C43FA0">
      <w:pPr>
        <w:spacing w:after="0" w:line="240" w:lineRule="auto"/>
        <w:jc w:val="both"/>
        <w:rPr>
          <w:rFonts w:ascii="Times New Roman" w:hAnsi="Times New Roman"/>
          <w:sz w:val="24"/>
          <w:szCs w:val="24"/>
        </w:rPr>
      </w:pPr>
    </w:p>
    <w:p w14:paraId="7873BCEC" w14:textId="77777777" w:rsidR="00C43FA0" w:rsidRDefault="00C43FA0" w:rsidP="00C43FA0">
      <w:pPr>
        <w:spacing w:after="0" w:line="240" w:lineRule="auto"/>
        <w:jc w:val="both"/>
      </w:pPr>
      <w:r>
        <w:rPr>
          <w:rFonts w:ascii="Times New Roman" w:hAnsi="Times New Roman" w:cs="Times New Roman"/>
          <w:sz w:val="24"/>
          <w:szCs w:val="24"/>
        </w:rPr>
        <w:t xml:space="preserve">     O výběru zaměstnance, který je nadbytečným, </w:t>
      </w:r>
      <w:r>
        <w:rPr>
          <w:rFonts w:ascii="Times New Roman" w:hAnsi="Times New Roman" w:cs="Times New Roman"/>
          <w:b/>
          <w:bCs/>
          <w:sz w:val="24"/>
          <w:szCs w:val="24"/>
        </w:rPr>
        <w:t xml:space="preserve">rozhoduje výhradně zaměstnavatel a soud není v tomto směru oprávněn jeho rozhodnutí přezkoumávat. </w:t>
      </w:r>
      <w:r>
        <w:rPr>
          <w:rFonts w:ascii="Times New Roman" w:hAnsi="Times New Roman" w:cs="Times New Roman"/>
          <w:sz w:val="24"/>
          <w:szCs w:val="24"/>
        </w:rPr>
        <w:t>I tento výběr má ale svoje pravidla a není zcela bezbřehý. Dotýká-li se organizační změna relativně samostatné organizační jednotky zaměstnavatele tak, že určitá práce je potřebná jen v omezeném rozsahu, platí, že možnost výběru nadbytečného zaměstnance nelze vztáhnout na libovolného zaměstnance působícího kdekoliv jinde v rámci zaměstnavatele, na jehož pracovní místo (pracoviště) neměla organizační změna žádný vliv. Speciální posouzení nastává v případě, že se má nadbytečným stát zaměstnanec, jemuž přísluší zvýšená ochrana coby (bývalému) členu odborového orgánu. Na tento výpovědní důvod se až na výjimky vztahuje zákaz výpovědi dle ustanovení § 53 ZP. Zaměstnanci přísluší při skončení pracovního poměru právo na odstupné.</w:t>
      </w:r>
    </w:p>
    <w:p w14:paraId="0B23A37F" w14:textId="77777777" w:rsidR="00C43FA0" w:rsidRDefault="00C43FA0" w:rsidP="00C43FA0">
      <w:pPr>
        <w:spacing w:after="0" w:line="240" w:lineRule="auto"/>
        <w:jc w:val="both"/>
        <w:rPr>
          <w:rFonts w:ascii="Times New Roman" w:hAnsi="Times New Roman"/>
          <w:sz w:val="24"/>
          <w:szCs w:val="24"/>
        </w:rPr>
      </w:pPr>
    </w:p>
    <w:p w14:paraId="7143F90E" w14:textId="77777777"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     Speciálním případem (fiktivní) nadbytečnosti je nemožnost zaměstnavatele přidělovat práci zaměstnanci po jeho odvolání z vedoucího pracovního místa nebo vzdání se tohoto pracovního místa.</w:t>
      </w:r>
    </w:p>
    <w:p w14:paraId="57B67795" w14:textId="77777777" w:rsidR="00C43FA0" w:rsidRDefault="00C43FA0" w:rsidP="00C43FA0">
      <w:pPr>
        <w:spacing w:after="0" w:line="240" w:lineRule="auto"/>
        <w:jc w:val="both"/>
        <w:rPr>
          <w:rFonts w:ascii="Times New Roman" w:hAnsi="Times New Roman"/>
          <w:sz w:val="24"/>
          <w:szCs w:val="24"/>
        </w:rPr>
      </w:pPr>
    </w:p>
    <w:p w14:paraId="0E1685BE" w14:textId="4E353E63" w:rsidR="00C43FA0" w:rsidRDefault="00C43FA0" w:rsidP="00C43FA0">
      <w:pPr>
        <w:spacing w:after="0" w:line="240" w:lineRule="auto"/>
        <w:jc w:val="both"/>
        <w:rPr>
          <w:rFonts w:ascii="Times New Roman" w:hAnsi="Times New Roman"/>
          <w:sz w:val="24"/>
          <w:szCs w:val="24"/>
        </w:rPr>
      </w:pPr>
      <w:r>
        <w:rPr>
          <w:rFonts w:ascii="Times New Roman" w:hAnsi="Times New Roman" w:cs="Times New Roman"/>
          <w:sz w:val="24"/>
          <w:szCs w:val="24"/>
        </w:rPr>
        <w:t xml:space="preserve">Zdroj: </w:t>
      </w:r>
      <w:proofErr w:type="spellStart"/>
      <w:r w:rsidR="009D55F7">
        <w:rPr>
          <w:rFonts w:ascii="Times New Roman" w:hAnsi="Times New Roman" w:cs="Times New Roman"/>
          <w:sz w:val="24"/>
          <w:szCs w:val="24"/>
        </w:rPr>
        <w:t>P</w:t>
      </w:r>
      <w:r>
        <w:rPr>
          <w:rFonts w:ascii="Times New Roman" w:hAnsi="Times New Roman" w:cs="Times New Roman"/>
          <w:sz w:val="24"/>
          <w:szCs w:val="24"/>
        </w:rPr>
        <w:t>am</w:t>
      </w:r>
      <w:r w:rsidR="009D55F7">
        <w:rPr>
          <w:rFonts w:ascii="Times New Roman" w:hAnsi="Times New Roman" w:cs="Times New Roman"/>
          <w:sz w:val="24"/>
          <w:szCs w:val="24"/>
        </w:rPr>
        <w:t>.</w:t>
      </w:r>
      <w:r>
        <w:rPr>
          <w:rFonts w:ascii="Times New Roman" w:hAnsi="Times New Roman" w:cs="Times New Roman"/>
          <w:sz w:val="24"/>
          <w:szCs w:val="24"/>
        </w:rPr>
        <w:t>profi</w:t>
      </w:r>
      <w:proofErr w:type="spellEnd"/>
    </w:p>
    <w:p w14:paraId="1115921C" w14:textId="77777777" w:rsidR="00C43FA0" w:rsidRDefault="00C43FA0" w:rsidP="00C43FA0">
      <w:pPr>
        <w:spacing w:after="0" w:line="240" w:lineRule="auto"/>
        <w:jc w:val="both"/>
        <w:rPr>
          <w:rFonts w:ascii="Times New Roman" w:hAnsi="Times New Roman"/>
          <w:sz w:val="24"/>
          <w:szCs w:val="24"/>
        </w:rPr>
      </w:pPr>
    </w:p>
    <w:p w14:paraId="0392E59C" w14:textId="77777777" w:rsidR="00C43FA0" w:rsidRDefault="00C43FA0" w:rsidP="00C43FA0">
      <w:pPr>
        <w:spacing w:after="0" w:line="240" w:lineRule="auto"/>
        <w:jc w:val="both"/>
        <w:rPr>
          <w:rFonts w:ascii="Times New Roman" w:hAnsi="Times New Roman"/>
          <w:sz w:val="24"/>
          <w:szCs w:val="24"/>
        </w:rPr>
      </w:pPr>
    </w:p>
    <w:p w14:paraId="357F564F" w14:textId="77777777" w:rsidR="00C43FA0" w:rsidRDefault="00C43FA0" w:rsidP="00C43FA0">
      <w:pPr>
        <w:spacing w:after="0" w:line="240" w:lineRule="auto"/>
        <w:jc w:val="both"/>
        <w:rPr>
          <w:rFonts w:ascii="Times New Roman" w:hAnsi="Times New Roman"/>
          <w:sz w:val="24"/>
          <w:szCs w:val="24"/>
        </w:rPr>
      </w:pPr>
    </w:p>
    <w:p w14:paraId="4A4A532D" w14:textId="2105F890" w:rsidR="00F520A6" w:rsidRDefault="00F520A6" w:rsidP="00F520A6">
      <w:pPr>
        <w:tabs>
          <w:tab w:val="left" w:pos="3119"/>
          <w:tab w:val="left" w:pos="4366"/>
          <w:tab w:val="left" w:pos="5387"/>
          <w:tab w:val="left" w:pos="6521"/>
          <w:tab w:val="left" w:pos="7655"/>
        </w:tabs>
        <w:spacing w:after="0" w:line="360" w:lineRule="auto"/>
        <w:jc w:val="both"/>
      </w:pPr>
      <w:r>
        <w:rPr>
          <w:rFonts w:ascii="Times New Roman" w:hAnsi="Times New Roman"/>
          <w:sz w:val="24"/>
          <w:szCs w:val="24"/>
        </w:rPr>
        <w:t xml:space="preserve">                                                                                                                                                                                                                                                                                                                                                                                                                                                                                                                                                                                                           </w:t>
      </w:r>
      <w:r>
        <w:rPr>
          <w:rFonts w:ascii="Times New Roman" w:hAnsi="Times New Roman"/>
          <w:b/>
          <w:bCs/>
          <w:sz w:val="24"/>
          <w:szCs w:val="24"/>
        </w:rPr>
        <w:t xml:space="preserve"> </w:t>
      </w:r>
    </w:p>
    <w:p w14:paraId="2065C7E1" w14:textId="77777777" w:rsidR="00F520A6" w:rsidRDefault="00F520A6" w:rsidP="00F520A6">
      <w:pPr>
        <w:tabs>
          <w:tab w:val="left" w:pos="3119"/>
          <w:tab w:val="left" w:pos="4366"/>
          <w:tab w:val="left" w:pos="5387"/>
          <w:tab w:val="left" w:pos="6521"/>
          <w:tab w:val="left" w:pos="7655"/>
        </w:tabs>
        <w:spacing w:after="0" w:line="360" w:lineRule="auto"/>
        <w:jc w:val="both"/>
      </w:pPr>
      <w:r>
        <w:rPr>
          <w:rFonts w:ascii="Times New Roman" w:hAnsi="Times New Roman"/>
          <w:sz w:val="28"/>
          <w:szCs w:val="28"/>
        </w:rPr>
        <w:t xml:space="preserve">                                                                                                                                                                                                                                                                                                                                                                                                                                                            </w:t>
      </w:r>
    </w:p>
    <w:p w14:paraId="52F64EBC" w14:textId="77777777" w:rsidR="008C306D" w:rsidRDefault="008C306D" w:rsidP="008C306D"/>
    <w:p w14:paraId="4E3770D1" w14:textId="77777777" w:rsidR="008C306D" w:rsidRDefault="008C306D" w:rsidP="008C306D"/>
    <w:p w14:paraId="54429F2B" w14:textId="77777777" w:rsidR="008C306D" w:rsidRDefault="008C306D" w:rsidP="008C306D">
      <w:pPr>
        <w:rPr>
          <w:b/>
          <w:bCs/>
          <w:sz w:val="28"/>
          <w:szCs w:val="28"/>
        </w:rPr>
      </w:pPr>
    </w:p>
    <w:sectPr w:rsidR="008C306D" w:rsidSect="00FB55D9">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CF9A" w14:textId="77777777" w:rsidR="008341D9" w:rsidRDefault="008341D9" w:rsidP="00A77E6D">
      <w:pPr>
        <w:spacing w:after="0" w:line="240" w:lineRule="auto"/>
      </w:pPr>
      <w:r>
        <w:separator/>
      </w:r>
    </w:p>
  </w:endnote>
  <w:endnote w:type="continuationSeparator" w:id="0">
    <w:p w14:paraId="76F2BC24" w14:textId="77777777" w:rsidR="008341D9" w:rsidRDefault="008341D9"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48C4" w14:textId="77777777" w:rsidR="008341D9" w:rsidRDefault="008341D9" w:rsidP="00A77E6D">
      <w:pPr>
        <w:spacing w:after="0" w:line="240" w:lineRule="auto"/>
      </w:pPr>
      <w:r>
        <w:separator/>
      </w:r>
    </w:p>
  </w:footnote>
  <w:footnote w:type="continuationSeparator" w:id="0">
    <w:p w14:paraId="253CFD52" w14:textId="77777777" w:rsidR="008341D9" w:rsidRDefault="008341D9"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2AD7"/>
    <w:multiLevelType w:val="multilevel"/>
    <w:tmpl w:val="6694C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75A2BF3"/>
    <w:multiLevelType w:val="multilevel"/>
    <w:tmpl w:val="91365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135C0D"/>
    <w:multiLevelType w:val="multilevel"/>
    <w:tmpl w:val="2EC4A1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F1B2617"/>
    <w:multiLevelType w:val="multilevel"/>
    <w:tmpl w:val="D71856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90F97"/>
    <w:multiLevelType w:val="hybridMultilevel"/>
    <w:tmpl w:val="844CB98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FB1F26"/>
    <w:multiLevelType w:val="multilevel"/>
    <w:tmpl w:val="4C8AA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00F0FEB"/>
    <w:multiLevelType w:val="multilevel"/>
    <w:tmpl w:val="C4EE6E9C"/>
    <w:lvl w:ilvl="0">
      <w:numFmt w:val="bullet"/>
      <w:lvlText w:val=""/>
      <w:lvlJc w:val="left"/>
      <w:pPr>
        <w:ind w:left="18915" w:hanging="360"/>
      </w:pPr>
      <w:rPr>
        <w:rFonts w:ascii="Symbol" w:hAnsi="Symbol"/>
      </w:rPr>
    </w:lvl>
    <w:lvl w:ilvl="1">
      <w:numFmt w:val="bullet"/>
      <w:lvlText w:val="o"/>
      <w:lvlJc w:val="left"/>
      <w:pPr>
        <w:ind w:left="19635" w:hanging="360"/>
      </w:pPr>
      <w:rPr>
        <w:rFonts w:ascii="Courier New" w:hAnsi="Courier New" w:cs="Courier New"/>
      </w:rPr>
    </w:lvl>
    <w:lvl w:ilvl="2">
      <w:numFmt w:val="bullet"/>
      <w:lvlText w:val=""/>
      <w:lvlJc w:val="left"/>
      <w:pPr>
        <w:ind w:left="20355" w:hanging="360"/>
      </w:pPr>
      <w:rPr>
        <w:rFonts w:ascii="Wingdings" w:hAnsi="Wingdings"/>
      </w:rPr>
    </w:lvl>
    <w:lvl w:ilvl="3">
      <w:numFmt w:val="bullet"/>
      <w:lvlText w:val=""/>
      <w:lvlJc w:val="left"/>
      <w:pPr>
        <w:ind w:left="21075" w:hanging="360"/>
      </w:pPr>
      <w:rPr>
        <w:rFonts w:ascii="Symbol" w:hAnsi="Symbol"/>
      </w:rPr>
    </w:lvl>
    <w:lvl w:ilvl="4">
      <w:numFmt w:val="bullet"/>
      <w:lvlText w:val="o"/>
      <w:lvlJc w:val="left"/>
      <w:pPr>
        <w:ind w:left="21795" w:hanging="360"/>
      </w:pPr>
      <w:rPr>
        <w:rFonts w:ascii="Courier New" w:hAnsi="Courier New" w:cs="Courier New"/>
      </w:rPr>
    </w:lvl>
    <w:lvl w:ilvl="5">
      <w:numFmt w:val="bullet"/>
      <w:lvlText w:val=""/>
      <w:lvlJc w:val="left"/>
      <w:pPr>
        <w:ind w:left="22515" w:hanging="360"/>
      </w:pPr>
      <w:rPr>
        <w:rFonts w:ascii="Wingdings" w:hAnsi="Wingdings"/>
      </w:rPr>
    </w:lvl>
    <w:lvl w:ilvl="6">
      <w:numFmt w:val="bullet"/>
      <w:lvlText w:val=""/>
      <w:lvlJc w:val="left"/>
      <w:pPr>
        <w:ind w:left="23235" w:hanging="360"/>
      </w:pPr>
      <w:rPr>
        <w:rFonts w:ascii="Symbol" w:hAnsi="Symbol"/>
      </w:rPr>
    </w:lvl>
    <w:lvl w:ilvl="7">
      <w:numFmt w:val="bullet"/>
      <w:lvlText w:val="o"/>
      <w:lvlJc w:val="left"/>
      <w:pPr>
        <w:ind w:left="23955" w:hanging="360"/>
      </w:pPr>
      <w:rPr>
        <w:rFonts w:ascii="Courier New" w:hAnsi="Courier New" w:cs="Courier New"/>
      </w:rPr>
    </w:lvl>
    <w:lvl w:ilvl="8">
      <w:numFmt w:val="bullet"/>
      <w:lvlText w:val=""/>
      <w:lvlJc w:val="left"/>
      <w:pPr>
        <w:ind w:left="24675" w:hanging="360"/>
      </w:pPr>
      <w:rPr>
        <w:rFonts w:ascii="Wingdings" w:hAnsi="Wingdings"/>
      </w:rPr>
    </w:lvl>
  </w:abstractNum>
  <w:abstractNum w:abstractNumId="7" w15:restartNumberingAfterBreak="0">
    <w:nsid w:val="21E326E5"/>
    <w:multiLevelType w:val="multilevel"/>
    <w:tmpl w:val="90F6CD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435EC"/>
    <w:multiLevelType w:val="multilevel"/>
    <w:tmpl w:val="A22878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5533F6"/>
    <w:multiLevelType w:val="multilevel"/>
    <w:tmpl w:val="4D2AB9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8701124"/>
    <w:multiLevelType w:val="multilevel"/>
    <w:tmpl w:val="A31CDE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90E3FDE"/>
    <w:multiLevelType w:val="multilevel"/>
    <w:tmpl w:val="C7C6A9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AF5479"/>
    <w:multiLevelType w:val="multilevel"/>
    <w:tmpl w:val="E8C8C6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A5D717D"/>
    <w:multiLevelType w:val="multilevel"/>
    <w:tmpl w:val="36BE8D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CE75FD9"/>
    <w:multiLevelType w:val="multilevel"/>
    <w:tmpl w:val="C3EA63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0112C0E"/>
    <w:multiLevelType w:val="multilevel"/>
    <w:tmpl w:val="7C32F8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1F7F45"/>
    <w:multiLevelType w:val="multilevel"/>
    <w:tmpl w:val="8C729C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6907D1"/>
    <w:multiLevelType w:val="multilevel"/>
    <w:tmpl w:val="2ACE9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5204AC"/>
    <w:multiLevelType w:val="multilevel"/>
    <w:tmpl w:val="B8203214"/>
    <w:lvl w:ilvl="0">
      <w:start w:val="2"/>
      <w:numFmt w:val="decimal"/>
      <w:lvlText w:val="%1"/>
      <w:lvlJc w:val="left"/>
      <w:pPr>
        <w:ind w:left="375" w:hanging="375"/>
      </w:pPr>
    </w:lvl>
    <w:lvl w:ilvl="1">
      <w:start w:val="5"/>
      <w:numFmt w:val="decimal"/>
      <w:lvlText w:val="%1.%2"/>
      <w:lvlJc w:val="left"/>
      <w:pPr>
        <w:ind w:left="720" w:hanging="375"/>
      </w:pPr>
    </w:lvl>
    <w:lvl w:ilvl="2">
      <w:start w:val="1"/>
      <w:numFmt w:val="decimal"/>
      <w:lvlText w:val="%1.%2.%3"/>
      <w:lvlJc w:val="left"/>
      <w:pPr>
        <w:ind w:left="1410" w:hanging="720"/>
      </w:pPr>
    </w:lvl>
    <w:lvl w:ilvl="3">
      <w:start w:val="1"/>
      <w:numFmt w:val="decimal"/>
      <w:lvlText w:val="%1.%2.%3.%4"/>
      <w:lvlJc w:val="left"/>
      <w:pPr>
        <w:ind w:left="2115" w:hanging="1080"/>
      </w:pPr>
    </w:lvl>
    <w:lvl w:ilvl="4">
      <w:start w:val="1"/>
      <w:numFmt w:val="decimal"/>
      <w:lvlText w:val="%1.%2.%3.%4.%5"/>
      <w:lvlJc w:val="left"/>
      <w:pPr>
        <w:ind w:left="2460" w:hanging="1080"/>
      </w:pPr>
    </w:lvl>
    <w:lvl w:ilvl="5">
      <w:start w:val="1"/>
      <w:numFmt w:val="decimal"/>
      <w:lvlText w:val="%1.%2.%3.%4.%5.%6"/>
      <w:lvlJc w:val="left"/>
      <w:pPr>
        <w:ind w:left="3165" w:hanging="1440"/>
      </w:pPr>
    </w:lvl>
    <w:lvl w:ilvl="6">
      <w:start w:val="1"/>
      <w:numFmt w:val="decimal"/>
      <w:lvlText w:val="%1.%2.%3.%4.%5.%6.%7"/>
      <w:lvlJc w:val="left"/>
      <w:pPr>
        <w:ind w:left="3510" w:hanging="1440"/>
      </w:pPr>
    </w:lvl>
    <w:lvl w:ilvl="7">
      <w:start w:val="1"/>
      <w:numFmt w:val="decimal"/>
      <w:lvlText w:val="%1.%2.%3.%4.%5.%6.%7.%8"/>
      <w:lvlJc w:val="left"/>
      <w:pPr>
        <w:ind w:left="4215" w:hanging="1800"/>
      </w:pPr>
    </w:lvl>
    <w:lvl w:ilvl="8">
      <w:start w:val="1"/>
      <w:numFmt w:val="decimal"/>
      <w:lvlText w:val="%1.%2.%3.%4.%5.%6.%7.%8.%9"/>
      <w:lvlJc w:val="left"/>
      <w:pPr>
        <w:ind w:left="4920" w:hanging="2160"/>
      </w:pPr>
    </w:lvl>
  </w:abstractNum>
  <w:abstractNum w:abstractNumId="19" w15:restartNumberingAfterBreak="0">
    <w:nsid w:val="3BCB23B4"/>
    <w:multiLevelType w:val="multilevel"/>
    <w:tmpl w:val="D4C065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71586"/>
    <w:multiLevelType w:val="multilevel"/>
    <w:tmpl w:val="DFDA32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E0E65C7"/>
    <w:multiLevelType w:val="multilevel"/>
    <w:tmpl w:val="BE2891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F846D5D"/>
    <w:multiLevelType w:val="multilevel"/>
    <w:tmpl w:val="8E48E48C"/>
    <w:lvl w:ilvl="0">
      <w:start w:val="1"/>
      <w:numFmt w:val="decimal"/>
      <w:lvlText w:val="%1."/>
      <w:lvlJc w:val="left"/>
      <w:pPr>
        <w:ind w:left="705" w:hanging="360"/>
      </w:pPr>
    </w:lvl>
    <w:lvl w:ilvl="1">
      <w:start w:val="1"/>
      <w:numFmt w:val="decimal"/>
      <w:lvlText w:val="%1.%2"/>
      <w:lvlJc w:val="left"/>
      <w:pPr>
        <w:ind w:left="765" w:hanging="420"/>
      </w:pPr>
    </w:lvl>
    <w:lvl w:ilvl="2">
      <w:start w:val="1"/>
      <w:numFmt w:val="decimal"/>
      <w:lvlText w:val="%1.%2.%3"/>
      <w:lvlJc w:val="left"/>
      <w:pPr>
        <w:ind w:left="1065" w:hanging="720"/>
      </w:pPr>
    </w:lvl>
    <w:lvl w:ilvl="3">
      <w:start w:val="1"/>
      <w:numFmt w:val="decimal"/>
      <w:lvlText w:val="%1.%2.%3.%4"/>
      <w:lvlJc w:val="left"/>
      <w:pPr>
        <w:ind w:left="1425" w:hanging="1080"/>
      </w:pPr>
    </w:lvl>
    <w:lvl w:ilvl="4">
      <w:start w:val="1"/>
      <w:numFmt w:val="decimal"/>
      <w:lvlText w:val="%1.%2.%3.%4.%5"/>
      <w:lvlJc w:val="left"/>
      <w:pPr>
        <w:ind w:left="1425" w:hanging="1080"/>
      </w:pPr>
    </w:lvl>
    <w:lvl w:ilvl="5">
      <w:start w:val="1"/>
      <w:numFmt w:val="decimal"/>
      <w:lvlText w:val="%1.%2.%3.%4.%5.%6"/>
      <w:lvlJc w:val="left"/>
      <w:pPr>
        <w:ind w:left="1785" w:hanging="1440"/>
      </w:pPr>
    </w:lvl>
    <w:lvl w:ilvl="6">
      <w:start w:val="1"/>
      <w:numFmt w:val="decimal"/>
      <w:lvlText w:val="%1.%2.%3.%4.%5.%6.%7"/>
      <w:lvlJc w:val="left"/>
      <w:pPr>
        <w:ind w:left="1785" w:hanging="1440"/>
      </w:pPr>
    </w:lvl>
    <w:lvl w:ilvl="7">
      <w:start w:val="1"/>
      <w:numFmt w:val="decimal"/>
      <w:lvlText w:val="%1.%2.%3.%4.%5.%6.%7.%8"/>
      <w:lvlJc w:val="left"/>
      <w:pPr>
        <w:ind w:left="2145" w:hanging="1800"/>
      </w:pPr>
    </w:lvl>
    <w:lvl w:ilvl="8">
      <w:start w:val="1"/>
      <w:numFmt w:val="decimal"/>
      <w:lvlText w:val="%1.%2.%3.%4.%5.%6.%7.%8.%9"/>
      <w:lvlJc w:val="left"/>
      <w:pPr>
        <w:ind w:left="2505" w:hanging="2160"/>
      </w:pPr>
    </w:lvl>
  </w:abstractNum>
  <w:abstractNum w:abstractNumId="23" w15:restartNumberingAfterBreak="0">
    <w:nsid w:val="3FB6764D"/>
    <w:multiLevelType w:val="multilevel"/>
    <w:tmpl w:val="699C04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2336B92"/>
    <w:multiLevelType w:val="multilevel"/>
    <w:tmpl w:val="FEFCA4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4261CE8"/>
    <w:multiLevelType w:val="multilevel"/>
    <w:tmpl w:val="304C29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45F454EA"/>
    <w:multiLevelType w:val="multilevel"/>
    <w:tmpl w:val="D2AE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9365555"/>
    <w:multiLevelType w:val="multilevel"/>
    <w:tmpl w:val="D10EC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8F4F01"/>
    <w:multiLevelType w:val="multilevel"/>
    <w:tmpl w:val="1AC089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4E985E9C"/>
    <w:multiLevelType w:val="multilevel"/>
    <w:tmpl w:val="B604584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4F4F57D2"/>
    <w:multiLevelType w:val="multilevel"/>
    <w:tmpl w:val="D6C86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1573763"/>
    <w:multiLevelType w:val="multilevel"/>
    <w:tmpl w:val="31A623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58087036"/>
    <w:multiLevelType w:val="multilevel"/>
    <w:tmpl w:val="1A36F8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5D79267F"/>
    <w:multiLevelType w:val="hybridMultilevel"/>
    <w:tmpl w:val="24066C58"/>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4" w15:restartNumberingAfterBreak="0">
    <w:nsid w:val="5E0E7908"/>
    <w:multiLevelType w:val="multilevel"/>
    <w:tmpl w:val="D86C45A6"/>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abstractNum w:abstractNumId="35" w15:restartNumberingAfterBreak="0">
    <w:nsid w:val="5EB108FF"/>
    <w:multiLevelType w:val="multilevel"/>
    <w:tmpl w:val="9DA67A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F256B95"/>
    <w:multiLevelType w:val="multilevel"/>
    <w:tmpl w:val="E19815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FEE7DA4"/>
    <w:multiLevelType w:val="multilevel"/>
    <w:tmpl w:val="BEFC3F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604F07BF"/>
    <w:multiLevelType w:val="multilevel"/>
    <w:tmpl w:val="BFF49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618C0662"/>
    <w:multiLevelType w:val="hybridMultilevel"/>
    <w:tmpl w:val="D6EE020C"/>
    <w:lvl w:ilvl="0" w:tplc="F0F47638">
      <w:start w:val="1"/>
      <w:numFmt w:val="decimal"/>
      <w:lvlText w:val="%1."/>
      <w:lvlJc w:val="left"/>
      <w:pPr>
        <w:ind w:left="744" w:hanging="38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312E65"/>
    <w:multiLevelType w:val="multilevel"/>
    <w:tmpl w:val="0B3C70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6FF0C41"/>
    <w:multiLevelType w:val="multilevel"/>
    <w:tmpl w:val="A01E51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A5F0159"/>
    <w:multiLevelType w:val="multilevel"/>
    <w:tmpl w:val="D0AE3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ADD5E7B"/>
    <w:multiLevelType w:val="multilevel"/>
    <w:tmpl w:val="E44CE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CE72DA3"/>
    <w:multiLevelType w:val="multilevel"/>
    <w:tmpl w:val="F5AA20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1B1649C"/>
    <w:multiLevelType w:val="multilevel"/>
    <w:tmpl w:val="EE1ADD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49B1E48"/>
    <w:multiLevelType w:val="multilevel"/>
    <w:tmpl w:val="F474C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7" w15:restartNumberingAfterBreak="0">
    <w:nsid w:val="7C855A52"/>
    <w:multiLevelType w:val="multilevel"/>
    <w:tmpl w:val="A1EA2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7CE06F32"/>
    <w:multiLevelType w:val="multilevel"/>
    <w:tmpl w:val="1D6612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7D516535"/>
    <w:multiLevelType w:val="multilevel"/>
    <w:tmpl w:val="F2484B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7F8A2F52"/>
    <w:multiLevelType w:val="multilevel"/>
    <w:tmpl w:val="1AF0D5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19947169">
    <w:abstractNumId w:val="33"/>
  </w:num>
  <w:num w:numId="2" w16cid:durableId="1790397501">
    <w:abstractNumId w:val="2"/>
  </w:num>
  <w:num w:numId="3" w16cid:durableId="736515288">
    <w:abstractNumId w:val="24"/>
  </w:num>
  <w:num w:numId="4" w16cid:durableId="1551458505">
    <w:abstractNumId w:val="38"/>
  </w:num>
  <w:num w:numId="5" w16cid:durableId="1624996938">
    <w:abstractNumId w:val="48"/>
  </w:num>
  <w:num w:numId="6" w16cid:durableId="481580558">
    <w:abstractNumId w:val="31"/>
  </w:num>
  <w:num w:numId="7" w16cid:durableId="1198548993">
    <w:abstractNumId w:val="28"/>
  </w:num>
  <w:num w:numId="8" w16cid:durableId="1386107224">
    <w:abstractNumId w:val="13"/>
  </w:num>
  <w:num w:numId="9" w16cid:durableId="224608142">
    <w:abstractNumId w:val="37"/>
  </w:num>
  <w:num w:numId="10" w16cid:durableId="461119493">
    <w:abstractNumId w:val="36"/>
  </w:num>
  <w:num w:numId="11" w16cid:durableId="1282613665">
    <w:abstractNumId w:val="23"/>
  </w:num>
  <w:num w:numId="12" w16cid:durableId="816532369">
    <w:abstractNumId w:val="35"/>
  </w:num>
  <w:num w:numId="13" w16cid:durableId="1320114376">
    <w:abstractNumId w:val="11"/>
  </w:num>
  <w:num w:numId="14" w16cid:durableId="1343095155">
    <w:abstractNumId w:val="19"/>
  </w:num>
  <w:num w:numId="15" w16cid:durableId="1950428128">
    <w:abstractNumId w:val="32"/>
  </w:num>
  <w:num w:numId="16" w16cid:durableId="1758669299">
    <w:abstractNumId w:val="26"/>
  </w:num>
  <w:num w:numId="17" w16cid:durableId="1387531085">
    <w:abstractNumId w:val="14"/>
  </w:num>
  <w:num w:numId="18" w16cid:durableId="188564115">
    <w:abstractNumId w:val="8"/>
  </w:num>
  <w:num w:numId="19" w16cid:durableId="1606110001">
    <w:abstractNumId w:val="1"/>
  </w:num>
  <w:num w:numId="20" w16cid:durableId="1820924669">
    <w:abstractNumId w:val="40"/>
  </w:num>
  <w:num w:numId="21" w16cid:durableId="1766924906">
    <w:abstractNumId w:val="7"/>
  </w:num>
  <w:num w:numId="22" w16cid:durableId="641693209">
    <w:abstractNumId w:val="20"/>
  </w:num>
  <w:num w:numId="23" w16cid:durableId="671689327">
    <w:abstractNumId w:val="9"/>
  </w:num>
  <w:num w:numId="24" w16cid:durableId="1931498550">
    <w:abstractNumId w:val="45"/>
  </w:num>
  <w:num w:numId="25" w16cid:durableId="1904755886">
    <w:abstractNumId w:val="17"/>
  </w:num>
  <w:num w:numId="26" w16cid:durableId="1043100091">
    <w:abstractNumId w:val="22"/>
  </w:num>
  <w:num w:numId="27" w16cid:durableId="1157920367">
    <w:abstractNumId w:val="46"/>
  </w:num>
  <w:num w:numId="28" w16cid:durableId="1193887094">
    <w:abstractNumId w:val="18"/>
  </w:num>
  <w:num w:numId="29" w16cid:durableId="1434519141">
    <w:abstractNumId w:val="27"/>
  </w:num>
  <w:num w:numId="30" w16cid:durableId="182477113">
    <w:abstractNumId w:val="30"/>
  </w:num>
  <w:num w:numId="31" w16cid:durableId="875435924">
    <w:abstractNumId w:val="50"/>
  </w:num>
  <w:num w:numId="32" w16cid:durableId="1876307210">
    <w:abstractNumId w:val="25"/>
  </w:num>
  <w:num w:numId="33" w16cid:durableId="1195381741">
    <w:abstractNumId w:val="4"/>
  </w:num>
  <w:num w:numId="34" w16cid:durableId="320235658">
    <w:abstractNumId w:val="16"/>
  </w:num>
  <w:num w:numId="35" w16cid:durableId="1365709122">
    <w:abstractNumId w:val="42"/>
  </w:num>
  <w:num w:numId="36" w16cid:durableId="1118061428">
    <w:abstractNumId w:val="10"/>
  </w:num>
  <w:num w:numId="37" w16cid:durableId="1971744069">
    <w:abstractNumId w:val="41"/>
  </w:num>
  <w:num w:numId="38" w16cid:durableId="811410570">
    <w:abstractNumId w:val="0"/>
  </w:num>
  <w:num w:numId="39" w16cid:durableId="2124183236">
    <w:abstractNumId w:val="3"/>
  </w:num>
  <w:num w:numId="40" w16cid:durableId="304549674">
    <w:abstractNumId w:val="44"/>
  </w:num>
  <w:num w:numId="41" w16cid:durableId="1940018574">
    <w:abstractNumId w:val="29"/>
  </w:num>
  <w:num w:numId="42" w16cid:durableId="1559239300">
    <w:abstractNumId w:val="39"/>
  </w:num>
  <w:num w:numId="43" w16cid:durableId="545263513">
    <w:abstractNumId w:val="5"/>
  </w:num>
  <w:num w:numId="44" w16cid:durableId="807169779">
    <w:abstractNumId w:val="21"/>
  </w:num>
  <w:num w:numId="45" w16cid:durableId="208273725">
    <w:abstractNumId w:val="12"/>
  </w:num>
  <w:num w:numId="46" w16cid:durableId="546257950">
    <w:abstractNumId w:val="49"/>
  </w:num>
  <w:num w:numId="47" w16cid:durableId="22481474">
    <w:abstractNumId w:val="43"/>
  </w:num>
  <w:num w:numId="48" w16cid:durableId="1074012121">
    <w:abstractNumId w:val="34"/>
  </w:num>
  <w:num w:numId="49" w16cid:durableId="1783841746">
    <w:abstractNumId w:val="6"/>
  </w:num>
  <w:num w:numId="50" w16cid:durableId="1952124058">
    <w:abstractNumId w:val="15"/>
  </w:num>
  <w:num w:numId="51" w16cid:durableId="1332444546">
    <w:abstractNumId w:val="4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030F6"/>
    <w:rsid w:val="00003AB0"/>
    <w:rsid w:val="00004C3A"/>
    <w:rsid w:val="000113C3"/>
    <w:rsid w:val="0001140E"/>
    <w:rsid w:val="00013909"/>
    <w:rsid w:val="00014E28"/>
    <w:rsid w:val="00015F5E"/>
    <w:rsid w:val="00020958"/>
    <w:rsid w:val="0002192D"/>
    <w:rsid w:val="00031FE1"/>
    <w:rsid w:val="000404E6"/>
    <w:rsid w:val="00045464"/>
    <w:rsid w:val="00063FA1"/>
    <w:rsid w:val="000649AB"/>
    <w:rsid w:val="00066898"/>
    <w:rsid w:val="000748D5"/>
    <w:rsid w:val="000760C2"/>
    <w:rsid w:val="00087948"/>
    <w:rsid w:val="00090BCF"/>
    <w:rsid w:val="000969C9"/>
    <w:rsid w:val="000A1705"/>
    <w:rsid w:val="000A2664"/>
    <w:rsid w:val="000A3F5A"/>
    <w:rsid w:val="000A67C7"/>
    <w:rsid w:val="000B1E14"/>
    <w:rsid w:val="000B42AE"/>
    <w:rsid w:val="000C6C8C"/>
    <w:rsid w:val="000D7128"/>
    <w:rsid w:val="000E0D5F"/>
    <w:rsid w:val="000E21F1"/>
    <w:rsid w:val="000E303B"/>
    <w:rsid w:val="000E4CC4"/>
    <w:rsid w:val="000E59B9"/>
    <w:rsid w:val="000F1DC2"/>
    <w:rsid w:val="000F4224"/>
    <w:rsid w:val="000F5B65"/>
    <w:rsid w:val="000F670D"/>
    <w:rsid w:val="00100B99"/>
    <w:rsid w:val="001038FB"/>
    <w:rsid w:val="00105B66"/>
    <w:rsid w:val="00113A6A"/>
    <w:rsid w:val="001142D0"/>
    <w:rsid w:val="00114714"/>
    <w:rsid w:val="00120A13"/>
    <w:rsid w:val="00121312"/>
    <w:rsid w:val="00133DB3"/>
    <w:rsid w:val="00136252"/>
    <w:rsid w:val="00137832"/>
    <w:rsid w:val="001454F8"/>
    <w:rsid w:val="001501C9"/>
    <w:rsid w:val="00155417"/>
    <w:rsid w:val="00160B94"/>
    <w:rsid w:val="00164573"/>
    <w:rsid w:val="00164737"/>
    <w:rsid w:val="0017007D"/>
    <w:rsid w:val="00173F34"/>
    <w:rsid w:val="001813A7"/>
    <w:rsid w:val="00182797"/>
    <w:rsid w:val="001869CF"/>
    <w:rsid w:val="001875D7"/>
    <w:rsid w:val="00187942"/>
    <w:rsid w:val="00192132"/>
    <w:rsid w:val="001A20F3"/>
    <w:rsid w:val="001A3C58"/>
    <w:rsid w:val="001B4FA1"/>
    <w:rsid w:val="001B5CA2"/>
    <w:rsid w:val="001B6607"/>
    <w:rsid w:val="001C00D4"/>
    <w:rsid w:val="001C14FA"/>
    <w:rsid w:val="001C5618"/>
    <w:rsid w:val="001C5E2F"/>
    <w:rsid w:val="001D5D1B"/>
    <w:rsid w:val="001D7BE8"/>
    <w:rsid w:val="001F2117"/>
    <w:rsid w:val="001F66A8"/>
    <w:rsid w:val="001F7487"/>
    <w:rsid w:val="002100E0"/>
    <w:rsid w:val="0022037D"/>
    <w:rsid w:val="00224341"/>
    <w:rsid w:val="00226210"/>
    <w:rsid w:val="00227E84"/>
    <w:rsid w:val="00230D18"/>
    <w:rsid w:val="002350E0"/>
    <w:rsid w:val="00241498"/>
    <w:rsid w:val="00243ABE"/>
    <w:rsid w:val="00245454"/>
    <w:rsid w:val="002615B1"/>
    <w:rsid w:val="00261FE6"/>
    <w:rsid w:val="002637F7"/>
    <w:rsid w:val="00271B39"/>
    <w:rsid w:val="0027219F"/>
    <w:rsid w:val="00276DF9"/>
    <w:rsid w:val="0028063B"/>
    <w:rsid w:val="0028286D"/>
    <w:rsid w:val="00283725"/>
    <w:rsid w:val="00285721"/>
    <w:rsid w:val="00286270"/>
    <w:rsid w:val="002878B8"/>
    <w:rsid w:val="002A16D2"/>
    <w:rsid w:val="002A35C0"/>
    <w:rsid w:val="002B266D"/>
    <w:rsid w:val="002B4F71"/>
    <w:rsid w:val="002B7C79"/>
    <w:rsid w:val="002C29EE"/>
    <w:rsid w:val="002C2E69"/>
    <w:rsid w:val="002C54DD"/>
    <w:rsid w:val="002C63A3"/>
    <w:rsid w:val="002C7D25"/>
    <w:rsid w:val="002D7BFF"/>
    <w:rsid w:val="002E5808"/>
    <w:rsid w:val="002F35B5"/>
    <w:rsid w:val="00307B78"/>
    <w:rsid w:val="003116F5"/>
    <w:rsid w:val="00311930"/>
    <w:rsid w:val="00312CEE"/>
    <w:rsid w:val="00315D4C"/>
    <w:rsid w:val="0031663C"/>
    <w:rsid w:val="00324364"/>
    <w:rsid w:val="003247E2"/>
    <w:rsid w:val="003400A0"/>
    <w:rsid w:val="003456EF"/>
    <w:rsid w:val="0034574B"/>
    <w:rsid w:val="00346B6B"/>
    <w:rsid w:val="00347AE1"/>
    <w:rsid w:val="00347CCD"/>
    <w:rsid w:val="00353F28"/>
    <w:rsid w:val="00354AF5"/>
    <w:rsid w:val="00356B30"/>
    <w:rsid w:val="003622DF"/>
    <w:rsid w:val="0036435E"/>
    <w:rsid w:val="003645F6"/>
    <w:rsid w:val="003658C5"/>
    <w:rsid w:val="003679A9"/>
    <w:rsid w:val="003709AC"/>
    <w:rsid w:val="00373EFC"/>
    <w:rsid w:val="003804B6"/>
    <w:rsid w:val="00386748"/>
    <w:rsid w:val="003904DA"/>
    <w:rsid w:val="003919C7"/>
    <w:rsid w:val="00393B84"/>
    <w:rsid w:val="003A226C"/>
    <w:rsid w:val="003B1C1B"/>
    <w:rsid w:val="003B2496"/>
    <w:rsid w:val="003B338C"/>
    <w:rsid w:val="003B3F8A"/>
    <w:rsid w:val="003C22FD"/>
    <w:rsid w:val="003C342B"/>
    <w:rsid w:val="003D1492"/>
    <w:rsid w:val="003D4859"/>
    <w:rsid w:val="003D6BBB"/>
    <w:rsid w:val="003D7869"/>
    <w:rsid w:val="003E3A6B"/>
    <w:rsid w:val="003F1441"/>
    <w:rsid w:val="003F1D8D"/>
    <w:rsid w:val="003F6547"/>
    <w:rsid w:val="00404011"/>
    <w:rsid w:val="00404C7D"/>
    <w:rsid w:val="00405673"/>
    <w:rsid w:val="00405A49"/>
    <w:rsid w:val="00410FC5"/>
    <w:rsid w:val="004131C3"/>
    <w:rsid w:val="0041531F"/>
    <w:rsid w:val="00416807"/>
    <w:rsid w:val="00417E0A"/>
    <w:rsid w:val="004212CD"/>
    <w:rsid w:val="00425721"/>
    <w:rsid w:val="00425737"/>
    <w:rsid w:val="00425928"/>
    <w:rsid w:val="00426404"/>
    <w:rsid w:val="004307E3"/>
    <w:rsid w:val="00434539"/>
    <w:rsid w:val="00434DE2"/>
    <w:rsid w:val="0043508B"/>
    <w:rsid w:val="0043731A"/>
    <w:rsid w:val="0044348E"/>
    <w:rsid w:val="00446E13"/>
    <w:rsid w:val="004604A2"/>
    <w:rsid w:val="0046153A"/>
    <w:rsid w:val="004618D8"/>
    <w:rsid w:val="00473174"/>
    <w:rsid w:val="00474251"/>
    <w:rsid w:val="00480243"/>
    <w:rsid w:val="004864EF"/>
    <w:rsid w:val="00490C36"/>
    <w:rsid w:val="004935BF"/>
    <w:rsid w:val="004A479B"/>
    <w:rsid w:val="004A6554"/>
    <w:rsid w:val="004B0D7B"/>
    <w:rsid w:val="004B1FEC"/>
    <w:rsid w:val="004B3A94"/>
    <w:rsid w:val="004B4F97"/>
    <w:rsid w:val="004C4823"/>
    <w:rsid w:val="004C78B4"/>
    <w:rsid w:val="004D420F"/>
    <w:rsid w:val="004E1DA2"/>
    <w:rsid w:val="004E4410"/>
    <w:rsid w:val="004E4E35"/>
    <w:rsid w:val="004E7EE0"/>
    <w:rsid w:val="004F35E2"/>
    <w:rsid w:val="004F44F6"/>
    <w:rsid w:val="004F4FBE"/>
    <w:rsid w:val="004F6231"/>
    <w:rsid w:val="0050007D"/>
    <w:rsid w:val="00501E6E"/>
    <w:rsid w:val="005031F4"/>
    <w:rsid w:val="0050497D"/>
    <w:rsid w:val="00510ECC"/>
    <w:rsid w:val="00511280"/>
    <w:rsid w:val="005139AB"/>
    <w:rsid w:val="005160F8"/>
    <w:rsid w:val="00517BA3"/>
    <w:rsid w:val="005233EB"/>
    <w:rsid w:val="0053046A"/>
    <w:rsid w:val="0053436B"/>
    <w:rsid w:val="00534CC7"/>
    <w:rsid w:val="00540445"/>
    <w:rsid w:val="00545A82"/>
    <w:rsid w:val="00550CE0"/>
    <w:rsid w:val="0055159A"/>
    <w:rsid w:val="00554D93"/>
    <w:rsid w:val="00557AEC"/>
    <w:rsid w:val="00560220"/>
    <w:rsid w:val="005629D8"/>
    <w:rsid w:val="00564DFD"/>
    <w:rsid w:val="00565E55"/>
    <w:rsid w:val="005737BE"/>
    <w:rsid w:val="005756BF"/>
    <w:rsid w:val="005774B2"/>
    <w:rsid w:val="00580ED6"/>
    <w:rsid w:val="00585F5F"/>
    <w:rsid w:val="00587CA5"/>
    <w:rsid w:val="005913E2"/>
    <w:rsid w:val="0059490B"/>
    <w:rsid w:val="00596890"/>
    <w:rsid w:val="005A02BA"/>
    <w:rsid w:val="005A3297"/>
    <w:rsid w:val="005B16B4"/>
    <w:rsid w:val="005B2FA0"/>
    <w:rsid w:val="005B324B"/>
    <w:rsid w:val="005B5F1E"/>
    <w:rsid w:val="005C48CE"/>
    <w:rsid w:val="005D2181"/>
    <w:rsid w:val="005D36E9"/>
    <w:rsid w:val="005D496D"/>
    <w:rsid w:val="005E048E"/>
    <w:rsid w:val="005E1C2E"/>
    <w:rsid w:val="005E2CAF"/>
    <w:rsid w:val="005E73B2"/>
    <w:rsid w:val="005F0A64"/>
    <w:rsid w:val="005F1D34"/>
    <w:rsid w:val="005F2D90"/>
    <w:rsid w:val="005F362F"/>
    <w:rsid w:val="005F3E9D"/>
    <w:rsid w:val="005F5191"/>
    <w:rsid w:val="005F6594"/>
    <w:rsid w:val="00600F8A"/>
    <w:rsid w:val="006063B8"/>
    <w:rsid w:val="0061049E"/>
    <w:rsid w:val="00613C17"/>
    <w:rsid w:val="00614673"/>
    <w:rsid w:val="006177B6"/>
    <w:rsid w:val="0062749A"/>
    <w:rsid w:val="00627D36"/>
    <w:rsid w:val="006300B3"/>
    <w:rsid w:val="00633713"/>
    <w:rsid w:val="00643155"/>
    <w:rsid w:val="0065103E"/>
    <w:rsid w:val="00651EF6"/>
    <w:rsid w:val="006558AE"/>
    <w:rsid w:val="00655A66"/>
    <w:rsid w:val="00657929"/>
    <w:rsid w:val="00661396"/>
    <w:rsid w:val="00664FD8"/>
    <w:rsid w:val="006702FC"/>
    <w:rsid w:val="00674506"/>
    <w:rsid w:val="006807EF"/>
    <w:rsid w:val="00681270"/>
    <w:rsid w:val="00687941"/>
    <w:rsid w:val="00690345"/>
    <w:rsid w:val="00690EA3"/>
    <w:rsid w:val="006A7785"/>
    <w:rsid w:val="006B251C"/>
    <w:rsid w:val="006C43B2"/>
    <w:rsid w:val="006C6563"/>
    <w:rsid w:val="006D4047"/>
    <w:rsid w:val="006D5654"/>
    <w:rsid w:val="006D67BD"/>
    <w:rsid w:val="006E1136"/>
    <w:rsid w:val="006E7662"/>
    <w:rsid w:val="006F3155"/>
    <w:rsid w:val="00700C5D"/>
    <w:rsid w:val="00702B94"/>
    <w:rsid w:val="00710AA6"/>
    <w:rsid w:val="0071441F"/>
    <w:rsid w:val="00716E8E"/>
    <w:rsid w:val="00720AAA"/>
    <w:rsid w:val="0072779A"/>
    <w:rsid w:val="0073546A"/>
    <w:rsid w:val="00736AF1"/>
    <w:rsid w:val="00736EB8"/>
    <w:rsid w:val="00740AFA"/>
    <w:rsid w:val="00746E96"/>
    <w:rsid w:val="00752745"/>
    <w:rsid w:val="00752B49"/>
    <w:rsid w:val="00752C3A"/>
    <w:rsid w:val="007623B0"/>
    <w:rsid w:val="00762634"/>
    <w:rsid w:val="00762D75"/>
    <w:rsid w:val="00766ED4"/>
    <w:rsid w:val="00773E3D"/>
    <w:rsid w:val="0078272B"/>
    <w:rsid w:val="00785B07"/>
    <w:rsid w:val="0079037B"/>
    <w:rsid w:val="007929D5"/>
    <w:rsid w:val="007A1DE8"/>
    <w:rsid w:val="007A292E"/>
    <w:rsid w:val="007A39E3"/>
    <w:rsid w:val="007A5AF7"/>
    <w:rsid w:val="007A5D65"/>
    <w:rsid w:val="007B5118"/>
    <w:rsid w:val="007B5442"/>
    <w:rsid w:val="007B7CF9"/>
    <w:rsid w:val="007C13BF"/>
    <w:rsid w:val="007C6AE0"/>
    <w:rsid w:val="007C758B"/>
    <w:rsid w:val="007C7CEA"/>
    <w:rsid w:val="007D22B4"/>
    <w:rsid w:val="007D2434"/>
    <w:rsid w:val="007D485E"/>
    <w:rsid w:val="007D6070"/>
    <w:rsid w:val="007D66EC"/>
    <w:rsid w:val="007D6A41"/>
    <w:rsid w:val="007E1E04"/>
    <w:rsid w:val="007E4F9A"/>
    <w:rsid w:val="007E556A"/>
    <w:rsid w:val="007E55DA"/>
    <w:rsid w:val="007E59D5"/>
    <w:rsid w:val="007E76E8"/>
    <w:rsid w:val="007F1577"/>
    <w:rsid w:val="007F749E"/>
    <w:rsid w:val="00800C20"/>
    <w:rsid w:val="0080576F"/>
    <w:rsid w:val="00805B6A"/>
    <w:rsid w:val="00810135"/>
    <w:rsid w:val="00810C7B"/>
    <w:rsid w:val="00822553"/>
    <w:rsid w:val="008242F2"/>
    <w:rsid w:val="0082607D"/>
    <w:rsid w:val="0083185A"/>
    <w:rsid w:val="00832B6F"/>
    <w:rsid w:val="008341D9"/>
    <w:rsid w:val="00834CC8"/>
    <w:rsid w:val="00836325"/>
    <w:rsid w:val="00844FF4"/>
    <w:rsid w:val="00852E54"/>
    <w:rsid w:val="00855D53"/>
    <w:rsid w:val="008569B1"/>
    <w:rsid w:val="00865BF2"/>
    <w:rsid w:val="0086687D"/>
    <w:rsid w:val="008734A6"/>
    <w:rsid w:val="00877C91"/>
    <w:rsid w:val="00885BCA"/>
    <w:rsid w:val="00886857"/>
    <w:rsid w:val="008903ED"/>
    <w:rsid w:val="008A16DA"/>
    <w:rsid w:val="008A2A17"/>
    <w:rsid w:val="008A367D"/>
    <w:rsid w:val="008A6310"/>
    <w:rsid w:val="008B240B"/>
    <w:rsid w:val="008B4829"/>
    <w:rsid w:val="008B4D73"/>
    <w:rsid w:val="008B637F"/>
    <w:rsid w:val="008B6696"/>
    <w:rsid w:val="008C1EC8"/>
    <w:rsid w:val="008C306D"/>
    <w:rsid w:val="008C40AC"/>
    <w:rsid w:val="008C4D5A"/>
    <w:rsid w:val="008C558F"/>
    <w:rsid w:val="008C5C3E"/>
    <w:rsid w:val="008C5C5D"/>
    <w:rsid w:val="008C6B3E"/>
    <w:rsid w:val="008D33D3"/>
    <w:rsid w:val="008D3A7C"/>
    <w:rsid w:val="008D7BED"/>
    <w:rsid w:val="008F2A29"/>
    <w:rsid w:val="008F7F9F"/>
    <w:rsid w:val="00913054"/>
    <w:rsid w:val="009144A5"/>
    <w:rsid w:val="009205C8"/>
    <w:rsid w:val="00923EE4"/>
    <w:rsid w:val="00927FC1"/>
    <w:rsid w:val="00930F23"/>
    <w:rsid w:val="00935555"/>
    <w:rsid w:val="00942EB9"/>
    <w:rsid w:val="00944AD5"/>
    <w:rsid w:val="0094538B"/>
    <w:rsid w:val="009479C4"/>
    <w:rsid w:val="009514B2"/>
    <w:rsid w:val="0095354A"/>
    <w:rsid w:val="00955C7D"/>
    <w:rsid w:val="009608F8"/>
    <w:rsid w:val="009612FB"/>
    <w:rsid w:val="00964529"/>
    <w:rsid w:val="009753E8"/>
    <w:rsid w:val="00975D08"/>
    <w:rsid w:val="009811B1"/>
    <w:rsid w:val="0098424E"/>
    <w:rsid w:val="00985E75"/>
    <w:rsid w:val="0098648A"/>
    <w:rsid w:val="009A1772"/>
    <w:rsid w:val="009A3761"/>
    <w:rsid w:val="009B6E68"/>
    <w:rsid w:val="009C6AC0"/>
    <w:rsid w:val="009D0099"/>
    <w:rsid w:val="009D30F0"/>
    <w:rsid w:val="009D55F7"/>
    <w:rsid w:val="009D5B28"/>
    <w:rsid w:val="009D71D6"/>
    <w:rsid w:val="009D74F3"/>
    <w:rsid w:val="009E236F"/>
    <w:rsid w:val="009E4246"/>
    <w:rsid w:val="009E436B"/>
    <w:rsid w:val="009E4642"/>
    <w:rsid w:val="009E4A04"/>
    <w:rsid w:val="009F7385"/>
    <w:rsid w:val="00A06BB2"/>
    <w:rsid w:val="00A07FC7"/>
    <w:rsid w:val="00A1114A"/>
    <w:rsid w:val="00A1359B"/>
    <w:rsid w:val="00A14C25"/>
    <w:rsid w:val="00A17617"/>
    <w:rsid w:val="00A20055"/>
    <w:rsid w:val="00A20832"/>
    <w:rsid w:val="00A2092D"/>
    <w:rsid w:val="00A25ABD"/>
    <w:rsid w:val="00A26FD2"/>
    <w:rsid w:val="00A324A0"/>
    <w:rsid w:val="00A32617"/>
    <w:rsid w:val="00A34658"/>
    <w:rsid w:val="00A54568"/>
    <w:rsid w:val="00A56E4C"/>
    <w:rsid w:val="00A57B59"/>
    <w:rsid w:val="00A61923"/>
    <w:rsid w:val="00A61C12"/>
    <w:rsid w:val="00A63B33"/>
    <w:rsid w:val="00A64A7D"/>
    <w:rsid w:val="00A651EE"/>
    <w:rsid w:val="00A67194"/>
    <w:rsid w:val="00A74EAA"/>
    <w:rsid w:val="00A7742A"/>
    <w:rsid w:val="00A77E6D"/>
    <w:rsid w:val="00A8716E"/>
    <w:rsid w:val="00A954FC"/>
    <w:rsid w:val="00A962D7"/>
    <w:rsid w:val="00AA4EDB"/>
    <w:rsid w:val="00AB2A93"/>
    <w:rsid w:val="00AC442A"/>
    <w:rsid w:val="00AC516C"/>
    <w:rsid w:val="00AD05FE"/>
    <w:rsid w:val="00AD1CFE"/>
    <w:rsid w:val="00AD20C7"/>
    <w:rsid w:val="00AD5D1D"/>
    <w:rsid w:val="00AD69D3"/>
    <w:rsid w:val="00AD6E2F"/>
    <w:rsid w:val="00AD7AB7"/>
    <w:rsid w:val="00AE103A"/>
    <w:rsid w:val="00AE10F0"/>
    <w:rsid w:val="00AE2A3B"/>
    <w:rsid w:val="00AF5680"/>
    <w:rsid w:val="00AF6673"/>
    <w:rsid w:val="00B10215"/>
    <w:rsid w:val="00B17A74"/>
    <w:rsid w:val="00B20A61"/>
    <w:rsid w:val="00B20CD7"/>
    <w:rsid w:val="00B2472D"/>
    <w:rsid w:val="00B2583E"/>
    <w:rsid w:val="00B32A95"/>
    <w:rsid w:val="00B33337"/>
    <w:rsid w:val="00B35BB1"/>
    <w:rsid w:val="00B41FF5"/>
    <w:rsid w:val="00B431B3"/>
    <w:rsid w:val="00B43CE8"/>
    <w:rsid w:val="00B5055E"/>
    <w:rsid w:val="00B52E50"/>
    <w:rsid w:val="00B547A6"/>
    <w:rsid w:val="00B54D3E"/>
    <w:rsid w:val="00B553A0"/>
    <w:rsid w:val="00B56AA1"/>
    <w:rsid w:val="00B626EA"/>
    <w:rsid w:val="00B7265B"/>
    <w:rsid w:val="00B76F3F"/>
    <w:rsid w:val="00B80268"/>
    <w:rsid w:val="00B8144D"/>
    <w:rsid w:val="00B84A7B"/>
    <w:rsid w:val="00B86B78"/>
    <w:rsid w:val="00B90559"/>
    <w:rsid w:val="00B9596D"/>
    <w:rsid w:val="00B964FC"/>
    <w:rsid w:val="00B96A2B"/>
    <w:rsid w:val="00B96A6D"/>
    <w:rsid w:val="00B97869"/>
    <w:rsid w:val="00BA6E20"/>
    <w:rsid w:val="00BB43AA"/>
    <w:rsid w:val="00BB7331"/>
    <w:rsid w:val="00BB78FA"/>
    <w:rsid w:val="00BC02CF"/>
    <w:rsid w:val="00BC07AA"/>
    <w:rsid w:val="00BD0CD6"/>
    <w:rsid w:val="00BD46FE"/>
    <w:rsid w:val="00BD50D2"/>
    <w:rsid w:val="00BD5243"/>
    <w:rsid w:val="00BF19D9"/>
    <w:rsid w:val="00C02C6B"/>
    <w:rsid w:val="00C07AAB"/>
    <w:rsid w:val="00C07B85"/>
    <w:rsid w:val="00C1224F"/>
    <w:rsid w:val="00C14091"/>
    <w:rsid w:val="00C162AC"/>
    <w:rsid w:val="00C17A49"/>
    <w:rsid w:val="00C2177E"/>
    <w:rsid w:val="00C22D82"/>
    <w:rsid w:val="00C247A5"/>
    <w:rsid w:val="00C2535C"/>
    <w:rsid w:val="00C3172F"/>
    <w:rsid w:val="00C34D1B"/>
    <w:rsid w:val="00C36A2B"/>
    <w:rsid w:val="00C36FE9"/>
    <w:rsid w:val="00C41A40"/>
    <w:rsid w:val="00C43BA5"/>
    <w:rsid w:val="00C43CFB"/>
    <w:rsid w:val="00C43FA0"/>
    <w:rsid w:val="00C47B0F"/>
    <w:rsid w:val="00C51C82"/>
    <w:rsid w:val="00C532B4"/>
    <w:rsid w:val="00C57E26"/>
    <w:rsid w:val="00C610B6"/>
    <w:rsid w:val="00C660C6"/>
    <w:rsid w:val="00C66ABC"/>
    <w:rsid w:val="00C73F55"/>
    <w:rsid w:val="00C7556A"/>
    <w:rsid w:val="00C849B8"/>
    <w:rsid w:val="00C86FE9"/>
    <w:rsid w:val="00C95AA4"/>
    <w:rsid w:val="00C97782"/>
    <w:rsid w:val="00CA37AE"/>
    <w:rsid w:val="00CA392F"/>
    <w:rsid w:val="00CA6CDE"/>
    <w:rsid w:val="00CA7CFE"/>
    <w:rsid w:val="00CA7E77"/>
    <w:rsid w:val="00CB15C8"/>
    <w:rsid w:val="00CB5A66"/>
    <w:rsid w:val="00CB790D"/>
    <w:rsid w:val="00CC5552"/>
    <w:rsid w:val="00CC7BFC"/>
    <w:rsid w:val="00CC7CB6"/>
    <w:rsid w:val="00CD28E3"/>
    <w:rsid w:val="00CD3224"/>
    <w:rsid w:val="00CE2C65"/>
    <w:rsid w:val="00CE4164"/>
    <w:rsid w:val="00CE7913"/>
    <w:rsid w:val="00CE7CC2"/>
    <w:rsid w:val="00CF1E12"/>
    <w:rsid w:val="00CF3A60"/>
    <w:rsid w:val="00CF6A9C"/>
    <w:rsid w:val="00CF7468"/>
    <w:rsid w:val="00D06E8D"/>
    <w:rsid w:val="00D10529"/>
    <w:rsid w:val="00D112E0"/>
    <w:rsid w:val="00D13669"/>
    <w:rsid w:val="00D13B4E"/>
    <w:rsid w:val="00D14E41"/>
    <w:rsid w:val="00D15E0B"/>
    <w:rsid w:val="00D16FCB"/>
    <w:rsid w:val="00D2197A"/>
    <w:rsid w:val="00D30D2C"/>
    <w:rsid w:val="00D4306B"/>
    <w:rsid w:val="00D43F55"/>
    <w:rsid w:val="00D626EF"/>
    <w:rsid w:val="00D6359F"/>
    <w:rsid w:val="00D6371B"/>
    <w:rsid w:val="00D637B6"/>
    <w:rsid w:val="00D643EA"/>
    <w:rsid w:val="00D737FC"/>
    <w:rsid w:val="00D769CF"/>
    <w:rsid w:val="00D76AEA"/>
    <w:rsid w:val="00D77051"/>
    <w:rsid w:val="00D770BA"/>
    <w:rsid w:val="00D80621"/>
    <w:rsid w:val="00D8487F"/>
    <w:rsid w:val="00D84A25"/>
    <w:rsid w:val="00D900F5"/>
    <w:rsid w:val="00D9036B"/>
    <w:rsid w:val="00D9156B"/>
    <w:rsid w:val="00D96711"/>
    <w:rsid w:val="00DA522C"/>
    <w:rsid w:val="00DA5653"/>
    <w:rsid w:val="00DC050A"/>
    <w:rsid w:val="00DC0D79"/>
    <w:rsid w:val="00DC1F8C"/>
    <w:rsid w:val="00DC2311"/>
    <w:rsid w:val="00DC3CD1"/>
    <w:rsid w:val="00DC6FC6"/>
    <w:rsid w:val="00DD17B6"/>
    <w:rsid w:val="00DD3E7B"/>
    <w:rsid w:val="00DD3EAB"/>
    <w:rsid w:val="00DD648C"/>
    <w:rsid w:val="00DD758A"/>
    <w:rsid w:val="00DE2DE3"/>
    <w:rsid w:val="00DE427A"/>
    <w:rsid w:val="00DE6816"/>
    <w:rsid w:val="00DF35F4"/>
    <w:rsid w:val="00DF38B7"/>
    <w:rsid w:val="00DF6C49"/>
    <w:rsid w:val="00E01939"/>
    <w:rsid w:val="00E03722"/>
    <w:rsid w:val="00E03871"/>
    <w:rsid w:val="00E07996"/>
    <w:rsid w:val="00E079EF"/>
    <w:rsid w:val="00E10810"/>
    <w:rsid w:val="00E11979"/>
    <w:rsid w:val="00E2526B"/>
    <w:rsid w:val="00E36E8B"/>
    <w:rsid w:val="00E40A79"/>
    <w:rsid w:val="00E440D4"/>
    <w:rsid w:val="00E554EE"/>
    <w:rsid w:val="00E56C72"/>
    <w:rsid w:val="00E64062"/>
    <w:rsid w:val="00E662E9"/>
    <w:rsid w:val="00E70CB6"/>
    <w:rsid w:val="00E71B5A"/>
    <w:rsid w:val="00E73E23"/>
    <w:rsid w:val="00E80EA0"/>
    <w:rsid w:val="00E84674"/>
    <w:rsid w:val="00E903C5"/>
    <w:rsid w:val="00E93F52"/>
    <w:rsid w:val="00E974B5"/>
    <w:rsid w:val="00EB0968"/>
    <w:rsid w:val="00EB0C8D"/>
    <w:rsid w:val="00EB55F5"/>
    <w:rsid w:val="00EB6C8E"/>
    <w:rsid w:val="00EC4F3E"/>
    <w:rsid w:val="00ED0A0A"/>
    <w:rsid w:val="00ED388F"/>
    <w:rsid w:val="00ED70A6"/>
    <w:rsid w:val="00EE047D"/>
    <w:rsid w:val="00EE3034"/>
    <w:rsid w:val="00EE7B7B"/>
    <w:rsid w:val="00EF5B01"/>
    <w:rsid w:val="00F027A3"/>
    <w:rsid w:val="00F05A6C"/>
    <w:rsid w:val="00F10015"/>
    <w:rsid w:val="00F174FE"/>
    <w:rsid w:val="00F22B97"/>
    <w:rsid w:val="00F24CAE"/>
    <w:rsid w:val="00F364CE"/>
    <w:rsid w:val="00F440E0"/>
    <w:rsid w:val="00F451E5"/>
    <w:rsid w:val="00F50687"/>
    <w:rsid w:val="00F520A6"/>
    <w:rsid w:val="00F55061"/>
    <w:rsid w:val="00F55A4F"/>
    <w:rsid w:val="00F561D8"/>
    <w:rsid w:val="00F77A0B"/>
    <w:rsid w:val="00F83A7B"/>
    <w:rsid w:val="00F943E7"/>
    <w:rsid w:val="00FA2102"/>
    <w:rsid w:val="00FA2979"/>
    <w:rsid w:val="00FA5598"/>
    <w:rsid w:val="00FB0ACE"/>
    <w:rsid w:val="00FB3CBC"/>
    <w:rsid w:val="00FB4DFB"/>
    <w:rsid w:val="00FB5271"/>
    <w:rsid w:val="00FB55D9"/>
    <w:rsid w:val="00FB658A"/>
    <w:rsid w:val="00FB76B2"/>
    <w:rsid w:val="00FC080F"/>
    <w:rsid w:val="00FC4ED4"/>
    <w:rsid w:val="00FD4D64"/>
    <w:rsid w:val="00FD69AC"/>
    <w:rsid w:val="00FE1047"/>
    <w:rsid w:val="00FE1FF2"/>
    <w:rsid w:val="00FE38D0"/>
    <w:rsid w:val="00FF0BCD"/>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uiPriority w:val="1"/>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 w:type="character" w:styleId="Zdraznnintenzivn">
    <w:name w:val="Intense Emphasis"/>
    <w:basedOn w:val="Standardnpsmoodstavce"/>
    <w:uiPriority w:val="21"/>
    <w:qFormat/>
    <w:rsid w:val="00766E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8466</Words>
  <Characters>49951</Characters>
  <Application>Microsoft Office Word</Application>
  <DocSecurity>0</DocSecurity>
  <Lines>416</Lines>
  <Paragraphs>116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Obývák</cp:lastModifiedBy>
  <cp:revision>2</cp:revision>
  <cp:lastPrinted>2020-05-04T06:09:00Z</cp:lastPrinted>
  <dcterms:created xsi:type="dcterms:W3CDTF">2025-02-12T13:58:00Z</dcterms:created>
  <dcterms:modified xsi:type="dcterms:W3CDTF">2025-02-12T13:58:00Z</dcterms:modified>
</cp:coreProperties>
</file>