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9085" w14:textId="1A9A13C9" w:rsidR="0026243C" w:rsidRDefault="006110C0" w:rsidP="003A186C">
      <w:pPr>
        <w:pStyle w:val="Nadpis1"/>
        <w:jc w:val="both"/>
      </w:pPr>
      <w:r w:rsidRPr="006110C0">
        <w:t>Obecný úvod do systému veřejného zdravotního pojištění – legislativní rámec</w:t>
      </w:r>
    </w:p>
    <w:p w14:paraId="6521F4C0" w14:textId="774F29DA" w:rsidR="006110C0" w:rsidRDefault="006110C0" w:rsidP="003A186C">
      <w:pPr>
        <w:tabs>
          <w:tab w:val="num" w:pos="1440"/>
        </w:tabs>
        <w:jc w:val="both"/>
      </w:pPr>
      <w:r w:rsidRPr="006110C0">
        <w:rPr>
          <w:b/>
          <w:bCs/>
        </w:rPr>
        <w:t xml:space="preserve">Příjmy – </w:t>
      </w:r>
      <w:r w:rsidRPr="006110C0">
        <w:t>zákon č. 592/1992 Sb. o pojistném na veřejné zdravotní pojištění</w:t>
      </w:r>
      <w:r>
        <w:t>, kde je stanoven v</w:t>
      </w:r>
      <w:r w:rsidRPr="006110C0">
        <w:t>yměřovací základ pro výběr pojistného</w:t>
      </w:r>
      <w:r>
        <w:t xml:space="preserve"> a p</w:t>
      </w:r>
      <w:r w:rsidRPr="006110C0">
        <w:t>řerozdělení pojistného mezi zdravotní pojišťovny</w:t>
      </w:r>
      <w:r>
        <w:t>.</w:t>
      </w:r>
    </w:p>
    <w:p w14:paraId="64DE20F2" w14:textId="77777777" w:rsidR="003A186C" w:rsidRDefault="00354F56" w:rsidP="003A186C">
      <w:pPr>
        <w:tabs>
          <w:tab w:val="num" w:pos="1440"/>
        </w:tabs>
        <w:jc w:val="both"/>
      </w:pPr>
      <w:r>
        <w:t xml:space="preserve">Plátci pojistného: </w:t>
      </w:r>
    </w:p>
    <w:p w14:paraId="59404D31" w14:textId="3FC46FCA" w:rsidR="00354F56" w:rsidRDefault="00354F56" w:rsidP="003A186C">
      <w:pPr>
        <w:tabs>
          <w:tab w:val="num" w:pos="1440"/>
        </w:tabs>
        <w:jc w:val="both"/>
      </w:pPr>
      <w:r>
        <w:t>ekonomicky aktivní (zaměstnanci a OSVČ), zaměstnavatelé</w:t>
      </w:r>
      <w:r w:rsidR="00844843">
        <w:t xml:space="preserve"> a</w:t>
      </w:r>
      <w:r>
        <w:t xml:space="preserve"> ekonomicky neaktivní (stát nebo OBZP – osoby bez zdanitelných </w:t>
      </w:r>
      <w:r w:rsidR="00844843">
        <w:t>příjmů</w:t>
      </w:r>
      <w:r>
        <w:t>).</w:t>
      </w:r>
    </w:p>
    <w:p w14:paraId="68147B08" w14:textId="4BD6B3EC" w:rsidR="00354F56" w:rsidRDefault="00354F56" w:rsidP="003A186C">
      <w:pPr>
        <w:pStyle w:val="Odstavecseseznamem"/>
        <w:numPr>
          <w:ilvl w:val="0"/>
          <w:numId w:val="12"/>
        </w:numPr>
        <w:jc w:val="both"/>
      </w:pPr>
      <w:r>
        <w:t xml:space="preserve">Za koho platí stát: děti a studenti do 26 </w:t>
      </w:r>
      <w:r w:rsidR="00844843">
        <w:t>let, poživatelé</w:t>
      </w:r>
      <w:r>
        <w:t xml:space="preserve"> důchodů, ženy na mateřské a osoby na rodičovské dovolené, osoby v hmotné nouzi</w:t>
      </w:r>
      <w:r w:rsidR="00844843">
        <w:t xml:space="preserve"> atd.</w:t>
      </w:r>
    </w:p>
    <w:p w14:paraId="69D29714" w14:textId="13B80E45" w:rsidR="00354F56" w:rsidRDefault="00354F56" w:rsidP="003A186C">
      <w:pPr>
        <w:tabs>
          <w:tab w:val="num" w:pos="1440"/>
        </w:tabs>
        <w:jc w:val="both"/>
      </w:pPr>
      <w:r w:rsidRPr="003A186C">
        <w:rPr>
          <w:b/>
          <w:bCs/>
        </w:rPr>
        <w:t>Automatická valorizace</w:t>
      </w:r>
      <w:r w:rsidR="00DF0FC3">
        <w:t xml:space="preserve"> </w:t>
      </w:r>
      <w:r w:rsidR="00DF0FC3" w:rsidRPr="003A186C">
        <w:rPr>
          <w:b/>
          <w:bCs/>
        </w:rPr>
        <w:t>platby za státní pojištěnce</w:t>
      </w:r>
      <w:r>
        <w:t>:</w:t>
      </w:r>
      <w:r w:rsidR="00DF0FC3">
        <w:t xml:space="preserve"> je důležitý mechanismus ke stabilizaci příjmů do zdravotnictví. M</w:t>
      </w:r>
      <w:r w:rsidRPr="00FB566E">
        <w:rPr>
          <w:rFonts w:eastAsia="Calibri"/>
          <w:iCs/>
          <w:sz w:val="21"/>
          <w:szCs w:val="21"/>
        </w:rPr>
        <w:t>echanismus</w:t>
      </w:r>
      <w:r w:rsidR="00DF0FC3">
        <w:rPr>
          <w:rFonts w:eastAsia="Calibri"/>
          <w:iCs/>
          <w:sz w:val="21"/>
          <w:szCs w:val="21"/>
        </w:rPr>
        <w:t xml:space="preserve"> automatické valorizace</w:t>
      </w:r>
      <w:r w:rsidRPr="00FB566E">
        <w:rPr>
          <w:rFonts w:eastAsia="Calibri"/>
          <w:iCs/>
          <w:sz w:val="21"/>
          <w:szCs w:val="21"/>
        </w:rPr>
        <w:t xml:space="preserve"> zvyšuje vyměřovací základ pro pojistné hrazené státem za tzv. státní pojištěnce v závislosti na růstu indexu spotřebitelských cen a na</w:t>
      </w:r>
      <w:r w:rsidR="003A186C">
        <w:rPr>
          <w:rFonts w:eastAsia="Calibri"/>
          <w:iCs/>
          <w:sz w:val="21"/>
          <w:szCs w:val="21"/>
        </w:rPr>
        <w:t xml:space="preserve"> polovině</w:t>
      </w:r>
      <w:r w:rsidRPr="00FB566E">
        <w:rPr>
          <w:rFonts w:eastAsia="Calibri"/>
          <w:iCs/>
          <w:sz w:val="21"/>
          <w:szCs w:val="21"/>
        </w:rPr>
        <w:t xml:space="preserve"> růstu </w:t>
      </w:r>
      <w:r>
        <w:rPr>
          <w:rFonts w:eastAsia="Calibri"/>
          <w:iCs/>
          <w:sz w:val="21"/>
          <w:szCs w:val="21"/>
        </w:rPr>
        <w:t xml:space="preserve">reálných </w:t>
      </w:r>
      <w:r w:rsidRPr="00FB566E">
        <w:rPr>
          <w:rFonts w:eastAsia="Calibri"/>
          <w:iCs/>
          <w:sz w:val="21"/>
          <w:szCs w:val="21"/>
        </w:rPr>
        <w:t>mezd.</w:t>
      </w:r>
      <w:r>
        <w:rPr>
          <w:rFonts w:eastAsia="Calibri"/>
          <w:iCs/>
          <w:sz w:val="21"/>
          <w:szCs w:val="21"/>
        </w:rPr>
        <w:t xml:space="preserve"> Současně je </w:t>
      </w:r>
      <w:r w:rsidRPr="00D91925">
        <w:rPr>
          <w:rFonts w:eastAsia="Calibri"/>
          <w:iCs/>
          <w:sz w:val="21"/>
          <w:szCs w:val="21"/>
        </w:rPr>
        <w:t>mechanismus velmi transparentní,</w:t>
      </w:r>
      <w:r>
        <w:rPr>
          <w:rFonts w:eastAsia="Calibri"/>
          <w:iCs/>
          <w:sz w:val="21"/>
          <w:szCs w:val="21"/>
        </w:rPr>
        <w:t xml:space="preserve"> a</w:t>
      </w:r>
      <w:r w:rsidRPr="00D91925">
        <w:rPr>
          <w:rFonts w:eastAsia="Calibri"/>
          <w:iCs/>
          <w:sz w:val="21"/>
          <w:szCs w:val="21"/>
        </w:rPr>
        <w:t xml:space="preserve"> lze díky němu predikovat vývoj platby za státní pojištěnce i více let dopředu</w:t>
      </w:r>
      <w:r>
        <w:rPr>
          <w:rFonts w:eastAsia="Calibri"/>
          <w:iCs/>
          <w:sz w:val="21"/>
          <w:szCs w:val="21"/>
        </w:rPr>
        <w:t>.</w:t>
      </w:r>
      <w:r w:rsidR="003A186C">
        <w:rPr>
          <w:rFonts w:eastAsia="Calibri"/>
          <w:iCs/>
          <w:sz w:val="21"/>
          <w:szCs w:val="21"/>
        </w:rPr>
        <w:t xml:space="preserve"> Pro rok 2023 byla nastavena pevná částka platby ve výši 1900 Kč a mechanismus jako takový začne fungovat od roku 2024.</w:t>
      </w:r>
    </w:p>
    <w:p w14:paraId="2B7F121D" w14:textId="536B3032" w:rsidR="006110C0" w:rsidRDefault="006110C0" w:rsidP="003A186C">
      <w:pPr>
        <w:tabs>
          <w:tab w:val="num" w:pos="1440"/>
        </w:tabs>
        <w:jc w:val="both"/>
        <w:rPr>
          <w:u w:val="single"/>
        </w:rPr>
      </w:pPr>
      <w:r w:rsidRPr="006110C0">
        <w:rPr>
          <w:b/>
          <w:bCs/>
        </w:rPr>
        <w:t xml:space="preserve">Výdaje/ náklady – </w:t>
      </w:r>
      <w:r w:rsidRPr="006110C0">
        <w:t>zákon č. 48/1997 Sb. o veřejném zdravotním pojištění</w:t>
      </w:r>
      <w:r>
        <w:t>, který stanovuje p</w:t>
      </w:r>
      <w:r w:rsidRPr="006110C0">
        <w:t>ovinnosti a práva pojištěnců</w:t>
      </w:r>
      <w:r>
        <w:t>, n</w:t>
      </w:r>
      <w:r w:rsidRPr="006110C0">
        <w:t>árok na hrazenou péči</w:t>
      </w:r>
      <w:r>
        <w:t>, p</w:t>
      </w:r>
      <w:r w:rsidRPr="006110C0">
        <w:t>ravidla pro stanovení výše úhrad za poskytnutou zdravotní péči – „</w:t>
      </w:r>
      <w:r w:rsidRPr="006110C0">
        <w:rPr>
          <w:b/>
          <w:bCs/>
        </w:rPr>
        <w:t>Dohodovací řízení</w:t>
      </w:r>
      <w:r w:rsidRPr="006110C0">
        <w:t>“</w:t>
      </w:r>
      <w:r>
        <w:t>. Dalším důležitým právním předpisem z hlediska příjmů jsou dvě základní vyhlášky:</w:t>
      </w:r>
      <w:r w:rsidRPr="006110C0">
        <w:t xml:space="preserve"> </w:t>
      </w:r>
      <w:r w:rsidRPr="006110C0">
        <w:rPr>
          <w:u w:val="single"/>
        </w:rPr>
        <w:t>Seznam zdravotních výkonů</w:t>
      </w:r>
      <w:r w:rsidRPr="006110C0">
        <w:t xml:space="preserve">, </w:t>
      </w:r>
      <w:r w:rsidRPr="006110C0">
        <w:rPr>
          <w:u w:val="single"/>
        </w:rPr>
        <w:t>Úhradová vyhláška</w:t>
      </w:r>
      <w:r>
        <w:rPr>
          <w:u w:val="single"/>
        </w:rPr>
        <w:t>.</w:t>
      </w:r>
    </w:p>
    <w:p w14:paraId="540CCF5B" w14:textId="660BEC0D" w:rsidR="006110C0" w:rsidRDefault="006110C0" w:rsidP="003A186C">
      <w:pPr>
        <w:tabs>
          <w:tab w:val="num" w:pos="1440"/>
        </w:tabs>
        <w:jc w:val="both"/>
        <w:rPr>
          <w:b/>
          <w:bCs/>
          <w:u w:val="single"/>
        </w:rPr>
      </w:pPr>
      <w:r w:rsidRPr="006110C0">
        <w:rPr>
          <w:b/>
          <w:bCs/>
          <w:u w:val="single"/>
        </w:rPr>
        <w:t>Rozsah hrazených zdravotních služeb:</w:t>
      </w:r>
    </w:p>
    <w:p w14:paraId="425D7F11" w14:textId="1EE67995" w:rsidR="006110C0" w:rsidRDefault="006110C0" w:rsidP="003A186C">
      <w:pPr>
        <w:tabs>
          <w:tab w:val="num" w:pos="1440"/>
        </w:tabs>
        <w:jc w:val="both"/>
      </w:pPr>
      <w:r w:rsidRPr="006110C0">
        <w:t xml:space="preserve">V zákoně č. 48/1997 Sb.  je </w:t>
      </w:r>
      <w:r w:rsidR="00906C72">
        <w:t>v § 13 odst. 1 obecně</w:t>
      </w:r>
      <w:r w:rsidRPr="006110C0">
        <w:t xml:space="preserve"> definovaný nárok </w:t>
      </w:r>
      <w:r w:rsidR="00906C72">
        <w:t>pojištěnce</w:t>
      </w:r>
      <w:r w:rsidRPr="006110C0">
        <w:t>.</w:t>
      </w:r>
      <w:r w:rsidR="00906C72">
        <w:t xml:space="preserve"> </w:t>
      </w:r>
      <w:r>
        <w:t>Z</w:t>
      </w:r>
      <w:r w:rsidR="005E4B8D">
        <w:t> </w:t>
      </w:r>
      <w:r w:rsidR="00906C72">
        <w:t xml:space="preserve">veřejného </w:t>
      </w:r>
      <w:r>
        <w:t>zdravotního pojištění se h</w:t>
      </w:r>
      <w:r w:rsidRPr="006110C0">
        <w:t>radí zdravotní služby poskytnuté s</w:t>
      </w:r>
      <w:r w:rsidR="005E4B8D">
        <w:t> </w:t>
      </w:r>
      <w:r w:rsidRPr="006110C0">
        <w:rPr>
          <w:b/>
          <w:bCs/>
        </w:rPr>
        <w:t>cílem zlepšit nebo zachovat</w:t>
      </w:r>
      <w:r w:rsidRPr="006110C0">
        <w:t xml:space="preserve"> jeho zdravotní stav nebo zmírnit jeho utrpení, pokud</w:t>
      </w:r>
    </w:p>
    <w:p w14:paraId="4A3C8C81" w14:textId="603BAAA6" w:rsidR="006110C0" w:rsidRPr="006110C0" w:rsidRDefault="006110C0" w:rsidP="003A186C">
      <w:pPr>
        <w:pStyle w:val="Odstavecseseznamem"/>
        <w:numPr>
          <w:ilvl w:val="0"/>
          <w:numId w:val="3"/>
        </w:numPr>
        <w:tabs>
          <w:tab w:val="num" w:pos="1440"/>
        </w:tabs>
        <w:jc w:val="both"/>
      </w:pPr>
      <w:r w:rsidRPr="006110C0">
        <w:t>odpovídají zdravotnímu stavu pojištěnce a účelu, jehož má být dosaženo, a jsou pro pojištěnce přiměřeně bezpečné,</w:t>
      </w:r>
    </w:p>
    <w:p w14:paraId="0FE7181E" w14:textId="4D0E1990" w:rsidR="006110C0" w:rsidRPr="006110C0" w:rsidRDefault="006110C0" w:rsidP="003A186C">
      <w:pPr>
        <w:pStyle w:val="Odstavecseseznamem"/>
        <w:numPr>
          <w:ilvl w:val="0"/>
          <w:numId w:val="3"/>
        </w:numPr>
        <w:tabs>
          <w:tab w:val="num" w:pos="1440"/>
        </w:tabs>
        <w:jc w:val="both"/>
      </w:pPr>
      <w:r w:rsidRPr="006110C0">
        <w:t>jsou v</w:t>
      </w:r>
      <w:r w:rsidR="005E4B8D">
        <w:t> </w:t>
      </w:r>
      <w:r w:rsidRPr="006110C0">
        <w:t>souladu se současnými poznatky lékařské vědy,</w:t>
      </w:r>
    </w:p>
    <w:p w14:paraId="2F94F5EA" w14:textId="0FFF247E" w:rsidR="006110C0" w:rsidRDefault="006110C0" w:rsidP="003A186C">
      <w:pPr>
        <w:pStyle w:val="Odstavecseseznamem"/>
        <w:numPr>
          <w:ilvl w:val="0"/>
          <w:numId w:val="3"/>
        </w:numPr>
        <w:tabs>
          <w:tab w:val="num" w:pos="1440"/>
        </w:tabs>
        <w:jc w:val="both"/>
      </w:pPr>
      <w:r w:rsidRPr="006110C0">
        <w:t>existují důkazy o jejich účinnosti vzhledem k</w:t>
      </w:r>
      <w:r w:rsidR="005E4B8D">
        <w:t> </w:t>
      </w:r>
      <w:r w:rsidRPr="006110C0">
        <w:t>účelu jejich poskytování.</w:t>
      </w:r>
    </w:p>
    <w:p w14:paraId="4A27BC6E" w14:textId="15D64074" w:rsidR="00906C72" w:rsidRPr="006110C0" w:rsidRDefault="00906C72" w:rsidP="003A186C">
      <w:pPr>
        <w:jc w:val="both"/>
      </w:pPr>
      <w:r>
        <w:t>Splnění těchto podmínek je nutné posuzovat vždy individuálně. Pro posouzení hraje velkou roli názor odborných lékařských společností a u ambulantních léčiv též SÚKLu.</w:t>
      </w:r>
    </w:p>
    <w:p w14:paraId="00AAE2A3" w14:textId="77777777" w:rsidR="006110C0" w:rsidRPr="006110C0" w:rsidRDefault="006110C0" w:rsidP="003A186C">
      <w:pPr>
        <w:tabs>
          <w:tab w:val="num" w:pos="1440"/>
        </w:tabs>
        <w:jc w:val="both"/>
        <w:rPr>
          <w:u w:val="single"/>
        </w:rPr>
      </w:pPr>
      <w:r w:rsidRPr="006110C0">
        <w:rPr>
          <w:b/>
          <w:bCs/>
          <w:u w:val="single"/>
        </w:rPr>
        <w:t>Kromě toho (§16):</w:t>
      </w:r>
    </w:p>
    <w:p w14:paraId="36C52569" w14:textId="2F70177E" w:rsidR="006110C0" w:rsidRDefault="006110C0" w:rsidP="003A186C">
      <w:pPr>
        <w:tabs>
          <w:tab w:val="num" w:pos="1440"/>
        </w:tabs>
        <w:jc w:val="both"/>
      </w:pPr>
      <w:r w:rsidRPr="006110C0">
        <w:t>Příslušná zdravotní pojišťovna hradí ve výjimečných případech zdravotní služby jinak zdravotní pojišťovnou nehrazené, je-li poskytnutí takových zdravotních služeb jedinou možností z</w:t>
      </w:r>
      <w:r w:rsidR="005E4B8D">
        <w:t> </w:t>
      </w:r>
      <w:r w:rsidRPr="006110C0">
        <w:t>hlediska zdravotního stavu pojištěnce.</w:t>
      </w:r>
    </w:p>
    <w:p w14:paraId="51BE8E8F" w14:textId="6147037A" w:rsidR="006110C0" w:rsidRDefault="006110C0" w:rsidP="003A186C">
      <w:pPr>
        <w:pStyle w:val="Nadpis1"/>
        <w:jc w:val="both"/>
      </w:pPr>
      <w:r>
        <w:t>Úhradové mechanismy v</w:t>
      </w:r>
      <w:r w:rsidR="005E4B8D">
        <w:t> </w:t>
      </w:r>
      <w:r>
        <w:t>systému veřejného zdravotního pojištění</w:t>
      </w:r>
    </w:p>
    <w:p w14:paraId="1C6BA47B" w14:textId="53CBDE22" w:rsidR="006110C0" w:rsidRDefault="006110C0" w:rsidP="003A186C">
      <w:pPr>
        <w:pStyle w:val="Nadpis2"/>
        <w:jc w:val="both"/>
      </w:pPr>
      <w:r>
        <w:t>Dohodovací řízení</w:t>
      </w:r>
      <w:r w:rsidR="003A186C">
        <w:t xml:space="preserve"> (DŘ)</w:t>
      </w:r>
    </w:p>
    <w:p w14:paraId="2511FE31" w14:textId="43F2EA1A" w:rsidR="006110C0" w:rsidRDefault="00906C72" w:rsidP="003A186C">
      <w:pPr>
        <w:jc w:val="both"/>
      </w:pPr>
      <w:r>
        <w:rPr>
          <w:b/>
          <w:bCs/>
        </w:rPr>
        <w:t>Jde o k</w:t>
      </w:r>
      <w:r w:rsidR="006110C0" w:rsidRPr="006110C0">
        <w:rPr>
          <w:b/>
          <w:bCs/>
        </w:rPr>
        <w:t>aždoroční</w:t>
      </w:r>
      <w:r w:rsidR="006110C0" w:rsidRPr="006110C0">
        <w:t xml:space="preserve"> vyjednávání o výši úhrad za zdravotní péči pro následující rok</w:t>
      </w:r>
      <w:r w:rsidR="006110C0">
        <w:t>, které s</w:t>
      </w:r>
      <w:r w:rsidR="006110C0" w:rsidRPr="006110C0">
        <w:t>volává Ministerstvo zdravotnictví a probíhá mezi plátci a poskytovateli zdravotních služeb</w:t>
      </w:r>
      <w:r w:rsidR="006110C0">
        <w:t xml:space="preserve">. </w:t>
      </w:r>
      <w:r w:rsidR="006110C0" w:rsidRPr="006110C0">
        <w:t>Dojde-li k</w:t>
      </w:r>
      <w:r w:rsidR="005E4B8D">
        <w:t> </w:t>
      </w:r>
      <w:r w:rsidR="006110C0" w:rsidRPr="006110C0">
        <w:t>dohodě, ministerstvo posoudí její obsah z</w:t>
      </w:r>
      <w:r w:rsidR="005E4B8D">
        <w:t> </w:t>
      </w:r>
      <w:r w:rsidR="006110C0" w:rsidRPr="006110C0">
        <w:t>hlediska souladu s</w:t>
      </w:r>
      <w:r w:rsidR="005E4B8D">
        <w:t> </w:t>
      </w:r>
      <w:r w:rsidR="006110C0" w:rsidRPr="006110C0">
        <w:t xml:space="preserve">právními předpisy a veřejným zájmem a vydá ji </w:t>
      </w:r>
      <w:r>
        <w:t>formou</w:t>
      </w:r>
      <w:r w:rsidRPr="006110C0">
        <w:t xml:space="preserve"> </w:t>
      </w:r>
      <w:r w:rsidR="006110C0" w:rsidRPr="006110C0">
        <w:t>tzv. „úhradové vyhlášky“ (</w:t>
      </w:r>
      <w:r w:rsidR="005E4B8D">
        <w:t xml:space="preserve">zkráceně </w:t>
      </w:r>
      <w:r w:rsidR="006110C0" w:rsidRPr="006110C0">
        <w:t>ÚV)</w:t>
      </w:r>
      <w:r w:rsidR="006110C0">
        <w:t>. Pokud</w:t>
      </w:r>
      <w:r w:rsidR="007F5EE9">
        <w:t xml:space="preserve"> k</w:t>
      </w:r>
      <w:r w:rsidR="006110C0">
        <w:t xml:space="preserve"> </w:t>
      </w:r>
      <w:r w:rsidR="006110C0" w:rsidRPr="006110C0">
        <w:t xml:space="preserve">dohodě nedojde, výši úhrad stanovuje </w:t>
      </w:r>
      <w:r w:rsidR="006110C0" w:rsidRPr="006110C0">
        <w:lastRenderedPageBreak/>
        <w:t>ministerstvo</w:t>
      </w:r>
      <w:r>
        <w:t xml:space="preserve"> v ÚV</w:t>
      </w:r>
      <w:r w:rsidR="006110C0">
        <w:t xml:space="preserve">. V českém systému veřejného zdravotního pojištění nicméně funguje smluvní volnost </w:t>
      </w:r>
      <w:r w:rsidR="006110C0" w:rsidRPr="006110C0">
        <w:t xml:space="preserve">=&gt; </w:t>
      </w:r>
      <w:r>
        <w:t>individuálně</w:t>
      </w:r>
      <w:r w:rsidR="006110C0" w:rsidRPr="006110C0">
        <w:t xml:space="preserve"> si mohou poskytovatelé se ZP </w:t>
      </w:r>
      <w:r>
        <w:t>sjednat</w:t>
      </w:r>
      <w:r w:rsidRPr="006110C0">
        <w:t xml:space="preserve"> </w:t>
      </w:r>
      <w:r w:rsidR="006110C0" w:rsidRPr="006110C0">
        <w:t>i odlišný systém úhrad, než který je stanoven v</w:t>
      </w:r>
      <w:r>
        <w:t> </w:t>
      </w:r>
      <w:r w:rsidR="006110C0" w:rsidRPr="006110C0">
        <w:t>ÚV</w:t>
      </w:r>
      <w:r>
        <w:t xml:space="preserve"> (formou tzv. úhradových dodatků)</w:t>
      </w:r>
      <w:r w:rsidR="006110C0">
        <w:t>.</w:t>
      </w:r>
    </w:p>
    <w:p w14:paraId="7625762B" w14:textId="0048419C" w:rsidR="0017117E" w:rsidRPr="003A186C" w:rsidRDefault="0017117E" w:rsidP="003A186C">
      <w:pPr>
        <w:jc w:val="both"/>
        <w:rPr>
          <w:u w:val="single"/>
        </w:rPr>
      </w:pPr>
      <w:r w:rsidRPr="003A186C">
        <w:rPr>
          <w:u w:val="single"/>
        </w:rPr>
        <w:t>Výsledky DŘ 2024:</w:t>
      </w:r>
    </w:p>
    <w:p w14:paraId="4A15C6D4" w14:textId="1D477365" w:rsidR="0017117E" w:rsidRDefault="0017117E" w:rsidP="003A186C">
      <w:pPr>
        <w:jc w:val="both"/>
      </w:pPr>
      <w:r w:rsidRPr="00E73A09">
        <w:t>Celkem</w:t>
      </w:r>
      <w:r>
        <w:t xml:space="preserve"> byl</w:t>
      </w:r>
      <w:r w:rsidR="007A0BDE">
        <w:t>y</w:t>
      </w:r>
      <w:r>
        <w:t xml:space="preserve"> dosažen</w:t>
      </w:r>
      <w:r w:rsidR="007A0BDE">
        <w:t>y</w:t>
      </w:r>
      <w:r>
        <w:t xml:space="preserve"> </w:t>
      </w:r>
      <w:r w:rsidRPr="00E73A09">
        <w:rPr>
          <w:b/>
          <w:bCs/>
        </w:rPr>
        <w:t>4 dohod</w:t>
      </w:r>
      <w:r w:rsidR="007A0BDE">
        <w:rPr>
          <w:b/>
          <w:bCs/>
        </w:rPr>
        <w:t>y</w:t>
      </w:r>
      <w:r>
        <w:rPr>
          <w:b/>
          <w:bCs/>
        </w:rPr>
        <w:t xml:space="preserve"> s </w:t>
      </w:r>
      <w:r w:rsidRPr="00E73A09">
        <w:t>5% meziročním růstem úhrad</w:t>
      </w:r>
      <w:r>
        <w:rPr>
          <w:b/>
          <w:bCs/>
        </w:rPr>
        <w:t xml:space="preserve"> </w:t>
      </w:r>
      <w:r>
        <w:t>(s</w:t>
      </w:r>
      <w:r w:rsidRPr="00E73A09">
        <w:t>egment dialyzační péče</w:t>
      </w:r>
      <w:r>
        <w:t>, s</w:t>
      </w:r>
      <w:r w:rsidRPr="00E73A09">
        <w:t>egment ambulantní gynekologie</w:t>
      </w:r>
      <w:r>
        <w:t xml:space="preserve">, segment dopravní služby a segment lékárenské péče). </w:t>
      </w:r>
    </w:p>
    <w:p w14:paraId="40799566" w14:textId="4AEC0909" w:rsidR="0017117E" w:rsidRDefault="0017117E" w:rsidP="003A186C">
      <w:pPr>
        <w:jc w:val="both"/>
      </w:pPr>
      <w:r>
        <w:t xml:space="preserve">Společný návrh poskytovatelů a VZP s 8% meziročním růstem předložilo </w:t>
      </w:r>
      <w:r w:rsidRPr="00E73A09">
        <w:rPr>
          <w:b/>
          <w:bCs/>
        </w:rPr>
        <w:t>6 segmentů</w:t>
      </w:r>
      <w:r>
        <w:t xml:space="preserve"> a </w:t>
      </w:r>
      <w:r w:rsidRPr="00E73A09">
        <w:rPr>
          <w:b/>
          <w:bCs/>
        </w:rPr>
        <w:t>1 subsegment</w:t>
      </w:r>
      <w:r>
        <w:t xml:space="preserve"> (</w:t>
      </w:r>
      <w:r w:rsidRPr="00E73A09">
        <w:t>segment lázeňské péče, segment záchranné zdravotní služby, segment akutní lůžková péče, segment následná lůžková péče, segment fyzioterapie segment stomatologie, komplement – subsegment laboratoří</w:t>
      </w:r>
      <w:r>
        <w:t>).</w:t>
      </w:r>
      <w:r w:rsidR="003A186C">
        <w:t xml:space="preserve"> S tímto návrhem nesouhlasily zaměstnanecké zdravotní pojišťovny.</w:t>
      </w:r>
    </w:p>
    <w:p w14:paraId="1365307E" w14:textId="0E79C519" w:rsidR="0017117E" w:rsidRPr="00E73A09" w:rsidRDefault="0017117E" w:rsidP="003A186C">
      <w:pPr>
        <w:jc w:val="both"/>
      </w:pPr>
      <w:r>
        <w:t>Nedohod</w:t>
      </w:r>
      <w:r w:rsidR="007A0BDE">
        <w:t>ou</w:t>
      </w:r>
      <w:r>
        <w:t xml:space="preserve"> </w:t>
      </w:r>
      <w:r w:rsidR="007A0BDE">
        <w:t>DŘ skončilo</w:t>
      </w:r>
      <w:r>
        <w:t xml:space="preserve"> ve </w:t>
      </w:r>
      <w:r w:rsidRPr="00E73A09">
        <w:rPr>
          <w:b/>
          <w:bCs/>
        </w:rPr>
        <w:t>3 segmentech</w:t>
      </w:r>
      <w:r>
        <w:t xml:space="preserve"> (segment ambulantních specialistů, segment domácí péče a segment praktických lékařů) a </w:t>
      </w:r>
      <w:r w:rsidRPr="00E73A09">
        <w:rPr>
          <w:b/>
          <w:bCs/>
        </w:rPr>
        <w:t>1 subsegmentu</w:t>
      </w:r>
      <w:r>
        <w:t xml:space="preserve"> (komplement – subsegment radiodiagnostiky).</w:t>
      </w:r>
    </w:p>
    <w:p w14:paraId="79BB2DF1" w14:textId="332DA392" w:rsidR="006110C0" w:rsidRDefault="00E45F5B" w:rsidP="003A186C">
      <w:pPr>
        <w:pStyle w:val="Nadpis2"/>
        <w:jc w:val="both"/>
      </w:pPr>
      <w:r>
        <w:t>Základní role úhrad</w:t>
      </w:r>
    </w:p>
    <w:p w14:paraId="43C66537" w14:textId="47D18C5D" w:rsidR="00E45F5B" w:rsidRDefault="00906C72" w:rsidP="003A186C">
      <w:pPr>
        <w:spacing w:after="480"/>
        <w:jc w:val="both"/>
        <w:rPr>
          <w:b/>
          <w:bCs/>
          <w:u w:val="single"/>
        </w:rPr>
      </w:pPr>
      <w:r>
        <w:t>Pokrýt náklady</w:t>
      </w:r>
      <w:r w:rsidR="00E45F5B" w:rsidRPr="00E45F5B">
        <w:t xml:space="preserve"> poskytovatelů </w:t>
      </w:r>
      <w:r w:rsidRPr="00E45F5B">
        <w:t>spojen</w:t>
      </w:r>
      <w:r>
        <w:t>é</w:t>
      </w:r>
      <w:r w:rsidRPr="00E45F5B">
        <w:t xml:space="preserve"> </w:t>
      </w:r>
      <w:r w:rsidR="00E45F5B" w:rsidRPr="00E45F5B">
        <w:t xml:space="preserve">s poskytováním </w:t>
      </w:r>
      <w:r>
        <w:t>zdravotních služeb a umožnit přiměřený zisk tam, kde jsou zdravotní služby poskytovány jako podnikatelská činnost</w:t>
      </w:r>
      <w:r w:rsidR="00E45F5B">
        <w:t>. Balancovat</w:t>
      </w:r>
      <w:r w:rsidR="00E45F5B" w:rsidRPr="00E45F5B">
        <w:t xml:space="preserve"> příjm</w:t>
      </w:r>
      <w:r w:rsidR="00E45F5B">
        <w:t>y</w:t>
      </w:r>
      <w:r w:rsidR="00E45F5B" w:rsidRPr="00E45F5B">
        <w:t xml:space="preserve"> a náklad</w:t>
      </w:r>
      <w:r w:rsidR="00E45F5B">
        <w:t xml:space="preserve">y </w:t>
      </w:r>
      <w:r w:rsidR="00E45F5B" w:rsidRPr="00E45F5B">
        <w:t>systému</w:t>
      </w:r>
      <w:r w:rsidR="00E45F5B">
        <w:t xml:space="preserve"> s optimálním (efektivním, udržitelným) rozložením dostupných zdrojů. Motivovat poskytovatele zdravotních služeb a podporovat </w:t>
      </w:r>
      <w:r>
        <w:t xml:space="preserve">kvalitu a </w:t>
      </w:r>
      <w:r w:rsidR="00E45F5B">
        <w:t xml:space="preserve">dostupnost zdravotních služeb. </w:t>
      </w:r>
      <w:r w:rsidR="00E45F5B" w:rsidRPr="00E45F5B">
        <w:rPr>
          <w:b/>
          <w:bCs/>
          <w:u w:val="single"/>
        </w:rPr>
        <w:t>Naopak úhrady neurčují nárok pojištěnce na hrazenou péči.</w:t>
      </w:r>
    </w:p>
    <w:p w14:paraId="3A2F6377" w14:textId="2F1B2A91" w:rsidR="00E45F5B" w:rsidRDefault="00E45F5B" w:rsidP="003A186C">
      <w:pPr>
        <w:pStyle w:val="Nadpis2"/>
        <w:jc w:val="both"/>
      </w:pPr>
      <w:r>
        <w:t>Základní typy úhrad podle typu poskytované péče</w:t>
      </w:r>
    </w:p>
    <w:p w14:paraId="403CC309" w14:textId="10A572E8" w:rsidR="00E45F5B" w:rsidRPr="00C14809" w:rsidRDefault="00E45F5B" w:rsidP="003A186C">
      <w:pPr>
        <w:pStyle w:val="Odstavecseseznamem"/>
        <w:numPr>
          <w:ilvl w:val="0"/>
          <w:numId w:val="9"/>
        </w:numPr>
        <w:spacing w:after="120"/>
        <w:ind w:left="284" w:hanging="284"/>
        <w:jc w:val="both"/>
        <w:rPr>
          <w:b/>
          <w:bCs/>
        </w:rPr>
      </w:pPr>
      <w:r w:rsidRPr="00C14809">
        <w:rPr>
          <w:b/>
          <w:bCs/>
        </w:rPr>
        <w:t>Výkonová úhrada</w:t>
      </w:r>
    </w:p>
    <w:p w14:paraId="42811854" w14:textId="154D9411" w:rsidR="00E45F5B" w:rsidRDefault="00E45F5B" w:rsidP="003A186C">
      <w:pPr>
        <w:jc w:val="both"/>
      </w:pPr>
      <w:r w:rsidRPr="00E45F5B">
        <w:t>Jednotlivé výkony</w:t>
      </w:r>
      <w:r>
        <w:t xml:space="preserve"> jsou</w:t>
      </w:r>
      <w:r w:rsidRPr="00E45F5B">
        <w:t xml:space="preserve"> oceněny v bodech (relativní nákladovost v rámci dané odbornosti)</w:t>
      </w:r>
      <w:r w:rsidR="00C14809">
        <w:t xml:space="preserve"> a h</w:t>
      </w:r>
      <w:r w:rsidRPr="00E45F5B">
        <w:t>odnota bodu v Kč dána ve smlouvě s pojišťovnou nebo v úhradové vyhlášce</w:t>
      </w:r>
      <w:r>
        <w:t xml:space="preserve">. </w:t>
      </w:r>
    </w:p>
    <w:p w14:paraId="79354B04" w14:textId="5733204B" w:rsidR="00C14809" w:rsidRDefault="00C14809" w:rsidP="003A186C">
      <w:pPr>
        <w:jc w:val="both"/>
      </w:pPr>
      <w:r>
        <w:t xml:space="preserve">Tento typ platby se používá pro vykazování ambulantní </w:t>
      </w:r>
      <w:r w:rsidR="00CF07B3">
        <w:t xml:space="preserve">a domácí </w:t>
      </w:r>
      <w:r>
        <w:t>péče.</w:t>
      </w:r>
    </w:p>
    <w:p w14:paraId="3635E32E" w14:textId="331F12D8" w:rsidR="00E45F5B" w:rsidRPr="00C14809" w:rsidRDefault="00CF07B3" w:rsidP="003A186C">
      <w:pPr>
        <w:jc w:val="both"/>
      </w:pPr>
      <w:r>
        <w:t>Bodové hodnoty výkonů upravuje</w:t>
      </w:r>
      <w:r w:rsidR="00E45F5B" w:rsidRPr="00E45F5B">
        <w:t xml:space="preserve"> Seznam zdravotních výkonů </w:t>
      </w:r>
      <w:r w:rsidR="00E45F5B" w:rsidRPr="00E45F5B">
        <w:rPr>
          <w:i/>
          <w:iCs/>
        </w:rPr>
        <w:t>(Vyhláška č. 134/1998 Sb. - vyhláška Ministerstva zdravotnictví, kterou se vydává seznam zdravotních výkonů s bodovými hodnotami)</w:t>
      </w:r>
      <w:r>
        <w:t xml:space="preserve"> a číselníky zdravotních pojišťoven pro smluvní výkony pojišťoven.</w:t>
      </w:r>
    </w:p>
    <w:p w14:paraId="0A23E1B8" w14:textId="1BEB176C" w:rsidR="00E45F5B" w:rsidRPr="00C14809" w:rsidRDefault="00E45F5B" w:rsidP="003A186C">
      <w:pPr>
        <w:pStyle w:val="Odstavecseseznamem"/>
        <w:numPr>
          <w:ilvl w:val="0"/>
          <w:numId w:val="9"/>
        </w:numPr>
        <w:spacing w:after="120"/>
        <w:ind w:left="284" w:hanging="284"/>
        <w:jc w:val="both"/>
        <w:rPr>
          <w:b/>
          <w:bCs/>
        </w:rPr>
      </w:pPr>
      <w:r w:rsidRPr="00C14809">
        <w:rPr>
          <w:b/>
          <w:bCs/>
        </w:rPr>
        <w:t>Kapitační platba</w:t>
      </w:r>
    </w:p>
    <w:p w14:paraId="24EE395E" w14:textId="1B45E4BE" w:rsidR="00C14809" w:rsidRPr="00C14809" w:rsidRDefault="00C14809" w:rsidP="003A186C">
      <w:pPr>
        <w:jc w:val="both"/>
      </w:pPr>
      <w:r w:rsidRPr="00C14809">
        <w:t>Agregace běžné péče o pacienty do jedné měsíční platby</w:t>
      </w:r>
      <w:r>
        <w:t xml:space="preserve"> na základě věku pacienta. Hlavní myšlenkou je zjednodušení administrativy a redukce nadbytečné péče. Tento typ péče se využívá v segmentech primární péče </w:t>
      </w:r>
      <w:r w:rsidR="00CF07B3">
        <w:t xml:space="preserve">praktických lékařů </w:t>
      </w:r>
      <w:r>
        <w:t xml:space="preserve">a kombinuje se s výkonovou úhradou. V kapitační platbě je obsažena běžná péče a nad její rámec je pak hrazena například prevence, screeningy nebo očkování – vyjmutím těchto výkonů je </w:t>
      </w:r>
      <w:r w:rsidR="00CF07B3">
        <w:t xml:space="preserve">motivováno </w:t>
      </w:r>
      <w:r>
        <w:t xml:space="preserve">zvýšení počtu provedených výkonů. </w:t>
      </w:r>
    </w:p>
    <w:p w14:paraId="20564259" w14:textId="36A69207" w:rsidR="00E45F5B" w:rsidRPr="00C14809" w:rsidRDefault="00E45F5B" w:rsidP="003A186C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14809">
        <w:rPr>
          <w:b/>
          <w:bCs/>
        </w:rPr>
        <w:t>Platba za ošetřovací den</w:t>
      </w:r>
    </w:p>
    <w:p w14:paraId="2F3CDB67" w14:textId="28D3F432" w:rsidR="00C14809" w:rsidRDefault="00C14809" w:rsidP="003A186C">
      <w:pPr>
        <w:jc w:val="both"/>
      </w:pPr>
      <w:r>
        <w:t xml:space="preserve">Paušální platba za jeden den pobytu podle typu lůžka a náročnosti pacienta. Tato platba se využívá v následné </w:t>
      </w:r>
      <w:r w:rsidR="00CF07B3">
        <w:t>a dlouhodobé péči</w:t>
      </w:r>
      <w:r>
        <w:t>.</w:t>
      </w:r>
    </w:p>
    <w:p w14:paraId="7595662A" w14:textId="763DD857" w:rsidR="00E45F5B" w:rsidRPr="00C14809" w:rsidRDefault="00E45F5B" w:rsidP="003A186C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14809">
        <w:rPr>
          <w:b/>
          <w:bCs/>
        </w:rPr>
        <w:t>Platba za diagnózu</w:t>
      </w:r>
    </w:p>
    <w:p w14:paraId="3DA172AC" w14:textId="5598FB00" w:rsidR="00C14809" w:rsidRDefault="006A1475" w:rsidP="003A186C">
      <w:pPr>
        <w:jc w:val="both"/>
      </w:pPr>
      <w:r>
        <w:t>Využívá se pouze v akutní lůžkové péč</w:t>
      </w:r>
      <w:r w:rsidR="005221F5">
        <w:t>i</w:t>
      </w:r>
      <w:r>
        <w:t xml:space="preserve"> a jedná se o n</w:t>
      </w:r>
      <w:r w:rsidR="00C14809">
        <w:t xml:space="preserve">ejkomplexnější a nejsložitější typ úhrady. Zdravotní pojišťovny platí za hospitalizační případ jako celek. </w:t>
      </w:r>
      <w:r>
        <w:t xml:space="preserve">Cílem tohoto systému je omezit </w:t>
      </w:r>
      <w:r>
        <w:lastRenderedPageBreak/>
        <w:t xml:space="preserve">„nadvykazování“ péče a výkonů v rámci hospitalizací, platit stejně bez ohledu na konkrétní postup péče, snížit délku hospitalizací, sjednotit postupy léčby. V rámci akutní lůžkové péče pak rozlišujeme 3 základní </w:t>
      </w:r>
      <w:r w:rsidR="00CF07B3">
        <w:t xml:space="preserve">modely </w:t>
      </w:r>
      <w:r>
        <w:t xml:space="preserve">úhrady: </w:t>
      </w:r>
      <w:r w:rsidR="00CF07B3">
        <w:t xml:space="preserve">paušální úhrada </w:t>
      </w:r>
      <w:r>
        <w:t xml:space="preserve">(kdy je zdravotní pojišťovnou </w:t>
      </w:r>
      <w:r w:rsidR="00CF07B3">
        <w:t xml:space="preserve">cílen </w:t>
      </w:r>
      <w:r>
        <w:t>určitý objem péče, pokud dojde k</w:t>
      </w:r>
      <w:r w:rsidR="00CF07B3">
        <w:t> </w:t>
      </w:r>
      <w:r>
        <w:t>překročení</w:t>
      </w:r>
      <w:r w:rsidR="00CF07B3">
        <w:t>,</w:t>
      </w:r>
      <w:r>
        <w:t xml:space="preserve"> je </w:t>
      </w:r>
      <w:r w:rsidR="00CF07B3">
        <w:t>převis péče hrazen degresivně</w:t>
      </w:r>
      <w:r>
        <w:t xml:space="preserve">), </w:t>
      </w:r>
      <w:r w:rsidR="00CF07B3">
        <w:t xml:space="preserve">úhrada </w:t>
      </w:r>
      <w:r>
        <w:t xml:space="preserve">vyčleněná z paušální úhrady (zde je péče hrazena bez </w:t>
      </w:r>
      <w:r w:rsidR="00CF07B3">
        <w:t xml:space="preserve">objemového </w:t>
      </w:r>
      <w:r>
        <w:t>limit</w:t>
      </w:r>
      <w:r w:rsidR="00CF07B3">
        <w:t>u</w:t>
      </w:r>
      <w:r>
        <w:t xml:space="preserve"> podle počtu </w:t>
      </w:r>
      <w:r w:rsidR="00CF07B3">
        <w:t xml:space="preserve">provedených </w:t>
      </w:r>
      <w:r>
        <w:t>hospitalizací</w:t>
      </w:r>
      <w:r w:rsidR="00CF07B3">
        <w:t>,</w:t>
      </w:r>
      <w:r>
        <w:t xml:space="preserve"> nicméně se zohledněním individuálního nastavení úhrad) a </w:t>
      </w:r>
      <w:r w:rsidR="00CF07B3">
        <w:t xml:space="preserve">úhrada </w:t>
      </w:r>
      <w:r>
        <w:t>formou případového paušálu podle CZ-DRG (i zde je péče hrazena bez</w:t>
      </w:r>
      <w:r w:rsidR="00CF07B3">
        <w:t xml:space="preserve"> objemového</w:t>
      </w:r>
      <w:r>
        <w:t xml:space="preserve"> limit</w:t>
      </w:r>
      <w:r w:rsidR="00CF07B3">
        <w:t>u</w:t>
      </w:r>
      <w:r>
        <w:t>, nicméně jednotnou sazbou pro všechny nemocnice).</w:t>
      </w:r>
    </w:p>
    <w:p w14:paraId="0F97D2F4" w14:textId="7FBF2473" w:rsidR="00E45F5B" w:rsidRPr="00C14809" w:rsidRDefault="00E45F5B" w:rsidP="003A186C">
      <w:pPr>
        <w:pStyle w:val="Odstavecseseznamem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C14809">
        <w:rPr>
          <w:b/>
          <w:bCs/>
        </w:rPr>
        <w:t>Balíčková platba</w:t>
      </w:r>
    </w:p>
    <w:p w14:paraId="31E70799" w14:textId="0A419FC8" w:rsidR="007E139D" w:rsidRDefault="00C14809" w:rsidP="003A186C">
      <w:pPr>
        <w:spacing w:after="360"/>
        <w:jc w:val="both"/>
      </w:pPr>
      <w:r>
        <w:t>V současné době se využívá v ambulantní gynekologii při péči o těhotné pojištěnky, kdy je stanovena jednotná sazba za každý trimestr péče. Dále se tento způsob využívá v rámci individuálních dohod mezi plátci a poskytovateli.</w:t>
      </w:r>
      <w:r w:rsidR="007E139D" w:rsidRPr="00E45F5B" w:rsidDel="007E139D">
        <w:t xml:space="preserve"> </w:t>
      </w:r>
    </w:p>
    <w:p w14:paraId="1C3CC3A3" w14:textId="77777777" w:rsidR="007E139D" w:rsidRDefault="007E139D" w:rsidP="003A186C">
      <w:pPr>
        <w:pStyle w:val="Nadpis2"/>
        <w:jc w:val="both"/>
      </w:pPr>
      <w:r>
        <w:t>Problematika sociálně-zdravotního pomezí</w:t>
      </w:r>
    </w:p>
    <w:p w14:paraId="622A10A4" w14:textId="77777777" w:rsidR="007E139D" w:rsidRDefault="007E139D" w:rsidP="003A186C">
      <w:pPr>
        <w:jc w:val="both"/>
      </w:pPr>
    </w:p>
    <w:p w14:paraId="02CD5EEA" w14:textId="77777777" w:rsidR="007E139D" w:rsidRDefault="007E139D" w:rsidP="003A186C">
      <w:pPr>
        <w:jc w:val="both"/>
        <w:rPr>
          <w:b/>
          <w:bCs/>
        </w:rPr>
      </w:pPr>
      <w:r>
        <w:rPr>
          <w:b/>
          <w:bCs/>
        </w:rPr>
        <w:t>1. Stávající situace, rozdílnost systémů, vyplývající problémy</w:t>
      </w:r>
    </w:p>
    <w:p w14:paraId="1BBEE9BD" w14:textId="1F40F3AE" w:rsidR="007E139D" w:rsidRDefault="007E139D" w:rsidP="003A186C">
      <w:pPr>
        <w:jc w:val="both"/>
      </w:pPr>
      <w:r>
        <w:t>Systémy sociálních a zdravotních služeb existují jako dva zcela odděleně organizované i financované systémy. Zatímco systém sociálních služeb je zaměřen na podporu zvládání základních životních potřeb a prevenci sociálního vyloučení klientů, systém zdravotních služeb je zaměřen na udržování a zlepšování zdravotního stavu a zmírnění utrpení vyplývajícího z poruch zdraví pacientů.</w:t>
      </w:r>
    </w:p>
    <w:p w14:paraId="0619AA05" w14:textId="49966AC7" w:rsidR="007E139D" w:rsidRDefault="007E139D" w:rsidP="003A186C">
      <w:pPr>
        <w:jc w:val="both"/>
      </w:pPr>
      <w:r>
        <w:t>Systém veřejného zdravotního pojištění je financován na základě vykazování konkrétních činností na konkrétní pacienty z veřejného zdravotního pojištění a v malé části také z přímých úhrad pacientů. Systém sociálních služeb je financován kombinací příspěvku na péči, dotací a darů a přímých plateb klientů, přičemž financování je plošné a není vázáno na konkrétní úkony či činnosti.</w:t>
      </w:r>
    </w:p>
    <w:p w14:paraId="219C2855" w14:textId="77777777" w:rsidR="007E139D" w:rsidRDefault="007E139D" w:rsidP="003A186C">
      <w:pPr>
        <w:jc w:val="both"/>
        <w:rPr>
          <w:b/>
          <w:bCs/>
        </w:rPr>
      </w:pPr>
      <w:r>
        <w:rPr>
          <w:b/>
          <w:bCs/>
        </w:rPr>
        <w:t>2. Reforma dlouhodobé péče – základní informace, záměry, další kroky</w:t>
      </w:r>
    </w:p>
    <w:p w14:paraId="7EC4064A" w14:textId="2D16D351" w:rsidR="007E139D" w:rsidRDefault="007E139D" w:rsidP="003A186C">
      <w:pPr>
        <w:jc w:val="both"/>
      </w:pPr>
      <w:r>
        <w:t xml:space="preserve">Základním cílem připravované novely zákonů o sociálních službách, o zdravotních službách a o veřejném zdravotním pojištění v oblasti péče mezinárodně označované jako </w:t>
      </w:r>
      <w:r w:rsidR="00B57098">
        <w:t>„</w:t>
      </w:r>
      <w:r>
        <w:rPr>
          <w:i/>
          <w:iCs/>
        </w:rPr>
        <w:t>longterm care</w:t>
      </w:r>
      <w:r w:rsidR="00B57098">
        <w:rPr>
          <w:i/>
          <w:iCs/>
        </w:rPr>
        <w:t>“</w:t>
      </w:r>
      <w:r>
        <w:rPr>
          <w:i/>
          <w:iCs/>
        </w:rPr>
        <w:t xml:space="preserve"> </w:t>
      </w:r>
      <w:r>
        <w:t>je legislativně umožnit vznik nové pobytové / lůžkové služby, která by kombinovala pobytovou sociální službu a lůžkovou zdravotní hospitalizaci. Taková služba v současnosti chybí, přičemž ani dlouhodobá lůžková péče (v české legislativě pojatá jako čistě zdravotní služba), ani pobytová sociální služba s ošetřovatelskou péčí není schopna plně uspokojit sociální i zdravotní potřeby skupiny klientů s nejrozsáhlejšími potřebami. Vedlejším cílem je odstranit některé nesystémové výjimky na sociálně zdravotním pomezí, které z pohledu obou systémů ztěžují veřejnou kontrolu nad kvalitou a efektivitou sociálních služeb poskytovaných na základě výjimek poskytovateli zdravotních služeb a zdravotních služeb poskytovaných na základě výjimek poskytovateli sociálních služeb.</w:t>
      </w:r>
    </w:p>
    <w:p w14:paraId="413234AD" w14:textId="77777777" w:rsidR="007E139D" w:rsidRDefault="007E139D" w:rsidP="003A186C">
      <w:pPr>
        <w:jc w:val="both"/>
        <w:rPr>
          <w:b/>
          <w:bCs/>
        </w:rPr>
      </w:pPr>
      <w:r>
        <w:rPr>
          <w:b/>
          <w:bCs/>
        </w:rPr>
        <w:t>3. Dlouhodobější vize MZ – přiblížení systémů, sjednocení úhradových mechanismů, přesun na zdravotní pojišťovny, provázání IT systémů</w:t>
      </w:r>
    </w:p>
    <w:p w14:paraId="3E1BAAFD" w14:textId="4F5D9D18" w:rsidR="007E139D" w:rsidRDefault="007E139D" w:rsidP="003A186C">
      <w:pPr>
        <w:jc w:val="both"/>
      </w:pPr>
      <w:r>
        <w:t>Z dlouhodobějšího pohledu je z pohledu MZ potřebné zejména posílit datovou základnu v oblasti sociálních služeb, aby bylo možné konkrétně vyhodnocovat poskytované činnosti ve vztahu k jednotlivým klientům, nákladovosti a přínosům těchto činností a na základě této datové základny následně vytvářet efektivnější systém úhrad</w:t>
      </w:r>
      <w:r w:rsidR="00B57098">
        <w:t xml:space="preserve"> sociální péče</w:t>
      </w:r>
      <w:r>
        <w:t xml:space="preserve">, ideálně na základě vykazování konkrétních úkonů nebo definovaných balíčků těchto úkonů na konkrétního klienta. Na základě takto provedené systematizace financování sociálních služeb bude následně možné přesněji definovat oblasti péče, </w:t>
      </w:r>
      <w:r>
        <w:lastRenderedPageBreak/>
        <w:t>které mají být řešeny v režimu sociálních služeb, a oblasti, které mají být řešeny v režimu zdravotních služeb, a na míru potřebám nastavit a plánovat jejich mechanismy financování.</w:t>
      </w:r>
    </w:p>
    <w:p w14:paraId="467B7318" w14:textId="1714DB60" w:rsidR="007E139D" w:rsidRDefault="007E139D" w:rsidP="003A186C">
      <w:pPr>
        <w:jc w:val="both"/>
      </w:pPr>
      <w:r>
        <w:t xml:space="preserve">V ještě delším výhledu </w:t>
      </w:r>
      <w:r w:rsidR="00B57098">
        <w:t>je diskutováno o</w:t>
      </w:r>
      <w:r>
        <w:t xml:space="preserve"> následné</w:t>
      </w:r>
      <w:r w:rsidR="00B57098">
        <w:t>m</w:t>
      </w:r>
      <w:r>
        <w:t xml:space="preserve"> převedení systému sociálních služeb do gesce zdravotních pojišťoven</w:t>
      </w:r>
      <w:r w:rsidR="00B57098">
        <w:t xml:space="preserve"> (které by pak byly zdravotně-sociálními pojišťovnami) a plné sjednocení sociálně-zdravotního pomezí, jako tomu je v řadě vyspělých západních států</w:t>
      </w:r>
      <w:r>
        <w:t>. Očekáváme, že sjednocením gesce zdravotních pojišťoven v oblasti sociálních i zdravotních služeb by se zejména zvýšila efektivita poskytování obou typů služeb – zdravotní pojišťovna by byla motivována oba typy služeb pro své klienty zajišťovat plně v potřebné optimální míře, bude-li vědět, že kvalitně poskytnutou sociální službou dokáže předejít vícenákladům na straně zdravotních služeb, a obdobně i naopak (ušetřit náklady na sociální službu zajištěním odpovídající zdravotní služby).</w:t>
      </w:r>
      <w:r w:rsidR="00B57098">
        <w:t xml:space="preserve"> Dalším efektem by bylo větší zaměření služeb na potřeby klienta, které jsou nyní roztříštěné a nejsou poskytovány ve vzájemné synergii.</w:t>
      </w:r>
      <w:r>
        <w:t xml:space="preserve"> Předpokladem nicméně je, že zdravotním pojišťovnám budou zajištěny prostředky na pokrytí sociálních služeb v takové míře, aby pouze nedošlo k vyprázdnění systému veřejného zdravotního pojištění.</w:t>
      </w:r>
    </w:p>
    <w:p w14:paraId="08FB28A1" w14:textId="7CCCB53B" w:rsidR="007E139D" w:rsidRDefault="007E139D" w:rsidP="003A186C">
      <w:pPr>
        <w:jc w:val="both"/>
        <w:rPr>
          <w:b/>
          <w:bCs/>
        </w:rPr>
      </w:pPr>
      <w:r>
        <w:rPr>
          <w:b/>
          <w:bCs/>
        </w:rPr>
        <w:t xml:space="preserve">4. Aktuální plánovaná opatření – </w:t>
      </w:r>
      <w:r w:rsidR="00B57098">
        <w:rPr>
          <w:b/>
          <w:bCs/>
        </w:rPr>
        <w:t xml:space="preserve">posílení financování služeb na sociálně-zdravotním pomezí a zdravotních služeb poskytovaných </w:t>
      </w:r>
      <w:r w:rsidR="0011371D">
        <w:rPr>
          <w:b/>
          <w:bCs/>
        </w:rPr>
        <w:t>v</w:t>
      </w:r>
      <w:r w:rsidR="00B57098">
        <w:rPr>
          <w:b/>
          <w:bCs/>
        </w:rPr>
        <w:t> souběhu se sociální službou</w:t>
      </w:r>
    </w:p>
    <w:p w14:paraId="1B78531B" w14:textId="62E1404D" w:rsidR="007A0BDE" w:rsidRPr="0011371D" w:rsidRDefault="0011371D" w:rsidP="003A186C">
      <w:pPr>
        <w:jc w:val="both"/>
        <w:rPr>
          <w:rFonts w:cstheme="minorHAnsi"/>
        </w:rPr>
      </w:pPr>
      <w:r>
        <w:rPr>
          <w:rFonts w:eastAsiaTheme="majorEastAsia" w:cstheme="minorHAnsi"/>
        </w:rPr>
        <w:t>U zdravotních služeb, které mají přesah do sociálně-zdravotního pomezí nebo jsou poskytovány souběžně se sociálními službami</w:t>
      </w:r>
      <w:r w:rsidR="00D01482">
        <w:rPr>
          <w:rFonts w:eastAsiaTheme="majorEastAsia" w:cstheme="minorHAnsi"/>
        </w:rPr>
        <w:t>, se již pro rok 2024 plánuje zásadní navýšení úhrad ze zdravotního pojištění</w:t>
      </w:r>
      <w:r w:rsidR="00BD016A">
        <w:rPr>
          <w:rFonts w:eastAsiaTheme="majorEastAsia" w:cstheme="minorHAnsi"/>
        </w:rPr>
        <w:t xml:space="preserve"> v souladu s dlouhodobější vizí MZ popsanou výše. Díky navýšení úhrady dojde ke zlepšení synergie zdravotních a sociálních služeb a celkovému posílení financování těchto služeb. Zároveň p</w:t>
      </w:r>
      <w:r w:rsidR="00BD016A" w:rsidRPr="00BD016A">
        <w:rPr>
          <w:rFonts w:eastAsiaTheme="majorEastAsia" w:cstheme="minorHAnsi"/>
        </w:rPr>
        <w:t xml:space="preserve">osílením péče </w:t>
      </w:r>
      <w:r w:rsidR="00BD016A">
        <w:rPr>
          <w:rFonts w:eastAsiaTheme="majorEastAsia" w:cstheme="minorHAnsi"/>
        </w:rPr>
        <w:t xml:space="preserve">ve vlastním sociálním prostředí </w:t>
      </w:r>
      <w:r w:rsidR="00BD016A" w:rsidRPr="00BD016A">
        <w:rPr>
          <w:rFonts w:eastAsiaTheme="majorEastAsia" w:cstheme="minorHAnsi"/>
        </w:rPr>
        <w:t>dochází ke snížení poptávky po zejména lůžkové péči, čímž je podpořeno jak udržení sociálních vazeb pojištěnců, tak efektivní vynakládání prostředků veřejného zdravotního pojištění.</w:t>
      </w:r>
      <w:r w:rsidR="00BD016A">
        <w:rPr>
          <w:rFonts w:eastAsiaTheme="majorEastAsia" w:cstheme="minorHAnsi"/>
        </w:rPr>
        <w:t xml:space="preserve">  </w:t>
      </w:r>
    </w:p>
    <w:sectPr w:rsidR="007A0BDE" w:rsidRPr="0011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365"/>
    <w:multiLevelType w:val="hybridMultilevel"/>
    <w:tmpl w:val="F1364BCE"/>
    <w:lvl w:ilvl="0" w:tplc="7C86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B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E4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6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A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0E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E5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21138"/>
    <w:multiLevelType w:val="hybridMultilevel"/>
    <w:tmpl w:val="7818A4AE"/>
    <w:lvl w:ilvl="0" w:tplc="495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A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4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8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8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E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E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F3340"/>
    <w:multiLevelType w:val="hybridMultilevel"/>
    <w:tmpl w:val="BA4C8A52"/>
    <w:lvl w:ilvl="0" w:tplc="F08E2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2C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C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6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C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9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7C33E4"/>
    <w:multiLevelType w:val="hybridMultilevel"/>
    <w:tmpl w:val="BC4416C2"/>
    <w:lvl w:ilvl="0" w:tplc="518CF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4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E0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6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2B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8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2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BA06C0"/>
    <w:multiLevelType w:val="hybridMultilevel"/>
    <w:tmpl w:val="9FEA6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8FB"/>
    <w:multiLevelType w:val="hybridMultilevel"/>
    <w:tmpl w:val="2D4C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043"/>
    <w:multiLevelType w:val="hybridMultilevel"/>
    <w:tmpl w:val="2864D064"/>
    <w:lvl w:ilvl="0" w:tplc="1C2A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E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2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E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E8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C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81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D10D0"/>
    <w:multiLevelType w:val="hybridMultilevel"/>
    <w:tmpl w:val="A5D46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095C"/>
    <w:multiLevelType w:val="hybridMultilevel"/>
    <w:tmpl w:val="998AC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222A"/>
    <w:multiLevelType w:val="hybridMultilevel"/>
    <w:tmpl w:val="A2BA27A4"/>
    <w:lvl w:ilvl="0" w:tplc="30C42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259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90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2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6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F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6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ED5BDE"/>
    <w:multiLevelType w:val="hybridMultilevel"/>
    <w:tmpl w:val="72E09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03FF9"/>
    <w:multiLevelType w:val="hybridMultilevel"/>
    <w:tmpl w:val="DFCE6FD6"/>
    <w:lvl w:ilvl="0" w:tplc="C8FC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BF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8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68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6591863">
    <w:abstractNumId w:val="3"/>
  </w:num>
  <w:num w:numId="2" w16cid:durableId="580258256">
    <w:abstractNumId w:val="11"/>
  </w:num>
  <w:num w:numId="3" w16cid:durableId="917978329">
    <w:abstractNumId w:val="10"/>
  </w:num>
  <w:num w:numId="4" w16cid:durableId="1977299731">
    <w:abstractNumId w:val="7"/>
  </w:num>
  <w:num w:numId="5" w16cid:durableId="1238590327">
    <w:abstractNumId w:val="6"/>
  </w:num>
  <w:num w:numId="6" w16cid:durableId="1838307556">
    <w:abstractNumId w:val="9"/>
  </w:num>
  <w:num w:numId="7" w16cid:durableId="1312175750">
    <w:abstractNumId w:val="2"/>
  </w:num>
  <w:num w:numId="8" w16cid:durableId="557932595">
    <w:abstractNumId w:val="0"/>
  </w:num>
  <w:num w:numId="9" w16cid:durableId="1565948363">
    <w:abstractNumId w:val="4"/>
  </w:num>
  <w:num w:numId="10" w16cid:durableId="1478185515">
    <w:abstractNumId w:val="1"/>
  </w:num>
  <w:num w:numId="11" w16cid:durableId="1442187932">
    <w:abstractNumId w:val="5"/>
  </w:num>
  <w:num w:numId="12" w16cid:durableId="1088305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C0"/>
    <w:rsid w:val="000B4B57"/>
    <w:rsid w:val="0011371D"/>
    <w:rsid w:val="0014354C"/>
    <w:rsid w:val="0017117E"/>
    <w:rsid w:val="001E0E42"/>
    <w:rsid w:val="002273C2"/>
    <w:rsid w:val="0026243C"/>
    <w:rsid w:val="00354F56"/>
    <w:rsid w:val="003A186C"/>
    <w:rsid w:val="0043538E"/>
    <w:rsid w:val="00454215"/>
    <w:rsid w:val="004B7476"/>
    <w:rsid w:val="005221F5"/>
    <w:rsid w:val="005C7E1D"/>
    <w:rsid w:val="005E4B8D"/>
    <w:rsid w:val="006110C0"/>
    <w:rsid w:val="0062768F"/>
    <w:rsid w:val="006A1475"/>
    <w:rsid w:val="0070195A"/>
    <w:rsid w:val="00731C61"/>
    <w:rsid w:val="007A0BDE"/>
    <w:rsid w:val="007B1FA1"/>
    <w:rsid w:val="007E139D"/>
    <w:rsid w:val="007F5EE9"/>
    <w:rsid w:val="00844843"/>
    <w:rsid w:val="00906C72"/>
    <w:rsid w:val="009147A7"/>
    <w:rsid w:val="0091664A"/>
    <w:rsid w:val="00AE090B"/>
    <w:rsid w:val="00B03B25"/>
    <w:rsid w:val="00B47BF0"/>
    <w:rsid w:val="00B50F14"/>
    <w:rsid w:val="00B54348"/>
    <w:rsid w:val="00B57098"/>
    <w:rsid w:val="00BD016A"/>
    <w:rsid w:val="00C14809"/>
    <w:rsid w:val="00C32ADB"/>
    <w:rsid w:val="00C92260"/>
    <w:rsid w:val="00CF07B3"/>
    <w:rsid w:val="00D01482"/>
    <w:rsid w:val="00D04CD5"/>
    <w:rsid w:val="00DC2DB4"/>
    <w:rsid w:val="00DF0FC3"/>
    <w:rsid w:val="00E01CBA"/>
    <w:rsid w:val="00E45F5B"/>
    <w:rsid w:val="00E70242"/>
    <w:rsid w:val="00F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132E"/>
  <w15:chartTrackingRefBased/>
  <w15:docId w15:val="{7B14C1EF-4D99-4D3A-99B8-F3B3512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1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1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110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11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4354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54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2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2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0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7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60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6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24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5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52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5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8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39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Hodač Jan, Ing.</dc:creator>
  <cp:keywords/>
  <dc:description/>
  <cp:lastModifiedBy>Irma</cp:lastModifiedBy>
  <cp:revision>2</cp:revision>
  <dcterms:created xsi:type="dcterms:W3CDTF">2023-07-03T06:50:00Z</dcterms:created>
  <dcterms:modified xsi:type="dcterms:W3CDTF">2023-07-03T06:50:00Z</dcterms:modified>
</cp:coreProperties>
</file>