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BD34" w14:textId="30FC37B9" w:rsidR="005A338C" w:rsidRDefault="005A338C" w:rsidP="005A338C">
      <w:pPr>
        <w:pStyle w:val="Nadpis1"/>
        <w:spacing w:before="0" w:after="0"/>
        <w:jc w:val="both"/>
      </w:pPr>
      <w:r>
        <w:t>Podpora aplikovaného výzkumu</w:t>
      </w:r>
      <w:r w:rsidR="007A777F">
        <w:t>, MVVI</w:t>
      </w:r>
    </w:p>
    <w:p w14:paraId="518C62B5" w14:textId="77777777" w:rsidR="005A338C" w:rsidRDefault="005A338C" w:rsidP="005A338C">
      <w:pPr>
        <w:pStyle w:val="Nadpis2"/>
        <w:spacing w:before="0"/>
        <w:jc w:val="both"/>
        <w:rPr>
          <w:rFonts w:eastAsia="Times New Roman"/>
          <w:lang w:eastAsia="cs-CZ"/>
        </w:rPr>
      </w:pPr>
      <w:r w:rsidRPr="00B82EBC">
        <w:rPr>
          <w:rFonts w:eastAsia="Times New Roman"/>
          <w:lang w:eastAsia="cs-CZ"/>
        </w:rPr>
        <w:t>Nový zákon o výzkumu, vývoji, inovacích a transferu znalostí</w:t>
      </w:r>
    </w:p>
    <w:p w14:paraId="11B3AC79" w14:textId="77777777" w:rsidR="005A338C" w:rsidRPr="002C7DA9" w:rsidRDefault="005A338C" w:rsidP="005A338C">
      <w:pPr>
        <w:pStyle w:val="Odstavecseseznamem"/>
        <w:numPr>
          <w:ilvl w:val="0"/>
          <w:numId w:val="4"/>
        </w:numPr>
        <w:jc w:val="both"/>
        <w:rPr>
          <w:b/>
          <w:bCs/>
          <w:lang w:eastAsia="cs-CZ"/>
        </w:rPr>
      </w:pPr>
      <w:r w:rsidRPr="002C7DA9">
        <w:rPr>
          <w:b/>
          <w:bCs/>
          <w:lang w:eastAsia="cs-CZ"/>
        </w:rPr>
        <w:t>Cíle:</w:t>
      </w:r>
    </w:p>
    <w:p w14:paraId="34EC54F5" w14:textId="77777777" w:rsidR="005A338C" w:rsidRPr="002C7DA9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 xml:space="preserve">Při rekodifikaci zákona stanovit transfer znalostí jako jednoznačnou roli výzkumné organizace, a to včetně zakládání spin-off společností, za povinnou součást koncepce poskytovatele podpory i dlouhodobé koncepce rozvoje výzkumné organizace. </w:t>
      </w:r>
    </w:p>
    <w:p w14:paraId="6983FAEA" w14:textId="77777777" w:rsidR="005A338C" w:rsidRPr="002C7DA9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 xml:space="preserve">Definovat infrastruktury pro testování a experimenty (testbed). </w:t>
      </w:r>
    </w:p>
    <w:p w14:paraId="073DE0E4" w14:textId="77777777" w:rsidR="005A338C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>Umožnit vyšší flexibilitu programů účelové podpory s ohledem na potřeby transferu znalostí.</w:t>
      </w:r>
    </w:p>
    <w:p w14:paraId="6BE9444C" w14:textId="77777777" w:rsidR="005A338C" w:rsidRPr="002C7DA9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Dále, lidský potenciál a lepší pracovní podmínky pro vědce, Posílení bezpečnosti (institucionální odolnosti výzkumných institucí), Publicita VaVaI a transferu znalostí</w:t>
      </w:r>
    </w:p>
    <w:p w14:paraId="6EEDFDA9" w14:textId="77777777" w:rsidR="005A338C" w:rsidRPr="002C7DA9" w:rsidRDefault="005A338C" w:rsidP="005A3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C7DA9">
        <w:rPr>
          <w:b/>
          <w:bCs/>
        </w:rPr>
        <w:t>Stav:</w:t>
      </w:r>
    </w:p>
    <w:p w14:paraId="3B292585" w14:textId="77777777" w:rsidR="005A338C" w:rsidRPr="002C7DA9" w:rsidRDefault="005A338C" w:rsidP="005A338C">
      <w:pPr>
        <w:pStyle w:val="Odstavecseseznamem"/>
        <w:numPr>
          <w:ilvl w:val="1"/>
          <w:numId w:val="4"/>
        </w:numPr>
        <w:spacing w:after="0"/>
        <w:ind w:left="924" w:hanging="357"/>
        <w:jc w:val="both"/>
        <w:rPr>
          <w:lang w:eastAsia="cs-CZ"/>
        </w:rPr>
      </w:pPr>
      <w:r>
        <w:rPr>
          <w:lang w:eastAsia="cs-CZ"/>
        </w:rPr>
        <w:t>Zákon byl schválen vládou a posunut do PS.</w:t>
      </w:r>
    </w:p>
    <w:p w14:paraId="3491332A" w14:textId="77777777" w:rsidR="005A338C" w:rsidRDefault="005A338C" w:rsidP="005A338C">
      <w:pPr>
        <w:pStyle w:val="Nadpis2"/>
        <w:spacing w:before="60"/>
        <w:jc w:val="both"/>
        <w:rPr>
          <w:rFonts w:eastAsia="Times New Roman"/>
          <w:lang w:eastAsia="cs-CZ"/>
        </w:rPr>
      </w:pPr>
      <w:r w:rsidRPr="00B82EBC">
        <w:rPr>
          <w:rFonts w:eastAsia="Times New Roman"/>
          <w:lang w:eastAsia="cs-CZ"/>
        </w:rPr>
        <w:t>Daňové odpočty na výzkum a vývoj</w:t>
      </w:r>
    </w:p>
    <w:p w14:paraId="41648F8D" w14:textId="77777777" w:rsidR="005A338C" w:rsidRPr="002C7DA9" w:rsidRDefault="005A338C" w:rsidP="005A338C">
      <w:pPr>
        <w:pStyle w:val="Odstavecseseznamem"/>
        <w:numPr>
          <w:ilvl w:val="0"/>
          <w:numId w:val="4"/>
        </w:numPr>
        <w:jc w:val="both"/>
        <w:rPr>
          <w:b/>
          <w:bCs/>
          <w:lang w:eastAsia="cs-CZ"/>
        </w:rPr>
      </w:pPr>
      <w:r w:rsidRPr="002C7DA9">
        <w:rPr>
          <w:b/>
          <w:bCs/>
          <w:lang w:eastAsia="cs-CZ"/>
        </w:rPr>
        <w:t>Cíle:</w:t>
      </w:r>
    </w:p>
    <w:p w14:paraId="49E3DE07" w14:textId="77777777" w:rsidR="005A338C" w:rsidRPr="002C7DA9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>Revidovat nastavení daňových odpočtů na výzkum a vývoj tak, aby byly efektivní, předvídatelné a fungovaly jako motivační prvek pro vlastní investice do VaV zejména u MSP.</w:t>
      </w:r>
    </w:p>
    <w:p w14:paraId="45C98929" w14:textId="77777777" w:rsidR="005A338C" w:rsidRPr="002C7DA9" w:rsidRDefault="005A338C" w:rsidP="005A338C">
      <w:pPr>
        <w:pStyle w:val="Odstavecseseznamem"/>
        <w:numPr>
          <w:ilvl w:val="0"/>
          <w:numId w:val="4"/>
        </w:numPr>
        <w:jc w:val="both"/>
        <w:rPr>
          <w:b/>
          <w:bCs/>
          <w:lang w:eastAsia="cs-CZ"/>
        </w:rPr>
      </w:pPr>
      <w:r w:rsidRPr="002C7DA9">
        <w:rPr>
          <w:b/>
          <w:bCs/>
          <w:lang w:eastAsia="cs-CZ"/>
        </w:rPr>
        <w:t>Stav:</w:t>
      </w:r>
    </w:p>
    <w:p w14:paraId="5F9FC2D5" w14:textId="77777777" w:rsidR="005A338C" w:rsidRPr="002C7DA9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 xml:space="preserve">Byl spuštěn pilotní projekt pro zajištění předvídatelnosti daňových odpočtů na VaV. </w:t>
      </w:r>
    </w:p>
    <w:p w14:paraId="0F025686" w14:textId="77777777" w:rsidR="005A338C" w:rsidRPr="002C7DA9" w:rsidRDefault="005A338C" w:rsidP="005A338C">
      <w:pPr>
        <w:pStyle w:val="Odstavecseseznamem"/>
        <w:numPr>
          <w:ilvl w:val="2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 xml:space="preserve">V rámci něj bude testováno posuzování výzkumné a vývojové činnosti prostřednictvím technické karty. </w:t>
      </w:r>
    </w:p>
    <w:p w14:paraId="67BE10CB" w14:textId="77777777" w:rsidR="005A338C" w:rsidRDefault="005A338C" w:rsidP="005A338C">
      <w:pPr>
        <w:pStyle w:val="Odstavecseseznamem"/>
        <w:numPr>
          <w:ilvl w:val="2"/>
          <w:numId w:val="4"/>
        </w:numPr>
        <w:jc w:val="both"/>
        <w:rPr>
          <w:lang w:eastAsia="cs-CZ"/>
        </w:rPr>
      </w:pPr>
      <w:r w:rsidRPr="002C7DA9">
        <w:rPr>
          <w:lang w:eastAsia="cs-CZ"/>
        </w:rPr>
        <w:t xml:space="preserve">Na její přípravě i následném vyhodnocování spolupracuje Finanční správa ČR s experty z Technologické agentury ČR (TAČR). </w:t>
      </w:r>
    </w:p>
    <w:p w14:paraId="7A455E32" w14:textId="16174B52" w:rsidR="007962C7" w:rsidRDefault="007962C7" w:rsidP="005A338C">
      <w:pPr>
        <w:pStyle w:val="Odstavecseseznamem"/>
        <w:numPr>
          <w:ilvl w:val="2"/>
          <w:numId w:val="4"/>
        </w:numPr>
        <w:jc w:val="both"/>
        <w:rPr>
          <w:lang w:eastAsia="cs-CZ"/>
        </w:rPr>
      </w:pPr>
      <w:r>
        <w:rPr>
          <w:lang w:eastAsia="cs-CZ"/>
        </w:rPr>
        <w:t>Pilotní projekt bohužel nemá dostatečný počet zájemců.</w:t>
      </w:r>
    </w:p>
    <w:p w14:paraId="01972BD8" w14:textId="222D0E87" w:rsidR="005A338C" w:rsidRDefault="005A338C" w:rsidP="005A338C">
      <w:pPr>
        <w:pStyle w:val="Odstavecseseznamem"/>
        <w:numPr>
          <w:ilvl w:val="1"/>
          <w:numId w:val="4"/>
        </w:numPr>
        <w:spacing w:after="0"/>
        <w:ind w:left="924" w:hanging="357"/>
        <w:jc w:val="both"/>
        <w:rPr>
          <w:lang w:eastAsia="cs-CZ"/>
        </w:rPr>
      </w:pPr>
      <w:r w:rsidRPr="002C7DA9">
        <w:rPr>
          <w:lang w:eastAsia="cs-CZ"/>
        </w:rPr>
        <w:t>Dále k této problematice probíhá jednání s MF k přenastavení některých dalších parametrů</w:t>
      </w:r>
      <w:r>
        <w:rPr>
          <w:lang w:eastAsia="cs-CZ"/>
        </w:rPr>
        <w:t xml:space="preserve"> – </w:t>
      </w:r>
      <w:r w:rsidRPr="0002054E">
        <w:rPr>
          <w:b/>
          <w:bCs/>
          <w:lang w:eastAsia="cs-CZ"/>
        </w:rPr>
        <w:t>tzn.</w:t>
      </w:r>
      <w:r>
        <w:rPr>
          <w:lang w:eastAsia="cs-CZ"/>
        </w:rPr>
        <w:t xml:space="preserve"> </w:t>
      </w:r>
      <w:r w:rsidRPr="002C7DA9">
        <w:rPr>
          <w:b/>
          <w:bCs/>
          <w:lang w:eastAsia="cs-CZ"/>
        </w:rPr>
        <w:t>150 %</w:t>
      </w:r>
      <w:r>
        <w:rPr>
          <w:b/>
          <w:bCs/>
          <w:lang w:eastAsia="cs-CZ"/>
        </w:rPr>
        <w:t>,</w:t>
      </w:r>
      <w:r w:rsidRPr="002C7DA9">
        <w:rPr>
          <w:b/>
          <w:bCs/>
          <w:lang w:eastAsia="cs-CZ"/>
        </w:rPr>
        <w:t xml:space="preserve"> limit 180 mil. Kč</w:t>
      </w:r>
      <w:r>
        <w:rPr>
          <w:b/>
          <w:bCs/>
          <w:lang w:eastAsia="cs-CZ"/>
        </w:rPr>
        <w:t xml:space="preserve"> a prodloužení ze 3 na 5 let</w:t>
      </w:r>
      <w:r w:rsidRPr="002C7DA9">
        <w:rPr>
          <w:lang w:eastAsia="cs-CZ"/>
        </w:rPr>
        <w:t>.</w:t>
      </w:r>
    </w:p>
    <w:p w14:paraId="3E951CCE" w14:textId="77777777" w:rsidR="005A338C" w:rsidRDefault="005A338C" w:rsidP="005A338C">
      <w:pPr>
        <w:pStyle w:val="Nadpis2"/>
        <w:spacing w:before="0"/>
        <w:jc w:val="both"/>
      </w:pPr>
      <w:r>
        <w:t>Větší zohlednění aplikovaného výzkumu a transferu v Metodice M17+</w:t>
      </w:r>
    </w:p>
    <w:p w14:paraId="797EE379" w14:textId="77777777" w:rsidR="005A338C" w:rsidRPr="008C7247" w:rsidRDefault="005A338C" w:rsidP="005A3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8C7247">
        <w:rPr>
          <w:b/>
          <w:bCs/>
        </w:rPr>
        <w:t>Cíle:</w:t>
      </w:r>
    </w:p>
    <w:p w14:paraId="13E99497" w14:textId="77777777" w:rsidR="005A338C" w:rsidRPr="008C7247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8C7247">
        <w:rPr>
          <w:lang w:eastAsia="cs-CZ"/>
        </w:rPr>
        <w:t>V rámci revize Metodiky M17+ akcentovat výrazněji aplikovaný výzkum a transfer v jeho různých podobách, zejm. v modulech 1 a 3 při zohlednění oborových specifik.</w:t>
      </w:r>
    </w:p>
    <w:p w14:paraId="02F6339C" w14:textId="77777777" w:rsidR="005A338C" w:rsidRPr="008C7247" w:rsidRDefault="005A338C" w:rsidP="005A3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8C7247">
        <w:rPr>
          <w:b/>
          <w:bCs/>
        </w:rPr>
        <w:t>Stav:</w:t>
      </w:r>
    </w:p>
    <w:p w14:paraId="3A26977A" w14:textId="77777777" w:rsidR="005A338C" w:rsidRPr="008C7247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 w:rsidRPr="008C7247">
        <w:rPr>
          <w:lang w:eastAsia="cs-CZ"/>
        </w:rPr>
        <w:t>Aktualizovaná metodika projednána RVVI na zasedání 22.11.2024.</w:t>
      </w:r>
    </w:p>
    <w:p w14:paraId="758DF8D0" w14:textId="77777777" w:rsidR="005A338C" w:rsidRPr="00E62A8B" w:rsidRDefault="005A338C" w:rsidP="005A338C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V současnosti p</w:t>
      </w:r>
      <w:r w:rsidRPr="008C7247">
        <w:rPr>
          <w:lang w:eastAsia="cs-CZ"/>
        </w:rPr>
        <w:t xml:space="preserve">robíhá </w:t>
      </w:r>
      <w:r>
        <w:rPr>
          <w:lang w:eastAsia="cs-CZ"/>
        </w:rPr>
        <w:t xml:space="preserve">vypořádání připomínek z </w:t>
      </w:r>
      <w:r w:rsidRPr="008C7247">
        <w:rPr>
          <w:lang w:eastAsia="cs-CZ"/>
        </w:rPr>
        <w:t>MPŘ.</w:t>
      </w:r>
    </w:p>
    <w:p w14:paraId="628F3E12" w14:textId="77777777" w:rsidR="005A338C" w:rsidRPr="00932AA7" w:rsidRDefault="005A338C" w:rsidP="005A338C">
      <w:pPr>
        <w:pStyle w:val="Nadpis2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Aplikovaný výzkum a t</w:t>
      </w:r>
      <w:r w:rsidRPr="00932AA7">
        <w:rPr>
          <w:rFonts w:eastAsia="Times New Roman"/>
          <w:lang w:eastAsia="cs-CZ"/>
        </w:rPr>
        <w:t>ransfer jako jedna z priorit rozpočtu na výzkum, vývoj a inovace</w:t>
      </w:r>
    </w:p>
    <w:p w14:paraId="2C4D11C8" w14:textId="77777777" w:rsidR="005A338C" w:rsidRPr="00E62A8B" w:rsidRDefault="005A338C" w:rsidP="005A338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</w:pPr>
      <w:r w:rsidRPr="00E62A8B"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t>Cíle:</w:t>
      </w:r>
    </w:p>
    <w:p w14:paraId="23AFE5F2" w14:textId="77777777" w:rsidR="005A338C" w:rsidRDefault="005A338C" w:rsidP="005A338C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cs-CZ"/>
        </w:rPr>
      </w:pPr>
      <w:r w:rsidRPr="00932AA7">
        <w:rPr>
          <w:rFonts w:ascii="Calibri" w:eastAsia="Times New Roman" w:hAnsi="Calibri" w:cs="Calibri"/>
          <w:color w:val="000000"/>
          <w:szCs w:val="20"/>
          <w:lang w:eastAsia="cs-CZ"/>
        </w:rPr>
        <w:t xml:space="preserve">Rozpočtově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>zajistit</w:t>
      </w:r>
      <w:r w:rsidRPr="00932AA7">
        <w:rPr>
          <w:rFonts w:ascii="Calibri" w:eastAsia="Times New Roman" w:hAnsi="Calibri" w:cs="Calibri"/>
          <w:color w:val="000000"/>
          <w:szCs w:val="20"/>
          <w:lang w:eastAsia="cs-CZ"/>
        </w:rPr>
        <w:t xml:space="preserve"> nástroje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>na podporu komercializace</w:t>
      </w:r>
      <w:r w:rsidRPr="00932AA7">
        <w:rPr>
          <w:rFonts w:ascii="Calibri" w:eastAsia="Times New Roman" w:hAnsi="Calibri" w:cs="Calibri"/>
          <w:color w:val="000000"/>
          <w:szCs w:val="20"/>
          <w:lang w:eastAsia="cs-CZ"/>
        </w:rPr>
        <w:t>, zejména v rámci programu SIGMA Technologické agentury ČR, příp. pod dalšími poskytovateli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 xml:space="preserve"> (GAČR Proof-of-concept)</w:t>
      </w:r>
      <w:r w:rsidRPr="00932AA7">
        <w:rPr>
          <w:rFonts w:ascii="Calibri" w:eastAsia="Times New Roman" w:hAnsi="Calibri" w:cs="Calibri"/>
          <w:color w:val="000000"/>
          <w:szCs w:val="20"/>
          <w:lang w:eastAsia="cs-CZ"/>
        </w:rPr>
        <w:t>, s cílem nastavit jednotný program sdílený mezi více poskytovateli."</w:t>
      </w:r>
    </w:p>
    <w:p w14:paraId="2E1548E9" w14:textId="77777777" w:rsidR="005A338C" w:rsidRPr="00DA6A59" w:rsidRDefault="005A338C" w:rsidP="005A338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DA6A59">
        <w:rPr>
          <w:b/>
        </w:rPr>
        <w:t>Stav:</w:t>
      </w:r>
    </w:p>
    <w:p w14:paraId="019ADDE0" w14:textId="77777777" w:rsidR="005A338C" w:rsidRDefault="005A338C" w:rsidP="005A338C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cs-CZ"/>
        </w:rPr>
      </w:pPr>
      <w:r w:rsidRPr="0010710E">
        <w:rPr>
          <w:rFonts w:ascii="Calibri" w:eastAsia="Times New Roman" w:hAnsi="Calibri" w:cs="Calibri"/>
          <w:color w:val="000000"/>
          <w:szCs w:val="20"/>
          <w:lang w:eastAsia="cs-CZ"/>
        </w:rPr>
        <w:t xml:space="preserve">Na podzim 2024 byla vyhlášena výzva v rámci DC1 projektu </w:t>
      </w:r>
      <w:r w:rsidRPr="00346E8A"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t>SIGMA</w:t>
      </w:r>
      <w:r w:rsidRPr="0010710E">
        <w:rPr>
          <w:rFonts w:ascii="Calibri" w:eastAsia="Times New Roman" w:hAnsi="Calibri" w:cs="Calibri"/>
          <w:color w:val="000000"/>
          <w:szCs w:val="20"/>
          <w:lang w:eastAsia="cs-CZ"/>
        </w:rPr>
        <w:t xml:space="preserve">. </w:t>
      </w:r>
      <w:r w:rsidRPr="00346E8A"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t>Pro rok 2025 byl navýšen rozpočet projektu SIGMA</w:t>
      </w:r>
      <w:r w:rsidRPr="0010710E">
        <w:rPr>
          <w:rFonts w:ascii="Calibri" w:eastAsia="Times New Roman" w:hAnsi="Calibri" w:cs="Calibri"/>
          <w:color w:val="000000"/>
          <w:szCs w:val="20"/>
          <w:lang w:eastAsia="cs-CZ"/>
        </w:rPr>
        <w:t xml:space="preserve">, konkrétní alokace na výzvy spojené s PoC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 xml:space="preserve">u GAČR </w:t>
      </w:r>
      <w:r w:rsidRPr="0010710E">
        <w:rPr>
          <w:rFonts w:ascii="Calibri" w:eastAsia="Times New Roman" w:hAnsi="Calibri" w:cs="Calibri"/>
          <w:color w:val="000000"/>
          <w:szCs w:val="20"/>
          <w:lang w:eastAsia="cs-CZ"/>
        </w:rPr>
        <w:t>zatím nejsou určeny.</w:t>
      </w:r>
    </w:p>
    <w:p w14:paraId="2D3E9BF0" w14:textId="77777777" w:rsidR="005A338C" w:rsidRDefault="005A338C" w:rsidP="005A338C">
      <w:pPr>
        <w:pStyle w:val="Odstavecseseznamem"/>
        <w:numPr>
          <w:ilvl w:val="1"/>
          <w:numId w:val="2"/>
        </w:numPr>
        <w:jc w:val="both"/>
        <w:rPr>
          <w:rFonts w:ascii="Calibri" w:eastAsia="Times New Roman" w:hAnsi="Calibri" w:cs="Calibri"/>
          <w:color w:val="000000"/>
          <w:szCs w:val="20"/>
          <w:lang w:eastAsia="cs-CZ"/>
        </w:rPr>
      </w:pPr>
      <w:r w:rsidRPr="00346E8A"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lastRenderedPageBreak/>
        <w:t>TREND</w:t>
      </w:r>
      <w:r w:rsidRPr="006B2073">
        <w:rPr>
          <w:rFonts w:ascii="Calibri" w:eastAsia="Times New Roman" w:hAnsi="Calibri" w:cs="Calibri"/>
          <w:color w:val="000000"/>
          <w:szCs w:val="20"/>
          <w:lang w:eastAsia="cs-CZ"/>
        </w:rPr>
        <w:t xml:space="preserve"> –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 xml:space="preserve">v rozpočtu na rok 2025 1,13 mld. Kč (dle informací z podzimu 2024 </w:t>
      </w:r>
      <w:r w:rsidRPr="00346E8A">
        <w:rPr>
          <w:rFonts w:ascii="Calibri" w:eastAsia="Times New Roman" w:hAnsi="Calibri" w:cs="Calibri"/>
          <w:color w:val="000000"/>
          <w:szCs w:val="20"/>
          <w:lang w:eastAsia="cs-CZ"/>
        </w:rPr>
        <w:t xml:space="preserve">MPO předpokládá „pokrýt“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 xml:space="preserve">dalších cca </w:t>
      </w:r>
      <w:r w:rsidRPr="00346E8A">
        <w:rPr>
          <w:rFonts w:ascii="Calibri" w:eastAsia="Times New Roman" w:hAnsi="Calibri" w:cs="Calibri"/>
          <w:color w:val="000000"/>
          <w:szCs w:val="20"/>
          <w:lang w:eastAsia="cs-CZ"/>
        </w:rPr>
        <w:t>350 mil. Kč z „vlastních“ zdrojů kapitoly MPO (mimo prostředky rozpočtované na VaVaI)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>)</w:t>
      </w:r>
    </w:p>
    <w:p w14:paraId="0EA643AC" w14:textId="4E7C381A" w:rsidR="002E24B1" w:rsidRDefault="005A338C" w:rsidP="005A338C">
      <w:pPr>
        <w:pStyle w:val="Odstavecseseznamem"/>
        <w:numPr>
          <w:ilvl w:val="2"/>
          <w:numId w:val="2"/>
        </w:numPr>
        <w:jc w:val="both"/>
        <w:rPr>
          <w:rFonts w:ascii="Calibri" w:eastAsia="Times New Roman" w:hAnsi="Calibri" w:cs="Calibri"/>
          <w:color w:val="000000"/>
          <w:szCs w:val="20"/>
          <w:lang w:eastAsia="cs-CZ"/>
        </w:rPr>
      </w:pPr>
      <w:r w:rsidRPr="00346E8A">
        <w:rPr>
          <w:rFonts w:ascii="Calibri" w:eastAsia="Times New Roman" w:hAnsi="Calibri" w:cs="Calibri"/>
          <w:color w:val="000000"/>
          <w:szCs w:val="20"/>
          <w:lang w:eastAsia="cs-CZ"/>
        </w:rPr>
        <w:t>vyhlášeno již bylo 12 VS, dle MPO na další VS nejsou v rozpočtu VaVaI alokovány finanční prostředky</w:t>
      </w:r>
      <w:r w:rsidR="002E24B1">
        <w:rPr>
          <w:rFonts w:ascii="Calibri" w:eastAsia="Times New Roman" w:hAnsi="Calibri" w:cs="Calibri"/>
          <w:color w:val="000000"/>
          <w:szCs w:val="20"/>
          <w:lang w:eastAsia="cs-CZ"/>
        </w:rPr>
        <w:t>. MPO poslal</w:t>
      </w:r>
      <w:r w:rsidR="008E1252">
        <w:rPr>
          <w:rFonts w:ascii="Calibri" w:eastAsia="Times New Roman" w:hAnsi="Calibri" w:cs="Calibri"/>
          <w:color w:val="000000"/>
          <w:szCs w:val="20"/>
          <w:lang w:eastAsia="cs-CZ"/>
        </w:rPr>
        <w:t>o</w:t>
      </w:r>
      <w:r w:rsidR="002E24B1">
        <w:rPr>
          <w:rFonts w:ascii="Calibri" w:eastAsia="Times New Roman" w:hAnsi="Calibri" w:cs="Calibri"/>
          <w:color w:val="000000"/>
          <w:szCs w:val="20"/>
          <w:lang w:eastAsia="cs-CZ"/>
        </w:rPr>
        <w:t xml:space="preserve"> žádost o prodloužení programu TREND. </w:t>
      </w:r>
    </w:p>
    <w:p w14:paraId="1E07ADFD" w14:textId="3A9CF054" w:rsidR="005A338C" w:rsidRDefault="005A338C" w:rsidP="005A338C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cs-CZ"/>
        </w:rPr>
      </w:pPr>
      <w:r w:rsidRPr="00346E8A"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t>TWIST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 xml:space="preserve"> </w:t>
      </w:r>
      <w:r w:rsidR="002E24B1">
        <w:rPr>
          <w:rFonts w:ascii="Calibri" w:eastAsia="Times New Roman" w:hAnsi="Calibri" w:cs="Calibri"/>
          <w:color w:val="000000"/>
          <w:szCs w:val="20"/>
          <w:lang w:eastAsia="cs-CZ"/>
        </w:rPr>
        <w:t>(</w:t>
      </w:r>
      <w:r w:rsidR="002E24B1" w:rsidRPr="002E24B1">
        <w:rPr>
          <w:rFonts w:ascii="Calibri" w:eastAsia="Times New Roman" w:hAnsi="Calibri" w:cs="Calibri"/>
          <w:color w:val="000000"/>
          <w:szCs w:val="20"/>
          <w:lang w:eastAsia="cs-CZ"/>
        </w:rPr>
        <w:t>Transfer, Výzkum, Vývoj a Inovace pro Strategické Technologie</w:t>
      </w:r>
      <w:r w:rsidR="002E24B1">
        <w:rPr>
          <w:rFonts w:ascii="Calibri" w:eastAsia="Times New Roman" w:hAnsi="Calibri" w:cs="Calibri"/>
          <w:color w:val="000000"/>
          <w:szCs w:val="20"/>
          <w:lang w:eastAsia="cs-CZ"/>
        </w:rPr>
        <w:t xml:space="preserve"> – program MPO)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>– v rozpočtu pro rok 2025 229 mil. Kč</w:t>
      </w:r>
    </w:p>
    <w:p w14:paraId="6F37D76F" w14:textId="380B74B1" w:rsidR="002E24B1" w:rsidRDefault="002E24B1" w:rsidP="005A338C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t xml:space="preserve">PRODEF </w:t>
      </w:r>
      <w:r w:rsidRPr="002E24B1">
        <w:rPr>
          <w:rFonts w:ascii="Calibri" w:eastAsia="Times New Roman" w:hAnsi="Calibri" w:cs="Calibri"/>
          <w:color w:val="000000"/>
          <w:szCs w:val="20"/>
          <w:lang w:eastAsia="cs-CZ"/>
        </w:rPr>
        <w:t>(program MO administrován TAČRem)</w:t>
      </w:r>
      <w:r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Cs w:val="20"/>
          <w:lang w:eastAsia="cs-CZ"/>
        </w:rPr>
        <w:t>– v rozpočtu pro rok 2025 100 mil. Kč</w:t>
      </w:r>
    </w:p>
    <w:p w14:paraId="27AA732A" w14:textId="77777777" w:rsidR="005A338C" w:rsidRDefault="005A338C" w:rsidP="005A338C">
      <w:pPr>
        <w:pStyle w:val="Nadpis2"/>
        <w:jc w:val="both"/>
      </w:pPr>
      <w:r>
        <w:t>Posílení pozice transferových kanceláří a inovačních center</w:t>
      </w:r>
    </w:p>
    <w:p w14:paraId="5110EB32" w14:textId="77777777" w:rsidR="005A338C" w:rsidRPr="002C7DA9" w:rsidRDefault="005A338C" w:rsidP="005A3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C7DA9">
        <w:rPr>
          <w:b/>
          <w:bCs/>
        </w:rPr>
        <w:t>Cíle:</w:t>
      </w:r>
    </w:p>
    <w:p w14:paraId="111BCE4F" w14:textId="77777777" w:rsidR="005A338C" w:rsidRPr="002C7DA9" w:rsidRDefault="005A338C" w:rsidP="005A338C">
      <w:pPr>
        <w:pStyle w:val="Odstavecseseznamem"/>
        <w:numPr>
          <w:ilvl w:val="1"/>
          <w:numId w:val="3"/>
        </w:numPr>
        <w:jc w:val="both"/>
      </w:pPr>
      <w:r w:rsidRPr="002C7DA9">
        <w:t>Podpora schopností transferových kanceláří využívat kapacity jiných organizací.</w:t>
      </w:r>
    </w:p>
    <w:p w14:paraId="72C66AD0" w14:textId="77777777" w:rsidR="005A338C" w:rsidRPr="002C7DA9" w:rsidRDefault="005A338C" w:rsidP="005A338C">
      <w:pPr>
        <w:pStyle w:val="Odstavecseseznamem"/>
        <w:numPr>
          <w:ilvl w:val="1"/>
          <w:numId w:val="3"/>
        </w:numPr>
        <w:jc w:val="both"/>
      </w:pPr>
      <w:r w:rsidRPr="002C7DA9">
        <w:t>Posílení transferových aktivit regionálních inovačních center.</w:t>
      </w:r>
    </w:p>
    <w:p w14:paraId="40FC9DA8" w14:textId="77777777" w:rsidR="005A338C" w:rsidRPr="002C7DA9" w:rsidRDefault="005A338C" w:rsidP="005A338C">
      <w:pPr>
        <w:pStyle w:val="Odstavecseseznamem"/>
        <w:numPr>
          <w:ilvl w:val="1"/>
          <w:numId w:val="3"/>
        </w:numPr>
        <w:jc w:val="both"/>
      </w:pPr>
      <w:r w:rsidRPr="002C7DA9">
        <w:t>Definování role potenciální centrální transferové autority.</w:t>
      </w:r>
    </w:p>
    <w:p w14:paraId="363905AE" w14:textId="77777777" w:rsidR="005A338C" w:rsidRPr="002C7DA9" w:rsidRDefault="005A338C" w:rsidP="005A338C">
      <w:pPr>
        <w:pStyle w:val="Odstavecseseznamem"/>
        <w:numPr>
          <w:ilvl w:val="1"/>
          <w:numId w:val="3"/>
        </w:numPr>
        <w:jc w:val="both"/>
      </w:pPr>
      <w:r w:rsidRPr="002C7DA9">
        <w:t>V rámci publicity zpřehlednit inovační ekosystém a role jednotlivých aktérů (např. inkubátory, vědecké a technologické parky, digitální huby, kompetenční centra).</w:t>
      </w:r>
    </w:p>
    <w:p w14:paraId="449BC146" w14:textId="77777777" w:rsidR="005A338C" w:rsidRPr="002C7DA9" w:rsidRDefault="005A338C" w:rsidP="005A338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2C7DA9">
        <w:rPr>
          <w:b/>
          <w:bCs/>
        </w:rPr>
        <w:t>Stav:</w:t>
      </w:r>
    </w:p>
    <w:p w14:paraId="265264D6" w14:textId="77777777" w:rsidR="005A338C" w:rsidRPr="002C7DA9" w:rsidRDefault="005A338C" w:rsidP="005A338C">
      <w:pPr>
        <w:pStyle w:val="Odstavecseseznamem"/>
        <w:numPr>
          <w:ilvl w:val="1"/>
          <w:numId w:val="3"/>
        </w:numPr>
        <w:jc w:val="both"/>
      </w:pPr>
      <w:r w:rsidRPr="002C7DA9">
        <w:t>Společný projekt s Evropskou komisí – „PSF: Podpora ČR v reformě sektoru transferových kanceláří“.</w:t>
      </w:r>
    </w:p>
    <w:p w14:paraId="41F32761" w14:textId="77777777" w:rsidR="005A338C" w:rsidRDefault="005A338C" w:rsidP="005A338C">
      <w:pPr>
        <w:pStyle w:val="Odstavecseseznamem"/>
        <w:numPr>
          <w:ilvl w:val="1"/>
          <w:numId w:val="3"/>
        </w:numPr>
        <w:jc w:val="both"/>
      </w:pPr>
      <w:r w:rsidRPr="002C7DA9">
        <w:t>Směr a konfigurace transferového ekosystému, efektivní sdílení kapacit, KPI pro transferové kanceláře, celková parametrizace systému.</w:t>
      </w:r>
    </w:p>
    <w:p w14:paraId="283A9293" w14:textId="77777777" w:rsidR="005A338C" w:rsidRPr="00E62A8B" w:rsidRDefault="005A338C" w:rsidP="005A338C">
      <w:pPr>
        <w:pStyle w:val="Odstavecseseznamem"/>
        <w:numPr>
          <w:ilvl w:val="1"/>
          <w:numId w:val="3"/>
        </w:numPr>
        <w:jc w:val="both"/>
      </w:pPr>
      <w:r>
        <w:t>Projekt se blíží do cíle, panel expertů finalizuje doporučení, představení výstupů proběhne na diseminačním eventu 18. 3. 2025 v Praze.</w:t>
      </w:r>
    </w:p>
    <w:p w14:paraId="6A15DF2D" w14:textId="77777777" w:rsidR="005A338C" w:rsidRPr="000A4910" w:rsidRDefault="005A338C" w:rsidP="005A338C">
      <w:pPr>
        <w:pStyle w:val="Nadpis2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Návrh indikátorové soustavy pro monitoring transferového ekosystému a sjednocení pojmů používaných ve VaVaI</w:t>
      </w:r>
    </w:p>
    <w:p w14:paraId="641FB004" w14:textId="77777777" w:rsidR="005A338C" w:rsidRPr="00DA6A59" w:rsidRDefault="005A338C" w:rsidP="005A338C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A6A59">
        <w:rPr>
          <w:b/>
        </w:rPr>
        <w:t>Stav:</w:t>
      </w:r>
    </w:p>
    <w:p w14:paraId="2EB06E28" w14:textId="77777777" w:rsidR="005A338C" w:rsidRDefault="005A338C" w:rsidP="005A338C">
      <w:pPr>
        <w:pStyle w:val="Odstavecseseznamem"/>
        <w:numPr>
          <w:ilvl w:val="1"/>
          <w:numId w:val="3"/>
        </w:numPr>
        <w:jc w:val="both"/>
      </w:pPr>
      <w:r>
        <w:t>Pracovní skupinou pod RVVI pro transfer byla navržena indikátorová soustava pro monitoring transferového ekosystému a sjednocení systému vykazování/sběru dat pro získání uceleného pohledu na komercializaci v ČR. Také proběhla dohoda na sjednocení definic používaných pojmů v oblasti VaVaI. Bude předloženo RVVI a projednáno s poskytovateli.</w:t>
      </w:r>
    </w:p>
    <w:p w14:paraId="4EF243A6" w14:textId="77777777" w:rsidR="007A1FE1" w:rsidRDefault="007A1FE1"/>
    <w:sectPr w:rsidR="007A1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D71E7"/>
    <w:multiLevelType w:val="hybridMultilevel"/>
    <w:tmpl w:val="0EA6585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DB31FB6"/>
    <w:multiLevelType w:val="hybridMultilevel"/>
    <w:tmpl w:val="9A4AAB7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73037EEA"/>
    <w:multiLevelType w:val="hybridMultilevel"/>
    <w:tmpl w:val="590E072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B147149"/>
    <w:multiLevelType w:val="hybridMultilevel"/>
    <w:tmpl w:val="9E500E0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3122">
    <w:abstractNumId w:val="2"/>
  </w:num>
  <w:num w:numId="2" w16cid:durableId="493690180">
    <w:abstractNumId w:val="0"/>
  </w:num>
  <w:num w:numId="3" w16cid:durableId="1219239771">
    <w:abstractNumId w:val="3"/>
  </w:num>
  <w:num w:numId="4" w16cid:durableId="26538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C"/>
    <w:rsid w:val="00033D7A"/>
    <w:rsid w:val="002E24B1"/>
    <w:rsid w:val="00592A63"/>
    <w:rsid w:val="005A338C"/>
    <w:rsid w:val="005C12F9"/>
    <w:rsid w:val="00606554"/>
    <w:rsid w:val="007962C7"/>
    <w:rsid w:val="007A1FE1"/>
    <w:rsid w:val="007A777F"/>
    <w:rsid w:val="008E1252"/>
    <w:rsid w:val="00AF6401"/>
    <w:rsid w:val="00B222EC"/>
    <w:rsid w:val="00EA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6554"/>
  <w15:chartTrackingRefBased/>
  <w15:docId w15:val="{FC110A22-04EF-435F-BF62-2FA596F5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3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338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3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3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3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3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3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3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3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A3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3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33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33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33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33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33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33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3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3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3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3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33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33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33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3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33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3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Pečinka</dc:creator>
  <cp:keywords/>
  <dc:description/>
  <cp:lastModifiedBy>Lojdová Zdislava</cp:lastModifiedBy>
  <cp:revision>5</cp:revision>
  <dcterms:created xsi:type="dcterms:W3CDTF">2025-01-29T13:41:00Z</dcterms:created>
  <dcterms:modified xsi:type="dcterms:W3CDTF">2025-02-05T13:06:00Z</dcterms:modified>
</cp:coreProperties>
</file>