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C61DC" w14:textId="77777777" w:rsidR="0063124B" w:rsidRDefault="0063124B" w:rsidP="003B0532">
      <w:pPr>
        <w:spacing w:after="120"/>
        <w:jc w:val="both"/>
        <w:rPr>
          <w:rFonts w:cs="Times New Roman"/>
          <w:b/>
          <w:sz w:val="28"/>
          <w:szCs w:val="28"/>
        </w:rPr>
      </w:pPr>
      <w:bookmarkStart w:id="0" w:name="_GoBack"/>
      <w:bookmarkEnd w:id="0"/>
    </w:p>
    <w:p w14:paraId="565BE9D7" w14:textId="2CE03274" w:rsidR="00C84D85" w:rsidRPr="003B0532" w:rsidRDefault="0063124B" w:rsidP="0063124B">
      <w:pPr>
        <w:spacing w:after="120"/>
        <w:jc w:val="center"/>
        <w:rPr>
          <w:rFonts w:cs="Times New Roman"/>
          <w:sz w:val="28"/>
          <w:szCs w:val="28"/>
          <w:lang w:eastAsia="cs-CZ"/>
        </w:rPr>
      </w:pPr>
      <w:r>
        <w:rPr>
          <w:rFonts w:cs="Times New Roman"/>
          <w:b/>
          <w:sz w:val="28"/>
          <w:szCs w:val="28"/>
        </w:rPr>
        <w:t>„</w:t>
      </w:r>
      <w:r w:rsidR="003B0532" w:rsidRPr="003B0532">
        <w:rPr>
          <w:rFonts w:cs="Times New Roman"/>
          <w:b/>
          <w:sz w:val="28"/>
          <w:szCs w:val="28"/>
        </w:rPr>
        <w:t>Změna financování nepedagogických zaměstnanců regionálního školství"</w:t>
      </w:r>
    </w:p>
    <w:p w14:paraId="369929AA" w14:textId="77777777" w:rsidR="0063124B" w:rsidRDefault="0063124B" w:rsidP="003B0532">
      <w:pPr>
        <w:spacing w:after="120"/>
        <w:jc w:val="both"/>
        <w:rPr>
          <w:rFonts w:cs="Times New Roman"/>
          <w:b/>
          <w:sz w:val="28"/>
          <w:szCs w:val="28"/>
          <w:lang w:eastAsia="cs-CZ"/>
        </w:rPr>
      </w:pPr>
    </w:p>
    <w:p w14:paraId="6E395CBA" w14:textId="6C055CC9" w:rsidR="003B0532" w:rsidRPr="0063124B" w:rsidRDefault="0063124B" w:rsidP="003B0532">
      <w:pPr>
        <w:spacing w:after="120"/>
        <w:jc w:val="both"/>
        <w:rPr>
          <w:rFonts w:cs="Times New Roman"/>
          <w:b/>
          <w:lang w:eastAsia="cs-CZ"/>
        </w:rPr>
      </w:pPr>
      <w:r>
        <w:rPr>
          <w:rFonts w:cs="Times New Roman"/>
          <w:b/>
          <w:lang w:eastAsia="cs-CZ"/>
        </w:rPr>
        <w:t xml:space="preserve">ZÁMĚR: </w:t>
      </w:r>
      <w:r w:rsidR="003B0532" w:rsidRPr="0063124B">
        <w:rPr>
          <w:rFonts w:cs="Times New Roman"/>
          <w:b/>
          <w:lang w:eastAsia="cs-CZ"/>
        </w:rPr>
        <w:t xml:space="preserve"> </w:t>
      </w:r>
    </w:p>
    <w:p w14:paraId="1F26B107" w14:textId="393D3121" w:rsidR="00C84D85" w:rsidRPr="0063124B" w:rsidRDefault="006173E8" w:rsidP="003B0532">
      <w:pPr>
        <w:spacing w:after="120"/>
        <w:jc w:val="both"/>
        <w:rPr>
          <w:rFonts w:cs="Times New Roman"/>
          <w:b/>
          <w:lang w:eastAsia="cs-CZ"/>
        </w:rPr>
      </w:pPr>
      <w:r>
        <w:rPr>
          <w:rFonts w:cs="Times New Roman"/>
          <w:b/>
          <w:u w:val="single"/>
          <w:lang w:eastAsia="cs-CZ"/>
        </w:rPr>
        <w:t>Posílení a p</w:t>
      </w:r>
      <w:r w:rsidR="00C84D85" w:rsidRPr="0063124B">
        <w:rPr>
          <w:rFonts w:cs="Times New Roman"/>
          <w:b/>
          <w:u w:val="single"/>
          <w:lang w:eastAsia="cs-CZ"/>
        </w:rPr>
        <w:t>řesun prostředků na nepedagogickou práci</w:t>
      </w:r>
      <w:r w:rsidR="00C84D85" w:rsidRPr="0063124B">
        <w:rPr>
          <w:rFonts w:cs="Times New Roman"/>
          <w:u w:val="single"/>
          <w:lang w:eastAsia="cs-CZ"/>
        </w:rPr>
        <w:t xml:space="preserve"> (NPP) </w:t>
      </w:r>
      <w:r w:rsidR="00C84D85" w:rsidRPr="0063124B">
        <w:rPr>
          <w:rFonts w:cs="Times New Roman"/>
          <w:b/>
          <w:u w:val="single"/>
          <w:lang w:eastAsia="cs-CZ"/>
        </w:rPr>
        <w:t>a ostatní neinvestiční výdaje</w:t>
      </w:r>
      <w:r w:rsidR="00C84D85" w:rsidRPr="0063124B">
        <w:rPr>
          <w:rFonts w:cs="Times New Roman"/>
          <w:u w:val="single"/>
          <w:lang w:eastAsia="cs-CZ"/>
        </w:rPr>
        <w:t xml:space="preserve"> (ONIV)</w:t>
      </w:r>
      <w:r w:rsidR="00C84D85" w:rsidRPr="0063124B">
        <w:rPr>
          <w:rFonts w:cs="Times New Roman"/>
          <w:lang w:eastAsia="cs-CZ"/>
        </w:rPr>
        <w:t xml:space="preserve"> </w:t>
      </w:r>
      <w:r w:rsidR="0085178B">
        <w:rPr>
          <w:rFonts w:cs="Times New Roman"/>
          <w:lang w:eastAsia="cs-CZ"/>
        </w:rPr>
        <w:t>ve školách zřizovaných kraji, obcemi a dobrovolnými svazky obcí</w:t>
      </w:r>
      <w:r w:rsidR="007E7D8E">
        <w:rPr>
          <w:rFonts w:cs="Times New Roman"/>
          <w:lang w:eastAsia="cs-CZ"/>
        </w:rPr>
        <w:t xml:space="preserve"> (dále jen „DSO“</w:t>
      </w:r>
      <w:r w:rsidR="00654318">
        <w:rPr>
          <w:rFonts w:cs="Times New Roman"/>
          <w:lang w:eastAsia="cs-CZ"/>
        </w:rPr>
        <w:t>)</w:t>
      </w:r>
      <w:r w:rsidR="0085178B">
        <w:rPr>
          <w:rFonts w:cs="Times New Roman"/>
          <w:lang w:eastAsia="cs-CZ"/>
        </w:rPr>
        <w:t xml:space="preserve"> ze státního rozpočtu</w:t>
      </w:r>
      <w:r w:rsidR="00C84D85" w:rsidRPr="0063124B">
        <w:rPr>
          <w:rFonts w:cs="Times New Roman"/>
          <w:b/>
          <w:lang w:eastAsia="cs-CZ"/>
        </w:rPr>
        <w:t xml:space="preserve"> </w:t>
      </w:r>
      <w:r w:rsidR="00C84D85" w:rsidRPr="0063124B">
        <w:rPr>
          <w:rFonts w:cs="Times New Roman"/>
          <w:b/>
          <w:u w:val="single"/>
          <w:lang w:eastAsia="cs-CZ"/>
        </w:rPr>
        <w:t xml:space="preserve">do </w:t>
      </w:r>
      <w:r w:rsidR="0085178B">
        <w:rPr>
          <w:rFonts w:cs="Times New Roman"/>
          <w:b/>
          <w:u w:val="single"/>
          <w:lang w:eastAsia="cs-CZ"/>
        </w:rPr>
        <w:t>daňových výnosů</w:t>
      </w:r>
      <w:r w:rsidR="00C84D85" w:rsidRPr="0063124B">
        <w:rPr>
          <w:rFonts w:cs="Times New Roman"/>
          <w:b/>
          <w:u w:val="single"/>
          <w:lang w:eastAsia="cs-CZ"/>
        </w:rPr>
        <w:t xml:space="preserve"> krajů</w:t>
      </w:r>
      <w:r w:rsidR="0085178B">
        <w:rPr>
          <w:rFonts w:cs="Times New Roman"/>
          <w:b/>
          <w:u w:val="single"/>
          <w:lang w:eastAsia="cs-CZ"/>
        </w:rPr>
        <w:t xml:space="preserve"> a obcí</w:t>
      </w:r>
      <w:r w:rsidR="00A01287" w:rsidRPr="0063124B">
        <w:rPr>
          <w:rFonts w:cs="Times New Roman"/>
          <w:b/>
          <w:lang w:eastAsia="cs-CZ"/>
        </w:rPr>
        <w:t xml:space="preserve"> od 1. 9. 202</w:t>
      </w:r>
      <w:r w:rsidR="00BE49CE" w:rsidRPr="0063124B">
        <w:rPr>
          <w:rFonts w:cs="Times New Roman"/>
          <w:b/>
          <w:lang w:eastAsia="cs-CZ"/>
        </w:rPr>
        <w:t>5</w:t>
      </w:r>
    </w:p>
    <w:p w14:paraId="0F77DAAF" w14:textId="77777777" w:rsidR="003B0532" w:rsidRDefault="003B0532" w:rsidP="00C84D85">
      <w:pPr>
        <w:widowControl/>
        <w:spacing w:after="240"/>
        <w:jc w:val="both"/>
        <w:rPr>
          <w:rFonts w:cs="Times New Roman"/>
          <w:b/>
          <w:lang w:eastAsia="cs-CZ"/>
        </w:rPr>
      </w:pPr>
    </w:p>
    <w:p w14:paraId="111E2D86" w14:textId="29A73A64" w:rsidR="00C84D85" w:rsidRPr="00C84D85" w:rsidRDefault="00C84D85" w:rsidP="002B759E">
      <w:pPr>
        <w:widowControl/>
        <w:spacing w:after="120"/>
        <w:jc w:val="both"/>
        <w:rPr>
          <w:rFonts w:cs="Times New Roman"/>
          <w:b/>
          <w:lang w:eastAsia="cs-CZ"/>
        </w:rPr>
      </w:pPr>
      <w:r w:rsidRPr="00C84D85">
        <w:rPr>
          <w:rFonts w:cs="Times New Roman"/>
          <w:b/>
          <w:lang w:eastAsia="cs-CZ"/>
        </w:rPr>
        <w:t>VĚCNÉ ŘEŠENÍ</w:t>
      </w:r>
    </w:p>
    <w:p w14:paraId="4C78C4B4" w14:textId="7307E4DA" w:rsidR="007E7D8E" w:rsidRPr="00F80A88" w:rsidRDefault="007E7D8E" w:rsidP="00C84D85">
      <w:pPr>
        <w:pStyle w:val="Odstavecseseznamem"/>
        <w:numPr>
          <w:ilvl w:val="0"/>
          <w:numId w:val="16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oblast vzdělávání je samostatnou působností krajů a obcí – v souladu s Chartou místní samosprávy a opakovanými doporučeními OECD je třeba posilovat nezávislost samospráv na účelových dotací ze státního rozpočtu</w:t>
      </w:r>
    </w:p>
    <w:p w14:paraId="4DC51E4F" w14:textId="7B928D36" w:rsidR="00C84D85" w:rsidRPr="007E7D8E" w:rsidRDefault="00C84D85" w:rsidP="00C84D85">
      <w:pPr>
        <w:pStyle w:val="Odstavecseseznamem"/>
        <w:numPr>
          <w:ilvl w:val="0"/>
          <w:numId w:val="16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F80A88">
        <w:rPr>
          <w:rFonts w:ascii="Times New Roman" w:hAnsi="Times New Roman" w:cs="Times New Roman"/>
          <w:bCs/>
          <w:sz w:val="24"/>
          <w:szCs w:val="24"/>
          <w:lang w:eastAsia="cs-CZ"/>
        </w:rPr>
        <w:t>úprava</w:t>
      </w:r>
      <w:r w:rsidR="007E7D8E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(zvýšení)</w:t>
      </w:r>
      <w:r w:rsidRPr="00F80A88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souhrnných podílů obcí a krajů na sdílených daních</w:t>
      </w:r>
    </w:p>
    <w:p w14:paraId="59A36DA5" w14:textId="4F2797E4" w:rsidR="00654318" w:rsidRPr="00471DB6" w:rsidRDefault="00C84D85" w:rsidP="00895E82">
      <w:pPr>
        <w:pStyle w:val="Odstavecseseznamem"/>
        <w:numPr>
          <w:ilvl w:val="1"/>
          <w:numId w:val="16"/>
        </w:numPr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71DB6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zvýšení </w:t>
      </w:r>
      <w:r w:rsidRPr="00471DB6">
        <w:rPr>
          <w:rFonts w:ascii="Times New Roman" w:hAnsi="Times New Roman" w:cs="Times New Roman"/>
          <w:sz w:val="24"/>
          <w:szCs w:val="24"/>
          <w:lang w:eastAsia="cs-CZ"/>
        </w:rPr>
        <w:t xml:space="preserve">v objemu </w:t>
      </w:r>
      <w:r w:rsidR="00113531">
        <w:rPr>
          <w:rFonts w:ascii="Times New Roman" w:hAnsi="Times New Roman" w:cs="Times New Roman"/>
          <w:sz w:val="24"/>
          <w:szCs w:val="24"/>
          <w:lang w:eastAsia="cs-CZ"/>
        </w:rPr>
        <w:t>převyšujícímu schválený státní rozpočet</w:t>
      </w:r>
      <w:r w:rsidRPr="00471DB6">
        <w:rPr>
          <w:rFonts w:ascii="Times New Roman" w:hAnsi="Times New Roman" w:cs="Times New Roman"/>
          <w:sz w:val="24"/>
          <w:szCs w:val="24"/>
          <w:lang w:eastAsia="cs-CZ"/>
        </w:rPr>
        <w:t xml:space="preserve"> na NPP a ONIV</w:t>
      </w:r>
      <w:r w:rsidR="00113531">
        <w:rPr>
          <w:rFonts w:ascii="Times New Roman" w:hAnsi="Times New Roman" w:cs="Times New Roman"/>
          <w:sz w:val="24"/>
          <w:szCs w:val="24"/>
          <w:lang w:eastAsia="cs-CZ"/>
        </w:rPr>
        <w:t xml:space="preserve"> pro roky 2024 nebo 2025 i po započtení „dodatečných“ 4 mld. Kč</w:t>
      </w:r>
      <w:r w:rsidRPr="00471DB6">
        <w:rPr>
          <w:rFonts w:ascii="Times New Roman" w:hAnsi="Times New Roman" w:cs="Times New Roman"/>
          <w:sz w:val="24"/>
          <w:szCs w:val="24"/>
          <w:lang w:eastAsia="cs-CZ"/>
        </w:rPr>
        <w:t xml:space="preserve"> (bez diskutovaných svářečských, řidičských průkazů a povinné výuky plavání) škol a školských zařízení zřizovaných </w:t>
      </w:r>
      <w:r w:rsidR="007E7D8E">
        <w:rPr>
          <w:rFonts w:ascii="Times New Roman" w:hAnsi="Times New Roman" w:cs="Times New Roman"/>
          <w:sz w:val="24"/>
          <w:szCs w:val="24"/>
          <w:lang w:eastAsia="cs-CZ"/>
        </w:rPr>
        <w:t xml:space="preserve">kraji, </w:t>
      </w:r>
      <w:r w:rsidRPr="00471DB6">
        <w:rPr>
          <w:rFonts w:ascii="Times New Roman" w:hAnsi="Times New Roman" w:cs="Times New Roman"/>
          <w:sz w:val="24"/>
          <w:szCs w:val="24"/>
          <w:lang w:eastAsia="cs-CZ"/>
        </w:rPr>
        <w:t>obcemi</w:t>
      </w:r>
      <w:r w:rsidR="007E7D8E">
        <w:rPr>
          <w:rFonts w:ascii="Times New Roman" w:hAnsi="Times New Roman" w:cs="Times New Roman"/>
          <w:sz w:val="24"/>
          <w:szCs w:val="24"/>
          <w:lang w:eastAsia="cs-CZ"/>
        </w:rPr>
        <w:t xml:space="preserve"> a</w:t>
      </w:r>
      <w:r w:rsidRPr="00471DB6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471DB6">
        <w:rPr>
          <w:rFonts w:ascii="Times New Roman" w:hAnsi="Times New Roman" w:cs="Times New Roman"/>
          <w:sz w:val="24"/>
          <w:szCs w:val="24"/>
          <w:lang w:eastAsia="cs-CZ"/>
        </w:rPr>
        <w:t>DSO</w:t>
      </w:r>
      <w:r w:rsidRPr="00471DB6">
        <w:rPr>
          <w:rFonts w:ascii="Times New Roman" w:hAnsi="Times New Roman" w:cs="Times New Roman"/>
          <w:sz w:val="24"/>
          <w:szCs w:val="24"/>
          <w:lang w:eastAsia="cs-CZ"/>
        </w:rPr>
        <w:t>, kraji</w:t>
      </w:r>
      <w:r w:rsidR="00C04D4C">
        <w:rPr>
          <w:rFonts w:ascii="Times New Roman" w:hAnsi="Times New Roman" w:cs="Times New Roman"/>
          <w:sz w:val="24"/>
          <w:szCs w:val="24"/>
          <w:lang w:eastAsia="cs-CZ"/>
        </w:rPr>
        <w:t>.</w:t>
      </w:r>
      <w:r w:rsidRPr="00471DB6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tbl>
      <w:tblPr>
        <w:tblStyle w:val="Mkatabulky1"/>
        <w:tblpPr w:leftFromText="141" w:rightFromText="141" w:vertAnchor="text" w:horzAnchor="margin" w:tblpXSpec="center" w:tblpY="-10"/>
        <w:tblW w:w="0" w:type="auto"/>
        <w:tblInd w:w="0" w:type="dxa"/>
        <w:tblLook w:val="04A0" w:firstRow="1" w:lastRow="0" w:firstColumn="1" w:lastColumn="0" w:noHBand="0" w:noVBand="1"/>
      </w:tblPr>
      <w:tblGrid>
        <w:gridCol w:w="1283"/>
        <w:gridCol w:w="3828"/>
        <w:gridCol w:w="3827"/>
      </w:tblGrid>
      <w:tr w:rsidR="00654318" w:rsidRPr="0039465C" w14:paraId="74482253" w14:textId="77777777" w:rsidTr="0085525A">
        <w:trPr>
          <w:trHeight w:val="27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4115" w14:textId="77777777" w:rsidR="00654318" w:rsidRPr="0038482C" w:rsidRDefault="00654318" w:rsidP="0085525A">
            <w:pPr>
              <w:contextualSpacing/>
              <w:rPr>
                <w:i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7C347" w14:textId="77777777" w:rsidR="00654318" w:rsidRPr="0038482C" w:rsidRDefault="00654318" w:rsidP="0085525A">
            <w:pPr>
              <w:contextualSpacing/>
              <w:jc w:val="center"/>
              <w:rPr>
                <w:b/>
              </w:rPr>
            </w:pPr>
            <w:r w:rsidRPr="0038482C">
              <w:rPr>
                <w:b/>
              </w:rPr>
              <w:t>Přesun DO RUD 1. 9. 2025                  (1. krok)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B765A" w14:textId="77777777" w:rsidR="00654318" w:rsidRPr="0038482C" w:rsidRDefault="00654318" w:rsidP="0085525A">
            <w:pPr>
              <w:jc w:val="center"/>
            </w:pPr>
            <w:r w:rsidRPr="0038482C">
              <w:rPr>
                <w:b/>
              </w:rPr>
              <w:t>Přesun DO RUD 1. 1. 2026                (2. krok)</w:t>
            </w:r>
          </w:p>
        </w:tc>
      </w:tr>
      <w:tr w:rsidR="00654318" w:rsidRPr="0039465C" w14:paraId="6DA44CC5" w14:textId="77777777" w:rsidTr="0085525A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9BCDF" w14:textId="77777777" w:rsidR="00654318" w:rsidRPr="0038482C" w:rsidRDefault="00654318" w:rsidP="0085525A">
            <w:pPr>
              <w:spacing w:before="120"/>
              <w:contextualSpacing/>
              <w:rPr>
                <w:b/>
              </w:rPr>
            </w:pPr>
            <w:r w:rsidRPr="0038482C">
              <w:rPr>
                <w:b/>
              </w:rPr>
              <w:t>Přesun do RUD KRAJŮ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hideMark/>
          </w:tcPr>
          <w:p w14:paraId="23AF6E16" w14:textId="77777777" w:rsidR="00654318" w:rsidRPr="0038482C" w:rsidRDefault="00654318" w:rsidP="0085525A">
            <w:pPr>
              <w:spacing w:before="120"/>
              <w:contextualSpacing/>
            </w:pPr>
            <w:r w:rsidRPr="0038482C">
              <w:t xml:space="preserve">Objem pro školy a školská zařízení </w:t>
            </w:r>
            <w:r w:rsidRPr="0038482C">
              <w:rPr>
                <w:b/>
              </w:rPr>
              <w:t>zřízená kraji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hideMark/>
          </w:tcPr>
          <w:p w14:paraId="1C1F08E0" w14:textId="77777777" w:rsidR="00654318" w:rsidRPr="0038482C" w:rsidRDefault="00654318" w:rsidP="0085525A">
            <w:pPr>
              <w:spacing w:before="120"/>
              <w:contextualSpacing/>
            </w:pPr>
            <w:r w:rsidRPr="0038482C">
              <w:t xml:space="preserve">Objem pro školy a školská zařízení </w:t>
            </w:r>
            <w:r w:rsidRPr="0038482C">
              <w:rPr>
                <w:b/>
              </w:rPr>
              <w:t>zřízená kraji</w:t>
            </w:r>
          </w:p>
        </w:tc>
      </w:tr>
      <w:tr w:rsidR="00654318" w:rsidRPr="0039465C" w14:paraId="314F05DE" w14:textId="77777777" w:rsidTr="008552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201C6" w14:textId="77777777" w:rsidR="00654318" w:rsidRPr="0038482C" w:rsidRDefault="00654318" w:rsidP="0085525A">
            <w:pPr>
              <w:rPr>
                <w:b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hideMark/>
          </w:tcPr>
          <w:p w14:paraId="5AAAEB76" w14:textId="77777777" w:rsidR="00654318" w:rsidRPr="0038482C" w:rsidRDefault="00654318" w:rsidP="0085525A">
            <w:pPr>
              <w:spacing w:before="120"/>
              <w:contextualSpacing/>
              <w:jc w:val="center"/>
              <w:rPr>
                <w:b/>
              </w:rPr>
            </w:pPr>
            <w:r w:rsidRPr="0038482C">
              <w:rPr>
                <w:b/>
              </w:rPr>
              <w:t>3,4 mld. Kč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hideMark/>
          </w:tcPr>
          <w:p w14:paraId="6A17E23C" w14:textId="77777777" w:rsidR="00654318" w:rsidRPr="0038482C" w:rsidRDefault="00654318" w:rsidP="0085525A">
            <w:pPr>
              <w:spacing w:before="120"/>
              <w:contextualSpacing/>
              <w:jc w:val="center"/>
              <w:rPr>
                <w:b/>
              </w:rPr>
            </w:pPr>
            <w:r w:rsidRPr="0038482C">
              <w:rPr>
                <w:b/>
              </w:rPr>
              <w:t>10,2 mld. Kč</w:t>
            </w:r>
          </w:p>
        </w:tc>
      </w:tr>
      <w:tr w:rsidR="00654318" w:rsidRPr="0039465C" w14:paraId="70834F66" w14:textId="77777777" w:rsidTr="0085525A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0E8F8" w14:textId="77777777" w:rsidR="00654318" w:rsidRPr="0038482C" w:rsidRDefault="00654318" w:rsidP="0085525A">
            <w:pPr>
              <w:spacing w:before="120"/>
              <w:contextualSpacing/>
              <w:rPr>
                <w:b/>
              </w:rPr>
            </w:pPr>
            <w:r w:rsidRPr="0038482C">
              <w:rPr>
                <w:b/>
              </w:rPr>
              <w:t>Přesun do RUD OBCÍ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hideMark/>
          </w:tcPr>
          <w:p w14:paraId="1B164B56" w14:textId="77777777" w:rsidR="00654318" w:rsidRPr="0038482C" w:rsidRDefault="00654318" w:rsidP="0085525A">
            <w:pPr>
              <w:spacing w:before="120"/>
              <w:contextualSpacing/>
            </w:pPr>
            <w:r w:rsidRPr="0038482C">
              <w:t xml:space="preserve">Objem pro školy a školská zařízení </w:t>
            </w:r>
            <w:r w:rsidRPr="0038482C">
              <w:rPr>
                <w:b/>
              </w:rPr>
              <w:t xml:space="preserve">zřízená obcemi a </w:t>
            </w:r>
            <w:r>
              <w:rPr>
                <w:b/>
              </w:rPr>
              <w:t>DSO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hideMark/>
          </w:tcPr>
          <w:p w14:paraId="4154E288" w14:textId="77777777" w:rsidR="00654318" w:rsidRPr="0038482C" w:rsidRDefault="00654318" w:rsidP="0085525A">
            <w:pPr>
              <w:spacing w:before="120"/>
              <w:contextualSpacing/>
            </w:pPr>
            <w:r w:rsidRPr="0038482C">
              <w:t xml:space="preserve">Objem pro školy a školská zařízení </w:t>
            </w:r>
            <w:r w:rsidRPr="0038482C">
              <w:rPr>
                <w:b/>
              </w:rPr>
              <w:t xml:space="preserve">zřízená obcemi a </w:t>
            </w:r>
            <w:r>
              <w:rPr>
                <w:b/>
              </w:rPr>
              <w:t>DSO</w:t>
            </w:r>
          </w:p>
        </w:tc>
      </w:tr>
      <w:tr w:rsidR="00654318" w:rsidRPr="0039465C" w14:paraId="7D3A8138" w14:textId="77777777" w:rsidTr="008552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9EDA5" w14:textId="77777777" w:rsidR="00654318" w:rsidRPr="0038482C" w:rsidRDefault="00654318" w:rsidP="0085525A">
            <w:pPr>
              <w:rPr>
                <w:b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hideMark/>
          </w:tcPr>
          <w:p w14:paraId="5E6EBADE" w14:textId="77777777" w:rsidR="00654318" w:rsidRPr="0038482C" w:rsidRDefault="00654318" w:rsidP="0085525A">
            <w:pPr>
              <w:spacing w:before="120"/>
              <w:contextualSpacing/>
              <w:jc w:val="center"/>
              <w:rPr>
                <w:b/>
              </w:rPr>
            </w:pPr>
            <w:r w:rsidRPr="0038482C">
              <w:rPr>
                <w:b/>
              </w:rPr>
              <w:t>7,6 mld. Kč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hideMark/>
          </w:tcPr>
          <w:p w14:paraId="5903AE17" w14:textId="77777777" w:rsidR="00654318" w:rsidRPr="0038482C" w:rsidRDefault="00654318" w:rsidP="0085525A">
            <w:pPr>
              <w:spacing w:before="120"/>
              <w:contextualSpacing/>
              <w:jc w:val="center"/>
              <w:rPr>
                <w:b/>
              </w:rPr>
            </w:pPr>
            <w:r w:rsidRPr="0038482C">
              <w:rPr>
                <w:b/>
              </w:rPr>
              <w:t>22,2 mld. Kč</w:t>
            </w:r>
          </w:p>
        </w:tc>
      </w:tr>
      <w:tr w:rsidR="00654318" w:rsidRPr="0039465C" w14:paraId="0ED6319D" w14:textId="77777777" w:rsidTr="0085525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C2B84" w14:textId="77777777" w:rsidR="00654318" w:rsidRPr="0038482C" w:rsidRDefault="00654318" w:rsidP="0085525A">
            <w:pPr>
              <w:spacing w:before="120"/>
              <w:contextualSpacing/>
              <w:rPr>
                <w:b/>
              </w:rPr>
            </w:pPr>
            <w:r w:rsidRPr="0038482C">
              <w:rPr>
                <w:b/>
              </w:rPr>
              <w:t>CELKEM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hideMark/>
          </w:tcPr>
          <w:p w14:paraId="5E9E4FA0" w14:textId="77777777" w:rsidR="00654318" w:rsidRPr="0038482C" w:rsidRDefault="00654318" w:rsidP="0085525A">
            <w:pPr>
              <w:spacing w:before="120"/>
              <w:contextualSpacing/>
              <w:jc w:val="center"/>
              <w:rPr>
                <w:b/>
              </w:rPr>
            </w:pPr>
            <w:r w:rsidRPr="0038482C">
              <w:rPr>
                <w:b/>
              </w:rPr>
              <w:t>11,0 mld. Kč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hideMark/>
          </w:tcPr>
          <w:p w14:paraId="7A61A3CF" w14:textId="77777777" w:rsidR="00654318" w:rsidRPr="0038482C" w:rsidRDefault="00654318" w:rsidP="0085525A">
            <w:pPr>
              <w:spacing w:before="120"/>
              <w:contextualSpacing/>
              <w:jc w:val="center"/>
              <w:rPr>
                <w:b/>
              </w:rPr>
            </w:pPr>
            <w:r w:rsidRPr="0038482C">
              <w:rPr>
                <w:b/>
              </w:rPr>
              <w:t>32,4 mld. Kč</w:t>
            </w:r>
          </w:p>
        </w:tc>
      </w:tr>
    </w:tbl>
    <w:p w14:paraId="1E28921F" w14:textId="3720B640" w:rsidR="00C84D85" w:rsidRDefault="00113531" w:rsidP="00895E82">
      <w:pPr>
        <w:pStyle w:val="Odstavecseseznamem"/>
        <w:numPr>
          <w:ilvl w:val="1"/>
          <w:numId w:val="16"/>
        </w:numPr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ve dvou krocích</w:t>
      </w:r>
    </w:p>
    <w:tbl>
      <w:tblPr>
        <w:tblW w:w="7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6"/>
        <w:gridCol w:w="1739"/>
        <w:gridCol w:w="2092"/>
        <w:gridCol w:w="2128"/>
      </w:tblGrid>
      <w:tr w:rsidR="00113531" w:rsidRPr="0038482C" w14:paraId="358CBBE8" w14:textId="77777777" w:rsidTr="00F247F0">
        <w:trPr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CFAC" w14:textId="77777777" w:rsidR="00113531" w:rsidRPr="0038482C" w:rsidRDefault="00113531" w:rsidP="00F247F0">
            <w:pPr>
              <w:spacing w:line="256" w:lineRule="auto"/>
              <w:jc w:val="both"/>
              <w:rPr>
                <w:rFonts w:eastAsia="Calibri" w:cs="Times New Roman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4E59C" w14:textId="77777777" w:rsidR="00113531" w:rsidRPr="0038482C" w:rsidRDefault="00113531" w:rsidP="00F247F0">
            <w:pPr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38482C">
              <w:rPr>
                <w:rFonts w:eastAsia="Calibri" w:cs="Times New Roman"/>
                <w:b/>
              </w:rPr>
              <w:t>platný stav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94944" w14:textId="77777777" w:rsidR="00113531" w:rsidRPr="0038482C" w:rsidRDefault="00113531" w:rsidP="00F247F0">
            <w:pPr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38482C">
              <w:rPr>
                <w:rFonts w:eastAsia="Calibri" w:cs="Times New Roman"/>
                <w:b/>
              </w:rPr>
              <w:t>Od 1. 9. 2025</w:t>
            </w:r>
          </w:p>
          <w:p w14:paraId="228CAD5E" w14:textId="77777777" w:rsidR="00113531" w:rsidRPr="0038482C" w:rsidRDefault="00113531" w:rsidP="00F247F0">
            <w:pPr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38482C">
              <w:rPr>
                <w:rFonts w:eastAsia="Calibri" w:cs="Times New Roman"/>
                <w:b/>
              </w:rPr>
              <w:t>(NÁVRH 1. krok)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3A5C6" w14:textId="77777777" w:rsidR="00113531" w:rsidRPr="0038482C" w:rsidRDefault="00113531" w:rsidP="00F247F0">
            <w:pPr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38482C">
              <w:rPr>
                <w:rFonts w:eastAsia="Calibri" w:cs="Times New Roman"/>
                <w:b/>
              </w:rPr>
              <w:t>Od 1. 1. 2026</w:t>
            </w:r>
          </w:p>
          <w:p w14:paraId="7D5B605D" w14:textId="77777777" w:rsidR="00113531" w:rsidRPr="0038482C" w:rsidRDefault="00113531" w:rsidP="00F247F0">
            <w:pPr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38482C">
              <w:rPr>
                <w:rFonts w:eastAsia="Calibri" w:cs="Times New Roman"/>
                <w:b/>
              </w:rPr>
              <w:t>(NÁVRH 2. krok)</w:t>
            </w:r>
          </w:p>
        </w:tc>
      </w:tr>
      <w:tr w:rsidR="00113531" w:rsidRPr="0038482C" w14:paraId="0C8BEE74" w14:textId="77777777" w:rsidTr="00F247F0">
        <w:trPr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19150" w14:textId="77777777" w:rsidR="00113531" w:rsidRPr="0038482C" w:rsidRDefault="00113531" w:rsidP="00F247F0">
            <w:pPr>
              <w:spacing w:before="60" w:after="60" w:line="252" w:lineRule="auto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Obce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0A8B2" w14:textId="77777777" w:rsidR="00113531" w:rsidRPr="0038482C" w:rsidRDefault="00113531" w:rsidP="00F247F0">
            <w:pPr>
              <w:spacing w:before="60" w:after="60" w:line="252" w:lineRule="auto"/>
              <w:ind w:right="213"/>
              <w:jc w:val="right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24,16 %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4673E" w14:textId="77777777" w:rsidR="00113531" w:rsidRPr="0038482C" w:rsidRDefault="00113531" w:rsidP="00F247F0">
            <w:pPr>
              <w:spacing w:before="60" w:after="60" w:line="252" w:lineRule="auto"/>
              <w:ind w:right="213"/>
              <w:jc w:val="right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25,79 %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9804D" w14:textId="77777777" w:rsidR="00113531" w:rsidRPr="0038482C" w:rsidRDefault="00113531" w:rsidP="00F247F0">
            <w:pPr>
              <w:spacing w:before="60" w:after="60" w:line="252" w:lineRule="auto"/>
              <w:ind w:right="213"/>
              <w:jc w:val="right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25,93 %</w:t>
            </w:r>
          </w:p>
        </w:tc>
      </w:tr>
      <w:tr w:rsidR="00113531" w:rsidRPr="0038482C" w14:paraId="748A232B" w14:textId="77777777" w:rsidTr="00F247F0">
        <w:trPr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7A1DE" w14:textId="77777777" w:rsidR="00113531" w:rsidRPr="0038482C" w:rsidRDefault="00113531" w:rsidP="00F247F0">
            <w:pPr>
              <w:spacing w:before="60" w:after="60" w:line="252" w:lineRule="auto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Kraje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9B7AA" w14:textId="77777777" w:rsidR="00113531" w:rsidRPr="0038482C" w:rsidRDefault="00113531" w:rsidP="00F247F0">
            <w:pPr>
              <w:spacing w:before="60" w:after="60" w:line="252" w:lineRule="auto"/>
              <w:ind w:right="213"/>
              <w:jc w:val="right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9,45 %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7AB88" w14:textId="77777777" w:rsidR="00113531" w:rsidRPr="0038482C" w:rsidRDefault="00113531" w:rsidP="00F247F0">
            <w:pPr>
              <w:spacing w:before="60" w:after="60" w:line="252" w:lineRule="auto"/>
              <w:ind w:right="213"/>
              <w:jc w:val="right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10,17 %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C51C7" w14:textId="77777777" w:rsidR="00113531" w:rsidRPr="0038482C" w:rsidRDefault="00113531" w:rsidP="00F247F0">
            <w:pPr>
              <w:spacing w:before="60" w:after="60" w:line="252" w:lineRule="auto"/>
              <w:ind w:right="213"/>
              <w:jc w:val="right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10,23 %</w:t>
            </w:r>
          </w:p>
        </w:tc>
      </w:tr>
      <w:tr w:rsidR="00113531" w:rsidRPr="0038482C" w14:paraId="369680B5" w14:textId="77777777" w:rsidTr="00F247F0">
        <w:trPr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72742DB1" w14:textId="77777777" w:rsidR="00113531" w:rsidRPr="0038482C" w:rsidRDefault="00113531" w:rsidP="00F247F0">
            <w:pPr>
              <w:spacing w:before="60" w:after="60" w:line="252" w:lineRule="auto"/>
              <w:rPr>
                <w:rFonts w:eastAsia="Calibri" w:cs="Times New Roman"/>
                <w:b/>
              </w:rPr>
            </w:pPr>
            <w:r w:rsidRPr="0038482C">
              <w:rPr>
                <w:rFonts w:eastAsia="Calibri" w:cs="Times New Roman"/>
                <w:b/>
              </w:rPr>
              <w:t>ÚSC celkem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6E09CFEA" w14:textId="77777777" w:rsidR="00113531" w:rsidRPr="0038482C" w:rsidRDefault="00113531" w:rsidP="00F247F0">
            <w:pPr>
              <w:spacing w:before="60" w:after="60" w:line="252" w:lineRule="auto"/>
              <w:ind w:right="213"/>
              <w:jc w:val="right"/>
              <w:rPr>
                <w:rFonts w:eastAsia="Calibri" w:cs="Times New Roman"/>
                <w:b/>
              </w:rPr>
            </w:pPr>
            <w:r w:rsidRPr="0038482C">
              <w:rPr>
                <w:rFonts w:eastAsia="Calibri" w:cs="Times New Roman"/>
                <w:b/>
              </w:rPr>
              <w:t>33,61 %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097A4483" w14:textId="77777777" w:rsidR="00113531" w:rsidRPr="0038482C" w:rsidRDefault="00113531" w:rsidP="00F247F0">
            <w:pPr>
              <w:spacing w:before="60" w:after="60" w:line="252" w:lineRule="auto"/>
              <w:ind w:right="213"/>
              <w:jc w:val="right"/>
              <w:rPr>
                <w:rFonts w:eastAsia="Calibri" w:cs="Times New Roman"/>
                <w:b/>
              </w:rPr>
            </w:pPr>
            <w:r w:rsidRPr="0038482C">
              <w:rPr>
                <w:rFonts w:eastAsia="Calibri" w:cs="Times New Roman"/>
                <w:b/>
              </w:rPr>
              <w:t>35,96 %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32A31CD9" w14:textId="77777777" w:rsidR="00113531" w:rsidRPr="0038482C" w:rsidRDefault="00113531" w:rsidP="00F247F0">
            <w:pPr>
              <w:spacing w:before="60" w:after="60" w:line="252" w:lineRule="auto"/>
              <w:ind w:right="213"/>
              <w:jc w:val="right"/>
              <w:rPr>
                <w:rFonts w:eastAsia="Calibri" w:cs="Times New Roman"/>
                <w:b/>
              </w:rPr>
            </w:pPr>
            <w:r w:rsidRPr="0038482C">
              <w:rPr>
                <w:rFonts w:eastAsia="Calibri" w:cs="Times New Roman"/>
                <w:b/>
              </w:rPr>
              <w:t>36,16 %</w:t>
            </w:r>
          </w:p>
        </w:tc>
      </w:tr>
      <w:tr w:rsidR="00113531" w:rsidRPr="0038482C" w14:paraId="4457E3AF" w14:textId="77777777" w:rsidTr="00F247F0">
        <w:trPr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6D46B5B" w14:textId="77777777" w:rsidR="00113531" w:rsidRPr="0038482C" w:rsidRDefault="00113531" w:rsidP="00F247F0">
            <w:pPr>
              <w:spacing w:before="60" w:after="60" w:line="252" w:lineRule="auto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Státní rozpočet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E276676" w14:textId="77777777" w:rsidR="00113531" w:rsidRPr="0038482C" w:rsidRDefault="00113531" w:rsidP="00F247F0">
            <w:pPr>
              <w:spacing w:before="60" w:after="60" w:line="252" w:lineRule="auto"/>
              <w:ind w:right="213"/>
              <w:jc w:val="right"/>
              <w:outlineLvl w:val="8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66,39 %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892A5FE" w14:textId="77777777" w:rsidR="00113531" w:rsidRPr="0038482C" w:rsidRDefault="00113531" w:rsidP="00F247F0">
            <w:pPr>
              <w:spacing w:before="60" w:after="60" w:line="252" w:lineRule="auto"/>
              <w:ind w:right="213"/>
              <w:jc w:val="right"/>
              <w:outlineLvl w:val="8"/>
              <w:rPr>
                <w:rFonts w:eastAsia="Calibri" w:cs="Times New Roman"/>
                <w:b/>
              </w:rPr>
            </w:pPr>
            <w:r w:rsidRPr="0038482C">
              <w:rPr>
                <w:rFonts w:eastAsia="Calibri" w:cs="Times New Roman"/>
              </w:rPr>
              <w:t>64,04 %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CF6D50C" w14:textId="77777777" w:rsidR="00113531" w:rsidRPr="0038482C" w:rsidRDefault="00113531" w:rsidP="00F247F0">
            <w:pPr>
              <w:spacing w:before="60" w:after="60" w:line="252" w:lineRule="auto"/>
              <w:ind w:right="213"/>
              <w:jc w:val="right"/>
              <w:outlineLvl w:val="8"/>
              <w:rPr>
                <w:rFonts w:eastAsia="Calibri" w:cs="Times New Roman"/>
                <w:b/>
              </w:rPr>
            </w:pPr>
            <w:r w:rsidRPr="0038482C">
              <w:rPr>
                <w:rFonts w:eastAsia="Calibri" w:cs="Times New Roman"/>
              </w:rPr>
              <w:t>63,84 %</w:t>
            </w:r>
          </w:p>
        </w:tc>
      </w:tr>
      <w:tr w:rsidR="00113531" w:rsidRPr="0038482C" w14:paraId="00BC9B76" w14:textId="77777777" w:rsidTr="00F247F0">
        <w:trPr>
          <w:jc w:val="center"/>
        </w:trPr>
        <w:tc>
          <w:tcPr>
            <w:tcW w:w="15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67E7F" w14:textId="77777777" w:rsidR="00113531" w:rsidRPr="0038482C" w:rsidRDefault="00113531" w:rsidP="00F247F0">
            <w:pPr>
              <w:spacing w:before="60" w:after="60" w:line="252" w:lineRule="auto"/>
              <w:rPr>
                <w:rFonts w:eastAsia="Calibri" w:cs="Times New Roman"/>
                <w:b/>
              </w:rPr>
            </w:pPr>
            <w:r w:rsidRPr="0038482C">
              <w:rPr>
                <w:rFonts w:eastAsia="Calibri" w:cs="Times New Roman"/>
                <w:b/>
              </w:rPr>
              <w:t>Úhrn</w:t>
            </w:r>
          </w:p>
        </w:tc>
        <w:tc>
          <w:tcPr>
            <w:tcW w:w="17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FCABE" w14:textId="77777777" w:rsidR="00113531" w:rsidRPr="0038482C" w:rsidRDefault="00113531" w:rsidP="00F247F0">
            <w:pPr>
              <w:spacing w:before="60" w:after="60" w:line="252" w:lineRule="auto"/>
              <w:ind w:right="213"/>
              <w:jc w:val="right"/>
              <w:rPr>
                <w:rFonts w:eastAsia="Calibri" w:cs="Times New Roman"/>
                <w:b/>
              </w:rPr>
            </w:pPr>
            <w:r w:rsidRPr="0038482C">
              <w:rPr>
                <w:rFonts w:eastAsia="Calibri" w:cs="Times New Roman"/>
                <w:b/>
              </w:rPr>
              <w:t>100,00 %</w:t>
            </w:r>
          </w:p>
        </w:tc>
        <w:tc>
          <w:tcPr>
            <w:tcW w:w="20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1B790" w14:textId="77777777" w:rsidR="00113531" w:rsidRPr="0038482C" w:rsidRDefault="00113531" w:rsidP="00F247F0">
            <w:pPr>
              <w:spacing w:before="60" w:after="60" w:line="252" w:lineRule="auto"/>
              <w:ind w:right="213"/>
              <w:jc w:val="right"/>
              <w:rPr>
                <w:rFonts w:eastAsia="Calibri" w:cs="Times New Roman"/>
                <w:b/>
              </w:rPr>
            </w:pPr>
            <w:r w:rsidRPr="0038482C">
              <w:rPr>
                <w:rFonts w:eastAsia="Calibri" w:cs="Times New Roman"/>
                <w:b/>
              </w:rPr>
              <w:t>100,00 %</w:t>
            </w:r>
          </w:p>
        </w:tc>
        <w:tc>
          <w:tcPr>
            <w:tcW w:w="21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BCF4D" w14:textId="77777777" w:rsidR="00113531" w:rsidRPr="0038482C" w:rsidRDefault="00113531" w:rsidP="00F247F0">
            <w:pPr>
              <w:spacing w:before="60" w:after="60" w:line="252" w:lineRule="auto"/>
              <w:ind w:right="213"/>
              <w:jc w:val="right"/>
              <w:rPr>
                <w:rFonts w:eastAsia="Calibri" w:cs="Times New Roman"/>
                <w:b/>
              </w:rPr>
            </w:pPr>
            <w:r w:rsidRPr="0038482C">
              <w:rPr>
                <w:rFonts w:eastAsia="Calibri" w:cs="Times New Roman"/>
                <w:b/>
              </w:rPr>
              <w:t>100,00 %</w:t>
            </w:r>
          </w:p>
        </w:tc>
      </w:tr>
    </w:tbl>
    <w:p w14:paraId="1C26B0A6" w14:textId="21DF62F0" w:rsidR="00113531" w:rsidRDefault="00113531" w:rsidP="00895E82">
      <w:pPr>
        <w:pStyle w:val="Odstavecseseznamem"/>
        <w:numPr>
          <w:ilvl w:val="1"/>
          <w:numId w:val="16"/>
        </w:numPr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s dopadem na koeficienty (neutrální dopad na „neškolské“ koeficienty</w:t>
      </w:r>
      <w:r w:rsidR="006173E8">
        <w:rPr>
          <w:rFonts w:ascii="Times New Roman" w:hAnsi="Times New Roman" w:cs="Times New Roman"/>
          <w:sz w:val="24"/>
          <w:szCs w:val="24"/>
          <w:lang w:eastAsia="cs-CZ"/>
        </w:rPr>
        <w:t xml:space="preserve"> v nominálním vyjádření</w:t>
      </w:r>
      <w:r>
        <w:rPr>
          <w:rFonts w:ascii="Times New Roman" w:hAnsi="Times New Roman" w:cs="Times New Roman"/>
          <w:sz w:val="24"/>
          <w:szCs w:val="24"/>
          <w:lang w:eastAsia="cs-CZ"/>
        </w:rPr>
        <w:t>)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126"/>
        <w:gridCol w:w="1419"/>
        <w:gridCol w:w="1702"/>
        <w:gridCol w:w="1696"/>
        <w:gridCol w:w="6"/>
      </w:tblGrid>
      <w:tr w:rsidR="00113531" w:rsidRPr="0038482C" w14:paraId="6E200C71" w14:textId="77777777" w:rsidTr="00F247F0">
        <w:trPr>
          <w:trHeight w:val="50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491BD4CE" w14:textId="77777777" w:rsidR="00113531" w:rsidRPr="0038482C" w:rsidRDefault="00113531" w:rsidP="00F247F0">
            <w:pPr>
              <w:spacing w:before="60" w:after="60" w:line="256" w:lineRule="auto"/>
              <w:jc w:val="center"/>
              <w:rPr>
                <w:rFonts w:eastAsia="Calibri" w:cs="Times New Roman"/>
                <w:b/>
              </w:rPr>
            </w:pPr>
            <w:r w:rsidRPr="0038482C">
              <w:rPr>
                <w:rFonts w:eastAsia="Calibri" w:cs="Times New Roman"/>
                <w:b/>
              </w:rPr>
              <w:t xml:space="preserve">VÁHA DÍLČÍCH </w:t>
            </w:r>
            <w:r w:rsidRPr="0038482C">
              <w:rPr>
                <w:rFonts w:eastAsia="Calibri" w:cs="Times New Roman"/>
                <w:b/>
              </w:rPr>
              <w:lastRenderedPageBreak/>
              <w:t>KRITÉRIÍ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4BBFB9E7" w14:textId="77777777" w:rsidR="00113531" w:rsidRPr="0038482C" w:rsidRDefault="00113531" w:rsidP="00F247F0">
            <w:pPr>
              <w:spacing w:before="60" w:after="60" w:line="256" w:lineRule="auto"/>
              <w:jc w:val="center"/>
              <w:rPr>
                <w:rFonts w:eastAsia="Calibri" w:cs="Times New Roman"/>
                <w:b/>
              </w:rPr>
            </w:pPr>
            <w:r w:rsidRPr="0038482C">
              <w:rPr>
                <w:rFonts w:eastAsia="Calibri" w:cs="Times New Roman"/>
                <w:b/>
              </w:rPr>
              <w:lastRenderedPageBreak/>
              <w:t>Zjednodušený popis kritéria</w:t>
            </w:r>
            <w:r w:rsidRPr="0038482C">
              <w:rPr>
                <w:rFonts w:eastAsia="Calibri" w:cs="Times New Roman"/>
                <w:b/>
                <w:vertAlign w:val="superscript"/>
              </w:rPr>
              <w:footnoteReference w:id="2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154BAF4F" w14:textId="77777777" w:rsidR="00113531" w:rsidRPr="0038482C" w:rsidRDefault="00113531" w:rsidP="00F247F0">
            <w:pPr>
              <w:spacing w:before="60" w:after="60" w:line="256" w:lineRule="auto"/>
              <w:jc w:val="center"/>
              <w:rPr>
                <w:rFonts w:eastAsia="Calibri" w:cs="Times New Roman"/>
                <w:b/>
              </w:rPr>
            </w:pPr>
            <w:r w:rsidRPr="0038482C">
              <w:rPr>
                <w:rFonts w:eastAsia="Calibri" w:cs="Times New Roman"/>
                <w:b/>
              </w:rPr>
              <w:t>Od 1. 1. 2025</w:t>
            </w:r>
          </w:p>
          <w:p w14:paraId="13911BC1" w14:textId="77777777" w:rsidR="00113531" w:rsidRPr="0038482C" w:rsidRDefault="00113531" w:rsidP="00F247F0">
            <w:pPr>
              <w:spacing w:before="60" w:after="60" w:line="256" w:lineRule="auto"/>
              <w:contextualSpacing/>
              <w:jc w:val="center"/>
              <w:rPr>
                <w:rFonts w:eastAsia="Times New Roman" w:cs="Times New Roman"/>
                <w:b/>
              </w:rPr>
            </w:pPr>
            <w:r w:rsidRPr="0038482C">
              <w:rPr>
                <w:rFonts w:eastAsia="Times New Roman" w:cs="Times New Roman"/>
                <w:b/>
              </w:rPr>
              <w:lastRenderedPageBreak/>
              <w:t>(PLATNÉ)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40E27B7A" w14:textId="77777777" w:rsidR="00113531" w:rsidRPr="0038482C" w:rsidRDefault="00113531" w:rsidP="00F247F0">
            <w:pPr>
              <w:spacing w:before="60" w:after="60" w:line="256" w:lineRule="auto"/>
              <w:jc w:val="center"/>
              <w:rPr>
                <w:rFonts w:eastAsia="Calibri" w:cs="Times New Roman"/>
                <w:b/>
              </w:rPr>
            </w:pPr>
            <w:r w:rsidRPr="0038482C">
              <w:rPr>
                <w:rFonts w:eastAsia="Calibri" w:cs="Times New Roman"/>
                <w:b/>
              </w:rPr>
              <w:lastRenderedPageBreak/>
              <w:t>Od 1. 9. 2025</w:t>
            </w:r>
          </w:p>
          <w:p w14:paraId="4BA7D248" w14:textId="77777777" w:rsidR="00113531" w:rsidRPr="0038482C" w:rsidRDefault="00113531" w:rsidP="00F247F0">
            <w:pPr>
              <w:spacing w:before="60" w:after="60" w:line="256" w:lineRule="auto"/>
              <w:jc w:val="center"/>
              <w:rPr>
                <w:rFonts w:eastAsia="Calibri" w:cs="Times New Roman"/>
                <w:b/>
              </w:rPr>
            </w:pPr>
            <w:r w:rsidRPr="0038482C">
              <w:rPr>
                <w:rFonts w:eastAsia="Calibri" w:cs="Times New Roman"/>
                <w:b/>
              </w:rPr>
              <w:t xml:space="preserve">(NÁVRH 1. </w:t>
            </w:r>
            <w:r w:rsidRPr="0038482C">
              <w:rPr>
                <w:rFonts w:eastAsia="Calibri" w:cs="Times New Roman"/>
                <w:b/>
              </w:rPr>
              <w:lastRenderedPageBreak/>
              <w:t>krok)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003B01A1" w14:textId="77777777" w:rsidR="00113531" w:rsidRPr="0038482C" w:rsidRDefault="00113531" w:rsidP="00F247F0">
            <w:pPr>
              <w:spacing w:before="60" w:after="60" w:line="256" w:lineRule="auto"/>
              <w:jc w:val="center"/>
              <w:rPr>
                <w:rFonts w:eastAsia="Calibri" w:cs="Times New Roman"/>
                <w:b/>
              </w:rPr>
            </w:pPr>
            <w:r w:rsidRPr="0038482C">
              <w:rPr>
                <w:rFonts w:eastAsia="Calibri" w:cs="Times New Roman"/>
                <w:b/>
              </w:rPr>
              <w:lastRenderedPageBreak/>
              <w:t>Od 1. 1. 2026</w:t>
            </w:r>
          </w:p>
          <w:p w14:paraId="72BA3F6C" w14:textId="77777777" w:rsidR="00113531" w:rsidRPr="0038482C" w:rsidRDefault="00113531" w:rsidP="00F247F0">
            <w:pPr>
              <w:spacing w:before="60" w:after="60" w:line="256" w:lineRule="auto"/>
              <w:jc w:val="center"/>
              <w:rPr>
                <w:rFonts w:eastAsia="Calibri" w:cs="Times New Roman"/>
                <w:b/>
              </w:rPr>
            </w:pPr>
            <w:r w:rsidRPr="0038482C">
              <w:rPr>
                <w:rFonts w:eastAsia="Calibri" w:cs="Times New Roman"/>
                <w:b/>
              </w:rPr>
              <w:t xml:space="preserve">(NÁVRH 2. </w:t>
            </w:r>
            <w:r w:rsidRPr="0038482C">
              <w:rPr>
                <w:rFonts w:eastAsia="Calibri" w:cs="Times New Roman"/>
                <w:b/>
              </w:rPr>
              <w:lastRenderedPageBreak/>
              <w:t>krok)</w:t>
            </w:r>
          </w:p>
        </w:tc>
      </w:tr>
      <w:tr w:rsidR="00113531" w:rsidRPr="0038482C" w14:paraId="51E9E4EB" w14:textId="77777777" w:rsidTr="00F247F0">
        <w:trPr>
          <w:gridAfter w:val="1"/>
          <w:wAfter w:w="6" w:type="dxa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E8A3D2A" w14:textId="77777777" w:rsidR="00113531" w:rsidRPr="0038482C" w:rsidRDefault="00113531" w:rsidP="00F247F0">
            <w:pPr>
              <w:spacing w:line="252" w:lineRule="auto"/>
              <w:ind w:left="113" w:right="113"/>
              <w:jc w:val="center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  <w:b/>
              </w:rPr>
              <w:lastRenderedPageBreak/>
              <w:t>OBCE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966AC" w14:textId="77777777" w:rsidR="00113531" w:rsidRPr="0038482C" w:rsidRDefault="00113531" w:rsidP="00F247F0">
            <w:pPr>
              <w:spacing w:before="60" w:after="60" w:line="252" w:lineRule="auto"/>
              <w:jc w:val="both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Počet obyvatel obce (prostý)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4BC56" w14:textId="77777777" w:rsidR="00113531" w:rsidRPr="0038482C" w:rsidRDefault="00113531" w:rsidP="00F247F0">
            <w:pPr>
              <w:spacing w:before="60" w:after="60" w:line="252" w:lineRule="auto"/>
              <w:ind w:right="182"/>
              <w:jc w:val="right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10,00 %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9FFCA" w14:textId="77777777" w:rsidR="00113531" w:rsidRPr="0038482C" w:rsidRDefault="00113531" w:rsidP="00F247F0">
            <w:pPr>
              <w:spacing w:before="60" w:after="60" w:line="252" w:lineRule="auto"/>
              <w:ind w:right="182"/>
              <w:jc w:val="right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9,38 %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6CC56" w14:textId="77777777" w:rsidR="00113531" w:rsidRPr="0038482C" w:rsidRDefault="00113531" w:rsidP="00F247F0">
            <w:pPr>
              <w:spacing w:before="60" w:after="60" w:line="252" w:lineRule="auto"/>
              <w:ind w:right="171"/>
              <w:jc w:val="right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9,32 %</w:t>
            </w:r>
          </w:p>
        </w:tc>
      </w:tr>
      <w:tr w:rsidR="00113531" w:rsidRPr="0038482C" w14:paraId="26C1E3B4" w14:textId="77777777" w:rsidTr="00F247F0">
        <w:trPr>
          <w:gridAfter w:val="1"/>
          <w:wAfter w:w="6" w:type="dxa"/>
          <w:jc w:val="center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FF7DF" w14:textId="77777777" w:rsidR="00113531" w:rsidRPr="0038482C" w:rsidRDefault="00113531" w:rsidP="00F247F0">
            <w:pPr>
              <w:spacing w:line="256" w:lineRule="auto"/>
              <w:rPr>
                <w:rFonts w:eastAsia="Calibri" w:cs="Times New Roman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4DA16" w14:textId="77777777" w:rsidR="00113531" w:rsidRPr="0038482C" w:rsidRDefault="00113531" w:rsidP="00F247F0">
            <w:pPr>
              <w:spacing w:before="60" w:after="60" w:line="252" w:lineRule="auto"/>
              <w:jc w:val="both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Rozloha obce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F610D" w14:textId="77777777" w:rsidR="00113531" w:rsidRPr="0038482C" w:rsidRDefault="00113531" w:rsidP="00F247F0">
            <w:pPr>
              <w:spacing w:before="60" w:after="60" w:line="252" w:lineRule="auto"/>
              <w:ind w:right="182"/>
              <w:jc w:val="right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3,00 %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AE825" w14:textId="77777777" w:rsidR="00113531" w:rsidRPr="0038482C" w:rsidRDefault="00113531" w:rsidP="00F247F0">
            <w:pPr>
              <w:spacing w:before="60" w:after="60" w:line="252" w:lineRule="auto"/>
              <w:ind w:right="182"/>
              <w:jc w:val="right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2,81 %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8A4A9" w14:textId="77777777" w:rsidR="00113531" w:rsidRPr="0038482C" w:rsidRDefault="00113531" w:rsidP="00F247F0">
            <w:pPr>
              <w:spacing w:before="60" w:after="60" w:line="252" w:lineRule="auto"/>
              <w:ind w:right="171"/>
              <w:jc w:val="right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2,80 %</w:t>
            </w:r>
          </w:p>
        </w:tc>
      </w:tr>
      <w:tr w:rsidR="00113531" w:rsidRPr="0038482C" w14:paraId="0E33D178" w14:textId="77777777" w:rsidTr="00F247F0">
        <w:trPr>
          <w:gridAfter w:val="1"/>
          <w:wAfter w:w="6" w:type="dxa"/>
          <w:jc w:val="center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9310D" w14:textId="77777777" w:rsidR="00113531" w:rsidRPr="0038482C" w:rsidRDefault="00113531" w:rsidP="00F247F0">
            <w:pPr>
              <w:spacing w:line="256" w:lineRule="auto"/>
              <w:rPr>
                <w:rFonts w:eastAsia="Calibri" w:cs="Times New Roman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BB68F" w14:textId="77777777" w:rsidR="00113531" w:rsidRPr="0038482C" w:rsidRDefault="00113531" w:rsidP="00F247F0">
            <w:pPr>
              <w:spacing w:before="60" w:after="60" w:line="252" w:lineRule="auto"/>
              <w:jc w:val="both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 xml:space="preserve">Děti, žáci, studenti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76915" w14:textId="77777777" w:rsidR="00113531" w:rsidRPr="0038482C" w:rsidRDefault="00113531" w:rsidP="00F247F0">
            <w:pPr>
              <w:spacing w:before="60" w:after="60" w:line="252" w:lineRule="auto"/>
              <w:ind w:right="182"/>
              <w:jc w:val="right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9,00 %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7425E" w14:textId="77777777" w:rsidR="00113531" w:rsidRPr="0038482C" w:rsidRDefault="00113531" w:rsidP="00F247F0">
            <w:pPr>
              <w:spacing w:before="60" w:after="60" w:line="252" w:lineRule="auto"/>
              <w:ind w:right="182"/>
              <w:jc w:val="right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14,66 %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9CDAB" w14:textId="77777777" w:rsidR="00113531" w:rsidRPr="0038482C" w:rsidRDefault="00113531" w:rsidP="00F247F0">
            <w:pPr>
              <w:spacing w:before="60" w:after="60" w:line="252" w:lineRule="auto"/>
              <w:ind w:right="171"/>
              <w:jc w:val="right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15,15 %</w:t>
            </w:r>
          </w:p>
        </w:tc>
      </w:tr>
      <w:tr w:rsidR="00113531" w:rsidRPr="0038482C" w14:paraId="2378BDB6" w14:textId="77777777" w:rsidTr="00F247F0">
        <w:trPr>
          <w:gridAfter w:val="1"/>
          <w:wAfter w:w="6" w:type="dxa"/>
          <w:jc w:val="center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7B2D8" w14:textId="77777777" w:rsidR="00113531" w:rsidRPr="0038482C" w:rsidRDefault="00113531" w:rsidP="00F247F0">
            <w:pPr>
              <w:spacing w:line="256" w:lineRule="auto"/>
              <w:rPr>
                <w:rFonts w:eastAsia="Calibri" w:cs="Times New Roman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508E5" w14:textId="77777777" w:rsidR="00113531" w:rsidRPr="0038482C" w:rsidRDefault="00113531" w:rsidP="00F247F0">
            <w:pPr>
              <w:spacing w:before="60" w:after="60" w:line="252" w:lineRule="auto"/>
              <w:jc w:val="both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Postupné přechody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31FEB" w14:textId="77777777" w:rsidR="00113531" w:rsidRPr="0038482C" w:rsidRDefault="00113531" w:rsidP="00F247F0">
            <w:pPr>
              <w:spacing w:before="60" w:after="60" w:line="252" w:lineRule="auto"/>
              <w:ind w:right="182"/>
              <w:jc w:val="right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78,00 %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C5555" w14:textId="77777777" w:rsidR="00113531" w:rsidRPr="0038482C" w:rsidRDefault="00113531" w:rsidP="00F247F0">
            <w:pPr>
              <w:spacing w:before="60" w:after="60" w:line="252" w:lineRule="auto"/>
              <w:ind w:right="182"/>
              <w:jc w:val="right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73,15 %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28B5A" w14:textId="77777777" w:rsidR="00113531" w:rsidRPr="0038482C" w:rsidRDefault="00113531" w:rsidP="00F247F0">
            <w:pPr>
              <w:spacing w:before="60" w:after="60" w:line="252" w:lineRule="auto"/>
              <w:ind w:right="171"/>
              <w:jc w:val="right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72,73 %</w:t>
            </w:r>
          </w:p>
        </w:tc>
      </w:tr>
      <w:tr w:rsidR="00113531" w:rsidRPr="0038482C" w14:paraId="6E212496" w14:textId="77777777" w:rsidTr="00F247F0">
        <w:trPr>
          <w:gridAfter w:val="1"/>
          <w:wAfter w:w="6" w:type="dxa"/>
          <w:jc w:val="center"/>
        </w:trPr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14:paraId="6A12A391" w14:textId="77777777" w:rsidR="00113531" w:rsidRPr="0038482C" w:rsidRDefault="00113531" w:rsidP="00F247F0">
            <w:pPr>
              <w:spacing w:before="60" w:after="60" w:line="252" w:lineRule="auto"/>
              <w:jc w:val="both"/>
              <w:rPr>
                <w:rFonts w:eastAsia="Calibri" w:cs="Times New Roman"/>
                <w:b/>
              </w:rPr>
            </w:pPr>
            <w:r w:rsidRPr="0038482C">
              <w:rPr>
                <w:rFonts w:eastAsia="Calibri" w:cs="Times New Roman"/>
                <w:b/>
              </w:rPr>
              <w:t>Váhy v propočtu RUD obcí celkem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14:paraId="6819D135" w14:textId="77777777" w:rsidR="00113531" w:rsidRPr="0038482C" w:rsidRDefault="00113531" w:rsidP="00F247F0">
            <w:pPr>
              <w:spacing w:before="60" w:after="60" w:line="252" w:lineRule="auto"/>
              <w:ind w:right="182"/>
              <w:jc w:val="right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  <w:b/>
              </w:rPr>
              <w:t>100,00 %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14:paraId="417BCECC" w14:textId="77777777" w:rsidR="00113531" w:rsidRPr="0038482C" w:rsidRDefault="00113531" w:rsidP="00F247F0">
            <w:pPr>
              <w:spacing w:before="60" w:after="60" w:line="252" w:lineRule="auto"/>
              <w:ind w:right="182"/>
              <w:jc w:val="right"/>
              <w:rPr>
                <w:rFonts w:eastAsia="Calibri" w:cs="Times New Roman"/>
                <w:b/>
              </w:rPr>
            </w:pPr>
            <w:r w:rsidRPr="0038482C">
              <w:rPr>
                <w:rFonts w:eastAsia="Calibri" w:cs="Times New Roman"/>
                <w:b/>
              </w:rPr>
              <w:t>100,00 %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14:paraId="45B93B34" w14:textId="77777777" w:rsidR="00113531" w:rsidRPr="0038482C" w:rsidRDefault="00113531" w:rsidP="00F247F0">
            <w:pPr>
              <w:spacing w:before="60" w:after="60" w:line="252" w:lineRule="auto"/>
              <w:ind w:right="171"/>
              <w:jc w:val="right"/>
              <w:rPr>
                <w:rFonts w:eastAsia="Calibri" w:cs="Times New Roman"/>
                <w:b/>
              </w:rPr>
            </w:pPr>
            <w:r w:rsidRPr="0038482C">
              <w:rPr>
                <w:rFonts w:eastAsia="Calibri" w:cs="Times New Roman"/>
                <w:b/>
              </w:rPr>
              <w:t>100,00 %</w:t>
            </w:r>
          </w:p>
        </w:tc>
      </w:tr>
      <w:tr w:rsidR="00113531" w:rsidRPr="0038482C" w14:paraId="451A9FA1" w14:textId="77777777" w:rsidTr="00F247F0">
        <w:trPr>
          <w:gridAfter w:val="1"/>
          <w:wAfter w:w="6" w:type="dxa"/>
          <w:trHeight w:val="526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8858183" w14:textId="77777777" w:rsidR="00113531" w:rsidRPr="0038482C" w:rsidRDefault="00113531" w:rsidP="00F247F0">
            <w:pPr>
              <w:spacing w:line="252" w:lineRule="auto"/>
              <w:ind w:left="113" w:right="113"/>
              <w:jc w:val="center"/>
              <w:rPr>
                <w:rFonts w:eastAsia="Calibri" w:cs="Times New Roman"/>
                <w:b/>
              </w:rPr>
            </w:pPr>
            <w:r w:rsidRPr="0038482C">
              <w:rPr>
                <w:rFonts w:eastAsia="Calibri" w:cs="Times New Roman"/>
                <w:b/>
              </w:rPr>
              <w:t>KRAJE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62B2D" w14:textId="77777777" w:rsidR="00113531" w:rsidRPr="0038482C" w:rsidRDefault="00113531" w:rsidP="00F247F0">
            <w:pPr>
              <w:spacing w:before="60" w:after="60" w:line="252" w:lineRule="auto"/>
              <w:jc w:val="both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Daňové příjmy ze sdílených daní dle Přílohy č. 1 k zákonu o RUD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313BF" w14:textId="77777777" w:rsidR="00113531" w:rsidRPr="0038482C" w:rsidRDefault="00113531" w:rsidP="00F247F0">
            <w:pPr>
              <w:spacing w:before="60" w:after="60" w:line="252" w:lineRule="auto"/>
              <w:ind w:right="182"/>
              <w:jc w:val="right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100,00 %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5B47" w14:textId="77777777" w:rsidR="00113531" w:rsidRPr="0038482C" w:rsidRDefault="00113531" w:rsidP="00F247F0">
            <w:pPr>
              <w:spacing w:before="60" w:after="60" w:line="252" w:lineRule="auto"/>
              <w:ind w:right="182"/>
              <w:jc w:val="right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92,84 %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FAB48" w14:textId="77777777" w:rsidR="00113531" w:rsidRPr="0038482C" w:rsidRDefault="00113531" w:rsidP="00F247F0">
            <w:pPr>
              <w:spacing w:before="60" w:after="60" w:line="252" w:lineRule="auto"/>
              <w:ind w:right="171"/>
              <w:jc w:val="right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92,22 %</w:t>
            </w:r>
          </w:p>
        </w:tc>
      </w:tr>
      <w:tr w:rsidR="00113531" w:rsidRPr="0038482C" w14:paraId="3E17FA3F" w14:textId="77777777" w:rsidTr="00F247F0">
        <w:trPr>
          <w:gridAfter w:val="1"/>
          <w:wAfter w:w="6" w:type="dxa"/>
          <w:trHeight w:val="414"/>
          <w:jc w:val="center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ABF5A" w14:textId="77777777" w:rsidR="00113531" w:rsidRPr="0038482C" w:rsidRDefault="00113531" w:rsidP="00F247F0">
            <w:pPr>
              <w:spacing w:line="256" w:lineRule="auto"/>
              <w:rPr>
                <w:rFonts w:eastAsia="Calibri" w:cs="Times New Roman"/>
                <w:b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BADB1" w14:textId="77777777" w:rsidR="00113531" w:rsidRPr="0038482C" w:rsidRDefault="00113531" w:rsidP="00F247F0">
            <w:pPr>
              <w:spacing w:before="60" w:after="60" w:line="252" w:lineRule="auto"/>
              <w:jc w:val="both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 xml:space="preserve">Financování NPP a ONIV </w:t>
            </w:r>
            <w:r w:rsidRPr="0038482C">
              <w:rPr>
                <w:rFonts w:eastAsia="Calibri" w:cs="Times New Roman"/>
                <w:b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362E0" w14:textId="77777777" w:rsidR="00113531" w:rsidRPr="0038482C" w:rsidRDefault="00113531" w:rsidP="00F247F0">
            <w:pPr>
              <w:spacing w:before="60" w:after="60" w:line="252" w:lineRule="auto"/>
              <w:ind w:right="182"/>
              <w:jc w:val="right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0,00 %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503B7" w14:textId="77777777" w:rsidR="00113531" w:rsidRPr="0038482C" w:rsidRDefault="00113531" w:rsidP="00F247F0">
            <w:pPr>
              <w:spacing w:before="60" w:after="60" w:line="252" w:lineRule="auto"/>
              <w:ind w:right="182"/>
              <w:jc w:val="right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7,16 %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C633D" w14:textId="77777777" w:rsidR="00113531" w:rsidRPr="0038482C" w:rsidRDefault="00113531" w:rsidP="00F247F0">
            <w:pPr>
              <w:spacing w:before="60" w:after="60" w:line="252" w:lineRule="auto"/>
              <w:ind w:right="171"/>
              <w:jc w:val="right"/>
              <w:rPr>
                <w:rFonts w:eastAsia="Calibri" w:cs="Times New Roman"/>
              </w:rPr>
            </w:pPr>
            <w:r w:rsidRPr="0038482C">
              <w:rPr>
                <w:rFonts w:eastAsia="Calibri" w:cs="Times New Roman"/>
              </w:rPr>
              <w:t>7,78 %</w:t>
            </w:r>
          </w:p>
        </w:tc>
      </w:tr>
      <w:tr w:rsidR="00113531" w:rsidRPr="0038482C" w14:paraId="436C1175" w14:textId="77777777" w:rsidTr="00F247F0">
        <w:trPr>
          <w:gridAfter w:val="1"/>
          <w:wAfter w:w="6" w:type="dxa"/>
          <w:jc w:val="center"/>
        </w:trPr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38E8099F" w14:textId="77777777" w:rsidR="00113531" w:rsidRPr="0038482C" w:rsidRDefault="00113531" w:rsidP="00F247F0">
            <w:pPr>
              <w:spacing w:before="60" w:after="60" w:line="252" w:lineRule="auto"/>
              <w:jc w:val="both"/>
              <w:rPr>
                <w:rFonts w:eastAsia="Calibri" w:cs="Times New Roman"/>
                <w:b/>
              </w:rPr>
            </w:pPr>
            <w:r w:rsidRPr="0038482C">
              <w:rPr>
                <w:rFonts w:eastAsia="Calibri" w:cs="Times New Roman"/>
                <w:b/>
              </w:rPr>
              <w:t>Váhy v propočtu RUD krajů celkem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38C5DE39" w14:textId="77777777" w:rsidR="00113531" w:rsidRPr="0038482C" w:rsidRDefault="00113531" w:rsidP="00F247F0">
            <w:pPr>
              <w:spacing w:before="60" w:after="60" w:line="252" w:lineRule="auto"/>
              <w:ind w:right="182"/>
              <w:jc w:val="right"/>
              <w:rPr>
                <w:rFonts w:eastAsia="Calibri" w:cs="Times New Roman"/>
                <w:b/>
              </w:rPr>
            </w:pPr>
            <w:r w:rsidRPr="0038482C">
              <w:rPr>
                <w:rFonts w:eastAsia="Calibri" w:cs="Times New Roman"/>
                <w:b/>
              </w:rPr>
              <w:t>100,00 %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19EAF2CC" w14:textId="77777777" w:rsidR="00113531" w:rsidRPr="0038482C" w:rsidRDefault="00113531" w:rsidP="00F247F0">
            <w:pPr>
              <w:spacing w:before="60" w:after="60" w:line="252" w:lineRule="auto"/>
              <w:ind w:right="182"/>
              <w:jc w:val="right"/>
              <w:rPr>
                <w:rFonts w:eastAsia="Calibri" w:cs="Times New Roman"/>
                <w:b/>
              </w:rPr>
            </w:pPr>
            <w:r w:rsidRPr="0038482C">
              <w:rPr>
                <w:rFonts w:eastAsia="Calibri" w:cs="Times New Roman"/>
                <w:b/>
              </w:rPr>
              <w:t>100,00 %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65713787" w14:textId="77777777" w:rsidR="00113531" w:rsidRPr="0038482C" w:rsidRDefault="00113531" w:rsidP="00F247F0">
            <w:pPr>
              <w:spacing w:before="60" w:after="60" w:line="252" w:lineRule="auto"/>
              <w:ind w:right="171"/>
              <w:jc w:val="right"/>
              <w:rPr>
                <w:rFonts w:eastAsia="Calibri" w:cs="Times New Roman"/>
                <w:b/>
              </w:rPr>
            </w:pPr>
            <w:r w:rsidRPr="0038482C">
              <w:rPr>
                <w:rFonts w:eastAsia="Calibri" w:cs="Times New Roman"/>
                <w:b/>
              </w:rPr>
              <w:t>100,00 %</w:t>
            </w:r>
          </w:p>
        </w:tc>
      </w:tr>
    </w:tbl>
    <w:p w14:paraId="5B2C4EDF" w14:textId="77777777" w:rsidR="00113531" w:rsidRPr="00471DB6" w:rsidRDefault="00113531" w:rsidP="00F80A88">
      <w:pPr>
        <w:pStyle w:val="Odstavecseseznamem"/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6BBB8054" w14:textId="2F9F2514" w:rsidR="00C84D85" w:rsidRPr="00471DB6" w:rsidRDefault="00C84D85" w:rsidP="00C84D85">
      <w:pPr>
        <w:pStyle w:val="Odstavecseseznamem"/>
        <w:numPr>
          <w:ilvl w:val="0"/>
          <w:numId w:val="16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71DB6">
        <w:rPr>
          <w:rFonts w:ascii="Times New Roman" w:hAnsi="Times New Roman" w:cs="Times New Roman"/>
          <w:sz w:val="24"/>
          <w:szCs w:val="24"/>
          <w:lang w:eastAsia="cs-CZ"/>
        </w:rPr>
        <w:t xml:space="preserve">z kapitoly MŠMT </w:t>
      </w:r>
      <w:r w:rsidR="005A3459">
        <w:rPr>
          <w:rFonts w:ascii="Times New Roman" w:hAnsi="Times New Roman" w:cs="Times New Roman"/>
          <w:sz w:val="24"/>
          <w:szCs w:val="24"/>
          <w:lang w:eastAsia="cs-CZ"/>
        </w:rPr>
        <w:t>nebud</w:t>
      </w:r>
      <w:r w:rsidR="00B80BCA">
        <w:rPr>
          <w:rFonts w:ascii="Times New Roman" w:hAnsi="Times New Roman" w:cs="Times New Roman"/>
          <w:sz w:val="24"/>
          <w:szCs w:val="24"/>
          <w:lang w:eastAsia="cs-CZ"/>
        </w:rPr>
        <w:t>ou nadále poskytovány dotace</w:t>
      </w:r>
      <w:r w:rsidR="00864284">
        <w:rPr>
          <w:rFonts w:ascii="Times New Roman" w:hAnsi="Times New Roman" w:cs="Times New Roman"/>
          <w:sz w:val="24"/>
          <w:szCs w:val="24"/>
          <w:lang w:eastAsia="cs-CZ"/>
        </w:rPr>
        <w:t xml:space="preserve"> na účel, pro který </w:t>
      </w:r>
      <w:r w:rsidR="00B24EAF">
        <w:rPr>
          <w:rFonts w:ascii="Times New Roman" w:hAnsi="Times New Roman" w:cs="Times New Roman"/>
          <w:sz w:val="24"/>
          <w:szCs w:val="24"/>
          <w:lang w:eastAsia="cs-CZ"/>
        </w:rPr>
        <w:t>je zvyšován podíl</w:t>
      </w:r>
      <w:r w:rsidR="007C25DE">
        <w:rPr>
          <w:rFonts w:ascii="Times New Roman" w:hAnsi="Times New Roman" w:cs="Times New Roman"/>
          <w:sz w:val="24"/>
          <w:szCs w:val="24"/>
          <w:lang w:eastAsia="cs-CZ"/>
        </w:rPr>
        <w:t xml:space="preserve">, </w:t>
      </w:r>
    </w:p>
    <w:p w14:paraId="13371898" w14:textId="040D2293" w:rsidR="00C84D85" w:rsidRPr="00471DB6" w:rsidRDefault="00C84D85" w:rsidP="00C84D85">
      <w:pPr>
        <w:pStyle w:val="Odstavecseseznamem"/>
        <w:numPr>
          <w:ilvl w:val="0"/>
          <w:numId w:val="16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71DB6">
        <w:rPr>
          <w:rFonts w:ascii="Times New Roman" w:hAnsi="Times New Roman" w:cs="Times New Roman"/>
          <w:sz w:val="24"/>
          <w:szCs w:val="24"/>
          <w:lang w:eastAsia="cs-CZ"/>
        </w:rPr>
        <w:t>účinnost k 1. 9. 2025</w:t>
      </w:r>
      <w:r w:rsidR="00895E8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14:paraId="43B73F48" w14:textId="2C58CD55" w:rsidR="00C84D85" w:rsidRDefault="00113531" w:rsidP="00C84D85">
      <w:pPr>
        <w:widowControl/>
        <w:spacing w:before="240" w:after="240"/>
        <w:jc w:val="both"/>
        <w:rPr>
          <w:rFonts w:cs="Times New Roman"/>
          <w:lang w:eastAsia="cs-CZ"/>
        </w:rPr>
      </w:pPr>
      <w:r>
        <w:rPr>
          <w:rFonts w:cs="Times New Roman"/>
          <w:b/>
          <w:lang w:eastAsia="cs-CZ"/>
        </w:rPr>
        <w:t>Školský koeficient bude</w:t>
      </w:r>
      <w:r w:rsidR="00572442">
        <w:rPr>
          <w:rFonts w:cs="Times New Roman"/>
          <w:b/>
          <w:lang w:eastAsia="cs-CZ"/>
        </w:rPr>
        <w:t xml:space="preserve"> členěn detailněji (přesněji).</w:t>
      </w:r>
      <w:r w:rsidR="00C84D85" w:rsidRPr="00C84D85">
        <w:rPr>
          <w:rFonts w:cs="Times New Roman"/>
          <w:lang w:eastAsia="cs-CZ"/>
        </w:rPr>
        <w:t xml:space="preserve"> </w:t>
      </w:r>
      <w:r w:rsidR="00572442">
        <w:rPr>
          <w:rFonts w:cs="Times New Roman"/>
          <w:lang w:eastAsia="cs-CZ"/>
        </w:rPr>
        <w:t xml:space="preserve">Nově se bude jednat o </w:t>
      </w:r>
      <w:r w:rsidR="00572442" w:rsidRPr="00572442">
        <w:rPr>
          <w:rFonts w:cs="Times New Roman"/>
          <w:lang w:eastAsia="cs-CZ"/>
        </w:rPr>
        <w:t>dět</w:t>
      </w:r>
      <w:r w:rsidR="00572442">
        <w:rPr>
          <w:rFonts w:cs="Times New Roman"/>
          <w:lang w:eastAsia="cs-CZ"/>
        </w:rPr>
        <w:t>i</w:t>
      </w:r>
      <w:r w:rsidR="00572442" w:rsidRPr="00572442">
        <w:rPr>
          <w:rFonts w:cs="Times New Roman"/>
          <w:lang w:eastAsia="cs-CZ"/>
        </w:rPr>
        <w:t>, žák</w:t>
      </w:r>
      <w:r w:rsidR="00572442">
        <w:rPr>
          <w:rFonts w:cs="Times New Roman"/>
          <w:lang w:eastAsia="cs-CZ"/>
        </w:rPr>
        <w:t>y</w:t>
      </w:r>
      <w:r w:rsidR="00572442" w:rsidRPr="00572442">
        <w:rPr>
          <w:rFonts w:cs="Times New Roman"/>
          <w:lang w:eastAsia="cs-CZ"/>
        </w:rPr>
        <w:t xml:space="preserve"> a student</w:t>
      </w:r>
      <w:r w:rsidR="00572442">
        <w:rPr>
          <w:rFonts w:cs="Times New Roman"/>
          <w:lang w:eastAsia="cs-CZ"/>
        </w:rPr>
        <w:t>y</w:t>
      </w:r>
      <w:r w:rsidR="00572442" w:rsidRPr="00572442">
        <w:rPr>
          <w:rFonts w:cs="Times New Roman"/>
          <w:lang w:eastAsia="cs-CZ"/>
        </w:rPr>
        <w:t xml:space="preserve"> ve školách, s výjimkou jazykových škol s právem státní jazykové zkoušky, a ve školských výchovných a ubytovacích zařízeních zajišťujících celodenní výchovu, ubytování a stravování a dětí v dětských domovech zřizovaných obcí a dobrovolným svazkem obcí, přičemž do počtu dětí, žáků a studentů se </w:t>
      </w:r>
      <w:r w:rsidR="00572442">
        <w:rPr>
          <w:rFonts w:cs="Times New Roman"/>
          <w:lang w:eastAsia="cs-CZ"/>
        </w:rPr>
        <w:t xml:space="preserve">nebudou </w:t>
      </w:r>
      <w:r w:rsidR="00572442" w:rsidRPr="00572442">
        <w:rPr>
          <w:rFonts w:cs="Times New Roman"/>
          <w:lang w:eastAsia="cs-CZ"/>
        </w:rPr>
        <w:t>započítáva</w:t>
      </w:r>
      <w:r w:rsidR="00572442">
        <w:rPr>
          <w:rFonts w:cs="Times New Roman"/>
          <w:lang w:eastAsia="cs-CZ"/>
        </w:rPr>
        <w:t>t</w:t>
      </w:r>
      <w:r w:rsidR="00572442" w:rsidRPr="00572442">
        <w:rPr>
          <w:rFonts w:cs="Times New Roman"/>
          <w:lang w:eastAsia="cs-CZ"/>
        </w:rPr>
        <w:t xml:space="preserve"> individuálně vzdělávané děti, individuálně vzdělávaní žáci, žáci plnící povinnou školní docházku ve škole mimo území České republiky, ve škole zřízené při diplomatické misi nebo konzulárním úřadu České republiky, v zahraniční škole uskutečňující na území České republiky vzdělávání podle zahraničního vzdělávacího programu, v níž Ministerstvo školství, mládeže a tělovýchovy povolilo plnění povinné školní docházky, a v evropské škole působící na základě Úmluvy o statutu Evropských škol</w:t>
      </w:r>
      <w:r w:rsidR="00572442">
        <w:rPr>
          <w:rFonts w:cs="Times New Roman"/>
          <w:lang w:eastAsia="cs-CZ"/>
        </w:rPr>
        <w:t xml:space="preserve">. </w:t>
      </w:r>
      <w:r w:rsidR="006173E8">
        <w:rPr>
          <w:rFonts w:cs="Times New Roman"/>
          <w:lang w:eastAsia="cs-CZ"/>
        </w:rPr>
        <w:t>Předmětem politické debaty jsou rovněž děti, žáci a studenti přihlášené k pravidelné činnosti střediska volného času.</w:t>
      </w:r>
    </w:p>
    <w:p w14:paraId="1269192E" w14:textId="0945207D" w:rsidR="00572442" w:rsidRPr="00C84D85" w:rsidRDefault="00572442" w:rsidP="00C84D85">
      <w:pPr>
        <w:widowControl/>
        <w:spacing w:before="240" w:after="240"/>
        <w:jc w:val="both"/>
        <w:rPr>
          <w:rFonts w:cs="Times New Roman"/>
          <w:lang w:eastAsia="cs-CZ"/>
        </w:rPr>
      </w:pPr>
      <w:r>
        <w:rPr>
          <w:rFonts w:cs="Times New Roman"/>
          <w:lang w:eastAsia="cs-CZ"/>
        </w:rPr>
        <w:t>Stejné jednotky se nově použijí i pro kraje, nicméně pouze pro nový podíl na daňových výnosech.</w:t>
      </w:r>
    </w:p>
    <w:p w14:paraId="0D6EA9BD" w14:textId="7AFF5C2D" w:rsidR="0063124B" w:rsidRDefault="00C84D85" w:rsidP="0063124B">
      <w:pPr>
        <w:keepNext/>
        <w:widowControl/>
        <w:spacing w:before="240" w:after="240"/>
        <w:jc w:val="both"/>
        <w:rPr>
          <w:rFonts w:cs="Times New Roman"/>
          <w:b/>
          <w:lang w:eastAsia="cs-CZ"/>
        </w:rPr>
      </w:pPr>
      <w:r w:rsidRPr="00C84D85">
        <w:rPr>
          <w:rFonts w:cs="Times New Roman"/>
          <w:b/>
          <w:lang w:eastAsia="cs-CZ"/>
        </w:rPr>
        <w:t>LEGISLATIVNÍ ŘEŠENÍ</w:t>
      </w:r>
      <w:r w:rsidR="002B759E">
        <w:rPr>
          <w:rFonts w:cs="Times New Roman"/>
          <w:b/>
          <w:lang w:eastAsia="cs-CZ"/>
        </w:rPr>
        <w:t xml:space="preserve"> – úpravy zákonů: </w:t>
      </w:r>
    </w:p>
    <w:p w14:paraId="549C1239" w14:textId="75DA98BE" w:rsidR="0063124B" w:rsidRPr="0063124B" w:rsidRDefault="003B0532" w:rsidP="0063124B">
      <w:pPr>
        <w:pStyle w:val="Odstavecseseznamem"/>
        <w:keepNext/>
        <w:numPr>
          <w:ilvl w:val="0"/>
          <w:numId w:val="40"/>
        </w:numPr>
        <w:spacing w:before="240" w:after="240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63124B">
        <w:rPr>
          <w:rFonts w:ascii="Times New Roman" w:hAnsi="Times New Roman" w:cs="Times New Roman"/>
          <w:sz w:val="24"/>
          <w:szCs w:val="24"/>
        </w:rPr>
        <w:t xml:space="preserve">č. 243/2000 Sb., o rozpočtovém určení </w:t>
      </w:r>
      <w:r w:rsidR="00572442" w:rsidRPr="00572442">
        <w:rPr>
          <w:rFonts w:ascii="Times New Roman" w:hAnsi="Times New Roman" w:cs="Times New Roman"/>
          <w:sz w:val="24"/>
          <w:szCs w:val="24"/>
        </w:rPr>
        <w:t>výnosů některých daní územním samosprávným celkům a některým státním fondům (zákon o rozpočtovém určení daní)</w:t>
      </w:r>
      <w:r w:rsidR="00D50E3D">
        <w:rPr>
          <w:rFonts w:ascii="Times New Roman" w:hAnsi="Times New Roman" w:cs="Times New Roman"/>
          <w:sz w:val="24"/>
          <w:szCs w:val="24"/>
        </w:rPr>
        <w:t xml:space="preserve">, ve znění pozdějších </w:t>
      </w:r>
      <w:r w:rsidR="00D50E3D">
        <w:rPr>
          <w:rFonts w:ascii="Times New Roman" w:hAnsi="Times New Roman" w:cs="Times New Roman"/>
          <w:sz w:val="24"/>
          <w:szCs w:val="24"/>
        </w:rPr>
        <w:lastRenderedPageBreak/>
        <w:t>předpisů,</w:t>
      </w:r>
      <w:r w:rsidR="0063124B">
        <w:rPr>
          <w:rFonts w:ascii="Times New Roman" w:hAnsi="Times New Roman" w:cs="Times New Roman"/>
          <w:sz w:val="24"/>
          <w:szCs w:val="24"/>
        </w:rPr>
        <w:t xml:space="preserve">Změna zákona č. 561/2004 Sb., </w:t>
      </w:r>
      <w:r w:rsidR="0063124B" w:rsidRPr="0063124B">
        <w:rPr>
          <w:rFonts w:ascii="Times New Roman" w:hAnsi="Times New Roman" w:cs="Times New Roman"/>
          <w:sz w:val="24"/>
          <w:szCs w:val="24"/>
        </w:rPr>
        <w:t>o předškolním, základním, středním, vyšším odborném a jiném vzdělávání (školský zákon)</w:t>
      </w:r>
      <w:r w:rsidR="00572442">
        <w:rPr>
          <w:rFonts w:ascii="Times New Roman" w:hAnsi="Times New Roman" w:cs="Times New Roman"/>
          <w:sz w:val="24"/>
          <w:szCs w:val="24"/>
        </w:rPr>
        <w:t>, ve znění pozdějších předpisů,</w:t>
      </w:r>
    </w:p>
    <w:p w14:paraId="01CFA385" w14:textId="77B1A3CF" w:rsidR="00655AA1" w:rsidRPr="00606495" w:rsidRDefault="0063124B" w:rsidP="0063124B">
      <w:pPr>
        <w:pStyle w:val="Odstavecseseznamem"/>
        <w:keepNext/>
        <w:numPr>
          <w:ilvl w:val="0"/>
          <w:numId w:val="40"/>
        </w:numPr>
        <w:spacing w:before="240" w:after="240"/>
        <w:ind w:left="709" w:hanging="283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63124B">
        <w:rPr>
          <w:rFonts w:ascii="Times New Roman" w:hAnsi="Times New Roman" w:cs="Times New Roman"/>
          <w:bCs/>
          <w:sz w:val="24"/>
          <w:szCs w:val="24"/>
          <w:lang w:eastAsia="cs-CZ"/>
        </w:rPr>
        <w:t>Zákon č. 306/1999 Sb., o poskytování dotací soukromým školám, předškolním a školským zařízením</w:t>
      </w:r>
      <w:r w:rsidR="00572442">
        <w:rPr>
          <w:rFonts w:ascii="Times New Roman" w:hAnsi="Times New Roman" w:cs="Times New Roman"/>
          <w:bCs/>
          <w:sz w:val="24"/>
          <w:szCs w:val="24"/>
          <w:lang w:eastAsia="cs-CZ"/>
        </w:rPr>
        <w:t>, ve znění pozdějších předpisů,</w:t>
      </w:r>
    </w:p>
    <w:p w14:paraId="66080CFF" w14:textId="77777777" w:rsidR="00606495" w:rsidRPr="00606495" w:rsidRDefault="00606495" w:rsidP="00606495">
      <w:pPr>
        <w:pStyle w:val="Odstavecseseznamem"/>
        <w:keepNext/>
        <w:spacing w:before="240" w:after="240"/>
        <w:ind w:left="709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14:paraId="28BE6347" w14:textId="18A7E6EC" w:rsidR="00606495" w:rsidRPr="00F80A88" w:rsidRDefault="002B759E" w:rsidP="00F80A88">
      <w:pPr>
        <w:keepNext/>
        <w:spacing w:before="240" w:after="240"/>
        <w:jc w:val="both"/>
        <w:rPr>
          <w:rFonts w:cs="Times New Roman"/>
          <w:b/>
          <w:u w:val="single"/>
          <w:lang w:eastAsia="cs-CZ"/>
        </w:rPr>
      </w:pPr>
      <w:r w:rsidRPr="00F80A88">
        <w:rPr>
          <w:rFonts w:cs="Times New Roman"/>
          <w:b/>
          <w:u w:val="single"/>
          <w:lang w:eastAsia="cs-CZ"/>
        </w:rPr>
        <w:t xml:space="preserve">Co se nemění: </w:t>
      </w:r>
    </w:p>
    <w:p w14:paraId="175E3FA2" w14:textId="77777777" w:rsidR="002B759E" w:rsidRPr="002B759E" w:rsidRDefault="002B759E" w:rsidP="002B759E">
      <w:pPr>
        <w:pStyle w:val="Odstavecseseznamem"/>
        <w:keepNext/>
        <w:numPr>
          <w:ilvl w:val="0"/>
          <w:numId w:val="43"/>
        </w:numPr>
        <w:spacing w:before="240" w:after="24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2B759E">
        <w:rPr>
          <w:rFonts w:ascii="Times New Roman" w:hAnsi="Times New Roman" w:cs="Times New Roman"/>
          <w:bCs/>
          <w:sz w:val="24"/>
          <w:szCs w:val="24"/>
          <w:lang w:eastAsia="cs-CZ"/>
        </w:rPr>
        <w:t>Zaměstnavatelem nepedagogických zaměstnanců může být (a zpravidla bude) nadále „škola“</w:t>
      </w:r>
    </w:p>
    <w:p w14:paraId="15BBF801" w14:textId="77777777" w:rsidR="002B759E" w:rsidRPr="002B759E" w:rsidRDefault="002B759E" w:rsidP="002B759E">
      <w:pPr>
        <w:pStyle w:val="Odstavecseseznamem"/>
        <w:keepNext/>
        <w:numPr>
          <w:ilvl w:val="0"/>
          <w:numId w:val="43"/>
        </w:numPr>
        <w:spacing w:before="240" w:after="24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2B759E">
        <w:rPr>
          <w:rFonts w:ascii="Times New Roman" w:hAnsi="Times New Roman" w:cs="Times New Roman"/>
          <w:bCs/>
          <w:sz w:val="24"/>
          <w:szCs w:val="24"/>
          <w:lang w:eastAsia="cs-CZ"/>
        </w:rPr>
        <w:t>Systém odměňování</w:t>
      </w:r>
    </w:p>
    <w:p w14:paraId="67260325" w14:textId="77777777" w:rsidR="002B759E" w:rsidRPr="002B759E" w:rsidRDefault="002B759E" w:rsidP="002B759E">
      <w:pPr>
        <w:pStyle w:val="Odstavecseseznamem"/>
        <w:keepNext/>
        <w:numPr>
          <w:ilvl w:val="0"/>
          <w:numId w:val="43"/>
        </w:numPr>
        <w:spacing w:before="240" w:after="24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2B759E">
        <w:rPr>
          <w:rFonts w:ascii="Times New Roman" w:hAnsi="Times New Roman" w:cs="Times New Roman"/>
          <w:bCs/>
          <w:sz w:val="24"/>
          <w:szCs w:val="24"/>
          <w:lang w:eastAsia="cs-CZ"/>
        </w:rPr>
        <w:t>Rozdělení rolí mezi krajskými úřady, ORP a MŠMT</w:t>
      </w:r>
    </w:p>
    <w:p w14:paraId="385398E7" w14:textId="77777777" w:rsidR="002B759E" w:rsidRPr="002B759E" w:rsidRDefault="002B759E" w:rsidP="002B759E">
      <w:pPr>
        <w:pStyle w:val="Odstavecseseznamem"/>
        <w:keepNext/>
        <w:numPr>
          <w:ilvl w:val="0"/>
          <w:numId w:val="43"/>
        </w:numPr>
        <w:spacing w:before="240" w:after="24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2B759E">
        <w:rPr>
          <w:rFonts w:ascii="Times New Roman" w:hAnsi="Times New Roman" w:cs="Times New Roman"/>
          <w:bCs/>
          <w:sz w:val="24"/>
          <w:szCs w:val="24"/>
          <w:lang w:eastAsia="cs-CZ"/>
        </w:rPr>
        <w:t>Povinnost zajišťovat hmotné zabezpečení – školní stravování – posiluje se odpovědnost zřizovatele školy</w:t>
      </w:r>
    </w:p>
    <w:p w14:paraId="1DFCF687" w14:textId="77777777" w:rsidR="002B759E" w:rsidRDefault="002B759E" w:rsidP="002B759E">
      <w:pPr>
        <w:pStyle w:val="Odstavecseseznamem"/>
        <w:keepNext/>
        <w:spacing w:before="240" w:after="240"/>
        <w:ind w:left="284"/>
        <w:jc w:val="both"/>
        <w:rPr>
          <w:rFonts w:cs="Times New Roman"/>
          <w:b/>
          <w:lang w:eastAsia="cs-CZ"/>
        </w:rPr>
      </w:pPr>
    </w:p>
    <w:p w14:paraId="409ADE85" w14:textId="49A459C2" w:rsidR="00592196" w:rsidRPr="00F80A88" w:rsidRDefault="00592196" w:rsidP="00F80A88">
      <w:pPr>
        <w:keepNext/>
        <w:spacing w:before="240" w:after="240"/>
        <w:jc w:val="both"/>
        <w:rPr>
          <w:rFonts w:cs="Times New Roman"/>
          <w:b/>
          <w:lang w:eastAsia="cs-CZ"/>
        </w:rPr>
      </w:pPr>
      <w:r>
        <w:rPr>
          <w:rFonts w:cs="Times New Roman"/>
          <w:b/>
          <w:lang w:eastAsia="cs-CZ"/>
        </w:rPr>
        <w:t xml:space="preserve">Pozměňovací návrh obsahující výše uvedené byl schválen dne 5. 2. 2025 </w:t>
      </w:r>
      <w:r w:rsidRPr="00592196">
        <w:rPr>
          <w:rFonts w:cs="Times New Roman"/>
          <w:b/>
          <w:lang w:eastAsia="cs-CZ"/>
        </w:rPr>
        <w:t>Výbor</w:t>
      </w:r>
      <w:r>
        <w:rPr>
          <w:rFonts w:cs="Times New Roman"/>
          <w:b/>
          <w:lang w:eastAsia="cs-CZ"/>
        </w:rPr>
        <w:t>em</w:t>
      </w:r>
      <w:r w:rsidRPr="00592196">
        <w:rPr>
          <w:rFonts w:cs="Times New Roman"/>
          <w:b/>
          <w:lang w:eastAsia="cs-CZ"/>
        </w:rPr>
        <w:t xml:space="preserve"> pro vědu, vzdělání, kulturu,</w:t>
      </w:r>
      <w:r>
        <w:rPr>
          <w:rFonts w:cs="Times New Roman"/>
          <w:b/>
          <w:lang w:eastAsia="cs-CZ"/>
        </w:rPr>
        <w:t xml:space="preserve"> </w:t>
      </w:r>
      <w:r w:rsidRPr="00592196">
        <w:rPr>
          <w:rFonts w:cs="Times New Roman"/>
          <w:b/>
          <w:lang w:eastAsia="cs-CZ"/>
        </w:rPr>
        <w:t>mládež a tělovýchovu</w:t>
      </w:r>
      <w:r>
        <w:rPr>
          <w:rFonts w:cs="Times New Roman"/>
          <w:b/>
          <w:lang w:eastAsia="cs-CZ"/>
        </w:rPr>
        <w:t xml:space="preserve"> Poslanecké sněmovny Parlamentu ČR.</w:t>
      </w:r>
    </w:p>
    <w:p w14:paraId="2B8B9C00" w14:textId="77777777" w:rsidR="002B759E" w:rsidRDefault="002B759E" w:rsidP="002B759E">
      <w:pPr>
        <w:pStyle w:val="Odstavecseseznamem"/>
        <w:keepNext/>
        <w:spacing w:before="240" w:after="240"/>
        <w:ind w:left="284"/>
        <w:jc w:val="both"/>
        <w:rPr>
          <w:rFonts w:cs="Times New Roman"/>
          <w:b/>
          <w:lang w:eastAsia="cs-CZ"/>
        </w:rPr>
      </w:pPr>
    </w:p>
    <w:sectPr w:rsidR="002B759E" w:rsidSect="0063124B">
      <w:headerReference w:type="default" r:id="rId11"/>
      <w:footerReference w:type="default" r:id="rId12"/>
      <w:pgSz w:w="11906" w:h="16838"/>
      <w:pgMar w:top="993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9F599" w14:textId="77777777" w:rsidR="00545518" w:rsidRDefault="00545518" w:rsidP="00CC6C06">
      <w:r>
        <w:separator/>
      </w:r>
    </w:p>
  </w:endnote>
  <w:endnote w:type="continuationSeparator" w:id="0">
    <w:p w14:paraId="1AAD1D33" w14:textId="77777777" w:rsidR="00545518" w:rsidRDefault="00545518" w:rsidP="00CC6C06">
      <w:r>
        <w:continuationSeparator/>
      </w:r>
    </w:p>
  </w:endnote>
  <w:endnote w:type="continuationNotice" w:id="1">
    <w:p w14:paraId="5B1A866C" w14:textId="77777777" w:rsidR="00545518" w:rsidRDefault="005455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6D303" w14:textId="211F6357" w:rsidR="00821224" w:rsidRDefault="00821224" w:rsidP="00E204FE">
    <w:pPr>
      <w:pStyle w:val="Zpat"/>
      <w:jc w:val="center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9A390A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9A390A">
      <w:rPr>
        <w:b/>
        <w:bCs/>
        <w:noProof/>
      </w:rPr>
      <w:t>3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4633CE" w14:textId="77777777" w:rsidR="00545518" w:rsidRDefault="00545518" w:rsidP="00CC6C06">
      <w:r>
        <w:separator/>
      </w:r>
    </w:p>
  </w:footnote>
  <w:footnote w:type="continuationSeparator" w:id="0">
    <w:p w14:paraId="2C0C36C9" w14:textId="77777777" w:rsidR="00545518" w:rsidRDefault="00545518" w:rsidP="00CC6C06">
      <w:r>
        <w:continuationSeparator/>
      </w:r>
    </w:p>
  </w:footnote>
  <w:footnote w:type="continuationNotice" w:id="1">
    <w:p w14:paraId="3E7B82AE" w14:textId="77777777" w:rsidR="00545518" w:rsidRDefault="00545518"/>
  </w:footnote>
  <w:footnote w:id="2">
    <w:p w14:paraId="23E6800F" w14:textId="77777777" w:rsidR="00113531" w:rsidRPr="0038482C" w:rsidRDefault="00113531" w:rsidP="00113531">
      <w:pPr>
        <w:pStyle w:val="Textpoznpodarou1"/>
        <w:jc w:val="both"/>
        <w:rPr>
          <w:rFonts w:ascii="Times New Roman" w:hAnsi="Times New Roman" w:cs="Times New Roman"/>
          <w:sz w:val="20"/>
          <w:szCs w:val="20"/>
        </w:rPr>
      </w:pPr>
      <w:r w:rsidRPr="0038482C">
        <w:rPr>
          <w:rStyle w:val="Znakapoznpodarou"/>
          <w:rFonts w:ascii="Times New Roman" w:hAnsi="Times New Roman" w:cs="Times New Roman"/>
          <w:sz w:val="20"/>
          <w:szCs w:val="20"/>
        </w:rPr>
        <w:footnoteRef/>
      </w:r>
      <w:r w:rsidRPr="0038482C">
        <w:rPr>
          <w:rFonts w:ascii="Times New Roman" w:hAnsi="Times New Roman" w:cs="Times New Roman"/>
          <w:sz w:val="20"/>
          <w:szCs w:val="20"/>
        </w:rPr>
        <w:t xml:space="preserve"> Například kritérium „rozloha obce“ je v platném zákoně o RUD vymezeno tzv. započtenou výměrou, jež je definována jako výměra, která vychází z údajů Českého úřadu zeměměřického a katastrálního k 1. lednu běžného roku, maximálně však výměra 10 ha na každého obyvatele obce.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C04A0" w14:textId="13C562EB" w:rsidR="003B0532" w:rsidRDefault="003B0532">
    <w:pPr>
      <w:pStyle w:val="Zhlav"/>
    </w:pPr>
    <w:r>
      <w:t xml:space="preserve">Informativní materiál MŠMT, Plenární schůze RHSD, 18. února 2025 </w:t>
    </w:r>
  </w:p>
  <w:p w14:paraId="7779D56C" w14:textId="77777777" w:rsidR="003B0532" w:rsidRDefault="003B05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BA2AE9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992" w:hanging="708"/>
      </w:pPr>
      <w:rPr>
        <w:rFonts w:ascii="Arial" w:eastAsia="Times New Roman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5F7D80"/>
    <w:multiLevelType w:val="hybridMultilevel"/>
    <w:tmpl w:val="36F00A6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C07FF1"/>
    <w:multiLevelType w:val="hybridMultilevel"/>
    <w:tmpl w:val="EE723F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29BD"/>
    <w:multiLevelType w:val="hybridMultilevel"/>
    <w:tmpl w:val="E6669D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B6AFA"/>
    <w:multiLevelType w:val="hybridMultilevel"/>
    <w:tmpl w:val="7262B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37FB"/>
    <w:multiLevelType w:val="hybridMultilevel"/>
    <w:tmpl w:val="8962FC06"/>
    <w:lvl w:ilvl="0" w:tplc="1FFC827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Calibri Light" w:hAnsi="Calibri Light" w:hint="default"/>
      </w:rPr>
    </w:lvl>
    <w:lvl w:ilvl="1" w:tplc="9FCE496A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Calibri Light" w:hAnsi="Calibri Light" w:hint="default"/>
      </w:rPr>
    </w:lvl>
    <w:lvl w:ilvl="2" w:tplc="FA7E6BA0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Calibri Light" w:hAnsi="Calibri Light" w:hint="default"/>
      </w:rPr>
    </w:lvl>
    <w:lvl w:ilvl="3" w:tplc="6C1AB31C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Calibri Light" w:hAnsi="Calibri Light" w:hint="default"/>
      </w:rPr>
    </w:lvl>
    <w:lvl w:ilvl="4" w:tplc="DC42826E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Calibri Light" w:hAnsi="Calibri Light" w:hint="default"/>
      </w:rPr>
    </w:lvl>
    <w:lvl w:ilvl="5" w:tplc="59D46B0E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Calibri Light" w:hAnsi="Calibri Light" w:hint="default"/>
      </w:rPr>
    </w:lvl>
    <w:lvl w:ilvl="6" w:tplc="69763D90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Calibri Light" w:hAnsi="Calibri Light" w:hint="default"/>
      </w:rPr>
    </w:lvl>
    <w:lvl w:ilvl="7" w:tplc="45F070CA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Calibri Light" w:hAnsi="Calibri Light" w:hint="default"/>
      </w:rPr>
    </w:lvl>
    <w:lvl w:ilvl="8" w:tplc="8E50FD64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Calibri Light" w:hAnsi="Calibri Light" w:hint="default"/>
      </w:rPr>
    </w:lvl>
  </w:abstractNum>
  <w:abstractNum w:abstractNumId="6" w15:restartNumberingAfterBreak="0">
    <w:nsid w:val="12A57283"/>
    <w:multiLevelType w:val="hybridMultilevel"/>
    <w:tmpl w:val="BA62BDF2"/>
    <w:lvl w:ilvl="0" w:tplc="F148FAB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AC0CD9"/>
    <w:multiLevelType w:val="hybridMultilevel"/>
    <w:tmpl w:val="000AFC9E"/>
    <w:lvl w:ilvl="0" w:tplc="DDE893D4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Calibri Light" w:hAnsi="Calibri Light" w:hint="default"/>
      </w:rPr>
    </w:lvl>
    <w:lvl w:ilvl="1" w:tplc="B5D8D498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Calibri Light" w:hAnsi="Calibri Light" w:hint="default"/>
      </w:rPr>
    </w:lvl>
    <w:lvl w:ilvl="2" w:tplc="6240BBB2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Calibri Light" w:hAnsi="Calibri Light" w:hint="default"/>
      </w:rPr>
    </w:lvl>
    <w:lvl w:ilvl="3" w:tplc="21AC140A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Calibri Light" w:hAnsi="Calibri Light" w:hint="default"/>
      </w:rPr>
    </w:lvl>
    <w:lvl w:ilvl="4" w:tplc="4956D61C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Calibri Light" w:hAnsi="Calibri Light" w:hint="default"/>
      </w:rPr>
    </w:lvl>
    <w:lvl w:ilvl="5" w:tplc="94E6B274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Calibri Light" w:hAnsi="Calibri Light" w:hint="default"/>
      </w:rPr>
    </w:lvl>
    <w:lvl w:ilvl="6" w:tplc="93B28CEA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Calibri Light" w:hAnsi="Calibri Light" w:hint="default"/>
      </w:rPr>
    </w:lvl>
    <w:lvl w:ilvl="7" w:tplc="6FD4AABA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Calibri Light" w:hAnsi="Calibri Light" w:hint="default"/>
      </w:rPr>
    </w:lvl>
    <w:lvl w:ilvl="8" w:tplc="2E666BE2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Calibri Light" w:hAnsi="Calibri Light" w:hint="default"/>
      </w:rPr>
    </w:lvl>
  </w:abstractNum>
  <w:abstractNum w:abstractNumId="8" w15:restartNumberingAfterBreak="0">
    <w:nsid w:val="21265A79"/>
    <w:multiLevelType w:val="hybridMultilevel"/>
    <w:tmpl w:val="9962AA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16647EB8"/>
    <w:lvl w:ilvl="0">
      <w:start w:val="42"/>
      <w:numFmt w:val="none"/>
      <w:pStyle w:val="Paragraf"/>
      <w:isLgl/>
      <w:suff w:val="nothing"/>
      <w:lvlText w:val=""/>
      <w:lvlJc w:val="left"/>
      <w:pPr>
        <w:ind w:left="0" w:firstLine="0"/>
      </w:pPr>
    </w:lvl>
    <w:lvl w:ilvl="1">
      <w:start w:val="2"/>
      <w:numFmt w:val="none"/>
      <w:lvlRestart w:val="0"/>
      <w:pStyle w:val="lnek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783"/>
        </w:tabs>
        <w:ind w:left="1" w:firstLine="425"/>
      </w:p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9694E82"/>
    <w:multiLevelType w:val="hybridMultilevel"/>
    <w:tmpl w:val="32345B54"/>
    <w:lvl w:ilvl="0" w:tplc="F148FA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7586B"/>
    <w:multiLevelType w:val="hybridMultilevel"/>
    <w:tmpl w:val="AD8C4FEE"/>
    <w:lvl w:ilvl="0" w:tplc="F99EC0F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66ADF"/>
    <w:multiLevelType w:val="multilevel"/>
    <w:tmpl w:val="AAD2E3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B1A3ACF"/>
    <w:multiLevelType w:val="hybridMultilevel"/>
    <w:tmpl w:val="A2A294C6"/>
    <w:lvl w:ilvl="0" w:tplc="E00EFC68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Calibri Light" w:hAnsi="Calibri Light" w:hint="default"/>
      </w:rPr>
    </w:lvl>
    <w:lvl w:ilvl="1" w:tplc="A72A934E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Calibri Light" w:hAnsi="Calibri Light" w:hint="default"/>
      </w:rPr>
    </w:lvl>
    <w:lvl w:ilvl="2" w:tplc="7F0ED666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Calibri Light" w:hAnsi="Calibri Light" w:hint="default"/>
      </w:rPr>
    </w:lvl>
    <w:lvl w:ilvl="3" w:tplc="AB6A7442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Calibri Light" w:hAnsi="Calibri Light" w:hint="default"/>
      </w:rPr>
    </w:lvl>
    <w:lvl w:ilvl="4" w:tplc="834A162C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Calibri Light" w:hAnsi="Calibri Light" w:hint="default"/>
      </w:rPr>
    </w:lvl>
    <w:lvl w:ilvl="5" w:tplc="1A0ED958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Calibri Light" w:hAnsi="Calibri Light" w:hint="default"/>
      </w:rPr>
    </w:lvl>
    <w:lvl w:ilvl="6" w:tplc="AEFEDA8A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Calibri Light" w:hAnsi="Calibri Light" w:hint="default"/>
      </w:rPr>
    </w:lvl>
    <w:lvl w:ilvl="7" w:tplc="A070982C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Calibri Light" w:hAnsi="Calibri Light" w:hint="default"/>
      </w:rPr>
    </w:lvl>
    <w:lvl w:ilvl="8" w:tplc="5E5C65CC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Calibri Light" w:hAnsi="Calibri Light" w:hint="default"/>
      </w:rPr>
    </w:lvl>
  </w:abstractNum>
  <w:abstractNum w:abstractNumId="14" w15:restartNumberingAfterBreak="0">
    <w:nsid w:val="2F0C0EDF"/>
    <w:multiLevelType w:val="hybridMultilevel"/>
    <w:tmpl w:val="86D880DC"/>
    <w:lvl w:ilvl="0" w:tplc="6E14975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2F657B9A"/>
    <w:multiLevelType w:val="hybridMultilevel"/>
    <w:tmpl w:val="4040483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F045FC"/>
    <w:multiLevelType w:val="hybridMultilevel"/>
    <w:tmpl w:val="15165390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34501E36"/>
    <w:multiLevelType w:val="multilevel"/>
    <w:tmpl w:val="925651C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1A144B"/>
    <w:multiLevelType w:val="hybridMultilevel"/>
    <w:tmpl w:val="6D84C9E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DC7987"/>
    <w:multiLevelType w:val="hybridMultilevel"/>
    <w:tmpl w:val="1DD85B88"/>
    <w:lvl w:ilvl="0" w:tplc="F99EC0F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2D242D"/>
    <w:multiLevelType w:val="hybridMultilevel"/>
    <w:tmpl w:val="6D84C9E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4E10EF"/>
    <w:multiLevelType w:val="hybridMultilevel"/>
    <w:tmpl w:val="440C1042"/>
    <w:lvl w:ilvl="0" w:tplc="33D626E4">
      <w:start w:val="1"/>
      <w:numFmt w:val="lowerLetter"/>
      <w:lvlText w:val="%1)"/>
      <w:lvlJc w:val="left"/>
      <w:pPr>
        <w:ind w:left="9008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9363ADE"/>
    <w:multiLevelType w:val="hybridMultilevel"/>
    <w:tmpl w:val="EB861186"/>
    <w:lvl w:ilvl="0" w:tplc="6E14975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A1479A7"/>
    <w:multiLevelType w:val="hybridMultilevel"/>
    <w:tmpl w:val="A4D03AC4"/>
    <w:lvl w:ilvl="0" w:tplc="E886F02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Calibri Light" w:hAnsi="Calibri Light" w:hint="default"/>
      </w:rPr>
    </w:lvl>
    <w:lvl w:ilvl="1" w:tplc="66D0A6BE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Calibri Light" w:hAnsi="Calibri Light" w:hint="default"/>
      </w:rPr>
    </w:lvl>
    <w:lvl w:ilvl="2" w:tplc="75ACC168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Calibri Light" w:hAnsi="Calibri Light" w:hint="default"/>
      </w:rPr>
    </w:lvl>
    <w:lvl w:ilvl="3" w:tplc="2A6E2F5C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Calibri Light" w:hAnsi="Calibri Light" w:hint="default"/>
      </w:rPr>
    </w:lvl>
    <w:lvl w:ilvl="4" w:tplc="5024DEC0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Calibri Light" w:hAnsi="Calibri Light" w:hint="default"/>
      </w:rPr>
    </w:lvl>
    <w:lvl w:ilvl="5" w:tplc="E7181A7C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Calibri Light" w:hAnsi="Calibri Light" w:hint="default"/>
      </w:rPr>
    </w:lvl>
    <w:lvl w:ilvl="6" w:tplc="8F08AB1A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Calibri Light" w:hAnsi="Calibri Light" w:hint="default"/>
      </w:rPr>
    </w:lvl>
    <w:lvl w:ilvl="7" w:tplc="94D05DB8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Calibri Light" w:hAnsi="Calibri Light" w:hint="default"/>
      </w:rPr>
    </w:lvl>
    <w:lvl w:ilvl="8" w:tplc="B49C7C8A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Calibri Light" w:hAnsi="Calibri Light" w:hint="default"/>
      </w:rPr>
    </w:lvl>
  </w:abstractNum>
  <w:abstractNum w:abstractNumId="24" w15:restartNumberingAfterBreak="0">
    <w:nsid w:val="5CFE490C"/>
    <w:multiLevelType w:val="hybridMultilevel"/>
    <w:tmpl w:val="4580AF98"/>
    <w:lvl w:ilvl="0" w:tplc="0DC486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AE4EFA"/>
    <w:multiLevelType w:val="hybridMultilevel"/>
    <w:tmpl w:val="2A9E39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485FF6"/>
    <w:multiLevelType w:val="hybridMultilevel"/>
    <w:tmpl w:val="3FF86FE6"/>
    <w:lvl w:ilvl="0" w:tplc="F148FAB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D21071"/>
    <w:multiLevelType w:val="hybridMultilevel"/>
    <w:tmpl w:val="6D84C9E0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D45E03"/>
    <w:multiLevelType w:val="hybridMultilevel"/>
    <w:tmpl w:val="E7E012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953063"/>
    <w:multiLevelType w:val="hybridMultilevel"/>
    <w:tmpl w:val="5F68AC02"/>
    <w:lvl w:ilvl="0" w:tplc="6E14975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 w15:restartNumberingAfterBreak="0">
    <w:nsid w:val="678D6B64"/>
    <w:multiLevelType w:val="multilevel"/>
    <w:tmpl w:val="76BEF22E"/>
    <w:styleLink w:val="WWNum49"/>
    <w:lvl w:ilvl="0">
      <w:start w:val="2"/>
      <w:numFmt w:val="decimal"/>
      <w:lvlText w:val="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495CCF"/>
    <w:multiLevelType w:val="hybridMultilevel"/>
    <w:tmpl w:val="747E8A3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C971F16"/>
    <w:multiLevelType w:val="multilevel"/>
    <w:tmpl w:val="925651C2"/>
    <w:styleLink w:val="WWNum47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DD37CD1"/>
    <w:multiLevelType w:val="hybridMultilevel"/>
    <w:tmpl w:val="70FE3D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E464FC4"/>
    <w:multiLevelType w:val="hybridMultilevel"/>
    <w:tmpl w:val="CF408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3A16E6"/>
    <w:multiLevelType w:val="hybridMultilevel"/>
    <w:tmpl w:val="7A06A0E4"/>
    <w:lvl w:ilvl="0" w:tplc="F148FAB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CA7312"/>
    <w:multiLevelType w:val="hybridMultilevel"/>
    <w:tmpl w:val="9BA6C7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D0C47"/>
    <w:multiLevelType w:val="hybridMultilevel"/>
    <w:tmpl w:val="5DA63C98"/>
    <w:lvl w:ilvl="0" w:tplc="6E149758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8" w15:restartNumberingAfterBreak="0">
    <w:nsid w:val="78FB7F39"/>
    <w:multiLevelType w:val="hybridMultilevel"/>
    <w:tmpl w:val="192C34B2"/>
    <w:lvl w:ilvl="0" w:tplc="F460A3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923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1D24F3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D88B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EE8D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17605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E94E0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E475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4140A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9" w15:restartNumberingAfterBreak="0">
    <w:nsid w:val="79F92337"/>
    <w:multiLevelType w:val="hybridMultilevel"/>
    <w:tmpl w:val="7F0A1490"/>
    <w:lvl w:ilvl="0" w:tplc="AA3AE130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7D075645"/>
    <w:multiLevelType w:val="hybridMultilevel"/>
    <w:tmpl w:val="AAAE43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0"/>
  </w:num>
  <w:num w:numId="3">
    <w:abstractNumId w:val="32"/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4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22"/>
  </w:num>
  <w:num w:numId="8">
    <w:abstractNumId w:val="8"/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18"/>
  </w:num>
  <w:num w:numId="13">
    <w:abstractNumId w:val="11"/>
  </w:num>
  <w:num w:numId="14">
    <w:abstractNumId w:val="34"/>
  </w:num>
  <w:num w:numId="15">
    <w:abstractNumId w:val="20"/>
  </w:num>
  <w:num w:numId="16">
    <w:abstractNumId w:val="33"/>
  </w:num>
  <w:num w:numId="17">
    <w:abstractNumId w:val="31"/>
  </w:num>
  <w:num w:numId="18">
    <w:abstractNumId w:val="1"/>
  </w:num>
  <w:num w:numId="19">
    <w:abstractNumId w:val="15"/>
  </w:num>
  <w:num w:numId="20">
    <w:abstractNumId w:val="25"/>
  </w:num>
  <w:num w:numId="21">
    <w:abstractNumId w:val="3"/>
  </w:num>
  <w:num w:numId="22">
    <w:abstractNumId w:val="19"/>
  </w:num>
  <w:num w:numId="23">
    <w:abstractNumId w:val="39"/>
  </w:num>
  <w:num w:numId="24">
    <w:abstractNumId w:val="35"/>
  </w:num>
  <w:num w:numId="25">
    <w:abstractNumId w:val="26"/>
  </w:num>
  <w:num w:numId="26">
    <w:abstractNumId w:val="10"/>
  </w:num>
  <w:num w:numId="27">
    <w:abstractNumId w:val="12"/>
  </w:num>
  <w:num w:numId="28">
    <w:abstractNumId w:val="9"/>
  </w:num>
  <w:num w:numId="29">
    <w:abstractNumId w:val="12"/>
  </w:num>
  <w:num w:numId="30">
    <w:abstractNumId w:val="12"/>
  </w:num>
  <w:num w:numId="31">
    <w:abstractNumId w:val="9"/>
    <w:lvlOverride w:ilvl="0">
      <w:startOverride w:val="4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</w:num>
  <w:num w:numId="33">
    <w:abstractNumId w:val="9"/>
    <w:lvlOverride w:ilvl="0">
      <w:startOverride w:val="4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4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4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29"/>
  </w:num>
  <w:num w:numId="38">
    <w:abstractNumId w:val="17"/>
  </w:num>
  <w:num w:numId="39">
    <w:abstractNumId w:val="28"/>
  </w:num>
  <w:num w:numId="40">
    <w:abstractNumId w:val="40"/>
  </w:num>
  <w:num w:numId="41">
    <w:abstractNumId w:val="24"/>
  </w:num>
  <w:num w:numId="42">
    <w:abstractNumId w:val="7"/>
  </w:num>
  <w:num w:numId="43">
    <w:abstractNumId w:val="4"/>
  </w:num>
  <w:num w:numId="44">
    <w:abstractNumId w:val="38"/>
  </w:num>
  <w:num w:numId="45">
    <w:abstractNumId w:val="2"/>
  </w:num>
  <w:num w:numId="46">
    <w:abstractNumId w:val="13"/>
  </w:num>
  <w:num w:numId="47">
    <w:abstractNumId w:val="23"/>
  </w:num>
  <w:num w:numId="48">
    <w:abstractNumId w:val="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4A1"/>
    <w:rsid w:val="00000D4B"/>
    <w:rsid w:val="000010D6"/>
    <w:rsid w:val="00003D13"/>
    <w:rsid w:val="0000479D"/>
    <w:rsid w:val="000105A0"/>
    <w:rsid w:val="000113BB"/>
    <w:rsid w:val="000137DB"/>
    <w:rsid w:val="000138A0"/>
    <w:rsid w:val="00013BAF"/>
    <w:rsid w:val="00014794"/>
    <w:rsid w:val="00014DA1"/>
    <w:rsid w:val="00017171"/>
    <w:rsid w:val="0002084B"/>
    <w:rsid w:val="0002091F"/>
    <w:rsid w:val="000213B2"/>
    <w:rsid w:val="00022F0E"/>
    <w:rsid w:val="00023A0B"/>
    <w:rsid w:val="000241CE"/>
    <w:rsid w:val="000247E4"/>
    <w:rsid w:val="00024888"/>
    <w:rsid w:val="00024B17"/>
    <w:rsid w:val="00024B63"/>
    <w:rsid w:val="00026532"/>
    <w:rsid w:val="00027E23"/>
    <w:rsid w:val="000344F6"/>
    <w:rsid w:val="00034859"/>
    <w:rsid w:val="00037285"/>
    <w:rsid w:val="00037C03"/>
    <w:rsid w:val="00037F50"/>
    <w:rsid w:val="0004062C"/>
    <w:rsid w:val="00040CC9"/>
    <w:rsid w:val="000422D5"/>
    <w:rsid w:val="00043681"/>
    <w:rsid w:val="00043976"/>
    <w:rsid w:val="00046C74"/>
    <w:rsid w:val="000476A9"/>
    <w:rsid w:val="00050345"/>
    <w:rsid w:val="00050A60"/>
    <w:rsid w:val="0005293C"/>
    <w:rsid w:val="00052D0B"/>
    <w:rsid w:val="00054B94"/>
    <w:rsid w:val="00056BC1"/>
    <w:rsid w:val="000574BE"/>
    <w:rsid w:val="000627C4"/>
    <w:rsid w:val="00062E98"/>
    <w:rsid w:val="00063AD6"/>
    <w:rsid w:val="00063DCE"/>
    <w:rsid w:val="00066ABC"/>
    <w:rsid w:val="0006702D"/>
    <w:rsid w:val="000701E7"/>
    <w:rsid w:val="00070310"/>
    <w:rsid w:val="00070D59"/>
    <w:rsid w:val="0007211E"/>
    <w:rsid w:val="00072DE2"/>
    <w:rsid w:val="00072ECC"/>
    <w:rsid w:val="000732D9"/>
    <w:rsid w:val="0007338A"/>
    <w:rsid w:val="00074A02"/>
    <w:rsid w:val="00075E12"/>
    <w:rsid w:val="00075EA9"/>
    <w:rsid w:val="00077524"/>
    <w:rsid w:val="0008023D"/>
    <w:rsid w:val="0008182E"/>
    <w:rsid w:val="00081C77"/>
    <w:rsid w:val="00082D99"/>
    <w:rsid w:val="0008483E"/>
    <w:rsid w:val="00084BDB"/>
    <w:rsid w:val="00085B82"/>
    <w:rsid w:val="00086078"/>
    <w:rsid w:val="00086CB5"/>
    <w:rsid w:val="00093E1F"/>
    <w:rsid w:val="000951CC"/>
    <w:rsid w:val="00095F35"/>
    <w:rsid w:val="000966E0"/>
    <w:rsid w:val="00096ED6"/>
    <w:rsid w:val="000A0DD8"/>
    <w:rsid w:val="000A7C7E"/>
    <w:rsid w:val="000B06C0"/>
    <w:rsid w:val="000B45D1"/>
    <w:rsid w:val="000B4718"/>
    <w:rsid w:val="000B49A5"/>
    <w:rsid w:val="000B4FEB"/>
    <w:rsid w:val="000B536D"/>
    <w:rsid w:val="000B5C12"/>
    <w:rsid w:val="000B782D"/>
    <w:rsid w:val="000C5D99"/>
    <w:rsid w:val="000C72A6"/>
    <w:rsid w:val="000C76E2"/>
    <w:rsid w:val="000D0944"/>
    <w:rsid w:val="000D1554"/>
    <w:rsid w:val="000D226D"/>
    <w:rsid w:val="000D2CEB"/>
    <w:rsid w:val="000D2D46"/>
    <w:rsid w:val="000D5995"/>
    <w:rsid w:val="000D7FF0"/>
    <w:rsid w:val="000E01EA"/>
    <w:rsid w:val="000E05B1"/>
    <w:rsid w:val="000E0E8D"/>
    <w:rsid w:val="000E1C0C"/>
    <w:rsid w:val="000E23BC"/>
    <w:rsid w:val="000E5CBB"/>
    <w:rsid w:val="000E5EDB"/>
    <w:rsid w:val="000E6629"/>
    <w:rsid w:val="000F053E"/>
    <w:rsid w:val="000F126B"/>
    <w:rsid w:val="000F1CC9"/>
    <w:rsid w:val="000F231F"/>
    <w:rsid w:val="000F28A2"/>
    <w:rsid w:val="000F294A"/>
    <w:rsid w:val="000F2F06"/>
    <w:rsid w:val="000F4B52"/>
    <w:rsid w:val="000F5776"/>
    <w:rsid w:val="000F76F7"/>
    <w:rsid w:val="00101861"/>
    <w:rsid w:val="00103837"/>
    <w:rsid w:val="00103C81"/>
    <w:rsid w:val="00103E0D"/>
    <w:rsid w:val="0010532D"/>
    <w:rsid w:val="00107A95"/>
    <w:rsid w:val="00110235"/>
    <w:rsid w:val="00110BB1"/>
    <w:rsid w:val="00113531"/>
    <w:rsid w:val="00113AD8"/>
    <w:rsid w:val="001147CA"/>
    <w:rsid w:val="00114FFF"/>
    <w:rsid w:val="00115C79"/>
    <w:rsid w:val="00115DEC"/>
    <w:rsid w:val="00125460"/>
    <w:rsid w:val="00132047"/>
    <w:rsid w:val="00134792"/>
    <w:rsid w:val="00134B04"/>
    <w:rsid w:val="00134DEF"/>
    <w:rsid w:val="00135274"/>
    <w:rsid w:val="001358AE"/>
    <w:rsid w:val="001410DD"/>
    <w:rsid w:val="001425EE"/>
    <w:rsid w:val="00142FB8"/>
    <w:rsid w:val="0014399E"/>
    <w:rsid w:val="0014593B"/>
    <w:rsid w:val="00145E4D"/>
    <w:rsid w:val="00146570"/>
    <w:rsid w:val="001472EC"/>
    <w:rsid w:val="00147A7A"/>
    <w:rsid w:val="001502FA"/>
    <w:rsid w:val="001503AA"/>
    <w:rsid w:val="00150B25"/>
    <w:rsid w:val="00150C24"/>
    <w:rsid w:val="00152994"/>
    <w:rsid w:val="00154797"/>
    <w:rsid w:val="00154E7E"/>
    <w:rsid w:val="00155F70"/>
    <w:rsid w:val="00160EF8"/>
    <w:rsid w:val="001615BC"/>
    <w:rsid w:val="00161825"/>
    <w:rsid w:val="00163B7C"/>
    <w:rsid w:val="00163DD3"/>
    <w:rsid w:val="001642C1"/>
    <w:rsid w:val="00164AA9"/>
    <w:rsid w:val="00166EEB"/>
    <w:rsid w:val="00171D85"/>
    <w:rsid w:val="00173823"/>
    <w:rsid w:val="00174308"/>
    <w:rsid w:val="001753D3"/>
    <w:rsid w:val="00175683"/>
    <w:rsid w:val="001757FC"/>
    <w:rsid w:val="00180364"/>
    <w:rsid w:val="001826CE"/>
    <w:rsid w:val="00182C6C"/>
    <w:rsid w:val="001863AD"/>
    <w:rsid w:val="001863D5"/>
    <w:rsid w:val="00187D4B"/>
    <w:rsid w:val="0019291E"/>
    <w:rsid w:val="001940B0"/>
    <w:rsid w:val="001962B4"/>
    <w:rsid w:val="001962F7"/>
    <w:rsid w:val="001967C9"/>
    <w:rsid w:val="001A1FCD"/>
    <w:rsid w:val="001A33E7"/>
    <w:rsid w:val="001A44FD"/>
    <w:rsid w:val="001A5041"/>
    <w:rsid w:val="001A67FA"/>
    <w:rsid w:val="001A76B5"/>
    <w:rsid w:val="001B1162"/>
    <w:rsid w:val="001B23CF"/>
    <w:rsid w:val="001B3A61"/>
    <w:rsid w:val="001B4B72"/>
    <w:rsid w:val="001B52E2"/>
    <w:rsid w:val="001B7072"/>
    <w:rsid w:val="001B7353"/>
    <w:rsid w:val="001B77E3"/>
    <w:rsid w:val="001C2325"/>
    <w:rsid w:val="001C40C2"/>
    <w:rsid w:val="001C5796"/>
    <w:rsid w:val="001D154E"/>
    <w:rsid w:val="001D1C44"/>
    <w:rsid w:val="001D20AA"/>
    <w:rsid w:val="001D2EC6"/>
    <w:rsid w:val="001D2FE5"/>
    <w:rsid w:val="001D453A"/>
    <w:rsid w:val="001D4E75"/>
    <w:rsid w:val="001D650D"/>
    <w:rsid w:val="001D6B65"/>
    <w:rsid w:val="001D7053"/>
    <w:rsid w:val="001D7BFF"/>
    <w:rsid w:val="001E10E1"/>
    <w:rsid w:val="001E191B"/>
    <w:rsid w:val="001E26FD"/>
    <w:rsid w:val="001E29F8"/>
    <w:rsid w:val="001E4061"/>
    <w:rsid w:val="001E4B69"/>
    <w:rsid w:val="001E5770"/>
    <w:rsid w:val="001E7B8B"/>
    <w:rsid w:val="001E7F86"/>
    <w:rsid w:val="001F0ED2"/>
    <w:rsid w:val="001F0EF0"/>
    <w:rsid w:val="001F502F"/>
    <w:rsid w:val="001F5CC8"/>
    <w:rsid w:val="001F5F77"/>
    <w:rsid w:val="001F7C66"/>
    <w:rsid w:val="001F7CBE"/>
    <w:rsid w:val="001F7F1F"/>
    <w:rsid w:val="002012B3"/>
    <w:rsid w:val="0020491E"/>
    <w:rsid w:val="002100BB"/>
    <w:rsid w:val="00212C42"/>
    <w:rsid w:val="002165D8"/>
    <w:rsid w:val="002175ED"/>
    <w:rsid w:val="00217963"/>
    <w:rsid w:val="002217B3"/>
    <w:rsid w:val="0022464C"/>
    <w:rsid w:val="002246F7"/>
    <w:rsid w:val="002262E1"/>
    <w:rsid w:val="0023302C"/>
    <w:rsid w:val="002342E6"/>
    <w:rsid w:val="00234DD5"/>
    <w:rsid w:val="00234E40"/>
    <w:rsid w:val="00234EDC"/>
    <w:rsid w:val="00236584"/>
    <w:rsid w:val="00236740"/>
    <w:rsid w:val="00237AB1"/>
    <w:rsid w:val="00244D87"/>
    <w:rsid w:val="00244F4A"/>
    <w:rsid w:val="002456A3"/>
    <w:rsid w:val="002477B3"/>
    <w:rsid w:val="002514D0"/>
    <w:rsid w:val="00251C55"/>
    <w:rsid w:val="0025322F"/>
    <w:rsid w:val="00254645"/>
    <w:rsid w:val="00254ABB"/>
    <w:rsid w:val="002556C3"/>
    <w:rsid w:val="00256275"/>
    <w:rsid w:val="00256619"/>
    <w:rsid w:val="00256DBF"/>
    <w:rsid w:val="0025780E"/>
    <w:rsid w:val="002621DF"/>
    <w:rsid w:val="00263C49"/>
    <w:rsid w:val="00264070"/>
    <w:rsid w:val="0026441C"/>
    <w:rsid w:val="0026497D"/>
    <w:rsid w:val="00266551"/>
    <w:rsid w:val="00271C8F"/>
    <w:rsid w:val="002722DE"/>
    <w:rsid w:val="00273E40"/>
    <w:rsid w:val="00274567"/>
    <w:rsid w:val="00275138"/>
    <w:rsid w:val="00275DE6"/>
    <w:rsid w:val="00276E99"/>
    <w:rsid w:val="00280251"/>
    <w:rsid w:val="0028233C"/>
    <w:rsid w:val="00283383"/>
    <w:rsid w:val="0028403C"/>
    <w:rsid w:val="002873E2"/>
    <w:rsid w:val="0028774D"/>
    <w:rsid w:val="00292ED3"/>
    <w:rsid w:val="00293225"/>
    <w:rsid w:val="0029479D"/>
    <w:rsid w:val="00294FC8"/>
    <w:rsid w:val="00295031"/>
    <w:rsid w:val="00296035"/>
    <w:rsid w:val="002974A1"/>
    <w:rsid w:val="002A023C"/>
    <w:rsid w:val="002A024A"/>
    <w:rsid w:val="002A0613"/>
    <w:rsid w:val="002A11FA"/>
    <w:rsid w:val="002A2136"/>
    <w:rsid w:val="002A2575"/>
    <w:rsid w:val="002A45DD"/>
    <w:rsid w:val="002A50DD"/>
    <w:rsid w:val="002A56D0"/>
    <w:rsid w:val="002A5D24"/>
    <w:rsid w:val="002A5EF8"/>
    <w:rsid w:val="002A618F"/>
    <w:rsid w:val="002B07B3"/>
    <w:rsid w:val="002B1039"/>
    <w:rsid w:val="002B306D"/>
    <w:rsid w:val="002B32EA"/>
    <w:rsid w:val="002B3CB9"/>
    <w:rsid w:val="002B759E"/>
    <w:rsid w:val="002C2F8A"/>
    <w:rsid w:val="002C3011"/>
    <w:rsid w:val="002C55D2"/>
    <w:rsid w:val="002C5B6A"/>
    <w:rsid w:val="002C62A3"/>
    <w:rsid w:val="002C6FD1"/>
    <w:rsid w:val="002D0FF8"/>
    <w:rsid w:val="002D27B8"/>
    <w:rsid w:val="002D7EC5"/>
    <w:rsid w:val="002E1A7A"/>
    <w:rsid w:val="002E1DEE"/>
    <w:rsid w:val="002E4277"/>
    <w:rsid w:val="002E6595"/>
    <w:rsid w:val="002F07E7"/>
    <w:rsid w:val="002F12B2"/>
    <w:rsid w:val="002F1447"/>
    <w:rsid w:val="002F1BCD"/>
    <w:rsid w:val="002F2253"/>
    <w:rsid w:val="002F326B"/>
    <w:rsid w:val="002F5210"/>
    <w:rsid w:val="002F661C"/>
    <w:rsid w:val="002F6C22"/>
    <w:rsid w:val="002F7F24"/>
    <w:rsid w:val="003006BC"/>
    <w:rsid w:val="00300CA3"/>
    <w:rsid w:val="003018BE"/>
    <w:rsid w:val="003019C7"/>
    <w:rsid w:val="00304279"/>
    <w:rsid w:val="00304483"/>
    <w:rsid w:val="0030577E"/>
    <w:rsid w:val="00307EC3"/>
    <w:rsid w:val="00307FFE"/>
    <w:rsid w:val="003110A0"/>
    <w:rsid w:val="00312018"/>
    <w:rsid w:val="0031323E"/>
    <w:rsid w:val="003177A8"/>
    <w:rsid w:val="003209F0"/>
    <w:rsid w:val="00320A62"/>
    <w:rsid w:val="00321DCF"/>
    <w:rsid w:val="003245CB"/>
    <w:rsid w:val="00326153"/>
    <w:rsid w:val="00326B07"/>
    <w:rsid w:val="00326BA9"/>
    <w:rsid w:val="0033170D"/>
    <w:rsid w:val="003317FE"/>
    <w:rsid w:val="0033181C"/>
    <w:rsid w:val="003339A8"/>
    <w:rsid w:val="00334347"/>
    <w:rsid w:val="00334761"/>
    <w:rsid w:val="00334BD3"/>
    <w:rsid w:val="00336A25"/>
    <w:rsid w:val="003372BE"/>
    <w:rsid w:val="0034044C"/>
    <w:rsid w:val="00341511"/>
    <w:rsid w:val="0034266A"/>
    <w:rsid w:val="00343926"/>
    <w:rsid w:val="00346F0C"/>
    <w:rsid w:val="003516D8"/>
    <w:rsid w:val="00351B87"/>
    <w:rsid w:val="00352386"/>
    <w:rsid w:val="00353512"/>
    <w:rsid w:val="00353A30"/>
    <w:rsid w:val="00354C53"/>
    <w:rsid w:val="0035768E"/>
    <w:rsid w:val="003607C3"/>
    <w:rsid w:val="00361596"/>
    <w:rsid w:val="00362178"/>
    <w:rsid w:val="003626D8"/>
    <w:rsid w:val="00363E00"/>
    <w:rsid w:val="00363FAD"/>
    <w:rsid w:val="00364751"/>
    <w:rsid w:val="00365EFF"/>
    <w:rsid w:val="00367443"/>
    <w:rsid w:val="00367CF2"/>
    <w:rsid w:val="003719B3"/>
    <w:rsid w:val="00371D7C"/>
    <w:rsid w:val="00374B9D"/>
    <w:rsid w:val="00375247"/>
    <w:rsid w:val="00375FD7"/>
    <w:rsid w:val="00376D69"/>
    <w:rsid w:val="00381736"/>
    <w:rsid w:val="00381A9E"/>
    <w:rsid w:val="0038321F"/>
    <w:rsid w:val="00385C76"/>
    <w:rsid w:val="003866A6"/>
    <w:rsid w:val="00387965"/>
    <w:rsid w:val="00391275"/>
    <w:rsid w:val="00391480"/>
    <w:rsid w:val="003920AA"/>
    <w:rsid w:val="00393414"/>
    <w:rsid w:val="00393C0E"/>
    <w:rsid w:val="00394670"/>
    <w:rsid w:val="00394F67"/>
    <w:rsid w:val="00395B74"/>
    <w:rsid w:val="00396AB6"/>
    <w:rsid w:val="00397695"/>
    <w:rsid w:val="003A095B"/>
    <w:rsid w:val="003A21CA"/>
    <w:rsid w:val="003A3618"/>
    <w:rsid w:val="003A3D76"/>
    <w:rsid w:val="003A7463"/>
    <w:rsid w:val="003A7CA8"/>
    <w:rsid w:val="003B0532"/>
    <w:rsid w:val="003B05B8"/>
    <w:rsid w:val="003B1777"/>
    <w:rsid w:val="003B1B0F"/>
    <w:rsid w:val="003B2618"/>
    <w:rsid w:val="003B2F6D"/>
    <w:rsid w:val="003B50A1"/>
    <w:rsid w:val="003B5EA3"/>
    <w:rsid w:val="003B6756"/>
    <w:rsid w:val="003B7605"/>
    <w:rsid w:val="003C1DF8"/>
    <w:rsid w:val="003C2631"/>
    <w:rsid w:val="003C392B"/>
    <w:rsid w:val="003C3C66"/>
    <w:rsid w:val="003C79AF"/>
    <w:rsid w:val="003C7D52"/>
    <w:rsid w:val="003D0694"/>
    <w:rsid w:val="003D0C12"/>
    <w:rsid w:val="003D1065"/>
    <w:rsid w:val="003D3AA5"/>
    <w:rsid w:val="003D3B0E"/>
    <w:rsid w:val="003D58EE"/>
    <w:rsid w:val="003E10B1"/>
    <w:rsid w:val="003E18D5"/>
    <w:rsid w:val="003E24C6"/>
    <w:rsid w:val="003E3E0E"/>
    <w:rsid w:val="003E439A"/>
    <w:rsid w:val="003E4A6B"/>
    <w:rsid w:val="003F0B88"/>
    <w:rsid w:val="003F115B"/>
    <w:rsid w:val="003F13B3"/>
    <w:rsid w:val="003F3D59"/>
    <w:rsid w:val="004031BB"/>
    <w:rsid w:val="00403B05"/>
    <w:rsid w:val="004042A9"/>
    <w:rsid w:val="00404A8C"/>
    <w:rsid w:val="0040668C"/>
    <w:rsid w:val="00407578"/>
    <w:rsid w:val="004079CE"/>
    <w:rsid w:val="00410AB5"/>
    <w:rsid w:val="00410D5C"/>
    <w:rsid w:val="00411A88"/>
    <w:rsid w:val="004124DB"/>
    <w:rsid w:val="00413008"/>
    <w:rsid w:val="00413FE2"/>
    <w:rsid w:val="004152A2"/>
    <w:rsid w:val="00415327"/>
    <w:rsid w:val="00417180"/>
    <w:rsid w:val="00417423"/>
    <w:rsid w:val="00417CA3"/>
    <w:rsid w:val="00417CFB"/>
    <w:rsid w:val="004202FB"/>
    <w:rsid w:val="00420529"/>
    <w:rsid w:val="00421C84"/>
    <w:rsid w:val="00421D17"/>
    <w:rsid w:val="00422615"/>
    <w:rsid w:val="0042306D"/>
    <w:rsid w:val="004263EF"/>
    <w:rsid w:val="00426739"/>
    <w:rsid w:val="00426EC1"/>
    <w:rsid w:val="0042707D"/>
    <w:rsid w:val="00427CE6"/>
    <w:rsid w:val="00430B73"/>
    <w:rsid w:val="004367EE"/>
    <w:rsid w:val="00436E8B"/>
    <w:rsid w:val="00437BF1"/>
    <w:rsid w:val="00440322"/>
    <w:rsid w:val="0044098A"/>
    <w:rsid w:val="00440EB1"/>
    <w:rsid w:val="004422DB"/>
    <w:rsid w:val="004450A1"/>
    <w:rsid w:val="00446F62"/>
    <w:rsid w:val="00450D74"/>
    <w:rsid w:val="0045225C"/>
    <w:rsid w:val="00452494"/>
    <w:rsid w:val="00456CF8"/>
    <w:rsid w:val="004613E1"/>
    <w:rsid w:val="00461432"/>
    <w:rsid w:val="00461EAC"/>
    <w:rsid w:val="00464151"/>
    <w:rsid w:val="00467DDE"/>
    <w:rsid w:val="00467EC1"/>
    <w:rsid w:val="004705B6"/>
    <w:rsid w:val="00471907"/>
    <w:rsid w:val="00471DB6"/>
    <w:rsid w:val="004747BA"/>
    <w:rsid w:val="004756DD"/>
    <w:rsid w:val="0047752D"/>
    <w:rsid w:val="00482788"/>
    <w:rsid w:val="00483E56"/>
    <w:rsid w:val="00484958"/>
    <w:rsid w:val="0048552C"/>
    <w:rsid w:val="00485A03"/>
    <w:rsid w:val="004869B7"/>
    <w:rsid w:val="004877E1"/>
    <w:rsid w:val="00487C6F"/>
    <w:rsid w:val="0049008D"/>
    <w:rsid w:val="004909EF"/>
    <w:rsid w:val="00491167"/>
    <w:rsid w:val="004930CD"/>
    <w:rsid w:val="00493628"/>
    <w:rsid w:val="00493CEB"/>
    <w:rsid w:val="00493DB8"/>
    <w:rsid w:val="004967D9"/>
    <w:rsid w:val="004968C5"/>
    <w:rsid w:val="00497553"/>
    <w:rsid w:val="004A031A"/>
    <w:rsid w:val="004A0EE9"/>
    <w:rsid w:val="004A147D"/>
    <w:rsid w:val="004B26D3"/>
    <w:rsid w:val="004B2E1E"/>
    <w:rsid w:val="004B2EAD"/>
    <w:rsid w:val="004B44C5"/>
    <w:rsid w:val="004B4B62"/>
    <w:rsid w:val="004B4F6E"/>
    <w:rsid w:val="004B5518"/>
    <w:rsid w:val="004B691A"/>
    <w:rsid w:val="004B70EC"/>
    <w:rsid w:val="004B74C1"/>
    <w:rsid w:val="004C077E"/>
    <w:rsid w:val="004C2070"/>
    <w:rsid w:val="004C47B4"/>
    <w:rsid w:val="004C4DD1"/>
    <w:rsid w:val="004C4E98"/>
    <w:rsid w:val="004C5462"/>
    <w:rsid w:val="004C6A55"/>
    <w:rsid w:val="004C77F0"/>
    <w:rsid w:val="004C7821"/>
    <w:rsid w:val="004C7A6F"/>
    <w:rsid w:val="004D0152"/>
    <w:rsid w:val="004D1AF2"/>
    <w:rsid w:val="004D33DD"/>
    <w:rsid w:val="004D4C14"/>
    <w:rsid w:val="004D69D9"/>
    <w:rsid w:val="004E009F"/>
    <w:rsid w:val="004E0615"/>
    <w:rsid w:val="004E247B"/>
    <w:rsid w:val="004E2C28"/>
    <w:rsid w:val="004E37F2"/>
    <w:rsid w:val="004E555F"/>
    <w:rsid w:val="004E69E1"/>
    <w:rsid w:val="004E7215"/>
    <w:rsid w:val="004E7FB4"/>
    <w:rsid w:val="004F0D43"/>
    <w:rsid w:val="004F261E"/>
    <w:rsid w:val="004F33D7"/>
    <w:rsid w:val="004F3DD8"/>
    <w:rsid w:val="004F3FCC"/>
    <w:rsid w:val="0050061A"/>
    <w:rsid w:val="00500940"/>
    <w:rsid w:val="0050254C"/>
    <w:rsid w:val="0050455D"/>
    <w:rsid w:val="00506F93"/>
    <w:rsid w:val="0050751B"/>
    <w:rsid w:val="0051342C"/>
    <w:rsid w:val="00513506"/>
    <w:rsid w:val="00513635"/>
    <w:rsid w:val="00513BFB"/>
    <w:rsid w:val="0052343C"/>
    <w:rsid w:val="00523FD9"/>
    <w:rsid w:val="005248B5"/>
    <w:rsid w:val="00524C28"/>
    <w:rsid w:val="00526A31"/>
    <w:rsid w:val="00527B24"/>
    <w:rsid w:val="00527C6F"/>
    <w:rsid w:val="00530296"/>
    <w:rsid w:val="0053220E"/>
    <w:rsid w:val="00532E93"/>
    <w:rsid w:val="00533A73"/>
    <w:rsid w:val="005356B4"/>
    <w:rsid w:val="005369EB"/>
    <w:rsid w:val="00540DF7"/>
    <w:rsid w:val="00541E2F"/>
    <w:rsid w:val="0054270A"/>
    <w:rsid w:val="005439DB"/>
    <w:rsid w:val="005451A1"/>
    <w:rsid w:val="00545518"/>
    <w:rsid w:val="00545917"/>
    <w:rsid w:val="00546BC8"/>
    <w:rsid w:val="00550036"/>
    <w:rsid w:val="005520C5"/>
    <w:rsid w:val="005542DD"/>
    <w:rsid w:val="00554C8C"/>
    <w:rsid w:val="00557DE2"/>
    <w:rsid w:val="005608BB"/>
    <w:rsid w:val="00560E5B"/>
    <w:rsid w:val="00561447"/>
    <w:rsid w:val="005614E6"/>
    <w:rsid w:val="00565CCB"/>
    <w:rsid w:val="005673C4"/>
    <w:rsid w:val="00571517"/>
    <w:rsid w:val="00571BB5"/>
    <w:rsid w:val="00572442"/>
    <w:rsid w:val="005727E6"/>
    <w:rsid w:val="0057355B"/>
    <w:rsid w:val="00573D38"/>
    <w:rsid w:val="005741E1"/>
    <w:rsid w:val="00574979"/>
    <w:rsid w:val="005752C4"/>
    <w:rsid w:val="00575C95"/>
    <w:rsid w:val="005768EB"/>
    <w:rsid w:val="00580684"/>
    <w:rsid w:val="005815F5"/>
    <w:rsid w:val="00581D57"/>
    <w:rsid w:val="00585A5F"/>
    <w:rsid w:val="005864F2"/>
    <w:rsid w:val="00586B89"/>
    <w:rsid w:val="005914EE"/>
    <w:rsid w:val="00592196"/>
    <w:rsid w:val="005928AB"/>
    <w:rsid w:val="005932DB"/>
    <w:rsid w:val="005933D3"/>
    <w:rsid w:val="00596336"/>
    <w:rsid w:val="005976E6"/>
    <w:rsid w:val="005A0C91"/>
    <w:rsid w:val="005A2997"/>
    <w:rsid w:val="005A3212"/>
    <w:rsid w:val="005A3248"/>
    <w:rsid w:val="005A3459"/>
    <w:rsid w:val="005A3B42"/>
    <w:rsid w:val="005A7664"/>
    <w:rsid w:val="005B0461"/>
    <w:rsid w:val="005B320B"/>
    <w:rsid w:val="005B558E"/>
    <w:rsid w:val="005B69C0"/>
    <w:rsid w:val="005B7EED"/>
    <w:rsid w:val="005C0D83"/>
    <w:rsid w:val="005C333B"/>
    <w:rsid w:val="005C3FFE"/>
    <w:rsid w:val="005C7DFA"/>
    <w:rsid w:val="005D0A2B"/>
    <w:rsid w:val="005D118A"/>
    <w:rsid w:val="005D121C"/>
    <w:rsid w:val="005D2A7B"/>
    <w:rsid w:val="005D346B"/>
    <w:rsid w:val="005D56DF"/>
    <w:rsid w:val="005D5E82"/>
    <w:rsid w:val="005D5EA6"/>
    <w:rsid w:val="005D709A"/>
    <w:rsid w:val="005D7354"/>
    <w:rsid w:val="005D74A2"/>
    <w:rsid w:val="005E2EDA"/>
    <w:rsid w:val="005E5E9D"/>
    <w:rsid w:val="005E5EF1"/>
    <w:rsid w:val="005E6C25"/>
    <w:rsid w:val="005E7154"/>
    <w:rsid w:val="005F2202"/>
    <w:rsid w:val="005F5469"/>
    <w:rsid w:val="005F5AB4"/>
    <w:rsid w:val="005F6AC8"/>
    <w:rsid w:val="005F6CA2"/>
    <w:rsid w:val="005F6EEC"/>
    <w:rsid w:val="00600EA6"/>
    <w:rsid w:val="00601855"/>
    <w:rsid w:val="006028BA"/>
    <w:rsid w:val="006042F8"/>
    <w:rsid w:val="006050B6"/>
    <w:rsid w:val="00606495"/>
    <w:rsid w:val="00606C35"/>
    <w:rsid w:val="00607234"/>
    <w:rsid w:val="006108EF"/>
    <w:rsid w:val="00611DA1"/>
    <w:rsid w:val="006149A3"/>
    <w:rsid w:val="00614BD9"/>
    <w:rsid w:val="00615C30"/>
    <w:rsid w:val="00617254"/>
    <w:rsid w:val="006173E8"/>
    <w:rsid w:val="00617DC3"/>
    <w:rsid w:val="006208F0"/>
    <w:rsid w:val="00623ECB"/>
    <w:rsid w:val="00625128"/>
    <w:rsid w:val="00625828"/>
    <w:rsid w:val="00627F04"/>
    <w:rsid w:val="00630368"/>
    <w:rsid w:val="0063124B"/>
    <w:rsid w:val="006314EE"/>
    <w:rsid w:val="0063175A"/>
    <w:rsid w:val="006319D8"/>
    <w:rsid w:val="00634422"/>
    <w:rsid w:val="00634BF3"/>
    <w:rsid w:val="00634CF6"/>
    <w:rsid w:val="006368B4"/>
    <w:rsid w:val="00636B9D"/>
    <w:rsid w:val="0063729C"/>
    <w:rsid w:val="00637CEC"/>
    <w:rsid w:val="00637E02"/>
    <w:rsid w:val="00637E1B"/>
    <w:rsid w:val="00637EC1"/>
    <w:rsid w:val="006402B6"/>
    <w:rsid w:val="00640BE1"/>
    <w:rsid w:val="006417F0"/>
    <w:rsid w:val="006447B8"/>
    <w:rsid w:val="00644F79"/>
    <w:rsid w:val="00645A43"/>
    <w:rsid w:val="00645F62"/>
    <w:rsid w:val="00646064"/>
    <w:rsid w:val="00646C1B"/>
    <w:rsid w:val="006505EB"/>
    <w:rsid w:val="0065252E"/>
    <w:rsid w:val="00652E55"/>
    <w:rsid w:val="00653784"/>
    <w:rsid w:val="00654318"/>
    <w:rsid w:val="0065585B"/>
    <w:rsid w:val="00655AA1"/>
    <w:rsid w:val="00655E90"/>
    <w:rsid w:val="0065656B"/>
    <w:rsid w:val="00656C51"/>
    <w:rsid w:val="00656DF2"/>
    <w:rsid w:val="0066109A"/>
    <w:rsid w:val="00664976"/>
    <w:rsid w:val="00665A9E"/>
    <w:rsid w:val="00666494"/>
    <w:rsid w:val="006675C3"/>
    <w:rsid w:val="00671B8C"/>
    <w:rsid w:val="00672122"/>
    <w:rsid w:val="006728DA"/>
    <w:rsid w:val="00672E6B"/>
    <w:rsid w:val="0067667A"/>
    <w:rsid w:val="006768FD"/>
    <w:rsid w:val="00676981"/>
    <w:rsid w:val="00676994"/>
    <w:rsid w:val="00676EE5"/>
    <w:rsid w:val="0068380E"/>
    <w:rsid w:val="00687002"/>
    <w:rsid w:val="00687790"/>
    <w:rsid w:val="006900B5"/>
    <w:rsid w:val="0069022F"/>
    <w:rsid w:val="00690904"/>
    <w:rsid w:val="00690C19"/>
    <w:rsid w:val="006934A1"/>
    <w:rsid w:val="00693841"/>
    <w:rsid w:val="00696581"/>
    <w:rsid w:val="00696C4D"/>
    <w:rsid w:val="006A0BAB"/>
    <w:rsid w:val="006A1719"/>
    <w:rsid w:val="006A2372"/>
    <w:rsid w:val="006A4B4A"/>
    <w:rsid w:val="006A6EA4"/>
    <w:rsid w:val="006B09BB"/>
    <w:rsid w:val="006B1499"/>
    <w:rsid w:val="006B277B"/>
    <w:rsid w:val="006B3D34"/>
    <w:rsid w:val="006B4601"/>
    <w:rsid w:val="006B50E0"/>
    <w:rsid w:val="006C52E8"/>
    <w:rsid w:val="006C56E2"/>
    <w:rsid w:val="006C6334"/>
    <w:rsid w:val="006C7835"/>
    <w:rsid w:val="006D017E"/>
    <w:rsid w:val="006D1595"/>
    <w:rsid w:val="006D20A9"/>
    <w:rsid w:val="006D2CDC"/>
    <w:rsid w:val="006D4725"/>
    <w:rsid w:val="006E0E00"/>
    <w:rsid w:val="006E0FD9"/>
    <w:rsid w:val="006E2075"/>
    <w:rsid w:val="006E2AE2"/>
    <w:rsid w:val="006E3100"/>
    <w:rsid w:val="006E4352"/>
    <w:rsid w:val="006E5184"/>
    <w:rsid w:val="006E7755"/>
    <w:rsid w:val="006F0AE0"/>
    <w:rsid w:val="006F16A4"/>
    <w:rsid w:val="006F49BB"/>
    <w:rsid w:val="006F57C2"/>
    <w:rsid w:val="006F6E35"/>
    <w:rsid w:val="007002B9"/>
    <w:rsid w:val="0070222A"/>
    <w:rsid w:val="0070662E"/>
    <w:rsid w:val="00707065"/>
    <w:rsid w:val="007120B3"/>
    <w:rsid w:val="007127CF"/>
    <w:rsid w:val="0071394C"/>
    <w:rsid w:val="00713A75"/>
    <w:rsid w:val="00713EE4"/>
    <w:rsid w:val="00716096"/>
    <w:rsid w:val="007161C6"/>
    <w:rsid w:val="00716770"/>
    <w:rsid w:val="007169EB"/>
    <w:rsid w:val="00717E98"/>
    <w:rsid w:val="00720CEC"/>
    <w:rsid w:val="007216C0"/>
    <w:rsid w:val="007232A5"/>
    <w:rsid w:val="00723C00"/>
    <w:rsid w:val="00723E3C"/>
    <w:rsid w:val="00724003"/>
    <w:rsid w:val="00724373"/>
    <w:rsid w:val="00726AE6"/>
    <w:rsid w:val="00726EA9"/>
    <w:rsid w:val="00727167"/>
    <w:rsid w:val="00727AC7"/>
    <w:rsid w:val="007344CA"/>
    <w:rsid w:val="00736604"/>
    <w:rsid w:val="00740D45"/>
    <w:rsid w:val="00741A25"/>
    <w:rsid w:val="00742D47"/>
    <w:rsid w:val="00743203"/>
    <w:rsid w:val="00743241"/>
    <w:rsid w:val="007436F9"/>
    <w:rsid w:val="0074650B"/>
    <w:rsid w:val="00751823"/>
    <w:rsid w:val="007551A4"/>
    <w:rsid w:val="00755D9D"/>
    <w:rsid w:val="00756FEA"/>
    <w:rsid w:val="00757D06"/>
    <w:rsid w:val="00760C78"/>
    <w:rsid w:val="00760CF9"/>
    <w:rsid w:val="007618B1"/>
    <w:rsid w:val="007630F5"/>
    <w:rsid w:val="00763173"/>
    <w:rsid w:val="00763783"/>
    <w:rsid w:val="00763E7B"/>
    <w:rsid w:val="007726B7"/>
    <w:rsid w:val="00775762"/>
    <w:rsid w:val="007757E7"/>
    <w:rsid w:val="00776B24"/>
    <w:rsid w:val="007818C7"/>
    <w:rsid w:val="00781D93"/>
    <w:rsid w:val="007843E2"/>
    <w:rsid w:val="007853AB"/>
    <w:rsid w:val="00785D8A"/>
    <w:rsid w:val="00790F41"/>
    <w:rsid w:val="00791EDA"/>
    <w:rsid w:val="00791F8D"/>
    <w:rsid w:val="00793B2E"/>
    <w:rsid w:val="00793BFB"/>
    <w:rsid w:val="00793FD2"/>
    <w:rsid w:val="0079551A"/>
    <w:rsid w:val="00796722"/>
    <w:rsid w:val="0079685D"/>
    <w:rsid w:val="007A032C"/>
    <w:rsid w:val="007A0BBD"/>
    <w:rsid w:val="007A0F62"/>
    <w:rsid w:val="007A183C"/>
    <w:rsid w:val="007A1A87"/>
    <w:rsid w:val="007A1FD1"/>
    <w:rsid w:val="007A221E"/>
    <w:rsid w:val="007A253F"/>
    <w:rsid w:val="007A2E62"/>
    <w:rsid w:val="007A34D1"/>
    <w:rsid w:val="007A355A"/>
    <w:rsid w:val="007A438D"/>
    <w:rsid w:val="007A4FFF"/>
    <w:rsid w:val="007A7CFA"/>
    <w:rsid w:val="007B2BA5"/>
    <w:rsid w:val="007B3DE5"/>
    <w:rsid w:val="007B4169"/>
    <w:rsid w:val="007B468E"/>
    <w:rsid w:val="007B50D8"/>
    <w:rsid w:val="007B6F73"/>
    <w:rsid w:val="007B70C8"/>
    <w:rsid w:val="007C1453"/>
    <w:rsid w:val="007C2035"/>
    <w:rsid w:val="007C25DE"/>
    <w:rsid w:val="007C322F"/>
    <w:rsid w:val="007C323B"/>
    <w:rsid w:val="007C32F4"/>
    <w:rsid w:val="007C349C"/>
    <w:rsid w:val="007C3BE8"/>
    <w:rsid w:val="007C43FB"/>
    <w:rsid w:val="007C6232"/>
    <w:rsid w:val="007C6284"/>
    <w:rsid w:val="007C7523"/>
    <w:rsid w:val="007D0C3E"/>
    <w:rsid w:val="007D0F91"/>
    <w:rsid w:val="007D30FC"/>
    <w:rsid w:val="007D3DAA"/>
    <w:rsid w:val="007D4BAC"/>
    <w:rsid w:val="007D63F2"/>
    <w:rsid w:val="007D790C"/>
    <w:rsid w:val="007E0632"/>
    <w:rsid w:val="007E2C9A"/>
    <w:rsid w:val="007E48CB"/>
    <w:rsid w:val="007E4E12"/>
    <w:rsid w:val="007E7D8E"/>
    <w:rsid w:val="007F1B53"/>
    <w:rsid w:val="007F36B9"/>
    <w:rsid w:val="007F3AEC"/>
    <w:rsid w:val="007F431E"/>
    <w:rsid w:val="007F51BF"/>
    <w:rsid w:val="007F60C7"/>
    <w:rsid w:val="007F623A"/>
    <w:rsid w:val="007F7E1D"/>
    <w:rsid w:val="00800BFC"/>
    <w:rsid w:val="008027AB"/>
    <w:rsid w:val="0080293E"/>
    <w:rsid w:val="00804701"/>
    <w:rsid w:val="00806D9E"/>
    <w:rsid w:val="008071E7"/>
    <w:rsid w:val="0081168E"/>
    <w:rsid w:val="00811FBB"/>
    <w:rsid w:val="0081370B"/>
    <w:rsid w:val="00813B42"/>
    <w:rsid w:val="0081508D"/>
    <w:rsid w:val="00816520"/>
    <w:rsid w:val="00816B40"/>
    <w:rsid w:val="00820B48"/>
    <w:rsid w:val="00820EDB"/>
    <w:rsid w:val="00821224"/>
    <w:rsid w:val="008220FB"/>
    <w:rsid w:val="00827633"/>
    <w:rsid w:val="00827E6E"/>
    <w:rsid w:val="00830D7F"/>
    <w:rsid w:val="0083164F"/>
    <w:rsid w:val="008318C0"/>
    <w:rsid w:val="008330CF"/>
    <w:rsid w:val="0083386A"/>
    <w:rsid w:val="00833B01"/>
    <w:rsid w:val="00836076"/>
    <w:rsid w:val="00836366"/>
    <w:rsid w:val="00840A46"/>
    <w:rsid w:val="00840C50"/>
    <w:rsid w:val="0084214B"/>
    <w:rsid w:val="00845761"/>
    <w:rsid w:val="00845CF3"/>
    <w:rsid w:val="008463A2"/>
    <w:rsid w:val="00847E2A"/>
    <w:rsid w:val="0085178B"/>
    <w:rsid w:val="008517E1"/>
    <w:rsid w:val="00851DCE"/>
    <w:rsid w:val="0085238B"/>
    <w:rsid w:val="00852E84"/>
    <w:rsid w:val="008534BC"/>
    <w:rsid w:val="00857298"/>
    <w:rsid w:val="00857FB1"/>
    <w:rsid w:val="0086000A"/>
    <w:rsid w:val="00862511"/>
    <w:rsid w:val="00864284"/>
    <w:rsid w:val="00864CC2"/>
    <w:rsid w:val="008667FE"/>
    <w:rsid w:val="00867AB7"/>
    <w:rsid w:val="00867F2B"/>
    <w:rsid w:val="0087114D"/>
    <w:rsid w:val="0087123C"/>
    <w:rsid w:val="00871A37"/>
    <w:rsid w:val="008726C5"/>
    <w:rsid w:val="00872D8D"/>
    <w:rsid w:val="00873438"/>
    <w:rsid w:val="00873B44"/>
    <w:rsid w:val="00874D7E"/>
    <w:rsid w:val="00876099"/>
    <w:rsid w:val="008768AA"/>
    <w:rsid w:val="008808D2"/>
    <w:rsid w:val="00882032"/>
    <w:rsid w:val="008825C2"/>
    <w:rsid w:val="00883C71"/>
    <w:rsid w:val="00884041"/>
    <w:rsid w:val="00885920"/>
    <w:rsid w:val="00885FA7"/>
    <w:rsid w:val="0088761A"/>
    <w:rsid w:val="00890980"/>
    <w:rsid w:val="00890AF0"/>
    <w:rsid w:val="00891FFE"/>
    <w:rsid w:val="00892374"/>
    <w:rsid w:val="008940B7"/>
    <w:rsid w:val="00895B73"/>
    <w:rsid w:val="00895E82"/>
    <w:rsid w:val="00896DD7"/>
    <w:rsid w:val="008A101E"/>
    <w:rsid w:val="008A1CA5"/>
    <w:rsid w:val="008A2B0E"/>
    <w:rsid w:val="008A4BAA"/>
    <w:rsid w:val="008A66B2"/>
    <w:rsid w:val="008A785F"/>
    <w:rsid w:val="008A7D56"/>
    <w:rsid w:val="008B0249"/>
    <w:rsid w:val="008B18B1"/>
    <w:rsid w:val="008B1F53"/>
    <w:rsid w:val="008B2285"/>
    <w:rsid w:val="008B3251"/>
    <w:rsid w:val="008B5885"/>
    <w:rsid w:val="008B5E11"/>
    <w:rsid w:val="008B7516"/>
    <w:rsid w:val="008B7525"/>
    <w:rsid w:val="008B7BD1"/>
    <w:rsid w:val="008C1017"/>
    <w:rsid w:val="008C1688"/>
    <w:rsid w:val="008C1AB8"/>
    <w:rsid w:val="008C1F22"/>
    <w:rsid w:val="008C32B2"/>
    <w:rsid w:val="008C59DD"/>
    <w:rsid w:val="008C62B9"/>
    <w:rsid w:val="008C6583"/>
    <w:rsid w:val="008D20E2"/>
    <w:rsid w:val="008D5B65"/>
    <w:rsid w:val="008E07FB"/>
    <w:rsid w:val="008E279E"/>
    <w:rsid w:val="008E30E9"/>
    <w:rsid w:val="008E5794"/>
    <w:rsid w:val="008F154C"/>
    <w:rsid w:val="008F5CA5"/>
    <w:rsid w:val="008F5FE9"/>
    <w:rsid w:val="008F6F3B"/>
    <w:rsid w:val="008F73EE"/>
    <w:rsid w:val="00902745"/>
    <w:rsid w:val="00902E57"/>
    <w:rsid w:val="0090344D"/>
    <w:rsid w:val="0090468D"/>
    <w:rsid w:val="00905CF4"/>
    <w:rsid w:val="00906216"/>
    <w:rsid w:val="00906686"/>
    <w:rsid w:val="0091015D"/>
    <w:rsid w:val="00912C3E"/>
    <w:rsid w:val="00912DE6"/>
    <w:rsid w:val="00913232"/>
    <w:rsid w:val="00914DE1"/>
    <w:rsid w:val="0091595C"/>
    <w:rsid w:val="00915A4E"/>
    <w:rsid w:val="00915DD8"/>
    <w:rsid w:val="00923E12"/>
    <w:rsid w:val="00924D94"/>
    <w:rsid w:val="0092710E"/>
    <w:rsid w:val="0092724D"/>
    <w:rsid w:val="009272E2"/>
    <w:rsid w:val="0093169A"/>
    <w:rsid w:val="009321EC"/>
    <w:rsid w:val="009342E5"/>
    <w:rsid w:val="0093437A"/>
    <w:rsid w:val="009349D1"/>
    <w:rsid w:val="00935263"/>
    <w:rsid w:val="009360D3"/>
    <w:rsid w:val="00937583"/>
    <w:rsid w:val="00937E2D"/>
    <w:rsid w:val="0094343B"/>
    <w:rsid w:val="00943A1D"/>
    <w:rsid w:val="009459FA"/>
    <w:rsid w:val="009460E8"/>
    <w:rsid w:val="00946D14"/>
    <w:rsid w:val="009505A1"/>
    <w:rsid w:val="009512AC"/>
    <w:rsid w:val="00952CB0"/>
    <w:rsid w:val="00956AF6"/>
    <w:rsid w:val="00956D25"/>
    <w:rsid w:val="00957AC4"/>
    <w:rsid w:val="00957B5A"/>
    <w:rsid w:val="0096022D"/>
    <w:rsid w:val="00961244"/>
    <w:rsid w:val="009615A2"/>
    <w:rsid w:val="00962940"/>
    <w:rsid w:val="009636FF"/>
    <w:rsid w:val="00964912"/>
    <w:rsid w:val="00964A2B"/>
    <w:rsid w:val="0096525D"/>
    <w:rsid w:val="00965667"/>
    <w:rsid w:val="00971CC2"/>
    <w:rsid w:val="009720AE"/>
    <w:rsid w:val="00972864"/>
    <w:rsid w:val="00972A1C"/>
    <w:rsid w:val="0097398B"/>
    <w:rsid w:val="0097684B"/>
    <w:rsid w:val="00976931"/>
    <w:rsid w:val="0097706E"/>
    <w:rsid w:val="00983D85"/>
    <w:rsid w:val="00985D49"/>
    <w:rsid w:val="00985EEA"/>
    <w:rsid w:val="0098644B"/>
    <w:rsid w:val="009872D2"/>
    <w:rsid w:val="009914E2"/>
    <w:rsid w:val="00996D91"/>
    <w:rsid w:val="00996F91"/>
    <w:rsid w:val="009A1509"/>
    <w:rsid w:val="009A1611"/>
    <w:rsid w:val="009A1E07"/>
    <w:rsid w:val="009A390A"/>
    <w:rsid w:val="009A587C"/>
    <w:rsid w:val="009A593C"/>
    <w:rsid w:val="009A5B88"/>
    <w:rsid w:val="009A5D99"/>
    <w:rsid w:val="009A7C76"/>
    <w:rsid w:val="009B1A27"/>
    <w:rsid w:val="009B2B56"/>
    <w:rsid w:val="009B3855"/>
    <w:rsid w:val="009B4714"/>
    <w:rsid w:val="009B4FEB"/>
    <w:rsid w:val="009B50D3"/>
    <w:rsid w:val="009B5246"/>
    <w:rsid w:val="009B53D5"/>
    <w:rsid w:val="009B5DD9"/>
    <w:rsid w:val="009C020E"/>
    <w:rsid w:val="009C135E"/>
    <w:rsid w:val="009C1AB4"/>
    <w:rsid w:val="009C36F9"/>
    <w:rsid w:val="009C3BC3"/>
    <w:rsid w:val="009C572F"/>
    <w:rsid w:val="009C62AE"/>
    <w:rsid w:val="009C642B"/>
    <w:rsid w:val="009C6841"/>
    <w:rsid w:val="009C6A0E"/>
    <w:rsid w:val="009C75A8"/>
    <w:rsid w:val="009D0921"/>
    <w:rsid w:val="009D5E1C"/>
    <w:rsid w:val="009D6CEB"/>
    <w:rsid w:val="009E0852"/>
    <w:rsid w:val="009E1DBD"/>
    <w:rsid w:val="009E1F48"/>
    <w:rsid w:val="009E1FFA"/>
    <w:rsid w:val="009E2F8D"/>
    <w:rsid w:val="009E3127"/>
    <w:rsid w:val="009E4A94"/>
    <w:rsid w:val="009E6A3F"/>
    <w:rsid w:val="009F23F1"/>
    <w:rsid w:val="009F24FE"/>
    <w:rsid w:val="009F28EF"/>
    <w:rsid w:val="009F34C3"/>
    <w:rsid w:val="009F36D9"/>
    <w:rsid w:val="009F4C86"/>
    <w:rsid w:val="009F5239"/>
    <w:rsid w:val="009F587F"/>
    <w:rsid w:val="009F6C28"/>
    <w:rsid w:val="009F7471"/>
    <w:rsid w:val="009F79A9"/>
    <w:rsid w:val="00A009A9"/>
    <w:rsid w:val="00A01287"/>
    <w:rsid w:val="00A017D1"/>
    <w:rsid w:val="00A01D19"/>
    <w:rsid w:val="00A0355A"/>
    <w:rsid w:val="00A044FE"/>
    <w:rsid w:val="00A054EC"/>
    <w:rsid w:val="00A066C5"/>
    <w:rsid w:val="00A06B1B"/>
    <w:rsid w:val="00A07747"/>
    <w:rsid w:val="00A1022C"/>
    <w:rsid w:val="00A102FE"/>
    <w:rsid w:val="00A10921"/>
    <w:rsid w:val="00A128D9"/>
    <w:rsid w:val="00A13A35"/>
    <w:rsid w:val="00A16B58"/>
    <w:rsid w:val="00A2115B"/>
    <w:rsid w:val="00A221D6"/>
    <w:rsid w:val="00A225B7"/>
    <w:rsid w:val="00A231A7"/>
    <w:rsid w:val="00A24F25"/>
    <w:rsid w:val="00A26D65"/>
    <w:rsid w:val="00A30F27"/>
    <w:rsid w:val="00A3281C"/>
    <w:rsid w:val="00A329A8"/>
    <w:rsid w:val="00A33847"/>
    <w:rsid w:val="00A34654"/>
    <w:rsid w:val="00A35004"/>
    <w:rsid w:val="00A35DEF"/>
    <w:rsid w:val="00A368DE"/>
    <w:rsid w:val="00A4116D"/>
    <w:rsid w:val="00A424E8"/>
    <w:rsid w:val="00A426AD"/>
    <w:rsid w:val="00A429E9"/>
    <w:rsid w:val="00A42B94"/>
    <w:rsid w:val="00A430D0"/>
    <w:rsid w:val="00A45E59"/>
    <w:rsid w:val="00A464D6"/>
    <w:rsid w:val="00A50AA1"/>
    <w:rsid w:val="00A52436"/>
    <w:rsid w:val="00A534FF"/>
    <w:rsid w:val="00A53B87"/>
    <w:rsid w:val="00A544B5"/>
    <w:rsid w:val="00A54B9B"/>
    <w:rsid w:val="00A5502A"/>
    <w:rsid w:val="00A561D5"/>
    <w:rsid w:val="00A56AEF"/>
    <w:rsid w:val="00A6032B"/>
    <w:rsid w:val="00A615EC"/>
    <w:rsid w:val="00A616E5"/>
    <w:rsid w:val="00A62033"/>
    <w:rsid w:val="00A625E2"/>
    <w:rsid w:val="00A64C49"/>
    <w:rsid w:val="00A67AC2"/>
    <w:rsid w:val="00A703C1"/>
    <w:rsid w:val="00A72EE1"/>
    <w:rsid w:val="00A7517A"/>
    <w:rsid w:val="00A7533C"/>
    <w:rsid w:val="00A76842"/>
    <w:rsid w:val="00A77724"/>
    <w:rsid w:val="00A80598"/>
    <w:rsid w:val="00A809A2"/>
    <w:rsid w:val="00A80E93"/>
    <w:rsid w:val="00A818A1"/>
    <w:rsid w:val="00A83DAA"/>
    <w:rsid w:val="00A845B7"/>
    <w:rsid w:val="00A84902"/>
    <w:rsid w:val="00A87A60"/>
    <w:rsid w:val="00A91A20"/>
    <w:rsid w:val="00A942D2"/>
    <w:rsid w:val="00A957BF"/>
    <w:rsid w:val="00A971B6"/>
    <w:rsid w:val="00AA1AD5"/>
    <w:rsid w:val="00AA2334"/>
    <w:rsid w:val="00AA2B2C"/>
    <w:rsid w:val="00AA3AEA"/>
    <w:rsid w:val="00AA5187"/>
    <w:rsid w:val="00AA571B"/>
    <w:rsid w:val="00AA7238"/>
    <w:rsid w:val="00AA72A3"/>
    <w:rsid w:val="00AB0AB3"/>
    <w:rsid w:val="00AB1419"/>
    <w:rsid w:val="00AB1C4E"/>
    <w:rsid w:val="00AB41B3"/>
    <w:rsid w:val="00AB5FC9"/>
    <w:rsid w:val="00AB6193"/>
    <w:rsid w:val="00AB77B6"/>
    <w:rsid w:val="00AC0686"/>
    <w:rsid w:val="00AC13A7"/>
    <w:rsid w:val="00AC1FE8"/>
    <w:rsid w:val="00AC24D4"/>
    <w:rsid w:val="00AC29AF"/>
    <w:rsid w:val="00AC2EDD"/>
    <w:rsid w:val="00AC4B2F"/>
    <w:rsid w:val="00AC6B39"/>
    <w:rsid w:val="00AC7983"/>
    <w:rsid w:val="00AC7D08"/>
    <w:rsid w:val="00AD0F96"/>
    <w:rsid w:val="00AD157D"/>
    <w:rsid w:val="00AD1E77"/>
    <w:rsid w:val="00AD2F81"/>
    <w:rsid w:val="00AD387E"/>
    <w:rsid w:val="00AD4A25"/>
    <w:rsid w:val="00AD4EE8"/>
    <w:rsid w:val="00AD6DE4"/>
    <w:rsid w:val="00AE06A2"/>
    <w:rsid w:val="00AE2ACD"/>
    <w:rsid w:val="00AE34E1"/>
    <w:rsid w:val="00AE3E6A"/>
    <w:rsid w:val="00AE567D"/>
    <w:rsid w:val="00AE5BB7"/>
    <w:rsid w:val="00AE6D40"/>
    <w:rsid w:val="00AE70E5"/>
    <w:rsid w:val="00AF15C5"/>
    <w:rsid w:val="00AF171A"/>
    <w:rsid w:val="00AF3022"/>
    <w:rsid w:val="00AF47F9"/>
    <w:rsid w:val="00AF55B1"/>
    <w:rsid w:val="00AF7C90"/>
    <w:rsid w:val="00AF7F83"/>
    <w:rsid w:val="00B00510"/>
    <w:rsid w:val="00B02417"/>
    <w:rsid w:val="00B043D8"/>
    <w:rsid w:val="00B046A9"/>
    <w:rsid w:val="00B04A4A"/>
    <w:rsid w:val="00B06711"/>
    <w:rsid w:val="00B10616"/>
    <w:rsid w:val="00B11DB5"/>
    <w:rsid w:val="00B11FB1"/>
    <w:rsid w:val="00B13875"/>
    <w:rsid w:val="00B13A81"/>
    <w:rsid w:val="00B148D6"/>
    <w:rsid w:val="00B1492F"/>
    <w:rsid w:val="00B14B5D"/>
    <w:rsid w:val="00B15932"/>
    <w:rsid w:val="00B20684"/>
    <w:rsid w:val="00B20701"/>
    <w:rsid w:val="00B20739"/>
    <w:rsid w:val="00B22BAF"/>
    <w:rsid w:val="00B24EAF"/>
    <w:rsid w:val="00B2665C"/>
    <w:rsid w:val="00B2793D"/>
    <w:rsid w:val="00B301D5"/>
    <w:rsid w:val="00B31BB9"/>
    <w:rsid w:val="00B341EF"/>
    <w:rsid w:val="00B35843"/>
    <w:rsid w:val="00B3624C"/>
    <w:rsid w:val="00B36A70"/>
    <w:rsid w:val="00B37FC7"/>
    <w:rsid w:val="00B40085"/>
    <w:rsid w:val="00B44916"/>
    <w:rsid w:val="00B45952"/>
    <w:rsid w:val="00B479BF"/>
    <w:rsid w:val="00B503BF"/>
    <w:rsid w:val="00B50650"/>
    <w:rsid w:val="00B5198D"/>
    <w:rsid w:val="00B51CDB"/>
    <w:rsid w:val="00B52725"/>
    <w:rsid w:val="00B52943"/>
    <w:rsid w:val="00B53D05"/>
    <w:rsid w:val="00B5429D"/>
    <w:rsid w:val="00B54DB1"/>
    <w:rsid w:val="00B570F0"/>
    <w:rsid w:val="00B60999"/>
    <w:rsid w:val="00B62743"/>
    <w:rsid w:val="00B62E93"/>
    <w:rsid w:val="00B63C7F"/>
    <w:rsid w:val="00B645F6"/>
    <w:rsid w:val="00B64D9E"/>
    <w:rsid w:val="00B66FF9"/>
    <w:rsid w:val="00B672A9"/>
    <w:rsid w:val="00B731D0"/>
    <w:rsid w:val="00B7422A"/>
    <w:rsid w:val="00B7504E"/>
    <w:rsid w:val="00B75540"/>
    <w:rsid w:val="00B76664"/>
    <w:rsid w:val="00B76C90"/>
    <w:rsid w:val="00B80BCA"/>
    <w:rsid w:val="00B8244A"/>
    <w:rsid w:val="00B8463C"/>
    <w:rsid w:val="00B85D1F"/>
    <w:rsid w:val="00B86D94"/>
    <w:rsid w:val="00B86DF5"/>
    <w:rsid w:val="00B86ECF"/>
    <w:rsid w:val="00B90377"/>
    <w:rsid w:val="00B905C3"/>
    <w:rsid w:val="00B90990"/>
    <w:rsid w:val="00B90B27"/>
    <w:rsid w:val="00B92AF9"/>
    <w:rsid w:val="00B92FDE"/>
    <w:rsid w:val="00B9307B"/>
    <w:rsid w:val="00B9468D"/>
    <w:rsid w:val="00B94E47"/>
    <w:rsid w:val="00B96C13"/>
    <w:rsid w:val="00B96D8B"/>
    <w:rsid w:val="00B97830"/>
    <w:rsid w:val="00BA006B"/>
    <w:rsid w:val="00BA0530"/>
    <w:rsid w:val="00BA067C"/>
    <w:rsid w:val="00BA06A5"/>
    <w:rsid w:val="00BA1BB1"/>
    <w:rsid w:val="00BA44E8"/>
    <w:rsid w:val="00BA493A"/>
    <w:rsid w:val="00BA59C1"/>
    <w:rsid w:val="00BA689B"/>
    <w:rsid w:val="00BA7335"/>
    <w:rsid w:val="00BA76C0"/>
    <w:rsid w:val="00BA7E73"/>
    <w:rsid w:val="00BB02CF"/>
    <w:rsid w:val="00BB0B2B"/>
    <w:rsid w:val="00BB0D6F"/>
    <w:rsid w:val="00BB17E5"/>
    <w:rsid w:val="00BB3027"/>
    <w:rsid w:val="00BB646F"/>
    <w:rsid w:val="00BB71A5"/>
    <w:rsid w:val="00BB7DFD"/>
    <w:rsid w:val="00BB7E29"/>
    <w:rsid w:val="00BC0471"/>
    <w:rsid w:val="00BC0544"/>
    <w:rsid w:val="00BC1B77"/>
    <w:rsid w:val="00BC35F0"/>
    <w:rsid w:val="00BC6301"/>
    <w:rsid w:val="00BC6F3A"/>
    <w:rsid w:val="00BC7C70"/>
    <w:rsid w:val="00BD002D"/>
    <w:rsid w:val="00BD32A0"/>
    <w:rsid w:val="00BD42C7"/>
    <w:rsid w:val="00BD5B10"/>
    <w:rsid w:val="00BD6239"/>
    <w:rsid w:val="00BD64BF"/>
    <w:rsid w:val="00BD7923"/>
    <w:rsid w:val="00BE0524"/>
    <w:rsid w:val="00BE1A47"/>
    <w:rsid w:val="00BE26DB"/>
    <w:rsid w:val="00BE3302"/>
    <w:rsid w:val="00BE49CE"/>
    <w:rsid w:val="00BE5B1D"/>
    <w:rsid w:val="00BE5B94"/>
    <w:rsid w:val="00BE69C2"/>
    <w:rsid w:val="00BF215D"/>
    <w:rsid w:val="00BF263D"/>
    <w:rsid w:val="00BF2726"/>
    <w:rsid w:val="00BF3074"/>
    <w:rsid w:val="00BF30FB"/>
    <w:rsid w:val="00BF3E29"/>
    <w:rsid w:val="00C00E8E"/>
    <w:rsid w:val="00C03396"/>
    <w:rsid w:val="00C03D2B"/>
    <w:rsid w:val="00C04169"/>
    <w:rsid w:val="00C042D7"/>
    <w:rsid w:val="00C042E4"/>
    <w:rsid w:val="00C04D4C"/>
    <w:rsid w:val="00C10037"/>
    <w:rsid w:val="00C1053C"/>
    <w:rsid w:val="00C114C0"/>
    <w:rsid w:val="00C148DA"/>
    <w:rsid w:val="00C14F84"/>
    <w:rsid w:val="00C16390"/>
    <w:rsid w:val="00C1793B"/>
    <w:rsid w:val="00C22F91"/>
    <w:rsid w:val="00C2748E"/>
    <w:rsid w:val="00C2772A"/>
    <w:rsid w:val="00C27D3F"/>
    <w:rsid w:val="00C306E0"/>
    <w:rsid w:val="00C31334"/>
    <w:rsid w:val="00C31511"/>
    <w:rsid w:val="00C31D30"/>
    <w:rsid w:val="00C31DC4"/>
    <w:rsid w:val="00C32EE6"/>
    <w:rsid w:val="00C35ADC"/>
    <w:rsid w:val="00C40461"/>
    <w:rsid w:val="00C42B51"/>
    <w:rsid w:val="00C4373D"/>
    <w:rsid w:val="00C507CE"/>
    <w:rsid w:val="00C51001"/>
    <w:rsid w:val="00C52657"/>
    <w:rsid w:val="00C526EC"/>
    <w:rsid w:val="00C71FBA"/>
    <w:rsid w:val="00C72BC8"/>
    <w:rsid w:val="00C73506"/>
    <w:rsid w:val="00C76447"/>
    <w:rsid w:val="00C821F9"/>
    <w:rsid w:val="00C829D2"/>
    <w:rsid w:val="00C833F3"/>
    <w:rsid w:val="00C847BE"/>
    <w:rsid w:val="00C84D85"/>
    <w:rsid w:val="00C85B62"/>
    <w:rsid w:val="00C85F80"/>
    <w:rsid w:val="00C86061"/>
    <w:rsid w:val="00C8719C"/>
    <w:rsid w:val="00C90B10"/>
    <w:rsid w:val="00C90FB8"/>
    <w:rsid w:val="00C9135B"/>
    <w:rsid w:val="00C92ACF"/>
    <w:rsid w:val="00C93A32"/>
    <w:rsid w:val="00C978B2"/>
    <w:rsid w:val="00C97AC6"/>
    <w:rsid w:val="00CA0883"/>
    <w:rsid w:val="00CA2AD2"/>
    <w:rsid w:val="00CA4852"/>
    <w:rsid w:val="00CA4B64"/>
    <w:rsid w:val="00CA641D"/>
    <w:rsid w:val="00CA654F"/>
    <w:rsid w:val="00CB0A8F"/>
    <w:rsid w:val="00CB1AF3"/>
    <w:rsid w:val="00CB30F7"/>
    <w:rsid w:val="00CB3AC9"/>
    <w:rsid w:val="00CB56BA"/>
    <w:rsid w:val="00CB7616"/>
    <w:rsid w:val="00CB7B8F"/>
    <w:rsid w:val="00CB7CBD"/>
    <w:rsid w:val="00CC0FD2"/>
    <w:rsid w:val="00CC2479"/>
    <w:rsid w:val="00CC49BE"/>
    <w:rsid w:val="00CC4FCA"/>
    <w:rsid w:val="00CC6A80"/>
    <w:rsid w:val="00CC6B08"/>
    <w:rsid w:val="00CC6C06"/>
    <w:rsid w:val="00CC70B7"/>
    <w:rsid w:val="00CC7CE4"/>
    <w:rsid w:val="00CD1412"/>
    <w:rsid w:val="00CD1956"/>
    <w:rsid w:val="00CD1ABF"/>
    <w:rsid w:val="00CD3FCC"/>
    <w:rsid w:val="00CD5693"/>
    <w:rsid w:val="00CE00CE"/>
    <w:rsid w:val="00CE0961"/>
    <w:rsid w:val="00CE339B"/>
    <w:rsid w:val="00CE37EE"/>
    <w:rsid w:val="00CE4EAF"/>
    <w:rsid w:val="00CE62F5"/>
    <w:rsid w:val="00CF0048"/>
    <w:rsid w:val="00CF10A3"/>
    <w:rsid w:val="00CF1195"/>
    <w:rsid w:val="00CF25D8"/>
    <w:rsid w:val="00CF32A3"/>
    <w:rsid w:val="00CF560B"/>
    <w:rsid w:val="00CF56E9"/>
    <w:rsid w:val="00CF5795"/>
    <w:rsid w:val="00CF5AAF"/>
    <w:rsid w:val="00CF5D5D"/>
    <w:rsid w:val="00CF6CCE"/>
    <w:rsid w:val="00CF7F2B"/>
    <w:rsid w:val="00D013BA"/>
    <w:rsid w:val="00D01E77"/>
    <w:rsid w:val="00D01EDF"/>
    <w:rsid w:val="00D02DA3"/>
    <w:rsid w:val="00D03C7C"/>
    <w:rsid w:val="00D04E25"/>
    <w:rsid w:val="00D05BC4"/>
    <w:rsid w:val="00D06678"/>
    <w:rsid w:val="00D06CB6"/>
    <w:rsid w:val="00D07964"/>
    <w:rsid w:val="00D07B41"/>
    <w:rsid w:val="00D12864"/>
    <w:rsid w:val="00D16BA7"/>
    <w:rsid w:val="00D21596"/>
    <w:rsid w:val="00D226EF"/>
    <w:rsid w:val="00D22D78"/>
    <w:rsid w:val="00D22EEF"/>
    <w:rsid w:val="00D23CDB"/>
    <w:rsid w:val="00D2434A"/>
    <w:rsid w:val="00D2582A"/>
    <w:rsid w:val="00D27ED9"/>
    <w:rsid w:val="00D3045E"/>
    <w:rsid w:val="00D36DDE"/>
    <w:rsid w:val="00D37471"/>
    <w:rsid w:val="00D41A4C"/>
    <w:rsid w:val="00D42D25"/>
    <w:rsid w:val="00D43265"/>
    <w:rsid w:val="00D43E92"/>
    <w:rsid w:val="00D44816"/>
    <w:rsid w:val="00D44CDC"/>
    <w:rsid w:val="00D4528D"/>
    <w:rsid w:val="00D4564A"/>
    <w:rsid w:val="00D469AF"/>
    <w:rsid w:val="00D47486"/>
    <w:rsid w:val="00D47773"/>
    <w:rsid w:val="00D504BA"/>
    <w:rsid w:val="00D50E3D"/>
    <w:rsid w:val="00D54B87"/>
    <w:rsid w:val="00D550B6"/>
    <w:rsid w:val="00D56655"/>
    <w:rsid w:val="00D57223"/>
    <w:rsid w:val="00D57344"/>
    <w:rsid w:val="00D60652"/>
    <w:rsid w:val="00D60F9F"/>
    <w:rsid w:val="00D6117B"/>
    <w:rsid w:val="00D62C72"/>
    <w:rsid w:val="00D63882"/>
    <w:rsid w:val="00D712A1"/>
    <w:rsid w:val="00D72D25"/>
    <w:rsid w:val="00D73B64"/>
    <w:rsid w:val="00D73F74"/>
    <w:rsid w:val="00D75ECD"/>
    <w:rsid w:val="00D76D51"/>
    <w:rsid w:val="00D77B25"/>
    <w:rsid w:val="00D8356C"/>
    <w:rsid w:val="00D85D8E"/>
    <w:rsid w:val="00D85FAD"/>
    <w:rsid w:val="00D90234"/>
    <w:rsid w:val="00D911E0"/>
    <w:rsid w:val="00D91ED9"/>
    <w:rsid w:val="00D929CA"/>
    <w:rsid w:val="00D954D6"/>
    <w:rsid w:val="00D964E0"/>
    <w:rsid w:val="00D978BF"/>
    <w:rsid w:val="00D97E7B"/>
    <w:rsid w:val="00DA2512"/>
    <w:rsid w:val="00DA2815"/>
    <w:rsid w:val="00DA2D6B"/>
    <w:rsid w:val="00DA31E5"/>
    <w:rsid w:val="00DA37CC"/>
    <w:rsid w:val="00DA3A3E"/>
    <w:rsid w:val="00DA4485"/>
    <w:rsid w:val="00DA48F5"/>
    <w:rsid w:val="00DA72FA"/>
    <w:rsid w:val="00DB1CBF"/>
    <w:rsid w:val="00DB21A6"/>
    <w:rsid w:val="00DB2343"/>
    <w:rsid w:val="00DB3B61"/>
    <w:rsid w:val="00DB4125"/>
    <w:rsid w:val="00DB4524"/>
    <w:rsid w:val="00DB5EB7"/>
    <w:rsid w:val="00DC01A8"/>
    <w:rsid w:val="00DC1E86"/>
    <w:rsid w:val="00DC3A85"/>
    <w:rsid w:val="00DC4DAC"/>
    <w:rsid w:val="00DC5144"/>
    <w:rsid w:val="00DC58C7"/>
    <w:rsid w:val="00DC6271"/>
    <w:rsid w:val="00DC666D"/>
    <w:rsid w:val="00DD3EF5"/>
    <w:rsid w:val="00DD4F6F"/>
    <w:rsid w:val="00DD5007"/>
    <w:rsid w:val="00DD637B"/>
    <w:rsid w:val="00DD7CB8"/>
    <w:rsid w:val="00DE03CB"/>
    <w:rsid w:val="00DE2A09"/>
    <w:rsid w:val="00DE2AF0"/>
    <w:rsid w:val="00DE7B92"/>
    <w:rsid w:val="00DF1FCC"/>
    <w:rsid w:val="00DF2766"/>
    <w:rsid w:val="00DF2D01"/>
    <w:rsid w:val="00DF363F"/>
    <w:rsid w:val="00DF4CF5"/>
    <w:rsid w:val="00DF6936"/>
    <w:rsid w:val="00E03148"/>
    <w:rsid w:val="00E0411A"/>
    <w:rsid w:val="00E043C7"/>
    <w:rsid w:val="00E0468D"/>
    <w:rsid w:val="00E04C88"/>
    <w:rsid w:val="00E05923"/>
    <w:rsid w:val="00E06489"/>
    <w:rsid w:val="00E07958"/>
    <w:rsid w:val="00E11F63"/>
    <w:rsid w:val="00E12783"/>
    <w:rsid w:val="00E15F8B"/>
    <w:rsid w:val="00E17B62"/>
    <w:rsid w:val="00E20274"/>
    <w:rsid w:val="00E204FE"/>
    <w:rsid w:val="00E20B60"/>
    <w:rsid w:val="00E20F49"/>
    <w:rsid w:val="00E24A11"/>
    <w:rsid w:val="00E256BB"/>
    <w:rsid w:val="00E26D4E"/>
    <w:rsid w:val="00E27537"/>
    <w:rsid w:val="00E30BBA"/>
    <w:rsid w:val="00E31748"/>
    <w:rsid w:val="00E33A85"/>
    <w:rsid w:val="00E363F6"/>
    <w:rsid w:val="00E36859"/>
    <w:rsid w:val="00E40C47"/>
    <w:rsid w:val="00E41C84"/>
    <w:rsid w:val="00E4297F"/>
    <w:rsid w:val="00E447A1"/>
    <w:rsid w:val="00E46FE4"/>
    <w:rsid w:val="00E50074"/>
    <w:rsid w:val="00E51BC8"/>
    <w:rsid w:val="00E5428F"/>
    <w:rsid w:val="00E57A5A"/>
    <w:rsid w:val="00E57F4B"/>
    <w:rsid w:val="00E614BC"/>
    <w:rsid w:val="00E617BA"/>
    <w:rsid w:val="00E619F7"/>
    <w:rsid w:val="00E62466"/>
    <w:rsid w:val="00E6281A"/>
    <w:rsid w:val="00E62A55"/>
    <w:rsid w:val="00E62CA7"/>
    <w:rsid w:val="00E62F88"/>
    <w:rsid w:val="00E63000"/>
    <w:rsid w:val="00E63B0E"/>
    <w:rsid w:val="00E63D4C"/>
    <w:rsid w:val="00E64EEB"/>
    <w:rsid w:val="00E660C8"/>
    <w:rsid w:val="00E675EC"/>
    <w:rsid w:val="00E70B11"/>
    <w:rsid w:val="00E7196E"/>
    <w:rsid w:val="00E71A55"/>
    <w:rsid w:val="00E7387E"/>
    <w:rsid w:val="00E75418"/>
    <w:rsid w:val="00E826FA"/>
    <w:rsid w:val="00E8276E"/>
    <w:rsid w:val="00E833CE"/>
    <w:rsid w:val="00E83971"/>
    <w:rsid w:val="00E83DED"/>
    <w:rsid w:val="00E83FFE"/>
    <w:rsid w:val="00E8709C"/>
    <w:rsid w:val="00E90D37"/>
    <w:rsid w:val="00E921CC"/>
    <w:rsid w:val="00E92686"/>
    <w:rsid w:val="00E93EF1"/>
    <w:rsid w:val="00E9568E"/>
    <w:rsid w:val="00E96311"/>
    <w:rsid w:val="00EA05D5"/>
    <w:rsid w:val="00EA2699"/>
    <w:rsid w:val="00EA2CED"/>
    <w:rsid w:val="00EA2D7C"/>
    <w:rsid w:val="00EA3625"/>
    <w:rsid w:val="00EA6CFA"/>
    <w:rsid w:val="00EA6F34"/>
    <w:rsid w:val="00EB120D"/>
    <w:rsid w:val="00EB169A"/>
    <w:rsid w:val="00EB2641"/>
    <w:rsid w:val="00EB2ED0"/>
    <w:rsid w:val="00EB35B6"/>
    <w:rsid w:val="00EB3623"/>
    <w:rsid w:val="00EB56C4"/>
    <w:rsid w:val="00EB6425"/>
    <w:rsid w:val="00EC0353"/>
    <w:rsid w:val="00EC078C"/>
    <w:rsid w:val="00EC12AB"/>
    <w:rsid w:val="00EC206B"/>
    <w:rsid w:val="00EC28D1"/>
    <w:rsid w:val="00EC41D9"/>
    <w:rsid w:val="00EC4700"/>
    <w:rsid w:val="00EC4732"/>
    <w:rsid w:val="00EC4B8C"/>
    <w:rsid w:val="00EC55E3"/>
    <w:rsid w:val="00EC5AB0"/>
    <w:rsid w:val="00EC69DB"/>
    <w:rsid w:val="00EC7BB8"/>
    <w:rsid w:val="00ED0380"/>
    <w:rsid w:val="00ED0979"/>
    <w:rsid w:val="00ED0AA9"/>
    <w:rsid w:val="00ED259E"/>
    <w:rsid w:val="00ED276F"/>
    <w:rsid w:val="00ED29AA"/>
    <w:rsid w:val="00ED3A98"/>
    <w:rsid w:val="00ED44BB"/>
    <w:rsid w:val="00ED490B"/>
    <w:rsid w:val="00ED5BE9"/>
    <w:rsid w:val="00ED63D8"/>
    <w:rsid w:val="00ED7FA5"/>
    <w:rsid w:val="00EE02F7"/>
    <w:rsid w:val="00EE1F9E"/>
    <w:rsid w:val="00EE33A6"/>
    <w:rsid w:val="00EE6252"/>
    <w:rsid w:val="00EE7305"/>
    <w:rsid w:val="00EE7A2D"/>
    <w:rsid w:val="00EF4076"/>
    <w:rsid w:val="00EF764C"/>
    <w:rsid w:val="00EF7BF8"/>
    <w:rsid w:val="00F00603"/>
    <w:rsid w:val="00F00FC0"/>
    <w:rsid w:val="00F011FB"/>
    <w:rsid w:val="00F02B3E"/>
    <w:rsid w:val="00F05305"/>
    <w:rsid w:val="00F06D00"/>
    <w:rsid w:val="00F07B00"/>
    <w:rsid w:val="00F07D79"/>
    <w:rsid w:val="00F101E6"/>
    <w:rsid w:val="00F10DA2"/>
    <w:rsid w:val="00F11387"/>
    <w:rsid w:val="00F116FD"/>
    <w:rsid w:val="00F122E8"/>
    <w:rsid w:val="00F125F4"/>
    <w:rsid w:val="00F12756"/>
    <w:rsid w:val="00F13B19"/>
    <w:rsid w:val="00F13BD5"/>
    <w:rsid w:val="00F14BFD"/>
    <w:rsid w:val="00F15969"/>
    <w:rsid w:val="00F165E2"/>
    <w:rsid w:val="00F16731"/>
    <w:rsid w:val="00F23741"/>
    <w:rsid w:val="00F24821"/>
    <w:rsid w:val="00F24D52"/>
    <w:rsid w:val="00F26BB7"/>
    <w:rsid w:val="00F2754B"/>
    <w:rsid w:val="00F31D3D"/>
    <w:rsid w:val="00F338D4"/>
    <w:rsid w:val="00F34720"/>
    <w:rsid w:val="00F3524C"/>
    <w:rsid w:val="00F36311"/>
    <w:rsid w:val="00F37880"/>
    <w:rsid w:val="00F408C7"/>
    <w:rsid w:val="00F442D5"/>
    <w:rsid w:val="00F449CC"/>
    <w:rsid w:val="00F45B15"/>
    <w:rsid w:val="00F46011"/>
    <w:rsid w:val="00F47320"/>
    <w:rsid w:val="00F50800"/>
    <w:rsid w:val="00F51E99"/>
    <w:rsid w:val="00F5205E"/>
    <w:rsid w:val="00F52333"/>
    <w:rsid w:val="00F52383"/>
    <w:rsid w:val="00F52953"/>
    <w:rsid w:val="00F540FF"/>
    <w:rsid w:val="00F56FF3"/>
    <w:rsid w:val="00F6054A"/>
    <w:rsid w:val="00F628D8"/>
    <w:rsid w:val="00F62D81"/>
    <w:rsid w:val="00F654F4"/>
    <w:rsid w:val="00F65976"/>
    <w:rsid w:val="00F65A92"/>
    <w:rsid w:val="00F66991"/>
    <w:rsid w:val="00F673D9"/>
    <w:rsid w:val="00F677A5"/>
    <w:rsid w:val="00F709C5"/>
    <w:rsid w:val="00F716E3"/>
    <w:rsid w:val="00F751F5"/>
    <w:rsid w:val="00F75210"/>
    <w:rsid w:val="00F75262"/>
    <w:rsid w:val="00F772A7"/>
    <w:rsid w:val="00F7732B"/>
    <w:rsid w:val="00F80A88"/>
    <w:rsid w:val="00F8360E"/>
    <w:rsid w:val="00F84933"/>
    <w:rsid w:val="00F859F5"/>
    <w:rsid w:val="00F86277"/>
    <w:rsid w:val="00F866DF"/>
    <w:rsid w:val="00F86D0F"/>
    <w:rsid w:val="00F9029D"/>
    <w:rsid w:val="00F9120A"/>
    <w:rsid w:val="00F91B3C"/>
    <w:rsid w:val="00F956DC"/>
    <w:rsid w:val="00F96F4C"/>
    <w:rsid w:val="00F97A71"/>
    <w:rsid w:val="00FA283C"/>
    <w:rsid w:val="00FA5420"/>
    <w:rsid w:val="00FA5E08"/>
    <w:rsid w:val="00FB0CA7"/>
    <w:rsid w:val="00FB1014"/>
    <w:rsid w:val="00FB16C7"/>
    <w:rsid w:val="00FB1F6A"/>
    <w:rsid w:val="00FB262F"/>
    <w:rsid w:val="00FB2E48"/>
    <w:rsid w:val="00FB33B8"/>
    <w:rsid w:val="00FB45CF"/>
    <w:rsid w:val="00FB5ABF"/>
    <w:rsid w:val="00FB66C0"/>
    <w:rsid w:val="00FB66DD"/>
    <w:rsid w:val="00FB7095"/>
    <w:rsid w:val="00FB775A"/>
    <w:rsid w:val="00FB7B80"/>
    <w:rsid w:val="00FC02A8"/>
    <w:rsid w:val="00FC2D1E"/>
    <w:rsid w:val="00FC46ED"/>
    <w:rsid w:val="00FC4F89"/>
    <w:rsid w:val="00FC5431"/>
    <w:rsid w:val="00FC71B2"/>
    <w:rsid w:val="00FD0DD4"/>
    <w:rsid w:val="00FD1461"/>
    <w:rsid w:val="00FD16B9"/>
    <w:rsid w:val="00FD2FDD"/>
    <w:rsid w:val="00FD4B31"/>
    <w:rsid w:val="00FE015E"/>
    <w:rsid w:val="00FE2763"/>
    <w:rsid w:val="00FE2A5F"/>
    <w:rsid w:val="00FE32CA"/>
    <w:rsid w:val="00FE3469"/>
    <w:rsid w:val="00FE353B"/>
    <w:rsid w:val="00FE3704"/>
    <w:rsid w:val="00FE3D48"/>
    <w:rsid w:val="00FE56BA"/>
    <w:rsid w:val="00FE58CC"/>
    <w:rsid w:val="00FE73DB"/>
    <w:rsid w:val="00FF0649"/>
    <w:rsid w:val="00FF1CD0"/>
    <w:rsid w:val="00FF2A28"/>
    <w:rsid w:val="00FF2D07"/>
    <w:rsid w:val="00FF33C3"/>
    <w:rsid w:val="00FF413E"/>
    <w:rsid w:val="00FF6B59"/>
    <w:rsid w:val="00FF715E"/>
    <w:rsid w:val="039191D6"/>
    <w:rsid w:val="0843B6DD"/>
    <w:rsid w:val="0931DBDD"/>
    <w:rsid w:val="0AFADB35"/>
    <w:rsid w:val="0B91E768"/>
    <w:rsid w:val="0C0AA4D4"/>
    <w:rsid w:val="0C555788"/>
    <w:rsid w:val="1262FC80"/>
    <w:rsid w:val="13F61481"/>
    <w:rsid w:val="1B08B2E2"/>
    <w:rsid w:val="1C9FAE7D"/>
    <w:rsid w:val="21D26324"/>
    <w:rsid w:val="24CE1E5E"/>
    <w:rsid w:val="28035A8B"/>
    <w:rsid w:val="2A23F2A9"/>
    <w:rsid w:val="2F6B96EE"/>
    <w:rsid w:val="30F2B268"/>
    <w:rsid w:val="310B052C"/>
    <w:rsid w:val="31862BE5"/>
    <w:rsid w:val="343C27B5"/>
    <w:rsid w:val="3C66A2B2"/>
    <w:rsid w:val="3D2322C3"/>
    <w:rsid w:val="44A06E0F"/>
    <w:rsid w:val="46B552F9"/>
    <w:rsid w:val="4AB96E08"/>
    <w:rsid w:val="51B04DBE"/>
    <w:rsid w:val="530C0DD4"/>
    <w:rsid w:val="550908D3"/>
    <w:rsid w:val="55D13DD9"/>
    <w:rsid w:val="566152C0"/>
    <w:rsid w:val="5C53E1B2"/>
    <w:rsid w:val="5CA3CD49"/>
    <w:rsid w:val="5CB0BFC2"/>
    <w:rsid w:val="5D567D39"/>
    <w:rsid w:val="6CCB5342"/>
    <w:rsid w:val="6E81CED4"/>
    <w:rsid w:val="7264CF4F"/>
    <w:rsid w:val="73A4C7FB"/>
    <w:rsid w:val="748573B2"/>
    <w:rsid w:val="7C4B62A7"/>
    <w:rsid w:val="7E90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7142F"/>
  <w15:chartTrackingRefBased/>
  <w15:docId w15:val="{829230F0-9F72-414B-B829-6A998864E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74A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B33B8"/>
    <w:pPr>
      <w:keepNext/>
      <w:keepLines/>
      <w:widowControl/>
      <w:numPr>
        <w:ilvl w:val="6"/>
        <w:numId w:val="5"/>
      </w:numPr>
      <w:suppressAutoHyphens w:val="0"/>
      <w:spacing w:before="40"/>
      <w:jc w:val="both"/>
      <w:outlineLvl w:val="6"/>
    </w:pPr>
    <w:rPr>
      <w:rFonts w:ascii="Cambria" w:eastAsia="Times New Roman" w:hAnsi="Cambria" w:cs="Times New Roman"/>
      <w:i/>
      <w:iCs/>
      <w:color w:val="243F60"/>
      <w:kern w:val="0"/>
      <w:szCs w:val="20"/>
      <w:lang w:eastAsia="cs-CZ" w:bidi="ar-SA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B33B8"/>
    <w:pPr>
      <w:keepNext/>
      <w:keepLines/>
      <w:widowControl/>
      <w:numPr>
        <w:ilvl w:val="7"/>
        <w:numId w:val="5"/>
      </w:numPr>
      <w:suppressAutoHyphens w:val="0"/>
      <w:spacing w:before="40"/>
      <w:jc w:val="both"/>
      <w:outlineLvl w:val="7"/>
    </w:pPr>
    <w:rPr>
      <w:rFonts w:ascii="Cambria" w:eastAsia="Times New Roman" w:hAnsi="Cambria" w:cs="Times New Roman"/>
      <w:color w:val="272727"/>
      <w:kern w:val="0"/>
      <w:sz w:val="21"/>
      <w:szCs w:val="21"/>
      <w:lang w:eastAsia="cs-CZ" w:bidi="ar-SA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B33B8"/>
    <w:pPr>
      <w:keepNext/>
      <w:keepLines/>
      <w:widowControl/>
      <w:numPr>
        <w:ilvl w:val="8"/>
        <w:numId w:val="5"/>
      </w:numPr>
      <w:suppressAutoHyphens w:val="0"/>
      <w:spacing w:before="40"/>
      <w:jc w:val="both"/>
      <w:outlineLvl w:val="8"/>
    </w:pPr>
    <w:rPr>
      <w:rFonts w:ascii="Cambria" w:eastAsia="Times New Roman" w:hAnsi="Cambria" w:cs="Times New Roman"/>
      <w:i/>
      <w:iCs/>
      <w:color w:val="272727"/>
      <w:kern w:val="0"/>
      <w:sz w:val="21"/>
      <w:szCs w:val="21"/>
      <w:lang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2974A1"/>
    <w:pPr>
      <w:widowControl/>
      <w:spacing w:after="200" w:line="276" w:lineRule="auto"/>
      <w:ind w:firstLine="708"/>
      <w:jc w:val="both"/>
    </w:pPr>
    <w:rPr>
      <w:rFonts w:ascii="Arial" w:eastAsia="Times New Roman" w:hAnsi="Arial" w:cs="Arial"/>
      <w:kern w:val="0"/>
      <w:lang w:eastAsia="cs-CZ" w:bidi="ar-SA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2974A1"/>
    <w:rPr>
      <w:rFonts w:ascii="Arial" w:eastAsia="Times New Roman" w:hAnsi="Arial" w:cs="Arial"/>
      <w:sz w:val="24"/>
      <w:szCs w:val="24"/>
      <w:lang w:eastAsia="cs-CZ"/>
    </w:rPr>
  </w:style>
  <w:style w:type="paragraph" w:styleId="Odstavecseseznamem">
    <w:name w:val="List Paragraph"/>
    <w:aliases w:val="Odstavec_muj,Nad,Conclusion de partie,moje odra,nad 1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2974A1"/>
    <w:pPr>
      <w:widowControl/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8667FE"/>
    <w:pPr>
      <w:suppressAutoHyphens/>
      <w:autoSpaceDN w:val="0"/>
      <w:spacing w:after="0" w:line="240" w:lineRule="auto"/>
      <w:jc w:val="both"/>
    </w:pPr>
    <w:rPr>
      <w:rFonts w:ascii="Times New Roman" w:eastAsia="SimSun" w:hAnsi="Times New Roman" w:cs="Times New Roman"/>
      <w:kern w:val="3"/>
      <w:sz w:val="24"/>
      <w:szCs w:val="24"/>
      <w:lang w:eastAsia="zh-CN" w:bidi="hi-IN"/>
    </w:rPr>
  </w:style>
  <w:style w:type="numbering" w:customStyle="1" w:styleId="WWNum49">
    <w:name w:val="WWNum49"/>
    <w:rsid w:val="008667FE"/>
    <w:pPr>
      <w:numPr>
        <w:numId w:val="2"/>
      </w:numPr>
    </w:pPr>
  </w:style>
  <w:style w:type="numbering" w:customStyle="1" w:styleId="WWNum47">
    <w:name w:val="WWNum47"/>
    <w:rsid w:val="008667FE"/>
    <w:pPr>
      <w:numPr>
        <w:numId w:val="3"/>
      </w:numPr>
    </w:pPr>
  </w:style>
  <w:style w:type="paragraph" w:customStyle="1" w:styleId="l3">
    <w:name w:val="l3"/>
    <w:basedOn w:val="Normln"/>
    <w:rsid w:val="00BE26D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character" w:customStyle="1" w:styleId="OdstavecseseznamemChar">
    <w:name w:val="Odstavec se seznamem Char"/>
    <w:aliases w:val="Odstavec_muj Char,Nad Char,Conclusion de partie Char,moje odra Char,nad 1 Char,Fiche List Paragraph Char,Dot pt Char,List Paragraph Char Char Char Char,Indicator Text Char,Numbered Para 1 Char,List Paragraph à moi Char,3 Char"/>
    <w:link w:val="Odstavecseseznamem"/>
    <w:uiPriority w:val="34"/>
    <w:qFormat/>
    <w:locked/>
    <w:rsid w:val="0070222A"/>
  </w:style>
  <w:style w:type="table" w:styleId="Mkatabulky">
    <w:name w:val="Table Grid"/>
    <w:basedOn w:val="Normlntabulka"/>
    <w:uiPriority w:val="39"/>
    <w:rsid w:val="00EA2CE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EA2CED"/>
    <w:rPr>
      <w:color w:val="0000FF"/>
      <w:u w:val="single"/>
    </w:rPr>
  </w:style>
  <w:style w:type="paragraph" w:customStyle="1" w:styleId="PZTextpsmene">
    <w:name w:val="PZ Text písmene"/>
    <w:basedOn w:val="Normln"/>
    <w:qFormat/>
    <w:rsid w:val="00937E2D"/>
    <w:pPr>
      <w:widowControl/>
      <w:suppressAutoHyphens w:val="0"/>
      <w:ind w:left="425" w:hanging="425"/>
      <w:jc w:val="both"/>
      <w:outlineLvl w:val="7"/>
    </w:pPr>
    <w:rPr>
      <w:rFonts w:eastAsia="Times New Roman" w:cs="Times New Roman"/>
      <w:kern w:val="0"/>
      <w:szCs w:val="20"/>
      <w:lang w:eastAsia="cs-CZ" w:bidi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CC6C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6C06"/>
    <w:rPr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6C06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6C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6C06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Revize">
    <w:name w:val="Revision"/>
    <w:hidden/>
    <w:uiPriority w:val="99"/>
    <w:semiHidden/>
    <w:rsid w:val="00CC6C06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6C06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6C06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C6C06"/>
    <w:rPr>
      <w:sz w:val="20"/>
      <w:szCs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C6C06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character" w:styleId="Znakapoznpodarou">
    <w:name w:val="footnote reference"/>
    <w:basedOn w:val="Standardnpsmoodstavce"/>
    <w:uiPriority w:val="99"/>
    <w:unhideWhenUsed/>
    <w:rsid w:val="00CC6C06"/>
    <w:rPr>
      <w:vertAlign w:val="superscript"/>
    </w:rPr>
  </w:style>
  <w:style w:type="character" w:customStyle="1" w:styleId="Nadpis7Char">
    <w:name w:val="Nadpis 7 Char"/>
    <w:basedOn w:val="Standardnpsmoodstavce"/>
    <w:link w:val="Nadpis7"/>
    <w:uiPriority w:val="9"/>
    <w:rsid w:val="00FB33B8"/>
    <w:rPr>
      <w:rFonts w:ascii="Cambria" w:eastAsia="Times New Roman" w:hAnsi="Cambria" w:cs="Times New Roman"/>
      <w:i/>
      <w:iCs/>
      <w:color w:val="243F60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FB33B8"/>
    <w:rPr>
      <w:rFonts w:ascii="Cambria" w:eastAsia="Times New Roman" w:hAnsi="Cambria" w:cs="Times New Roman"/>
      <w:color w:val="272727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FB33B8"/>
    <w:rPr>
      <w:rFonts w:ascii="Cambria" w:eastAsia="Times New Roman" w:hAnsi="Cambria" w:cs="Times New Roman"/>
      <w:i/>
      <w:iCs/>
      <w:color w:val="272727"/>
      <w:sz w:val="21"/>
      <w:szCs w:val="21"/>
      <w:lang w:eastAsia="cs-CZ"/>
    </w:rPr>
  </w:style>
  <w:style w:type="paragraph" w:customStyle="1" w:styleId="Textodstavce">
    <w:name w:val="Text odstavce"/>
    <w:basedOn w:val="Normln"/>
    <w:rsid w:val="00FB33B8"/>
    <w:pPr>
      <w:widowControl/>
      <w:numPr>
        <w:ilvl w:val="2"/>
        <w:numId w:val="5"/>
      </w:numPr>
      <w:tabs>
        <w:tab w:val="left" w:pos="851"/>
      </w:tabs>
      <w:suppressAutoHyphens w:val="0"/>
      <w:spacing w:before="120" w:after="120"/>
      <w:jc w:val="both"/>
      <w:outlineLvl w:val="6"/>
    </w:pPr>
    <w:rPr>
      <w:rFonts w:eastAsia="Times New Roman" w:cs="Times New Roman"/>
      <w:kern w:val="0"/>
      <w:szCs w:val="20"/>
      <w:lang w:eastAsia="cs-CZ" w:bidi="ar-SA"/>
    </w:rPr>
  </w:style>
  <w:style w:type="paragraph" w:customStyle="1" w:styleId="Paragraf">
    <w:name w:val="Paragraf"/>
    <w:basedOn w:val="Normln"/>
    <w:next w:val="Textodstavce"/>
    <w:qFormat/>
    <w:rsid w:val="00FB33B8"/>
    <w:pPr>
      <w:keepNext/>
      <w:keepLines/>
      <w:widowControl/>
      <w:numPr>
        <w:numId w:val="5"/>
      </w:numPr>
      <w:suppressAutoHyphens w:val="0"/>
      <w:spacing w:before="240"/>
      <w:jc w:val="center"/>
      <w:outlineLvl w:val="5"/>
    </w:pPr>
    <w:rPr>
      <w:rFonts w:eastAsia="Times New Roman" w:cs="Times New Roman"/>
      <w:kern w:val="0"/>
      <w:szCs w:val="20"/>
      <w:lang w:eastAsia="cs-CZ" w:bidi="ar-SA"/>
    </w:rPr>
  </w:style>
  <w:style w:type="paragraph" w:customStyle="1" w:styleId="lnek">
    <w:name w:val="Článek"/>
    <w:basedOn w:val="Normln"/>
    <w:next w:val="Textodstavce"/>
    <w:link w:val="lnekChar"/>
    <w:rsid w:val="00FB33B8"/>
    <w:pPr>
      <w:keepNext/>
      <w:keepLines/>
      <w:widowControl/>
      <w:numPr>
        <w:ilvl w:val="1"/>
        <w:numId w:val="5"/>
      </w:numPr>
      <w:suppressAutoHyphens w:val="0"/>
      <w:spacing w:before="240"/>
      <w:jc w:val="center"/>
      <w:outlineLvl w:val="5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NovelizanbodChar">
    <w:name w:val="Novelizační bod Char"/>
    <w:link w:val="Novelizanbod"/>
    <w:locked/>
    <w:rsid w:val="00FB33B8"/>
    <w:rPr>
      <w:rFonts w:ascii="Times New Roman" w:eastAsia="Times New Roman" w:hAnsi="Times New Roman" w:cs="Times New Roman"/>
      <w:sz w:val="24"/>
    </w:rPr>
  </w:style>
  <w:style w:type="paragraph" w:customStyle="1" w:styleId="Novelizanbod">
    <w:name w:val="Novelizační bod"/>
    <w:basedOn w:val="Normln"/>
    <w:next w:val="Normln"/>
    <w:link w:val="NovelizanbodChar"/>
    <w:qFormat/>
    <w:rsid w:val="00FB33B8"/>
    <w:pPr>
      <w:keepNext/>
      <w:keepLines/>
      <w:widowControl/>
      <w:tabs>
        <w:tab w:val="num" w:pos="567"/>
        <w:tab w:val="left" w:pos="851"/>
      </w:tabs>
      <w:suppressAutoHyphens w:val="0"/>
      <w:spacing w:before="480" w:after="120"/>
      <w:ind w:left="567" w:hanging="567"/>
      <w:jc w:val="both"/>
    </w:pPr>
    <w:rPr>
      <w:rFonts w:eastAsia="Times New Roman" w:cs="Times New Roman"/>
      <w:kern w:val="0"/>
      <w:szCs w:val="22"/>
      <w:lang w:eastAsia="en-US" w:bidi="ar-SA"/>
    </w:rPr>
  </w:style>
  <w:style w:type="paragraph" w:customStyle="1" w:styleId="Textbodu">
    <w:name w:val="Text bodu"/>
    <w:basedOn w:val="Normln"/>
    <w:rsid w:val="00FB33B8"/>
    <w:pPr>
      <w:widowControl/>
      <w:numPr>
        <w:ilvl w:val="4"/>
        <w:numId w:val="5"/>
      </w:numPr>
      <w:suppressAutoHyphens w:val="0"/>
      <w:jc w:val="both"/>
      <w:outlineLvl w:val="8"/>
    </w:pPr>
    <w:rPr>
      <w:rFonts w:eastAsia="Times New Roman" w:cs="Times New Roman"/>
      <w:kern w:val="0"/>
      <w:szCs w:val="20"/>
      <w:lang w:eastAsia="cs-CZ" w:bidi="ar-SA"/>
    </w:rPr>
  </w:style>
  <w:style w:type="paragraph" w:customStyle="1" w:styleId="Textpsmene">
    <w:name w:val="Text písmene"/>
    <w:basedOn w:val="Normln"/>
    <w:rsid w:val="00FB33B8"/>
    <w:pPr>
      <w:widowControl/>
      <w:numPr>
        <w:ilvl w:val="3"/>
        <w:numId w:val="5"/>
      </w:numPr>
      <w:suppressAutoHyphens w:val="0"/>
      <w:jc w:val="both"/>
      <w:outlineLvl w:val="7"/>
    </w:pPr>
    <w:rPr>
      <w:rFonts w:eastAsia="Times New Roman" w:cs="Times New Roman"/>
      <w:kern w:val="0"/>
      <w:szCs w:val="20"/>
      <w:lang w:eastAsia="cs-CZ" w:bidi="ar-SA"/>
    </w:rPr>
  </w:style>
  <w:style w:type="paragraph" w:customStyle="1" w:styleId="NADPISSTI">
    <w:name w:val="NADPIS ČÁSTI"/>
    <w:basedOn w:val="Normln"/>
    <w:next w:val="Normln"/>
    <w:link w:val="NADPISSTIChar"/>
    <w:rsid w:val="00FB33B8"/>
    <w:pPr>
      <w:keepNext/>
      <w:keepLines/>
      <w:widowControl/>
      <w:suppressAutoHyphens w:val="0"/>
      <w:jc w:val="center"/>
      <w:outlineLvl w:val="1"/>
    </w:pPr>
    <w:rPr>
      <w:rFonts w:eastAsia="Times New Roman" w:cs="Times New Roman"/>
      <w:b/>
      <w:kern w:val="0"/>
      <w:szCs w:val="20"/>
      <w:lang w:eastAsia="cs-CZ" w:bidi="ar-SA"/>
    </w:rPr>
  </w:style>
  <w:style w:type="paragraph" w:customStyle="1" w:styleId="ST">
    <w:name w:val="ČÁST"/>
    <w:basedOn w:val="Normln"/>
    <w:next w:val="NADPISSTI"/>
    <w:rsid w:val="00FB33B8"/>
    <w:pPr>
      <w:keepNext/>
      <w:keepLines/>
      <w:widowControl/>
      <w:suppressAutoHyphens w:val="0"/>
      <w:spacing w:before="240" w:after="120"/>
      <w:jc w:val="center"/>
      <w:outlineLvl w:val="1"/>
    </w:pPr>
    <w:rPr>
      <w:rFonts w:eastAsia="Times New Roman" w:cs="Times New Roman"/>
      <w:caps/>
      <w:kern w:val="0"/>
      <w:szCs w:val="20"/>
      <w:lang w:eastAsia="cs-CZ" w:bidi="ar-SA"/>
    </w:rPr>
  </w:style>
  <w:style w:type="character" w:customStyle="1" w:styleId="NADPISSTIChar">
    <w:name w:val="NADPIS ČÁSTI Char"/>
    <w:link w:val="NADPISSTI"/>
    <w:locked/>
    <w:rsid w:val="00FB33B8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paragrafu">
    <w:name w:val="Text paragrafu"/>
    <w:basedOn w:val="Normln"/>
    <w:rsid w:val="000B06C0"/>
    <w:pPr>
      <w:widowControl/>
      <w:suppressAutoHyphens w:val="0"/>
      <w:spacing w:before="240"/>
      <w:ind w:firstLine="425"/>
      <w:jc w:val="both"/>
      <w:outlineLvl w:val="5"/>
    </w:pPr>
    <w:rPr>
      <w:rFonts w:eastAsia="Times New Roman" w:cs="Times New Roman"/>
      <w:kern w:val="0"/>
      <w:szCs w:val="20"/>
      <w:lang w:eastAsia="cs-CZ" w:bidi="ar-SA"/>
    </w:rPr>
  </w:style>
  <w:style w:type="paragraph" w:customStyle="1" w:styleId="Textlnku">
    <w:name w:val="Text článku"/>
    <w:basedOn w:val="Normln"/>
    <w:link w:val="TextlnkuChar"/>
    <w:rsid w:val="000627C4"/>
    <w:pPr>
      <w:widowControl/>
      <w:suppressAutoHyphens w:val="0"/>
      <w:spacing w:before="240"/>
      <w:ind w:firstLine="425"/>
      <w:jc w:val="both"/>
      <w:outlineLvl w:val="5"/>
    </w:pPr>
    <w:rPr>
      <w:rFonts w:eastAsia="Times New Roman" w:cs="Times New Roman"/>
      <w:kern w:val="0"/>
      <w:lang w:eastAsia="cs-CZ" w:bidi="ar-SA"/>
    </w:rPr>
  </w:style>
  <w:style w:type="character" w:customStyle="1" w:styleId="TextlnkuChar">
    <w:name w:val="Text článku Char"/>
    <w:link w:val="Textlnku"/>
    <w:rsid w:val="000627C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726B7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7726B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7726B7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7726B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Default">
    <w:name w:val="Default"/>
    <w:rsid w:val="001E29F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Dvodovzprvaklnku">
    <w:name w:val="Důvodová zpráva (k článku)"/>
    <w:basedOn w:val="Normln"/>
    <w:next w:val="Normln"/>
    <w:qFormat/>
    <w:rsid w:val="001E29F8"/>
    <w:pPr>
      <w:keepNext/>
      <w:widowControl/>
      <w:suppressAutoHyphens w:val="0"/>
      <w:spacing w:before="120"/>
      <w:jc w:val="both"/>
      <w:outlineLvl w:val="0"/>
    </w:pPr>
    <w:rPr>
      <w:rFonts w:ascii="Arial" w:eastAsia="Times New Roman" w:hAnsi="Arial" w:cs="Times New Roman"/>
      <w:b/>
      <w:color w:val="0000FF"/>
      <w:kern w:val="0"/>
      <w:szCs w:val="20"/>
      <w:lang w:eastAsia="cs-CZ" w:bidi="ar-SA"/>
    </w:rPr>
  </w:style>
  <w:style w:type="paragraph" w:styleId="Bezmezer">
    <w:name w:val="No Spacing"/>
    <w:uiPriority w:val="1"/>
    <w:qFormat/>
    <w:rsid w:val="00E51BC8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B4718"/>
    <w:pPr>
      <w:spacing w:after="200"/>
    </w:pPr>
    <w:rPr>
      <w:i/>
      <w:iCs/>
      <w:color w:val="44546A" w:themeColor="text2"/>
      <w:sz w:val="18"/>
      <w:szCs w:val="16"/>
    </w:rPr>
  </w:style>
  <w:style w:type="paragraph" w:customStyle="1" w:styleId="Nadpislnku">
    <w:name w:val="Nadpis článku"/>
    <w:basedOn w:val="lnek"/>
    <w:next w:val="Textodstavce"/>
    <w:link w:val="NadpislnkuChar"/>
    <w:rsid w:val="007C1453"/>
    <w:pPr>
      <w:numPr>
        <w:ilvl w:val="0"/>
        <w:numId w:val="0"/>
      </w:numPr>
    </w:pPr>
    <w:rPr>
      <w:b/>
    </w:rPr>
  </w:style>
  <w:style w:type="paragraph" w:customStyle="1" w:styleId="Textpechodka">
    <w:name w:val="Text přechodka"/>
    <w:basedOn w:val="Normln"/>
    <w:qFormat/>
    <w:rsid w:val="007C1453"/>
    <w:pPr>
      <w:widowControl/>
      <w:numPr>
        <w:ilvl w:val="2"/>
        <w:numId w:val="29"/>
      </w:numPr>
      <w:suppressAutoHyphens w:val="0"/>
      <w:jc w:val="both"/>
    </w:pPr>
    <w:rPr>
      <w:rFonts w:eastAsia="Times New Roman" w:cs="Times New Roman"/>
      <w:kern w:val="0"/>
      <w:szCs w:val="20"/>
      <w:lang w:eastAsia="cs-CZ" w:bidi="ar-SA"/>
    </w:rPr>
  </w:style>
  <w:style w:type="paragraph" w:customStyle="1" w:styleId="Textpechodkapsmene">
    <w:name w:val="Text přechodka písmene"/>
    <w:basedOn w:val="Normln"/>
    <w:qFormat/>
    <w:rsid w:val="007C1453"/>
    <w:pPr>
      <w:widowControl/>
      <w:numPr>
        <w:ilvl w:val="3"/>
        <w:numId w:val="29"/>
      </w:numPr>
      <w:suppressAutoHyphens w:val="0"/>
      <w:jc w:val="both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lnekChar">
    <w:name w:val="Článek Char"/>
    <w:link w:val="lnek"/>
    <w:rsid w:val="007C1453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lnkuChar">
    <w:name w:val="Nadpis článku Char"/>
    <w:link w:val="Nadpislnku"/>
    <w:locked/>
    <w:rsid w:val="007C1453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Dvodovzprvakbodu-neslovan">
    <w:name w:val="Důvodová zpráva (k bodu - nečíslované)"/>
    <w:basedOn w:val="Normln"/>
    <w:next w:val="Normln"/>
    <w:qFormat/>
    <w:rsid w:val="00BC6301"/>
    <w:pPr>
      <w:keepNext/>
      <w:tabs>
        <w:tab w:val="left" w:pos="708"/>
      </w:tabs>
      <w:suppressAutoHyphens w:val="0"/>
      <w:spacing w:after="120"/>
      <w:jc w:val="both"/>
      <w:outlineLvl w:val="3"/>
    </w:pPr>
    <w:rPr>
      <w:rFonts w:eastAsia="Times New Roman" w:cs="Times New Roman"/>
      <w:b/>
      <w:kern w:val="0"/>
      <w:lang w:eastAsia="cs-CZ" w:bidi="ar-SA"/>
    </w:rPr>
  </w:style>
  <w:style w:type="table" w:customStyle="1" w:styleId="Mkatabulky1">
    <w:name w:val="Mřížka tabulky1"/>
    <w:basedOn w:val="Normlntabulka"/>
    <w:next w:val="Mkatabulky"/>
    <w:uiPriority w:val="39"/>
    <w:rsid w:val="0065431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znpodarou1">
    <w:name w:val="Text pozn. pod čarou1"/>
    <w:basedOn w:val="Normln"/>
    <w:next w:val="Textpoznpodarou"/>
    <w:uiPriority w:val="99"/>
    <w:unhideWhenUsed/>
    <w:rsid w:val="00113531"/>
    <w:pPr>
      <w:widowControl/>
      <w:suppressAutoHyphens w:val="0"/>
    </w:pPr>
    <w:rPr>
      <w:rFonts w:ascii="Calibri" w:eastAsia="Calibri" w:hAnsi="Calibri" w:cs="Arial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54159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9612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903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4387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289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7192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1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0136">
          <w:marLeft w:val="50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1260">
          <w:marLeft w:val="50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9029">
          <w:marLeft w:val="50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1673">
          <w:marLeft w:val="50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3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5806">
          <w:marLeft w:val="50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29452">
          <w:marLeft w:val="50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73025">
          <w:marLeft w:val="50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6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807433">
          <w:marLeft w:val="50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5622">
          <w:marLeft w:val="50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5410">
          <w:marLeft w:val="50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3521">
          <w:marLeft w:val="50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4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341EA9A64284DA136B82E4C3FA249" ma:contentTypeVersion="4" ma:contentTypeDescription="Vytvoří nový dokument" ma:contentTypeScope="" ma:versionID="fb59e6c31be2b8d7bbe076713c5a11ca">
  <xsd:schema xmlns:xsd="http://www.w3.org/2001/XMLSchema" xmlns:xs="http://www.w3.org/2001/XMLSchema" xmlns:p="http://schemas.microsoft.com/office/2006/metadata/properties" xmlns:ns2="7af87253-27fc-4c7a-b32e-6685946493ad" targetNamespace="http://schemas.microsoft.com/office/2006/metadata/properties" ma:root="true" ma:fieldsID="b36f1ea4142f54744daf95195f859dbe" ns2:_="">
    <xsd:import namespace="7af87253-27fc-4c7a-b32e-6685946493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f87253-27fc-4c7a-b32e-6685946493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329FF-5DAA-434A-A9CA-49C9EE5A4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f87253-27fc-4c7a-b32e-6685946493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18236F-2B20-485F-AA46-9D3C07A946A4}">
  <ds:schemaRefs>
    <ds:schemaRef ds:uri="http://schemas.openxmlformats.org/package/2006/metadata/core-properties"/>
    <ds:schemaRef ds:uri="7af87253-27fc-4c7a-b32e-6685946493ad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70BFCF8-BA1C-4C13-83A9-EBEAD17C2B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1F974F-94D2-4EBD-BB49-B77125579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642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Maříková Lucie Ing.</dc:creator>
  <cp:keywords/>
  <dc:description/>
  <cp:lastModifiedBy>Kadečka David</cp:lastModifiedBy>
  <cp:revision>2</cp:revision>
  <cp:lastPrinted>2024-10-17T14:10:00Z</cp:lastPrinted>
  <dcterms:created xsi:type="dcterms:W3CDTF">2025-02-07T06:34:00Z</dcterms:created>
  <dcterms:modified xsi:type="dcterms:W3CDTF">2025-02-07T06:34:00Z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0x010100771341EA9A64284DA136B82E4C3FA249</vt:lpwstr>
  </property>
  <property fmtid="{D5CDD505-2E9C-101B-9397-08002B2CF9AE}" pid="3" name="MediaServiceImageTags">
    <vt:lpwstr/>
  </property>
  <property fmtid="{D5CDD505-2E9C-101B-9397-08002B2CF9AE}" pid="4" name="Order">
    <vt:r8>769200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