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32" w:rsidRDefault="00830060" w:rsidP="00496FC3">
      <w:r>
        <w:rPr>
          <w:noProof/>
          <w:lang w:eastAsia="cs-CZ"/>
        </w:rPr>
        <w:drawing>
          <wp:anchor distT="0" distB="0" distL="114300" distR="114300" simplePos="0" relativeHeight="251659264" behindDoc="1" locked="0" layoutInCell="1" allowOverlap="1" wp14:anchorId="63FC8E63" wp14:editId="6AEF5FA7">
            <wp:simplePos x="0" y="0"/>
            <wp:positionH relativeFrom="margin">
              <wp:align>center</wp:align>
            </wp:positionH>
            <wp:positionV relativeFrom="margin">
              <wp:posOffset>201930</wp:posOffset>
            </wp:positionV>
            <wp:extent cx="2520000" cy="12600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T_logotyp_text_RGB_cz.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520000" cy="1260000"/>
                    </a:xfrm>
                    <a:prstGeom prst="rect">
                      <a:avLst/>
                    </a:prstGeom>
                  </pic:spPr>
                </pic:pic>
              </a:graphicData>
            </a:graphic>
            <wp14:sizeRelH relativeFrom="margin">
              <wp14:pctWidth>0</wp14:pctWidth>
            </wp14:sizeRelH>
            <wp14:sizeRelV relativeFrom="margin">
              <wp14:pctHeight>0</wp14:pctHeight>
            </wp14:sizeRelV>
          </wp:anchor>
        </w:drawing>
      </w:r>
    </w:p>
    <w:p w:rsidR="00714D60" w:rsidRDefault="00714D60"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714D60" w:rsidRDefault="00714D60" w:rsidP="002C0032">
      <w:pPr>
        <w:pStyle w:val="Odstavecseseznamem"/>
        <w:shd w:val="clear" w:color="auto" w:fill="FFFFFF" w:themeFill="background1"/>
        <w:spacing w:after="0" w:line="240" w:lineRule="auto"/>
        <w:ind w:left="0"/>
        <w:jc w:val="center"/>
      </w:pPr>
    </w:p>
    <w:p w:rsidR="00714D60" w:rsidRDefault="00714D60"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496FC3" w:rsidRDefault="00496FC3"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Pr="007727B4" w:rsidRDefault="007727B4" w:rsidP="00714D60">
      <w:pPr>
        <w:pStyle w:val="Nzev"/>
        <w:keepNext/>
        <w:pBdr>
          <w:bottom w:val="none" w:sz="0" w:space="0" w:color="auto"/>
        </w:pBdr>
        <w:spacing w:after="120"/>
        <w:contextualSpacing w:val="0"/>
        <w:jc w:val="center"/>
        <w:rPr>
          <w:rFonts w:asciiTheme="majorHAnsi" w:hAnsiTheme="majorHAnsi"/>
          <w:b w:val="0"/>
          <w:color w:val="1F4E79" w:themeColor="accent1" w:themeShade="80"/>
          <w:sz w:val="32"/>
          <w:szCs w:val="32"/>
        </w:rPr>
      </w:pPr>
      <w:r w:rsidRPr="007727B4">
        <w:rPr>
          <w:rFonts w:asciiTheme="minorHAnsi" w:eastAsiaTheme="minorHAnsi" w:hAnsiTheme="minorHAnsi" w:cstheme="majorHAnsi"/>
          <w:caps/>
          <w:noProof/>
          <w:spacing w:val="0"/>
          <w:sz w:val="32"/>
          <w:szCs w:val="32"/>
          <w:lang w:eastAsia="cs-CZ"/>
        </w:rPr>
        <w:t>Duální vzdělávání z pohledu jeho zavádění do praxe a problematiky studia maturitních a nematuritních oborů</w:t>
      </w:r>
      <w:r w:rsidR="002C0032" w:rsidRPr="007727B4">
        <w:rPr>
          <w:rFonts w:asciiTheme="minorHAnsi" w:eastAsiaTheme="minorHAnsi" w:hAnsiTheme="minorHAnsi" w:cstheme="majorHAnsi"/>
          <w:caps/>
          <w:noProof/>
          <w:spacing w:val="0"/>
          <w:sz w:val="32"/>
          <w:szCs w:val="32"/>
          <w:lang w:eastAsia="cs-CZ"/>
        </w:rPr>
        <w:t xml:space="preserve"> </w:t>
      </w:r>
    </w:p>
    <w:p w:rsidR="002C0032" w:rsidRDefault="002C0032" w:rsidP="002C0032">
      <w:pPr>
        <w:pStyle w:val="Odstavecseseznamem"/>
        <w:shd w:val="clear" w:color="auto" w:fill="FFFFFF" w:themeFill="background1"/>
        <w:spacing w:after="0" w:line="240" w:lineRule="auto"/>
        <w:ind w:left="0"/>
        <w:jc w:val="center"/>
        <w:rPr>
          <w:b/>
          <w:sz w:val="36"/>
          <w:szCs w:val="36"/>
        </w:rPr>
      </w:pPr>
    </w:p>
    <w:p w:rsidR="00714D60" w:rsidRPr="00714D60" w:rsidRDefault="00714D60"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714D60" w:rsidRDefault="00714D60"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7727B4" w:rsidP="007727B4">
      <w:pPr>
        <w:pStyle w:val="Odstavecseseznamem"/>
        <w:shd w:val="clear" w:color="auto" w:fill="FFFFFF" w:themeFill="background1"/>
        <w:tabs>
          <w:tab w:val="left" w:pos="3641"/>
        </w:tabs>
        <w:spacing w:after="0" w:line="240" w:lineRule="auto"/>
        <w:ind w:left="0"/>
        <w:rPr>
          <w:b/>
          <w:sz w:val="36"/>
          <w:szCs w:val="36"/>
        </w:rPr>
      </w:pPr>
      <w:r>
        <w:rPr>
          <w:b/>
          <w:sz w:val="36"/>
          <w:szCs w:val="36"/>
        </w:rPr>
        <w:tab/>
      </w: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7727B4" w:rsidP="00714D60">
      <w:pPr>
        <w:jc w:val="center"/>
        <w:rPr>
          <w:rFonts w:asciiTheme="majorHAnsi" w:hAnsiTheme="majorHAnsi"/>
        </w:rPr>
      </w:pPr>
      <w:r>
        <w:rPr>
          <w:rStyle w:val="Zdraznnintenzivn"/>
        </w:rPr>
        <w:t>Září 2018</w:t>
      </w:r>
    </w:p>
    <w:sdt>
      <w:sdtPr>
        <w:rPr>
          <w:rFonts w:asciiTheme="minorHAnsi" w:eastAsiaTheme="minorHAnsi" w:hAnsiTheme="minorHAnsi" w:cstheme="minorBidi"/>
          <w:color w:val="auto"/>
          <w:sz w:val="22"/>
          <w:szCs w:val="22"/>
          <w:lang w:eastAsia="en-US"/>
        </w:rPr>
        <w:id w:val="-1541817041"/>
        <w:docPartObj>
          <w:docPartGallery w:val="Table of Contents"/>
          <w:docPartUnique/>
        </w:docPartObj>
      </w:sdtPr>
      <w:sdtEndPr>
        <w:rPr>
          <w:b/>
          <w:bCs/>
        </w:rPr>
      </w:sdtEndPr>
      <w:sdtContent>
        <w:p w:rsidR="00440419" w:rsidRPr="00440419" w:rsidRDefault="00440419" w:rsidP="006036F1">
          <w:pPr>
            <w:pStyle w:val="Nadpisobsahu"/>
            <w:rPr>
              <w:rStyle w:val="Nadpis1Char"/>
            </w:rPr>
          </w:pPr>
          <w:r w:rsidRPr="00440419">
            <w:rPr>
              <w:rStyle w:val="Nadpis1Char"/>
            </w:rPr>
            <w:t>Obsah</w:t>
          </w:r>
        </w:p>
        <w:p w:rsidR="0029137D" w:rsidRDefault="00440419">
          <w:pPr>
            <w:pStyle w:val="Obsah1"/>
            <w:tabs>
              <w:tab w:val="left" w:pos="440"/>
              <w:tab w:val="right" w:leader="dot" w:pos="9062"/>
            </w:tabs>
            <w:rPr>
              <w:rFonts w:asciiTheme="minorHAnsi" w:eastAsiaTheme="minorEastAsia" w:hAnsiTheme="minorHAnsi"/>
              <w:noProof/>
              <w:lang w:eastAsia="cs-CZ"/>
            </w:rPr>
          </w:pPr>
          <w:r>
            <w:fldChar w:fldCharType="begin"/>
          </w:r>
          <w:r>
            <w:instrText xml:space="preserve"> TOC \o "1-3" \h \z \u </w:instrText>
          </w:r>
          <w:r>
            <w:fldChar w:fldCharType="separate"/>
          </w:r>
          <w:hyperlink w:anchor="_Toc523902168" w:history="1">
            <w:r w:rsidR="0029137D" w:rsidRPr="00E41977">
              <w:rPr>
                <w:rStyle w:val="Hypertextovodkaz"/>
                <w:noProof/>
              </w:rPr>
              <w:t>1</w:t>
            </w:r>
            <w:r w:rsidR="0029137D">
              <w:rPr>
                <w:rFonts w:asciiTheme="minorHAnsi" w:eastAsiaTheme="minorEastAsia" w:hAnsiTheme="minorHAnsi"/>
                <w:noProof/>
                <w:lang w:eastAsia="cs-CZ"/>
              </w:rPr>
              <w:tab/>
            </w:r>
            <w:r w:rsidR="0029137D" w:rsidRPr="00E41977">
              <w:rPr>
                <w:rStyle w:val="Hypertextovodkaz"/>
                <w:noProof/>
              </w:rPr>
              <w:t>Úvod do problematiky</w:t>
            </w:r>
            <w:r w:rsidR="0029137D">
              <w:rPr>
                <w:noProof/>
                <w:webHidden/>
              </w:rPr>
              <w:tab/>
            </w:r>
            <w:r w:rsidR="0029137D">
              <w:rPr>
                <w:noProof/>
                <w:webHidden/>
              </w:rPr>
              <w:fldChar w:fldCharType="begin"/>
            </w:r>
            <w:r w:rsidR="0029137D">
              <w:rPr>
                <w:noProof/>
                <w:webHidden/>
              </w:rPr>
              <w:instrText xml:space="preserve"> PAGEREF _Toc523902168 \h </w:instrText>
            </w:r>
            <w:r w:rsidR="0029137D">
              <w:rPr>
                <w:noProof/>
                <w:webHidden/>
              </w:rPr>
            </w:r>
            <w:r w:rsidR="0029137D">
              <w:rPr>
                <w:noProof/>
                <w:webHidden/>
              </w:rPr>
              <w:fldChar w:fldCharType="separate"/>
            </w:r>
            <w:r w:rsidR="00FB517F">
              <w:rPr>
                <w:noProof/>
                <w:webHidden/>
              </w:rPr>
              <w:t>3</w:t>
            </w:r>
            <w:r w:rsidR="0029137D">
              <w:rPr>
                <w:noProof/>
                <w:webHidden/>
              </w:rPr>
              <w:fldChar w:fldCharType="end"/>
            </w:r>
          </w:hyperlink>
        </w:p>
        <w:p w:rsidR="0029137D" w:rsidRDefault="00D479DF">
          <w:pPr>
            <w:pStyle w:val="Obsah1"/>
            <w:tabs>
              <w:tab w:val="left" w:pos="440"/>
              <w:tab w:val="right" w:leader="dot" w:pos="9062"/>
            </w:tabs>
            <w:rPr>
              <w:rFonts w:asciiTheme="minorHAnsi" w:eastAsiaTheme="minorEastAsia" w:hAnsiTheme="minorHAnsi"/>
              <w:noProof/>
              <w:lang w:eastAsia="cs-CZ"/>
            </w:rPr>
          </w:pPr>
          <w:hyperlink w:anchor="_Toc523902169" w:history="1">
            <w:r w:rsidR="0029137D" w:rsidRPr="00E41977">
              <w:rPr>
                <w:rStyle w:val="Hypertextovodkaz"/>
                <w:noProof/>
              </w:rPr>
              <w:t>2</w:t>
            </w:r>
            <w:r w:rsidR="0029137D">
              <w:rPr>
                <w:rFonts w:asciiTheme="minorHAnsi" w:eastAsiaTheme="minorEastAsia" w:hAnsiTheme="minorHAnsi"/>
                <w:noProof/>
                <w:lang w:eastAsia="cs-CZ"/>
              </w:rPr>
              <w:tab/>
            </w:r>
            <w:r w:rsidR="0029137D" w:rsidRPr="00E41977">
              <w:rPr>
                <w:rStyle w:val="Hypertextovodkaz"/>
                <w:noProof/>
              </w:rPr>
              <w:t>Demografický vývoj patnáctiletých</w:t>
            </w:r>
            <w:r w:rsidR="0029137D">
              <w:rPr>
                <w:noProof/>
                <w:webHidden/>
              </w:rPr>
              <w:tab/>
            </w:r>
            <w:r w:rsidR="0029137D">
              <w:rPr>
                <w:noProof/>
                <w:webHidden/>
              </w:rPr>
              <w:fldChar w:fldCharType="begin"/>
            </w:r>
            <w:r w:rsidR="0029137D">
              <w:rPr>
                <w:noProof/>
                <w:webHidden/>
              </w:rPr>
              <w:instrText xml:space="preserve"> PAGEREF _Toc523902169 \h </w:instrText>
            </w:r>
            <w:r w:rsidR="0029137D">
              <w:rPr>
                <w:noProof/>
                <w:webHidden/>
              </w:rPr>
            </w:r>
            <w:r w:rsidR="0029137D">
              <w:rPr>
                <w:noProof/>
                <w:webHidden/>
              </w:rPr>
              <w:fldChar w:fldCharType="separate"/>
            </w:r>
            <w:r w:rsidR="00FB517F">
              <w:rPr>
                <w:noProof/>
                <w:webHidden/>
              </w:rPr>
              <w:t>3</w:t>
            </w:r>
            <w:r w:rsidR="0029137D">
              <w:rPr>
                <w:noProof/>
                <w:webHidden/>
              </w:rPr>
              <w:fldChar w:fldCharType="end"/>
            </w:r>
          </w:hyperlink>
        </w:p>
        <w:p w:rsidR="0029137D" w:rsidRDefault="00D479DF">
          <w:pPr>
            <w:pStyle w:val="Obsah1"/>
            <w:tabs>
              <w:tab w:val="left" w:pos="440"/>
              <w:tab w:val="right" w:leader="dot" w:pos="9062"/>
            </w:tabs>
            <w:rPr>
              <w:rFonts w:asciiTheme="minorHAnsi" w:eastAsiaTheme="minorEastAsia" w:hAnsiTheme="minorHAnsi"/>
              <w:noProof/>
              <w:lang w:eastAsia="cs-CZ"/>
            </w:rPr>
          </w:pPr>
          <w:hyperlink w:anchor="_Toc523902170" w:history="1">
            <w:r w:rsidR="0029137D" w:rsidRPr="00E41977">
              <w:rPr>
                <w:rStyle w:val="Hypertextovodkaz"/>
                <w:noProof/>
              </w:rPr>
              <w:t>3</w:t>
            </w:r>
            <w:r w:rsidR="0029137D">
              <w:rPr>
                <w:rFonts w:asciiTheme="minorHAnsi" w:eastAsiaTheme="minorEastAsia" w:hAnsiTheme="minorHAnsi"/>
                <w:noProof/>
                <w:lang w:eastAsia="cs-CZ"/>
              </w:rPr>
              <w:tab/>
            </w:r>
            <w:r w:rsidR="0029137D" w:rsidRPr="00E41977">
              <w:rPr>
                <w:rStyle w:val="Hypertextovodkaz"/>
                <w:noProof/>
              </w:rPr>
              <w:t>Propojení odborného vzdělávání s trhem práce</w:t>
            </w:r>
            <w:r w:rsidR="0029137D">
              <w:rPr>
                <w:noProof/>
                <w:webHidden/>
              </w:rPr>
              <w:tab/>
            </w:r>
            <w:r w:rsidR="0029137D">
              <w:rPr>
                <w:noProof/>
                <w:webHidden/>
              </w:rPr>
              <w:fldChar w:fldCharType="begin"/>
            </w:r>
            <w:r w:rsidR="0029137D">
              <w:rPr>
                <w:noProof/>
                <w:webHidden/>
              </w:rPr>
              <w:instrText xml:space="preserve"> PAGEREF _Toc523902170 \h </w:instrText>
            </w:r>
            <w:r w:rsidR="0029137D">
              <w:rPr>
                <w:noProof/>
                <w:webHidden/>
              </w:rPr>
            </w:r>
            <w:r w:rsidR="0029137D">
              <w:rPr>
                <w:noProof/>
                <w:webHidden/>
              </w:rPr>
              <w:fldChar w:fldCharType="separate"/>
            </w:r>
            <w:r w:rsidR="00FB517F">
              <w:rPr>
                <w:noProof/>
                <w:webHidden/>
              </w:rPr>
              <w:t>5</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1" w:history="1">
            <w:r w:rsidR="0029137D" w:rsidRPr="00E41977">
              <w:rPr>
                <w:rStyle w:val="Hypertextovodkaz"/>
                <w:noProof/>
              </w:rPr>
              <w:t>3.1</w:t>
            </w:r>
            <w:r w:rsidR="0029137D">
              <w:rPr>
                <w:rFonts w:asciiTheme="minorHAnsi" w:eastAsiaTheme="minorEastAsia" w:hAnsiTheme="minorHAnsi"/>
                <w:noProof/>
                <w:lang w:eastAsia="cs-CZ"/>
              </w:rPr>
              <w:tab/>
            </w:r>
            <w:r w:rsidR="0029137D" w:rsidRPr="00E41977">
              <w:rPr>
                <w:rStyle w:val="Hypertextovodkaz"/>
                <w:noProof/>
              </w:rPr>
              <w:t>Oborová soustava</w:t>
            </w:r>
            <w:r w:rsidR="0029137D">
              <w:rPr>
                <w:noProof/>
                <w:webHidden/>
              </w:rPr>
              <w:tab/>
            </w:r>
            <w:r w:rsidR="0029137D">
              <w:rPr>
                <w:noProof/>
                <w:webHidden/>
              </w:rPr>
              <w:fldChar w:fldCharType="begin"/>
            </w:r>
            <w:r w:rsidR="0029137D">
              <w:rPr>
                <w:noProof/>
                <w:webHidden/>
              </w:rPr>
              <w:instrText xml:space="preserve"> PAGEREF _Toc523902171 \h </w:instrText>
            </w:r>
            <w:r w:rsidR="0029137D">
              <w:rPr>
                <w:noProof/>
                <w:webHidden/>
              </w:rPr>
            </w:r>
            <w:r w:rsidR="0029137D">
              <w:rPr>
                <w:noProof/>
                <w:webHidden/>
              </w:rPr>
              <w:fldChar w:fldCharType="separate"/>
            </w:r>
            <w:r w:rsidR="00FB517F">
              <w:rPr>
                <w:noProof/>
                <w:webHidden/>
              </w:rPr>
              <w:t>5</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2" w:history="1">
            <w:r w:rsidR="0029137D" w:rsidRPr="00E41977">
              <w:rPr>
                <w:rStyle w:val="Hypertextovodkaz"/>
                <w:noProof/>
              </w:rPr>
              <w:t>3.2</w:t>
            </w:r>
            <w:r w:rsidR="0029137D">
              <w:rPr>
                <w:rFonts w:asciiTheme="minorHAnsi" w:eastAsiaTheme="minorEastAsia" w:hAnsiTheme="minorHAnsi"/>
                <w:noProof/>
                <w:lang w:eastAsia="cs-CZ"/>
              </w:rPr>
              <w:tab/>
            </w:r>
            <w:r w:rsidR="0029137D" w:rsidRPr="00E41977">
              <w:rPr>
                <w:rStyle w:val="Hypertextovodkaz"/>
                <w:noProof/>
              </w:rPr>
              <w:t>Kurikulum</w:t>
            </w:r>
            <w:r w:rsidR="0029137D">
              <w:rPr>
                <w:noProof/>
                <w:webHidden/>
              </w:rPr>
              <w:tab/>
            </w:r>
            <w:r w:rsidR="0029137D">
              <w:rPr>
                <w:noProof/>
                <w:webHidden/>
              </w:rPr>
              <w:fldChar w:fldCharType="begin"/>
            </w:r>
            <w:r w:rsidR="0029137D">
              <w:rPr>
                <w:noProof/>
                <w:webHidden/>
              </w:rPr>
              <w:instrText xml:space="preserve"> PAGEREF _Toc523902172 \h </w:instrText>
            </w:r>
            <w:r w:rsidR="0029137D">
              <w:rPr>
                <w:noProof/>
                <w:webHidden/>
              </w:rPr>
            </w:r>
            <w:r w:rsidR="0029137D">
              <w:rPr>
                <w:noProof/>
                <w:webHidden/>
              </w:rPr>
              <w:fldChar w:fldCharType="separate"/>
            </w:r>
            <w:r w:rsidR="00FB517F">
              <w:rPr>
                <w:noProof/>
                <w:webHidden/>
              </w:rPr>
              <w:t>5</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3" w:history="1">
            <w:r w:rsidR="0029137D" w:rsidRPr="00E41977">
              <w:rPr>
                <w:rStyle w:val="Hypertextovodkaz"/>
                <w:noProof/>
              </w:rPr>
              <w:t>3.3</w:t>
            </w:r>
            <w:r w:rsidR="0029137D">
              <w:rPr>
                <w:rFonts w:asciiTheme="minorHAnsi" w:eastAsiaTheme="minorEastAsia" w:hAnsiTheme="minorHAnsi"/>
                <w:noProof/>
                <w:lang w:eastAsia="cs-CZ"/>
              </w:rPr>
              <w:tab/>
            </w:r>
            <w:r w:rsidR="0029137D" w:rsidRPr="00E41977">
              <w:rPr>
                <w:rStyle w:val="Hypertextovodkaz"/>
                <w:noProof/>
              </w:rPr>
              <w:t>Dlouhodobý záměr</w:t>
            </w:r>
            <w:r w:rsidR="0029137D">
              <w:rPr>
                <w:noProof/>
                <w:webHidden/>
              </w:rPr>
              <w:tab/>
            </w:r>
            <w:r w:rsidR="0029137D">
              <w:rPr>
                <w:noProof/>
                <w:webHidden/>
              </w:rPr>
              <w:fldChar w:fldCharType="begin"/>
            </w:r>
            <w:r w:rsidR="0029137D">
              <w:rPr>
                <w:noProof/>
                <w:webHidden/>
              </w:rPr>
              <w:instrText xml:space="preserve"> PAGEREF _Toc523902173 \h </w:instrText>
            </w:r>
            <w:r w:rsidR="0029137D">
              <w:rPr>
                <w:noProof/>
                <w:webHidden/>
              </w:rPr>
            </w:r>
            <w:r w:rsidR="0029137D">
              <w:rPr>
                <w:noProof/>
                <w:webHidden/>
              </w:rPr>
              <w:fldChar w:fldCharType="separate"/>
            </w:r>
            <w:r w:rsidR="00FB517F">
              <w:rPr>
                <w:noProof/>
                <w:webHidden/>
              </w:rPr>
              <w:t>5</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4" w:history="1">
            <w:r w:rsidR="0029137D" w:rsidRPr="00E41977">
              <w:rPr>
                <w:rStyle w:val="Hypertextovodkaz"/>
                <w:noProof/>
              </w:rPr>
              <w:t>3.4</w:t>
            </w:r>
            <w:r w:rsidR="0029137D">
              <w:rPr>
                <w:rFonts w:asciiTheme="minorHAnsi" w:eastAsiaTheme="minorEastAsia" w:hAnsiTheme="minorHAnsi"/>
                <w:noProof/>
                <w:lang w:eastAsia="cs-CZ"/>
              </w:rPr>
              <w:tab/>
            </w:r>
            <w:r w:rsidR="0029137D" w:rsidRPr="00E41977">
              <w:rPr>
                <w:rStyle w:val="Hypertextovodkaz"/>
                <w:noProof/>
              </w:rPr>
              <w:t>Možnost realizace praktického vyučování u zaměstnavatele</w:t>
            </w:r>
            <w:r w:rsidR="0029137D">
              <w:rPr>
                <w:noProof/>
                <w:webHidden/>
              </w:rPr>
              <w:tab/>
            </w:r>
            <w:r w:rsidR="0029137D">
              <w:rPr>
                <w:noProof/>
                <w:webHidden/>
              </w:rPr>
              <w:fldChar w:fldCharType="begin"/>
            </w:r>
            <w:r w:rsidR="0029137D">
              <w:rPr>
                <w:noProof/>
                <w:webHidden/>
              </w:rPr>
              <w:instrText xml:space="preserve"> PAGEREF _Toc523902174 \h </w:instrText>
            </w:r>
            <w:r w:rsidR="0029137D">
              <w:rPr>
                <w:noProof/>
                <w:webHidden/>
              </w:rPr>
            </w:r>
            <w:r w:rsidR="0029137D">
              <w:rPr>
                <w:noProof/>
                <w:webHidden/>
              </w:rPr>
              <w:fldChar w:fldCharType="separate"/>
            </w:r>
            <w:r w:rsidR="00FB517F">
              <w:rPr>
                <w:noProof/>
                <w:webHidden/>
              </w:rPr>
              <w:t>5</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5" w:history="1">
            <w:r w:rsidR="0029137D" w:rsidRPr="00E41977">
              <w:rPr>
                <w:rStyle w:val="Hypertextovodkaz"/>
                <w:noProof/>
              </w:rPr>
              <w:t>3.5</w:t>
            </w:r>
            <w:r w:rsidR="0029137D">
              <w:rPr>
                <w:rFonts w:asciiTheme="minorHAnsi" w:eastAsiaTheme="minorEastAsia" w:hAnsiTheme="minorHAnsi"/>
                <w:noProof/>
                <w:lang w:eastAsia="cs-CZ"/>
              </w:rPr>
              <w:tab/>
            </w:r>
            <w:r w:rsidR="0029137D" w:rsidRPr="00E41977">
              <w:rPr>
                <w:rStyle w:val="Hypertextovodkaz"/>
                <w:noProof/>
              </w:rPr>
              <w:t>Jednotné zadání závěrečných zkoušek v oborech vzdělání s výučním listem</w:t>
            </w:r>
            <w:r w:rsidR="0029137D">
              <w:rPr>
                <w:noProof/>
                <w:webHidden/>
              </w:rPr>
              <w:tab/>
            </w:r>
            <w:r w:rsidR="0029137D">
              <w:rPr>
                <w:noProof/>
                <w:webHidden/>
              </w:rPr>
              <w:fldChar w:fldCharType="begin"/>
            </w:r>
            <w:r w:rsidR="0029137D">
              <w:rPr>
                <w:noProof/>
                <w:webHidden/>
              </w:rPr>
              <w:instrText xml:space="preserve"> PAGEREF _Toc523902175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6" w:history="1">
            <w:r w:rsidR="0029137D" w:rsidRPr="00E41977">
              <w:rPr>
                <w:rStyle w:val="Hypertextovodkaz"/>
                <w:noProof/>
              </w:rPr>
              <w:t>3.6</w:t>
            </w:r>
            <w:r w:rsidR="0029137D">
              <w:rPr>
                <w:rFonts w:asciiTheme="minorHAnsi" w:eastAsiaTheme="minorEastAsia" w:hAnsiTheme="minorHAnsi"/>
                <w:noProof/>
                <w:lang w:eastAsia="cs-CZ"/>
              </w:rPr>
              <w:tab/>
            </w:r>
            <w:r w:rsidR="0029137D" w:rsidRPr="00E41977">
              <w:rPr>
                <w:rStyle w:val="Hypertextovodkaz"/>
                <w:noProof/>
              </w:rPr>
              <w:t>Povinná účast odborníka z praxe u závěrečných zkoušek u oborů vzdělání s výučním listem</w:t>
            </w:r>
            <w:r w:rsidR="0029137D">
              <w:rPr>
                <w:noProof/>
                <w:webHidden/>
              </w:rPr>
              <w:tab/>
            </w:r>
            <w:r w:rsidR="0029137D">
              <w:rPr>
                <w:noProof/>
                <w:webHidden/>
              </w:rPr>
              <w:fldChar w:fldCharType="begin"/>
            </w:r>
            <w:r w:rsidR="0029137D">
              <w:rPr>
                <w:noProof/>
                <w:webHidden/>
              </w:rPr>
              <w:instrText xml:space="preserve"> PAGEREF _Toc523902176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7" w:history="1">
            <w:r w:rsidR="0029137D" w:rsidRPr="00E41977">
              <w:rPr>
                <w:rStyle w:val="Hypertextovodkaz"/>
                <w:noProof/>
              </w:rPr>
              <w:t>3.7</w:t>
            </w:r>
            <w:r w:rsidR="0029137D">
              <w:rPr>
                <w:rFonts w:asciiTheme="minorHAnsi" w:eastAsiaTheme="minorEastAsia" w:hAnsiTheme="minorHAnsi"/>
                <w:noProof/>
                <w:lang w:eastAsia="cs-CZ"/>
              </w:rPr>
              <w:tab/>
            </w:r>
            <w:r w:rsidR="0029137D" w:rsidRPr="00E41977">
              <w:rPr>
                <w:rStyle w:val="Hypertextovodkaz"/>
                <w:noProof/>
              </w:rPr>
              <w:t>Možná účast odborníka z praxe u profilové části maturitní zkoušky</w:t>
            </w:r>
            <w:r w:rsidR="0029137D">
              <w:rPr>
                <w:noProof/>
                <w:webHidden/>
              </w:rPr>
              <w:tab/>
            </w:r>
            <w:r w:rsidR="0029137D">
              <w:rPr>
                <w:noProof/>
                <w:webHidden/>
              </w:rPr>
              <w:fldChar w:fldCharType="begin"/>
            </w:r>
            <w:r w:rsidR="0029137D">
              <w:rPr>
                <w:noProof/>
                <w:webHidden/>
              </w:rPr>
              <w:instrText xml:space="preserve"> PAGEREF _Toc523902177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78" w:history="1">
            <w:r w:rsidR="0029137D" w:rsidRPr="00E41977">
              <w:rPr>
                <w:rStyle w:val="Hypertextovodkaz"/>
                <w:noProof/>
              </w:rPr>
              <w:t>3.8</w:t>
            </w:r>
            <w:r w:rsidR="0029137D">
              <w:rPr>
                <w:rFonts w:asciiTheme="minorHAnsi" w:eastAsiaTheme="minorEastAsia" w:hAnsiTheme="minorHAnsi"/>
                <w:noProof/>
                <w:lang w:eastAsia="cs-CZ"/>
              </w:rPr>
              <w:tab/>
            </w:r>
            <w:r w:rsidR="0029137D" w:rsidRPr="00E41977">
              <w:rPr>
                <w:rStyle w:val="Hypertextovodkaz"/>
                <w:noProof/>
              </w:rPr>
              <w:t>Možná účast odborníka z praxe u absolutoria (vyšší odborné vzdělávání)</w:t>
            </w:r>
            <w:r w:rsidR="0029137D">
              <w:rPr>
                <w:noProof/>
                <w:webHidden/>
              </w:rPr>
              <w:tab/>
            </w:r>
            <w:r w:rsidR="0029137D">
              <w:rPr>
                <w:noProof/>
                <w:webHidden/>
              </w:rPr>
              <w:fldChar w:fldCharType="begin"/>
            </w:r>
            <w:r w:rsidR="0029137D">
              <w:rPr>
                <w:noProof/>
                <w:webHidden/>
              </w:rPr>
              <w:instrText xml:space="preserve"> PAGEREF _Toc523902178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1"/>
            <w:tabs>
              <w:tab w:val="left" w:pos="440"/>
              <w:tab w:val="right" w:leader="dot" w:pos="9062"/>
            </w:tabs>
            <w:rPr>
              <w:rFonts w:asciiTheme="minorHAnsi" w:eastAsiaTheme="minorEastAsia" w:hAnsiTheme="minorHAnsi"/>
              <w:noProof/>
              <w:lang w:eastAsia="cs-CZ"/>
            </w:rPr>
          </w:pPr>
          <w:hyperlink w:anchor="_Toc523902179" w:history="1">
            <w:r w:rsidR="0029137D" w:rsidRPr="00E41977">
              <w:rPr>
                <w:rStyle w:val="Hypertextovodkaz"/>
                <w:noProof/>
              </w:rPr>
              <w:t>4</w:t>
            </w:r>
            <w:r w:rsidR="0029137D">
              <w:rPr>
                <w:rFonts w:asciiTheme="minorHAnsi" w:eastAsiaTheme="minorEastAsia" w:hAnsiTheme="minorHAnsi"/>
                <w:noProof/>
                <w:lang w:eastAsia="cs-CZ"/>
              </w:rPr>
              <w:tab/>
            </w:r>
            <w:r w:rsidR="0029137D" w:rsidRPr="00E41977">
              <w:rPr>
                <w:rStyle w:val="Hypertextovodkaz"/>
                <w:noProof/>
              </w:rPr>
              <w:t>Opatření vedoucí k prohlubování spolupráce škol se zaměstnavateli</w:t>
            </w:r>
            <w:r w:rsidR="0029137D">
              <w:rPr>
                <w:noProof/>
                <w:webHidden/>
              </w:rPr>
              <w:tab/>
            </w:r>
            <w:r w:rsidR="0029137D">
              <w:rPr>
                <w:noProof/>
                <w:webHidden/>
              </w:rPr>
              <w:fldChar w:fldCharType="begin"/>
            </w:r>
            <w:r w:rsidR="0029137D">
              <w:rPr>
                <w:noProof/>
                <w:webHidden/>
              </w:rPr>
              <w:instrText xml:space="preserve"> PAGEREF _Toc523902179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0" w:history="1">
            <w:r w:rsidR="0029137D" w:rsidRPr="00E41977">
              <w:rPr>
                <w:rStyle w:val="Hypertextovodkaz"/>
                <w:noProof/>
              </w:rPr>
              <w:t>4.1</w:t>
            </w:r>
            <w:r w:rsidR="0029137D">
              <w:rPr>
                <w:rFonts w:asciiTheme="minorHAnsi" w:eastAsiaTheme="minorEastAsia" w:hAnsiTheme="minorHAnsi"/>
                <w:noProof/>
                <w:lang w:eastAsia="cs-CZ"/>
              </w:rPr>
              <w:tab/>
            </w:r>
            <w:r w:rsidR="0029137D" w:rsidRPr="00E41977">
              <w:rPr>
                <w:rStyle w:val="Hypertextovodkaz"/>
                <w:noProof/>
              </w:rPr>
              <w:t>Spolupráce se zaměstnavateli při přípravě žáků na budoucí povolání</w:t>
            </w:r>
            <w:r w:rsidR="0029137D">
              <w:rPr>
                <w:noProof/>
                <w:webHidden/>
              </w:rPr>
              <w:tab/>
            </w:r>
            <w:r w:rsidR="0029137D">
              <w:rPr>
                <w:noProof/>
                <w:webHidden/>
              </w:rPr>
              <w:fldChar w:fldCharType="begin"/>
            </w:r>
            <w:r w:rsidR="0029137D">
              <w:rPr>
                <w:noProof/>
                <w:webHidden/>
              </w:rPr>
              <w:instrText xml:space="preserve"> PAGEREF _Toc523902180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1" w:history="1">
            <w:r w:rsidR="0029137D" w:rsidRPr="00E41977">
              <w:rPr>
                <w:rStyle w:val="Hypertextovodkaz"/>
                <w:noProof/>
              </w:rPr>
              <w:t>4.2</w:t>
            </w:r>
            <w:r w:rsidR="0029137D">
              <w:rPr>
                <w:rFonts w:asciiTheme="minorHAnsi" w:eastAsiaTheme="minorEastAsia" w:hAnsiTheme="minorHAnsi"/>
                <w:noProof/>
                <w:lang w:eastAsia="cs-CZ"/>
              </w:rPr>
              <w:tab/>
            </w:r>
            <w:r w:rsidR="0029137D" w:rsidRPr="00E41977">
              <w:rPr>
                <w:rStyle w:val="Hypertextovodkaz"/>
                <w:noProof/>
              </w:rPr>
              <w:t>Uzavření dohody mezi zástupci zaměstnavatelů o rozdělení odpovědnosti za jednotlivé oblastí počátečního odborného vzdělávání</w:t>
            </w:r>
            <w:r w:rsidR="0029137D">
              <w:rPr>
                <w:noProof/>
                <w:webHidden/>
              </w:rPr>
              <w:tab/>
            </w:r>
            <w:r w:rsidR="0029137D">
              <w:rPr>
                <w:noProof/>
                <w:webHidden/>
              </w:rPr>
              <w:fldChar w:fldCharType="begin"/>
            </w:r>
            <w:r w:rsidR="0029137D">
              <w:rPr>
                <w:noProof/>
                <w:webHidden/>
              </w:rPr>
              <w:instrText xml:space="preserve"> PAGEREF _Toc523902181 \h </w:instrText>
            </w:r>
            <w:r w:rsidR="0029137D">
              <w:rPr>
                <w:noProof/>
                <w:webHidden/>
              </w:rPr>
            </w:r>
            <w:r w:rsidR="0029137D">
              <w:rPr>
                <w:noProof/>
                <w:webHidden/>
              </w:rPr>
              <w:fldChar w:fldCharType="separate"/>
            </w:r>
            <w:r w:rsidR="00FB517F">
              <w:rPr>
                <w:noProof/>
                <w:webHidden/>
              </w:rPr>
              <w:t>6</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2" w:history="1">
            <w:r w:rsidR="0029137D" w:rsidRPr="00E41977">
              <w:rPr>
                <w:rStyle w:val="Hypertextovodkaz"/>
                <w:noProof/>
              </w:rPr>
              <w:t>4.3</w:t>
            </w:r>
            <w:r w:rsidR="0029137D">
              <w:rPr>
                <w:rFonts w:asciiTheme="minorHAnsi" w:eastAsiaTheme="minorEastAsia" w:hAnsiTheme="minorHAnsi"/>
                <w:noProof/>
                <w:lang w:eastAsia="cs-CZ"/>
              </w:rPr>
              <w:tab/>
            </w:r>
            <w:r w:rsidR="0029137D" w:rsidRPr="00E41977">
              <w:rPr>
                <w:rStyle w:val="Hypertextovodkaz"/>
                <w:noProof/>
              </w:rPr>
              <w:t>Revize rámcových vzdělávacích programů</w:t>
            </w:r>
            <w:r w:rsidR="0029137D">
              <w:rPr>
                <w:noProof/>
                <w:webHidden/>
              </w:rPr>
              <w:tab/>
            </w:r>
            <w:r w:rsidR="0029137D">
              <w:rPr>
                <w:noProof/>
                <w:webHidden/>
              </w:rPr>
              <w:fldChar w:fldCharType="begin"/>
            </w:r>
            <w:r w:rsidR="0029137D">
              <w:rPr>
                <w:noProof/>
                <w:webHidden/>
              </w:rPr>
              <w:instrText xml:space="preserve"> PAGEREF _Toc523902182 \h </w:instrText>
            </w:r>
            <w:r w:rsidR="0029137D">
              <w:rPr>
                <w:noProof/>
                <w:webHidden/>
              </w:rPr>
            </w:r>
            <w:r w:rsidR="0029137D">
              <w:rPr>
                <w:noProof/>
                <w:webHidden/>
              </w:rPr>
              <w:fldChar w:fldCharType="separate"/>
            </w:r>
            <w:r w:rsidR="00FB517F">
              <w:rPr>
                <w:noProof/>
                <w:webHidden/>
              </w:rPr>
              <w:t>7</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3" w:history="1">
            <w:r w:rsidR="0029137D" w:rsidRPr="00E41977">
              <w:rPr>
                <w:rStyle w:val="Hypertextovodkaz"/>
                <w:noProof/>
              </w:rPr>
              <w:t>4.4</w:t>
            </w:r>
            <w:r w:rsidR="0029137D">
              <w:rPr>
                <w:rFonts w:asciiTheme="minorHAnsi" w:eastAsiaTheme="minorEastAsia" w:hAnsiTheme="minorHAnsi"/>
                <w:noProof/>
                <w:lang w:eastAsia="cs-CZ"/>
              </w:rPr>
              <w:tab/>
            </w:r>
            <w:r w:rsidR="0029137D" w:rsidRPr="00E41977">
              <w:rPr>
                <w:rStyle w:val="Hypertextovodkaz"/>
                <w:noProof/>
              </w:rPr>
              <w:t>Reforma financování regionálního školství</w:t>
            </w:r>
            <w:r w:rsidR="0029137D">
              <w:rPr>
                <w:noProof/>
                <w:webHidden/>
              </w:rPr>
              <w:tab/>
            </w:r>
            <w:r w:rsidR="0029137D">
              <w:rPr>
                <w:noProof/>
                <w:webHidden/>
              </w:rPr>
              <w:fldChar w:fldCharType="begin"/>
            </w:r>
            <w:r w:rsidR="0029137D">
              <w:rPr>
                <w:noProof/>
                <w:webHidden/>
              </w:rPr>
              <w:instrText xml:space="preserve"> PAGEREF _Toc523902183 \h </w:instrText>
            </w:r>
            <w:r w:rsidR="0029137D">
              <w:rPr>
                <w:noProof/>
                <w:webHidden/>
              </w:rPr>
            </w:r>
            <w:r w:rsidR="0029137D">
              <w:rPr>
                <w:noProof/>
                <w:webHidden/>
              </w:rPr>
              <w:fldChar w:fldCharType="separate"/>
            </w:r>
            <w:r w:rsidR="00FB517F">
              <w:rPr>
                <w:noProof/>
                <w:webHidden/>
              </w:rPr>
              <w:t>7</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4" w:history="1">
            <w:r w:rsidR="0029137D" w:rsidRPr="00E41977">
              <w:rPr>
                <w:rStyle w:val="Hypertextovodkaz"/>
                <w:noProof/>
              </w:rPr>
              <w:t>4.5</w:t>
            </w:r>
            <w:r w:rsidR="0029137D">
              <w:rPr>
                <w:rFonts w:asciiTheme="minorHAnsi" w:eastAsiaTheme="minorEastAsia" w:hAnsiTheme="minorHAnsi"/>
                <w:noProof/>
                <w:lang w:eastAsia="cs-CZ"/>
              </w:rPr>
              <w:tab/>
            </w:r>
            <w:r w:rsidR="0029137D" w:rsidRPr="00E41977">
              <w:rPr>
                <w:rStyle w:val="Hypertextovodkaz"/>
                <w:noProof/>
              </w:rPr>
              <w:t>Kariérové poradenství</w:t>
            </w:r>
            <w:r w:rsidR="0029137D">
              <w:rPr>
                <w:noProof/>
                <w:webHidden/>
              </w:rPr>
              <w:tab/>
            </w:r>
            <w:r w:rsidR="0029137D">
              <w:rPr>
                <w:noProof/>
                <w:webHidden/>
              </w:rPr>
              <w:fldChar w:fldCharType="begin"/>
            </w:r>
            <w:r w:rsidR="0029137D">
              <w:rPr>
                <w:noProof/>
                <w:webHidden/>
              </w:rPr>
              <w:instrText xml:space="preserve"> PAGEREF _Toc523902184 \h </w:instrText>
            </w:r>
            <w:r w:rsidR="0029137D">
              <w:rPr>
                <w:noProof/>
                <w:webHidden/>
              </w:rPr>
            </w:r>
            <w:r w:rsidR="0029137D">
              <w:rPr>
                <w:noProof/>
                <w:webHidden/>
              </w:rPr>
              <w:fldChar w:fldCharType="separate"/>
            </w:r>
            <w:r w:rsidR="00FB517F">
              <w:rPr>
                <w:noProof/>
                <w:webHidden/>
              </w:rPr>
              <w:t>8</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5" w:history="1">
            <w:r w:rsidR="0029137D" w:rsidRPr="00E41977">
              <w:rPr>
                <w:rStyle w:val="Hypertextovodkaz"/>
                <w:noProof/>
              </w:rPr>
              <w:t>4.6</w:t>
            </w:r>
            <w:r w:rsidR="0029137D">
              <w:rPr>
                <w:rFonts w:asciiTheme="minorHAnsi" w:eastAsiaTheme="minorEastAsia" w:hAnsiTheme="minorHAnsi"/>
                <w:noProof/>
                <w:lang w:eastAsia="cs-CZ"/>
              </w:rPr>
              <w:tab/>
            </w:r>
            <w:r w:rsidR="0029137D" w:rsidRPr="00E41977">
              <w:rPr>
                <w:rStyle w:val="Hypertextovodkaz"/>
                <w:noProof/>
              </w:rPr>
              <w:t>Uznávaný odborník z praxe a odborník z praxe – novela zákona o pedagogických pracovnících</w:t>
            </w:r>
            <w:r w:rsidR="0029137D">
              <w:rPr>
                <w:noProof/>
                <w:webHidden/>
              </w:rPr>
              <w:tab/>
            </w:r>
            <w:r w:rsidR="0029137D">
              <w:rPr>
                <w:noProof/>
                <w:webHidden/>
              </w:rPr>
              <w:fldChar w:fldCharType="begin"/>
            </w:r>
            <w:r w:rsidR="0029137D">
              <w:rPr>
                <w:noProof/>
                <w:webHidden/>
              </w:rPr>
              <w:instrText xml:space="preserve"> PAGEREF _Toc523902185 \h </w:instrText>
            </w:r>
            <w:r w:rsidR="0029137D">
              <w:rPr>
                <w:noProof/>
                <w:webHidden/>
              </w:rPr>
            </w:r>
            <w:r w:rsidR="0029137D">
              <w:rPr>
                <w:noProof/>
                <w:webHidden/>
              </w:rPr>
              <w:fldChar w:fldCharType="separate"/>
            </w:r>
            <w:r w:rsidR="00FB517F">
              <w:rPr>
                <w:noProof/>
                <w:webHidden/>
              </w:rPr>
              <w:t>8</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6" w:history="1">
            <w:r w:rsidR="0029137D" w:rsidRPr="00E41977">
              <w:rPr>
                <w:rStyle w:val="Hypertextovodkaz"/>
                <w:noProof/>
              </w:rPr>
              <w:t>4.7</w:t>
            </w:r>
            <w:r w:rsidR="0029137D">
              <w:rPr>
                <w:rFonts w:asciiTheme="minorHAnsi" w:eastAsiaTheme="minorEastAsia" w:hAnsiTheme="minorHAnsi"/>
                <w:noProof/>
                <w:lang w:eastAsia="cs-CZ"/>
              </w:rPr>
              <w:tab/>
            </w:r>
            <w:r w:rsidR="0029137D" w:rsidRPr="00E41977">
              <w:rPr>
                <w:rStyle w:val="Hypertextovodkaz"/>
                <w:noProof/>
              </w:rPr>
              <w:t>Opatření ke zvýšení platové třídy učitelů odborného výcviku</w:t>
            </w:r>
            <w:r w:rsidR="0029137D">
              <w:rPr>
                <w:noProof/>
                <w:webHidden/>
              </w:rPr>
              <w:tab/>
            </w:r>
            <w:r w:rsidR="0029137D">
              <w:rPr>
                <w:noProof/>
                <w:webHidden/>
              </w:rPr>
              <w:fldChar w:fldCharType="begin"/>
            </w:r>
            <w:r w:rsidR="0029137D">
              <w:rPr>
                <w:noProof/>
                <w:webHidden/>
              </w:rPr>
              <w:instrText xml:space="preserve"> PAGEREF _Toc523902186 \h </w:instrText>
            </w:r>
            <w:r w:rsidR="0029137D">
              <w:rPr>
                <w:noProof/>
                <w:webHidden/>
              </w:rPr>
            </w:r>
            <w:r w:rsidR="0029137D">
              <w:rPr>
                <w:noProof/>
                <w:webHidden/>
              </w:rPr>
              <w:fldChar w:fldCharType="separate"/>
            </w:r>
            <w:r w:rsidR="00FB517F">
              <w:rPr>
                <w:noProof/>
                <w:webHidden/>
              </w:rPr>
              <w:t>8</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7" w:history="1">
            <w:r w:rsidR="0029137D" w:rsidRPr="00E41977">
              <w:rPr>
                <w:rStyle w:val="Hypertextovodkaz"/>
                <w:noProof/>
              </w:rPr>
              <w:t>4.8</w:t>
            </w:r>
            <w:r w:rsidR="0029137D">
              <w:rPr>
                <w:rFonts w:asciiTheme="minorHAnsi" w:eastAsiaTheme="minorEastAsia" w:hAnsiTheme="minorHAnsi"/>
                <w:noProof/>
                <w:lang w:eastAsia="cs-CZ"/>
              </w:rPr>
              <w:tab/>
            </w:r>
            <w:r w:rsidR="0029137D" w:rsidRPr="00E41977">
              <w:rPr>
                <w:rStyle w:val="Hypertextovodkaz"/>
                <w:noProof/>
              </w:rPr>
              <w:t>Mistrovská zkouška</w:t>
            </w:r>
            <w:r w:rsidR="0029137D">
              <w:rPr>
                <w:noProof/>
                <w:webHidden/>
              </w:rPr>
              <w:tab/>
            </w:r>
            <w:r w:rsidR="0029137D">
              <w:rPr>
                <w:noProof/>
                <w:webHidden/>
              </w:rPr>
              <w:fldChar w:fldCharType="begin"/>
            </w:r>
            <w:r w:rsidR="0029137D">
              <w:rPr>
                <w:noProof/>
                <w:webHidden/>
              </w:rPr>
              <w:instrText xml:space="preserve"> PAGEREF _Toc523902187 \h </w:instrText>
            </w:r>
            <w:r w:rsidR="0029137D">
              <w:rPr>
                <w:noProof/>
                <w:webHidden/>
              </w:rPr>
            </w:r>
            <w:r w:rsidR="0029137D">
              <w:rPr>
                <w:noProof/>
                <w:webHidden/>
              </w:rPr>
              <w:fldChar w:fldCharType="separate"/>
            </w:r>
            <w:r w:rsidR="00FB517F">
              <w:rPr>
                <w:noProof/>
                <w:webHidden/>
              </w:rPr>
              <w:t>8</w:t>
            </w:r>
            <w:r w:rsidR="0029137D">
              <w:rPr>
                <w:noProof/>
                <w:webHidden/>
              </w:rPr>
              <w:fldChar w:fldCharType="end"/>
            </w:r>
          </w:hyperlink>
        </w:p>
        <w:p w:rsidR="0029137D" w:rsidRDefault="00D479DF">
          <w:pPr>
            <w:pStyle w:val="Obsah2"/>
            <w:tabs>
              <w:tab w:val="left" w:pos="880"/>
              <w:tab w:val="right" w:leader="dot" w:pos="9062"/>
            </w:tabs>
            <w:rPr>
              <w:rFonts w:asciiTheme="minorHAnsi" w:eastAsiaTheme="minorEastAsia" w:hAnsiTheme="minorHAnsi"/>
              <w:noProof/>
              <w:lang w:eastAsia="cs-CZ"/>
            </w:rPr>
          </w:pPr>
          <w:hyperlink w:anchor="_Toc523902188" w:history="1">
            <w:r w:rsidR="0029137D" w:rsidRPr="00E41977">
              <w:rPr>
                <w:rStyle w:val="Hypertextovodkaz"/>
                <w:noProof/>
              </w:rPr>
              <w:t>4.9</w:t>
            </w:r>
            <w:r w:rsidR="0029137D">
              <w:rPr>
                <w:rFonts w:asciiTheme="minorHAnsi" w:eastAsiaTheme="minorEastAsia" w:hAnsiTheme="minorHAnsi"/>
                <w:noProof/>
                <w:lang w:eastAsia="cs-CZ"/>
              </w:rPr>
              <w:tab/>
            </w:r>
            <w:r w:rsidR="0029137D" w:rsidRPr="00E41977">
              <w:rPr>
                <w:rStyle w:val="Hypertextovodkaz"/>
                <w:noProof/>
              </w:rPr>
              <w:t>Finanční podpora prohlubování spolupráce škol se zaměstnavateli prostřednictvím OP VVV</w:t>
            </w:r>
            <w:r w:rsidR="0029137D">
              <w:rPr>
                <w:noProof/>
                <w:webHidden/>
              </w:rPr>
              <w:tab/>
            </w:r>
            <w:r w:rsidR="0029137D">
              <w:rPr>
                <w:noProof/>
                <w:webHidden/>
              </w:rPr>
              <w:fldChar w:fldCharType="begin"/>
            </w:r>
            <w:r w:rsidR="0029137D">
              <w:rPr>
                <w:noProof/>
                <w:webHidden/>
              </w:rPr>
              <w:instrText xml:space="preserve"> PAGEREF _Toc523902188 \h </w:instrText>
            </w:r>
            <w:r w:rsidR="0029137D">
              <w:rPr>
                <w:noProof/>
                <w:webHidden/>
              </w:rPr>
            </w:r>
            <w:r w:rsidR="0029137D">
              <w:rPr>
                <w:noProof/>
                <w:webHidden/>
              </w:rPr>
              <w:fldChar w:fldCharType="separate"/>
            </w:r>
            <w:r w:rsidR="00FB517F">
              <w:rPr>
                <w:noProof/>
                <w:webHidden/>
              </w:rPr>
              <w:t>9</w:t>
            </w:r>
            <w:r w:rsidR="0029137D">
              <w:rPr>
                <w:noProof/>
                <w:webHidden/>
              </w:rPr>
              <w:fldChar w:fldCharType="end"/>
            </w:r>
          </w:hyperlink>
        </w:p>
        <w:p w:rsidR="0029137D" w:rsidRDefault="00D479DF">
          <w:pPr>
            <w:pStyle w:val="Obsah1"/>
            <w:tabs>
              <w:tab w:val="left" w:pos="440"/>
              <w:tab w:val="right" w:leader="dot" w:pos="9062"/>
            </w:tabs>
            <w:rPr>
              <w:rFonts w:asciiTheme="minorHAnsi" w:eastAsiaTheme="minorEastAsia" w:hAnsiTheme="minorHAnsi"/>
              <w:noProof/>
              <w:lang w:eastAsia="cs-CZ"/>
            </w:rPr>
          </w:pPr>
          <w:hyperlink w:anchor="_Toc523902189" w:history="1">
            <w:r w:rsidR="0029137D" w:rsidRPr="00E41977">
              <w:rPr>
                <w:rStyle w:val="Hypertextovodkaz"/>
                <w:noProof/>
              </w:rPr>
              <w:t>5</w:t>
            </w:r>
            <w:r w:rsidR="0029137D">
              <w:rPr>
                <w:rFonts w:asciiTheme="minorHAnsi" w:eastAsiaTheme="minorEastAsia" w:hAnsiTheme="minorHAnsi"/>
                <w:noProof/>
                <w:lang w:eastAsia="cs-CZ"/>
              </w:rPr>
              <w:tab/>
            </w:r>
            <w:r w:rsidR="0029137D" w:rsidRPr="00E41977">
              <w:rPr>
                <w:rStyle w:val="Hypertextovodkaz"/>
                <w:noProof/>
              </w:rPr>
              <w:t>Závěr</w:t>
            </w:r>
            <w:r w:rsidR="0029137D">
              <w:rPr>
                <w:noProof/>
                <w:webHidden/>
              </w:rPr>
              <w:tab/>
            </w:r>
            <w:r w:rsidR="0029137D">
              <w:rPr>
                <w:noProof/>
                <w:webHidden/>
              </w:rPr>
              <w:fldChar w:fldCharType="begin"/>
            </w:r>
            <w:r w:rsidR="0029137D">
              <w:rPr>
                <w:noProof/>
                <w:webHidden/>
              </w:rPr>
              <w:instrText xml:space="preserve"> PAGEREF _Toc523902189 \h </w:instrText>
            </w:r>
            <w:r w:rsidR="0029137D">
              <w:rPr>
                <w:noProof/>
                <w:webHidden/>
              </w:rPr>
            </w:r>
            <w:r w:rsidR="0029137D">
              <w:rPr>
                <w:noProof/>
                <w:webHidden/>
              </w:rPr>
              <w:fldChar w:fldCharType="separate"/>
            </w:r>
            <w:r w:rsidR="00FB517F">
              <w:rPr>
                <w:noProof/>
                <w:webHidden/>
              </w:rPr>
              <w:t>11</w:t>
            </w:r>
            <w:r w:rsidR="0029137D">
              <w:rPr>
                <w:noProof/>
                <w:webHidden/>
              </w:rPr>
              <w:fldChar w:fldCharType="end"/>
            </w:r>
          </w:hyperlink>
        </w:p>
        <w:p w:rsidR="00440419" w:rsidRDefault="00440419">
          <w:r>
            <w:fldChar w:fldCharType="end"/>
          </w:r>
        </w:p>
      </w:sdtContent>
    </w:sdt>
    <w:p w:rsidR="007B6A2A" w:rsidRDefault="007B6A2A" w:rsidP="007B6A2A">
      <w:pPr>
        <w:tabs>
          <w:tab w:val="left" w:pos="7294"/>
        </w:tabs>
      </w:pPr>
      <w:r>
        <w:tab/>
      </w:r>
    </w:p>
    <w:p w:rsidR="00440419" w:rsidRDefault="00440419" w:rsidP="007B6A2A">
      <w:pPr>
        <w:tabs>
          <w:tab w:val="left" w:pos="7294"/>
        </w:tabs>
      </w:pPr>
      <w:r w:rsidRPr="007B6A2A">
        <w:br w:type="page"/>
      </w:r>
      <w:r w:rsidR="007B6A2A">
        <w:lastRenderedPageBreak/>
        <w:tab/>
      </w:r>
    </w:p>
    <w:p w:rsidR="00B56BBA" w:rsidRPr="00830060" w:rsidRDefault="00B56BBA" w:rsidP="006036F1">
      <w:pPr>
        <w:pStyle w:val="Nadpis1"/>
      </w:pPr>
      <w:bookmarkStart w:id="0" w:name="_Toc523902168"/>
      <w:r w:rsidRPr="00830060">
        <w:t>Úvod do problematiky</w:t>
      </w:r>
      <w:bookmarkEnd w:id="0"/>
    </w:p>
    <w:p w:rsidR="00C91EB9" w:rsidRDefault="00C91EB9" w:rsidP="007727B4">
      <w:pPr>
        <w:spacing w:after="120" w:line="276" w:lineRule="auto"/>
        <w:jc w:val="both"/>
        <w:rPr>
          <w:rFonts w:asciiTheme="majorHAnsi" w:hAnsiTheme="majorHAnsi" w:cstheme="minorHAnsi"/>
        </w:rPr>
      </w:pPr>
    </w:p>
    <w:p w:rsidR="007727B4" w:rsidRPr="007727B4" w:rsidRDefault="00E55F19" w:rsidP="007727B4">
      <w:pPr>
        <w:spacing w:after="120" w:line="276" w:lineRule="auto"/>
        <w:jc w:val="both"/>
        <w:rPr>
          <w:rFonts w:asciiTheme="majorHAnsi" w:hAnsiTheme="majorHAnsi" w:cstheme="minorHAnsi"/>
        </w:rPr>
      </w:pPr>
      <w:r w:rsidRPr="007C74A0">
        <w:rPr>
          <w:rFonts w:asciiTheme="majorHAnsi" w:hAnsiTheme="majorHAnsi" w:cstheme="minorHAnsi"/>
        </w:rPr>
        <w:t xml:space="preserve">Odborné vzdělávání je nedílnou součástí vzdělávacího systému zahrnujícího všechny vzdělávací stupně od předškolního vzdělávání. </w:t>
      </w:r>
      <w:r w:rsidR="007727B4" w:rsidRPr="007727B4">
        <w:rPr>
          <w:rFonts w:asciiTheme="majorHAnsi" w:hAnsiTheme="majorHAnsi" w:cstheme="minorHAnsi"/>
        </w:rPr>
        <w:t>V České republice vzhledem k aktuálně platné legislativě duální systém neexistuje</w:t>
      </w:r>
      <w:r w:rsidR="00C91EB9">
        <w:rPr>
          <w:rFonts w:asciiTheme="majorHAnsi" w:hAnsiTheme="majorHAnsi" w:cstheme="minorHAnsi"/>
        </w:rPr>
        <w:t>. S</w:t>
      </w:r>
      <w:r w:rsidR="007727B4" w:rsidRPr="007727B4">
        <w:rPr>
          <w:rFonts w:asciiTheme="majorHAnsi" w:hAnsiTheme="majorHAnsi" w:cstheme="minorHAnsi"/>
        </w:rPr>
        <w:t>távající</w:t>
      </w:r>
      <w:r w:rsidR="00C91EB9">
        <w:rPr>
          <w:rFonts w:asciiTheme="majorHAnsi" w:hAnsiTheme="majorHAnsi" w:cstheme="minorHAnsi"/>
        </w:rPr>
        <w:t xml:space="preserve"> vzdělávací</w:t>
      </w:r>
      <w:r w:rsidR="007727B4" w:rsidRPr="007727B4">
        <w:rPr>
          <w:rFonts w:asciiTheme="majorHAnsi" w:hAnsiTheme="majorHAnsi" w:cstheme="minorHAnsi"/>
        </w:rPr>
        <w:t xml:space="preserve"> systém umožňuje </w:t>
      </w:r>
      <w:r w:rsidR="00C91EB9">
        <w:rPr>
          <w:rFonts w:asciiTheme="majorHAnsi" w:hAnsiTheme="majorHAnsi" w:cstheme="minorHAnsi"/>
        </w:rPr>
        <w:t xml:space="preserve">aktivní spolupráci škol se zaměstnavateli s </w:t>
      </w:r>
      <w:r w:rsidR="007727B4" w:rsidRPr="007727B4">
        <w:rPr>
          <w:rFonts w:asciiTheme="majorHAnsi" w:hAnsiTheme="majorHAnsi" w:cstheme="minorHAnsi"/>
        </w:rPr>
        <w:t>využívání</w:t>
      </w:r>
      <w:r w:rsidR="00C91EB9">
        <w:rPr>
          <w:rFonts w:asciiTheme="majorHAnsi" w:hAnsiTheme="majorHAnsi" w:cstheme="minorHAnsi"/>
        </w:rPr>
        <w:t>m</w:t>
      </w:r>
      <w:r w:rsidR="007727B4" w:rsidRPr="007727B4">
        <w:rPr>
          <w:rFonts w:asciiTheme="majorHAnsi" w:hAnsiTheme="majorHAnsi" w:cstheme="minorHAnsi"/>
        </w:rPr>
        <w:t xml:space="preserve"> významných prvků</w:t>
      </w:r>
      <w:r w:rsidR="00C91EB9">
        <w:rPr>
          <w:rFonts w:asciiTheme="majorHAnsi" w:hAnsiTheme="majorHAnsi" w:cstheme="minorHAnsi"/>
        </w:rPr>
        <w:t xml:space="preserve"> duálního systému vzdělávání, které byly </w:t>
      </w:r>
      <w:proofErr w:type="spellStart"/>
      <w:r w:rsidR="00C91EB9">
        <w:rPr>
          <w:rFonts w:asciiTheme="majorHAnsi" w:hAnsiTheme="majorHAnsi" w:cstheme="minorHAnsi"/>
        </w:rPr>
        <w:t>implementovany</w:t>
      </w:r>
      <w:proofErr w:type="spellEnd"/>
      <w:r w:rsidR="00C91EB9">
        <w:rPr>
          <w:rFonts w:asciiTheme="majorHAnsi" w:hAnsiTheme="majorHAnsi" w:cstheme="minorHAnsi"/>
        </w:rPr>
        <w:t xml:space="preserve"> do vzdělávací soustavy. </w:t>
      </w:r>
      <w:r w:rsidR="007727B4" w:rsidRPr="007727B4">
        <w:rPr>
          <w:rFonts w:asciiTheme="majorHAnsi" w:hAnsiTheme="majorHAnsi" w:cstheme="minorHAnsi"/>
        </w:rPr>
        <w:t>Jedná se především o:</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Prohlubování spolupráce středních škol a zaměstnavatelů (podniků a firem), a to především při praktickém vyučování žáků středních škol na pracovištích zaměstnavatelů.</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Příprava učitelů odborných předmětů uskutečňovaná ve spolupráci se zaměstnavateli.</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Spolupráce škol a zaměstnavatelů v procesu ukončování vzdělání v oborech vzdělání s výučním listem i při profilové části maturitní zkoušky.</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 xml:space="preserve">Daňové úlevy pro zaměstnavatele, kteří umožní praktické vyučování ve svých zařízeních. </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Zajištění dobrovolných smluvních vztahů mezi žákem/studentem a zaměstnavatelem.</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Úprava kapacit oborů ve školách na základě poptávky zaměstnavatelů v oblastech a regionech.</w:t>
      </w:r>
    </w:p>
    <w:p w:rsidR="007727B4" w:rsidRPr="007727B4" w:rsidRDefault="007727B4" w:rsidP="00870E45">
      <w:pPr>
        <w:pStyle w:val="Odstavecseseznamem"/>
        <w:numPr>
          <w:ilvl w:val="0"/>
          <w:numId w:val="5"/>
        </w:numPr>
        <w:spacing w:after="120"/>
        <w:jc w:val="both"/>
        <w:rPr>
          <w:rFonts w:asciiTheme="majorHAnsi" w:hAnsiTheme="majorHAnsi" w:cstheme="minorHAnsi"/>
        </w:rPr>
      </w:pPr>
      <w:r w:rsidRPr="007727B4">
        <w:rPr>
          <w:rFonts w:asciiTheme="majorHAnsi" w:hAnsiTheme="majorHAnsi" w:cstheme="minorHAnsi"/>
        </w:rPr>
        <w:t>Podpora odborného vzdělávání prostřednictvím finančních nástrojů (rozvojové programy).</w:t>
      </w:r>
    </w:p>
    <w:p w:rsidR="00DA0623" w:rsidRDefault="00C91EB9" w:rsidP="00D81CE2">
      <w:pPr>
        <w:spacing w:after="120" w:line="276" w:lineRule="auto"/>
        <w:jc w:val="both"/>
        <w:rPr>
          <w:rFonts w:asciiTheme="majorHAnsi" w:hAnsiTheme="majorHAnsi" w:cstheme="minorHAnsi"/>
        </w:rPr>
      </w:pPr>
      <w:r>
        <w:rPr>
          <w:rFonts w:asciiTheme="majorHAnsi" w:hAnsiTheme="majorHAnsi" w:cstheme="minorHAnsi"/>
        </w:rPr>
        <w:t xml:space="preserve">Zájem </w:t>
      </w:r>
      <w:r w:rsidR="00DA0623">
        <w:rPr>
          <w:rFonts w:asciiTheme="majorHAnsi" w:hAnsiTheme="majorHAnsi" w:cstheme="minorHAnsi"/>
        </w:rPr>
        <w:t xml:space="preserve">o obory odborného vzdělávání je </w:t>
      </w:r>
      <w:r>
        <w:rPr>
          <w:rFonts w:asciiTheme="majorHAnsi" w:hAnsiTheme="majorHAnsi" w:cstheme="minorHAnsi"/>
        </w:rPr>
        <w:t xml:space="preserve">u </w:t>
      </w:r>
      <w:r w:rsidR="007727B4" w:rsidRPr="007727B4">
        <w:rPr>
          <w:rFonts w:asciiTheme="majorHAnsi" w:hAnsiTheme="majorHAnsi" w:cstheme="minorHAnsi"/>
        </w:rPr>
        <w:t xml:space="preserve">žáků a jejich rodičů ovlivněn podmínkami, které školy nabízí (vybavenost učeben a dílen pro výuku žáků), ale především možnostmi uplatnění absolventů těchto oborů po ukončení studia. </w:t>
      </w:r>
      <w:r w:rsidRPr="007727B4">
        <w:rPr>
          <w:rFonts w:asciiTheme="majorHAnsi" w:hAnsiTheme="majorHAnsi" w:cstheme="minorHAnsi"/>
        </w:rPr>
        <w:t xml:space="preserve">Motivujícími faktory </w:t>
      </w:r>
      <w:r>
        <w:rPr>
          <w:rFonts w:asciiTheme="majorHAnsi" w:hAnsiTheme="majorHAnsi" w:cstheme="minorHAnsi"/>
        </w:rPr>
        <w:t xml:space="preserve">při vstupu do odborného vzdělávání </w:t>
      </w:r>
      <w:r w:rsidRPr="007727B4">
        <w:rPr>
          <w:rFonts w:asciiTheme="majorHAnsi" w:hAnsiTheme="majorHAnsi" w:cstheme="minorHAnsi"/>
        </w:rPr>
        <w:t xml:space="preserve">jsou především firemní prospěchové stipendium v průběhu studia, možnost uzavření pracovní dohody o nástupu do zaměstnání po absolvování studia a podobně. </w:t>
      </w:r>
    </w:p>
    <w:p w:rsidR="00D81CE2" w:rsidRDefault="00D81CE2" w:rsidP="00D81CE2">
      <w:pPr>
        <w:spacing w:after="120" w:line="276" w:lineRule="auto"/>
        <w:jc w:val="both"/>
        <w:rPr>
          <w:rFonts w:asciiTheme="majorHAnsi" w:hAnsiTheme="majorHAnsi" w:cstheme="minorHAnsi"/>
        </w:rPr>
      </w:pPr>
      <w:r w:rsidRPr="00D81CE2">
        <w:rPr>
          <w:rFonts w:asciiTheme="majorHAnsi" w:hAnsiTheme="majorHAnsi" w:cstheme="minorHAnsi"/>
        </w:rPr>
        <w:t>Skutečnost, zda absolventi středních škol po ukončení studia, zahájí pracovní dráhu ve svém oboru, závisí na řadě faktorů. Především na samotném zájmu v</w:t>
      </w:r>
      <w:r>
        <w:rPr>
          <w:rFonts w:asciiTheme="majorHAnsi" w:hAnsiTheme="majorHAnsi" w:cstheme="minorHAnsi"/>
        </w:rPr>
        <w:t> </w:t>
      </w:r>
      <w:r w:rsidRPr="00D81CE2">
        <w:rPr>
          <w:rFonts w:asciiTheme="majorHAnsi" w:hAnsiTheme="majorHAnsi" w:cstheme="minorHAnsi"/>
        </w:rPr>
        <w:t>oboru</w:t>
      </w:r>
      <w:r>
        <w:rPr>
          <w:rFonts w:asciiTheme="majorHAnsi" w:hAnsiTheme="majorHAnsi" w:cstheme="minorHAnsi"/>
        </w:rPr>
        <w:t xml:space="preserve"> </w:t>
      </w:r>
      <w:r w:rsidRPr="00D81CE2">
        <w:rPr>
          <w:rFonts w:asciiTheme="majorHAnsi" w:hAnsiTheme="majorHAnsi" w:cstheme="minorHAnsi"/>
        </w:rPr>
        <w:t>pracovat, situaci na trhu práce, na poptávce firem v regionu a rovněž i na sociálních sítích, protože řada</w:t>
      </w:r>
      <w:r>
        <w:rPr>
          <w:rFonts w:asciiTheme="majorHAnsi" w:hAnsiTheme="majorHAnsi" w:cstheme="minorHAnsi"/>
        </w:rPr>
        <w:t xml:space="preserve"> </w:t>
      </w:r>
      <w:r w:rsidRPr="00D81CE2">
        <w:rPr>
          <w:rFonts w:asciiTheme="majorHAnsi" w:hAnsiTheme="majorHAnsi" w:cstheme="minorHAnsi"/>
        </w:rPr>
        <w:t>absolventů si hledá práci pomocí rodičů, příbuzných nebo známých.</w:t>
      </w:r>
      <w:r w:rsidR="007B08E8">
        <w:rPr>
          <w:rFonts w:asciiTheme="majorHAnsi" w:hAnsiTheme="majorHAnsi" w:cstheme="minorHAnsi"/>
        </w:rPr>
        <w:t xml:space="preserve"> </w:t>
      </w:r>
      <w:r w:rsidRPr="00D81CE2">
        <w:rPr>
          <w:rFonts w:asciiTheme="majorHAnsi" w:hAnsiTheme="majorHAnsi" w:cstheme="minorHAnsi"/>
        </w:rPr>
        <w:t>Žáci a absolventi v průběhu přechodového procesu kombinují různé formy pracovní a studijní aktivity, při neúspěchu se pokouší o studium opakovaně, případně po krátkém období na trhu práce vstupují zpátky do studia. V nepříznivé ekonomické situaci pak někteří žáci dávají přednost strategii oddálení vstupu na trh práce a volí raději další studium, které vnímají jako zvýšení šancí na pracovní uplatnění.</w:t>
      </w:r>
    </w:p>
    <w:p w:rsidR="00E55F19" w:rsidRPr="00830060" w:rsidRDefault="00E55F19" w:rsidP="006036F1">
      <w:pPr>
        <w:pStyle w:val="Nadpis1"/>
      </w:pPr>
      <w:bookmarkStart w:id="1" w:name="_Toc523902169"/>
      <w:r w:rsidRPr="00830060">
        <w:t>Demografi</w:t>
      </w:r>
      <w:r w:rsidR="00B56BBA" w:rsidRPr="00830060">
        <w:t>cký vývoj patnáctiletých</w:t>
      </w:r>
      <w:bookmarkEnd w:id="1"/>
    </w:p>
    <w:p w:rsidR="00DA0623" w:rsidRDefault="00E55F19" w:rsidP="00B56BBA">
      <w:pPr>
        <w:jc w:val="both"/>
        <w:rPr>
          <w:rStyle w:val="dn"/>
          <w:rFonts w:asciiTheme="majorHAnsi" w:hAnsiTheme="majorHAnsi" w:cs="Calibri"/>
        </w:rPr>
      </w:pPr>
      <w:r w:rsidRPr="00B56BBA">
        <w:rPr>
          <w:rStyle w:val="dn"/>
          <w:rFonts w:asciiTheme="majorHAnsi" w:hAnsiTheme="majorHAnsi" w:cs="Calibri"/>
        </w:rPr>
        <w:t>V</w:t>
      </w:r>
      <w:r w:rsidR="00EF49F8">
        <w:rPr>
          <w:rStyle w:val="dn"/>
          <w:rFonts w:asciiTheme="majorHAnsi" w:hAnsiTheme="majorHAnsi" w:cs="Calibri"/>
        </w:rPr>
        <w:t xml:space="preserve"> roce 2016</w:t>
      </w:r>
      <w:r w:rsidR="000D3E81" w:rsidRPr="00B56BBA">
        <w:rPr>
          <w:rStyle w:val="dn"/>
          <w:rFonts w:asciiTheme="majorHAnsi" w:hAnsiTheme="majorHAnsi" w:cs="Calibri"/>
        </w:rPr>
        <w:t xml:space="preserve"> bylo dosaženo minima v počtu přijímaných 15letých a tím by</w:t>
      </w:r>
      <w:r w:rsidR="00EF49F8">
        <w:rPr>
          <w:rStyle w:val="dn"/>
          <w:rFonts w:asciiTheme="majorHAnsi" w:hAnsiTheme="majorHAnsi" w:cs="Calibri"/>
        </w:rPr>
        <w:t>l</w:t>
      </w:r>
      <w:r w:rsidR="000D3E81" w:rsidRPr="00B56BBA">
        <w:rPr>
          <w:rStyle w:val="dn"/>
          <w:rFonts w:asciiTheme="majorHAnsi" w:hAnsiTheme="majorHAnsi" w:cs="Calibri"/>
        </w:rPr>
        <w:t xml:space="preserve"> ukončen propad v</w:t>
      </w:r>
      <w:r w:rsidR="00E622B4">
        <w:rPr>
          <w:rStyle w:val="dn"/>
          <w:rFonts w:asciiTheme="majorHAnsi" w:hAnsiTheme="majorHAnsi" w:cs="Calibri"/>
        </w:rPr>
        <w:t> </w:t>
      </w:r>
      <w:r w:rsidR="000D3E81" w:rsidRPr="00B56BBA">
        <w:rPr>
          <w:rStyle w:val="dn"/>
          <w:rFonts w:asciiTheme="majorHAnsi" w:hAnsiTheme="majorHAnsi" w:cs="Calibri"/>
        </w:rPr>
        <w:t>počtech žáků přicházejících do středních škol. Pokles počtu žáků přijatých do</w:t>
      </w:r>
      <w:r w:rsidR="00DA0623">
        <w:rPr>
          <w:rStyle w:val="dn"/>
          <w:rFonts w:asciiTheme="majorHAnsi" w:hAnsiTheme="majorHAnsi" w:cs="Calibri"/>
        </w:rPr>
        <w:t xml:space="preserve"> oborů středního vzdělávání trval</w:t>
      </w:r>
      <w:r w:rsidR="000D3E81" w:rsidRPr="00B56BBA">
        <w:rPr>
          <w:rStyle w:val="dn"/>
          <w:rFonts w:asciiTheme="majorHAnsi" w:hAnsiTheme="majorHAnsi" w:cs="Calibri"/>
        </w:rPr>
        <w:t xml:space="preserve"> několik let a jeho vliv se v současnosti projevuje na poklesu počtu absolventů oborů vzdělání. Spolu s</w:t>
      </w:r>
      <w:r w:rsidR="007350D1">
        <w:rPr>
          <w:rStyle w:val="dn"/>
          <w:rFonts w:asciiTheme="majorHAnsi" w:hAnsiTheme="majorHAnsi" w:cs="Calibri"/>
        </w:rPr>
        <w:t> </w:t>
      </w:r>
      <w:r w:rsidR="000D3E81" w:rsidRPr="00B56BBA">
        <w:rPr>
          <w:rStyle w:val="dn"/>
          <w:rFonts w:asciiTheme="majorHAnsi" w:hAnsiTheme="majorHAnsi" w:cs="Calibri"/>
        </w:rPr>
        <w:t xml:space="preserve">narůstajícím podílem přijímaných studentů do terciárního studia to vyvolává nespokojenost zaměstnavatelů, zejména v souvislosti s oživováním ekonomiky a nárůstem potřeby nových pracovníků. </w:t>
      </w:r>
    </w:p>
    <w:p w:rsidR="000D3E81" w:rsidRDefault="00DA0623" w:rsidP="00B56BBA">
      <w:pPr>
        <w:jc w:val="both"/>
        <w:rPr>
          <w:rStyle w:val="dn"/>
          <w:rFonts w:asciiTheme="majorHAnsi" w:hAnsiTheme="majorHAnsi" w:cs="Calibri"/>
        </w:rPr>
      </w:pPr>
      <w:r>
        <w:rPr>
          <w:rStyle w:val="dn"/>
          <w:rFonts w:asciiTheme="majorHAnsi" w:hAnsiTheme="majorHAnsi" w:cs="Calibri"/>
        </w:rPr>
        <w:t>N</w:t>
      </w:r>
      <w:r w:rsidR="000D3E81" w:rsidRPr="00B56BBA">
        <w:rPr>
          <w:rStyle w:val="dn"/>
          <w:rFonts w:asciiTheme="majorHAnsi" w:hAnsiTheme="majorHAnsi" w:cs="Calibri"/>
        </w:rPr>
        <w:t xml:space="preserve">a druhou stranu je potřeba poznamenat, že 20 až 40 % absolventů technických oborů vzdělání odchází pracovat do jiného oboru (který není ani příbuzný), než pro který se vzdělávalo. Mezi důvody například uvádějí, že nenalezli uplatnění, nebyli dostatečně finančně ohodnocení nebo pracovní nabídky v jejich kraji nebyly. </w:t>
      </w:r>
    </w:p>
    <w:p w:rsidR="00DA0623" w:rsidRPr="00DA0623" w:rsidRDefault="00DA0623" w:rsidP="00DA0623">
      <w:pPr>
        <w:spacing w:after="120" w:line="276" w:lineRule="auto"/>
        <w:rPr>
          <w:rStyle w:val="dn"/>
          <w:sz w:val="18"/>
          <w:szCs w:val="18"/>
        </w:rPr>
      </w:pPr>
      <w:r w:rsidRPr="00DA0623">
        <w:rPr>
          <w:rStyle w:val="dn"/>
          <w:sz w:val="18"/>
          <w:szCs w:val="18"/>
        </w:rPr>
        <w:lastRenderedPageBreak/>
        <w:t>Graf: Demografický vývoj patnáctiletých</w:t>
      </w:r>
      <w:r>
        <w:rPr>
          <w:rStyle w:val="dn"/>
          <w:sz w:val="18"/>
          <w:szCs w:val="18"/>
        </w:rPr>
        <w:t xml:space="preserve"> (</w:t>
      </w:r>
      <w:r w:rsidRPr="002C0032">
        <w:rPr>
          <w:rFonts w:asciiTheme="majorHAnsi" w:hAnsiTheme="majorHAnsi"/>
          <w:sz w:val="18"/>
          <w:szCs w:val="18"/>
        </w:rPr>
        <w:t xml:space="preserve">Zdroj: </w:t>
      </w:r>
      <w:r>
        <w:rPr>
          <w:rFonts w:asciiTheme="majorHAnsi" w:hAnsiTheme="majorHAnsi"/>
          <w:sz w:val="18"/>
          <w:szCs w:val="18"/>
        </w:rPr>
        <w:t xml:space="preserve">statistika </w:t>
      </w:r>
      <w:r w:rsidRPr="002C0032">
        <w:rPr>
          <w:rFonts w:asciiTheme="majorHAnsi" w:hAnsiTheme="majorHAnsi"/>
          <w:sz w:val="18"/>
          <w:szCs w:val="18"/>
        </w:rPr>
        <w:t>NUV 2016</w:t>
      </w:r>
      <w:r>
        <w:rPr>
          <w:rFonts w:asciiTheme="majorHAnsi" w:hAnsiTheme="majorHAnsi"/>
          <w:sz w:val="18"/>
          <w:szCs w:val="18"/>
        </w:rPr>
        <w:t>)</w:t>
      </w:r>
    </w:p>
    <w:p w:rsidR="00DA0623" w:rsidRDefault="00DA0623" w:rsidP="00B56BBA">
      <w:pPr>
        <w:jc w:val="both"/>
        <w:rPr>
          <w:rStyle w:val="dn"/>
          <w:rFonts w:asciiTheme="majorHAnsi" w:hAnsiTheme="majorHAnsi" w:cs="Calibri"/>
        </w:rPr>
      </w:pPr>
      <w:r w:rsidRPr="002C0032">
        <w:rPr>
          <w:rFonts w:asciiTheme="majorHAnsi" w:hAnsiTheme="majorHAnsi"/>
          <w:noProof/>
          <w:lang w:eastAsia="cs-CZ"/>
        </w:rPr>
        <w:drawing>
          <wp:inline distT="0" distB="0" distL="0" distR="0" wp14:anchorId="2B2690E5" wp14:editId="01917677">
            <wp:extent cx="5760720" cy="3205912"/>
            <wp:effectExtent l="0" t="0" r="11430" b="139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2F35" w:rsidRDefault="00E22F35" w:rsidP="00B56BBA">
      <w:pPr>
        <w:jc w:val="both"/>
        <w:rPr>
          <w:rStyle w:val="dn"/>
          <w:rFonts w:asciiTheme="majorHAnsi" w:hAnsiTheme="majorHAnsi" w:cs="Calibri"/>
        </w:rPr>
      </w:pPr>
      <w:r w:rsidRPr="007C74A0">
        <w:rPr>
          <w:rFonts w:asciiTheme="majorHAnsi" w:hAnsiTheme="majorHAnsi"/>
        </w:rPr>
        <w:t xml:space="preserve">V posledních letech i přes </w:t>
      </w:r>
      <w:r w:rsidRPr="00B56BBA">
        <w:rPr>
          <w:rFonts w:asciiTheme="majorHAnsi" w:hAnsiTheme="majorHAnsi"/>
        </w:rPr>
        <w:t xml:space="preserve">demografický pokles dochází k pozitivnímu trendu v zájmu žáků základních škol o studium technických oborů vzdělání na středních školách. V oborech technického vzdělávání lze konstatovat, že </w:t>
      </w:r>
      <w:r w:rsidRPr="007C74A0">
        <w:rPr>
          <w:rFonts w:asciiTheme="majorHAnsi" w:hAnsiTheme="majorHAnsi"/>
        </w:rPr>
        <w:t>došlo od roku 2009 k</w:t>
      </w:r>
      <w:r>
        <w:rPr>
          <w:rFonts w:asciiTheme="majorHAnsi" w:hAnsiTheme="majorHAnsi"/>
        </w:rPr>
        <w:t xml:space="preserve"> výraznému </w:t>
      </w:r>
      <w:r w:rsidRPr="007C74A0">
        <w:rPr>
          <w:rFonts w:asciiTheme="majorHAnsi" w:hAnsiTheme="majorHAnsi"/>
        </w:rPr>
        <w:t>nárůstu ve skupině oborů vzdělání 23 Strojírenství a strojírenská výroba, kde pozorujeme nárůst</w:t>
      </w:r>
      <w:r>
        <w:rPr>
          <w:rFonts w:asciiTheme="majorHAnsi" w:hAnsiTheme="majorHAnsi"/>
        </w:rPr>
        <w:t xml:space="preserve"> od roku 2009 téměř o 3 %.</w:t>
      </w:r>
    </w:p>
    <w:p w:rsidR="00DA0623" w:rsidRDefault="00DA0623" w:rsidP="00DA0623">
      <w:pPr>
        <w:spacing w:after="120" w:line="276" w:lineRule="auto"/>
        <w:rPr>
          <w:rStyle w:val="dn"/>
          <w:sz w:val="18"/>
          <w:szCs w:val="18"/>
        </w:rPr>
      </w:pPr>
    </w:p>
    <w:p w:rsidR="00DA0623" w:rsidRPr="002C0032" w:rsidRDefault="004D1A2C" w:rsidP="00DA0623">
      <w:pPr>
        <w:spacing w:after="120" w:line="276" w:lineRule="auto"/>
        <w:rPr>
          <w:rFonts w:asciiTheme="majorHAnsi" w:hAnsiTheme="majorHAnsi"/>
          <w:sz w:val="18"/>
          <w:szCs w:val="18"/>
        </w:rPr>
      </w:pPr>
      <w:r>
        <w:rPr>
          <w:rStyle w:val="dn"/>
          <w:sz w:val="18"/>
          <w:szCs w:val="18"/>
        </w:rPr>
        <w:t xml:space="preserve">Graf: </w:t>
      </w:r>
      <w:r w:rsidRPr="004D1A2C">
        <w:rPr>
          <w:rStyle w:val="dn"/>
          <w:sz w:val="18"/>
          <w:szCs w:val="18"/>
        </w:rPr>
        <w:t xml:space="preserve">Podíly žáků </w:t>
      </w:r>
      <w:r w:rsidR="00E22F35">
        <w:rPr>
          <w:rStyle w:val="dn"/>
          <w:sz w:val="18"/>
          <w:szCs w:val="18"/>
        </w:rPr>
        <w:t xml:space="preserve">středního odborného vzdělávání vstupujících </w:t>
      </w:r>
      <w:r w:rsidRPr="004D1A2C">
        <w:rPr>
          <w:rStyle w:val="dn"/>
          <w:sz w:val="18"/>
          <w:szCs w:val="18"/>
        </w:rPr>
        <w:t xml:space="preserve">do 1. r. (E+H+M+L0 denní) </w:t>
      </w:r>
      <w:r w:rsidR="00DA0623" w:rsidRPr="002C0032">
        <w:rPr>
          <w:rFonts w:asciiTheme="majorHAnsi" w:hAnsiTheme="majorHAnsi"/>
          <w:sz w:val="18"/>
          <w:szCs w:val="18"/>
        </w:rPr>
        <w:t xml:space="preserve">Zdroj: </w:t>
      </w:r>
      <w:r w:rsidR="00DA0623">
        <w:rPr>
          <w:rFonts w:asciiTheme="majorHAnsi" w:hAnsiTheme="majorHAnsi"/>
          <w:sz w:val="18"/>
          <w:szCs w:val="18"/>
        </w:rPr>
        <w:t>statistika NUV 2017</w:t>
      </w:r>
    </w:p>
    <w:p w:rsidR="004D1A2C" w:rsidRDefault="00E22F35" w:rsidP="00E22F35">
      <w:pPr>
        <w:rPr>
          <w:rStyle w:val="dn"/>
          <w:rFonts w:asciiTheme="majorHAnsi" w:hAnsiTheme="majorHAnsi" w:cs="Calibri"/>
        </w:rPr>
      </w:pPr>
      <w:r w:rsidRPr="00E22F35">
        <w:rPr>
          <w:rFonts w:asciiTheme="majorHAnsi" w:hAnsiTheme="majorHAnsi" w:cs="Calibri"/>
          <w:noProof/>
          <w:lang w:eastAsia="cs-CZ"/>
        </w:rPr>
        <w:drawing>
          <wp:inline distT="0" distB="0" distL="0" distR="0" wp14:anchorId="5CA7F4AA" wp14:editId="21956EC7">
            <wp:extent cx="5760720" cy="3732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srcRect/>
                    <a:stretch>
                      <a:fillRect/>
                    </a:stretch>
                  </pic:blipFill>
                  <pic:spPr bwMode="auto">
                    <a:xfrm>
                      <a:off x="0" y="0"/>
                      <a:ext cx="5760720" cy="3732530"/>
                    </a:xfrm>
                    <a:prstGeom prst="rect">
                      <a:avLst/>
                    </a:prstGeom>
                    <a:noFill/>
                    <a:ln w="9525">
                      <a:noFill/>
                      <a:miter lim="800000"/>
                      <a:headEnd/>
                      <a:tailEnd/>
                    </a:ln>
                  </pic:spPr>
                </pic:pic>
              </a:graphicData>
            </a:graphic>
          </wp:inline>
        </w:drawing>
      </w:r>
    </w:p>
    <w:p w:rsidR="007B08E8" w:rsidRDefault="007B08E8" w:rsidP="007B08E8">
      <w:pPr>
        <w:spacing w:after="120" w:line="276" w:lineRule="auto"/>
        <w:jc w:val="both"/>
        <w:rPr>
          <w:rFonts w:asciiTheme="majorHAnsi" w:hAnsiTheme="majorHAnsi"/>
          <w:kern w:val="36"/>
        </w:rPr>
      </w:pPr>
      <w:r w:rsidRPr="00B56BBA">
        <w:rPr>
          <w:rFonts w:asciiTheme="majorHAnsi" w:hAnsiTheme="majorHAnsi"/>
        </w:rPr>
        <w:lastRenderedPageBreak/>
        <w:t>Tyto trendy jsou pro vzdělávací systém pozitivní zpětnou vazbou a dokládají funkčnost přijatých opatření ze strany Ministerstva školství, mládeže a tělovýchovy a ostatních subjektů. Významně k tomu také přispěli</w:t>
      </w:r>
      <w:r w:rsidRPr="007C74A0">
        <w:rPr>
          <w:rFonts w:asciiTheme="majorHAnsi" w:hAnsiTheme="majorHAnsi"/>
        </w:rPr>
        <w:t xml:space="preserve"> zaměstnavatelé a zřizovatelé škol. </w:t>
      </w:r>
      <w:r w:rsidRPr="007C74A0">
        <w:rPr>
          <w:rFonts w:asciiTheme="majorHAnsi" w:hAnsiTheme="majorHAnsi" w:cs="Times New Roman"/>
          <w:kern w:val="36"/>
        </w:rPr>
        <w:t xml:space="preserve">Nevyřeší </w:t>
      </w:r>
      <w:r w:rsidRPr="007C74A0">
        <w:rPr>
          <w:rFonts w:asciiTheme="majorHAnsi" w:hAnsiTheme="majorHAnsi"/>
          <w:kern w:val="36"/>
        </w:rPr>
        <w:t xml:space="preserve">to </w:t>
      </w:r>
      <w:r w:rsidRPr="007C74A0">
        <w:rPr>
          <w:rFonts w:asciiTheme="majorHAnsi" w:hAnsiTheme="majorHAnsi" w:cs="Times New Roman"/>
          <w:kern w:val="36"/>
        </w:rPr>
        <w:t xml:space="preserve">však nedostatek absolutních počtů </w:t>
      </w:r>
      <w:r>
        <w:rPr>
          <w:rFonts w:asciiTheme="majorHAnsi" w:hAnsiTheme="majorHAnsi" w:cs="Times New Roman"/>
          <w:kern w:val="36"/>
        </w:rPr>
        <w:t xml:space="preserve">absolventů vstupujících na trh práce </w:t>
      </w:r>
      <w:r w:rsidRPr="007C74A0">
        <w:rPr>
          <w:rFonts w:asciiTheme="majorHAnsi" w:hAnsiTheme="majorHAnsi" w:cs="Times New Roman"/>
          <w:kern w:val="36"/>
        </w:rPr>
        <w:t>vzniklých demografickým poklesem</w:t>
      </w:r>
      <w:r w:rsidRPr="007C74A0">
        <w:rPr>
          <w:rFonts w:asciiTheme="majorHAnsi" w:hAnsiTheme="majorHAnsi"/>
          <w:kern w:val="36"/>
        </w:rPr>
        <w:t xml:space="preserve">. </w:t>
      </w:r>
    </w:p>
    <w:p w:rsidR="00DA0623" w:rsidRDefault="00DA0623" w:rsidP="007B08E8">
      <w:pPr>
        <w:spacing w:after="120" w:line="276" w:lineRule="auto"/>
        <w:jc w:val="both"/>
        <w:rPr>
          <w:rFonts w:asciiTheme="majorHAnsi" w:hAnsiTheme="majorHAnsi"/>
          <w:kern w:val="36"/>
        </w:rPr>
      </w:pPr>
    </w:p>
    <w:p w:rsidR="00681BD4" w:rsidRDefault="00F30358" w:rsidP="006036F1">
      <w:pPr>
        <w:pStyle w:val="Nadpis1"/>
      </w:pPr>
      <w:bookmarkStart w:id="2" w:name="_Toc523902170"/>
      <w:r w:rsidRPr="00830060">
        <w:t>Propojení odborného vzdělávání s trhem práce</w:t>
      </w:r>
      <w:bookmarkEnd w:id="2"/>
      <w:r w:rsidR="00681BD4" w:rsidRPr="00830060">
        <w:t xml:space="preserve"> </w:t>
      </w:r>
    </w:p>
    <w:p w:rsidR="00DA0623" w:rsidRDefault="00DA0623" w:rsidP="00FD2AD5">
      <w:pPr>
        <w:pStyle w:val="Odstavecseseznamem"/>
        <w:spacing w:after="0"/>
        <w:ind w:left="0"/>
        <w:jc w:val="both"/>
        <w:rPr>
          <w:rFonts w:asciiTheme="majorHAnsi" w:hAnsiTheme="majorHAnsi"/>
        </w:rPr>
      </w:pPr>
    </w:p>
    <w:p w:rsidR="00681BD4" w:rsidRPr="00E622B4" w:rsidRDefault="00681BD4" w:rsidP="00FD2AD5">
      <w:pPr>
        <w:pStyle w:val="Odstavecseseznamem"/>
        <w:spacing w:after="0"/>
        <w:ind w:left="0"/>
        <w:jc w:val="both"/>
        <w:rPr>
          <w:rFonts w:asciiTheme="majorHAnsi" w:hAnsiTheme="majorHAnsi"/>
        </w:rPr>
      </w:pPr>
      <w:r w:rsidRPr="00E622B4">
        <w:rPr>
          <w:rFonts w:asciiTheme="majorHAnsi" w:hAnsiTheme="majorHAnsi"/>
        </w:rPr>
        <w:t xml:space="preserve">Zapojení zaměstnavatelů do vzdělávacího procesu je dána </w:t>
      </w:r>
      <w:r w:rsidR="004031C9" w:rsidRPr="00E622B4">
        <w:rPr>
          <w:rFonts w:asciiTheme="majorHAnsi" w:hAnsiTheme="majorHAnsi"/>
        </w:rPr>
        <w:t xml:space="preserve">školským zákonem v </w:t>
      </w:r>
      <w:r w:rsidRPr="00E622B4">
        <w:rPr>
          <w:rFonts w:asciiTheme="majorHAnsi" w:hAnsiTheme="majorHAnsi"/>
        </w:rPr>
        <w:t xml:space="preserve">následujících </w:t>
      </w:r>
      <w:r w:rsidR="00881156">
        <w:rPr>
          <w:rFonts w:asciiTheme="majorHAnsi" w:hAnsiTheme="majorHAnsi"/>
        </w:rPr>
        <w:t>ustanoveních</w:t>
      </w:r>
      <w:r w:rsidRPr="00E622B4">
        <w:rPr>
          <w:rFonts w:asciiTheme="majorHAnsi" w:hAnsiTheme="majorHAnsi"/>
        </w:rPr>
        <w:t>:</w:t>
      </w:r>
    </w:p>
    <w:p w:rsidR="00681BD4" w:rsidRPr="00E622B4" w:rsidRDefault="00681BD4" w:rsidP="00830060">
      <w:pPr>
        <w:pStyle w:val="Nadpis2"/>
      </w:pPr>
      <w:bookmarkStart w:id="3" w:name="_Toc523902171"/>
      <w:r w:rsidRPr="00E622B4">
        <w:t>Oborová soustava</w:t>
      </w:r>
      <w:bookmarkEnd w:id="3"/>
      <w:r w:rsidRPr="00E622B4">
        <w:t xml:space="preserve"> </w:t>
      </w:r>
    </w:p>
    <w:p w:rsidR="00681BD4" w:rsidRDefault="00681BD4" w:rsidP="00681BD4">
      <w:pPr>
        <w:pStyle w:val="Odstavecseseznamem"/>
        <w:spacing w:after="0"/>
        <w:ind w:left="360"/>
        <w:jc w:val="both"/>
        <w:rPr>
          <w:rFonts w:asciiTheme="majorHAnsi" w:hAnsiTheme="majorHAnsi"/>
        </w:rPr>
      </w:pPr>
      <w:r w:rsidRPr="00E622B4">
        <w:rPr>
          <w:rFonts w:asciiTheme="majorHAnsi" w:hAnsiTheme="majorHAnsi"/>
        </w:rPr>
        <w:t xml:space="preserve">Školský zákon v § 3 odst. 5 ukládá </w:t>
      </w:r>
      <w:r w:rsidR="00881156">
        <w:rPr>
          <w:rFonts w:asciiTheme="majorHAnsi" w:hAnsiTheme="majorHAnsi"/>
        </w:rPr>
        <w:t xml:space="preserve">MŠMT </w:t>
      </w:r>
      <w:r w:rsidRPr="00E622B4">
        <w:rPr>
          <w:rFonts w:asciiTheme="majorHAnsi" w:hAnsiTheme="majorHAnsi"/>
        </w:rPr>
        <w:t>projednat nařízení vlády o soustavě oborů vzdělání v</w:t>
      </w:r>
      <w:r w:rsidR="00C26E16">
        <w:rPr>
          <w:rFonts w:asciiTheme="majorHAnsi" w:hAnsiTheme="majorHAnsi"/>
        </w:rPr>
        <w:t> </w:t>
      </w:r>
      <w:r w:rsidRPr="00E622B4">
        <w:rPr>
          <w:rFonts w:asciiTheme="majorHAnsi" w:hAnsiTheme="majorHAnsi"/>
        </w:rPr>
        <w:t xml:space="preserve">základním, středním a vyšším odborném vzdělávání a podmínky zdravotní způsobilosti uchazeče ke vzdělávání před jejím schválením (v podobě nařízení vlády) s příslušnými ústředními odborovými orgány, příslušnými organizacemi zaměstnavatelů s celostátní působností a kraji.  </w:t>
      </w:r>
    </w:p>
    <w:p w:rsidR="004D1A2C" w:rsidRDefault="004D1A2C"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4" w:name="_Toc523902172"/>
      <w:r w:rsidRPr="00830060">
        <w:t>Kurikulum</w:t>
      </w:r>
      <w:bookmarkEnd w:id="4"/>
    </w:p>
    <w:p w:rsidR="00681BD4" w:rsidRDefault="00681BD4" w:rsidP="00681BD4">
      <w:pPr>
        <w:pStyle w:val="Odstavecseseznamem"/>
        <w:spacing w:after="0"/>
        <w:ind w:left="360"/>
        <w:jc w:val="both"/>
        <w:rPr>
          <w:rFonts w:asciiTheme="majorHAnsi" w:hAnsiTheme="majorHAnsi"/>
        </w:rPr>
      </w:pPr>
      <w:r w:rsidRPr="00E622B4">
        <w:rPr>
          <w:rFonts w:asciiTheme="majorHAnsi" w:hAnsiTheme="majorHAnsi"/>
        </w:rPr>
        <w:t xml:space="preserve">Školský zákon v § 4 odst. 3 ukládá </w:t>
      </w:r>
      <w:r w:rsidR="00881156">
        <w:rPr>
          <w:rFonts w:asciiTheme="majorHAnsi" w:hAnsiTheme="majorHAnsi"/>
        </w:rPr>
        <w:t xml:space="preserve">MŠMT </w:t>
      </w:r>
      <w:r w:rsidRPr="00E622B4">
        <w:rPr>
          <w:rFonts w:asciiTheme="majorHAnsi" w:hAnsiTheme="majorHAnsi"/>
        </w:rPr>
        <w:t>projednat rámcové vzdělávací programy pro odborné vzdělávání před jejich vydáním s příslušnými ústředními odborovými orgány, příslušnými organizacemi zaměstnavatelů s celostátní působností a kraji. R</w:t>
      </w:r>
      <w:r w:rsidR="00881156">
        <w:rPr>
          <w:rFonts w:asciiTheme="majorHAnsi" w:hAnsiTheme="majorHAnsi"/>
        </w:rPr>
        <w:t>ámcové vzdělávací programy</w:t>
      </w:r>
      <w:r w:rsidRPr="00E622B4">
        <w:rPr>
          <w:rFonts w:asciiTheme="majorHAnsi" w:hAnsiTheme="majorHAnsi"/>
        </w:rPr>
        <w:t xml:space="preserve"> vymezují povinný obsah, rozsah a podmínky vzdělávání; jsou závazné pro tvorbu školních vzděláva</w:t>
      </w:r>
      <w:r w:rsidR="00881156">
        <w:rPr>
          <w:rFonts w:asciiTheme="majorHAnsi" w:hAnsiTheme="majorHAnsi"/>
        </w:rPr>
        <w:t>cích programů. V rámci kapitoly,</w:t>
      </w:r>
      <w:r w:rsidRPr="00E622B4">
        <w:rPr>
          <w:rFonts w:asciiTheme="majorHAnsi" w:hAnsiTheme="majorHAnsi"/>
        </w:rPr>
        <w:t xml:space="preserve"> která se věnuje zásadám tvorby školního vzdělávacího programu</w:t>
      </w:r>
      <w:r w:rsidR="00881156">
        <w:rPr>
          <w:rFonts w:asciiTheme="majorHAnsi" w:hAnsiTheme="majorHAnsi"/>
        </w:rPr>
        <w:t>,</w:t>
      </w:r>
      <w:r w:rsidRPr="00E622B4">
        <w:rPr>
          <w:rFonts w:asciiTheme="majorHAnsi" w:hAnsiTheme="majorHAnsi"/>
        </w:rPr>
        <w:t xml:space="preserve"> je mimo jiné vymezeno, že </w:t>
      </w:r>
      <w:r w:rsidR="00881156">
        <w:rPr>
          <w:rFonts w:asciiTheme="majorHAnsi" w:hAnsiTheme="majorHAnsi"/>
        </w:rPr>
        <w:t xml:space="preserve">školní vzdělávací program </w:t>
      </w:r>
      <w:r w:rsidRPr="00E622B4">
        <w:rPr>
          <w:rFonts w:asciiTheme="majorHAnsi" w:hAnsiTheme="majorHAnsi"/>
        </w:rPr>
        <w:t xml:space="preserve">má být zpracován komplexně, včetně vymezení spolupráce se sociálními partnery. Odpovědnost za </w:t>
      </w:r>
      <w:r w:rsidR="00881156">
        <w:rPr>
          <w:rFonts w:asciiTheme="majorHAnsi" w:hAnsiTheme="majorHAnsi"/>
        </w:rPr>
        <w:t>školní vzdělávací program</w:t>
      </w:r>
      <w:r w:rsidRPr="00E622B4">
        <w:rPr>
          <w:rFonts w:asciiTheme="majorHAnsi" w:hAnsiTheme="majorHAnsi"/>
        </w:rPr>
        <w:t xml:space="preserve"> je na řediteli školy, soulad </w:t>
      </w:r>
      <w:r w:rsidR="00881156">
        <w:rPr>
          <w:rFonts w:asciiTheme="majorHAnsi" w:hAnsiTheme="majorHAnsi"/>
        </w:rPr>
        <w:t xml:space="preserve">školního vzdělávacího programu </w:t>
      </w:r>
      <w:r w:rsidRPr="00E622B4">
        <w:rPr>
          <w:rFonts w:asciiTheme="majorHAnsi" w:hAnsiTheme="majorHAnsi"/>
        </w:rPr>
        <w:t>s</w:t>
      </w:r>
      <w:r w:rsidR="00881156">
        <w:rPr>
          <w:rFonts w:asciiTheme="majorHAnsi" w:hAnsiTheme="majorHAnsi"/>
        </w:rPr>
        <w:t> rámcovým vzdělávacím programem</w:t>
      </w:r>
      <w:r w:rsidRPr="00E622B4">
        <w:rPr>
          <w:rFonts w:asciiTheme="majorHAnsi" w:hAnsiTheme="majorHAnsi"/>
        </w:rPr>
        <w:t xml:space="preserve"> kontroluje Č</w:t>
      </w:r>
      <w:r w:rsidR="00881156">
        <w:rPr>
          <w:rFonts w:asciiTheme="majorHAnsi" w:hAnsiTheme="majorHAnsi"/>
        </w:rPr>
        <w:t>eská školní inspekce</w:t>
      </w:r>
      <w:r w:rsidRPr="00E622B4">
        <w:rPr>
          <w:rFonts w:asciiTheme="majorHAnsi" w:hAnsiTheme="majorHAnsi"/>
        </w:rPr>
        <w:t>.</w:t>
      </w:r>
    </w:p>
    <w:p w:rsidR="004D1A2C" w:rsidRDefault="004D1A2C"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5" w:name="_Toc523902173"/>
      <w:r w:rsidRPr="00830060">
        <w:t>Dlouhodobý záměr</w:t>
      </w:r>
      <w:bookmarkEnd w:id="5"/>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Školský zákon v § 9 odst. 1 ukládá MŠMT projednat návrh dlouhodobého záměru vzdělávání a</w:t>
      </w:r>
      <w:r w:rsidR="00F7174E">
        <w:rPr>
          <w:rFonts w:asciiTheme="majorHAnsi" w:hAnsiTheme="majorHAnsi"/>
        </w:rPr>
        <w:t> </w:t>
      </w:r>
      <w:r w:rsidRPr="00E622B4">
        <w:rPr>
          <w:rFonts w:asciiTheme="majorHAnsi" w:hAnsiTheme="majorHAnsi"/>
        </w:rPr>
        <w:t>rozvoje vzdělávací soustavy České republiky s příslušnými ústředními odborovými orgány, příslušnými organizacemi zaměstnavatelů s celostátní působností a s kraji. § 9 odst. 2 ukládá krajským úřadům zpracovat dlouhodobý záměr vzdělávání a rozvoje vzdělávací soustavy v kraji a</w:t>
      </w:r>
      <w:r w:rsidR="00F7174E">
        <w:rPr>
          <w:rFonts w:asciiTheme="majorHAnsi" w:hAnsiTheme="majorHAnsi"/>
        </w:rPr>
        <w:t> p</w:t>
      </w:r>
      <w:r w:rsidRPr="00E622B4">
        <w:rPr>
          <w:rFonts w:asciiTheme="majorHAnsi" w:hAnsiTheme="majorHAnsi"/>
        </w:rPr>
        <w:t>ředkládá jej ministerstvu k vyjádření. Dlouhodobé záměry krajů obsahují analýzu vzdělávací soustavy v kraji a stanovují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6" w:name="_Toc523902174"/>
      <w:r w:rsidRPr="00830060">
        <w:t>Možnost realizace praktického vyučování u zaměstnavatele</w:t>
      </w:r>
      <w:bookmarkEnd w:id="6"/>
    </w:p>
    <w:p w:rsidR="00881156" w:rsidRDefault="00681BD4" w:rsidP="00881156">
      <w:pPr>
        <w:pStyle w:val="Odstavecseseznamem"/>
        <w:spacing w:after="120"/>
        <w:ind w:left="426"/>
        <w:jc w:val="both"/>
        <w:rPr>
          <w:rFonts w:asciiTheme="majorHAnsi" w:hAnsiTheme="majorHAnsi"/>
        </w:rPr>
      </w:pPr>
      <w:r w:rsidRPr="00E622B4">
        <w:rPr>
          <w:rFonts w:asciiTheme="majorHAnsi" w:hAnsiTheme="majorHAnsi"/>
        </w:rPr>
        <w:t>Školský zákon v § 65 odst. 2 umožňuje, aby se praktické vyučování (odborný výcvik, cvičení, učební praxe) mohlo uskutečňovat také na pracovištích fyzických nebo právnic</w:t>
      </w:r>
      <w:r w:rsidR="00F7174E">
        <w:rPr>
          <w:rFonts w:asciiTheme="majorHAnsi" w:hAnsiTheme="majorHAnsi"/>
        </w:rPr>
        <w:t xml:space="preserve">kých osob, které mají oprávnění </w:t>
      </w:r>
      <w:r w:rsidRPr="00E622B4">
        <w:rPr>
          <w:rFonts w:asciiTheme="majorHAnsi" w:hAnsiTheme="majorHAnsi"/>
        </w:rPr>
        <w:t>k</w:t>
      </w:r>
      <w:r w:rsidR="00F7174E">
        <w:rPr>
          <w:rFonts w:asciiTheme="majorHAnsi" w:hAnsiTheme="majorHAnsi"/>
        </w:rPr>
        <w:t xml:space="preserve"> č</w:t>
      </w:r>
      <w:r w:rsidRPr="00E622B4">
        <w:rPr>
          <w:rFonts w:asciiTheme="majorHAnsi" w:hAnsiTheme="majorHAnsi"/>
        </w:rPr>
        <w:t>innosti související s daným oborem vzdělání</w:t>
      </w:r>
      <w:r w:rsidR="00F7174E">
        <w:rPr>
          <w:rFonts w:asciiTheme="majorHAnsi" w:hAnsiTheme="majorHAnsi"/>
        </w:rPr>
        <w:t xml:space="preserve"> </w:t>
      </w:r>
      <w:r w:rsidRPr="00E622B4">
        <w:rPr>
          <w:rFonts w:asciiTheme="majorHAnsi" w:hAnsiTheme="majorHAnsi"/>
        </w:rPr>
        <w:t>a uzavřely se školou smlouvu o obsahu a</w:t>
      </w:r>
      <w:r w:rsidR="00F7174E">
        <w:rPr>
          <w:rFonts w:asciiTheme="majorHAnsi" w:hAnsiTheme="majorHAnsi"/>
        </w:rPr>
        <w:t> </w:t>
      </w:r>
      <w:r w:rsidRPr="00E622B4">
        <w:rPr>
          <w:rFonts w:asciiTheme="majorHAnsi" w:hAnsiTheme="majorHAnsi"/>
        </w:rPr>
        <w:t xml:space="preserve">rozsahu praktického vyučování a podmínkách pro jeho konání. Náležitosti smlouvy jsou stanovené </w:t>
      </w:r>
      <w:r w:rsidRPr="00E622B4">
        <w:rPr>
          <w:rFonts w:asciiTheme="majorHAnsi" w:hAnsiTheme="majorHAnsi"/>
        </w:rPr>
        <w:lastRenderedPageBreak/>
        <w:t>v § 12 vyhlášky o středním vzdělávání.</w:t>
      </w:r>
      <w:r w:rsidR="00881156">
        <w:rPr>
          <w:rFonts w:asciiTheme="majorHAnsi" w:hAnsiTheme="majorHAnsi"/>
        </w:rPr>
        <w:t xml:space="preserve"> MŠMT vydalo „Doporučení k zabezpečení jednotného postupu při uzavírání smluvního vztahu mezi zaměstnavatelem a žákem střední školy nebo studentem VOŠ, kteří se připravují pro potřeby konkrétního zaměstnavatele.“ </w:t>
      </w:r>
    </w:p>
    <w:p w:rsidR="00881156" w:rsidRDefault="00D479DF" w:rsidP="00881156">
      <w:pPr>
        <w:pStyle w:val="Odstavecseseznamem"/>
        <w:spacing w:after="120"/>
        <w:ind w:left="426"/>
        <w:jc w:val="both"/>
      </w:pPr>
      <w:hyperlink r:id="rId11" w:history="1">
        <w:r w:rsidR="00881156">
          <w:rPr>
            <w:rStyle w:val="Hypertextovodkaz"/>
          </w:rPr>
          <w:t>http://www.</w:t>
        </w:r>
      </w:hyperlink>
      <w:hyperlink r:id="rId12" w:history="1">
        <w:r w:rsidR="00881156">
          <w:rPr>
            <w:rStyle w:val="Hypertextovodkaz"/>
          </w:rPr>
          <w:t>msmt.cz</w:t>
        </w:r>
      </w:hyperlink>
      <w:hyperlink r:id="rId13" w:history="1">
        <w:r w:rsidR="00881156">
          <w:rPr>
            <w:rStyle w:val="Hypertextovodkaz"/>
          </w:rPr>
          <w:t>/ministerstvo/</w:t>
        </w:r>
      </w:hyperlink>
      <w:hyperlink r:id="rId14" w:history="1">
        <w:r w:rsidR="00881156">
          <w:rPr>
            <w:rStyle w:val="Hypertextovodkaz"/>
          </w:rPr>
          <w:t>novinar</w:t>
        </w:r>
      </w:hyperlink>
      <w:hyperlink r:id="rId15" w:history="1">
        <w:r w:rsidR="00881156">
          <w:rPr>
            <w:rStyle w:val="Hypertextovodkaz"/>
          </w:rPr>
          <w:t>/</w:t>
        </w:r>
      </w:hyperlink>
      <w:hyperlink r:id="rId16" w:history="1">
        <w:r w:rsidR="00881156">
          <w:rPr>
            <w:rStyle w:val="Hypertextovodkaz"/>
          </w:rPr>
          <w:t>msmt</w:t>
        </w:r>
      </w:hyperlink>
      <w:hyperlink r:id="rId17" w:history="1">
        <w:r w:rsidR="00881156">
          <w:rPr>
            <w:rStyle w:val="Hypertextovodkaz"/>
          </w:rPr>
          <w:t>-</w:t>
        </w:r>
      </w:hyperlink>
      <w:hyperlink r:id="rId18" w:history="1">
        <w:r w:rsidR="00881156">
          <w:rPr>
            <w:rStyle w:val="Hypertextovodkaz"/>
          </w:rPr>
          <w:t>pripravilo</w:t>
        </w:r>
      </w:hyperlink>
      <w:hyperlink r:id="rId19" w:history="1">
        <w:r w:rsidR="00881156">
          <w:rPr>
            <w:rStyle w:val="Hypertextovodkaz"/>
          </w:rPr>
          <w:t>-</w:t>
        </w:r>
      </w:hyperlink>
      <w:hyperlink r:id="rId20" w:history="1">
        <w:r w:rsidR="00881156">
          <w:rPr>
            <w:rStyle w:val="Hypertextovodkaz"/>
          </w:rPr>
          <w:t>doporuceni</w:t>
        </w:r>
      </w:hyperlink>
      <w:hyperlink r:id="rId21" w:history="1">
        <w:r w:rsidR="00881156">
          <w:rPr>
            <w:rStyle w:val="Hypertextovodkaz"/>
          </w:rPr>
          <w:t>-k-</w:t>
        </w:r>
      </w:hyperlink>
      <w:hyperlink r:id="rId22" w:history="1">
        <w:r w:rsidR="00881156">
          <w:rPr>
            <w:rStyle w:val="Hypertextovodkaz"/>
          </w:rPr>
          <w:t>smluvnim</w:t>
        </w:r>
      </w:hyperlink>
      <w:hyperlink r:id="rId23" w:history="1">
        <w:r w:rsidR="00881156">
          <w:rPr>
            <w:rStyle w:val="Hypertextovodkaz"/>
          </w:rPr>
          <w:t>-</w:t>
        </w:r>
      </w:hyperlink>
      <w:hyperlink r:id="rId24" w:history="1">
        <w:r w:rsidR="00881156">
          <w:rPr>
            <w:rStyle w:val="Hypertextovodkaz"/>
          </w:rPr>
          <w:t>vztahum</w:t>
        </w:r>
      </w:hyperlink>
      <w:hyperlink r:id="rId25" w:history="1">
        <w:r w:rsidR="00881156">
          <w:rPr>
            <w:rStyle w:val="Hypertextovodkaz"/>
          </w:rPr>
          <w:t>-mezi-</w:t>
        </w:r>
      </w:hyperlink>
      <w:hyperlink r:id="rId26" w:history="1">
        <w:r w:rsidR="00881156">
          <w:rPr>
            <w:rStyle w:val="Hypertextovodkaz"/>
          </w:rPr>
          <w:t>zakem</w:t>
        </w:r>
      </w:hyperlink>
      <w:hyperlink r:id="rId27" w:history="1">
        <w:r w:rsidR="00881156">
          <w:rPr>
            <w:rStyle w:val="Hypertextovodkaz"/>
          </w:rPr>
          <w:t>-a</w:t>
        </w:r>
      </w:hyperlink>
    </w:p>
    <w:p w:rsidR="00681BD4" w:rsidRPr="00E622B4" w:rsidRDefault="00681BD4" w:rsidP="00881156">
      <w:pPr>
        <w:pStyle w:val="Odstavecseseznamem"/>
        <w:spacing w:after="0"/>
        <w:ind w:left="426"/>
        <w:jc w:val="both"/>
        <w:rPr>
          <w:rFonts w:asciiTheme="majorHAnsi" w:hAnsiTheme="majorHAnsi"/>
        </w:rPr>
      </w:pPr>
    </w:p>
    <w:p w:rsidR="00681BD4" w:rsidRPr="00830060" w:rsidRDefault="00681BD4" w:rsidP="00830060">
      <w:pPr>
        <w:pStyle w:val="Nadpis2"/>
      </w:pPr>
      <w:bookmarkStart w:id="7" w:name="_Toc523902175"/>
      <w:r w:rsidRPr="00E77EEE">
        <w:t>Jednotné zadání závěrečných zkoušek v oborech vzdělání s výučním listem</w:t>
      </w:r>
      <w:bookmarkEnd w:id="7"/>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Školský zákon v § 74 odst. 3, že obory vzdělání s výučním listem se v rámci závěrečné zkoušky řídí jednotným zadáním závěrečných zkoušek a zkušební dokumentací. Tato zadání pro jednotlivé obory vzdělání vydává NÚV (Národní ústav pro vzděláván</w:t>
      </w:r>
      <w:r w:rsidR="007604DD">
        <w:rPr>
          <w:rFonts w:asciiTheme="majorHAnsi" w:hAnsiTheme="majorHAnsi"/>
        </w:rPr>
        <w:t>í), který je tímto pověřen MŠMT. J</w:t>
      </w:r>
      <w:r w:rsidRPr="00E622B4">
        <w:rPr>
          <w:rFonts w:asciiTheme="majorHAnsi" w:hAnsiTheme="majorHAnsi"/>
        </w:rPr>
        <w:t xml:space="preserve">ednotná zadání </w:t>
      </w:r>
      <w:r w:rsidR="007604DD">
        <w:rPr>
          <w:rFonts w:asciiTheme="majorHAnsi" w:hAnsiTheme="majorHAnsi"/>
        </w:rPr>
        <w:t xml:space="preserve">jsou vytvářena </w:t>
      </w:r>
      <w:r w:rsidRPr="00E622B4">
        <w:rPr>
          <w:rFonts w:asciiTheme="majorHAnsi" w:hAnsiTheme="majorHAnsi"/>
        </w:rPr>
        <w:t>ve spolupráci se školami a zaměstnavateli.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8" w:name="_Toc523902176"/>
      <w:r w:rsidRPr="00830060">
        <w:t>Povinná účast odborníka z praxe u závěrečných zkoušek u oborů vzdělání s výučním listem</w:t>
      </w:r>
      <w:bookmarkEnd w:id="8"/>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Školský zákon § 74 odst. 7 ukládá řediteli školy povinnost jmenovat do zkušební komise odborníka z praxe s právem rozhodování o klasifikaci.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9" w:name="_Toc523902177"/>
      <w:r w:rsidRPr="00830060">
        <w:t>Možná účast odborníka z praxe u profilové části maturitní zkoušky</w:t>
      </w:r>
      <w:bookmarkEnd w:id="9"/>
      <w:r w:rsidRPr="00830060">
        <w:t xml:space="preserve"> </w:t>
      </w:r>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Školský zákon v § 80a odst. 1 umožňuje, že ředitel školy může do zkušební maturitní komise profilové části maturitní zkoušky jmenovat odborníka z praxe.</w:t>
      </w:r>
    </w:p>
    <w:p w:rsidR="00681BD4" w:rsidRPr="00E622B4" w:rsidRDefault="00681BD4" w:rsidP="00681BD4">
      <w:pPr>
        <w:pStyle w:val="Odstavecseseznamem"/>
        <w:spacing w:after="0"/>
        <w:ind w:left="360"/>
        <w:jc w:val="both"/>
        <w:rPr>
          <w:rFonts w:asciiTheme="majorHAnsi" w:hAnsiTheme="majorHAnsi"/>
        </w:rPr>
      </w:pPr>
    </w:p>
    <w:p w:rsidR="00681BD4" w:rsidRPr="00E77EEE" w:rsidRDefault="00681BD4" w:rsidP="00830060">
      <w:pPr>
        <w:pStyle w:val="Nadpis2"/>
      </w:pPr>
      <w:bookmarkStart w:id="10" w:name="_Toc523902178"/>
      <w:r w:rsidRPr="00830060">
        <w:t>Možná účast odborníka z praxe u absolutoria (vyšší odborné vzdělávání)</w:t>
      </w:r>
      <w:bookmarkEnd w:id="10"/>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 xml:space="preserve">Školský zákon v § 102 odst. 4 </w:t>
      </w:r>
      <w:r w:rsidR="007604DD">
        <w:rPr>
          <w:rFonts w:asciiTheme="majorHAnsi" w:hAnsiTheme="majorHAnsi"/>
        </w:rPr>
        <w:t>ukládá</w:t>
      </w:r>
      <w:r w:rsidRPr="00E622B4">
        <w:rPr>
          <w:rFonts w:asciiTheme="majorHAnsi" w:hAnsiTheme="majorHAnsi"/>
        </w:rPr>
        <w:t>, že ředitel vyšší odborné školy m</w:t>
      </w:r>
      <w:r w:rsidR="007604DD">
        <w:rPr>
          <w:rFonts w:asciiTheme="majorHAnsi" w:hAnsiTheme="majorHAnsi"/>
        </w:rPr>
        <w:t>usí</w:t>
      </w:r>
      <w:r w:rsidRPr="00E622B4">
        <w:rPr>
          <w:rFonts w:asciiTheme="majorHAnsi" w:hAnsiTheme="majorHAnsi"/>
        </w:rPr>
        <w:t xml:space="preserve"> do zkušební komise absolutoria jmenovat odborníka z praxe.</w:t>
      </w:r>
    </w:p>
    <w:p w:rsidR="00681BD4" w:rsidRPr="00E622B4" w:rsidRDefault="00681BD4" w:rsidP="00681BD4">
      <w:pPr>
        <w:pStyle w:val="Odstavecseseznamem"/>
        <w:spacing w:after="0"/>
        <w:ind w:left="360"/>
        <w:jc w:val="both"/>
        <w:rPr>
          <w:rFonts w:asciiTheme="majorHAnsi" w:hAnsiTheme="majorHAnsi"/>
        </w:rPr>
      </w:pPr>
    </w:p>
    <w:p w:rsidR="00F30358" w:rsidRPr="006036F1" w:rsidRDefault="00E622B4" w:rsidP="006036F1">
      <w:pPr>
        <w:pStyle w:val="Nadpis1"/>
      </w:pPr>
      <w:bookmarkStart w:id="11" w:name="_Toc523902179"/>
      <w:r w:rsidRPr="006036F1">
        <w:t>Opatření vedoucí k p</w:t>
      </w:r>
      <w:r w:rsidR="00F30358" w:rsidRPr="006036F1">
        <w:t>rohlubování spolupráce škol se zaměstnavateli</w:t>
      </w:r>
      <w:bookmarkEnd w:id="11"/>
    </w:p>
    <w:p w:rsidR="00675930" w:rsidRPr="00830060" w:rsidRDefault="00675930" w:rsidP="00830060">
      <w:pPr>
        <w:pStyle w:val="Nadpis2"/>
      </w:pPr>
      <w:bookmarkStart w:id="12" w:name="_Toc523902180"/>
      <w:r w:rsidRPr="00830060">
        <w:t>Spolupráce se zaměstnavateli při přípravě žáků na budoucí povolání</w:t>
      </w:r>
      <w:bookmarkEnd w:id="12"/>
      <w:r w:rsidRPr="00830060">
        <w:t xml:space="preserve"> </w:t>
      </w:r>
    </w:p>
    <w:p w:rsidR="00675930" w:rsidRDefault="00675930" w:rsidP="00675930">
      <w:pPr>
        <w:pStyle w:val="Odstavecseseznamem"/>
        <w:spacing w:after="0"/>
        <w:ind w:left="360"/>
        <w:jc w:val="both"/>
        <w:rPr>
          <w:rFonts w:asciiTheme="majorHAnsi" w:hAnsiTheme="majorHAnsi" w:cstheme="minorBidi"/>
          <w:kern w:val="36"/>
        </w:rPr>
      </w:pPr>
      <w:r w:rsidRPr="00675930">
        <w:rPr>
          <w:rFonts w:asciiTheme="majorHAnsi" w:hAnsiTheme="majorHAnsi"/>
          <w:kern w:val="36"/>
        </w:rPr>
        <w:t xml:space="preserve">Novela školského zákona v § 57 odstavec 2 a 3 </w:t>
      </w:r>
      <w:r w:rsidR="00304BC0">
        <w:rPr>
          <w:rFonts w:asciiTheme="majorHAnsi" w:hAnsiTheme="majorHAnsi"/>
          <w:kern w:val="36"/>
        </w:rPr>
        <w:t>v</w:t>
      </w:r>
      <w:r w:rsidR="00304BC0" w:rsidRPr="00304BC0">
        <w:rPr>
          <w:rFonts w:asciiTheme="majorHAnsi" w:hAnsiTheme="majorHAnsi"/>
          <w:kern w:val="36"/>
        </w:rPr>
        <w:t xml:space="preserve"> souvislosti s kladením důrazu na spolupráci středních škol a odborné praxe </w:t>
      </w:r>
      <w:r w:rsidRPr="00675930">
        <w:rPr>
          <w:rFonts w:asciiTheme="majorHAnsi" w:hAnsiTheme="majorHAnsi"/>
          <w:kern w:val="36"/>
        </w:rPr>
        <w:t xml:space="preserve">ukládá </w:t>
      </w:r>
      <w:r w:rsidR="00304BC0">
        <w:rPr>
          <w:rFonts w:asciiTheme="majorHAnsi" w:hAnsiTheme="majorHAnsi"/>
          <w:kern w:val="36"/>
        </w:rPr>
        <w:t xml:space="preserve">školám </w:t>
      </w:r>
      <w:r w:rsidRPr="00675930">
        <w:rPr>
          <w:rFonts w:asciiTheme="majorHAnsi" w:hAnsiTheme="majorHAnsi"/>
          <w:kern w:val="36"/>
        </w:rPr>
        <w:t>povinnost vyvinout</w:t>
      </w:r>
      <w:r w:rsidRPr="00675930">
        <w:rPr>
          <w:b/>
        </w:rPr>
        <w:t xml:space="preserve"> </w:t>
      </w:r>
      <w:r w:rsidRPr="00675930">
        <w:rPr>
          <w:rFonts w:asciiTheme="majorHAnsi" w:hAnsiTheme="majorHAnsi"/>
          <w:kern w:val="36"/>
        </w:rPr>
        <w:t>úsilí spolupracovat se zaměstnavateli tak, aby naplnili cíle středního vzdělávání, kterým je příprava pro výkon povolání nebo pracovní činnosti. Z</w:t>
      </w:r>
      <w:r w:rsidRPr="00675930">
        <w:rPr>
          <w:rFonts w:asciiTheme="majorHAnsi" w:hAnsiTheme="majorHAnsi" w:cstheme="minorBidi"/>
          <w:kern w:val="36"/>
        </w:rPr>
        <w:t>a tímto účelem je řediteli školy umožněno vytvořit poradní sbor ze zaměstnavatelů.</w:t>
      </w:r>
    </w:p>
    <w:p w:rsidR="00DA0623" w:rsidRDefault="00DA0623" w:rsidP="00675930">
      <w:pPr>
        <w:pStyle w:val="Odstavecseseznamem"/>
        <w:spacing w:after="0"/>
        <w:ind w:left="360"/>
        <w:jc w:val="both"/>
        <w:rPr>
          <w:rFonts w:asciiTheme="majorHAnsi" w:hAnsiTheme="majorHAnsi" w:cstheme="minorBidi"/>
          <w:kern w:val="36"/>
        </w:rPr>
      </w:pPr>
    </w:p>
    <w:p w:rsidR="00F50FE6" w:rsidRPr="00830060" w:rsidRDefault="00F50FE6" w:rsidP="00830060">
      <w:pPr>
        <w:pStyle w:val="Nadpis2"/>
      </w:pPr>
      <w:bookmarkStart w:id="13" w:name="_Toc523902181"/>
      <w:r w:rsidRPr="00830060">
        <w:t>Uzavření dohody mezi zástupci zaměstnavatelů o rozdělení odpovědnosti za jednotlivé oblastí počátečního odborného vzdělávání</w:t>
      </w:r>
      <w:bookmarkEnd w:id="13"/>
    </w:p>
    <w:p w:rsidR="00675930" w:rsidRDefault="00F30358" w:rsidP="00DA0623">
      <w:pPr>
        <w:pStyle w:val="Odstavecseseznamem"/>
        <w:spacing w:after="0"/>
        <w:ind w:left="360"/>
        <w:jc w:val="both"/>
        <w:rPr>
          <w:rFonts w:asciiTheme="majorHAnsi" w:hAnsiTheme="majorHAnsi"/>
          <w:kern w:val="36"/>
        </w:rPr>
      </w:pPr>
      <w:r w:rsidRPr="00F50FE6">
        <w:rPr>
          <w:rFonts w:asciiTheme="majorHAnsi" w:hAnsiTheme="majorHAnsi"/>
          <w:kern w:val="36"/>
        </w:rPr>
        <w:t>Ministerstvo školství, mládeže a tělovýchovy dále iniciovalo uzavření dohody mezi zástupci zaměstnavatelů (Hospodářská komora ČR, Svaz průmyslu a dopravy ČR, Agrární komora ČR a</w:t>
      </w:r>
      <w:r w:rsidR="00F7174E">
        <w:rPr>
          <w:rFonts w:asciiTheme="majorHAnsi" w:hAnsiTheme="majorHAnsi"/>
          <w:kern w:val="36"/>
        </w:rPr>
        <w:t> </w:t>
      </w:r>
      <w:r w:rsidRPr="00F50FE6">
        <w:rPr>
          <w:rFonts w:asciiTheme="majorHAnsi" w:hAnsiTheme="majorHAnsi"/>
          <w:kern w:val="36"/>
        </w:rPr>
        <w:t xml:space="preserve">Konfederace zaměstnavatelských a podnikatelských svazů) o rozdělení odpovědnosti za jednotlivé oblastí počátečního odborného vzdělávání v souladu s nařízením vlády č. 211/2010 Sb., o soustavě oborů v základním, středním a vyšším odborném vzdělávání, ve znění pozdějších předpisů. </w:t>
      </w:r>
    </w:p>
    <w:p w:rsidR="00DA0623" w:rsidRDefault="00DA0623" w:rsidP="00DA0623">
      <w:pPr>
        <w:pStyle w:val="Odstavecseseznamem"/>
        <w:spacing w:after="0"/>
        <w:ind w:left="360"/>
        <w:jc w:val="both"/>
        <w:rPr>
          <w:rFonts w:asciiTheme="majorHAnsi" w:hAnsiTheme="majorHAnsi"/>
          <w:kern w:val="36"/>
        </w:rPr>
      </w:pPr>
    </w:p>
    <w:p w:rsidR="00B42B81" w:rsidRDefault="00B42B81" w:rsidP="00B42B81">
      <w:pPr>
        <w:pStyle w:val="Odstavecseseznamem"/>
        <w:spacing w:after="120"/>
        <w:jc w:val="both"/>
        <w:rPr>
          <w:rFonts w:asciiTheme="majorHAnsi" w:eastAsiaTheme="minorHAnsi" w:hAnsiTheme="majorHAnsi" w:cstheme="minorBidi"/>
          <w:kern w:val="36"/>
        </w:rPr>
      </w:pPr>
    </w:p>
    <w:p w:rsidR="006810E8" w:rsidRPr="00830060" w:rsidRDefault="00B42B81" w:rsidP="00830060">
      <w:pPr>
        <w:pStyle w:val="Nadpis2"/>
      </w:pPr>
      <w:bookmarkStart w:id="14" w:name="_Toc523902182"/>
      <w:r w:rsidRPr="00830060">
        <w:lastRenderedPageBreak/>
        <w:t>Revize rámcových vzdělávacích programů</w:t>
      </w:r>
      <w:bookmarkEnd w:id="14"/>
    </w:p>
    <w:p w:rsidR="00DF13CA" w:rsidRDefault="006810E8" w:rsidP="00DF13CA">
      <w:pPr>
        <w:pStyle w:val="Odstavecseseznamem"/>
        <w:spacing w:after="0"/>
        <w:ind w:left="360"/>
        <w:jc w:val="both"/>
        <w:rPr>
          <w:rFonts w:asciiTheme="majorHAnsi" w:hAnsiTheme="majorHAnsi"/>
          <w:kern w:val="36"/>
        </w:rPr>
      </w:pPr>
      <w:r>
        <w:rPr>
          <w:rFonts w:asciiTheme="majorHAnsi" w:hAnsiTheme="majorHAnsi"/>
          <w:kern w:val="36"/>
        </w:rPr>
        <w:t>M</w:t>
      </w:r>
      <w:r w:rsidR="00B42B81" w:rsidRPr="006810E8">
        <w:rPr>
          <w:rFonts w:asciiTheme="majorHAnsi" w:hAnsiTheme="majorHAnsi"/>
          <w:kern w:val="36"/>
        </w:rPr>
        <w:t>ateriál “Návrh revize soustavy oborů a RVP středního odborného vzdělávání”</w:t>
      </w:r>
      <w:r>
        <w:rPr>
          <w:rFonts w:asciiTheme="majorHAnsi" w:hAnsiTheme="majorHAnsi"/>
          <w:kern w:val="36"/>
        </w:rPr>
        <w:t xml:space="preserve"> </w:t>
      </w:r>
      <w:r w:rsidR="00B42B81" w:rsidRPr="006810E8">
        <w:rPr>
          <w:rFonts w:asciiTheme="majorHAnsi" w:hAnsiTheme="majorHAnsi"/>
          <w:kern w:val="36"/>
        </w:rPr>
        <w:t>popisuje celkové pojetí revizí RVP založené na očekávaných výsledcích učení včetně propojení se soustavou kvalifikací NSK</w:t>
      </w:r>
      <w:r w:rsidR="00881156">
        <w:rPr>
          <w:rFonts w:asciiTheme="majorHAnsi" w:hAnsiTheme="majorHAnsi"/>
          <w:kern w:val="36"/>
        </w:rPr>
        <w:t xml:space="preserve">. </w:t>
      </w:r>
      <w:r w:rsidR="00881156" w:rsidRPr="00881156">
        <w:rPr>
          <w:rFonts w:asciiTheme="majorHAnsi" w:hAnsiTheme="majorHAnsi"/>
          <w:kern w:val="36"/>
        </w:rPr>
        <w:t>Hlavními principy připravovaných revizí RVP jsou</w:t>
      </w:r>
      <w:r w:rsidR="00881156">
        <w:rPr>
          <w:rFonts w:asciiTheme="majorHAnsi" w:hAnsiTheme="majorHAnsi"/>
          <w:kern w:val="36"/>
        </w:rPr>
        <w:t>:</w:t>
      </w:r>
    </w:p>
    <w:p w:rsidR="00881156" w:rsidRDefault="00DF13CA" w:rsidP="00870E45">
      <w:pPr>
        <w:pStyle w:val="Odstavecseseznamem"/>
        <w:numPr>
          <w:ilvl w:val="0"/>
          <w:numId w:val="4"/>
        </w:numPr>
        <w:spacing w:after="0"/>
        <w:jc w:val="both"/>
        <w:rPr>
          <w:rFonts w:asciiTheme="majorHAnsi" w:hAnsiTheme="majorHAnsi"/>
          <w:kern w:val="36"/>
        </w:rPr>
      </w:pPr>
      <w:r w:rsidRPr="00DF13CA">
        <w:rPr>
          <w:rFonts w:asciiTheme="majorHAnsi" w:hAnsiTheme="majorHAnsi"/>
          <w:b/>
        </w:rPr>
        <w:t>prostupnost</w:t>
      </w:r>
      <w:r w:rsidRPr="00DF13CA">
        <w:rPr>
          <w:rFonts w:asciiTheme="majorHAnsi" w:hAnsiTheme="majorHAnsi"/>
        </w:rPr>
        <w:t xml:space="preserve"> - umožnění kdykoliv navázat na přerušené vzdělávání a pokračovat k získání vyššího stupně včetně uznání předchozího učení;</w:t>
      </w:r>
    </w:p>
    <w:p w:rsidR="00881156" w:rsidRDefault="00DF13CA" w:rsidP="00870E45">
      <w:pPr>
        <w:pStyle w:val="Odstavecseseznamem"/>
        <w:numPr>
          <w:ilvl w:val="0"/>
          <w:numId w:val="4"/>
        </w:numPr>
        <w:spacing w:after="0"/>
        <w:jc w:val="both"/>
        <w:rPr>
          <w:rFonts w:asciiTheme="majorHAnsi" w:hAnsiTheme="majorHAnsi"/>
          <w:kern w:val="36"/>
        </w:rPr>
      </w:pPr>
      <w:r w:rsidRPr="00881156">
        <w:rPr>
          <w:rFonts w:asciiTheme="majorHAnsi" w:hAnsiTheme="majorHAnsi"/>
          <w:b/>
        </w:rPr>
        <w:t>flexibilita</w:t>
      </w:r>
      <w:r w:rsidRPr="00881156">
        <w:rPr>
          <w:rFonts w:asciiTheme="majorHAnsi" w:hAnsiTheme="majorHAnsi"/>
        </w:rPr>
        <w:t xml:space="preserve"> - diverzifikace vzdělávacích cest ve vztahu k různým možnostem uplatnění na trhu práce; flexibilní organizace výuky např. ve formě modularizace; flexibilní reakce na měnící se potřeby trhu práce;</w:t>
      </w:r>
    </w:p>
    <w:p w:rsidR="00881156" w:rsidRDefault="00DF13CA" w:rsidP="00870E45">
      <w:pPr>
        <w:pStyle w:val="Odstavecseseznamem"/>
        <w:numPr>
          <w:ilvl w:val="0"/>
          <w:numId w:val="4"/>
        </w:numPr>
        <w:spacing w:after="0"/>
        <w:jc w:val="both"/>
        <w:rPr>
          <w:rFonts w:asciiTheme="majorHAnsi" w:hAnsiTheme="majorHAnsi"/>
          <w:kern w:val="36"/>
        </w:rPr>
      </w:pPr>
      <w:r w:rsidRPr="00881156">
        <w:rPr>
          <w:rFonts w:asciiTheme="majorHAnsi" w:hAnsiTheme="majorHAnsi"/>
          <w:b/>
        </w:rPr>
        <w:t>kvalita</w:t>
      </w:r>
      <w:r w:rsidRPr="00881156">
        <w:rPr>
          <w:rFonts w:asciiTheme="majorHAnsi" w:hAnsiTheme="majorHAnsi"/>
        </w:rPr>
        <w:t xml:space="preserve"> - získané vzdělání odpovídá požadavkům zaměstnavatelů na kompetence absolventů a</w:t>
      </w:r>
      <w:r w:rsidR="00C26E16">
        <w:rPr>
          <w:rFonts w:asciiTheme="majorHAnsi" w:hAnsiTheme="majorHAnsi"/>
        </w:rPr>
        <w:t> </w:t>
      </w:r>
      <w:r w:rsidRPr="00881156">
        <w:rPr>
          <w:rFonts w:asciiTheme="majorHAnsi" w:hAnsiTheme="majorHAnsi"/>
        </w:rPr>
        <w:t>umožňuje dobrou uplatnitelnost absolventů;</w:t>
      </w:r>
    </w:p>
    <w:p w:rsidR="00DF13CA" w:rsidRPr="00881156" w:rsidRDefault="00DF13CA" w:rsidP="00870E45">
      <w:pPr>
        <w:pStyle w:val="Odstavecseseznamem"/>
        <w:numPr>
          <w:ilvl w:val="0"/>
          <w:numId w:val="4"/>
        </w:numPr>
        <w:spacing w:after="0"/>
        <w:jc w:val="both"/>
        <w:rPr>
          <w:rFonts w:asciiTheme="majorHAnsi" w:hAnsiTheme="majorHAnsi"/>
          <w:kern w:val="36"/>
        </w:rPr>
      </w:pPr>
      <w:r w:rsidRPr="00881156">
        <w:rPr>
          <w:rFonts w:asciiTheme="majorHAnsi" w:hAnsiTheme="majorHAnsi"/>
          <w:b/>
        </w:rPr>
        <w:t>srozumitelnost</w:t>
      </w:r>
      <w:r w:rsidRPr="00881156">
        <w:rPr>
          <w:rFonts w:asciiTheme="majorHAnsi" w:hAnsiTheme="majorHAnsi"/>
        </w:rPr>
        <w:t xml:space="preserve"> - RVP budou strukturovány tak, aby byly srozumitelné jak pro ředitele a učitele škol, pro které jsou především určeny, tak i pro zaměstnavatele (vč. instruktorů OV), rodiče i</w:t>
      </w:r>
      <w:r w:rsidR="00C26E16">
        <w:rPr>
          <w:rFonts w:asciiTheme="majorHAnsi" w:hAnsiTheme="majorHAnsi"/>
        </w:rPr>
        <w:t> </w:t>
      </w:r>
      <w:r w:rsidRPr="00881156">
        <w:rPr>
          <w:rFonts w:asciiTheme="majorHAnsi" w:hAnsiTheme="majorHAnsi"/>
        </w:rPr>
        <w:t>žáky.</w:t>
      </w:r>
    </w:p>
    <w:p w:rsidR="00E91829" w:rsidRDefault="00881156" w:rsidP="00881156">
      <w:pPr>
        <w:pStyle w:val="Odstavecseseznamem"/>
        <w:spacing w:after="120"/>
        <w:ind w:left="360"/>
        <w:jc w:val="both"/>
        <w:rPr>
          <w:rFonts w:asciiTheme="majorHAnsi" w:hAnsiTheme="majorHAnsi"/>
          <w:kern w:val="36"/>
        </w:rPr>
      </w:pPr>
      <w:r>
        <w:rPr>
          <w:rFonts w:asciiTheme="majorHAnsi" w:hAnsiTheme="majorHAnsi"/>
          <w:kern w:val="36"/>
        </w:rPr>
        <w:t xml:space="preserve">V současnosti </w:t>
      </w:r>
      <w:r w:rsidRPr="006810E8">
        <w:rPr>
          <w:rFonts w:asciiTheme="majorHAnsi" w:hAnsiTheme="majorHAnsi"/>
          <w:kern w:val="36"/>
        </w:rPr>
        <w:t>jsou zpracovávány podrobné analýzy vzdělávacích oblasti RVP, které definují témata revizí RVP pro střední odborné vzdělávání ve vazbě na požadavky trhu práce – provázanost s</w:t>
      </w:r>
      <w:r w:rsidR="00C26E16">
        <w:rPr>
          <w:rFonts w:asciiTheme="majorHAnsi" w:hAnsiTheme="majorHAnsi"/>
          <w:kern w:val="36"/>
        </w:rPr>
        <w:t> </w:t>
      </w:r>
      <w:r w:rsidRPr="006810E8">
        <w:rPr>
          <w:rFonts w:asciiTheme="majorHAnsi" w:hAnsiTheme="majorHAnsi"/>
          <w:kern w:val="36"/>
        </w:rPr>
        <w:t xml:space="preserve">kvalifikacemi v NSK s cílem lepšího uplatnění absolventů. </w:t>
      </w:r>
      <w:bookmarkStart w:id="15" w:name="__RefHeading__1115_7024774"/>
      <w:bookmarkEnd w:id="15"/>
      <w:r w:rsidRPr="006810E8">
        <w:rPr>
          <w:rFonts w:asciiTheme="majorHAnsi" w:hAnsiTheme="majorHAnsi"/>
          <w:kern w:val="36"/>
        </w:rPr>
        <w:t>V této fázi byly osloveny ke spolupráci při sběru podkladů potřebných pro zpracování analýz střední odborné školy a následně budou do procesu revizí zapojení zaměstnavatelé a sociální partneři.</w:t>
      </w:r>
    </w:p>
    <w:p w:rsidR="00E22F35" w:rsidRDefault="00E22F35" w:rsidP="00881156">
      <w:pPr>
        <w:pStyle w:val="Odstavecseseznamem"/>
        <w:spacing w:after="120"/>
        <w:ind w:left="360"/>
        <w:jc w:val="both"/>
        <w:rPr>
          <w:rFonts w:asciiTheme="majorHAnsi" w:hAnsiTheme="majorHAnsi"/>
          <w:kern w:val="36"/>
        </w:rPr>
      </w:pPr>
    </w:p>
    <w:p w:rsidR="00E22F35" w:rsidRDefault="00E22F35" w:rsidP="007350D1">
      <w:pPr>
        <w:pStyle w:val="Odstavecseseznamem"/>
        <w:spacing w:after="120"/>
        <w:ind w:left="360"/>
        <w:jc w:val="both"/>
        <w:rPr>
          <w:rFonts w:asciiTheme="majorHAnsi" w:hAnsiTheme="majorHAnsi"/>
        </w:rPr>
      </w:pPr>
      <w:r w:rsidRPr="00E22F35">
        <w:rPr>
          <w:rFonts w:asciiTheme="majorHAnsi" w:hAnsiTheme="majorHAnsi"/>
          <w:kern w:val="36"/>
        </w:rPr>
        <w:t>V první polovině roku 2017 byly zpracovávány podrobné analýzy vzdělávacích oblasti RVP definující témata, které musí být aktualizovány ve vazbě na požadavky trhu práce a provázanost s</w:t>
      </w:r>
      <w:r w:rsidR="007350D1">
        <w:rPr>
          <w:rFonts w:asciiTheme="majorHAnsi" w:hAnsiTheme="majorHAnsi"/>
          <w:kern w:val="36"/>
        </w:rPr>
        <w:t> </w:t>
      </w:r>
      <w:r w:rsidRPr="00E22F35">
        <w:rPr>
          <w:rFonts w:asciiTheme="majorHAnsi" w:hAnsiTheme="majorHAnsi"/>
          <w:kern w:val="36"/>
        </w:rPr>
        <w:t>kvalifikacemi v NSK. Cílem je lepší uplatnění absolventů. Obsahová aktualizace odborné složky vzdělávání v RVP probíhá do konce roku 2018, na ni naváže následně revize RVP, které se zaměří i</w:t>
      </w:r>
      <w:r w:rsidR="007350D1">
        <w:rPr>
          <w:rFonts w:asciiTheme="majorHAnsi" w:hAnsiTheme="majorHAnsi"/>
          <w:kern w:val="36"/>
        </w:rPr>
        <w:t> </w:t>
      </w:r>
      <w:r w:rsidRPr="00E22F35">
        <w:rPr>
          <w:rFonts w:asciiTheme="majorHAnsi" w:hAnsiTheme="majorHAnsi"/>
          <w:kern w:val="36"/>
        </w:rPr>
        <w:t>na aktualizaci oborové struktury v provázanosti na potřeby trhu práce i v souvislosti s digitalizací a</w:t>
      </w:r>
      <w:r w:rsidR="007350D1">
        <w:rPr>
          <w:rFonts w:asciiTheme="majorHAnsi" w:hAnsiTheme="majorHAnsi"/>
          <w:kern w:val="36"/>
        </w:rPr>
        <w:t> </w:t>
      </w:r>
      <w:r w:rsidRPr="00E22F35">
        <w:rPr>
          <w:rFonts w:asciiTheme="majorHAnsi" w:hAnsiTheme="majorHAnsi"/>
          <w:kern w:val="36"/>
        </w:rPr>
        <w:t>robotizací nejen výrobní sféry.</w:t>
      </w:r>
      <w:r>
        <w:rPr>
          <w:rFonts w:asciiTheme="majorHAnsi" w:hAnsiTheme="majorHAnsi"/>
          <w:kern w:val="36"/>
        </w:rPr>
        <w:t xml:space="preserve"> </w:t>
      </w:r>
      <w:r w:rsidRPr="00E22F35">
        <w:rPr>
          <w:rFonts w:asciiTheme="majorHAnsi" w:hAnsiTheme="majorHAnsi"/>
        </w:rPr>
        <w:t xml:space="preserve">Podkladové studie jsou zveřejněny na webových stránkách </w:t>
      </w:r>
      <w:hyperlink r:id="rId28" w:history="1">
        <w:r w:rsidRPr="00E22F35">
          <w:rPr>
            <w:rStyle w:val="Hypertextovodkaz"/>
            <w:rFonts w:asciiTheme="majorHAnsi" w:hAnsiTheme="majorHAnsi"/>
          </w:rPr>
          <w:t>http://www.nuv.cz/t/studie-1</w:t>
        </w:r>
      </w:hyperlink>
      <w:r>
        <w:rPr>
          <w:rFonts w:asciiTheme="majorHAnsi" w:hAnsiTheme="majorHAnsi"/>
        </w:rPr>
        <w:t xml:space="preserve"> </w:t>
      </w:r>
    </w:p>
    <w:p w:rsidR="00D341F9" w:rsidRPr="00E622B4" w:rsidRDefault="00D341F9" w:rsidP="00E22F35">
      <w:pPr>
        <w:pStyle w:val="Odstavecseseznamem"/>
        <w:spacing w:after="120"/>
        <w:ind w:left="360"/>
        <w:jc w:val="both"/>
        <w:rPr>
          <w:rFonts w:asciiTheme="majorHAnsi" w:hAnsiTheme="majorHAnsi"/>
        </w:rPr>
      </w:pPr>
    </w:p>
    <w:p w:rsidR="00E91829" w:rsidRPr="00830060" w:rsidRDefault="00E91829" w:rsidP="00830060">
      <w:pPr>
        <w:pStyle w:val="Nadpis2"/>
      </w:pPr>
      <w:bookmarkStart w:id="16" w:name="_Toc523902183"/>
      <w:r w:rsidRPr="00830060">
        <w:t>Reforma financování regionálního školství</w:t>
      </w:r>
      <w:bookmarkEnd w:id="16"/>
    </w:p>
    <w:p w:rsidR="00F30358" w:rsidRDefault="00E91829" w:rsidP="00E91829">
      <w:pPr>
        <w:pStyle w:val="Odstavecseseznamem"/>
        <w:spacing w:after="0"/>
        <w:ind w:left="360"/>
        <w:jc w:val="both"/>
        <w:rPr>
          <w:rFonts w:asciiTheme="majorHAnsi" w:eastAsia="Times New Roman" w:hAnsiTheme="majorHAnsi"/>
          <w:lang w:eastAsia="cs-CZ"/>
        </w:rPr>
      </w:pPr>
      <w:r w:rsidRPr="00E91829">
        <w:rPr>
          <w:rFonts w:asciiTheme="majorHAnsi" w:eastAsia="Times New Roman" w:hAnsiTheme="majorHAnsi"/>
          <w:lang w:eastAsia="cs-CZ"/>
        </w:rPr>
        <w:t xml:space="preserve">Zásadním faktorem pro stabilizaci českého školství jsou změny v oblasti financování regionálního školství. </w:t>
      </w:r>
      <w:r w:rsidR="002C054C">
        <w:rPr>
          <w:rFonts w:asciiTheme="majorHAnsi" w:eastAsia="Times New Roman" w:hAnsiTheme="majorHAnsi"/>
          <w:lang w:eastAsia="cs-CZ"/>
        </w:rPr>
        <w:t xml:space="preserve"> Od 1. 1. 2020 n</w:t>
      </w:r>
      <w:r w:rsidRPr="00E91829">
        <w:rPr>
          <w:rFonts w:asciiTheme="majorHAnsi" w:eastAsia="Times New Roman" w:hAnsiTheme="majorHAnsi"/>
          <w:lang w:eastAsia="cs-CZ"/>
        </w:rPr>
        <w:t xml:space="preserve">ovela zákona, kterou se mění zákon č. 561/2004 Sb., o předškolním, základním, středním, vyšším odborném a jiném vzdělávání (školský zákon), ve znění pozdějších předpisů, zavádí systém založený na financování reálného objemu výuky a zajistí tak školám dostatek finančních prostředků pro zajištění kvalitní výuky i pro odpovídající odměňování jejich pracovníků. V oblasti středního odborného vzdělávání stávající systém v řadě případů negativně působí na kvalitu i na ekonomickou efektivnost vzdělávání. Školy v zájmu získání žáků (a tedy prostředků státního rozpočtu) snižují nároky na kvalitu „na vstupu“ do vzdělávání v oborech vzdělání s maturitní zkouškou. Zásadní změnu představuje zavedení nového systému financování pedagogické práce v základních a středních školách. Pro jednotlivé obory vzdělání bude závazným právním předpisem (nařízení vlády) stanoven maximální rozsah vzdělávání, nebo maximální rozsah přímé pedagogické činnosti hrazený ze státního rozpočtu. Škole bude poskytnut objem finančních prostředků na skutečný počet jejích pedagogů, pokud hodinové vyjádření jejich úvazků (přímé pedagogické činnosti) nepřekročí stanovený maximální rozsah. Objem poskytnutých prostředků </w:t>
      </w:r>
      <w:r w:rsidRPr="00E91829">
        <w:rPr>
          <w:rFonts w:asciiTheme="majorHAnsi" w:eastAsia="Times New Roman" w:hAnsiTheme="majorHAnsi"/>
          <w:lang w:eastAsia="cs-CZ"/>
        </w:rPr>
        <w:lastRenderedPageBreak/>
        <w:t>bude také respektovat reálné zařazení pedagogů školy do platových tříd a stupňů a normativně stanovenou úroveň ostatních nárokových a nenárokových složek platů.</w:t>
      </w:r>
      <w:r w:rsidR="00D341F9">
        <w:rPr>
          <w:rFonts w:asciiTheme="majorHAnsi" w:eastAsia="Times New Roman" w:hAnsiTheme="majorHAnsi"/>
          <w:lang w:eastAsia="cs-CZ"/>
        </w:rPr>
        <w:t xml:space="preserve"> </w:t>
      </w:r>
    </w:p>
    <w:p w:rsidR="00E91829" w:rsidRDefault="00E91829" w:rsidP="00E91829">
      <w:pPr>
        <w:pStyle w:val="Odstavecseseznamem"/>
        <w:spacing w:after="0"/>
        <w:ind w:left="360"/>
        <w:jc w:val="both"/>
        <w:rPr>
          <w:rFonts w:asciiTheme="majorHAnsi" w:eastAsia="Times New Roman" w:hAnsiTheme="majorHAnsi"/>
          <w:lang w:eastAsia="cs-CZ"/>
        </w:rPr>
      </w:pPr>
    </w:p>
    <w:p w:rsidR="00E91829" w:rsidRDefault="00E91829" w:rsidP="00830060">
      <w:pPr>
        <w:pStyle w:val="Nadpis2"/>
      </w:pPr>
      <w:bookmarkStart w:id="17" w:name="_Toc523902184"/>
      <w:r>
        <w:t>Kariérové poradenství</w:t>
      </w:r>
      <w:bookmarkStart w:id="18" w:name="_Toc466849225"/>
      <w:bookmarkEnd w:id="17"/>
    </w:p>
    <w:p w:rsidR="006D5E4E" w:rsidRDefault="00E91829" w:rsidP="00E91829">
      <w:pPr>
        <w:pStyle w:val="Odstavecseseznamem"/>
        <w:spacing w:after="0"/>
        <w:ind w:left="360"/>
        <w:jc w:val="both"/>
        <w:rPr>
          <w:rFonts w:asciiTheme="majorHAnsi" w:hAnsiTheme="majorHAnsi"/>
          <w:lang w:eastAsia="cs-CZ"/>
        </w:rPr>
      </w:pPr>
      <w:r w:rsidRPr="00E91829">
        <w:rPr>
          <w:rFonts w:asciiTheme="majorHAnsi" w:hAnsiTheme="majorHAnsi"/>
          <w:lang w:eastAsia="cs-CZ"/>
        </w:rPr>
        <w:t>Kariérové poradenství je integrální součástí poradenských služeb škol i škol</w:t>
      </w:r>
      <w:r>
        <w:rPr>
          <w:rFonts w:asciiTheme="majorHAnsi" w:hAnsiTheme="majorHAnsi"/>
          <w:lang w:eastAsia="cs-CZ"/>
        </w:rPr>
        <w:t>ských poradenských zařízení</w:t>
      </w:r>
      <w:r w:rsidRPr="00E91829">
        <w:rPr>
          <w:rFonts w:asciiTheme="majorHAnsi" w:hAnsiTheme="majorHAnsi"/>
          <w:lang w:eastAsia="cs-CZ"/>
        </w:rPr>
        <w:t>. V rámci projektu VIP II Kariéra byly aktualizovány mod</w:t>
      </w:r>
      <w:r>
        <w:rPr>
          <w:rFonts w:asciiTheme="majorHAnsi" w:hAnsiTheme="majorHAnsi"/>
          <w:lang w:eastAsia="cs-CZ"/>
        </w:rPr>
        <w:t>uly e-</w:t>
      </w:r>
      <w:proofErr w:type="spellStart"/>
      <w:r>
        <w:rPr>
          <w:rFonts w:asciiTheme="majorHAnsi" w:hAnsiTheme="majorHAnsi"/>
          <w:lang w:eastAsia="cs-CZ"/>
        </w:rPr>
        <w:t>learningového</w:t>
      </w:r>
      <w:proofErr w:type="spellEnd"/>
      <w:r>
        <w:rPr>
          <w:rFonts w:asciiTheme="majorHAnsi" w:hAnsiTheme="majorHAnsi"/>
          <w:lang w:eastAsia="cs-CZ"/>
        </w:rPr>
        <w:t xml:space="preserve"> vzdělávání E</w:t>
      </w:r>
      <w:r w:rsidRPr="00E91829">
        <w:rPr>
          <w:rFonts w:asciiTheme="majorHAnsi" w:hAnsiTheme="majorHAnsi"/>
          <w:lang w:eastAsia="cs-CZ"/>
        </w:rPr>
        <w:t>-</w:t>
      </w:r>
      <w:r w:rsidR="007350D1">
        <w:rPr>
          <w:rFonts w:asciiTheme="majorHAnsi" w:hAnsiTheme="majorHAnsi"/>
          <w:lang w:eastAsia="cs-CZ"/>
        </w:rPr>
        <w:t> k</w:t>
      </w:r>
      <w:r w:rsidRPr="00E91829">
        <w:rPr>
          <w:rFonts w:asciiTheme="majorHAnsi" w:hAnsiTheme="majorHAnsi"/>
          <w:lang w:eastAsia="cs-CZ"/>
        </w:rPr>
        <w:t xml:space="preserve">ariéra a zpřístupněny poradenským pracovníkům v portálu ISA+. </w:t>
      </w:r>
      <w:bookmarkStart w:id="19" w:name="_Toc466849226"/>
      <w:bookmarkEnd w:id="18"/>
      <w:r w:rsidRPr="00AF051E">
        <w:rPr>
          <w:rFonts w:asciiTheme="majorHAnsi" w:hAnsiTheme="majorHAnsi"/>
          <w:lang w:eastAsia="cs-CZ"/>
        </w:rPr>
        <w:t>V přípravných činnostech projektu K</w:t>
      </w:r>
      <w:r>
        <w:rPr>
          <w:rFonts w:asciiTheme="majorHAnsi" w:hAnsiTheme="majorHAnsi"/>
          <w:lang w:eastAsia="cs-CZ"/>
        </w:rPr>
        <w:t xml:space="preserve">rajských akčních plánů </w:t>
      </w:r>
      <w:r w:rsidRPr="00AF051E">
        <w:rPr>
          <w:rFonts w:asciiTheme="majorHAnsi" w:hAnsiTheme="majorHAnsi"/>
          <w:lang w:eastAsia="cs-CZ"/>
        </w:rPr>
        <w:t>byl zpracován materiál pro dotazníkové šetření, který představoval v</w:t>
      </w:r>
      <w:r w:rsidR="00C337C2">
        <w:rPr>
          <w:rFonts w:asciiTheme="majorHAnsi" w:hAnsiTheme="majorHAnsi"/>
          <w:lang w:eastAsia="cs-CZ"/>
        </w:rPr>
        <w:t> </w:t>
      </w:r>
      <w:r w:rsidRPr="00AF051E">
        <w:rPr>
          <w:rFonts w:asciiTheme="majorHAnsi" w:hAnsiTheme="majorHAnsi"/>
          <w:lang w:eastAsia="cs-CZ"/>
        </w:rPr>
        <w:t xml:space="preserve">čtyřstupňové škále možnosti a rozsah aktivit škol v oblasti </w:t>
      </w:r>
      <w:r>
        <w:rPr>
          <w:rFonts w:asciiTheme="majorHAnsi" w:hAnsiTheme="majorHAnsi"/>
          <w:lang w:eastAsia="cs-CZ"/>
        </w:rPr>
        <w:t>kariérového poradenství</w:t>
      </w:r>
      <w:r w:rsidRPr="00AF051E">
        <w:rPr>
          <w:rFonts w:asciiTheme="majorHAnsi" w:hAnsiTheme="majorHAnsi"/>
          <w:lang w:eastAsia="cs-CZ"/>
        </w:rPr>
        <w:t>, včetně hodnoticích kritérií.</w:t>
      </w:r>
      <w:bookmarkEnd w:id="19"/>
      <w:r w:rsidRPr="00AF051E">
        <w:rPr>
          <w:rFonts w:asciiTheme="majorHAnsi" w:hAnsiTheme="majorHAnsi"/>
          <w:lang w:eastAsia="cs-CZ"/>
        </w:rPr>
        <w:t xml:space="preserve"> </w:t>
      </w:r>
      <w:bookmarkStart w:id="20" w:name="_Toc466849227"/>
      <w:r w:rsidRPr="00AF051E">
        <w:rPr>
          <w:rFonts w:asciiTheme="majorHAnsi" w:hAnsiTheme="majorHAnsi"/>
          <w:lang w:eastAsia="cs-CZ"/>
        </w:rPr>
        <w:t xml:space="preserve">Během roku byla podle potřeb poskytována informační a metodická podpora školním poradcům v rámci činnosti Centra kariérového poradenství NÚV. V rámci projektu VIP KARIÉRA byla zpracována koncepce IS na </w:t>
      </w:r>
      <w:r>
        <w:rPr>
          <w:rFonts w:asciiTheme="majorHAnsi" w:hAnsiTheme="majorHAnsi"/>
          <w:lang w:eastAsia="cs-CZ"/>
        </w:rPr>
        <w:t>kariérové poradenství</w:t>
      </w:r>
      <w:r w:rsidRPr="00AF051E">
        <w:rPr>
          <w:rFonts w:asciiTheme="majorHAnsi" w:hAnsiTheme="majorHAnsi"/>
          <w:lang w:eastAsia="cs-CZ"/>
        </w:rPr>
        <w:t xml:space="preserve"> (</w:t>
      </w:r>
      <w:hyperlink r:id="rId29" w:history="1">
        <w:r w:rsidRPr="00496FC3">
          <w:rPr>
            <w:rStyle w:val="Odkazintenzivn"/>
          </w:rPr>
          <w:t>www.infoabsolvent.cz</w:t>
        </w:r>
      </w:hyperlink>
      <w:r w:rsidRPr="00AF051E">
        <w:rPr>
          <w:rFonts w:asciiTheme="majorHAnsi" w:hAnsiTheme="majorHAnsi"/>
          <w:lang w:eastAsia="cs-CZ"/>
        </w:rPr>
        <w:t>). V roce 2015 byla posílena role kariérového poradenství vytvořením profesní kvalifikace pro realizaci kariérového poradenství v rámci Národní soustavy kvalifikací</w:t>
      </w:r>
      <w:r>
        <w:rPr>
          <w:rFonts w:asciiTheme="majorHAnsi" w:hAnsiTheme="majorHAnsi"/>
          <w:lang w:eastAsia="cs-CZ"/>
        </w:rPr>
        <w:t xml:space="preserve"> - </w:t>
      </w:r>
      <w:bookmarkStart w:id="21" w:name="_Toc466849228"/>
      <w:bookmarkEnd w:id="20"/>
      <w:r w:rsidRPr="00AF051E">
        <w:rPr>
          <w:rFonts w:asciiTheme="majorHAnsi" w:hAnsiTheme="majorHAnsi"/>
          <w:lang w:eastAsia="cs-CZ"/>
        </w:rPr>
        <w:t>Kariérový poradce pro zaměstnanost (kód: 75-005-R)</w:t>
      </w:r>
      <w:r>
        <w:rPr>
          <w:rFonts w:asciiTheme="majorHAnsi" w:hAnsiTheme="majorHAnsi"/>
          <w:lang w:eastAsia="cs-CZ"/>
        </w:rPr>
        <w:t xml:space="preserve"> </w:t>
      </w:r>
      <w:r w:rsidRPr="00AF051E">
        <w:rPr>
          <w:rFonts w:asciiTheme="majorHAnsi" w:hAnsiTheme="majorHAnsi"/>
          <w:lang w:eastAsia="cs-CZ"/>
        </w:rPr>
        <w:t xml:space="preserve"> </w:t>
      </w:r>
      <w:hyperlink r:id="rId30" w:history="1">
        <w:r w:rsidRPr="00496FC3">
          <w:rPr>
            <w:rStyle w:val="Odkazintenzivn"/>
          </w:rPr>
          <w:t>http://www.narodnikvalifikace.cz/kvalifikace-1539/hodnotici-standard</w:t>
        </w:r>
      </w:hyperlink>
      <w:r w:rsidRPr="00AF051E">
        <w:rPr>
          <w:rFonts w:asciiTheme="majorHAnsi" w:hAnsiTheme="majorHAnsi"/>
          <w:lang w:eastAsia="cs-CZ"/>
        </w:rPr>
        <w:t>.</w:t>
      </w:r>
      <w:bookmarkEnd w:id="21"/>
      <w:r>
        <w:rPr>
          <w:rFonts w:asciiTheme="majorHAnsi" w:hAnsiTheme="majorHAnsi"/>
          <w:lang w:eastAsia="cs-CZ"/>
        </w:rPr>
        <w:t xml:space="preserve"> </w:t>
      </w:r>
    </w:p>
    <w:p w:rsidR="007350D1" w:rsidRDefault="007350D1" w:rsidP="00E91829">
      <w:pPr>
        <w:pStyle w:val="Odstavecseseznamem"/>
        <w:spacing w:after="0"/>
        <w:ind w:left="360"/>
        <w:jc w:val="both"/>
        <w:rPr>
          <w:rFonts w:asciiTheme="majorHAnsi" w:hAnsiTheme="majorHAnsi"/>
        </w:rPr>
      </w:pPr>
    </w:p>
    <w:p w:rsidR="006D5E4E" w:rsidRPr="00830060" w:rsidRDefault="006D5E4E" w:rsidP="00830060">
      <w:pPr>
        <w:pStyle w:val="Nadpis2"/>
      </w:pPr>
      <w:bookmarkStart w:id="22" w:name="_Toc523902185"/>
      <w:r w:rsidRPr="00830060">
        <w:t>Uznávaný odborník z praxe a odborník z praxe – novela zákona o pedagogických pracovnících</w:t>
      </w:r>
      <w:bookmarkEnd w:id="22"/>
    </w:p>
    <w:p w:rsidR="006D5E4E" w:rsidRDefault="00E22F35" w:rsidP="006D5E4E">
      <w:pPr>
        <w:pStyle w:val="Odstavecseseznamem"/>
        <w:spacing w:after="0"/>
        <w:ind w:left="360"/>
        <w:jc w:val="both"/>
        <w:rPr>
          <w:rFonts w:asciiTheme="majorHAnsi" w:hAnsiTheme="majorHAnsi"/>
        </w:rPr>
      </w:pPr>
      <w:r>
        <w:rPr>
          <w:rFonts w:asciiTheme="majorHAnsi" w:hAnsiTheme="majorHAnsi"/>
        </w:rPr>
        <w:t xml:space="preserve">Připravovaná novela </w:t>
      </w:r>
      <w:r w:rsidR="0092507E" w:rsidRPr="0092507E">
        <w:rPr>
          <w:rFonts w:asciiTheme="majorHAnsi" w:hAnsiTheme="majorHAnsi"/>
        </w:rPr>
        <w:t xml:space="preserve">zákona o </w:t>
      </w:r>
      <w:r w:rsidR="009165D5">
        <w:rPr>
          <w:rFonts w:asciiTheme="majorHAnsi" w:hAnsiTheme="majorHAnsi"/>
        </w:rPr>
        <w:t xml:space="preserve">pedagogických pracovnících nově </w:t>
      </w:r>
      <w:r w:rsidR="0092507E" w:rsidRPr="0092507E">
        <w:rPr>
          <w:rFonts w:asciiTheme="majorHAnsi" w:hAnsiTheme="majorHAnsi"/>
        </w:rPr>
        <w:t>umož</w:t>
      </w:r>
      <w:r w:rsidR="009165D5">
        <w:rPr>
          <w:rFonts w:asciiTheme="majorHAnsi" w:hAnsiTheme="majorHAnsi"/>
        </w:rPr>
        <w:t>ní</w:t>
      </w:r>
      <w:r w:rsidR="0092507E" w:rsidRPr="0092507E">
        <w:rPr>
          <w:rFonts w:asciiTheme="majorHAnsi" w:hAnsiTheme="majorHAnsi"/>
        </w:rPr>
        <w:t xml:space="preserve"> snazší</w:t>
      </w:r>
      <w:r w:rsidR="0092507E">
        <w:rPr>
          <w:rFonts w:asciiTheme="majorHAnsi" w:hAnsiTheme="majorHAnsi"/>
        </w:rPr>
        <w:t xml:space="preserve"> </w:t>
      </w:r>
      <w:r w:rsidR="0092507E" w:rsidRPr="0092507E">
        <w:rPr>
          <w:rFonts w:asciiTheme="majorHAnsi" w:hAnsiTheme="majorHAnsi"/>
        </w:rPr>
        <w:t>přístup odborníků z praxe vykonávat povolání učitele odborných předmětů, praktického</w:t>
      </w:r>
      <w:r w:rsidR="0092507E">
        <w:rPr>
          <w:rFonts w:asciiTheme="majorHAnsi" w:hAnsiTheme="majorHAnsi"/>
        </w:rPr>
        <w:t xml:space="preserve"> </w:t>
      </w:r>
      <w:r w:rsidR="0092507E" w:rsidRPr="0092507E">
        <w:rPr>
          <w:rFonts w:asciiTheme="majorHAnsi" w:hAnsiTheme="majorHAnsi"/>
        </w:rPr>
        <w:t>vyučování a</w:t>
      </w:r>
      <w:r w:rsidR="00C26E16">
        <w:rPr>
          <w:rFonts w:asciiTheme="majorHAnsi" w:hAnsiTheme="majorHAnsi"/>
        </w:rPr>
        <w:t> </w:t>
      </w:r>
      <w:r w:rsidR="0092507E" w:rsidRPr="0092507E">
        <w:rPr>
          <w:rFonts w:asciiTheme="majorHAnsi" w:hAnsiTheme="majorHAnsi"/>
        </w:rPr>
        <w:t>odborného výcviku na střední škole.</w:t>
      </w:r>
      <w:r w:rsidR="009165D5">
        <w:rPr>
          <w:rFonts w:asciiTheme="majorHAnsi" w:hAnsiTheme="majorHAnsi"/>
        </w:rPr>
        <w:t xml:space="preserve"> O</w:t>
      </w:r>
      <w:r w:rsidR="006D5E4E" w:rsidRPr="00524DF8">
        <w:rPr>
          <w:rFonts w:ascii="Calibri Light" w:hAnsi="Calibri Light"/>
        </w:rPr>
        <w:t xml:space="preserve">dborníci, kteří se rozhodnou stát se učitelem, se jím mohou stát, aniž by splňovaly odborné předpoklady, především předpoklady týkající se pedagogického vzdělání. Zákonem se jim však </w:t>
      </w:r>
      <w:r w:rsidR="0092507E">
        <w:rPr>
          <w:rFonts w:ascii="Calibri Light" w:hAnsi="Calibri Light"/>
        </w:rPr>
        <w:t>ukládá</w:t>
      </w:r>
      <w:r w:rsidR="009165D5">
        <w:rPr>
          <w:rFonts w:ascii="Calibri Light" w:hAnsi="Calibri Light"/>
        </w:rPr>
        <w:t xml:space="preserve"> povinnosti </w:t>
      </w:r>
      <w:r w:rsidR="006D5E4E" w:rsidRPr="00524DF8">
        <w:rPr>
          <w:rFonts w:ascii="Calibri Light" w:hAnsi="Calibri Light"/>
        </w:rPr>
        <w:t xml:space="preserve">doplnit potřebnou kvalifikaci do </w:t>
      </w:r>
      <w:r w:rsidR="009165D5">
        <w:rPr>
          <w:rFonts w:ascii="Calibri Light" w:hAnsi="Calibri Light"/>
        </w:rPr>
        <w:t>3</w:t>
      </w:r>
      <w:r w:rsidR="006D5E4E" w:rsidRPr="00524DF8">
        <w:rPr>
          <w:rFonts w:ascii="Calibri Light" w:hAnsi="Calibri Light"/>
        </w:rPr>
        <w:t xml:space="preserve"> let ode dne vzniku pracovního poměru k právnické osobě vykonávající činnost střední školy.</w:t>
      </w:r>
      <w:r w:rsidR="009165D5">
        <w:rPr>
          <w:rFonts w:ascii="Calibri Light" w:hAnsi="Calibri Light"/>
        </w:rPr>
        <w:t xml:space="preserve"> U učitelů odborného výcviku bude možnost doplnit potřebnou kvalifikaci prostřednictvím profesní kvalifikace.</w:t>
      </w:r>
    </w:p>
    <w:p w:rsidR="00DF13CA" w:rsidRDefault="00DF13CA" w:rsidP="006D5E4E">
      <w:pPr>
        <w:pStyle w:val="Odstavecseseznamem"/>
        <w:spacing w:after="0"/>
        <w:ind w:left="360"/>
        <w:jc w:val="both"/>
        <w:rPr>
          <w:rFonts w:asciiTheme="majorHAnsi" w:hAnsiTheme="majorHAnsi"/>
        </w:rPr>
      </w:pPr>
    </w:p>
    <w:p w:rsidR="00DF13CA" w:rsidRPr="00DF13CA" w:rsidRDefault="00DF13CA" w:rsidP="00DF13CA">
      <w:pPr>
        <w:pStyle w:val="Nadpis2"/>
      </w:pPr>
      <w:bookmarkStart w:id="23" w:name="_Toc523902186"/>
      <w:r w:rsidRPr="00DF13CA">
        <w:t>Opatření ke zvýšení platové třídy učitelů odborného výcviku</w:t>
      </w:r>
      <w:bookmarkEnd w:id="23"/>
    </w:p>
    <w:p w:rsidR="009165D5" w:rsidRDefault="006036F1" w:rsidP="00DF13CA">
      <w:pPr>
        <w:pStyle w:val="Odstavecseseznamem"/>
        <w:spacing w:after="0"/>
        <w:ind w:left="360"/>
        <w:jc w:val="both"/>
        <w:rPr>
          <w:rFonts w:asciiTheme="majorHAnsi" w:hAnsiTheme="majorHAnsi"/>
        </w:rPr>
      </w:pPr>
      <w:r w:rsidRPr="006036F1">
        <w:rPr>
          <w:rFonts w:asciiTheme="majorHAnsi" w:hAnsiTheme="majorHAnsi"/>
        </w:rPr>
        <w:t>Ministerstvo školství, mládeže a tělovýchovy zahájilo v roce 2016 realizaci potřebných kroků, které vedou ke změně platové třídy učitelů odborného výcviku. Návrh změny byl nakonec MPSV akceptován a navýšení platové třídy učitelů odborného výcviku bylo zapracováno do Katalogu prací, který schválila vláda na podzim 2017; účinnost novely je od 1. ledna 2018.</w:t>
      </w:r>
    </w:p>
    <w:p w:rsidR="006036F1" w:rsidRDefault="006036F1" w:rsidP="00DF13CA">
      <w:pPr>
        <w:pStyle w:val="Odstavecseseznamem"/>
        <w:spacing w:after="0"/>
        <w:ind w:left="360"/>
        <w:jc w:val="both"/>
        <w:rPr>
          <w:rFonts w:asciiTheme="majorHAnsi" w:hAnsiTheme="majorHAnsi"/>
        </w:rPr>
      </w:pPr>
    </w:p>
    <w:p w:rsidR="002C054C" w:rsidRDefault="002C054C" w:rsidP="00830060">
      <w:pPr>
        <w:pStyle w:val="Nadpis2"/>
      </w:pPr>
      <w:bookmarkStart w:id="24" w:name="_Toc523902187"/>
      <w:bookmarkStart w:id="25" w:name="_Toc466949680"/>
      <w:r>
        <w:t>Mistrovská zkouška</w:t>
      </w:r>
      <w:bookmarkEnd w:id="24"/>
    </w:p>
    <w:p w:rsidR="002C054C" w:rsidRPr="002C054C" w:rsidRDefault="002C054C" w:rsidP="007350D1">
      <w:pPr>
        <w:ind w:left="426"/>
        <w:jc w:val="both"/>
        <w:rPr>
          <w:rFonts w:asciiTheme="majorHAnsi" w:eastAsia="Calibri" w:hAnsiTheme="majorHAnsi" w:cs="Times New Roman"/>
        </w:rPr>
      </w:pPr>
      <w:r w:rsidRPr="002C054C">
        <w:rPr>
          <w:rFonts w:asciiTheme="majorHAnsi" w:eastAsia="Calibri" w:hAnsiTheme="majorHAnsi" w:cs="Times New Roman"/>
        </w:rPr>
        <w:t>K zavedení mistrovské zkoušky se Ministerstvo školství, mládeže a tělovýchovy (ministerstvo) zavázalo ve svých strategických dokumentech - Strategie vzdělávací politiky České republiky do roku 2020 a Dlouhodobý záměr vzdělávání a rozvoje vzdělávací soustavy České republiky na období 2015</w:t>
      </w:r>
      <w:r>
        <w:rPr>
          <w:rFonts w:asciiTheme="majorHAnsi" w:eastAsia="Calibri" w:hAnsiTheme="majorHAnsi" w:cs="Times New Roman"/>
        </w:rPr>
        <w:t> </w:t>
      </w:r>
      <w:r w:rsidRPr="002C054C">
        <w:rPr>
          <w:rFonts w:asciiTheme="majorHAnsi" w:eastAsia="Calibri" w:hAnsiTheme="majorHAnsi" w:cs="Times New Roman"/>
        </w:rPr>
        <w:t>–</w:t>
      </w:r>
      <w:r>
        <w:rPr>
          <w:rFonts w:asciiTheme="majorHAnsi" w:eastAsia="Calibri" w:hAnsiTheme="majorHAnsi" w:cs="Times New Roman"/>
        </w:rPr>
        <w:t> </w:t>
      </w:r>
      <w:r w:rsidRPr="002C054C">
        <w:rPr>
          <w:rFonts w:asciiTheme="majorHAnsi" w:eastAsia="Calibri" w:hAnsiTheme="majorHAnsi" w:cs="Times New Roman"/>
        </w:rPr>
        <w:t>2020. Na základě podnětu zaměstnavatelské sféry a cechů byl ustaven metodický tým pro mistrovskou zkoušku složený ze zástupců ministerstva, Národního ústavu pro vzdělávání, Ministerstva průmyslu a obchodu, Ministerstva zemědělství, Hospodářské komory ČR, Svazu průmyslu a dopravy ČR, Unie školských asociací CZESHA a vybraných profesních cechů a svazů, kteří společně nastavili základní obsahové a procesní parametry mistrovské zkoušky. Návrh koncepce zavedení mistrovské zkoušky v ČR by schválen poradou vedení ministerstva 9. 12. 2014.</w:t>
      </w:r>
    </w:p>
    <w:p w:rsidR="007350D1" w:rsidRDefault="002C054C" w:rsidP="007350D1">
      <w:pPr>
        <w:ind w:left="426"/>
        <w:jc w:val="both"/>
        <w:rPr>
          <w:rFonts w:asciiTheme="majorHAnsi" w:eastAsia="Calibri" w:hAnsiTheme="majorHAnsi" w:cs="Times New Roman"/>
        </w:rPr>
      </w:pPr>
      <w:r w:rsidRPr="007350D1">
        <w:rPr>
          <w:rFonts w:asciiTheme="majorHAnsi" w:eastAsia="Calibri" w:hAnsiTheme="majorHAnsi" w:cs="Times New Roman"/>
        </w:rPr>
        <w:t xml:space="preserve">Projekt "Mistrovská zkouška - systém" (OPZ) </w:t>
      </w:r>
      <w:r w:rsidR="007350D1" w:rsidRPr="007350D1">
        <w:rPr>
          <w:rFonts w:asciiTheme="majorHAnsi" w:eastAsia="Calibri" w:hAnsiTheme="majorHAnsi" w:cs="Times New Roman"/>
        </w:rPr>
        <w:t xml:space="preserve">byl zahájen 1. 11. 2017 a </w:t>
      </w:r>
      <w:r w:rsidRPr="007350D1">
        <w:rPr>
          <w:rFonts w:asciiTheme="majorHAnsi" w:eastAsia="Calibri" w:hAnsiTheme="majorHAnsi" w:cs="Times New Roman"/>
        </w:rPr>
        <w:t xml:space="preserve">navrhne a rozpracuje všechny prvky potřebné k plošnému zavedení mistrovské zkoušky a nastavení všech nezbytných procesů. </w:t>
      </w:r>
      <w:r w:rsidRPr="007350D1">
        <w:rPr>
          <w:rFonts w:asciiTheme="majorHAnsi" w:eastAsia="Calibri" w:hAnsiTheme="majorHAnsi" w:cs="Times New Roman"/>
        </w:rPr>
        <w:lastRenderedPageBreak/>
        <w:t>Těmito prvky jsou kvalifikační a hodnotící standardy mistrovských kvalifikací, obsahové rámce a</w:t>
      </w:r>
      <w:r w:rsidR="007350D1">
        <w:rPr>
          <w:rFonts w:asciiTheme="majorHAnsi" w:eastAsia="Calibri" w:hAnsiTheme="majorHAnsi" w:cs="Times New Roman"/>
        </w:rPr>
        <w:t> </w:t>
      </w:r>
      <w:r w:rsidRPr="007350D1">
        <w:rPr>
          <w:rFonts w:asciiTheme="majorHAnsi" w:eastAsia="Calibri" w:hAnsiTheme="majorHAnsi" w:cs="Times New Roman"/>
        </w:rPr>
        <w:t xml:space="preserve">zadání mistrovských zkoušek a jim odpovídající vzdělávací programy a učební texty. V závěru projektu pak zpracování a revize metodik. Příjemcem a </w:t>
      </w:r>
      <w:r w:rsidR="007350D1">
        <w:rPr>
          <w:rFonts w:asciiTheme="majorHAnsi" w:eastAsia="Calibri" w:hAnsiTheme="majorHAnsi" w:cs="Times New Roman"/>
        </w:rPr>
        <w:t xml:space="preserve">realizátorem </w:t>
      </w:r>
      <w:r w:rsidRPr="007350D1">
        <w:rPr>
          <w:rFonts w:asciiTheme="majorHAnsi" w:eastAsia="Calibri" w:hAnsiTheme="majorHAnsi" w:cs="Times New Roman"/>
        </w:rPr>
        <w:t xml:space="preserve">projektu je </w:t>
      </w:r>
      <w:r w:rsidR="007350D1">
        <w:rPr>
          <w:rFonts w:asciiTheme="majorHAnsi" w:eastAsia="Calibri" w:hAnsiTheme="majorHAnsi" w:cs="Times New Roman"/>
        </w:rPr>
        <w:t>Národní ústav pro vzdělávání a alokace činí cca 115 mil. Kč.</w:t>
      </w:r>
    </w:p>
    <w:p w:rsidR="002C054C" w:rsidRDefault="007350D1" w:rsidP="007350D1">
      <w:pPr>
        <w:ind w:left="426"/>
        <w:jc w:val="both"/>
        <w:rPr>
          <w:rFonts w:asciiTheme="majorHAnsi" w:eastAsia="Calibri" w:hAnsiTheme="majorHAnsi" w:cs="Times New Roman"/>
        </w:rPr>
      </w:pPr>
      <w:r w:rsidRPr="007350D1">
        <w:rPr>
          <w:rFonts w:asciiTheme="majorHAnsi" w:eastAsia="Calibri" w:hAnsiTheme="majorHAnsi" w:cs="Times New Roman"/>
        </w:rPr>
        <w:t>Mezi h</w:t>
      </w:r>
      <w:r w:rsidR="002C054C" w:rsidRPr="007350D1">
        <w:rPr>
          <w:rFonts w:asciiTheme="majorHAnsi" w:eastAsia="Calibri" w:hAnsiTheme="majorHAnsi" w:cs="Times New Roman"/>
        </w:rPr>
        <w:t>lavní cíle a přínosy</w:t>
      </w:r>
      <w:r w:rsidRPr="007350D1">
        <w:rPr>
          <w:rFonts w:asciiTheme="majorHAnsi" w:eastAsia="Calibri" w:hAnsiTheme="majorHAnsi" w:cs="Times New Roman"/>
        </w:rPr>
        <w:t xml:space="preserve"> patří především u</w:t>
      </w:r>
      <w:r w:rsidR="002C054C" w:rsidRPr="007350D1">
        <w:rPr>
          <w:rFonts w:asciiTheme="majorHAnsi" w:eastAsia="Calibri" w:hAnsiTheme="majorHAnsi" w:cs="Times New Roman"/>
        </w:rPr>
        <w:t>možnit řemeslníkům ovládajícím nadstandardní řemeslné mistrovství získat na to celostátně uznávaný doklad</w:t>
      </w:r>
      <w:r w:rsidRPr="007350D1">
        <w:rPr>
          <w:rFonts w:asciiTheme="majorHAnsi" w:eastAsia="Calibri" w:hAnsiTheme="majorHAnsi" w:cs="Times New Roman"/>
        </w:rPr>
        <w:t xml:space="preserve">, </w:t>
      </w:r>
      <w:r w:rsidR="002C054C" w:rsidRPr="007350D1">
        <w:rPr>
          <w:rFonts w:asciiTheme="majorHAnsi" w:eastAsia="Calibri" w:hAnsiTheme="majorHAnsi" w:cs="Times New Roman"/>
        </w:rPr>
        <w:t xml:space="preserve">zákazníkům </w:t>
      </w:r>
      <w:r w:rsidRPr="007350D1">
        <w:rPr>
          <w:rFonts w:asciiTheme="majorHAnsi" w:eastAsia="Calibri" w:hAnsiTheme="majorHAnsi" w:cs="Times New Roman"/>
        </w:rPr>
        <w:t xml:space="preserve">umožnit </w:t>
      </w:r>
      <w:r w:rsidR="002C054C" w:rsidRPr="007350D1">
        <w:rPr>
          <w:rFonts w:asciiTheme="majorHAnsi" w:eastAsia="Calibri" w:hAnsiTheme="majorHAnsi" w:cs="Times New Roman"/>
        </w:rPr>
        <w:t xml:space="preserve">vybrat si odborníka, který </w:t>
      </w:r>
      <w:r w:rsidRPr="007350D1">
        <w:rPr>
          <w:rFonts w:asciiTheme="majorHAnsi" w:eastAsia="Calibri" w:hAnsiTheme="majorHAnsi" w:cs="Times New Roman"/>
        </w:rPr>
        <w:t>b</w:t>
      </w:r>
      <w:r w:rsidR="002C054C" w:rsidRPr="007350D1">
        <w:rPr>
          <w:rFonts w:asciiTheme="majorHAnsi" w:eastAsia="Calibri" w:hAnsiTheme="majorHAnsi" w:cs="Times New Roman"/>
        </w:rPr>
        <w:t>ude schopen garantovat nejvyšší kvalitu řemeslné práce, realizovat nejnáročnější řemeslné práce a poskytnout mu služby "na klíč"</w:t>
      </w:r>
      <w:r w:rsidRPr="007350D1">
        <w:rPr>
          <w:rFonts w:asciiTheme="majorHAnsi" w:eastAsia="Calibri" w:hAnsiTheme="majorHAnsi" w:cs="Times New Roman"/>
        </w:rPr>
        <w:t xml:space="preserve">, zvýšení </w:t>
      </w:r>
      <w:r w:rsidR="002C054C" w:rsidRPr="007350D1">
        <w:rPr>
          <w:rFonts w:asciiTheme="majorHAnsi" w:eastAsia="Calibri" w:hAnsiTheme="majorHAnsi" w:cs="Times New Roman"/>
        </w:rPr>
        <w:t>úrov</w:t>
      </w:r>
      <w:r w:rsidRPr="007350D1">
        <w:rPr>
          <w:rFonts w:asciiTheme="majorHAnsi" w:eastAsia="Calibri" w:hAnsiTheme="majorHAnsi" w:cs="Times New Roman"/>
        </w:rPr>
        <w:t>ně</w:t>
      </w:r>
      <w:r w:rsidR="002C054C" w:rsidRPr="007350D1">
        <w:rPr>
          <w:rFonts w:asciiTheme="majorHAnsi" w:eastAsia="Calibri" w:hAnsiTheme="majorHAnsi" w:cs="Times New Roman"/>
        </w:rPr>
        <w:t xml:space="preserve"> kvality řemeslné práce</w:t>
      </w:r>
      <w:r w:rsidRPr="007350D1">
        <w:rPr>
          <w:rFonts w:asciiTheme="majorHAnsi" w:eastAsia="Calibri" w:hAnsiTheme="majorHAnsi" w:cs="Times New Roman"/>
        </w:rPr>
        <w:t xml:space="preserve"> a její prestiže, </w:t>
      </w:r>
      <w:r w:rsidR="002C054C" w:rsidRPr="007350D1">
        <w:rPr>
          <w:rFonts w:asciiTheme="majorHAnsi" w:eastAsia="Calibri" w:hAnsiTheme="majorHAnsi" w:cs="Times New Roman"/>
        </w:rPr>
        <w:t>Držitelům mistrovské zkoušky zvýšit šanci uplatnit se jako mistři řemesla i v zahraničí (mistrovské kvalifikace budou odpovídat úrovni 5 Evropského rámce kvalifikací (EQF))</w:t>
      </w:r>
      <w:r w:rsidRPr="007350D1">
        <w:rPr>
          <w:rFonts w:asciiTheme="majorHAnsi" w:eastAsia="Calibri" w:hAnsiTheme="majorHAnsi" w:cs="Times New Roman"/>
        </w:rPr>
        <w:t xml:space="preserve"> </w:t>
      </w:r>
      <w:r>
        <w:rPr>
          <w:rFonts w:asciiTheme="majorHAnsi" w:eastAsia="Calibri" w:hAnsiTheme="majorHAnsi" w:cs="Times New Roman"/>
        </w:rPr>
        <w:t>a </w:t>
      </w:r>
      <w:r w:rsidRPr="007350D1">
        <w:rPr>
          <w:rFonts w:asciiTheme="majorHAnsi" w:eastAsia="Calibri" w:hAnsiTheme="majorHAnsi" w:cs="Times New Roman"/>
        </w:rPr>
        <w:t>v</w:t>
      </w:r>
      <w:r>
        <w:rPr>
          <w:rFonts w:asciiTheme="majorHAnsi" w:eastAsia="Calibri" w:hAnsiTheme="majorHAnsi" w:cs="Times New Roman"/>
        </w:rPr>
        <w:t> </w:t>
      </w:r>
      <w:r w:rsidR="002C054C" w:rsidRPr="007350D1">
        <w:rPr>
          <w:rFonts w:asciiTheme="majorHAnsi" w:eastAsia="Calibri" w:hAnsiTheme="majorHAnsi" w:cs="Times New Roman"/>
        </w:rPr>
        <w:t>návaznosti na výše uvedené zvýšit zájem mládeže (a rodičů) o vzdělávání v řemeslných oborech</w:t>
      </w:r>
    </w:p>
    <w:p w:rsidR="007350D1" w:rsidRPr="007350D1" w:rsidRDefault="007350D1" w:rsidP="007350D1">
      <w:pPr>
        <w:ind w:left="284"/>
        <w:jc w:val="both"/>
        <w:rPr>
          <w:rFonts w:asciiTheme="majorHAnsi" w:eastAsia="Calibri" w:hAnsiTheme="majorHAnsi" w:cs="Times New Roman"/>
        </w:rPr>
      </w:pPr>
    </w:p>
    <w:p w:rsidR="00675930" w:rsidRPr="00830060" w:rsidRDefault="00675930" w:rsidP="00830060">
      <w:pPr>
        <w:pStyle w:val="Nadpis2"/>
      </w:pPr>
      <w:bookmarkStart w:id="26" w:name="_Toc523902188"/>
      <w:r w:rsidRPr="00830060">
        <w:t>Finanční podpora prohlubování spolupráce škol se zaměstnavateli prostřednictvím OP VVV</w:t>
      </w:r>
      <w:bookmarkEnd w:id="25"/>
      <w:bookmarkEnd w:id="26"/>
    </w:p>
    <w:p w:rsidR="006036F1" w:rsidRDefault="00675930" w:rsidP="006036F1">
      <w:pPr>
        <w:pStyle w:val="Odstavecseseznamem"/>
        <w:spacing w:after="0"/>
        <w:ind w:left="360"/>
        <w:jc w:val="both"/>
        <w:rPr>
          <w:rFonts w:asciiTheme="majorHAnsi" w:hAnsiTheme="majorHAnsi" w:cstheme="minorHAnsi"/>
        </w:rPr>
      </w:pPr>
      <w:r w:rsidRPr="00675930">
        <w:rPr>
          <w:rStyle w:val="dn"/>
          <w:rFonts w:asciiTheme="majorHAnsi" w:hAnsiTheme="majorHAnsi" w:cs="Calibri"/>
        </w:rPr>
        <w:t>Evropskou komisí schválen Operační program Výzkum, vývoj a vzdělávání pro programové období 2014–2020, jehož alokace představuje 2,77 miliardy eur. Specifickém cíl 3. prioritní osy, který se zaměřuje na zvyšování kvality odborného vzdělávání včetně posílení relevance pro trh práce, bude např. podporovat:</w:t>
      </w:r>
      <w:r>
        <w:rPr>
          <w:rStyle w:val="dn"/>
          <w:rFonts w:asciiTheme="majorHAnsi" w:hAnsiTheme="majorHAnsi" w:cs="Calibri"/>
        </w:rPr>
        <w:t xml:space="preserve"> </w:t>
      </w:r>
      <w:r w:rsidRPr="00675930">
        <w:rPr>
          <w:rStyle w:val="dn"/>
          <w:rFonts w:asciiTheme="majorHAnsi" w:hAnsiTheme="majorHAnsi" w:cs="Calibri"/>
        </w:rPr>
        <w:t xml:space="preserve">zvýšení spolupráce škol a firem při realizaci vzdělávání, další vzdělávání pedagogických pracovníků v prostředí firem, zvýšení kapacity i kvality kariérového poradenství. </w:t>
      </w:r>
    </w:p>
    <w:p w:rsidR="006036F1" w:rsidRDefault="006036F1" w:rsidP="006036F1">
      <w:pPr>
        <w:pStyle w:val="Odstavecseseznamem"/>
        <w:spacing w:after="0"/>
        <w:ind w:left="360"/>
        <w:jc w:val="both"/>
        <w:rPr>
          <w:rFonts w:asciiTheme="majorHAnsi" w:hAnsiTheme="majorHAnsi" w:cstheme="minorHAnsi"/>
        </w:rPr>
      </w:pPr>
    </w:p>
    <w:p w:rsidR="006036F1" w:rsidRPr="006036F1" w:rsidRDefault="006036F1" w:rsidP="006036F1">
      <w:pPr>
        <w:pStyle w:val="Odstavecseseznamem"/>
        <w:spacing w:after="0"/>
        <w:ind w:left="360"/>
        <w:jc w:val="both"/>
        <w:rPr>
          <w:rStyle w:val="dn"/>
          <w:rFonts w:asciiTheme="majorHAnsi" w:hAnsiTheme="majorHAnsi" w:cstheme="minorHAnsi"/>
          <w:b/>
        </w:rPr>
      </w:pPr>
      <w:r w:rsidRPr="006036F1">
        <w:rPr>
          <w:rStyle w:val="dn"/>
          <w:rFonts w:cs="Calibri"/>
          <w:b/>
        </w:rPr>
        <w:t>Krajské akční plánování:</w:t>
      </w:r>
    </w:p>
    <w:p w:rsidR="006036F1" w:rsidRDefault="006036F1" w:rsidP="006036F1">
      <w:pPr>
        <w:spacing w:after="120" w:line="276" w:lineRule="auto"/>
        <w:ind w:left="360"/>
        <w:jc w:val="both"/>
        <w:rPr>
          <w:rStyle w:val="dn"/>
          <w:rFonts w:ascii="Calibri Light" w:hAnsi="Calibri Light" w:cs="Calibri"/>
          <w:color w:val="1F3864"/>
          <w:sz w:val="26"/>
        </w:rPr>
      </w:pPr>
      <w:r w:rsidRPr="006E6624">
        <w:rPr>
          <w:rFonts w:ascii="Calibri Light" w:hAnsi="Calibri Light"/>
        </w:rPr>
        <w:t>Krajské akční plány</w:t>
      </w:r>
      <w:r w:rsidR="0029137D">
        <w:rPr>
          <w:rFonts w:ascii="Calibri Light" w:hAnsi="Calibri Light"/>
        </w:rPr>
        <w:t xml:space="preserve"> (KAP)</w:t>
      </w:r>
      <w:r w:rsidRPr="006E6624">
        <w:rPr>
          <w:rFonts w:ascii="Calibri Light" w:hAnsi="Calibri Light"/>
        </w:rPr>
        <w:t xml:space="preserve"> umožní jednotlivým krajům a školám společně plánovat, koordinovat a sledovat tematické intervence v OP VVV v souladu s dlouhodobými potřebami a prioritami České republiky v oblasti vzdělávání. Důraz bude přitom kladen na podporu škol se slabšími výsledky, slabších žáků a</w:t>
      </w:r>
      <w:r w:rsidR="007350D1">
        <w:rPr>
          <w:rFonts w:ascii="Calibri Light" w:hAnsi="Calibri Light"/>
        </w:rPr>
        <w:t> </w:t>
      </w:r>
      <w:r w:rsidRPr="006E6624">
        <w:rPr>
          <w:rFonts w:ascii="Calibri Light" w:hAnsi="Calibri Light"/>
        </w:rPr>
        <w:t>také na rozvoj potenciálu každého žáka.</w:t>
      </w:r>
    </w:p>
    <w:p w:rsidR="006036F1" w:rsidRPr="00D21C1B" w:rsidRDefault="006036F1" w:rsidP="006036F1">
      <w:pPr>
        <w:spacing w:after="120" w:line="276" w:lineRule="auto"/>
        <w:ind w:left="360"/>
        <w:jc w:val="both"/>
        <w:rPr>
          <w:rFonts w:ascii="Calibri Light" w:hAnsi="Calibri Light"/>
        </w:rPr>
      </w:pPr>
      <w:r>
        <w:rPr>
          <w:rStyle w:val="dn"/>
          <w:rFonts w:cs="Calibri"/>
        </w:rPr>
        <w:t>M</w:t>
      </w:r>
      <w:r w:rsidRPr="00D21C1B">
        <w:rPr>
          <w:rStyle w:val="dn"/>
          <w:rFonts w:cs="Calibri"/>
        </w:rPr>
        <w:t>etodická podpora z</w:t>
      </w:r>
      <w:r>
        <w:rPr>
          <w:rStyle w:val="dn"/>
          <w:rFonts w:cs="Calibri"/>
        </w:rPr>
        <w:t> </w:t>
      </w:r>
      <w:r w:rsidRPr="00D21C1B">
        <w:rPr>
          <w:rStyle w:val="dn"/>
          <w:rFonts w:cs="Calibri"/>
        </w:rPr>
        <w:t>centra</w:t>
      </w:r>
      <w:r>
        <w:rPr>
          <w:rStyle w:val="dn"/>
          <w:rFonts w:cs="Calibri"/>
        </w:rPr>
        <w:t xml:space="preserve"> j</w:t>
      </w:r>
      <w:r>
        <w:rPr>
          <w:rFonts w:ascii="Calibri Light" w:hAnsi="Calibri Light"/>
        </w:rPr>
        <w:t>e realizováno projektem</w:t>
      </w:r>
      <w:r w:rsidRPr="00484D78">
        <w:rPr>
          <w:rFonts w:ascii="Calibri Light" w:hAnsi="Calibri Light"/>
        </w:rPr>
        <w:t xml:space="preserve"> P-KAP </w:t>
      </w:r>
      <w:r>
        <w:rPr>
          <w:rFonts w:ascii="Calibri Light" w:hAnsi="Calibri Light"/>
        </w:rPr>
        <w:t xml:space="preserve">(2016 – 2021) jehož cílem </w:t>
      </w:r>
      <w:r w:rsidRPr="00484D78">
        <w:rPr>
          <w:rFonts w:ascii="Calibri Light" w:hAnsi="Calibri Light"/>
        </w:rPr>
        <w:t>je přispět ke zvýšení kvality vzdělávání a úrovně strategického řízení této oblasti cestou metodické podpory nejvýznamnějších aktérů na úrovni kraje, včetně jednotlivých škol. Posláním projektu je zároveň sladit vzdělávací politiku na školské,</w:t>
      </w:r>
      <w:r>
        <w:rPr>
          <w:rFonts w:ascii="Calibri Light" w:hAnsi="Calibri Light"/>
        </w:rPr>
        <w:t xml:space="preserve"> krajské a národní úrovni.  </w:t>
      </w:r>
      <w:r w:rsidRPr="00484D78">
        <w:rPr>
          <w:rFonts w:ascii="Calibri Light" w:hAnsi="Calibri Light"/>
        </w:rPr>
        <w:t>Národní ústav pro vzdělávání (NÚV) v</w:t>
      </w:r>
      <w:r w:rsidR="007350D1">
        <w:rPr>
          <w:rFonts w:ascii="Calibri Light" w:hAnsi="Calibri Light"/>
        </w:rPr>
        <w:t> </w:t>
      </w:r>
      <w:r w:rsidRPr="00484D78">
        <w:rPr>
          <w:rFonts w:ascii="Calibri Light" w:hAnsi="Calibri Light"/>
        </w:rPr>
        <w:t>rámci projektu poskytuje metodickou p</w:t>
      </w:r>
      <w:r>
        <w:rPr>
          <w:rFonts w:ascii="Calibri Light" w:hAnsi="Calibri Light"/>
        </w:rPr>
        <w:t xml:space="preserve">odporu </w:t>
      </w:r>
      <w:r w:rsidRPr="00D21C1B">
        <w:rPr>
          <w:rFonts w:ascii="Calibri Light" w:hAnsi="Calibri Light"/>
        </w:rPr>
        <w:t>krajům při přípravě, realizaci a</w:t>
      </w:r>
      <w:r w:rsidR="007350D1">
        <w:rPr>
          <w:rFonts w:ascii="Calibri Light" w:hAnsi="Calibri Light"/>
        </w:rPr>
        <w:t> </w:t>
      </w:r>
      <w:r w:rsidRPr="00D21C1B">
        <w:rPr>
          <w:rFonts w:ascii="Calibri Light" w:hAnsi="Calibri Light"/>
        </w:rPr>
        <w:t>vyhodnocování krajských a</w:t>
      </w:r>
      <w:r>
        <w:rPr>
          <w:rFonts w:ascii="Calibri Light" w:hAnsi="Calibri Light"/>
        </w:rPr>
        <w:t xml:space="preserve">kčních plánů rozvoje vzdělávání a </w:t>
      </w:r>
      <w:r w:rsidRPr="00D21C1B">
        <w:rPr>
          <w:rFonts w:ascii="Calibri Light" w:hAnsi="Calibri Light"/>
        </w:rPr>
        <w:t>středním a vyšším odborným školám využívajícím přístupy akčního plánování a vytvářejícím vlastní plány aktivit a školní akční plány.</w:t>
      </w:r>
    </w:p>
    <w:p w:rsidR="006036F1" w:rsidRPr="00D21C1B" w:rsidRDefault="006036F1" w:rsidP="006036F1">
      <w:pPr>
        <w:spacing w:after="120" w:line="276" w:lineRule="auto"/>
        <w:ind w:left="360"/>
        <w:jc w:val="both"/>
        <w:rPr>
          <w:rStyle w:val="dn"/>
          <w:rFonts w:ascii="Calibri Light" w:hAnsi="Calibri Light" w:cs="Calibri"/>
          <w:b/>
          <w:color w:val="000000" w:themeColor="text1"/>
        </w:rPr>
      </w:pPr>
      <w:r w:rsidRPr="00D21C1B">
        <w:rPr>
          <w:rStyle w:val="dn"/>
          <w:rFonts w:ascii="Calibri Light" w:hAnsi="Calibri Light" w:cs="Calibri"/>
          <w:color w:val="000000" w:themeColor="text1"/>
        </w:rPr>
        <w:t>Mezi povinné oblasti intervencí patří:</w:t>
      </w:r>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1" w:history="1">
        <w:r w:rsidR="006036F1" w:rsidRPr="007350D1">
          <w:rPr>
            <w:rFonts w:ascii="Calibri Light" w:eastAsia="Times New Roman" w:hAnsi="Calibri Light"/>
            <w:color w:val="000000" w:themeColor="text1"/>
            <w:lang w:eastAsia="cs-CZ"/>
          </w:rPr>
          <w:t>Podpora kompetencí k podnikavosti, iniciativě a kreativitě</w:t>
        </w:r>
      </w:hyperlink>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2" w:history="1">
        <w:r w:rsidR="006036F1" w:rsidRPr="007350D1">
          <w:rPr>
            <w:rFonts w:ascii="Calibri Light" w:eastAsia="Times New Roman" w:hAnsi="Calibri Light"/>
            <w:color w:val="000000" w:themeColor="text1"/>
            <w:lang w:eastAsia="cs-CZ"/>
          </w:rPr>
          <w:t>Podpora polytechnického vzdělávání</w:t>
        </w:r>
      </w:hyperlink>
      <w:r w:rsidR="006036F1" w:rsidRPr="007350D1">
        <w:rPr>
          <w:rFonts w:ascii="Calibri Light" w:eastAsia="Times New Roman" w:hAnsi="Calibri Light"/>
          <w:color w:val="000000" w:themeColor="text1"/>
          <w:lang w:eastAsia="cs-CZ"/>
        </w:rPr>
        <w:t xml:space="preserve"> (přírodovědné, technické a environmentální vzdělávání)</w:t>
      </w:r>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3" w:history="1">
        <w:r w:rsidR="006036F1" w:rsidRPr="007350D1">
          <w:rPr>
            <w:rFonts w:ascii="Calibri Light" w:eastAsia="Times New Roman" w:hAnsi="Calibri Light"/>
            <w:color w:val="000000" w:themeColor="text1"/>
            <w:lang w:eastAsia="cs-CZ"/>
          </w:rPr>
          <w:t>Podpora odborného vzdělávání včetně spolupráce škol a zaměstnavatelů</w:t>
        </w:r>
      </w:hyperlink>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4" w:history="1">
        <w:r w:rsidR="006036F1" w:rsidRPr="007350D1">
          <w:rPr>
            <w:rFonts w:ascii="Calibri Light" w:eastAsia="Times New Roman" w:hAnsi="Calibri Light"/>
            <w:color w:val="000000" w:themeColor="text1"/>
            <w:lang w:eastAsia="cs-CZ"/>
          </w:rPr>
          <w:t>Rozvoj kariérového poradenství</w:t>
        </w:r>
      </w:hyperlink>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5" w:history="1">
        <w:r w:rsidR="006036F1" w:rsidRPr="007350D1">
          <w:rPr>
            <w:rFonts w:ascii="Calibri Light" w:eastAsia="Times New Roman" w:hAnsi="Calibri Light"/>
            <w:color w:val="000000" w:themeColor="text1"/>
            <w:lang w:eastAsia="cs-CZ"/>
          </w:rPr>
          <w:t>Rozvoj škol jako center dalšího profesního vzdělávání</w:t>
        </w:r>
      </w:hyperlink>
    </w:p>
    <w:p w:rsidR="006036F1" w:rsidRPr="007350D1" w:rsidRDefault="00D479DF" w:rsidP="007350D1">
      <w:pPr>
        <w:pStyle w:val="Odstavecseseznamem"/>
        <w:numPr>
          <w:ilvl w:val="0"/>
          <w:numId w:val="8"/>
        </w:numPr>
        <w:spacing w:after="120"/>
        <w:jc w:val="both"/>
        <w:rPr>
          <w:rFonts w:ascii="Calibri Light" w:hAnsi="Calibri Light" w:cs="Calibri"/>
          <w:color w:val="000000" w:themeColor="text1"/>
        </w:rPr>
      </w:pPr>
      <w:hyperlink r:id="rId36" w:history="1">
        <w:r w:rsidR="006036F1" w:rsidRPr="007350D1">
          <w:rPr>
            <w:rFonts w:ascii="Calibri Light" w:eastAsia="Times New Roman" w:hAnsi="Calibri Light"/>
            <w:color w:val="000000" w:themeColor="text1"/>
            <w:lang w:eastAsia="cs-CZ"/>
          </w:rPr>
          <w:t>Podpora inkluze</w:t>
        </w:r>
      </w:hyperlink>
    </w:p>
    <w:p w:rsidR="006036F1" w:rsidRDefault="007350D1" w:rsidP="006036F1">
      <w:pPr>
        <w:spacing w:after="120" w:line="276" w:lineRule="auto"/>
        <w:ind w:left="360"/>
        <w:jc w:val="both"/>
        <w:rPr>
          <w:rFonts w:ascii="Calibri Light" w:hAnsi="Calibri Light"/>
        </w:rPr>
      </w:pPr>
      <w:r>
        <w:rPr>
          <w:rFonts w:ascii="Calibri Light" w:hAnsi="Calibri Light"/>
        </w:rPr>
        <w:t>Krajské akční plánování j</w:t>
      </w:r>
      <w:r w:rsidR="006036F1" w:rsidRPr="00354798">
        <w:rPr>
          <w:rFonts w:ascii="Calibri Light" w:hAnsi="Calibri Light"/>
        </w:rPr>
        <w:t xml:space="preserve">e realizováno jako průběžná výzva s alokací 340 milionů korun. Minimální výše finanční podpory na jeden projekt představuje 17 milionů korun, maximální výše činí 26 milionů </w:t>
      </w:r>
      <w:r w:rsidR="006036F1" w:rsidRPr="00354798">
        <w:rPr>
          <w:rFonts w:ascii="Calibri Light" w:hAnsi="Calibri Light"/>
        </w:rPr>
        <w:lastRenderedPageBreak/>
        <w:t>korun. V rámci KAP mohou být realizovány individuální projekty na území jednotlivých krajů České republiky.</w:t>
      </w:r>
    </w:p>
    <w:p w:rsidR="0029137D" w:rsidRDefault="0029137D" w:rsidP="006036F1">
      <w:pPr>
        <w:spacing w:after="120" w:line="276" w:lineRule="auto"/>
        <w:ind w:left="360"/>
        <w:jc w:val="both"/>
        <w:rPr>
          <w:rStyle w:val="dn"/>
          <w:rFonts w:cs="Calibri"/>
          <w:b/>
        </w:rPr>
      </w:pPr>
    </w:p>
    <w:p w:rsidR="006036F1" w:rsidRPr="006036F1" w:rsidRDefault="006036F1" w:rsidP="006036F1">
      <w:pPr>
        <w:spacing w:after="120" w:line="276" w:lineRule="auto"/>
        <w:ind w:left="360"/>
        <w:jc w:val="both"/>
        <w:rPr>
          <w:rStyle w:val="dn"/>
          <w:rFonts w:ascii="Calibri Light" w:hAnsi="Calibri Light"/>
          <w:b/>
        </w:rPr>
      </w:pPr>
      <w:r w:rsidRPr="006036F1">
        <w:rPr>
          <w:rStyle w:val="dn"/>
          <w:rFonts w:cs="Calibri"/>
          <w:b/>
        </w:rPr>
        <w:t>Modernizace odborného vzdělávání</w:t>
      </w:r>
    </w:p>
    <w:p w:rsidR="006036F1" w:rsidRPr="001A3D0B" w:rsidRDefault="006036F1" w:rsidP="006036F1">
      <w:pPr>
        <w:spacing w:after="120" w:line="276" w:lineRule="auto"/>
        <w:ind w:left="360"/>
        <w:jc w:val="both"/>
        <w:rPr>
          <w:rFonts w:ascii="Calibri Light" w:eastAsia="Times New Roman" w:hAnsi="Calibri Light" w:cs="Times New Roman"/>
          <w:kern w:val="36"/>
        </w:rPr>
      </w:pPr>
      <w:r w:rsidRPr="001A3D0B">
        <w:rPr>
          <w:rFonts w:ascii="Calibri Light" w:eastAsia="Times New Roman" w:hAnsi="Calibri Light" w:cs="Times New Roman"/>
          <w:kern w:val="36"/>
        </w:rPr>
        <w:t>V květnu 2017 byla zahájena realizace schváleného individuálního projektu národního „Modernizace odborného vzdělávání“, jehož cílem je zvyšování kvality odborného vzdělávání a</w:t>
      </w:r>
      <w:r>
        <w:rPr>
          <w:rFonts w:ascii="Calibri Light" w:eastAsia="Times New Roman" w:hAnsi="Calibri Light" w:cs="Times New Roman"/>
          <w:kern w:val="36"/>
        </w:rPr>
        <w:t> </w:t>
      </w:r>
      <w:r w:rsidRPr="001A3D0B">
        <w:rPr>
          <w:rFonts w:ascii="Calibri Light" w:eastAsia="Times New Roman" w:hAnsi="Calibri Light" w:cs="Times New Roman"/>
          <w:kern w:val="36"/>
        </w:rPr>
        <w:t>přípravy tak, aby byla významně podpořena uplatnitelnost a</w:t>
      </w:r>
      <w:r>
        <w:rPr>
          <w:rFonts w:ascii="Calibri Light" w:eastAsia="Times New Roman" w:hAnsi="Calibri Light" w:cs="Times New Roman"/>
          <w:kern w:val="36"/>
        </w:rPr>
        <w:t>bsolventů na trhu práce, a to v </w:t>
      </w:r>
      <w:r w:rsidRPr="001A3D0B">
        <w:rPr>
          <w:rFonts w:ascii="Calibri Light" w:eastAsia="Times New Roman" w:hAnsi="Calibri Light" w:cs="Times New Roman"/>
          <w:kern w:val="36"/>
        </w:rPr>
        <w:t>následujících oblastech:</w:t>
      </w:r>
    </w:p>
    <w:p w:rsidR="006036F1" w:rsidRPr="001A3D0B" w:rsidRDefault="006036F1" w:rsidP="00870E45">
      <w:pPr>
        <w:pStyle w:val="Odstavecseseznamem"/>
        <w:numPr>
          <w:ilvl w:val="0"/>
          <w:numId w:val="6"/>
        </w:numPr>
        <w:spacing w:after="120"/>
        <w:ind w:left="720"/>
        <w:jc w:val="both"/>
        <w:rPr>
          <w:rFonts w:ascii="Calibri Light" w:eastAsia="Times New Roman" w:hAnsi="Calibri Light"/>
          <w:kern w:val="36"/>
        </w:rPr>
      </w:pPr>
      <w:r w:rsidRPr="001A3D0B">
        <w:rPr>
          <w:rFonts w:ascii="Calibri Light" w:eastAsia="Times New Roman" w:hAnsi="Calibri Light"/>
          <w:kern w:val="36"/>
        </w:rPr>
        <w:t>modernizace kurikula středoškolského odborného vzdělávání tak, aby byly podpořeny odborné a klíčové kompetence absolventů požadované zaměstnavateli pro uplatnění na trhu práce a</w:t>
      </w:r>
      <w:r w:rsidR="0029137D">
        <w:rPr>
          <w:rFonts w:ascii="Calibri Light" w:eastAsia="Times New Roman" w:hAnsi="Calibri Light"/>
          <w:kern w:val="36"/>
        </w:rPr>
        <w:t> </w:t>
      </w:r>
      <w:r w:rsidRPr="001A3D0B">
        <w:rPr>
          <w:rFonts w:ascii="Calibri Light" w:eastAsia="Times New Roman" w:hAnsi="Calibri Light"/>
          <w:kern w:val="36"/>
        </w:rPr>
        <w:t>usnadňující celoživotní vzdělávání včetně rekvalifikace.</w:t>
      </w:r>
    </w:p>
    <w:p w:rsidR="006036F1" w:rsidRPr="001A3D0B" w:rsidRDefault="006036F1" w:rsidP="00870E45">
      <w:pPr>
        <w:pStyle w:val="Odstavecseseznamem"/>
        <w:numPr>
          <w:ilvl w:val="0"/>
          <w:numId w:val="6"/>
        </w:numPr>
        <w:spacing w:after="120"/>
        <w:ind w:left="720"/>
        <w:jc w:val="both"/>
        <w:rPr>
          <w:rFonts w:ascii="Calibri Light" w:eastAsia="Times New Roman" w:hAnsi="Calibri Light"/>
          <w:kern w:val="36"/>
        </w:rPr>
      </w:pPr>
      <w:r w:rsidRPr="001A3D0B">
        <w:rPr>
          <w:rFonts w:ascii="Calibri Light" w:eastAsia="Times New Roman" w:hAnsi="Calibri Light"/>
          <w:kern w:val="36"/>
        </w:rPr>
        <w:t>propojení profesních kvalifikací Národní soustavy kvalifikací se specifickou (kvalifikační) částí Školních vzdělávacích programů (ŠVP) s cílem větší relevance k potřebám zaměstnavatelů. Ředitelům středních škol bude umožněno pružně upravovat ŠVP v souladu s aktuálními nově vznikajícími požadavky trhu práce a tím zvyšovat uplatnitelnost absolventů. V průběhu studia bude dále žákům umožněno připravovat se na získání profesní kvalifikace, která rozšíří jejich uplatnitelnost na trhu práce v souladu se zákonem o dalším vzdělávání.</w:t>
      </w:r>
    </w:p>
    <w:p w:rsidR="006036F1" w:rsidRDefault="006036F1" w:rsidP="00870E45">
      <w:pPr>
        <w:pStyle w:val="Odstavecseseznamem"/>
        <w:numPr>
          <w:ilvl w:val="0"/>
          <w:numId w:val="6"/>
        </w:numPr>
        <w:spacing w:after="120"/>
        <w:ind w:left="720"/>
        <w:jc w:val="both"/>
        <w:rPr>
          <w:rFonts w:asciiTheme="majorHAnsi" w:eastAsia="Times New Roman" w:hAnsiTheme="majorHAnsi"/>
          <w:kern w:val="36"/>
        </w:rPr>
      </w:pPr>
      <w:r w:rsidRPr="001A3D0B">
        <w:rPr>
          <w:rFonts w:ascii="Calibri Light" w:eastAsia="Times New Roman" w:hAnsi="Calibri Light"/>
          <w:kern w:val="36"/>
        </w:rPr>
        <w:t>rozšiřování možností realizace odborného výcviku a odborné praxe v ŠVP ve spolupráci se zaměstnavateli s důrazem na zajištění jejich kvality. Vytvoření standardů praktického vyučování u zaměstnavatelů a portfolia praktického vyučování žáků implementací významných prvků ECVET do vzdělávacího systému</w:t>
      </w:r>
      <w:r w:rsidRPr="00ED1D4D">
        <w:rPr>
          <w:rFonts w:asciiTheme="majorHAnsi" w:eastAsia="Times New Roman" w:hAnsiTheme="majorHAnsi"/>
          <w:kern w:val="36"/>
        </w:rPr>
        <w:t>.</w:t>
      </w:r>
    </w:p>
    <w:p w:rsidR="006036F1" w:rsidRDefault="006036F1" w:rsidP="006036F1">
      <w:pPr>
        <w:spacing w:after="120" w:line="276" w:lineRule="auto"/>
        <w:ind w:left="360"/>
        <w:jc w:val="both"/>
        <w:rPr>
          <w:rFonts w:ascii="Calibri Light" w:eastAsia="Times New Roman" w:hAnsi="Calibri Light" w:cs="Times New Roman"/>
          <w:kern w:val="36"/>
        </w:rPr>
      </w:pPr>
      <w:r>
        <w:rPr>
          <w:rFonts w:ascii="Calibri Light" w:eastAsia="Times New Roman" w:hAnsi="Calibri Light" w:cs="Times New Roman"/>
          <w:kern w:val="36"/>
        </w:rPr>
        <w:t xml:space="preserve">Rozpočet projektu je 97 mil. Kč, ukončení duben 2020. </w:t>
      </w:r>
    </w:p>
    <w:p w:rsidR="0029137D" w:rsidRDefault="0029137D" w:rsidP="006036F1">
      <w:pPr>
        <w:spacing w:after="120" w:line="276" w:lineRule="auto"/>
        <w:ind w:left="360"/>
        <w:jc w:val="both"/>
        <w:rPr>
          <w:rStyle w:val="dn"/>
          <w:rFonts w:cs="Calibri"/>
          <w:b/>
        </w:rPr>
      </w:pPr>
    </w:p>
    <w:p w:rsidR="006036F1" w:rsidRPr="006036F1" w:rsidRDefault="006036F1" w:rsidP="006036F1">
      <w:pPr>
        <w:spacing w:after="120" w:line="276" w:lineRule="auto"/>
        <w:ind w:left="360"/>
        <w:jc w:val="both"/>
        <w:rPr>
          <w:rStyle w:val="dn"/>
          <w:rFonts w:ascii="Calibri Light" w:eastAsia="Times New Roman" w:hAnsi="Calibri Light" w:cs="Times New Roman"/>
          <w:b/>
          <w:kern w:val="36"/>
        </w:rPr>
      </w:pPr>
      <w:r w:rsidRPr="006036F1">
        <w:rPr>
          <w:rStyle w:val="dn"/>
          <w:rFonts w:cs="Calibri"/>
          <w:b/>
        </w:rPr>
        <w:t>Šablony pro střední školy:</w:t>
      </w:r>
    </w:p>
    <w:p w:rsidR="006036F1" w:rsidRDefault="006036F1" w:rsidP="006036F1">
      <w:pPr>
        <w:spacing w:after="120" w:line="276" w:lineRule="auto"/>
        <w:ind w:left="360"/>
        <w:jc w:val="both"/>
        <w:rPr>
          <w:rFonts w:ascii="Calibri Light" w:eastAsia="Times New Roman" w:hAnsi="Calibri Light" w:cs="Times New Roman"/>
          <w:kern w:val="36"/>
        </w:rPr>
      </w:pPr>
      <w:r>
        <w:rPr>
          <w:rFonts w:ascii="Calibri Light" w:eastAsia="Times New Roman" w:hAnsi="Calibri Light" w:cs="Times New Roman"/>
          <w:kern w:val="36"/>
        </w:rPr>
        <w:t xml:space="preserve">V prosinci </w:t>
      </w:r>
      <w:r w:rsidRPr="00262D65">
        <w:rPr>
          <w:rFonts w:ascii="Calibri Light" w:eastAsia="Times New Roman" w:hAnsi="Calibri Light" w:cs="Times New Roman"/>
          <w:kern w:val="36"/>
        </w:rPr>
        <w:t>2016 Řídicí orgán OP VVV vyhlá</w:t>
      </w:r>
      <w:r>
        <w:rPr>
          <w:rFonts w:ascii="Calibri Light" w:eastAsia="Times New Roman" w:hAnsi="Calibri Light" w:cs="Times New Roman"/>
          <w:kern w:val="36"/>
        </w:rPr>
        <w:t>sil</w:t>
      </w:r>
      <w:r w:rsidRPr="00262D65">
        <w:rPr>
          <w:rFonts w:ascii="Calibri Light" w:eastAsia="Times New Roman" w:hAnsi="Calibri Light" w:cs="Times New Roman"/>
          <w:kern w:val="36"/>
        </w:rPr>
        <w:t xml:space="preserve"> výzv</w:t>
      </w:r>
      <w:r>
        <w:rPr>
          <w:rFonts w:ascii="Calibri Light" w:eastAsia="Times New Roman" w:hAnsi="Calibri Light" w:cs="Times New Roman"/>
          <w:kern w:val="36"/>
        </w:rPr>
        <w:t>u</w:t>
      </w:r>
      <w:r w:rsidRPr="00262D65">
        <w:rPr>
          <w:rFonts w:ascii="Calibri Light" w:eastAsia="Times New Roman" w:hAnsi="Calibri Light" w:cs="Times New Roman"/>
          <w:kern w:val="36"/>
        </w:rPr>
        <w:t xml:space="preserve"> </w:t>
      </w:r>
      <w:r>
        <w:rPr>
          <w:rFonts w:ascii="Calibri Light" w:eastAsia="Times New Roman" w:hAnsi="Calibri Light" w:cs="Times New Roman"/>
          <w:kern w:val="36"/>
        </w:rPr>
        <w:t xml:space="preserve">- </w:t>
      </w:r>
      <w:r w:rsidRPr="00262D65">
        <w:rPr>
          <w:rFonts w:ascii="Calibri Light" w:eastAsia="Times New Roman" w:hAnsi="Calibri Light" w:cs="Times New Roman"/>
          <w:kern w:val="36"/>
        </w:rPr>
        <w:t>Podpora škol formou projektů zjednodušeného vykazování – Šablony pro SŠ a VOŠ I. s alokací 1 mld. Kč. Mezi nabízenými šablonami se objeví například Koordinátor spolupráce školy a zaměstnavatele, který bude působit jako prostředník mezi školou a zaměstnavateli a účinně pomůže zajistit realizaci spolupráce školy dle oborů vzdělání a</w:t>
      </w:r>
      <w:r w:rsidR="0029137D">
        <w:rPr>
          <w:rFonts w:ascii="Calibri Light" w:eastAsia="Times New Roman" w:hAnsi="Calibri Light" w:cs="Times New Roman"/>
          <w:kern w:val="36"/>
        </w:rPr>
        <w:t> </w:t>
      </w:r>
      <w:r w:rsidRPr="00262D65">
        <w:rPr>
          <w:rFonts w:ascii="Calibri Light" w:eastAsia="Times New Roman" w:hAnsi="Calibri Light" w:cs="Times New Roman"/>
          <w:kern w:val="36"/>
        </w:rPr>
        <w:t>bude navazovat kontakty za účelem hledání vhodných forem spolupráce se</w:t>
      </w:r>
      <w:r>
        <w:rPr>
          <w:rFonts w:ascii="Calibri Light" w:eastAsia="Times New Roman" w:hAnsi="Calibri Light" w:cs="Times New Roman"/>
          <w:kern w:val="36"/>
        </w:rPr>
        <w:t xml:space="preserve"> </w:t>
      </w:r>
      <w:r w:rsidRPr="00262D65">
        <w:rPr>
          <w:rFonts w:ascii="Calibri Light" w:eastAsia="Times New Roman" w:hAnsi="Calibri Light" w:cs="Times New Roman"/>
          <w:kern w:val="36"/>
        </w:rPr>
        <w:t>zástupci oborových sdružení (Hospodářské komory, sektorové rady, cechy aj.). Další personální šablonou bude např. Školní kariérový poradce, který má působit jako podpora žáků a studentů při vstupu na trh práce, a</w:t>
      </w:r>
      <w:r w:rsidR="0029137D">
        <w:rPr>
          <w:rFonts w:ascii="Calibri Light" w:eastAsia="Times New Roman" w:hAnsi="Calibri Light" w:cs="Times New Roman"/>
          <w:kern w:val="36"/>
        </w:rPr>
        <w:t> </w:t>
      </w:r>
      <w:r w:rsidRPr="00262D65">
        <w:rPr>
          <w:rFonts w:ascii="Calibri Light" w:eastAsia="Times New Roman" w:hAnsi="Calibri Light" w:cs="Times New Roman"/>
          <w:kern w:val="36"/>
        </w:rPr>
        <w:t>to včetně žáků a studentů se SVP.</w:t>
      </w:r>
    </w:p>
    <w:p w:rsidR="006036F1" w:rsidRDefault="006036F1" w:rsidP="006036F1">
      <w:pPr>
        <w:spacing w:after="120" w:line="276" w:lineRule="auto"/>
        <w:ind w:left="360"/>
        <w:jc w:val="both"/>
        <w:rPr>
          <w:rFonts w:ascii="Calibri Light" w:hAnsi="Calibri Light" w:cstheme="minorHAnsi"/>
          <w:color w:val="000000"/>
        </w:rPr>
      </w:pPr>
      <w:r>
        <w:rPr>
          <w:rFonts w:ascii="Calibri Light" w:eastAsia="Times New Roman" w:hAnsi="Calibri Light" w:cs="Times New Roman"/>
          <w:kern w:val="36"/>
        </w:rPr>
        <w:t>U</w:t>
      </w:r>
      <w:r w:rsidRPr="00242CE6">
        <w:rPr>
          <w:rFonts w:ascii="Calibri Light" w:eastAsia="Times New Roman" w:hAnsi="Calibri Light" w:cs="Times New Roman"/>
          <w:kern w:val="36"/>
        </w:rPr>
        <w:t xml:space="preserve">končení příjmu žádostí </w:t>
      </w:r>
      <w:r>
        <w:rPr>
          <w:rFonts w:ascii="Calibri Light" w:eastAsia="Times New Roman" w:hAnsi="Calibri Light" w:cs="Times New Roman"/>
          <w:kern w:val="36"/>
        </w:rPr>
        <w:t xml:space="preserve">bylo </w:t>
      </w:r>
      <w:r w:rsidRPr="00242CE6">
        <w:rPr>
          <w:rFonts w:ascii="Calibri Light" w:eastAsia="Times New Roman" w:hAnsi="Calibri Light" w:cs="Times New Roman"/>
          <w:kern w:val="36"/>
        </w:rPr>
        <w:t xml:space="preserve">30. </w:t>
      </w:r>
      <w:r>
        <w:rPr>
          <w:rFonts w:ascii="Calibri Light" w:eastAsia="Times New Roman" w:hAnsi="Calibri Light" w:cs="Times New Roman"/>
          <w:kern w:val="36"/>
        </w:rPr>
        <w:t xml:space="preserve">září 2017. </w:t>
      </w:r>
      <w:r w:rsidRPr="007460BA">
        <w:rPr>
          <w:rFonts w:ascii="Calibri Light" w:hAnsi="Calibri Light" w:cstheme="minorHAnsi"/>
          <w:color w:val="000000"/>
        </w:rPr>
        <w:t>Mezi nejvíce žádané šablony v rámci vyhlášené výzvy patří Koordinátor spolupráce školy se zaměstnavatelem (10 077 šablon si zvolilo 310 SŠ), Kariérový poradce (7 946 šablon si zvolilo 296 SŠ), Stáže pedagogů u zaměstnavatelů (2 050 šablon si zvolilo 345 SŠ) a Tandemová výuka (2 284 šablon si zvolilo 358 SŠ).</w:t>
      </w:r>
    </w:p>
    <w:p w:rsidR="00FB517F" w:rsidRDefault="00FB517F" w:rsidP="006036F1">
      <w:pPr>
        <w:spacing w:after="120" w:line="276" w:lineRule="auto"/>
        <w:ind w:left="360"/>
        <w:jc w:val="both"/>
        <w:rPr>
          <w:rFonts w:ascii="Calibri Light" w:hAnsi="Calibri Light" w:cstheme="minorHAnsi"/>
          <w:color w:val="000000"/>
        </w:rPr>
      </w:pPr>
      <w:r>
        <w:rPr>
          <w:rFonts w:ascii="Calibri Light" w:hAnsi="Calibri Light" w:cstheme="minorHAnsi"/>
          <w:color w:val="000000"/>
        </w:rPr>
        <w:t>Nejžádanější šablony budou součástí další výzvy, která je plánována na podzim 2018.</w:t>
      </w:r>
      <w:bookmarkStart w:id="27" w:name="_GoBack"/>
      <w:bookmarkEnd w:id="27"/>
    </w:p>
    <w:p w:rsidR="00613616" w:rsidRDefault="00613616" w:rsidP="006036F1">
      <w:pPr>
        <w:spacing w:after="120" w:line="276" w:lineRule="auto"/>
        <w:ind w:left="360"/>
        <w:jc w:val="both"/>
        <w:rPr>
          <w:rFonts w:ascii="Calibri Light" w:hAnsi="Calibri Light" w:cstheme="minorHAnsi"/>
          <w:color w:val="000000"/>
        </w:rPr>
      </w:pPr>
    </w:p>
    <w:p w:rsidR="0029137D" w:rsidRDefault="0029137D" w:rsidP="006036F1">
      <w:pPr>
        <w:spacing w:after="120" w:line="276" w:lineRule="auto"/>
        <w:ind w:left="360"/>
        <w:jc w:val="both"/>
        <w:rPr>
          <w:rFonts w:ascii="Calibri Light" w:hAnsi="Calibri Light" w:cstheme="minorHAnsi"/>
          <w:color w:val="000000"/>
        </w:rPr>
      </w:pPr>
    </w:p>
    <w:p w:rsidR="00E91829" w:rsidRDefault="006036F1" w:rsidP="005C05A1">
      <w:pPr>
        <w:pStyle w:val="Nadpis1"/>
        <w:ind w:left="360"/>
        <w:jc w:val="both"/>
      </w:pPr>
      <w:bookmarkStart w:id="28" w:name="_Toc523902189"/>
      <w:r>
        <w:lastRenderedPageBreak/>
        <w:t>Závěr</w:t>
      </w:r>
      <w:bookmarkEnd w:id="28"/>
    </w:p>
    <w:p w:rsidR="007350D1" w:rsidRPr="007350D1" w:rsidRDefault="007350D1" w:rsidP="007350D1"/>
    <w:p w:rsidR="007350D1" w:rsidRDefault="00613616" w:rsidP="00613616">
      <w:pPr>
        <w:spacing w:after="120" w:line="276" w:lineRule="auto"/>
        <w:jc w:val="both"/>
        <w:rPr>
          <w:rFonts w:ascii="Calibri Light" w:eastAsia="Times New Roman" w:hAnsi="Calibri Light" w:cs="Times New Roman"/>
          <w:kern w:val="36"/>
        </w:rPr>
      </w:pPr>
      <w:r w:rsidRPr="006036F1">
        <w:rPr>
          <w:rFonts w:ascii="Calibri Light" w:eastAsia="Times New Roman" w:hAnsi="Calibri Light" w:cs="Times New Roman"/>
          <w:kern w:val="36"/>
        </w:rPr>
        <w:t>V posledních letech důsledkem postupné automatizace a digitalizace výrobních technologií, dochází k</w:t>
      </w:r>
      <w:r w:rsidR="0029137D">
        <w:rPr>
          <w:rFonts w:ascii="Calibri Light" w:eastAsia="Times New Roman" w:hAnsi="Calibri Light" w:cs="Times New Roman"/>
          <w:kern w:val="36"/>
        </w:rPr>
        <w:t> </w:t>
      </w:r>
      <w:r w:rsidRPr="006036F1">
        <w:rPr>
          <w:rFonts w:ascii="Calibri Light" w:eastAsia="Times New Roman" w:hAnsi="Calibri Light" w:cs="Times New Roman"/>
          <w:kern w:val="36"/>
        </w:rPr>
        <w:t>výrazným proměnám na trhu práce v požadavcích na absolventy středního odborného vzdělávání. Do soustavy oborů vzdělání jsou nově zařazovány obory vzdělání, které jsou požadovány trhem práce a</w:t>
      </w:r>
      <w:r w:rsidR="0029137D">
        <w:rPr>
          <w:rFonts w:ascii="Calibri Light" w:eastAsia="Times New Roman" w:hAnsi="Calibri Light" w:cs="Times New Roman"/>
          <w:kern w:val="36"/>
        </w:rPr>
        <w:t> </w:t>
      </w:r>
      <w:r w:rsidRPr="006036F1">
        <w:rPr>
          <w:rFonts w:ascii="Calibri Light" w:eastAsia="Times New Roman" w:hAnsi="Calibri Light" w:cs="Times New Roman"/>
          <w:kern w:val="36"/>
        </w:rPr>
        <w:t xml:space="preserve">zůstávají zařazeny obory vzdělání, které již nejsou trhem práce vyžadovány. Zavádění moderních technologií bude mít dopad i na častější změny profesí, které budou absolventi středních odborných škol vykonávat. V březnu 2018 bylo vydáno Doporučení Rady o Evropském rámci pro kvalitní a efektivní učňovskou přípravu, které mj. klade důraz na „dobře koncipované systémy učňovské přípravy, které jsou přínosné pro zaměstnavatele i studující a současně posilují vazbu mezi světem práce a světem vzdělávání a odborné přípravy“. </w:t>
      </w:r>
    </w:p>
    <w:p w:rsidR="006036F1" w:rsidRDefault="006036F1" w:rsidP="006036F1">
      <w:pPr>
        <w:spacing w:after="120" w:line="276" w:lineRule="auto"/>
        <w:jc w:val="both"/>
        <w:rPr>
          <w:rFonts w:ascii="Calibri Light" w:eastAsia="Times New Roman" w:hAnsi="Calibri Light" w:cs="Times New Roman"/>
          <w:kern w:val="36"/>
        </w:rPr>
      </w:pPr>
      <w:r w:rsidRPr="006036F1">
        <w:rPr>
          <w:rFonts w:ascii="Calibri Light" w:eastAsia="Times New Roman" w:hAnsi="Calibri Light" w:cs="Times New Roman"/>
          <w:kern w:val="36"/>
        </w:rPr>
        <w:t>Významný podíl na zvyšování kvality odborného vzdělávání má především realizace praktického vyučování na pracovištích zaměstnavatelů, zapojování odborníků z praxe do teoretické výuky odborných předmětů a stáže pedagogických pracovníků ve firmách. V této oblasti bude i nadále probíhat inovace praktického vyučování ve vazbě na profesní uplatnění korespondující s vymezeným okruhem souvisejících povolání a očekávanými, zdůvodnitelnými potřebami trhu práce. Implementací prvků ECVET dojde k zavedení portfolia žáka, stanovení standardů pro hodnocení výsledků žáků na bázi kompetencí, včetně vytvoření vzorových formulářů s využitím jednotek učení. Součástí tohoto opatření bude vytvoření standardu kvality firemních pracovišť, na kterých probíhá praktické vyučování. I nadále budou vytvářeny podmínky k zapojování vyššího počtu odborníků z praxe do výuky a realizace stáží pedagogických pracovníků ve firmách.</w:t>
      </w:r>
    </w:p>
    <w:p w:rsidR="007350D1" w:rsidRDefault="007350D1" w:rsidP="007350D1">
      <w:pPr>
        <w:spacing w:after="120" w:line="276" w:lineRule="auto"/>
        <w:jc w:val="both"/>
        <w:rPr>
          <w:rFonts w:ascii="Calibri Light" w:eastAsia="Times New Roman" w:hAnsi="Calibri Light" w:cs="Times New Roman"/>
          <w:kern w:val="36"/>
        </w:rPr>
      </w:pPr>
      <w:r>
        <w:rPr>
          <w:rFonts w:ascii="Calibri Light" w:eastAsia="Times New Roman" w:hAnsi="Calibri Light" w:cs="Times New Roman"/>
          <w:kern w:val="36"/>
        </w:rPr>
        <w:t>V provázanosti s modernizací odborného vzdělávání dojde k v</w:t>
      </w:r>
      <w:r w:rsidRPr="006036F1">
        <w:rPr>
          <w:rFonts w:ascii="Calibri Light" w:eastAsia="Times New Roman" w:hAnsi="Calibri Light" w:cs="Times New Roman"/>
          <w:kern w:val="36"/>
        </w:rPr>
        <w:t>ytvoření strukturované soustavy výsledků učení/vzdělávání, a to jak v oblasti všeobecně vzdělávací a klíčových kompetencí, tak v oblasti odborného vzdělávání. Soustava výsledků učení/vzdělávání bude koncipována s využitím úplných profesních kvalifikací Národní soustavy kvalifikací. Pro výsledky budou vytvořena kritéria pro jejich ověřování a úlohy, pomocí kterých bude možné ověřování realizovat. Bude podporována kvalita odborného vzdělávání a přípravy tak, aby obsah vzdělávání lépe odrážel kvalifikační požadavky zaměstnavatelů, a tím byla významně podpořena uplatnitelnost absolventů škol na trhu práce.</w:t>
      </w:r>
    </w:p>
    <w:p w:rsidR="007350D1" w:rsidRPr="006036F1" w:rsidRDefault="007350D1" w:rsidP="006036F1">
      <w:pPr>
        <w:spacing w:after="120" w:line="276" w:lineRule="auto"/>
        <w:jc w:val="both"/>
        <w:rPr>
          <w:rFonts w:ascii="Calibri Light" w:eastAsia="Times New Roman" w:hAnsi="Calibri Light" w:cs="Times New Roman"/>
          <w:kern w:val="36"/>
        </w:rPr>
      </w:pPr>
    </w:p>
    <w:sectPr w:rsidR="007350D1" w:rsidRPr="006036F1" w:rsidSect="00E55F19">
      <w:headerReference w:type="default" r:id="rId37"/>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DF" w:rsidRDefault="00D479DF" w:rsidP="00E55F19">
      <w:pPr>
        <w:spacing w:after="0" w:line="240" w:lineRule="auto"/>
      </w:pPr>
      <w:r>
        <w:separator/>
      </w:r>
    </w:p>
  </w:endnote>
  <w:endnote w:type="continuationSeparator" w:id="0">
    <w:p w:rsidR="00D479DF" w:rsidRDefault="00D479DF" w:rsidP="00E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63108"/>
      <w:docPartObj>
        <w:docPartGallery w:val="Page Numbers (Bottom of Page)"/>
        <w:docPartUnique/>
      </w:docPartObj>
    </w:sdtPr>
    <w:sdtEndPr/>
    <w:sdtContent>
      <w:p w:rsidR="00D81CE2" w:rsidRDefault="00D81CE2" w:rsidP="00830060">
        <w:pPr>
          <w:pStyle w:val="Zpat"/>
          <w:jc w:val="center"/>
        </w:pPr>
        <w:r>
          <w:fldChar w:fldCharType="begin"/>
        </w:r>
        <w:r>
          <w:instrText>PAGE   \* MERGEFORMAT</w:instrText>
        </w:r>
        <w:r>
          <w:fldChar w:fldCharType="separate"/>
        </w:r>
        <w:r w:rsidR="00FB517F">
          <w:rPr>
            <w:noProof/>
          </w:rPr>
          <w:t>11</w:t>
        </w:r>
        <w:r>
          <w:fldChar w:fldCharType="end"/>
        </w:r>
      </w:p>
    </w:sdtContent>
  </w:sdt>
  <w:p w:rsidR="00D81CE2" w:rsidRDefault="00D81C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DF" w:rsidRDefault="00D479DF" w:rsidP="00E55F19">
      <w:pPr>
        <w:spacing w:after="0" w:line="240" w:lineRule="auto"/>
      </w:pPr>
      <w:r>
        <w:separator/>
      </w:r>
    </w:p>
  </w:footnote>
  <w:footnote w:type="continuationSeparator" w:id="0">
    <w:p w:rsidR="00D479DF" w:rsidRDefault="00D479DF" w:rsidP="00E5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60" w:rsidRPr="00C42F9B" w:rsidRDefault="00714D60" w:rsidP="00714D60">
    <w:pPr>
      <w:pStyle w:val="Zhlav"/>
      <w:pBdr>
        <w:bottom w:val="single" w:sz="4" w:space="1" w:color="auto"/>
      </w:pBdr>
      <w:tabs>
        <w:tab w:val="clear" w:pos="4536"/>
        <w:tab w:val="clear" w:pos="9072"/>
        <w:tab w:val="center" w:pos="0"/>
        <w:tab w:val="right" w:pos="9498"/>
      </w:tabs>
    </w:pPr>
    <w:r w:rsidRPr="00FC5157">
      <w:rPr>
        <w:rFonts w:cstheme="minorHAnsi"/>
        <w:noProof/>
        <w:lang w:eastAsia="cs-CZ"/>
      </w:rPr>
      <w:drawing>
        <wp:inline distT="0" distB="0" distL="0" distR="0" wp14:anchorId="1EF13195" wp14:editId="2607D13C">
          <wp:extent cx="616964" cy="3905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mt_logo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93" cy="396177"/>
                  </a:xfrm>
                  <a:prstGeom prst="rect">
                    <a:avLst/>
                  </a:prstGeom>
                </pic:spPr>
              </pic:pic>
            </a:graphicData>
          </a:graphic>
        </wp:inline>
      </w:drawing>
    </w:r>
    <w:r>
      <w:rPr>
        <w:rFonts w:asciiTheme="majorHAnsi" w:hAnsiTheme="majorHAnsi" w:cstheme="majorHAnsi"/>
      </w:rPr>
      <w:tab/>
    </w:r>
    <w:r w:rsidR="007727B4">
      <w:rPr>
        <w:rFonts w:cstheme="majorHAnsi"/>
        <w:i/>
      </w:rPr>
      <w:t>Duální vzdělávání z pohledu jeho zavádění do praxe</w:t>
    </w:r>
  </w:p>
  <w:p w:rsidR="00A85BC2" w:rsidRPr="00714D60" w:rsidRDefault="00A85BC2" w:rsidP="00714D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EE6"/>
    <w:multiLevelType w:val="hybridMultilevel"/>
    <w:tmpl w:val="1EC23856"/>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20F05"/>
    <w:multiLevelType w:val="hybridMultilevel"/>
    <w:tmpl w:val="B0925A6A"/>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DE365D7"/>
    <w:multiLevelType w:val="hybridMultilevel"/>
    <w:tmpl w:val="84C28A8E"/>
    <w:lvl w:ilvl="0" w:tplc="3892BD7A">
      <w:start w:val="1"/>
      <w:numFmt w:val="bullet"/>
      <w:lvlText w:val=""/>
      <w:lvlJc w:val="left"/>
      <w:pPr>
        <w:ind w:left="672" w:hanging="360"/>
      </w:pPr>
      <w:rPr>
        <w:rFonts w:ascii="Symbol" w:hAnsi="Symbol" w:hint="default"/>
      </w:rPr>
    </w:lvl>
    <w:lvl w:ilvl="1" w:tplc="04050003" w:tentative="1">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hint="default"/>
      </w:rPr>
    </w:lvl>
    <w:lvl w:ilvl="3" w:tplc="04050001" w:tentative="1">
      <w:start w:val="1"/>
      <w:numFmt w:val="bullet"/>
      <w:lvlText w:val=""/>
      <w:lvlJc w:val="left"/>
      <w:pPr>
        <w:ind w:left="2832" w:hanging="360"/>
      </w:pPr>
      <w:rPr>
        <w:rFonts w:ascii="Symbol" w:hAnsi="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hint="default"/>
      </w:rPr>
    </w:lvl>
    <w:lvl w:ilvl="6" w:tplc="04050001" w:tentative="1">
      <w:start w:val="1"/>
      <w:numFmt w:val="bullet"/>
      <w:lvlText w:val=""/>
      <w:lvlJc w:val="left"/>
      <w:pPr>
        <w:ind w:left="4992" w:hanging="360"/>
      </w:pPr>
      <w:rPr>
        <w:rFonts w:ascii="Symbol" w:hAnsi="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hint="default"/>
      </w:rPr>
    </w:lvl>
  </w:abstractNum>
  <w:abstractNum w:abstractNumId="3" w15:restartNumberingAfterBreak="0">
    <w:nsid w:val="600F63CE"/>
    <w:multiLevelType w:val="hybridMultilevel"/>
    <w:tmpl w:val="5CB61BD6"/>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266864"/>
    <w:multiLevelType w:val="hybridMultilevel"/>
    <w:tmpl w:val="C00AEC30"/>
    <w:lvl w:ilvl="0" w:tplc="80827C8A">
      <w:start w:val="1"/>
      <w:numFmt w:val="decimal"/>
      <w:pStyle w:val="Styl1"/>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104E85"/>
    <w:multiLevelType w:val="multilevel"/>
    <w:tmpl w:val="0EF08F6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7DEB6343"/>
    <w:multiLevelType w:val="hybridMultilevel"/>
    <w:tmpl w:val="929860CE"/>
    <w:lvl w:ilvl="0" w:tplc="3892BD7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E7F2D38"/>
    <w:multiLevelType w:val="hybridMultilevel"/>
    <w:tmpl w:val="1090D5CE"/>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81"/>
    <w:rsid w:val="00023D2D"/>
    <w:rsid w:val="000931F8"/>
    <w:rsid w:val="000B2CAF"/>
    <w:rsid w:val="000D3E81"/>
    <w:rsid w:val="001825E6"/>
    <w:rsid w:val="001B282B"/>
    <w:rsid w:val="00281CDA"/>
    <w:rsid w:val="0029137D"/>
    <w:rsid w:val="002C0032"/>
    <w:rsid w:val="002C054C"/>
    <w:rsid w:val="00304BC0"/>
    <w:rsid w:val="003A319C"/>
    <w:rsid w:val="003E61FD"/>
    <w:rsid w:val="004031C9"/>
    <w:rsid w:val="00440419"/>
    <w:rsid w:val="00445B53"/>
    <w:rsid w:val="00474920"/>
    <w:rsid w:val="00496FC3"/>
    <w:rsid w:val="004C78A0"/>
    <w:rsid w:val="004D1A2C"/>
    <w:rsid w:val="00555FFF"/>
    <w:rsid w:val="005F72F6"/>
    <w:rsid w:val="00602779"/>
    <w:rsid w:val="006036F1"/>
    <w:rsid w:val="00613616"/>
    <w:rsid w:val="00644A2E"/>
    <w:rsid w:val="00661336"/>
    <w:rsid w:val="00675930"/>
    <w:rsid w:val="006810E8"/>
    <w:rsid w:val="00681BD4"/>
    <w:rsid w:val="006D5E4E"/>
    <w:rsid w:val="00714D60"/>
    <w:rsid w:val="00714D84"/>
    <w:rsid w:val="007350D1"/>
    <w:rsid w:val="007414F2"/>
    <w:rsid w:val="00751414"/>
    <w:rsid w:val="007604DD"/>
    <w:rsid w:val="007727B4"/>
    <w:rsid w:val="007A5534"/>
    <w:rsid w:val="007B08E8"/>
    <w:rsid w:val="007B6A2A"/>
    <w:rsid w:val="007D394E"/>
    <w:rsid w:val="007F5EF3"/>
    <w:rsid w:val="00830060"/>
    <w:rsid w:val="00831134"/>
    <w:rsid w:val="00857B26"/>
    <w:rsid w:val="00864EA8"/>
    <w:rsid w:val="00870E45"/>
    <w:rsid w:val="00881156"/>
    <w:rsid w:val="008F73A1"/>
    <w:rsid w:val="009165D5"/>
    <w:rsid w:val="0092507E"/>
    <w:rsid w:val="00A328B1"/>
    <w:rsid w:val="00A45FAE"/>
    <w:rsid w:val="00A53A6E"/>
    <w:rsid w:val="00A85BC2"/>
    <w:rsid w:val="00AB4202"/>
    <w:rsid w:val="00B42B81"/>
    <w:rsid w:val="00B56BBA"/>
    <w:rsid w:val="00C26E16"/>
    <w:rsid w:val="00C337C2"/>
    <w:rsid w:val="00C60373"/>
    <w:rsid w:val="00C91EB9"/>
    <w:rsid w:val="00D1464C"/>
    <w:rsid w:val="00D341F9"/>
    <w:rsid w:val="00D35021"/>
    <w:rsid w:val="00D479DF"/>
    <w:rsid w:val="00D81CE2"/>
    <w:rsid w:val="00DA0623"/>
    <w:rsid w:val="00DF13CA"/>
    <w:rsid w:val="00E22F35"/>
    <w:rsid w:val="00E55F19"/>
    <w:rsid w:val="00E622B4"/>
    <w:rsid w:val="00E77EEE"/>
    <w:rsid w:val="00E91829"/>
    <w:rsid w:val="00EF49F8"/>
    <w:rsid w:val="00F30358"/>
    <w:rsid w:val="00F3565B"/>
    <w:rsid w:val="00F50FE6"/>
    <w:rsid w:val="00F7174E"/>
    <w:rsid w:val="00F80E29"/>
    <w:rsid w:val="00FB517F"/>
    <w:rsid w:val="00FB5FF6"/>
    <w:rsid w:val="00FD2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4F30F-4568-432D-9448-EF7844C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3E81"/>
  </w:style>
  <w:style w:type="paragraph" w:styleId="Nadpis1">
    <w:name w:val="heading 1"/>
    <w:basedOn w:val="Normln"/>
    <w:next w:val="Normln"/>
    <w:link w:val="Nadpis1Char"/>
    <w:autoRedefine/>
    <w:uiPriority w:val="9"/>
    <w:qFormat/>
    <w:rsid w:val="006036F1"/>
    <w:pPr>
      <w:keepNext/>
      <w:keepLines/>
      <w:numPr>
        <w:numId w:val="3"/>
      </w:numPr>
      <w:spacing w:before="240" w:after="0"/>
      <w:outlineLvl w:val="0"/>
    </w:pPr>
    <w:rPr>
      <w:rFonts w:ascii="Calibri" w:eastAsiaTheme="majorEastAsia" w:hAnsi="Calibri" w:cstheme="majorBidi"/>
      <w:b/>
      <w:color w:val="006666"/>
      <w:sz w:val="28"/>
      <w:szCs w:val="28"/>
    </w:rPr>
  </w:style>
  <w:style w:type="paragraph" w:styleId="Nadpis2">
    <w:name w:val="heading 2"/>
    <w:basedOn w:val="Normln"/>
    <w:next w:val="Normln"/>
    <w:link w:val="Nadpis2Char"/>
    <w:autoRedefine/>
    <w:uiPriority w:val="9"/>
    <w:unhideWhenUsed/>
    <w:qFormat/>
    <w:rsid w:val="00830060"/>
    <w:pPr>
      <w:keepNext/>
      <w:keepLines/>
      <w:numPr>
        <w:ilvl w:val="1"/>
        <w:numId w:val="3"/>
      </w:numPr>
      <w:spacing w:before="40" w:after="0"/>
      <w:outlineLvl w:val="1"/>
    </w:pPr>
    <w:rPr>
      <w:rFonts w:ascii="Calibri" w:eastAsiaTheme="majorEastAsia" w:hAnsi="Calibri" w:cstheme="majorBidi"/>
      <w:b/>
      <w:sz w:val="24"/>
      <w:szCs w:val="26"/>
    </w:rPr>
  </w:style>
  <w:style w:type="paragraph" w:styleId="Nadpis3">
    <w:name w:val="heading 3"/>
    <w:basedOn w:val="Normln"/>
    <w:next w:val="Normln"/>
    <w:link w:val="Nadpis3Char"/>
    <w:uiPriority w:val="9"/>
    <w:unhideWhenUsed/>
    <w:qFormat/>
    <w:rsid w:val="00E77EEE"/>
    <w:pPr>
      <w:keepNext/>
      <w:keepLines/>
      <w:numPr>
        <w:ilvl w:val="2"/>
        <w:numId w:val="3"/>
      </w:numPr>
      <w:spacing w:before="40" w:after="0"/>
      <w:outlineLvl w:val="2"/>
    </w:pPr>
    <w:rPr>
      <w:rFonts w:ascii="Calibri" w:eastAsiaTheme="majorEastAsia" w:hAnsi="Calibri" w:cstheme="majorBidi"/>
      <w:b/>
      <w:szCs w:val="24"/>
    </w:rPr>
  </w:style>
  <w:style w:type="paragraph" w:styleId="Nadpis4">
    <w:name w:val="heading 4"/>
    <w:basedOn w:val="Normln"/>
    <w:next w:val="Normln"/>
    <w:link w:val="Nadpis4Char"/>
    <w:uiPriority w:val="9"/>
    <w:semiHidden/>
    <w:unhideWhenUsed/>
    <w:qFormat/>
    <w:rsid w:val="00496FC3"/>
    <w:pPr>
      <w:keepNext/>
      <w:keepLines/>
      <w:numPr>
        <w:ilvl w:val="3"/>
        <w:numId w:val="3"/>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semiHidden/>
    <w:unhideWhenUsed/>
    <w:qFormat/>
    <w:rsid w:val="0083006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3006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3006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3006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006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ad,Odstavec_muj,Odstavec se seznamem1"/>
    <w:basedOn w:val="Normln"/>
    <w:link w:val="OdstavecseseznamemChar"/>
    <w:uiPriority w:val="34"/>
    <w:qFormat/>
    <w:rsid w:val="002C0032"/>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1 Char,Nad Char,Odstavec_muj Char,Odstavec se seznamem1 Char"/>
    <w:link w:val="Odstavecseseznamem"/>
    <w:uiPriority w:val="34"/>
    <w:rsid w:val="002C0032"/>
    <w:rPr>
      <w:rFonts w:ascii="Calibri" w:eastAsia="Calibri" w:hAnsi="Calibri" w:cs="Times New Roman"/>
    </w:rPr>
  </w:style>
  <w:style w:type="paragraph" w:styleId="Zhlav">
    <w:name w:val="header"/>
    <w:basedOn w:val="Normln"/>
    <w:link w:val="ZhlavChar"/>
    <w:uiPriority w:val="99"/>
    <w:unhideWhenUsed/>
    <w:rsid w:val="00E55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F19"/>
  </w:style>
  <w:style w:type="paragraph" w:styleId="Zpat">
    <w:name w:val="footer"/>
    <w:basedOn w:val="Normln"/>
    <w:link w:val="ZpatChar"/>
    <w:uiPriority w:val="99"/>
    <w:unhideWhenUsed/>
    <w:rsid w:val="00E55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F19"/>
  </w:style>
  <w:style w:type="character" w:styleId="Hypertextovodkaz">
    <w:name w:val="Hyperlink"/>
    <w:basedOn w:val="Standardnpsmoodstavce"/>
    <w:uiPriority w:val="99"/>
    <w:unhideWhenUsed/>
    <w:rsid w:val="00E55F19"/>
    <w:rPr>
      <w:color w:val="0563C1" w:themeColor="hyperlink"/>
      <w:u w:val="single"/>
    </w:rPr>
  </w:style>
  <w:style w:type="paragraph" w:customStyle="1" w:styleId="Default">
    <w:name w:val="Default"/>
    <w:rsid w:val="00E55F19"/>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customStyle="1" w:styleId="dn">
    <w:name w:val="Žádný"/>
    <w:rsid w:val="00E55F19"/>
  </w:style>
  <w:style w:type="character" w:customStyle="1" w:styleId="Nadpis1Char">
    <w:name w:val="Nadpis 1 Char"/>
    <w:basedOn w:val="Standardnpsmoodstavce"/>
    <w:link w:val="Nadpis1"/>
    <w:uiPriority w:val="9"/>
    <w:rsid w:val="006036F1"/>
    <w:rPr>
      <w:rFonts w:ascii="Calibri" w:eastAsiaTheme="majorEastAsia" w:hAnsi="Calibri" w:cstheme="majorBidi"/>
      <w:b/>
      <w:color w:val="006666"/>
      <w:sz w:val="28"/>
      <w:szCs w:val="28"/>
    </w:rPr>
  </w:style>
  <w:style w:type="paragraph" w:customStyle="1" w:styleId="Odstavecseseznamem2">
    <w:name w:val="Odstavec se seznamem2"/>
    <w:basedOn w:val="Normln"/>
    <w:rsid w:val="00F30358"/>
    <w:pPr>
      <w:suppressAutoHyphens/>
      <w:spacing w:after="200" w:line="276" w:lineRule="auto"/>
      <w:ind w:left="720"/>
    </w:pPr>
    <w:rPr>
      <w:rFonts w:ascii="Calibri" w:eastAsia="Calibri" w:hAnsi="Calibri" w:cs="Times New Roman"/>
      <w:lang w:eastAsia="ar-SA"/>
    </w:rPr>
  </w:style>
  <w:style w:type="paragraph" w:styleId="Normlnweb">
    <w:name w:val="Normal (Web)"/>
    <w:basedOn w:val="Normln"/>
    <w:uiPriority w:val="99"/>
    <w:unhideWhenUsed/>
    <w:rsid w:val="00F50F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0FE6"/>
    <w:rPr>
      <w:b/>
      <w:bCs/>
    </w:rPr>
  </w:style>
  <w:style w:type="paragraph" w:customStyle="1" w:styleId="normln1">
    <w:name w:val="normln1"/>
    <w:basedOn w:val="Normln"/>
    <w:rsid w:val="00F50F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Odstavecseseznamem"/>
    <w:qFormat/>
    <w:rsid w:val="00E91829"/>
    <w:pPr>
      <w:numPr>
        <w:numId w:val="2"/>
      </w:numPr>
      <w:spacing w:after="0"/>
      <w:jc w:val="both"/>
    </w:pPr>
    <w:rPr>
      <w:rFonts w:eastAsia="Times New Roman" w:cstheme="minorHAnsi"/>
      <w:kern w:val="36"/>
    </w:rPr>
  </w:style>
  <w:style w:type="character" w:customStyle="1" w:styleId="Nadpis2Char">
    <w:name w:val="Nadpis 2 Char"/>
    <w:basedOn w:val="Standardnpsmoodstavce"/>
    <w:link w:val="Nadpis2"/>
    <w:uiPriority w:val="9"/>
    <w:rsid w:val="00830060"/>
    <w:rPr>
      <w:rFonts w:ascii="Calibri" w:eastAsiaTheme="majorEastAsia" w:hAnsi="Calibri" w:cstheme="majorBidi"/>
      <w:b/>
      <w:sz w:val="24"/>
      <w:szCs w:val="26"/>
    </w:rPr>
  </w:style>
  <w:style w:type="character" w:customStyle="1" w:styleId="Nadpis3Char">
    <w:name w:val="Nadpis 3 Char"/>
    <w:basedOn w:val="Standardnpsmoodstavce"/>
    <w:link w:val="Nadpis3"/>
    <w:uiPriority w:val="9"/>
    <w:rsid w:val="00E77EEE"/>
    <w:rPr>
      <w:rFonts w:ascii="Calibri" w:eastAsiaTheme="majorEastAsia" w:hAnsi="Calibri" w:cstheme="majorBidi"/>
      <w:b/>
      <w:szCs w:val="24"/>
    </w:rPr>
  </w:style>
  <w:style w:type="character" w:customStyle="1" w:styleId="Nadpis4Char">
    <w:name w:val="Nadpis 4 Char"/>
    <w:basedOn w:val="Standardnpsmoodstavce"/>
    <w:link w:val="Nadpis4"/>
    <w:uiPriority w:val="9"/>
    <w:semiHidden/>
    <w:rsid w:val="00496FC3"/>
    <w:rPr>
      <w:rFonts w:asciiTheme="majorHAnsi" w:eastAsiaTheme="majorEastAsia" w:hAnsiTheme="majorHAnsi" w:cstheme="majorBidi"/>
      <w:i/>
      <w:iCs/>
      <w:color w:val="404040" w:themeColor="text1" w:themeTint="BF"/>
    </w:rPr>
  </w:style>
  <w:style w:type="character" w:customStyle="1" w:styleId="Nadpis5Char">
    <w:name w:val="Nadpis 5 Char"/>
    <w:basedOn w:val="Standardnpsmoodstavce"/>
    <w:link w:val="Nadpis5"/>
    <w:uiPriority w:val="9"/>
    <w:semiHidden/>
    <w:rsid w:val="0083006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3006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3006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3006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0060"/>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714D60"/>
    <w:pPr>
      <w:pBdr>
        <w:bottom w:val="single" w:sz="4" w:space="1" w:color="auto"/>
      </w:pBdr>
      <w:spacing w:after="200" w:line="240" w:lineRule="auto"/>
      <w:contextualSpacing/>
    </w:pPr>
    <w:rPr>
      <w:rFonts w:ascii="Calibri" w:eastAsiaTheme="majorEastAsia" w:hAnsi="Calibri" w:cstheme="majorBidi"/>
      <w:b/>
      <w:color w:val="006666"/>
      <w:spacing w:val="5"/>
      <w:sz w:val="40"/>
      <w:szCs w:val="52"/>
    </w:rPr>
  </w:style>
  <w:style w:type="character" w:customStyle="1" w:styleId="NzevChar">
    <w:name w:val="Název Char"/>
    <w:basedOn w:val="Standardnpsmoodstavce"/>
    <w:link w:val="Nzev"/>
    <w:uiPriority w:val="10"/>
    <w:rsid w:val="00714D60"/>
    <w:rPr>
      <w:rFonts w:ascii="Calibri" w:eastAsiaTheme="majorEastAsia" w:hAnsi="Calibri" w:cstheme="majorBidi"/>
      <w:b/>
      <w:color w:val="006666"/>
      <w:spacing w:val="5"/>
      <w:sz w:val="40"/>
      <w:szCs w:val="52"/>
    </w:rPr>
  </w:style>
  <w:style w:type="character" w:styleId="Zdraznnintenzivn">
    <w:name w:val="Intense Emphasis"/>
    <w:basedOn w:val="Standardnpsmoodstavce"/>
    <w:uiPriority w:val="21"/>
    <w:qFormat/>
    <w:rsid w:val="00714D60"/>
    <w:rPr>
      <w:rFonts w:ascii="Calibri" w:hAnsi="Calibri"/>
      <w:i w:val="0"/>
      <w:iCs/>
      <w:color w:val="006666"/>
      <w:sz w:val="36"/>
    </w:rPr>
  </w:style>
  <w:style w:type="paragraph" w:styleId="Citt">
    <w:name w:val="Quote"/>
    <w:basedOn w:val="Normln"/>
    <w:next w:val="Normln"/>
    <w:link w:val="CittChar"/>
    <w:autoRedefine/>
    <w:uiPriority w:val="29"/>
    <w:qFormat/>
    <w:rsid w:val="00496FC3"/>
    <w:pPr>
      <w:spacing w:before="200"/>
      <w:ind w:left="864" w:right="864"/>
      <w:jc w:val="both"/>
    </w:pPr>
    <w:rPr>
      <w:rFonts w:ascii="Calibri Light" w:hAnsi="Calibri Light"/>
      <w:i/>
      <w:iCs/>
      <w:color w:val="404040" w:themeColor="text1" w:themeTint="BF"/>
    </w:rPr>
  </w:style>
  <w:style w:type="character" w:customStyle="1" w:styleId="CittChar">
    <w:name w:val="Citát Char"/>
    <w:basedOn w:val="Standardnpsmoodstavce"/>
    <w:link w:val="Citt"/>
    <w:uiPriority w:val="29"/>
    <w:rsid w:val="00496FC3"/>
    <w:rPr>
      <w:rFonts w:ascii="Calibri Light" w:hAnsi="Calibri Light"/>
      <w:i/>
      <w:iCs/>
      <w:color w:val="404040" w:themeColor="text1" w:themeTint="BF"/>
    </w:rPr>
  </w:style>
  <w:style w:type="character" w:styleId="Odkazintenzivn">
    <w:name w:val="Intense Reference"/>
    <w:basedOn w:val="Standardnpsmoodstavce"/>
    <w:uiPriority w:val="32"/>
    <w:qFormat/>
    <w:rsid w:val="00496FC3"/>
    <w:rPr>
      <w:rFonts w:ascii="Calibri Light" w:hAnsi="Calibri Light"/>
      <w:b w:val="0"/>
      <w:bCs/>
      <w:caps w:val="0"/>
      <w:smallCaps w:val="0"/>
      <w:strike w:val="0"/>
      <w:dstrike w:val="0"/>
      <w:vanish w:val="0"/>
      <w:color w:val="5B9BD5" w:themeColor="accent1"/>
      <w:spacing w:val="5"/>
      <w:sz w:val="22"/>
      <w:u w:val="single"/>
      <w:vertAlign w:val="baseline"/>
    </w:rPr>
  </w:style>
  <w:style w:type="paragraph" w:styleId="Nadpisobsahu">
    <w:name w:val="TOC Heading"/>
    <w:basedOn w:val="Nadpis1"/>
    <w:next w:val="Normln"/>
    <w:uiPriority w:val="39"/>
    <w:unhideWhenUsed/>
    <w:qFormat/>
    <w:rsid w:val="00440419"/>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qFormat/>
    <w:rsid w:val="00440419"/>
    <w:pPr>
      <w:spacing w:after="100"/>
    </w:pPr>
    <w:rPr>
      <w:rFonts w:ascii="Calibri Light" w:hAnsi="Calibri Light"/>
    </w:rPr>
  </w:style>
  <w:style w:type="paragraph" w:styleId="Obsah2">
    <w:name w:val="toc 2"/>
    <w:basedOn w:val="Normln"/>
    <w:next w:val="Normln"/>
    <w:autoRedefine/>
    <w:uiPriority w:val="39"/>
    <w:unhideWhenUsed/>
    <w:qFormat/>
    <w:rsid w:val="00440419"/>
    <w:pPr>
      <w:spacing w:after="100"/>
      <w:ind w:left="220"/>
    </w:pPr>
    <w:rPr>
      <w:rFonts w:ascii="Calibri Light" w:hAnsi="Calibri Light"/>
    </w:rPr>
  </w:style>
  <w:style w:type="paragraph" w:styleId="Obsah3">
    <w:name w:val="toc 3"/>
    <w:basedOn w:val="Normln"/>
    <w:next w:val="Normln"/>
    <w:autoRedefine/>
    <w:uiPriority w:val="39"/>
    <w:unhideWhenUsed/>
    <w:qFormat/>
    <w:rsid w:val="00440419"/>
    <w:pPr>
      <w:spacing w:after="100"/>
      <w:ind w:left="440"/>
    </w:pPr>
    <w:rPr>
      <w:rFonts w:ascii="Calibri Light" w:hAnsi="Calibri Light"/>
    </w:rPr>
  </w:style>
  <w:style w:type="paragraph" w:styleId="Podtitul">
    <w:name w:val="Subtitle"/>
    <w:basedOn w:val="Normln"/>
    <w:next w:val="Normln"/>
    <w:link w:val="PodtitulChar"/>
    <w:uiPriority w:val="11"/>
    <w:qFormat/>
    <w:rsid w:val="00751414"/>
    <w:pPr>
      <w:numPr>
        <w:ilvl w:val="1"/>
      </w:numPr>
    </w:pPr>
    <w:rPr>
      <w:rFonts w:ascii="Calibri Light" w:eastAsiaTheme="minorEastAsia" w:hAnsi="Calibri Light"/>
      <w:color w:val="006666"/>
    </w:rPr>
  </w:style>
  <w:style w:type="character" w:customStyle="1" w:styleId="PodtitulChar">
    <w:name w:val="Podtitul Char"/>
    <w:basedOn w:val="Standardnpsmoodstavce"/>
    <w:link w:val="Podtitul"/>
    <w:uiPriority w:val="11"/>
    <w:rsid w:val="00751414"/>
    <w:rPr>
      <w:rFonts w:ascii="Calibri Light" w:eastAsiaTheme="minorEastAsia" w:hAnsi="Calibri Light"/>
      <w:color w:val="006666"/>
    </w:rPr>
  </w:style>
  <w:style w:type="table" w:styleId="Mkatabulky">
    <w:name w:val="Table Grid"/>
    <w:basedOn w:val="Normlntabulka"/>
    <w:uiPriority w:val="39"/>
    <w:rsid w:val="0030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341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5242">
      <w:bodyDiv w:val="1"/>
      <w:marLeft w:val="0"/>
      <w:marRight w:val="0"/>
      <w:marTop w:val="0"/>
      <w:marBottom w:val="0"/>
      <w:divBdr>
        <w:top w:val="none" w:sz="0" w:space="0" w:color="auto"/>
        <w:left w:val="none" w:sz="0" w:space="0" w:color="auto"/>
        <w:bottom w:val="none" w:sz="0" w:space="0" w:color="auto"/>
        <w:right w:val="none" w:sz="0" w:space="0" w:color="auto"/>
      </w:divBdr>
    </w:div>
    <w:div w:id="486556001">
      <w:bodyDiv w:val="1"/>
      <w:marLeft w:val="0"/>
      <w:marRight w:val="0"/>
      <w:marTop w:val="0"/>
      <w:marBottom w:val="0"/>
      <w:divBdr>
        <w:top w:val="none" w:sz="0" w:space="0" w:color="auto"/>
        <w:left w:val="none" w:sz="0" w:space="0" w:color="auto"/>
        <w:bottom w:val="none" w:sz="0" w:space="0" w:color="auto"/>
        <w:right w:val="none" w:sz="0" w:space="0" w:color="auto"/>
      </w:divBdr>
    </w:div>
    <w:div w:id="559874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2203">
          <w:marLeft w:val="0"/>
          <w:marRight w:val="0"/>
          <w:marTop w:val="0"/>
          <w:marBottom w:val="0"/>
          <w:divBdr>
            <w:top w:val="none" w:sz="0" w:space="0" w:color="auto"/>
            <w:left w:val="none" w:sz="0" w:space="0" w:color="auto"/>
            <w:bottom w:val="none" w:sz="0" w:space="0" w:color="auto"/>
            <w:right w:val="none" w:sz="0" w:space="0" w:color="auto"/>
          </w:divBdr>
        </w:div>
        <w:div w:id="645819752">
          <w:marLeft w:val="0"/>
          <w:marRight w:val="0"/>
          <w:marTop w:val="0"/>
          <w:marBottom w:val="0"/>
          <w:divBdr>
            <w:top w:val="none" w:sz="0" w:space="0" w:color="auto"/>
            <w:left w:val="none" w:sz="0" w:space="0" w:color="auto"/>
            <w:bottom w:val="none" w:sz="0" w:space="0" w:color="auto"/>
            <w:right w:val="none" w:sz="0" w:space="0" w:color="auto"/>
          </w:divBdr>
        </w:div>
        <w:div w:id="1530601944">
          <w:marLeft w:val="0"/>
          <w:marRight w:val="0"/>
          <w:marTop w:val="0"/>
          <w:marBottom w:val="0"/>
          <w:divBdr>
            <w:top w:val="none" w:sz="0" w:space="0" w:color="auto"/>
            <w:left w:val="none" w:sz="0" w:space="0" w:color="auto"/>
            <w:bottom w:val="none" w:sz="0" w:space="0" w:color="auto"/>
            <w:right w:val="none" w:sz="0" w:space="0" w:color="auto"/>
          </w:divBdr>
        </w:div>
        <w:div w:id="1633710426">
          <w:marLeft w:val="0"/>
          <w:marRight w:val="0"/>
          <w:marTop w:val="0"/>
          <w:marBottom w:val="0"/>
          <w:divBdr>
            <w:top w:val="none" w:sz="0" w:space="0" w:color="auto"/>
            <w:left w:val="none" w:sz="0" w:space="0" w:color="auto"/>
            <w:bottom w:val="none" w:sz="0" w:space="0" w:color="auto"/>
            <w:right w:val="none" w:sz="0" w:space="0" w:color="auto"/>
          </w:divBdr>
        </w:div>
        <w:div w:id="1003779747">
          <w:marLeft w:val="0"/>
          <w:marRight w:val="0"/>
          <w:marTop w:val="0"/>
          <w:marBottom w:val="0"/>
          <w:divBdr>
            <w:top w:val="none" w:sz="0" w:space="0" w:color="auto"/>
            <w:left w:val="none" w:sz="0" w:space="0" w:color="auto"/>
            <w:bottom w:val="none" w:sz="0" w:space="0" w:color="auto"/>
            <w:right w:val="none" w:sz="0" w:space="0" w:color="auto"/>
          </w:divBdr>
        </w:div>
        <w:div w:id="1909533269">
          <w:marLeft w:val="0"/>
          <w:marRight w:val="0"/>
          <w:marTop w:val="0"/>
          <w:marBottom w:val="0"/>
          <w:divBdr>
            <w:top w:val="none" w:sz="0" w:space="0" w:color="auto"/>
            <w:left w:val="none" w:sz="0" w:space="0" w:color="auto"/>
            <w:bottom w:val="none" w:sz="0" w:space="0" w:color="auto"/>
            <w:right w:val="none" w:sz="0" w:space="0" w:color="auto"/>
          </w:divBdr>
        </w:div>
        <w:div w:id="302931856">
          <w:marLeft w:val="0"/>
          <w:marRight w:val="0"/>
          <w:marTop w:val="0"/>
          <w:marBottom w:val="0"/>
          <w:divBdr>
            <w:top w:val="none" w:sz="0" w:space="0" w:color="auto"/>
            <w:left w:val="none" w:sz="0" w:space="0" w:color="auto"/>
            <w:bottom w:val="none" w:sz="0" w:space="0" w:color="auto"/>
            <w:right w:val="none" w:sz="0" w:space="0" w:color="auto"/>
          </w:divBdr>
        </w:div>
        <w:div w:id="983659729">
          <w:marLeft w:val="0"/>
          <w:marRight w:val="0"/>
          <w:marTop w:val="0"/>
          <w:marBottom w:val="0"/>
          <w:divBdr>
            <w:top w:val="none" w:sz="0" w:space="0" w:color="auto"/>
            <w:left w:val="none" w:sz="0" w:space="0" w:color="auto"/>
            <w:bottom w:val="none" w:sz="0" w:space="0" w:color="auto"/>
            <w:right w:val="none" w:sz="0" w:space="0" w:color="auto"/>
          </w:divBdr>
        </w:div>
        <w:div w:id="857279020">
          <w:marLeft w:val="0"/>
          <w:marRight w:val="0"/>
          <w:marTop w:val="0"/>
          <w:marBottom w:val="0"/>
          <w:divBdr>
            <w:top w:val="none" w:sz="0" w:space="0" w:color="auto"/>
            <w:left w:val="none" w:sz="0" w:space="0" w:color="auto"/>
            <w:bottom w:val="none" w:sz="0" w:space="0" w:color="auto"/>
            <w:right w:val="none" w:sz="0" w:space="0" w:color="auto"/>
          </w:divBdr>
        </w:div>
        <w:div w:id="910314164">
          <w:marLeft w:val="0"/>
          <w:marRight w:val="0"/>
          <w:marTop w:val="0"/>
          <w:marBottom w:val="0"/>
          <w:divBdr>
            <w:top w:val="none" w:sz="0" w:space="0" w:color="auto"/>
            <w:left w:val="none" w:sz="0" w:space="0" w:color="auto"/>
            <w:bottom w:val="none" w:sz="0" w:space="0" w:color="auto"/>
            <w:right w:val="none" w:sz="0" w:space="0" w:color="auto"/>
          </w:divBdr>
        </w:div>
        <w:div w:id="1858346028">
          <w:marLeft w:val="0"/>
          <w:marRight w:val="0"/>
          <w:marTop w:val="0"/>
          <w:marBottom w:val="0"/>
          <w:divBdr>
            <w:top w:val="none" w:sz="0" w:space="0" w:color="auto"/>
            <w:left w:val="none" w:sz="0" w:space="0" w:color="auto"/>
            <w:bottom w:val="none" w:sz="0" w:space="0" w:color="auto"/>
            <w:right w:val="none" w:sz="0" w:space="0" w:color="auto"/>
          </w:divBdr>
        </w:div>
        <w:div w:id="1654095778">
          <w:marLeft w:val="0"/>
          <w:marRight w:val="0"/>
          <w:marTop w:val="0"/>
          <w:marBottom w:val="0"/>
          <w:divBdr>
            <w:top w:val="none" w:sz="0" w:space="0" w:color="auto"/>
            <w:left w:val="none" w:sz="0" w:space="0" w:color="auto"/>
            <w:bottom w:val="none" w:sz="0" w:space="0" w:color="auto"/>
            <w:right w:val="none" w:sz="0" w:space="0" w:color="auto"/>
          </w:divBdr>
        </w:div>
        <w:div w:id="455370820">
          <w:marLeft w:val="0"/>
          <w:marRight w:val="0"/>
          <w:marTop w:val="0"/>
          <w:marBottom w:val="0"/>
          <w:divBdr>
            <w:top w:val="none" w:sz="0" w:space="0" w:color="auto"/>
            <w:left w:val="none" w:sz="0" w:space="0" w:color="auto"/>
            <w:bottom w:val="none" w:sz="0" w:space="0" w:color="auto"/>
            <w:right w:val="none" w:sz="0" w:space="0" w:color="auto"/>
          </w:divBdr>
        </w:div>
        <w:div w:id="743836824">
          <w:marLeft w:val="0"/>
          <w:marRight w:val="0"/>
          <w:marTop w:val="0"/>
          <w:marBottom w:val="0"/>
          <w:divBdr>
            <w:top w:val="none" w:sz="0" w:space="0" w:color="auto"/>
            <w:left w:val="none" w:sz="0" w:space="0" w:color="auto"/>
            <w:bottom w:val="none" w:sz="0" w:space="0" w:color="auto"/>
            <w:right w:val="none" w:sz="0" w:space="0" w:color="auto"/>
          </w:divBdr>
        </w:div>
        <w:div w:id="707488420">
          <w:marLeft w:val="0"/>
          <w:marRight w:val="0"/>
          <w:marTop w:val="0"/>
          <w:marBottom w:val="0"/>
          <w:divBdr>
            <w:top w:val="none" w:sz="0" w:space="0" w:color="auto"/>
            <w:left w:val="none" w:sz="0" w:space="0" w:color="auto"/>
            <w:bottom w:val="none" w:sz="0" w:space="0" w:color="auto"/>
            <w:right w:val="none" w:sz="0" w:space="0" w:color="auto"/>
          </w:divBdr>
        </w:div>
        <w:div w:id="1106344532">
          <w:marLeft w:val="0"/>
          <w:marRight w:val="0"/>
          <w:marTop w:val="0"/>
          <w:marBottom w:val="0"/>
          <w:divBdr>
            <w:top w:val="none" w:sz="0" w:space="0" w:color="auto"/>
            <w:left w:val="none" w:sz="0" w:space="0" w:color="auto"/>
            <w:bottom w:val="none" w:sz="0" w:space="0" w:color="auto"/>
            <w:right w:val="none" w:sz="0" w:space="0" w:color="auto"/>
          </w:divBdr>
        </w:div>
        <w:div w:id="204175539">
          <w:marLeft w:val="0"/>
          <w:marRight w:val="0"/>
          <w:marTop w:val="0"/>
          <w:marBottom w:val="0"/>
          <w:divBdr>
            <w:top w:val="none" w:sz="0" w:space="0" w:color="auto"/>
            <w:left w:val="none" w:sz="0" w:space="0" w:color="auto"/>
            <w:bottom w:val="none" w:sz="0" w:space="0" w:color="auto"/>
            <w:right w:val="none" w:sz="0" w:space="0" w:color="auto"/>
          </w:divBdr>
        </w:div>
        <w:div w:id="665477157">
          <w:marLeft w:val="0"/>
          <w:marRight w:val="0"/>
          <w:marTop w:val="0"/>
          <w:marBottom w:val="0"/>
          <w:divBdr>
            <w:top w:val="none" w:sz="0" w:space="0" w:color="auto"/>
            <w:left w:val="none" w:sz="0" w:space="0" w:color="auto"/>
            <w:bottom w:val="none" w:sz="0" w:space="0" w:color="auto"/>
            <w:right w:val="none" w:sz="0" w:space="0" w:color="auto"/>
          </w:divBdr>
        </w:div>
        <w:div w:id="222104618">
          <w:marLeft w:val="0"/>
          <w:marRight w:val="0"/>
          <w:marTop w:val="0"/>
          <w:marBottom w:val="0"/>
          <w:divBdr>
            <w:top w:val="none" w:sz="0" w:space="0" w:color="auto"/>
            <w:left w:val="none" w:sz="0" w:space="0" w:color="auto"/>
            <w:bottom w:val="none" w:sz="0" w:space="0" w:color="auto"/>
            <w:right w:val="none" w:sz="0" w:space="0" w:color="auto"/>
          </w:divBdr>
        </w:div>
        <w:div w:id="820463154">
          <w:marLeft w:val="0"/>
          <w:marRight w:val="0"/>
          <w:marTop w:val="0"/>
          <w:marBottom w:val="0"/>
          <w:divBdr>
            <w:top w:val="none" w:sz="0" w:space="0" w:color="auto"/>
            <w:left w:val="none" w:sz="0" w:space="0" w:color="auto"/>
            <w:bottom w:val="none" w:sz="0" w:space="0" w:color="auto"/>
            <w:right w:val="none" w:sz="0" w:space="0" w:color="auto"/>
          </w:divBdr>
        </w:div>
        <w:div w:id="2080594973">
          <w:marLeft w:val="0"/>
          <w:marRight w:val="0"/>
          <w:marTop w:val="0"/>
          <w:marBottom w:val="0"/>
          <w:divBdr>
            <w:top w:val="none" w:sz="0" w:space="0" w:color="auto"/>
            <w:left w:val="none" w:sz="0" w:space="0" w:color="auto"/>
            <w:bottom w:val="none" w:sz="0" w:space="0" w:color="auto"/>
            <w:right w:val="none" w:sz="0" w:space="0" w:color="auto"/>
          </w:divBdr>
        </w:div>
        <w:div w:id="1554854794">
          <w:marLeft w:val="0"/>
          <w:marRight w:val="0"/>
          <w:marTop w:val="0"/>
          <w:marBottom w:val="0"/>
          <w:divBdr>
            <w:top w:val="none" w:sz="0" w:space="0" w:color="auto"/>
            <w:left w:val="none" w:sz="0" w:space="0" w:color="auto"/>
            <w:bottom w:val="none" w:sz="0" w:space="0" w:color="auto"/>
            <w:right w:val="none" w:sz="0" w:space="0" w:color="auto"/>
          </w:divBdr>
        </w:div>
        <w:div w:id="1580794628">
          <w:marLeft w:val="0"/>
          <w:marRight w:val="0"/>
          <w:marTop w:val="0"/>
          <w:marBottom w:val="0"/>
          <w:divBdr>
            <w:top w:val="none" w:sz="0" w:space="0" w:color="auto"/>
            <w:left w:val="none" w:sz="0" w:space="0" w:color="auto"/>
            <w:bottom w:val="none" w:sz="0" w:space="0" w:color="auto"/>
            <w:right w:val="none" w:sz="0" w:space="0" w:color="auto"/>
          </w:divBdr>
        </w:div>
        <w:div w:id="880361829">
          <w:marLeft w:val="0"/>
          <w:marRight w:val="0"/>
          <w:marTop w:val="0"/>
          <w:marBottom w:val="0"/>
          <w:divBdr>
            <w:top w:val="none" w:sz="0" w:space="0" w:color="auto"/>
            <w:left w:val="none" w:sz="0" w:space="0" w:color="auto"/>
            <w:bottom w:val="none" w:sz="0" w:space="0" w:color="auto"/>
            <w:right w:val="none" w:sz="0" w:space="0" w:color="auto"/>
          </w:divBdr>
        </w:div>
        <w:div w:id="1441342167">
          <w:marLeft w:val="0"/>
          <w:marRight w:val="0"/>
          <w:marTop w:val="0"/>
          <w:marBottom w:val="0"/>
          <w:divBdr>
            <w:top w:val="none" w:sz="0" w:space="0" w:color="auto"/>
            <w:left w:val="none" w:sz="0" w:space="0" w:color="auto"/>
            <w:bottom w:val="none" w:sz="0" w:space="0" w:color="auto"/>
            <w:right w:val="none" w:sz="0" w:space="0" w:color="auto"/>
          </w:divBdr>
        </w:div>
        <w:div w:id="492530316">
          <w:marLeft w:val="0"/>
          <w:marRight w:val="0"/>
          <w:marTop w:val="0"/>
          <w:marBottom w:val="0"/>
          <w:divBdr>
            <w:top w:val="none" w:sz="0" w:space="0" w:color="auto"/>
            <w:left w:val="none" w:sz="0" w:space="0" w:color="auto"/>
            <w:bottom w:val="none" w:sz="0" w:space="0" w:color="auto"/>
            <w:right w:val="none" w:sz="0" w:space="0" w:color="auto"/>
          </w:divBdr>
        </w:div>
        <w:div w:id="429816931">
          <w:marLeft w:val="0"/>
          <w:marRight w:val="0"/>
          <w:marTop w:val="0"/>
          <w:marBottom w:val="0"/>
          <w:divBdr>
            <w:top w:val="none" w:sz="0" w:space="0" w:color="auto"/>
            <w:left w:val="none" w:sz="0" w:space="0" w:color="auto"/>
            <w:bottom w:val="none" w:sz="0" w:space="0" w:color="auto"/>
            <w:right w:val="none" w:sz="0" w:space="0" w:color="auto"/>
          </w:divBdr>
        </w:div>
        <w:div w:id="5257219">
          <w:marLeft w:val="0"/>
          <w:marRight w:val="0"/>
          <w:marTop w:val="0"/>
          <w:marBottom w:val="0"/>
          <w:divBdr>
            <w:top w:val="none" w:sz="0" w:space="0" w:color="auto"/>
            <w:left w:val="none" w:sz="0" w:space="0" w:color="auto"/>
            <w:bottom w:val="none" w:sz="0" w:space="0" w:color="auto"/>
            <w:right w:val="none" w:sz="0" w:space="0" w:color="auto"/>
          </w:divBdr>
        </w:div>
        <w:div w:id="1914778688">
          <w:marLeft w:val="0"/>
          <w:marRight w:val="0"/>
          <w:marTop w:val="0"/>
          <w:marBottom w:val="0"/>
          <w:divBdr>
            <w:top w:val="none" w:sz="0" w:space="0" w:color="auto"/>
            <w:left w:val="none" w:sz="0" w:space="0" w:color="auto"/>
            <w:bottom w:val="none" w:sz="0" w:space="0" w:color="auto"/>
            <w:right w:val="none" w:sz="0" w:space="0" w:color="auto"/>
          </w:divBdr>
        </w:div>
        <w:div w:id="26957493">
          <w:marLeft w:val="0"/>
          <w:marRight w:val="0"/>
          <w:marTop w:val="0"/>
          <w:marBottom w:val="0"/>
          <w:divBdr>
            <w:top w:val="none" w:sz="0" w:space="0" w:color="auto"/>
            <w:left w:val="none" w:sz="0" w:space="0" w:color="auto"/>
            <w:bottom w:val="none" w:sz="0" w:space="0" w:color="auto"/>
            <w:right w:val="none" w:sz="0" w:space="0" w:color="auto"/>
          </w:divBdr>
        </w:div>
        <w:div w:id="233702479">
          <w:marLeft w:val="0"/>
          <w:marRight w:val="0"/>
          <w:marTop w:val="0"/>
          <w:marBottom w:val="0"/>
          <w:divBdr>
            <w:top w:val="none" w:sz="0" w:space="0" w:color="auto"/>
            <w:left w:val="none" w:sz="0" w:space="0" w:color="auto"/>
            <w:bottom w:val="none" w:sz="0" w:space="0" w:color="auto"/>
            <w:right w:val="none" w:sz="0" w:space="0" w:color="auto"/>
          </w:divBdr>
        </w:div>
        <w:div w:id="1201359423">
          <w:marLeft w:val="0"/>
          <w:marRight w:val="0"/>
          <w:marTop w:val="0"/>
          <w:marBottom w:val="0"/>
          <w:divBdr>
            <w:top w:val="none" w:sz="0" w:space="0" w:color="auto"/>
            <w:left w:val="none" w:sz="0" w:space="0" w:color="auto"/>
            <w:bottom w:val="none" w:sz="0" w:space="0" w:color="auto"/>
            <w:right w:val="none" w:sz="0" w:space="0" w:color="auto"/>
          </w:divBdr>
        </w:div>
        <w:div w:id="2075542961">
          <w:marLeft w:val="0"/>
          <w:marRight w:val="0"/>
          <w:marTop w:val="0"/>
          <w:marBottom w:val="0"/>
          <w:divBdr>
            <w:top w:val="none" w:sz="0" w:space="0" w:color="auto"/>
            <w:left w:val="none" w:sz="0" w:space="0" w:color="auto"/>
            <w:bottom w:val="none" w:sz="0" w:space="0" w:color="auto"/>
            <w:right w:val="none" w:sz="0" w:space="0" w:color="auto"/>
          </w:divBdr>
        </w:div>
        <w:div w:id="986545733">
          <w:marLeft w:val="0"/>
          <w:marRight w:val="0"/>
          <w:marTop w:val="0"/>
          <w:marBottom w:val="0"/>
          <w:divBdr>
            <w:top w:val="none" w:sz="0" w:space="0" w:color="auto"/>
            <w:left w:val="none" w:sz="0" w:space="0" w:color="auto"/>
            <w:bottom w:val="none" w:sz="0" w:space="0" w:color="auto"/>
            <w:right w:val="none" w:sz="0" w:space="0" w:color="auto"/>
          </w:divBdr>
        </w:div>
        <w:div w:id="1373654803">
          <w:marLeft w:val="0"/>
          <w:marRight w:val="0"/>
          <w:marTop w:val="0"/>
          <w:marBottom w:val="0"/>
          <w:divBdr>
            <w:top w:val="none" w:sz="0" w:space="0" w:color="auto"/>
            <w:left w:val="none" w:sz="0" w:space="0" w:color="auto"/>
            <w:bottom w:val="none" w:sz="0" w:space="0" w:color="auto"/>
            <w:right w:val="none" w:sz="0" w:space="0" w:color="auto"/>
          </w:divBdr>
        </w:div>
        <w:div w:id="805589007">
          <w:marLeft w:val="0"/>
          <w:marRight w:val="0"/>
          <w:marTop w:val="0"/>
          <w:marBottom w:val="0"/>
          <w:divBdr>
            <w:top w:val="none" w:sz="0" w:space="0" w:color="auto"/>
            <w:left w:val="none" w:sz="0" w:space="0" w:color="auto"/>
            <w:bottom w:val="none" w:sz="0" w:space="0" w:color="auto"/>
            <w:right w:val="none" w:sz="0" w:space="0" w:color="auto"/>
          </w:divBdr>
        </w:div>
        <w:div w:id="1606031970">
          <w:marLeft w:val="0"/>
          <w:marRight w:val="0"/>
          <w:marTop w:val="0"/>
          <w:marBottom w:val="0"/>
          <w:divBdr>
            <w:top w:val="none" w:sz="0" w:space="0" w:color="auto"/>
            <w:left w:val="none" w:sz="0" w:space="0" w:color="auto"/>
            <w:bottom w:val="none" w:sz="0" w:space="0" w:color="auto"/>
            <w:right w:val="none" w:sz="0" w:space="0" w:color="auto"/>
          </w:divBdr>
        </w:div>
        <w:div w:id="849563989">
          <w:marLeft w:val="0"/>
          <w:marRight w:val="0"/>
          <w:marTop w:val="0"/>
          <w:marBottom w:val="0"/>
          <w:divBdr>
            <w:top w:val="none" w:sz="0" w:space="0" w:color="auto"/>
            <w:left w:val="none" w:sz="0" w:space="0" w:color="auto"/>
            <w:bottom w:val="none" w:sz="0" w:space="0" w:color="auto"/>
            <w:right w:val="none" w:sz="0" w:space="0" w:color="auto"/>
          </w:divBdr>
        </w:div>
        <w:div w:id="1505315161">
          <w:marLeft w:val="0"/>
          <w:marRight w:val="0"/>
          <w:marTop w:val="0"/>
          <w:marBottom w:val="0"/>
          <w:divBdr>
            <w:top w:val="none" w:sz="0" w:space="0" w:color="auto"/>
            <w:left w:val="none" w:sz="0" w:space="0" w:color="auto"/>
            <w:bottom w:val="none" w:sz="0" w:space="0" w:color="auto"/>
            <w:right w:val="none" w:sz="0" w:space="0" w:color="auto"/>
          </w:divBdr>
        </w:div>
        <w:div w:id="45227717">
          <w:marLeft w:val="0"/>
          <w:marRight w:val="0"/>
          <w:marTop w:val="0"/>
          <w:marBottom w:val="0"/>
          <w:divBdr>
            <w:top w:val="none" w:sz="0" w:space="0" w:color="auto"/>
            <w:left w:val="none" w:sz="0" w:space="0" w:color="auto"/>
            <w:bottom w:val="none" w:sz="0" w:space="0" w:color="auto"/>
            <w:right w:val="none" w:sz="0" w:space="0" w:color="auto"/>
          </w:divBdr>
        </w:div>
        <w:div w:id="1835950491">
          <w:marLeft w:val="0"/>
          <w:marRight w:val="0"/>
          <w:marTop w:val="0"/>
          <w:marBottom w:val="0"/>
          <w:divBdr>
            <w:top w:val="none" w:sz="0" w:space="0" w:color="auto"/>
            <w:left w:val="none" w:sz="0" w:space="0" w:color="auto"/>
            <w:bottom w:val="none" w:sz="0" w:space="0" w:color="auto"/>
            <w:right w:val="none" w:sz="0" w:space="0" w:color="auto"/>
          </w:divBdr>
        </w:div>
        <w:div w:id="188493257">
          <w:marLeft w:val="0"/>
          <w:marRight w:val="0"/>
          <w:marTop w:val="0"/>
          <w:marBottom w:val="0"/>
          <w:divBdr>
            <w:top w:val="none" w:sz="0" w:space="0" w:color="auto"/>
            <w:left w:val="none" w:sz="0" w:space="0" w:color="auto"/>
            <w:bottom w:val="none" w:sz="0" w:space="0" w:color="auto"/>
            <w:right w:val="none" w:sz="0" w:space="0" w:color="auto"/>
          </w:divBdr>
        </w:div>
        <w:div w:id="217859827">
          <w:marLeft w:val="0"/>
          <w:marRight w:val="0"/>
          <w:marTop w:val="0"/>
          <w:marBottom w:val="0"/>
          <w:divBdr>
            <w:top w:val="none" w:sz="0" w:space="0" w:color="auto"/>
            <w:left w:val="none" w:sz="0" w:space="0" w:color="auto"/>
            <w:bottom w:val="none" w:sz="0" w:space="0" w:color="auto"/>
            <w:right w:val="none" w:sz="0" w:space="0" w:color="auto"/>
          </w:divBdr>
        </w:div>
        <w:div w:id="1875537634">
          <w:marLeft w:val="0"/>
          <w:marRight w:val="0"/>
          <w:marTop w:val="0"/>
          <w:marBottom w:val="0"/>
          <w:divBdr>
            <w:top w:val="none" w:sz="0" w:space="0" w:color="auto"/>
            <w:left w:val="none" w:sz="0" w:space="0" w:color="auto"/>
            <w:bottom w:val="none" w:sz="0" w:space="0" w:color="auto"/>
            <w:right w:val="none" w:sz="0" w:space="0" w:color="auto"/>
          </w:divBdr>
        </w:div>
        <w:div w:id="1987007605">
          <w:marLeft w:val="0"/>
          <w:marRight w:val="0"/>
          <w:marTop w:val="0"/>
          <w:marBottom w:val="0"/>
          <w:divBdr>
            <w:top w:val="none" w:sz="0" w:space="0" w:color="auto"/>
            <w:left w:val="none" w:sz="0" w:space="0" w:color="auto"/>
            <w:bottom w:val="none" w:sz="0" w:space="0" w:color="auto"/>
            <w:right w:val="none" w:sz="0" w:space="0" w:color="auto"/>
          </w:divBdr>
        </w:div>
        <w:div w:id="528297188">
          <w:marLeft w:val="0"/>
          <w:marRight w:val="0"/>
          <w:marTop w:val="0"/>
          <w:marBottom w:val="0"/>
          <w:divBdr>
            <w:top w:val="none" w:sz="0" w:space="0" w:color="auto"/>
            <w:left w:val="none" w:sz="0" w:space="0" w:color="auto"/>
            <w:bottom w:val="none" w:sz="0" w:space="0" w:color="auto"/>
            <w:right w:val="none" w:sz="0" w:space="0" w:color="auto"/>
          </w:divBdr>
        </w:div>
        <w:div w:id="1053120410">
          <w:marLeft w:val="0"/>
          <w:marRight w:val="0"/>
          <w:marTop w:val="0"/>
          <w:marBottom w:val="0"/>
          <w:divBdr>
            <w:top w:val="none" w:sz="0" w:space="0" w:color="auto"/>
            <w:left w:val="none" w:sz="0" w:space="0" w:color="auto"/>
            <w:bottom w:val="none" w:sz="0" w:space="0" w:color="auto"/>
            <w:right w:val="none" w:sz="0" w:space="0" w:color="auto"/>
          </w:divBdr>
        </w:div>
        <w:div w:id="1274436259">
          <w:marLeft w:val="0"/>
          <w:marRight w:val="0"/>
          <w:marTop w:val="0"/>
          <w:marBottom w:val="0"/>
          <w:divBdr>
            <w:top w:val="none" w:sz="0" w:space="0" w:color="auto"/>
            <w:left w:val="none" w:sz="0" w:space="0" w:color="auto"/>
            <w:bottom w:val="none" w:sz="0" w:space="0" w:color="auto"/>
            <w:right w:val="none" w:sz="0" w:space="0" w:color="auto"/>
          </w:divBdr>
        </w:div>
        <w:div w:id="1204447002">
          <w:marLeft w:val="0"/>
          <w:marRight w:val="0"/>
          <w:marTop w:val="0"/>
          <w:marBottom w:val="0"/>
          <w:divBdr>
            <w:top w:val="none" w:sz="0" w:space="0" w:color="auto"/>
            <w:left w:val="none" w:sz="0" w:space="0" w:color="auto"/>
            <w:bottom w:val="none" w:sz="0" w:space="0" w:color="auto"/>
            <w:right w:val="none" w:sz="0" w:space="0" w:color="auto"/>
          </w:divBdr>
        </w:div>
        <w:div w:id="159586069">
          <w:marLeft w:val="0"/>
          <w:marRight w:val="0"/>
          <w:marTop w:val="0"/>
          <w:marBottom w:val="0"/>
          <w:divBdr>
            <w:top w:val="none" w:sz="0" w:space="0" w:color="auto"/>
            <w:left w:val="none" w:sz="0" w:space="0" w:color="auto"/>
            <w:bottom w:val="none" w:sz="0" w:space="0" w:color="auto"/>
            <w:right w:val="none" w:sz="0" w:space="0" w:color="auto"/>
          </w:divBdr>
        </w:div>
        <w:div w:id="528840107">
          <w:marLeft w:val="0"/>
          <w:marRight w:val="0"/>
          <w:marTop w:val="0"/>
          <w:marBottom w:val="0"/>
          <w:divBdr>
            <w:top w:val="none" w:sz="0" w:space="0" w:color="auto"/>
            <w:left w:val="none" w:sz="0" w:space="0" w:color="auto"/>
            <w:bottom w:val="none" w:sz="0" w:space="0" w:color="auto"/>
            <w:right w:val="none" w:sz="0" w:space="0" w:color="auto"/>
          </w:divBdr>
        </w:div>
        <w:div w:id="1557281685">
          <w:marLeft w:val="0"/>
          <w:marRight w:val="0"/>
          <w:marTop w:val="0"/>
          <w:marBottom w:val="0"/>
          <w:divBdr>
            <w:top w:val="none" w:sz="0" w:space="0" w:color="auto"/>
            <w:left w:val="none" w:sz="0" w:space="0" w:color="auto"/>
            <w:bottom w:val="none" w:sz="0" w:space="0" w:color="auto"/>
            <w:right w:val="none" w:sz="0" w:space="0" w:color="auto"/>
          </w:divBdr>
        </w:div>
        <w:div w:id="1280142307">
          <w:marLeft w:val="0"/>
          <w:marRight w:val="0"/>
          <w:marTop w:val="0"/>
          <w:marBottom w:val="0"/>
          <w:divBdr>
            <w:top w:val="none" w:sz="0" w:space="0" w:color="auto"/>
            <w:left w:val="none" w:sz="0" w:space="0" w:color="auto"/>
            <w:bottom w:val="none" w:sz="0" w:space="0" w:color="auto"/>
            <w:right w:val="none" w:sz="0" w:space="0" w:color="auto"/>
          </w:divBdr>
        </w:div>
        <w:div w:id="97337071">
          <w:marLeft w:val="0"/>
          <w:marRight w:val="0"/>
          <w:marTop w:val="0"/>
          <w:marBottom w:val="0"/>
          <w:divBdr>
            <w:top w:val="none" w:sz="0" w:space="0" w:color="auto"/>
            <w:left w:val="none" w:sz="0" w:space="0" w:color="auto"/>
            <w:bottom w:val="none" w:sz="0" w:space="0" w:color="auto"/>
            <w:right w:val="none" w:sz="0" w:space="0" w:color="auto"/>
          </w:divBdr>
        </w:div>
        <w:div w:id="1793590943">
          <w:marLeft w:val="0"/>
          <w:marRight w:val="0"/>
          <w:marTop w:val="0"/>
          <w:marBottom w:val="0"/>
          <w:divBdr>
            <w:top w:val="none" w:sz="0" w:space="0" w:color="auto"/>
            <w:left w:val="none" w:sz="0" w:space="0" w:color="auto"/>
            <w:bottom w:val="none" w:sz="0" w:space="0" w:color="auto"/>
            <w:right w:val="none" w:sz="0" w:space="0" w:color="auto"/>
          </w:divBdr>
        </w:div>
        <w:div w:id="2139032682">
          <w:marLeft w:val="0"/>
          <w:marRight w:val="0"/>
          <w:marTop w:val="0"/>
          <w:marBottom w:val="0"/>
          <w:divBdr>
            <w:top w:val="none" w:sz="0" w:space="0" w:color="auto"/>
            <w:left w:val="none" w:sz="0" w:space="0" w:color="auto"/>
            <w:bottom w:val="none" w:sz="0" w:space="0" w:color="auto"/>
            <w:right w:val="none" w:sz="0" w:space="0" w:color="auto"/>
          </w:divBdr>
        </w:div>
        <w:div w:id="1372612871">
          <w:marLeft w:val="0"/>
          <w:marRight w:val="0"/>
          <w:marTop w:val="0"/>
          <w:marBottom w:val="0"/>
          <w:divBdr>
            <w:top w:val="none" w:sz="0" w:space="0" w:color="auto"/>
            <w:left w:val="none" w:sz="0" w:space="0" w:color="auto"/>
            <w:bottom w:val="none" w:sz="0" w:space="0" w:color="auto"/>
            <w:right w:val="none" w:sz="0" w:space="0" w:color="auto"/>
          </w:divBdr>
        </w:div>
        <w:div w:id="1515681695">
          <w:marLeft w:val="0"/>
          <w:marRight w:val="0"/>
          <w:marTop w:val="0"/>
          <w:marBottom w:val="0"/>
          <w:divBdr>
            <w:top w:val="none" w:sz="0" w:space="0" w:color="auto"/>
            <w:left w:val="none" w:sz="0" w:space="0" w:color="auto"/>
            <w:bottom w:val="none" w:sz="0" w:space="0" w:color="auto"/>
            <w:right w:val="none" w:sz="0" w:space="0" w:color="auto"/>
          </w:divBdr>
        </w:div>
        <w:div w:id="1089037156">
          <w:marLeft w:val="0"/>
          <w:marRight w:val="0"/>
          <w:marTop w:val="0"/>
          <w:marBottom w:val="0"/>
          <w:divBdr>
            <w:top w:val="none" w:sz="0" w:space="0" w:color="auto"/>
            <w:left w:val="none" w:sz="0" w:space="0" w:color="auto"/>
            <w:bottom w:val="none" w:sz="0" w:space="0" w:color="auto"/>
            <w:right w:val="none" w:sz="0" w:space="0" w:color="auto"/>
          </w:divBdr>
        </w:div>
        <w:div w:id="541669050">
          <w:marLeft w:val="0"/>
          <w:marRight w:val="0"/>
          <w:marTop w:val="0"/>
          <w:marBottom w:val="0"/>
          <w:divBdr>
            <w:top w:val="none" w:sz="0" w:space="0" w:color="auto"/>
            <w:left w:val="none" w:sz="0" w:space="0" w:color="auto"/>
            <w:bottom w:val="none" w:sz="0" w:space="0" w:color="auto"/>
            <w:right w:val="none" w:sz="0" w:space="0" w:color="auto"/>
          </w:divBdr>
        </w:div>
        <w:div w:id="588972607">
          <w:marLeft w:val="0"/>
          <w:marRight w:val="0"/>
          <w:marTop w:val="0"/>
          <w:marBottom w:val="0"/>
          <w:divBdr>
            <w:top w:val="none" w:sz="0" w:space="0" w:color="auto"/>
            <w:left w:val="none" w:sz="0" w:space="0" w:color="auto"/>
            <w:bottom w:val="none" w:sz="0" w:space="0" w:color="auto"/>
            <w:right w:val="none" w:sz="0" w:space="0" w:color="auto"/>
          </w:divBdr>
        </w:div>
        <w:div w:id="709576888">
          <w:marLeft w:val="0"/>
          <w:marRight w:val="0"/>
          <w:marTop w:val="0"/>
          <w:marBottom w:val="0"/>
          <w:divBdr>
            <w:top w:val="none" w:sz="0" w:space="0" w:color="auto"/>
            <w:left w:val="none" w:sz="0" w:space="0" w:color="auto"/>
            <w:bottom w:val="none" w:sz="0" w:space="0" w:color="auto"/>
            <w:right w:val="none" w:sz="0" w:space="0" w:color="auto"/>
          </w:divBdr>
        </w:div>
        <w:div w:id="1452741759">
          <w:marLeft w:val="0"/>
          <w:marRight w:val="0"/>
          <w:marTop w:val="0"/>
          <w:marBottom w:val="0"/>
          <w:divBdr>
            <w:top w:val="none" w:sz="0" w:space="0" w:color="auto"/>
            <w:left w:val="none" w:sz="0" w:space="0" w:color="auto"/>
            <w:bottom w:val="none" w:sz="0" w:space="0" w:color="auto"/>
            <w:right w:val="none" w:sz="0" w:space="0" w:color="auto"/>
          </w:divBdr>
        </w:div>
        <w:div w:id="1209563633">
          <w:marLeft w:val="0"/>
          <w:marRight w:val="0"/>
          <w:marTop w:val="0"/>
          <w:marBottom w:val="0"/>
          <w:divBdr>
            <w:top w:val="none" w:sz="0" w:space="0" w:color="auto"/>
            <w:left w:val="none" w:sz="0" w:space="0" w:color="auto"/>
            <w:bottom w:val="none" w:sz="0" w:space="0" w:color="auto"/>
            <w:right w:val="none" w:sz="0" w:space="0" w:color="auto"/>
          </w:divBdr>
        </w:div>
        <w:div w:id="1362316085">
          <w:marLeft w:val="0"/>
          <w:marRight w:val="0"/>
          <w:marTop w:val="0"/>
          <w:marBottom w:val="0"/>
          <w:divBdr>
            <w:top w:val="none" w:sz="0" w:space="0" w:color="auto"/>
            <w:left w:val="none" w:sz="0" w:space="0" w:color="auto"/>
            <w:bottom w:val="none" w:sz="0" w:space="0" w:color="auto"/>
            <w:right w:val="none" w:sz="0" w:space="0" w:color="auto"/>
          </w:divBdr>
        </w:div>
        <w:div w:id="1095974050">
          <w:marLeft w:val="0"/>
          <w:marRight w:val="0"/>
          <w:marTop w:val="0"/>
          <w:marBottom w:val="0"/>
          <w:divBdr>
            <w:top w:val="none" w:sz="0" w:space="0" w:color="auto"/>
            <w:left w:val="none" w:sz="0" w:space="0" w:color="auto"/>
            <w:bottom w:val="none" w:sz="0" w:space="0" w:color="auto"/>
            <w:right w:val="none" w:sz="0" w:space="0" w:color="auto"/>
          </w:divBdr>
        </w:div>
        <w:div w:id="922451085">
          <w:marLeft w:val="0"/>
          <w:marRight w:val="0"/>
          <w:marTop w:val="0"/>
          <w:marBottom w:val="0"/>
          <w:divBdr>
            <w:top w:val="none" w:sz="0" w:space="0" w:color="auto"/>
            <w:left w:val="none" w:sz="0" w:space="0" w:color="auto"/>
            <w:bottom w:val="none" w:sz="0" w:space="0" w:color="auto"/>
            <w:right w:val="none" w:sz="0" w:space="0" w:color="auto"/>
          </w:divBdr>
        </w:div>
        <w:div w:id="1245258760">
          <w:marLeft w:val="0"/>
          <w:marRight w:val="0"/>
          <w:marTop w:val="0"/>
          <w:marBottom w:val="0"/>
          <w:divBdr>
            <w:top w:val="none" w:sz="0" w:space="0" w:color="auto"/>
            <w:left w:val="none" w:sz="0" w:space="0" w:color="auto"/>
            <w:bottom w:val="none" w:sz="0" w:space="0" w:color="auto"/>
            <w:right w:val="none" w:sz="0" w:space="0" w:color="auto"/>
          </w:divBdr>
        </w:div>
        <w:div w:id="1768696243">
          <w:marLeft w:val="0"/>
          <w:marRight w:val="0"/>
          <w:marTop w:val="0"/>
          <w:marBottom w:val="0"/>
          <w:divBdr>
            <w:top w:val="none" w:sz="0" w:space="0" w:color="auto"/>
            <w:left w:val="none" w:sz="0" w:space="0" w:color="auto"/>
            <w:bottom w:val="none" w:sz="0" w:space="0" w:color="auto"/>
            <w:right w:val="none" w:sz="0" w:space="0" w:color="auto"/>
          </w:divBdr>
        </w:div>
        <w:div w:id="1543519694">
          <w:marLeft w:val="0"/>
          <w:marRight w:val="0"/>
          <w:marTop w:val="0"/>
          <w:marBottom w:val="0"/>
          <w:divBdr>
            <w:top w:val="none" w:sz="0" w:space="0" w:color="auto"/>
            <w:left w:val="none" w:sz="0" w:space="0" w:color="auto"/>
            <w:bottom w:val="none" w:sz="0" w:space="0" w:color="auto"/>
            <w:right w:val="none" w:sz="0" w:space="0" w:color="auto"/>
          </w:divBdr>
        </w:div>
        <w:div w:id="811218676">
          <w:marLeft w:val="0"/>
          <w:marRight w:val="0"/>
          <w:marTop w:val="0"/>
          <w:marBottom w:val="0"/>
          <w:divBdr>
            <w:top w:val="none" w:sz="0" w:space="0" w:color="auto"/>
            <w:left w:val="none" w:sz="0" w:space="0" w:color="auto"/>
            <w:bottom w:val="none" w:sz="0" w:space="0" w:color="auto"/>
            <w:right w:val="none" w:sz="0" w:space="0" w:color="auto"/>
          </w:divBdr>
        </w:div>
        <w:div w:id="1305890056">
          <w:marLeft w:val="0"/>
          <w:marRight w:val="0"/>
          <w:marTop w:val="0"/>
          <w:marBottom w:val="0"/>
          <w:divBdr>
            <w:top w:val="none" w:sz="0" w:space="0" w:color="auto"/>
            <w:left w:val="none" w:sz="0" w:space="0" w:color="auto"/>
            <w:bottom w:val="none" w:sz="0" w:space="0" w:color="auto"/>
            <w:right w:val="none" w:sz="0" w:space="0" w:color="auto"/>
          </w:divBdr>
        </w:div>
        <w:div w:id="1474521504">
          <w:marLeft w:val="0"/>
          <w:marRight w:val="0"/>
          <w:marTop w:val="0"/>
          <w:marBottom w:val="0"/>
          <w:divBdr>
            <w:top w:val="none" w:sz="0" w:space="0" w:color="auto"/>
            <w:left w:val="none" w:sz="0" w:space="0" w:color="auto"/>
            <w:bottom w:val="none" w:sz="0" w:space="0" w:color="auto"/>
            <w:right w:val="none" w:sz="0" w:space="0" w:color="auto"/>
          </w:divBdr>
        </w:div>
        <w:div w:id="1397313167">
          <w:marLeft w:val="0"/>
          <w:marRight w:val="0"/>
          <w:marTop w:val="0"/>
          <w:marBottom w:val="0"/>
          <w:divBdr>
            <w:top w:val="none" w:sz="0" w:space="0" w:color="auto"/>
            <w:left w:val="none" w:sz="0" w:space="0" w:color="auto"/>
            <w:bottom w:val="none" w:sz="0" w:space="0" w:color="auto"/>
            <w:right w:val="none" w:sz="0" w:space="0" w:color="auto"/>
          </w:divBdr>
        </w:div>
        <w:div w:id="1613589350">
          <w:marLeft w:val="0"/>
          <w:marRight w:val="0"/>
          <w:marTop w:val="0"/>
          <w:marBottom w:val="0"/>
          <w:divBdr>
            <w:top w:val="none" w:sz="0" w:space="0" w:color="auto"/>
            <w:left w:val="none" w:sz="0" w:space="0" w:color="auto"/>
            <w:bottom w:val="none" w:sz="0" w:space="0" w:color="auto"/>
            <w:right w:val="none" w:sz="0" w:space="0" w:color="auto"/>
          </w:divBdr>
        </w:div>
        <w:div w:id="1102457765">
          <w:marLeft w:val="0"/>
          <w:marRight w:val="0"/>
          <w:marTop w:val="0"/>
          <w:marBottom w:val="0"/>
          <w:divBdr>
            <w:top w:val="none" w:sz="0" w:space="0" w:color="auto"/>
            <w:left w:val="none" w:sz="0" w:space="0" w:color="auto"/>
            <w:bottom w:val="none" w:sz="0" w:space="0" w:color="auto"/>
            <w:right w:val="none" w:sz="0" w:space="0" w:color="auto"/>
          </w:divBdr>
        </w:div>
        <w:div w:id="1702822727">
          <w:marLeft w:val="0"/>
          <w:marRight w:val="0"/>
          <w:marTop w:val="0"/>
          <w:marBottom w:val="0"/>
          <w:divBdr>
            <w:top w:val="none" w:sz="0" w:space="0" w:color="auto"/>
            <w:left w:val="none" w:sz="0" w:space="0" w:color="auto"/>
            <w:bottom w:val="none" w:sz="0" w:space="0" w:color="auto"/>
            <w:right w:val="none" w:sz="0" w:space="0" w:color="auto"/>
          </w:divBdr>
        </w:div>
        <w:div w:id="981926822">
          <w:marLeft w:val="0"/>
          <w:marRight w:val="0"/>
          <w:marTop w:val="0"/>
          <w:marBottom w:val="0"/>
          <w:divBdr>
            <w:top w:val="none" w:sz="0" w:space="0" w:color="auto"/>
            <w:left w:val="none" w:sz="0" w:space="0" w:color="auto"/>
            <w:bottom w:val="none" w:sz="0" w:space="0" w:color="auto"/>
            <w:right w:val="none" w:sz="0" w:space="0" w:color="auto"/>
          </w:divBdr>
        </w:div>
        <w:div w:id="72050121">
          <w:marLeft w:val="0"/>
          <w:marRight w:val="0"/>
          <w:marTop w:val="0"/>
          <w:marBottom w:val="0"/>
          <w:divBdr>
            <w:top w:val="none" w:sz="0" w:space="0" w:color="auto"/>
            <w:left w:val="none" w:sz="0" w:space="0" w:color="auto"/>
            <w:bottom w:val="none" w:sz="0" w:space="0" w:color="auto"/>
            <w:right w:val="none" w:sz="0" w:space="0" w:color="auto"/>
          </w:divBdr>
        </w:div>
        <w:div w:id="1667126990">
          <w:marLeft w:val="0"/>
          <w:marRight w:val="0"/>
          <w:marTop w:val="0"/>
          <w:marBottom w:val="0"/>
          <w:divBdr>
            <w:top w:val="none" w:sz="0" w:space="0" w:color="auto"/>
            <w:left w:val="none" w:sz="0" w:space="0" w:color="auto"/>
            <w:bottom w:val="none" w:sz="0" w:space="0" w:color="auto"/>
            <w:right w:val="none" w:sz="0" w:space="0" w:color="auto"/>
          </w:divBdr>
        </w:div>
        <w:div w:id="730924463">
          <w:marLeft w:val="0"/>
          <w:marRight w:val="0"/>
          <w:marTop w:val="0"/>
          <w:marBottom w:val="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
    <w:div w:id="1017077547">
      <w:bodyDiv w:val="1"/>
      <w:marLeft w:val="0"/>
      <w:marRight w:val="0"/>
      <w:marTop w:val="0"/>
      <w:marBottom w:val="0"/>
      <w:divBdr>
        <w:top w:val="none" w:sz="0" w:space="0" w:color="auto"/>
        <w:left w:val="none" w:sz="0" w:space="0" w:color="auto"/>
        <w:bottom w:val="none" w:sz="0" w:space="0" w:color="auto"/>
        <w:right w:val="none" w:sz="0" w:space="0" w:color="auto"/>
      </w:divBdr>
    </w:div>
    <w:div w:id="1185749390">
      <w:bodyDiv w:val="1"/>
      <w:marLeft w:val="0"/>
      <w:marRight w:val="0"/>
      <w:marTop w:val="0"/>
      <w:marBottom w:val="0"/>
      <w:divBdr>
        <w:top w:val="none" w:sz="0" w:space="0" w:color="auto"/>
        <w:left w:val="none" w:sz="0" w:space="0" w:color="auto"/>
        <w:bottom w:val="none" w:sz="0" w:space="0" w:color="auto"/>
        <w:right w:val="none" w:sz="0" w:space="0" w:color="auto"/>
      </w:divBdr>
    </w:div>
    <w:div w:id="1223639682">
      <w:bodyDiv w:val="1"/>
      <w:marLeft w:val="0"/>
      <w:marRight w:val="0"/>
      <w:marTop w:val="0"/>
      <w:marBottom w:val="0"/>
      <w:divBdr>
        <w:top w:val="none" w:sz="0" w:space="0" w:color="auto"/>
        <w:left w:val="none" w:sz="0" w:space="0" w:color="auto"/>
        <w:bottom w:val="none" w:sz="0" w:space="0" w:color="auto"/>
        <w:right w:val="none" w:sz="0" w:space="0" w:color="auto"/>
      </w:divBdr>
    </w:div>
    <w:div w:id="1613592826">
      <w:bodyDiv w:val="1"/>
      <w:marLeft w:val="0"/>
      <w:marRight w:val="0"/>
      <w:marTop w:val="0"/>
      <w:marBottom w:val="0"/>
      <w:divBdr>
        <w:top w:val="none" w:sz="0" w:space="0" w:color="auto"/>
        <w:left w:val="none" w:sz="0" w:space="0" w:color="auto"/>
        <w:bottom w:val="none" w:sz="0" w:space="0" w:color="auto"/>
        <w:right w:val="none" w:sz="0" w:space="0" w:color="auto"/>
      </w:divBdr>
    </w:div>
    <w:div w:id="1741832608">
      <w:bodyDiv w:val="1"/>
      <w:marLeft w:val="0"/>
      <w:marRight w:val="0"/>
      <w:marTop w:val="0"/>
      <w:marBottom w:val="0"/>
      <w:divBdr>
        <w:top w:val="none" w:sz="0" w:space="0" w:color="auto"/>
        <w:left w:val="none" w:sz="0" w:space="0" w:color="auto"/>
        <w:bottom w:val="none" w:sz="0" w:space="0" w:color="auto"/>
        <w:right w:val="none" w:sz="0" w:space="0" w:color="auto"/>
      </w:divBdr>
    </w:div>
    <w:div w:id="2042050158">
      <w:bodyDiv w:val="1"/>
      <w:marLeft w:val="0"/>
      <w:marRight w:val="0"/>
      <w:marTop w:val="0"/>
      <w:marBottom w:val="0"/>
      <w:divBdr>
        <w:top w:val="none" w:sz="0" w:space="0" w:color="auto"/>
        <w:left w:val="none" w:sz="0" w:space="0" w:color="auto"/>
        <w:bottom w:val="none" w:sz="0" w:space="0" w:color="auto"/>
        <w:right w:val="none" w:sz="0" w:space="0" w:color="auto"/>
      </w:divBdr>
    </w:div>
    <w:div w:id="2107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ministerstvo/novinar/msmt-pripravilo-doporuceni-k-smluvnim-vztahum-mezi-zakem-a" TargetMode="External"/><Relationship Id="rId18" Type="http://schemas.openxmlformats.org/officeDocument/2006/relationships/hyperlink" Target="http://www.msmt.cz/ministerstvo/novinar/msmt-pripravilo-doporuceni-k-smluvnim-vztahum-mezi-zakem-a" TargetMode="External"/><Relationship Id="rId26" Type="http://schemas.openxmlformats.org/officeDocument/2006/relationships/hyperlink" Target="http://www.msmt.cz/ministerstvo/novinar/msmt-pripravilo-doporuceni-k-smluvnim-vztahum-mezi-zakem-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smt.cz/ministerstvo/novinar/msmt-pripravilo-doporuceni-k-smluvnim-vztahum-mezi-zakem-a" TargetMode="External"/><Relationship Id="rId34" Type="http://schemas.openxmlformats.org/officeDocument/2006/relationships/hyperlink" Target="http://www.nuv.cz/p-kap/rozvoj-karieroveho-poradenstvi" TargetMode="External"/><Relationship Id="rId7" Type="http://schemas.openxmlformats.org/officeDocument/2006/relationships/endnotes" Target="endnotes.xml"/><Relationship Id="rId12" Type="http://schemas.openxmlformats.org/officeDocument/2006/relationships/hyperlink" Target="http://www.msmt.cz/ministerstvo/novinar/msmt-pripravilo-doporuceni-k-smluvnim-vztahum-mezi-zakem-a" TargetMode="External"/><Relationship Id="rId17" Type="http://schemas.openxmlformats.org/officeDocument/2006/relationships/hyperlink" Target="http://www.msmt.cz/ministerstvo/novinar/msmt-pripravilo-doporuceni-k-smluvnim-vztahum-mezi-zakem-a" TargetMode="External"/><Relationship Id="rId25" Type="http://schemas.openxmlformats.org/officeDocument/2006/relationships/hyperlink" Target="http://www.msmt.cz/ministerstvo/novinar/msmt-pripravilo-doporuceni-k-smluvnim-vztahum-mezi-zakem-a" TargetMode="External"/><Relationship Id="rId33" Type="http://schemas.openxmlformats.org/officeDocument/2006/relationships/hyperlink" Target="http://www.nuv.cz/p-kap/podpora-odborneho-vzdelavani-vcetne-spoluprace-skol-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mt.cz/ministerstvo/novinar/msmt-pripravilo-doporuceni-k-smluvnim-vztahum-mezi-zakem-a" TargetMode="External"/><Relationship Id="rId20" Type="http://schemas.openxmlformats.org/officeDocument/2006/relationships/hyperlink" Target="http://www.msmt.cz/ministerstvo/novinar/msmt-pripravilo-doporuceni-k-smluvnim-vztahum-mezi-zakem-a" TargetMode="External"/><Relationship Id="rId29"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inisterstvo/novinar/msmt-pripravilo-doporuceni-k-smluvnim-vztahum-mezi-zakem-a" TargetMode="External"/><Relationship Id="rId24" Type="http://schemas.openxmlformats.org/officeDocument/2006/relationships/hyperlink" Target="http://www.msmt.cz/ministerstvo/novinar/msmt-pripravilo-doporuceni-k-smluvnim-vztahum-mezi-zakem-a" TargetMode="External"/><Relationship Id="rId32" Type="http://schemas.openxmlformats.org/officeDocument/2006/relationships/hyperlink" Target="http://www.nuv.cz/p-kap/podpora-polytechnickeho-vzdelavan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mt.cz/ministerstvo/novinar/msmt-pripravilo-doporuceni-k-smluvnim-vztahum-mezi-zakem-a" TargetMode="External"/><Relationship Id="rId23" Type="http://schemas.openxmlformats.org/officeDocument/2006/relationships/hyperlink" Target="http://www.msmt.cz/ministerstvo/novinar/msmt-pripravilo-doporuceni-k-smluvnim-vztahum-mezi-zakem-a" TargetMode="External"/><Relationship Id="rId28" Type="http://schemas.openxmlformats.org/officeDocument/2006/relationships/hyperlink" Target="http://www.nuv.cz/t/studie-1" TargetMode="External"/><Relationship Id="rId36" Type="http://schemas.openxmlformats.org/officeDocument/2006/relationships/hyperlink" Target="http://www.nuv.cz/p-kap/podpora-inkluze" TargetMode="External"/><Relationship Id="rId10" Type="http://schemas.openxmlformats.org/officeDocument/2006/relationships/image" Target="media/image2.png"/><Relationship Id="rId19" Type="http://schemas.openxmlformats.org/officeDocument/2006/relationships/hyperlink" Target="http://www.msmt.cz/ministerstvo/novinar/msmt-pripravilo-doporuceni-k-smluvnim-vztahum-mezi-zakem-a" TargetMode="External"/><Relationship Id="rId31" Type="http://schemas.openxmlformats.org/officeDocument/2006/relationships/hyperlink" Target="http://www.nuv.cz/p-kap/podpora-kompetenci-k-podnikavosti-a-kreativit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smt.cz/ministerstvo/novinar/msmt-pripravilo-doporuceni-k-smluvnim-vztahum-mezi-zakem-a" TargetMode="External"/><Relationship Id="rId22" Type="http://schemas.openxmlformats.org/officeDocument/2006/relationships/hyperlink" Target="http://www.msmt.cz/ministerstvo/novinar/msmt-pripravilo-doporuceni-k-smluvnim-vztahum-mezi-zakem-a" TargetMode="External"/><Relationship Id="rId27" Type="http://schemas.openxmlformats.org/officeDocument/2006/relationships/hyperlink" Target="http://www.msmt.cz/ministerstvo/novinar/msmt-pripravilo-doporuceni-k-smluvnim-vztahum-mezi-zakem-a" TargetMode="External"/><Relationship Id="rId30" Type="http://schemas.openxmlformats.org/officeDocument/2006/relationships/hyperlink" Target="http://www.narodnikvalifikace.cz/kvalifikace-1539/hodnotici-standard" TargetMode="External"/><Relationship Id="rId35" Type="http://schemas.openxmlformats.org/officeDocument/2006/relationships/hyperlink" Target="http://www.nuv.cz/p-kap/rozvoj-skol-jako-center-celozivotniho-uce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25616388334038"/>
          <c:y val="7.3525327251220449E-2"/>
          <c:w val="0.79589913417669156"/>
          <c:h val="0.8283502200092635"/>
        </c:manualLayout>
      </c:layout>
      <c:barChart>
        <c:barDir val="col"/>
        <c:grouping val="clustered"/>
        <c:varyColors val="0"/>
        <c:ser>
          <c:idx val="0"/>
          <c:order val="2"/>
          <c:tx>
            <c:v>% nárůst</c:v>
          </c:tx>
          <c:spPr>
            <a:solidFill>
              <a:srgbClr val="C00000"/>
            </a:solidFill>
            <a:ln>
              <a:solidFill>
                <a:srgbClr val="C00000"/>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'ČR+populace'!$A$5:$A$45</c:f>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f>'ČR+populace'!$C$5:$C$45</c:f>
              <c:numCache>
                <c:formatCode>General</c:formatCode>
                <c:ptCount val="41"/>
                <c:pt idx="26" formatCode="0.0%">
                  <c:v>1</c:v>
                </c:pt>
                <c:pt idx="27" formatCode="0.0%">
                  <c:v>1.0183804655938249</c:v>
                </c:pt>
                <c:pt idx="28" formatCode="0.0%">
                  <c:v>1.0274646787045469</c:v>
                </c:pt>
                <c:pt idx="29" formatCode="0.0%">
                  <c:v>1.0489699350489918</c:v>
                </c:pt>
                <c:pt idx="30" formatCode="0.0%">
                  <c:v>1.0599625025109918</c:v>
                </c:pt>
                <c:pt idx="31" formatCode="0.0%">
                  <c:v>1.1039439323259599</c:v>
                </c:pt>
                <c:pt idx="32" formatCode="0.0%">
                  <c:v>1.1571881347231252</c:v>
                </c:pt>
                <c:pt idx="33" formatCode="0.0%">
                  <c:v>1.2224627815101659</c:v>
                </c:pt>
                <c:pt idx="34" formatCode="0.0%">
                  <c:v>1.3290627859741508</c:v>
                </c:pt>
                <c:pt idx="35" formatCode="0.0%">
                  <c:v>1.3801196348458835</c:v>
                </c:pt>
                <c:pt idx="36" formatCode="0.0%">
                  <c:v>1.363814923107828</c:v>
                </c:pt>
                <c:pt idx="37" formatCode="0.0%">
                  <c:v>1.3441622212798261</c:v>
                </c:pt>
                <c:pt idx="38" formatCode="0.0%">
                  <c:v>1.2314688748521299</c:v>
                </c:pt>
                <c:pt idx="39" formatCode="0.0%">
                  <c:v>1.2298506796419884</c:v>
                </c:pt>
                <c:pt idx="40" formatCode="0.0%">
                  <c:v>1.2050755529763633</c:v>
                </c:pt>
              </c:numCache>
            </c:numRef>
          </c:val>
        </c:ser>
        <c:dLbls>
          <c:showLegendKey val="0"/>
          <c:showVal val="0"/>
          <c:showCatName val="0"/>
          <c:showSerName val="0"/>
          <c:showPercent val="0"/>
          <c:showBubbleSize val="0"/>
        </c:dLbls>
        <c:gapWidth val="150"/>
        <c:axId val="300400496"/>
        <c:axId val="230620136"/>
      </c:barChart>
      <c:lineChart>
        <c:grouping val="standard"/>
        <c:varyColors val="0"/>
        <c:ser>
          <c:idx val="1"/>
          <c:order val="0"/>
          <c:tx>
            <c:strRef>
              <c:f>'ČR+populace'!$B$3</c:f>
              <c:strCache>
                <c:ptCount val="1"/>
                <c:pt idx="0">
                  <c:v>počet 15 letých</c:v>
                </c:pt>
              </c:strCache>
            </c:strRef>
          </c:tx>
          <c:spPr>
            <a:ln w="25400">
              <a:solidFill>
                <a:srgbClr val="3366FF"/>
              </a:solidFill>
              <a:prstDash val="solid"/>
            </a:ln>
          </c:spPr>
          <c:marker>
            <c:symbol val="none"/>
          </c:marker>
          <c:trendline>
            <c:spPr>
              <a:ln w="12700">
                <a:solidFill>
                  <a:schemeClr val="tx1">
                    <a:shade val="95000"/>
                    <a:satMod val="105000"/>
                  </a:schemeClr>
                </a:solidFill>
              </a:ln>
            </c:spPr>
            <c:trendlineType val="power"/>
            <c:dispRSqr val="0"/>
            <c:dispEq val="1"/>
            <c:trendlineLbl>
              <c:layout>
                <c:manualLayout>
                  <c:x val="-0.15115167120200318"/>
                  <c:y val="-8.0958293386979741E-2"/>
                </c:manualLayout>
              </c:layout>
              <c:numFmt formatCode="General" sourceLinked="0"/>
              <c:spPr>
                <a:solidFill>
                  <a:schemeClr val="bg1"/>
                </a:solidFill>
                <a:ln>
                  <a:noFill/>
                </a:ln>
              </c:spPr>
              <c:txPr>
                <a:bodyPr/>
                <a:lstStyle/>
                <a:p>
                  <a:pPr>
                    <a:defRPr sz="900"/>
                  </a:pPr>
                  <a:endParaRPr lang="cs-CZ"/>
                </a:p>
              </c:txPr>
            </c:trendlineLbl>
          </c:trendline>
          <c:cat>
            <c:numRef>
              <c:f>'ČR+populace'!$A$5:$A$45</c:f>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f>'ČR+populace'!$B$5:$B$45</c:f>
              <c:numCache>
                <c:formatCode>0</c:formatCode>
                <c:ptCount val="41"/>
                <c:pt idx="0">
                  <c:v>177362</c:v>
                </c:pt>
                <c:pt idx="1">
                  <c:v>189742</c:v>
                </c:pt>
                <c:pt idx="2">
                  <c:v>187620</c:v>
                </c:pt>
                <c:pt idx="3">
                  <c:v>182032</c:v>
                </c:pt>
                <c:pt idx="4">
                  <c:v>177241</c:v>
                </c:pt>
                <c:pt idx="5">
                  <c:v>173983</c:v>
                </c:pt>
                <c:pt idx="6">
                  <c:v>167954</c:v>
                </c:pt>
                <c:pt idx="7">
                  <c:v>150543</c:v>
                </c:pt>
                <c:pt idx="8">
                  <c:v>141160</c:v>
                </c:pt>
                <c:pt idx="9">
                  <c:v>138674</c:v>
                </c:pt>
                <c:pt idx="10">
                  <c:v>134620</c:v>
                </c:pt>
                <c:pt idx="11">
                  <c:v>134173</c:v>
                </c:pt>
                <c:pt idx="12">
                  <c:v>133554</c:v>
                </c:pt>
                <c:pt idx="13">
                  <c:v>131588</c:v>
                </c:pt>
                <c:pt idx="14">
                  <c:v>129557</c:v>
                </c:pt>
                <c:pt idx="15">
                  <c:v>131692</c:v>
                </c:pt>
                <c:pt idx="16">
                  <c:v>127748</c:v>
                </c:pt>
                <c:pt idx="17">
                  <c:v>130109</c:v>
                </c:pt>
                <c:pt idx="18">
                  <c:v>128884</c:v>
                </c:pt>
                <c:pt idx="19" formatCode="General">
                  <c:v>122027</c:v>
                </c:pt>
                <c:pt idx="20" formatCode="General">
                  <c:v>121586</c:v>
                </c:pt>
                <c:pt idx="21" formatCode="General">
                  <c:v>107819</c:v>
                </c:pt>
                <c:pt idx="22" formatCode="General">
                  <c:v>96946</c:v>
                </c:pt>
                <c:pt idx="23" formatCode="General">
                  <c:v>91006</c:v>
                </c:pt>
                <c:pt idx="24" formatCode="General">
                  <c:v>90847</c:v>
                </c:pt>
                <c:pt idx="25" formatCode="General">
                  <c:v>90391</c:v>
                </c:pt>
                <c:pt idx="26" formatCode="General">
                  <c:v>89606</c:v>
                </c:pt>
                <c:pt idx="27" formatCode="General">
                  <c:v>91253</c:v>
                </c:pt>
                <c:pt idx="28" formatCode="General">
                  <c:v>92067</c:v>
                </c:pt>
                <c:pt idx="29" formatCode="General">
                  <c:v>93994</c:v>
                </c:pt>
                <c:pt idx="30" formatCode="General">
                  <c:v>94979</c:v>
                </c:pt>
                <c:pt idx="31" formatCode="General">
                  <c:v>98920</c:v>
                </c:pt>
                <c:pt idx="32" formatCode="General">
                  <c:v>103691</c:v>
                </c:pt>
                <c:pt idx="33" formatCode="General">
                  <c:v>109540</c:v>
                </c:pt>
                <c:pt idx="34" formatCode="General">
                  <c:v>119092</c:v>
                </c:pt>
                <c:pt idx="35" formatCode="General">
                  <c:v>123667</c:v>
                </c:pt>
                <c:pt idx="36" formatCode="General">
                  <c:v>122206</c:v>
                </c:pt>
                <c:pt idx="37" formatCode="General">
                  <c:v>120445</c:v>
                </c:pt>
                <c:pt idx="38" formatCode="General">
                  <c:v>110347</c:v>
                </c:pt>
                <c:pt idx="39" formatCode="General">
                  <c:v>110202</c:v>
                </c:pt>
                <c:pt idx="40" formatCode="General">
                  <c:v>107982</c:v>
                </c:pt>
              </c:numCache>
              <c:extLst/>
            </c:numRef>
          </c:val>
          <c:smooth val="0"/>
        </c:ser>
        <c:dLbls>
          <c:showLegendKey val="0"/>
          <c:showVal val="0"/>
          <c:showCatName val="0"/>
          <c:showSerName val="0"/>
          <c:showPercent val="0"/>
          <c:showBubbleSize val="0"/>
        </c:dLbls>
        <c:marker val="1"/>
        <c:smooth val="0"/>
        <c:axId val="230619352"/>
        <c:axId val="230619744"/>
        <c:extLst>
          <c:ext xmlns:c15="http://schemas.microsoft.com/office/drawing/2012/chart" uri="{02D57815-91ED-43cb-92C2-25804820EDAC}">
            <c15:filteredLineSeries>
              <c15:ser>
                <c:idx val="0"/>
                <c:order val="1"/>
                <c:tx>
                  <c:strRef>
                    <c:extLst>
                      <c:ext uri="{02D57815-91ED-43cb-92C2-25804820EDAC}">
                        <c15:formulaRef>
                          <c15:sqref>'ČR+populace'!#ODKAZ!</c15:sqref>
                        </c15:formulaRef>
                      </c:ext>
                    </c:extLst>
                    <c:strCache>
                      <c:ptCount val="1"/>
                      <c:pt idx="0">
                        <c:v>#REF!</c:v>
                      </c:pt>
                    </c:strCache>
                  </c:strRef>
                </c:tx>
                <c:spPr>
                  <a:ln>
                    <a:solidFill>
                      <a:schemeClr val="accent6">
                        <a:lumMod val="75000"/>
                      </a:schemeClr>
                    </a:solidFill>
                  </a:ln>
                </c:spPr>
                <c:marker>
                  <c:symbol val="none"/>
                </c:marker>
                <c:cat>
                  <c:numRef>
                    <c:extLst>
                      <c:ext uri="{02D57815-91ED-43cb-92C2-25804820EDAC}">
                        <c15:formulaRef>
                          <c15:sqref>'ČR+populace'!$A$5:$A$45</c15:sqref>
                        </c15:formulaRef>
                      </c:ext>
                    </c:extLst>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extLst>
                      <c:ext uri="{02D57815-91ED-43cb-92C2-25804820EDAC}">
                        <c15:formulaRef>
                          <c15:sqref>'ČR+populace'!#ODKAZ!</c15:sqref>
                        </c15:formulaRef>
                      </c:ext>
                    </c:extLst>
                  </c:numRef>
                </c:val>
                <c:smooth val="0"/>
              </c15:ser>
            </c15:filteredLineSeries>
          </c:ext>
        </c:extLst>
      </c:lineChart>
      <c:catAx>
        <c:axId val="230619352"/>
        <c:scaling>
          <c:orientation val="minMax"/>
        </c:scaling>
        <c:delete val="0"/>
        <c:axPos val="b"/>
        <c:majorGridlines>
          <c:spPr>
            <a:ln w="3175">
              <a:solidFill>
                <a:srgbClr val="C0C0C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230619744"/>
        <c:crosses val="autoZero"/>
        <c:auto val="1"/>
        <c:lblAlgn val="ctr"/>
        <c:lblOffset val="100"/>
        <c:tickLblSkip val="4"/>
        <c:tickMarkSkip val="1"/>
        <c:noMultiLvlLbl val="0"/>
      </c:catAx>
      <c:valAx>
        <c:axId val="230619744"/>
        <c:scaling>
          <c:orientation val="minMax"/>
          <c:max val="200000"/>
          <c:min val="60000"/>
        </c:scaling>
        <c:delete val="0"/>
        <c:axPos val="l"/>
        <c:majorGridlines>
          <c:spPr>
            <a:ln w="3175">
              <a:solidFill>
                <a:srgbClr val="C0C0C0"/>
              </a:solidFill>
              <a:prstDash val="solid"/>
            </a:ln>
          </c:spPr>
        </c:majorGridlines>
        <c:title>
          <c:tx>
            <c:rich>
              <a:bodyPr rot="-5400000" vert="horz"/>
              <a:lstStyle/>
              <a:p>
                <a:pPr>
                  <a:defRPr sz="1400" b="1">
                    <a:solidFill>
                      <a:srgbClr val="0070C0"/>
                    </a:solidFill>
                  </a:defRPr>
                </a:pPr>
                <a:r>
                  <a:rPr lang="en-US" sz="1100" b="0">
                    <a:solidFill>
                      <a:srgbClr val="0070C0"/>
                    </a:solidFill>
                  </a:rPr>
                  <a:t>Počet 15letých</a:t>
                </a:r>
              </a:p>
            </c:rich>
          </c:tx>
          <c:layout>
            <c:manualLayout>
              <c:xMode val="edge"/>
              <c:yMode val="edge"/>
              <c:x val="1.1444021596331677E-3"/>
              <c:y val="0.35715865304071032"/>
            </c:manualLayout>
          </c:layout>
          <c:overlay val="0"/>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230619352"/>
        <c:crosses val="autoZero"/>
        <c:crossBetween val="between"/>
      </c:valAx>
      <c:valAx>
        <c:axId val="230620136"/>
        <c:scaling>
          <c:orientation val="minMax"/>
          <c:max val="1.4"/>
          <c:min val="1"/>
        </c:scaling>
        <c:delete val="0"/>
        <c:axPos val="r"/>
        <c:title>
          <c:tx>
            <c:rich>
              <a:bodyPr rot="-5400000" vert="horz"/>
              <a:lstStyle/>
              <a:p>
                <a:pPr>
                  <a:defRPr sz="1400" b="1">
                    <a:solidFill>
                      <a:srgbClr val="C00000"/>
                    </a:solidFill>
                  </a:defRPr>
                </a:pPr>
                <a:r>
                  <a:rPr lang="en-US" sz="1100" b="0">
                    <a:solidFill>
                      <a:srgbClr val="C00000"/>
                    </a:solidFill>
                  </a:rPr>
                  <a:t>Procentní podíl 15letých vůči roku 2015</a:t>
                </a:r>
              </a:p>
            </c:rich>
          </c:tx>
          <c:layout>
            <c:manualLayout>
              <c:xMode val="edge"/>
              <c:yMode val="edge"/>
              <c:x val="0.96545570124509461"/>
              <c:y val="0.13569777182107554"/>
            </c:manualLayout>
          </c:layout>
          <c:overlay val="0"/>
        </c:title>
        <c:numFmt formatCode="0.00" sourceLinked="0"/>
        <c:majorTickMark val="out"/>
        <c:minorTickMark val="none"/>
        <c:tickLblPos val="nextTo"/>
        <c:crossAx val="300400496"/>
        <c:crosses val="max"/>
        <c:crossBetween val="between"/>
        <c:majorUnit val="5.0000000000000093E-2"/>
      </c:valAx>
      <c:catAx>
        <c:axId val="300400496"/>
        <c:scaling>
          <c:orientation val="minMax"/>
        </c:scaling>
        <c:delete val="1"/>
        <c:axPos val="b"/>
        <c:numFmt formatCode="0" sourceLinked="1"/>
        <c:majorTickMark val="out"/>
        <c:minorTickMark val="none"/>
        <c:tickLblPos val="none"/>
        <c:crossAx val="230620136"/>
        <c:crosses val="autoZero"/>
        <c:auto val="1"/>
        <c:lblAlgn val="ctr"/>
        <c:lblOffset val="100"/>
        <c:noMultiLvlLbl val="0"/>
      </c:catAx>
      <c:spPr>
        <a:solidFill>
          <a:srgbClr val="FFFFFF"/>
        </a:solidFill>
        <a:ln w="3175">
          <a:solidFill>
            <a:srgbClr val="000000"/>
          </a:solidFill>
          <a:prstDash val="solid"/>
        </a:ln>
      </c:spPr>
    </c:plotArea>
    <c:plotVisOnly val="1"/>
    <c:dispBlanksAs val="gap"/>
    <c:showDLblsOverMax val="0"/>
  </c:chart>
  <c:spPr>
    <a:gradFill rotWithShape="0">
      <a:gsLst>
        <a:gs pos="0">
          <a:srgbClr val="FFFF99"/>
        </a:gs>
        <a:gs pos="50000">
          <a:srgbClr val="FFFFFF">
            <a:gamma/>
            <a:tint val="0"/>
            <a:invGamma/>
          </a:srgbClr>
        </a:gs>
        <a:gs pos="100000">
          <a:srgbClr val="FFFF99"/>
        </a:gs>
      </a:gsLst>
      <a:lin ang="5400000" scaled="1"/>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8AA7-3859-46FF-B675-44E2383A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4303</Words>
  <Characters>25389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Stará Marta</dc:creator>
  <cp:keywords/>
  <dc:description/>
  <cp:lastModifiedBy>Stará Marta</cp:lastModifiedBy>
  <cp:revision>7</cp:revision>
  <cp:lastPrinted>2018-09-05T07:25:00Z</cp:lastPrinted>
  <dcterms:created xsi:type="dcterms:W3CDTF">2018-09-04T11:29:00Z</dcterms:created>
  <dcterms:modified xsi:type="dcterms:W3CDTF">2018-09-05T08:25:00Z</dcterms:modified>
</cp:coreProperties>
</file>