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E" w:rsidRPr="00DF4ABF" w:rsidRDefault="00DF4ABF" w:rsidP="0073419E">
      <w:pPr>
        <w:suppressAutoHyphens/>
        <w:spacing w:after="240"/>
        <w:ind w:firstLine="708"/>
        <w:jc w:val="center"/>
        <w:rPr>
          <w:rFonts w:cs="Arial"/>
          <w:b/>
          <w:sz w:val="28"/>
          <w:szCs w:val="24"/>
          <w:u w:val="single"/>
        </w:rPr>
      </w:pPr>
      <w:bookmarkStart w:id="0" w:name="_GoBack"/>
      <w:bookmarkEnd w:id="0"/>
      <w:r w:rsidRPr="00DF4ABF">
        <w:rPr>
          <w:rFonts w:cs="Arial"/>
          <w:b/>
          <w:sz w:val="28"/>
          <w:szCs w:val="24"/>
          <w:u w:val="single"/>
        </w:rPr>
        <w:t>Finanční rámec Společné zemědělské politiky EU po roce 2020</w:t>
      </w:r>
    </w:p>
    <w:p w:rsidR="00DF4ABF" w:rsidRDefault="00DF4ABF" w:rsidP="00DF4ABF">
      <w:pPr>
        <w:spacing w:after="120"/>
        <w:ind w:firstLine="708"/>
        <w:jc w:val="both"/>
        <w:rPr>
          <w:b/>
          <w:u w:val="single"/>
        </w:rPr>
      </w:pPr>
    </w:p>
    <w:p w:rsidR="006342BA" w:rsidRPr="006342BA" w:rsidRDefault="00353297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DF4ABF">
        <w:rPr>
          <w:b/>
          <w:u w:val="single"/>
        </w:rPr>
        <w:t xml:space="preserve">Víceletý finanční rámec pro období </w:t>
      </w:r>
      <w:r w:rsidR="00DF4ABF" w:rsidRPr="006342BA">
        <w:rPr>
          <w:b/>
          <w:u w:val="single"/>
        </w:rPr>
        <w:t>2014</w:t>
      </w:r>
      <w:r w:rsidR="00DF4ABF">
        <w:rPr>
          <w:b/>
          <w:u w:val="single"/>
        </w:rPr>
        <w:t xml:space="preserve"> – </w:t>
      </w:r>
      <w:r w:rsidR="006342BA" w:rsidRPr="006342BA">
        <w:rPr>
          <w:b/>
          <w:u w:val="single"/>
        </w:rPr>
        <w:t>2020</w:t>
      </w:r>
    </w:p>
    <w:p w:rsidR="00541FAF" w:rsidRDefault="00541FAF" w:rsidP="00353297">
      <w:pPr>
        <w:spacing w:after="120"/>
        <w:jc w:val="both"/>
      </w:pPr>
      <w:r>
        <w:t xml:space="preserve">V současnosti je </w:t>
      </w:r>
      <w:r w:rsidR="006801F1">
        <w:t>čerpán</w:t>
      </w:r>
      <w:r>
        <w:t xml:space="preserve"> Víceletý finanční rámec </w:t>
      </w:r>
      <w:r w:rsidR="009205B4">
        <w:t xml:space="preserve">(VFR) </w:t>
      </w:r>
      <w:r>
        <w:t>určený pro období 2014</w:t>
      </w:r>
      <w:r w:rsidR="00DF4ABF">
        <w:t xml:space="preserve"> – </w:t>
      </w:r>
      <w:r>
        <w:t xml:space="preserve">2020. </w:t>
      </w:r>
      <w:r w:rsidR="00753734">
        <w:t xml:space="preserve">Jedná se o kompromisní výsledek, kterému předcházela </w:t>
      </w:r>
      <w:r w:rsidR="00FA3049">
        <w:t xml:space="preserve">dlouhá jednání jak mezi </w:t>
      </w:r>
      <w:r w:rsidR="00DF4ABF">
        <w:t>členskými státy (</w:t>
      </w:r>
      <w:r w:rsidR="00FA3049">
        <w:t>ČS</w:t>
      </w:r>
      <w:r w:rsidR="00DF4ABF">
        <w:t>)</w:t>
      </w:r>
      <w:r w:rsidR="00FA3049">
        <w:t>, tak jednotlivými institucemi EU.</w:t>
      </w:r>
      <w:r w:rsidR="00DF4ABF">
        <w:t xml:space="preserve"> Společná zemědělská politika EU</w:t>
      </w:r>
      <w:r w:rsidR="00FA3049">
        <w:t xml:space="preserve"> </w:t>
      </w:r>
      <w:r w:rsidR="00DF4ABF">
        <w:t>(</w:t>
      </w:r>
      <w:r w:rsidR="00353297">
        <w:t>SZP</w:t>
      </w:r>
      <w:r w:rsidR="00DF4ABF">
        <w:t>)</w:t>
      </w:r>
      <w:r w:rsidR="00F46061">
        <w:t xml:space="preserve"> v tomto rozpočtu spadá do druhé hlavní kapitoly (Headingu) </w:t>
      </w:r>
      <w:r w:rsidR="00F46061" w:rsidRPr="004547FC">
        <w:rPr>
          <w:i/>
        </w:rPr>
        <w:t>II. Udržitelný růst: přírodní zdroje</w:t>
      </w:r>
      <w:r w:rsidR="002E30D1">
        <w:t xml:space="preserve">. </w:t>
      </w:r>
      <w:r w:rsidR="00D9761C">
        <w:t xml:space="preserve">V rámci této kapitoly bylo v současných cenách alokováno 420 mld. </w:t>
      </w:r>
      <w:r w:rsidR="00C609CC">
        <w:rPr>
          <w:rFonts w:cs="Arial"/>
        </w:rPr>
        <w:t>€</w:t>
      </w:r>
      <w:r w:rsidR="00C609CC">
        <w:t xml:space="preserve">. </w:t>
      </w:r>
      <w:r w:rsidR="006D5EA1">
        <w:t xml:space="preserve">Z toho na první pilíř SZP (Evropský zemědělský záruční fond) připadá v současných cenách částka 312,7 mld. </w:t>
      </w:r>
      <w:r w:rsidR="006D5EA1">
        <w:rPr>
          <w:rFonts w:cs="Arial"/>
        </w:rPr>
        <w:t>€</w:t>
      </w:r>
      <w:r w:rsidR="006D5EA1">
        <w:t xml:space="preserve">, </w:t>
      </w:r>
      <w:r w:rsidR="00DF4ABF">
        <w:br/>
      </w:r>
      <w:r w:rsidR="00236C3D">
        <w:t>na rozvoj</w:t>
      </w:r>
      <w:r w:rsidR="006D5EA1">
        <w:t xml:space="preserve"> venkova (Evropský zemědělský fond pro rozvoj venkova)</w:t>
      </w:r>
      <w:r w:rsidR="00236C3D">
        <w:t xml:space="preserve"> 95,6 mld. </w:t>
      </w:r>
      <w:r w:rsidR="00236C3D">
        <w:rPr>
          <w:rFonts w:cs="Arial"/>
        </w:rPr>
        <w:t>€</w:t>
      </w:r>
      <w:r w:rsidR="00626C86">
        <w:t xml:space="preserve">, </w:t>
      </w:r>
      <w:r w:rsidR="00353297">
        <w:t xml:space="preserve">na </w:t>
      </w:r>
      <w:r w:rsidR="00C822B8">
        <w:t xml:space="preserve">evropské námořní záležitosti a rybolov 7,4 mld. </w:t>
      </w:r>
      <w:r w:rsidR="00C822B8">
        <w:rPr>
          <w:rFonts w:cs="Arial"/>
        </w:rPr>
        <w:t>€</w:t>
      </w:r>
      <w:r w:rsidR="00C822B8">
        <w:t xml:space="preserve"> (Evropský námořní a rybářský fond 6,4 mld. </w:t>
      </w:r>
      <w:r w:rsidR="00C822B8">
        <w:rPr>
          <w:rFonts w:cs="Arial"/>
        </w:rPr>
        <w:t>€</w:t>
      </w:r>
      <w:r w:rsidR="00353297">
        <w:t xml:space="preserve">) </w:t>
      </w:r>
      <w:r w:rsidR="00DF4ABF">
        <w:br/>
      </w:r>
      <w:r w:rsidR="00353297">
        <w:t xml:space="preserve">a </w:t>
      </w:r>
      <w:r w:rsidR="00C822B8">
        <w:t xml:space="preserve">program Life 3,5 mld. </w:t>
      </w:r>
      <w:r w:rsidR="00C822B8">
        <w:rPr>
          <w:rFonts w:cs="Arial"/>
        </w:rPr>
        <w:t>€</w:t>
      </w:r>
      <w:r w:rsidR="00C822B8">
        <w:t>.</w:t>
      </w:r>
      <w:r w:rsidR="00BE5E66">
        <w:rPr>
          <w:rStyle w:val="Znakapoznpodarou"/>
        </w:rPr>
        <w:footnoteReference w:id="1"/>
      </w:r>
      <w:r w:rsidR="00C822B8">
        <w:t xml:space="preserve"> </w:t>
      </w:r>
    </w:p>
    <w:p w:rsidR="001152D5" w:rsidRDefault="001152D5" w:rsidP="00353297">
      <w:pPr>
        <w:spacing w:after="120"/>
        <w:jc w:val="both"/>
      </w:pPr>
      <w:r>
        <w:t>Celkově v závazcích v současných cenách bylo v rámci VFR na období 2014</w:t>
      </w:r>
      <w:r w:rsidR="00DF4ABF">
        <w:t xml:space="preserve"> – </w:t>
      </w:r>
      <w:r>
        <w:t xml:space="preserve">2020 alokováno 1087,1 mld. </w:t>
      </w:r>
      <w:r>
        <w:rPr>
          <w:rFonts w:cs="Arial"/>
        </w:rPr>
        <w:t>€</w:t>
      </w:r>
      <w:r>
        <w:t>. Tyto finance byly rozděleny do pěti hlavních kapitol:</w:t>
      </w:r>
    </w:p>
    <w:p w:rsidR="002420FE" w:rsidRDefault="002420FE" w:rsidP="00353297">
      <w:pPr>
        <w:spacing w:after="12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974778" wp14:editId="199DADD9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762625" cy="40290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2420FE" w:rsidRPr="002420FE" w:rsidRDefault="002420FE" w:rsidP="00353297">
      <w:pPr>
        <w:spacing w:after="120"/>
      </w:pPr>
    </w:p>
    <w:p w:rsidR="00C67BDF" w:rsidRDefault="00C67BDF" w:rsidP="00353297">
      <w:pPr>
        <w:spacing w:after="120"/>
        <w:jc w:val="both"/>
      </w:pPr>
    </w:p>
    <w:p w:rsidR="00C67BDF" w:rsidRPr="00C67BDF" w:rsidRDefault="00F0766A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DF4ABF" w:rsidRPr="00DF4ABF">
        <w:rPr>
          <w:b/>
          <w:u w:val="single"/>
        </w:rPr>
        <w:t xml:space="preserve">Víceletý finanční rámec pro období </w:t>
      </w:r>
      <w:r w:rsidR="00C67BDF" w:rsidRPr="00C67BDF">
        <w:rPr>
          <w:b/>
          <w:u w:val="single"/>
        </w:rPr>
        <w:t>2021</w:t>
      </w:r>
      <w:r w:rsidR="00DF4ABF">
        <w:rPr>
          <w:b/>
          <w:u w:val="single"/>
        </w:rPr>
        <w:t xml:space="preserve"> – </w:t>
      </w:r>
      <w:r w:rsidR="00C67BDF" w:rsidRPr="00C67BDF">
        <w:rPr>
          <w:b/>
          <w:u w:val="single"/>
        </w:rPr>
        <w:t>2027</w:t>
      </w:r>
    </w:p>
    <w:p w:rsidR="004D3090" w:rsidRDefault="004D3090" w:rsidP="00353297">
      <w:pPr>
        <w:spacing w:after="120"/>
        <w:jc w:val="both"/>
      </w:pPr>
      <w:r>
        <w:t xml:space="preserve">Evropská komise dne 2. 5. představila návrh nového Víceletého finančního rámce na období 2021-2027. </w:t>
      </w:r>
      <w:r w:rsidR="00924E68">
        <w:t>Rozpočet je v současnosti pod velkým tlakem, který je spojen jak s brexitem, tak nutností čelit novým výzvám</w:t>
      </w:r>
      <w:r w:rsidR="00BC4F75">
        <w:t xml:space="preserve">. </w:t>
      </w:r>
      <w:r w:rsidR="003B2C91">
        <w:t>Z těchto důvodů došl</w:t>
      </w:r>
      <w:r w:rsidR="00FD7D0F">
        <w:t>o ke snížení alokovaných částek</w:t>
      </w:r>
      <w:r w:rsidR="003B2C91">
        <w:t xml:space="preserve"> </w:t>
      </w:r>
      <w:r w:rsidR="00353297">
        <w:br/>
      </w:r>
      <w:r w:rsidR="003B2C91">
        <w:t xml:space="preserve">pro tradiční výdajové položky rozpočtu, mezi které patří zejména Kohezní politika a Společná zemědělská politika. </w:t>
      </w:r>
    </w:p>
    <w:p w:rsidR="002D6B78" w:rsidRDefault="002D6B78" w:rsidP="00353297">
      <w:pPr>
        <w:spacing w:after="120"/>
        <w:jc w:val="both"/>
        <w:rPr>
          <w:rFonts w:cs="Arial"/>
        </w:rPr>
      </w:pPr>
      <w:r>
        <w:t xml:space="preserve">Financování SZP je v novém VFR navrženo v rámci třetí hlavní kapitoly III. Přírodní zdroje </w:t>
      </w:r>
      <w:r w:rsidR="00353297">
        <w:br/>
      </w:r>
      <w:r>
        <w:t xml:space="preserve">a životní prostředí. Celkově tato část rozpočtu počítá s prostředky ve výši 378,9 mld. </w:t>
      </w:r>
      <w:r>
        <w:rPr>
          <w:rFonts w:cs="Arial"/>
        </w:rPr>
        <w:t>€</w:t>
      </w:r>
      <w:r w:rsidR="00425E1A">
        <w:rPr>
          <w:rFonts w:cs="Arial"/>
        </w:rPr>
        <w:t>, z toho: Evropský zemědělský záruční fond 286,2 mld. €, Evropský zemědělský fond pro rozvoj venkova 78,8 mld. €</w:t>
      </w:r>
      <w:r w:rsidR="00CA352C">
        <w:rPr>
          <w:rFonts w:cs="Arial"/>
        </w:rPr>
        <w:t xml:space="preserve">, </w:t>
      </w:r>
      <w:r w:rsidR="00770940">
        <w:rPr>
          <w:rFonts w:cs="Arial"/>
        </w:rPr>
        <w:t xml:space="preserve">Evropský námořní a rybářský fond 6,1 mld. €, </w:t>
      </w:r>
      <w:r w:rsidR="00531D95">
        <w:rPr>
          <w:rFonts w:cs="Arial"/>
        </w:rPr>
        <w:t xml:space="preserve">mezinárodní </w:t>
      </w:r>
      <w:r w:rsidR="00531D95">
        <w:rPr>
          <w:rFonts w:cs="Arial"/>
        </w:rPr>
        <w:lastRenderedPageBreak/>
        <w:t>rybolovné dohody 1 mld. €</w:t>
      </w:r>
      <w:r w:rsidR="003A4728">
        <w:rPr>
          <w:rFonts w:cs="Arial"/>
        </w:rPr>
        <w:t>, LIFE (Program pro životní prostředí a klimatické změny) 5,5 mld. €.</w:t>
      </w:r>
      <w:r w:rsidR="00404311">
        <w:rPr>
          <w:rFonts w:cs="Arial"/>
        </w:rPr>
        <w:t xml:space="preserve"> Dalších 10 mld. € je připraveno na podporu výzkumu a inovace v potravinářství, zemědělství, rozvoji venkova a biohospodářství </w:t>
      </w:r>
      <w:r w:rsidR="00455173">
        <w:rPr>
          <w:rFonts w:cs="Arial"/>
        </w:rPr>
        <w:t xml:space="preserve">v rámci rozpočtové části Horizon Europe. </w:t>
      </w:r>
    </w:p>
    <w:p w:rsidR="00A16F14" w:rsidRDefault="00257C10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Celkové prostředky by dle EK měly dosáhnout v rámci závazků 1 135 mld. € </w:t>
      </w:r>
      <w:r w:rsidR="00D504EB">
        <w:rPr>
          <w:rFonts w:cs="Arial"/>
        </w:rPr>
        <w:t xml:space="preserve">(tato částka odpovídá 1,11 % Hrubého národního </w:t>
      </w:r>
      <w:r w:rsidR="009E3365">
        <w:rPr>
          <w:rFonts w:cs="Arial"/>
        </w:rPr>
        <w:t>d</w:t>
      </w:r>
      <w:r w:rsidR="00391A97">
        <w:rPr>
          <w:rFonts w:cs="Arial"/>
        </w:rPr>
        <w:t>ůchodu</w:t>
      </w:r>
      <w:r w:rsidR="00D504EB">
        <w:rPr>
          <w:rFonts w:cs="Arial"/>
        </w:rPr>
        <w:t xml:space="preserve"> </w:t>
      </w:r>
      <w:r w:rsidR="00205DC7">
        <w:rPr>
          <w:rFonts w:cs="Arial"/>
        </w:rPr>
        <w:t>EU27</w:t>
      </w:r>
      <w:r w:rsidR="00D504EB">
        <w:rPr>
          <w:rFonts w:cs="Arial"/>
        </w:rPr>
        <w:t xml:space="preserve">) </w:t>
      </w:r>
      <w:r>
        <w:rPr>
          <w:rFonts w:cs="Arial"/>
        </w:rPr>
        <w:t>a v platbách 1 105 mld. €</w:t>
      </w:r>
      <w:r w:rsidR="00A66F1E">
        <w:rPr>
          <w:rFonts w:cs="Arial"/>
        </w:rPr>
        <w:t xml:space="preserve">, </w:t>
      </w:r>
      <w:r w:rsidR="009205B4">
        <w:rPr>
          <w:rFonts w:cs="Arial"/>
        </w:rPr>
        <w:t>členské státy</w:t>
      </w:r>
      <w:r w:rsidR="00A66F1E">
        <w:rPr>
          <w:rFonts w:cs="Arial"/>
        </w:rPr>
        <w:t xml:space="preserve"> by měly do rozpočtu přispět 1,114</w:t>
      </w:r>
      <w:r w:rsidR="00A356AE">
        <w:rPr>
          <w:rFonts w:cs="Arial"/>
        </w:rPr>
        <w:t xml:space="preserve"> Hrubého národního důchodu.</w:t>
      </w:r>
      <w:r w:rsidR="008F01B8">
        <w:rPr>
          <w:rFonts w:cs="Arial"/>
        </w:rPr>
        <w:t xml:space="preserve"> Při započítání inflace </w:t>
      </w:r>
      <w:r w:rsidR="00353297">
        <w:rPr>
          <w:rFonts w:cs="Arial"/>
        </w:rPr>
        <w:br/>
      </w:r>
      <w:r w:rsidR="00A004C3">
        <w:rPr>
          <w:rFonts w:cs="Arial"/>
        </w:rPr>
        <w:t xml:space="preserve">a v současných cenách </w:t>
      </w:r>
      <w:r w:rsidR="008F01B8">
        <w:rPr>
          <w:rFonts w:cs="Arial"/>
        </w:rPr>
        <w:t>je hodnota celkového VFR v závazcích 1 279,4 mld. €</w:t>
      </w:r>
      <w:r w:rsidR="00A356AE">
        <w:rPr>
          <w:rFonts w:cs="Arial"/>
        </w:rPr>
        <w:t xml:space="preserve"> </w:t>
      </w:r>
      <w:r w:rsidR="008F01B8">
        <w:rPr>
          <w:rFonts w:cs="Arial"/>
        </w:rPr>
        <w:t>(viz graf níže).</w:t>
      </w:r>
    </w:p>
    <w:p w:rsidR="00A16F14" w:rsidRDefault="00A16F14" w:rsidP="00353297">
      <w:pPr>
        <w:spacing w:after="120"/>
        <w:jc w:val="both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51231CFF" wp14:editId="4B1C4132">
            <wp:extent cx="5753100" cy="428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1D" w:rsidRPr="003B28AA" w:rsidRDefault="00353297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3)</w:t>
      </w:r>
      <w:r w:rsidR="004743A4">
        <w:rPr>
          <w:rFonts w:cs="Arial"/>
          <w:b/>
          <w:u w:val="single"/>
        </w:rPr>
        <w:t xml:space="preserve"> </w:t>
      </w:r>
      <w:r w:rsidR="002C4BF4" w:rsidRPr="003B28AA">
        <w:rPr>
          <w:rFonts w:cs="Arial"/>
          <w:b/>
          <w:u w:val="single"/>
        </w:rPr>
        <w:t xml:space="preserve">Role </w:t>
      </w:r>
      <w:r w:rsidR="00DF4ABF">
        <w:rPr>
          <w:rFonts w:cs="Arial"/>
          <w:b/>
          <w:u w:val="single"/>
        </w:rPr>
        <w:t>Společné zemědělské politiky EU</w:t>
      </w:r>
      <w:r w:rsidR="002C4BF4" w:rsidRPr="003B28AA">
        <w:rPr>
          <w:rFonts w:cs="Arial"/>
          <w:b/>
          <w:u w:val="single"/>
        </w:rPr>
        <w:t xml:space="preserve"> v novém </w:t>
      </w:r>
      <w:r w:rsidR="00DF4ABF">
        <w:rPr>
          <w:rFonts w:cs="Arial"/>
          <w:b/>
          <w:u w:val="single"/>
        </w:rPr>
        <w:t>víceletém finančním rámci</w:t>
      </w:r>
    </w:p>
    <w:p w:rsidR="002C4BF4" w:rsidRDefault="004F194B" w:rsidP="00353297">
      <w:pPr>
        <w:spacing w:after="120"/>
        <w:jc w:val="both"/>
        <w:rPr>
          <w:rFonts w:cs="Arial"/>
        </w:rPr>
      </w:pPr>
      <w:r>
        <w:rPr>
          <w:rFonts w:cs="Arial"/>
        </w:rPr>
        <w:t xml:space="preserve">Modernizovaná SZP </w:t>
      </w:r>
      <w:r w:rsidR="009205B4">
        <w:rPr>
          <w:rFonts w:cs="Arial"/>
        </w:rPr>
        <w:t>by měla mít dle návrhu EK</w:t>
      </w:r>
      <w:r>
        <w:rPr>
          <w:rFonts w:cs="Arial"/>
        </w:rPr>
        <w:t xml:space="preserve"> rozpočet 365 mld. €, její struktura i nadále zůstane postavena na dvou </w:t>
      </w:r>
      <w:r w:rsidR="009205B4">
        <w:rPr>
          <w:rFonts w:cs="Arial"/>
        </w:rPr>
        <w:t>pilířích: přímé platby a rozvoj</w:t>
      </w:r>
      <w:r>
        <w:rPr>
          <w:rFonts w:cs="Arial"/>
        </w:rPr>
        <w:t xml:space="preserve"> venkova. V rámci rozvoje venkova EK navrhuje </w:t>
      </w:r>
      <w:r w:rsidR="001964FD">
        <w:rPr>
          <w:rFonts w:cs="Arial"/>
        </w:rPr>
        <w:t>k řešení snížení rozpočtu</w:t>
      </w:r>
      <w:r w:rsidR="001D7D2C">
        <w:rPr>
          <w:rFonts w:cs="Arial"/>
        </w:rPr>
        <w:t xml:space="preserve"> </w:t>
      </w:r>
      <w:r>
        <w:rPr>
          <w:rFonts w:cs="Arial"/>
        </w:rPr>
        <w:t xml:space="preserve">navýšení míry národního kofinancování. </w:t>
      </w:r>
      <w:r w:rsidR="009F2D99">
        <w:rPr>
          <w:rFonts w:cs="Arial"/>
        </w:rPr>
        <w:t xml:space="preserve">Nad rámec prostředků EZZF a EZFRV EK alokovala částku 10 mld. € v rozpočtové části Horizon Europe určenou pro podporu výzkumu a inovace v potravinářství, zemědělství, rozvoji venkova a biohospodářství. </w:t>
      </w:r>
    </w:p>
    <w:p w:rsidR="00090CAE" w:rsidRDefault="005C386A" w:rsidP="00353297">
      <w:pPr>
        <w:spacing w:after="120"/>
        <w:jc w:val="both"/>
      </w:pPr>
      <w:r>
        <w:rPr>
          <w:rFonts w:cs="Arial"/>
        </w:rPr>
        <w:t xml:space="preserve">Nový legislativní rámec by měl být postaven na třech nařízeních: oblast </w:t>
      </w:r>
      <w:r w:rsidR="009205B4">
        <w:rPr>
          <w:rFonts w:cs="Arial"/>
        </w:rPr>
        <w:t>společné organizace trhu (</w:t>
      </w:r>
      <w:r>
        <w:rPr>
          <w:rFonts w:cs="Arial"/>
        </w:rPr>
        <w:t>SOT</w:t>
      </w:r>
      <w:r w:rsidR="009205B4">
        <w:rPr>
          <w:rFonts w:cs="Arial"/>
        </w:rPr>
        <w:t>)</w:t>
      </w:r>
      <w:r>
        <w:rPr>
          <w:rFonts w:cs="Arial"/>
        </w:rPr>
        <w:t xml:space="preserve">, tzv. </w:t>
      </w:r>
      <w:r w:rsidR="00CC09B3">
        <w:rPr>
          <w:rFonts w:cs="Arial"/>
        </w:rPr>
        <w:t xml:space="preserve">horizontální nařízení </w:t>
      </w:r>
      <w:r w:rsidR="001D7D2C">
        <w:rPr>
          <w:rFonts w:cs="Arial"/>
        </w:rPr>
        <w:t xml:space="preserve">k financování SZP </w:t>
      </w:r>
      <w:r w:rsidR="00CC09B3">
        <w:rPr>
          <w:rFonts w:cs="Arial"/>
        </w:rPr>
        <w:t xml:space="preserve">a nařízení k „Plánům podpor SZP“ (rozvoj venkova a přímé platby). </w:t>
      </w:r>
      <w:r w:rsidR="002F3502">
        <w:rPr>
          <w:rFonts w:cs="Arial"/>
        </w:rPr>
        <w:t xml:space="preserve">Jednou z nejzásadnějších změn </w:t>
      </w:r>
      <w:r w:rsidR="001D41F2">
        <w:rPr>
          <w:rFonts w:cs="Arial"/>
        </w:rPr>
        <w:t xml:space="preserve">by mělo být dle dostupných informací </w:t>
      </w:r>
      <w:r w:rsidR="002F3502">
        <w:rPr>
          <w:rFonts w:cs="Arial"/>
        </w:rPr>
        <w:t>povinné zastropování přímých plateb na úrovni 60 tis. €</w:t>
      </w:r>
      <w:r w:rsidR="001E7F75">
        <w:rPr>
          <w:rFonts w:cs="Arial"/>
        </w:rPr>
        <w:t xml:space="preserve"> pro jednoho příjemce na rok. </w:t>
      </w:r>
      <w:r w:rsidR="00AA545D">
        <w:rPr>
          <w:rFonts w:cs="Arial"/>
        </w:rPr>
        <w:t>Č</w:t>
      </w:r>
      <w:r w:rsidR="009205B4">
        <w:rPr>
          <w:rFonts w:cs="Arial"/>
        </w:rPr>
        <w:t>lenské státy</w:t>
      </w:r>
      <w:r w:rsidR="00AA545D">
        <w:rPr>
          <w:rFonts w:cs="Arial"/>
        </w:rPr>
        <w:t xml:space="preserve"> </w:t>
      </w:r>
      <w:r w:rsidR="001D41F2">
        <w:rPr>
          <w:rFonts w:cs="Arial"/>
        </w:rPr>
        <w:t xml:space="preserve">pak </w:t>
      </w:r>
      <w:r w:rsidR="00AA545D">
        <w:rPr>
          <w:rFonts w:cs="Arial"/>
        </w:rPr>
        <w:t xml:space="preserve">budou </w:t>
      </w:r>
      <w:r w:rsidR="001D41F2">
        <w:rPr>
          <w:rFonts w:cs="Arial"/>
        </w:rPr>
        <w:t xml:space="preserve">pravděpodobně </w:t>
      </w:r>
      <w:r w:rsidR="009205B4">
        <w:rPr>
          <w:rFonts w:cs="Arial"/>
        </w:rPr>
        <w:t xml:space="preserve">moci </w:t>
      </w:r>
      <w:r w:rsidR="00AA545D">
        <w:rPr>
          <w:rFonts w:cs="Arial"/>
        </w:rPr>
        <w:t xml:space="preserve">prostředky zkrácené v rámci zastropování převést </w:t>
      </w:r>
      <w:r w:rsidR="001D41F2">
        <w:rPr>
          <w:rFonts w:cs="Arial"/>
        </w:rPr>
        <w:t xml:space="preserve">do rozpočtu redistributivní platby, v dalším kroku do ostatních decouplovaných přímých plateb a případně </w:t>
      </w:r>
      <w:r w:rsidR="00AA545D">
        <w:rPr>
          <w:rFonts w:cs="Arial"/>
        </w:rPr>
        <w:t xml:space="preserve">na opatření spadající do </w:t>
      </w:r>
      <w:r w:rsidR="001D41F2">
        <w:rPr>
          <w:rFonts w:cs="Arial"/>
        </w:rPr>
        <w:t xml:space="preserve">Programu </w:t>
      </w:r>
      <w:r w:rsidR="00AA545D">
        <w:rPr>
          <w:rFonts w:cs="Arial"/>
        </w:rPr>
        <w:t xml:space="preserve">rozvoje venkova. </w:t>
      </w:r>
      <w:r w:rsidR="00F66CCE">
        <w:rPr>
          <w:rFonts w:cs="Arial"/>
        </w:rPr>
        <w:t xml:space="preserve">Dále </w:t>
      </w:r>
      <w:r w:rsidR="001D41F2">
        <w:rPr>
          <w:rFonts w:cs="Arial"/>
        </w:rPr>
        <w:t>se předpokládá</w:t>
      </w:r>
      <w:r w:rsidR="00F66CCE">
        <w:rPr>
          <w:rFonts w:cs="Arial"/>
        </w:rPr>
        <w:t xml:space="preserve"> </w:t>
      </w:r>
      <w:r w:rsidR="00353297">
        <w:rPr>
          <w:rFonts w:cs="Arial"/>
        </w:rPr>
        <w:t>povinná redistributivní platba</w:t>
      </w:r>
      <w:r w:rsidR="00F66CCE">
        <w:rPr>
          <w:rFonts w:cs="Arial"/>
        </w:rPr>
        <w:t xml:space="preserve"> a nové „Plány podpor SZP“, které se budou týkat prvního i druhého pilíře SZP. </w:t>
      </w:r>
      <w:r w:rsidR="0040657B">
        <w:rPr>
          <w:rFonts w:cs="Arial"/>
        </w:rPr>
        <w:t xml:space="preserve">V souvislosti s podporou vázanou na produkci EK </w:t>
      </w:r>
      <w:r w:rsidR="001D41F2">
        <w:rPr>
          <w:rFonts w:cs="Arial"/>
        </w:rPr>
        <w:t xml:space="preserve">bude pravděpodobně navržena </w:t>
      </w:r>
      <w:r w:rsidR="0040657B">
        <w:rPr>
          <w:rFonts w:cs="Arial"/>
        </w:rPr>
        <w:t xml:space="preserve">maximální </w:t>
      </w:r>
      <w:r w:rsidR="001D41F2">
        <w:rPr>
          <w:rFonts w:cs="Arial"/>
        </w:rPr>
        <w:t xml:space="preserve">míra </w:t>
      </w:r>
      <w:r w:rsidR="0040657B">
        <w:rPr>
          <w:rFonts w:cs="Arial"/>
        </w:rPr>
        <w:t xml:space="preserve">podpory na úrovni 13 % obálky na přímé platby. </w:t>
      </w:r>
      <w:r w:rsidR="00EF6CE1">
        <w:t>Jednou z dalších priorit budoucí SZP je podpora gene</w:t>
      </w:r>
      <w:r w:rsidR="00D376F1">
        <w:t>rační obměny v sektoru zemědělství</w:t>
      </w:r>
      <w:r w:rsidR="00EF6CE1">
        <w:t xml:space="preserve">, v této souvislosti </w:t>
      </w:r>
      <w:r w:rsidR="001D41F2">
        <w:t>lze očekávat</w:t>
      </w:r>
      <w:r w:rsidR="00EF6CE1">
        <w:t xml:space="preserve"> novou „</w:t>
      </w:r>
      <w:r w:rsidR="00EF6CE1" w:rsidRPr="00FE6FDF">
        <w:rPr>
          <w:i/>
        </w:rPr>
        <w:t xml:space="preserve">Povinnou podporu příjmu pro </w:t>
      </w:r>
      <w:r w:rsidR="00EF6CE1" w:rsidRPr="00FE6FDF">
        <w:rPr>
          <w:i/>
        </w:rPr>
        <w:lastRenderedPageBreak/>
        <w:t>mladé zemědělce</w:t>
      </w:r>
      <w:r w:rsidR="00EF6CE1">
        <w:t>“. Ta by měla mít podobu každoroční podpory dle způsobilých hektarů pro ty země</w:t>
      </w:r>
      <w:r w:rsidR="00A504BE">
        <w:t>dělce, kteří budou splňovat daná</w:t>
      </w:r>
      <w:r w:rsidR="00EF6CE1">
        <w:t xml:space="preserve"> kritéria. Nové nastavení „</w:t>
      </w:r>
      <w:r w:rsidR="00EF6CE1" w:rsidRPr="00281C00">
        <w:rPr>
          <w:i/>
        </w:rPr>
        <w:t>zelené architektury</w:t>
      </w:r>
      <w:r w:rsidR="00EF6CE1">
        <w:t>“ by mělo být zásadně zjednodušeno, více zacílené, flexibilní a koherentní</w:t>
      </w:r>
      <w:r w:rsidR="009205B4">
        <w:t>.</w:t>
      </w:r>
      <w:r w:rsidR="00EF6CE1">
        <w:t xml:space="preserve"> </w:t>
      </w:r>
      <w:r w:rsidR="001D41F2">
        <w:t>V rámci přímých plateb se tak diskutuje zřízení tzv.</w:t>
      </w:r>
      <w:r w:rsidR="009205B4">
        <w:t xml:space="preserve"> </w:t>
      </w:r>
      <w:r w:rsidR="00EF6CE1">
        <w:t>„</w:t>
      </w:r>
      <w:r w:rsidR="00EF6CE1" w:rsidRPr="006F3672">
        <w:rPr>
          <w:i/>
        </w:rPr>
        <w:t>Dobrovolné</w:t>
      </w:r>
      <w:r w:rsidR="001D41F2">
        <w:rPr>
          <w:i/>
        </w:rPr>
        <w:t>ho</w:t>
      </w:r>
      <w:r w:rsidR="00EF6CE1" w:rsidRPr="006F3672">
        <w:rPr>
          <w:i/>
        </w:rPr>
        <w:t xml:space="preserve"> </w:t>
      </w:r>
      <w:r w:rsidR="001D41F2" w:rsidRPr="006F3672">
        <w:rPr>
          <w:i/>
        </w:rPr>
        <w:t>režim</w:t>
      </w:r>
      <w:r w:rsidR="001D41F2">
        <w:rPr>
          <w:i/>
        </w:rPr>
        <w:t>u</w:t>
      </w:r>
      <w:r w:rsidR="001D41F2" w:rsidRPr="006F3672">
        <w:rPr>
          <w:i/>
        </w:rPr>
        <w:t xml:space="preserve"> </w:t>
      </w:r>
      <w:r w:rsidR="00EF6CE1" w:rsidRPr="006F3672">
        <w:rPr>
          <w:i/>
        </w:rPr>
        <w:t>pro klima a životní prostředí</w:t>
      </w:r>
      <w:r w:rsidR="00EF6CE1">
        <w:t xml:space="preserve">“ </w:t>
      </w:r>
      <w:r w:rsidR="001D41F2">
        <w:t>(</w:t>
      </w:r>
      <w:r w:rsidR="00EF6CE1">
        <w:t>„</w:t>
      </w:r>
      <w:r w:rsidR="00EF6CE1" w:rsidRPr="006F3672">
        <w:rPr>
          <w:i/>
        </w:rPr>
        <w:t>eco-režim</w:t>
      </w:r>
      <w:r w:rsidR="00EF6CE1">
        <w:t>“</w:t>
      </w:r>
      <w:r w:rsidR="001D41F2">
        <w:t>)</w:t>
      </w:r>
      <w:r w:rsidR="00EF6CE1">
        <w:t xml:space="preserve">. </w:t>
      </w:r>
      <w:r w:rsidR="001D41F2">
        <w:t xml:space="preserve">Z dostupných zdrojů by obecně finanční prostředky měly směřovat </w:t>
      </w:r>
      <w:r w:rsidR="00EF6CE1">
        <w:t>„</w:t>
      </w:r>
      <w:r w:rsidR="001D41F2" w:rsidRPr="003F0BBA">
        <w:rPr>
          <w:i/>
        </w:rPr>
        <w:t>skutečn</w:t>
      </w:r>
      <w:r w:rsidR="001D41F2">
        <w:rPr>
          <w:i/>
        </w:rPr>
        <w:t>ým</w:t>
      </w:r>
      <w:r w:rsidR="001D41F2" w:rsidRPr="003F0BBA">
        <w:rPr>
          <w:i/>
        </w:rPr>
        <w:t xml:space="preserve"> zemědělc</w:t>
      </w:r>
      <w:r w:rsidR="001D41F2">
        <w:rPr>
          <w:i/>
        </w:rPr>
        <w:t>ům</w:t>
      </w:r>
      <w:r w:rsidR="00EF6CE1">
        <w:t>“, kteří během své činnosti využívají postupy přispívající k lepšímu stavu klimatu a životního prostředí.</w:t>
      </w:r>
      <w:r w:rsidR="00D86373">
        <w:t xml:space="preserve"> Důležitá je také otázka konvergence přímých plateb napříč </w:t>
      </w:r>
      <w:r w:rsidR="009205B4">
        <w:t>členskými státy</w:t>
      </w:r>
      <w:r w:rsidR="00D86373">
        <w:t xml:space="preserve">. </w:t>
      </w:r>
      <w:r w:rsidR="00212B49">
        <w:t>Konvergence by měla být finan</w:t>
      </w:r>
      <w:r w:rsidR="00EC2E70">
        <w:t xml:space="preserve">cována ze společných prostředků, podporu by měly získávat ty </w:t>
      </w:r>
      <w:r w:rsidR="009205B4">
        <w:t>členské státy</w:t>
      </w:r>
      <w:r w:rsidR="00EC2E70">
        <w:t xml:space="preserve">, jejich průměrná </w:t>
      </w:r>
      <w:r w:rsidR="00F541AF">
        <w:t xml:space="preserve">výše přímých plateb </w:t>
      </w:r>
      <w:r w:rsidR="000348CD">
        <w:t xml:space="preserve">je pod hranicí 90 % průměru EU. </w:t>
      </w:r>
    </w:p>
    <w:p w:rsidR="00090CAE" w:rsidRPr="00DE680D" w:rsidRDefault="003715D3" w:rsidP="0035329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35329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182869" w:rsidRPr="00DE680D">
        <w:rPr>
          <w:b/>
          <w:u w:val="single"/>
        </w:rPr>
        <w:t xml:space="preserve">Reakce na zveřejnění návrhu </w:t>
      </w:r>
      <w:r w:rsidR="00DE02D8" w:rsidRPr="00DE680D">
        <w:rPr>
          <w:b/>
          <w:u w:val="single"/>
        </w:rPr>
        <w:t xml:space="preserve">nového </w:t>
      </w:r>
      <w:r w:rsidR="00DF4ABF">
        <w:rPr>
          <w:b/>
          <w:u w:val="single"/>
        </w:rPr>
        <w:t>víceletého finančního rámce</w:t>
      </w:r>
    </w:p>
    <w:p w:rsidR="00EB0F62" w:rsidRDefault="00A358F4" w:rsidP="00353297">
      <w:pPr>
        <w:spacing w:after="120"/>
        <w:jc w:val="both"/>
        <w:rPr>
          <w:rFonts w:cs="Arial"/>
        </w:rPr>
      </w:pPr>
      <w:r>
        <w:t>Komisař Hogan ve svém vyjádření označil návrh VFR v rámci současných okolností za spravedlivý výsledek pro evropské zemědělce</w:t>
      </w:r>
      <w:r w:rsidRPr="004964F6">
        <w:t xml:space="preserve"> </w:t>
      </w:r>
      <w:r>
        <w:t>i zemědělství jako takové.</w:t>
      </w:r>
      <w:r w:rsidR="00A44D5C" w:rsidRPr="00A44D5C">
        <w:rPr>
          <w:rFonts w:cs="Arial"/>
        </w:rPr>
        <w:t xml:space="preserve"> </w:t>
      </w:r>
      <w:r w:rsidR="004A69AF" w:rsidRPr="00B120BC">
        <w:rPr>
          <w:rFonts w:cs="Arial"/>
        </w:rPr>
        <w:t>Snížení rozpočtu odmítl francouzský ministr zemědělství Stéphane Travert, který se ohradil také proti jakémukoliv poklesu příjmů zemědělců. Federální ministři DE Heiko Mass (zahraničí) a Olaf Scholz (finance)</w:t>
      </w:r>
      <w:r w:rsidR="004A69AF">
        <w:rPr>
          <w:rFonts w:cs="Arial"/>
        </w:rPr>
        <w:t xml:space="preserve"> </w:t>
      </w:r>
      <w:r w:rsidR="004A69AF" w:rsidRPr="00B120BC">
        <w:rPr>
          <w:rFonts w:cs="Arial"/>
        </w:rPr>
        <w:t xml:space="preserve">ve společném prohlášení upozornili na zatížení, které by navržený rozpočet pro DE znamenal. Dle ministrů by mělo DE každoročně přispívat do unijního rozpočtu v průměru o 10 mld. € více. Předseda AGRI výboru EP Czeslaw Siekierski označil škrty v rozpočtu SZP za disproporční a nespravedlivé a zavázal se k snaze o udržení rozpočtu alespoň na současné úrovni. </w:t>
      </w:r>
    </w:p>
    <w:p w:rsidR="00182869" w:rsidRDefault="00767F45" w:rsidP="00353297">
      <w:pPr>
        <w:spacing w:after="120"/>
        <w:jc w:val="both"/>
        <w:rPr>
          <w:rFonts w:cs="Arial"/>
        </w:rPr>
      </w:pPr>
      <w:r w:rsidRPr="00B120BC">
        <w:rPr>
          <w:rFonts w:cs="Arial"/>
        </w:rPr>
        <w:t>Dle prohlášení EK by měly být prostředky na SZP v porovnání se současným programovým obdobím sníženy</w:t>
      </w:r>
      <w:r>
        <w:rPr>
          <w:rFonts w:cs="Arial"/>
        </w:rPr>
        <w:t xml:space="preserve"> </w:t>
      </w:r>
      <w:r w:rsidRPr="00B120BC">
        <w:rPr>
          <w:rFonts w:cs="Arial"/>
        </w:rPr>
        <w:t xml:space="preserve">o 5 %, k podobnému poklesu by mělo dojít také u Koheze. </w:t>
      </w:r>
      <w:r w:rsidR="00332EA2">
        <w:rPr>
          <w:rFonts w:cs="Arial"/>
        </w:rPr>
        <w:t>Bruselský thinktank</w:t>
      </w:r>
      <w:r w:rsidR="00A44D5C" w:rsidRPr="00B120BC">
        <w:rPr>
          <w:rFonts w:cs="Arial"/>
        </w:rPr>
        <w:t xml:space="preserve"> </w:t>
      </w:r>
      <w:r w:rsidR="00A44D5C" w:rsidRPr="00B120BC">
        <w:rPr>
          <w:rFonts w:cs="Arial"/>
          <w:i/>
        </w:rPr>
        <w:t>Farm Europe</w:t>
      </w:r>
      <w:r w:rsidR="00A44D5C" w:rsidRPr="00B120BC">
        <w:rPr>
          <w:rFonts w:cs="Arial"/>
        </w:rPr>
        <w:t xml:space="preserve"> </w:t>
      </w:r>
      <w:r w:rsidR="00332EA2" w:rsidRPr="00332EA2">
        <w:rPr>
          <w:rFonts w:cs="Arial"/>
        </w:rPr>
        <w:t>však uvádí</w:t>
      </w:r>
      <w:r w:rsidR="00332EA2">
        <w:rPr>
          <w:rFonts w:cs="Arial"/>
        </w:rPr>
        <w:t xml:space="preserve">, že </w:t>
      </w:r>
      <w:r w:rsidR="00A44D5C" w:rsidRPr="00B120BC">
        <w:rPr>
          <w:rFonts w:cs="Arial"/>
        </w:rPr>
        <w:t xml:space="preserve">EK nedeklaruje v rámci snížení rozpočtu SZP reálné hodnoty, jelikož využívá nižší míru inflace. </w:t>
      </w:r>
      <w:r w:rsidR="00A44D5C" w:rsidRPr="00EB4DEF">
        <w:rPr>
          <w:rFonts w:cs="Arial"/>
        </w:rPr>
        <w:t xml:space="preserve">Dle výpočtů </w:t>
      </w:r>
      <w:r w:rsidR="00A44D5C" w:rsidRPr="00EB4DEF">
        <w:rPr>
          <w:rFonts w:cs="Arial"/>
          <w:i/>
        </w:rPr>
        <w:t>Farm Europe</w:t>
      </w:r>
      <w:r w:rsidR="00A44D5C" w:rsidRPr="00EB4DEF">
        <w:rPr>
          <w:rFonts w:cs="Arial"/>
        </w:rPr>
        <w:t xml:space="preserve"> bude v průměru každoročně rozpočet SZP nižší o 11,7 %</w:t>
      </w:r>
      <w:r w:rsidR="00A44D5C" w:rsidRPr="00B120BC">
        <w:rPr>
          <w:rFonts w:cs="Arial"/>
        </w:rPr>
        <w:t xml:space="preserve"> (v roce 2027 až o 16 %). Podle analýzy evropských nevládních organizací předkládaný návrh přinese také značný pokles příjmů zemědělců v</w:t>
      </w:r>
      <w:r w:rsidR="009205B4">
        <w:rPr>
          <w:rFonts w:cs="Arial"/>
        </w:rPr>
        <w:t> členských státech</w:t>
      </w:r>
      <w:r w:rsidR="00A44D5C" w:rsidRPr="00B120BC">
        <w:rPr>
          <w:rFonts w:cs="Arial"/>
        </w:rPr>
        <w:t xml:space="preserve">, v ČR by se mělo jednat až o 13 %. Kriticky se k návrhu VFR vyjádřila také </w:t>
      </w:r>
      <w:r w:rsidR="00A44D5C" w:rsidRPr="00B120BC">
        <w:rPr>
          <w:rFonts w:cs="Arial"/>
          <w:i/>
        </w:rPr>
        <w:t>Copa-Cogeca</w:t>
      </w:r>
      <w:r w:rsidR="00A44D5C" w:rsidRPr="00B120BC">
        <w:rPr>
          <w:rFonts w:cs="Arial"/>
        </w:rPr>
        <w:t>. Dle jejího prezidenta Joachima Rukwieda je nutné si uvědomit, že již v současnosti výdělky v zemědělství dosahují pouze úrovně 40 % příjmu zaměstnanců dalších sektorů.</w:t>
      </w:r>
    </w:p>
    <w:p w:rsidR="00DF4ABF" w:rsidRPr="00DA1316" w:rsidRDefault="00D36BB9" w:rsidP="00353297">
      <w:pPr>
        <w:spacing w:after="120"/>
        <w:jc w:val="both"/>
        <w:rPr>
          <w:rFonts w:cs="Arial"/>
        </w:rPr>
      </w:pPr>
      <w:r w:rsidRPr="00A42B4F">
        <w:rPr>
          <w:rFonts w:cs="Arial"/>
        </w:rPr>
        <w:t xml:space="preserve">Návrh VFR ještě v den jeho zveřejnění představil předseda EK Jean-Claude Juncker poslancům EP na plenárním zasedání. Většina poslanců uvítala návrh EK na zvýšení příspěvků </w:t>
      </w:r>
      <w:r w:rsidR="009205B4">
        <w:rPr>
          <w:rFonts w:cs="Arial"/>
        </w:rPr>
        <w:t>členských států</w:t>
      </w:r>
      <w:r w:rsidRPr="00A42B4F">
        <w:rPr>
          <w:rFonts w:cs="Arial"/>
        </w:rPr>
        <w:t xml:space="preserve"> do rozpočtu EU na úroveň 1,11 % HND a zavedení nových zdrojů příjmů EU. Zároveň však poukázali na nedostatek ambicí návrhu. EP se k  návrhu vyjádří prostřednictvím usnesení na konci května. Poslanci prosazují bezodkladné zahájení rozhovorů EP, EK a Rady s cílem dosáhnout dohody před volbami do EP v r. 2019.</w:t>
      </w:r>
    </w:p>
    <w:p w:rsidR="00DF4ABF" w:rsidRDefault="00DF4ABF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5) Pozice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Pro naplnění </w:t>
      </w:r>
      <w:r>
        <w:rPr>
          <w:rFonts w:cs="Arial"/>
        </w:rPr>
        <w:t>cílů SZP</w:t>
      </w:r>
      <w:r w:rsidRPr="005967D4">
        <w:rPr>
          <w:rFonts w:cs="Arial"/>
        </w:rPr>
        <w:t xml:space="preserve"> je nezbytné zajistit dostatečné zdroje financování. V tomto ohledu silně podporuje</w:t>
      </w:r>
      <w:r w:rsidR="001910B9">
        <w:rPr>
          <w:rFonts w:cs="Arial"/>
        </w:rPr>
        <w:t>me</w:t>
      </w:r>
      <w:r w:rsidRPr="005967D4">
        <w:rPr>
          <w:rFonts w:cs="Arial"/>
        </w:rPr>
        <w:t>, aby SZP byla i nadále jednou z hlavních polit</w:t>
      </w:r>
      <w:r>
        <w:rPr>
          <w:rFonts w:cs="Arial"/>
        </w:rPr>
        <w:t xml:space="preserve">ik financovaných z rozpočtu EU. </w:t>
      </w:r>
      <w:r w:rsidRPr="005967D4">
        <w:rPr>
          <w:rFonts w:cs="Arial"/>
        </w:rPr>
        <w:t xml:space="preserve">Stanovení národních obálek </w:t>
      </w:r>
      <w:r w:rsidR="009205B4">
        <w:rPr>
          <w:rFonts w:cs="Arial"/>
        </w:rPr>
        <w:t xml:space="preserve">by mělo být nastaveno </w:t>
      </w:r>
      <w:r w:rsidRPr="005967D4">
        <w:rPr>
          <w:rFonts w:cs="Arial"/>
        </w:rPr>
        <w:t>podle objektivních kritérií a dosažených výsledků v předchozím programovém období.</w:t>
      </w:r>
      <w:r w:rsidR="00AF5D0F">
        <w:rPr>
          <w:rFonts w:cs="Arial"/>
        </w:rPr>
        <w:t xml:space="preserve"> Nicméně objektivní</w:t>
      </w:r>
      <w:r w:rsidR="003112C3">
        <w:rPr>
          <w:rFonts w:cs="Arial"/>
        </w:rPr>
        <w:t xml:space="preserve"> kritéria používaná Komisí</w:t>
      </w:r>
      <w:r w:rsidR="00AF5D0F">
        <w:rPr>
          <w:rFonts w:cs="Arial"/>
        </w:rPr>
        <w:t xml:space="preserve"> pro rozpočet národních obálek nejsou známa a proces alokace </w:t>
      </w:r>
      <w:r w:rsidR="00694C0C">
        <w:rPr>
          <w:rFonts w:cs="Arial"/>
        </w:rPr>
        <w:t xml:space="preserve">prostředků </w:t>
      </w:r>
      <w:r w:rsidR="00AF5D0F">
        <w:rPr>
          <w:rFonts w:cs="Arial"/>
        </w:rPr>
        <w:t>nepovažujeme za dostatečně transparentní.</w:t>
      </w:r>
    </w:p>
    <w:p w:rsidR="00957DF8" w:rsidRDefault="001910B9" w:rsidP="005967D4">
      <w:pPr>
        <w:spacing w:after="120"/>
        <w:jc w:val="both"/>
        <w:rPr>
          <w:rFonts w:cs="Arial"/>
        </w:rPr>
      </w:pPr>
      <w:r>
        <w:rPr>
          <w:rFonts w:cs="Arial"/>
        </w:rPr>
        <w:t>V kontextu nově předloženého návrhu nemůžeme souhlasit s navrženým snížení alokace na SZP</w:t>
      </w:r>
      <w:r w:rsidR="00957DF8">
        <w:rPr>
          <w:rFonts w:cs="Arial"/>
        </w:rPr>
        <w:t xml:space="preserve">. </w:t>
      </w:r>
      <w:r>
        <w:rPr>
          <w:rFonts w:cs="Arial"/>
        </w:rPr>
        <w:t>Sektor zemědělství</w:t>
      </w:r>
      <w:r w:rsidR="00957DF8">
        <w:rPr>
          <w:rFonts w:cs="Arial"/>
        </w:rPr>
        <w:t xml:space="preserve"> v současnosti čelí stále většímu počtu nových výzev a výše příjmu zemědělců </w:t>
      </w:r>
      <w:r w:rsidR="00212826">
        <w:rPr>
          <w:rFonts w:cs="Arial"/>
        </w:rPr>
        <w:t xml:space="preserve">je na mnohem nižší úrovni, než je tomu v jiných oblastech hospodářství, </w:t>
      </w:r>
      <w:r w:rsidR="00927E45">
        <w:rPr>
          <w:rFonts w:cs="Arial"/>
        </w:rPr>
        <w:t>proto považujeme zajištění dostatečného financování SZP za jeden z hlavních cílů při vyjednávání o budoucí podobě VFR.</w:t>
      </w:r>
    </w:p>
    <w:p w:rsidR="00562DEE" w:rsidRDefault="00562DEE" w:rsidP="00562DEE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dostupných informací by obálka pro přímé platby měla činit v programovém období 2021 – 2027 cca 5,8 mld. </w:t>
      </w:r>
      <w:r w:rsidRPr="00DA1316">
        <w:rPr>
          <w:rFonts w:cs="Arial"/>
        </w:rPr>
        <w:t>€</w:t>
      </w:r>
      <w:r>
        <w:rPr>
          <w:rFonts w:cs="Arial"/>
        </w:rPr>
        <w:t xml:space="preserve">, zatímco v aktuálním programovém období byla cca 6,1 mld. </w:t>
      </w:r>
      <w:r w:rsidRPr="00DA1316">
        <w:rPr>
          <w:rFonts w:cs="Arial"/>
        </w:rPr>
        <w:t>€</w:t>
      </w:r>
      <w:r>
        <w:rPr>
          <w:rFonts w:cs="Arial"/>
        </w:rPr>
        <w:t xml:space="preserve"> (odpovídá snížení o cca 3,9 %).</w:t>
      </w:r>
    </w:p>
    <w:p w:rsidR="00562DEE" w:rsidRPr="005967D4" w:rsidRDefault="00562DEE" w:rsidP="005967D4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Pro rozvoj venkova s klesající celkovou obálkou a při uvažovaném zachování stejného podílu lze očekávat pokles o cca 400 mil. € (pro podíl EZFRV). Přestože EK argumentuje možností navýšení rozpočtu zvýšeným národním kofinancováním o 10 %, je kofinancování v celkové výši 25 % nedostatečné k dorovnání alokace na rozpočet stávajícího období 2014-2020.</w:t>
      </w:r>
    </w:p>
    <w:p w:rsidR="005967D4" w:rsidRDefault="005967D4" w:rsidP="005967D4">
      <w:pPr>
        <w:spacing w:after="120"/>
        <w:jc w:val="both"/>
        <w:rPr>
          <w:rFonts w:cs="Arial"/>
        </w:rPr>
      </w:pPr>
      <w:r w:rsidRPr="005967D4">
        <w:rPr>
          <w:rFonts w:cs="Arial"/>
        </w:rPr>
        <w:t xml:space="preserve">Nastavení rozpočtu </w:t>
      </w:r>
      <w:r w:rsidR="00060112">
        <w:rPr>
          <w:rFonts w:cs="Arial"/>
        </w:rPr>
        <w:t xml:space="preserve">jednotlivých intervencí </w:t>
      </w:r>
      <w:r w:rsidRPr="005967D4">
        <w:rPr>
          <w:rFonts w:cs="Arial"/>
        </w:rPr>
        <w:t>musí i nadále vycházet z probíhajícího procesu vyhodnocení, kdy SZP  dlouhodobě prokazuje pozitivní přínos jak v sektoru zemědělské produkce, tak v oblasti ochrany životního prostředí</w:t>
      </w:r>
      <w:r w:rsidR="00C20448">
        <w:rPr>
          <w:rFonts w:cs="Arial"/>
        </w:rPr>
        <w:t xml:space="preserve"> s plošným účinkem a pozitivním přínosem</w:t>
      </w:r>
      <w:r w:rsidRPr="005967D4">
        <w:rPr>
          <w:rFonts w:cs="Arial"/>
        </w:rPr>
        <w:t xml:space="preserve"> v kontextu šetrného zemědělského a lesního hospodaření.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Česká republika má největší průměrnou rozlohu podniku v EU (133 ha, průměr EU je 16 ha) a pátou největší četnost podniků nad 100 ha. Z tohoto důvodu odmítá zavedení </w:t>
      </w:r>
      <w:r w:rsidR="001910B9">
        <w:rPr>
          <w:rFonts w:cs="Arial"/>
        </w:rPr>
        <w:t xml:space="preserve">povinného </w:t>
      </w:r>
      <w:r w:rsidRPr="00DF4ABF">
        <w:rPr>
          <w:rFonts w:cs="Arial"/>
        </w:rPr>
        <w:t>zastropování přímých plateb.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V podmínkách českého zemědělství by se navrhované zastropování plateb dotklo podniků </w:t>
      </w:r>
      <w:r>
        <w:rPr>
          <w:rFonts w:cs="Arial"/>
        </w:rPr>
        <w:br/>
      </w:r>
      <w:r w:rsidRPr="00DF4ABF">
        <w:rPr>
          <w:rFonts w:cs="Arial"/>
        </w:rPr>
        <w:t xml:space="preserve">s významnou živočišnou a rostlinnou výrobou, které současně poskytují veřejné statky </w:t>
      </w:r>
      <w:r>
        <w:rPr>
          <w:rFonts w:cs="Arial"/>
        </w:rPr>
        <w:br/>
      </w:r>
      <w:r w:rsidRPr="00DF4ABF">
        <w:rPr>
          <w:rFonts w:cs="Arial"/>
        </w:rPr>
        <w:t xml:space="preserve">a naplňují mimoprodukční funkce zemědělství.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Jedná se rámcově o 1 900 zemědělských podniků, které obhospodařují více než dvě třetiny české krajiny, zaměstnávají přes polovinu pracovní síly v zemědělství a chovají tři čtvrtiny veškerého skotu, včetně 89 procent dojnic.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>Případný odpočet mzdových nákladů nebo povinných odvodů je pro ČR akceptovatelný, pouze pokud by byl stanoven takovým způsobem, který nepovede k neúměrnému nárůstu administrativní zátěže pro žadatele a platební agenturu.</w:t>
      </w:r>
    </w:p>
    <w:p w:rsidR="00DF4ABF" w:rsidRDefault="00DF4ABF" w:rsidP="00DF4ABF">
      <w:pPr>
        <w:spacing w:after="120"/>
        <w:jc w:val="both"/>
        <w:rPr>
          <w:rFonts w:cs="Arial"/>
        </w:rPr>
      </w:pPr>
      <w:r w:rsidRPr="00DF4ABF">
        <w:rPr>
          <w:rFonts w:cs="Arial"/>
        </w:rPr>
        <w:t xml:space="preserve">V souladu s předloženým návrhem </w:t>
      </w:r>
      <w:r w:rsidR="008E3328">
        <w:rPr>
          <w:rFonts w:cs="Arial"/>
        </w:rPr>
        <w:t xml:space="preserve">legislativy SZP </w:t>
      </w:r>
      <w:r w:rsidRPr="00DF4ABF">
        <w:rPr>
          <w:rFonts w:cs="Arial"/>
        </w:rPr>
        <w:t>také prosazujeme, aby prostředky získané z výše uvedeného</w:t>
      </w:r>
      <w:r w:rsidR="001910B9">
        <w:rPr>
          <w:rFonts w:cs="Arial"/>
        </w:rPr>
        <w:t xml:space="preserve"> krácení, pokud by bylo nakonec povinně zavedeno,</w:t>
      </w:r>
      <w:r w:rsidRPr="00DF4ABF">
        <w:rPr>
          <w:rFonts w:cs="Arial"/>
        </w:rPr>
        <w:t xml:space="preserve"> byly ponechány v</w:t>
      </w:r>
      <w:r w:rsidR="001910B9">
        <w:rPr>
          <w:rFonts w:cs="Arial"/>
        </w:rPr>
        <w:t> daném členském státě pro oblast zeměděství</w:t>
      </w:r>
      <w:r w:rsidRPr="00DF4ABF">
        <w:rPr>
          <w:rFonts w:cs="Arial"/>
        </w:rPr>
        <w:t>.</w:t>
      </w:r>
    </w:p>
    <w:p w:rsidR="00DA1316" w:rsidRDefault="001910B9" w:rsidP="00DF4ABF">
      <w:pPr>
        <w:spacing w:after="120"/>
        <w:jc w:val="both"/>
        <w:rPr>
          <w:rFonts w:cs="Arial"/>
        </w:rPr>
      </w:pPr>
      <w:r>
        <w:rPr>
          <w:rFonts w:cs="Arial"/>
        </w:rPr>
        <w:t>C</w:t>
      </w:r>
      <w:r w:rsidR="00DF4ABF" w:rsidRPr="00DF4ABF">
        <w:rPr>
          <w:rFonts w:cs="Arial"/>
        </w:rPr>
        <w:t>itlivým tématem</w:t>
      </w:r>
      <w:r w:rsidR="00DF4ABF">
        <w:rPr>
          <w:rFonts w:cs="Arial"/>
        </w:rPr>
        <w:t xml:space="preserve"> </w:t>
      </w:r>
      <w:r>
        <w:rPr>
          <w:rFonts w:cs="Arial"/>
        </w:rPr>
        <w:t xml:space="preserve">je </w:t>
      </w:r>
      <w:r w:rsidR="00DF4ABF">
        <w:rPr>
          <w:rFonts w:cs="Arial"/>
        </w:rPr>
        <w:t xml:space="preserve">otázka </w:t>
      </w:r>
      <w:r w:rsidR="00DA1316">
        <w:rPr>
          <w:rFonts w:cs="Arial"/>
        </w:rPr>
        <w:t xml:space="preserve">externí </w:t>
      </w:r>
      <w:r w:rsidR="00DF4ABF">
        <w:rPr>
          <w:rFonts w:cs="Arial"/>
        </w:rPr>
        <w:t>konvergence</w:t>
      </w:r>
      <w:r w:rsidR="00DF4ABF" w:rsidRPr="00DF4ABF">
        <w:rPr>
          <w:rFonts w:cs="Arial"/>
        </w:rPr>
        <w:t>, zejmé</w:t>
      </w:r>
      <w:r w:rsidR="00DF4ABF">
        <w:rPr>
          <w:rFonts w:cs="Arial"/>
        </w:rPr>
        <w:t>na v kombinaci s uvedeným</w:t>
      </w:r>
      <w:r w:rsidR="00DF4ABF" w:rsidRPr="00DF4ABF">
        <w:rPr>
          <w:rFonts w:cs="Arial"/>
        </w:rPr>
        <w:t xml:space="preserve"> zastropování</w:t>
      </w:r>
      <w:r w:rsidR="002023EB">
        <w:rPr>
          <w:rFonts w:cs="Arial"/>
        </w:rPr>
        <w:t>m</w:t>
      </w:r>
      <w:r w:rsidR="00DF4ABF" w:rsidRPr="00DF4ABF">
        <w:rPr>
          <w:rFonts w:cs="Arial"/>
        </w:rPr>
        <w:t xml:space="preserve"> by mohla způsobit výrazný pokles prostředků na přímé platby. </w:t>
      </w:r>
    </w:p>
    <w:p w:rsidR="007638B8" w:rsidRDefault="007638B8" w:rsidP="00DF4ABF">
      <w:pPr>
        <w:spacing w:after="120"/>
        <w:jc w:val="both"/>
        <w:rPr>
          <w:rFonts w:cs="Arial"/>
        </w:rPr>
      </w:pPr>
      <w:r>
        <w:rPr>
          <w:rFonts w:cs="Arial"/>
        </w:rPr>
        <w:t xml:space="preserve">V oblasti Společné rybářské politiky </w:t>
      </w:r>
      <w:r w:rsidR="001910B9">
        <w:rPr>
          <w:rFonts w:cs="Arial"/>
        </w:rPr>
        <w:t>vítáme</w:t>
      </w:r>
      <w:r>
        <w:rPr>
          <w:rFonts w:cs="Arial"/>
        </w:rPr>
        <w:t xml:space="preserve"> zachování vlastního fondu pro tuto politiku a prosazuje udržení stávající alokace</w:t>
      </w:r>
      <w:r w:rsidR="008B0567">
        <w:rPr>
          <w:rFonts w:cs="Arial"/>
        </w:rPr>
        <w:t xml:space="preserve"> </w:t>
      </w:r>
      <w:r w:rsidR="00A7323A">
        <w:rPr>
          <w:rFonts w:cs="Arial"/>
        </w:rPr>
        <w:t>i pro nadcházející programové období</w:t>
      </w:r>
      <w:r>
        <w:rPr>
          <w:rFonts w:cs="Arial"/>
        </w:rPr>
        <w:t xml:space="preserve">. </w:t>
      </w:r>
    </w:p>
    <w:p w:rsidR="00DF4ABF" w:rsidRPr="001C3462" w:rsidRDefault="001910B9" w:rsidP="00DF4ABF">
      <w:pPr>
        <w:spacing w:after="120"/>
        <w:jc w:val="both"/>
        <w:rPr>
          <w:rFonts w:cs="Arial"/>
        </w:rPr>
      </w:pPr>
      <w:r>
        <w:rPr>
          <w:rFonts w:cs="Arial"/>
        </w:rPr>
        <w:t>Aktuálně</w:t>
      </w:r>
      <w:r w:rsidR="00DF4ABF" w:rsidRPr="001C3462">
        <w:rPr>
          <w:rFonts w:cs="Arial"/>
        </w:rPr>
        <w:t xml:space="preserve"> </w:t>
      </w:r>
      <w:r w:rsidR="00CE1411">
        <w:rPr>
          <w:rFonts w:cs="Arial"/>
        </w:rPr>
        <w:t xml:space="preserve">stále </w:t>
      </w:r>
      <w:r w:rsidR="00DF4ABF" w:rsidRPr="001C3462">
        <w:rPr>
          <w:rFonts w:cs="Arial"/>
        </w:rPr>
        <w:t xml:space="preserve">probíhá </w:t>
      </w:r>
      <w:r w:rsidR="00B91724">
        <w:rPr>
          <w:rFonts w:cs="Arial"/>
        </w:rPr>
        <w:t xml:space="preserve">detailní </w:t>
      </w:r>
      <w:r w:rsidR="00DF4ABF" w:rsidRPr="001C3462">
        <w:rPr>
          <w:rFonts w:cs="Arial"/>
        </w:rPr>
        <w:t>analýza návrh</w:t>
      </w:r>
      <w:r w:rsidR="009166FC">
        <w:rPr>
          <w:rFonts w:cs="Arial"/>
        </w:rPr>
        <w:t>u</w:t>
      </w:r>
      <w:r w:rsidR="000147EF">
        <w:rPr>
          <w:rFonts w:cs="Arial"/>
        </w:rPr>
        <w:t xml:space="preserve"> Víceletého finančního rámce, </w:t>
      </w:r>
      <w:r>
        <w:rPr>
          <w:rFonts w:cs="Arial"/>
        </w:rPr>
        <w:t>který bude velmi úzce navázán na očekávanou sektorovou legislativu, a</w:t>
      </w:r>
      <w:r w:rsidR="000147EF">
        <w:rPr>
          <w:rFonts w:cs="Arial"/>
        </w:rPr>
        <w:t xml:space="preserve"> proto </w:t>
      </w:r>
      <w:r w:rsidR="00E33B6F">
        <w:rPr>
          <w:rFonts w:cs="Arial"/>
        </w:rPr>
        <w:t xml:space="preserve">ještě nebyla k tomuto materiálu zaujata </w:t>
      </w:r>
      <w:r w:rsidR="000147EF">
        <w:rPr>
          <w:rFonts w:cs="Arial"/>
        </w:rPr>
        <w:t>konečná pozice</w:t>
      </w:r>
      <w:r w:rsidR="00E33B6F">
        <w:rPr>
          <w:rFonts w:cs="Arial"/>
        </w:rPr>
        <w:t xml:space="preserve">. </w:t>
      </w:r>
      <w:r w:rsidR="000147EF">
        <w:rPr>
          <w:rFonts w:cs="Arial"/>
        </w:rPr>
        <w:t xml:space="preserve"> </w:t>
      </w:r>
    </w:p>
    <w:p w:rsidR="00DF4ABF" w:rsidRPr="00DF4ABF" w:rsidRDefault="00DF4ABF" w:rsidP="00DF4ABF">
      <w:pPr>
        <w:spacing w:after="120"/>
        <w:jc w:val="both"/>
        <w:rPr>
          <w:rFonts w:cs="Arial"/>
        </w:rPr>
      </w:pPr>
      <w:r w:rsidRPr="001C3462">
        <w:rPr>
          <w:rFonts w:cs="Arial"/>
        </w:rPr>
        <w:t xml:space="preserve">Předběžně se </w:t>
      </w:r>
      <w:r w:rsidR="001910B9">
        <w:rPr>
          <w:rFonts w:cs="Arial"/>
        </w:rPr>
        <w:t xml:space="preserve">nám </w:t>
      </w:r>
      <w:r w:rsidR="006407F2">
        <w:rPr>
          <w:rFonts w:cs="Arial"/>
        </w:rPr>
        <w:t xml:space="preserve">však </w:t>
      </w:r>
      <w:r w:rsidRPr="001C3462">
        <w:rPr>
          <w:rFonts w:cs="Arial"/>
        </w:rPr>
        <w:t xml:space="preserve">návrh VFR nejeví jako vyvážený a pro ČR </w:t>
      </w:r>
      <w:r w:rsidR="001910B9">
        <w:rPr>
          <w:rFonts w:cs="Arial"/>
        </w:rPr>
        <w:t>tak může být</w:t>
      </w:r>
      <w:r w:rsidRPr="001C3462">
        <w:rPr>
          <w:rFonts w:cs="Arial"/>
        </w:rPr>
        <w:t xml:space="preserve"> nevýhodný.</w:t>
      </w:r>
    </w:p>
    <w:p w:rsidR="00D36BB9" w:rsidRPr="00E75B10" w:rsidRDefault="00DF4ABF" w:rsidP="00353297">
      <w:pPr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6</w:t>
      </w:r>
      <w:r w:rsidR="00353297">
        <w:rPr>
          <w:rFonts w:cs="Arial"/>
          <w:b/>
          <w:u w:val="single"/>
        </w:rPr>
        <w:t>)</w:t>
      </w:r>
      <w:r w:rsidR="003E78B4">
        <w:rPr>
          <w:rFonts w:cs="Arial"/>
          <w:b/>
          <w:u w:val="single"/>
        </w:rPr>
        <w:t xml:space="preserve"> </w:t>
      </w:r>
      <w:r w:rsidR="00087BF7" w:rsidRPr="00E75B10">
        <w:rPr>
          <w:rFonts w:cs="Arial"/>
          <w:b/>
          <w:u w:val="single"/>
        </w:rPr>
        <w:t>Další harmonogram</w:t>
      </w:r>
    </w:p>
    <w:p w:rsidR="00087BF7" w:rsidRDefault="00E548D8" w:rsidP="00353297">
      <w:pPr>
        <w:spacing w:after="120"/>
        <w:jc w:val="both"/>
        <w:rPr>
          <w:rFonts w:cs="Arial"/>
        </w:rPr>
      </w:pPr>
      <w:r>
        <w:rPr>
          <w:rFonts w:cs="Arial"/>
        </w:rPr>
        <w:t>V návaznosti na zveřejnění návrhu VFR 2021</w:t>
      </w:r>
      <w:r w:rsidR="00DF4ABF">
        <w:rPr>
          <w:rFonts w:cs="Arial"/>
        </w:rPr>
        <w:t xml:space="preserve"> – </w:t>
      </w:r>
      <w:r>
        <w:rPr>
          <w:rFonts w:cs="Arial"/>
        </w:rPr>
        <w:t>2027 by měla EK oficiálně zveřejnit návrhy sektorových legislativ</w:t>
      </w:r>
      <w:r w:rsidR="00FF41F5">
        <w:rPr>
          <w:rFonts w:cs="Arial"/>
        </w:rPr>
        <w:t>,</w:t>
      </w:r>
      <w:r>
        <w:rPr>
          <w:rFonts w:cs="Arial"/>
        </w:rPr>
        <w:t xml:space="preserve"> </w:t>
      </w:r>
      <w:r w:rsidR="001910B9">
        <w:rPr>
          <w:rFonts w:cs="Arial"/>
        </w:rPr>
        <w:t xml:space="preserve">k SZP </w:t>
      </w:r>
      <w:r w:rsidR="005B0A70">
        <w:rPr>
          <w:rFonts w:cs="Arial"/>
        </w:rPr>
        <w:t xml:space="preserve">nejspíše </w:t>
      </w:r>
      <w:r>
        <w:rPr>
          <w:rFonts w:cs="Arial"/>
        </w:rPr>
        <w:t xml:space="preserve">1. 6. </w:t>
      </w:r>
      <w:r w:rsidR="000D1679">
        <w:rPr>
          <w:rFonts w:cs="Arial"/>
        </w:rPr>
        <w:t xml:space="preserve">Rozhodnutí ohledně VFR bude muset Rada učinit jednomyslně, souhlasit s návrhem musí také EP. </w:t>
      </w:r>
      <w:r w:rsidR="009F62F8">
        <w:rPr>
          <w:rFonts w:cs="Arial"/>
        </w:rPr>
        <w:t xml:space="preserve">Dle optimistických odhadů EK by </w:t>
      </w:r>
      <w:r w:rsidR="00CA2148">
        <w:rPr>
          <w:rFonts w:cs="Arial"/>
        </w:rPr>
        <w:t xml:space="preserve">dohoda měla být dosažena před summitem v rumunském Sibiu, který je naplánován na 9. 5. 2019. </w:t>
      </w:r>
      <w:r w:rsidR="00CD5119">
        <w:rPr>
          <w:rFonts w:cs="Arial"/>
        </w:rPr>
        <w:t xml:space="preserve"> </w:t>
      </w:r>
      <w:r w:rsidR="00AB60A4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572545" w:rsidRPr="002420FE" w:rsidRDefault="00572545" w:rsidP="00353297">
      <w:pPr>
        <w:spacing w:after="120"/>
        <w:jc w:val="both"/>
      </w:pPr>
    </w:p>
    <w:sectPr w:rsidR="00572545" w:rsidRPr="002420FE" w:rsidSect="00B27E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8F" w:rsidRDefault="002C018F" w:rsidP="00F64DAE">
      <w:r>
        <w:separator/>
      </w:r>
    </w:p>
  </w:endnote>
  <w:endnote w:type="continuationSeparator" w:id="0">
    <w:p w:rsidR="002C018F" w:rsidRDefault="002C018F" w:rsidP="00F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048127"/>
      <w:docPartObj>
        <w:docPartGallery w:val="Page Numbers (Bottom of Page)"/>
        <w:docPartUnique/>
      </w:docPartObj>
    </w:sdtPr>
    <w:sdtEndPr/>
    <w:sdtContent>
      <w:p w:rsidR="007A4882" w:rsidRDefault="007A4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ED">
          <w:rPr>
            <w:noProof/>
          </w:rPr>
          <w:t>1</w:t>
        </w:r>
        <w:r>
          <w:fldChar w:fldCharType="end"/>
        </w:r>
      </w:p>
    </w:sdtContent>
  </w:sdt>
  <w:p w:rsidR="007A4882" w:rsidRDefault="007A4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8F" w:rsidRDefault="002C018F" w:rsidP="00F64DAE">
      <w:r>
        <w:separator/>
      </w:r>
    </w:p>
  </w:footnote>
  <w:footnote w:type="continuationSeparator" w:id="0">
    <w:p w:rsidR="002C018F" w:rsidRDefault="002C018F" w:rsidP="00F64DAE">
      <w:r>
        <w:continuationSeparator/>
      </w:r>
    </w:p>
  </w:footnote>
  <w:footnote w:id="1">
    <w:p w:rsidR="00BE5E66" w:rsidRDefault="00BE5E66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hyperlink r:id="rId1" w:anchor="environment" w:history="1">
        <w:r w:rsidRPr="0075705A">
          <w:rPr>
            <w:rStyle w:val="Hypertextovodkaz"/>
          </w:rPr>
          <w:t>http://ec.europa.eu/budget/mff/programmes/index_en.cfm#environment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8F0"/>
    <w:multiLevelType w:val="hybridMultilevel"/>
    <w:tmpl w:val="31469BF0"/>
    <w:name w:val="WW8Num32"/>
    <w:lvl w:ilvl="0" w:tplc="53D446EC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4"/>
    <w:rsid w:val="000147EF"/>
    <w:rsid w:val="00025B24"/>
    <w:rsid w:val="000348CD"/>
    <w:rsid w:val="00060112"/>
    <w:rsid w:val="00087BF7"/>
    <w:rsid w:val="00090CAE"/>
    <w:rsid w:val="000A1872"/>
    <w:rsid w:val="000A6359"/>
    <w:rsid w:val="000D1679"/>
    <w:rsid w:val="000D7D1D"/>
    <w:rsid w:val="000D7FCF"/>
    <w:rsid w:val="000E7027"/>
    <w:rsid w:val="001152D5"/>
    <w:rsid w:val="00182869"/>
    <w:rsid w:val="001910B9"/>
    <w:rsid w:val="001964FD"/>
    <w:rsid w:val="001C3462"/>
    <w:rsid w:val="001D41F2"/>
    <w:rsid w:val="001D4B38"/>
    <w:rsid w:val="001D7D2C"/>
    <w:rsid w:val="001E07F0"/>
    <w:rsid w:val="001E7F75"/>
    <w:rsid w:val="002023EB"/>
    <w:rsid w:val="002032ED"/>
    <w:rsid w:val="00205DC7"/>
    <w:rsid w:val="00212826"/>
    <w:rsid w:val="00212B49"/>
    <w:rsid w:val="00236C3D"/>
    <w:rsid w:val="002420FE"/>
    <w:rsid w:val="00257C10"/>
    <w:rsid w:val="002A1F2E"/>
    <w:rsid w:val="002C018F"/>
    <w:rsid w:val="002C4BF4"/>
    <w:rsid w:val="002D6B78"/>
    <w:rsid w:val="002E30D1"/>
    <w:rsid w:val="002E3F11"/>
    <w:rsid w:val="002F3502"/>
    <w:rsid w:val="00306E39"/>
    <w:rsid w:val="003112C3"/>
    <w:rsid w:val="00317FED"/>
    <w:rsid w:val="00332EA2"/>
    <w:rsid w:val="00353297"/>
    <w:rsid w:val="003715D3"/>
    <w:rsid w:val="003877D4"/>
    <w:rsid w:val="00391A97"/>
    <w:rsid w:val="003A4728"/>
    <w:rsid w:val="003B28AA"/>
    <w:rsid w:val="003B2C91"/>
    <w:rsid w:val="003E78B4"/>
    <w:rsid w:val="004009DA"/>
    <w:rsid w:val="00404311"/>
    <w:rsid w:val="0040657B"/>
    <w:rsid w:val="00423B2E"/>
    <w:rsid w:val="00425E1A"/>
    <w:rsid w:val="004547FC"/>
    <w:rsid w:val="00455173"/>
    <w:rsid w:val="00471C4E"/>
    <w:rsid w:val="004743A4"/>
    <w:rsid w:val="00486C4B"/>
    <w:rsid w:val="00494C18"/>
    <w:rsid w:val="004A69AF"/>
    <w:rsid w:val="004B6A16"/>
    <w:rsid w:val="004D3090"/>
    <w:rsid w:val="004E1E5C"/>
    <w:rsid w:val="004F194B"/>
    <w:rsid w:val="00503175"/>
    <w:rsid w:val="0050368F"/>
    <w:rsid w:val="005130E7"/>
    <w:rsid w:val="00531D95"/>
    <w:rsid w:val="00541FAF"/>
    <w:rsid w:val="00562DEE"/>
    <w:rsid w:val="0056477A"/>
    <w:rsid w:val="00572545"/>
    <w:rsid w:val="005967D4"/>
    <w:rsid w:val="005B0A70"/>
    <w:rsid w:val="005C386A"/>
    <w:rsid w:val="005E276A"/>
    <w:rsid w:val="00626C86"/>
    <w:rsid w:val="0063292C"/>
    <w:rsid w:val="006342BA"/>
    <w:rsid w:val="006407F2"/>
    <w:rsid w:val="006801F1"/>
    <w:rsid w:val="00694C0C"/>
    <w:rsid w:val="006D5EA1"/>
    <w:rsid w:val="006F5E5D"/>
    <w:rsid w:val="00733D6D"/>
    <w:rsid w:val="0073419E"/>
    <w:rsid w:val="00753734"/>
    <w:rsid w:val="007638B8"/>
    <w:rsid w:val="00767F45"/>
    <w:rsid w:val="00770940"/>
    <w:rsid w:val="007A4882"/>
    <w:rsid w:val="00865628"/>
    <w:rsid w:val="00897ADA"/>
    <w:rsid w:val="008B0567"/>
    <w:rsid w:val="008E3328"/>
    <w:rsid w:val="008E3EAA"/>
    <w:rsid w:val="008F01B8"/>
    <w:rsid w:val="009166FC"/>
    <w:rsid w:val="009205B4"/>
    <w:rsid w:val="00924E68"/>
    <w:rsid w:val="00927E45"/>
    <w:rsid w:val="00957DF8"/>
    <w:rsid w:val="0097015B"/>
    <w:rsid w:val="009B5AC7"/>
    <w:rsid w:val="009C415E"/>
    <w:rsid w:val="009E3365"/>
    <w:rsid w:val="009F2D99"/>
    <w:rsid w:val="009F62F8"/>
    <w:rsid w:val="00A004C3"/>
    <w:rsid w:val="00A02B50"/>
    <w:rsid w:val="00A16F14"/>
    <w:rsid w:val="00A356AE"/>
    <w:rsid w:val="00A358F4"/>
    <w:rsid w:val="00A41064"/>
    <w:rsid w:val="00A42B4F"/>
    <w:rsid w:val="00A44D5C"/>
    <w:rsid w:val="00A504BE"/>
    <w:rsid w:val="00A5526A"/>
    <w:rsid w:val="00A66F1E"/>
    <w:rsid w:val="00A7323A"/>
    <w:rsid w:val="00A95526"/>
    <w:rsid w:val="00AA545D"/>
    <w:rsid w:val="00AB42C7"/>
    <w:rsid w:val="00AB60A4"/>
    <w:rsid w:val="00AF5D0F"/>
    <w:rsid w:val="00B20D85"/>
    <w:rsid w:val="00B27E33"/>
    <w:rsid w:val="00B909D0"/>
    <w:rsid w:val="00B91724"/>
    <w:rsid w:val="00BC4F75"/>
    <w:rsid w:val="00BE5E66"/>
    <w:rsid w:val="00C0179A"/>
    <w:rsid w:val="00C126E3"/>
    <w:rsid w:val="00C20448"/>
    <w:rsid w:val="00C225BC"/>
    <w:rsid w:val="00C5250D"/>
    <w:rsid w:val="00C57B3D"/>
    <w:rsid w:val="00C609CC"/>
    <w:rsid w:val="00C67BDF"/>
    <w:rsid w:val="00C822B8"/>
    <w:rsid w:val="00C95182"/>
    <w:rsid w:val="00CA2148"/>
    <w:rsid w:val="00CA352C"/>
    <w:rsid w:val="00CB0BED"/>
    <w:rsid w:val="00CC09B3"/>
    <w:rsid w:val="00CD5119"/>
    <w:rsid w:val="00CE1411"/>
    <w:rsid w:val="00D364EF"/>
    <w:rsid w:val="00D36BB9"/>
    <w:rsid w:val="00D376F1"/>
    <w:rsid w:val="00D504EB"/>
    <w:rsid w:val="00D86373"/>
    <w:rsid w:val="00D9761C"/>
    <w:rsid w:val="00DA1316"/>
    <w:rsid w:val="00DC0F3D"/>
    <w:rsid w:val="00DE02D8"/>
    <w:rsid w:val="00DE680D"/>
    <w:rsid w:val="00DF4ABF"/>
    <w:rsid w:val="00E1203D"/>
    <w:rsid w:val="00E33B6F"/>
    <w:rsid w:val="00E548D8"/>
    <w:rsid w:val="00E75B10"/>
    <w:rsid w:val="00EA7FE6"/>
    <w:rsid w:val="00EB0F62"/>
    <w:rsid w:val="00EB4DEF"/>
    <w:rsid w:val="00EC2E70"/>
    <w:rsid w:val="00ED7070"/>
    <w:rsid w:val="00EF6CE1"/>
    <w:rsid w:val="00F0766A"/>
    <w:rsid w:val="00F200B2"/>
    <w:rsid w:val="00F46061"/>
    <w:rsid w:val="00F501AC"/>
    <w:rsid w:val="00F541AF"/>
    <w:rsid w:val="00F64DAE"/>
    <w:rsid w:val="00F66CCE"/>
    <w:rsid w:val="00F70A6B"/>
    <w:rsid w:val="00FA3049"/>
    <w:rsid w:val="00FD7D0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5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D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64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DAE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5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5E66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5E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5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F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57C1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E702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5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mff/programmes/index_en.cf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9623-57F7-49A4-B7B5-E1ED9EA5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Vacenovský Tomáš</dc:creator>
  <cp:lastModifiedBy>Kryštof Jiří</cp:lastModifiedBy>
  <cp:revision>2</cp:revision>
  <dcterms:created xsi:type="dcterms:W3CDTF">2018-05-28T12:17:00Z</dcterms:created>
  <dcterms:modified xsi:type="dcterms:W3CDTF">2018-05-28T12:17:00Z</dcterms:modified>
</cp:coreProperties>
</file>