
<file path=[Content_Types].xml><?xml version="1.0" encoding="utf-8"?>
<Types xmlns="http://schemas.openxmlformats.org/package/2006/content-types">
  <Override PartName="/word/footnotes.xml" ContentType="application/vnd.openxmlformats-officedocument.wordprocessingml.footnotes+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A53" w:rsidRDefault="00700A53" w:rsidP="005F7F5E">
      <w:bookmarkStart w:id="0" w:name="_Toc24962050"/>
      <w:bookmarkStart w:id="1" w:name="_Toc49932516"/>
      <w:bookmarkStart w:id="2" w:name="_Toc471703149"/>
      <w:bookmarkStart w:id="3" w:name="_Toc471703344"/>
      <w:bookmarkStart w:id="4" w:name="_Toc471704741"/>
      <w:bookmarkStart w:id="5" w:name="_Toc480162821"/>
      <w:bookmarkStart w:id="6" w:name="_Toc494005727"/>
    </w:p>
    <w:p w:rsidR="00700A53" w:rsidRPr="00451C69" w:rsidRDefault="00700A53" w:rsidP="005F7F5E">
      <w:r w:rsidRPr="00451C69">
        <w:t>Ministerstvo financí</w:t>
      </w:r>
    </w:p>
    <w:p w:rsidR="00700A53" w:rsidRPr="009869B6" w:rsidRDefault="00700A53" w:rsidP="005F7F5E">
      <w:pPr>
        <w:spacing w:after="120"/>
      </w:pPr>
      <w:r w:rsidRPr="009869B6">
        <w:t>č.</w:t>
      </w:r>
      <w:r>
        <w:t xml:space="preserve"> </w:t>
      </w:r>
      <w:r w:rsidRPr="009869B6">
        <w:t xml:space="preserve">j. MF- </w:t>
      </w:r>
      <w:r w:rsidRPr="002B4491">
        <w:t>45 931/2014/11</w:t>
      </w:r>
    </w:p>
    <w:p w:rsidR="00700A53" w:rsidRPr="00451C69" w:rsidRDefault="00700A53" w:rsidP="005F7F5E"/>
    <w:p w:rsidR="00700A53" w:rsidRPr="00451C69" w:rsidRDefault="00700A53" w:rsidP="005F7F5E"/>
    <w:p w:rsidR="00700A53" w:rsidRPr="00451C69" w:rsidRDefault="00700A53" w:rsidP="005F7F5E"/>
    <w:p w:rsidR="00700A53" w:rsidRPr="00451C69" w:rsidRDefault="00700A53" w:rsidP="005F7F5E"/>
    <w:p w:rsidR="00700A53" w:rsidRPr="00451C69" w:rsidRDefault="00700A53" w:rsidP="005F7F5E"/>
    <w:p w:rsidR="00700A53" w:rsidRPr="00451C69" w:rsidRDefault="00700A53" w:rsidP="005F7F5E">
      <w:bookmarkStart w:id="7" w:name="_GoBack"/>
      <w:bookmarkEnd w:id="7"/>
    </w:p>
    <w:p w:rsidR="00700A53" w:rsidRPr="00451C69" w:rsidRDefault="00700A53" w:rsidP="005F7F5E"/>
    <w:p w:rsidR="00700A53" w:rsidRPr="00451C69" w:rsidRDefault="00700A53" w:rsidP="005F7F5E"/>
    <w:p w:rsidR="00700A53" w:rsidRPr="00451C69" w:rsidRDefault="00700A53" w:rsidP="005F7F5E"/>
    <w:p w:rsidR="00700A53" w:rsidRPr="00451C69" w:rsidRDefault="00700A53" w:rsidP="005F7F5E"/>
    <w:p w:rsidR="00700A53" w:rsidRPr="00451C69" w:rsidRDefault="00700A53" w:rsidP="005F7F5E"/>
    <w:p w:rsidR="00700A53" w:rsidRPr="00451C69" w:rsidRDefault="00700A53" w:rsidP="005F7F5E"/>
    <w:p w:rsidR="00700A53" w:rsidRPr="00451C69" w:rsidRDefault="00700A53" w:rsidP="005F7F5E"/>
    <w:p w:rsidR="00700A53" w:rsidRPr="00451C69" w:rsidRDefault="00700A53" w:rsidP="005F7F5E"/>
    <w:p w:rsidR="00700A53" w:rsidRPr="00451C69" w:rsidRDefault="00700A53" w:rsidP="005F7F5E"/>
    <w:p w:rsidR="00700A53" w:rsidRPr="00451C69" w:rsidRDefault="00700A53" w:rsidP="005F7F5E"/>
    <w:p w:rsidR="00700A53" w:rsidRPr="00451C69" w:rsidRDefault="00700A53" w:rsidP="005F7F5E">
      <w:pPr>
        <w:rPr>
          <w:sz w:val="44"/>
        </w:rPr>
      </w:pPr>
    </w:p>
    <w:p w:rsidR="00700A53" w:rsidRPr="00451C69" w:rsidRDefault="00700A53" w:rsidP="005F7F5E">
      <w:pPr>
        <w:jc w:val="center"/>
        <w:rPr>
          <w:b/>
          <w:bCs/>
          <w:sz w:val="44"/>
        </w:rPr>
      </w:pPr>
      <w:r w:rsidRPr="00451C69">
        <w:rPr>
          <w:b/>
          <w:bCs/>
          <w:sz w:val="44"/>
        </w:rPr>
        <w:t>K.</w:t>
      </w:r>
    </w:p>
    <w:p w:rsidR="00700A53" w:rsidRPr="00451C69" w:rsidRDefault="00700A53" w:rsidP="005F7F5E">
      <w:pPr>
        <w:jc w:val="center"/>
        <w:rPr>
          <w:b/>
          <w:bCs/>
          <w:sz w:val="44"/>
        </w:rPr>
      </w:pPr>
    </w:p>
    <w:p w:rsidR="00700A53" w:rsidRPr="00451C69" w:rsidRDefault="00700A53" w:rsidP="005F7F5E">
      <w:pPr>
        <w:jc w:val="center"/>
        <w:rPr>
          <w:b/>
          <w:bCs/>
          <w:sz w:val="44"/>
        </w:rPr>
      </w:pPr>
      <w:r w:rsidRPr="00451C69">
        <w:rPr>
          <w:b/>
          <w:bCs/>
          <w:sz w:val="44"/>
        </w:rPr>
        <w:t>Hospodaření veřejných rozpočtů</w:t>
      </w:r>
    </w:p>
    <w:p w:rsidR="00700A53" w:rsidRDefault="00700A53" w:rsidP="005F7F5E">
      <w:pPr>
        <w:pStyle w:val="TOC1"/>
        <w:tabs>
          <w:tab w:val="right" w:leader="dot" w:pos="9061"/>
        </w:tabs>
        <w:rPr>
          <w:noProof/>
        </w:rPr>
      </w:pPr>
      <w:r w:rsidRPr="00451C69">
        <w:br w:type="page"/>
      </w:r>
      <w:r>
        <w:rPr>
          <w:b w:val="0"/>
          <w:bCs w:val="0"/>
          <w:caps w:val="0"/>
        </w:rPr>
        <w:fldChar w:fldCharType="begin"/>
      </w:r>
      <w:r>
        <w:rPr>
          <w:b w:val="0"/>
          <w:bCs w:val="0"/>
          <w:caps w:val="0"/>
        </w:rPr>
        <w:instrText xml:space="preserve"> USERADDRESS   \* MERGEFORMAT </w:instrText>
      </w:r>
      <w:r>
        <w:rPr>
          <w:b w:val="0"/>
          <w:bCs w:val="0"/>
          <w:caps w:val="0"/>
        </w:rPr>
        <w:fldChar w:fldCharType="end"/>
      </w:r>
      <w:r>
        <w:rPr>
          <w:b w:val="0"/>
          <w:bCs w:val="0"/>
          <w:caps w:val="0"/>
        </w:rPr>
        <w:fldChar w:fldCharType="begin"/>
      </w:r>
      <w:r>
        <w:rPr>
          <w:b w:val="0"/>
          <w:bCs w:val="0"/>
          <w:caps w:val="0"/>
        </w:rPr>
        <w:instrText xml:space="preserve"> TOC \o "1-3" \h \z </w:instrText>
      </w:r>
      <w:r>
        <w:rPr>
          <w:b w:val="0"/>
          <w:bCs w:val="0"/>
          <w:caps w:val="0"/>
        </w:rPr>
        <w:fldChar w:fldCharType="separate"/>
      </w:r>
    </w:p>
    <w:p w:rsidR="00700A53" w:rsidRDefault="00700A53">
      <w:pPr>
        <w:pStyle w:val="TOC1"/>
        <w:tabs>
          <w:tab w:val="right" w:leader="dot" w:pos="9061"/>
        </w:tabs>
        <w:rPr>
          <w:rFonts w:ascii="Calibri" w:hAnsi="Calibri"/>
          <w:b w:val="0"/>
          <w:bCs w:val="0"/>
          <w:caps w:val="0"/>
          <w:noProof/>
          <w:sz w:val="22"/>
          <w:szCs w:val="22"/>
        </w:rPr>
      </w:pPr>
      <w:hyperlink w:anchor="_Toc396827490" w:history="1">
        <w:r w:rsidRPr="00DF21FC">
          <w:rPr>
            <w:rStyle w:val="Hyperlink"/>
            <w:noProof/>
          </w:rPr>
          <w:t>I. Očekávaný vývoj veřejných rozpočtů a vládního dluhu</w:t>
        </w:r>
        <w:r>
          <w:rPr>
            <w:noProof/>
            <w:webHidden/>
          </w:rPr>
          <w:tab/>
        </w:r>
        <w:r>
          <w:rPr>
            <w:noProof/>
            <w:webHidden/>
          </w:rPr>
          <w:fldChar w:fldCharType="begin"/>
        </w:r>
        <w:r>
          <w:rPr>
            <w:noProof/>
            <w:webHidden/>
          </w:rPr>
          <w:instrText xml:space="preserve"> PAGEREF _Toc396827490 \h </w:instrText>
        </w:r>
        <w:r>
          <w:rPr>
            <w:noProof/>
            <w:webHidden/>
          </w:rPr>
        </w:r>
        <w:r>
          <w:rPr>
            <w:noProof/>
            <w:webHidden/>
          </w:rPr>
          <w:fldChar w:fldCharType="separate"/>
        </w:r>
        <w:r>
          <w:rPr>
            <w:noProof/>
            <w:webHidden/>
          </w:rPr>
          <w:t>1</w:t>
        </w:r>
        <w:r>
          <w:rPr>
            <w:noProof/>
            <w:webHidden/>
          </w:rPr>
          <w:fldChar w:fldCharType="end"/>
        </w:r>
      </w:hyperlink>
    </w:p>
    <w:p w:rsidR="00700A53" w:rsidRDefault="00700A53">
      <w:pPr>
        <w:pStyle w:val="TOC2"/>
        <w:rPr>
          <w:rFonts w:ascii="Calibri" w:hAnsi="Calibri"/>
          <w:smallCaps w:val="0"/>
          <w:noProof/>
          <w:sz w:val="22"/>
          <w:szCs w:val="22"/>
        </w:rPr>
      </w:pPr>
      <w:hyperlink w:anchor="_Toc396827491" w:history="1">
        <w:r w:rsidRPr="00DF21FC">
          <w:rPr>
            <w:rStyle w:val="Hyperlink"/>
            <w:noProof/>
          </w:rPr>
          <w:t>A)</w:t>
        </w:r>
        <w:r>
          <w:rPr>
            <w:rFonts w:ascii="Calibri" w:hAnsi="Calibri"/>
            <w:smallCaps w:val="0"/>
            <w:noProof/>
            <w:sz w:val="22"/>
            <w:szCs w:val="22"/>
          </w:rPr>
          <w:tab/>
        </w:r>
        <w:r w:rsidRPr="00DF21FC">
          <w:rPr>
            <w:rStyle w:val="Hyperlink"/>
            <w:noProof/>
          </w:rPr>
          <w:t>Veřejné rozpočty (metodika GFS 2001)</w:t>
        </w:r>
        <w:r>
          <w:rPr>
            <w:noProof/>
            <w:webHidden/>
          </w:rPr>
          <w:tab/>
        </w:r>
        <w:r>
          <w:rPr>
            <w:noProof/>
            <w:webHidden/>
          </w:rPr>
          <w:fldChar w:fldCharType="begin"/>
        </w:r>
        <w:r>
          <w:rPr>
            <w:noProof/>
            <w:webHidden/>
          </w:rPr>
          <w:instrText xml:space="preserve"> PAGEREF _Toc396827491 \h </w:instrText>
        </w:r>
        <w:r>
          <w:rPr>
            <w:noProof/>
            <w:webHidden/>
          </w:rPr>
        </w:r>
        <w:r>
          <w:rPr>
            <w:noProof/>
            <w:webHidden/>
          </w:rPr>
          <w:fldChar w:fldCharType="separate"/>
        </w:r>
        <w:r>
          <w:rPr>
            <w:noProof/>
            <w:webHidden/>
          </w:rPr>
          <w:t>1</w:t>
        </w:r>
        <w:r>
          <w:rPr>
            <w:noProof/>
            <w:webHidden/>
          </w:rPr>
          <w:fldChar w:fldCharType="end"/>
        </w:r>
      </w:hyperlink>
    </w:p>
    <w:p w:rsidR="00700A53" w:rsidRDefault="00700A53">
      <w:pPr>
        <w:pStyle w:val="TOC3"/>
        <w:tabs>
          <w:tab w:val="left" w:pos="1100"/>
          <w:tab w:val="right" w:leader="dot" w:pos="9061"/>
        </w:tabs>
        <w:rPr>
          <w:rFonts w:ascii="Calibri" w:hAnsi="Calibri"/>
          <w:i w:val="0"/>
          <w:iCs w:val="0"/>
          <w:noProof/>
          <w:sz w:val="22"/>
          <w:szCs w:val="22"/>
        </w:rPr>
      </w:pPr>
      <w:hyperlink w:anchor="_Toc396827492" w:history="1">
        <w:r w:rsidRPr="00DF21FC">
          <w:rPr>
            <w:rStyle w:val="Hyperlink"/>
            <w:noProof/>
          </w:rPr>
          <w:t>1.</w:t>
        </w:r>
        <w:r>
          <w:rPr>
            <w:rFonts w:ascii="Calibri" w:hAnsi="Calibri"/>
            <w:i w:val="0"/>
            <w:iCs w:val="0"/>
            <w:noProof/>
            <w:sz w:val="22"/>
            <w:szCs w:val="22"/>
          </w:rPr>
          <w:tab/>
        </w:r>
        <w:r w:rsidRPr="00DF21FC">
          <w:rPr>
            <w:rStyle w:val="Hyperlink"/>
            <w:noProof/>
          </w:rPr>
          <w:t>Veřejné rozpočty v roce 2014 - východisko pro rok 2015</w:t>
        </w:r>
        <w:r>
          <w:rPr>
            <w:noProof/>
            <w:webHidden/>
          </w:rPr>
          <w:tab/>
        </w:r>
        <w:r>
          <w:rPr>
            <w:noProof/>
            <w:webHidden/>
          </w:rPr>
          <w:fldChar w:fldCharType="begin"/>
        </w:r>
        <w:r>
          <w:rPr>
            <w:noProof/>
            <w:webHidden/>
          </w:rPr>
          <w:instrText xml:space="preserve"> PAGEREF _Toc396827492 \h </w:instrText>
        </w:r>
        <w:r>
          <w:rPr>
            <w:noProof/>
            <w:webHidden/>
          </w:rPr>
        </w:r>
        <w:r>
          <w:rPr>
            <w:noProof/>
            <w:webHidden/>
          </w:rPr>
          <w:fldChar w:fldCharType="separate"/>
        </w:r>
        <w:r>
          <w:rPr>
            <w:noProof/>
            <w:webHidden/>
          </w:rPr>
          <w:t>1</w:t>
        </w:r>
        <w:r>
          <w:rPr>
            <w:noProof/>
            <w:webHidden/>
          </w:rPr>
          <w:fldChar w:fldCharType="end"/>
        </w:r>
      </w:hyperlink>
    </w:p>
    <w:p w:rsidR="00700A53" w:rsidRDefault="00700A53">
      <w:pPr>
        <w:pStyle w:val="TOC3"/>
        <w:tabs>
          <w:tab w:val="left" w:pos="1100"/>
          <w:tab w:val="right" w:leader="dot" w:pos="9061"/>
        </w:tabs>
        <w:rPr>
          <w:rFonts w:ascii="Calibri" w:hAnsi="Calibri"/>
          <w:i w:val="0"/>
          <w:iCs w:val="0"/>
          <w:noProof/>
          <w:sz w:val="22"/>
          <w:szCs w:val="22"/>
        </w:rPr>
      </w:pPr>
      <w:hyperlink w:anchor="_Toc396827493" w:history="1">
        <w:r w:rsidRPr="00DF21FC">
          <w:rPr>
            <w:rStyle w:val="Hyperlink"/>
            <w:noProof/>
          </w:rPr>
          <w:t>2.</w:t>
        </w:r>
        <w:r>
          <w:rPr>
            <w:rFonts w:ascii="Calibri" w:hAnsi="Calibri"/>
            <w:i w:val="0"/>
            <w:iCs w:val="0"/>
            <w:noProof/>
            <w:sz w:val="22"/>
            <w:szCs w:val="22"/>
          </w:rPr>
          <w:tab/>
        </w:r>
        <w:r w:rsidRPr="00DF21FC">
          <w:rPr>
            <w:rStyle w:val="Hyperlink"/>
            <w:noProof/>
          </w:rPr>
          <w:t>Veřejné rozpočty v roce 2015</w:t>
        </w:r>
        <w:r>
          <w:rPr>
            <w:noProof/>
            <w:webHidden/>
          </w:rPr>
          <w:tab/>
        </w:r>
        <w:r>
          <w:rPr>
            <w:noProof/>
            <w:webHidden/>
          </w:rPr>
          <w:fldChar w:fldCharType="begin"/>
        </w:r>
        <w:r>
          <w:rPr>
            <w:noProof/>
            <w:webHidden/>
          </w:rPr>
          <w:instrText xml:space="preserve"> PAGEREF _Toc396827493 \h </w:instrText>
        </w:r>
        <w:r>
          <w:rPr>
            <w:noProof/>
            <w:webHidden/>
          </w:rPr>
        </w:r>
        <w:r>
          <w:rPr>
            <w:noProof/>
            <w:webHidden/>
          </w:rPr>
          <w:fldChar w:fldCharType="separate"/>
        </w:r>
        <w:r>
          <w:rPr>
            <w:noProof/>
            <w:webHidden/>
          </w:rPr>
          <w:t>7</w:t>
        </w:r>
        <w:r>
          <w:rPr>
            <w:noProof/>
            <w:webHidden/>
          </w:rPr>
          <w:fldChar w:fldCharType="end"/>
        </w:r>
      </w:hyperlink>
    </w:p>
    <w:p w:rsidR="00700A53" w:rsidRDefault="00700A53">
      <w:pPr>
        <w:pStyle w:val="TOC2"/>
        <w:rPr>
          <w:rFonts w:ascii="Calibri" w:hAnsi="Calibri"/>
          <w:smallCaps w:val="0"/>
          <w:noProof/>
          <w:sz w:val="22"/>
          <w:szCs w:val="22"/>
        </w:rPr>
      </w:pPr>
      <w:hyperlink w:anchor="_Toc396827494" w:history="1">
        <w:r w:rsidRPr="00DF21FC">
          <w:rPr>
            <w:rStyle w:val="Hyperlink"/>
            <w:noProof/>
            <w:lang w:val="de-DE"/>
          </w:rPr>
          <w:t>B)</w:t>
        </w:r>
        <w:r>
          <w:rPr>
            <w:rFonts w:ascii="Calibri" w:hAnsi="Calibri"/>
            <w:smallCaps w:val="0"/>
            <w:noProof/>
            <w:sz w:val="22"/>
            <w:szCs w:val="22"/>
          </w:rPr>
          <w:tab/>
        </w:r>
        <w:r w:rsidRPr="00DF21FC">
          <w:rPr>
            <w:rStyle w:val="Hyperlink"/>
            <w:noProof/>
            <w:lang w:val="de-DE"/>
          </w:rPr>
          <w:t>Dluh veřejných rozpočtů</w:t>
        </w:r>
        <w:r>
          <w:rPr>
            <w:noProof/>
            <w:webHidden/>
          </w:rPr>
          <w:tab/>
        </w:r>
        <w:r>
          <w:rPr>
            <w:noProof/>
            <w:webHidden/>
          </w:rPr>
          <w:fldChar w:fldCharType="begin"/>
        </w:r>
        <w:r>
          <w:rPr>
            <w:noProof/>
            <w:webHidden/>
          </w:rPr>
          <w:instrText xml:space="preserve"> PAGEREF _Toc396827494 \h </w:instrText>
        </w:r>
        <w:r>
          <w:rPr>
            <w:noProof/>
            <w:webHidden/>
          </w:rPr>
        </w:r>
        <w:r>
          <w:rPr>
            <w:noProof/>
            <w:webHidden/>
          </w:rPr>
          <w:fldChar w:fldCharType="separate"/>
        </w:r>
        <w:r>
          <w:rPr>
            <w:noProof/>
            <w:webHidden/>
          </w:rPr>
          <w:t>14</w:t>
        </w:r>
        <w:r>
          <w:rPr>
            <w:noProof/>
            <w:webHidden/>
          </w:rPr>
          <w:fldChar w:fldCharType="end"/>
        </w:r>
      </w:hyperlink>
    </w:p>
    <w:p w:rsidR="00700A53" w:rsidRDefault="00700A53">
      <w:pPr>
        <w:pStyle w:val="TOC1"/>
        <w:tabs>
          <w:tab w:val="right" w:leader="dot" w:pos="9061"/>
        </w:tabs>
        <w:rPr>
          <w:rFonts w:ascii="Calibri" w:hAnsi="Calibri"/>
          <w:b w:val="0"/>
          <w:bCs w:val="0"/>
          <w:caps w:val="0"/>
          <w:noProof/>
          <w:sz w:val="22"/>
          <w:szCs w:val="22"/>
        </w:rPr>
      </w:pPr>
      <w:hyperlink w:anchor="_Toc396827495" w:history="1">
        <w:r w:rsidRPr="00DF21FC">
          <w:rPr>
            <w:rStyle w:val="Hyperlink"/>
            <w:noProof/>
          </w:rPr>
          <w:t>II. Mimorozpočtové fondy</w:t>
        </w:r>
        <w:r>
          <w:rPr>
            <w:noProof/>
            <w:webHidden/>
          </w:rPr>
          <w:tab/>
        </w:r>
        <w:r>
          <w:rPr>
            <w:noProof/>
            <w:webHidden/>
          </w:rPr>
          <w:fldChar w:fldCharType="begin"/>
        </w:r>
        <w:r>
          <w:rPr>
            <w:noProof/>
            <w:webHidden/>
          </w:rPr>
          <w:instrText xml:space="preserve"> PAGEREF _Toc396827495 \h </w:instrText>
        </w:r>
        <w:r>
          <w:rPr>
            <w:noProof/>
            <w:webHidden/>
          </w:rPr>
        </w:r>
        <w:r>
          <w:rPr>
            <w:noProof/>
            <w:webHidden/>
          </w:rPr>
          <w:fldChar w:fldCharType="separate"/>
        </w:r>
        <w:r>
          <w:rPr>
            <w:noProof/>
            <w:webHidden/>
          </w:rPr>
          <w:t>16</w:t>
        </w:r>
        <w:r>
          <w:rPr>
            <w:noProof/>
            <w:webHidden/>
          </w:rPr>
          <w:fldChar w:fldCharType="end"/>
        </w:r>
      </w:hyperlink>
    </w:p>
    <w:p w:rsidR="00700A53" w:rsidRDefault="00700A53">
      <w:pPr>
        <w:pStyle w:val="TOC2"/>
        <w:rPr>
          <w:rFonts w:ascii="Calibri" w:hAnsi="Calibri"/>
          <w:smallCaps w:val="0"/>
          <w:noProof/>
          <w:sz w:val="22"/>
          <w:szCs w:val="22"/>
        </w:rPr>
      </w:pPr>
      <w:hyperlink w:anchor="_Toc396827496" w:history="1">
        <w:r w:rsidRPr="00DF21FC">
          <w:rPr>
            <w:rStyle w:val="Hyperlink"/>
            <w:noProof/>
          </w:rPr>
          <w:t>A)</w:t>
        </w:r>
        <w:r>
          <w:rPr>
            <w:rFonts w:ascii="Calibri" w:hAnsi="Calibri"/>
            <w:smallCaps w:val="0"/>
            <w:noProof/>
            <w:sz w:val="22"/>
            <w:szCs w:val="22"/>
          </w:rPr>
          <w:tab/>
        </w:r>
        <w:r w:rsidRPr="00DF21FC">
          <w:rPr>
            <w:rStyle w:val="Hyperlink"/>
            <w:noProof/>
          </w:rPr>
          <w:t>Státní fondy</w:t>
        </w:r>
        <w:r>
          <w:rPr>
            <w:noProof/>
            <w:webHidden/>
          </w:rPr>
          <w:tab/>
        </w:r>
        <w:r>
          <w:rPr>
            <w:noProof/>
            <w:webHidden/>
          </w:rPr>
          <w:fldChar w:fldCharType="begin"/>
        </w:r>
        <w:r>
          <w:rPr>
            <w:noProof/>
            <w:webHidden/>
          </w:rPr>
          <w:instrText xml:space="preserve"> PAGEREF _Toc396827496 \h </w:instrText>
        </w:r>
        <w:r>
          <w:rPr>
            <w:noProof/>
            <w:webHidden/>
          </w:rPr>
        </w:r>
        <w:r>
          <w:rPr>
            <w:noProof/>
            <w:webHidden/>
          </w:rPr>
          <w:fldChar w:fldCharType="separate"/>
        </w:r>
        <w:r>
          <w:rPr>
            <w:noProof/>
            <w:webHidden/>
          </w:rPr>
          <w:t>16</w:t>
        </w:r>
        <w:r>
          <w:rPr>
            <w:noProof/>
            <w:webHidden/>
          </w:rPr>
          <w:fldChar w:fldCharType="end"/>
        </w:r>
      </w:hyperlink>
    </w:p>
    <w:p w:rsidR="00700A53" w:rsidRDefault="00700A53">
      <w:pPr>
        <w:pStyle w:val="TOC3"/>
        <w:tabs>
          <w:tab w:val="left" w:pos="1100"/>
          <w:tab w:val="right" w:leader="dot" w:pos="9061"/>
        </w:tabs>
        <w:rPr>
          <w:rFonts w:ascii="Calibri" w:hAnsi="Calibri"/>
          <w:i w:val="0"/>
          <w:iCs w:val="0"/>
          <w:noProof/>
          <w:sz w:val="22"/>
          <w:szCs w:val="22"/>
        </w:rPr>
      </w:pPr>
      <w:hyperlink w:anchor="_Toc396827497" w:history="1">
        <w:r w:rsidRPr="00DF21FC">
          <w:rPr>
            <w:rStyle w:val="Hyperlink"/>
            <w:noProof/>
          </w:rPr>
          <w:t>1.</w:t>
        </w:r>
        <w:r>
          <w:rPr>
            <w:rFonts w:ascii="Calibri" w:hAnsi="Calibri"/>
            <w:i w:val="0"/>
            <w:iCs w:val="0"/>
            <w:noProof/>
            <w:sz w:val="22"/>
            <w:szCs w:val="22"/>
          </w:rPr>
          <w:tab/>
        </w:r>
        <w:r w:rsidRPr="00DF21FC">
          <w:rPr>
            <w:rStyle w:val="Hyperlink"/>
            <w:noProof/>
          </w:rPr>
          <w:t>Státní fond životního prostředí České republiky</w:t>
        </w:r>
        <w:r>
          <w:rPr>
            <w:noProof/>
            <w:webHidden/>
          </w:rPr>
          <w:tab/>
        </w:r>
        <w:r>
          <w:rPr>
            <w:noProof/>
            <w:webHidden/>
          </w:rPr>
          <w:fldChar w:fldCharType="begin"/>
        </w:r>
        <w:r>
          <w:rPr>
            <w:noProof/>
            <w:webHidden/>
          </w:rPr>
          <w:instrText xml:space="preserve"> PAGEREF _Toc396827497 \h </w:instrText>
        </w:r>
        <w:r>
          <w:rPr>
            <w:noProof/>
            <w:webHidden/>
          </w:rPr>
        </w:r>
        <w:r>
          <w:rPr>
            <w:noProof/>
            <w:webHidden/>
          </w:rPr>
          <w:fldChar w:fldCharType="separate"/>
        </w:r>
        <w:r>
          <w:rPr>
            <w:noProof/>
            <w:webHidden/>
          </w:rPr>
          <w:t>16</w:t>
        </w:r>
        <w:r>
          <w:rPr>
            <w:noProof/>
            <w:webHidden/>
          </w:rPr>
          <w:fldChar w:fldCharType="end"/>
        </w:r>
      </w:hyperlink>
    </w:p>
    <w:p w:rsidR="00700A53" w:rsidRDefault="00700A53">
      <w:pPr>
        <w:pStyle w:val="TOC3"/>
        <w:tabs>
          <w:tab w:val="left" w:pos="1100"/>
          <w:tab w:val="right" w:leader="dot" w:pos="9061"/>
        </w:tabs>
        <w:rPr>
          <w:rFonts w:ascii="Calibri" w:hAnsi="Calibri"/>
          <w:i w:val="0"/>
          <w:iCs w:val="0"/>
          <w:noProof/>
          <w:sz w:val="22"/>
          <w:szCs w:val="22"/>
        </w:rPr>
      </w:pPr>
      <w:hyperlink w:anchor="_Toc396827498" w:history="1">
        <w:r w:rsidRPr="00DF21FC">
          <w:rPr>
            <w:rStyle w:val="Hyperlink"/>
            <w:noProof/>
          </w:rPr>
          <w:t>2.</w:t>
        </w:r>
        <w:r>
          <w:rPr>
            <w:rFonts w:ascii="Calibri" w:hAnsi="Calibri"/>
            <w:i w:val="0"/>
            <w:iCs w:val="0"/>
            <w:noProof/>
            <w:sz w:val="22"/>
            <w:szCs w:val="22"/>
          </w:rPr>
          <w:tab/>
        </w:r>
        <w:r w:rsidRPr="00DF21FC">
          <w:rPr>
            <w:rStyle w:val="Hyperlink"/>
            <w:noProof/>
          </w:rPr>
          <w:t>Státní fond dopravní infrastruktury</w:t>
        </w:r>
        <w:r>
          <w:rPr>
            <w:noProof/>
            <w:webHidden/>
          </w:rPr>
          <w:tab/>
        </w:r>
        <w:r>
          <w:rPr>
            <w:noProof/>
            <w:webHidden/>
          </w:rPr>
          <w:fldChar w:fldCharType="begin"/>
        </w:r>
        <w:r>
          <w:rPr>
            <w:noProof/>
            <w:webHidden/>
          </w:rPr>
          <w:instrText xml:space="preserve"> PAGEREF _Toc396827498 \h </w:instrText>
        </w:r>
        <w:r>
          <w:rPr>
            <w:noProof/>
            <w:webHidden/>
          </w:rPr>
        </w:r>
        <w:r>
          <w:rPr>
            <w:noProof/>
            <w:webHidden/>
          </w:rPr>
          <w:fldChar w:fldCharType="separate"/>
        </w:r>
        <w:r>
          <w:rPr>
            <w:noProof/>
            <w:webHidden/>
          </w:rPr>
          <w:t>19</w:t>
        </w:r>
        <w:r>
          <w:rPr>
            <w:noProof/>
            <w:webHidden/>
          </w:rPr>
          <w:fldChar w:fldCharType="end"/>
        </w:r>
      </w:hyperlink>
    </w:p>
    <w:p w:rsidR="00700A53" w:rsidRDefault="00700A53">
      <w:pPr>
        <w:pStyle w:val="TOC3"/>
        <w:tabs>
          <w:tab w:val="left" w:pos="1100"/>
          <w:tab w:val="right" w:leader="dot" w:pos="9061"/>
        </w:tabs>
        <w:rPr>
          <w:rFonts w:ascii="Calibri" w:hAnsi="Calibri"/>
          <w:i w:val="0"/>
          <w:iCs w:val="0"/>
          <w:noProof/>
          <w:sz w:val="22"/>
          <w:szCs w:val="22"/>
        </w:rPr>
      </w:pPr>
      <w:hyperlink w:anchor="_Toc396827499" w:history="1">
        <w:r w:rsidRPr="00DF21FC">
          <w:rPr>
            <w:rStyle w:val="Hyperlink"/>
            <w:noProof/>
          </w:rPr>
          <w:t>3.</w:t>
        </w:r>
        <w:r>
          <w:rPr>
            <w:rFonts w:ascii="Calibri" w:hAnsi="Calibri"/>
            <w:i w:val="0"/>
            <w:iCs w:val="0"/>
            <w:noProof/>
            <w:sz w:val="22"/>
            <w:szCs w:val="22"/>
          </w:rPr>
          <w:tab/>
        </w:r>
        <w:r w:rsidRPr="00DF21FC">
          <w:rPr>
            <w:rStyle w:val="Hyperlink"/>
            <w:noProof/>
          </w:rPr>
          <w:t>Státní fond rozvoje bydlení</w:t>
        </w:r>
        <w:r>
          <w:rPr>
            <w:noProof/>
            <w:webHidden/>
          </w:rPr>
          <w:tab/>
        </w:r>
        <w:r>
          <w:rPr>
            <w:noProof/>
            <w:webHidden/>
          </w:rPr>
          <w:fldChar w:fldCharType="begin"/>
        </w:r>
        <w:r>
          <w:rPr>
            <w:noProof/>
            <w:webHidden/>
          </w:rPr>
          <w:instrText xml:space="preserve"> PAGEREF _Toc396827499 \h </w:instrText>
        </w:r>
        <w:r>
          <w:rPr>
            <w:noProof/>
            <w:webHidden/>
          </w:rPr>
        </w:r>
        <w:r>
          <w:rPr>
            <w:noProof/>
            <w:webHidden/>
          </w:rPr>
          <w:fldChar w:fldCharType="separate"/>
        </w:r>
        <w:r>
          <w:rPr>
            <w:noProof/>
            <w:webHidden/>
          </w:rPr>
          <w:t>22</w:t>
        </w:r>
        <w:r>
          <w:rPr>
            <w:noProof/>
            <w:webHidden/>
          </w:rPr>
          <w:fldChar w:fldCharType="end"/>
        </w:r>
      </w:hyperlink>
    </w:p>
    <w:p w:rsidR="00700A53" w:rsidRDefault="00700A53">
      <w:pPr>
        <w:pStyle w:val="TOC3"/>
        <w:tabs>
          <w:tab w:val="left" w:pos="1100"/>
          <w:tab w:val="right" w:leader="dot" w:pos="9061"/>
        </w:tabs>
        <w:rPr>
          <w:rFonts w:ascii="Calibri" w:hAnsi="Calibri"/>
          <w:i w:val="0"/>
          <w:iCs w:val="0"/>
          <w:noProof/>
          <w:sz w:val="22"/>
          <w:szCs w:val="22"/>
        </w:rPr>
      </w:pPr>
      <w:hyperlink w:anchor="_Toc396827500" w:history="1">
        <w:r w:rsidRPr="00DF21FC">
          <w:rPr>
            <w:rStyle w:val="Hyperlink"/>
            <w:noProof/>
          </w:rPr>
          <w:t>4.</w:t>
        </w:r>
        <w:r>
          <w:rPr>
            <w:rFonts w:ascii="Calibri" w:hAnsi="Calibri"/>
            <w:i w:val="0"/>
            <w:iCs w:val="0"/>
            <w:noProof/>
            <w:sz w:val="22"/>
            <w:szCs w:val="22"/>
          </w:rPr>
          <w:tab/>
        </w:r>
        <w:r w:rsidRPr="00DF21FC">
          <w:rPr>
            <w:rStyle w:val="Hyperlink"/>
            <w:noProof/>
          </w:rPr>
          <w:t>Státní zemědělský intervenční fond</w:t>
        </w:r>
        <w:r>
          <w:rPr>
            <w:noProof/>
            <w:webHidden/>
          </w:rPr>
          <w:tab/>
        </w:r>
        <w:r>
          <w:rPr>
            <w:noProof/>
            <w:webHidden/>
          </w:rPr>
          <w:fldChar w:fldCharType="begin"/>
        </w:r>
        <w:r>
          <w:rPr>
            <w:noProof/>
            <w:webHidden/>
          </w:rPr>
          <w:instrText xml:space="preserve"> PAGEREF _Toc396827500 \h </w:instrText>
        </w:r>
        <w:r>
          <w:rPr>
            <w:noProof/>
            <w:webHidden/>
          </w:rPr>
        </w:r>
        <w:r>
          <w:rPr>
            <w:noProof/>
            <w:webHidden/>
          </w:rPr>
          <w:fldChar w:fldCharType="separate"/>
        </w:r>
        <w:r>
          <w:rPr>
            <w:noProof/>
            <w:webHidden/>
          </w:rPr>
          <w:t>25</w:t>
        </w:r>
        <w:r>
          <w:rPr>
            <w:noProof/>
            <w:webHidden/>
          </w:rPr>
          <w:fldChar w:fldCharType="end"/>
        </w:r>
      </w:hyperlink>
    </w:p>
    <w:p w:rsidR="00700A53" w:rsidRDefault="00700A53">
      <w:pPr>
        <w:pStyle w:val="TOC3"/>
        <w:tabs>
          <w:tab w:val="left" w:pos="1100"/>
          <w:tab w:val="right" w:leader="dot" w:pos="9061"/>
        </w:tabs>
        <w:rPr>
          <w:rFonts w:ascii="Calibri" w:hAnsi="Calibri"/>
          <w:i w:val="0"/>
          <w:iCs w:val="0"/>
          <w:noProof/>
          <w:sz w:val="22"/>
          <w:szCs w:val="22"/>
        </w:rPr>
      </w:pPr>
      <w:hyperlink w:anchor="_Toc396827501" w:history="1">
        <w:r w:rsidRPr="00DF21FC">
          <w:rPr>
            <w:rStyle w:val="Hyperlink"/>
            <w:noProof/>
          </w:rPr>
          <w:t>5.</w:t>
        </w:r>
        <w:r>
          <w:rPr>
            <w:rFonts w:ascii="Calibri" w:hAnsi="Calibri"/>
            <w:i w:val="0"/>
            <w:iCs w:val="0"/>
            <w:noProof/>
            <w:sz w:val="22"/>
            <w:szCs w:val="22"/>
          </w:rPr>
          <w:tab/>
        </w:r>
        <w:r w:rsidRPr="00DF21FC">
          <w:rPr>
            <w:rStyle w:val="Hyperlink"/>
            <w:noProof/>
          </w:rPr>
          <w:t>Státní fond kultury České republiky</w:t>
        </w:r>
        <w:r>
          <w:rPr>
            <w:noProof/>
            <w:webHidden/>
          </w:rPr>
          <w:tab/>
        </w:r>
        <w:r>
          <w:rPr>
            <w:noProof/>
            <w:webHidden/>
          </w:rPr>
          <w:fldChar w:fldCharType="begin"/>
        </w:r>
        <w:r>
          <w:rPr>
            <w:noProof/>
            <w:webHidden/>
          </w:rPr>
          <w:instrText xml:space="preserve"> PAGEREF _Toc396827501 \h </w:instrText>
        </w:r>
        <w:r>
          <w:rPr>
            <w:noProof/>
            <w:webHidden/>
          </w:rPr>
        </w:r>
        <w:r>
          <w:rPr>
            <w:noProof/>
            <w:webHidden/>
          </w:rPr>
          <w:fldChar w:fldCharType="separate"/>
        </w:r>
        <w:r>
          <w:rPr>
            <w:noProof/>
            <w:webHidden/>
          </w:rPr>
          <w:t>28</w:t>
        </w:r>
        <w:r>
          <w:rPr>
            <w:noProof/>
            <w:webHidden/>
          </w:rPr>
          <w:fldChar w:fldCharType="end"/>
        </w:r>
      </w:hyperlink>
    </w:p>
    <w:p w:rsidR="00700A53" w:rsidRDefault="00700A53">
      <w:pPr>
        <w:pStyle w:val="TOC3"/>
        <w:tabs>
          <w:tab w:val="left" w:pos="1100"/>
          <w:tab w:val="right" w:leader="dot" w:pos="9061"/>
        </w:tabs>
        <w:rPr>
          <w:rFonts w:ascii="Calibri" w:hAnsi="Calibri"/>
          <w:i w:val="0"/>
          <w:iCs w:val="0"/>
          <w:noProof/>
          <w:sz w:val="22"/>
          <w:szCs w:val="22"/>
        </w:rPr>
      </w:pPr>
      <w:hyperlink w:anchor="_Toc396827502" w:history="1">
        <w:r w:rsidRPr="00DF21FC">
          <w:rPr>
            <w:rStyle w:val="Hyperlink"/>
            <w:noProof/>
          </w:rPr>
          <w:t>6.</w:t>
        </w:r>
        <w:r>
          <w:rPr>
            <w:rFonts w:ascii="Calibri" w:hAnsi="Calibri"/>
            <w:i w:val="0"/>
            <w:iCs w:val="0"/>
            <w:noProof/>
            <w:sz w:val="22"/>
            <w:szCs w:val="22"/>
          </w:rPr>
          <w:tab/>
        </w:r>
        <w:r w:rsidRPr="00DF21FC">
          <w:rPr>
            <w:rStyle w:val="Hyperlink"/>
            <w:noProof/>
          </w:rPr>
          <w:t>Státní fond kinematografie</w:t>
        </w:r>
        <w:r>
          <w:rPr>
            <w:noProof/>
            <w:webHidden/>
          </w:rPr>
          <w:tab/>
        </w:r>
        <w:r>
          <w:rPr>
            <w:noProof/>
            <w:webHidden/>
          </w:rPr>
          <w:fldChar w:fldCharType="begin"/>
        </w:r>
        <w:r>
          <w:rPr>
            <w:noProof/>
            <w:webHidden/>
          </w:rPr>
          <w:instrText xml:space="preserve"> PAGEREF _Toc396827502 \h </w:instrText>
        </w:r>
        <w:r>
          <w:rPr>
            <w:noProof/>
            <w:webHidden/>
          </w:rPr>
        </w:r>
        <w:r>
          <w:rPr>
            <w:noProof/>
            <w:webHidden/>
          </w:rPr>
          <w:fldChar w:fldCharType="separate"/>
        </w:r>
        <w:r>
          <w:rPr>
            <w:noProof/>
            <w:webHidden/>
          </w:rPr>
          <w:t>30</w:t>
        </w:r>
        <w:r>
          <w:rPr>
            <w:noProof/>
            <w:webHidden/>
          </w:rPr>
          <w:fldChar w:fldCharType="end"/>
        </w:r>
      </w:hyperlink>
    </w:p>
    <w:p w:rsidR="00700A53" w:rsidRDefault="00700A53">
      <w:pPr>
        <w:pStyle w:val="TOC2"/>
        <w:rPr>
          <w:rFonts w:ascii="Calibri" w:hAnsi="Calibri"/>
          <w:smallCaps w:val="0"/>
          <w:noProof/>
          <w:sz w:val="22"/>
          <w:szCs w:val="22"/>
        </w:rPr>
      </w:pPr>
      <w:hyperlink w:anchor="_Toc396827503" w:history="1">
        <w:r w:rsidRPr="00DF21FC">
          <w:rPr>
            <w:rStyle w:val="Hyperlink"/>
            <w:noProof/>
          </w:rPr>
          <w:t>B)</w:t>
        </w:r>
        <w:r>
          <w:rPr>
            <w:rFonts w:ascii="Calibri" w:hAnsi="Calibri"/>
            <w:smallCaps w:val="0"/>
            <w:noProof/>
            <w:sz w:val="22"/>
            <w:szCs w:val="22"/>
          </w:rPr>
          <w:tab/>
        </w:r>
        <w:r w:rsidRPr="00DF21FC">
          <w:rPr>
            <w:rStyle w:val="Hyperlink"/>
            <w:noProof/>
          </w:rPr>
          <w:t>Fond privatizace</w:t>
        </w:r>
        <w:r>
          <w:rPr>
            <w:noProof/>
            <w:webHidden/>
          </w:rPr>
          <w:tab/>
        </w:r>
        <w:r>
          <w:rPr>
            <w:noProof/>
            <w:webHidden/>
          </w:rPr>
          <w:fldChar w:fldCharType="begin"/>
        </w:r>
        <w:r>
          <w:rPr>
            <w:noProof/>
            <w:webHidden/>
          </w:rPr>
          <w:instrText xml:space="preserve"> PAGEREF _Toc396827503 \h </w:instrText>
        </w:r>
        <w:r>
          <w:rPr>
            <w:noProof/>
            <w:webHidden/>
          </w:rPr>
        </w:r>
        <w:r>
          <w:rPr>
            <w:noProof/>
            <w:webHidden/>
          </w:rPr>
          <w:fldChar w:fldCharType="separate"/>
        </w:r>
        <w:r>
          <w:rPr>
            <w:noProof/>
            <w:webHidden/>
          </w:rPr>
          <w:t>32</w:t>
        </w:r>
        <w:r>
          <w:rPr>
            <w:noProof/>
            <w:webHidden/>
          </w:rPr>
          <w:fldChar w:fldCharType="end"/>
        </w:r>
      </w:hyperlink>
    </w:p>
    <w:p w:rsidR="00700A53" w:rsidRDefault="00700A53">
      <w:pPr>
        <w:pStyle w:val="TOC1"/>
        <w:tabs>
          <w:tab w:val="right" w:leader="dot" w:pos="9061"/>
        </w:tabs>
        <w:rPr>
          <w:rFonts w:ascii="Calibri" w:hAnsi="Calibri"/>
          <w:b w:val="0"/>
          <w:bCs w:val="0"/>
          <w:caps w:val="0"/>
          <w:noProof/>
          <w:sz w:val="22"/>
          <w:szCs w:val="22"/>
        </w:rPr>
      </w:pPr>
      <w:hyperlink w:anchor="_Toc396827504" w:history="1">
        <w:r w:rsidRPr="00DF21FC">
          <w:rPr>
            <w:rStyle w:val="Hyperlink"/>
            <w:noProof/>
          </w:rPr>
          <w:t>III. Veřejné zdravotní pojištění</w:t>
        </w:r>
        <w:r>
          <w:rPr>
            <w:noProof/>
            <w:webHidden/>
          </w:rPr>
          <w:tab/>
        </w:r>
        <w:r>
          <w:rPr>
            <w:noProof/>
            <w:webHidden/>
          </w:rPr>
          <w:fldChar w:fldCharType="begin"/>
        </w:r>
        <w:r>
          <w:rPr>
            <w:noProof/>
            <w:webHidden/>
          </w:rPr>
          <w:instrText xml:space="preserve"> PAGEREF _Toc396827504 \h </w:instrText>
        </w:r>
        <w:r>
          <w:rPr>
            <w:noProof/>
            <w:webHidden/>
          </w:rPr>
        </w:r>
        <w:r>
          <w:rPr>
            <w:noProof/>
            <w:webHidden/>
          </w:rPr>
          <w:fldChar w:fldCharType="separate"/>
        </w:r>
        <w:r>
          <w:rPr>
            <w:noProof/>
            <w:webHidden/>
          </w:rPr>
          <w:t>35</w:t>
        </w:r>
        <w:r>
          <w:rPr>
            <w:noProof/>
            <w:webHidden/>
          </w:rPr>
          <w:fldChar w:fldCharType="end"/>
        </w:r>
      </w:hyperlink>
    </w:p>
    <w:p w:rsidR="00700A53" w:rsidRDefault="00700A53" w:rsidP="00A77FBE">
      <w:pPr>
        <w:sectPr w:rsidR="00700A53" w:rsidSect="002C4EF1">
          <w:footerReference w:type="even" r:id="rId7"/>
          <w:footerReference w:type="default" r:id="rId8"/>
          <w:footerReference w:type="first" r:id="rId9"/>
          <w:pgSz w:w="11907" w:h="16840"/>
          <w:pgMar w:top="1418" w:right="1418" w:bottom="1418" w:left="1418" w:header="708" w:footer="708" w:gutter="0"/>
          <w:pgNumType w:start="0"/>
          <w:cols w:space="708"/>
          <w:titlePg/>
        </w:sectPr>
      </w:pPr>
      <w:r>
        <w:rPr>
          <w:b/>
          <w:bCs/>
          <w:caps/>
        </w:rPr>
        <w:fldChar w:fldCharType="end"/>
      </w:r>
    </w:p>
    <w:p w:rsidR="00700A53" w:rsidRDefault="00700A53" w:rsidP="00C97B50">
      <w:pPr>
        <w:pStyle w:val="Heading1"/>
        <w:spacing w:before="0"/>
      </w:pPr>
      <w:bookmarkStart w:id="8" w:name="_Toc50797849"/>
      <w:bookmarkStart w:id="9" w:name="_Toc50966496"/>
      <w:bookmarkStart w:id="10" w:name="_Toc24962055"/>
      <w:bookmarkStart w:id="11" w:name="_Toc49932517"/>
      <w:bookmarkStart w:id="12" w:name="_Toc50797854"/>
      <w:bookmarkStart w:id="13" w:name="_Toc50966501"/>
      <w:bookmarkEnd w:id="0"/>
      <w:bookmarkEnd w:id="1"/>
      <w:r>
        <w:br w:type="page"/>
      </w:r>
      <w:bookmarkStart w:id="14" w:name="_Toc207011051"/>
      <w:bookmarkStart w:id="15" w:name="_Toc396827490"/>
      <w:r>
        <w:t>I. Očekávaný vývoj veřejných rozpočtů a vládního dluhu</w:t>
      </w:r>
      <w:bookmarkEnd w:id="8"/>
      <w:bookmarkEnd w:id="9"/>
      <w:bookmarkEnd w:id="14"/>
      <w:bookmarkEnd w:id="15"/>
    </w:p>
    <w:p w:rsidR="00700A53" w:rsidRDefault="00700A53" w:rsidP="00C97B50"/>
    <w:p w:rsidR="00700A53" w:rsidRDefault="00700A53" w:rsidP="00C97B50">
      <w:pPr>
        <w:pStyle w:val="Heading2"/>
      </w:pPr>
      <w:bookmarkStart w:id="16" w:name="_Toc207097209"/>
      <w:bookmarkStart w:id="17" w:name="_Toc112674743"/>
      <w:bookmarkStart w:id="18" w:name="_Toc207011052"/>
      <w:bookmarkStart w:id="19" w:name="_Toc396827491"/>
      <w:bookmarkEnd w:id="16"/>
      <w:r>
        <w:t>Veřejné rozpočty</w:t>
      </w:r>
      <w:bookmarkEnd w:id="17"/>
      <w:bookmarkEnd w:id="18"/>
      <w:r>
        <w:t xml:space="preserve"> (metodika GFS 2001)</w:t>
      </w:r>
      <w:bookmarkEnd w:id="19"/>
    </w:p>
    <w:p w:rsidR="00700A53" w:rsidRPr="0016698C" w:rsidRDefault="00700A53" w:rsidP="0016698C"/>
    <w:p w:rsidR="00700A53" w:rsidRDefault="00700A53" w:rsidP="0026728D">
      <w:pPr>
        <w:sectPr w:rsidR="00700A53" w:rsidSect="00B14F4F">
          <w:footerReference w:type="default" r:id="rId10"/>
          <w:type w:val="continuous"/>
          <w:pgSz w:w="11907" w:h="16840"/>
          <w:pgMar w:top="1418" w:right="1418" w:bottom="1418" w:left="1418" w:header="708" w:footer="708" w:gutter="0"/>
          <w:pgNumType w:start="0"/>
          <w:cols w:space="708"/>
          <w:docGrid w:linePitch="326"/>
        </w:sectPr>
      </w:pPr>
      <w:bookmarkStart w:id="20" w:name="_Toc207011053"/>
    </w:p>
    <w:p w:rsidR="00700A53" w:rsidRDefault="00700A53" w:rsidP="0016698C">
      <w:pPr>
        <w:pStyle w:val="Heading3"/>
        <w:spacing w:before="0" w:after="0"/>
      </w:pPr>
      <w:bookmarkStart w:id="21" w:name="_Toc396827492"/>
      <w:bookmarkEnd w:id="20"/>
      <w:r>
        <w:t xml:space="preserve">Veřejné rozpočty v roce </w:t>
      </w:r>
      <w:r w:rsidRPr="005B3B89">
        <w:t>201</w:t>
      </w:r>
      <w:r>
        <w:t xml:space="preserve">4 - východisko pro rok </w:t>
      </w:r>
      <w:r w:rsidRPr="00EB46E5">
        <w:t>201</w:t>
      </w:r>
      <w:r>
        <w:t>5</w:t>
      </w:r>
      <w:bookmarkEnd w:id="21"/>
    </w:p>
    <w:p w:rsidR="00700A53" w:rsidRDefault="00700A53" w:rsidP="0016698C">
      <w:pPr>
        <w:pStyle w:val="Standardnstyl"/>
        <w:spacing w:before="0"/>
      </w:pPr>
    </w:p>
    <w:p w:rsidR="00700A53" w:rsidRDefault="00700A53" w:rsidP="0016698C">
      <w:pPr>
        <w:pStyle w:val="Standardnstyl"/>
        <w:spacing w:before="0"/>
      </w:pPr>
      <w:r>
        <w:t xml:space="preserve">Vývoj hospodaření veřejných rozpočtů v roce </w:t>
      </w:r>
      <w:r w:rsidRPr="00EB46E5">
        <w:t>201</w:t>
      </w:r>
      <w:r>
        <w:t>4 zaznamená meziročně zhoršení</w:t>
      </w:r>
      <w:r w:rsidRPr="00FC5D8A">
        <w:t>;</w:t>
      </w:r>
      <w:r>
        <w:t xml:space="preserve"> na druhou stranu se </w:t>
      </w:r>
      <w:r w:rsidRPr="00AB7E07">
        <w:t xml:space="preserve">oproti předpokladům v rozpočtové dokumentaci </w:t>
      </w:r>
      <w:r>
        <w:t>na</w:t>
      </w:r>
      <w:r w:rsidRPr="00AB7E07">
        <w:t xml:space="preserve"> rok 201</w:t>
      </w:r>
      <w:r>
        <w:t>4</w:t>
      </w:r>
      <w:r w:rsidRPr="00AB7E07">
        <w:t xml:space="preserve"> </w:t>
      </w:r>
      <w:r>
        <w:t>očekává nižší deficit státního rozpočtu a tudíž i veřejných rozpočtů celkově.</w:t>
      </w:r>
    </w:p>
    <w:p w:rsidR="00700A53" w:rsidRDefault="00700A53" w:rsidP="001623C3">
      <w:pPr>
        <w:spacing w:before="60" w:line="360" w:lineRule="auto"/>
        <w:ind w:firstLine="426"/>
        <w:jc w:val="both"/>
      </w:pPr>
      <w:r w:rsidRPr="008F25D3">
        <w:t>Po</w:t>
      </w:r>
      <w:r>
        <w:t xml:space="preserve"> rekordním schodku</w:t>
      </w:r>
      <w:r w:rsidRPr="008F25D3">
        <w:t xml:space="preserve"> veřejných rozpočtů </w:t>
      </w:r>
      <w:r>
        <w:t xml:space="preserve">v </w:t>
      </w:r>
      <w:r w:rsidRPr="008F25D3">
        <w:t xml:space="preserve">roce </w:t>
      </w:r>
      <w:r>
        <w:t>2009 přichází jeho postupné snižování, tento klesající trend je ale v roce 2014 narušen</w:t>
      </w:r>
      <w:r w:rsidRPr="008F25D3">
        <w:t>. Celkové saldo veřejných rozpočtů</w:t>
      </w:r>
      <w:r>
        <w:t xml:space="preserve"> </w:t>
      </w:r>
      <w:r w:rsidRPr="008F25D3">
        <w:t xml:space="preserve">se meziročně </w:t>
      </w:r>
      <w:r>
        <w:t xml:space="preserve">zhorší </w:t>
      </w:r>
      <w:r w:rsidRPr="008F25D3">
        <w:t xml:space="preserve">o </w:t>
      </w:r>
      <w:r>
        <w:t>0,8</w:t>
      </w:r>
      <w:r w:rsidRPr="008F25D3">
        <w:t xml:space="preserve"> p.</w:t>
      </w:r>
      <w:r>
        <w:t xml:space="preserve"> </w:t>
      </w:r>
      <w:r w:rsidRPr="008F25D3">
        <w:t xml:space="preserve">b. na </w:t>
      </w:r>
      <w:r>
        <w:t xml:space="preserve">-2,1 </w:t>
      </w:r>
      <w:r w:rsidRPr="008F25D3">
        <w:t>% HDP</w:t>
      </w:r>
      <w:r w:rsidRPr="00FC5D8A">
        <w:t>; u</w:t>
      </w:r>
      <w:r>
        <w:t>kazatel používaný jako základní indikátor pro fiskální cílení bude o 0,2 p. b. horší, deficit tak dosáhne rovněž 2,1</w:t>
      </w:r>
      <w:r>
        <w:rPr>
          <w:sz w:val="20"/>
        </w:rPr>
        <w:t> </w:t>
      </w:r>
      <w:r>
        <w:t xml:space="preserve">% HDP. Fiskální cíl stanovený v návrhu státního rozpočtu pro rok 2014 činil -2,8 % HDP. Je ale nutné poznamenat, že </w:t>
      </w:r>
      <w:r w:rsidRPr="003713FE">
        <w:t>zákon č. 501/2012 Sb., který novelizoval mj. zákon o rozpočtových pravidlech, tuto metodiku fiskálního cílení zrušil.</w:t>
      </w:r>
    </w:p>
    <w:p w:rsidR="00700A53" w:rsidRDefault="00700A53" w:rsidP="001623C3">
      <w:pPr>
        <w:spacing w:before="60" w:line="360" w:lineRule="auto"/>
        <w:ind w:firstLine="426"/>
        <w:jc w:val="both"/>
      </w:pPr>
      <w:r>
        <w:t xml:space="preserve">Stále však nebyla realizována dostatečná restrukturalizace výdajové strany veřejných rozpočtů. Přetrvává vysoký podíl </w:t>
      </w:r>
      <w:r w:rsidRPr="00190653">
        <w:t>mandatorních výdajů.</w:t>
      </w:r>
      <w:r>
        <w:t xml:space="preserve"> Tendence veřejných financí se zdají být i přes zvýšený deficit pozitivnější, neboť v meziročním srovnání roste objem celkových příjmů v absolutní výši. Z hlediska dlouhodobé udržitelnosti veřejných financí jsou však potřebná další systémová opatření. Přehled o vývoji jednotlivých deficitů od roku 2011 podávají následující tabulky.</w:t>
      </w:r>
    </w:p>
    <w:p w:rsidR="00700A53" w:rsidRDefault="00700A53" w:rsidP="006232FD">
      <w:pPr>
        <w:pStyle w:val="Caption"/>
      </w:pPr>
      <w:r>
        <w:t xml:space="preserve">Tabulka č. </w:t>
      </w:r>
      <w:fldSimple w:instr=" SEQ Tabulka \* ARABIC " w:fldLock="1">
        <w:r>
          <w:rPr>
            <w:noProof/>
          </w:rPr>
          <w:t>1</w:t>
        </w:r>
      </w:fldSimple>
      <w:r>
        <w:rPr>
          <w:noProof/>
        </w:rPr>
        <w:t xml:space="preserve">: </w:t>
      </w:r>
      <w:r>
        <w:t xml:space="preserve">Vývoj sald veřejných rozpočtů v mld. </w:t>
      </w:r>
      <w:r w:rsidRPr="0093354A">
        <w:t>Kč</w:t>
      </w:r>
    </w:p>
    <w:p w:rsidR="00700A53" w:rsidRDefault="00700A53" w:rsidP="00256D4F">
      <w:pPr>
        <w:pStyle w:val="Pramen"/>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8pt;height:46.8pt">
            <v:imagedata r:id="rId11" o:title=""/>
          </v:shape>
        </w:pict>
      </w:r>
      <w:r>
        <w:t>Pramen: Ministerstvo financí ČR</w:t>
      </w:r>
    </w:p>
    <w:p w:rsidR="00700A53" w:rsidRPr="0093354A" w:rsidRDefault="00700A53" w:rsidP="006232FD">
      <w:pPr>
        <w:pStyle w:val="Caption"/>
      </w:pPr>
      <w:r w:rsidRPr="0093354A">
        <w:t xml:space="preserve">Tabulka </w:t>
      </w:r>
      <w:r>
        <w:t xml:space="preserve">č. </w:t>
      </w:r>
      <w:fldSimple w:instr=" SEQ Tabulka \* ARABIC " w:fldLock="1">
        <w:r>
          <w:rPr>
            <w:noProof/>
          </w:rPr>
          <w:t>2</w:t>
        </w:r>
      </w:fldSimple>
      <w:r>
        <w:t xml:space="preserve">: </w:t>
      </w:r>
      <w:r w:rsidRPr="0093354A">
        <w:t>Vývoj sald veřejných rozpočtů v % HDP</w:t>
      </w:r>
    </w:p>
    <w:p w:rsidR="00700A53" w:rsidRDefault="00700A53" w:rsidP="00256D4F">
      <w:pPr>
        <w:pStyle w:val="Pramen"/>
      </w:pPr>
      <w:r>
        <w:pict>
          <v:shape id="_x0000_i1026" type="#_x0000_t75" style="width:442.8pt;height:48pt">
            <v:imagedata r:id="rId12" o:title=""/>
          </v:shape>
        </w:pict>
      </w:r>
      <w:r>
        <w:t>Pramen: Ministerstvo financí ČR</w:t>
      </w:r>
    </w:p>
    <w:p w:rsidR="00700A53" w:rsidRPr="002E28E6" w:rsidRDefault="00700A53" w:rsidP="00256D4F">
      <w:pPr>
        <w:pStyle w:val="Pramen"/>
      </w:pPr>
      <w:r>
        <w:t>1)</w:t>
      </w:r>
      <w:r w:rsidRPr="002E28E6">
        <w:t xml:space="preserve"> </w:t>
      </w:r>
      <w:r>
        <w:t>s</w:t>
      </w:r>
      <w:r w:rsidRPr="002E28E6">
        <w:t xml:space="preserve">aldo </w:t>
      </w:r>
      <w:r>
        <w:t>bez</w:t>
      </w:r>
      <w:r w:rsidRPr="002E28E6">
        <w:t xml:space="preserve"> dotací transformačním institucím a </w:t>
      </w:r>
      <w:r>
        <w:t xml:space="preserve">vlivu EU prostředků </w:t>
      </w:r>
    </w:p>
    <w:p w:rsidR="00700A53" w:rsidRDefault="00700A53" w:rsidP="00256D4F">
      <w:pPr>
        <w:pStyle w:val="Pramen"/>
      </w:pPr>
    </w:p>
    <w:p w:rsidR="00700A53" w:rsidRDefault="00700A53" w:rsidP="00463A78">
      <w:pPr>
        <w:pStyle w:val="Standardnstyl"/>
      </w:pPr>
      <w:r>
        <w:t>P</w:t>
      </w:r>
      <w:r w:rsidRPr="00C03601">
        <w:t>odíl celkových příjmů</w:t>
      </w:r>
      <w:r>
        <w:t xml:space="preserve"> veřejných rozpočtů na HDP v roce 2014 se ve srovnání s rokem 2013 sníží o 1,0 p. b. a bude činit 39,1 %. Nicméně celkové daňové příjmy (včetně pojistného na sociální zabezpečení)</w:t>
      </w:r>
      <w:r w:rsidRPr="00113673">
        <w:t xml:space="preserve"> </w:t>
      </w:r>
      <w:r>
        <w:t>meziročně zaznamenají pozitivní vývoj, dojde k růstu jejich objemu o 2,6 % (v roce 2013 vzrostly o 2,4 %). Konsolidovaná daňová kvóta se sníží o 0,6 p. b. a bude činit 32,8 % HDP.</w:t>
      </w:r>
    </w:p>
    <w:p w:rsidR="00700A53" w:rsidRDefault="00700A53" w:rsidP="00097D3D">
      <w:pPr>
        <w:pStyle w:val="Standardnstyl"/>
      </w:pPr>
      <w:r>
        <w:t xml:space="preserve">V roce 2014 se podíl výdajů veřejných rozpočtů na HDP oproti roku 2013 sníží o 0,2 p. b. a dosáhne 41,2 % HDP. </w:t>
      </w:r>
      <w:r w:rsidRPr="00E2584D">
        <w:t>Ve struktuře výdajů ale nedochází k</w:t>
      </w:r>
      <w:r>
        <w:t xml:space="preserve"> </w:t>
      </w:r>
      <w:r w:rsidRPr="00E2584D">
        <w:t>výrazným</w:t>
      </w:r>
      <w:r>
        <w:t xml:space="preserve"> </w:t>
      </w:r>
      <w:r w:rsidRPr="00E2584D">
        <w:t>pozitivním změnám. Výdajová strana nadále zůst</w:t>
      </w:r>
      <w:r>
        <w:t>ává</w:t>
      </w:r>
      <w:r w:rsidRPr="00E2584D">
        <w:t xml:space="preserve"> zatížena vysokým podílem sociálních mandatorních výdajů</w:t>
      </w:r>
      <w:r>
        <w:t>. Nejvyšší váhu na celkových výdajích (44,0 %) mají sociální dávky, které jsou realizovány zejména státním rozpočtem. V jejich rámci jsou nejvýznamnější výdajovou zátěží dávky důchodového pojištění. Jejich objem se vzhledem k vysoké citlivosti na současný demografický vývoj nepodaří bez realizace skutečně razantní komplexní důchodové reformy, akceptované napříč celou společností, stabilizovat. Další významnou skupinou mandatorních výdajů jsou dávky nemocenského pojištění, systém státní sociální podpory a dávky pomoci v hmotné nouzi.</w:t>
      </w:r>
    </w:p>
    <w:p w:rsidR="00700A53" w:rsidRDefault="00700A53" w:rsidP="00C47925">
      <w:pPr>
        <w:spacing w:before="60" w:line="360" w:lineRule="auto"/>
        <w:ind w:firstLine="426"/>
        <w:jc w:val="both"/>
      </w:pPr>
      <w:r w:rsidRPr="00F73B09">
        <w:t>V roce 201</w:t>
      </w:r>
      <w:r>
        <w:t>4 lze meziročně očekávat zvýšení výdajů na nákup fixních aktiv o 16,4 %, čímž lze po 5</w:t>
      </w:r>
      <w:r w:rsidRPr="00105044">
        <w:t xml:space="preserve"> </w:t>
      </w:r>
      <w:r>
        <w:t>letech předpokládat posílení investiční aktivity prostřednictvím</w:t>
      </w:r>
      <w:r w:rsidRPr="00C61CED">
        <w:t xml:space="preserve"> pořízení </w:t>
      </w:r>
      <w:r>
        <w:t xml:space="preserve">většího objemu </w:t>
      </w:r>
      <w:r w:rsidRPr="00C61CED">
        <w:t>dlouhodobého majetku</w:t>
      </w:r>
      <w:r>
        <w:t>. Převážná část těchto výdajů bude</w:t>
      </w:r>
      <w:r w:rsidRPr="00B114D5">
        <w:t xml:space="preserve"> realizována </w:t>
      </w:r>
      <w:r>
        <w:t xml:space="preserve">územními samosprávnými celky a </w:t>
      </w:r>
      <w:r w:rsidRPr="00B114D5">
        <w:t>státním</w:t>
      </w:r>
      <w:r>
        <w:t xml:space="preserve"> rozpočtem. U běžných transferů</w:t>
      </w:r>
      <w:r w:rsidRPr="004F577C">
        <w:t xml:space="preserve"> poskytovan</w:t>
      </w:r>
      <w:r>
        <w:t>ých</w:t>
      </w:r>
      <w:r w:rsidRPr="004F577C">
        <w:t xml:space="preserve"> </w:t>
      </w:r>
      <w:r>
        <w:t>společnostem se v roce 2014 očekává stejný podíl na celkových výdajích jako v roce 2013, tj. na úrovni 20,0 %, přičemž opět cca 1/3 připadá soukromým společnostem a zbylé cca 2/3 společnostem veřejným.</w:t>
      </w:r>
      <w:r w:rsidRPr="00FC5D8A">
        <w:t xml:space="preserve"> </w:t>
      </w:r>
      <w:r>
        <w:t>B</w:t>
      </w:r>
      <w:r w:rsidRPr="00FC5D8A">
        <w:t xml:space="preserve">ěžné transfery soukromým společnostem </w:t>
      </w:r>
      <w:r>
        <w:t xml:space="preserve">v podstatě rostou od roku 2008, a to </w:t>
      </w:r>
      <w:r w:rsidRPr="00FC5D8A">
        <w:t>především díky dotacím provozovatelům přenosové soustavy a distribučních soustav v</w:t>
      </w:r>
      <w:r>
        <w:t> </w:t>
      </w:r>
      <w:r w:rsidRPr="00FC5D8A">
        <w:t>souvislosti se snahou vlády zamezit nárůstu cen elektrické energie.</w:t>
      </w:r>
    </w:p>
    <w:p w:rsidR="00700A53" w:rsidRPr="00FC5D8A" w:rsidRDefault="00700A53" w:rsidP="00097D3D">
      <w:pPr>
        <w:pStyle w:val="Standardnstyl"/>
      </w:pPr>
      <w:r>
        <w:t>P</w:t>
      </w:r>
      <w:r w:rsidRPr="005B573A">
        <w:t>odíl čistého peněžního toku z provozní činnosti na HDP</w:t>
      </w:r>
      <w:r>
        <w:t xml:space="preserve"> se ve srovnání s rokem 2013</w:t>
      </w:r>
      <w:r w:rsidRPr="00DD4A57">
        <w:t xml:space="preserve"> </w:t>
      </w:r>
      <w:r>
        <w:t>zhorší o 0,8 p. b. a vrátí se zpět do schodku 0,3 % HDP. Primární saldo, které je zde vypočteno jako saldo očištěné o výdaje spojené s úroky z dluhu veřejných rozpočtů, se meziročně rovněž zhorší o 0,8 p. b., tzn., že v roce 2014 dosáhne záporné hodnoty -0,7 % HDP.</w:t>
      </w:r>
    </w:p>
    <w:p w:rsidR="00700A53" w:rsidRPr="001D0E67" w:rsidRDefault="00700A53" w:rsidP="00463A78">
      <w:pPr>
        <w:pStyle w:val="Standardnstyl"/>
      </w:pPr>
      <w:r>
        <w:t xml:space="preserve">Nejvýznamnější složkou deficitu veřejných rozpočtů zůstává i v roce 2014 schodek státního rozpočtu. Ve srovnání s výsledky dosaženými v roce 2013 lze očekávat snížení deficitu o 28,3 mld. Kč na 84,8 </w:t>
      </w:r>
      <w:r w:rsidRPr="001D0E67">
        <w:t>mld.</w:t>
      </w:r>
      <w:r>
        <w:t xml:space="preserve"> </w:t>
      </w:r>
      <w:r w:rsidRPr="001D0E67">
        <w:t>Kč.</w:t>
      </w:r>
    </w:p>
    <w:p w:rsidR="00700A53" w:rsidRDefault="00700A53" w:rsidP="00463A78">
      <w:pPr>
        <w:pStyle w:val="Standardnstyl"/>
      </w:pPr>
      <w:r w:rsidRPr="00877281">
        <w:t>Ve srovnání s</w:t>
      </w:r>
      <w:r>
        <w:t xml:space="preserve"> </w:t>
      </w:r>
      <w:r w:rsidRPr="00877281">
        <w:t xml:space="preserve">původními předpoklady v </w:t>
      </w:r>
      <w:r>
        <w:t>D</w:t>
      </w:r>
      <w:r w:rsidRPr="00877281">
        <w:t>okumentaci k</w:t>
      </w:r>
      <w:r>
        <w:t xml:space="preserve"> n</w:t>
      </w:r>
      <w:r w:rsidRPr="00877281">
        <w:t>ávrhu</w:t>
      </w:r>
      <w:r>
        <w:t xml:space="preserve"> zákona</w:t>
      </w:r>
      <w:r w:rsidRPr="00877281">
        <w:t xml:space="preserve"> </w:t>
      </w:r>
      <w:r>
        <w:t>o </w:t>
      </w:r>
      <w:r w:rsidRPr="00877281">
        <w:t>státní</w:t>
      </w:r>
      <w:r>
        <w:t>m</w:t>
      </w:r>
      <w:r w:rsidRPr="00877281">
        <w:t xml:space="preserve"> rozpočtu </w:t>
      </w:r>
      <w:r>
        <w:t xml:space="preserve">ČR </w:t>
      </w:r>
      <w:r w:rsidRPr="00877281">
        <w:t>na rok 20</w:t>
      </w:r>
      <w:r>
        <w:t>14 dochází k určitým odchylkám na příjmové straně státního rozpočtu</w:t>
      </w:r>
      <w:r>
        <w:rPr>
          <w:rStyle w:val="FootnoteReference"/>
        </w:rPr>
        <w:footnoteReference w:id="1"/>
      </w:r>
      <w:r>
        <w:t>.</w:t>
      </w:r>
      <w:r w:rsidRPr="009676DA">
        <w:t xml:space="preserve"> </w:t>
      </w:r>
      <w:r>
        <w:t>Podstatně méně příznivě, než předpokládal návrh rozpočtu, se vyvíjejí běžné dotace od mezinárodních organizací, naopak u dotací kapitálového charakteru je situace zcela opačná. Daňové příjmy a příspěvky na sociální zabezpečení dosáhnou víceméně rozpočtované úrovně. V</w:t>
      </w:r>
      <w:r w:rsidRPr="002719DA">
        <w:t>yšší očekávané inkaso</w:t>
      </w:r>
      <w:r>
        <w:t xml:space="preserve"> státního rozpočtu</w:t>
      </w:r>
      <w:r w:rsidRPr="002719DA">
        <w:t xml:space="preserve"> zaznamená daň z</w:t>
      </w:r>
      <w:r>
        <w:t> přidané hodnoty</w:t>
      </w:r>
      <w:r w:rsidRPr="002719DA">
        <w:t xml:space="preserve"> (o</w:t>
      </w:r>
      <w:r>
        <w:t> 6,7 </w:t>
      </w:r>
      <w:r w:rsidRPr="002719DA">
        <w:t>mld.</w:t>
      </w:r>
      <w:r>
        <w:t> </w:t>
      </w:r>
      <w:r w:rsidRPr="002719DA">
        <w:t>Kč</w:t>
      </w:r>
      <w:r>
        <w:t>, u veřejných rozpočtů celkem o 9,2 mld. Kč</w:t>
      </w:r>
      <w:r w:rsidRPr="002719DA">
        <w:t>)</w:t>
      </w:r>
      <w:r>
        <w:t xml:space="preserve"> a daň z příjmů právnických osob (o 3,6 mld. Kč, u veřejných rozpočtů celkem o 5,5 mld. Kč)</w:t>
      </w:r>
      <w:r w:rsidRPr="002719DA">
        <w:t xml:space="preserve">. Naopak nižší se očekává inkaso </w:t>
      </w:r>
      <w:r>
        <w:t>u</w:t>
      </w:r>
      <w:r w:rsidRPr="002719DA">
        <w:t xml:space="preserve"> </w:t>
      </w:r>
      <w:r>
        <w:t xml:space="preserve">daně z příjmů fyzických osob (o 4,7 mld. Kč, u veřejných rozpočtů celkem o 7,2 mld. Kč) a spotřebních daní (o 5,0 mld. Kč, u veřejných rozpočtů celkem o 5,5 mld. Kč). Výnos z příspěvků na sociální zabezpečení bude u státního rozpočtu shodný s rozpočtovanou výší, u veřejných rozpočtů (zde se jedná víceméně ještě o zdravotní pojišťovny) se ve srovnání s rozpočtem očekává zvýšení o 3,2 mld. Kč. </w:t>
      </w:r>
    </w:p>
    <w:p w:rsidR="00700A53" w:rsidRDefault="00700A53" w:rsidP="00463A78">
      <w:pPr>
        <w:pStyle w:val="Standardnstyl"/>
      </w:pPr>
      <w:r w:rsidRPr="008F25D3">
        <w:t xml:space="preserve">Schodek státního rozpočtu byl původně </w:t>
      </w:r>
      <w:r>
        <w:t>předpokládán</w:t>
      </w:r>
      <w:r w:rsidRPr="008F25D3">
        <w:t xml:space="preserve"> </w:t>
      </w:r>
      <w:r>
        <w:t>na úrovni</w:t>
      </w:r>
      <w:r w:rsidRPr="008F25D3">
        <w:t xml:space="preserve"> </w:t>
      </w:r>
      <w:r>
        <w:t>113,1</w:t>
      </w:r>
      <w:r w:rsidRPr="008F25D3">
        <w:t xml:space="preserve"> mld. Kč</w:t>
      </w:r>
      <w:r>
        <w:t xml:space="preserve"> </w:t>
      </w:r>
      <w:r w:rsidRPr="006F0A66">
        <w:t xml:space="preserve">(resp. po zahrnutí transakcí Národního fondu a zdrojů z privatizace </w:t>
      </w:r>
      <w:r>
        <w:t>109,7</w:t>
      </w:r>
      <w:r w:rsidRPr="006F0A66">
        <w:t xml:space="preserve"> mld. Kč). P</w:t>
      </w:r>
      <w:r w:rsidRPr="008F25D3">
        <w:t>odle aktuálních odhadů</w:t>
      </w:r>
      <w:r>
        <w:t xml:space="preserve"> </w:t>
      </w:r>
      <w:r w:rsidRPr="008F25D3">
        <w:t xml:space="preserve">dosáhne </w:t>
      </w:r>
      <w:r>
        <w:t>jeho výše</w:t>
      </w:r>
      <w:r w:rsidRPr="008F25D3">
        <w:t xml:space="preserve"> </w:t>
      </w:r>
      <w:r>
        <w:t>84,8</w:t>
      </w:r>
      <w:r w:rsidRPr="008F25D3">
        <w:t xml:space="preserve"> mld. Kč</w:t>
      </w:r>
      <w:r>
        <w:t xml:space="preserve">, </w:t>
      </w:r>
      <w:r w:rsidRPr="006F0A66">
        <w:t xml:space="preserve">resp. </w:t>
      </w:r>
      <w:r>
        <w:t xml:space="preserve">92,5 </w:t>
      </w:r>
      <w:r w:rsidRPr="006F0A66">
        <w:t>mld. Kč</w:t>
      </w:r>
      <w:r w:rsidRPr="008F25D3">
        <w:t xml:space="preserve">. </w:t>
      </w:r>
      <w:r w:rsidRPr="000A7610">
        <w:rPr>
          <w:b/>
        </w:rPr>
        <w:t xml:space="preserve">Takto upravený deficit není metodicky srovnatelný s deficitem prezentovaným v ostatních částech rozpočtové dokumentace, neboť z jeho výše je vyloučen vliv finančních operací </w:t>
      </w:r>
      <w:r w:rsidRPr="00EF3C1E">
        <w:t>(poskytování a</w:t>
      </w:r>
      <w:r>
        <w:t> </w:t>
      </w:r>
      <w:r w:rsidRPr="00EF3C1E">
        <w:t>splácení půjček, nákup a prodej majetkových účastí).</w:t>
      </w:r>
      <w:r>
        <w:t xml:space="preserve"> </w:t>
      </w:r>
    </w:p>
    <w:p w:rsidR="00700A53" w:rsidRPr="004B08CA" w:rsidRDefault="00700A53" w:rsidP="00463A78">
      <w:pPr>
        <w:pStyle w:val="Standardnstyl"/>
      </w:pPr>
      <w:r w:rsidRPr="00A449B6">
        <w:t>Ve srovnání s rozpočtovou</w:t>
      </w:r>
      <w:r>
        <w:t xml:space="preserve"> dokumentací lze u státního rozpočtu očekávat vyšší výdaje (o 1,6 mld. Kč) i vyšší příjmy (o 29,9 mld. Kč</w:t>
      </w:r>
      <w:r w:rsidRPr="006F0A66">
        <w:t>), po zahrnutí transakcí Národního fondu a</w:t>
      </w:r>
      <w:r>
        <w:t> Fondu</w:t>
      </w:r>
      <w:r w:rsidRPr="006F0A66">
        <w:t xml:space="preserve"> privatizace </w:t>
      </w:r>
      <w:r>
        <w:t>vyšší</w:t>
      </w:r>
      <w:r w:rsidRPr="006F0A66">
        <w:t xml:space="preserve"> </w:t>
      </w:r>
      <w:r>
        <w:t xml:space="preserve">výdaje </w:t>
      </w:r>
      <w:r w:rsidRPr="006F0A66">
        <w:t xml:space="preserve">o </w:t>
      </w:r>
      <w:r>
        <w:t>3,4</w:t>
      </w:r>
      <w:r w:rsidRPr="006F0A66">
        <w:t xml:space="preserve"> mld. Kč</w:t>
      </w:r>
      <w:r>
        <w:t xml:space="preserve"> a příjmy o</w:t>
      </w:r>
      <w:r w:rsidRPr="006F0A66">
        <w:t xml:space="preserve"> </w:t>
      </w:r>
      <w:r>
        <w:t>23,8</w:t>
      </w:r>
      <w:r w:rsidRPr="006F0A66">
        <w:t xml:space="preserve"> mld. Kč.</w:t>
      </w:r>
      <w:r>
        <w:t xml:space="preserve"> Méně by se mělo ze státního rozpočtu vydat především za úroky jakožto náklady na dluhovou službu (</w:t>
      </w:r>
      <w:r w:rsidRPr="00F677AF">
        <w:t>o</w:t>
      </w:r>
      <w:r>
        <w:t> 4,2 mld. Kč, celkově z veřejných rozpočtů o 4,4 mld. Kč),</w:t>
      </w:r>
      <w:r w:rsidRPr="006911E4">
        <w:t xml:space="preserve"> </w:t>
      </w:r>
      <w:r>
        <w:t>nákupy</w:t>
      </w:r>
      <w:r w:rsidRPr="006911E4">
        <w:t xml:space="preserve"> zboží a služeb</w:t>
      </w:r>
      <w:r>
        <w:t xml:space="preserve"> (o 8,2 mld. Kč, celkově z veřejných rozpočtů o 9,3 mld. Kč)</w:t>
      </w:r>
      <w:r w:rsidRPr="006911E4">
        <w:t xml:space="preserve"> a také za sociální dávky</w:t>
      </w:r>
      <w:r>
        <w:t xml:space="preserve"> (o 1,6 mld. Kč, naopak celkově se z veřejných rozpočtů vydá o 2,7 mld. Kč na sociální dávky více, než bylo rozpočtováno)</w:t>
      </w:r>
      <w:r w:rsidRPr="006911E4">
        <w:t>. Naopak porostou dotace jednotkám vládního</w:t>
      </w:r>
      <w:r>
        <w:t xml:space="preserve"> </w:t>
      </w:r>
      <w:r w:rsidRPr="006911E4">
        <w:t>sektoru (o</w:t>
      </w:r>
      <w:r>
        <w:t> 28,9 </w:t>
      </w:r>
      <w:r w:rsidRPr="006911E4">
        <w:t>mld.</w:t>
      </w:r>
      <w:r>
        <w:t> </w:t>
      </w:r>
      <w:r w:rsidRPr="006911E4">
        <w:t>Kč)</w:t>
      </w:r>
      <w:r>
        <w:t>, zejména kapitálové (o 54,4 %),</w:t>
      </w:r>
      <w:r w:rsidRPr="006911E4">
        <w:t xml:space="preserve"> a běžné transfery soukromým společnostem</w:t>
      </w:r>
      <w:r>
        <w:t>, o kterých již byla zmínka výše. I p</w:t>
      </w:r>
      <w:r w:rsidRPr="00A7361B">
        <w:t xml:space="preserve">řes </w:t>
      </w:r>
      <w:r>
        <w:t xml:space="preserve">poměrně </w:t>
      </w:r>
      <w:r w:rsidRPr="00A7361B">
        <w:t>výraznou snahu redukovat celkový objem výdajů veřejných rozpočtů</w:t>
      </w:r>
      <w:r>
        <w:t xml:space="preserve"> v minulých letech</w:t>
      </w:r>
      <w:r w:rsidRPr="00A7361B">
        <w:t xml:space="preserve"> existuje i</w:t>
      </w:r>
      <w:r>
        <w:t xml:space="preserve"> </w:t>
      </w:r>
      <w:r w:rsidRPr="00A7361B">
        <w:t>nadále prostor pro jejich systematickou restrukturalizaci a zefektivnění</w:t>
      </w:r>
      <w:r w:rsidRPr="004B08CA">
        <w:t>;</w:t>
      </w:r>
      <w:r>
        <w:t xml:space="preserve"> </w:t>
      </w:r>
      <w:r w:rsidRPr="001A7E28">
        <w:t>jejich momentální růst se zdá být odrazem snah o ekonomické oživení a zvýšení investičních aktivit.</w:t>
      </w:r>
    </w:p>
    <w:p w:rsidR="00700A53" w:rsidRDefault="00700A53" w:rsidP="00463A78">
      <w:pPr>
        <w:pStyle w:val="Standardnstyl"/>
      </w:pPr>
      <w:r>
        <w:t>O</w:t>
      </w:r>
      <w:r w:rsidRPr="00307EBB">
        <w:t xml:space="preserve">statní subjekty veřejných rozpočtů </w:t>
      </w:r>
      <w:r>
        <w:t xml:space="preserve">dosáhnou </w:t>
      </w:r>
      <w:r w:rsidRPr="00307EBB">
        <w:t>s výjimkou územních samosprávných celků podle aktuálních odhadů proti původním předpokladům horšího výsledku hospodaření - mimorozpočtové fondy</w:t>
      </w:r>
      <w:r>
        <w:rPr>
          <w:rStyle w:val="FootnoteReference"/>
        </w:rPr>
        <w:footnoteReference w:id="2"/>
      </w:r>
      <w:r w:rsidRPr="00307EBB">
        <w:t xml:space="preserve"> celkově o </w:t>
      </w:r>
      <w:r>
        <w:t>8,2</w:t>
      </w:r>
      <w:r w:rsidRPr="00307EBB">
        <w:t xml:space="preserve"> mld. Kč (</w:t>
      </w:r>
      <w:r>
        <w:t xml:space="preserve">z toho </w:t>
      </w:r>
      <w:r w:rsidRPr="00307EBB">
        <w:t>Státní fond dopravní infrastruktury o</w:t>
      </w:r>
      <w:r>
        <w:t> 3,26</w:t>
      </w:r>
      <w:r w:rsidRPr="00307EBB">
        <w:t xml:space="preserve"> mld. </w:t>
      </w:r>
      <w:r>
        <w:t>Kč a Státní zemědělský intervenční fond dokonce o 5,02 mld. Kč</w:t>
      </w:r>
      <w:r w:rsidRPr="00307EBB">
        <w:t xml:space="preserve">) a veřejné zdravotní pojištění o </w:t>
      </w:r>
      <w:r>
        <w:t>1,0</w:t>
      </w:r>
      <w:r w:rsidRPr="00307EBB">
        <w:t xml:space="preserve"> mld. Kč</w:t>
      </w:r>
      <w:r>
        <w:t>.</w:t>
      </w:r>
    </w:p>
    <w:p w:rsidR="00700A53" w:rsidRDefault="00700A53" w:rsidP="00463A78">
      <w:pPr>
        <w:pStyle w:val="Standardnstyl"/>
      </w:pPr>
      <w:r>
        <w:t xml:space="preserve">Z </w:t>
      </w:r>
      <w:r w:rsidRPr="005E2AC4">
        <w:t xml:space="preserve">Grafu </w:t>
      </w:r>
      <w:r>
        <w:t xml:space="preserve">č. 1 je patrné, že v posledních letech nedocházelo v podílech výdajů jednotlivých subsektorů na celkových výdajích veřejných rozpočtů k nijak dramatickým změnám. Podíl výdajů dotačně závislých státních fondů je stále relativně vysoký, nicméně v roce </w:t>
      </w:r>
      <w:r w:rsidRPr="000A09C6">
        <w:t>201</w:t>
      </w:r>
      <w:r>
        <w:t>5</w:t>
      </w:r>
      <w:r w:rsidRPr="000A09C6">
        <w:t xml:space="preserve"> se </w:t>
      </w:r>
      <w:r w:rsidRPr="00011A4E">
        <w:t xml:space="preserve">očekává jejich </w:t>
      </w:r>
      <w:r>
        <w:t xml:space="preserve">viditelnější </w:t>
      </w:r>
      <w:r w:rsidRPr="004742C2">
        <w:t>pokles.</w:t>
      </w:r>
      <w:r w:rsidRPr="001A7E28">
        <w:t xml:space="preserve"> Trend </w:t>
      </w:r>
      <w:r>
        <w:t>kolísání</w:t>
      </w:r>
      <w:r w:rsidRPr="001A7E28">
        <w:t xml:space="preserve"> podílu výdajů na veřejné zdravotní pojištění </w:t>
      </w:r>
      <w:r>
        <w:t xml:space="preserve">kolem, resp. přes 12 % </w:t>
      </w:r>
      <w:r w:rsidRPr="00BC5561">
        <w:t>zůstane zachován</w:t>
      </w:r>
      <w:r w:rsidRPr="001A7E28">
        <w:t>.</w:t>
      </w:r>
    </w:p>
    <w:p w:rsidR="00700A53" w:rsidRDefault="00700A53" w:rsidP="003B5141">
      <w:pPr>
        <w:pStyle w:val="Caption"/>
      </w:pPr>
      <w:r>
        <w:t>Graf č. 1: Podíl výdajů jednotlivých subsektorů na celkových výdajích vládního sektoru v %</w:t>
      </w:r>
    </w:p>
    <w:p w:rsidR="00700A53" w:rsidRDefault="00700A53" w:rsidP="003B5141">
      <w:pPr>
        <w:pStyle w:val="graftab"/>
        <w:jc w:val="center"/>
      </w:pPr>
      <w:r>
        <w:pict>
          <v:shape id="_x0000_i1027" type="#_x0000_t75" style="width:395.4pt;height:213pt">
            <v:imagedata r:id="rId13" o:title=""/>
          </v:shape>
        </w:pict>
      </w:r>
    </w:p>
    <w:p w:rsidR="00700A53" w:rsidRDefault="00700A53" w:rsidP="00256D4F">
      <w:pPr>
        <w:pStyle w:val="graftab"/>
      </w:pPr>
      <w:r>
        <w:t>P</w:t>
      </w:r>
      <w:r w:rsidRPr="001A50E5">
        <w:t xml:space="preserve">ramen: </w:t>
      </w:r>
      <w:r>
        <w:t>Ministerstvo financí ČR</w:t>
      </w:r>
    </w:p>
    <w:p w:rsidR="00700A53" w:rsidRDefault="00700A53" w:rsidP="00256D4F">
      <w:pPr>
        <w:pStyle w:val="Pramen"/>
      </w:pPr>
    </w:p>
    <w:p w:rsidR="00700A53" w:rsidRDefault="00700A53" w:rsidP="00463A78">
      <w:pPr>
        <w:pStyle w:val="Standardnstyl"/>
      </w:pPr>
      <w:r>
        <w:t xml:space="preserve">Očekávaný vývoj státního rozpočtu a rozpočtů územních samosprávných celků je detailně analyzován v samostatných částech Dokumentace návrhu zákona o státním rozpočtu ČR na rok </w:t>
      </w:r>
      <w:r w:rsidRPr="00FB1E46">
        <w:rPr>
          <w:color w:val="000000"/>
        </w:rPr>
        <w:t>20</w:t>
      </w:r>
      <w:r>
        <w:rPr>
          <w:color w:val="000000"/>
        </w:rPr>
        <w:t>15</w:t>
      </w:r>
      <w:r>
        <w:t>. Hospodaření ostatních složek veřejných rozpočtů (mimorozpočtových, resp. státních fondů, Fondu privatizace a veřejného zdravotního pojištění) je součástí tohoto materiálu o veřejných rozpočtech.</w:t>
      </w:r>
    </w:p>
    <w:p w:rsidR="00700A53" w:rsidRDefault="00700A53" w:rsidP="00256D4F">
      <w:pPr>
        <w:sectPr w:rsidR="00700A53" w:rsidSect="00256D4F">
          <w:type w:val="continuous"/>
          <w:pgSz w:w="11907" w:h="16840"/>
          <w:pgMar w:top="1418" w:right="1418" w:bottom="1418" w:left="1418" w:header="708" w:footer="708" w:gutter="0"/>
          <w:pgNumType w:start="1"/>
          <w:cols w:space="708"/>
          <w:titlePg/>
        </w:sectPr>
      </w:pPr>
    </w:p>
    <w:p w:rsidR="00700A53" w:rsidRDefault="00700A53" w:rsidP="003B5141">
      <w:pPr>
        <w:pStyle w:val="Caption"/>
      </w:pPr>
      <w:r>
        <w:t xml:space="preserve">Tabulka č. </w:t>
      </w:r>
      <w:fldSimple w:instr=" SEQ Tabulka \* ARABIC " w:fldLock="1">
        <w:r>
          <w:rPr>
            <w:noProof/>
          </w:rPr>
          <w:t>3</w:t>
        </w:r>
      </w:fldSimple>
      <w:r>
        <w:rPr>
          <w:noProof/>
        </w:rPr>
        <w:t xml:space="preserve">: </w:t>
      </w:r>
      <w:r>
        <w:t xml:space="preserve">Příjmy jednotlivých složek veřejných rozpočtů v roce </w:t>
      </w:r>
      <w:r w:rsidRPr="00FB1E46">
        <w:rPr>
          <w:color w:val="000000"/>
        </w:rPr>
        <w:t>20</w:t>
      </w:r>
      <w:r>
        <w:rPr>
          <w:color w:val="000000"/>
        </w:rPr>
        <w:t>14</w:t>
      </w:r>
      <w:r>
        <w:t xml:space="preserve"> v mld. Kč</w:t>
      </w:r>
    </w:p>
    <w:p w:rsidR="00700A53" w:rsidRDefault="00700A53" w:rsidP="00256D4F">
      <w:pPr>
        <w:pStyle w:val="graftab"/>
      </w:pPr>
      <w:r>
        <w:pict>
          <v:shape id="_x0000_i1028" type="#_x0000_t75" style="width:693.6pt;height:368.4pt">
            <v:imagedata r:id="rId14" o:title=""/>
          </v:shape>
        </w:pict>
      </w:r>
      <w:r>
        <w:t>Pramen: Ministerstvo financí ČR</w:t>
      </w:r>
    </w:p>
    <w:p w:rsidR="00700A53" w:rsidRPr="00C932B0" w:rsidRDefault="00700A53" w:rsidP="00F15E35">
      <w:pPr>
        <w:pStyle w:val="vysvtlivky"/>
        <w:numPr>
          <w:ilvl w:val="0"/>
          <w:numId w:val="6"/>
        </w:numPr>
        <w:jc w:val="both"/>
      </w:pPr>
      <w:r>
        <w:t xml:space="preserve">konsolidovaný </w:t>
      </w:r>
      <w:r w:rsidRPr="009833CE">
        <w:t xml:space="preserve">státní rozpočet včetně Národního fondu a </w:t>
      </w:r>
      <w:r>
        <w:t>Fondu</w:t>
      </w:r>
      <w:r w:rsidRPr="009833CE">
        <w:t xml:space="preserve"> privatizace (zrušený Fond národního majetku)</w:t>
      </w:r>
    </w:p>
    <w:p w:rsidR="00700A53" w:rsidRPr="00305ED9" w:rsidRDefault="00700A53" w:rsidP="00F15E35">
      <w:pPr>
        <w:pStyle w:val="ListParagraph"/>
        <w:numPr>
          <w:ilvl w:val="0"/>
          <w:numId w:val="6"/>
        </w:numPr>
        <w:rPr>
          <w:i/>
          <w:sz w:val="20"/>
          <w:szCs w:val="20"/>
        </w:rPr>
      </w:pPr>
      <w:r w:rsidRPr="00305ED9">
        <w:rPr>
          <w:i/>
          <w:sz w:val="20"/>
          <w:szCs w:val="20"/>
        </w:rPr>
        <w:t>Státní fond dopravní infrastruktury, Státní fond rozvoje bydlení, Státní fond životního prostředí, Státní fond kultury, Státní fond kinematografie a Státní zemědělský intervenční fond</w:t>
      </w:r>
    </w:p>
    <w:p w:rsidR="00700A53" w:rsidRDefault="00700A53" w:rsidP="00F15E35">
      <w:pPr>
        <w:pStyle w:val="vysvtlivky"/>
        <w:numPr>
          <w:ilvl w:val="0"/>
          <w:numId w:val="6"/>
        </w:numPr>
        <w:jc w:val="both"/>
      </w:pPr>
      <w:r>
        <w:t xml:space="preserve">Územní samosprávné celky zahrnují </w:t>
      </w:r>
      <w:r w:rsidRPr="00931991">
        <w:t>obce, k</w:t>
      </w:r>
      <w:r>
        <w:t>raje, dobrovolné svazky obcí a R</w:t>
      </w:r>
      <w:r w:rsidRPr="00931991">
        <w:t>egio</w:t>
      </w:r>
      <w:r>
        <w:t>nální rady regionů soudržnosti.</w:t>
      </w:r>
    </w:p>
    <w:p w:rsidR="00700A53" w:rsidRDefault="00700A53" w:rsidP="003B5141">
      <w:pPr>
        <w:pStyle w:val="Caption"/>
      </w:pPr>
      <w:r>
        <w:t xml:space="preserve"> </w:t>
      </w:r>
      <w:r w:rsidRPr="00901A94">
        <w:t xml:space="preserve">Tabulka </w:t>
      </w:r>
      <w:r>
        <w:t xml:space="preserve">č. </w:t>
      </w:r>
      <w:fldSimple w:instr=" SEQ Tabulka \* ARABIC " w:fldLock="1">
        <w:r>
          <w:rPr>
            <w:noProof/>
          </w:rPr>
          <w:t>4</w:t>
        </w:r>
      </w:fldSimple>
      <w:r>
        <w:rPr>
          <w:noProof/>
        </w:rPr>
        <w:t xml:space="preserve">: </w:t>
      </w:r>
      <w:r>
        <w:t xml:space="preserve">Výdaje a saldo jednotlivých složek veřejných rozpočtů v roce </w:t>
      </w:r>
      <w:r w:rsidRPr="00FB1E46">
        <w:rPr>
          <w:color w:val="000000"/>
        </w:rPr>
        <w:t>20</w:t>
      </w:r>
      <w:r>
        <w:rPr>
          <w:color w:val="000000"/>
        </w:rPr>
        <w:t>14</w:t>
      </w:r>
      <w:r>
        <w:t xml:space="preserve"> v mld. Kč</w:t>
      </w:r>
    </w:p>
    <w:p w:rsidR="00700A53" w:rsidRDefault="00700A53" w:rsidP="00256D4F">
      <w:pPr>
        <w:pStyle w:val="graftab"/>
      </w:pPr>
      <w:r>
        <w:pict>
          <v:shape id="_x0000_i1029" type="#_x0000_t75" style="width:690.6pt;height:376.2pt">
            <v:imagedata r:id="rId15" o:title=""/>
          </v:shape>
        </w:pict>
      </w:r>
      <w:r>
        <w:t>Pramen: Ministerstvo financí ČR</w:t>
      </w:r>
    </w:p>
    <w:p w:rsidR="00700A53" w:rsidRPr="00281A75" w:rsidRDefault="00700A53" w:rsidP="00F15E35">
      <w:pPr>
        <w:pStyle w:val="vysvtlivky"/>
        <w:numPr>
          <w:ilvl w:val="0"/>
          <w:numId w:val="7"/>
        </w:numPr>
        <w:jc w:val="both"/>
      </w:pPr>
      <w:r>
        <w:t xml:space="preserve">konsolidovaný </w:t>
      </w:r>
      <w:r w:rsidRPr="009833CE">
        <w:t xml:space="preserve">státní rozpočet včetně Národního fondu a </w:t>
      </w:r>
      <w:r>
        <w:t xml:space="preserve">Fondu </w:t>
      </w:r>
      <w:r w:rsidRPr="009833CE">
        <w:t>privatizace (zrušený Fond národního majetku</w:t>
      </w:r>
      <w:r>
        <w:t>)</w:t>
      </w:r>
    </w:p>
    <w:p w:rsidR="00700A53" w:rsidRPr="00305ED9" w:rsidRDefault="00700A53" w:rsidP="00F15E35">
      <w:pPr>
        <w:pStyle w:val="ListParagraph"/>
        <w:numPr>
          <w:ilvl w:val="0"/>
          <w:numId w:val="7"/>
        </w:numPr>
        <w:rPr>
          <w:i/>
          <w:sz w:val="20"/>
          <w:szCs w:val="20"/>
        </w:rPr>
      </w:pPr>
      <w:r w:rsidRPr="00305ED9">
        <w:rPr>
          <w:i/>
          <w:sz w:val="20"/>
          <w:szCs w:val="20"/>
        </w:rPr>
        <w:t>Státní fond dopravní infrastruktury, Státní fond rozvoje bydlení, Státní fond životního prostředí, Státní fond kultury, Státní fond kinematografie a Státní zemědělský intervenční fond</w:t>
      </w:r>
    </w:p>
    <w:p w:rsidR="00700A53" w:rsidRDefault="00700A53" w:rsidP="00F15E35">
      <w:pPr>
        <w:pStyle w:val="vysvtlivky"/>
        <w:numPr>
          <w:ilvl w:val="0"/>
          <w:numId w:val="7"/>
        </w:numPr>
        <w:jc w:val="both"/>
      </w:pPr>
      <w:r w:rsidRPr="00901A94">
        <w:t>Územn</w:t>
      </w:r>
      <w:r>
        <w:t xml:space="preserve">í </w:t>
      </w:r>
      <w:r w:rsidRPr="00901A94">
        <w:t>samosprávné celky zahrnují ob</w:t>
      </w:r>
      <w:r>
        <w:t>ce, kraje, dobrovolné svazky obcí a R</w:t>
      </w:r>
      <w:r w:rsidRPr="00C644B6">
        <w:t>egionální rady regionů</w:t>
      </w:r>
      <w:r>
        <w:t xml:space="preserve"> soudržnosti. </w:t>
      </w:r>
    </w:p>
    <w:p w:rsidR="00700A53" w:rsidRDefault="00700A53" w:rsidP="0026728D">
      <w:pPr>
        <w:sectPr w:rsidR="00700A53" w:rsidSect="00256D4F">
          <w:type w:val="continuous"/>
          <w:pgSz w:w="16840" w:h="11907" w:orient="landscape" w:code="9"/>
          <w:pgMar w:top="1418" w:right="1418" w:bottom="1418" w:left="1418" w:header="709" w:footer="709" w:gutter="0"/>
          <w:cols w:space="708"/>
        </w:sectPr>
      </w:pPr>
    </w:p>
    <w:p w:rsidR="00700A53" w:rsidRDefault="00700A53" w:rsidP="00C814DF">
      <w:pPr>
        <w:sectPr w:rsidR="00700A53" w:rsidSect="00C814DF">
          <w:footerReference w:type="default" r:id="rId16"/>
          <w:type w:val="continuous"/>
          <w:pgSz w:w="16840" w:h="11907" w:orient="landscape" w:code="9"/>
          <w:pgMar w:top="1418" w:right="1418" w:bottom="1418" w:left="1418" w:header="709" w:footer="709" w:gutter="0"/>
          <w:cols w:space="708"/>
        </w:sectPr>
      </w:pPr>
    </w:p>
    <w:p w:rsidR="00700A53" w:rsidRDefault="00700A53" w:rsidP="005838F5">
      <w:pPr>
        <w:pStyle w:val="Heading3"/>
        <w:sectPr w:rsidR="00700A53" w:rsidSect="0026728D">
          <w:footerReference w:type="default" r:id="rId17"/>
          <w:type w:val="continuous"/>
          <w:pgSz w:w="11907" w:h="16840"/>
          <w:pgMar w:top="1418" w:right="1418" w:bottom="1418" w:left="1418" w:header="708" w:footer="708" w:gutter="0"/>
          <w:cols w:space="708"/>
        </w:sectPr>
      </w:pPr>
      <w:bookmarkStart w:id="22" w:name="_Toc396827493"/>
      <w:r>
        <w:t xml:space="preserve">Veřejné rozpočty v roce </w:t>
      </w:r>
      <w:r w:rsidRPr="005B3B89">
        <w:t>201</w:t>
      </w:r>
      <w:r>
        <w:t>5</w:t>
      </w:r>
      <w:bookmarkEnd w:id="22"/>
    </w:p>
    <w:p w:rsidR="00700A53" w:rsidRDefault="00700A53" w:rsidP="007F138A">
      <w:pPr>
        <w:pStyle w:val="Heading3"/>
        <w:numPr>
          <w:ilvl w:val="0"/>
          <w:numId w:val="0"/>
        </w:numPr>
        <w:spacing w:before="0" w:after="0"/>
        <w:ind w:left="284"/>
        <w:rPr>
          <w:rFonts w:ascii="Times New Roman" w:hAnsi="Times New Roman"/>
        </w:rPr>
      </w:pPr>
      <w:bookmarkStart w:id="23" w:name="_Toc112674746"/>
      <w:bookmarkStart w:id="24" w:name="_Toc207011055"/>
      <w:bookmarkStart w:id="25" w:name="_Toc207011056"/>
    </w:p>
    <w:p w:rsidR="00700A53" w:rsidRDefault="00700A53" w:rsidP="00097D3D">
      <w:pPr>
        <w:pStyle w:val="Standardnstyl"/>
      </w:pPr>
      <w:r w:rsidRPr="00490151">
        <w:t xml:space="preserve">Očekávaný vývoj veřejných rozpočtů v roce 2015 respektuje </w:t>
      </w:r>
      <w:r>
        <w:t>k</w:t>
      </w:r>
      <w:r w:rsidRPr="008729ED">
        <w:t>ritérium Paktu stability a</w:t>
      </w:r>
      <w:r>
        <w:t> </w:t>
      </w:r>
      <w:r w:rsidRPr="008729ED">
        <w:t>růstu pro výši deficitu</w:t>
      </w:r>
      <w:r w:rsidRPr="00490151">
        <w:t xml:space="preserve"> a současně zohledňuje</w:t>
      </w:r>
      <w:r>
        <w:t xml:space="preserve"> vládou deklarovanou</w:t>
      </w:r>
      <w:r w:rsidRPr="00490151">
        <w:t xml:space="preserve"> potřebu dodání prorůstových impulzů české ekonomi</w:t>
      </w:r>
      <w:r>
        <w:t>ce</w:t>
      </w:r>
      <w:r w:rsidRPr="00490151">
        <w:t>. Tyto předpoklady ovlivnily sestavení rozpočtu na rok 2015</w:t>
      </w:r>
      <w:r>
        <w:t xml:space="preserve">. Meziroční </w:t>
      </w:r>
      <w:r w:rsidRPr="00494308">
        <w:t>růst</w:t>
      </w:r>
      <w:r>
        <w:t xml:space="preserve"> deficitu veřejných rozpočtů na 102,7 mld. Kč (2,4 % HDP) je projevem zhoršení hospodaření </w:t>
      </w:r>
      <w:r w:rsidRPr="00494308">
        <w:t>u státního rozpočtu</w:t>
      </w:r>
      <w:r>
        <w:t xml:space="preserve"> a také snížení přebytku u místních vlád</w:t>
      </w:r>
      <w:r w:rsidRPr="00B91B55">
        <w:t xml:space="preserve">. </w:t>
      </w:r>
      <w:r w:rsidRPr="00F90238">
        <w:t>Naopak se zlepší hospodaření mimorozpočtových fondů</w:t>
      </w:r>
      <w:r w:rsidRPr="007D3B2C">
        <w:t>. Celkově se tak ve výsledku hospodaření veřejných financí očekávají mírně negativní vývojové trendy.</w:t>
      </w:r>
    </w:p>
    <w:p w:rsidR="00700A53" w:rsidRPr="00204830" w:rsidRDefault="00700A53" w:rsidP="00DC1B27">
      <w:pPr>
        <w:spacing w:before="60" w:line="360" w:lineRule="auto"/>
        <w:ind w:firstLine="426"/>
        <w:jc w:val="both"/>
      </w:pPr>
      <w:r w:rsidRPr="00204830">
        <w:t xml:space="preserve">Podíl deficitu veřejných rozpočtů v metodice fiskálního cílení bude činit </w:t>
      </w:r>
      <w:r>
        <w:t>2,5</w:t>
      </w:r>
      <w:r w:rsidRPr="00204830">
        <w:t xml:space="preserve"> % HDP</w:t>
      </w:r>
      <w:r>
        <w:t xml:space="preserve"> (</w:t>
      </w:r>
      <w:r w:rsidRPr="00CD680F">
        <w:t>o</w:t>
      </w:r>
      <w:r>
        <w:t> 0,4</w:t>
      </w:r>
      <w:r w:rsidRPr="00CD680F">
        <w:t xml:space="preserve"> </w:t>
      </w:r>
      <w:r>
        <w:t>p. b. horší výsledek než v roce 2014)</w:t>
      </w:r>
      <w:r w:rsidRPr="00204830">
        <w:t xml:space="preserve">, čemuž odpovídá jeho absolutní výše </w:t>
      </w:r>
      <w:r>
        <w:t>105,7 </w:t>
      </w:r>
      <w:r w:rsidRPr="00204830">
        <w:t>mld.</w:t>
      </w:r>
      <w:r>
        <w:t> </w:t>
      </w:r>
      <w:r w:rsidRPr="00204830">
        <w:t xml:space="preserve">Kč. V podílovém vyjádření ve vztahu k HDP příjmy meziročně </w:t>
      </w:r>
      <w:r>
        <w:t>vzrostou</w:t>
      </w:r>
      <w:r w:rsidRPr="00204830">
        <w:t xml:space="preserve"> o</w:t>
      </w:r>
      <w:r>
        <w:t> 0,5 </w:t>
      </w:r>
      <w:r w:rsidRPr="00204830">
        <w:t>p.</w:t>
      </w:r>
      <w:r>
        <w:t> </w:t>
      </w:r>
      <w:r w:rsidRPr="00204830">
        <w:t xml:space="preserve">b. na </w:t>
      </w:r>
      <w:r>
        <w:t>39,5</w:t>
      </w:r>
      <w:r w:rsidRPr="00204830">
        <w:t xml:space="preserve"> %, </w:t>
      </w:r>
      <w:r>
        <w:t>avšak</w:t>
      </w:r>
      <w:r w:rsidRPr="00176399">
        <w:t xml:space="preserve"> daňová kvóta </w:t>
      </w:r>
      <w:r>
        <w:t>se sníží</w:t>
      </w:r>
      <w:r w:rsidRPr="00204830">
        <w:t xml:space="preserve"> o </w:t>
      </w:r>
      <w:r>
        <w:t>0,2</w:t>
      </w:r>
      <w:r w:rsidRPr="00204830">
        <w:t xml:space="preserve"> p. b. na </w:t>
      </w:r>
      <w:r>
        <w:t>32,6</w:t>
      </w:r>
      <w:r w:rsidRPr="00204830">
        <w:t xml:space="preserve"> %. Objem celkových výdajů </w:t>
      </w:r>
      <w:r w:rsidRPr="00CF0435">
        <w:t xml:space="preserve">poroste o </w:t>
      </w:r>
      <w:r>
        <w:t>0,8</w:t>
      </w:r>
      <w:r w:rsidRPr="00CF0435">
        <w:t xml:space="preserve"> p. b. na</w:t>
      </w:r>
      <w:r w:rsidRPr="00204830">
        <w:t xml:space="preserve"> </w:t>
      </w:r>
      <w:r>
        <w:t>42,0</w:t>
      </w:r>
      <w:r w:rsidRPr="00204830">
        <w:t xml:space="preserve"> % HDP (viz Graf č. 2). Meziročně se příjmy </w:t>
      </w:r>
      <w:r w:rsidRPr="00BB0B71">
        <w:t>zvýší</w:t>
      </w:r>
      <w:r w:rsidRPr="00204830">
        <w:t xml:space="preserve"> o </w:t>
      </w:r>
      <w:r>
        <w:t>5,0</w:t>
      </w:r>
      <w:r w:rsidRPr="00204830">
        <w:t xml:space="preserve"> %, výdaje o </w:t>
      </w:r>
      <w:r>
        <w:t>5,8</w:t>
      </w:r>
      <w:r w:rsidRPr="00204830">
        <w:t xml:space="preserve"> % a výsledkem bude zmíněný </w:t>
      </w:r>
      <w:r w:rsidRPr="00BB0B71">
        <w:t>růst d</w:t>
      </w:r>
      <w:r w:rsidRPr="00204830">
        <w:t>eficitu veřejných rozpočtů.</w:t>
      </w:r>
    </w:p>
    <w:p w:rsidR="00700A53" w:rsidRDefault="00700A53" w:rsidP="003B5141">
      <w:pPr>
        <w:pStyle w:val="Caption"/>
      </w:pPr>
      <w:bookmarkStart w:id="26" w:name="_Ref114747314"/>
      <w:bookmarkStart w:id="27" w:name="OLE_LINK1"/>
      <w:r>
        <w:t xml:space="preserve">Graf </w:t>
      </w:r>
      <w:bookmarkEnd w:id="26"/>
      <w:r>
        <w:t>č. 2:</w:t>
      </w:r>
      <w:bookmarkEnd w:id="27"/>
      <w:r>
        <w:t xml:space="preserve"> Konsolidovaná daňová kvóta a podíl výdajů veřejných rozpočtů na HDP</w:t>
      </w:r>
    </w:p>
    <w:p w:rsidR="00700A53" w:rsidRDefault="00700A53" w:rsidP="003B5141">
      <w:pPr>
        <w:pStyle w:val="graftab"/>
        <w:jc w:val="center"/>
      </w:pPr>
      <w:r>
        <w:pict>
          <v:shape id="_x0000_i1030" type="#_x0000_t75" style="width:405.6pt;height:220.8pt">
            <v:imagedata r:id="rId18" o:title=""/>
          </v:shape>
        </w:pict>
      </w:r>
    </w:p>
    <w:p w:rsidR="00700A53" w:rsidRDefault="00700A53" w:rsidP="00256D4F">
      <w:pPr>
        <w:pStyle w:val="graftab"/>
      </w:pPr>
      <w:r w:rsidRPr="001A50E5">
        <w:t xml:space="preserve">Pramen: </w:t>
      </w:r>
      <w:r>
        <w:t>Ministerstvo financí ČR</w:t>
      </w:r>
    </w:p>
    <w:p w:rsidR="00700A53" w:rsidRDefault="00700A53" w:rsidP="00256D4F">
      <w:pPr>
        <w:pStyle w:val="Pramen"/>
      </w:pPr>
    </w:p>
    <w:p w:rsidR="00700A53" w:rsidRPr="000043FD" w:rsidRDefault="00700A53" w:rsidP="00463A78">
      <w:pPr>
        <w:pStyle w:val="Standardnstyl"/>
      </w:pPr>
      <w:r w:rsidRPr="00D34D09">
        <w:t xml:space="preserve">Vývoj veřejných rozpočtů </w:t>
      </w:r>
      <w:r>
        <w:t>se po</w:t>
      </w:r>
      <w:r w:rsidRPr="00D34D09">
        <w:t xml:space="preserve"> nedávn</w:t>
      </w:r>
      <w:r>
        <w:t>é</w:t>
      </w:r>
      <w:r w:rsidRPr="00D34D09">
        <w:t xml:space="preserve"> kriz</w:t>
      </w:r>
      <w:r>
        <w:t>i dostává do příznivějších hodnot, stále však není patrný jednoznačný trend snižování deficitů. I nadále je nezbytné provádět obezřetnou fiskální politiku a pokračovat v nastartovaném konsolidačním úsilí</w:t>
      </w:r>
      <w:r w:rsidRPr="00D34D09">
        <w:t xml:space="preserve">. </w:t>
      </w:r>
      <w:r>
        <w:t xml:space="preserve">Nutno připomenout, že </w:t>
      </w:r>
      <w:r w:rsidRPr="00D34D09">
        <w:t>ke krytí výdajů již nejsou k</w:t>
      </w:r>
      <w:r>
        <w:t xml:space="preserve"> </w:t>
      </w:r>
      <w:r w:rsidRPr="00D34D09">
        <w:t>dispozici mimořádné příjmy jednorázového charakteru jako v</w:t>
      </w:r>
      <w:r>
        <w:t> </w:t>
      </w:r>
      <w:r w:rsidRPr="00D34D09">
        <w:t xml:space="preserve">minulých letech, což </w:t>
      </w:r>
      <w:r>
        <w:t>může</w:t>
      </w:r>
      <w:r w:rsidRPr="00D34D09">
        <w:t xml:space="preserve"> </w:t>
      </w:r>
      <w:r>
        <w:t xml:space="preserve">vést </w:t>
      </w:r>
      <w:r w:rsidRPr="00A555DA">
        <w:rPr>
          <w:i/>
        </w:rPr>
        <w:t>ceteris paribus</w:t>
      </w:r>
      <w:r w:rsidRPr="00D34D09">
        <w:t xml:space="preserve"> k</w:t>
      </w:r>
      <w:r>
        <w:t> </w:t>
      </w:r>
      <w:r w:rsidRPr="00D34D09">
        <w:t>dalšímu prohlubování v</w:t>
      </w:r>
      <w:r>
        <w:t> </w:t>
      </w:r>
      <w:r w:rsidRPr="00D34D09">
        <w:t>minulosti založených ne</w:t>
      </w:r>
      <w:r>
        <w:t>udržitelných výdajových trendů.</w:t>
      </w:r>
    </w:p>
    <w:p w:rsidR="00700A53" w:rsidRDefault="00700A53" w:rsidP="003B5141">
      <w:pPr>
        <w:pStyle w:val="Caption"/>
      </w:pPr>
      <w:bookmarkStart w:id="28" w:name="_Ref114885570"/>
      <w:r>
        <w:t xml:space="preserve">Graf </w:t>
      </w:r>
      <w:bookmarkEnd w:id="28"/>
      <w:r>
        <w:t>č. 3: Vývoj sald veřejných rozpočtů v % HDP</w:t>
      </w:r>
    </w:p>
    <w:p w:rsidR="00700A53" w:rsidRDefault="00700A53" w:rsidP="003B5141">
      <w:pPr>
        <w:pStyle w:val="graftab"/>
        <w:jc w:val="center"/>
      </w:pPr>
      <w:r>
        <w:pict>
          <v:shape id="_x0000_i1031" type="#_x0000_t75" style="width:412.8pt;height:220.8pt">
            <v:imagedata r:id="rId19" o:title=""/>
          </v:shape>
        </w:pict>
      </w:r>
    </w:p>
    <w:p w:rsidR="00700A53" w:rsidRDefault="00700A53" w:rsidP="0075726D">
      <w:pPr>
        <w:pStyle w:val="graftab"/>
        <w:spacing w:line="360" w:lineRule="auto"/>
      </w:pPr>
      <w:r w:rsidRPr="001A50E5">
        <w:t xml:space="preserve">Pramen: </w:t>
      </w:r>
      <w:r>
        <w:t>Ministerstvo financí ČR</w:t>
      </w:r>
    </w:p>
    <w:p w:rsidR="00700A53" w:rsidRPr="00A51B9E" w:rsidRDefault="00700A53" w:rsidP="00207897">
      <w:pPr>
        <w:pStyle w:val="vysvtlivky"/>
      </w:pPr>
      <w:r w:rsidRPr="00AC5875">
        <w:t>1)</w:t>
      </w:r>
      <w:r w:rsidRPr="00A51B9E">
        <w:t xml:space="preserve"> </w:t>
      </w:r>
      <w:r>
        <w:t>s</w:t>
      </w:r>
      <w:r w:rsidRPr="00AC5875">
        <w:t>aldo bez dotací transformačním institucím a vlivu EU prostředků</w:t>
      </w:r>
    </w:p>
    <w:p w:rsidR="00700A53" w:rsidRPr="009878B1" w:rsidRDefault="00700A53" w:rsidP="00207897">
      <w:pPr>
        <w:pStyle w:val="Standardnstyl"/>
        <w:spacing w:before="0" w:line="240" w:lineRule="auto"/>
        <w:rPr>
          <w:sz w:val="20"/>
        </w:rPr>
      </w:pPr>
    </w:p>
    <w:p w:rsidR="00700A53" w:rsidRPr="00204830" w:rsidRDefault="00700A53" w:rsidP="00EE15D0">
      <w:pPr>
        <w:spacing w:before="60" w:line="360" w:lineRule="auto"/>
        <w:ind w:firstLine="426"/>
        <w:jc w:val="both"/>
      </w:pPr>
      <w:r>
        <w:t>V roce 2015 bude p</w:t>
      </w:r>
      <w:r w:rsidRPr="002B218A">
        <w:t>okrač</w:t>
      </w:r>
      <w:r>
        <w:t>ovat</w:t>
      </w:r>
      <w:r w:rsidRPr="00204830">
        <w:t xml:space="preserve"> negativní trend u vývoje čistého peněžního toku z provozní činnosti, který se </w:t>
      </w:r>
      <w:r>
        <w:t xml:space="preserve">po několika letech </w:t>
      </w:r>
      <w:r w:rsidRPr="00204830">
        <w:t xml:space="preserve">objevil v roce 2014. Jeho deficit se </w:t>
      </w:r>
      <w:r w:rsidRPr="00F5526A">
        <w:t>zvýší</w:t>
      </w:r>
      <w:r w:rsidRPr="00204830">
        <w:t xml:space="preserve"> na </w:t>
      </w:r>
      <w:r>
        <w:t>28,2 </w:t>
      </w:r>
      <w:r w:rsidRPr="00204830">
        <w:t>mld.</w:t>
      </w:r>
      <w:r>
        <w:t> </w:t>
      </w:r>
      <w:r w:rsidRPr="00204830">
        <w:t>Kč, tj. </w:t>
      </w:r>
      <w:r>
        <w:t>0,7</w:t>
      </w:r>
      <w:r w:rsidRPr="00F5526A">
        <w:t> </w:t>
      </w:r>
      <w:r w:rsidRPr="00204830">
        <w:t xml:space="preserve">% HDP (v podílovém vyjádření k HDP se tedy jedná o </w:t>
      </w:r>
      <w:r w:rsidRPr="00F5526A">
        <w:t>zhoršení</w:t>
      </w:r>
      <w:r w:rsidRPr="00204830">
        <w:t xml:space="preserve"> </w:t>
      </w:r>
      <w:r>
        <w:t>0,4 </w:t>
      </w:r>
      <w:r w:rsidRPr="00204830">
        <w:t>p.</w:t>
      </w:r>
      <w:r>
        <w:t> </w:t>
      </w:r>
      <w:r w:rsidRPr="00204830">
        <w:t>b.). Deficit primární bilance</w:t>
      </w:r>
      <w:r w:rsidRPr="00204830">
        <w:rPr>
          <w:rStyle w:val="FootnoteReference"/>
        </w:rPr>
        <w:footnoteReference w:id="3"/>
      </w:r>
      <w:r w:rsidRPr="00204830">
        <w:t xml:space="preserve"> s podobnou trajektorií vývoje v posledních letech </w:t>
      </w:r>
      <w:r w:rsidRPr="002B218A">
        <w:t>se prohloubí</w:t>
      </w:r>
      <w:r w:rsidRPr="00204830">
        <w:t xml:space="preserve"> na </w:t>
      </w:r>
      <w:r>
        <w:t>42,8 </w:t>
      </w:r>
      <w:r w:rsidRPr="00204830">
        <w:t>mld.</w:t>
      </w:r>
      <w:r>
        <w:t> </w:t>
      </w:r>
      <w:r w:rsidRPr="00204830">
        <w:t xml:space="preserve">Kč (meziroční </w:t>
      </w:r>
      <w:r w:rsidRPr="007D3B2C">
        <w:t>zhoršení</w:t>
      </w:r>
      <w:r w:rsidRPr="00204830">
        <w:t xml:space="preserve"> o </w:t>
      </w:r>
      <w:r>
        <w:t>12,5</w:t>
      </w:r>
      <w:r w:rsidRPr="00204830">
        <w:t xml:space="preserve"> mld. Kč). V podílovém vyjádření se jedná o </w:t>
      </w:r>
      <w:r w:rsidRPr="00BB1E32">
        <w:t>zhoršení</w:t>
      </w:r>
      <w:r w:rsidRPr="00204830">
        <w:t xml:space="preserve"> </w:t>
      </w:r>
      <w:r>
        <w:t>0,3</w:t>
      </w:r>
      <w:r w:rsidRPr="00204830">
        <w:t xml:space="preserve"> p. b. na </w:t>
      </w:r>
      <w:r>
        <w:t>1,0</w:t>
      </w:r>
      <w:r w:rsidRPr="002006BF">
        <w:t xml:space="preserve"> </w:t>
      </w:r>
      <w:r w:rsidRPr="00204830">
        <w:t xml:space="preserve">% HDP, což svědčí </w:t>
      </w:r>
      <w:r w:rsidRPr="002203CA">
        <w:t xml:space="preserve">o </w:t>
      </w:r>
      <w:r>
        <w:t xml:space="preserve">trvání </w:t>
      </w:r>
      <w:r w:rsidRPr="002203CA">
        <w:t>fiskální expanz</w:t>
      </w:r>
      <w:r>
        <w:t>e</w:t>
      </w:r>
      <w:r w:rsidRPr="002203CA">
        <w:t>.</w:t>
      </w:r>
    </w:p>
    <w:p w:rsidR="00700A53" w:rsidRDefault="00700A53" w:rsidP="00097D3D">
      <w:pPr>
        <w:pStyle w:val="Standardnstyl"/>
      </w:pPr>
      <w:r>
        <w:t xml:space="preserve">K rizikům budoucího vývoje patří i nadále vyčerpání zdrojů z privatizace a neuhrazení privatizačních závazků (např. garance za likvidaci ekologických škod ve zprivatizovaných podnicích), které se tak v budoucnu mohou stát výraznou zátěží pro veřejné finance. </w:t>
      </w:r>
    </w:p>
    <w:p w:rsidR="00700A53" w:rsidRDefault="00700A53" w:rsidP="00097D3D">
      <w:pPr>
        <w:pStyle w:val="Standardnstyl"/>
      </w:pPr>
      <w:r>
        <w:t>V souvislosti s vysokou závislostí státních fondů (zejména Státní fond dopravní infrastruktury) na dotacích nezbývá než opětovně konstatovat, že tento segment veřejných rozpočtů je rovněž zdrojem fiskálních rizik. Na financování veřejného deficitu se doposud mimo privatizační příjmy podílelo i snižování aktiv některých mimorozpočtových fondů.</w:t>
      </w:r>
    </w:p>
    <w:p w:rsidR="00700A53" w:rsidRDefault="00700A53" w:rsidP="00097D3D">
      <w:pPr>
        <w:pStyle w:val="Standardnstyl"/>
      </w:pPr>
      <w:r>
        <w:t>P</w:t>
      </w:r>
      <w:r w:rsidRPr="00D63049">
        <w:t xml:space="preserve">říjmy státních fondů bez dotací nevykazují </w:t>
      </w:r>
      <w:r>
        <w:t>jednoznačně</w:t>
      </w:r>
      <w:r w:rsidRPr="00D63049">
        <w:t xml:space="preserve"> rostoucí trend</w:t>
      </w:r>
      <w:r>
        <w:t xml:space="preserve"> (v podílovém vyjádření viz Graf č. 4) a většina z nich nemá dostatečné vlastní zdroje na realizaci </w:t>
      </w:r>
      <w:r w:rsidRPr="00BE188C">
        <w:t>ji</w:t>
      </w:r>
      <w:r>
        <w:t>ž nastavených</w:t>
      </w:r>
      <w:r w:rsidRPr="00BE188C">
        <w:t xml:space="preserve"> výdajov</w:t>
      </w:r>
      <w:r>
        <w:t>ých</w:t>
      </w:r>
      <w:r w:rsidRPr="00BE188C">
        <w:t xml:space="preserve"> program</w:t>
      </w:r>
      <w:r>
        <w:t xml:space="preserve">ů. Tyto skutečnosti představují riziko pro vývoj deficitu i dluhu veřejných financí. </w:t>
      </w:r>
      <w:r w:rsidRPr="00A42E34">
        <w:t xml:space="preserve">Zahajování nových programů státních fondů lze v této souvislosti pokládat za další rizikový faktor. </w:t>
      </w:r>
    </w:p>
    <w:p w:rsidR="00700A53" w:rsidRDefault="00700A53" w:rsidP="003B5141">
      <w:pPr>
        <w:pStyle w:val="Caption"/>
      </w:pPr>
      <w:bookmarkStart w:id="29" w:name="_Ref114747336"/>
      <w:r>
        <w:t xml:space="preserve">Graf </w:t>
      </w:r>
      <w:bookmarkEnd w:id="29"/>
      <w:r>
        <w:t>č. 4: Struktura příjmů státních fondů v %</w:t>
      </w:r>
    </w:p>
    <w:p w:rsidR="00700A53" w:rsidRDefault="00700A53" w:rsidP="003B5141">
      <w:pPr>
        <w:pStyle w:val="graftab"/>
        <w:jc w:val="center"/>
      </w:pPr>
      <w:r>
        <w:pict>
          <v:shape id="_x0000_i1032" type="#_x0000_t75" style="width:397.8pt;height:212.4pt">
            <v:imagedata r:id="rId20" o:title=""/>
          </v:shape>
        </w:pict>
      </w:r>
    </w:p>
    <w:p w:rsidR="00700A53" w:rsidRPr="001C6EDE" w:rsidRDefault="00700A53" w:rsidP="00256D4F">
      <w:pPr>
        <w:pStyle w:val="graftab"/>
      </w:pPr>
      <w:r w:rsidRPr="001C6EDE">
        <w:t xml:space="preserve">Pramen: </w:t>
      </w:r>
      <w:r>
        <w:t>Ministerstvo financí ČR</w:t>
      </w:r>
    </w:p>
    <w:p w:rsidR="00700A53" w:rsidRPr="000D3CC9" w:rsidRDefault="00700A53" w:rsidP="00463A78">
      <w:pPr>
        <w:pStyle w:val="Standardnstyl"/>
      </w:pPr>
    </w:p>
    <w:p w:rsidR="00700A53" w:rsidRDefault="00700A53" w:rsidP="00463A78">
      <w:pPr>
        <w:pStyle w:val="Standardnstyl"/>
      </w:pPr>
      <w:r>
        <w:t>Ke zvýšení schodku veřejných rozpočtů dochází z velké části v důsledku snah o podporu růstových tendencí v ekonomice, současně by měly být respektovány i principy</w:t>
      </w:r>
      <w:r w:rsidRPr="00933A32">
        <w:t xml:space="preserve"> udržitelnost</w:t>
      </w:r>
      <w:r>
        <w:t>i hospodaření systému</w:t>
      </w:r>
      <w:r w:rsidRPr="00933A32">
        <w:t xml:space="preserve"> veřejných </w:t>
      </w:r>
      <w:r>
        <w:t>rozpočtů</w:t>
      </w:r>
      <w:r w:rsidRPr="00933A32">
        <w:t xml:space="preserve"> v</w:t>
      </w:r>
      <w:r>
        <w:t xml:space="preserve"> </w:t>
      </w:r>
      <w:r w:rsidRPr="00933A32">
        <w:t>dlouhodobém časovém horizontu.</w:t>
      </w:r>
    </w:p>
    <w:p w:rsidR="00700A53" w:rsidRDefault="00700A53" w:rsidP="00463A78">
      <w:pPr>
        <w:pStyle w:val="Standardnstyl"/>
      </w:pPr>
      <w:r>
        <w:t>Graf č. 5 znázorňuje vývoj salda (deficitu) veřejných rozpočtů a celkových příjmů a výdajů v čase a dokumentuje tak výše uvedený komentář o vývojových trendech.</w:t>
      </w:r>
    </w:p>
    <w:p w:rsidR="00700A53" w:rsidRDefault="00700A53" w:rsidP="00463A78">
      <w:pPr>
        <w:pStyle w:val="Standardnstyl"/>
      </w:pPr>
    </w:p>
    <w:p w:rsidR="00700A53" w:rsidRDefault="00700A53" w:rsidP="003B5141">
      <w:pPr>
        <w:pStyle w:val="Caption"/>
      </w:pPr>
      <w:r>
        <w:t>Graf č. 5: Vývoj salda a celkových příjmů a výdajů veřejných rozpočtů v ČR (% HDP)</w:t>
      </w:r>
    </w:p>
    <w:p w:rsidR="00700A53" w:rsidRDefault="00700A53" w:rsidP="003B5141">
      <w:pPr>
        <w:pStyle w:val="Podtitulek"/>
        <w:jc w:val="center"/>
      </w:pPr>
      <w:r>
        <w:pict>
          <v:shape id="_x0000_i1033" type="#_x0000_t75" style="width:398.4pt;height:211.8pt">
            <v:imagedata r:id="rId21" o:title=""/>
          </v:shape>
        </w:pict>
      </w:r>
    </w:p>
    <w:p w:rsidR="00700A53" w:rsidRPr="00665700" w:rsidRDefault="00700A53" w:rsidP="00256D4F">
      <w:pPr>
        <w:pStyle w:val="Podtitulek"/>
      </w:pPr>
      <w:r w:rsidRPr="00665700">
        <w:t xml:space="preserve">Pramen: </w:t>
      </w:r>
      <w:r>
        <w:t>Ministerstvo financí ČR</w:t>
      </w:r>
    </w:p>
    <w:p w:rsidR="00700A53" w:rsidRDefault="00700A53" w:rsidP="00463A78">
      <w:pPr>
        <w:pStyle w:val="Standardnstyl"/>
        <w:sectPr w:rsidR="00700A53" w:rsidSect="0026728D">
          <w:footerReference w:type="default" r:id="rId22"/>
          <w:type w:val="continuous"/>
          <w:pgSz w:w="11907" w:h="16840"/>
          <w:pgMar w:top="1418" w:right="1418" w:bottom="1418" w:left="1418" w:header="708" w:footer="708" w:gutter="0"/>
          <w:cols w:space="708"/>
        </w:sectPr>
      </w:pPr>
    </w:p>
    <w:p w:rsidR="00700A53" w:rsidRDefault="00700A53" w:rsidP="003B5141">
      <w:pPr>
        <w:pStyle w:val="Caption"/>
      </w:pPr>
      <w:r>
        <w:t xml:space="preserve">Tabulka č. </w:t>
      </w:r>
      <w:fldSimple w:instr=" SEQ Tabulka \* ARABIC " w:fldLock="1">
        <w:r>
          <w:rPr>
            <w:noProof/>
          </w:rPr>
          <w:t>5</w:t>
        </w:r>
      </w:fldSimple>
      <w:r>
        <w:rPr>
          <w:noProof/>
        </w:rPr>
        <w:t xml:space="preserve">: </w:t>
      </w:r>
      <w:r>
        <w:t xml:space="preserve">Příjmy jednotlivých složek veřejných rozpočtů v roce </w:t>
      </w:r>
      <w:r w:rsidRPr="00B36DCB">
        <w:rPr>
          <w:color w:val="000000"/>
        </w:rPr>
        <w:t>20</w:t>
      </w:r>
      <w:r>
        <w:rPr>
          <w:color w:val="000000"/>
        </w:rPr>
        <w:t>15</w:t>
      </w:r>
      <w:r>
        <w:t xml:space="preserve"> v mld. Kč </w:t>
      </w:r>
    </w:p>
    <w:p w:rsidR="00700A53" w:rsidRDefault="00700A53" w:rsidP="00256D4F">
      <w:pPr>
        <w:pStyle w:val="graftab"/>
      </w:pPr>
      <w:bookmarkStart w:id="30" w:name="čísl_3"/>
      <w:bookmarkEnd w:id="30"/>
      <w:r>
        <w:pict>
          <v:shape id="_x0000_i1034" type="#_x0000_t75" style="width:693.6pt;height:368.4pt">
            <v:imagedata r:id="rId23" o:title=""/>
          </v:shape>
        </w:pict>
      </w:r>
      <w:r>
        <w:t>Pramen: Ministerstvo financí ČR</w:t>
      </w:r>
    </w:p>
    <w:p w:rsidR="00700A53" w:rsidRPr="00C932B0" w:rsidRDefault="00700A53" w:rsidP="00256D4F">
      <w:pPr>
        <w:pStyle w:val="StylvysvtlivkyVlevo0cmPrvndek0cm"/>
        <w:jc w:val="both"/>
      </w:pPr>
      <w:r>
        <w:t xml:space="preserve">konsolidovaný </w:t>
      </w:r>
      <w:r w:rsidRPr="009833CE">
        <w:t xml:space="preserve">státní rozpočet včetně Národního fondu a </w:t>
      </w:r>
      <w:r>
        <w:t>Fondu</w:t>
      </w:r>
      <w:r w:rsidRPr="009833CE">
        <w:t xml:space="preserve"> privatizace (zrušený Fond národního majetku)</w:t>
      </w:r>
    </w:p>
    <w:p w:rsidR="00700A53" w:rsidRPr="00305ED9" w:rsidRDefault="00700A53" w:rsidP="00305ED9">
      <w:pPr>
        <w:pStyle w:val="StylvysvtlivkyVlevo0cmPrvndek0cm"/>
      </w:pPr>
      <w:r w:rsidRPr="00305ED9">
        <w:t>Státní fond dopravní infrastruktury, Státní fond rozvoje bydlení, Státní fond životního prostředí, Státní fond kultury, Státní fond kinematografie a Státní zemědělský intervenční fond</w:t>
      </w:r>
    </w:p>
    <w:p w:rsidR="00700A53" w:rsidRDefault="00700A53" w:rsidP="00256D4F">
      <w:pPr>
        <w:pStyle w:val="StylvysvtlivkyVlevo0cmPrvndek0cm"/>
        <w:jc w:val="both"/>
      </w:pPr>
      <w:r>
        <w:t xml:space="preserve">Územní samosprávné celky zahrnují </w:t>
      </w:r>
      <w:r w:rsidRPr="00931991">
        <w:t xml:space="preserve">obce, kraje, dobrovolné svazky obcí a </w:t>
      </w:r>
      <w:r>
        <w:t>R</w:t>
      </w:r>
      <w:r w:rsidRPr="00931991">
        <w:t>egio</w:t>
      </w:r>
      <w:r>
        <w:t>nální rady regionů soudržnosti.</w:t>
      </w:r>
    </w:p>
    <w:p w:rsidR="00700A53" w:rsidRDefault="00700A53" w:rsidP="003B5141">
      <w:pPr>
        <w:pStyle w:val="Caption"/>
      </w:pPr>
      <w:r>
        <w:t xml:space="preserve">Tabulka č. </w:t>
      </w:r>
      <w:fldSimple w:instr=" SEQ Tabulka \* ARABIC " w:fldLock="1">
        <w:r>
          <w:rPr>
            <w:noProof/>
          </w:rPr>
          <w:t>6</w:t>
        </w:r>
      </w:fldSimple>
      <w:r>
        <w:rPr>
          <w:noProof/>
        </w:rPr>
        <w:t xml:space="preserve">: </w:t>
      </w:r>
      <w:r>
        <w:t xml:space="preserve">Výdaje a saldo jednotlivých složek veřejných rozpočtů v roce </w:t>
      </w:r>
      <w:r w:rsidRPr="00B36DCB">
        <w:rPr>
          <w:color w:val="000000"/>
        </w:rPr>
        <w:t>20</w:t>
      </w:r>
      <w:r>
        <w:rPr>
          <w:color w:val="000000"/>
        </w:rPr>
        <w:t>15</w:t>
      </w:r>
      <w:r>
        <w:t xml:space="preserve"> v mld. Kč </w:t>
      </w:r>
    </w:p>
    <w:p w:rsidR="00700A53" w:rsidRDefault="00700A53" w:rsidP="00256D4F">
      <w:pPr>
        <w:pStyle w:val="graftab"/>
      </w:pPr>
      <w:r>
        <w:pict>
          <v:shape id="_x0000_i1035" type="#_x0000_t75" style="width:700.2pt;height:361.2pt">
            <v:imagedata r:id="rId24" o:title=""/>
          </v:shape>
        </w:pict>
      </w:r>
      <w:r>
        <w:t>Pramen: Ministerstvo financí ČR</w:t>
      </w:r>
    </w:p>
    <w:p w:rsidR="00700A53" w:rsidRPr="00C932B0" w:rsidRDefault="00700A53" w:rsidP="00F15E35">
      <w:pPr>
        <w:pStyle w:val="StylvysvtlivkyVlevo0cmPrvndek0cm"/>
        <w:numPr>
          <w:ilvl w:val="0"/>
          <w:numId w:val="5"/>
        </w:numPr>
        <w:jc w:val="both"/>
      </w:pPr>
      <w:r>
        <w:t xml:space="preserve">konsolidovaný </w:t>
      </w:r>
      <w:r w:rsidRPr="009833CE">
        <w:t xml:space="preserve">státní rozpočet včetně Národního fondu a </w:t>
      </w:r>
      <w:r>
        <w:t>Fondu</w:t>
      </w:r>
      <w:r w:rsidRPr="009833CE">
        <w:t xml:space="preserve"> privatizace (zrušený Fond národního majetku)</w:t>
      </w:r>
    </w:p>
    <w:p w:rsidR="00700A53" w:rsidRPr="00C932B0" w:rsidRDefault="00700A53" w:rsidP="00F15E35">
      <w:pPr>
        <w:pStyle w:val="StylvysvtlivkyVlevo0cmPrvndek0cm"/>
        <w:numPr>
          <w:ilvl w:val="0"/>
          <w:numId w:val="5"/>
        </w:numPr>
        <w:ind w:right="504"/>
        <w:jc w:val="both"/>
      </w:pPr>
      <w:r>
        <w:t xml:space="preserve">Státní fond dopravní infrastruktury, </w:t>
      </w:r>
      <w:r w:rsidRPr="002D5276">
        <w:t>Státní fond rozvoj</w:t>
      </w:r>
      <w:r>
        <w:t>e</w:t>
      </w:r>
      <w:r w:rsidRPr="002D5276">
        <w:t xml:space="preserve"> bydlení, Státní fond životního prostředí, Státní fond kultury, Státní fond</w:t>
      </w:r>
      <w:r>
        <w:t xml:space="preserve"> </w:t>
      </w:r>
      <w:r w:rsidRPr="002D5276">
        <w:t>kinematografie</w:t>
      </w:r>
      <w:r>
        <w:t xml:space="preserve"> a</w:t>
      </w:r>
      <w:r w:rsidRPr="002D5276">
        <w:t xml:space="preserve"> Státní zemědělský inter</w:t>
      </w:r>
      <w:r>
        <w:t>venční fond</w:t>
      </w:r>
    </w:p>
    <w:p w:rsidR="00700A53" w:rsidRDefault="00700A53" w:rsidP="00F15E35">
      <w:pPr>
        <w:pStyle w:val="StylvysvtlivkyVlevo0cmPrvndek0cm"/>
        <w:numPr>
          <w:ilvl w:val="0"/>
          <w:numId w:val="5"/>
        </w:numPr>
      </w:pPr>
      <w:r w:rsidRPr="00901A94">
        <w:t>Územn</w:t>
      </w:r>
      <w:r>
        <w:t xml:space="preserve">í </w:t>
      </w:r>
      <w:r w:rsidRPr="00901A94">
        <w:t>samosprávné celky zahrnují obc</w:t>
      </w:r>
      <w:r>
        <w:t xml:space="preserve">e, kraje, dobrovolné svazky obcí </w:t>
      </w:r>
      <w:r w:rsidRPr="003B3D06">
        <w:t xml:space="preserve">a </w:t>
      </w:r>
      <w:r>
        <w:t>R</w:t>
      </w:r>
      <w:r w:rsidRPr="003B3D06">
        <w:t>egionální rady regionů</w:t>
      </w:r>
      <w:r>
        <w:t xml:space="preserve"> soudržnosti. </w:t>
      </w:r>
    </w:p>
    <w:p w:rsidR="00700A53" w:rsidRDefault="00700A53" w:rsidP="00256D4F">
      <w:pPr>
        <w:pStyle w:val="Caption"/>
      </w:pPr>
      <w:bookmarkStart w:id="31" w:name="čísl_4"/>
      <w:bookmarkEnd w:id="31"/>
      <w:r>
        <w:t xml:space="preserve">Dodatek: Vývoj hospodaření konsolidovaných veřejných rozpočtů </w:t>
      </w:r>
    </w:p>
    <w:p w:rsidR="00700A53" w:rsidRDefault="00700A53" w:rsidP="003B5141">
      <w:pPr>
        <w:pStyle w:val="Caption"/>
      </w:pPr>
      <w:r>
        <w:t xml:space="preserve">Tabulka č. </w:t>
      </w:r>
      <w:fldSimple w:instr=" SEQ Tabulka \* ARABIC " w:fldLock="1">
        <w:r>
          <w:rPr>
            <w:noProof/>
          </w:rPr>
          <w:t>7</w:t>
        </w:r>
      </w:fldSimple>
      <w:r>
        <w:rPr>
          <w:noProof/>
        </w:rPr>
        <w:t xml:space="preserve">: </w:t>
      </w:r>
      <w:r>
        <w:t>Příjmy konsolidovaných veřejných rozpočtů v mld. Kč a jejich podíly na HDP</w:t>
      </w:r>
    </w:p>
    <w:p w:rsidR="00700A53" w:rsidRDefault="00700A53" w:rsidP="00256D4F">
      <w:pPr>
        <w:pStyle w:val="graftab"/>
      </w:pPr>
      <w:r>
        <w:pict>
          <v:shape id="_x0000_i1036" type="#_x0000_t75" style="width:693.6pt;height:402pt">
            <v:imagedata r:id="rId25" o:title=""/>
          </v:shape>
        </w:pict>
      </w:r>
      <w:r>
        <w:t>Pramen: Ministerstvo financí ČR</w:t>
      </w:r>
    </w:p>
    <w:p w:rsidR="00700A53" w:rsidRDefault="00700A53" w:rsidP="003B5141">
      <w:pPr>
        <w:pStyle w:val="Caption"/>
      </w:pPr>
      <w:r>
        <w:t xml:space="preserve">Tabulka č. </w:t>
      </w:r>
      <w:fldSimple w:instr=" SEQ Tabulka \* ARABIC " w:fldLock="1">
        <w:r>
          <w:rPr>
            <w:noProof/>
          </w:rPr>
          <w:t>8</w:t>
        </w:r>
      </w:fldSimple>
      <w:r>
        <w:rPr>
          <w:noProof/>
        </w:rPr>
        <w:t xml:space="preserve">: </w:t>
      </w:r>
      <w:r>
        <w:t>Výdaje a saldo konsolidovaných veřejných rozpočtů v mld. Kč a jejich podíly na HDP</w:t>
      </w:r>
    </w:p>
    <w:p w:rsidR="00700A53" w:rsidRDefault="00700A53" w:rsidP="00256D4F">
      <w:pPr>
        <w:pStyle w:val="graftab"/>
      </w:pPr>
      <w:r>
        <w:pict>
          <v:shape id="_x0000_i1037" type="#_x0000_t75" style="width:691.2pt;height:375.6pt">
            <v:imagedata r:id="rId26" o:title=""/>
          </v:shape>
        </w:pict>
      </w:r>
      <w:r w:rsidRPr="007546CD">
        <w:t xml:space="preserve">Pramen: </w:t>
      </w:r>
      <w:r>
        <w:t>Ministerstvo financí ČR</w:t>
      </w:r>
    </w:p>
    <w:p w:rsidR="00700A53" w:rsidRDefault="00700A53" w:rsidP="0026728D">
      <w:pPr>
        <w:sectPr w:rsidR="00700A53" w:rsidSect="00256D4F">
          <w:type w:val="continuous"/>
          <w:pgSz w:w="16840" w:h="11907" w:orient="landscape"/>
          <w:pgMar w:top="1418" w:right="1418" w:bottom="1418" w:left="1418" w:header="708" w:footer="708" w:gutter="0"/>
          <w:cols w:space="708"/>
        </w:sectPr>
      </w:pPr>
    </w:p>
    <w:p w:rsidR="00700A53" w:rsidRDefault="00700A53" w:rsidP="00256D4F">
      <w:pPr>
        <w:sectPr w:rsidR="00700A53" w:rsidSect="00256D4F">
          <w:type w:val="continuous"/>
          <w:pgSz w:w="16840" w:h="11907" w:orient="landscape"/>
          <w:pgMar w:top="1418" w:right="1418" w:bottom="1418" w:left="1418" w:header="708" w:footer="708" w:gutter="0"/>
          <w:cols w:space="708"/>
        </w:sectPr>
      </w:pPr>
    </w:p>
    <w:p w:rsidR="00700A53" w:rsidRDefault="00700A53" w:rsidP="00F15E35">
      <w:pPr>
        <w:pStyle w:val="Heading2"/>
        <w:numPr>
          <w:ilvl w:val="0"/>
          <w:numId w:val="8"/>
        </w:numPr>
        <w:tabs>
          <w:tab w:val="clear" w:pos="720"/>
          <w:tab w:val="num" w:pos="0"/>
        </w:tabs>
        <w:spacing w:before="0" w:after="0"/>
        <w:ind w:left="360"/>
        <w:rPr>
          <w:lang w:val="de-DE"/>
        </w:rPr>
      </w:pPr>
      <w:bookmarkStart w:id="32" w:name="_Toc396827494"/>
      <w:bookmarkEnd w:id="23"/>
      <w:bookmarkEnd w:id="24"/>
      <w:r>
        <w:rPr>
          <w:lang w:val="de-DE"/>
        </w:rPr>
        <w:t>Dluh veřejných rozpočtů</w:t>
      </w:r>
      <w:bookmarkEnd w:id="32"/>
    </w:p>
    <w:p w:rsidR="00700A53" w:rsidRPr="007F138A" w:rsidRDefault="00700A53" w:rsidP="00E51A96">
      <w:pPr>
        <w:rPr>
          <w:lang w:val="de-DE"/>
        </w:rPr>
      </w:pPr>
    </w:p>
    <w:p w:rsidR="00700A53" w:rsidRDefault="00700A53" w:rsidP="00463A78">
      <w:pPr>
        <w:pStyle w:val="Standardnstyl"/>
      </w:pPr>
      <w:r>
        <w:t>V roce 2014 lze u vývoje dluhu veřejných rozpočtů očekávat podobně jako v roce 2013 téměř pozitivní tendence, neboť jeho meziroční růst bude minimální a dosáhne 0,2 %. Velmi nízká dynamika je dána především stagnací zadlužení státního rozpočtu, do financování dluhu budou navíc zapojeny volné prostředky z účtů státní pokladny.</w:t>
      </w:r>
    </w:p>
    <w:p w:rsidR="00700A53" w:rsidRDefault="00700A53" w:rsidP="00463A78">
      <w:pPr>
        <w:pStyle w:val="Standardnstyl"/>
      </w:pPr>
      <w:r>
        <w:t xml:space="preserve">V relaci k HDP dochází k zásadnímu zlomu v časové řadě meziročního srovnání, neboť celkový dluh se  oproti roku 2013 sníží o 1,9 p. b. na 43,9 % HDP. Jeho úroveň se tedy ke konci roku 2014 odhaduje na 1 782,0 mld. Kč. Hlavní příčinou růstu dluhu veřejných rozpočtů byl před rokem 2013 deficit státního rozpočtu, a proto má státní dluh v jeho struktuře nejvyšší </w:t>
      </w:r>
      <w:r w:rsidRPr="008E5B97">
        <w:t>váhu (</w:t>
      </w:r>
      <w:r>
        <w:t xml:space="preserve">93,3 </w:t>
      </w:r>
      <w:r w:rsidRPr="008E5B97">
        <w:t>%)</w:t>
      </w:r>
      <w:r>
        <w:rPr>
          <w:rStyle w:val="FootnoteReference"/>
        </w:rPr>
        <w:footnoteReference w:id="4"/>
      </w:r>
      <w:r w:rsidRPr="008E5B97">
        <w:t>.</w:t>
      </w:r>
      <w:r>
        <w:t xml:space="preserve"> Dynamika růstu státního dluhu v podstatě kopíruje vývoj celkového dluhu veřejných rozpočtů a v roce 2014 je očekávána ve shodné </w:t>
      </w:r>
      <w:r w:rsidRPr="008E5B97">
        <w:t xml:space="preserve">výši </w:t>
      </w:r>
      <w:r>
        <w:t>0,2</w:t>
      </w:r>
      <w:r w:rsidRPr="008E5B97">
        <w:t xml:space="preserve"> %</w:t>
      </w:r>
      <w:r>
        <w:t>. Její nízká úroveň je, jak se uvádí výše, dána nižší emisí dluhopisů v roce 2014 díky použití refinančního mechanismu státní pokladny.</w:t>
      </w:r>
    </w:p>
    <w:p w:rsidR="00700A53" w:rsidRPr="00566707" w:rsidRDefault="00700A53" w:rsidP="00462013">
      <w:pPr>
        <w:spacing w:before="60" w:line="360" w:lineRule="auto"/>
        <w:ind w:firstLine="426"/>
        <w:jc w:val="both"/>
      </w:pPr>
      <w:r>
        <w:t xml:space="preserve">V roce 2015 dynamika růstu veřejného </w:t>
      </w:r>
      <w:r w:rsidRPr="00566707">
        <w:t xml:space="preserve">dluhu </w:t>
      </w:r>
      <w:r w:rsidRPr="00ED4432">
        <w:t xml:space="preserve">vzroste na </w:t>
      </w:r>
      <w:r>
        <w:t>0,5</w:t>
      </w:r>
      <w:r w:rsidRPr="00ED4432">
        <w:t xml:space="preserve"> % a očekáv</w:t>
      </w:r>
      <w:r>
        <w:t>á se zvýšení jeho</w:t>
      </w:r>
      <w:r w:rsidRPr="00ED4432">
        <w:t xml:space="preserve"> stav</w:t>
      </w:r>
      <w:r>
        <w:t xml:space="preserve">u </w:t>
      </w:r>
      <w:r w:rsidRPr="00ED4432">
        <w:t xml:space="preserve">o </w:t>
      </w:r>
      <w:r>
        <w:t>8,2</w:t>
      </w:r>
      <w:r w:rsidRPr="00ED4432">
        <w:t xml:space="preserve"> mld. Kč na </w:t>
      </w:r>
      <w:r>
        <w:t>1 790,2</w:t>
      </w:r>
      <w:r w:rsidRPr="00ED4432">
        <w:t xml:space="preserve"> mld. Kč. V podílovém vyjádření k HDP </w:t>
      </w:r>
      <w:r>
        <w:t xml:space="preserve">se </w:t>
      </w:r>
      <w:r w:rsidRPr="00ED4432">
        <w:t xml:space="preserve">ve srovnání s rokem 2014 </w:t>
      </w:r>
      <w:r>
        <w:t>dále sníží</w:t>
      </w:r>
      <w:r w:rsidRPr="00ED4432">
        <w:t xml:space="preserve"> o </w:t>
      </w:r>
      <w:r>
        <w:t>1,4</w:t>
      </w:r>
      <w:r w:rsidRPr="00ED4432">
        <w:t xml:space="preserve"> p. b. na </w:t>
      </w:r>
      <w:r>
        <w:t>42,5</w:t>
      </w:r>
      <w:r w:rsidRPr="00ED4432">
        <w:t xml:space="preserve"> % HDP. Váha státního dluhu na celkovém veřejném zadlužení se </w:t>
      </w:r>
      <w:r>
        <w:t>meziročně nezmění</w:t>
      </w:r>
      <w:r w:rsidRPr="00ED4432">
        <w:t xml:space="preserve"> a </w:t>
      </w:r>
      <w:r>
        <w:t>zůstane na úrovni</w:t>
      </w:r>
      <w:r w:rsidRPr="00ED4432">
        <w:t xml:space="preserve"> </w:t>
      </w:r>
      <w:r>
        <w:t>93,3</w:t>
      </w:r>
      <w:r w:rsidRPr="00ED4432">
        <w:rPr>
          <w:rStyle w:val="FootnoteReference"/>
        </w:rPr>
        <w:footnoteReference w:id="5"/>
      </w:r>
      <w:r w:rsidRPr="00ED4432">
        <w:t xml:space="preserve"> %. Jeho meziroční dynamika ve srovnání s rokem 2014 vzroste o </w:t>
      </w:r>
      <w:r>
        <w:t>0,2</w:t>
      </w:r>
      <w:r w:rsidRPr="00566707">
        <w:t xml:space="preserve"> p.</w:t>
      </w:r>
      <w:r>
        <w:t xml:space="preserve"> </w:t>
      </w:r>
      <w:r w:rsidRPr="00566707">
        <w:t xml:space="preserve">b. na </w:t>
      </w:r>
      <w:r>
        <w:t>0,4</w:t>
      </w:r>
      <w:r w:rsidRPr="00566707">
        <w:t xml:space="preserve"> %.</w:t>
      </w:r>
    </w:p>
    <w:p w:rsidR="00700A53" w:rsidRDefault="00700A53" w:rsidP="00097D3D">
      <w:pPr>
        <w:pStyle w:val="Standardnstyl"/>
      </w:pPr>
      <w:r w:rsidRPr="00566707">
        <w:t xml:space="preserve">U podílu jednotlivých segmentů veřejných rozpočtů na celkovém zadlužení nedojde k žádným výrazným změnám. Z hlediska váhy se po státním dluhu na celkovém dluhu veřejných rozpočtů nejvíce podílejí územní samosprávné celky, jejichž zadlužení </w:t>
      </w:r>
      <w:r>
        <w:t xml:space="preserve">se </w:t>
      </w:r>
      <w:r w:rsidRPr="00566707">
        <w:t>v roce 201</w:t>
      </w:r>
      <w:r>
        <w:t>5</w:t>
      </w:r>
      <w:r w:rsidRPr="00566707">
        <w:t xml:space="preserve"> ve srovnání s rokem</w:t>
      </w:r>
      <w:r>
        <w:t xml:space="preserve"> 2014</w:t>
      </w:r>
      <w:r w:rsidRPr="00566707">
        <w:t xml:space="preserve"> </w:t>
      </w:r>
      <w:r w:rsidRPr="00DF41F4">
        <w:t xml:space="preserve">nepatrně </w:t>
      </w:r>
      <w:r>
        <w:t>zvýší</w:t>
      </w:r>
      <w:r w:rsidRPr="00DF41F4">
        <w:t>.</w:t>
      </w:r>
      <w:r w:rsidRPr="00566707">
        <w:t xml:space="preserve"> </w:t>
      </w:r>
      <w:r>
        <w:t>Po splacení dluhu v roce 2014 lze v roce 2015 u</w:t>
      </w:r>
      <w:r w:rsidRPr="00566707">
        <w:t xml:space="preserve"> mimorozpočtových fondů</w:t>
      </w:r>
      <w:r w:rsidDel="002F7DBE">
        <w:t xml:space="preserve"> </w:t>
      </w:r>
      <w:r w:rsidRPr="00566707">
        <w:t xml:space="preserve">očekávat </w:t>
      </w:r>
      <w:r w:rsidRPr="00027E6E">
        <w:t xml:space="preserve">jeho </w:t>
      </w:r>
      <w:r>
        <w:t>mírný nárůst</w:t>
      </w:r>
      <w:r w:rsidRPr="00566707">
        <w:t xml:space="preserve">. </w:t>
      </w:r>
      <w:r>
        <w:t>Jinými slovy z</w:t>
      </w:r>
      <w:r w:rsidRPr="00A670EA">
        <w:t xml:space="preserve">atímco zadlužení nevykáže v roce 2014 žádný státní fond, v roce 2015 </w:t>
      </w:r>
      <w:r>
        <w:t>předpokládá</w:t>
      </w:r>
      <w:r w:rsidRPr="00A670EA">
        <w:t xml:space="preserve"> Státní zemědělský intervenční fond</w:t>
      </w:r>
      <w:r>
        <w:t xml:space="preserve"> krátkodobou půjčku ze státního rozpočtu ve výši 0,24 mld. Kč</w:t>
      </w:r>
      <w:r w:rsidRPr="00A670EA">
        <w:t>.</w:t>
      </w:r>
      <w:r>
        <w:t xml:space="preserve"> Avšak z důvodu konsolidace se celkový dluh touto operací nezvýší.</w:t>
      </w:r>
      <w:r w:rsidRPr="00566707">
        <w:t xml:space="preserve"> Jak již bylo řečeno, vyčerpání vlastních zdrojů mimorozpočtových</w:t>
      </w:r>
      <w:r>
        <w:t xml:space="preserve"> </w:t>
      </w:r>
      <w:r w:rsidRPr="00566707">
        <w:t>fondů k</w:t>
      </w:r>
      <w:r>
        <w:t> </w:t>
      </w:r>
      <w:r w:rsidRPr="00566707">
        <w:t>financování deficitů představuje další potenciální riziko růstu dluhu veřejných rozpočtů.</w:t>
      </w:r>
      <w:r w:rsidRPr="002C6CB8">
        <w:t xml:space="preserve"> </w:t>
      </w:r>
      <w:r w:rsidRPr="002F0331">
        <w:t xml:space="preserve">Zdravotní pojišťovny </w:t>
      </w:r>
      <w:r>
        <w:t xml:space="preserve">vykážou minimální dluh vůči státnímu rozpočtu (1,0 mld. Kč v roce 2014 a 0,5 mld. Kč v roce 2015), </w:t>
      </w:r>
      <w:r w:rsidRPr="0002673C">
        <w:t xml:space="preserve">který je </w:t>
      </w:r>
      <w:r>
        <w:t xml:space="preserve">ale </w:t>
      </w:r>
      <w:r w:rsidRPr="0002673C">
        <w:t>na úrovni veřejných rozpočtů konsolidován</w:t>
      </w:r>
      <w:r>
        <w:t>. J</w:t>
      </w:r>
      <w:r w:rsidRPr="002F0331">
        <w:t xml:space="preserve">ejich závazky vůči zdravotnickým zařízením </w:t>
      </w:r>
      <w:r>
        <w:t xml:space="preserve">navíc </w:t>
      </w:r>
      <w:r w:rsidRPr="002F0331">
        <w:t xml:space="preserve">nejsou součástí </w:t>
      </w:r>
      <w:r>
        <w:t xml:space="preserve">veřejného </w:t>
      </w:r>
      <w:r w:rsidRPr="002F0331">
        <w:t>dluhu</w:t>
      </w:r>
      <w:r w:rsidRPr="00566707">
        <w:t>.</w:t>
      </w:r>
    </w:p>
    <w:p w:rsidR="00700A53" w:rsidRDefault="00700A53" w:rsidP="00463A78">
      <w:pPr>
        <w:pStyle w:val="Standardnstyl"/>
      </w:pPr>
      <w:r>
        <w:t>Ve srovnání s ostatními zeměmi není úroveň celkového veřejného zadlužení ČR nikterak vysoká, nicméně n</w:t>
      </w:r>
      <w:r w:rsidRPr="005D6362">
        <w:t xml:space="preserve">ebezpečím je vysoká dynamika </w:t>
      </w:r>
      <w:r>
        <w:t xml:space="preserve">jeho </w:t>
      </w:r>
      <w:r w:rsidRPr="005D6362">
        <w:t xml:space="preserve">růstu </w:t>
      </w:r>
      <w:r>
        <w:t xml:space="preserve">z minulých let </w:t>
      </w:r>
      <w:r w:rsidRPr="005D6362">
        <w:t>a také skutečnost, že byl tento růst v minulosti značně zpomalován inkasem privatizačních příjmů.</w:t>
      </w:r>
      <w:r>
        <w:t xml:space="preserve"> </w:t>
      </w:r>
      <w:r w:rsidRPr="005D6362">
        <w:t>Náklady dluhové služby rostou a zůstávají trvalou zátěží výdajové strany.</w:t>
      </w:r>
      <w:r>
        <w:t xml:space="preserve"> Také v roce 2015 se předpokládá, že k financování dluhu budou využity prostředky z účtů státní pokladny. Hospodaření veřejných rozpočtů nadále zůstává deficitní (</w:t>
      </w:r>
      <w:r w:rsidRPr="003E455E">
        <w:t>viz část A – Veřejné rozpočty</w:t>
      </w:r>
      <w:r>
        <w:t xml:space="preserve">), růst dluhu by v posledních 2 letech (2014-15) měl být zpomalován použitím výše uvedených zdrojů. Nicméně z hlediska jeho dlouhodobé udržitelnosti se jako systémové řešení jeví </w:t>
      </w:r>
      <w:r w:rsidRPr="005D6362">
        <w:t>zmírnění růstu deficitů veřejných rozpočtů, které dluh generují, v</w:t>
      </w:r>
      <w:r>
        <w:t> ideálním</w:t>
      </w:r>
      <w:r w:rsidRPr="005D6362">
        <w:t xml:space="preserve"> případě pak trvalé dosahování přebytků primární bilance</w:t>
      </w:r>
      <w:r>
        <w:t xml:space="preserve">. </w:t>
      </w:r>
    </w:p>
    <w:p w:rsidR="00700A53" w:rsidRDefault="00700A53" w:rsidP="003B5141">
      <w:pPr>
        <w:pStyle w:val="Caption"/>
      </w:pPr>
      <w:r>
        <w:t xml:space="preserve">Tabulka č. </w:t>
      </w:r>
      <w:fldSimple w:instr=" SEQ Tabulka \* ARABIC " w:fldLock="1">
        <w:r>
          <w:rPr>
            <w:noProof/>
          </w:rPr>
          <w:t>9</w:t>
        </w:r>
      </w:fldSimple>
      <w:r>
        <w:rPr>
          <w:noProof/>
        </w:rPr>
        <w:t>:</w:t>
      </w:r>
      <w:r>
        <w:t>Vývoj dluhu veřejných rozpočtů v mld. Kč a jeho podíl na HDP</w:t>
      </w:r>
    </w:p>
    <w:p w:rsidR="00700A53" w:rsidRDefault="00700A53" w:rsidP="00256D4F">
      <w:pPr>
        <w:pStyle w:val="Pramen"/>
      </w:pPr>
      <w:r>
        <w:pict>
          <v:shape id="_x0000_i1038" type="#_x0000_t75" style="width:450pt;height:126pt">
            <v:imagedata r:id="rId27" o:title=""/>
          </v:shape>
        </w:pict>
      </w:r>
      <w:r>
        <w:t>Pramen: Ministerstvo financí ČR</w:t>
      </w:r>
    </w:p>
    <w:p w:rsidR="00700A53" w:rsidRDefault="00700A53" w:rsidP="0026728D">
      <w:pPr>
        <w:sectPr w:rsidR="00700A53">
          <w:headerReference w:type="first" r:id="rId28"/>
          <w:type w:val="continuous"/>
          <w:pgSz w:w="11906" w:h="16838"/>
          <w:pgMar w:top="1417" w:right="1417" w:bottom="1417" w:left="1417" w:header="708" w:footer="708" w:gutter="0"/>
          <w:cols w:space="708"/>
          <w:docGrid w:linePitch="360"/>
        </w:sectPr>
      </w:pPr>
    </w:p>
    <w:p w:rsidR="00700A53" w:rsidRDefault="00700A53" w:rsidP="00256D4F">
      <w:pPr>
        <w:sectPr w:rsidR="00700A53">
          <w:headerReference w:type="first" r:id="rId29"/>
          <w:type w:val="continuous"/>
          <w:pgSz w:w="11906" w:h="16838"/>
          <w:pgMar w:top="1417" w:right="1417" w:bottom="1417" w:left="1417" w:header="708" w:footer="708" w:gutter="0"/>
          <w:cols w:space="708"/>
          <w:docGrid w:linePitch="360"/>
        </w:sectPr>
      </w:pPr>
    </w:p>
    <w:p w:rsidR="00700A53" w:rsidRDefault="00700A53" w:rsidP="00044930">
      <w:pPr>
        <w:sectPr w:rsidR="00700A53">
          <w:headerReference w:type="first" r:id="rId30"/>
          <w:pgSz w:w="11906" w:h="16838"/>
          <w:pgMar w:top="1417" w:right="1417" w:bottom="1417" w:left="1417" w:header="708" w:footer="708" w:gutter="0"/>
          <w:cols w:space="708"/>
          <w:docGrid w:linePitch="360"/>
        </w:sectPr>
      </w:pPr>
    </w:p>
    <w:p w:rsidR="00700A53" w:rsidRDefault="00700A53" w:rsidP="00A77FBE">
      <w:pPr>
        <w:pStyle w:val="Heading1"/>
        <w:spacing w:before="0"/>
      </w:pPr>
      <w:bookmarkStart w:id="33" w:name="_Toc396827495"/>
      <w:bookmarkStart w:id="34" w:name="_Toc112674750"/>
      <w:bookmarkStart w:id="35" w:name="_Toc207011059"/>
      <w:bookmarkStart w:id="36" w:name="_Toc112674751"/>
      <w:bookmarkStart w:id="37" w:name="_Toc207011060"/>
      <w:bookmarkEnd w:id="2"/>
      <w:bookmarkEnd w:id="3"/>
      <w:bookmarkEnd w:id="4"/>
      <w:bookmarkEnd w:id="5"/>
      <w:bookmarkEnd w:id="6"/>
      <w:bookmarkEnd w:id="10"/>
      <w:bookmarkEnd w:id="11"/>
      <w:bookmarkEnd w:id="12"/>
      <w:bookmarkEnd w:id="13"/>
      <w:bookmarkEnd w:id="25"/>
      <w:r>
        <w:t>II. Mimorozpočtové fondy</w:t>
      </w:r>
      <w:bookmarkEnd w:id="33"/>
    </w:p>
    <w:p w:rsidR="00700A53" w:rsidRDefault="00700A53" w:rsidP="00F15E35">
      <w:pPr>
        <w:pStyle w:val="Heading2"/>
        <w:numPr>
          <w:ilvl w:val="0"/>
          <w:numId w:val="3"/>
        </w:numPr>
      </w:pPr>
      <w:bookmarkStart w:id="38" w:name="_Toc524941172"/>
      <w:bookmarkStart w:id="39" w:name="_Toc24962056"/>
      <w:bookmarkStart w:id="40" w:name="_Toc49932518"/>
      <w:bookmarkStart w:id="41" w:name="_Toc50797855"/>
      <w:bookmarkStart w:id="42" w:name="_Toc50966502"/>
      <w:bookmarkStart w:id="43" w:name="_Toc207011057"/>
      <w:bookmarkStart w:id="44" w:name="_Toc396827496"/>
      <w:r>
        <w:t>Státní fondy</w:t>
      </w:r>
      <w:bookmarkStart w:id="45" w:name="_Toc112674749"/>
      <w:bookmarkStart w:id="46" w:name="_Toc24962059"/>
      <w:bookmarkStart w:id="47" w:name="_Toc31168978"/>
      <w:bookmarkStart w:id="48" w:name="_Toc50797858"/>
      <w:bookmarkStart w:id="49" w:name="_Toc50966505"/>
      <w:bookmarkEnd w:id="38"/>
      <w:bookmarkEnd w:id="39"/>
      <w:bookmarkEnd w:id="40"/>
      <w:bookmarkEnd w:id="41"/>
      <w:bookmarkEnd w:id="42"/>
      <w:bookmarkEnd w:id="43"/>
      <w:bookmarkEnd w:id="44"/>
    </w:p>
    <w:p w:rsidR="00700A53" w:rsidRDefault="00700A53" w:rsidP="00F15E35">
      <w:pPr>
        <w:sectPr w:rsidR="00700A53" w:rsidSect="00044930">
          <w:type w:val="continuous"/>
          <w:pgSz w:w="11906" w:h="16838"/>
          <w:pgMar w:top="1417" w:right="1417" w:bottom="1417" w:left="1417" w:header="708" w:footer="708" w:gutter="0"/>
          <w:cols w:space="708"/>
          <w:docGrid w:linePitch="360"/>
        </w:sectPr>
      </w:pPr>
      <w:bookmarkStart w:id="50" w:name="_Toc207011058"/>
      <w:bookmarkStart w:id="51" w:name="_Toc269750352"/>
      <w:bookmarkEnd w:id="45"/>
    </w:p>
    <w:p w:rsidR="00700A53" w:rsidRDefault="00700A53" w:rsidP="00E51A96">
      <w:pPr>
        <w:pStyle w:val="Heading3"/>
        <w:spacing w:before="0" w:after="0"/>
      </w:pPr>
      <w:bookmarkStart w:id="52" w:name="_Toc396827497"/>
      <w:bookmarkEnd w:id="50"/>
      <w:bookmarkEnd w:id="51"/>
      <w:r>
        <w:t>Státní fond životního prostředí České republiky</w:t>
      </w:r>
      <w:bookmarkEnd w:id="52"/>
    </w:p>
    <w:p w:rsidR="00700A53" w:rsidRDefault="00700A53" w:rsidP="0026728D">
      <w:pPr>
        <w:sectPr w:rsidR="00700A53" w:rsidSect="00256D4F">
          <w:type w:val="continuous"/>
          <w:pgSz w:w="11906" w:h="16838"/>
          <w:pgMar w:top="1417" w:right="1417" w:bottom="1417" w:left="1417" w:header="708" w:footer="708" w:gutter="0"/>
          <w:cols w:space="708"/>
          <w:docGrid w:linePitch="360"/>
        </w:sectPr>
      </w:pPr>
    </w:p>
    <w:p w:rsidR="00700A53" w:rsidRPr="000A60E6" w:rsidRDefault="00700A53" w:rsidP="00E51A96">
      <w:pPr>
        <w:pStyle w:val="Heading3"/>
        <w:numPr>
          <w:ilvl w:val="0"/>
          <w:numId w:val="0"/>
        </w:numPr>
        <w:spacing w:before="0" w:after="0"/>
        <w:ind w:left="284"/>
        <w:rPr>
          <w:rFonts w:ascii="Times New Roman" w:hAnsi="Times New Roman"/>
        </w:rPr>
      </w:pPr>
    </w:p>
    <w:p w:rsidR="00700A53" w:rsidRDefault="00700A53" w:rsidP="00463A78">
      <w:pPr>
        <w:pStyle w:val="Standardnstyl"/>
      </w:pPr>
      <w:r>
        <w:t>Státní fond životního prostředí České republiky (dále SFŽP nebo v rámci této kapitoly Fond) vznikl v roce 1991 na základě zákona č. 388/1991 Sb</w:t>
      </w:r>
      <w:r w:rsidRPr="00963065">
        <w:t xml:space="preserve">., </w:t>
      </w:r>
      <w:r w:rsidRPr="00963065">
        <w:rPr>
          <w:rStyle w:val="tema2"/>
        </w:rPr>
        <w:t>o Státním fondu životního prostředí České republiky</w:t>
      </w:r>
      <w:r>
        <w:rPr>
          <w:rStyle w:val="tema2"/>
        </w:rPr>
        <w:t>,</w:t>
      </w:r>
      <w:r>
        <w:t xml:space="preserve"> a to sloučením Fondu ochrany vod a Fondu ochrany ovzduší. Jeho správcem je Ministerstvo životního prostředí, které vůči němu vykonává zřizovatelské funkce. SFŽP představuje jeden ze základních centrálních nástrojů pro realizaci aktuální politiky životního prostředí České republiky, ať již státní nebo vyplývající z mezinárodních smluv či členství v EU.</w:t>
      </w:r>
    </w:p>
    <w:p w:rsidR="00700A53" w:rsidRDefault="00700A53" w:rsidP="00463A78">
      <w:pPr>
        <w:pStyle w:val="Standardnstyl"/>
      </w:pPr>
      <w:r>
        <w:t xml:space="preserve">Fond plní funkci významného finančního zdroje pro podporu opatření k ochraně a zlepšování stavu životního prostředí. Dále vykonává úlohu zprostředkujícího orgánu u prostředků získávaných od EU pro oblast životního prostředí v rámci Operačního programu Životní prostředí (OPŽP). SFŽP byl ustanoven implementačním orgánem pro Fond </w:t>
      </w:r>
      <w:r w:rsidRPr="00A64051">
        <w:t>soudržnosti</w:t>
      </w:r>
      <w:r>
        <w:t xml:space="preserve"> a využívá také prostředků z Programu švýcarsko-české spolupráce.</w:t>
      </w:r>
    </w:p>
    <w:p w:rsidR="00700A53" w:rsidRDefault="00700A53" w:rsidP="00463A78">
      <w:pPr>
        <w:pStyle w:val="Standardnstyl"/>
      </w:pPr>
      <w:r>
        <w:t xml:space="preserve">SFŽP disponuje příjmy zejména z plateb za znečišťování nebo poškozování jednotlivých složek životního prostředí, úroků z uložených disponibilních prostředků na termínovaných účtech a z dotací ze státního rozpočtu na úhradu výdajů vynaložených z technické asistence programů EU na jejich administraci. V letech 2009-12 byly součástí příjmové strany Fondu příjmy z prodeje jednotek AAU </w:t>
      </w:r>
      <w:r w:rsidRPr="00541C2A">
        <w:t>(</w:t>
      </w:r>
      <w:r w:rsidRPr="00AE0A4E">
        <w:rPr>
          <w:i/>
        </w:rPr>
        <w:t>Assigned Amounts Units</w:t>
      </w:r>
      <w:r>
        <w:t>, Kjótský protokol</w:t>
      </w:r>
      <w:r>
        <w:rPr>
          <w:rStyle w:val="FootnoteReference"/>
        </w:rPr>
        <w:footnoteReference w:id="6"/>
      </w:r>
      <w:r>
        <w:t>, čl. 17</w:t>
      </w:r>
      <w:r w:rsidRPr="00541C2A">
        <w:t>)</w:t>
      </w:r>
      <w:r>
        <w:t>. O použití peněžních prostředků Fondu rozhoduje ze zákona ministr životního prostředí.</w:t>
      </w:r>
    </w:p>
    <w:p w:rsidR="00700A53" w:rsidRPr="00C11540" w:rsidRDefault="00700A53" w:rsidP="00463A78">
      <w:pPr>
        <w:pStyle w:val="Standardnstyl"/>
      </w:pPr>
      <w:r>
        <w:t xml:space="preserve">Podpory ze SFŽP jsou určeny zejména na ochranu vod, ovzduší, nakládání s odpady, ochranu přírody, péči o krajinu, podporu využívání obnovitelných zdrojů energie a na programy EU. Jsou poskytovány zejména formou dotací a půjček, případně jejich kombinací. Prostředky získané z prodeje jednotek AAU byly účelově vyčleněny na realizaci opatření vedoucích k úsporám energie a využití obnovitelných zdrojů energie v rodinných a bytových domech. V roce 2010 byl program rozšířen i o budovy veřejného sektoru. Podpora zmíněných opatření probíhala v rámci programu </w:t>
      </w:r>
      <w:r w:rsidRPr="00E93667">
        <w:rPr>
          <w:i/>
        </w:rPr>
        <w:t>Zelená úsporám</w:t>
      </w:r>
      <w:r>
        <w:t xml:space="preserve"> (GIS – </w:t>
      </w:r>
      <w:r w:rsidRPr="00AE0A4E">
        <w:rPr>
          <w:i/>
        </w:rPr>
        <w:t>Green Investment Scheme</w:t>
      </w:r>
      <w:r>
        <w:t xml:space="preserve">), jehož organizační </w:t>
      </w:r>
      <w:r w:rsidRPr="00C11540">
        <w:t xml:space="preserve">příprava byla zahájena na podzim 2008 a </w:t>
      </w:r>
      <w:r w:rsidRPr="00D61925">
        <w:t>jeho ukončení proběhlo k</w:t>
      </w:r>
      <w:r>
        <w:t> </w:t>
      </w:r>
      <w:r w:rsidRPr="00D61925">
        <w:t>31.</w:t>
      </w:r>
      <w:r>
        <w:t> </w:t>
      </w:r>
      <w:r w:rsidRPr="00D61925">
        <w:t>12.</w:t>
      </w:r>
      <w:r>
        <w:t> </w:t>
      </w:r>
      <w:r w:rsidRPr="00D61925">
        <w:t>2012.</w:t>
      </w:r>
      <w:r>
        <w:t xml:space="preserve"> Podpora úspor energie a obnovitelných zdrojů energie v rodinných domech dále pokračuje v programu </w:t>
      </w:r>
      <w:r w:rsidRPr="00E93667">
        <w:rPr>
          <w:i/>
        </w:rPr>
        <w:t>Nová zelená úsporám</w:t>
      </w:r>
      <w:r>
        <w:t>.</w:t>
      </w:r>
    </w:p>
    <w:p w:rsidR="00700A53" w:rsidRPr="003856B0" w:rsidRDefault="00700A53" w:rsidP="00463A78">
      <w:pPr>
        <w:pStyle w:val="Standardnstyl"/>
      </w:pPr>
      <w:r w:rsidRPr="00C11540">
        <w:t>V roce 201</w:t>
      </w:r>
      <w:r>
        <w:t>4</w:t>
      </w:r>
      <w:r w:rsidRPr="00C11540">
        <w:t xml:space="preserve"> by celkové příjmy SFŽP měly </w:t>
      </w:r>
      <w:r w:rsidRPr="003856B0">
        <w:t xml:space="preserve">dosáhnout částky </w:t>
      </w:r>
      <w:r>
        <w:t>1,56</w:t>
      </w:r>
      <w:r w:rsidRPr="003856B0">
        <w:t xml:space="preserve"> mld. Kč, předpokládaná výše jeho celkových výdajů pak činí </w:t>
      </w:r>
      <w:r>
        <w:t>3,59</w:t>
      </w:r>
      <w:r w:rsidRPr="003856B0">
        <w:t xml:space="preserve"> mld. Kč. Od roku 2009 Fond podle zákona č. 383/2008 Sb.</w:t>
      </w:r>
      <w:r>
        <w:t>, který mění zákon o odpadech a některé související zákony,</w:t>
      </w:r>
      <w:r w:rsidRPr="003856B0">
        <w:t xml:space="preserve"> disponuje příjmy z poplatků za převody a registraci automobilů, které nesplňují normy ochrany ovzduší. Příjmy z tohoto poplatku jsou účelově vázány na ekologickou likvidaci vozidel s ukončenou životností.</w:t>
      </w:r>
      <w:r w:rsidRPr="003856B0" w:rsidDel="004A203E">
        <w:t xml:space="preserve"> </w:t>
      </w:r>
    </w:p>
    <w:p w:rsidR="00700A53" w:rsidRPr="00C11540" w:rsidRDefault="00700A53" w:rsidP="003B5141">
      <w:pPr>
        <w:pStyle w:val="Standardnstyl"/>
      </w:pPr>
      <w:r w:rsidRPr="00110FFE">
        <w:t xml:space="preserve">Hospodaření SFŽP skončí v roce 2014 deficitem ve výši </w:t>
      </w:r>
      <w:r>
        <w:t>2,03</w:t>
      </w:r>
      <w:r w:rsidRPr="00110FFE">
        <w:t xml:space="preserve"> mld. Kč</w:t>
      </w:r>
      <w:r>
        <w:t>. P</w:t>
      </w:r>
      <w:r w:rsidRPr="00110FFE">
        <w:t xml:space="preserve">rogram </w:t>
      </w:r>
      <w:r w:rsidRPr="00E93667">
        <w:rPr>
          <w:i/>
        </w:rPr>
        <w:t>Zelená úsporám</w:t>
      </w:r>
      <w:r w:rsidRPr="00110FFE">
        <w:t xml:space="preserve"> </w:t>
      </w:r>
      <w:r>
        <w:t xml:space="preserve">je v závěrečné fázi a na jeho financování </w:t>
      </w:r>
      <w:r w:rsidRPr="00110FFE">
        <w:t>budou dočerpány finanční prostředky získané v předchozích letech z prodeje emisních povolenek</w:t>
      </w:r>
      <w:r>
        <w:t xml:space="preserve">. Na program </w:t>
      </w:r>
      <w:r w:rsidRPr="00E93667">
        <w:rPr>
          <w:i/>
        </w:rPr>
        <w:t>Nová zelená úsporám</w:t>
      </w:r>
      <w:r w:rsidRPr="00110FFE">
        <w:t xml:space="preserve"> budou použity finanční prostředky SFŽP, převedené k</w:t>
      </w:r>
      <w:r>
        <w:t xml:space="preserve"> </w:t>
      </w:r>
      <w:r w:rsidRPr="00110FFE">
        <w:t>financování tohoto programu z příjmů z poplatku na podporu sběru, zpracování, využití a</w:t>
      </w:r>
      <w:r>
        <w:t xml:space="preserve"> </w:t>
      </w:r>
      <w:r w:rsidRPr="00110FFE">
        <w:t>odstranění vybraných autovraků.</w:t>
      </w:r>
    </w:p>
    <w:p w:rsidR="00700A53" w:rsidRPr="00C11540" w:rsidRDefault="00700A53" w:rsidP="00097D3D">
      <w:pPr>
        <w:pStyle w:val="Standardnstyl"/>
      </w:pPr>
      <w:r w:rsidRPr="00C11540">
        <w:t>Konečný zůstatek peněžních prostředků Fondu by měl ke konci roku</w:t>
      </w:r>
      <w:r>
        <w:t xml:space="preserve"> 2014</w:t>
      </w:r>
      <w:r w:rsidRPr="00C11540">
        <w:t xml:space="preserve"> dosáhnout hodnoty </w:t>
      </w:r>
      <w:r>
        <w:t>4,84</w:t>
      </w:r>
      <w:r w:rsidRPr="00C11540">
        <w:t xml:space="preserve"> mld. Kč, přičemž převážná část z nich je vázána na termínovaných a</w:t>
      </w:r>
      <w:r>
        <w:t> </w:t>
      </w:r>
      <w:r w:rsidRPr="00C11540">
        <w:t xml:space="preserve">běžných účtech u komerčních bank. Fond v roce 2003 a 2004 čerpal úvěr od společnosti MUFIS, a. s. ve výši 0,50 mld. Kč, který je využíván jako zdroj krytí jeho existujících finančních závazků. </w:t>
      </w:r>
      <w:r>
        <w:t>D</w:t>
      </w:r>
      <w:r w:rsidRPr="00C11540">
        <w:t xml:space="preserve">luh </w:t>
      </w:r>
      <w:r>
        <w:t>je pravidelně splácen</w:t>
      </w:r>
      <w:r w:rsidRPr="00C11540">
        <w:t xml:space="preserve"> úhradou roční splátky jistiny MUFIS, a. s.</w:t>
      </w:r>
      <w:r>
        <w:rPr>
          <w:rStyle w:val="FootnoteReference"/>
        </w:rPr>
        <w:footnoteReference w:id="7"/>
      </w:r>
      <w:r w:rsidRPr="00C11540">
        <w:t xml:space="preserve"> ve výši 50</w:t>
      </w:r>
      <w:r>
        <w:t xml:space="preserve"> </w:t>
      </w:r>
      <w:r w:rsidRPr="00C11540">
        <w:t xml:space="preserve">mil. Kč </w:t>
      </w:r>
      <w:r>
        <w:t>a </w:t>
      </w:r>
      <w:r w:rsidRPr="00C11540">
        <w:t xml:space="preserve"> ke konci roku</w:t>
      </w:r>
      <w:r>
        <w:t xml:space="preserve"> 2014</w:t>
      </w:r>
      <w:r w:rsidRPr="00C11540">
        <w:t xml:space="preserve"> </w:t>
      </w:r>
      <w:r>
        <w:t>by měl být definitivně splacen</w:t>
      </w:r>
      <w:r w:rsidRPr="00C11540">
        <w:t>; deficit bude kryt zůstatkem finančních prostředků na účtech SFŽP.</w:t>
      </w:r>
    </w:p>
    <w:p w:rsidR="00700A53" w:rsidRPr="00BA492D" w:rsidRDefault="00700A53" w:rsidP="00462013">
      <w:pPr>
        <w:spacing w:before="60" w:line="360" w:lineRule="auto"/>
        <w:ind w:firstLine="426"/>
        <w:jc w:val="both"/>
        <w:rPr>
          <w:i/>
        </w:rPr>
      </w:pPr>
      <w:r w:rsidRPr="00BA492D">
        <w:t xml:space="preserve">Celkové příjmy na rok 2015 </w:t>
      </w:r>
      <w:r w:rsidRPr="003856B0">
        <w:t xml:space="preserve">jsou rozpočtovány ve výši </w:t>
      </w:r>
      <w:r>
        <w:t>1,53</w:t>
      </w:r>
      <w:r w:rsidRPr="003856B0">
        <w:t xml:space="preserve"> mld. Kč. Největší podíl (</w:t>
      </w:r>
      <w:r>
        <w:t>64,4</w:t>
      </w:r>
      <w:r w:rsidRPr="003856B0">
        <w:t> % celkových příjmů) budou mít příjmy z</w:t>
      </w:r>
      <w:r>
        <w:t xml:space="preserve"> </w:t>
      </w:r>
      <w:r w:rsidRPr="003856B0">
        <w:t>poplatků, které vyplývají z předpisů o</w:t>
      </w:r>
      <w:r>
        <w:t xml:space="preserve"> </w:t>
      </w:r>
      <w:r w:rsidRPr="003856B0">
        <w:t>ochraně jednotlivých složek životního prostředí (</w:t>
      </w:r>
      <w:r>
        <w:t>0,99</w:t>
      </w:r>
      <w:r w:rsidRPr="003856B0">
        <w:t xml:space="preserve"> mld. Kč). Rozp</w:t>
      </w:r>
      <w:r w:rsidRPr="00BA492D">
        <w:t>očet výdajů na rok 2015 je sestaven v</w:t>
      </w:r>
      <w:r>
        <w:t xml:space="preserve"> </w:t>
      </w:r>
      <w:r w:rsidRPr="00BA492D">
        <w:t xml:space="preserve">objemu </w:t>
      </w:r>
      <w:r>
        <w:t>3,00</w:t>
      </w:r>
      <w:r w:rsidRPr="00BA492D">
        <w:t xml:space="preserve"> mld. Kč. Ve výdajové struktuře má </w:t>
      </w:r>
      <w:r>
        <w:t>72,8</w:t>
      </w:r>
      <w:r w:rsidRPr="00BA492D">
        <w:t xml:space="preserve"> % výdajů kapitálový charakter (</w:t>
      </w:r>
      <w:r>
        <w:t>2,19</w:t>
      </w:r>
      <w:r w:rsidRPr="00BA492D">
        <w:t xml:space="preserve"> mld. Kč), z toho </w:t>
      </w:r>
      <w:r>
        <w:t>34,0</w:t>
      </w:r>
      <w:r w:rsidRPr="00BA492D">
        <w:t xml:space="preserve"> % má formu dotací územním samosprávným celkům. Rozpočet pro rok 2015 je plánován jako </w:t>
      </w:r>
      <w:r w:rsidRPr="00B57CCC">
        <w:t>schodkový</w:t>
      </w:r>
      <w:r w:rsidRPr="00BA492D">
        <w:t xml:space="preserve"> ve výši </w:t>
      </w:r>
      <w:r>
        <w:t xml:space="preserve">1,47 </w:t>
      </w:r>
      <w:r w:rsidRPr="00BA492D">
        <w:t>mld.</w:t>
      </w:r>
      <w:r>
        <w:t xml:space="preserve"> </w:t>
      </w:r>
      <w:r w:rsidRPr="00BA492D">
        <w:t>Kč</w:t>
      </w:r>
      <w:r w:rsidRPr="00110FFE">
        <w:t xml:space="preserve">. </w:t>
      </w:r>
    </w:p>
    <w:p w:rsidR="00700A53" w:rsidRDefault="00700A53" w:rsidP="003B5141">
      <w:pPr>
        <w:pStyle w:val="Caption"/>
      </w:pPr>
      <w:r>
        <w:t xml:space="preserve">Tabulka č. </w:t>
      </w:r>
      <w:fldSimple w:instr=" SEQ Tabulka \* ARABIC " w:fldLock="1">
        <w:r>
          <w:rPr>
            <w:noProof/>
          </w:rPr>
          <w:t>10</w:t>
        </w:r>
      </w:fldSimple>
      <w:r>
        <w:rPr>
          <w:noProof/>
        </w:rPr>
        <w:t xml:space="preserve">: </w:t>
      </w:r>
      <w:r>
        <w:t>Bilance Státního fondu životního prostředí v mld. Kč</w:t>
      </w:r>
    </w:p>
    <w:p w:rsidR="00700A53" w:rsidRDefault="00700A53" w:rsidP="00256D4F">
      <w:pPr>
        <w:pStyle w:val="graftab"/>
      </w:pPr>
      <w:r>
        <w:pict>
          <v:shape id="_x0000_i1039" type="#_x0000_t75" style="width:451.2pt;height:539.4pt">
            <v:imagedata r:id="rId31" o:title=""/>
          </v:shape>
        </w:pict>
      </w:r>
      <w:r w:rsidRPr="003F2429">
        <w:t xml:space="preserve">Pramen: </w:t>
      </w:r>
      <w:r>
        <w:t xml:space="preserve">Ministerstvo financí ČR, </w:t>
      </w:r>
      <w:r w:rsidRPr="003F2429">
        <w:t>SFŽP</w:t>
      </w:r>
    </w:p>
    <w:p w:rsidR="00700A53" w:rsidRPr="003856B0" w:rsidRDefault="00700A53" w:rsidP="0026728D">
      <w:pPr>
        <w:rPr>
          <w:szCs w:val="20"/>
        </w:rPr>
        <w:sectPr w:rsidR="00700A53" w:rsidRPr="003856B0" w:rsidSect="00256D4F">
          <w:type w:val="continuous"/>
          <w:pgSz w:w="11906" w:h="16838"/>
          <w:pgMar w:top="1417" w:right="1417" w:bottom="1417" w:left="1417" w:header="708" w:footer="708" w:gutter="0"/>
          <w:cols w:space="708"/>
          <w:docGrid w:linePitch="360"/>
        </w:sectPr>
      </w:pPr>
      <w:r>
        <w:br w:type="page"/>
      </w:r>
    </w:p>
    <w:p w:rsidR="00700A53" w:rsidRDefault="00700A53" w:rsidP="00E51A96">
      <w:pPr>
        <w:pStyle w:val="Heading3"/>
        <w:spacing w:before="0" w:after="0"/>
      </w:pPr>
      <w:bookmarkStart w:id="53" w:name="_Toc396827498"/>
      <w:bookmarkEnd w:id="46"/>
      <w:bookmarkEnd w:id="47"/>
      <w:bookmarkEnd w:id="48"/>
      <w:bookmarkEnd w:id="49"/>
      <w:r w:rsidRPr="007F326A">
        <w:t>Státní fond dopravní infrastruktury</w:t>
      </w:r>
      <w:bookmarkEnd w:id="53"/>
    </w:p>
    <w:p w:rsidR="00700A53" w:rsidRDefault="00700A53" w:rsidP="0026728D">
      <w:pPr>
        <w:sectPr w:rsidR="00700A53">
          <w:headerReference w:type="first" r:id="rId32"/>
          <w:type w:val="continuous"/>
          <w:pgSz w:w="11906" w:h="16838"/>
          <w:pgMar w:top="1417" w:right="1417" w:bottom="1417" w:left="1417" w:header="708" w:footer="708" w:gutter="0"/>
          <w:cols w:space="708"/>
          <w:docGrid w:linePitch="360"/>
        </w:sectPr>
      </w:pPr>
    </w:p>
    <w:bookmarkEnd w:id="34"/>
    <w:bookmarkEnd w:id="35"/>
    <w:p w:rsidR="00700A53" w:rsidRPr="0053168B" w:rsidRDefault="00700A53" w:rsidP="00E51A96">
      <w:pPr>
        <w:pStyle w:val="Heading3"/>
        <w:numPr>
          <w:ilvl w:val="0"/>
          <w:numId w:val="0"/>
        </w:numPr>
        <w:spacing w:before="0" w:after="0"/>
        <w:ind w:left="284"/>
        <w:rPr>
          <w:rFonts w:ascii="Times New Roman" w:hAnsi="Times New Roman"/>
        </w:rPr>
      </w:pPr>
    </w:p>
    <w:p w:rsidR="00700A53" w:rsidRDefault="00700A53" w:rsidP="00463A78">
      <w:pPr>
        <w:pStyle w:val="Standardnstyl"/>
      </w:pPr>
      <w:r>
        <w:t>Státní fond dopravní infrastruktury (dále SFDI nebo v této kapitole Fond) vznikl 1. 7. 2000. Byl zřízen zákonem č. 104/2000 Sb</w:t>
      </w:r>
      <w:r w:rsidRPr="005A3FCE">
        <w:t>., o Státním fondu dopravní infrastruktury a</w:t>
      </w:r>
      <w:r>
        <w:t> </w:t>
      </w:r>
      <w:r w:rsidRPr="005A3FCE">
        <w:t>o</w:t>
      </w:r>
      <w:r>
        <w:t> </w:t>
      </w:r>
      <w:r w:rsidRPr="005A3FCE">
        <w:t>změně zákona č.</w:t>
      </w:r>
      <w:r>
        <w:t> </w:t>
      </w:r>
      <w:r w:rsidRPr="005A3FCE">
        <w:t>171/1991 Sb., o</w:t>
      </w:r>
      <w:r>
        <w:t xml:space="preserve"> </w:t>
      </w:r>
      <w:r w:rsidRPr="005A3FCE">
        <w:t>působnosti orgánů České republiky ve věcech převodů majetku státu na jiné osoby a</w:t>
      </w:r>
      <w:r>
        <w:t xml:space="preserve"> </w:t>
      </w:r>
      <w:r w:rsidRPr="005A3FCE">
        <w:t>o</w:t>
      </w:r>
      <w:r>
        <w:t xml:space="preserve"> </w:t>
      </w:r>
      <w:r w:rsidRPr="005A3FCE">
        <w:t>Fondu národního majetku České republiky</w:t>
      </w:r>
      <w:r>
        <w:t>,</w:t>
      </w:r>
      <w:r w:rsidRPr="005A3FCE">
        <w:t xml:space="preserve"> </w:t>
      </w:r>
      <w:r>
        <w:t>ve znění pozdějších předpisů, jako právnická osoba podřízená Ministerstvu dopravy. Účelem Fondu je zabezpečit financování rozvoje, výstavby, údržby a modernizace silnic a dálnic a vnitrozemských vodních a železničních dopravních cest. Kromě vlastního financování výstavby a údržby Fond poskytuje příspěvky na průzkumné a projektové práce a studijní a expertní činnosti zaměřené na dopravní infrastrukturu.</w:t>
      </w:r>
    </w:p>
    <w:p w:rsidR="00700A53" w:rsidRDefault="00700A53" w:rsidP="00800161">
      <w:pPr>
        <w:spacing w:before="60" w:line="360" w:lineRule="auto"/>
        <w:ind w:firstLine="426"/>
        <w:jc w:val="both"/>
      </w:pPr>
      <w:r>
        <w:t xml:space="preserve">Ze všech státních fondů SFDI trvale realizuje nejvyšší objem příjmů i výdajů. Jeho očekávané příjmy v roce 2014 </w:t>
      </w:r>
      <w:r w:rsidRPr="00D511D3">
        <w:t>budou o</w:t>
      </w:r>
      <w:r>
        <w:t xml:space="preserve"> 11,22 mld. Kč vyšší, než předpokládal schválený rozpočet, a dosáhnou 68,21 mld. Kč. Většina příjmů</w:t>
      </w:r>
      <w:r w:rsidRPr="00AB5B2F">
        <w:rPr>
          <w:b/>
        </w:rPr>
        <w:t xml:space="preserve"> </w:t>
      </w:r>
      <w:r>
        <w:t xml:space="preserve">(62,1 %) je </w:t>
      </w:r>
      <w:r w:rsidRPr="00105C42">
        <w:t>tvořen</w:t>
      </w:r>
      <w:r>
        <w:t>a</w:t>
      </w:r>
      <w:r w:rsidRPr="00105C42">
        <w:t xml:space="preserve"> dotacemi</w:t>
      </w:r>
      <w:r w:rsidRPr="00FC5D8A">
        <w:t>;</w:t>
      </w:r>
      <w:r>
        <w:t xml:space="preserve"> očekávané investiční dotace ze státního rozpočtu </w:t>
      </w:r>
      <w:r w:rsidRPr="00732618">
        <w:t xml:space="preserve">budou </w:t>
      </w:r>
      <w:r w:rsidRPr="004435CC">
        <w:t>o téměř 8 mld. Kč vyšší, než bylo původně rozpočtováno, a také běžné dotace budou o více než 2 mld. Kč vyšší.</w:t>
      </w:r>
    </w:p>
    <w:p w:rsidR="00700A53" w:rsidRDefault="00700A53" w:rsidP="00800161">
      <w:pPr>
        <w:pStyle w:val="Standardnstyl"/>
      </w:pPr>
      <w:r>
        <w:t xml:space="preserve">Příjmy, mající povahu daní a poplatků, se skládají z výnosů ze silniční daně, spotřební daně z minerálních </w:t>
      </w:r>
      <w:r w:rsidRPr="00177E35">
        <w:t xml:space="preserve">olejů </w:t>
      </w:r>
      <w:r w:rsidRPr="00675719">
        <w:t>(</w:t>
      </w:r>
      <w:r w:rsidRPr="00535D42">
        <w:t>9,1</w:t>
      </w:r>
      <w:r w:rsidRPr="00675719">
        <w:t xml:space="preserve"> %</w:t>
      </w:r>
      <w:r>
        <w:t xml:space="preserve"> celostátního hrubého výnosu) a z poplatků za užívání dálnic a rychlostních silnic. Očekávané daňové příjmy Fondu v roce 2014 </w:t>
      </w:r>
      <w:r w:rsidRPr="00F74EB6">
        <w:t>činí</w:t>
      </w:r>
      <w:r>
        <w:t xml:space="preserve"> 12,20 mld. Kč, jsou o 0,30 mld. Kč nižší než ve schváleném rozpočtu a tvoří pouze 17,9 % z celkových příjmů.</w:t>
      </w:r>
    </w:p>
    <w:p w:rsidR="00700A53" w:rsidRDefault="00700A53" w:rsidP="00463A78">
      <w:pPr>
        <w:pStyle w:val="Standardnstyl"/>
      </w:pPr>
      <w:r w:rsidRPr="00675719">
        <w:t>Od roku 2008 jsou na straně příjmů rozpočtovány veškeré výnosy a na straně výdajů veškeré náklady související s vydáváním a prodejem dálničních kupónů (agenda převzatá od Ministerstva financí), zatímco do roku 2007 byly u dálničních kupónů na straně příjmů rozpočtovány pouze výnosy očištěné o náklady spojené s</w:t>
      </w:r>
      <w:r>
        <w:t xml:space="preserve"> </w:t>
      </w:r>
      <w:r w:rsidRPr="00675719">
        <w:t xml:space="preserve">distribucí a na straně výdajů pouze náklady spojené s jejich výrobou. Tyto příjmy </w:t>
      </w:r>
      <w:r w:rsidRPr="00105C42">
        <w:t xml:space="preserve">budou </w:t>
      </w:r>
      <w:r w:rsidRPr="00E85760">
        <w:t>činit</w:t>
      </w:r>
      <w:r>
        <w:t xml:space="preserve"> 3,95 mld</w:t>
      </w:r>
      <w:r w:rsidRPr="00675719">
        <w:t>.</w:t>
      </w:r>
      <w:r>
        <w:t xml:space="preserve"> Kč, což je </w:t>
      </w:r>
      <w:r w:rsidRPr="001E050B">
        <w:t xml:space="preserve">o 0,15 </w:t>
      </w:r>
      <w:r w:rsidRPr="0085228C">
        <w:t xml:space="preserve">mld. Kč </w:t>
      </w:r>
      <w:r>
        <w:t xml:space="preserve">méně, než předpokládal schválený rozpočet. </w:t>
      </w:r>
      <w:r w:rsidRPr="00675719">
        <w:t>Z</w:t>
      </w:r>
      <w:r>
        <w:t xml:space="preserve"> </w:t>
      </w:r>
      <w:r w:rsidRPr="00675719">
        <w:t xml:space="preserve">rozpočtu </w:t>
      </w:r>
      <w:r>
        <w:t>S</w:t>
      </w:r>
      <w:r w:rsidRPr="00675719">
        <w:t>F</w:t>
      </w:r>
      <w:r>
        <w:t>DI</w:t>
      </w:r>
      <w:r w:rsidRPr="00675719">
        <w:t xml:space="preserve"> jsou hrazeny náklady na </w:t>
      </w:r>
      <w:r w:rsidRPr="005418EF">
        <w:t>zavedení a</w:t>
      </w:r>
      <w:r w:rsidRPr="00675719">
        <w:t xml:space="preserve"> provozování systému elektronického mýtného</w:t>
      </w:r>
      <w:r>
        <w:t xml:space="preserve">, jehož očekávaná výše inkasa </w:t>
      </w:r>
      <w:r w:rsidRPr="00105C42">
        <w:t xml:space="preserve">činí </w:t>
      </w:r>
      <w:r w:rsidRPr="009376D9">
        <w:t>8,35</w:t>
      </w:r>
      <w:r w:rsidRPr="00E85760">
        <w:t xml:space="preserve"> </w:t>
      </w:r>
      <w:r w:rsidRPr="00F64515">
        <w:t>mld.</w:t>
      </w:r>
      <w:r w:rsidRPr="00105C42">
        <w:t xml:space="preserve"> Kč</w:t>
      </w:r>
      <w:r>
        <w:t xml:space="preserve">, což je oproti schválenému rozpočtu o </w:t>
      </w:r>
      <w:r w:rsidRPr="009376D9">
        <w:t>0,35 mld. Kč více</w:t>
      </w:r>
      <w:r w:rsidRPr="00732618">
        <w:t>.</w:t>
      </w:r>
      <w:r>
        <w:t xml:space="preserve"> V</w:t>
      </w:r>
      <w:r w:rsidRPr="00675719">
        <w:t>ýnos</w:t>
      </w:r>
      <w:r>
        <w:t>y</w:t>
      </w:r>
      <w:r w:rsidRPr="00675719">
        <w:t xml:space="preserve"> z</w:t>
      </w:r>
      <w:r>
        <w:t>e</w:t>
      </w:r>
      <w:r w:rsidRPr="00675719">
        <w:t xml:space="preserve"> zpoplatnění užívání pozemních komunikací</w:t>
      </w:r>
      <w:r>
        <w:t xml:space="preserve">, tj. časový poplatek v podobě dálničního kupónu a elektronické mýtné, </w:t>
      </w:r>
      <w:r w:rsidRPr="00675719">
        <w:t>jsou součástí nedaňových příjmů</w:t>
      </w:r>
      <w:r>
        <w:t xml:space="preserve"> Fondu.</w:t>
      </w:r>
    </w:p>
    <w:p w:rsidR="00700A53" w:rsidRDefault="00700A53" w:rsidP="00463A78">
      <w:pPr>
        <w:pStyle w:val="Standardnstyl"/>
      </w:pPr>
      <w:r>
        <w:t xml:space="preserve">SFDI předpokládá v roce 2014 výdaje ve výši 71,47 mld. Kč, které budou použity k financování rozvoje, výstavby a údržby </w:t>
      </w:r>
      <w:r w:rsidRPr="00140717">
        <w:t>in</w:t>
      </w:r>
      <w:r>
        <w:t xml:space="preserve">frastruktury. Ve srovnání se schváleným rozpočtem jsou jeho očekávané výdaje </w:t>
      </w:r>
      <w:r w:rsidRPr="00A43999">
        <w:t>o</w:t>
      </w:r>
      <w:r>
        <w:t xml:space="preserve"> 14,47</w:t>
      </w:r>
      <w:r w:rsidRPr="00CD335F">
        <w:rPr>
          <w:color w:val="FFFFFF"/>
        </w:rPr>
        <w:t xml:space="preserve"> </w:t>
      </w:r>
      <w:r>
        <w:t xml:space="preserve">mld. Kč vyšší. Z poslání Fondu vyplývá, že jeho výdaje jsou realizovány především jako dotace příspěvkovým organizacím a podnikatelským subjektům na investiční akce. Největší část je určena na transfery Ředitelství silnic a dálnic. Nicméně i kraje a obce z těchto prostředků financují opravy </w:t>
      </w:r>
      <w:r w:rsidRPr="00105C42">
        <w:t>silnic druhé a</w:t>
      </w:r>
      <w:r>
        <w:t xml:space="preserve"> </w:t>
      </w:r>
      <w:r w:rsidRPr="00105C42">
        <w:t xml:space="preserve">třetí třídy, </w:t>
      </w:r>
      <w:r>
        <w:t xml:space="preserve">údržbu </w:t>
      </w:r>
      <w:r w:rsidRPr="00105C42">
        <w:t>cyklistických stezek, projektovou dokumentaci a</w:t>
      </w:r>
      <w:r>
        <w:t xml:space="preserve"> bezpečnost silničního provozu.</w:t>
      </w:r>
    </w:p>
    <w:p w:rsidR="00700A53" w:rsidRDefault="00700A53" w:rsidP="00800161">
      <w:pPr>
        <w:spacing w:before="60" w:line="360" w:lineRule="auto"/>
        <w:ind w:firstLine="426"/>
        <w:jc w:val="both"/>
      </w:pPr>
      <w:r>
        <w:t>Výdaje Fondu meziročně vzrostou, přičemž výše příjmů jejich růst přibližně kopíruje. Nicméně i tento vývoj zapříčiní schodkové hospodaření Fondu, který tak na rozdíl od schváleného vyrovnaného rozpočtu očekává v roce 2014 deficit ve výši 3,26 mld. Kč.</w:t>
      </w:r>
    </w:p>
    <w:p w:rsidR="00700A53" w:rsidRDefault="00700A53" w:rsidP="00800161">
      <w:pPr>
        <w:spacing w:before="60" w:line="360" w:lineRule="auto"/>
        <w:ind w:firstLine="426"/>
        <w:jc w:val="both"/>
      </w:pPr>
      <w:r>
        <w:t xml:space="preserve">V roce 2015 se ve srovnání s rokem 2014 </w:t>
      </w:r>
      <w:r w:rsidRPr="0035195D">
        <w:t xml:space="preserve">předpokládají </w:t>
      </w:r>
      <w:r>
        <w:t>nižší</w:t>
      </w:r>
      <w:r w:rsidRPr="0035195D">
        <w:t xml:space="preserve"> celkové příjmy</w:t>
      </w:r>
      <w:r>
        <w:t xml:space="preserve"> i</w:t>
      </w:r>
      <w:r w:rsidRPr="0035195D">
        <w:t xml:space="preserve"> výdaje</w:t>
      </w:r>
      <w:r>
        <w:t xml:space="preserve"> a r</w:t>
      </w:r>
      <w:r w:rsidRPr="0035195D">
        <w:t xml:space="preserve">ozpočet je </w:t>
      </w:r>
      <w:r>
        <w:t xml:space="preserve">tak </w:t>
      </w:r>
      <w:r w:rsidRPr="0035195D">
        <w:t xml:space="preserve">sestaven jako </w:t>
      </w:r>
      <w:r w:rsidRPr="00C22605">
        <w:t xml:space="preserve">vyrovnaný </w:t>
      </w:r>
      <w:r w:rsidRPr="000E7F33">
        <w:t>v souladu s výdajovým rámcem na rok 2015.</w:t>
      </w:r>
      <w:r w:rsidRPr="0035195D">
        <w:t xml:space="preserve"> Příjmy </w:t>
      </w:r>
      <w:r w:rsidRPr="00C22605">
        <w:t>i výdaje</w:t>
      </w:r>
      <w:r>
        <w:t xml:space="preserve"> </w:t>
      </w:r>
      <w:r w:rsidRPr="0035195D">
        <w:t xml:space="preserve">Fondu budou činit </w:t>
      </w:r>
      <w:r>
        <w:t>49,83</w:t>
      </w:r>
      <w:r w:rsidRPr="0035195D">
        <w:t xml:space="preserve"> mld. Kč, přičemž </w:t>
      </w:r>
      <w:r>
        <w:t>na příjmové straně budou opět dominovat</w:t>
      </w:r>
      <w:r w:rsidRPr="0035195D">
        <w:t xml:space="preserve"> dotace v</w:t>
      </w:r>
      <w:r>
        <w:t xml:space="preserve"> </w:t>
      </w:r>
      <w:r w:rsidRPr="0035195D">
        <w:t xml:space="preserve">celkové výši </w:t>
      </w:r>
      <w:r>
        <w:t>24,93</w:t>
      </w:r>
      <w:r w:rsidRPr="0035195D">
        <w:t xml:space="preserve"> mld. Kč</w:t>
      </w:r>
      <w:r>
        <w:t>. Vzhledem k zaměření Fondu budou i nadále relevantní výdaje kapitálového charakteru (23,28 mld. Kč); součet celkových dotací a běžných výdajových transferů dosáhne 28,27 mld. Kč. Nejvíce prostředků je rozpočtováno na financování výstavby, modernizaci, opravy a údržbu silnic a dálnic</w:t>
      </w:r>
      <w:r w:rsidRPr="001B5221">
        <w:t>;</w:t>
      </w:r>
      <w:r>
        <w:t xml:space="preserve"> druhá nejvyšší částka směřuje do celostátních a regionálních drah. V roce 2015 nebudou Fondu přiděleny dostatečné prostředky na spolufinancování</w:t>
      </w:r>
      <w:r w:rsidRPr="005418EF">
        <w:t xml:space="preserve"> Operačního programu </w:t>
      </w:r>
      <w:r w:rsidRPr="0008652C">
        <w:rPr>
          <w:i/>
        </w:rPr>
        <w:t>Doprava</w:t>
      </w:r>
      <w:r w:rsidRPr="005418EF">
        <w:t xml:space="preserve">. K financování dopravní infrastruktury </w:t>
      </w:r>
      <w:r>
        <w:t xml:space="preserve">se </w:t>
      </w:r>
      <w:r w:rsidRPr="005418EF">
        <w:t xml:space="preserve">tak dostatečně </w:t>
      </w:r>
      <w:r>
        <w:t>ne</w:t>
      </w:r>
      <w:r w:rsidRPr="005418EF">
        <w:t>využi</w:t>
      </w:r>
      <w:r>
        <w:t>jí</w:t>
      </w:r>
      <w:r w:rsidRPr="005418EF">
        <w:t xml:space="preserve"> potenciální zdroje z evropských fondů.</w:t>
      </w:r>
    </w:p>
    <w:p w:rsidR="00700A53" w:rsidRDefault="00700A53" w:rsidP="00463A78">
      <w:pPr>
        <w:pStyle w:val="Standardnstyl"/>
      </w:pPr>
      <w:r>
        <w:t>Silná závislost Fondu na dotacích představuje pro jeho další činnost významné riziko. Již nastavené výdajové programy Fond nedokáže pokrýt z vlastních zdrojů a jeho hospodaření se bez zapojení např. soukromých zdrojů financování stává zdrojem deficitů a růstu dluhu veřejných financí, a to již v krátkém období. Případné zapojení soukromých zdrojů do financování výstavby dopravní infrastruktury by umožnilo rozložit výdaje v čase. Na druhé straně je oproti standardní formě financování investičních projektů, tj. z vlastních zdrojů Fondu, jejich zapojení spojeno s rizikem možného nárůstu implicitních podmíněných závazků vlády.</w:t>
      </w:r>
    </w:p>
    <w:p w:rsidR="00700A53" w:rsidRDefault="00700A53" w:rsidP="003B5141">
      <w:pPr>
        <w:pStyle w:val="Caption"/>
      </w:pPr>
      <w:r w:rsidRPr="00E44597">
        <w:rPr>
          <w:lang w:val="pl-PL"/>
        </w:rPr>
        <w:t xml:space="preserve">Tabulka </w:t>
      </w:r>
      <w:r>
        <w:rPr>
          <w:lang w:val="pl-PL"/>
        </w:rPr>
        <w:t xml:space="preserve">č. </w:t>
      </w:r>
      <w:r w:rsidRPr="00E44597">
        <w:rPr>
          <w:lang w:val="pl-PL"/>
        </w:rPr>
        <w:fldChar w:fldCharType="begin" w:fldLock="1"/>
      </w:r>
      <w:r w:rsidRPr="00E44597">
        <w:rPr>
          <w:lang w:val="pl-PL"/>
        </w:rPr>
        <w:instrText xml:space="preserve"> SEQ Tabulka \* ARABIC </w:instrText>
      </w:r>
      <w:r w:rsidRPr="00E44597">
        <w:rPr>
          <w:lang w:val="pl-PL"/>
        </w:rPr>
        <w:fldChar w:fldCharType="separate"/>
      </w:r>
      <w:r>
        <w:rPr>
          <w:noProof/>
          <w:lang w:val="pl-PL"/>
        </w:rPr>
        <w:t>11</w:t>
      </w:r>
      <w:r w:rsidRPr="00E44597">
        <w:rPr>
          <w:lang w:val="pl-PL"/>
        </w:rPr>
        <w:fldChar w:fldCharType="end"/>
      </w:r>
      <w:r>
        <w:t xml:space="preserve">: </w:t>
      </w:r>
      <w:r w:rsidRPr="00E44597">
        <w:rPr>
          <w:lang w:val="pl-PL"/>
        </w:rPr>
        <w:t xml:space="preserve">Bilance Státního fondu dopravní infrastruktury v mld. </w:t>
      </w:r>
      <w:r>
        <w:t>Kč</w:t>
      </w:r>
    </w:p>
    <w:p w:rsidR="00700A53" w:rsidRDefault="00700A53" w:rsidP="00256D4F">
      <w:pPr>
        <w:pStyle w:val="graftab"/>
      </w:pPr>
      <w:r>
        <w:pict>
          <v:shape id="_x0000_i1040" type="#_x0000_t75" style="width:451.2pt;height:520.8pt">
            <v:imagedata r:id="rId33" o:title=""/>
          </v:shape>
        </w:pict>
      </w:r>
      <w:r w:rsidRPr="00523677">
        <w:t xml:space="preserve">Pramen: </w:t>
      </w:r>
      <w:r>
        <w:t>Ministerstvo financí ČR, SFDI</w:t>
      </w:r>
    </w:p>
    <w:p w:rsidR="00700A53" w:rsidRDefault="00700A53" w:rsidP="00463A78">
      <w:pPr>
        <w:pStyle w:val="Standardnstyl"/>
      </w:pPr>
    </w:p>
    <w:p w:rsidR="00700A53" w:rsidRDefault="00700A53" w:rsidP="00463A78">
      <w:pPr>
        <w:pStyle w:val="Standardnstyl"/>
      </w:pPr>
    </w:p>
    <w:p w:rsidR="00700A53" w:rsidRDefault="00700A53" w:rsidP="00463A78">
      <w:pPr>
        <w:pStyle w:val="Standardnstyl"/>
      </w:pPr>
    </w:p>
    <w:p w:rsidR="00700A53" w:rsidRDefault="00700A53" w:rsidP="00463A78">
      <w:pPr>
        <w:pStyle w:val="Standardnstyl"/>
      </w:pPr>
    </w:p>
    <w:p w:rsidR="00700A53" w:rsidRDefault="00700A53" w:rsidP="00463A78">
      <w:pPr>
        <w:pStyle w:val="Standardnstyl"/>
      </w:pPr>
    </w:p>
    <w:p w:rsidR="00700A53" w:rsidRPr="00F47AA3" w:rsidRDefault="00700A53" w:rsidP="00463A78">
      <w:pPr>
        <w:pStyle w:val="Standardnstyl"/>
      </w:pPr>
    </w:p>
    <w:p w:rsidR="00700A53" w:rsidRDefault="00700A53" w:rsidP="00044930">
      <w:pPr>
        <w:sectPr w:rsidR="00700A53">
          <w:headerReference w:type="first" r:id="rId34"/>
          <w:type w:val="continuous"/>
          <w:pgSz w:w="11906" w:h="16838"/>
          <w:pgMar w:top="1417" w:right="1417" w:bottom="1417" w:left="1417" w:header="708" w:footer="708" w:gutter="0"/>
          <w:cols w:space="708"/>
          <w:docGrid w:linePitch="360"/>
        </w:sectPr>
      </w:pPr>
      <w:bookmarkStart w:id="54" w:name="_Toc112674753"/>
      <w:bookmarkEnd w:id="36"/>
      <w:bookmarkEnd w:id="37"/>
    </w:p>
    <w:p w:rsidR="00700A53" w:rsidRDefault="00700A53" w:rsidP="00EF4813">
      <w:pPr>
        <w:pStyle w:val="Heading3"/>
        <w:spacing w:before="0" w:after="0"/>
      </w:pPr>
      <w:bookmarkStart w:id="55" w:name="_Toc396827499"/>
      <w:bookmarkEnd w:id="54"/>
      <w:r>
        <w:t>Státní fond rozvoje bydlení</w:t>
      </w:r>
      <w:bookmarkEnd w:id="55"/>
    </w:p>
    <w:p w:rsidR="00700A53" w:rsidRDefault="00700A53" w:rsidP="00EF4813">
      <w:pPr>
        <w:sectPr w:rsidR="00700A53">
          <w:type w:val="continuous"/>
          <w:pgSz w:w="11906" w:h="16838"/>
          <w:pgMar w:top="1417" w:right="1417" w:bottom="1417" w:left="1417" w:header="708" w:footer="708" w:gutter="0"/>
          <w:cols w:space="708"/>
          <w:docGrid w:linePitch="360"/>
        </w:sectPr>
      </w:pPr>
    </w:p>
    <w:p w:rsidR="00700A53" w:rsidRDefault="00700A53" w:rsidP="00EF4813">
      <w:pPr>
        <w:pStyle w:val="Standardnstyl"/>
        <w:spacing w:before="0"/>
      </w:pPr>
    </w:p>
    <w:p w:rsidR="00700A53" w:rsidRDefault="00700A53" w:rsidP="00EF4813">
      <w:pPr>
        <w:pStyle w:val="Standardnstyl"/>
        <w:spacing w:before="0"/>
        <w:rPr>
          <w:highlight w:val="red"/>
        </w:rPr>
      </w:pPr>
      <w:r>
        <w:t xml:space="preserve">Státní fond rozvoje bydlení (dále SFRB nebo v této kapitole Fond) vznikl v červenci 2000 jako jeden z nástrojů realizace státní bytové politiky. Byl zřízen zákonem č. 211/2000 Sb., o Státním fondu rozvoje bydlení a o </w:t>
      </w:r>
      <w:r w:rsidRPr="00341F0B">
        <w:t>změn</w:t>
      </w:r>
      <w:r>
        <w:t xml:space="preserve">ě zákona č. 171/1991 Sb., o působnosti orgánů České republiky ve věcech převodů majetku státu na jiné osoby a o Fondu národního majetku České republiky, ve znění pozdějších předpisů. </w:t>
      </w:r>
    </w:p>
    <w:p w:rsidR="00700A53" w:rsidRDefault="00700A53" w:rsidP="003B5141">
      <w:pPr>
        <w:pStyle w:val="Standardnstyl"/>
      </w:pPr>
      <w:r>
        <w:t>Stěžejním posláním SFRB je vytvářet a akumulovat finanční zdroje určené pro podporu bydlení a používat je v souladu se zákonem. Fondové hospodaření by mělo podle záměru vlády umožnit průběžné vynakládání prostředků a zajistit, aby žadatelé o podporu měli možnost čerpat prostředky schválené v rámci vypsaných programů bez ohledu na roční rozpočtový cyklus. Ke splnění svých cílů využívá SFRB celou řadu nástrojů (poskytnuté úvěry, úrokové dotace, záruky za splácení úvěrů), přičemž trendem posledních let je přechod od poskytování nenávratných dotací k poskytování návratných forem podpory a používání vrácených prostředků k opětovnému použití. Tento záměr je v souladu s Koncepcí bydlení do roku 2020, schválené vládním usnesením č. 524 ze dne 13. července 2011, a v podstatě znamená přechod k revolvingovému hospodaření Fondu.</w:t>
      </w:r>
    </w:p>
    <w:p w:rsidR="00700A53" w:rsidRDefault="00700A53" w:rsidP="003B5141">
      <w:pPr>
        <w:pStyle w:val="Standardnstyl"/>
      </w:pPr>
      <w:r>
        <w:t xml:space="preserve">Pro politiku Fondu jsou charakteristické dlouhodobé závazkové vztahy. V rámci programů </w:t>
      </w:r>
      <w:r w:rsidRPr="004C5A2E">
        <w:rPr>
          <w:i/>
        </w:rPr>
        <w:t xml:space="preserve">Panel </w:t>
      </w:r>
      <w:r>
        <w:t xml:space="preserve">a </w:t>
      </w:r>
      <w:r w:rsidRPr="004C5A2E">
        <w:rPr>
          <w:i/>
        </w:rPr>
        <w:t>Nový panel</w:t>
      </w:r>
      <w:r>
        <w:t xml:space="preserve"> bude probíhat výplata úrokových dotací ze smluv uzavřených v letech 2001–2011 až do roku 2026. Poskytnuté finanční prostředky jsou určeny ke krytí úroků z bankovních úvěrů, které získají fyzické i právnické osoby na rekonstrukce a modernizace bytových domů. Nové žádosti o podporu ve formě úrokové dotace z těchto programů Fond již nepřijímá od roku 2011 s ohledem na omezení zdrojů ze státního rozpočtu a výše popsanou změnu strategie podpory. Obdobně byla ukončena také podpora mladým lidem na výstavbu nebo pořízení bydlení formou snížení jistiny úvěru při narození dítěte s tím, že SFRB má povinnost dostát svým závazkům z již uzavřených smluv. To představuje potřebu zajištění finančních prostředků i v příštích letech. </w:t>
      </w:r>
    </w:p>
    <w:p w:rsidR="00700A53" w:rsidRDefault="00700A53" w:rsidP="003B5141">
      <w:pPr>
        <w:pStyle w:val="Standardnstyl"/>
      </w:pPr>
      <w:r>
        <w:t xml:space="preserve">Aktuálně otevřené (ve smyslu přijímání nových žádostí) formy podpory mají podobu úvěrů na výstavbu nájemních bytů, úvěrů na opravy a modernizace domů, záruk za splácení úvěrů na výstavbu nájemních domů, úvěrů obcím na opravy a modernizace bytového fondu a úvěrů poskytovaných v rámci povodňových programů. Z výčtu těchto kategorií je zřejmé, že se Fond snaží kromě v minulosti podporovaného vlastnického bydlení posílit programy na podporu výstavby a rekonstrukce nájemních bytů. Tento posun souvisí se zmíněnou vládní Koncepcí bydlení přijatou v roce 2011. </w:t>
      </w:r>
    </w:p>
    <w:p w:rsidR="00700A53" w:rsidRDefault="00700A53" w:rsidP="003B5141">
      <w:pPr>
        <w:pStyle w:val="Standardnstyl"/>
      </w:pPr>
      <w:r>
        <w:t>SFRB v posledních letech čerpá na financování své činnosti vlastní finanční prostředky. Na poskytování nenávratných dotací má Fond zákonný nárok čerpat každoročně dotaci ze státního rozpočtu. Podmínkou úspěšnosti nové státní bytové politiky je kromě maximálního zapojení vlastních aktiv SFRB v rámci revolvingového hospodaření i záměr využívat další mimorozpočtové finanční zdroje, především finanční prostředky z EU.</w:t>
      </w:r>
    </w:p>
    <w:p w:rsidR="00700A53" w:rsidRDefault="00700A53" w:rsidP="00463A78">
      <w:pPr>
        <w:pStyle w:val="Standardnstyl"/>
      </w:pPr>
      <w:r>
        <w:t>V roce 2014 by celkové příjmy Fondu měly dosáhnout 0,12 mld. Kč a budou tak o 0,01 mld. Kč nižší, než předpokládala rozpočtová dokumentace. Výdaje se v roce 2014 očekávají v rozpočtované výši a dosáhnou tedy částky 1,19 mld. Kč. Běžné transfery se meziročně nepatrně sníží na úroveň 0,41 mld. Kč. Nejvýznamnější část příjmů tvoří příjmy z úroků (0,11 mld. Kč). Hospodaření SFRB v roce 2014 skončí předpokládaným deficitem 1,08 mld. Kč, tzn. o 0,01 mld. Kč vyšším, než bylo rozpočtováno. Konečný stav peněžních prostředků Fondu by měl na konci roku 2014 činit 7,98 mld. Kč.</w:t>
      </w:r>
    </w:p>
    <w:p w:rsidR="00700A53" w:rsidRPr="008D533A" w:rsidRDefault="00700A53" w:rsidP="00463A78">
      <w:pPr>
        <w:pStyle w:val="Standardnstyl"/>
      </w:pPr>
      <w:r w:rsidRPr="008D533A">
        <w:t>Z návrhu rozpočtu SFRB pro rok 201</w:t>
      </w:r>
      <w:r>
        <w:t>5</w:t>
      </w:r>
      <w:r w:rsidRPr="008D533A">
        <w:t xml:space="preserve"> vyplývá, že se meziročně </w:t>
      </w:r>
      <w:r w:rsidRPr="00C91BDC">
        <w:t>sníží</w:t>
      </w:r>
      <w:r w:rsidRPr="008D533A">
        <w:t xml:space="preserve"> objem jeho příjmů </w:t>
      </w:r>
      <w:r w:rsidRPr="00C91BDC">
        <w:t>i</w:t>
      </w:r>
      <w:r w:rsidRPr="008D533A">
        <w:t xml:space="preserve"> výdajů</w:t>
      </w:r>
      <w:r>
        <w:t>,</w:t>
      </w:r>
      <w:r w:rsidRPr="008D533A">
        <w:t xml:space="preserve"> deficit</w:t>
      </w:r>
      <w:r>
        <w:t xml:space="preserve"> rovněž</w:t>
      </w:r>
      <w:r w:rsidRPr="00C91BDC">
        <w:t xml:space="preserve"> mírně </w:t>
      </w:r>
      <w:r>
        <w:t>poklesne</w:t>
      </w:r>
      <w:r w:rsidRPr="00C91BDC">
        <w:t>.</w:t>
      </w:r>
      <w:r w:rsidRPr="008D533A">
        <w:t xml:space="preserve"> Celkové příjmy dosáhnou </w:t>
      </w:r>
      <w:r>
        <w:t>0,10</w:t>
      </w:r>
      <w:r w:rsidRPr="008D533A">
        <w:t xml:space="preserve"> mld. Kč a výdaje </w:t>
      </w:r>
      <w:r>
        <w:t>1,15 </w:t>
      </w:r>
      <w:r w:rsidRPr="008D533A">
        <w:t xml:space="preserve">mld. Kč. </w:t>
      </w:r>
      <w:r>
        <w:t>Jak bylo výše uvedeno, n</w:t>
      </w:r>
      <w:r w:rsidRPr="008D533A">
        <w:t>a smlouvy uzavřené od roku 2011 již SFRB neposkytuje nenávratné formy podpory na bydlení (přímé ani úrokové dotace) a nové po</w:t>
      </w:r>
      <w:r>
        <w:t xml:space="preserve">dpory jsou poskytovány pouze ve </w:t>
      </w:r>
      <w:r w:rsidRPr="008D533A">
        <w:t>formě úvěrů a</w:t>
      </w:r>
      <w:r>
        <w:t xml:space="preserve"> </w:t>
      </w:r>
      <w:r w:rsidRPr="008D533A">
        <w:t>ručení za splácení komerčních úvěrů, což s sebou přináší relativně nižší zatížení veřejných roz</w:t>
      </w:r>
      <w:r>
        <w:t xml:space="preserve">počtů. Jeho další financování z </w:t>
      </w:r>
      <w:r w:rsidRPr="008D533A">
        <w:t>veřejn</w:t>
      </w:r>
      <w:r>
        <w:t xml:space="preserve">ých rozpočtů je v souvislosti s </w:t>
      </w:r>
      <w:r w:rsidRPr="008D533A">
        <w:t>nezbytností konsolidace veřejných financí nanejvýš nežádoucí.</w:t>
      </w:r>
    </w:p>
    <w:p w:rsidR="00700A53" w:rsidRDefault="00700A53" w:rsidP="00463A78">
      <w:pPr>
        <w:pStyle w:val="Standardnstyl"/>
      </w:pPr>
      <w:r w:rsidRPr="008D533A">
        <w:t>Hospodaření SFRB skončí v</w:t>
      </w:r>
      <w:r>
        <w:t xml:space="preserve"> </w:t>
      </w:r>
      <w:r w:rsidRPr="008D533A">
        <w:t>roce 201</w:t>
      </w:r>
      <w:r>
        <w:t>5</w:t>
      </w:r>
      <w:r w:rsidRPr="008D533A">
        <w:t xml:space="preserve"> </w:t>
      </w:r>
      <w:r w:rsidRPr="00530226">
        <w:t>deficitem</w:t>
      </w:r>
      <w:r>
        <w:t xml:space="preserve"> 1,05 mld. Kč. </w:t>
      </w:r>
      <w:r w:rsidRPr="0021387C">
        <w:t>Ten bude zčásti profinancován použitím zůstatku finančních prostředků z</w:t>
      </w:r>
      <w:r>
        <w:t xml:space="preserve"> </w:t>
      </w:r>
      <w:r w:rsidRPr="0021387C">
        <w:t>roku</w:t>
      </w:r>
      <w:r>
        <w:t xml:space="preserve"> </w:t>
      </w:r>
      <w:r w:rsidRPr="0021387C">
        <w:t>201</w:t>
      </w:r>
      <w:r>
        <w:t>4</w:t>
      </w:r>
      <w:r w:rsidRPr="0021387C">
        <w:t>.</w:t>
      </w:r>
      <w:r>
        <w:t xml:space="preserve"> Rozpočtovaný konečný stav peněžních zdrojů k 31. 12. 2015 se očekává na úrovni 6,55 mld. Kč.</w:t>
      </w:r>
    </w:p>
    <w:p w:rsidR="00700A53" w:rsidRPr="00246E1C" w:rsidRDefault="00700A53" w:rsidP="00463A78">
      <w:pPr>
        <w:pStyle w:val="Standardnstyl"/>
      </w:pPr>
    </w:p>
    <w:p w:rsidR="00700A53" w:rsidRDefault="00700A53" w:rsidP="003B5141">
      <w:pPr>
        <w:pStyle w:val="Caption"/>
        <w:spacing w:before="0" w:after="0" w:line="360" w:lineRule="auto"/>
      </w:pPr>
      <w:r>
        <w:t xml:space="preserve">Tabulka č. </w:t>
      </w:r>
      <w:fldSimple w:instr=" SEQ Tabulka \* ARABIC " w:fldLock="1">
        <w:r>
          <w:rPr>
            <w:noProof/>
          </w:rPr>
          <w:t>12</w:t>
        </w:r>
      </w:fldSimple>
      <w:r>
        <w:rPr>
          <w:noProof/>
        </w:rPr>
        <w:t xml:space="preserve">: </w:t>
      </w:r>
      <w:r>
        <w:t>Bilance Státního fondu rozvoje bydlení v mld. Kč</w:t>
      </w:r>
    </w:p>
    <w:p w:rsidR="00700A53" w:rsidRDefault="00700A53" w:rsidP="00256D4F">
      <w:pPr>
        <w:pStyle w:val="graftab"/>
      </w:pPr>
      <w:r>
        <w:pict>
          <v:shape id="_x0000_i1041" type="#_x0000_t75" style="width:445.8pt;height:526.8pt">
            <v:imagedata r:id="rId35" o:title=""/>
          </v:shape>
        </w:pict>
      </w:r>
      <w:r w:rsidRPr="003F2429">
        <w:t xml:space="preserve">Pramen: </w:t>
      </w:r>
      <w:r>
        <w:t>Ministerstvo financí ČR, SFRB</w:t>
      </w:r>
    </w:p>
    <w:p w:rsidR="00700A53" w:rsidRDefault="00700A53" w:rsidP="00FC7B4C">
      <w:pPr>
        <w:pStyle w:val="Standardnstyl"/>
        <w:spacing w:before="0"/>
        <w:ind w:firstLine="425"/>
      </w:pPr>
    </w:p>
    <w:p w:rsidR="00700A53" w:rsidRDefault="00700A53" w:rsidP="00FC7B4C">
      <w:pPr>
        <w:pStyle w:val="Standardnstyl"/>
        <w:spacing w:before="0"/>
        <w:ind w:firstLine="425"/>
      </w:pPr>
    </w:p>
    <w:p w:rsidR="00700A53" w:rsidRDefault="00700A53" w:rsidP="00FC7B4C">
      <w:pPr>
        <w:pStyle w:val="Standardnstyl"/>
        <w:spacing w:before="0"/>
        <w:ind w:firstLine="425"/>
      </w:pPr>
    </w:p>
    <w:p w:rsidR="00700A53" w:rsidRDefault="00700A53" w:rsidP="00FC7B4C">
      <w:pPr>
        <w:pStyle w:val="Standardnstyl"/>
        <w:spacing w:before="0"/>
        <w:ind w:firstLine="425"/>
      </w:pPr>
    </w:p>
    <w:p w:rsidR="00700A53" w:rsidRDefault="00700A53" w:rsidP="00FC7B4C">
      <w:pPr>
        <w:pStyle w:val="Standardnstyl"/>
        <w:spacing w:before="0"/>
        <w:ind w:firstLine="425"/>
      </w:pPr>
    </w:p>
    <w:p w:rsidR="00700A53" w:rsidRDefault="00700A53" w:rsidP="00FC7B4C">
      <w:pPr>
        <w:pStyle w:val="Standardnstyl"/>
        <w:spacing w:before="0"/>
        <w:ind w:firstLine="425"/>
      </w:pPr>
    </w:p>
    <w:p w:rsidR="00700A53" w:rsidRPr="008356D6" w:rsidRDefault="00700A53" w:rsidP="00FC7B4C">
      <w:pPr>
        <w:pStyle w:val="Standardnstyl"/>
        <w:spacing w:before="0"/>
        <w:ind w:firstLine="425"/>
      </w:pPr>
    </w:p>
    <w:p w:rsidR="00700A53" w:rsidRDefault="00700A53" w:rsidP="0026728D">
      <w:pPr>
        <w:sectPr w:rsidR="00700A53">
          <w:headerReference w:type="first" r:id="rId36"/>
          <w:type w:val="continuous"/>
          <w:pgSz w:w="11906" w:h="16838"/>
          <w:pgMar w:top="1417" w:right="1417" w:bottom="1417" w:left="1417" w:header="708" w:footer="708" w:gutter="0"/>
          <w:cols w:space="708"/>
          <w:docGrid w:linePitch="360"/>
        </w:sectPr>
      </w:pPr>
    </w:p>
    <w:p w:rsidR="00700A53" w:rsidRDefault="00700A53" w:rsidP="00256D4F">
      <w:pPr>
        <w:sectPr w:rsidR="00700A53">
          <w:type w:val="continuous"/>
          <w:pgSz w:w="11906" w:h="16838"/>
          <w:pgMar w:top="1417" w:right="1417" w:bottom="1417" w:left="1417" w:header="708" w:footer="708" w:gutter="0"/>
          <w:cols w:space="708"/>
          <w:docGrid w:linePitch="360"/>
        </w:sectPr>
      </w:pPr>
    </w:p>
    <w:p w:rsidR="00700A53" w:rsidRDefault="00700A53" w:rsidP="00781207">
      <w:pPr>
        <w:pStyle w:val="Heading3"/>
        <w:spacing w:before="0" w:after="0"/>
      </w:pPr>
      <w:bookmarkStart w:id="56" w:name="_Toc207011061"/>
      <w:bookmarkStart w:id="57" w:name="_Toc269750355"/>
      <w:bookmarkStart w:id="58" w:name="_Toc396827500"/>
      <w:r>
        <w:t>Státní zemědělský intervenční fond</w:t>
      </w:r>
      <w:bookmarkStart w:id="59" w:name="_Toc112674754"/>
      <w:bookmarkStart w:id="60" w:name="_Toc207011062"/>
      <w:bookmarkStart w:id="61" w:name="_Toc207011063"/>
      <w:bookmarkStart w:id="62" w:name="_Toc50797862"/>
      <w:bookmarkStart w:id="63" w:name="_Toc50966509"/>
      <w:bookmarkEnd w:id="56"/>
      <w:bookmarkEnd w:id="57"/>
      <w:bookmarkEnd w:id="58"/>
    </w:p>
    <w:p w:rsidR="00700A53" w:rsidRPr="00781207" w:rsidRDefault="00700A53" w:rsidP="00781207">
      <w:pPr>
        <w:pStyle w:val="Heading3"/>
        <w:numPr>
          <w:ilvl w:val="0"/>
          <w:numId w:val="0"/>
        </w:numPr>
        <w:tabs>
          <w:tab w:val="num" w:pos="709"/>
        </w:tabs>
        <w:spacing w:before="0" w:after="0"/>
        <w:ind w:left="284"/>
        <w:rPr>
          <w:rFonts w:ascii="Times New Roman" w:hAnsi="Times New Roman"/>
        </w:rPr>
      </w:pPr>
    </w:p>
    <w:p w:rsidR="00700A53" w:rsidRDefault="00700A53" w:rsidP="00781207">
      <w:pPr>
        <w:pStyle w:val="NormalWeb"/>
        <w:spacing w:before="0" w:after="0" w:line="360" w:lineRule="auto"/>
        <w:ind w:firstLine="539"/>
        <w:jc w:val="both"/>
        <w:rPr>
          <w:rFonts w:ascii="Times New Roman" w:hAnsi="Times New Roman"/>
        </w:rPr>
      </w:pPr>
      <w:r w:rsidRPr="00C622E4">
        <w:rPr>
          <w:rFonts w:ascii="Times New Roman" w:hAnsi="Times New Roman"/>
        </w:rPr>
        <w:t>Státní zemědělský intervenční fond (dále SZIF</w:t>
      </w:r>
      <w:r>
        <w:rPr>
          <w:rFonts w:ascii="Times New Roman" w:hAnsi="Times New Roman"/>
        </w:rPr>
        <w:t xml:space="preserve"> nebo </w:t>
      </w:r>
      <w:r w:rsidRPr="00986747">
        <w:rPr>
          <w:rFonts w:ascii="Times New Roman" w:hAnsi="Times New Roman"/>
        </w:rPr>
        <w:t xml:space="preserve">v této kapitole </w:t>
      </w:r>
      <w:r>
        <w:rPr>
          <w:rFonts w:ascii="Times New Roman" w:hAnsi="Times New Roman"/>
        </w:rPr>
        <w:t>Fond</w:t>
      </w:r>
      <w:r w:rsidRPr="00C622E4">
        <w:rPr>
          <w:rFonts w:ascii="Times New Roman" w:hAnsi="Times New Roman"/>
        </w:rPr>
        <w:t>) byl zřízen 11.</w:t>
      </w:r>
      <w:r>
        <w:rPr>
          <w:rFonts w:ascii="Times New Roman" w:hAnsi="Times New Roman"/>
        </w:rPr>
        <w:t xml:space="preserve"> 8. 2000 zákonem č. </w:t>
      </w:r>
      <w:r w:rsidRPr="00C622E4">
        <w:rPr>
          <w:rFonts w:ascii="Times New Roman" w:hAnsi="Times New Roman"/>
        </w:rPr>
        <w:t>256/2000</w:t>
      </w:r>
      <w:r>
        <w:rPr>
          <w:rFonts w:ascii="Times New Roman" w:hAnsi="Times New Roman"/>
        </w:rPr>
        <w:t xml:space="preserve"> </w:t>
      </w:r>
      <w:r w:rsidRPr="00C622E4">
        <w:rPr>
          <w:rFonts w:ascii="Times New Roman" w:hAnsi="Times New Roman"/>
        </w:rPr>
        <w:t>Sb., o Státním zemědělském intervenčním fondu</w:t>
      </w:r>
      <w:r>
        <w:rPr>
          <w:rFonts w:ascii="Times New Roman" w:hAnsi="Times New Roman"/>
        </w:rPr>
        <w:t xml:space="preserve"> a </w:t>
      </w:r>
      <w:r w:rsidRPr="00714879">
        <w:rPr>
          <w:rFonts w:ascii="Times New Roman" w:hAnsi="Times New Roman"/>
        </w:rPr>
        <w:t>o změně některých dalších zákonů</w:t>
      </w:r>
      <w:r w:rsidRPr="00C622E4">
        <w:rPr>
          <w:rFonts w:ascii="Times New Roman" w:hAnsi="Times New Roman"/>
        </w:rPr>
        <w:t>, kterým se řídí jeho činnost. SZIF je právnickou osobou,</w:t>
      </w:r>
      <w:r>
        <w:rPr>
          <w:rFonts w:ascii="Times New Roman" w:hAnsi="Times New Roman"/>
        </w:rPr>
        <w:t xml:space="preserve"> která náleží do působnosti Ministerstva zemědělství. Fond</w:t>
      </w:r>
      <w:r w:rsidRPr="00C622E4">
        <w:rPr>
          <w:rFonts w:ascii="Times New Roman" w:hAnsi="Times New Roman"/>
        </w:rPr>
        <w:t xml:space="preserve"> </w:t>
      </w:r>
      <w:r>
        <w:rPr>
          <w:rFonts w:ascii="Times New Roman" w:hAnsi="Times New Roman"/>
        </w:rPr>
        <w:t>představuje jeden z ekonomických nástrojů k plnění závazků vyplývajících ze Společné zemědělské politiky EU. SZIF je tvořen centrálním pracovištěm a sedmi regionálními odbory.</w:t>
      </w:r>
    </w:p>
    <w:p w:rsidR="00700A53" w:rsidRPr="00C622E4" w:rsidRDefault="00700A53" w:rsidP="002B6891">
      <w:pPr>
        <w:pStyle w:val="NormalWeb"/>
        <w:spacing w:before="0" w:after="0" w:line="360" w:lineRule="auto"/>
        <w:ind w:firstLine="539"/>
        <w:jc w:val="both"/>
        <w:rPr>
          <w:rFonts w:ascii="Times New Roman" w:hAnsi="Times New Roman"/>
        </w:rPr>
      </w:pPr>
      <w:r>
        <w:rPr>
          <w:rFonts w:ascii="Times New Roman" w:hAnsi="Times New Roman"/>
        </w:rPr>
        <w:t>SZIF je akreditovanou platební agenturou pro zprostředkování finanční podpory z EU a národních zdrojů. Dotace z EU jsou v rámci společné zemědělské politiky poskytovány z</w:t>
      </w:r>
      <w:r w:rsidRPr="00A56D5F">
        <w:t> </w:t>
      </w:r>
      <w:r>
        <w:rPr>
          <w:rFonts w:ascii="Times New Roman" w:hAnsi="Times New Roman"/>
        </w:rPr>
        <w:t xml:space="preserve">Evropského zemědělského záručního fondu (EAGF), a v rámci společné rybářské politiky z Evropského zemědělského fondu pro rozvoj venkova (EAFRD) a z Evropského námořního a rybářského fondu (EMFF), který je pokračovatelem Evropského rybářského fondu z programového období 2007 - 2013. </w:t>
      </w:r>
    </w:p>
    <w:p w:rsidR="00700A53" w:rsidRPr="00C622E4" w:rsidRDefault="00700A53" w:rsidP="00952D73">
      <w:pPr>
        <w:pStyle w:val="NormalWeb"/>
        <w:spacing w:before="0" w:after="0" w:line="360" w:lineRule="auto"/>
        <w:ind w:firstLine="539"/>
        <w:jc w:val="both"/>
        <w:rPr>
          <w:rFonts w:ascii="Times New Roman" w:hAnsi="Times New Roman"/>
        </w:rPr>
      </w:pPr>
      <w:r>
        <w:rPr>
          <w:rFonts w:ascii="Times New Roman" w:hAnsi="Times New Roman"/>
        </w:rPr>
        <w:t xml:space="preserve">Společná zemědělská politika sleduje cíle zabezpečení produktivity zemědělství, stabilizace trhu a podporuje zásadu finanční solidarity. V oblasti zemědělské politiky se čelí také novým výzvám, jako jsou zejména zajištění konkurenceschopnosti zemědělství, udržitelné hospodaření s přírodními zdroji a opatření v oblasti klimatu a dále vyvážený územní rozvoj. K naplnění těchto cílů slouží nástroje poskytování finanční podpory, kterou administruje SZIF. </w:t>
      </w:r>
      <w:r w:rsidRPr="00C622E4">
        <w:rPr>
          <w:rFonts w:ascii="Times New Roman" w:hAnsi="Times New Roman"/>
        </w:rPr>
        <w:t>Pilířem poskytovaných finančních podpor jsou přímé platby vyplácené na hektar obhospodařované plochy</w:t>
      </w:r>
      <w:r>
        <w:rPr>
          <w:rFonts w:ascii="Times New Roman" w:hAnsi="Times New Roman"/>
        </w:rPr>
        <w:t xml:space="preserve"> (SAPS), které mohou být dále dorovnávány z národních zdrojů</w:t>
      </w:r>
      <w:r w:rsidRPr="00C622E4">
        <w:rPr>
          <w:rFonts w:ascii="Times New Roman" w:hAnsi="Times New Roman"/>
        </w:rPr>
        <w:t>.</w:t>
      </w:r>
      <w:r>
        <w:rPr>
          <w:rFonts w:ascii="Times New Roman" w:hAnsi="Times New Roman"/>
        </w:rPr>
        <w:t xml:space="preserve"> Z Evropského zemědělského záručního fondu jsou také poskytovány prostředky v rámci </w:t>
      </w:r>
      <w:r w:rsidRPr="002201B8">
        <w:rPr>
          <w:rFonts w:ascii="Times New Roman" w:hAnsi="Times New Roman"/>
          <w:i/>
        </w:rPr>
        <w:t>Společné organizace trhu</w:t>
      </w:r>
      <w:r>
        <w:rPr>
          <w:rFonts w:ascii="Times New Roman" w:hAnsi="Times New Roman"/>
        </w:rPr>
        <w:t xml:space="preserve">. Tržní </w:t>
      </w:r>
      <w:r w:rsidRPr="00C622E4">
        <w:rPr>
          <w:rFonts w:ascii="Times New Roman" w:hAnsi="Times New Roman"/>
        </w:rPr>
        <w:t xml:space="preserve">opatření </w:t>
      </w:r>
      <w:r>
        <w:rPr>
          <w:rFonts w:ascii="Times New Roman" w:hAnsi="Times New Roman"/>
        </w:rPr>
        <w:t xml:space="preserve">v rámci </w:t>
      </w:r>
      <w:r w:rsidRPr="002201B8">
        <w:rPr>
          <w:rFonts w:ascii="Times New Roman" w:hAnsi="Times New Roman"/>
          <w:i/>
        </w:rPr>
        <w:t>Společné organizace trhu</w:t>
      </w:r>
      <w:r w:rsidRPr="006D3597">
        <w:rPr>
          <w:rFonts w:ascii="Times New Roman" w:hAnsi="Times New Roman"/>
        </w:rPr>
        <w:t xml:space="preserve"> </w:t>
      </w:r>
      <w:r>
        <w:rPr>
          <w:rFonts w:ascii="Times New Roman" w:hAnsi="Times New Roman"/>
        </w:rPr>
        <w:t>představují podporu zemědělským podnikatelům,</w:t>
      </w:r>
      <w:r w:rsidRPr="00514BE9">
        <w:rPr>
          <w:rFonts w:ascii="Times New Roman" w:hAnsi="Times New Roman"/>
        </w:rPr>
        <w:t xml:space="preserve"> </w:t>
      </w:r>
      <w:r w:rsidRPr="00C622E4">
        <w:rPr>
          <w:rFonts w:ascii="Times New Roman" w:hAnsi="Times New Roman"/>
        </w:rPr>
        <w:t>kter</w:t>
      </w:r>
      <w:r>
        <w:rPr>
          <w:rFonts w:ascii="Times New Roman" w:hAnsi="Times New Roman"/>
        </w:rPr>
        <w:t>á</w:t>
      </w:r>
      <w:r w:rsidRPr="00C622E4">
        <w:rPr>
          <w:rFonts w:ascii="Times New Roman" w:hAnsi="Times New Roman"/>
        </w:rPr>
        <w:t xml:space="preserve"> řeší výkyvy poptávky a</w:t>
      </w:r>
      <w:r>
        <w:rPr>
          <w:rFonts w:ascii="Times New Roman" w:hAnsi="Times New Roman"/>
        </w:rPr>
        <w:t xml:space="preserve"> </w:t>
      </w:r>
      <w:r w:rsidRPr="00C622E4">
        <w:rPr>
          <w:rFonts w:ascii="Times New Roman" w:hAnsi="Times New Roman"/>
        </w:rPr>
        <w:t>nabídky</w:t>
      </w:r>
      <w:r>
        <w:rPr>
          <w:rFonts w:ascii="Times New Roman" w:hAnsi="Times New Roman"/>
        </w:rPr>
        <w:t>. K tomu jsou využívány nástroje jako například produkční kvóty, intervenční nákupy nebo vývozní subvence ve vazbě na vývozní licence.</w:t>
      </w:r>
      <w:r w:rsidRPr="00C622E4">
        <w:rPr>
          <w:rFonts w:ascii="Times New Roman" w:hAnsi="Times New Roman"/>
        </w:rPr>
        <w:t xml:space="preserve"> Významnou finanční pomoc </w:t>
      </w:r>
      <w:r>
        <w:rPr>
          <w:rFonts w:ascii="Times New Roman" w:hAnsi="Times New Roman"/>
        </w:rPr>
        <w:t xml:space="preserve">nabízí </w:t>
      </w:r>
      <w:r w:rsidRPr="002201B8">
        <w:rPr>
          <w:rFonts w:ascii="Times New Roman" w:hAnsi="Times New Roman"/>
          <w:i/>
        </w:rPr>
        <w:t>Program rozvoje venkova</w:t>
      </w:r>
      <w:r>
        <w:rPr>
          <w:rFonts w:ascii="Times New Roman" w:hAnsi="Times New Roman"/>
        </w:rPr>
        <w:t xml:space="preserve"> (dále PRV), spuštěný již v roce 2007, který čerpá prostředky z EAFRD. SZIF administruje také dotace poskytované v rámci Operačního programu </w:t>
      </w:r>
      <w:r w:rsidRPr="00653292">
        <w:rPr>
          <w:rFonts w:ascii="Times New Roman" w:hAnsi="Times New Roman"/>
          <w:i/>
        </w:rPr>
        <w:t xml:space="preserve">Rybářství </w:t>
      </w:r>
      <w:r>
        <w:rPr>
          <w:rFonts w:ascii="Times New Roman" w:hAnsi="Times New Roman"/>
        </w:rPr>
        <w:t>financovaného z EMFF.</w:t>
      </w:r>
    </w:p>
    <w:p w:rsidR="00700A53" w:rsidRDefault="00700A53" w:rsidP="00463A78">
      <w:pPr>
        <w:pStyle w:val="Standardnstyl"/>
      </w:pPr>
      <w:r>
        <w:t>SZIF dále</w:t>
      </w:r>
      <w:r w:rsidRPr="00A56D5F">
        <w:t xml:space="preserve"> </w:t>
      </w:r>
      <w:r>
        <w:t>zajišťuje</w:t>
      </w:r>
      <w:r w:rsidRPr="00A56D5F">
        <w:t xml:space="preserve"> administraci vývozních a dovozních licencí,</w:t>
      </w:r>
      <w:r>
        <w:t xml:space="preserve"> záruk, systému produkčních kvót </w:t>
      </w:r>
      <w:r w:rsidRPr="00A56D5F">
        <w:t xml:space="preserve">a prémiových práv. </w:t>
      </w:r>
      <w:r>
        <w:t xml:space="preserve">V </w:t>
      </w:r>
      <w:r w:rsidRPr="00A56D5F">
        <w:t xml:space="preserve">rámci </w:t>
      </w:r>
      <w:r w:rsidRPr="00B96AC4">
        <w:rPr>
          <w:i/>
        </w:rPr>
        <w:t>Národního programu podpory potravin</w:t>
      </w:r>
      <w:r>
        <w:t xml:space="preserve"> provádí podporu marketingu</w:t>
      </w:r>
      <w:r w:rsidRPr="00A56D5F">
        <w:t xml:space="preserve"> domácích potravinářských produktů</w:t>
      </w:r>
      <w:r>
        <w:t xml:space="preserve"> a propagaci </w:t>
      </w:r>
      <w:r w:rsidRPr="005C6E7D">
        <w:t>značky kvality</w:t>
      </w:r>
      <w:r>
        <w:t xml:space="preserve"> KLASA</w:t>
      </w:r>
      <w:r w:rsidRPr="00A56D5F">
        <w:t>.</w:t>
      </w:r>
      <w:r>
        <w:t xml:space="preserve"> Zajišťuje rozhodování o poskytování dotací a jejich následnou kontrolu, provádí vládou schválené programy zaměřené na nepotravinářské využití a zpracování zemědělských výrobků, ukládá, vybírá a také odvádí finanční dávky z výroby cukru a v odvětví mléka a</w:t>
      </w:r>
      <w:r w:rsidRPr="00A56D5F">
        <w:t> </w:t>
      </w:r>
      <w:r>
        <w:t>mléčných výrobků. Dále provádí programy strukturální podpory a opatření v oblasti společné organizace trhu.</w:t>
      </w:r>
    </w:p>
    <w:p w:rsidR="00700A53" w:rsidRPr="00A56D5F" w:rsidRDefault="00700A53" w:rsidP="00463A78">
      <w:pPr>
        <w:pStyle w:val="Standardnstyl"/>
      </w:pPr>
      <w:r>
        <w:t>Jeho z</w:t>
      </w:r>
      <w:r w:rsidRPr="00A56D5F">
        <w:t>ákonné finanční zdroje představují dotace ze státního rozpočtu, tržby z</w:t>
      </w:r>
      <w:r>
        <w:t xml:space="preserve"> </w:t>
      </w:r>
      <w:r w:rsidRPr="00A56D5F">
        <w:t>obchodní činnosti, úvěry, úroky z</w:t>
      </w:r>
      <w:r>
        <w:t xml:space="preserve"> </w:t>
      </w:r>
      <w:r w:rsidRPr="00A56D5F">
        <w:t xml:space="preserve">vkladů a půjček, prostředky a podpory poskytnuté </w:t>
      </w:r>
      <w:r>
        <w:t>ze strany EU</w:t>
      </w:r>
      <w:r w:rsidRPr="00A56D5F">
        <w:t xml:space="preserve"> nebo jiným zahraničním subjektem, vrácené dotace a penále</w:t>
      </w:r>
      <w:r>
        <w:t xml:space="preserve"> a</w:t>
      </w:r>
      <w:r w:rsidRPr="00A56D5F">
        <w:t xml:space="preserve"> část pravomocným rozhodnutím stanoveného objemu finančních dávek z</w:t>
      </w:r>
      <w:r>
        <w:t xml:space="preserve"> </w:t>
      </w:r>
      <w:r w:rsidRPr="00A56D5F">
        <w:t>výroby cukru (na úhradu nákladů spojených s</w:t>
      </w:r>
      <w:r>
        <w:t xml:space="preserve"> </w:t>
      </w:r>
      <w:r w:rsidRPr="00A56D5F">
        <w:t>jejich výběrem).</w:t>
      </w:r>
    </w:p>
    <w:p w:rsidR="00700A53" w:rsidRDefault="00700A53" w:rsidP="003B5141">
      <w:pPr>
        <w:pStyle w:val="Standardnstyl"/>
      </w:pPr>
      <w:r>
        <w:t xml:space="preserve">Celkové </w:t>
      </w:r>
      <w:r w:rsidRPr="00A56D5F">
        <w:t xml:space="preserve">příjmy SZIF </w:t>
      </w:r>
      <w:r>
        <w:t xml:space="preserve">se </w:t>
      </w:r>
      <w:r w:rsidRPr="00A56D5F">
        <w:t>v</w:t>
      </w:r>
      <w:r>
        <w:t xml:space="preserve"> </w:t>
      </w:r>
      <w:r w:rsidRPr="00A56D5F">
        <w:t xml:space="preserve">roce </w:t>
      </w:r>
      <w:r>
        <w:t>2014</w:t>
      </w:r>
      <w:r w:rsidRPr="00A56D5F">
        <w:t xml:space="preserve"> </w:t>
      </w:r>
      <w:r>
        <w:t xml:space="preserve">předpokládají ve výši 36,20 </w:t>
      </w:r>
      <w:r w:rsidRPr="00A56D5F">
        <w:t>mld.</w:t>
      </w:r>
      <w:r>
        <w:t xml:space="preserve"> </w:t>
      </w:r>
      <w:r w:rsidRPr="00A56D5F">
        <w:t xml:space="preserve">Kč. </w:t>
      </w:r>
      <w:r>
        <w:t xml:space="preserve">Ve struktuře příjmů naprosto dominují </w:t>
      </w:r>
      <w:r w:rsidRPr="00A56D5F">
        <w:t>dotace z</w:t>
      </w:r>
      <w:r>
        <w:t xml:space="preserve"> </w:t>
      </w:r>
      <w:r w:rsidRPr="00A56D5F">
        <w:t>veřejných rozpočtů centrální úrovně v </w:t>
      </w:r>
      <w:r>
        <w:t>částce 36,16 </w:t>
      </w:r>
      <w:r w:rsidRPr="00A56D5F">
        <w:t>mld.</w:t>
      </w:r>
      <w:r>
        <w:t> </w:t>
      </w:r>
      <w:r w:rsidRPr="00A56D5F">
        <w:t xml:space="preserve">Kč. </w:t>
      </w:r>
      <w:r>
        <w:t>Jejich výše ovšem vyplývá z úlohy Fondu a jedná se tak o prostředky související s programy EU. Zbylé</w:t>
      </w:r>
      <w:r w:rsidRPr="0011521F">
        <w:t xml:space="preserve"> příjmy mají</w:t>
      </w:r>
      <w:r w:rsidRPr="00A56D5F">
        <w:t xml:space="preserve"> </w:t>
      </w:r>
      <w:r>
        <w:t xml:space="preserve">rovněž nedaňový </w:t>
      </w:r>
      <w:r w:rsidRPr="00A56D5F">
        <w:t xml:space="preserve">charakter </w:t>
      </w:r>
      <w:r>
        <w:t>a</w:t>
      </w:r>
      <w:r w:rsidRPr="00A56D5F">
        <w:t xml:space="preserve"> </w:t>
      </w:r>
      <w:r>
        <w:t>jsou tvořeny především</w:t>
      </w:r>
      <w:r w:rsidRPr="00A56D5F">
        <w:t xml:space="preserve"> </w:t>
      </w:r>
      <w:r>
        <w:t>podílem na dávkách z cukru, tedy položkou správní poplatky.</w:t>
      </w:r>
      <w:r w:rsidRPr="00A56D5F">
        <w:t xml:space="preserve"> </w:t>
      </w:r>
      <w:r>
        <w:t>Celkové v</w:t>
      </w:r>
      <w:r w:rsidRPr="00A56D5F">
        <w:t>ýdaje jsou očekávány na úrovni</w:t>
      </w:r>
      <w:r>
        <w:t xml:space="preserve"> 41,07 mld. </w:t>
      </w:r>
      <w:r w:rsidRPr="00A56D5F">
        <w:t xml:space="preserve">Kč. </w:t>
      </w:r>
      <w:r>
        <w:t xml:space="preserve">Z celkových odhadovaných výdajů </w:t>
      </w:r>
      <w:r w:rsidRPr="004E611E">
        <w:t>tvoří 85,8</w:t>
      </w:r>
      <w:r w:rsidRPr="00E85F3D">
        <w:t xml:space="preserve"> %</w:t>
      </w:r>
      <w:r>
        <w:t xml:space="preserve"> EU</w:t>
      </w:r>
      <w:r w:rsidRPr="00E85F3D">
        <w:t xml:space="preserve"> výdaje.</w:t>
      </w:r>
      <w:r>
        <w:t xml:space="preserve"> V převážné většině se jedná o</w:t>
      </w:r>
      <w:r w:rsidRPr="00A56D5F">
        <w:t xml:space="preserve"> běžn</w:t>
      </w:r>
      <w:r>
        <w:t>é</w:t>
      </w:r>
      <w:r w:rsidRPr="00A56D5F">
        <w:t xml:space="preserve"> </w:t>
      </w:r>
      <w:r>
        <w:t>transfery</w:t>
      </w:r>
      <w:r w:rsidRPr="00A56D5F">
        <w:t>, na které připadá</w:t>
      </w:r>
      <w:r>
        <w:t xml:space="preserve"> 32,98 </w:t>
      </w:r>
      <w:r w:rsidRPr="00A56D5F">
        <w:t>mld. Kč</w:t>
      </w:r>
      <w:r>
        <w:t xml:space="preserve"> (tj. 80,3 %) a kde zcela převládají transfery poskytované</w:t>
      </w:r>
      <w:r w:rsidRPr="00A56D5F">
        <w:t xml:space="preserve"> podnikatelským subjektům</w:t>
      </w:r>
      <w:r>
        <w:t xml:space="preserve"> ve výši 32,79 </w:t>
      </w:r>
      <w:r w:rsidRPr="00A56D5F">
        <w:t>mld.</w:t>
      </w:r>
      <w:r>
        <w:t xml:space="preserve"> </w:t>
      </w:r>
      <w:r w:rsidRPr="00A56D5F">
        <w:t>Kč</w:t>
      </w:r>
      <w:r>
        <w:t xml:space="preserve"> (jejich největší část připadá na výplatu přímých plateb, tj. 55,5 % celkových očekávaných výdajů)</w:t>
      </w:r>
      <w:r w:rsidRPr="00A56D5F">
        <w:t xml:space="preserve">. </w:t>
      </w:r>
      <w:r w:rsidRPr="009A1268">
        <w:t>Vý</w:t>
      </w:r>
      <w:r>
        <w:t xml:space="preserve">daje na PRV včetně </w:t>
      </w:r>
      <w:r w:rsidRPr="00375FAE">
        <w:rPr>
          <w:i/>
        </w:rPr>
        <w:t>Horizontálního plánu rozvoje venkova</w:t>
      </w:r>
      <w:r>
        <w:t xml:space="preserve"> představují 37,3</w:t>
      </w:r>
      <w:r w:rsidRPr="00A56D5F">
        <w:t> </w:t>
      </w:r>
      <w:r>
        <w:t xml:space="preserve">% celkových odhadovaných výdajů. </w:t>
      </w:r>
      <w:r w:rsidRPr="00A56D5F">
        <w:t xml:space="preserve">Na </w:t>
      </w:r>
      <w:r>
        <w:t xml:space="preserve">náhrady zaměstnancům a nákupy zboží a služeb Fond vynaloží 1,57 </w:t>
      </w:r>
      <w:r w:rsidRPr="00A56D5F">
        <w:t>mld.</w:t>
      </w:r>
      <w:r>
        <w:t xml:space="preserve"> </w:t>
      </w:r>
      <w:r w:rsidRPr="00A56D5F">
        <w:t xml:space="preserve">Kč. </w:t>
      </w:r>
      <w:r>
        <w:t xml:space="preserve">Výdaje na </w:t>
      </w:r>
      <w:r w:rsidRPr="00375FAE">
        <w:rPr>
          <w:i/>
        </w:rPr>
        <w:t>Společnou organizaci trhu</w:t>
      </w:r>
      <w:r>
        <w:t>, marketing a propagaci spotřeby výrobků</w:t>
      </w:r>
      <w:r w:rsidRPr="00A56D5F">
        <w:t xml:space="preserve"> </w:t>
      </w:r>
      <w:r>
        <w:t xml:space="preserve">se na celkových očekávaných výdajích podílejí </w:t>
      </w:r>
      <w:r w:rsidRPr="004E611E">
        <w:t xml:space="preserve">2,4 </w:t>
      </w:r>
      <w:r>
        <w:t xml:space="preserve">%. Podíl správních výdajů se předpokládá rovněž ve výši </w:t>
      </w:r>
      <w:r w:rsidRPr="004E611E">
        <w:t>2,4 %.</w:t>
      </w:r>
    </w:p>
    <w:p w:rsidR="00700A53" w:rsidRDefault="00700A53" w:rsidP="00463A78">
      <w:pPr>
        <w:pStyle w:val="Standardnstyl"/>
      </w:pPr>
      <w:r w:rsidRPr="00A56D5F">
        <w:t xml:space="preserve">Hospodaření SZIF </w:t>
      </w:r>
      <w:r>
        <w:t xml:space="preserve">by </w:t>
      </w:r>
      <w:r w:rsidRPr="00A56D5F">
        <w:t>v</w:t>
      </w:r>
      <w:r>
        <w:t xml:space="preserve"> </w:t>
      </w:r>
      <w:r w:rsidRPr="00A56D5F">
        <w:t xml:space="preserve">roce </w:t>
      </w:r>
      <w:r>
        <w:t>2014</w:t>
      </w:r>
      <w:r w:rsidRPr="00A56D5F">
        <w:t xml:space="preserve"> </w:t>
      </w:r>
      <w:r>
        <w:t>mělo skončit schodkem 4,88 m</w:t>
      </w:r>
      <w:r w:rsidRPr="00A56D5F">
        <w:t>ld</w:t>
      </w:r>
      <w:r>
        <w:t>. Kč</w:t>
      </w:r>
      <w:r w:rsidRPr="003D6495">
        <w:t xml:space="preserve">. </w:t>
      </w:r>
      <w:r w:rsidRPr="00562C6E">
        <w:t>V průběhu roku dochází k čerpání i splátce krátkodobého úvěru na intervenční nákupy</w:t>
      </w:r>
      <w:r>
        <w:t xml:space="preserve"> ve výši 0,4 mld. Kč, proto SZIF nebude ke konci roku vykazovat žádný dluh</w:t>
      </w:r>
      <w:r w:rsidRPr="003D6495">
        <w:t xml:space="preserve">. </w:t>
      </w:r>
      <w:r>
        <w:t>Předpokládaný konečný stav peněžních prostředků k 31. 12. 2014 bude činit 1,44 mld. Kč.</w:t>
      </w:r>
    </w:p>
    <w:p w:rsidR="00700A53" w:rsidRPr="00A56D5F" w:rsidRDefault="00700A53" w:rsidP="00463A78">
      <w:pPr>
        <w:pStyle w:val="Standardnstyl"/>
      </w:pPr>
      <w:r w:rsidRPr="00A56D5F">
        <w:t xml:space="preserve">Návrh rozpočtu SZIF na rok </w:t>
      </w:r>
      <w:r>
        <w:t>2015</w:t>
      </w:r>
      <w:r w:rsidRPr="00A56D5F">
        <w:t xml:space="preserve"> počítá s</w:t>
      </w:r>
      <w:r>
        <w:t xml:space="preserve"> celkovými </w:t>
      </w:r>
      <w:r w:rsidRPr="00A56D5F">
        <w:t>příjmy</w:t>
      </w:r>
      <w:r>
        <w:t xml:space="preserve"> 40,29 </w:t>
      </w:r>
      <w:r w:rsidRPr="00A56D5F">
        <w:t>mld.</w:t>
      </w:r>
      <w:r>
        <w:t xml:space="preserve"> </w:t>
      </w:r>
      <w:r w:rsidRPr="00A56D5F">
        <w:t>Kč</w:t>
      </w:r>
      <w:r>
        <w:t xml:space="preserve">, z toho se v drtivé většině </w:t>
      </w:r>
      <w:r w:rsidRPr="00A54573">
        <w:t>opět jedná o dotace ze státního rozpočtu.</w:t>
      </w:r>
      <w:r>
        <w:t xml:space="preserve"> Celkové v</w:t>
      </w:r>
      <w:r w:rsidRPr="00A56D5F">
        <w:t xml:space="preserve">ýdaje </w:t>
      </w:r>
      <w:r>
        <w:t>jsou na</w:t>
      </w:r>
      <w:r w:rsidRPr="00A56D5F">
        <w:t xml:space="preserve"> rok </w:t>
      </w:r>
      <w:r>
        <w:t>2015</w:t>
      </w:r>
      <w:r w:rsidRPr="00A56D5F">
        <w:t xml:space="preserve"> </w:t>
      </w:r>
      <w:r w:rsidRPr="00E45DB0">
        <w:t xml:space="preserve">navrhovány ve </w:t>
      </w:r>
      <w:r w:rsidRPr="00A54573">
        <w:t xml:space="preserve">výši </w:t>
      </w:r>
      <w:r>
        <w:t>40,29</w:t>
      </w:r>
      <w:r w:rsidRPr="00A54573">
        <w:t xml:space="preserve"> mld. Kč. Stejně jako v předchozích letech budou mít charakter zejména běžných transferů </w:t>
      </w:r>
      <w:r>
        <w:t xml:space="preserve">soukromým </w:t>
      </w:r>
      <w:r w:rsidRPr="00A54573">
        <w:t>nefinančním subjektům</w:t>
      </w:r>
      <w:r>
        <w:t xml:space="preserve"> v podobě přímých plateb</w:t>
      </w:r>
      <w:r w:rsidRPr="00A54573">
        <w:t xml:space="preserve"> (</w:t>
      </w:r>
      <w:r>
        <w:t xml:space="preserve">66,7 </w:t>
      </w:r>
      <w:r w:rsidRPr="00A54573">
        <w:t>% celkových výdajů)</w:t>
      </w:r>
      <w:r>
        <w:t>,</w:t>
      </w:r>
      <w:r w:rsidRPr="008831C2">
        <w:t xml:space="preserve"> </w:t>
      </w:r>
      <w:r>
        <w:t>ale ve prospěch PRV budou na jejich vrub posíleny transfery investiční</w:t>
      </w:r>
      <w:r w:rsidRPr="00A54573">
        <w:t>. Významný je i objem náhrad zaměstnancům a</w:t>
      </w:r>
      <w:r>
        <w:t> </w:t>
      </w:r>
      <w:r w:rsidRPr="00A54573">
        <w:t>nákupů zboží a služeb (</w:t>
      </w:r>
      <w:r>
        <w:t>1,51 </w:t>
      </w:r>
      <w:r w:rsidRPr="00A54573">
        <w:t>mld.</w:t>
      </w:r>
      <w:r>
        <w:t> </w:t>
      </w:r>
      <w:r w:rsidRPr="00A54573">
        <w:t xml:space="preserve">Kč). Z výše uvedeného je zřejmé, že předkládaný rozpočet je sestaven jako </w:t>
      </w:r>
      <w:r>
        <w:t>vyrovnaný.</w:t>
      </w:r>
      <w:r>
        <w:rPr>
          <w:i/>
        </w:rPr>
        <w:t xml:space="preserve"> </w:t>
      </w:r>
      <w:r w:rsidRPr="00562C6E">
        <w:t xml:space="preserve">V roce 2015 SZIF předpokládá čerpání krátkodobé půjčky </w:t>
      </w:r>
      <w:r>
        <w:t>ze státního rozpočtu</w:t>
      </w:r>
      <w:r w:rsidRPr="00562C6E">
        <w:t xml:space="preserve"> na intervenční nákupy</w:t>
      </w:r>
      <w:r w:rsidRPr="003D6495">
        <w:t>.</w:t>
      </w:r>
      <w:r>
        <w:t xml:space="preserve"> </w:t>
      </w:r>
      <w:r w:rsidRPr="003D6495">
        <w:t>Na konci roku 201</w:t>
      </w:r>
      <w:r>
        <w:t>5</w:t>
      </w:r>
      <w:r w:rsidRPr="003D6495">
        <w:t xml:space="preserve"> by tak měly dluhové závazky SZIF z</w:t>
      </w:r>
      <w:r>
        <w:t xml:space="preserve"> </w:t>
      </w:r>
      <w:r w:rsidRPr="003D6495">
        <w:t>tohoto titulu dosáhnout</w:t>
      </w:r>
      <w:r w:rsidRPr="00030E7B">
        <w:t xml:space="preserve"> výše </w:t>
      </w:r>
      <w:r>
        <w:t>0,24</w:t>
      </w:r>
      <w:r w:rsidRPr="00030E7B">
        <w:t xml:space="preserve"> mld. Kč.</w:t>
      </w:r>
      <w:r>
        <w:t xml:space="preserve"> Konečný stav peněžních prostředků se na konci roku 2015 očekává ve výši 1,68 mld. Kč</w:t>
      </w:r>
      <w:r w:rsidRPr="00A56D5F">
        <w:t>.</w:t>
      </w:r>
    </w:p>
    <w:p w:rsidR="00700A53" w:rsidRDefault="00700A53" w:rsidP="003B5141">
      <w:pPr>
        <w:pStyle w:val="Caption"/>
      </w:pPr>
      <w:r>
        <w:t xml:space="preserve">Tabulka č. </w:t>
      </w:r>
      <w:fldSimple w:instr=" SEQ Tabulka \* ARABIC " w:fldLock="1">
        <w:r>
          <w:rPr>
            <w:noProof/>
          </w:rPr>
          <w:t>13</w:t>
        </w:r>
      </w:fldSimple>
      <w:r>
        <w:rPr>
          <w:noProof/>
        </w:rPr>
        <w:t xml:space="preserve">: </w:t>
      </w:r>
      <w:r>
        <w:t>Bilance Státního zemědělského intervenčního fondu v mld. Kč</w:t>
      </w:r>
    </w:p>
    <w:p w:rsidR="00700A53" w:rsidRDefault="00700A53" w:rsidP="00256D4F">
      <w:pPr>
        <w:pStyle w:val="graftab"/>
      </w:pPr>
      <w:r>
        <w:pict>
          <v:shape id="_x0000_i1042" type="#_x0000_t75" style="width:445.8pt;height:532.8pt">
            <v:imagedata r:id="rId37" o:title=""/>
          </v:shape>
        </w:pict>
      </w:r>
      <w:r w:rsidRPr="003F2429">
        <w:t xml:space="preserve">Pramen: </w:t>
      </w:r>
      <w:r>
        <w:t>Ministerstvo financí ČR,</w:t>
      </w:r>
      <w:r w:rsidRPr="003F2429">
        <w:t xml:space="preserve"> SZIF</w:t>
      </w:r>
    </w:p>
    <w:p w:rsidR="00700A53" w:rsidRDefault="00700A53" w:rsidP="00FC7B4C">
      <w:pPr>
        <w:spacing w:line="360" w:lineRule="auto"/>
      </w:pPr>
    </w:p>
    <w:p w:rsidR="00700A53" w:rsidRDefault="00700A53" w:rsidP="00FC7B4C">
      <w:pPr>
        <w:sectPr w:rsidR="00700A53" w:rsidSect="00256D4F">
          <w:headerReference w:type="first" r:id="rId38"/>
          <w:type w:val="continuous"/>
          <w:pgSz w:w="11906" w:h="16838"/>
          <w:pgMar w:top="1417" w:right="1417" w:bottom="1417" w:left="1417" w:header="708" w:footer="708" w:gutter="0"/>
          <w:cols w:space="708"/>
          <w:docGrid w:linePitch="360"/>
        </w:sectPr>
      </w:pPr>
    </w:p>
    <w:p w:rsidR="00700A53" w:rsidRDefault="00700A53" w:rsidP="00D74F23">
      <w:pPr>
        <w:sectPr w:rsidR="00700A53">
          <w:type w:val="continuous"/>
          <w:pgSz w:w="11906" w:h="16838"/>
          <w:pgMar w:top="1417" w:right="1417" w:bottom="1417" w:left="1417" w:header="708" w:footer="708" w:gutter="0"/>
          <w:cols w:space="708"/>
          <w:docGrid w:linePitch="360"/>
        </w:sectPr>
      </w:pPr>
    </w:p>
    <w:p w:rsidR="00700A53" w:rsidRDefault="00700A53" w:rsidP="001002F8">
      <w:pPr>
        <w:pStyle w:val="Heading3"/>
        <w:spacing w:before="0" w:after="0"/>
      </w:pPr>
      <w:bookmarkStart w:id="64" w:name="_Toc396827501"/>
      <w:bookmarkStart w:id="65" w:name="_Toc207011064"/>
      <w:bookmarkEnd w:id="59"/>
      <w:bookmarkEnd w:id="60"/>
      <w:bookmarkEnd w:id="61"/>
      <w:bookmarkEnd w:id="62"/>
      <w:bookmarkEnd w:id="63"/>
      <w:r>
        <w:t>Státní fond kultury České republiky</w:t>
      </w:r>
      <w:bookmarkEnd w:id="64"/>
      <w:r>
        <w:t xml:space="preserve"> </w:t>
      </w:r>
    </w:p>
    <w:p w:rsidR="00700A53" w:rsidRDefault="00700A53" w:rsidP="001002F8">
      <w:pPr>
        <w:sectPr w:rsidR="00700A53">
          <w:type w:val="continuous"/>
          <w:pgSz w:w="11906" w:h="16838"/>
          <w:pgMar w:top="1417" w:right="1417" w:bottom="1417" w:left="1417" w:header="708" w:footer="708" w:gutter="0"/>
          <w:cols w:space="708"/>
          <w:docGrid w:linePitch="360"/>
        </w:sectPr>
      </w:pPr>
    </w:p>
    <w:p w:rsidR="00700A53" w:rsidRDefault="00700A53" w:rsidP="001002F8">
      <w:pPr>
        <w:pStyle w:val="Standardnstyl"/>
        <w:spacing w:before="0"/>
      </w:pPr>
    </w:p>
    <w:p w:rsidR="00700A53" w:rsidRDefault="00700A53" w:rsidP="00CC1AA4">
      <w:pPr>
        <w:pStyle w:val="Standardnstyl"/>
        <w:spacing w:before="0"/>
      </w:pPr>
      <w:r>
        <w:t xml:space="preserve">Státní fond kultury České republiky (dále SFK nebo v této kapitole Fond) je spravován Ministerstvem kultury a jeho ministr odpovídá za hospodaření s prostředky Fondu. SFK byl zřízen zákonem č. 239/1992 Sb., o Státním fondu kultury České republiky. V minulosti bylo uvažováno i o variantě jeho zrušení vzhledem k nedostatečnému zajištění zdrojů tohoto Fondu, kdy v tomto období v zásadě pouze kumuloval příjmy, aniž by realizoval jiné než udržovací výdaje. V současné době jsou již ve svých funkcích členové Rady Fondu a ten tak opět zabezpečuje své poslání. </w:t>
      </w:r>
      <w:r w:rsidRPr="00064338">
        <w:t>Došlo i k posílení zdrojů Fondu změnou zákona č. 483/1991 Sb., o České televizi, která mu zajistila příjmy z reklam na programu ČT 2.</w:t>
      </w:r>
    </w:p>
    <w:p w:rsidR="00700A53" w:rsidRDefault="00700A53" w:rsidP="00463A78">
      <w:pPr>
        <w:pStyle w:val="Standardnstyl"/>
      </w:pPr>
      <w:r>
        <w:t>Celkové příjmy SFK v roce 2014 dosáhnou pravděpodobně výše 60,0 mil. Kč, celkové výdaje jsou očekávány v objemu 51,0 mil. Kč a hospodaření Fondu se tak odhaduje na přebytek 9,0 mil. Kč.</w:t>
      </w:r>
    </w:p>
    <w:p w:rsidR="00700A53" w:rsidRDefault="00700A53" w:rsidP="00463A78">
      <w:pPr>
        <w:pStyle w:val="Standardnstyl"/>
      </w:pPr>
      <w:r>
        <w:t>Na rok 2015 jsou celkové příjmy Fondu navrženy ve výši 64,0 mil. Kč. Velmi významnou část těchto příjmů tvoří příjmy z pronájmu nemovitostí, ke kterým má Fond příslušnost hospodaření (dům U Černé Matky Boží, d</w:t>
      </w:r>
      <w:r w:rsidRPr="00321524">
        <w:t>ům U Hybernů a Národní dům na Vinohradech)</w:t>
      </w:r>
      <w:r>
        <w:t>. Na rok 2015 jsou rozpočtovány ve výši 33</w:t>
      </w:r>
      <w:r w:rsidRPr="00CE5844">
        <w:t>,0</w:t>
      </w:r>
      <w:r>
        <w:t xml:space="preserve"> mil. Kč. </w:t>
      </w:r>
      <w:r w:rsidRPr="002A321B">
        <w:t xml:space="preserve">Dalšími vlastními finančními zdroji jsou </w:t>
      </w:r>
      <w:r>
        <w:t>p</w:t>
      </w:r>
      <w:r w:rsidRPr="002A321B">
        <w:t>řijaté platby za výkon majetkových autorských práv, kter</w:t>
      </w:r>
      <w:r>
        <w:t>é</w:t>
      </w:r>
      <w:r w:rsidRPr="002A321B">
        <w:t xml:space="preserve"> připadl</w:t>
      </w:r>
      <w:r>
        <w:t>y</w:t>
      </w:r>
      <w:r w:rsidRPr="002A321B">
        <w:t xml:space="preserve"> státu</w:t>
      </w:r>
      <w:r>
        <w:t xml:space="preserve"> (tzv. odúmrtě)</w:t>
      </w:r>
      <w:r w:rsidRPr="002A321B">
        <w:t xml:space="preserve">, </w:t>
      </w:r>
      <w:r>
        <w:t>50% odvod z příjmů z pronájmu nemovitých kulturních památek od Ministerstva kultury, přijaté úroky a v neposlední řadě, od roku 2012, výnosy z reklam na programu ČT2.</w:t>
      </w:r>
    </w:p>
    <w:p w:rsidR="00700A53" w:rsidRDefault="00700A53" w:rsidP="00463A78">
      <w:pPr>
        <w:pStyle w:val="Standardnstyl"/>
      </w:pPr>
      <w:r w:rsidRPr="006823D9">
        <w:t>Fond plánuje v</w:t>
      </w:r>
      <w:r>
        <w:t xml:space="preserve"> </w:t>
      </w:r>
      <w:r w:rsidRPr="006823D9">
        <w:t>roce 201</w:t>
      </w:r>
      <w:r>
        <w:t>5</w:t>
      </w:r>
      <w:r w:rsidRPr="006823D9">
        <w:t xml:space="preserve"> ho</w:t>
      </w:r>
      <w:r>
        <w:t xml:space="preserve">spodařit s </w:t>
      </w:r>
      <w:r w:rsidRPr="0093568B">
        <w:t>přebytkovým</w:t>
      </w:r>
      <w:r>
        <w:t xml:space="preserve"> rozpočtem, neboť celkové výdaje jsou naplánovány ve výši 53,0 mil. Kč a příjmy ve výši 64,0 mil. Kč. Významnou část výdajů představují poskytované podpory na projekty v oblasti kultury, největší část je určená občanským sdružením. Zbývající část výdajů jsou pak výdaje související s nemovitostmi (výdaje na opravy, správu, telekomunikace atd.), se správou Fondu a činností jeho Rady.</w:t>
      </w:r>
    </w:p>
    <w:p w:rsidR="00700A53" w:rsidRDefault="00700A53" w:rsidP="00463A78">
      <w:pPr>
        <w:pStyle w:val="Standardnstyl"/>
      </w:pPr>
      <w:r>
        <w:t>K</w:t>
      </w:r>
      <w:r w:rsidRPr="006823D9">
        <w:t xml:space="preserve">onečný stav peněžních prostředků </w:t>
      </w:r>
      <w:r>
        <w:t xml:space="preserve">Fondu se </w:t>
      </w:r>
      <w:r w:rsidRPr="006823D9">
        <w:t>na konci roku</w:t>
      </w:r>
      <w:r>
        <w:t xml:space="preserve"> 2015</w:t>
      </w:r>
      <w:r w:rsidRPr="006823D9">
        <w:t xml:space="preserve"> </w:t>
      </w:r>
      <w:r>
        <w:t>předpokládá ve výši 96,3 </w:t>
      </w:r>
      <w:r w:rsidRPr="006823D9">
        <w:t>mil.</w:t>
      </w:r>
      <w:r>
        <w:t xml:space="preserve"> Kč.</w:t>
      </w:r>
    </w:p>
    <w:p w:rsidR="00700A53" w:rsidRDefault="00700A53" w:rsidP="00463A78">
      <w:pPr>
        <w:pStyle w:val="Standardnstyl"/>
      </w:pPr>
      <w:r w:rsidRPr="00F26034">
        <w:t>Na rozpočet Fondu mohou mít velmi negativní dopad dvě významné, zatím ale v reálných číslech těžko stanovitelné nejistoty. Jednak je to vleklý spor, vztahující se k nemovitostem, s reálnou možností prohry a dále pak nejistota ohledně výše nákladů na opravy a rekonstrukce nemovitostí.</w:t>
      </w:r>
    </w:p>
    <w:p w:rsidR="00700A53" w:rsidRDefault="00700A53" w:rsidP="003B5141">
      <w:pPr>
        <w:pStyle w:val="Caption"/>
      </w:pPr>
      <w:r>
        <w:t xml:space="preserve">Tabulka č. </w:t>
      </w:r>
      <w:fldSimple w:instr=" SEQ Tabulka \* ARABIC " w:fldLock="1">
        <w:r>
          <w:rPr>
            <w:noProof/>
          </w:rPr>
          <w:t>14</w:t>
        </w:r>
      </w:fldSimple>
      <w:r>
        <w:rPr>
          <w:noProof/>
        </w:rPr>
        <w:t xml:space="preserve">: </w:t>
      </w:r>
      <w:r>
        <w:t>Bilance Státního fondu kultury v mil. Kč.</w:t>
      </w:r>
    </w:p>
    <w:p w:rsidR="00700A53" w:rsidRDefault="00700A53" w:rsidP="00256D4F">
      <w:pPr>
        <w:pStyle w:val="graftab"/>
      </w:pPr>
      <w:r>
        <w:pict>
          <v:shape id="_x0000_i1043" type="#_x0000_t75" style="width:451.8pt;height:520.8pt">
            <v:imagedata r:id="rId39" o:title=""/>
          </v:shape>
        </w:pict>
      </w:r>
      <w:r w:rsidRPr="003F2429">
        <w:t xml:space="preserve">Pramen: </w:t>
      </w:r>
      <w:r>
        <w:t xml:space="preserve">Ministerstvo financí ČR, </w:t>
      </w:r>
      <w:r w:rsidRPr="003F2429">
        <w:t>SFK</w:t>
      </w:r>
      <w:bookmarkStart w:id="66" w:name="_Toc524941178"/>
    </w:p>
    <w:p w:rsidR="00700A53" w:rsidRDefault="00700A53" w:rsidP="00463A78">
      <w:pPr>
        <w:pStyle w:val="Standardnstyl"/>
      </w:pPr>
    </w:p>
    <w:p w:rsidR="00700A53" w:rsidRDefault="00700A53" w:rsidP="00463A78">
      <w:pPr>
        <w:pStyle w:val="Standardnstyl"/>
      </w:pPr>
    </w:p>
    <w:p w:rsidR="00700A53" w:rsidRDefault="00700A53" w:rsidP="00463A78">
      <w:pPr>
        <w:pStyle w:val="Standardnstyl"/>
      </w:pPr>
    </w:p>
    <w:p w:rsidR="00700A53" w:rsidRDefault="00700A53" w:rsidP="00463A78">
      <w:pPr>
        <w:pStyle w:val="Standardnstyl"/>
      </w:pPr>
    </w:p>
    <w:p w:rsidR="00700A53" w:rsidRPr="00FB394F" w:rsidRDefault="00700A53" w:rsidP="00463A78">
      <w:pPr>
        <w:pStyle w:val="Standardnstyl"/>
      </w:pPr>
    </w:p>
    <w:bookmarkEnd w:id="66"/>
    <w:p w:rsidR="00700A53" w:rsidRDefault="00700A53" w:rsidP="0026728D">
      <w:pPr>
        <w:sectPr w:rsidR="00700A53">
          <w:type w:val="continuous"/>
          <w:pgSz w:w="11906" w:h="16838"/>
          <w:pgMar w:top="1417" w:right="1417" w:bottom="1417" w:left="1417" w:header="708" w:footer="708" w:gutter="0"/>
          <w:cols w:space="708"/>
          <w:docGrid w:linePitch="360"/>
        </w:sectPr>
      </w:pPr>
    </w:p>
    <w:p w:rsidR="00700A53" w:rsidRDefault="00700A53" w:rsidP="00256D4F">
      <w:pPr>
        <w:sectPr w:rsidR="00700A53">
          <w:type w:val="continuous"/>
          <w:pgSz w:w="11906" w:h="16838"/>
          <w:pgMar w:top="1417" w:right="1417" w:bottom="1417" w:left="1417" w:header="708" w:footer="708" w:gutter="0"/>
          <w:cols w:space="708"/>
          <w:docGrid w:linePitch="360"/>
        </w:sectPr>
      </w:pPr>
    </w:p>
    <w:p w:rsidR="00700A53" w:rsidRDefault="00700A53" w:rsidP="00D74F23">
      <w:pPr>
        <w:sectPr w:rsidR="00700A53">
          <w:type w:val="continuous"/>
          <w:pgSz w:w="11906" w:h="16838"/>
          <w:pgMar w:top="1417" w:right="1417" w:bottom="1417" w:left="1417" w:header="708" w:footer="708" w:gutter="0"/>
          <w:cols w:space="708"/>
          <w:docGrid w:linePitch="360"/>
        </w:sectPr>
      </w:pPr>
    </w:p>
    <w:p w:rsidR="00700A53" w:rsidRDefault="00700A53" w:rsidP="00F5759F">
      <w:pPr>
        <w:pStyle w:val="Heading3"/>
        <w:spacing w:before="0" w:after="0"/>
      </w:pPr>
      <w:bookmarkStart w:id="67" w:name="_Toc396827502"/>
      <w:r>
        <w:t>Státní fond kinematografie</w:t>
      </w:r>
      <w:bookmarkEnd w:id="67"/>
    </w:p>
    <w:p w:rsidR="00700A53" w:rsidRDefault="00700A53" w:rsidP="00F5759F">
      <w:pPr>
        <w:sectPr w:rsidR="00700A53">
          <w:type w:val="continuous"/>
          <w:pgSz w:w="11906" w:h="16838"/>
          <w:pgMar w:top="1417" w:right="1417" w:bottom="1417" w:left="1417" w:header="708" w:footer="708" w:gutter="0"/>
          <w:cols w:space="708"/>
          <w:docGrid w:linePitch="360"/>
        </w:sectPr>
      </w:pPr>
    </w:p>
    <w:p w:rsidR="00700A53" w:rsidRDefault="00700A53" w:rsidP="00F5759F">
      <w:pPr>
        <w:pStyle w:val="Standardnstyl"/>
        <w:spacing w:before="0"/>
      </w:pPr>
    </w:p>
    <w:p w:rsidR="00700A53" w:rsidRDefault="00700A53" w:rsidP="00F5759F">
      <w:pPr>
        <w:pStyle w:val="Standardnstyl"/>
        <w:spacing w:before="0"/>
      </w:pPr>
      <w:r w:rsidRPr="00EB2C98">
        <w:t xml:space="preserve">Zákonem č. 496/2012 Sb., o audiovizuálních dílech a podpoře kinematografie a o změně některých zákonů (zákon o audiovizi), který </w:t>
      </w:r>
      <w:r>
        <w:t>vstoupil v účinnost</w:t>
      </w:r>
      <w:r w:rsidRPr="00EB2C98">
        <w:t xml:space="preserve"> dne 1. 1. 2013, vznikl nový samostatný S</w:t>
      </w:r>
      <w:r>
        <w:t xml:space="preserve">tátní fond kinematografie (dále v této kapitole </w:t>
      </w:r>
      <w:r w:rsidRPr="00EB2C98">
        <w:t xml:space="preserve">Fond). </w:t>
      </w:r>
      <w:r>
        <w:t>J</w:t>
      </w:r>
      <w:r w:rsidRPr="00EB2C98">
        <w:t>e právním nástupcem Státního fondu České republiky pro podporu a rozvoj české kinematografie, který byl zřízený zákonem č. 241/1992 Sb.</w:t>
      </w:r>
      <w:r>
        <w:t>,</w:t>
      </w:r>
      <w:r w:rsidRPr="00EB2C98">
        <w:t xml:space="preserve"> a převzal </w:t>
      </w:r>
      <w:r>
        <w:t xml:space="preserve">jeho </w:t>
      </w:r>
      <w:r w:rsidRPr="00EB2C98">
        <w:t>veškerá práva a povinnosti.</w:t>
      </w:r>
    </w:p>
    <w:p w:rsidR="00700A53" w:rsidRDefault="00700A53" w:rsidP="00463A78">
      <w:pPr>
        <w:pStyle w:val="Standardnstyl"/>
      </w:pPr>
      <w:r>
        <w:t xml:space="preserve"> V roce 2014 se předpokládají celkové příjmy Fondu ve výši 1 035,0 mil. Kč, zatímco celkové výdaje ve výši 1 034,0 mil. Kč, což znamená, že hospodaření Fondu skončí přebytkem 1,0 mil. Kč.</w:t>
      </w:r>
    </w:p>
    <w:p w:rsidR="00700A53" w:rsidRPr="00C44033" w:rsidRDefault="00700A53" w:rsidP="00463A78">
      <w:pPr>
        <w:pStyle w:val="Standardnstyl"/>
        <w:rPr>
          <w:color w:val="000000"/>
          <w:szCs w:val="24"/>
        </w:rPr>
      </w:pPr>
      <w:r>
        <w:t xml:space="preserve">V roce 2015 je rozpočet Fondu sestaven jako </w:t>
      </w:r>
      <w:r w:rsidRPr="00873954">
        <w:t>deficitní</w:t>
      </w:r>
      <w:r>
        <w:t xml:space="preserve"> se</w:t>
      </w:r>
      <w:r w:rsidRPr="009B101E">
        <w:t xml:space="preserve"> </w:t>
      </w:r>
      <w:r>
        <w:t xml:space="preserve">saldem 25,0 mil. Kč, s příjmy </w:t>
      </w:r>
      <w:r w:rsidRPr="00A606FF">
        <w:t>v</w:t>
      </w:r>
      <w:r>
        <w:t> celkové</w:t>
      </w:r>
      <w:r w:rsidRPr="00A606FF">
        <w:t xml:space="preserve"> výši</w:t>
      </w:r>
      <w:r>
        <w:t xml:space="preserve"> 748,0 </w:t>
      </w:r>
      <w:r w:rsidRPr="00A606FF">
        <w:t>mil. Kč</w:t>
      </w:r>
      <w:r>
        <w:t xml:space="preserve">. </w:t>
      </w:r>
      <w:r w:rsidRPr="00570C9F">
        <w:t>Vedle vlastních příjmů Fondu je v plánu zahrnut i požadavek na dotaci ze státního rozpočtu</w:t>
      </w:r>
      <w:r>
        <w:t xml:space="preserve">, která opakovaně již několik let tvoří největší příjem fondu. Z vlastních příjmů pak největší část tvoří příjmy od provozovatelů televizního vysílání s celostátní působností (televize Nova, Prima a Barrandov, cca </w:t>
      </w:r>
      <w:r w:rsidRPr="00570C9F">
        <w:t>150,0</w:t>
      </w:r>
      <w:r>
        <w:t xml:space="preserve"> mil. Kč), příjmy za užití filmů, k nimž Fond vykonává autorská práva výrobce (tzn. příjem z prodaných licencí k užití děl), příjmy od provozovatelů kin (</w:t>
      </w:r>
      <w:r w:rsidRPr="000E088A">
        <w:rPr>
          <w:color w:val="000000"/>
          <w:szCs w:val="24"/>
        </w:rPr>
        <w:t>poplatky od provozovatelů kin za kinematografické představení ve výši 1</w:t>
      </w:r>
      <w:r>
        <w:rPr>
          <w:color w:val="000000"/>
          <w:szCs w:val="24"/>
        </w:rPr>
        <w:t xml:space="preserve"> </w:t>
      </w:r>
      <w:r w:rsidRPr="000E088A">
        <w:rPr>
          <w:color w:val="000000"/>
          <w:szCs w:val="24"/>
        </w:rPr>
        <w:t>% z příjmů ze vstupného</w:t>
      </w:r>
      <w:r>
        <w:rPr>
          <w:color w:val="000000"/>
          <w:szCs w:val="24"/>
        </w:rPr>
        <w:t>), příjmy z převzatého televizního vysílání (</w:t>
      </w:r>
      <w:r w:rsidRPr="000E088A">
        <w:rPr>
          <w:color w:val="000000"/>
          <w:szCs w:val="24"/>
        </w:rPr>
        <w:t>poplatek za šíření televizního vysílání prostřednictvím kabelových sítí a satelitů ve výši 1</w:t>
      </w:r>
      <w:r>
        <w:rPr>
          <w:color w:val="000000"/>
          <w:szCs w:val="24"/>
        </w:rPr>
        <w:t xml:space="preserve"> </w:t>
      </w:r>
      <w:r w:rsidRPr="000E088A">
        <w:rPr>
          <w:color w:val="000000"/>
          <w:szCs w:val="24"/>
        </w:rPr>
        <w:t>% z ceny poskytnuté za převzaté televizní vysílání</w:t>
      </w:r>
      <w:r>
        <w:rPr>
          <w:color w:val="000000"/>
          <w:szCs w:val="24"/>
        </w:rPr>
        <w:t xml:space="preserve">), </w:t>
      </w:r>
      <w:r w:rsidRPr="00C44033">
        <w:rPr>
          <w:color w:val="000000"/>
          <w:szCs w:val="24"/>
        </w:rPr>
        <w:t>příjmy ze správních poplatků</w:t>
      </w:r>
      <w:r>
        <w:rPr>
          <w:color w:val="000000"/>
          <w:szCs w:val="24"/>
        </w:rPr>
        <w:t xml:space="preserve"> a ostatní příjmy (příjmy z nájmu budovy, splátky aj.).</w:t>
      </w:r>
    </w:p>
    <w:p w:rsidR="00700A53" w:rsidRDefault="00700A53" w:rsidP="00463A78">
      <w:pPr>
        <w:pStyle w:val="Standardnstyl"/>
      </w:pPr>
      <w:r>
        <w:t>C</w:t>
      </w:r>
      <w:r w:rsidRPr="00A606FF">
        <w:t>elkové výdaje</w:t>
      </w:r>
      <w:r>
        <w:t xml:space="preserve"> Fondu</w:t>
      </w:r>
      <w:r w:rsidRPr="00A606FF">
        <w:t xml:space="preserve"> jsou </w:t>
      </w:r>
      <w:r>
        <w:t xml:space="preserve">pak na rok 2015 </w:t>
      </w:r>
      <w:r w:rsidRPr="00A606FF">
        <w:t xml:space="preserve">rozpočtovány ve výši </w:t>
      </w:r>
      <w:r>
        <w:t>773,0</w:t>
      </w:r>
      <w:r w:rsidRPr="00A606FF">
        <w:t xml:space="preserve"> mil. Kč</w:t>
      </w:r>
      <w:r>
        <w:t xml:space="preserve"> a jejich největší část tvoří výdaje na podporu filmových pobídek (pobídky lze hradit pouze z dotace ze státního rozpočtu, kterou dostává Fond prostřednictvím Ministerstva kultury) a na podporu projektů v oblasti kinematografie. Menší část pak tvoří výdaje na provoz kanceláře Fondu, včetně platů zaměstnanců a poradních orgánů a na zajištění příjmů Fondu.</w:t>
      </w:r>
    </w:p>
    <w:p w:rsidR="00700A53" w:rsidRDefault="00700A53" w:rsidP="00463A78">
      <w:pPr>
        <w:pStyle w:val="Standardnstyl"/>
      </w:pPr>
      <w:r>
        <w:t>Stav peněžních prostředků se ke konci roku 2015 očekává ve výši 724,2 mil. Kč.</w:t>
      </w:r>
    </w:p>
    <w:p w:rsidR="00700A53" w:rsidRDefault="00700A53" w:rsidP="003B5141">
      <w:pPr>
        <w:pStyle w:val="Caption"/>
      </w:pPr>
      <w:r>
        <w:t xml:space="preserve">Tabulka č. </w:t>
      </w:r>
      <w:fldSimple w:instr=" SEQ Tabulka \* ARABIC " w:fldLock="1">
        <w:r>
          <w:rPr>
            <w:noProof/>
          </w:rPr>
          <w:t>15</w:t>
        </w:r>
      </w:fldSimple>
      <w:r>
        <w:rPr>
          <w:noProof/>
        </w:rPr>
        <w:t xml:space="preserve">: </w:t>
      </w:r>
      <w:r>
        <w:t>Bilance Státního fondu kinematografie v mil. Kč</w:t>
      </w:r>
    </w:p>
    <w:p w:rsidR="00700A53" w:rsidRDefault="00700A53" w:rsidP="00256D4F">
      <w:pPr>
        <w:pStyle w:val="graftab"/>
      </w:pPr>
      <w:r>
        <w:pict>
          <v:shape id="_x0000_i1044" type="#_x0000_t75" style="width:447.6pt;height:520.8pt">
            <v:imagedata r:id="rId40" o:title=""/>
          </v:shape>
        </w:pict>
      </w:r>
      <w:r w:rsidRPr="003F2429">
        <w:t xml:space="preserve">Pramen: </w:t>
      </w:r>
      <w:r>
        <w:t xml:space="preserve">Ministerstvo financí ČR, </w:t>
      </w:r>
      <w:r w:rsidRPr="003F2429">
        <w:t>S</w:t>
      </w:r>
      <w:r>
        <w:t>tátní fond kinematografie</w:t>
      </w:r>
    </w:p>
    <w:p w:rsidR="00700A53" w:rsidRDefault="00700A53" w:rsidP="00256D4F"/>
    <w:p w:rsidR="00700A53" w:rsidRDefault="00700A53" w:rsidP="00256D4F"/>
    <w:p w:rsidR="00700A53" w:rsidRDefault="00700A53" w:rsidP="00F01A77"/>
    <w:p w:rsidR="00700A53" w:rsidRDefault="00700A53" w:rsidP="00F01A77"/>
    <w:p w:rsidR="00700A53" w:rsidRDefault="00700A53" w:rsidP="00F01A77"/>
    <w:p w:rsidR="00700A53" w:rsidRDefault="00700A53" w:rsidP="00F01A77"/>
    <w:p w:rsidR="00700A53" w:rsidRDefault="00700A53" w:rsidP="00F01A77"/>
    <w:p w:rsidR="00700A53" w:rsidRDefault="00700A53" w:rsidP="00F01A77"/>
    <w:p w:rsidR="00700A53" w:rsidRDefault="00700A53" w:rsidP="00F01A77"/>
    <w:p w:rsidR="00700A53" w:rsidRDefault="00700A53" w:rsidP="00F01A77"/>
    <w:p w:rsidR="00700A53" w:rsidRDefault="00700A53" w:rsidP="00044930">
      <w:pPr>
        <w:sectPr w:rsidR="00700A53">
          <w:type w:val="continuous"/>
          <w:pgSz w:w="11906" w:h="16838"/>
          <w:pgMar w:top="1417" w:right="1417" w:bottom="1417" w:left="1417" w:header="708" w:footer="708" w:gutter="0"/>
          <w:cols w:space="708"/>
          <w:docGrid w:linePitch="360"/>
        </w:sectPr>
      </w:pPr>
    </w:p>
    <w:p w:rsidR="00700A53" w:rsidRDefault="00700A53" w:rsidP="00F01A77">
      <w:pPr>
        <w:sectPr w:rsidR="00700A53">
          <w:type w:val="continuous"/>
          <w:pgSz w:w="11906" w:h="16838"/>
          <w:pgMar w:top="1417" w:right="1417" w:bottom="1417" w:left="1417" w:header="708" w:footer="708" w:gutter="0"/>
          <w:cols w:space="708"/>
          <w:docGrid w:linePitch="360"/>
        </w:sectPr>
      </w:pPr>
    </w:p>
    <w:p w:rsidR="00700A53" w:rsidRDefault="00700A53" w:rsidP="00F15E35">
      <w:pPr>
        <w:pStyle w:val="Heading2"/>
        <w:numPr>
          <w:ilvl w:val="0"/>
          <w:numId w:val="9"/>
        </w:numPr>
        <w:tabs>
          <w:tab w:val="clear" w:pos="720"/>
          <w:tab w:val="num" w:pos="426"/>
        </w:tabs>
        <w:spacing w:before="0" w:after="0"/>
        <w:ind w:hanging="720"/>
      </w:pPr>
      <w:bookmarkStart w:id="68" w:name="_Toc396827503"/>
      <w:bookmarkStart w:id="69" w:name="_Toc112674759"/>
      <w:bookmarkStart w:id="70" w:name="_Toc207011066"/>
      <w:bookmarkEnd w:id="65"/>
      <w:r>
        <w:t>Fond privatizace</w:t>
      </w:r>
      <w:bookmarkEnd w:id="68"/>
    </w:p>
    <w:p w:rsidR="00700A53" w:rsidRPr="007F138A" w:rsidRDefault="00700A53" w:rsidP="00DC51F1"/>
    <w:p w:rsidR="00700A53" w:rsidRDefault="00700A53" w:rsidP="00463A78">
      <w:pPr>
        <w:pStyle w:val="Standardnstyl"/>
      </w:pPr>
      <w:r>
        <w:t xml:space="preserve">K 1. 1. 2006 došlo zákonem č. 178/2005 Sb., o zrušení Fondu národního majetku České republiky a o působnosti Ministerstva financí při privatizaci majetku České republiky, ke zrušení Fondu národního majetku ČR (dále jen FNM). Veškerý majetek přešel dnem zrušení FNM na stát, který vstupuje do všech práv a povinností vyplývajících z  právních vztahů FNM, včetně práv a povinností z pracovněprávních vztahů. Působnost FNM přešla na Ministerstvo financí, které je oprávněno hospodařit s majetkem, který na stát přešel z titulu zrušení FNM, a jednat jménem státu v právních vztazích, do nichž vstoupil jako nástupce FNM. Finanční prostředky zrušeného FNM jsou vedeny Ministerstvem financí na zvláštních účtech jako mimorozpočtový zdroj. O těchto prostředcích je účtováno v rámci účetnictví Ministerstva financí na základě vyhlášky č. 410/2009 Sb., </w:t>
      </w:r>
      <w:r w:rsidRPr="00B76456">
        <w:t>kterou se provádějí některá ustanovení zákona č. 563/1991 Sb., o účetnictví, ve znění pozdějších předpisů, pro některé vybrané účetní jednotky</w:t>
      </w:r>
      <w:r>
        <w:t>.</w:t>
      </w:r>
    </w:p>
    <w:p w:rsidR="00700A53" w:rsidRDefault="00700A53" w:rsidP="00463A78">
      <w:pPr>
        <w:pStyle w:val="Standardnstyl"/>
      </w:pPr>
      <w:r w:rsidRPr="00212C2D">
        <w:t xml:space="preserve">Malou privatizaci lze považovat v podstatě za dokončenou. </w:t>
      </w:r>
      <w:r>
        <w:t>V jejím rámci se n</w:t>
      </w:r>
      <w:r w:rsidRPr="00212C2D">
        <w:t xml:space="preserve">a příjmové straně </w:t>
      </w:r>
      <w:r>
        <w:t xml:space="preserve">v roce 2014 </w:t>
      </w:r>
      <w:r w:rsidRPr="00212C2D">
        <w:t xml:space="preserve">předpokládají příjmy zejména </w:t>
      </w:r>
      <w:r>
        <w:t>z likvidace státních podniků</w:t>
      </w:r>
      <w:r w:rsidRPr="00212C2D">
        <w:t xml:space="preserve"> (</w:t>
      </w:r>
      <w:r>
        <w:t>120,5</w:t>
      </w:r>
      <w:r w:rsidRPr="00212C2D">
        <w:t xml:space="preserve"> mil. Kč z</w:t>
      </w:r>
      <w:r>
        <w:t> </w:t>
      </w:r>
      <w:r w:rsidRPr="00212C2D">
        <w:t xml:space="preserve">celkových </w:t>
      </w:r>
      <w:r>
        <w:t>122,2</w:t>
      </w:r>
      <w:r w:rsidRPr="00212C2D">
        <w:t xml:space="preserve"> mil. Kč</w:t>
      </w:r>
      <w:r>
        <w:t>) a v roce 2015 příjmy z daňových řízení (2,0</w:t>
      </w:r>
      <w:r w:rsidRPr="00212C2D">
        <w:t xml:space="preserve"> mil. Kč z celkových </w:t>
      </w:r>
      <w:r>
        <w:t>2,2</w:t>
      </w:r>
      <w:r w:rsidRPr="00212C2D">
        <w:t xml:space="preserve"> mil. </w:t>
      </w:r>
      <w:r>
        <w:t>Kč)</w:t>
      </w:r>
      <w:r w:rsidRPr="00212C2D">
        <w:t xml:space="preserve">. Nejvýznamnější výdajovou položku představují </w:t>
      </w:r>
      <w:r>
        <w:t>potenciální výdaje na probíhající a budoucí soudní spory, ve kterých Ministerstvo financí figuruje jako žalovaná strana</w:t>
      </w:r>
      <w:r w:rsidRPr="00212C2D">
        <w:t xml:space="preserve"> (</w:t>
      </w:r>
      <w:r w:rsidRPr="00D021D5">
        <w:t>5</w:t>
      </w:r>
      <w:r>
        <w:t>,0</w:t>
      </w:r>
      <w:r w:rsidRPr="00D021D5">
        <w:t> </w:t>
      </w:r>
      <w:r w:rsidRPr="00212C2D">
        <w:t>mil.</w:t>
      </w:r>
      <w:r>
        <w:t> </w:t>
      </w:r>
      <w:r w:rsidRPr="00212C2D">
        <w:t xml:space="preserve">Kč z celkových </w:t>
      </w:r>
      <w:r>
        <w:t>5,7 </w:t>
      </w:r>
      <w:r w:rsidRPr="00212C2D">
        <w:t>mil.</w:t>
      </w:r>
      <w:r>
        <w:t> </w:t>
      </w:r>
      <w:r w:rsidRPr="00212C2D">
        <w:t>Kč v roce 201</w:t>
      </w:r>
      <w:r>
        <w:t>4</w:t>
      </w:r>
      <w:r w:rsidRPr="00212C2D">
        <w:t xml:space="preserve"> a </w:t>
      </w:r>
      <w:r>
        <w:t>opět 5,0</w:t>
      </w:r>
      <w:r w:rsidRPr="00212C2D">
        <w:t xml:space="preserve"> mil. Kč </w:t>
      </w:r>
      <w:r>
        <w:t>jako jediná položka na straně výdajů</w:t>
      </w:r>
      <w:r w:rsidRPr="00212C2D">
        <w:t xml:space="preserve"> v roce 201</w:t>
      </w:r>
      <w:r>
        <w:t>5).</w:t>
      </w:r>
    </w:p>
    <w:p w:rsidR="00700A53" w:rsidRDefault="00700A53" w:rsidP="00463A78">
      <w:pPr>
        <w:pStyle w:val="Standardnstyl"/>
        <w:rPr>
          <w:bCs/>
        </w:rPr>
      </w:pPr>
      <w:r w:rsidRPr="00CB0D1B">
        <w:t>V rámci velké privatizace se nepředpokládá do konce roku 2014 a ani v roce 2015 realizace žádného významného privatizačního projektu.</w:t>
      </w:r>
      <w:r w:rsidRPr="00463A78">
        <w:t xml:space="preserve"> </w:t>
      </w:r>
      <w:r>
        <w:t>I proto jsou nejvýznamnějším příjmem Fondu</w:t>
      </w:r>
      <w:r w:rsidRPr="00463A78">
        <w:t xml:space="preserve"> </w:t>
      </w:r>
      <w:r>
        <w:t xml:space="preserve">přiznané </w:t>
      </w:r>
      <w:r w:rsidRPr="00463A78">
        <w:t>dividend</w:t>
      </w:r>
      <w:r>
        <w:t xml:space="preserve">y, v první řadě společností </w:t>
      </w:r>
      <w:r w:rsidRPr="00463A78">
        <w:t>ČEZ, a. s.</w:t>
      </w:r>
      <w:r>
        <w:t xml:space="preserve">, v marginální míře </w:t>
      </w:r>
      <w:r w:rsidRPr="00463A78">
        <w:t>společnost</w:t>
      </w:r>
      <w:r>
        <w:t>mi</w:t>
      </w:r>
      <w:r w:rsidRPr="00463A78">
        <w:t xml:space="preserve"> ČEPRO, a. s. a MERO, a. s.</w:t>
      </w:r>
      <w:r>
        <w:t xml:space="preserve"> (dohromady 13,01 mld. Kč </w:t>
      </w:r>
      <w:r w:rsidRPr="00463A78">
        <w:t>v roce 201</w:t>
      </w:r>
      <w:r>
        <w:t>4</w:t>
      </w:r>
      <w:r w:rsidRPr="00463A78">
        <w:t xml:space="preserve"> a</w:t>
      </w:r>
      <w:r>
        <w:t> 16,51 </w:t>
      </w:r>
      <w:r w:rsidRPr="00463A78">
        <w:t>mld. Kč v roce 201</w:t>
      </w:r>
      <w:r>
        <w:t>5)</w:t>
      </w:r>
      <w:r w:rsidRPr="00463A78">
        <w:t xml:space="preserve">. </w:t>
      </w:r>
      <w:r w:rsidRPr="004C64A1">
        <w:t xml:space="preserve">Ostatní příjmy, např. v podobě úroků z uložených peněžních prostředků, nájmu či ze soudních rozhodnutí se předpokládají v roce 2014 </w:t>
      </w:r>
      <w:r>
        <w:t>i</w:t>
      </w:r>
      <w:r w:rsidRPr="004C64A1">
        <w:t xml:space="preserve"> 2015 </w:t>
      </w:r>
      <w:r>
        <w:t xml:space="preserve">v relativní výši </w:t>
      </w:r>
      <w:r w:rsidRPr="004C64A1">
        <w:t>jako zcela zanedbatelné. V roce 2014</w:t>
      </w:r>
      <w:r w:rsidRPr="00463A78">
        <w:t xml:space="preserve"> se celkové příjmy včetně příjmů z</w:t>
      </w:r>
      <w:r>
        <w:t> </w:t>
      </w:r>
      <w:r w:rsidRPr="00463A78">
        <w:t>malé privatizace předpokládají v</w:t>
      </w:r>
      <w:r>
        <w:t> </w:t>
      </w:r>
      <w:r w:rsidRPr="00463A78">
        <w:t>celkové</w:t>
      </w:r>
      <w:r>
        <w:t>m objemu</w:t>
      </w:r>
      <w:r w:rsidRPr="00463A78">
        <w:t xml:space="preserve"> </w:t>
      </w:r>
      <w:r>
        <w:t>13,03</w:t>
      </w:r>
      <w:r w:rsidRPr="00463A78">
        <w:t xml:space="preserve"> mld. Kč a oproti rozpočtované výši jsou tak vyšší o</w:t>
      </w:r>
      <w:r>
        <w:t> 0,50 </w:t>
      </w:r>
      <w:r w:rsidRPr="00463A78">
        <w:t>mld. Kč</w:t>
      </w:r>
      <w:r>
        <w:rPr>
          <w:bCs/>
        </w:rPr>
        <w:t>.</w:t>
      </w:r>
    </w:p>
    <w:p w:rsidR="00700A53" w:rsidRPr="00FE2680" w:rsidRDefault="00700A53" w:rsidP="00463A78">
      <w:pPr>
        <w:pStyle w:val="Standardnstyl"/>
      </w:pPr>
      <w:r>
        <w:t>Celkové v</w:t>
      </w:r>
      <w:r w:rsidRPr="005C7036">
        <w:t>ýdaje,</w:t>
      </w:r>
      <w:r>
        <w:t xml:space="preserve"> které by v roce 2014 měly dosáhnout 18,06 mld. Kč, budou použity </w:t>
      </w:r>
      <w:r w:rsidRPr="00C95B95">
        <w:t>především jako převod do kapitoly státního rozpočtu Všeobecná pokladní správa na úhradu schodku důchodového účtu</w:t>
      </w:r>
      <w:r w:rsidRPr="00A400BB">
        <w:t xml:space="preserve"> (</w:t>
      </w:r>
      <w:r>
        <w:t>10,30</w:t>
      </w:r>
      <w:r w:rsidRPr="00A400BB">
        <w:t> mld. Kč) a dále na úhradu nákladů spojených s odstraňováním ekologických škod (</w:t>
      </w:r>
      <w:r>
        <w:t>4,40</w:t>
      </w:r>
      <w:r w:rsidRPr="00A400BB">
        <w:t xml:space="preserve"> mld. Kč), jako dotace státnímu podniku DIAMO (</w:t>
      </w:r>
      <w:r w:rsidRPr="00C95B95">
        <w:t>1,</w:t>
      </w:r>
      <w:r>
        <w:t>79</w:t>
      </w:r>
      <w:r w:rsidRPr="00A400BB">
        <w:t xml:space="preserve"> mld. Kč)</w:t>
      </w:r>
      <w:r>
        <w:t xml:space="preserve"> nebo jako převod do kapitol státního rozpočtu Ministerstvo průmyslu a obchodu (0,41 mld. Kč) a Ministerstvo kultury (0,38 mld. Kč)</w:t>
      </w:r>
      <w:r w:rsidRPr="00A400BB">
        <w:t>.</w:t>
      </w:r>
      <w:r w:rsidRPr="00614A14">
        <w:t xml:space="preserve"> </w:t>
      </w:r>
      <w:r w:rsidRPr="00257EED">
        <w:t xml:space="preserve">Oproti původnímu plánu </w:t>
      </w:r>
      <w:r>
        <w:t>tak l</w:t>
      </w:r>
      <w:r w:rsidRPr="00257EED">
        <w:t xml:space="preserve">ze očekávat </w:t>
      </w:r>
      <w:r>
        <w:t>zvýšení výdajů</w:t>
      </w:r>
      <w:r w:rsidRPr="00257EED">
        <w:t xml:space="preserve"> o</w:t>
      </w:r>
      <w:r>
        <w:t xml:space="preserve"> 4,60 </w:t>
      </w:r>
      <w:r w:rsidRPr="00257EED">
        <w:t>mld. Kč.</w:t>
      </w:r>
      <w:r>
        <w:t xml:space="preserve"> Hospodaření Fondu by v roce 2014 mělo skončit schodkem 5,03 mld. Kč. Podle očekávané skutečnosti by měl konečný zůstatek privatizačních peněžních prostředků k 31. 12. 2014</w:t>
      </w:r>
      <w:r w:rsidRPr="00700E0E">
        <w:t xml:space="preserve"> </w:t>
      </w:r>
      <w:r>
        <w:t xml:space="preserve">činit 11,19 mld. Kč. </w:t>
      </w:r>
    </w:p>
    <w:p w:rsidR="00700A53" w:rsidRPr="00003FA7" w:rsidRDefault="00700A53" w:rsidP="00463A78">
      <w:pPr>
        <w:pStyle w:val="Standardnstyl"/>
      </w:pPr>
      <w:r w:rsidRPr="00003FA7">
        <w:t>Návrh rozpočtu pro rok 201</w:t>
      </w:r>
      <w:r>
        <w:t>5</w:t>
      </w:r>
      <w:r w:rsidRPr="00003FA7">
        <w:t xml:space="preserve"> předpokládá příjmy v celkové výši </w:t>
      </w:r>
      <w:r>
        <w:t>16,52</w:t>
      </w:r>
      <w:r w:rsidRPr="00003FA7">
        <w:t xml:space="preserve"> mld. Kč</w:t>
      </w:r>
      <w:r w:rsidRPr="00C53F62">
        <w:t>, v podstatě opět pouze z dividend společností se státní majetkovou účastí, tj. v drtivé většině ČEZ, a. s. a dále v</w:t>
      </w:r>
      <w:r>
        <w:t xml:space="preserve"> mnohem menším objemu </w:t>
      </w:r>
      <w:r w:rsidRPr="00463A78">
        <w:t>ČEPRO, a. s. a MERO, a. s.</w:t>
      </w:r>
    </w:p>
    <w:p w:rsidR="00700A53" w:rsidRPr="004C5EE4" w:rsidRDefault="00700A53" w:rsidP="00256D4F">
      <w:pPr>
        <w:spacing w:before="60" w:line="360" w:lineRule="auto"/>
        <w:ind w:firstLine="539"/>
        <w:jc w:val="both"/>
      </w:pPr>
      <w:r w:rsidRPr="004C5EE4">
        <w:t xml:space="preserve">Celkový objem výdajů je na rok 2015 rozpočtován na </w:t>
      </w:r>
      <w:r>
        <w:t>24,25</w:t>
      </w:r>
      <w:r w:rsidRPr="004C5EE4">
        <w:t xml:space="preserve"> mld. Kč, přičemž jejich struktura bude podobná té předchozí z roku 2014. Nejvýznamnější položku představuje opět převod do státního rozpočtu na úhradu deficitu důchodového účtu (1</w:t>
      </w:r>
      <w:r>
        <w:t>6</w:t>
      </w:r>
      <w:r w:rsidRPr="004C5EE4">
        <w:t>,</w:t>
      </w:r>
      <w:r>
        <w:t>50</w:t>
      </w:r>
      <w:r w:rsidRPr="004C5EE4">
        <w:t xml:space="preserve"> mld. Kč). Následuje úhrada nákladů na odstraňování starých ekologických škod (5,83 mld. Kč) a dotace státnímu podniku DIAMO (1,44 mld. Kč).</w:t>
      </w:r>
      <w:r>
        <w:t xml:space="preserve"> </w:t>
      </w:r>
      <w:r w:rsidRPr="004C5EE4">
        <w:t xml:space="preserve">Za výše uvedených předpokladů lze očekávat, že hospodaření s privatizačními prostředky skončí deficitem </w:t>
      </w:r>
      <w:r>
        <w:t>7,73</w:t>
      </w:r>
      <w:r w:rsidRPr="004C5EE4">
        <w:t xml:space="preserve"> mld. Kč. Peněžní prostředky, jejichž konečný stav se k 31. 12. 2015 očekává ve výši </w:t>
      </w:r>
      <w:r>
        <w:t>4,02</w:t>
      </w:r>
      <w:r w:rsidRPr="004C5EE4">
        <w:t xml:space="preserve"> mld. Kč</w:t>
      </w:r>
      <w:r>
        <w:t xml:space="preserve"> </w:t>
      </w:r>
      <w:r w:rsidRPr="004C5EE4">
        <w:t xml:space="preserve">budou </w:t>
      </w:r>
      <w:r w:rsidRPr="00155C3A">
        <w:t>částečně použity na financování plánovaných výda</w:t>
      </w:r>
      <w:r>
        <w:t xml:space="preserve">jů roku 2016, resp. dalších let. Protože převážná část nyní pochází z prostředků malé privatizace, hrozí riziko nedostatečné výše zdrojů na účtech velké privatizace v případě, že nebudou učiněny žádné kroky k uvolnění vázaných zdrojů a k restrukturalizaci těchto zdrojů v její prospěch. </w:t>
      </w:r>
    </w:p>
    <w:p w:rsidR="00700A53" w:rsidRDefault="00700A53" w:rsidP="00DC481C">
      <w:pPr>
        <w:pStyle w:val="Caption"/>
      </w:pPr>
      <w:r>
        <w:t xml:space="preserve">Tabulka č. </w:t>
      </w:r>
      <w:fldSimple w:instr=" SEQ Tabulka \* ARABIC " w:fldLock="1">
        <w:r>
          <w:rPr>
            <w:noProof/>
          </w:rPr>
          <w:t>16</w:t>
        </w:r>
      </w:fldSimple>
      <w:r>
        <w:rPr>
          <w:noProof/>
        </w:rPr>
        <w:t xml:space="preserve">: </w:t>
      </w:r>
      <w:r>
        <w:t>Bilance Fondu privatizace v mld. Kč</w:t>
      </w:r>
    </w:p>
    <w:p w:rsidR="00700A53" w:rsidRDefault="00700A53" w:rsidP="00256D4F">
      <w:pPr>
        <w:pStyle w:val="graftab"/>
      </w:pPr>
      <w:r>
        <w:pict>
          <v:shape id="_x0000_i1045" type="#_x0000_t75" style="width:456pt;height:522.6pt">
            <v:imagedata r:id="rId41" o:title=""/>
          </v:shape>
        </w:pict>
      </w:r>
      <w:r w:rsidRPr="00006B2A">
        <w:t xml:space="preserve">Pramen: </w:t>
      </w:r>
      <w:r>
        <w:t>Ministerstvo financí ČR</w:t>
      </w:r>
    </w:p>
    <w:p w:rsidR="00700A53" w:rsidRDefault="00700A53" w:rsidP="002D28D2">
      <w:pPr>
        <w:pStyle w:val="Standardnstyl"/>
        <w:spacing w:before="0"/>
        <w:ind w:firstLine="425"/>
      </w:pPr>
    </w:p>
    <w:p w:rsidR="00700A53" w:rsidRDefault="00700A53" w:rsidP="002D28D2">
      <w:pPr>
        <w:pStyle w:val="Standardnstyl"/>
        <w:spacing w:before="0"/>
        <w:ind w:firstLine="425"/>
      </w:pPr>
    </w:p>
    <w:p w:rsidR="00700A53" w:rsidRDefault="00700A53" w:rsidP="002D28D2">
      <w:pPr>
        <w:pStyle w:val="Standardnstyl"/>
        <w:spacing w:before="0"/>
        <w:ind w:firstLine="425"/>
      </w:pPr>
    </w:p>
    <w:p w:rsidR="00700A53" w:rsidRDefault="00700A53" w:rsidP="002D28D2">
      <w:pPr>
        <w:pStyle w:val="Standardnstyl"/>
        <w:spacing w:before="0"/>
        <w:ind w:firstLine="425"/>
      </w:pPr>
    </w:p>
    <w:p w:rsidR="00700A53" w:rsidRDefault="00700A53" w:rsidP="002D28D2">
      <w:pPr>
        <w:pStyle w:val="Standardnstyl"/>
        <w:spacing w:before="0"/>
        <w:ind w:firstLine="425"/>
      </w:pPr>
    </w:p>
    <w:p w:rsidR="00700A53" w:rsidRPr="002D28D2" w:rsidRDefault="00700A53" w:rsidP="002D28D2">
      <w:pPr>
        <w:pStyle w:val="Standardnstyl"/>
        <w:spacing w:before="0"/>
        <w:ind w:firstLine="425"/>
      </w:pPr>
    </w:p>
    <w:p w:rsidR="00700A53" w:rsidRDefault="00700A53" w:rsidP="0026728D">
      <w:pPr>
        <w:sectPr w:rsidR="00700A53">
          <w:type w:val="continuous"/>
          <w:pgSz w:w="11906" w:h="16838"/>
          <w:pgMar w:top="1417" w:right="1417" w:bottom="1417" w:left="1417" w:header="708" w:footer="708" w:gutter="0"/>
          <w:cols w:space="708"/>
          <w:docGrid w:linePitch="360"/>
        </w:sectPr>
      </w:pPr>
    </w:p>
    <w:p w:rsidR="00700A53" w:rsidRDefault="00700A53" w:rsidP="00F01A77">
      <w:pPr>
        <w:sectPr w:rsidR="00700A53">
          <w:type w:val="continuous"/>
          <w:pgSz w:w="11906" w:h="16838"/>
          <w:pgMar w:top="1417" w:right="1417" w:bottom="1417" w:left="1417" w:header="708" w:footer="708" w:gutter="0"/>
          <w:cols w:space="708"/>
          <w:docGrid w:linePitch="360"/>
        </w:sectPr>
      </w:pPr>
    </w:p>
    <w:p w:rsidR="00700A53" w:rsidRDefault="00700A53" w:rsidP="00330BC0">
      <w:pPr>
        <w:pStyle w:val="Heading1"/>
        <w:spacing w:before="0" w:after="0"/>
      </w:pPr>
      <w:bookmarkStart w:id="71" w:name="_Toc396827504"/>
      <w:bookmarkEnd w:id="69"/>
      <w:bookmarkEnd w:id="70"/>
      <w:r>
        <w:t>III. Veřejné zdravotní pojištění</w:t>
      </w:r>
      <w:bookmarkEnd w:id="71"/>
    </w:p>
    <w:p w:rsidR="00700A53" w:rsidRPr="007F138A" w:rsidRDefault="00700A53" w:rsidP="00330BC0"/>
    <w:p w:rsidR="00700A53" w:rsidRPr="004352F9" w:rsidRDefault="00700A53" w:rsidP="00330BC0">
      <w:pPr>
        <w:pStyle w:val="Standardnstyl"/>
        <w:spacing w:before="0"/>
      </w:pPr>
      <w:r w:rsidRPr="00E869F8">
        <w:t xml:space="preserve">Systém </w:t>
      </w:r>
      <w:r>
        <w:t>veřejného zdravotního pojištění (dále v. z. p</w:t>
      </w:r>
      <w:r w:rsidRPr="00C26591">
        <w:t xml:space="preserve">.) </w:t>
      </w:r>
      <w:r>
        <w:t>zajišťuje v ČR v současné době</w:t>
      </w:r>
      <w:r w:rsidRPr="00C26591">
        <w:t xml:space="preserve"> sedm zdravotních pojišťoven pro celkem 10,4 mil. pojištěnců, z</w:t>
      </w:r>
      <w:r>
        <w:t> </w:t>
      </w:r>
      <w:r w:rsidRPr="00C26591">
        <w:t>toho</w:t>
      </w:r>
      <w:r>
        <w:t xml:space="preserve"> největší podíl má</w:t>
      </w:r>
      <w:r w:rsidRPr="00C26591">
        <w:t xml:space="preserve"> Všeobecná zdravotní pojišťovna ČR (dále jen „VZP ČR“)</w:t>
      </w:r>
      <w:r>
        <w:t>, tento podíl se však postupně snižuje a v současné době činí</w:t>
      </w:r>
      <w:r w:rsidRPr="00C26591">
        <w:t xml:space="preserve"> </w:t>
      </w:r>
      <w:r>
        <w:t xml:space="preserve">přibližně </w:t>
      </w:r>
      <w:r w:rsidRPr="00C26591">
        <w:t xml:space="preserve">5,98 mil., tj. </w:t>
      </w:r>
      <w:r>
        <w:t xml:space="preserve">cca </w:t>
      </w:r>
      <w:r w:rsidRPr="00C26591">
        <w:t>5</w:t>
      </w:r>
      <w:r>
        <w:t>7,5</w:t>
      </w:r>
      <w:r w:rsidRPr="00C26591">
        <w:t xml:space="preserve"> % pojištěnců</w:t>
      </w:r>
      <w:r>
        <w:t xml:space="preserve"> systému v. z. p.</w:t>
      </w:r>
      <w:r>
        <w:rPr>
          <w:rStyle w:val="FootnoteReference"/>
        </w:rPr>
        <w:footnoteReference w:id="8"/>
      </w:r>
      <w:r>
        <w:t xml:space="preserve"> </w:t>
      </w:r>
      <w:r w:rsidRPr="004352F9">
        <w:t xml:space="preserve">Provozování komerčního pojištění </w:t>
      </w:r>
      <w:r>
        <w:t>v</w:t>
      </w:r>
      <w:r w:rsidRPr="004352F9">
        <w:t xml:space="preserve"> systému v.</w:t>
      </w:r>
      <w:r>
        <w:t xml:space="preserve"> </w:t>
      </w:r>
      <w:r w:rsidRPr="004352F9">
        <w:t xml:space="preserve">z. p. </w:t>
      </w:r>
      <w:r>
        <w:t>platné zákony a právo EU nepřipouští, proto VZP ČR a Oborová zdravotní pojišťovna bank, pojišťoven a stavebnictví provozují tento druh pojištění odděleně, ve stoprocentně vlastněných dceřiných společnostech</w:t>
      </w:r>
      <w:r w:rsidRPr="00E02AEB">
        <w:t>.</w:t>
      </w:r>
      <w:r>
        <w:t xml:space="preserve"> </w:t>
      </w:r>
    </w:p>
    <w:p w:rsidR="00700A53" w:rsidRPr="00F328BC" w:rsidRDefault="00700A53" w:rsidP="00F15E35">
      <w:pPr>
        <w:pStyle w:val="Standardnstyl"/>
      </w:pPr>
      <w:r w:rsidRPr="00562BEE">
        <w:t>Odhad očekávaných výsledků hospodaření zdravotních pojišťoven (dále ZP) v roce 2014 vychází zejména z hodnocení výsledků hospodaření zdravotních pojišťoven za 1. pololetí 2014 a z aktuální makroekonomické predikce ČR (především při konstrukci příjmové strany systému v. z. p.).</w:t>
      </w:r>
    </w:p>
    <w:p w:rsidR="00700A53" w:rsidRPr="00C26591" w:rsidRDefault="00700A53" w:rsidP="00F15E35">
      <w:pPr>
        <w:pStyle w:val="Standardnstyl"/>
      </w:pPr>
      <w:r w:rsidRPr="00C26591">
        <w:t>Celkové příjmy systému v. z. p. v roce 2014</w:t>
      </w:r>
      <w:r w:rsidRPr="00C26591">
        <w:rPr>
          <w:b/>
        </w:rPr>
        <w:t xml:space="preserve"> </w:t>
      </w:r>
      <w:r w:rsidRPr="00C26591">
        <w:t xml:space="preserve">jsou odhadovány na </w:t>
      </w:r>
      <w:r>
        <w:t>239,92</w:t>
      </w:r>
      <w:r w:rsidRPr="00C26591">
        <w:t xml:space="preserve"> mld. Kč při meziročním nárůstu o </w:t>
      </w:r>
      <w:r>
        <w:t>11,36</w:t>
      </w:r>
      <w:r w:rsidRPr="00C26591">
        <w:t xml:space="preserve"> mld. Kč (</w:t>
      </w:r>
      <w:r>
        <w:t>5,0</w:t>
      </w:r>
      <w:r w:rsidRPr="00C26591">
        <w:t xml:space="preserve"> %)</w:t>
      </w:r>
      <w:r>
        <w:t xml:space="preserve">, a to především díky nárůstu plateb ze státního rozpočtu za </w:t>
      </w:r>
      <w:r w:rsidRPr="00C26591">
        <w:t xml:space="preserve">osoby, za které je plátcem pojistného stát </w:t>
      </w:r>
      <w:r>
        <w:t>(plateb za státní pojištěnce)</w:t>
      </w:r>
      <w:r w:rsidRPr="00C26591">
        <w:t>. Rozhodující měrou se na nich podílí příjmy z</w:t>
      </w:r>
      <w:r>
        <w:t xml:space="preserve"> </w:t>
      </w:r>
      <w:r w:rsidRPr="00C26591">
        <w:t xml:space="preserve">vlastního výběru pojistného včetně příslušenství, které tvoří </w:t>
      </w:r>
      <w:r>
        <w:t>74,1</w:t>
      </w:r>
      <w:r w:rsidRPr="00C26591">
        <w:t xml:space="preserve"> % z celkového objemu příjmů. Zbytek příjmů tvoří převážně příjmy z</w:t>
      </w:r>
      <w:r>
        <w:t>e zmíněných</w:t>
      </w:r>
      <w:r w:rsidRPr="00C26591">
        <w:t xml:space="preserve"> plateb za </w:t>
      </w:r>
      <w:r>
        <w:t xml:space="preserve">státní pojištěnce </w:t>
      </w:r>
      <w:r w:rsidRPr="00C26591">
        <w:t xml:space="preserve">s podílem </w:t>
      </w:r>
      <w:r>
        <w:t>25,2</w:t>
      </w:r>
      <w:r w:rsidRPr="00C26591">
        <w:rPr>
          <w:color w:val="000000"/>
        </w:rPr>
        <w:t xml:space="preserve"> </w:t>
      </w:r>
      <w:r w:rsidRPr="00C26591">
        <w:t>% z celkových příjmů systému veřejného zdravotního pojištění. Ostatní příjmy mají jen marginální</w:t>
      </w:r>
      <w:r w:rsidRPr="00F328BC">
        <w:t xml:space="preserve"> význam a dosáhnou </w:t>
      </w:r>
      <w:r>
        <w:t>1,32</w:t>
      </w:r>
      <w:r w:rsidRPr="00C26591">
        <w:t> mld. Kč. Jsou tvořeny především očekávanými příjmy od zahraničních pojišťoven, sankčními příjmy, úroky a příjmy z vlastní činnosti.</w:t>
      </w:r>
    </w:p>
    <w:p w:rsidR="00700A53" w:rsidRPr="00C26591" w:rsidRDefault="00700A53" w:rsidP="00F15E35">
      <w:pPr>
        <w:pStyle w:val="Standardnstyl"/>
      </w:pPr>
      <w:r w:rsidRPr="00C26591">
        <w:t>Celkové výdaje v. z. p. se v roce 2014 meziročně zvýší o </w:t>
      </w:r>
      <w:r>
        <w:t>9,52</w:t>
      </w:r>
      <w:r w:rsidRPr="00C26591">
        <w:t xml:space="preserve"> mld. Kč (o </w:t>
      </w:r>
      <w:r>
        <w:t>4,1</w:t>
      </w:r>
      <w:r w:rsidRPr="00C26591">
        <w:t xml:space="preserve"> %) na </w:t>
      </w:r>
      <w:r>
        <w:t>239,43</w:t>
      </w:r>
      <w:r w:rsidRPr="00C26591">
        <w:t xml:space="preserve"> mld. Kč. </w:t>
      </w:r>
      <w:r>
        <w:t>Většinu</w:t>
      </w:r>
      <w:r w:rsidRPr="00C26591">
        <w:t xml:space="preserve"> výdajů (</w:t>
      </w:r>
      <w:r>
        <w:t>96,3</w:t>
      </w:r>
      <w:r w:rsidRPr="00C26591">
        <w:t xml:space="preserve"> %) budou tvořit výdaje na zdravotní péči, které se oproti předcházejícímu roku</w:t>
      </w:r>
      <w:r>
        <w:t xml:space="preserve"> 2013</w:t>
      </w:r>
      <w:r w:rsidRPr="00C26591">
        <w:t xml:space="preserve"> zvýší o </w:t>
      </w:r>
      <w:r>
        <w:t>3,4</w:t>
      </w:r>
      <w:r w:rsidRPr="00C26591">
        <w:t xml:space="preserve"> %. V souvislosti s tímto vývojem lze</w:t>
      </w:r>
      <w:r>
        <w:t xml:space="preserve"> </w:t>
      </w:r>
      <w:r w:rsidRPr="00C26591">
        <w:t xml:space="preserve">na konci roku 2014 očekávat přebytek hospodaření systému v. z. p. ve výši </w:t>
      </w:r>
      <w:r>
        <w:t>0,50</w:t>
      </w:r>
      <w:r w:rsidRPr="00C26591">
        <w:t> mld. Kč</w:t>
      </w:r>
      <w:r>
        <w:t>, čímž</w:t>
      </w:r>
      <w:r w:rsidRPr="00C26591">
        <w:t xml:space="preserve"> dojde ke zlepšení salda </w:t>
      </w:r>
      <w:r>
        <w:t xml:space="preserve">meziročně </w:t>
      </w:r>
      <w:r w:rsidRPr="00C26591">
        <w:t>o 1,84</w:t>
      </w:r>
      <w:r>
        <w:t xml:space="preserve"> mld. Kč.</w:t>
      </w:r>
    </w:p>
    <w:p w:rsidR="00700A53" w:rsidRPr="00C26591" w:rsidRDefault="00700A53" w:rsidP="00F15E35">
      <w:pPr>
        <w:pStyle w:val="Standardnstyl"/>
      </w:pPr>
      <w:r w:rsidRPr="00C26591">
        <w:t>Predikce základních ukazatelů finanční bilance systému v. z. p. pro rok 2015 vychází z aktuální makroekonomické predikce.</w:t>
      </w:r>
      <w:r>
        <w:t xml:space="preserve"> </w:t>
      </w:r>
      <w:r w:rsidRPr="00C26591">
        <w:t xml:space="preserve">Celkové příjmy se v roce 2015 očekávají ve výši </w:t>
      </w:r>
      <w:r>
        <w:t>247,40</w:t>
      </w:r>
      <w:r w:rsidRPr="00C26591">
        <w:t xml:space="preserve"> </w:t>
      </w:r>
      <w:r w:rsidRPr="00C26591">
        <w:rPr>
          <w:color w:val="000000"/>
        </w:rPr>
        <w:t>mld. Kč s meziročním nárůstem o </w:t>
      </w:r>
      <w:r>
        <w:t>3,1</w:t>
      </w:r>
      <w:r w:rsidRPr="00C26591">
        <w:rPr>
          <w:color w:val="000000"/>
        </w:rPr>
        <w:t xml:space="preserve"> %. Z toho podíl příjmů z vlastního výběru pojistného včetně p</w:t>
      </w:r>
      <w:r w:rsidRPr="00F328BC">
        <w:rPr>
          <w:color w:val="000000"/>
        </w:rPr>
        <w:t xml:space="preserve">říslušenství bude činit </w:t>
      </w:r>
      <w:r>
        <w:t>74,0</w:t>
      </w:r>
      <w:r w:rsidRPr="00C26591">
        <w:rPr>
          <w:color w:val="000000"/>
        </w:rPr>
        <w:t xml:space="preserve"> </w:t>
      </w:r>
      <w:r w:rsidRPr="00C26591">
        <w:t xml:space="preserve">%. Obdobně jako v předchozích letech </w:t>
      </w:r>
      <w:r>
        <w:t xml:space="preserve">budou </w:t>
      </w:r>
      <w:r w:rsidRPr="00C26591">
        <w:t xml:space="preserve">ostatní příjmy systému v. z. p. zanedbatelné. </w:t>
      </w:r>
    </w:p>
    <w:p w:rsidR="00700A53" w:rsidRPr="00A67AD7" w:rsidRDefault="00700A53" w:rsidP="00F15E35">
      <w:pPr>
        <w:pStyle w:val="Standardnstyl"/>
        <w:rPr>
          <w:i/>
        </w:rPr>
      </w:pPr>
      <w:r w:rsidRPr="00C26591">
        <w:t xml:space="preserve">Meziroční tempo růstu celkových výdajů systému v. z. p. se v roce 2015 předpokládá ve výši </w:t>
      </w:r>
      <w:r>
        <w:t>3,3</w:t>
      </w:r>
      <w:r w:rsidRPr="00C26591">
        <w:t> %. Tempo růstu výdajů na zdravotní péči bude mít mírně vyšší dynamiku</w:t>
      </w:r>
      <w:r>
        <w:t>, a to</w:t>
      </w:r>
      <w:r w:rsidRPr="00C26591">
        <w:t xml:space="preserve"> </w:t>
      </w:r>
      <w:r>
        <w:t>4,3</w:t>
      </w:r>
      <w:r w:rsidRPr="00C26591">
        <w:t xml:space="preserve">  %. Tyto výdaje budou tvořit </w:t>
      </w:r>
      <w:r>
        <w:t>97,3</w:t>
      </w:r>
      <w:r w:rsidRPr="00C26591">
        <w:t xml:space="preserve"> % celkových výdajů. V absolutním vyjádření se výše celkových výdajů očekává na úrovni </w:t>
      </w:r>
      <w:r>
        <w:t>247,24</w:t>
      </w:r>
      <w:r w:rsidRPr="00C26591">
        <w:t xml:space="preserve"> mld. Kč. Na základě odhadovaných příjm</w:t>
      </w:r>
      <w:r>
        <w:t xml:space="preserve">ů a výdajů lze předpokládat, že rovněž v roce </w:t>
      </w:r>
      <w:r w:rsidRPr="00C26591">
        <w:t>2015 bude dosažen v systému v. z. p. přebytek hospodaření</w:t>
      </w:r>
      <w:r>
        <w:t>, a to</w:t>
      </w:r>
      <w:r w:rsidRPr="00C26591">
        <w:t xml:space="preserve"> ve výši </w:t>
      </w:r>
      <w:r>
        <w:t>0,16</w:t>
      </w:r>
      <w:r w:rsidRPr="00C26591">
        <w:t xml:space="preserve">  mld. Kč. </w:t>
      </w:r>
    </w:p>
    <w:p w:rsidR="00700A53" w:rsidRDefault="00700A53" w:rsidP="00DC481C">
      <w:pPr>
        <w:pStyle w:val="Caption"/>
      </w:pPr>
      <w:r>
        <w:t xml:space="preserve">Tabulka č. </w:t>
      </w:r>
      <w:fldSimple w:instr=" SEQ Tabulka \* ARABIC ">
        <w:r>
          <w:rPr>
            <w:noProof/>
          </w:rPr>
          <w:t>17</w:t>
        </w:r>
      </w:fldSimple>
      <w:r>
        <w:rPr>
          <w:noProof/>
        </w:rPr>
        <w:t xml:space="preserve">7: </w:t>
      </w:r>
      <w:r>
        <w:t>Bilance veřejného zdravotního pojištění v mld. Kč</w:t>
      </w:r>
    </w:p>
    <w:p w:rsidR="00700A53" w:rsidRDefault="00700A53" w:rsidP="00256D4F">
      <w:pPr>
        <w:pStyle w:val="graftab"/>
      </w:pPr>
      <w:r>
        <w:pict>
          <v:shape id="_x0000_i1046" type="#_x0000_t75" style="width:450.6pt;height:508.8pt">
            <v:imagedata r:id="rId42" o:title=""/>
          </v:shape>
        </w:pict>
      </w:r>
      <w:r w:rsidRPr="003F2429">
        <w:t xml:space="preserve">Pramen: </w:t>
      </w:r>
      <w:r>
        <w:t>Ministerstvo financí ČR</w:t>
      </w:r>
    </w:p>
    <w:p w:rsidR="00700A53" w:rsidRDefault="00700A53" w:rsidP="00F15E35">
      <w:pPr>
        <w:pStyle w:val="StylvysvtlivkyVlevo0cmPrvndek0cm"/>
        <w:numPr>
          <w:ilvl w:val="0"/>
          <w:numId w:val="12"/>
        </w:numPr>
        <w:tabs>
          <w:tab w:val="clear" w:pos="1065"/>
          <w:tab w:val="num" w:pos="360"/>
        </w:tabs>
        <w:ind w:hanging="1065"/>
      </w:pPr>
      <w:r>
        <w:t>pojistné na zdravotní pojištění včetně příslušenství</w:t>
      </w:r>
    </w:p>
    <w:p w:rsidR="00700A53" w:rsidRPr="002978FF" w:rsidRDefault="00700A53" w:rsidP="00F41F5D">
      <w:pPr>
        <w:pStyle w:val="StylvysvtlivkyVlevo0cmPrvndek0cm"/>
        <w:numPr>
          <w:ilvl w:val="0"/>
          <w:numId w:val="0"/>
        </w:numPr>
        <w:ind w:left="360" w:hanging="360"/>
      </w:pPr>
      <w:r>
        <w:t>2)</w:t>
      </w:r>
      <w:r>
        <w:tab/>
        <w:t>výdaje na zdravotní péči</w:t>
      </w:r>
    </w:p>
    <w:sectPr w:rsidR="00700A53" w:rsidRPr="002978FF" w:rsidSect="00AB0D5F">
      <w:type w:val="continuous"/>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0A53" w:rsidRDefault="00700A53" w:rsidP="002F6CD2">
      <w:r>
        <w:separator/>
      </w:r>
    </w:p>
  </w:endnote>
  <w:endnote w:type="continuationSeparator" w:id="0">
    <w:p w:rsidR="00700A53" w:rsidRDefault="00700A53" w:rsidP="002F6CD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53" w:rsidRDefault="00700A53" w:rsidP="002C4E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42</w:t>
    </w:r>
    <w:r>
      <w:rPr>
        <w:rStyle w:val="PageNumber"/>
      </w:rPr>
      <w:fldChar w:fldCharType="end"/>
    </w:r>
  </w:p>
  <w:p w:rsidR="00700A53" w:rsidRDefault="00700A5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53" w:rsidRDefault="00700A53" w:rsidP="00306B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00A53" w:rsidRDefault="00700A53">
    <w:pPr>
      <w:pStyle w:val="Footer"/>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53" w:rsidRDefault="00700A53" w:rsidP="00404A4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53" w:rsidRDefault="00700A53" w:rsidP="00C97B5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700A53" w:rsidRDefault="00700A53">
    <w:pPr>
      <w:pStyle w:val="Footer"/>
      <w:ind w:right="360"/>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53" w:rsidRDefault="00700A53" w:rsidP="00C97B5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700A53" w:rsidRDefault="00700A53">
    <w:pPr>
      <w:pStyle w:val="Footer"/>
      <w:ind w:right="360"/>
      <w:jc w:val="cen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53" w:rsidRDefault="00700A53" w:rsidP="00D55F8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700A53" w:rsidRDefault="00700A53">
    <w:pPr>
      <w:pStyle w:val="Footer"/>
      <w:ind w:right="360"/>
      <w:jc w:val="cen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53" w:rsidRDefault="00700A53" w:rsidP="00D55F8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700A53" w:rsidRDefault="00700A53">
    <w:pPr>
      <w:pStyle w:val="Foote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0A53" w:rsidRDefault="00700A53" w:rsidP="002F6CD2">
      <w:r>
        <w:separator/>
      </w:r>
    </w:p>
  </w:footnote>
  <w:footnote w:type="continuationSeparator" w:id="0">
    <w:p w:rsidR="00700A53" w:rsidRDefault="00700A53" w:rsidP="002F6CD2">
      <w:r>
        <w:continuationSeparator/>
      </w:r>
    </w:p>
  </w:footnote>
  <w:footnote w:id="1">
    <w:p w:rsidR="00700A53" w:rsidRDefault="00700A53">
      <w:pPr>
        <w:pStyle w:val="FootnoteText"/>
      </w:pPr>
      <w:r>
        <w:rPr>
          <w:rStyle w:val="FootnoteReference"/>
        </w:rPr>
        <w:footnoteRef/>
      </w:r>
      <w:r>
        <w:t xml:space="preserve"> včetně </w:t>
      </w:r>
      <w:r w:rsidRPr="006F0A66">
        <w:t>transakcí Národního fondu a </w:t>
      </w:r>
      <w:r>
        <w:t> Fondu privatizace</w:t>
      </w:r>
    </w:p>
  </w:footnote>
  <w:footnote w:id="2">
    <w:p w:rsidR="00700A53" w:rsidRDefault="00700A53">
      <w:pPr>
        <w:pStyle w:val="FootnoteText"/>
      </w:pPr>
      <w:r>
        <w:rPr>
          <w:rStyle w:val="FootnoteReference"/>
        </w:rPr>
        <w:footnoteRef/>
      </w:r>
      <w:r>
        <w:t xml:space="preserve"> Po zrušení Pozemkového fondu ČR k 1. 1. 2013 jsou mimorozpočtové fondy v současné době tvořeny pouze státními fondy, kterých nyní existuje šest. Jejich výčet je uveden vždy v poznámce 2 pod tabulkami č. 3-6 anebo v obsahu tohoto textu v pasáži II. A Státní fondy.</w:t>
      </w:r>
    </w:p>
  </w:footnote>
  <w:footnote w:id="3">
    <w:p w:rsidR="00700A53" w:rsidRDefault="00700A53" w:rsidP="00256D4F">
      <w:pPr>
        <w:pStyle w:val="FootnoteText"/>
      </w:pPr>
      <w:r>
        <w:rPr>
          <w:rStyle w:val="FootnoteReference"/>
        </w:rPr>
        <w:footnoteRef/>
      </w:r>
      <w:r>
        <w:t xml:space="preserve"> Jedná se o deficit očištěný o výdaje spojené s dluhovými úroky, jak již bylo uvedeno v předchozí kapitole.</w:t>
      </w:r>
    </w:p>
  </w:footnote>
  <w:footnote w:id="4">
    <w:p w:rsidR="00700A53" w:rsidRDefault="00700A53">
      <w:pPr>
        <w:pStyle w:val="FootnoteText"/>
      </w:pPr>
      <w:r>
        <w:rPr>
          <w:rStyle w:val="FootnoteReference"/>
        </w:rPr>
        <w:footnoteRef/>
      </w:r>
      <w:r>
        <w:t xml:space="preserve"> p</w:t>
      </w:r>
      <w:r w:rsidRPr="00CC3CA3">
        <w:t xml:space="preserve">odíl státního </w:t>
      </w:r>
      <w:r>
        <w:t>konsolidovaného</w:t>
      </w:r>
      <w:r w:rsidRPr="00CC3CA3">
        <w:t xml:space="preserve"> dluhu na celkovém veřejném </w:t>
      </w:r>
      <w:r>
        <w:t>nekonsolidovaném</w:t>
      </w:r>
      <w:r w:rsidRPr="00CC3CA3">
        <w:t xml:space="preserve"> dluhu</w:t>
      </w:r>
    </w:p>
  </w:footnote>
  <w:footnote w:id="5">
    <w:p w:rsidR="00700A53" w:rsidRDefault="00700A53">
      <w:pPr>
        <w:pStyle w:val="FootnoteText"/>
      </w:pPr>
      <w:r>
        <w:rPr>
          <w:rStyle w:val="FootnoteReference"/>
        </w:rPr>
        <w:footnoteRef/>
      </w:r>
      <w:r>
        <w:t xml:space="preserve"> p</w:t>
      </w:r>
      <w:r w:rsidRPr="00CC3CA3">
        <w:t xml:space="preserve">odíl státního </w:t>
      </w:r>
      <w:r>
        <w:t>konsolidovaného</w:t>
      </w:r>
      <w:r w:rsidRPr="00CC3CA3">
        <w:t xml:space="preserve"> dluhu na celkovém veřejném </w:t>
      </w:r>
      <w:r>
        <w:t>nekonsolidovaném</w:t>
      </w:r>
      <w:r w:rsidRPr="00CC3CA3">
        <w:t xml:space="preserve"> dluhu</w:t>
      </w:r>
    </w:p>
  </w:footnote>
  <w:footnote w:id="6">
    <w:p w:rsidR="00700A53" w:rsidRDefault="00700A53">
      <w:pPr>
        <w:pStyle w:val="FootnoteText"/>
      </w:pPr>
      <w:r>
        <w:rPr>
          <w:rStyle w:val="FootnoteReference"/>
        </w:rPr>
        <w:footnoteRef/>
      </w:r>
      <w:r>
        <w:t xml:space="preserve"> </w:t>
      </w:r>
      <w:r w:rsidRPr="00E74105">
        <w:t>Kjótský protokol umožnil České republice prodat 100 miliónů emisních kreditů, tj. 100 miliónů tun emisí CO</w:t>
      </w:r>
      <w:r w:rsidRPr="00E74105">
        <w:rPr>
          <w:vertAlign w:val="subscript"/>
        </w:rPr>
        <w:t>2</w:t>
      </w:r>
      <w:r w:rsidRPr="00E74105">
        <w:t>. Na základě zákona č. 695/2004 Sb., o podmínkách obchodování s povolenkami na emise skleníkových plynů a</w:t>
      </w:r>
      <w:r>
        <w:t> </w:t>
      </w:r>
      <w:r w:rsidRPr="00E74105">
        <w:t xml:space="preserve">nakládání s nimi, ve znění zákona č. 315/2008 Sb., </w:t>
      </w:r>
      <w:r>
        <w:t>byly</w:t>
      </w:r>
      <w:r w:rsidRPr="00E74105">
        <w:t xml:space="preserve"> výnosy z prodeje emisních kreditů příjmem Fondu a</w:t>
      </w:r>
      <w:r>
        <w:t> bylo možné</w:t>
      </w:r>
      <w:r w:rsidRPr="00E74105">
        <w:t xml:space="preserve"> je použít pouze na další snižování emisí CO</w:t>
      </w:r>
      <w:r w:rsidRPr="00E74105">
        <w:rPr>
          <w:vertAlign w:val="subscript"/>
        </w:rPr>
        <w:t>2</w:t>
      </w:r>
      <w:r>
        <w:t>.</w:t>
      </w:r>
    </w:p>
  </w:footnote>
  <w:footnote w:id="7">
    <w:p w:rsidR="00700A53" w:rsidRDefault="00700A53">
      <w:pPr>
        <w:pStyle w:val="FootnoteText"/>
      </w:pPr>
      <w:r>
        <w:rPr>
          <w:rStyle w:val="FootnoteReference"/>
        </w:rPr>
        <w:footnoteRef/>
      </w:r>
      <w:r>
        <w:t xml:space="preserve"> Vláda svým usnesením č. 617 ze dne 23. června 2003 schválila využití finančních prostředků ze zdrojů Housing Guaranty Programu (spravovaných Municipální finanční společností, a.s.) až do výše 500 mil. Kč za úrokovou sazbu 2,5 % p. a. na finanční podporu projektů přispívajících k ochraně a zlepšování životního prostředí v ČR. K 19. 5. 2004 byl tento úvěr do smluvní výše vyčerpán. Od počátku roku 2005 je úvěr splácen a jeho celkové umoření se předpokládá ke konci roku 2014. Získané prostředky jsou používány výhradně na financování půjček žadatelům.</w:t>
      </w:r>
    </w:p>
  </w:footnote>
  <w:footnote w:id="8">
    <w:p w:rsidR="00700A53" w:rsidRDefault="00700A53">
      <w:pPr>
        <w:pStyle w:val="FootnoteText"/>
      </w:pPr>
      <w:r>
        <w:rPr>
          <w:rStyle w:val="FootnoteReference"/>
        </w:rPr>
        <w:footnoteRef/>
      </w:r>
      <w:r>
        <w:t xml:space="preserve"> T</w:t>
      </w:r>
      <w:r w:rsidRPr="00E16243">
        <w:t xml:space="preserve">ermín pro změnu pojišťovny je zákonem stanoven na 1. </w:t>
      </w:r>
      <w:r>
        <w:t>1. následujícího roku pro návrh poda</w:t>
      </w:r>
      <w:r w:rsidRPr="00E16243">
        <w:t>n</w:t>
      </w:r>
      <w:r>
        <w:t>ý</w:t>
      </w:r>
      <w:r w:rsidRPr="00E16243">
        <w:t xml:space="preserve"> do 30.</w:t>
      </w:r>
      <w:r>
        <w:t xml:space="preserve"> </w:t>
      </w:r>
      <w:r w:rsidRPr="00E16243">
        <w:t>6</w:t>
      </w:r>
      <w:r>
        <w:t>.</w:t>
      </w:r>
      <w:r w:rsidRPr="00E16243">
        <w:t xml:space="preserve"> </w:t>
      </w:r>
      <w:r>
        <w:t>běžného</w:t>
      </w:r>
      <w:r w:rsidRPr="00E16243">
        <w:t xml:space="preserve"> roku.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53" w:rsidRDefault="00700A5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53" w:rsidRDefault="00700A5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53" w:rsidRDefault="00700A5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53" w:rsidRDefault="00700A5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53" w:rsidRDefault="00700A53">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53" w:rsidRDefault="00700A5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53" w:rsidRDefault="00700A5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05C1B"/>
    <w:multiLevelType w:val="hybridMultilevel"/>
    <w:tmpl w:val="E1AAD786"/>
    <w:lvl w:ilvl="0" w:tplc="4474A90C">
      <w:start w:val="2"/>
      <w:numFmt w:val="upperLetter"/>
      <w:lvlText w:val="%1)"/>
      <w:lvlJc w:val="left"/>
      <w:pPr>
        <w:tabs>
          <w:tab w:val="num" w:pos="720"/>
        </w:tabs>
        <w:ind w:left="720" w:hanging="360"/>
      </w:pPr>
      <w:rPr>
        <w:rFonts w:ascii="Arial" w:hAnsi="Arial" w:cs="Times New Roman" w:hint="default"/>
        <w:sz w:val="28"/>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0EC67DD3"/>
    <w:multiLevelType w:val="hybridMultilevel"/>
    <w:tmpl w:val="B0844706"/>
    <w:lvl w:ilvl="0" w:tplc="333601C4">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267648B8"/>
    <w:multiLevelType w:val="hybridMultilevel"/>
    <w:tmpl w:val="04E62388"/>
    <w:lvl w:ilvl="0" w:tplc="707823AC">
      <w:start w:val="1"/>
      <w:numFmt w:val="decimal"/>
      <w:lvlText w:val="%1)"/>
      <w:lvlJc w:val="left"/>
      <w:pPr>
        <w:tabs>
          <w:tab w:val="num" w:pos="1065"/>
        </w:tabs>
        <w:ind w:left="1065" w:hanging="705"/>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34A84892"/>
    <w:multiLevelType w:val="hybridMultilevel"/>
    <w:tmpl w:val="89423C4A"/>
    <w:lvl w:ilvl="0" w:tplc="333601C4">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368672AB"/>
    <w:multiLevelType w:val="hybridMultilevel"/>
    <w:tmpl w:val="D6702268"/>
    <w:lvl w:ilvl="0" w:tplc="333601C4">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37963DF2"/>
    <w:multiLevelType w:val="hybridMultilevel"/>
    <w:tmpl w:val="0FEEA1CA"/>
    <w:lvl w:ilvl="0" w:tplc="C3124602">
      <w:start w:val="1"/>
      <w:numFmt w:val="decimal"/>
      <w:lvlText w:val="%1."/>
      <w:lvlJc w:val="left"/>
      <w:pPr>
        <w:tabs>
          <w:tab w:val="num" w:pos="1638"/>
        </w:tabs>
        <w:ind w:left="1638" w:hanging="930"/>
      </w:pPr>
      <w:rPr>
        <w:rFonts w:cs="Times New Roman" w:hint="default"/>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6">
    <w:nsid w:val="379A5139"/>
    <w:multiLevelType w:val="hybridMultilevel"/>
    <w:tmpl w:val="46DAA6E4"/>
    <w:lvl w:ilvl="0" w:tplc="141A6B7E">
      <w:start w:val="1"/>
      <w:numFmt w:val="decimal"/>
      <w:pStyle w:val="StylvysvtlivkyVlevo0cmPrvndek0cm"/>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40BF2342"/>
    <w:multiLevelType w:val="hybridMultilevel"/>
    <w:tmpl w:val="F8FC743A"/>
    <w:lvl w:ilvl="0" w:tplc="3D86B7BA">
      <w:start w:val="2"/>
      <w:numFmt w:val="upp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430273D8"/>
    <w:multiLevelType w:val="hybridMultilevel"/>
    <w:tmpl w:val="6AACCFBE"/>
    <w:lvl w:ilvl="0" w:tplc="333601C4">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6B7E089D"/>
    <w:multiLevelType w:val="hybridMultilevel"/>
    <w:tmpl w:val="41C8E4AC"/>
    <w:lvl w:ilvl="0" w:tplc="0405000B">
      <w:start w:val="1"/>
      <w:numFmt w:val="bullet"/>
      <w:lvlText w:val=""/>
      <w:lvlJc w:val="left"/>
      <w:pPr>
        <w:tabs>
          <w:tab w:val="num" w:pos="1260"/>
        </w:tabs>
        <w:ind w:left="1260" w:hanging="360"/>
      </w:pPr>
      <w:rPr>
        <w:rFonts w:ascii="Wingdings" w:hAnsi="Wingdings" w:hint="default"/>
      </w:rPr>
    </w:lvl>
    <w:lvl w:ilvl="1" w:tplc="04050003">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0">
    <w:nsid w:val="6F4E4E6E"/>
    <w:multiLevelType w:val="hybridMultilevel"/>
    <w:tmpl w:val="3B081394"/>
    <w:lvl w:ilvl="0" w:tplc="AF68CB2C">
      <w:start w:val="1"/>
      <w:numFmt w:val="upperLetter"/>
      <w:pStyle w:val="Heading2"/>
      <w:lvlText w:val="%1)"/>
      <w:lvlJc w:val="left"/>
      <w:pPr>
        <w:tabs>
          <w:tab w:val="num" w:pos="360"/>
        </w:tabs>
      </w:pPr>
      <w:rPr>
        <w:rFonts w:ascii="Arial" w:hAnsi="Arial" w:cs="Times New Roman" w:hint="default"/>
        <w:b/>
        <w:i/>
        <w:sz w:val="28"/>
      </w:rPr>
    </w:lvl>
    <w:lvl w:ilvl="1" w:tplc="732014E6">
      <w:start w:val="1"/>
      <w:numFmt w:val="decimal"/>
      <w:pStyle w:val="Heading3"/>
      <w:lvlText w:val="%2."/>
      <w:lvlJc w:val="left"/>
      <w:pPr>
        <w:tabs>
          <w:tab w:val="num" w:pos="108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0"/>
  </w:num>
  <w:num w:numId="3">
    <w:abstractNumId w:val="10"/>
    <w:lvlOverride w:ilvl="0">
      <w:startOverride w:val="1"/>
    </w:lvlOverride>
  </w:num>
  <w:num w:numId="4">
    <w:abstractNumId w:val="1"/>
  </w:num>
  <w:num w:numId="5">
    <w:abstractNumId w:val="3"/>
  </w:num>
  <w:num w:numId="6">
    <w:abstractNumId w:val="8"/>
  </w:num>
  <w:num w:numId="7">
    <w:abstractNumId w:val="4"/>
  </w:num>
  <w:num w:numId="8">
    <w:abstractNumId w:val="0"/>
  </w:num>
  <w:num w:numId="9">
    <w:abstractNumId w:val="7"/>
  </w:num>
  <w:num w:numId="10">
    <w:abstractNumId w:val="5"/>
  </w:num>
  <w:num w:numId="11">
    <w:abstractNumId w:val="9"/>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7FBE"/>
    <w:rsid w:val="00001365"/>
    <w:rsid w:val="00001640"/>
    <w:rsid w:val="00001E85"/>
    <w:rsid w:val="00003FA7"/>
    <w:rsid w:val="000043E6"/>
    <w:rsid w:val="000043FD"/>
    <w:rsid w:val="00004619"/>
    <w:rsid w:val="0000492D"/>
    <w:rsid w:val="00005590"/>
    <w:rsid w:val="00005EA2"/>
    <w:rsid w:val="000060F7"/>
    <w:rsid w:val="00006A0C"/>
    <w:rsid w:val="00006B2A"/>
    <w:rsid w:val="000070EF"/>
    <w:rsid w:val="000071C9"/>
    <w:rsid w:val="00007608"/>
    <w:rsid w:val="0000771D"/>
    <w:rsid w:val="00007ABC"/>
    <w:rsid w:val="0001077F"/>
    <w:rsid w:val="0001098C"/>
    <w:rsid w:val="00011A4E"/>
    <w:rsid w:val="00012AB6"/>
    <w:rsid w:val="00012C0F"/>
    <w:rsid w:val="00012CAA"/>
    <w:rsid w:val="00013DA6"/>
    <w:rsid w:val="00013DF5"/>
    <w:rsid w:val="000145B0"/>
    <w:rsid w:val="00014AF2"/>
    <w:rsid w:val="00014D8A"/>
    <w:rsid w:val="00014E0A"/>
    <w:rsid w:val="000153A5"/>
    <w:rsid w:val="00015B40"/>
    <w:rsid w:val="00015C03"/>
    <w:rsid w:val="00016821"/>
    <w:rsid w:val="00016F12"/>
    <w:rsid w:val="0001760B"/>
    <w:rsid w:val="00017DB3"/>
    <w:rsid w:val="0002049B"/>
    <w:rsid w:val="0002050D"/>
    <w:rsid w:val="0002084D"/>
    <w:rsid w:val="00020A7A"/>
    <w:rsid w:val="000210EE"/>
    <w:rsid w:val="00021770"/>
    <w:rsid w:val="00021BBA"/>
    <w:rsid w:val="0002260A"/>
    <w:rsid w:val="000229D9"/>
    <w:rsid w:val="00022BFA"/>
    <w:rsid w:val="00023B62"/>
    <w:rsid w:val="000243A5"/>
    <w:rsid w:val="0002509F"/>
    <w:rsid w:val="0002511A"/>
    <w:rsid w:val="0002533C"/>
    <w:rsid w:val="000254A5"/>
    <w:rsid w:val="00025DFA"/>
    <w:rsid w:val="00026584"/>
    <w:rsid w:val="000266A9"/>
    <w:rsid w:val="000266E0"/>
    <w:rsid w:val="000266F9"/>
    <w:rsid w:val="0002673C"/>
    <w:rsid w:val="00026C95"/>
    <w:rsid w:val="00027297"/>
    <w:rsid w:val="00027779"/>
    <w:rsid w:val="000278F3"/>
    <w:rsid w:val="000279D7"/>
    <w:rsid w:val="00027B2F"/>
    <w:rsid w:val="00027E6E"/>
    <w:rsid w:val="00027FDD"/>
    <w:rsid w:val="00030B8A"/>
    <w:rsid w:val="00030E7B"/>
    <w:rsid w:val="00031176"/>
    <w:rsid w:val="000313AF"/>
    <w:rsid w:val="00031E4E"/>
    <w:rsid w:val="000327FC"/>
    <w:rsid w:val="00032D80"/>
    <w:rsid w:val="00033047"/>
    <w:rsid w:val="0003403D"/>
    <w:rsid w:val="0003447B"/>
    <w:rsid w:val="000345B7"/>
    <w:rsid w:val="00034795"/>
    <w:rsid w:val="00035752"/>
    <w:rsid w:val="00036833"/>
    <w:rsid w:val="00036B27"/>
    <w:rsid w:val="00036B9D"/>
    <w:rsid w:val="000371C8"/>
    <w:rsid w:val="000374BE"/>
    <w:rsid w:val="000376FE"/>
    <w:rsid w:val="00037B9D"/>
    <w:rsid w:val="000400EE"/>
    <w:rsid w:val="000413D0"/>
    <w:rsid w:val="000429FB"/>
    <w:rsid w:val="00043DCF"/>
    <w:rsid w:val="0004423F"/>
    <w:rsid w:val="00044930"/>
    <w:rsid w:val="00045838"/>
    <w:rsid w:val="000462B7"/>
    <w:rsid w:val="000470A1"/>
    <w:rsid w:val="00047CD0"/>
    <w:rsid w:val="00047D83"/>
    <w:rsid w:val="00050844"/>
    <w:rsid w:val="0005137B"/>
    <w:rsid w:val="00051601"/>
    <w:rsid w:val="00051EFE"/>
    <w:rsid w:val="000520D2"/>
    <w:rsid w:val="0005220D"/>
    <w:rsid w:val="0005233A"/>
    <w:rsid w:val="00052492"/>
    <w:rsid w:val="000533D7"/>
    <w:rsid w:val="00053687"/>
    <w:rsid w:val="000539BD"/>
    <w:rsid w:val="00054E32"/>
    <w:rsid w:val="00055086"/>
    <w:rsid w:val="000553DB"/>
    <w:rsid w:val="0005566B"/>
    <w:rsid w:val="000557E6"/>
    <w:rsid w:val="00055D02"/>
    <w:rsid w:val="00055EED"/>
    <w:rsid w:val="000567DF"/>
    <w:rsid w:val="000568A1"/>
    <w:rsid w:val="000576C5"/>
    <w:rsid w:val="000577FA"/>
    <w:rsid w:val="00060C33"/>
    <w:rsid w:val="000611B5"/>
    <w:rsid w:val="000614C6"/>
    <w:rsid w:val="00061B6D"/>
    <w:rsid w:val="00061E42"/>
    <w:rsid w:val="00062681"/>
    <w:rsid w:val="000633D5"/>
    <w:rsid w:val="00063BDF"/>
    <w:rsid w:val="00064338"/>
    <w:rsid w:val="000643A5"/>
    <w:rsid w:val="00064A9F"/>
    <w:rsid w:val="00065012"/>
    <w:rsid w:val="00066839"/>
    <w:rsid w:val="0006705C"/>
    <w:rsid w:val="00067496"/>
    <w:rsid w:val="00067EC9"/>
    <w:rsid w:val="00067EFE"/>
    <w:rsid w:val="00070D5A"/>
    <w:rsid w:val="00070DC9"/>
    <w:rsid w:val="000714DF"/>
    <w:rsid w:val="00071740"/>
    <w:rsid w:val="0007182E"/>
    <w:rsid w:val="00071B69"/>
    <w:rsid w:val="00071F58"/>
    <w:rsid w:val="00072175"/>
    <w:rsid w:val="00072665"/>
    <w:rsid w:val="00073767"/>
    <w:rsid w:val="00073BB4"/>
    <w:rsid w:val="00074E71"/>
    <w:rsid w:val="000758B2"/>
    <w:rsid w:val="000758FC"/>
    <w:rsid w:val="000760C8"/>
    <w:rsid w:val="00076C94"/>
    <w:rsid w:val="000777FA"/>
    <w:rsid w:val="00077AAB"/>
    <w:rsid w:val="00077F03"/>
    <w:rsid w:val="00080499"/>
    <w:rsid w:val="0008053A"/>
    <w:rsid w:val="0008180A"/>
    <w:rsid w:val="00081E78"/>
    <w:rsid w:val="00081F01"/>
    <w:rsid w:val="0008300A"/>
    <w:rsid w:val="00083918"/>
    <w:rsid w:val="000841A0"/>
    <w:rsid w:val="00084529"/>
    <w:rsid w:val="000845DB"/>
    <w:rsid w:val="00084C83"/>
    <w:rsid w:val="0008522C"/>
    <w:rsid w:val="00085861"/>
    <w:rsid w:val="000858FE"/>
    <w:rsid w:val="0008652C"/>
    <w:rsid w:val="00087931"/>
    <w:rsid w:val="00087A72"/>
    <w:rsid w:val="00087D0D"/>
    <w:rsid w:val="00087D9B"/>
    <w:rsid w:val="000908B9"/>
    <w:rsid w:val="00091189"/>
    <w:rsid w:val="00091523"/>
    <w:rsid w:val="00092515"/>
    <w:rsid w:val="00092B44"/>
    <w:rsid w:val="000945B6"/>
    <w:rsid w:val="000947E7"/>
    <w:rsid w:val="00095472"/>
    <w:rsid w:val="0009584F"/>
    <w:rsid w:val="00095974"/>
    <w:rsid w:val="00095FE3"/>
    <w:rsid w:val="000960E1"/>
    <w:rsid w:val="00097563"/>
    <w:rsid w:val="00097D3D"/>
    <w:rsid w:val="000A09C6"/>
    <w:rsid w:val="000A0BA9"/>
    <w:rsid w:val="000A106F"/>
    <w:rsid w:val="000A1224"/>
    <w:rsid w:val="000A31C1"/>
    <w:rsid w:val="000A367F"/>
    <w:rsid w:val="000A3866"/>
    <w:rsid w:val="000A3A12"/>
    <w:rsid w:val="000A3B54"/>
    <w:rsid w:val="000A3C11"/>
    <w:rsid w:val="000A3E82"/>
    <w:rsid w:val="000A4268"/>
    <w:rsid w:val="000A4DFB"/>
    <w:rsid w:val="000A5E44"/>
    <w:rsid w:val="000A60E6"/>
    <w:rsid w:val="000A629C"/>
    <w:rsid w:val="000A6778"/>
    <w:rsid w:val="000A6ECF"/>
    <w:rsid w:val="000A7610"/>
    <w:rsid w:val="000A7A04"/>
    <w:rsid w:val="000A7B25"/>
    <w:rsid w:val="000B1043"/>
    <w:rsid w:val="000B24A1"/>
    <w:rsid w:val="000B28E7"/>
    <w:rsid w:val="000B2A17"/>
    <w:rsid w:val="000B2B4F"/>
    <w:rsid w:val="000B2D63"/>
    <w:rsid w:val="000B3159"/>
    <w:rsid w:val="000B3762"/>
    <w:rsid w:val="000B3E1D"/>
    <w:rsid w:val="000B4391"/>
    <w:rsid w:val="000B4633"/>
    <w:rsid w:val="000B5342"/>
    <w:rsid w:val="000B5BCD"/>
    <w:rsid w:val="000B63DC"/>
    <w:rsid w:val="000B662F"/>
    <w:rsid w:val="000B6938"/>
    <w:rsid w:val="000B7995"/>
    <w:rsid w:val="000B7F1B"/>
    <w:rsid w:val="000C0512"/>
    <w:rsid w:val="000C10F2"/>
    <w:rsid w:val="000C1967"/>
    <w:rsid w:val="000C1B8E"/>
    <w:rsid w:val="000C1EAC"/>
    <w:rsid w:val="000C2184"/>
    <w:rsid w:val="000C3371"/>
    <w:rsid w:val="000C3646"/>
    <w:rsid w:val="000C39D0"/>
    <w:rsid w:val="000C3B6D"/>
    <w:rsid w:val="000C42E3"/>
    <w:rsid w:val="000C467F"/>
    <w:rsid w:val="000C5E8B"/>
    <w:rsid w:val="000C7660"/>
    <w:rsid w:val="000C7D73"/>
    <w:rsid w:val="000C7E78"/>
    <w:rsid w:val="000D072C"/>
    <w:rsid w:val="000D08F6"/>
    <w:rsid w:val="000D0B6A"/>
    <w:rsid w:val="000D1369"/>
    <w:rsid w:val="000D149B"/>
    <w:rsid w:val="000D250F"/>
    <w:rsid w:val="000D33E4"/>
    <w:rsid w:val="000D3CC9"/>
    <w:rsid w:val="000D41CE"/>
    <w:rsid w:val="000D45A4"/>
    <w:rsid w:val="000D5707"/>
    <w:rsid w:val="000D5DAA"/>
    <w:rsid w:val="000D7516"/>
    <w:rsid w:val="000E01E9"/>
    <w:rsid w:val="000E088A"/>
    <w:rsid w:val="000E0F42"/>
    <w:rsid w:val="000E152C"/>
    <w:rsid w:val="000E1E6F"/>
    <w:rsid w:val="000E22A9"/>
    <w:rsid w:val="000E2CA0"/>
    <w:rsid w:val="000E3772"/>
    <w:rsid w:val="000E4786"/>
    <w:rsid w:val="000E47D8"/>
    <w:rsid w:val="000E47F8"/>
    <w:rsid w:val="000E4F0D"/>
    <w:rsid w:val="000E520D"/>
    <w:rsid w:val="000E690D"/>
    <w:rsid w:val="000E7A05"/>
    <w:rsid w:val="000E7F33"/>
    <w:rsid w:val="000F0BCF"/>
    <w:rsid w:val="000F0FC5"/>
    <w:rsid w:val="000F123F"/>
    <w:rsid w:val="000F1F19"/>
    <w:rsid w:val="000F2888"/>
    <w:rsid w:val="000F29F9"/>
    <w:rsid w:val="000F2A9C"/>
    <w:rsid w:val="000F2B38"/>
    <w:rsid w:val="000F30F2"/>
    <w:rsid w:val="000F3360"/>
    <w:rsid w:val="000F3A3A"/>
    <w:rsid w:val="000F3A5F"/>
    <w:rsid w:val="000F3D22"/>
    <w:rsid w:val="000F405B"/>
    <w:rsid w:val="000F54E4"/>
    <w:rsid w:val="000F5C7F"/>
    <w:rsid w:val="000F618C"/>
    <w:rsid w:val="000F62B3"/>
    <w:rsid w:val="000F71E5"/>
    <w:rsid w:val="001002F8"/>
    <w:rsid w:val="00100DAE"/>
    <w:rsid w:val="0010122C"/>
    <w:rsid w:val="00101359"/>
    <w:rsid w:val="001017B1"/>
    <w:rsid w:val="00102280"/>
    <w:rsid w:val="00102B05"/>
    <w:rsid w:val="00102C3B"/>
    <w:rsid w:val="00103D7A"/>
    <w:rsid w:val="00105044"/>
    <w:rsid w:val="00105112"/>
    <w:rsid w:val="001058D5"/>
    <w:rsid w:val="00105C42"/>
    <w:rsid w:val="00106A9F"/>
    <w:rsid w:val="001076C7"/>
    <w:rsid w:val="00110786"/>
    <w:rsid w:val="00110815"/>
    <w:rsid w:val="00110C97"/>
    <w:rsid w:val="00110FFE"/>
    <w:rsid w:val="001114D0"/>
    <w:rsid w:val="0011171E"/>
    <w:rsid w:val="00112218"/>
    <w:rsid w:val="001125C4"/>
    <w:rsid w:val="00112826"/>
    <w:rsid w:val="00113673"/>
    <w:rsid w:val="0011388B"/>
    <w:rsid w:val="00113CCD"/>
    <w:rsid w:val="001143CF"/>
    <w:rsid w:val="00114675"/>
    <w:rsid w:val="00114E3D"/>
    <w:rsid w:val="0011521F"/>
    <w:rsid w:val="001154E4"/>
    <w:rsid w:val="0011582E"/>
    <w:rsid w:val="001170D5"/>
    <w:rsid w:val="0011748D"/>
    <w:rsid w:val="00120543"/>
    <w:rsid w:val="00121F8D"/>
    <w:rsid w:val="001221F4"/>
    <w:rsid w:val="0012234D"/>
    <w:rsid w:val="00122CD9"/>
    <w:rsid w:val="001231B7"/>
    <w:rsid w:val="00123BF0"/>
    <w:rsid w:val="00123DD5"/>
    <w:rsid w:val="001246AF"/>
    <w:rsid w:val="001258AD"/>
    <w:rsid w:val="001268D3"/>
    <w:rsid w:val="00126E2D"/>
    <w:rsid w:val="001303B6"/>
    <w:rsid w:val="001304F7"/>
    <w:rsid w:val="00130C39"/>
    <w:rsid w:val="00130D36"/>
    <w:rsid w:val="00131862"/>
    <w:rsid w:val="001333EE"/>
    <w:rsid w:val="001334C0"/>
    <w:rsid w:val="001335DC"/>
    <w:rsid w:val="001337C0"/>
    <w:rsid w:val="001338C5"/>
    <w:rsid w:val="00133AAE"/>
    <w:rsid w:val="00133E22"/>
    <w:rsid w:val="0013420A"/>
    <w:rsid w:val="00134A67"/>
    <w:rsid w:val="00134BB6"/>
    <w:rsid w:val="00135387"/>
    <w:rsid w:val="00135677"/>
    <w:rsid w:val="00136B89"/>
    <w:rsid w:val="00140717"/>
    <w:rsid w:val="0014129D"/>
    <w:rsid w:val="00142E95"/>
    <w:rsid w:val="00143490"/>
    <w:rsid w:val="001439C0"/>
    <w:rsid w:val="00143A5E"/>
    <w:rsid w:val="001449FA"/>
    <w:rsid w:val="00144A15"/>
    <w:rsid w:val="001459E5"/>
    <w:rsid w:val="00145C5F"/>
    <w:rsid w:val="00146895"/>
    <w:rsid w:val="001478C8"/>
    <w:rsid w:val="00147A88"/>
    <w:rsid w:val="00147E81"/>
    <w:rsid w:val="00147E8E"/>
    <w:rsid w:val="00150814"/>
    <w:rsid w:val="0015183A"/>
    <w:rsid w:val="00152645"/>
    <w:rsid w:val="00152799"/>
    <w:rsid w:val="001527F8"/>
    <w:rsid w:val="0015356A"/>
    <w:rsid w:val="00154D55"/>
    <w:rsid w:val="00155B9B"/>
    <w:rsid w:val="00155C3A"/>
    <w:rsid w:val="00155C87"/>
    <w:rsid w:val="001574B2"/>
    <w:rsid w:val="00160253"/>
    <w:rsid w:val="00160669"/>
    <w:rsid w:val="00161529"/>
    <w:rsid w:val="001623C3"/>
    <w:rsid w:val="00162400"/>
    <w:rsid w:val="00163155"/>
    <w:rsid w:val="001634BF"/>
    <w:rsid w:val="00164758"/>
    <w:rsid w:val="00164BDF"/>
    <w:rsid w:val="00165332"/>
    <w:rsid w:val="00165AB7"/>
    <w:rsid w:val="00165EF3"/>
    <w:rsid w:val="00165F63"/>
    <w:rsid w:val="00166210"/>
    <w:rsid w:val="00166910"/>
    <w:rsid w:val="0016698C"/>
    <w:rsid w:val="00166A58"/>
    <w:rsid w:val="00166E22"/>
    <w:rsid w:val="00167C8A"/>
    <w:rsid w:val="00170947"/>
    <w:rsid w:val="00170C78"/>
    <w:rsid w:val="00172AD2"/>
    <w:rsid w:val="00173A5C"/>
    <w:rsid w:val="00174DEF"/>
    <w:rsid w:val="0017535D"/>
    <w:rsid w:val="00176399"/>
    <w:rsid w:val="0017789F"/>
    <w:rsid w:val="0017796B"/>
    <w:rsid w:val="00177E35"/>
    <w:rsid w:val="00180BED"/>
    <w:rsid w:val="0018105B"/>
    <w:rsid w:val="0018136B"/>
    <w:rsid w:val="00181894"/>
    <w:rsid w:val="00182151"/>
    <w:rsid w:val="0018303A"/>
    <w:rsid w:val="0018304B"/>
    <w:rsid w:val="00183CFE"/>
    <w:rsid w:val="00183D88"/>
    <w:rsid w:val="001854EC"/>
    <w:rsid w:val="00185B84"/>
    <w:rsid w:val="00185FE3"/>
    <w:rsid w:val="00186CE4"/>
    <w:rsid w:val="00187777"/>
    <w:rsid w:val="00187B4D"/>
    <w:rsid w:val="00187D59"/>
    <w:rsid w:val="00190653"/>
    <w:rsid w:val="00190B4A"/>
    <w:rsid w:val="00191074"/>
    <w:rsid w:val="00191456"/>
    <w:rsid w:val="00191D9C"/>
    <w:rsid w:val="00192E22"/>
    <w:rsid w:val="001935DD"/>
    <w:rsid w:val="00194B4F"/>
    <w:rsid w:val="00194DAB"/>
    <w:rsid w:val="001957CB"/>
    <w:rsid w:val="00196819"/>
    <w:rsid w:val="00197F4B"/>
    <w:rsid w:val="001A0293"/>
    <w:rsid w:val="001A0979"/>
    <w:rsid w:val="001A15C1"/>
    <w:rsid w:val="001A2AD4"/>
    <w:rsid w:val="001A3078"/>
    <w:rsid w:val="001A3ACD"/>
    <w:rsid w:val="001A4300"/>
    <w:rsid w:val="001A4B11"/>
    <w:rsid w:val="001A50E5"/>
    <w:rsid w:val="001A559B"/>
    <w:rsid w:val="001A5B82"/>
    <w:rsid w:val="001A5E5F"/>
    <w:rsid w:val="001A6410"/>
    <w:rsid w:val="001A661F"/>
    <w:rsid w:val="001A6848"/>
    <w:rsid w:val="001A70A3"/>
    <w:rsid w:val="001A7796"/>
    <w:rsid w:val="001A7A5F"/>
    <w:rsid w:val="001A7ACB"/>
    <w:rsid w:val="001A7E28"/>
    <w:rsid w:val="001B10EA"/>
    <w:rsid w:val="001B425C"/>
    <w:rsid w:val="001B50F6"/>
    <w:rsid w:val="001B5221"/>
    <w:rsid w:val="001B5804"/>
    <w:rsid w:val="001B5DDF"/>
    <w:rsid w:val="001B6924"/>
    <w:rsid w:val="001B74F0"/>
    <w:rsid w:val="001B76DC"/>
    <w:rsid w:val="001C0205"/>
    <w:rsid w:val="001C0672"/>
    <w:rsid w:val="001C0C2E"/>
    <w:rsid w:val="001C0D64"/>
    <w:rsid w:val="001C1640"/>
    <w:rsid w:val="001C16BF"/>
    <w:rsid w:val="001C1959"/>
    <w:rsid w:val="001C1B76"/>
    <w:rsid w:val="001C1CAD"/>
    <w:rsid w:val="001C262C"/>
    <w:rsid w:val="001C2776"/>
    <w:rsid w:val="001C2865"/>
    <w:rsid w:val="001C2998"/>
    <w:rsid w:val="001C3763"/>
    <w:rsid w:val="001C37DC"/>
    <w:rsid w:val="001C4206"/>
    <w:rsid w:val="001C469E"/>
    <w:rsid w:val="001C4712"/>
    <w:rsid w:val="001C583F"/>
    <w:rsid w:val="001C64ED"/>
    <w:rsid w:val="001C6B8D"/>
    <w:rsid w:val="001C6EDE"/>
    <w:rsid w:val="001C7151"/>
    <w:rsid w:val="001C716D"/>
    <w:rsid w:val="001C7C79"/>
    <w:rsid w:val="001D0E67"/>
    <w:rsid w:val="001D0F15"/>
    <w:rsid w:val="001D17AA"/>
    <w:rsid w:val="001D1933"/>
    <w:rsid w:val="001D2A69"/>
    <w:rsid w:val="001D2A88"/>
    <w:rsid w:val="001D2DF4"/>
    <w:rsid w:val="001D38FC"/>
    <w:rsid w:val="001D3C48"/>
    <w:rsid w:val="001D3F14"/>
    <w:rsid w:val="001D3FA2"/>
    <w:rsid w:val="001D4926"/>
    <w:rsid w:val="001D497F"/>
    <w:rsid w:val="001D4F30"/>
    <w:rsid w:val="001D5070"/>
    <w:rsid w:val="001D5212"/>
    <w:rsid w:val="001D5665"/>
    <w:rsid w:val="001D6141"/>
    <w:rsid w:val="001D64EC"/>
    <w:rsid w:val="001D688D"/>
    <w:rsid w:val="001D6D2B"/>
    <w:rsid w:val="001D6FEF"/>
    <w:rsid w:val="001D7239"/>
    <w:rsid w:val="001E00D5"/>
    <w:rsid w:val="001E050B"/>
    <w:rsid w:val="001E0AC8"/>
    <w:rsid w:val="001E11D1"/>
    <w:rsid w:val="001E164D"/>
    <w:rsid w:val="001E19BB"/>
    <w:rsid w:val="001E547B"/>
    <w:rsid w:val="001E5FE1"/>
    <w:rsid w:val="001E65DC"/>
    <w:rsid w:val="001E704E"/>
    <w:rsid w:val="001E72EA"/>
    <w:rsid w:val="001E7DE0"/>
    <w:rsid w:val="001E7F31"/>
    <w:rsid w:val="001F01BD"/>
    <w:rsid w:val="001F01F3"/>
    <w:rsid w:val="001F04E7"/>
    <w:rsid w:val="001F04F6"/>
    <w:rsid w:val="001F25D8"/>
    <w:rsid w:val="001F2A84"/>
    <w:rsid w:val="001F358A"/>
    <w:rsid w:val="001F3787"/>
    <w:rsid w:val="001F3DA1"/>
    <w:rsid w:val="001F42B9"/>
    <w:rsid w:val="001F44F5"/>
    <w:rsid w:val="001F468F"/>
    <w:rsid w:val="001F5B2E"/>
    <w:rsid w:val="001F5B6F"/>
    <w:rsid w:val="001F6077"/>
    <w:rsid w:val="00200554"/>
    <w:rsid w:val="00200649"/>
    <w:rsid w:val="002006BF"/>
    <w:rsid w:val="00200842"/>
    <w:rsid w:val="00200DF1"/>
    <w:rsid w:val="00200F4E"/>
    <w:rsid w:val="0020126A"/>
    <w:rsid w:val="00201422"/>
    <w:rsid w:val="002029CD"/>
    <w:rsid w:val="00203263"/>
    <w:rsid w:val="002040A8"/>
    <w:rsid w:val="00204198"/>
    <w:rsid w:val="00204830"/>
    <w:rsid w:val="00204B00"/>
    <w:rsid w:val="00204CD1"/>
    <w:rsid w:val="00205AB6"/>
    <w:rsid w:val="0020606E"/>
    <w:rsid w:val="002072DD"/>
    <w:rsid w:val="002072EB"/>
    <w:rsid w:val="00207897"/>
    <w:rsid w:val="002107E2"/>
    <w:rsid w:val="00210C41"/>
    <w:rsid w:val="00211301"/>
    <w:rsid w:val="0021196B"/>
    <w:rsid w:val="00211DCD"/>
    <w:rsid w:val="0021280C"/>
    <w:rsid w:val="0021286A"/>
    <w:rsid w:val="00212C2D"/>
    <w:rsid w:val="0021387C"/>
    <w:rsid w:val="00214714"/>
    <w:rsid w:val="0021554A"/>
    <w:rsid w:val="00215749"/>
    <w:rsid w:val="00215DAB"/>
    <w:rsid w:val="00217E78"/>
    <w:rsid w:val="002201B8"/>
    <w:rsid w:val="002202D1"/>
    <w:rsid w:val="002203CA"/>
    <w:rsid w:val="00220A37"/>
    <w:rsid w:val="002212C6"/>
    <w:rsid w:val="00221F20"/>
    <w:rsid w:val="0022206C"/>
    <w:rsid w:val="002224D6"/>
    <w:rsid w:val="00222BB8"/>
    <w:rsid w:val="0022431B"/>
    <w:rsid w:val="00224CCD"/>
    <w:rsid w:val="002260CF"/>
    <w:rsid w:val="00226881"/>
    <w:rsid w:val="002268E8"/>
    <w:rsid w:val="00226BAE"/>
    <w:rsid w:val="0023070F"/>
    <w:rsid w:val="00230BF3"/>
    <w:rsid w:val="002318D0"/>
    <w:rsid w:val="002321DD"/>
    <w:rsid w:val="00232240"/>
    <w:rsid w:val="00232C82"/>
    <w:rsid w:val="00233300"/>
    <w:rsid w:val="0023334E"/>
    <w:rsid w:val="00234013"/>
    <w:rsid w:val="00234064"/>
    <w:rsid w:val="002347CA"/>
    <w:rsid w:val="00234E6A"/>
    <w:rsid w:val="00235605"/>
    <w:rsid w:val="00235815"/>
    <w:rsid w:val="00236785"/>
    <w:rsid w:val="00236898"/>
    <w:rsid w:val="00236CBF"/>
    <w:rsid w:val="00237C3C"/>
    <w:rsid w:val="00237F88"/>
    <w:rsid w:val="002402CC"/>
    <w:rsid w:val="00240810"/>
    <w:rsid w:val="00240C02"/>
    <w:rsid w:val="00241191"/>
    <w:rsid w:val="002419F7"/>
    <w:rsid w:val="00242570"/>
    <w:rsid w:val="00242658"/>
    <w:rsid w:val="00242AF8"/>
    <w:rsid w:val="00242C75"/>
    <w:rsid w:val="00243175"/>
    <w:rsid w:val="002437E2"/>
    <w:rsid w:val="0024429F"/>
    <w:rsid w:val="002446FC"/>
    <w:rsid w:val="002447ED"/>
    <w:rsid w:val="002456BD"/>
    <w:rsid w:val="0024584A"/>
    <w:rsid w:val="00245F44"/>
    <w:rsid w:val="002469E5"/>
    <w:rsid w:val="00246E1C"/>
    <w:rsid w:val="002475B4"/>
    <w:rsid w:val="0024786B"/>
    <w:rsid w:val="002500C1"/>
    <w:rsid w:val="0025013F"/>
    <w:rsid w:val="00250D57"/>
    <w:rsid w:val="00250F43"/>
    <w:rsid w:val="0025156F"/>
    <w:rsid w:val="0025172C"/>
    <w:rsid w:val="00251C3E"/>
    <w:rsid w:val="00251E45"/>
    <w:rsid w:val="00252366"/>
    <w:rsid w:val="00252F8F"/>
    <w:rsid w:val="002531FF"/>
    <w:rsid w:val="002565A2"/>
    <w:rsid w:val="00256D4F"/>
    <w:rsid w:val="002570F4"/>
    <w:rsid w:val="002575DB"/>
    <w:rsid w:val="00257D52"/>
    <w:rsid w:val="00257EED"/>
    <w:rsid w:val="002600E0"/>
    <w:rsid w:val="00260630"/>
    <w:rsid w:val="00261678"/>
    <w:rsid w:val="00261AB3"/>
    <w:rsid w:val="00261DAB"/>
    <w:rsid w:val="0026321A"/>
    <w:rsid w:val="00263516"/>
    <w:rsid w:val="00263C7C"/>
    <w:rsid w:val="0026404B"/>
    <w:rsid w:val="00264584"/>
    <w:rsid w:val="00266162"/>
    <w:rsid w:val="002670DB"/>
    <w:rsid w:val="0026728D"/>
    <w:rsid w:val="00270177"/>
    <w:rsid w:val="00270A15"/>
    <w:rsid w:val="00270D83"/>
    <w:rsid w:val="0027137E"/>
    <w:rsid w:val="002719DA"/>
    <w:rsid w:val="00274985"/>
    <w:rsid w:val="002752FD"/>
    <w:rsid w:val="00275529"/>
    <w:rsid w:val="002768A2"/>
    <w:rsid w:val="002772DA"/>
    <w:rsid w:val="002773F5"/>
    <w:rsid w:val="002775EB"/>
    <w:rsid w:val="002813DE"/>
    <w:rsid w:val="00281A75"/>
    <w:rsid w:val="00282963"/>
    <w:rsid w:val="00283595"/>
    <w:rsid w:val="00283C99"/>
    <w:rsid w:val="00284500"/>
    <w:rsid w:val="002846F2"/>
    <w:rsid w:val="002856E7"/>
    <w:rsid w:val="002856F3"/>
    <w:rsid w:val="0028595C"/>
    <w:rsid w:val="00286220"/>
    <w:rsid w:val="00286DE5"/>
    <w:rsid w:val="0028714C"/>
    <w:rsid w:val="002879D2"/>
    <w:rsid w:val="00290824"/>
    <w:rsid w:val="00290943"/>
    <w:rsid w:val="0029099B"/>
    <w:rsid w:val="00290D1C"/>
    <w:rsid w:val="002912CF"/>
    <w:rsid w:val="00291DE7"/>
    <w:rsid w:val="0029377B"/>
    <w:rsid w:val="00295896"/>
    <w:rsid w:val="00295E75"/>
    <w:rsid w:val="0029640B"/>
    <w:rsid w:val="0029703B"/>
    <w:rsid w:val="002971B5"/>
    <w:rsid w:val="00297364"/>
    <w:rsid w:val="00297397"/>
    <w:rsid w:val="002973A7"/>
    <w:rsid w:val="002975A4"/>
    <w:rsid w:val="0029770C"/>
    <w:rsid w:val="002978FF"/>
    <w:rsid w:val="00297E00"/>
    <w:rsid w:val="002A08E9"/>
    <w:rsid w:val="002A262A"/>
    <w:rsid w:val="002A2E9F"/>
    <w:rsid w:val="002A321B"/>
    <w:rsid w:val="002A3CC3"/>
    <w:rsid w:val="002A4775"/>
    <w:rsid w:val="002A4CD4"/>
    <w:rsid w:val="002A54F3"/>
    <w:rsid w:val="002A5F58"/>
    <w:rsid w:val="002A63AF"/>
    <w:rsid w:val="002A6D6A"/>
    <w:rsid w:val="002A7FF9"/>
    <w:rsid w:val="002B07A5"/>
    <w:rsid w:val="002B1C36"/>
    <w:rsid w:val="002B218A"/>
    <w:rsid w:val="002B3717"/>
    <w:rsid w:val="002B4361"/>
    <w:rsid w:val="002B4491"/>
    <w:rsid w:val="002B5194"/>
    <w:rsid w:val="002B5D51"/>
    <w:rsid w:val="002B60D1"/>
    <w:rsid w:val="002B645F"/>
    <w:rsid w:val="002B6891"/>
    <w:rsid w:val="002B69C4"/>
    <w:rsid w:val="002B6B13"/>
    <w:rsid w:val="002B724A"/>
    <w:rsid w:val="002B7CC1"/>
    <w:rsid w:val="002C0B12"/>
    <w:rsid w:val="002C1217"/>
    <w:rsid w:val="002C1299"/>
    <w:rsid w:val="002C165F"/>
    <w:rsid w:val="002C19D4"/>
    <w:rsid w:val="002C2B39"/>
    <w:rsid w:val="002C333A"/>
    <w:rsid w:val="002C35B3"/>
    <w:rsid w:val="002C4EF1"/>
    <w:rsid w:val="002C599E"/>
    <w:rsid w:val="002C5AB4"/>
    <w:rsid w:val="002C63BD"/>
    <w:rsid w:val="002C63E5"/>
    <w:rsid w:val="002C6A1D"/>
    <w:rsid w:val="002C6CB8"/>
    <w:rsid w:val="002C6FB4"/>
    <w:rsid w:val="002D00F7"/>
    <w:rsid w:val="002D0E9A"/>
    <w:rsid w:val="002D28D2"/>
    <w:rsid w:val="002D2CDC"/>
    <w:rsid w:val="002D31A3"/>
    <w:rsid w:val="002D3691"/>
    <w:rsid w:val="002D3DF9"/>
    <w:rsid w:val="002D5276"/>
    <w:rsid w:val="002D541D"/>
    <w:rsid w:val="002D56C9"/>
    <w:rsid w:val="002D5AE8"/>
    <w:rsid w:val="002D73F3"/>
    <w:rsid w:val="002D7D64"/>
    <w:rsid w:val="002E0686"/>
    <w:rsid w:val="002E0E33"/>
    <w:rsid w:val="002E1245"/>
    <w:rsid w:val="002E124A"/>
    <w:rsid w:val="002E12F1"/>
    <w:rsid w:val="002E1A4A"/>
    <w:rsid w:val="002E1B9B"/>
    <w:rsid w:val="002E1DB4"/>
    <w:rsid w:val="002E2171"/>
    <w:rsid w:val="002E2365"/>
    <w:rsid w:val="002E28E6"/>
    <w:rsid w:val="002E3507"/>
    <w:rsid w:val="002E37A1"/>
    <w:rsid w:val="002E3E45"/>
    <w:rsid w:val="002E3EDF"/>
    <w:rsid w:val="002E4650"/>
    <w:rsid w:val="002E4F9F"/>
    <w:rsid w:val="002E5F2E"/>
    <w:rsid w:val="002E6302"/>
    <w:rsid w:val="002E6561"/>
    <w:rsid w:val="002E659A"/>
    <w:rsid w:val="002E7140"/>
    <w:rsid w:val="002E7487"/>
    <w:rsid w:val="002F01EB"/>
    <w:rsid w:val="002F0331"/>
    <w:rsid w:val="002F06AC"/>
    <w:rsid w:val="002F1310"/>
    <w:rsid w:val="002F2538"/>
    <w:rsid w:val="002F29E3"/>
    <w:rsid w:val="002F2CF3"/>
    <w:rsid w:val="002F3182"/>
    <w:rsid w:val="002F4829"/>
    <w:rsid w:val="002F4C5C"/>
    <w:rsid w:val="002F4E4B"/>
    <w:rsid w:val="002F56D0"/>
    <w:rsid w:val="002F5730"/>
    <w:rsid w:val="002F6CD2"/>
    <w:rsid w:val="002F6F79"/>
    <w:rsid w:val="002F72E2"/>
    <w:rsid w:val="002F7530"/>
    <w:rsid w:val="002F7905"/>
    <w:rsid w:val="002F7DBE"/>
    <w:rsid w:val="003004DB"/>
    <w:rsid w:val="00300AD6"/>
    <w:rsid w:val="00300E7F"/>
    <w:rsid w:val="0030140D"/>
    <w:rsid w:val="00301B8C"/>
    <w:rsid w:val="00301CAD"/>
    <w:rsid w:val="0030264B"/>
    <w:rsid w:val="00302809"/>
    <w:rsid w:val="0030282E"/>
    <w:rsid w:val="00302F2A"/>
    <w:rsid w:val="003034DE"/>
    <w:rsid w:val="00303F02"/>
    <w:rsid w:val="003049BC"/>
    <w:rsid w:val="003049EB"/>
    <w:rsid w:val="00305ED9"/>
    <w:rsid w:val="003062CA"/>
    <w:rsid w:val="003067E7"/>
    <w:rsid w:val="003068DB"/>
    <w:rsid w:val="00306B06"/>
    <w:rsid w:val="003079D3"/>
    <w:rsid w:val="00307ACB"/>
    <w:rsid w:val="00307EBB"/>
    <w:rsid w:val="00310A34"/>
    <w:rsid w:val="00310BE7"/>
    <w:rsid w:val="003117AC"/>
    <w:rsid w:val="0031198F"/>
    <w:rsid w:val="00313DD0"/>
    <w:rsid w:val="003142D2"/>
    <w:rsid w:val="00315581"/>
    <w:rsid w:val="0031573D"/>
    <w:rsid w:val="003160F9"/>
    <w:rsid w:val="003169E5"/>
    <w:rsid w:val="003170D7"/>
    <w:rsid w:val="00317205"/>
    <w:rsid w:val="0031726B"/>
    <w:rsid w:val="00317D71"/>
    <w:rsid w:val="00320557"/>
    <w:rsid w:val="00320BA8"/>
    <w:rsid w:val="00320F1C"/>
    <w:rsid w:val="003212B1"/>
    <w:rsid w:val="00321524"/>
    <w:rsid w:val="00321CD6"/>
    <w:rsid w:val="003236AE"/>
    <w:rsid w:val="00323879"/>
    <w:rsid w:val="0032445B"/>
    <w:rsid w:val="0032463B"/>
    <w:rsid w:val="003249D7"/>
    <w:rsid w:val="00324A89"/>
    <w:rsid w:val="00324DE4"/>
    <w:rsid w:val="00325686"/>
    <w:rsid w:val="003257E5"/>
    <w:rsid w:val="00326615"/>
    <w:rsid w:val="00326F7A"/>
    <w:rsid w:val="00327629"/>
    <w:rsid w:val="0032770E"/>
    <w:rsid w:val="00327E21"/>
    <w:rsid w:val="00330385"/>
    <w:rsid w:val="00330607"/>
    <w:rsid w:val="00330BC0"/>
    <w:rsid w:val="00330D87"/>
    <w:rsid w:val="003311C2"/>
    <w:rsid w:val="003312D6"/>
    <w:rsid w:val="00331313"/>
    <w:rsid w:val="00332053"/>
    <w:rsid w:val="00332B5B"/>
    <w:rsid w:val="00333142"/>
    <w:rsid w:val="00333950"/>
    <w:rsid w:val="00333B21"/>
    <w:rsid w:val="00334222"/>
    <w:rsid w:val="0033432B"/>
    <w:rsid w:val="00334C8D"/>
    <w:rsid w:val="003357A7"/>
    <w:rsid w:val="00336543"/>
    <w:rsid w:val="0033660E"/>
    <w:rsid w:val="003368B1"/>
    <w:rsid w:val="00336F79"/>
    <w:rsid w:val="00336FF9"/>
    <w:rsid w:val="00337400"/>
    <w:rsid w:val="00337469"/>
    <w:rsid w:val="0033793E"/>
    <w:rsid w:val="00337EC3"/>
    <w:rsid w:val="0034038B"/>
    <w:rsid w:val="00340C39"/>
    <w:rsid w:val="00341215"/>
    <w:rsid w:val="00341C7D"/>
    <w:rsid w:val="00341E8A"/>
    <w:rsid w:val="00341F0B"/>
    <w:rsid w:val="00341F9D"/>
    <w:rsid w:val="003434B9"/>
    <w:rsid w:val="00343902"/>
    <w:rsid w:val="00343A9F"/>
    <w:rsid w:val="003442EC"/>
    <w:rsid w:val="00345643"/>
    <w:rsid w:val="0034625C"/>
    <w:rsid w:val="00346AB1"/>
    <w:rsid w:val="00347076"/>
    <w:rsid w:val="00347BCF"/>
    <w:rsid w:val="0035195D"/>
    <w:rsid w:val="00351BB6"/>
    <w:rsid w:val="00353EA3"/>
    <w:rsid w:val="00354795"/>
    <w:rsid w:val="00354E1E"/>
    <w:rsid w:val="003557E0"/>
    <w:rsid w:val="003558AB"/>
    <w:rsid w:val="00355F58"/>
    <w:rsid w:val="0035698E"/>
    <w:rsid w:val="00357663"/>
    <w:rsid w:val="003607F8"/>
    <w:rsid w:val="00360F92"/>
    <w:rsid w:val="00361C18"/>
    <w:rsid w:val="00361D45"/>
    <w:rsid w:val="00363392"/>
    <w:rsid w:val="003638F2"/>
    <w:rsid w:val="00364AA3"/>
    <w:rsid w:val="0036572D"/>
    <w:rsid w:val="00365854"/>
    <w:rsid w:val="00365D55"/>
    <w:rsid w:val="003668B6"/>
    <w:rsid w:val="00366958"/>
    <w:rsid w:val="00366B74"/>
    <w:rsid w:val="00367064"/>
    <w:rsid w:val="00367C29"/>
    <w:rsid w:val="00370847"/>
    <w:rsid w:val="003713FE"/>
    <w:rsid w:val="00371D5D"/>
    <w:rsid w:val="00372881"/>
    <w:rsid w:val="00373938"/>
    <w:rsid w:val="003745DE"/>
    <w:rsid w:val="00375FAE"/>
    <w:rsid w:val="003761E1"/>
    <w:rsid w:val="003769F0"/>
    <w:rsid w:val="003805C2"/>
    <w:rsid w:val="00381215"/>
    <w:rsid w:val="0038231B"/>
    <w:rsid w:val="003826CB"/>
    <w:rsid w:val="00382721"/>
    <w:rsid w:val="00382873"/>
    <w:rsid w:val="00383296"/>
    <w:rsid w:val="00383D8F"/>
    <w:rsid w:val="00383ED0"/>
    <w:rsid w:val="0038430B"/>
    <w:rsid w:val="00384405"/>
    <w:rsid w:val="0038440F"/>
    <w:rsid w:val="00384CB3"/>
    <w:rsid w:val="003856B0"/>
    <w:rsid w:val="00385913"/>
    <w:rsid w:val="00386372"/>
    <w:rsid w:val="00387BF6"/>
    <w:rsid w:val="00387DF1"/>
    <w:rsid w:val="00391AA0"/>
    <w:rsid w:val="00391BA6"/>
    <w:rsid w:val="0039352E"/>
    <w:rsid w:val="003935E4"/>
    <w:rsid w:val="003941FE"/>
    <w:rsid w:val="00394548"/>
    <w:rsid w:val="00394CC7"/>
    <w:rsid w:val="00394E30"/>
    <w:rsid w:val="0039539E"/>
    <w:rsid w:val="00395556"/>
    <w:rsid w:val="0039558B"/>
    <w:rsid w:val="003957FD"/>
    <w:rsid w:val="00395D6E"/>
    <w:rsid w:val="00396CD8"/>
    <w:rsid w:val="003976E9"/>
    <w:rsid w:val="00397B60"/>
    <w:rsid w:val="003A0A02"/>
    <w:rsid w:val="003A0EC6"/>
    <w:rsid w:val="003A121D"/>
    <w:rsid w:val="003A1B52"/>
    <w:rsid w:val="003A1F2E"/>
    <w:rsid w:val="003A2A65"/>
    <w:rsid w:val="003A306E"/>
    <w:rsid w:val="003A3884"/>
    <w:rsid w:val="003A3B97"/>
    <w:rsid w:val="003A3BD1"/>
    <w:rsid w:val="003A4C79"/>
    <w:rsid w:val="003A4ECD"/>
    <w:rsid w:val="003A5FC5"/>
    <w:rsid w:val="003A60D7"/>
    <w:rsid w:val="003A69C9"/>
    <w:rsid w:val="003A7DF6"/>
    <w:rsid w:val="003B0F43"/>
    <w:rsid w:val="003B3339"/>
    <w:rsid w:val="003B3D06"/>
    <w:rsid w:val="003B41B9"/>
    <w:rsid w:val="003B4D84"/>
    <w:rsid w:val="003B5141"/>
    <w:rsid w:val="003B5679"/>
    <w:rsid w:val="003B59BD"/>
    <w:rsid w:val="003B5BFA"/>
    <w:rsid w:val="003B6C8F"/>
    <w:rsid w:val="003B7525"/>
    <w:rsid w:val="003B7647"/>
    <w:rsid w:val="003B7715"/>
    <w:rsid w:val="003B7CD4"/>
    <w:rsid w:val="003C0641"/>
    <w:rsid w:val="003C0F13"/>
    <w:rsid w:val="003C2737"/>
    <w:rsid w:val="003C2AE1"/>
    <w:rsid w:val="003C2D51"/>
    <w:rsid w:val="003C3038"/>
    <w:rsid w:val="003C30D0"/>
    <w:rsid w:val="003C31E6"/>
    <w:rsid w:val="003C325E"/>
    <w:rsid w:val="003C5467"/>
    <w:rsid w:val="003C5C25"/>
    <w:rsid w:val="003C5FE3"/>
    <w:rsid w:val="003C75B4"/>
    <w:rsid w:val="003D0003"/>
    <w:rsid w:val="003D0443"/>
    <w:rsid w:val="003D066E"/>
    <w:rsid w:val="003D0833"/>
    <w:rsid w:val="003D0989"/>
    <w:rsid w:val="003D1033"/>
    <w:rsid w:val="003D1650"/>
    <w:rsid w:val="003D3583"/>
    <w:rsid w:val="003D35E1"/>
    <w:rsid w:val="003D3681"/>
    <w:rsid w:val="003D456F"/>
    <w:rsid w:val="003D5259"/>
    <w:rsid w:val="003D5840"/>
    <w:rsid w:val="003D5918"/>
    <w:rsid w:val="003D5940"/>
    <w:rsid w:val="003D5A1D"/>
    <w:rsid w:val="003D6495"/>
    <w:rsid w:val="003D64D4"/>
    <w:rsid w:val="003D700B"/>
    <w:rsid w:val="003D7856"/>
    <w:rsid w:val="003D7CA6"/>
    <w:rsid w:val="003D7CBA"/>
    <w:rsid w:val="003D7EE5"/>
    <w:rsid w:val="003E05FE"/>
    <w:rsid w:val="003E12C6"/>
    <w:rsid w:val="003E155D"/>
    <w:rsid w:val="003E1591"/>
    <w:rsid w:val="003E17FF"/>
    <w:rsid w:val="003E280A"/>
    <w:rsid w:val="003E3014"/>
    <w:rsid w:val="003E378C"/>
    <w:rsid w:val="003E3ABA"/>
    <w:rsid w:val="003E3CEE"/>
    <w:rsid w:val="003E4442"/>
    <w:rsid w:val="003E455E"/>
    <w:rsid w:val="003E45AD"/>
    <w:rsid w:val="003E467C"/>
    <w:rsid w:val="003E5571"/>
    <w:rsid w:val="003E5829"/>
    <w:rsid w:val="003E5C6E"/>
    <w:rsid w:val="003E5F8E"/>
    <w:rsid w:val="003E6A7A"/>
    <w:rsid w:val="003E7C1B"/>
    <w:rsid w:val="003F01BB"/>
    <w:rsid w:val="003F11FE"/>
    <w:rsid w:val="003F23A6"/>
    <w:rsid w:val="003F2429"/>
    <w:rsid w:val="003F2558"/>
    <w:rsid w:val="003F295E"/>
    <w:rsid w:val="003F3431"/>
    <w:rsid w:val="003F3DD5"/>
    <w:rsid w:val="003F3F09"/>
    <w:rsid w:val="003F4113"/>
    <w:rsid w:val="003F4372"/>
    <w:rsid w:val="003F5C24"/>
    <w:rsid w:val="003F6695"/>
    <w:rsid w:val="003F7A16"/>
    <w:rsid w:val="003F7D72"/>
    <w:rsid w:val="00400232"/>
    <w:rsid w:val="004003C9"/>
    <w:rsid w:val="0040083E"/>
    <w:rsid w:val="004008B9"/>
    <w:rsid w:val="00402003"/>
    <w:rsid w:val="004026C5"/>
    <w:rsid w:val="004028DB"/>
    <w:rsid w:val="004036D8"/>
    <w:rsid w:val="00403C9F"/>
    <w:rsid w:val="00404A4E"/>
    <w:rsid w:val="00404BAB"/>
    <w:rsid w:val="00406A96"/>
    <w:rsid w:val="00407364"/>
    <w:rsid w:val="00410297"/>
    <w:rsid w:val="004107C9"/>
    <w:rsid w:val="00410AED"/>
    <w:rsid w:val="00410E40"/>
    <w:rsid w:val="00411165"/>
    <w:rsid w:val="00411274"/>
    <w:rsid w:val="004113D7"/>
    <w:rsid w:val="00411E7A"/>
    <w:rsid w:val="004137DA"/>
    <w:rsid w:val="00414664"/>
    <w:rsid w:val="00414EC6"/>
    <w:rsid w:val="00415022"/>
    <w:rsid w:val="00416201"/>
    <w:rsid w:val="00416FF6"/>
    <w:rsid w:val="00417998"/>
    <w:rsid w:val="00417C90"/>
    <w:rsid w:val="00417D2E"/>
    <w:rsid w:val="00420EAE"/>
    <w:rsid w:val="00421C11"/>
    <w:rsid w:val="00422052"/>
    <w:rsid w:val="00422074"/>
    <w:rsid w:val="004229BE"/>
    <w:rsid w:val="004232A7"/>
    <w:rsid w:val="00423CC0"/>
    <w:rsid w:val="00424916"/>
    <w:rsid w:val="004249FB"/>
    <w:rsid w:val="00424AA2"/>
    <w:rsid w:val="00424E88"/>
    <w:rsid w:val="00425C53"/>
    <w:rsid w:val="00425EE2"/>
    <w:rsid w:val="004264AD"/>
    <w:rsid w:val="0042699B"/>
    <w:rsid w:val="00426DC6"/>
    <w:rsid w:val="004276F5"/>
    <w:rsid w:val="00427B22"/>
    <w:rsid w:val="00427C36"/>
    <w:rsid w:val="00427DF9"/>
    <w:rsid w:val="00427E53"/>
    <w:rsid w:val="00430E3F"/>
    <w:rsid w:val="00431008"/>
    <w:rsid w:val="0043248A"/>
    <w:rsid w:val="00432586"/>
    <w:rsid w:val="00432BC4"/>
    <w:rsid w:val="00433678"/>
    <w:rsid w:val="00433871"/>
    <w:rsid w:val="004352F9"/>
    <w:rsid w:val="00435874"/>
    <w:rsid w:val="0043633B"/>
    <w:rsid w:val="00437B40"/>
    <w:rsid w:val="0044013B"/>
    <w:rsid w:val="00441D1A"/>
    <w:rsid w:val="004420AD"/>
    <w:rsid w:val="004426A8"/>
    <w:rsid w:val="004435CC"/>
    <w:rsid w:val="004442B4"/>
    <w:rsid w:val="00444520"/>
    <w:rsid w:val="004454F5"/>
    <w:rsid w:val="00445BB8"/>
    <w:rsid w:val="00445EE7"/>
    <w:rsid w:val="004466AC"/>
    <w:rsid w:val="00446B4E"/>
    <w:rsid w:val="004471A1"/>
    <w:rsid w:val="00447350"/>
    <w:rsid w:val="0045010C"/>
    <w:rsid w:val="00450684"/>
    <w:rsid w:val="00450DDF"/>
    <w:rsid w:val="00451603"/>
    <w:rsid w:val="00451C46"/>
    <w:rsid w:val="00451C69"/>
    <w:rsid w:val="0045231F"/>
    <w:rsid w:val="00452879"/>
    <w:rsid w:val="00452D73"/>
    <w:rsid w:val="00452F5C"/>
    <w:rsid w:val="0045365D"/>
    <w:rsid w:val="00454908"/>
    <w:rsid w:val="0045528B"/>
    <w:rsid w:val="00455907"/>
    <w:rsid w:val="00456795"/>
    <w:rsid w:val="00457C7F"/>
    <w:rsid w:val="00457EC2"/>
    <w:rsid w:val="00457EF1"/>
    <w:rsid w:val="00457F9D"/>
    <w:rsid w:val="00460DAB"/>
    <w:rsid w:val="0046100D"/>
    <w:rsid w:val="00461490"/>
    <w:rsid w:val="0046151F"/>
    <w:rsid w:val="00462013"/>
    <w:rsid w:val="00463927"/>
    <w:rsid w:val="00463A78"/>
    <w:rsid w:val="004666E9"/>
    <w:rsid w:val="00466E2F"/>
    <w:rsid w:val="004700E2"/>
    <w:rsid w:val="00471342"/>
    <w:rsid w:val="00471928"/>
    <w:rsid w:val="004724CF"/>
    <w:rsid w:val="00473BAB"/>
    <w:rsid w:val="004742C2"/>
    <w:rsid w:val="00474A6B"/>
    <w:rsid w:val="00474C43"/>
    <w:rsid w:val="00474E7A"/>
    <w:rsid w:val="004751BD"/>
    <w:rsid w:val="004755BB"/>
    <w:rsid w:val="00475A37"/>
    <w:rsid w:val="00476023"/>
    <w:rsid w:val="0047707B"/>
    <w:rsid w:val="00480303"/>
    <w:rsid w:val="00481B89"/>
    <w:rsid w:val="00481D0B"/>
    <w:rsid w:val="004821AC"/>
    <w:rsid w:val="004826E9"/>
    <w:rsid w:val="0048303A"/>
    <w:rsid w:val="004840DF"/>
    <w:rsid w:val="00485E08"/>
    <w:rsid w:val="00485EEA"/>
    <w:rsid w:val="004860D6"/>
    <w:rsid w:val="00486474"/>
    <w:rsid w:val="004866E7"/>
    <w:rsid w:val="00486CCA"/>
    <w:rsid w:val="00487F7A"/>
    <w:rsid w:val="00487FE4"/>
    <w:rsid w:val="00490151"/>
    <w:rsid w:val="004906BC"/>
    <w:rsid w:val="00490904"/>
    <w:rsid w:val="00491E0E"/>
    <w:rsid w:val="00492753"/>
    <w:rsid w:val="004928DD"/>
    <w:rsid w:val="00493FCC"/>
    <w:rsid w:val="00494308"/>
    <w:rsid w:val="0049467B"/>
    <w:rsid w:val="00494CE3"/>
    <w:rsid w:val="00495694"/>
    <w:rsid w:val="00495E5E"/>
    <w:rsid w:val="0049617A"/>
    <w:rsid w:val="004971C8"/>
    <w:rsid w:val="004974E8"/>
    <w:rsid w:val="00497A17"/>
    <w:rsid w:val="00497C5B"/>
    <w:rsid w:val="004A0308"/>
    <w:rsid w:val="004A0508"/>
    <w:rsid w:val="004A0C5A"/>
    <w:rsid w:val="004A0E74"/>
    <w:rsid w:val="004A1278"/>
    <w:rsid w:val="004A14EC"/>
    <w:rsid w:val="004A203E"/>
    <w:rsid w:val="004A21A4"/>
    <w:rsid w:val="004A2986"/>
    <w:rsid w:val="004A2E1B"/>
    <w:rsid w:val="004A3194"/>
    <w:rsid w:val="004A3465"/>
    <w:rsid w:val="004A44C4"/>
    <w:rsid w:val="004A48CE"/>
    <w:rsid w:val="004A52B2"/>
    <w:rsid w:val="004A55AC"/>
    <w:rsid w:val="004A55D0"/>
    <w:rsid w:val="004A55FE"/>
    <w:rsid w:val="004A634C"/>
    <w:rsid w:val="004A69CF"/>
    <w:rsid w:val="004A6B52"/>
    <w:rsid w:val="004A6DC5"/>
    <w:rsid w:val="004A739A"/>
    <w:rsid w:val="004A7F51"/>
    <w:rsid w:val="004B08CA"/>
    <w:rsid w:val="004B0C8D"/>
    <w:rsid w:val="004B0E86"/>
    <w:rsid w:val="004B137E"/>
    <w:rsid w:val="004B1CDF"/>
    <w:rsid w:val="004B42CB"/>
    <w:rsid w:val="004B550C"/>
    <w:rsid w:val="004B6FBC"/>
    <w:rsid w:val="004C00AD"/>
    <w:rsid w:val="004C02DF"/>
    <w:rsid w:val="004C04BE"/>
    <w:rsid w:val="004C0D96"/>
    <w:rsid w:val="004C1648"/>
    <w:rsid w:val="004C1736"/>
    <w:rsid w:val="004C1F37"/>
    <w:rsid w:val="004C3404"/>
    <w:rsid w:val="004C3A41"/>
    <w:rsid w:val="004C4A04"/>
    <w:rsid w:val="004C5164"/>
    <w:rsid w:val="004C5A2E"/>
    <w:rsid w:val="004C5A5E"/>
    <w:rsid w:val="004C5DDD"/>
    <w:rsid w:val="004C5DE1"/>
    <w:rsid w:val="004C5EE4"/>
    <w:rsid w:val="004C5FDC"/>
    <w:rsid w:val="004C632D"/>
    <w:rsid w:val="004C64A1"/>
    <w:rsid w:val="004C67D6"/>
    <w:rsid w:val="004C68A5"/>
    <w:rsid w:val="004C6F11"/>
    <w:rsid w:val="004D1684"/>
    <w:rsid w:val="004D2584"/>
    <w:rsid w:val="004D3A1B"/>
    <w:rsid w:val="004D3F10"/>
    <w:rsid w:val="004D3FF6"/>
    <w:rsid w:val="004D43FF"/>
    <w:rsid w:val="004D490B"/>
    <w:rsid w:val="004D4F73"/>
    <w:rsid w:val="004D528A"/>
    <w:rsid w:val="004D6114"/>
    <w:rsid w:val="004D6AF7"/>
    <w:rsid w:val="004D6C1E"/>
    <w:rsid w:val="004D6F5F"/>
    <w:rsid w:val="004D737B"/>
    <w:rsid w:val="004D7508"/>
    <w:rsid w:val="004D7664"/>
    <w:rsid w:val="004E0CBC"/>
    <w:rsid w:val="004E0E05"/>
    <w:rsid w:val="004E118D"/>
    <w:rsid w:val="004E149C"/>
    <w:rsid w:val="004E17C5"/>
    <w:rsid w:val="004E1D5A"/>
    <w:rsid w:val="004E1E72"/>
    <w:rsid w:val="004E2124"/>
    <w:rsid w:val="004E29C4"/>
    <w:rsid w:val="004E2F1A"/>
    <w:rsid w:val="004E305B"/>
    <w:rsid w:val="004E3BA8"/>
    <w:rsid w:val="004E4B54"/>
    <w:rsid w:val="004E4E2A"/>
    <w:rsid w:val="004E5E54"/>
    <w:rsid w:val="004E611E"/>
    <w:rsid w:val="004E6B8B"/>
    <w:rsid w:val="004E74C2"/>
    <w:rsid w:val="004F0E04"/>
    <w:rsid w:val="004F1ACD"/>
    <w:rsid w:val="004F1DF8"/>
    <w:rsid w:val="004F29DA"/>
    <w:rsid w:val="004F2BF4"/>
    <w:rsid w:val="004F3845"/>
    <w:rsid w:val="004F3C30"/>
    <w:rsid w:val="004F4275"/>
    <w:rsid w:val="004F4A3D"/>
    <w:rsid w:val="004F5348"/>
    <w:rsid w:val="004F577C"/>
    <w:rsid w:val="004F5B72"/>
    <w:rsid w:val="004F5E22"/>
    <w:rsid w:val="004F6A1A"/>
    <w:rsid w:val="004F6F1C"/>
    <w:rsid w:val="004F743E"/>
    <w:rsid w:val="004F782B"/>
    <w:rsid w:val="004F7E46"/>
    <w:rsid w:val="00500AB6"/>
    <w:rsid w:val="00501190"/>
    <w:rsid w:val="00501556"/>
    <w:rsid w:val="00502D24"/>
    <w:rsid w:val="00502F94"/>
    <w:rsid w:val="005034F3"/>
    <w:rsid w:val="00504D1A"/>
    <w:rsid w:val="00504DCF"/>
    <w:rsid w:val="00504ECD"/>
    <w:rsid w:val="00505321"/>
    <w:rsid w:val="00506191"/>
    <w:rsid w:val="00506A05"/>
    <w:rsid w:val="00507E04"/>
    <w:rsid w:val="005108FA"/>
    <w:rsid w:val="00511B64"/>
    <w:rsid w:val="00511CA1"/>
    <w:rsid w:val="00511EAE"/>
    <w:rsid w:val="00512815"/>
    <w:rsid w:val="005131A0"/>
    <w:rsid w:val="00513934"/>
    <w:rsid w:val="00514BE9"/>
    <w:rsid w:val="00515500"/>
    <w:rsid w:val="00515FAE"/>
    <w:rsid w:val="005164DF"/>
    <w:rsid w:val="0051715F"/>
    <w:rsid w:val="005174CA"/>
    <w:rsid w:val="00520321"/>
    <w:rsid w:val="00520B88"/>
    <w:rsid w:val="005219CC"/>
    <w:rsid w:val="00522BFB"/>
    <w:rsid w:val="00523078"/>
    <w:rsid w:val="00523330"/>
    <w:rsid w:val="00523677"/>
    <w:rsid w:val="00523856"/>
    <w:rsid w:val="005238F5"/>
    <w:rsid w:val="00523C16"/>
    <w:rsid w:val="00523CC3"/>
    <w:rsid w:val="00523E64"/>
    <w:rsid w:val="005243AA"/>
    <w:rsid w:val="00524FB1"/>
    <w:rsid w:val="005267A4"/>
    <w:rsid w:val="00526BE8"/>
    <w:rsid w:val="005275D5"/>
    <w:rsid w:val="00527ACC"/>
    <w:rsid w:val="00530226"/>
    <w:rsid w:val="00531422"/>
    <w:rsid w:val="005315A2"/>
    <w:rsid w:val="0053168B"/>
    <w:rsid w:val="00531AB1"/>
    <w:rsid w:val="00531B1B"/>
    <w:rsid w:val="0053219D"/>
    <w:rsid w:val="00532520"/>
    <w:rsid w:val="00532FDD"/>
    <w:rsid w:val="0053314F"/>
    <w:rsid w:val="00533463"/>
    <w:rsid w:val="005339D0"/>
    <w:rsid w:val="00533F87"/>
    <w:rsid w:val="005352FD"/>
    <w:rsid w:val="00535493"/>
    <w:rsid w:val="00535D42"/>
    <w:rsid w:val="00535E19"/>
    <w:rsid w:val="00536623"/>
    <w:rsid w:val="005369EC"/>
    <w:rsid w:val="00536FDD"/>
    <w:rsid w:val="00537955"/>
    <w:rsid w:val="00537E3F"/>
    <w:rsid w:val="005418C3"/>
    <w:rsid w:val="005418EF"/>
    <w:rsid w:val="00541C2A"/>
    <w:rsid w:val="00541CDF"/>
    <w:rsid w:val="0054230A"/>
    <w:rsid w:val="00543615"/>
    <w:rsid w:val="0054473A"/>
    <w:rsid w:val="00545060"/>
    <w:rsid w:val="005454B1"/>
    <w:rsid w:val="005459CF"/>
    <w:rsid w:val="00545B1C"/>
    <w:rsid w:val="00545EE8"/>
    <w:rsid w:val="005462F9"/>
    <w:rsid w:val="00546530"/>
    <w:rsid w:val="00547095"/>
    <w:rsid w:val="00550EE3"/>
    <w:rsid w:val="00551B14"/>
    <w:rsid w:val="005529B4"/>
    <w:rsid w:val="005529F0"/>
    <w:rsid w:val="00552AED"/>
    <w:rsid w:val="00552BF3"/>
    <w:rsid w:val="00553829"/>
    <w:rsid w:val="0055471F"/>
    <w:rsid w:val="00555A68"/>
    <w:rsid w:val="0055616F"/>
    <w:rsid w:val="00556D76"/>
    <w:rsid w:val="00556DCC"/>
    <w:rsid w:val="005577A8"/>
    <w:rsid w:val="005577F5"/>
    <w:rsid w:val="005578C5"/>
    <w:rsid w:val="00557F09"/>
    <w:rsid w:val="005600D7"/>
    <w:rsid w:val="00560188"/>
    <w:rsid w:val="00560778"/>
    <w:rsid w:val="00560CED"/>
    <w:rsid w:val="00560D6D"/>
    <w:rsid w:val="00560F06"/>
    <w:rsid w:val="00561150"/>
    <w:rsid w:val="005612E2"/>
    <w:rsid w:val="0056263E"/>
    <w:rsid w:val="00562BEE"/>
    <w:rsid w:val="00562C6E"/>
    <w:rsid w:val="00563DFE"/>
    <w:rsid w:val="0056401D"/>
    <w:rsid w:val="0056414A"/>
    <w:rsid w:val="005642D3"/>
    <w:rsid w:val="00564CD1"/>
    <w:rsid w:val="00564D1D"/>
    <w:rsid w:val="00564F4F"/>
    <w:rsid w:val="00565063"/>
    <w:rsid w:val="00565506"/>
    <w:rsid w:val="00565E9E"/>
    <w:rsid w:val="00566707"/>
    <w:rsid w:val="005670A1"/>
    <w:rsid w:val="00567AF7"/>
    <w:rsid w:val="00570217"/>
    <w:rsid w:val="0057064A"/>
    <w:rsid w:val="00570888"/>
    <w:rsid w:val="00570C9F"/>
    <w:rsid w:val="00570DC9"/>
    <w:rsid w:val="00570EA4"/>
    <w:rsid w:val="005714D9"/>
    <w:rsid w:val="00571B81"/>
    <w:rsid w:val="00571C04"/>
    <w:rsid w:val="00572FFB"/>
    <w:rsid w:val="005732E8"/>
    <w:rsid w:val="005735A5"/>
    <w:rsid w:val="00573E22"/>
    <w:rsid w:val="005750D0"/>
    <w:rsid w:val="00575104"/>
    <w:rsid w:val="00575800"/>
    <w:rsid w:val="005758D7"/>
    <w:rsid w:val="00575C9A"/>
    <w:rsid w:val="00575DEC"/>
    <w:rsid w:val="00576AD5"/>
    <w:rsid w:val="00576B3E"/>
    <w:rsid w:val="00576BA2"/>
    <w:rsid w:val="00580563"/>
    <w:rsid w:val="00580A9E"/>
    <w:rsid w:val="00580EBE"/>
    <w:rsid w:val="0058178B"/>
    <w:rsid w:val="00581D1D"/>
    <w:rsid w:val="00581F12"/>
    <w:rsid w:val="00582336"/>
    <w:rsid w:val="00582B21"/>
    <w:rsid w:val="00582BCE"/>
    <w:rsid w:val="005835E7"/>
    <w:rsid w:val="005837D0"/>
    <w:rsid w:val="005838F5"/>
    <w:rsid w:val="005838F9"/>
    <w:rsid w:val="00584A1B"/>
    <w:rsid w:val="00585130"/>
    <w:rsid w:val="0058547D"/>
    <w:rsid w:val="0058562E"/>
    <w:rsid w:val="00585ECB"/>
    <w:rsid w:val="00587C79"/>
    <w:rsid w:val="005905F4"/>
    <w:rsid w:val="00590719"/>
    <w:rsid w:val="00590ACB"/>
    <w:rsid w:val="00590C4D"/>
    <w:rsid w:val="00590D01"/>
    <w:rsid w:val="005910F6"/>
    <w:rsid w:val="00591C62"/>
    <w:rsid w:val="00591CFE"/>
    <w:rsid w:val="00593322"/>
    <w:rsid w:val="00594E77"/>
    <w:rsid w:val="00595296"/>
    <w:rsid w:val="0059576B"/>
    <w:rsid w:val="005958BF"/>
    <w:rsid w:val="005961E2"/>
    <w:rsid w:val="005A0196"/>
    <w:rsid w:val="005A0B1C"/>
    <w:rsid w:val="005A0EBB"/>
    <w:rsid w:val="005A142F"/>
    <w:rsid w:val="005A1B62"/>
    <w:rsid w:val="005A1C20"/>
    <w:rsid w:val="005A28D5"/>
    <w:rsid w:val="005A3A23"/>
    <w:rsid w:val="005A3FCE"/>
    <w:rsid w:val="005A4232"/>
    <w:rsid w:val="005A5E7F"/>
    <w:rsid w:val="005A6148"/>
    <w:rsid w:val="005A6AC5"/>
    <w:rsid w:val="005A71EB"/>
    <w:rsid w:val="005A7983"/>
    <w:rsid w:val="005B01F7"/>
    <w:rsid w:val="005B2217"/>
    <w:rsid w:val="005B3080"/>
    <w:rsid w:val="005B3B89"/>
    <w:rsid w:val="005B3FE1"/>
    <w:rsid w:val="005B4500"/>
    <w:rsid w:val="005B4770"/>
    <w:rsid w:val="005B4F74"/>
    <w:rsid w:val="005B5210"/>
    <w:rsid w:val="005B573A"/>
    <w:rsid w:val="005B5E80"/>
    <w:rsid w:val="005B62A6"/>
    <w:rsid w:val="005B6519"/>
    <w:rsid w:val="005B6FE7"/>
    <w:rsid w:val="005C15A6"/>
    <w:rsid w:val="005C1ABB"/>
    <w:rsid w:val="005C1BA1"/>
    <w:rsid w:val="005C34D6"/>
    <w:rsid w:val="005C424F"/>
    <w:rsid w:val="005C47DA"/>
    <w:rsid w:val="005C546C"/>
    <w:rsid w:val="005C56A9"/>
    <w:rsid w:val="005C5831"/>
    <w:rsid w:val="005C66CB"/>
    <w:rsid w:val="005C6E7D"/>
    <w:rsid w:val="005C7036"/>
    <w:rsid w:val="005C71A4"/>
    <w:rsid w:val="005C73B4"/>
    <w:rsid w:val="005C7A2A"/>
    <w:rsid w:val="005D0A81"/>
    <w:rsid w:val="005D0C97"/>
    <w:rsid w:val="005D2C2A"/>
    <w:rsid w:val="005D3411"/>
    <w:rsid w:val="005D3807"/>
    <w:rsid w:val="005D3B81"/>
    <w:rsid w:val="005D45C3"/>
    <w:rsid w:val="005D4E3B"/>
    <w:rsid w:val="005D5675"/>
    <w:rsid w:val="005D5A25"/>
    <w:rsid w:val="005D5F2D"/>
    <w:rsid w:val="005D6362"/>
    <w:rsid w:val="005D73DE"/>
    <w:rsid w:val="005D7E3E"/>
    <w:rsid w:val="005E0355"/>
    <w:rsid w:val="005E0374"/>
    <w:rsid w:val="005E1FFE"/>
    <w:rsid w:val="005E22DA"/>
    <w:rsid w:val="005E2301"/>
    <w:rsid w:val="005E243F"/>
    <w:rsid w:val="005E2727"/>
    <w:rsid w:val="005E2AC4"/>
    <w:rsid w:val="005E4100"/>
    <w:rsid w:val="005E47B4"/>
    <w:rsid w:val="005E4A01"/>
    <w:rsid w:val="005E4F70"/>
    <w:rsid w:val="005E51D7"/>
    <w:rsid w:val="005E5646"/>
    <w:rsid w:val="005E5C4A"/>
    <w:rsid w:val="005E6368"/>
    <w:rsid w:val="005E7E05"/>
    <w:rsid w:val="005F1ABB"/>
    <w:rsid w:val="005F24EA"/>
    <w:rsid w:val="005F36FD"/>
    <w:rsid w:val="005F4948"/>
    <w:rsid w:val="005F5FCF"/>
    <w:rsid w:val="005F6700"/>
    <w:rsid w:val="005F6FAB"/>
    <w:rsid w:val="005F7A95"/>
    <w:rsid w:val="005F7F5E"/>
    <w:rsid w:val="00600448"/>
    <w:rsid w:val="00600CE5"/>
    <w:rsid w:val="00601031"/>
    <w:rsid w:val="006017C6"/>
    <w:rsid w:val="00603993"/>
    <w:rsid w:val="00603AF1"/>
    <w:rsid w:val="00604C48"/>
    <w:rsid w:val="00604D72"/>
    <w:rsid w:val="00605DFD"/>
    <w:rsid w:val="0060604B"/>
    <w:rsid w:val="00606A1C"/>
    <w:rsid w:val="00610CD0"/>
    <w:rsid w:val="0061101A"/>
    <w:rsid w:val="00611846"/>
    <w:rsid w:val="00611924"/>
    <w:rsid w:val="00611D0D"/>
    <w:rsid w:val="006123A3"/>
    <w:rsid w:val="00612C75"/>
    <w:rsid w:val="00613B53"/>
    <w:rsid w:val="00613CFA"/>
    <w:rsid w:val="00613EE9"/>
    <w:rsid w:val="00614A14"/>
    <w:rsid w:val="00614C64"/>
    <w:rsid w:val="006168F1"/>
    <w:rsid w:val="00616DE6"/>
    <w:rsid w:val="00620441"/>
    <w:rsid w:val="0062054E"/>
    <w:rsid w:val="006214A3"/>
    <w:rsid w:val="0062299E"/>
    <w:rsid w:val="006231F3"/>
    <w:rsid w:val="006232FD"/>
    <w:rsid w:val="00623D72"/>
    <w:rsid w:val="00624509"/>
    <w:rsid w:val="006245C6"/>
    <w:rsid w:val="006250D5"/>
    <w:rsid w:val="00625FD6"/>
    <w:rsid w:val="006270FB"/>
    <w:rsid w:val="00627148"/>
    <w:rsid w:val="00627DE7"/>
    <w:rsid w:val="006306C5"/>
    <w:rsid w:val="00630CCB"/>
    <w:rsid w:val="006313D5"/>
    <w:rsid w:val="00631AE1"/>
    <w:rsid w:val="00631F34"/>
    <w:rsid w:val="00632ADA"/>
    <w:rsid w:val="00632F5C"/>
    <w:rsid w:val="006343C6"/>
    <w:rsid w:val="0063552E"/>
    <w:rsid w:val="0063624E"/>
    <w:rsid w:val="00636DBE"/>
    <w:rsid w:val="006376B5"/>
    <w:rsid w:val="00637DD6"/>
    <w:rsid w:val="00637EC9"/>
    <w:rsid w:val="006402D7"/>
    <w:rsid w:val="006410E9"/>
    <w:rsid w:val="00641937"/>
    <w:rsid w:val="00641C2A"/>
    <w:rsid w:val="00643462"/>
    <w:rsid w:val="00643CC2"/>
    <w:rsid w:val="0064447D"/>
    <w:rsid w:val="006445A6"/>
    <w:rsid w:val="006447A9"/>
    <w:rsid w:val="00644AFB"/>
    <w:rsid w:val="00645B3D"/>
    <w:rsid w:val="00645CAE"/>
    <w:rsid w:val="0064652F"/>
    <w:rsid w:val="00647D96"/>
    <w:rsid w:val="00650DCB"/>
    <w:rsid w:val="00650E45"/>
    <w:rsid w:val="006520CC"/>
    <w:rsid w:val="006529AC"/>
    <w:rsid w:val="00653292"/>
    <w:rsid w:val="00653363"/>
    <w:rsid w:val="006533B2"/>
    <w:rsid w:val="00653AAE"/>
    <w:rsid w:val="00655EB7"/>
    <w:rsid w:val="00655F5A"/>
    <w:rsid w:val="00656A47"/>
    <w:rsid w:val="00657935"/>
    <w:rsid w:val="006600C8"/>
    <w:rsid w:val="00661591"/>
    <w:rsid w:val="006627D5"/>
    <w:rsid w:val="00662CD7"/>
    <w:rsid w:val="00662D0F"/>
    <w:rsid w:val="0066353F"/>
    <w:rsid w:val="006637F6"/>
    <w:rsid w:val="00663880"/>
    <w:rsid w:val="00663884"/>
    <w:rsid w:val="00663932"/>
    <w:rsid w:val="00665700"/>
    <w:rsid w:val="006670FE"/>
    <w:rsid w:val="00667C05"/>
    <w:rsid w:val="00671329"/>
    <w:rsid w:val="006717C5"/>
    <w:rsid w:val="00671B1D"/>
    <w:rsid w:val="00671FC4"/>
    <w:rsid w:val="00672002"/>
    <w:rsid w:val="00672DD0"/>
    <w:rsid w:val="00672EB3"/>
    <w:rsid w:val="00673470"/>
    <w:rsid w:val="00674A02"/>
    <w:rsid w:val="00675719"/>
    <w:rsid w:val="0067616A"/>
    <w:rsid w:val="00676C7C"/>
    <w:rsid w:val="0067740E"/>
    <w:rsid w:val="006805FE"/>
    <w:rsid w:val="0068092B"/>
    <w:rsid w:val="00681D98"/>
    <w:rsid w:val="00681F34"/>
    <w:rsid w:val="006823D9"/>
    <w:rsid w:val="00682970"/>
    <w:rsid w:val="00684226"/>
    <w:rsid w:val="00684276"/>
    <w:rsid w:val="00684BAD"/>
    <w:rsid w:val="00684E70"/>
    <w:rsid w:val="00686558"/>
    <w:rsid w:val="00686BD2"/>
    <w:rsid w:val="00687092"/>
    <w:rsid w:val="00687097"/>
    <w:rsid w:val="006911E4"/>
    <w:rsid w:val="00691A52"/>
    <w:rsid w:val="0069265D"/>
    <w:rsid w:val="00692C5F"/>
    <w:rsid w:val="00693175"/>
    <w:rsid w:val="00693325"/>
    <w:rsid w:val="00693676"/>
    <w:rsid w:val="00693729"/>
    <w:rsid w:val="00693DC4"/>
    <w:rsid w:val="00694300"/>
    <w:rsid w:val="0069454E"/>
    <w:rsid w:val="0069463B"/>
    <w:rsid w:val="00694FDB"/>
    <w:rsid w:val="0069584E"/>
    <w:rsid w:val="00695DD6"/>
    <w:rsid w:val="00696659"/>
    <w:rsid w:val="006967B7"/>
    <w:rsid w:val="00696E65"/>
    <w:rsid w:val="006A0348"/>
    <w:rsid w:val="006A096C"/>
    <w:rsid w:val="006A0A99"/>
    <w:rsid w:val="006A0B2E"/>
    <w:rsid w:val="006A12C8"/>
    <w:rsid w:val="006A1962"/>
    <w:rsid w:val="006A1D10"/>
    <w:rsid w:val="006A1E23"/>
    <w:rsid w:val="006A2DC1"/>
    <w:rsid w:val="006A5050"/>
    <w:rsid w:val="006A53AE"/>
    <w:rsid w:val="006A5BE3"/>
    <w:rsid w:val="006A61AD"/>
    <w:rsid w:val="006A61D4"/>
    <w:rsid w:val="006A6A9D"/>
    <w:rsid w:val="006A6B4F"/>
    <w:rsid w:val="006A6D52"/>
    <w:rsid w:val="006A79D2"/>
    <w:rsid w:val="006A7FD7"/>
    <w:rsid w:val="006B0DB3"/>
    <w:rsid w:val="006B1DC2"/>
    <w:rsid w:val="006B21C1"/>
    <w:rsid w:val="006B2E90"/>
    <w:rsid w:val="006B303E"/>
    <w:rsid w:val="006B32E1"/>
    <w:rsid w:val="006B38F8"/>
    <w:rsid w:val="006B3F75"/>
    <w:rsid w:val="006B4908"/>
    <w:rsid w:val="006B5613"/>
    <w:rsid w:val="006B636A"/>
    <w:rsid w:val="006B789D"/>
    <w:rsid w:val="006B7F50"/>
    <w:rsid w:val="006C0482"/>
    <w:rsid w:val="006C108C"/>
    <w:rsid w:val="006C28BC"/>
    <w:rsid w:val="006C378C"/>
    <w:rsid w:val="006C406F"/>
    <w:rsid w:val="006C4623"/>
    <w:rsid w:val="006C49CB"/>
    <w:rsid w:val="006C4B7E"/>
    <w:rsid w:val="006C503B"/>
    <w:rsid w:val="006C516C"/>
    <w:rsid w:val="006C686E"/>
    <w:rsid w:val="006C6F98"/>
    <w:rsid w:val="006C763F"/>
    <w:rsid w:val="006D1192"/>
    <w:rsid w:val="006D1AB8"/>
    <w:rsid w:val="006D2126"/>
    <w:rsid w:val="006D21E7"/>
    <w:rsid w:val="006D241E"/>
    <w:rsid w:val="006D277A"/>
    <w:rsid w:val="006D2F00"/>
    <w:rsid w:val="006D2F61"/>
    <w:rsid w:val="006D3597"/>
    <w:rsid w:val="006D382A"/>
    <w:rsid w:val="006D3F00"/>
    <w:rsid w:val="006D41E6"/>
    <w:rsid w:val="006D5035"/>
    <w:rsid w:val="006D5439"/>
    <w:rsid w:val="006D5CD5"/>
    <w:rsid w:val="006D666A"/>
    <w:rsid w:val="006D6FDA"/>
    <w:rsid w:val="006D774A"/>
    <w:rsid w:val="006D79C3"/>
    <w:rsid w:val="006D7D7B"/>
    <w:rsid w:val="006E0064"/>
    <w:rsid w:val="006E030E"/>
    <w:rsid w:val="006E0ECC"/>
    <w:rsid w:val="006E123A"/>
    <w:rsid w:val="006E1550"/>
    <w:rsid w:val="006E16D0"/>
    <w:rsid w:val="006E2708"/>
    <w:rsid w:val="006E273A"/>
    <w:rsid w:val="006E29F4"/>
    <w:rsid w:val="006E3B42"/>
    <w:rsid w:val="006E3DCC"/>
    <w:rsid w:val="006E3DEE"/>
    <w:rsid w:val="006E52B2"/>
    <w:rsid w:val="006E5474"/>
    <w:rsid w:val="006E5842"/>
    <w:rsid w:val="006E5DB8"/>
    <w:rsid w:val="006E649E"/>
    <w:rsid w:val="006E64E4"/>
    <w:rsid w:val="006E6ACB"/>
    <w:rsid w:val="006E747D"/>
    <w:rsid w:val="006E75D2"/>
    <w:rsid w:val="006E7A7A"/>
    <w:rsid w:val="006E7F49"/>
    <w:rsid w:val="006F0A66"/>
    <w:rsid w:val="006F141F"/>
    <w:rsid w:val="006F172E"/>
    <w:rsid w:val="006F1C7E"/>
    <w:rsid w:val="006F2B26"/>
    <w:rsid w:val="006F33D6"/>
    <w:rsid w:val="006F3EF7"/>
    <w:rsid w:val="006F4AEA"/>
    <w:rsid w:val="006F4B38"/>
    <w:rsid w:val="006F4CD2"/>
    <w:rsid w:val="006F69C4"/>
    <w:rsid w:val="006F7CC7"/>
    <w:rsid w:val="006F7F54"/>
    <w:rsid w:val="007003D5"/>
    <w:rsid w:val="00700A53"/>
    <w:rsid w:val="00700E0E"/>
    <w:rsid w:val="007010C7"/>
    <w:rsid w:val="00701720"/>
    <w:rsid w:val="0070270F"/>
    <w:rsid w:val="007037FA"/>
    <w:rsid w:val="00703F91"/>
    <w:rsid w:val="00705866"/>
    <w:rsid w:val="00706EBE"/>
    <w:rsid w:val="00707374"/>
    <w:rsid w:val="007079EE"/>
    <w:rsid w:val="007103D3"/>
    <w:rsid w:val="0071099C"/>
    <w:rsid w:val="00711D1D"/>
    <w:rsid w:val="00712328"/>
    <w:rsid w:val="007123C2"/>
    <w:rsid w:val="0071246F"/>
    <w:rsid w:val="00712546"/>
    <w:rsid w:val="00712981"/>
    <w:rsid w:val="00712F41"/>
    <w:rsid w:val="00713169"/>
    <w:rsid w:val="00713655"/>
    <w:rsid w:val="0071389B"/>
    <w:rsid w:val="007138CE"/>
    <w:rsid w:val="00713A31"/>
    <w:rsid w:val="007142E9"/>
    <w:rsid w:val="00714879"/>
    <w:rsid w:val="007178B0"/>
    <w:rsid w:val="00717B7B"/>
    <w:rsid w:val="0072128B"/>
    <w:rsid w:val="0072197A"/>
    <w:rsid w:val="00721CAD"/>
    <w:rsid w:val="0072224D"/>
    <w:rsid w:val="0072226B"/>
    <w:rsid w:val="007225C9"/>
    <w:rsid w:val="0072455F"/>
    <w:rsid w:val="007245EC"/>
    <w:rsid w:val="00724D60"/>
    <w:rsid w:val="0072500B"/>
    <w:rsid w:val="007257CC"/>
    <w:rsid w:val="00727A58"/>
    <w:rsid w:val="00731602"/>
    <w:rsid w:val="0073168F"/>
    <w:rsid w:val="007318C9"/>
    <w:rsid w:val="00732425"/>
    <w:rsid w:val="00732513"/>
    <w:rsid w:val="00732618"/>
    <w:rsid w:val="00732964"/>
    <w:rsid w:val="0073351B"/>
    <w:rsid w:val="0073390D"/>
    <w:rsid w:val="00733BF6"/>
    <w:rsid w:val="00734426"/>
    <w:rsid w:val="00734DA1"/>
    <w:rsid w:val="00734F03"/>
    <w:rsid w:val="00735BBD"/>
    <w:rsid w:val="00736BC0"/>
    <w:rsid w:val="007379AD"/>
    <w:rsid w:val="007400CB"/>
    <w:rsid w:val="0074049F"/>
    <w:rsid w:val="00740553"/>
    <w:rsid w:val="00740ACE"/>
    <w:rsid w:val="00741163"/>
    <w:rsid w:val="0074154B"/>
    <w:rsid w:val="00745186"/>
    <w:rsid w:val="00746022"/>
    <w:rsid w:val="00746F9E"/>
    <w:rsid w:val="0075036D"/>
    <w:rsid w:val="0075138D"/>
    <w:rsid w:val="00751A6A"/>
    <w:rsid w:val="00751FCE"/>
    <w:rsid w:val="00753155"/>
    <w:rsid w:val="00753193"/>
    <w:rsid w:val="0075397D"/>
    <w:rsid w:val="007539C4"/>
    <w:rsid w:val="00753DFE"/>
    <w:rsid w:val="007546CD"/>
    <w:rsid w:val="00754986"/>
    <w:rsid w:val="00754B68"/>
    <w:rsid w:val="00754E0B"/>
    <w:rsid w:val="00756FD5"/>
    <w:rsid w:val="0075726D"/>
    <w:rsid w:val="0075726E"/>
    <w:rsid w:val="00757592"/>
    <w:rsid w:val="00757FAB"/>
    <w:rsid w:val="00760BA5"/>
    <w:rsid w:val="007616B4"/>
    <w:rsid w:val="007617C3"/>
    <w:rsid w:val="007618C5"/>
    <w:rsid w:val="0076305B"/>
    <w:rsid w:val="007638FD"/>
    <w:rsid w:val="00764382"/>
    <w:rsid w:val="007652AB"/>
    <w:rsid w:val="007654DA"/>
    <w:rsid w:val="00765DB6"/>
    <w:rsid w:val="007661D8"/>
    <w:rsid w:val="007664DA"/>
    <w:rsid w:val="007673BB"/>
    <w:rsid w:val="00770B94"/>
    <w:rsid w:val="00770F4F"/>
    <w:rsid w:val="00771990"/>
    <w:rsid w:val="0077249F"/>
    <w:rsid w:val="0077326F"/>
    <w:rsid w:val="00773C99"/>
    <w:rsid w:val="00773D3E"/>
    <w:rsid w:val="00773EBF"/>
    <w:rsid w:val="0077479C"/>
    <w:rsid w:val="00774F97"/>
    <w:rsid w:val="00775122"/>
    <w:rsid w:val="0077528B"/>
    <w:rsid w:val="00775703"/>
    <w:rsid w:val="00775F55"/>
    <w:rsid w:val="0077601B"/>
    <w:rsid w:val="007762CB"/>
    <w:rsid w:val="00776613"/>
    <w:rsid w:val="00777453"/>
    <w:rsid w:val="007779E1"/>
    <w:rsid w:val="00777F85"/>
    <w:rsid w:val="00780DDE"/>
    <w:rsid w:val="00780E4C"/>
    <w:rsid w:val="0078117B"/>
    <w:rsid w:val="00781207"/>
    <w:rsid w:val="00781419"/>
    <w:rsid w:val="007815CE"/>
    <w:rsid w:val="00782852"/>
    <w:rsid w:val="00783393"/>
    <w:rsid w:val="00784035"/>
    <w:rsid w:val="0078429C"/>
    <w:rsid w:val="007842B1"/>
    <w:rsid w:val="007847E8"/>
    <w:rsid w:val="00784C33"/>
    <w:rsid w:val="00784C5E"/>
    <w:rsid w:val="00784F44"/>
    <w:rsid w:val="00785A71"/>
    <w:rsid w:val="00785CB8"/>
    <w:rsid w:val="007868D7"/>
    <w:rsid w:val="00786E81"/>
    <w:rsid w:val="00787EF6"/>
    <w:rsid w:val="0079060D"/>
    <w:rsid w:val="00790B74"/>
    <w:rsid w:val="00790C38"/>
    <w:rsid w:val="00791348"/>
    <w:rsid w:val="0079154E"/>
    <w:rsid w:val="007932B3"/>
    <w:rsid w:val="00793EF7"/>
    <w:rsid w:val="00793F2E"/>
    <w:rsid w:val="00793FF0"/>
    <w:rsid w:val="00794AFA"/>
    <w:rsid w:val="0079528F"/>
    <w:rsid w:val="007957D1"/>
    <w:rsid w:val="00795E69"/>
    <w:rsid w:val="00796116"/>
    <w:rsid w:val="007A0A0C"/>
    <w:rsid w:val="007A0DF0"/>
    <w:rsid w:val="007A1349"/>
    <w:rsid w:val="007A1BEF"/>
    <w:rsid w:val="007A1C32"/>
    <w:rsid w:val="007A26AF"/>
    <w:rsid w:val="007A2E2E"/>
    <w:rsid w:val="007A30A5"/>
    <w:rsid w:val="007A34AB"/>
    <w:rsid w:val="007A356D"/>
    <w:rsid w:val="007A41EE"/>
    <w:rsid w:val="007A4C49"/>
    <w:rsid w:val="007A4D0B"/>
    <w:rsid w:val="007A5595"/>
    <w:rsid w:val="007A64F8"/>
    <w:rsid w:val="007A655F"/>
    <w:rsid w:val="007A694A"/>
    <w:rsid w:val="007A6BAC"/>
    <w:rsid w:val="007A6F4F"/>
    <w:rsid w:val="007A7261"/>
    <w:rsid w:val="007A7527"/>
    <w:rsid w:val="007A7858"/>
    <w:rsid w:val="007A7A6A"/>
    <w:rsid w:val="007B0463"/>
    <w:rsid w:val="007B1104"/>
    <w:rsid w:val="007B1137"/>
    <w:rsid w:val="007B118C"/>
    <w:rsid w:val="007B17E5"/>
    <w:rsid w:val="007B1810"/>
    <w:rsid w:val="007B1825"/>
    <w:rsid w:val="007B1AE7"/>
    <w:rsid w:val="007B1BB6"/>
    <w:rsid w:val="007B2709"/>
    <w:rsid w:val="007B2A3E"/>
    <w:rsid w:val="007B4484"/>
    <w:rsid w:val="007B4AFA"/>
    <w:rsid w:val="007B4FAC"/>
    <w:rsid w:val="007B612E"/>
    <w:rsid w:val="007B633E"/>
    <w:rsid w:val="007B661C"/>
    <w:rsid w:val="007B6995"/>
    <w:rsid w:val="007B6F6B"/>
    <w:rsid w:val="007B7B0F"/>
    <w:rsid w:val="007B7F5D"/>
    <w:rsid w:val="007C00A4"/>
    <w:rsid w:val="007C07EA"/>
    <w:rsid w:val="007C235B"/>
    <w:rsid w:val="007C23BC"/>
    <w:rsid w:val="007C2A4B"/>
    <w:rsid w:val="007C2F92"/>
    <w:rsid w:val="007C30AA"/>
    <w:rsid w:val="007C33D4"/>
    <w:rsid w:val="007C4467"/>
    <w:rsid w:val="007C473B"/>
    <w:rsid w:val="007C4C2B"/>
    <w:rsid w:val="007C57D2"/>
    <w:rsid w:val="007C5866"/>
    <w:rsid w:val="007C6767"/>
    <w:rsid w:val="007C6BF7"/>
    <w:rsid w:val="007D2D32"/>
    <w:rsid w:val="007D2F02"/>
    <w:rsid w:val="007D3252"/>
    <w:rsid w:val="007D3520"/>
    <w:rsid w:val="007D3AB6"/>
    <w:rsid w:val="007D3B2C"/>
    <w:rsid w:val="007D75B8"/>
    <w:rsid w:val="007D79BC"/>
    <w:rsid w:val="007D7EDE"/>
    <w:rsid w:val="007E259A"/>
    <w:rsid w:val="007E2BDC"/>
    <w:rsid w:val="007E3870"/>
    <w:rsid w:val="007E4F3F"/>
    <w:rsid w:val="007E4F6F"/>
    <w:rsid w:val="007E5126"/>
    <w:rsid w:val="007E617D"/>
    <w:rsid w:val="007E638C"/>
    <w:rsid w:val="007E6431"/>
    <w:rsid w:val="007E6873"/>
    <w:rsid w:val="007E6880"/>
    <w:rsid w:val="007E6920"/>
    <w:rsid w:val="007E77AC"/>
    <w:rsid w:val="007F028D"/>
    <w:rsid w:val="007F10B2"/>
    <w:rsid w:val="007F138A"/>
    <w:rsid w:val="007F326A"/>
    <w:rsid w:val="007F37C8"/>
    <w:rsid w:val="007F3C03"/>
    <w:rsid w:val="007F5058"/>
    <w:rsid w:val="007F5121"/>
    <w:rsid w:val="007F5ABC"/>
    <w:rsid w:val="007F60F0"/>
    <w:rsid w:val="007F7ABE"/>
    <w:rsid w:val="007F7B3D"/>
    <w:rsid w:val="00800161"/>
    <w:rsid w:val="00801BE9"/>
    <w:rsid w:val="008025C1"/>
    <w:rsid w:val="00802F8D"/>
    <w:rsid w:val="008038B7"/>
    <w:rsid w:val="00803AF6"/>
    <w:rsid w:val="00804FFA"/>
    <w:rsid w:val="0080644A"/>
    <w:rsid w:val="00807233"/>
    <w:rsid w:val="00807389"/>
    <w:rsid w:val="00807465"/>
    <w:rsid w:val="00810030"/>
    <w:rsid w:val="0081012A"/>
    <w:rsid w:val="0081039E"/>
    <w:rsid w:val="00810652"/>
    <w:rsid w:val="00811974"/>
    <w:rsid w:val="00811E12"/>
    <w:rsid w:val="008125AE"/>
    <w:rsid w:val="0081298A"/>
    <w:rsid w:val="00812D56"/>
    <w:rsid w:val="008135BE"/>
    <w:rsid w:val="00814B2E"/>
    <w:rsid w:val="00815114"/>
    <w:rsid w:val="0081568E"/>
    <w:rsid w:val="00815742"/>
    <w:rsid w:val="00815B5C"/>
    <w:rsid w:val="00815D2E"/>
    <w:rsid w:val="0081731B"/>
    <w:rsid w:val="00817F17"/>
    <w:rsid w:val="00821EFB"/>
    <w:rsid w:val="008224A2"/>
    <w:rsid w:val="00822665"/>
    <w:rsid w:val="00822C2D"/>
    <w:rsid w:val="00823C79"/>
    <w:rsid w:val="008243E5"/>
    <w:rsid w:val="008250EB"/>
    <w:rsid w:val="00825434"/>
    <w:rsid w:val="00826963"/>
    <w:rsid w:val="00826CBE"/>
    <w:rsid w:val="00827C63"/>
    <w:rsid w:val="0083014D"/>
    <w:rsid w:val="00830288"/>
    <w:rsid w:val="008308BB"/>
    <w:rsid w:val="00831515"/>
    <w:rsid w:val="008317A0"/>
    <w:rsid w:val="00831FB3"/>
    <w:rsid w:val="008325D2"/>
    <w:rsid w:val="00832909"/>
    <w:rsid w:val="00833F4B"/>
    <w:rsid w:val="008356D6"/>
    <w:rsid w:val="00835FB9"/>
    <w:rsid w:val="00835FBD"/>
    <w:rsid w:val="00836572"/>
    <w:rsid w:val="00836FB7"/>
    <w:rsid w:val="00837716"/>
    <w:rsid w:val="00837944"/>
    <w:rsid w:val="00837CC5"/>
    <w:rsid w:val="0084001C"/>
    <w:rsid w:val="00840DD0"/>
    <w:rsid w:val="00840E27"/>
    <w:rsid w:val="008414C7"/>
    <w:rsid w:val="0084162D"/>
    <w:rsid w:val="008416C2"/>
    <w:rsid w:val="008419FF"/>
    <w:rsid w:val="00841EBB"/>
    <w:rsid w:val="00841EFD"/>
    <w:rsid w:val="00843E68"/>
    <w:rsid w:val="00843F13"/>
    <w:rsid w:val="00844BA4"/>
    <w:rsid w:val="00846415"/>
    <w:rsid w:val="00846F13"/>
    <w:rsid w:val="00847A48"/>
    <w:rsid w:val="008513F4"/>
    <w:rsid w:val="008519F5"/>
    <w:rsid w:val="0085228C"/>
    <w:rsid w:val="00852292"/>
    <w:rsid w:val="00852818"/>
    <w:rsid w:val="0085285F"/>
    <w:rsid w:val="00852B52"/>
    <w:rsid w:val="008537E4"/>
    <w:rsid w:val="00853AEE"/>
    <w:rsid w:val="00853F37"/>
    <w:rsid w:val="008547B5"/>
    <w:rsid w:val="00854810"/>
    <w:rsid w:val="00855636"/>
    <w:rsid w:val="00856344"/>
    <w:rsid w:val="0085668F"/>
    <w:rsid w:val="0085707C"/>
    <w:rsid w:val="00857143"/>
    <w:rsid w:val="00857857"/>
    <w:rsid w:val="00860266"/>
    <w:rsid w:val="0086041B"/>
    <w:rsid w:val="0086063A"/>
    <w:rsid w:val="008608DF"/>
    <w:rsid w:val="00861E0E"/>
    <w:rsid w:val="00862A08"/>
    <w:rsid w:val="00862FD6"/>
    <w:rsid w:val="008635C8"/>
    <w:rsid w:val="008649CE"/>
    <w:rsid w:val="00864A7C"/>
    <w:rsid w:val="00865984"/>
    <w:rsid w:val="00866CA1"/>
    <w:rsid w:val="0086725C"/>
    <w:rsid w:val="0086758A"/>
    <w:rsid w:val="008675D2"/>
    <w:rsid w:val="0087031C"/>
    <w:rsid w:val="0087037B"/>
    <w:rsid w:val="0087077A"/>
    <w:rsid w:val="00870C34"/>
    <w:rsid w:val="00870CE6"/>
    <w:rsid w:val="00871D9D"/>
    <w:rsid w:val="0087237E"/>
    <w:rsid w:val="008728DB"/>
    <w:rsid w:val="008729ED"/>
    <w:rsid w:val="00872BAC"/>
    <w:rsid w:val="00872F39"/>
    <w:rsid w:val="00873047"/>
    <w:rsid w:val="008732C5"/>
    <w:rsid w:val="00873954"/>
    <w:rsid w:val="00874DCA"/>
    <w:rsid w:val="00875426"/>
    <w:rsid w:val="0087609F"/>
    <w:rsid w:val="00876141"/>
    <w:rsid w:val="00876668"/>
    <w:rsid w:val="00877281"/>
    <w:rsid w:val="00877649"/>
    <w:rsid w:val="00881771"/>
    <w:rsid w:val="00881862"/>
    <w:rsid w:val="008820CF"/>
    <w:rsid w:val="00882B3B"/>
    <w:rsid w:val="008831C2"/>
    <w:rsid w:val="0088338E"/>
    <w:rsid w:val="00883B6D"/>
    <w:rsid w:val="00883CF4"/>
    <w:rsid w:val="0088400A"/>
    <w:rsid w:val="008843EF"/>
    <w:rsid w:val="008844B2"/>
    <w:rsid w:val="008845AC"/>
    <w:rsid w:val="008859BA"/>
    <w:rsid w:val="00885CAC"/>
    <w:rsid w:val="00886A9B"/>
    <w:rsid w:val="00887156"/>
    <w:rsid w:val="0088718B"/>
    <w:rsid w:val="008876EE"/>
    <w:rsid w:val="00891EA1"/>
    <w:rsid w:val="008921B4"/>
    <w:rsid w:val="00892297"/>
    <w:rsid w:val="00892861"/>
    <w:rsid w:val="008929F7"/>
    <w:rsid w:val="00893D13"/>
    <w:rsid w:val="00893EAA"/>
    <w:rsid w:val="00894F03"/>
    <w:rsid w:val="0089526C"/>
    <w:rsid w:val="008952FB"/>
    <w:rsid w:val="00895315"/>
    <w:rsid w:val="008955A8"/>
    <w:rsid w:val="00895744"/>
    <w:rsid w:val="00896055"/>
    <w:rsid w:val="0089733D"/>
    <w:rsid w:val="008A0254"/>
    <w:rsid w:val="008A031E"/>
    <w:rsid w:val="008A0EBE"/>
    <w:rsid w:val="008A0FEE"/>
    <w:rsid w:val="008A1FB3"/>
    <w:rsid w:val="008A23D0"/>
    <w:rsid w:val="008A346E"/>
    <w:rsid w:val="008A39E2"/>
    <w:rsid w:val="008A3B7B"/>
    <w:rsid w:val="008A46CA"/>
    <w:rsid w:val="008A47EE"/>
    <w:rsid w:val="008A4DB8"/>
    <w:rsid w:val="008A51DA"/>
    <w:rsid w:val="008A556B"/>
    <w:rsid w:val="008A5A6C"/>
    <w:rsid w:val="008A5D8E"/>
    <w:rsid w:val="008A61F4"/>
    <w:rsid w:val="008A7224"/>
    <w:rsid w:val="008B259A"/>
    <w:rsid w:val="008B26D1"/>
    <w:rsid w:val="008B2855"/>
    <w:rsid w:val="008B2B78"/>
    <w:rsid w:val="008B2E30"/>
    <w:rsid w:val="008B362B"/>
    <w:rsid w:val="008B667B"/>
    <w:rsid w:val="008B7CFD"/>
    <w:rsid w:val="008B7E24"/>
    <w:rsid w:val="008C00D6"/>
    <w:rsid w:val="008C0538"/>
    <w:rsid w:val="008C06BF"/>
    <w:rsid w:val="008C1169"/>
    <w:rsid w:val="008C1242"/>
    <w:rsid w:val="008C194B"/>
    <w:rsid w:val="008C1D01"/>
    <w:rsid w:val="008C2884"/>
    <w:rsid w:val="008C315A"/>
    <w:rsid w:val="008C3314"/>
    <w:rsid w:val="008C353E"/>
    <w:rsid w:val="008C44F2"/>
    <w:rsid w:val="008C5558"/>
    <w:rsid w:val="008C5779"/>
    <w:rsid w:val="008C5FAE"/>
    <w:rsid w:val="008C7121"/>
    <w:rsid w:val="008C71B0"/>
    <w:rsid w:val="008C7796"/>
    <w:rsid w:val="008C7EDC"/>
    <w:rsid w:val="008D06C1"/>
    <w:rsid w:val="008D0BD2"/>
    <w:rsid w:val="008D105D"/>
    <w:rsid w:val="008D12C0"/>
    <w:rsid w:val="008D1BFD"/>
    <w:rsid w:val="008D27BA"/>
    <w:rsid w:val="008D2E73"/>
    <w:rsid w:val="008D2F4D"/>
    <w:rsid w:val="008D349D"/>
    <w:rsid w:val="008D363B"/>
    <w:rsid w:val="008D373E"/>
    <w:rsid w:val="008D3B9F"/>
    <w:rsid w:val="008D50BF"/>
    <w:rsid w:val="008D533A"/>
    <w:rsid w:val="008D56B4"/>
    <w:rsid w:val="008D5D1C"/>
    <w:rsid w:val="008D642E"/>
    <w:rsid w:val="008D66D8"/>
    <w:rsid w:val="008D68AB"/>
    <w:rsid w:val="008D6A7F"/>
    <w:rsid w:val="008D7574"/>
    <w:rsid w:val="008D779C"/>
    <w:rsid w:val="008E0001"/>
    <w:rsid w:val="008E0337"/>
    <w:rsid w:val="008E05EF"/>
    <w:rsid w:val="008E0DB9"/>
    <w:rsid w:val="008E0F70"/>
    <w:rsid w:val="008E1079"/>
    <w:rsid w:val="008E2FB8"/>
    <w:rsid w:val="008E4FA3"/>
    <w:rsid w:val="008E598B"/>
    <w:rsid w:val="008E5B97"/>
    <w:rsid w:val="008E5E4E"/>
    <w:rsid w:val="008E6940"/>
    <w:rsid w:val="008E6E6E"/>
    <w:rsid w:val="008E741A"/>
    <w:rsid w:val="008F04A3"/>
    <w:rsid w:val="008F054C"/>
    <w:rsid w:val="008F1552"/>
    <w:rsid w:val="008F1851"/>
    <w:rsid w:val="008F1EDA"/>
    <w:rsid w:val="008F1F64"/>
    <w:rsid w:val="008F25D3"/>
    <w:rsid w:val="008F2E59"/>
    <w:rsid w:val="008F3F51"/>
    <w:rsid w:val="008F53EF"/>
    <w:rsid w:val="008F6013"/>
    <w:rsid w:val="008F6B72"/>
    <w:rsid w:val="008F75EA"/>
    <w:rsid w:val="00900447"/>
    <w:rsid w:val="009017D6"/>
    <w:rsid w:val="00901A92"/>
    <w:rsid w:val="00901A94"/>
    <w:rsid w:val="00902A24"/>
    <w:rsid w:val="00903258"/>
    <w:rsid w:val="009033F9"/>
    <w:rsid w:val="00903EC0"/>
    <w:rsid w:val="009042EC"/>
    <w:rsid w:val="0090458F"/>
    <w:rsid w:val="009049D3"/>
    <w:rsid w:val="00904F5B"/>
    <w:rsid w:val="00905B9E"/>
    <w:rsid w:val="00905C17"/>
    <w:rsid w:val="00905CB5"/>
    <w:rsid w:val="00907D66"/>
    <w:rsid w:val="00910AF8"/>
    <w:rsid w:val="00911297"/>
    <w:rsid w:val="00911310"/>
    <w:rsid w:val="00911427"/>
    <w:rsid w:val="009122C2"/>
    <w:rsid w:val="00912893"/>
    <w:rsid w:val="009129FD"/>
    <w:rsid w:val="009130FF"/>
    <w:rsid w:val="00913BD2"/>
    <w:rsid w:val="00914836"/>
    <w:rsid w:val="00915F58"/>
    <w:rsid w:val="00916262"/>
    <w:rsid w:val="0091727F"/>
    <w:rsid w:val="0092129B"/>
    <w:rsid w:val="00921881"/>
    <w:rsid w:val="00922EE5"/>
    <w:rsid w:val="00923157"/>
    <w:rsid w:val="00923FA6"/>
    <w:rsid w:val="009243AC"/>
    <w:rsid w:val="00924A39"/>
    <w:rsid w:val="00924C1F"/>
    <w:rsid w:val="00924C5A"/>
    <w:rsid w:val="00924DD5"/>
    <w:rsid w:val="00924E49"/>
    <w:rsid w:val="00925C60"/>
    <w:rsid w:val="0092600D"/>
    <w:rsid w:val="00926867"/>
    <w:rsid w:val="00927135"/>
    <w:rsid w:val="00927212"/>
    <w:rsid w:val="00927F40"/>
    <w:rsid w:val="00927FF4"/>
    <w:rsid w:val="00931225"/>
    <w:rsid w:val="00931569"/>
    <w:rsid w:val="0093165E"/>
    <w:rsid w:val="00931991"/>
    <w:rsid w:val="00931C0D"/>
    <w:rsid w:val="00932168"/>
    <w:rsid w:val="0093240F"/>
    <w:rsid w:val="00932413"/>
    <w:rsid w:val="00932688"/>
    <w:rsid w:val="00932FC0"/>
    <w:rsid w:val="0093354A"/>
    <w:rsid w:val="00933A32"/>
    <w:rsid w:val="0093411F"/>
    <w:rsid w:val="00934FC3"/>
    <w:rsid w:val="0093547E"/>
    <w:rsid w:val="0093568B"/>
    <w:rsid w:val="009359F7"/>
    <w:rsid w:val="009361FD"/>
    <w:rsid w:val="009362BF"/>
    <w:rsid w:val="009367A5"/>
    <w:rsid w:val="00937491"/>
    <w:rsid w:val="009376D9"/>
    <w:rsid w:val="00937E26"/>
    <w:rsid w:val="0094052B"/>
    <w:rsid w:val="00941685"/>
    <w:rsid w:val="0094223A"/>
    <w:rsid w:val="00942823"/>
    <w:rsid w:val="00942ADE"/>
    <w:rsid w:val="00942F35"/>
    <w:rsid w:val="00943648"/>
    <w:rsid w:val="00943F4D"/>
    <w:rsid w:val="00944317"/>
    <w:rsid w:val="009452FD"/>
    <w:rsid w:val="00945653"/>
    <w:rsid w:val="00945849"/>
    <w:rsid w:val="00946C1C"/>
    <w:rsid w:val="00950C0B"/>
    <w:rsid w:val="009515BB"/>
    <w:rsid w:val="00951ECC"/>
    <w:rsid w:val="009524CB"/>
    <w:rsid w:val="00952CB6"/>
    <w:rsid w:val="00952D73"/>
    <w:rsid w:val="00953508"/>
    <w:rsid w:val="00953ABD"/>
    <w:rsid w:val="00954798"/>
    <w:rsid w:val="00955FAD"/>
    <w:rsid w:val="00956138"/>
    <w:rsid w:val="009562B5"/>
    <w:rsid w:val="00957FA6"/>
    <w:rsid w:val="00960432"/>
    <w:rsid w:val="00961515"/>
    <w:rsid w:val="00961961"/>
    <w:rsid w:val="00961BA5"/>
    <w:rsid w:val="00961E94"/>
    <w:rsid w:val="0096277A"/>
    <w:rsid w:val="00962BA8"/>
    <w:rsid w:val="00963065"/>
    <w:rsid w:val="00963DCA"/>
    <w:rsid w:val="0096636D"/>
    <w:rsid w:val="0096671D"/>
    <w:rsid w:val="009676DA"/>
    <w:rsid w:val="00967A23"/>
    <w:rsid w:val="00967B45"/>
    <w:rsid w:val="009705B5"/>
    <w:rsid w:val="0097079B"/>
    <w:rsid w:val="00970A51"/>
    <w:rsid w:val="00970CE7"/>
    <w:rsid w:val="00970EC3"/>
    <w:rsid w:val="00971493"/>
    <w:rsid w:val="00972C37"/>
    <w:rsid w:val="009736A6"/>
    <w:rsid w:val="0097446B"/>
    <w:rsid w:val="00974553"/>
    <w:rsid w:val="00975B96"/>
    <w:rsid w:val="009767C4"/>
    <w:rsid w:val="00976863"/>
    <w:rsid w:val="00976E88"/>
    <w:rsid w:val="00976FAD"/>
    <w:rsid w:val="0097764D"/>
    <w:rsid w:val="009807DB"/>
    <w:rsid w:val="009808E2"/>
    <w:rsid w:val="00980B8B"/>
    <w:rsid w:val="00982183"/>
    <w:rsid w:val="0098266D"/>
    <w:rsid w:val="00982C38"/>
    <w:rsid w:val="009833CE"/>
    <w:rsid w:val="00983822"/>
    <w:rsid w:val="009851A8"/>
    <w:rsid w:val="0098522D"/>
    <w:rsid w:val="00985AA2"/>
    <w:rsid w:val="00986747"/>
    <w:rsid w:val="0098679B"/>
    <w:rsid w:val="009867E4"/>
    <w:rsid w:val="009869B6"/>
    <w:rsid w:val="009878B1"/>
    <w:rsid w:val="00987EA1"/>
    <w:rsid w:val="009906DD"/>
    <w:rsid w:val="009906E5"/>
    <w:rsid w:val="00990AD7"/>
    <w:rsid w:val="00993F42"/>
    <w:rsid w:val="009940D3"/>
    <w:rsid w:val="00994190"/>
    <w:rsid w:val="00994891"/>
    <w:rsid w:val="009956F6"/>
    <w:rsid w:val="009956FF"/>
    <w:rsid w:val="009965AB"/>
    <w:rsid w:val="00996C56"/>
    <w:rsid w:val="00996F47"/>
    <w:rsid w:val="009A0789"/>
    <w:rsid w:val="009A1268"/>
    <w:rsid w:val="009A1624"/>
    <w:rsid w:val="009A1B36"/>
    <w:rsid w:val="009A2003"/>
    <w:rsid w:val="009A22E4"/>
    <w:rsid w:val="009A2CBC"/>
    <w:rsid w:val="009A3161"/>
    <w:rsid w:val="009A3416"/>
    <w:rsid w:val="009A494A"/>
    <w:rsid w:val="009A4BA0"/>
    <w:rsid w:val="009A5057"/>
    <w:rsid w:val="009A54A6"/>
    <w:rsid w:val="009A5C0E"/>
    <w:rsid w:val="009A5E73"/>
    <w:rsid w:val="009A5FE5"/>
    <w:rsid w:val="009A6ABB"/>
    <w:rsid w:val="009A6FC4"/>
    <w:rsid w:val="009A7173"/>
    <w:rsid w:val="009B101E"/>
    <w:rsid w:val="009B276D"/>
    <w:rsid w:val="009B28B0"/>
    <w:rsid w:val="009B3AD9"/>
    <w:rsid w:val="009B44F3"/>
    <w:rsid w:val="009B53A0"/>
    <w:rsid w:val="009B5D49"/>
    <w:rsid w:val="009B7A7E"/>
    <w:rsid w:val="009B7CC3"/>
    <w:rsid w:val="009C20A4"/>
    <w:rsid w:val="009C3672"/>
    <w:rsid w:val="009C3834"/>
    <w:rsid w:val="009C5317"/>
    <w:rsid w:val="009C5784"/>
    <w:rsid w:val="009C636C"/>
    <w:rsid w:val="009C6D29"/>
    <w:rsid w:val="009C6FC0"/>
    <w:rsid w:val="009C7608"/>
    <w:rsid w:val="009D048F"/>
    <w:rsid w:val="009D10C8"/>
    <w:rsid w:val="009D22A3"/>
    <w:rsid w:val="009D2A5F"/>
    <w:rsid w:val="009D4838"/>
    <w:rsid w:val="009D4D38"/>
    <w:rsid w:val="009D56BE"/>
    <w:rsid w:val="009D5B4B"/>
    <w:rsid w:val="009D5C32"/>
    <w:rsid w:val="009D5E95"/>
    <w:rsid w:val="009D60A3"/>
    <w:rsid w:val="009D6388"/>
    <w:rsid w:val="009D6FD7"/>
    <w:rsid w:val="009D71DE"/>
    <w:rsid w:val="009D7389"/>
    <w:rsid w:val="009D7646"/>
    <w:rsid w:val="009E0108"/>
    <w:rsid w:val="009E03E8"/>
    <w:rsid w:val="009E0CB5"/>
    <w:rsid w:val="009E153B"/>
    <w:rsid w:val="009E1CCD"/>
    <w:rsid w:val="009E34F9"/>
    <w:rsid w:val="009E3CB3"/>
    <w:rsid w:val="009E4889"/>
    <w:rsid w:val="009E49D4"/>
    <w:rsid w:val="009E535B"/>
    <w:rsid w:val="009E5E77"/>
    <w:rsid w:val="009E5E78"/>
    <w:rsid w:val="009E620E"/>
    <w:rsid w:val="009E6CB2"/>
    <w:rsid w:val="009E7697"/>
    <w:rsid w:val="009F036F"/>
    <w:rsid w:val="009F0BFF"/>
    <w:rsid w:val="009F1295"/>
    <w:rsid w:val="009F1753"/>
    <w:rsid w:val="009F4F0C"/>
    <w:rsid w:val="009F5646"/>
    <w:rsid w:val="009F76BE"/>
    <w:rsid w:val="00A00025"/>
    <w:rsid w:val="00A00B60"/>
    <w:rsid w:val="00A00BC1"/>
    <w:rsid w:val="00A00D17"/>
    <w:rsid w:val="00A01C7E"/>
    <w:rsid w:val="00A01D03"/>
    <w:rsid w:val="00A021C0"/>
    <w:rsid w:val="00A0360E"/>
    <w:rsid w:val="00A0477F"/>
    <w:rsid w:val="00A0634E"/>
    <w:rsid w:val="00A063E6"/>
    <w:rsid w:val="00A07252"/>
    <w:rsid w:val="00A07EF0"/>
    <w:rsid w:val="00A105A4"/>
    <w:rsid w:val="00A10BAA"/>
    <w:rsid w:val="00A11E7A"/>
    <w:rsid w:val="00A12471"/>
    <w:rsid w:val="00A12E08"/>
    <w:rsid w:val="00A148C5"/>
    <w:rsid w:val="00A15FC1"/>
    <w:rsid w:val="00A1616F"/>
    <w:rsid w:val="00A166AE"/>
    <w:rsid w:val="00A1688F"/>
    <w:rsid w:val="00A16CFD"/>
    <w:rsid w:val="00A172A7"/>
    <w:rsid w:val="00A174C9"/>
    <w:rsid w:val="00A17E23"/>
    <w:rsid w:val="00A2091D"/>
    <w:rsid w:val="00A211B0"/>
    <w:rsid w:val="00A21263"/>
    <w:rsid w:val="00A22102"/>
    <w:rsid w:val="00A22414"/>
    <w:rsid w:val="00A22567"/>
    <w:rsid w:val="00A22D0D"/>
    <w:rsid w:val="00A22E53"/>
    <w:rsid w:val="00A2309F"/>
    <w:rsid w:val="00A23179"/>
    <w:rsid w:val="00A2388C"/>
    <w:rsid w:val="00A23937"/>
    <w:rsid w:val="00A23AD0"/>
    <w:rsid w:val="00A24AC7"/>
    <w:rsid w:val="00A25DED"/>
    <w:rsid w:val="00A25E29"/>
    <w:rsid w:val="00A25F76"/>
    <w:rsid w:val="00A26827"/>
    <w:rsid w:val="00A26B22"/>
    <w:rsid w:val="00A2797E"/>
    <w:rsid w:val="00A313A6"/>
    <w:rsid w:val="00A3181D"/>
    <w:rsid w:val="00A319B4"/>
    <w:rsid w:val="00A326B7"/>
    <w:rsid w:val="00A3298E"/>
    <w:rsid w:val="00A330AA"/>
    <w:rsid w:val="00A361CE"/>
    <w:rsid w:val="00A368C2"/>
    <w:rsid w:val="00A36F59"/>
    <w:rsid w:val="00A37B3B"/>
    <w:rsid w:val="00A400BB"/>
    <w:rsid w:val="00A41B83"/>
    <w:rsid w:val="00A41D6B"/>
    <w:rsid w:val="00A41DC1"/>
    <w:rsid w:val="00A427D1"/>
    <w:rsid w:val="00A42A7D"/>
    <w:rsid w:val="00A42B5E"/>
    <w:rsid w:val="00A42E34"/>
    <w:rsid w:val="00A43154"/>
    <w:rsid w:val="00A43999"/>
    <w:rsid w:val="00A43B58"/>
    <w:rsid w:val="00A44310"/>
    <w:rsid w:val="00A449B6"/>
    <w:rsid w:val="00A44EEA"/>
    <w:rsid w:val="00A44F56"/>
    <w:rsid w:val="00A451C0"/>
    <w:rsid w:val="00A46D5A"/>
    <w:rsid w:val="00A471F0"/>
    <w:rsid w:val="00A47554"/>
    <w:rsid w:val="00A50CA3"/>
    <w:rsid w:val="00A511BE"/>
    <w:rsid w:val="00A512D2"/>
    <w:rsid w:val="00A51B9E"/>
    <w:rsid w:val="00A52477"/>
    <w:rsid w:val="00A53358"/>
    <w:rsid w:val="00A53791"/>
    <w:rsid w:val="00A53E02"/>
    <w:rsid w:val="00A54573"/>
    <w:rsid w:val="00A54A8C"/>
    <w:rsid w:val="00A55456"/>
    <w:rsid w:val="00A555DA"/>
    <w:rsid w:val="00A5594D"/>
    <w:rsid w:val="00A55A84"/>
    <w:rsid w:val="00A560B3"/>
    <w:rsid w:val="00A5658A"/>
    <w:rsid w:val="00A56D5F"/>
    <w:rsid w:val="00A5778C"/>
    <w:rsid w:val="00A60145"/>
    <w:rsid w:val="00A6026B"/>
    <w:rsid w:val="00A606FF"/>
    <w:rsid w:val="00A60CCC"/>
    <w:rsid w:val="00A61090"/>
    <w:rsid w:val="00A614A9"/>
    <w:rsid w:val="00A619CA"/>
    <w:rsid w:val="00A623C0"/>
    <w:rsid w:val="00A62B0C"/>
    <w:rsid w:val="00A62D06"/>
    <w:rsid w:val="00A63A5E"/>
    <w:rsid w:val="00A63D1D"/>
    <w:rsid w:val="00A64051"/>
    <w:rsid w:val="00A64922"/>
    <w:rsid w:val="00A652B1"/>
    <w:rsid w:val="00A65434"/>
    <w:rsid w:val="00A65492"/>
    <w:rsid w:val="00A662ED"/>
    <w:rsid w:val="00A670D7"/>
    <w:rsid w:val="00A670EA"/>
    <w:rsid w:val="00A67AD7"/>
    <w:rsid w:val="00A70A52"/>
    <w:rsid w:val="00A713A7"/>
    <w:rsid w:val="00A71707"/>
    <w:rsid w:val="00A7326A"/>
    <w:rsid w:val="00A7361B"/>
    <w:rsid w:val="00A76359"/>
    <w:rsid w:val="00A763BC"/>
    <w:rsid w:val="00A7688B"/>
    <w:rsid w:val="00A77625"/>
    <w:rsid w:val="00A77F8A"/>
    <w:rsid w:val="00A77FBE"/>
    <w:rsid w:val="00A80677"/>
    <w:rsid w:val="00A80C81"/>
    <w:rsid w:val="00A81E6E"/>
    <w:rsid w:val="00A82BC1"/>
    <w:rsid w:val="00A83717"/>
    <w:rsid w:val="00A839E7"/>
    <w:rsid w:val="00A8411D"/>
    <w:rsid w:val="00A848E7"/>
    <w:rsid w:val="00A853C8"/>
    <w:rsid w:val="00A86275"/>
    <w:rsid w:val="00A86450"/>
    <w:rsid w:val="00A8660F"/>
    <w:rsid w:val="00A91C43"/>
    <w:rsid w:val="00A92031"/>
    <w:rsid w:val="00A92660"/>
    <w:rsid w:val="00A92846"/>
    <w:rsid w:val="00A92FB5"/>
    <w:rsid w:val="00A93877"/>
    <w:rsid w:val="00A93925"/>
    <w:rsid w:val="00A949E9"/>
    <w:rsid w:val="00A952EF"/>
    <w:rsid w:val="00A95FB5"/>
    <w:rsid w:val="00AA1921"/>
    <w:rsid w:val="00AA1E1B"/>
    <w:rsid w:val="00AA4242"/>
    <w:rsid w:val="00AA4A82"/>
    <w:rsid w:val="00AA4FCD"/>
    <w:rsid w:val="00AA5632"/>
    <w:rsid w:val="00AA59D4"/>
    <w:rsid w:val="00AA5F15"/>
    <w:rsid w:val="00AA757F"/>
    <w:rsid w:val="00AA7D3B"/>
    <w:rsid w:val="00AB0D5F"/>
    <w:rsid w:val="00AB1096"/>
    <w:rsid w:val="00AB1B6F"/>
    <w:rsid w:val="00AB1DBD"/>
    <w:rsid w:val="00AB222D"/>
    <w:rsid w:val="00AB359C"/>
    <w:rsid w:val="00AB3A38"/>
    <w:rsid w:val="00AB3F43"/>
    <w:rsid w:val="00AB4FD8"/>
    <w:rsid w:val="00AB5367"/>
    <w:rsid w:val="00AB5B2F"/>
    <w:rsid w:val="00AB6D10"/>
    <w:rsid w:val="00AB6F0F"/>
    <w:rsid w:val="00AB781F"/>
    <w:rsid w:val="00AB7E07"/>
    <w:rsid w:val="00AC073F"/>
    <w:rsid w:val="00AC0BCA"/>
    <w:rsid w:val="00AC1308"/>
    <w:rsid w:val="00AC208D"/>
    <w:rsid w:val="00AC2134"/>
    <w:rsid w:val="00AC218B"/>
    <w:rsid w:val="00AC23CF"/>
    <w:rsid w:val="00AC31C0"/>
    <w:rsid w:val="00AC3D07"/>
    <w:rsid w:val="00AC43C0"/>
    <w:rsid w:val="00AC4D7C"/>
    <w:rsid w:val="00AC5875"/>
    <w:rsid w:val="00AC5E25"/>
    <w:rsid w:val="00AC5FAC"/>
    <w:rsid w:val="00AC6237"/>
    <w:rsid w:val="00AC68A1"/>
    <w:rsid w:val="00AC718D"/>
    <w:rsid w:val="00AC7255"/>
    <w:rsid w:val="00AC7267"/>
    <w:rsid w:val="00AD002A"/>
    <w:rsid w:val="00AD04AF"/>
    <w:rsid w:val="00AD06AB"/>
    <w:rsid w:val="00AD0B38"/>
    <w:rsid w:val="00AD0B99"/>
    <w:rsid w:val="00AD13C0"/>
    <w:rsid w:val="00AD142E"/>
    <w:rsid w:val="00AD1807"/>
    <w:rsid w:val="00AD1950"/>
    <w:rsid w:val="00AD1A81"/>
    <w:rsid w:val="00AD1A96"/>
    <w:rsid w:val="00AD37EF"/>
    <w:rsid w:val="00AD3953"/>
    <w:rsid w:val="00AD426D"/>
    <w:rsid w:val="00AD4309"/>
    <w:rsid w:val="00AD4D8A"/>
    <w:rsid w:val="00AD4E7C"/>
    <w:rsid w:val="00AD5F77"/>
    <w:rsid w:val="00AD6593"/>
    <w:rsid w:val="00AD6609"/>
    <w:rsid w:val="00AD6FB2"/>
    <w:rsid w:val="00AD7270"/>
    <w:rsid w:val="00AD78BA"/>
    <w:rsid w:val="00AD7AA6"/>
    <w:rsid w:val="00AD7AE0"/>
    <w:rsid w:val="00AE0A4E"/>
    <w:rsid w:val="00AE0B5A"/>
    <w:rsid w:val="00AE106E"/>
    <w:rsid w:val="00AE1418"/>
    <w:rsid w:val="00AE1D06"/>
    <w:rsid w:val="00AE2409"/>
    <w:rsid w:val="00AE2F91"/>
    <w:rsid w:val="00AE309C"/>
    <w:rsid w:val="00AE37D2"/>
    <w:rsid w:val="00AE3A3E"/>
    <w:rsid w:val="00AE3A91"/>
    <w:rsid w:val="00AE40E8"/>
    <w:rsid w:val="00AE424F"/>
    <w:rsid w:val="00AE59C4"/>
    <w:rsid w:val="00AE5A00"/>
    <w:rsid w:val="00AE667E"/>
    <w:rsid w:val="00AE6F74"/>
    <w:rsid w:val="00AE70B0"/>
    <w:rsid w:val="00AF05AE"/>
    <w:rsid w:val="00AF180B"/>
    <w:rsid w:val="00AF19C2"/>
    <w:rsid w:val="00AF1B83"/>
    <w:rsid w:val="00AF33BB"/>
    <w:rsid w:val="00AF3484"/>
    <w:rsid w:val="00AF39BB"/>
    <w:rsid w:val="00AF3CBD"/>
    <w:rsid w:val="00AF3E40"/>
    <w:rsid w:val="00AF4074"/>
    <w:rsid w:val="00AF43CC"/>
    <w:rsid w:val="00AF4A3C"/>
    <w:rsid w:val="00AF4A8B"/>
    <w:rsid w:val="00AF4DCD"/>
    <w:rsid w:val="00AF5420"/>
    <w:rsid w:val="00AF6677"/>
    <w:rsid w:val="00AF6F8D"/>
    <w:rsid w:val="00B00A4F"/>
    <w:rsid w:val="00B00F9F"/>
    <w:rsid w:val="00B01198"/>
    <w:rsid w:val="00B01373"/>
    <w:rsid w:val="00B0306C"/>
    <w:rsid w:val="00B0373B"/>
    <w:rsid w:val="00B03CCA"/>
    <w:rsid w:val="00B04BAC"/>
    <w:rsid w:val="00B04F2F"/>
    <w:rsid w:val="00B04F71"/>
    <w:rsid w:val="00B0521A"/>
    <w:rsid w:val="00B0750E"/>
    <w:rsid w:val="00B07845"/>
    <w:rsid w:val="00B07B93"/>
    <w:rsid w:val="00B10347"/>
    <w:rsid w:val="00B10716"/>
    <w:rsid w:val="00B10BD3"/>
    <w:rsid w:val="00B10DA8"/>
    <w:rsid w:val="00B1105F"/>
    <w:rsid w:val="00B11370"/>
    <w:rsid w:val="00B114D5"/>
    <w:rsid w:val="00B11519"/>
    <w:rsid w:val="00B1157A"/>
    <w:rsid w:val="00B12FB3"/>
    <w:rsid w:val="00B133AB"/>
    <w:rsid w:val="00B139A0"/>
    <w:rsid w:val="00B13B97"/>
    <w:rsid w:val="00B1432A"/>
    <w:rsid w:val="00B14947"/>
    <w:rsid w:val="00B14EE0"/>
    <w:rsid w:val="00B14F4F"/>
    <w:rsid w:val="00B15139"/>
    <w:rsid w:val="00B163E4"/>
    <w:rsid w:val="00B16565"/>
    <w:rsid w:val="00B16C99"/>
    <w:rsid w:val="00B16EFA"/>
    <w:rsid w:val="00B17E3A"/>
    <w:rsid w:val="00B17E6B"/>
    <w:rsid w:val="00B201DC"/>
    <w:rsid w:val="00B208D1"/>
    <w:rsid w:val="00B20C3F"/>
    <w:rsid w:val="00B20EC4"/>
    <w:rsid w:val="00B21228"/>
    <w:rsid w:val="00B21627"/>
    <w:rsid w:val="00B21B40"/>
    <w:rsid w:val="00B23446"/>
    <w:rsid w:val="00B2419A"/>
    <w:rsid w:val="00B24666"/>
    <w:rsid w:val="00B24F26"/>
    <w:rsid w:val="00B24F57"/>
    <w:rsid w:val="00B25376"/>
    <w:rsid w:val="00B2554C"/>
    <w:rsid w:val="00B25E07"/>
    <w:rsid w:val="00B2726A"/>
    <w:rsid w:val="00B27273"/>
    <w:rsid w:val="00B277AA"/>
    <w:rsid w:val="00B277C3"/>
    <w:rsid w:val="00B27BF5"/>
    <w:rsid w:val="00B304BC"/>
    <w:rsid w:val="00B30704"/>
    <w:rsid w:val="00B31E22"/>
    <w:rsid w:val="00B31ED4"/>
    <w:rsid w:val="00B32266"/>
    <w:rsid w:val="00B32593"/>
    <w:rsid w:val="00B32634"/>
    <w:rsid w:val="00B332A9"/>
    <w:rsid w:val="00B3430B"/>
    <w:rsid w:val="00B34609"/>
    <w:rsid w:val="00B34965"/>
    <w:rsid w:val="00B35500"/>
    <w:rsid w:val="00B36DCB"/>
    <w:rsid w:val="00B371B4"/>
    <w:rsid w:val="00B3722A"/>
    <w:rsid w:val="00B37381"/>
    <w:rsid w:val="00B379A1"/>
    <w:rsid w:val="00B37F05"/>
    <w:rsid w:val="00B4193A"/>
    <w:rsid w:val="00B41CAA"/>
    <w:rsid w:val="00B426E4"/>
    <w:rsid w:val="00B428C8"/>
    <w:rsid w:val="00B42A67"/>
    <w:rsid w:val="00B437D7"/>
    <w:rsid w:val="00B43868"/>
    <w:rsid w:val="00B43D03"/>
    <w:rsid w:val="00B4520A"/>
    <w:rsid w:val="00B4533C"/>
    <w:rsid w:val="00B45A48"/>
    <w:rsid w:val="00B470D9"/>
    <w:rsid w:val="00B510A6"/>
    <w:rsid w:val="00B526E3"/>
    <w:rsid w:val="00B526F8"/>
    <w:rsid w:val="00B52810"/>
    <w:rsid w:val="00B53202"/>
    <w:rsid w:val="00B53F0A"/>
    <w:rsid w:val="00B553AD"/>
    <w:rsid w:val="00B5643E"/>
    <w:rsid w:val="00B57CCC"/>
    <w:rsid w:val="00B60BAD"/>
    <w:rsid w:val="00B60FF1"/>
    <w:rsid w:val="00B61631"/>
    <w:rsid w:val="00B6181A"/>
    <w:rsid w:val="00B61977"/>
    <w:rsid w:val="00B62110"/>
    <w:rsid w:val="00B62743"/>
    <w:rsid w:val="00B62FC9"/>
    <w:rsid w:val="00B63707"/>
    <w:rsid w:val="00B64533"/>
    <w:rsid w:val="00B6747A"/>
    <w:rsid w:val="00B6751D"/>
    <w:rsid w:val="00B67C4C"/>
    <w:rsid w:val="00B7019C"/>
    <w:rsid w:val="00B70347"/>
    <w:rsid w:val="00B714CC"/>
    <w:rsid w:val="00B72242"/>
    <w:rsid w:val="00B72525"/>
    <w:rsid w:val="00B72BFF"/>
    <w:rsid w:val="00B72E8E"/>
    <w:rsid w:val="00B741F7"/>
    <w:rsid w:val="00B746AA"/>
    <w:rsid w:val="00B7476C"/>
    <w:rsid w:val="00B76218"/>
    <w:rsid w:val="00B76456"/>
    <w:rsid w:val="00B776B0"/>
    <w:rsid w:val="00B77991"/>
    <w:rsid w:val="00B8032B"/>
    <w:rsid w:val="00B809FB"/>
    <w:rsid w:val="00B8233C"/>
    <w:rsid w:val="00B82DBD"/>
    <w:rsid w:val="00B83051"/>
    <w:rsid w:val="00B834CF"/>
    <w:rsid w:val="00B840D0"/>
    <w:rsid w:val="00B84591"/>
    <w:rsid w:val="00B847C2"/>
    <w:rsid w:val="00B84846"/>
    <w:rsid w:val="00B85E04"/>
    <w:rsid w:val="00B86AA1"/>
    <w:rsid w:val="00B87625"/>
    <w:rsid w:val="00B87D41"/>
    <w:rsid w:val="00B87D66"/>
    <w:rsid w:val="00B90FA1"/>
    <w:rsid w:val="00B911DB"/>
    <w:rsid w:val="00B91B55"/>
    <w:rsid w:val="00B926C3"/>
    <w:rsid w:val="00B93015"/>
    <w:rsid w:val="00B93B24"/>
    <w:rsid w:val="00B94E30"/>
    <w:rsid w:val="00B958C7"/>
    <w:rsid w:val="00B96049"/>
    <w:rsid w:val="00B966D7"/>
    <w:rsid w:val="00B96935"/>
    <w:rsid w:val="00B96AC4"/>
    <w:rsid w:val="00B97306"/>
    <w:rsid w:val="00BA0F93"/>
    <w:rsid w:val="00BA1418"/>
    <w:rsid w:val="00BA2669"/>
    <w:rsid w:val="00BA3112"/>
    <w:rsid w:val="00BA3BA0"/>
    <w:rsid w:val="00BA492D"/>
    <w:rsid w:val="00BA5DA5"/>
    <w:rsid w:val="00BA6C17"/>
    <w:rsid w:val="00BA6C32"/>
    <w:rsid w:val="00BB0507"/>
    <w:rsid w:val="00BB08A4"/>
    <w:rsid w:val="00BB0B71"/>
    <w:rsid w:val="00BB126F"/>
    <w:rsid w:val="00BB1E32"/>
    <w:rsid w:val="00BB1E6F"/>
    <w:rsid w:val="00BB2426"/>
    <w:rsid w:val="00BB2992"/>
    <w:rsid w:val="00BB3301"/>
    <w:rsid w:val="00BB3A3B"/>
    <w:rsid w:val="00BB3BA6"/>
    <w:rsid w:val="00BB4A23"/>
    <w:rsid w:val="00BB4E28"/>
    <w:rsid w:val="00BB52B5"/>
    <w:rsid w:val="00BB54EC"/>
    <w:rsid w:val="00BB60F9"/>
    <w:rsid w:val="00BB6271"/>
    <w:rsid w:val="00BB678B"/>
    <w:rsid w:val="00BB6CF1"/>
    <w:rsid w:val="00BB7AAC"/>
    <w:rsid w:val="00BC063E"/>
    <w:rsid w:val="00BC077F"/>
    <w:rsid w:val="00BC0FE6"/>
    <w:rsid w:val="00BC175D"/>
    <w:rsid w:val="00BC244D"/>
    <w:rsid w:val="00BC2719"/>
    <w:rsid w:val="00BC29EE"/>
    <w:rsid w:val="00BC2B7E"/>
    <w:rsid w:val="00BC2BAE"/>
    <w:rsid w:val="00BC3DDC"/>
    <w:rsid w:val="00BC3EB8"/>
    <w:rsid w:val="00BC489B"/>
    <w:rsid w:val="00BC5066"/>
    <w:rsid w:val="00BC5561"/>
    <w:rsid w:val="00BC595B"/>
    <w:rsid w:val="00BC5F21"/>
    <w:rsid w:val="00BC646B"/>
    <w:rsid w:val="00BC66CD"/>
    <w:rsid w:val="00BC7727"/>
    <w:rsid w:val="00BC7810"/>
    <w:rsid w:val="00BD0CC6"/>
    <w:rsid w:val="00BD1417"/>
    <w:rsid w:val="00BD319F"/>
    <w:rsid w:val="00BD3E92"/>
    <w:rsid w:val="00BD40FD"/>
    <w:rsid w:val="00BD55C4"/>
    <w:rsid w:val="00BD734C"/>
    <w:rsid w:val="00BD782B"/>
    <w:rsid w:val="00BD7F4E"/>
    <w:rsid w:val="00BE1070"/>
    <w:rsid w:val="00BE188C"/>
    <w:rsid w:val="00BE3385"/>
    <w:rsid w:val="00BE3783"/>
    <w:rsid w:val="00BE499E"/>
    <w:rsid w:val="00BE522C"/>
    <w:rsid w:val="00BE58DB"/>
    <w:rsid w:val="00BE5EB1"/>
    <w:rsid w:val="00BE5FBD"/>
    <w:rsid w:val="00BE6618"/>
    <w:rsid w:val="00BE67A9"/>
    <w:rsid w:val="00BE78D8"/>
    <w:rsid w:val="00BE7FB3"/>
    <w:rsid w:val="00BF0A54"/>
    <w:rsid w:val="00BF23D8"/>
    <w:rsid w:val="00BF24A6"/>
    <w:rsid w:val="00BF2A48"/>
    <w:rsid w:val="00BF2A99"/>
    <w:rsid w:val="00BF2EA5"/>
    <w:rsid w:val="00BF3681"/>
    <w:rsid w:val="00BF4519"/>
    <w:rsid w:val="00BF4BB1"/>
    <w:rsid w:val="00BF4C1C"/>
    <w:rsid w:val="00BF4CD7"/>
    <w:rsid w:val="00BF5685"/>
    <w:rsid w:val="00BF62D3"/>
    <w:rsid w:val="00BF634F"/>
    <w:rsid w:val="00BF64C8"/>
    <w:rsid w:val="00BF689C"/>
    <w:rsid w:val="00BF77A1"/>
    <w:rsid w:val="00BF794E"/>
    <w:rsid w:val="00BF79AC"/>
    <w:rsid w:val="00C000BE"/>
    <w:rsid w:val="00C00B5A"/>
    <w:rsid w:val="00C027B1"/>
    <w:rsid w:val="00C02FB2"/>
    <w:rsid w:val="00C03601"/>
    <w:rsid w:val="00C05F7B"/>
    <w:rsid w:val="00C0687E"/>
    <w:rsid w:val="00C06B55"/>
    <w:rsid w:val="00C06E09"/>
    <w:rsid w:val="00C1020A"/>
    <w:rsid w:val="00C1026E"/>
    <w:rsid w:val="00C1063A"/>
    <w:rsid w:val="00C10EAE"/>
    <w:rsid w:val="00C11540"/>
    <w:rsid w:val="00C117E1"/>
    <w:rsid w:val="00C11C2D"/>
    <w:rsid w:val="00C12AE0"/>
    <w:rsid w:val="00C13110"/>
    <w:rsid w:val="00C13EBE"/>
    <w:rsid w:val="00C14553"/>
    <w:rsid w:val="00C149FB"/>
    <w:rsid w:val="00C14AA5"/>
    <w:rsid w:val="00C15903"/>
    <w:rsid w:val="00C15A35"/>
    <w:rsid w:val="00C162FA"/>
    <w:rsid w:val="00C166E4"/>
    <w:rsid w:val="00C16CC1"/>
    <w:rsid w:val="00C17556"/>
    <w:rsid w:val="00C2057D"/>
    <w:rsid w:val="00C2083A"/>
    <w:rsid w:val="00C20A30"/>
    <w:rsid w:val="00C2158D"/>
    <w:rsid w:val="00C22400"/>
    <w:rsid w:val="00C22605"/>
    <w:rsid w:val="00C231A8"/>
    <w:rsid w:val="00C23348"/>
    <w:rsid w:val="00C237EC"/>
    <w:rsid w:val="00C2593B"/>
    <w:rsid w:val="00C26591"/>
    <w:rsid w:val="00C268E8"/>
    <w:rsid w:val="00C26BB0"/>
    <w:rsid w:val="00C276AD"/>
    <w:rsid w:val="00C27751"/>
    <w:rsid w:val="00C30062"/>
    <w:rsid w:val="00C30543"/>
    <w:rsid w:val="00C30CCD"/>
    <w:rsid w:val="00C30D93"/>
    <w:rsid w:val="00C30EBD"/>
    <w:rsid w:val="00C31202"/>
    <w:rsid w:val="00C312B3"/>
    <w:rsid w:val="00C31CFF"/>
    <w:rsid w:val="00C327B3"/>
    <w:rsid w:val="00C32977"/>
    <w:rsid w:val="00C32E87"/>
    <w:rsid w:val="00C336FB"/>
    <w:rsid w:val="00C33B81"/>
    <w:rsid w:val="00C33F6F"/>
    <w:rsid w:val="00C34275"/>
    <w:rsid w:val="00C34637"/>
    <w:rsid w:val="00C34A27"/>
    <w:rsid w:val="00C34DA1"/>
    <w:rsid w:val="00C35394"/>
    <w:rsid w:val="00C353DC"/>
    <w:rsid w:val="00C35790"/>
    <w:rsid w:val="00C35C4F"/>
    <w:rsid w:val="00C36378"/>
    <w:rsid w:val="00C3696B"/>
    <w:rsid w:val="00C36BA4"/>
    <w:rsid w:val="00C376D2"/>
    <w:rsid w:val="00C37A2E"/>
    <w:rsid w:val="00C419BC"/>
    <w:rsid w:val="00C41C0A"/>
    <w:rsid w:val="00C420CE"/>
    <w:rsid w:val="00C4294A"/>
    <w:rsid w:val="00C437A6"/>
    <w:rsid w:val="00C43D87"/>
    <w:rsid w:val="00C44033"/>
    <w:rsid w:val="00C441FC"/>
    <w:rsid w:val="00C448BF"/>
    <w:rsid w:val="00C44BB8"/>
    <w:rsid w:val="00C44F4D"/>
    <w:rsid w:val="00C45FF5"/>
    <w:rsid w:val="00C4610F"/>
    <w:rsid w:val="00C46280"/>
    <w:rsid w:val="00C463FF"/>
    <w:rsid w:val="00C47121"/>
    <w:rsid w:val="00C476E9"/>
    <w:rsid w:val="00C47830"/>
    <w:rsid w:val="00C47925"/>
    <w:rsid w:val="00C47C32"/>
    <w:rsid w:val="00C47D31"/>
    <w:rsid w:val="00C50CE3"/>
    <w:rsid w:val="00C510D1"/>
    <w:rsid w:val="00C51922"/>
    <w:rsid w:val="00C52AD4"/>
    <w:rsid w:val="00C52BC4"/>
    <w:rsid w:val="00C52C32"/>
    <w:rsid w:val="00C52E7B"/>
    <w:rsid w:val="00C53098"/>
    <w:rsid w:val="00C53F4C"/>
    <w:rsid w:val="00C53F62"/>
    <w:rsid w:val="00C5424B"/>
    <w:rsid w:val="00C54926"/>
    <w:rsid w:val="00C54C63"/>
    <w:rsid w:val="00C55680"/>
    <w:rsid w:val="00C5597E"/>
    <w:rsid w:val="00C55F30"/>
    <w:rsid w:val="00C56C05"/>
    <w:rsid w:val="00C577D2"/>
    <w:rsid w:val="00C57984"/>
    <w:rsid w:val="00C60131"/>
    <w:rsid w:val="00C602FE"/>
    <w:rsid w:val="00C60693"/>
    <w:rsid w:val="00C610C4"/>
    <w:rsid w:val="00C61CB5"/>
    <w:rsid w:val="00C61CCF"/>
    <w:rsid w:val="00C61CD3"/>
    <w:rsid w:val="00C61CED"/>
    <w:rsid w:val="00C621A3"/>
    <w:rsid w:val="00C622E4"/>
    <w:rsid w:val="00C62981"/>
    <w:rsid w:val="00C62A34"/>
    <w:rsid w:val="00C63056"/>
    <w:rsid w:val="00C6309C"/>
    <w:rsid w:val="00C6333F"/>
    <w:rsid w:val="00C63829"/>
    <w:rsid w:val="00C6420E"/>
    <w:rsid w:val="00C644B6"/>
    <w:rsid w:val="00C6474B"/>
    <w:rsid w:val="00C64928"/>
    <w:rsid w:val="00C65ED2"/>
    <w:rsid w:val="00C67087"/>
    <w:rsid w:val="00C67251"/>
    <w:rsid w:val="00C674D8"/>
    <w:rsid w:val="00C67A1B"/>
    <w:rsid w:val="00C67FB9"/>
    <w:rsid w:val="00C703F2"/>
    <w:rsid w:val="00C7071E"/>
    <w:rsid w:val="00C7354A"/>
    <w:rsid w:val="00C73700"/>
    <w:rsid w:val="00C753BB"/>
    <w:rsid w:val="00C75585"/>
    <w:rsid w:val="00C7578F"/>
    <w:rsid w:val="00C7608F"/>
    <w:rsid w:val="00C80938"/>
    <w:rsid w:val="00C809DC"/>
    <w:rsid w:val="00C80ADE"/>
    <w:rsid w:val="00C814DF"/>
    <w:rsid w:val="00C81B20"/>
    <w:rsid w:val="00C8217B"/>
    <w:rsid w:val="00C82221"/>
    <w:rsid w:val="00C82889"/>
    <w:rsid w:val="00C82FC6"/>
    <w:rsid w:val="00C83281"/>
    <w:rsid w:val="00C83373"/>
    <w:rsid w:val="00C847B6"/>
    <w:rsid w:val="00C8537B"/>
    <w:rsid w:val="00C856D0"/>
    <w:rsid w:val="00C86BDC"/>
    <w:rsid w:val="00C874EB"/>
    <w:rsid w:val="00C87576"/>
    <w:rsid w:val="00C876C8"/>
    <w:rsid w:val="00C91BDC"/>
    <w:rsid w:val="00C92BBA"/>
    <w:rsid w:val="00C932B0"/>
    <w:rsid w:val="00C93994"/>
    <w:rsid w:val="00C93A53"/>
    <w:rsid w:val="00C93DDC"/>
    <w:rsid w:val="00C941B9"/>
    <w:rsid w:val="00C94883"/>
    <w:rsid w:val="00C953FC"/>
    <w:rsid w:val="00C95A76"/>
    <w:rsid w:val="00C95B95"/>
    <w:rsid w:val="00C961FA"/>
    <w:rsid w:val="00C96989"/>
    <w:rsid w:val="00C9740B"/>
    <w:rsid w:val="00C97662"/>
    <w:rsid w:val="00C97B50"/>
    <w:rsid w:val="00CA02FE"/>
    <w:rsid w:val="00CA0A92"/>
    <w:rsid w:val="00CA0AB5"/>
    <w:rsid w:val="00CA0D21"/>
    <w:rsid w:val="00CA1A9D"/>
    <w:rsid w:val="00CA23DE"/>
    <w:rsid w:val="00CA2491"/>
    <w:rsid w:val="00CA27D6"/>
    <w:rsid w:val="00CA2E2D"/>
    <w:rsid w:val="00CA44AC"/>
    <w:rsid w:val="00CA528C"/>
    <w:rsid w:val="00CA55CE"/>
    <w:rsid w:val="00CA5C4B"/>
    <w:rsid w:val="00CA5E31"/>
    <w:rsid w:val="00CA6D8A"/>
    <w:rsid w:val="00CA7296"/>
    <w:rsid w:val="00CA7334"/>
    <w:rsid w:val="00CA77E4"/>
    <w:rsid w:val="00CA7847"/>
    <w:rsid w:val="00CA7A6E"/>
    <w:rsid w:val="00CB09CF"/>
    <w:rsid w:val="00CB0D1B"/>
    <w:rsid w:val="00CB1F4A"/>
    <w:rsid w:val="00CB2553"/>
    <w:rsid w:val="00CB27B5"/>
    <w:rsid w:val="00CB29C8"/>
    <w:rsid w:val="00CB4796"/>
    <w:rsid w:val="00CB580C"/>
    <w:rsid w:val="00CB5A62"/>
    <w:rsid w:val="00CB5C6B"/>
    <w:rsid w:val="00CB6385"/>
    <w:rsid w:val="00CB6B31"/>
    <w:rsid w:val="00CB74FB"/>
    <w:rsid w:val="00CB7997"/>
    <w:rsid w:val="00CB7AC4"/>
    <w:rsid w:val="00CC1073"/>
    <w:rsid w:val="00CC1AA4"/>
    <w:rsid w:val="00CC265A"/>
    <w:rsid w:val="00CC2D1E"/>
    <w:rsid w:val="00CC2F2D"/>
    <w:rsid w:val="00CC32DF"/>
    <w:rsid w:val="00CC3CA3"/>
    <w:rsid w:val="00CC4513"/>
    <w:rsid w:val="00CC4A17"/>
    <w:rsid w:val="00CC5622"/>
    <w:rsid w:val="00CC5C7D"/>
    <w:rsid w:val="00CC6502"/>
    <w:rsid w:val="00CC6D81"/>
    <w:rsid w:val="00CC773A"/>
    <w:rsid w:val="00CD033F"/>
    <w:rsid w:val="00CD06FF"/>
    <w:rsid w:val="00CD1898"/>
    <w:rsid w:val="00CD21CF"/>
    <w:rsid w:val="00CD335F"/>
    <w:rsid w:val="00CD351B"/>
    <w:rsid w:val="00CD5F68"/>
    <w:rsid w:val="00CD680F"/>
    <w:rsid w:val="00CD6969"/>
    <w:rsid w:val="00CD6B0E"/>
    <w:rsid w:val="00CD766A"/>
    <w:rsid w:val="00CE01A9"/>
    <w:rsid w:val="00CE01BF"/>
    <w:rsid w:val="00CE0900"/>
    <w:rsid w:val="00CE1A7A"/>
    <w:rsid w:val="00CE1F3A"/>
    <w:rsid w:val="00CE26DC"/>
    <w:rsid w:val="00CE2A34"/>
    <w:rsid w:val="00CE32C2"/>
    <w:rsid w:val="00CE4A10"/>
    <w:rsid w:val="00CE542C"/>
    <w:rsid w:val="00CE5844"/>
    <w:rsid w:val="00CE5A19"/>
    <w:rsid w:val="00CE6329"/>
    <w:rsid w:val="00CE69F0"/>
    <w:rsid w:val="00CE6EDA"/>
    <w:rsid w:val="00CE7D89"/>
    <w:rsid w:val="00CE7EBA"/>
    <w:rsid w:val="00CF0435"/>
    <w:rsid w:val="00CF4032"/>
    <w:rsid w:val="00CF4383"/>
    <w:rsid w:val="00CF474B"/>
    <w:rsid w:val="00CF4C2B"/>
    <w:rsid w:val="00CF4C9D"/>
    <w:rsid w:val="00CF5E5D"/>
    <w:rsid w:val="00CF629E"/>
    <w:rsid w:val="00CF6AA5"/>
    <w:rsid w:val="00CF7A65"/>
    <w:rsid w:val="00D00A52"/>
    <w:rsid w:val="00D00B79"/>
    <w:rsid w:val="00D01819"/>
    <w:rsid w:val="00D01BA5"/>
    <w:rsid w:val="00D01D3F"/>
    <w:rsid w:val="00D020FC"/>
    <w:rsid w:val="00D021D5"/>
    <w:rsid w:val="00D02CA6"/>
    <w:rsid w:val="00D034F4"/>
    <w:rsid w:val="00D05AE6"/>
    <w:rsid w:val="00D05F4E"/>
    <w:rsid w:val="00D06829"/>
    <w:rsid w:val="00D06DE0"/>
    <w:rsid w:val="00D077F1"/>
    <w:rsid w:val="00D07F1D"/>
    <w:rsid w:val="00D1023A"/>
    <w:rsid w:val="00D104BB"/>
    <w:rsid w:val="00D1086F"/>
    <w:rsid w:val="00D10E20"/>
    <w:rsid w:val="00D11137"/>
    <w:rsid w:val="00D1135C"/>
    <w:rsid w:val="00D115FB"/>
    <w:rsid w:val="00D11B46"/>
    <w:rsid w:val="00D11CB5"/>
    <w:rsid w:val="00D122F0"/>
    <w:rsid w:val="00D1242B"/>
    <w:rsid w:val="00D127CA"/>
    <w:rsid w:val="00D1376C"/>
    <w:rsid w:val="00D141B3"/>
    <w:rsid w:val="00D14E6D"/>
    <w:rsid w:val="00D155D3"/>
    <w:rsid w:val="00D17075"/>
    <w:rsid w:val="00D17208"/>
    <w:rsid w:val="00D20404"/>
    <w:rsid w:val="00D2068D"/>
    <w:rsid w:val="00D20A7C"/>
    <w:rsid w:val="00D21D31"/>
    <w:rsid w:val="00D2475B"/>
    <w:rsid w:val="00D247B5"/>
    <w:rsid w:val="00D2493B"/>
    <w:rsid w:val="00D24DC0"/>
    <w:rsid w:val="00D26BE3"/>
    <w:rsid w:val="00D26C62"/>
    <w:rsid w:val="00D26F33"/>
    <w:rsid w:val="00D272CD"/>
    <w:rsid w:val="00D27744"/>
    <w:rsid w:val="00D3012D"/>
    <w:rsid w:val="00D31E63"/>
    <w:rsid w:val="00D32070"/>
    <w:rsid w:val="00D3224E"/>
    <w:rsid w:val="00D3390D"/>
    <w:rsid w:val="00D34D09"/>
    <w:rsid w:val="00D34D85"/>
    <w:rsid w:val="00D3509E"/>
    <w:rsid w:val="00D3525B"/>
    <w:rsid w:val="00D35C41"/>
    <w:rsid w:val="00D35D6E"/>
    <w:rsid w:val="00D36233"/>
    <w:rsid w:val="00D36700"/>
    <w:rsid w:val="00D37642"/>
    <w:rsid w:val="00D4037D"/>
    <w:rsid w:val="00D403D5"/>
    <w:rsid w:val="00D40DF5"/>
    <w:rsid w:val="00D41206"/>
    <w:rsid w:val="00D41993"/>
    <w:rsid w:val="00D41BDA"/>
    <w:rsid w:val="00D42AF7"/>
    <w:rsid w:val="00D43934"/>
    <w:rsid w:val="00D44739"/>
    <w:rsid w:val="00D44922"/>
    <w:rsid w:val="00D452B6"/>
    <w:rsid w:val="00D45B20"/>
    <w:rsid w:val="00D45D47"/>
    <w:rsid w:val="00D45F80"/>
    <w:rsid w:val="00D46705"/>
    <w:rsid w:val="00D46E64"/>
    <w:rsid w:val="00D4738E"/>
    <w:rsid w:val="00D50995"/>
    <w:rsid w:val="00D511D3"/>
    <w:rsid w:val="00D512A0"/>
    <w:rsid w:val="00D51512"/>
    <w:rsid w:val="00D528AA"/>
    <w:rsid w:val="00D530B2"/>
    <w:rsid w:val="00D53529"/>
    <w:rsid w:val="00D545E9"/>
    <w:rsid w:val="00D54A93"/>
    <w:rsid w:val="00D5515F"/>
    <w:rsid w:val="00D55DC9"/>
    <w:rsid w:val="00D55F85"/>
    <w:rsid w:val="00D5621C"/>
    <w:rsid w:val="00D567E4"/>
    <w:rsid w:val="00D57766"/>
    <w:rsid w:val="00D60302"/>
    <w:rsid w:val="00D60915"/>
    <w:rsid w:val="00D60BE9"/>
    <w:rsid w:val="00D60D78"/>
    <w:rsid w:val="00D61925"/>
    <w:rsid w:val="00D61BBB"/>
    <w:rsid w:val="00D62D06"/>
    <w:rsid w:val="00D63049"/>
    <w:rsid w:val="00D634CE"/>
    <w:rsid w:val="00D64031"/>
    <w:rsid w:val="00D64E32"/>
    <w:rsid w:val="00D6554A"/>
    <w:rsid w:val="00D65993"/>
    <w:rsid w:val="00D659A1"/>
    <w:rsid w:val="00D65C6C"/>
    <w:rsid w:val="00D664A3"/>
    <w:rsid w:val="00D7060D"/>
    <w:rsid w:val="00D712FC"/>
    <w:rsid w:val="00D71F28"/>
    <w:rsid w:val="00D71FFC"/>
    <w:rsid w:val="00D72691"/>
    <w:rsid w:val="00D72DA6"/>
    <w:rsid w:val="00D736D3"/>
    <w:rsid w:val="00D74201"/>
    <w:rsid w:val="00D7428E"/>
    <w:rsid w:val="00D744B9"/>
    <w:rsid w:val="00D74F23"/>
    <w:rsid w:val="00D75928"/>
    <w:rsid w:val="00D75971"/>
    <w:rsid w:val="00D75A2D"/>
    <w:rsid w:val="00D75BB8"/>
    <w:rsid w:val="00D75ECE"/>
    <w:rsid w:val="00D76706"/>
    <w:rsid w:val="00D76E86"/>
    <w:rsid w:val="00D770F0"/>
    <w:rsid w:val="00D77905"/>
    <w:rsid w:val="00D818EF"/>
    <w:rsid w:val="00D81BC2"/>
    <w:rsid w:val="00D826E7"/>
    <w:rsid w:val="00D82CF6"/>
    <w:rsid w:val="00D83C07"/>
    <w:rsid w:val="00D84698"/>
    <w:rsid w:val="00D855C8"/>
    <w:rsid w:val="00D85707"/>
    <w:rsid w:val="00D86729"/>
    <w:rsid w:val="00D86D82"/>
    <w:rsid w:val="00D86DED"/>
    <w:rsid w:val="00D8770D"/>
    <w:rsid w:val="00D878E5"/>
    <w:rsid w:val="00D9002D"/>
    <w:rsid w:val="00D9090E"/>
    <w:rsid w:val="00D9107D"/>
    <w:rsid w:val="00D91612"/>
    <w:rsid w:val="00D91F61"/>
    <w:rsid w:val="00D922C9"/>
    <w:rsid w:val="00D927BF"/>
    <w:rsid w:val="00D93DDB"/>
    <w:rsid w:val="00D94A15"/>
    <w:rsid w:val="00D94FF3"/>
    <w:rsid w:val="00D95D2D"/>
    <w:rsid w:val="00D965C6"/>
    <w:rsid w:val="00D96AEE"/>
    <w:rsid w:val="00DA090B"/>
    <w:rsid w:val="00DA0C29"/>
    <w:rsid w:val="00DA0FA6"/>
    <w:rsid w:val="00DA15C2"/>
    <w:rsid w:val="00DA161F"/>
    <w:rsid w:val="00DA2008"/>
    <w:rsid w:val="00DA27BB"/>
    <w:rsid w:val="00DA2B5E"/>
    <w:rsid w:val="00DA2CE8"/>
    <w:rsid w:val="00DA3125"/>
    <w:rsid w:val="00DA398B"/>
    <w:rsid w:val="00DA3EC8"/>
    <w:rsid w:val="00DA453D"/>
    <w:rsid w:val="00DA52F9"/>
    <w:rsid w:val="00DA56F5"/>
    <w:rsid w:val="00DA6253"/>
    <w:rsid w:val="00DA668D"/>
    <w:rsid w:val="00DA6A09"/>
    <w:rsid w:val="00DA6D79"/>
    <w:rsid w:val="00DA6FB0"/>
    <w:rsid w:val="00DA710A"/>
    <w:rsid w:val="00DA7407"/>
    <w:rsid w:val="00DB2687"/>
    <w:rsid w:val="00DB2AC7"/>
    <w:rsid w:val="00DB33B6"/>
    <w:rsid w:val="00DB508C"/>
    <w:rsid w:val="00DB522D"/>
    <w:rsid w:val="00DB5DC9"/>
    <w:rsid w:val="00DB5FA9"/>
    <w:rsid w:val="00DB6168"/>
    <w:rsid w:val="00DB6388"/>
    <w:rsid w:val="00DB6629"/>
    <w:rsid w:val="00DC06AD"/>
    <w:rsid w:val="00DC07D8"/>
    <w:rsid w:val="00DC1332"/>
    <w:rsid w:val="00DC1460"/>
    <w:rsid w:val="00DC1944"/>
    <w:rsid w:val="00DC1B27"/>
    <w:rsid w:val="00DC2298"/>
    <w:rsid w:val="00DC342E"/>
    <w:rsid w:val="00DC469D"/>
    <w:rsid w:val="00DC481C"/>
    <w:rsid w:val="00DC51F1"/>
    <w:rsid w:val="00DC5E48"/>
    <w:rsid w:val="00DC6612"/>
    <w:rsid w:val="00DC688F"/>
    <w:rsid w:val="00DC71CA"/>
    <w:rsid w:val="00DC7690"/>
    <w:rsid w:val="00DC7840"/>
    <w:rsid w:val="00DC7B5F"/>
    <w:rsid w:val="00DD04C4"/>
    <w:rsid w:val="00DD1222"/>
    <w:rsid w:val="00DD2254"/>
    <w:rsid w:val="00DD3758"/>
    <w:rsid w:val="00DD3C31"/>
    <w:rsid w:val="00DD4A57"/>
    <w:rsid w:val="00DD5A8E"/>
    <w:rsid w:val="00DD609A"/>
    <w:rsid w:val="00DD625E"/>
    <w:rsid w:val="00DD640A"/>
    <w:rsid w:val="00DD6701"/>
    <w:rsid w:val="00DD6F4C"/>
    <w:rsid w:val="00DD7110"/>
    <w:rsid w:val="00DD720C"/>
    <w:rsid w:val="00DD7C26"/>
    <w:rsid w:val="00DE117F"/>
    <w:rsid w:val="00DE12EB"/>
    <w:rsid w:val="00DE15EC"/>
    <w:rsid w:val="00DE22EE"/>
    <w:rsid w:val="00DE2320"/>
    <w:rsid w:val="00DE2632"/>
    <w:rsid w:val="00DE28A7"/>
    <w:rsid w:val="00DE2AF9"/>
    <w:rsid w:val="00DE3A6D"/>
    <w:rsid w:val="00DE4A53"/>
    <w:rsid w:val="00DE52FE"/>
    <w:rsid w:val="00DE5302"/>
    <w:rsid w:val="00DE663F"/>
    <w:rsid w:val="00DE7832"/>
    <w:rsid w:val="00DF003F"/>
    <w:rsid w:val="00DF044B"/>
    <w:rsid w:val="00DF0DB1"/>
    <w:rsid w:val="00DF0F96"/>
    <w:rsid w:val="00DF1249"/>
    <w:rsid w:val="00DF13B1"/>
    <w:rsid w:val="00DF1478"/>
    <w:rsid w:val="00DF19F9"/>
    <w:rsid w:val="00DF20CC"/>
    <w:rsid w:val="00DF21FC"/>
    <w:rsid w:val="00DF2B74"/>
    <w:rsid w:val="00DF2E16"/>
    <w:rsid w:val="00DF3491"/>
    <w:rsid w:val="00DF3B8F"/>
    <w:rsid w:val="00DF3BC5"/>
    <w:rsid w:val="00DF3C00"/>
    <w:rsid w:val="00DF4184"/>
    <w:rsid w:val="00DF41F4"/>
    <w:rsid w:val="00DF4869"/>
    <w:rsid w:val="00DF4C7B"/>
    <w:rsid w:val="00DF5FFF"/>
    <w:rsid w:val="00DF7731"/>
    <w:rsid w:val="00DF7BC3"/>
    <w:rsid w:val="00E00075"/>
    <w:rsid w:val="00E00ED9"/>
    <w:rsid w:val="00E021BA"/>
    <w:rsid w:val="00E02AEB"/>
    <w:rsid w:val="00E02BE6"/>
    <w:rsid w:val="00E02C24"/>
    <w:rsid w:val="00E02D0F"/>
    <w:rsid w:val="00E02F5C"/>
    <w:rsid w:val="00E02F62"/>
    <w:rsid w:val="00E03327"/>
    <w:rsid w:val="00E0397A"/>
    <w:rsid w:val="00E041C7"/>
    <w:rsid w:val="00E04A78"/>
    <w:rsid w:val="00E050F7"/>
    <w:rsid w:val="00E053A2"/>
    <w:rsid w:val="00E05CF6"/>
    <w:rsid w:val="00E066B4"/>
    <w:rsid w:val="00E06AD7"/>
    <w:rsid w:val="00E06FDE"/>
    <w:rsid w:val="00E07008"/>
    <w:rsid w:val="00E077AA"/>
    <w:rsid w:val="00E07A50"/>
    <w:rsid w:val="00E07AFA"/>
    <w:rsid w:val="00E07E17"/>
    <w:rsid w:val="00E07FCC"/>
    <w:rsid w:val="00E1058B"/>
    <w:rsid w:val="00E1187B"/>
    <w:rsid w:val="00E11FF3"/>
    <w:rsid w:val="00E12224"/>
    <w:rsid w:val="00E12766"/>
    <w:rsid w:val="00E12AAC"/>
    <w:rsid w:val="00E13033"/>
    <w:rsid w:val="00E130A4"/>
    <w:rsid w:val="00E138D4"/>
    <w:rsid w:val="00E1516A"/>
    <w:rsid w:val="00E16228"/>
    <w:rsid w:val="00E16243"/>
    <w:rsid w:val="00E16E27"/>
    <w:rsid w:val="00E170F1"/>
    <w:rsid w:val="00E171AA"/>
    <w:rsid w:val="00E17B1C"/>
    <w:rsid w:val="00E17B4D"/>
    <w:rsid w:val="00E20058"/>
    <w:rsid w:val="00E2019A"/>
    <w:rsid w:val="00E20AA9"/>
    <w:rsid w:val="00E20AFE"/>
    <w:rsid w:val="00E21267"/>
    <w:rsid w:val="00E21B0D"/>
    <w:rsid w:val="00E21DBB"/>
    <w:rsid w:val="00E21FB5"/>
    <w:rsid w:val="00E21FDC"/>
    <w:rsid w:val="00E22AE6"/>
    <w:rsid w:val="00E2302A"/>
    <w:rsid w:val="00E23B67"/>
    <w:rsid w:val="00E241AA"/>
    <w:rsid w:val="00E2565B"/>
    <w:rsid w:val="00E2584D"/>
    <w:rsid w:val="00E25B3F"/>
    <w:rsid w:val="00E25B71"/>
    <w:rsid w:val="00E26072"/>
    <w:rsid w:val="00E2695C"/>
    <w:rsid w:val="00E27528"/>
    <w:rsid w:val="00E278EF"/>
    <w:rsid w:val="00E27D4B"/>
    <w:rsid w:val="00E30082"/>
    <w:rsid w:val="00E30210"/>
    <w:rsid w:val="00E30311"/>
    <w:rsid w:val="00E309CB"/>
    <w:rsid w:val="00E30EE2"/>
    <w:rsid w:val="00E3130B"/>
    <w:rsid w:val="00E31B6C"/>
    <w:rsid w:val="00E31F1B"/>
    <w:rsid w:val="00E32787"/>
    <w:rsid w:val="00E330A9"/>
    <w:rsid w:val="00E33470"/>
    <w:rsid w:val="00E336B6"/>
    <w:rsid w:val="00E3594C"/>
    <w:rsid w:val="00E35DEE"/>
    <w:rsid w:val="00E3659D"/>
    <w:rsid w:val="00E36D02"/>
    <w:rsid w:val="00E37BE8"/>
    <w:rsid w:val="00E4024A"/>
    <w:rsid w:val="00E408EA"/>
    <w:rsid w:val="00E4095E"/>
    <w:rsid w:val="00E409E6"/>
    <w:rsid w:val="00E43560"/>
    <w:rsid w:val="00E438A9"/>
    <w:rsid w:val="00E44597"/>
    <w:rsid w:val="00E4522D"/>
    <w:rsid w:val="00E45DB0"/>
    <w:rsid w:val="00E46126"/>
    <w:rsid w:val="00E4613A"/>
    <w:rsid w:val="00E464A4"/>
    <w:rsid w:val="00E4770B"/>
    <w:rsid w:val="00E47AB2"/>
    <w:rsid w:val="00E47AB7"/>
    <w:rsid w:val="00E47D2A"/>
    <w:rsid w:val="00E50899"/>
    <w:rsid w:val="00E509B7"/>
    <w:rsid w:val="00E513E1"/>
    <w:rsid w:val="00E51A96"/>
    <w:rsid w:val="00E52AE5"/>
    <w:rsid w:val="00E52EB8"/>
    <w:rsid w:val="00E52EE4"/>
    <w:rsid w:val="00E53E7E"/>
    <w:rsid w:val="00E5417D"/>
    <w:rsid w:val="00E54649"/>
    <w:rsid w:val="00E54934"/>
    <w:rsid w:val="00E54A00"/>
    <w:rsid w:val="00E551D0"/>
    <w:rsid w:val="00E558B0"/>
    <w:rsid w:val="00E56291"/>
    <w:rsid w:val="00E5686F"/>
    <w:rsid w:val="00E56C04"/>
    <w:rsid w:val="00E572A8"/>
    <w:rsid w:val="00E5744E"/>
    <w:rsid w:val="00E60AB6"/>
    <w:rsid w:val="00E61721"/>
    <w:rsid w:val="00E61DB0"/>
    <w:rsid w:val="00E63518"/>
    <w:rsid w:val="00E64424"/>
    <w:rsid w:val="00E64515"/>
    <w:rsid w:val="00E649DA"/>
    <w:rsid w:val="00E64F0A"/>
    <w:rsid w:val="00E6608F"/>
    <w:rsid w:val="00E66774"/>
    <w:rsid w:val="00E66BEA"/>
    <w:rsid w:val="00E66F44"/>
    <w:rsid w:val="00E66FA2"/>
    <w:rsid w:val="00E67A51"/>
    <w:rsid w:val="00E67CA1"/>
    <w:rsid w:val="00E7002F"/>
    <w:rsid w:val="00E70C1D"/>
    <w:rsid w:val="00E7104D"/>
    <w:rsid w:val="00E7199A"/>
    <w:rsid w:val="00E72437"/>
    <w:rsid w:val="00E72F1B"/>
    <w:rsid w:val="00E7329A"/>
    <w:rsid w:val="00E7357A"/>
    <w:rsid w:val="00E737AA"/>
    <w:rsid w:val="00E73C93"/>
    <w:rsid w:val="00E73EFD"/>
    <w:rsid w:val="00E74105"/>
    <w:rsid w:val="00E74F5F"/>
    <w:rsid w:val="00E75375"/>
    <w:rsid w:val="00E753AE"/>
    <w:rsid w:val="00E75E6B"/>
    <w:rsid w:val="00E761F6"/>
    <w:rsid w:val="00E7703E"/>
    <w:rsid w:val="00E7745B"/>
    <w:rsid w:val="00E77607"/>
    <w:rsid w:val="00E805A5"/>
    <w:rsid w:val="00E80D47"/>
    <w:rsid w:val="00E81473"/>
    <w:rsid w:val="00E81537"/>
    <w:rsid w:val="00E81CFB"/>
    <w:rsid w:val="00E822D3"/>
    <w:rsid w:val="00E83740"/>
    <w:rsid w:val="00E83E09"/>
    <w:rsid w:val="00E8422B"/>
    <w:rsid w:val="00E843A1"/>
    <w:rsid w:val="00E84FDC"/>
    <w:rsid w:val="00E85760"/>
    <w:rsid w:val="00E857E5"/>
    <w:rsid w:val="00E85B09"/>
    <w:rsid w:val="00E85EDB"/>
    <w:rsid w:val="00E85F3D"/>
    <w:rsid w:val="00E86062"/>
    <w:rsid w:val="00E8622D"/>
    <w:rsid w:val="00E86491"/>
    <w:rsid w:val="00E869F8"/>
    <w:rsid w:val="00E87BE0"/>
    <w:rsid w:val="00E911BD"/>
    <w:rsid w:val="00E91EA7"/>
    <w:rsid w:val="00E92346"/>
    <w:rsid w:val="00E92869"/>
    <w:rsid w:val="00E9289F"/>
    <w:rsid w:val="00E9292B"/>
    <w:rsid w:val="00E9296F"/>
    <w:rsid w:val="00E92FB8"/>
    <w:rsid w:val="00E93667"/>
    <w:rsid w:val="00E93A7E"/>
    <w:rsid w:val="00E93ECA"/>
    <w:rsid w:val="00E940E5"/>
    <w:rsid w:val="00E95786"/>
    <w:rsid w:val="00E95A44"/>
    <w:rsid w:val="00E95F8B"/>
    <w:rsid w:val="00E9648D"/>
    <w:rsid w:val="00EA0D71"/>
    <w:rsid w:val="00EA192A"/>
    <w:rsid w:val="00EA1C70"/>
    <w:rsid w:val="00EA26C8"/>
    <w:rsid w:val="00EA3275"/>
    <w:rsid w:val="00EA457E"/>
    <w:rsid w:val="00EA4EC7"/>
    <w:rsid w:val="00EA550D"/>
    <w:rsid w:val="00EA5562"/>
    <w:rsid w:val="00EA5CD0"/>
    <w:rsid w:val="00EA5DEF"/>
    <w:rsid w:val="00EA6038"/>
    <w:rsid w:val="00EA660E"/>
    <w:rsid w:val="00EA6889"/>
    <w:rsid w:val="00EA70A0"/>
    <w:rsid w:val="00EA780D"/>
    <w:rsid w:val="00EB0B41"/>
    <w:rsid w:val="00EB148E"/>
    <w:rsid w:val="00EB14B7"/>
    <w:rsid w:val="00EB2BF3"/>
    <w:rsid w:val="00EB2C98"/>
    <w:rsid w:val="00EB2CDB"/>
    <w:rsid w:val="00EB442F"/>
    <w:rsid w:val="00EB46E5"/>
    <w:rsid w:val="00EB51AF"/>
    <w:rsid w:val="00EB575F"/>
    <w:rsid w:val="00EB5BC3"/>
    <w:rsid w:val="00EB60AC"/>
    <w:rsid w:val="00EB6CF7"/>
    <w:rsid w:val="00EB6D71"/>
    <w:rsid w:val="00EB7110"/>
    <w:rsid w:val="00EB7708"/>
    <w:rsid w:val="00EB7904"/>
    <w:rsid w:val="00EC03A4"/>
    <w:rsid w:val="00EC158F"/>
    <w:rsid w:val="00EC19DB"/>
    <w:rsid w:val="00EC1A4A"/>
    <w:rsid w:val="00EC2BB1"/>
    <w:rsid w:val="00EC2C4F"/>
    <w:rsid w:val="00EC3089"/>
    <w:rsid w:val="00EC4041"/>
    <w:rsid w:val="00EC48DE"/>
    <w:rsid w:val="00EC4BF0"/>
    <w:rsid w:val="00EC4C20"/>
    <w:rsid w:val="00EC4D50"/>
    <w:rsid w:val="00EC53CE"/>
    <w:rsid w:val="00EC57AA"/>
    <w:rsid w:val="00EC5AB2"/>
    <w:rsid w:val="00EC6AF1"/>
    <w:rsid w:val="00EC6EEE"/>
    <w:rsid w:val="00EC79E3"/>
    <w:rsid w:val="00ED036A"/>
    <w:rsid w:val="00ED0A15"/>
    <w:rsid w:val="00ED0E91"/>
    <w:rsid w:val="00ED0EAF"/>
    <w:rsid w:val="00ED11DC"/>
    <w:rsid w:val="00ED140B"/>
    <w:rsid w:val="00ED1AAF"/>
    <w:rsid w:val="00ED3141"/>
    <w:rsid w:val="00ED3643"/>
    <w:rsid w:val="00ED3B73"/>
    <w:rsid w:val="00ED4432"/>
    <w:rsid w:val="00ED48DE"/>
    <w:rsid w:val="00ED4D6D"/>
    <w:rsid w:val="00ED547E"/>
    <w:rsid w:val="00ED5D23"/>
    <w:rsid w:val="00ED7679"/>
    <w:rsid w:val="00ED7B8C"/>
    <w:rsid w:val="00ED7C6F"/>
    <w:rsid w:val="00EE0196"/>
    <w:rsid w:val="00EE0200"/>
    <w:rsid w:val="00EE15D0"/>
    <w:rsid w:val="00EE189C"/>
    <w:rsid w:val="00EE1C67"/>
    <w:rsid w:val="00EE2B4A"/>
    <w:rsid w:val="00EE314A"/>
    <w:rsid w:val="00EE35DD"/>
    <w:rsid w:val="00EE3D51"/>
    <w:rsid w:val="00EE449D"/>
    <w:rsid w:val="00EE4AF2"/>
    <w:rsid w:val="00EE6414"/>
    <w:rsid w:val="00EE6748"/>
    <w:rsid w:val="00EE68CB"/>
    <w:rsid w:val="00EE6911"/>
    <w:rsid w:val="00EE6AC7"/>
    <w:rsid w:val="00EE6D48"/>
    <w:rsid w:val="00EE755F"/>
    <w:rsid w:val="00EE786A"/>
    <w:rsid w:val="00EE79F6"/>
    <w:rsid w:val="00EF032A"/>
    <w:rsid w:val="00EF0AB8"/>
    <w:rsid w:val="00EF13CB"/>
    <w:rsid w:val="00EF202E"/>
    <w:rsid w:val="00EF2518"/>
    <w:rsid w:val="00EF2836"/>
    <w:rsid w:val="00EF2983"/>
    <w:rsid w:val="00EF3A54"/>
    <w:rsid w:val="00EF3C1E"/>
    <w:rsid w:val="00EF4813"/>
    <w:rsid w:val="00EF553E"/>
    <w:rsid w:val="00EF58AB"/>
    <w:rsid w:val="00EF6412"/>
    <w:rsid w:val="00EF6CDC"/>
    <w:rsid w:val="00EF75D8"/>
    <w:rsid w:val="00EF771F"/>
    <w:rsid w:val="00F00DDB"/>
    <w:rsid w:val="00F0138D"/>
    <w:rsid w:val="00F0185E"/>
    <w:rsid w:val="00F01A77"/>
    <w:rsid w:val="00F01CAB"/>
    <w:rsid w:val="00F0291A"/>
    <w:rsid w:val="00F0362A"/>
    <w:rsid w:val="00F04FDB"/>
    <w:rsid w:val="00F05C97"/>
    <w:rsid w:val="00F06CB3"/>
    <w:rsid w:val="00F07447"/>
    <w:rsid w:val="00F10A07"/>
    <w:rsid w:val="00F11494"/>
    <w:rsid w:val="00F11DCA"/>
    <w:rsid w:val="00F11DFE"/>
    <w:rsid w:val="00F1227A"/>
    <w:rsid w:val="00F12367"/>
    <w:rsid w:val="00F140BE"/>
    <w:rsid w:val="00F148FE"/>
    <w:rsid w:val="00F14E26"/>
    <w:rsid w:val="00F157D3"/>
    <w:rsid w:val="00F15E35"/>
    <w:rsid w:val="00F16AB9"/>
    <w:rsid w:val="00F17DD0"/>
    <w:rsid w:val="00F17E5F"/>
    <w:rsid w:val="00F206EB"/>
    <w:rsid w:val="00F20799"/>
    <w:rsid w:val="00F20BBB"/>
    <w:rsid w:val="00F20F97"/>
    <w:rsid w:val="00F213A5"/>
    <w:rsid w:val="00F21477"/>
    <w:rsid w:val="00F21637"/>
    <w:rsid w:val="00F21761"/>
    <w:rsid w:val="00F21D09"/>
    <w:rsid w:val="00F21E15"/>
    <w:rsid w:val="00F22039"/>
    <w:rsid w:val="00F220CD"/>
    <w:rsid w:val="00F23C27"/>
    <w:rsid w:val="00F2480B"/>
    <w:rsid w:val="00F24849"/>
    <w:rsid w:val="00F255AE"/>
    <w:rsid w:val="00F25630"/>
    <w:rsid w:val="00F25667"/>
    <w:rsid w:val="00F25896"/>
    <w:rsid w:val="00F25CF0"/>
    <w:rsid w:val="00F26034"/>
    <w:rsid w:val="00F2625D"/>
    <w:rsid w:val="00F262B3"/>
    <w:rsid w:val="00F265EC"/>
    <w:rsid w:val="00F270A1"/>
    <w:rsid w:val="00F30E63"/>
    <w:rsid w:val="00F31095"/>
    <w:rsid w:val="00F328BC"/>
    <w:rsid w:val="00F33106"/>
    <w:rsid w:val="00F33B3C"/>
    <w:rsid w:val="00F345A1"/>
    <w:rsid w:val="00F36766"/>
    <w:rsid w:val="00F3765D"/>
    <w:rsid w:val="00F406D3"/>
    <w:rsid w:val="00F409C9"/>
    <w:rsid w:val="00F41802"/>
    <w:rsid w:val="00F41F5D"/>
    <w:rsid w:val="00F431A8"/>
    <w:rsid w:val="00F43830"/>
    <w:rsid w:val="00F438D0"/>
    <w:rsid w:val="00F43B7A"/>
    <w:rsid w:val="00F448C9"/>
    <w:rsid w:val="00F44EF4"/>
    <w:rsid w:val="00F4557B"/>
    <w:rsid w:val="00F46256"/>
    <w:rsid w:val="00F46A35"/>
    <w:rsid w:val="00F47AA3"/>
    <w:rsid w:val="00F47D04"/>
    <w:rsid w:val="00F47FBA"/>
    <w:rsid w:val="00F5041F"/>
    <w:rsid w:val="00F523B3"/>
    <w:rsid w:val="00F52A0A"/>
    <w:rsid w:val="00F52FEC"/>
    <w:rsid w:val="00F5370B"/>
    <w:rsid w:val="00F5399C"/>
    <w:rsid w:val="00F54F14"/>
    <w:rsid w:val="00F5526A"/>
    <w:rsid w:val="00F55BCD"/>
    <w:rsid w:val="00F56FDF"/>
    <w:rsid w:val="00F57011"/>
    <w:rsid w:val="00F57373"/>
    <w:rsid w:val="00F5759F"/>
    <w:rsid w:val="00F57E6C"/>
    <w:rsid w:val="00F57EFF"/>
    <w:rsid w:val="00F60099"/>
    <w:rsid w:val="00F6051A"/>
    <w:rsid w:val="00F6060A"/>
    <w:rsid w:val="00F60621"/>
    <w:rsid w:val="00F60EB8"/>
    <w:rsid w:val="00F62C5F"/>
    <w:rsid w:val="00F63C58"/>
    <w:rsid w:val="00F6438C"/>
    <w:rsid w:val="00F64515"/>
    <w:rsid w:val="00F64A60"/>
    <w:rsid w:val="00F64B84"/>
    <w:rsid w:val="00F65991"/>
    <w:rsid w:val="00F65AAD"/>
    <w:rsid w:val="00F65D21"/>
    <w:rsid w:val="00F663E9"/>
    <w:rsid w:val="00F66FEB"/>
    <w:rsid w:val="00F677AF"/>
    <w:rsid w:val="00F67891"/>
    <w:rsid w:val="00F67999"/>
    <w:rsid w:val="00F67D94"/>
    <w:rsid w:val="00F70365"/>
    <w:rsid w:val="00F70460"/>
    <w:rsid w:val="00F704D1"/>
    <w:rsid w:val="00F70680"/>
    <w:rsid w:val="00F71C2F"/>
    <w:rsid w:val="00F72A4D"/>
    <w:rsid w:val="00F73B09"/>
    <w:rsid w:val="00F74465"/>
    <w:rsid w:val="00F74EB6"/>
    <w:rsid w:val="00F74F7E"/>
    <w:rsid w:val="00F750B9"/>
    <w:rsid w:val="00F75501"/>
    <w:rsid w:val="00F759EF"/>
    <w:rsid w:val="00F76FDA"/>
    <w:rsid w:val="00F776CD"/>
    <w:rsid w:val="00F77F31"/>
    <w:rsid w:val="00F80029"/>
    <w:rsid w:val="00F82108"/>
    <w:rsid w:val="00F834DF"/>
    <w:rsid w:val="00F83D5D"/>
    <w:rsid w:val="00F84427"/>
    <w:rsid w:val="00F84E46"/>
    <w:rsid w:val="00F84ED6"/>
    <w:rsid w:val="00F855DB"/>
    <w:rsid w:val="00F85C8B"/>
    <w:rsid w:val="00F86788"/>
    <w:rsid w:val="00F90238"/>
    <w:rsid w:val="00F9121B"/>
    <w:rsid w:val="00F91258"/>
    <w:rsid w:val="00F91747"/>
    <w:rsid w:val="00F918CE"/>
    <w:rsid w:val="00F91E57"/>
    <w:rsid w:val="00F92C3F"/>
    <w:rsid w:val="00F92F82"/>
    <w:rsid w:val="00F93978"/>
    <w:rsid w:val="00F94115"/>
    <w:rsid w:val="00F94C51"/>
    <w:rsid w:val="00F94E9E"/>
    <w:rsid w:val="00F94FC8"/>
    <w:rsid w:val="00F95F2A"/>
    <w:rsid w:val="00F96189"/>
    <w:rsid w:val="00F969B7"/>
    <w:rsid w:val="00F973EE"/>
    <w:rsid w:val="00F97771"/>
    <w:rsid w:val="00F97C42"/>
    <w:rsid w:val="00FA05AD"/>
    <w:rsid w:val="00FA0C4A"/>
    <w:rsid w:val="00FA1D6D"/>
    <w:rsid w:val="00FA206E"/>
    <w:rsid w:val="00FA2608"/>
    <w:rsid w:val="00FA267F"/>
    <w:rsid w:val="00FA2C77"/>
    <w:rsid w:val="00FA300F"/>
    <w:rsid w:val="00FA4961"/>
    <w:rsid w:val="00FA5429"/>
    <w:rsid w:val="00FA64C8"/>
    <w:rsid w:val="00FA6712"/>
    <w:rsid w:val="00FA7642"/>
    <w:rsid w:val="00FA7716"/>
    <w:rsid w:val="00FA7A23"/>
    <w:rsid w:val="00FA7B47"/>
    <w:rsid w:val="00FB00F2"/>
    <w:rsid w:val="00FB05CE"/>
    <w:rsid w:val="00FB0CB1"/>
    <w:rsid w:val="00FB10C4"/>
    <w:rsid w:val="00FB18D7"/>
    <w:rsid w:val="00FB1913"/>
    <w:rsid w:val="00FB19FB"/>
    <w:rsid w:val="00FB1C1D"/>
    <w:rsid w:val="00FB1D05"/>
    <w:rsid w:val="00FB1E46"/>
    <w:rsid w:val="00FB1F8A"/>
    <w:rsid w:val="00FB2A67"/>
    <w:rsid w:val="00FB2B95"/>
    <w:rsid w:val="00FB359B"/>
    <w:rsid w:val="00FB394F"/>
    <w:rsid w:val="00FB3E5C"/>
    <w:rsid w:val="00FB46AA"/>
    <w:rsid w:val="00FB4CF3"/>
    <w:rsid w:val="00FB6C46"/>
    <w:rsid w:val="00FB6EF7"/>
    <w:rsid w:val="00FB7DE6"/>
    <w:rsid w:val="00FB7EE4"/>
    <w:rsid w:val="00FC1A84"/>
    <w:rsid w:val="00FC1B32"/>
    <w:rsid w:val="00FC24E3"/>
    <w:rsid w:val="00FC2A56"/>
    <w:rsid w:val="00FC2AD6"/>
    <w:rsid w:val="00FC2B70"/>
    <w:rsid w:val="00FC3128"/>
    <w:rsid w:val="00FC3FE9"/>
    <w:rsid w:val="00FC4D48"/>
    <w:rsid w:val="00FC4FD7"/>
    <w:rsid w:val="00FC5123"/>
    <w:rsid w:val="00FC514B"/>
    <w:rsid w:val="00FC5BD7"/>
    <w:rsid w:val="00FC5D8A"/>
    <w:rsid w:val="00FC63D5"/>
    <w:rsid w:val="00FC6DAC"/>
    <w:rsid w:val="00FC7816"/>
    <w:rsid w:val="00FC785C"/>
    <w:rsid w:val="00FC79B5"/>
    <w:rsid w:val="00FC7B4C"/>
    <w:rsid w:val="00FC7C90"/>
    <w:rsid w:val="00FD016D"/>
    <w:rsid w:val="00FD12AD"/>
    <w:rsid w:val="00FD12CC"/>
    <w:rsid w:val="00FD1B27"/>
    <w:rsid w:val="00FD1F25"/>
    <w:rsid w:val="00FD2772"/>
    <w:rsid w:val="00FD29AD"/>
    <w:rsid w:val="00FD2B7B"/>
    <w:rsid w:val="00FD37BD"/>
    <w:rsid w:val="00FD446F"/>
    <w:rsid w:val="00FD4A04"/>
    <w:rsid w:val="00FD4C2A"/>
    <w:rsid w:val="00FD5B79"/>
    <w:rsid w:val="00FD602B"/>
    <w:rsid w:val="00FD6FF9"/>
    <w:rsid w:val="00FD71A6"/>
    <w:rsid w:val="00FD7278"/>
    <w:rsid w:val="00FD760D"/>
    <w:rsid w:val="00FE04AF"/>
    <w:rsid w:val="00FE1045"/>
    <w:rsid w:val="00FE127D"/>
    <w:rsid w:val="00FE2680"/>
    <w:rsid w:val="00FE4AB1"/>
    <w:rsid w:val="00FE4B85"/>
    <w:rsid w:val="00FE5602"/>
    <w:rsid w:val="00FE5949"/>
    <w:rsid w:val="00FE6641"/>
    <w:rsid w:val="00FE6D72"/>
    <w:rsid w:val="00FE7419"/>
    <w:rsid w:val="00FE7D8D"/>
    <w:rsid w:val="00FE7E09"/>
    <w:rsid w:val="00FF078A"/>
    <w:rsid w:val="00FF0949"/>
    <w:rsid w:val="00FF1604"/>
    <w:rsid w:val="00FF1F31"/>
    <w:rsid w:val="00FF25B3"/>
    <w:rsid w:val="00FF290D"/>
    <w:rsid w:val="00FF309C"/>
    <w:rsid w:val="00FF3B7F"/>
    <w:rsid w:val="00FF4FA7"/>
    <w:rsid w:val="00FF5B06"/>
    <w:rsid w:val="00FF6626"/>
    <w:rsid w:val="00FF7246"/>
    <w:rsid w:val="00FF7375"/>
    <w:rsid w:val="00FF7529"/>
    <w:rsid w:val="00FF7A0E"/>
    <w:rsid w:val="00FF7ECD"/>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FBE"/>
    <w:rPr>
      <w:sz w:val="24"/>
      <w:szCs w:val="24"/>
    </w:rPr>
  </w:style>
  <w:style w:type="paragraph" w:styleId="Heading1">
    <w:name w:val="heading 1"/>
    <w:basedOn w:val="Normal"/>
    <w:next w:val="Normal"/>
    <w:link w:val="Heading1Char"/>
    <w:uiPriority w:val="99"/>
    <w:qFormat/>
    <w:rsid w:val="00A77FB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9"/>
    <w:qFormat/>
    <w:rsid w:val="00A77FBE"/>
    <w:pPr>
      <w:keepNext/>
      <w:numPr>
        <w:numId w:val="2"/>
      </w:numPr>
      <w:spacing w:before="240" w:after="100"/>
      <w:outlineLvl w:val="1"/>
    </w:pPr>
    <w:rPr>
      <w:rFonts w:ascii="Arial" w:hAnsi="Arial"/>
      <w:b/>
      <w:i/>
      <w:sz w:val="28"/>
    </w:rPr>
  </w:style>
  <w:style w:type="paragraph" w:styleId="Heading3">
    <w:name w:val="heading 3"/>
    <w:basedOn w:val="Normal"/>
    <w:link w:val="Heading3Char"/>
    <w:autoRedefine/>
    <w:uiPriority w:val="99"/>
    <w:qFormat/>
    <w:rsid w:val="00A77FBE"/>
    <w:pPr>
      <w:keepNext/>
      <w:numPr>
        <w:ilvl w:val="1"/>
        <w:numId w:val="2"/>
      </w:numPr>
      <w:tabs>
        <w:tab w:val="clear" w:pos="1080"/>
        <w:tab w:val="num" w:pos="709"/>
      </w:tabs>
      <w:spacing w:before="240" w:after="100"/>
      <w:ind w:left="284" w:hanging="284"/>
      <w:outlineLvl w:val="2"/>
    </w:pPr>
    <w:rPr>
      <w:rFonts w:ascii="Arial" w:hAnsi="Arial"/>
    </w:rPr>
  </w:style>
  <w:style w:type="paragraph" w:styleId="Heading4">
    <w:name w:val="heading 4"/>
    <w:basedOn w:val="Normal"/>
    <w:next w:val="Normal"/>
    <w:link w:val="Heading4Char"/>
    <w:uiPriority w:val="99"/>
    <w:qFormat/>
    <w:rsid w:val="00A77FBE"/>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Arial" w:hAnsi="Arial"/>
      <w:b/>
      <w:kern w:val="32"/>
      <w:sz w:val="32"/>
    </w:rPr>
  </w:style>
  <w:style w:type="character" w:customStyle="1" w:styleId="Heading2Char">
    <w:name w:val="Heading 2 Char"/>
    <w:basedOn w:val="DefaultParagraphFont"/>
    <w:link w:val="Heading2"/>
    <w:uiPriority w:val="99"/>
    <w:locked/>
    <w:rPr>
      <w:rFonts w:ascii="Arial" w:hAnsi="Arial"/>
      <w:b/>
      <w:i/>
      <w:sz w:val="24"/>
    </w:rPr>
  </w:style>
  <w:style w:type="character" w:customStyle="1" w:styleId="Heading3Char">
    <w:name w:val="Heading 3 Char"/>
    <w:basedOn w:val="DefaultParagraphFont"/>
    <w:link w:val="Heading3"/>
    <w:uiPriority w:val="99"/>
    <w:locked/>
    <w:rPr>
      <w:rFonts w:ascii="Arial" w:hAnsi="Arial"/>
      <w:sz w:val="24"/>
    </w:rPr>
  </w:style>
  <w:style w:type="character" w:customStyle="1" w:styleId="Heading4Char">
    <w:name w:val="Heading 4 Char"/>
    <w:basedOn w:val="DefaultParagraphFont"/>
    <w:link w:val="Heading4"/>
    <w:uiPriority w:val="9"/>
    <w:semiHidden/>
    <w:rsid w:val="00711550"/>
    <w:rPr>
      <w:rFonts w:asciiTheme="minorHAnsi" w:eastAsiaTheme="minorEastAsia" w:hAnsiTheme="minorHAnsi" w:cstheme="minorBidi"/>
      <w:b/>
      <w:bCs/>
      <w:sz w:val="28"/>
      <w:szCs w:val="28"/>
    </w:rPr>
  </w:style>
  <w:style w:type="paragraph" w:styleId="Caption">
    <w:name w:val="caption"/>
    <w:basedOn w:val="Normal"/>
    <w:next w:val="Normal"/>
    <w:autoRedefine/>
    <w:uiPriority w:val="99"/>
    <w:qFormat/>
    <w:rsid w:val="00A77FBE"/>
    <w:pPr>
      <w:keepNext/>
      <w:spacing w:before="120" w:after="80"/>
    </w:pPr>
    <w:rPr>
      <w:b/>
      <w:sz w:val="20"/>
    </w:rPr>
  </w:style>
  <w:style w:type="paragraph" w:styleId="FootnoteText">
    <w:name w:val="footnote text"/>
    <w:basedOn w:val="Normal"/>
    <w:link w:val="FootnoteTextChar"/>
    <w:uiPriority w:val="99"/>
    <w:semiHidden/>
    <w:rsid w:val="00A77FBE"/>
    <w:pPr>
      <w:jc w:val="both"/>
    </w:pPr>
    <w:rPr>
      <w:sz w:val="20"/>
    </w:rPr>
  </w:style>
  <w:style w:type="character" w:customStyle="1" w:styleId="FootnoteTextChar">
    <w:name w:val="Footnote Text Char"/>
    <w:basedOn w:val="DefaultParagraphFont"/>
    <w:link w:val="FootnoteText"/>
    <w:uiPriority w:val="99"/>
    <w:semiHidden/>
    <w:locked/>
    <w:rPr>
      <w:sz w:val="24"/>
    </w:rPr>
  </w:style>
  <w:style w:type="character" w:styleId="FootnoteReference">
    <w:name w:val="footnote reference"/>
    <w:basedOn w:val="DefaultParagraphFont"/>
    <w:uiPriority w:val="99"/>
    <w:semiHidden/>
    <w:rsid w:val="00A77FBE"/>
    <w:rPr>
      <w:rFonts w:cs="Times New Roman"/>
      <w:u w:val="none"/>
      <w:vertAlign w:val="superscript"/>
    </w:rPr>
  </w:style>
  <w:style w:type="paragraph" w:styleId="TOC1">
    <w:name w:val="toc 1"/>
    <w:basedOn w:val="Normal"/>
    <w:next w:val="Normal"/>
    <w:uiPriority w:val="99"/>
    <w:rsid w:val="00A77FBE"/>
    <w:pPr>
      <w:spacing w:before="120" w:after="120"/>
    </w:pPr>
    <w:rPr>
      <w:b/>
      <w:bCs/>
      <w:caps/>
    </w:rPr>
  </w:style>
  <w:style w:type="paragraph" w:styleId="TOC2">
    <w:name w:val="toc 2"/>
    <w:basedOn w:val="Normal"/>
    <w:next w:val="Normal"/>
    <w:uiPriority w:val="99"/>
    <w:rsid w:val="00A77FBE"/>
    <w:pPr>
      <w:tabs>
        <w:tab w:val="left" w:pos="737"/>
        <w:tab w:val="right" w:leader="dot" w:pos="9072"/>
      </w:tabs>
      <w:ind w:left="240"/>
    </w:pPr>
    <w:rPr>
      <w:smallCaps/>
    </w:rPr>
  </w:style>
  <w:style w:type="paragraph" w:styleId="TOC3">
    <w:name w:val="toc 3"/>
    <w:basedOn w:val="Normal"/>
    <w:next w:val="Normal"/>
    <w:uiPriority w:val="99"/>
    <w:rsid w:val="00A77FBE"/>
    <w:pPr>
      <w:ind w:left="480"/>
    </w:pPr>
    <w:rPr>
      <w:i/>
      <w:iCs/>
    </w:rPr>
  </w:style>
  <w:style w:type="paragraph" w:customStyle="1" w:styleId="graftab">
    <w:name w:val="graf_tab"/>
    <w:next w:val="Standardnstyl"/>
    <w:autoRedefine/>
    <w:uiPriority w:val="99"/>
    <w:rsid w:val="009F036F"/>
    <w:pPr>
      <w:keepNext/>
    </w:pPr>
    <w:rPr>
      <w:i/>
      <w:sz w:val="20"/>
      <w:szCs w:val="20"/>
    </w:rPr>
  </w:style>
  <w:style w:type="paragraph" w:customStyle="1" w:styleId="Standardnstyl">
    <w:name w:val="Standardní styl"/>
    <w:link w:val="StandardnstylChar"/>
    <w:autoRedefine/>
    <w:uiPriority w:val="99"/>
    <w:rsid w:val="00463A78"/>
    <w:pPr>
      <w:spacing w:before="60" w:line="360" w:lineRule="auto"/>
      <w:ind w:firstLine="426"/>
      <w:jc w:val="both"/>
    </w:pPr>
    <w:rPr>
      <w:sz w:val="24"/>
      <w:szCs w:val="20"/>
    </w:rPr>
  </w:style>
  <w:style w:type="paragraph" w:styleId="Footer">
    <w:name w:val="footer"/>
    <w:basedOn w:val="Normal"/>
    <w:link w:val="FooterChar"/>
    <w:uiPriority w:val="99"/>
    <w:rsid w:val="00A77FBE"/>
    <w:pPr>
      <w:tabs>
        <w:tab w:val="center" w:pos="4536"/>
        <w:tab w:val="right" w:pos="9072"/>
      </w:tabs>
    </w:pPr>
  </w:style>
  <w:style w:type="character" w:customStyle="1" w:styleId="FooterChar">
    <w:name w:val="Footer Char"/>
    <w:basedOn w:val="DefaultParagraphFont"/>
    <w:link w:val="Footer"/>
    <w:uiPriority w:val="99"/>
    <w:locked/>
    <w:rPr>
      <w:rFonts w:cs="Times New Roman"/>
      <w:sz w:val="24"/>
      <w:szCs w:val="24"/>
    </w:rPr>
  </w:style>
  <w:style w:type="character" w:styleId="PageNumber">
    <w:name w:val="page number"/>
    <w:basedOn w:val="DefaultParagraphFont"/>
    <w:uiPriority w:val="99"/>
    <w:rsid w:val="00A77FBE"/>
    <w:rPr>
      <w:rFonts w:cs="Times New Roman"/>
    </w:rPr>
  </w:style>
  <w:style w:type="paragraph" w:styleId="Header">
    <w:name w:val="header"/>
    <w:basedOn w:val="Normal"/>
    <w:link w:val="HeaderChar"/>
    <w:uiPriority w:val="99"/>
    <w:rsid w:val="00A77FBE"/>
    <w:pPr>
      <w:tabs>
        <w:tab w:val="center" w:pos="4536"/>
        <w:tab w:val="right" w:pos="9072"/>
      </w:tabs>
    </w:pPr>
  </w:style>
  <w:style w:type="character" w:customStyle="1" w:styleId="HeaderChar">
    <w:name w:val="Header Char"/>
    <w:basedOn w:val="DefaultParagraphFont"/>
    <w:link w:val="Header"/>
    <w:uiPriority w:val="99"/>
    <w:locked/>
    <w:rPr>
      <w:sz w:val="24"/>
    </w:rPr>
  </w:style>
  <w:style w:type="character" w:styleId="Hyperlink">
    <w:name w:val="Hyperlink"/>
    <w:basedOn w:val="DefaultParagraphFont"/>
    <w:uiPriority w:val="99"/>
    <w:rsid w:val="00A77FBE"/>
    <w:rPr>
      <w:rFonts w:cs="Times New Roman"/>
      <w:color w:val="0000FF"/>
      <w:u w:val="single"/>
    </w:rPr>
  </w:style>
  <w:style w:type="paragraph" w:styleId="NormalWeb">
    <w:name w:val="Normal (Web)"/>
    <w:basedOn w:val="Normal"/>
    <w:uiPriority w:val="99"/>
    <w:semiHidden/>
    <w:rsid w:val="00A77FBE"/>
    <w:pPr>
      <w:spacing w:before="100" w:after="100"/>
    </w:pPr>
    <w:rPr>
      <w:rFonts w:ascii="Arial Unicode MS" w:eastAsia="Arial Unicode MS" w:hAnsi="Arial Unicode MS"/>
    </w:rPr>
  </w:style>
  <w:style w:type="paragraph" w:customStyle="1" w:styleId="Pramen">
    <w:name w:val="Pramen"/>
    <w:link w:val="PramenChar"/>
    <w:autoRedefine/>
    <w:uiPriority w:val="99"/>
    <w:rsid w:val="00A77FBE"/>
    <w:pPr>
      <w:tabs>
        <w:tab w:val="left" w:pos="5245"/>
      </w:tabs>
      <w:spacing w:after="80"/>
    </w:pPr>
    <w:rPr>
      <w:i/>
      <w:sz w:val="20"/>
      <w:szCs w:val="20"/>
    </w:rPr>
  </w:style>
  <w:style w:type="paragraph" w:customStyle="1" w:styleId="vysvtlivky">
    <w:name w:val="vysvětlivky"/>
    <w:uiPriority w:val="99"/>
    <w:rsid w:val="00A77FBE"/>
    <w:rPr>
      <w:i/>
      <w:sz w:val="20"/>
      <w:szCs w:val="20"/>
    </w:rPr>
  </w:style>
  <w:style w:type="paragraph" w:customStyle="1" w:styleId="Podtitulek">
    <w:name w:val="Podtitulek"/>
    <w:basedOn w:val="Heading4"/>
    <w:autoRedefine/>
    <w:uiPriority w:val="99"/>
    <w:rsid w:val="00665700"/>
    <w:pPr>
      <w:spacing w:before="0"/>
    </w:pPr>
    <w:rPr>
      <w:b w:val="0"/>
      <w:bCs w:val="0"/>
      <w:i/>
      <w:sz w:val="20"/>
      <w:szCs w:val="24"/>
    </w:rPr>
  </w:style>
  <w:style w:type="paragraph" w:customStyle="1" w:styleId="StylvysvtlivkyVlevo0cmPrvndek0cm">
    <w:name w:val="Styl vysvětlivky + Vlevo:  0 cm První řádek:  0 cm"/>
    <w:basedOn w:val="vysvtlivky"/>
    <w:uiPriority w:val="99"/>
    <w:rsid w:val="00A77FBE"/>
    <w:pPr>
      <w:numPr>
        <w:numId w:val="1"/>
      </w:numPr>
    </w:pPr>
    <w:rPr>
      <w:iCs/>
    </w:rPr>
  </w:style>
  <w:style w:type="paragraph" w:styleId="BalloonText">
    <w:name w:val="Balloon Text"/>
    <w:basedOn w:val="Normal"/>
    <w:link w:val="BalloonTextChar"/>
    <w:uiPriority w:val="99"/>
    <w:semiHidden/>
    <w:rsid w:val="00BB1E6F"/>
    <w:rPr>
      <w:rFonts w:ascii="Tahoma" w:hAnsi="Tahoma" w:cs="Tahoma"/>
      <w:sz w:val="16"/>
      <w:szCs w:val="16"/>
    </w:rPr>
  </w:style>
  <w:style w:type="character" w:customStyle="1" w:styleId="BalloonTextChar">
    <w:name w:val="Balloon Text Char"/>
    <w:basedOn w:val="DefaultParagraphFont"/>
    <w:link w:val="BalloonText"/>
    <w:uiPriority w:val="99"/>
    <w:semiHidden/>
    <w:rsid w:val="00711550"/>
    <w:rPr>
      <w:sz w:val="0"/>
      <w:szCs w:val="0"/>
    </w:rPr>
  </w:style>
  <w:style w:type="paragraph" w:customStyle="1" w:styleId="StylStandardnstyl115b">
    <w:name w:val="Styl Standardní styl + 115 b."/>
    <w:basedOn w:val="Standardnstyl"/>
    <w:link w:val="StylStandardnstyl115bChar"/>
    <w:uiPriority w:val="99"/>
    <w:rsid w:val="00C14553"/>
  </w:style>
  <w:style w:type="character" w:customStyle="1" w:styleId="StandardnstylChar">
    <w:name w:val="Standardní styl Char"/>
    <w:link w:val="Standardnstyl"/>
    <w:uiPriority w:val="99"/>
    <w:locked/>
    <w:rsid w:val="00463A78"/>
    <w:rPr>
      <w:sz w:val="24"/>
    </w:rPr>
  </w:style>
  <w:style w:type="character" w:customStyle="1" w:styleId="StylStandardnstyl115bChar">
    <w:name w:val="Styl Standardní styl + 115 b. Char"/>
    <w:basedOn w:val="StandardnstylChar"/>
    <w:link w:val="StylStandardnstyl115b"/>
    <w:uiPriority w:val="99"/>
    <w:locked/>
    <w:rsid w:val="00C14553"/>
    <w:rPr>
      <w:rFonts w:cs="Times New Roman"/>
      <w:lang w:val="cs-CZ" w:eastAsia="cs-CZ" w:bidi="ar-SA"/>
    </w:rPr>
  </w:style>
  <w:style w:type="character" w:styleId="FollowedHyperlink">
    <w:name w:val="FollowedHyperlink"/>
    <w:basedOn w:val="DefaultParagraphFont"/>
    <w:uiPriority w:val="99"/>
    <w:rsid w:val="00B3722A"/>
    <w:rPr>
      <w:rFonts w:cs="Times New Roman"/>
      <w:color w:val="800080"/>
      <w:u w:val="single"/>
    </w:rPr>
  </w:style>
  <w:style w:type="paragraph" w:styleId="BodyTextIndent">
    <w:name w:val="Body Text Indent"/>
    <w:basedOn w:val="Normal"/>
    <w:link w:val="BodyTextIndentChar"/>
    <w:uiPriority w:val="99"/>
    <w:rsid w:val="00F30E63"/>
    <w:pPr>
      <w:spacing w:before="120"/>
      <w:ind w:firstLine="567"/>
    </w:pPr>
    <w:rPr>
      <w:szCs w:val="20"/>
    </w:rPr>
  </w:style>
  <w:style w:type="character" w:customStyle="1" w:styleId="BodyTextIndentChar">
    <w:name w:val="Body Text Indent Char"/>
    <w:basedOn w:val="DefaultParagraphFont"/>
    <w:link w:val="BodyTextIndent"/>
    <w:uiPriority w:val="99"/>
    <w:semiHidden/>
    <w:rsid w:val="00711550"/>
    <w:rPr>
      <w:sz w:val="24"/>
      <w:szCs w:val="24"/>
    </w:rPr>
  </w:style>
  <w:style w:type="character" w:customStyle="1" w:styleId="tema2">
    <w:name w:val="tema2"/>
    <w:basedOn w:val="DefaultParagraphFont"/>
    <w:uiPriority w:val="99"/>
    <w:rsid w:val="00963065"/>
    <w:rPr>
      <w:rFonts w:cs="Times New Roman"/>
    </w:rPr>
  </w:style>
  <w:style w:type="character" w:styleId="Strong">
    <w:name w:val="Strong"/>
    <w:basedOn w:val="DefaultParagraphFont"/>
    <w:uiPriority w:val="99"/>
    <w:qFormat/>
    <w:rsid w:val="00A41D6B"/>
    <w:rPr>
      <w:rFonts w:cs="Times New Roman"/>
      <w:b/>
    </w:rPr>
  </w:style>
  <w:style w:type="character" w:customStyle="1" w:styleId="PramenChar">
    <w:name w:val="Pramen Char"/>
    <w:link w:val="Pramen"/>
    <w:uiPriority w:val="99"/>
    <w:locked/>
    <w:rsid w:val="00EC2C4F"/>
    <w:rPr>
      <w:i/>
      <w:lang w:val="cs-CZ" w:eastAsia="cs-CZ"/>
    </w:rPr>
  </w:style>
  <w:style w:type="paragraph" w:styleId="BodyText">
    <w:name w:val="Body Text"/>
    <w:basedOn w:val="Normal"/>
    <w:link w:val="BodyTextChar"/>
    <w:uiPriority w:val="99"/>
    <w:rsid w:val="00612C75"/>
    <w:pPr>
      <w:spacing w:after="120"/>
    </w:pPr>
  </w:style>
  <w:style w:type="character" w:customStyle="1" w:styleId="BodyTextChar">
    <w:name w:val="Body Text Char"/>
    <w:basedOn w:val="DefaultParagraphFont"/>
    <w:link w:val="BodyText"/>
    <w:uiPriority w:val="99"/>
    <w:locked/>
    <w:rsid w:val="00612C75"/>
    <w:rPr>
      <w:sz w:val="24"/>
      <w:lang w:val="cs-CZ" w:eastAsia="cs-CZ"/>
    </w:rPr>
  </w:style>
  <w:style w:type="paragraph" w:styleId="ListParagraph">
    <w:name w:val="List Paragraph"/>
    <w:basedOn w:val="Normal"/>
    <w:uiPriority w:val="99"/>
    <w:qFormat/>
    <w:rsid w:val="00305ED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3.emf"/><Relationship Id="rId18" Type="http://schemas.openxmlformats.org/officeDocument/2006/relationships/image" Target="media/image6.emf"/><Relationship Id="rId26" Type="http://schemas.openxmlformats.org/officeDocument/2006/relationships/image" Target="media/image13.emf"/><Relationship Id="rId39" Type="http://schemas.openxmlformats.org/officeDocument/2006/relationships/image" Target="media/image19.emf"/><Relationship Id="rId3" Type="http://schemas.openxmlformats.org/officeDocument/2006/relationships/settings" Target="settings.xml"/><Relationship Id="rId21" Type="http://schemas.openxmlformats.org/officeDocument/2006/relationships/image" Target="media/image9.emf"/><Relationship Id="rId34" Type="http://schemas.openxmlformats.org/officeDocument/2006/relationships/header" Target="header5.xml"/><Relationship Id="rId42" Type="http://schemas.openxmlformats.org/officeDocument/2006/relationships/image" Target="media/image22.emf"/><Relationship Id="rId7" Type="http://schemas.openxmlformats.org/officeDocument/2006/relationships/footer" Target="footer1.xml"/><Relationship Id="rId12" Type="http://schemas.openxmlformats.org/officeDocument/2006/relationships/image" Target="media/image2.emf"/><Relationship Id="rId17" Type="http://schemas.openxmlformats.org/officeDocument/2006/relationships/footer" Target="footer6.xml"/><Relationship Id="rId25" Type="http://schemas.openxmlformats.org/officeDocument/2006/relationships/image" Target="media/image12.emf"/><Relationship Id="rId33" Type="http://schemas.openxmlformats.org/officeDocument/2006/relationships/image" Target="media/image16.emf"/><Relationship Id="rId38" Type="http://schemas.openxmlformats.org/officeDocument/2006/relationships/header" Target="header7.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image" Target="media/image8.emf"/><Relationship Id="rId29" Type="http://schemas.openxmlformats.org/officeDocument/2006/relationships/header" Target="header2.xml"/><Relationship Id="rId41" Type="http://schemas.openxmlformats.org/officeDocument/2006/relationships/image" Target="media/image2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24" Type="http://schemas.openxmlformats.org/officeDocument/2006/relationships/image" Target="media/image11.emf"/><Relationship Id="rId32" Type="http://schemas.openxmlformats.org/officeDocument/2006/relationships/header" Target="header4.xml"/><Relationship Id="rId37" Type="http://schemas.openxmlformats.org/officeDocument/2006/relationships/image" Target="media/image18.emf"/><Relationship Id="rId40" Type="http://schemas.openxmlformats.org/officeDocument/2006/relationships/image" Target="media/image20.emf"/><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10.emf"/><Relationship Id="rId28" Type="http://schemas.openxmlformats.org/officeDocument/2006/relationships/header" Target="header1.xml"/><Relationship Id="rId36" Type="http://schemas.openxmlformats.org/officeDocument/2006/relationships/header" Target="header6.xml"/><Relationship Id="rId10" Type="http://schemas.openxmlformats.org/officeDocument/2006/relationships/footer" Target="footer4.xml"/><Relationship Id="rId19" Type="http://schemas.openxmlformats.org/officeDocument/2006/relationships/image" Target="media/image7.emf"/><Relationship Id="rId31" Type="http://schemas.openxmlformats.org/officeDocument/2006/relationships/image" Target="media/image15.em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image" Target="media/image4.emf"/><Relationship Id="rId22" Type="http://schemas.openxmlformats.org/officeDocument/2006/relationships/footer" Target="footer7.xml"/><Relationship Id="rId27" Type="http://schemas.openxmlformats.org/officeDocument/2006/relationships/image" Target="media/image14.emf"/><Relationship Id="rId30" Type="http://schemas.openxmlformats.org/officeDocument/2006/relationships/header" Target="header3.xml"/><Relationship Id="rId35" Type="http://schemas.openxmlformats.org/officeDocument/2006/relationships/image" Target="media/image17.emf"/><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67</Pages>
  <Words>7486</Words>
  <Characters>-32766</Characters>
  <Application>Microsoft Office Outlook</Application>
  <DocSecurity>0</DocSecurity>
  <Lines>0</Lines>
  <Paragraphs>0</Paragraphs>
  <ScaleCrop>false</ScaleCrop>
  <Company>MF ČR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Čižík Vojtěch</dc:creator>
  <cp:keywords/>
  <dc:description/>
  <cp:lastModifiedBy>11207</cp:lastModifiedBy>
  <cp:revision>2</cp:revision>
  <cp:lastPrinted>2014-09-01T13:12:00Z</cp:lastPrinted>
  <dcterms:created xsi:type="dcterms:W3CDTF">2014-09-01T14:08:00Z</dcterms:created>
  <dcterms:modified xsi:type="dcterms:W3CDTF">2014-09-01T14:08:00Z</dcterms:modified>
</cp:coreProperties>
</file>