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
          <w:color w:val="1F497D" w:themeColor="text2"/>
          <w:sz w:val="72"/>
          <w:szCs w:val="72"/>
        </w:rPr>
        <w:id w:val="915667192"/>
        <w:docPartObj>
          <w:docPartGallery w:val="Cover Pages"/>
          <w:docPartUnique/>
        </w:docPartObj>
      </w:sdtPr>
      <w:sdtEndPr>
        <w:rPr>
          <w:rFonts w:eastAsiaTheme="minorEastAsia" w:cstheme="minorBidi"/>
          <w:b w:val="0"/>
          <w:color w:val="auto"/>
          <w:sz w:val="24"/>
          <w:szCs w:val="24"/>
        </w:rPr>
      </w:sdtEndPr>
      <w:sdtContent>
        <w:sdt>
          <w:sdtPr>
            <w:rPr>
              <w:rFonts w:eastAsiaTheme="majorEastAsia" w:cstheme="majorBidi"/>
              <w:b/>
              <w:color w:val="1F497D" w:themeColor="text2"/>
              <w:sz w:val="72"/>
              <w:szCs w:val="72"/>
            </w:rPr>
            <w:alias w:val="Title"/>
            <w:id w:val="8081532"/>
            <w:placeholder>
              <w:docPart w:val="B461D535A56A96488DC7510F57AE9511"/>
            </w:placeholder>
            <w:dataBinding w:prefixMappings="xmlns:ns0='http://purl.org/dc/elements/1.1/' xmlns:ns1='http://schemas.openxmlformats.org/package/2006/metadata/core-properties' " w:xpath="/ns1:coreProperties[1]/ns0:title[1]" w:storeItemID="{6C3C8BC8-F283-45AE-878A-BAB7291924A1}"/>
            <w:text/>
          </w:sdtPr>
          <w:sdtEndPr/>
          <w:sdtContent>
            <w:p w14:paraId="05E5AE68" w14:textId="0D23060C" w:rsidR="00EB6CD6" w:rsidRDefault="00EB6CD6">
              <w:pPr>
                <w:spacing w:before="1600"/>
                <w:ind w:left="-576" w:right="-576"/>
                <w:contextualSpacing/>
                <w:rPr>
                  <w:rFonts w:eastAsiaTheme="majorEastAsia" w:cstheme="majorBidi"/>
                  <w:b/>
                  <w:color w:val="1F497D" w:themeColor="text2"/>
                  <w:sz w:val="72"/>
                  <w:szCs w:val="72"/>
                </w:rPr>
              </w:pPr>
              <w:r>
                <w:rPr>
                  <w:rFonts w:eastAsiaTheme="majorEastAsia" w:cstheme="majorBidi"/>
                  <w:b/>
                  <w:color w:val="1F497D" w:themeColor="text2"/>
                  <w:sz w:val="72"/>
                  <w:szCs w:val="72"/>
                </w:rPr>
                <w:t>Zajištění informační podpory pro zvýšení motivace zaměstnanců účastnit se dalšího vzdělávání</w:t>
              </w:r>
            </w:p>
          </w:sdtContent>
        </w:sdt>
        <w:sdt>
          <w:sdtPr>
            <w:rPr>
              <w:b/>
              <w:noProof/>
              <w:color w:val="4F81BD" w:themeColor="accent1"/>
              <w:sz w:val="40"/>
              <w:szCs w:val="36"/>
            </w:rPr>
            <w:alias w:val="Subtitle"/>
            <w:tag w:val="Subtitle"/>
            <w:id w:val="8081533"/>
            <w:placeholder>
              <w:docPart w:val="A0B2DF7D7FB92345921E3DBFF1F68130"/>
            </w:placeholder>
            <w:text/>
          </w:sdtPr>
          <w:sdtEndPr/>
          <w:sdtContent>
            <w:p w14:paraId="5760883F" w14:textId="3B577955" w:rsidR="00EB6CD6" w:rsidRDefault="00EB6CD6">
              <w:pPr>
                <w:ind w:left="-576" w:right="-576"/>
                <w:contextualSpacing/>
                <w:rPr>
                  <w:b/>
                  <w:noProof/>
                  <w:color w:val="4F81BD" w:themeColor="accent1"/>
                  <w:sz w:val="40"/>
                  <w:szCs w:val="36"/>
                </w:rPr>
              </w:pPr>
              <w:r>
                <w:rPr>
                  <w:b/>
                  <w:noProof/>
                  <w:color w:val="4F81BD" w:themeColor="accent1"/>
                  <w:sz w:val="40"/>
                  <w:szCs w:val="36"/>
                </w:rPr>
                <w:t>Analytická studie</w:t>
              </w:r>
            </w:p>
          </w:sdtContent>
        </w:sdt>
        <w:p w14:paraId="2D57C921" w14:textId="1539010A" w:rsidR="00EB6CD6" w:rsidRDefault="00D8340B">
          <w:pPr>
            <w:spacing w:after="120"/>
            <w:ind w:left="-576" w:right="-576"/>
            <w:rPr>
              <w:noProof/>
              <w:color w:val="808080" w:themeColor="background1" w:themeShade="80"/>
              <w:sz w:val="36"/>
              <w:szCs w:val="36"/>
            </w:rPr>
          </w:pPr>
          <w:sdt>
            <w:sdtPr>
              <w:rPr>
                <w:noProof/>
                <w:color w:val="808080" w:themeColor="background1" w:themeShade="80"/>
                <w:sz w:val="36"/>
                <w:szCs w:val="36"/>
              </w:rPr>
              <w:alias w:val="Author"/>
              <w:id w:val="8081534"/>
              <w:dataBinding w:prefixMappings="xmlns:ns0='http://purl.org/dc/elements/1.1/' xmlns:ns1='http://schemas.openxmlformats.org/package/2006/metadata/core-properties' " w:xpath="/ns1:coreProperties[1]/ns0:creator[1]" w:storeItemID="{6C3C8BC8-F283-45AE-878A-BAB7291924A1}"/>
              <w:text/>
            </w:sdtPr>
            <w:sdtEndPr/>
            <w:sdtContent>
              <w:r w:rsidR="00EB6CD6">
                <w:rPr>
                  <w:noProof/>
                  <w:color w:val="808080" w:themeColor="background1" w:themeShade="80"/>
                  <w:sz w:val="36"/>
                  <w:szCs w:val="36"/>
                </w:rPr>
                <w:t>Marcela Palíšková, Fakulta podnikohospodářská VŠE v Praze</w:t>
              </w:r>
            </w:sdtContent>
          </w:sdt>
        </w:p>
        <w:p w14:paraId="1BCBD494" w14:textId="736CB4DA" w:rsidR="00EB6CD6" w:rsidRDefault="00EB6CD6">
          <w:r>
            <w:rPr>
              <w:noProof/>
            </w:rPr>
            <mc:AlternateContent>
              <mc:Choice Requires="wps">
                <w:drawing>
                  <wp:anchor distT="0" distB="0" distL="114300" distR="114300" simplePos="0" relativeHeight="251659264" behindDoc="1" locked="0" layoutInCell="1" allowOverlap="1" wp14:anchorId="75A6E038" wp14:editId="1DF4B5DD">
                    <wp:simplePos x="0" y="0"/>
                    <wp:positionH relativeFrom="page">
                      <wp:posOffset>274320</wp:posOffset>
                    </wp:positionH>
                    <wp:positionV relativeFrom="page">
                      <wp:posOffset>274320</wp:posOffset>
                    </wp:positionV>
                    <wp:extent cx="7223760" cy="9509760"/>
                    <wp:effectExtent l="0" t="0" r="0" b="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509760"/>
                            </a:xfrm>
                            <a:prstGeom prst="rect">
                              <a:avLst/>
                            </a:prstGeom>
                            <a:gradFill rotWithShape="0">
                              <a:gsLst>
                                <a:gs pos="0">
                                  <a:schemeClr val="tx2">
                                    <a:lumMod val="20000"/>
                                    <a:lumOff val="80000"/>
                                    <a:alpha val="50000"/>
                                  </a:schemeClr>
                                </a:gs>
                                <a:gs pos="100000">
                                  <a:schemeClr val="bg1">
                                    <a:lumMod val="100000"/>
                                    <a:lumOff val="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C00E" id="Rectangle 44" o:spid="_x0000_s1026" style="position:absolute;margin-left:21.6pt;margin-top:21.6pt;width:568.8pt;height:74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" fillcolor="#c6d9f1 [671]" stroked="f">
                    <v:fill opacity=".5" color2="white [3212]" focus="100%" type="gradient"/>
                    <v:textbox inset=",7.2pt,,7.2pt"/>
                    <w10:wrap anchorx="page" anchory="page"/>
                  </v:rect>
                </w:pict>
              </mc:Fallback>
            </mc:AlternateContent>
          </w:r>
        </w:p>
        <w:p w14:paraId="404CB8B6" w14:textId="2C62FD6B" w:rsidR="00EB6CD6" w:rsidRDefault="00EB6CD6">
          <w:pPr>
            <w:rPr>
              <w:rFonts w:asciiTheme="majorHAnsi" w:eastAsiaTheme="majorEastAsia" w:hAnsiTheme="majorHAnsi" w:cstheme="majorBidi"/>
              <w:b/>
              <w:bCs/>
              <w:color w:val="345A8A" w:themeColor="accent1" w:themeShade="B5"/>
              <w:sz w:val="32"/>
              <w:szCs w:val="32"/>
            </w:rPr>
          </w:pPr>
          <w:r>
            <w:rPr>
              <w:noProof/>
            </w:rPr>
            <mc:AlternateContent>
              <mc:Choice Requires="wpg">
                <w:drawing>
                  <wp:anchor distT="0" distB="0" distL="114300" distR="114300" simplePos="0" relativeHeight="251660288" behindDoc="0" locked="0" layoutInCell="1" allowOverlap="1" wp14:anchorId="4FF199F4" wp14:editId="1C5EE2AD">
                    <wp:simplePos x="0" y="0"/>
                    <wp:positionH relativeFrom="page">
                      <wp:posOffset>-459105</wp:posOffset>
                    </wp:positionH>
                    <wp:positionV relativeFrom="page">
                      <wp:posOffset>5257800</wp:posOffset>
                    </wp:positionV>
                    <wp:extent cx="7223760" cy="2910840"/>
                    <wp:effectExtent l="0" t="0" r="0" b="10160"/>
                    <wp:wrapNone/>
                    <wp:docPr id="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2910840"/>
                              <a:chOff x="432" y="9899"/>
                              <a:chExt cx="11376" cy="4584"/>
                            </a:xfrm>
                          </wpg:grpSpPr>
                          <wps:wsp>
                            <wps:cNvPr id="59" name="Freeform 46"/>
                            <wps:cNvSpPr>
                              <a:spLocks/>
                            </wps:cNvSpPr>
                            <wps:spPr bwMode="auto">
                              <a:xfrm>
                                <a:off x="432" y="11346"/>
                                <a:ext cx="6652" cy="2518"/>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tx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7084" y="11021"/>
                                <a:ext cx="3233" cy="3123"/>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40000"/>
                                  <a:lumOff val="6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8"/>
                            <wps:cNvSpPr>
                              <a:spLocks/>
                            </wps:cNvSpPr>
                            <wps:spPr bwMode="auto">
                              <a:xfrm>
                                <a:off x="10317" y="11021"/>
                                <a:ext cx="1484" cy="3123"/>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tx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9"/>
                            <wps:cNvSpPr>
                              <a:spLocks/>
                            </wps:cNvSpPr>
                            <wps:spPr bwMode="auto">
                              <a:xfrm>
                                <a:off x="7966" y="11330"/>
                                <a:ext cx="3842" cy="2564"/>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accent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92606B1" w14:textId="77777777" w:rsidR="00424C34" w:rsidRDefault="00424C34" w:rsidP="00EB6CD6">
                                  <w:pPr>
                                    <w:jc w:val="center"/>
                                  </w:pPr>
                                </w:p>
                                <w:p w14:paraId="32DB7AF6" w14:textId="77777777" w:rsidR="00424C34" w:rsidRDefault="00424C34" w:rsidP="00EB6CD6">
                                  <w:pPr>
                                    <w:jc w:val="center"/>
                                  </w:pPr>
                                </w:p>
                                <w:p w14:paraId="2908EDDC" w14:textId="77777777" w:rsidR="00424C34" w:rsidRDefault="00424C34" w:rsidP="00EB6CD6">
                                  <w:pPr>
                                    <w:jc w:val="center"/>
                                  </w:pPr>
                                </w:p>
                                <w:p w14:paraId="5699D721" w14:textId="77777777" w:rsidR="00424C34" w:rsidRDefault="00424C34" w:rsidP="00EB6CD6">
                                  <w:pPr>
                                    <w:jc w:val="center"/>
                                  </w:pPr>
                                </w:p>
                                <w:p w14:paraId="66DEEE65" w14:textId="77777777" w:rsidR="00424C34" w:rsidRDefault="00424C34" w:rsidP="00EB6CD6">
                                  <w:pPr>
                                    <w:jc w:val="center"/>
                                  </w:pPr>
                                </w:p>
                                <w:p w14:paraId="50606065" w14:textId="7F2AD478" w:rsidR="00424C34" w:rsidRPr="00EB6CD6" w:rsidRDefault="00424C34" w:rsidP="00EB6CD6">
                                  <w:pPr>
                                    <w:jc w:val="center"/>
                                  </w:pPr>
                                  <w:r w:rsidRPr="00EB6CD6">
                                    <w:t>Praha, září 2018</w:t>
                                  </w:r>
                                </w:p>
                              </w:txbxContent>
                            </wps:txbx>
                            <wps:bodyPr rot="0" vert="horz" wrap="square" lIns="91440" tIns="45720" rIns="91440" bIns="45720" anchor="t" anchorCtr="0" upright="1">
                              <a:noAutofit/>
                            </wps:bodyPr>
                          </wps:wsp>
                          <wps:wsp>
                            <wps:cNvPr id="63" name="Freeform 50"/>
                            <wps:cNvSpPr>
                              <a:spLocks/>
                            </wps:cNvSpPr>
                            <wps:spPr bwMode="auto">
                              <a:xfrm>
                                <a:off x="4265" y="10741"/>
                                <a:ext cx="3717" cy="3727"/>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accent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1"/>
                            <wps:cNvSpPr>
                              <a:spLocks/>
                            </wps:cNvSpPr>
                            <wps:spPr bwMode="auto">
                              <a:xfrm>
                                <a:off x="454" y="10741"/>
                                <a:ext cx="3811" cy="3742"/>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453" y="10933"/>
                                <a:ext cx="1936" cy="3388"/>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tx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3"/>
                            <wps:cNvSpPr>
                              <a:spLocks/>
                            </wps:cNvSpPr>
                            <wps:spPr bwMode="auto">
                              <a:xfrm>
                                <a:off x="2374" y="10933"/>
                                <a:ext cx="5607" cy="3374"/>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40000"/>
                                  <a:lumOff val="6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4"/>
                            <wps:cNvSpPr>
                              <a:spLocks/>
                            </wps:cNvSpPr>
                            <wps:spPr bwMode="auto">
                              <a:xfrm>
                                <a:off x="7197" y="9899"/>
                                <a:ext cx="3826" cy="3019"/>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tx2">
                                  <a:lumMod val="20000"/>
                                  <a:lumOff val="80000"/>
                                  <a:alpha val="5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199F4" id="Group 45" o:spid="_x0000_s1026" style="position:absolute;margin-left:-36.15pt;margin-top:414pt;width:568.8pt;height:229.2pt;z-index:251660288;mso-position-horizontal-relative:page;mso-position-vertical-relative:page" coordorigin="432,9899" coordsize="11376,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">
                    <v:shape id="Freeform 46" o:spid="_x0000_s1027" style="position:absolute;left:432;top:11346;width:6652;height:2518;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" path="m,l17,2863,7132,2578r,-2378l,xe" fillcolor="#c6d9f1 [671]" stroked="f">
                      <v:fill opacity="32896f"/>
                      <v:path arrowok="t" o:connecttype="custom" o:connectlocs="0,0;16,2518;6652,2267;6652,176;0,0" o:connectangles="0,0,0,0,0"/>
                    </v:shape>
                    <v:shape id="Freeform 47" o:spid="_x0000_s1028" style="position:absolute;left:7084;top:11021;width:3233;height:3123;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" path="m,569l,2930r3466,620l3466,,,569xe" fillcolor="#b8cce4 [1300]" stroked="f">
                      <v:fill opacity="32896f"/>
                      <v:path arrowok="t" o:connecttype="custom" o:connectlocs="0,501;0,2578;3233,3123;3233,0;0,501" o:connectangles="0,0,0,0,0"/>
                    </v:shape>
                    <v:shape id="Freeform 48" o:spid="_x0000_s1029" style="position:absolute;left:10317;top:11021;width:1484;height:3123;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" path="m,l,3550,1591,2746r,-2009l,xe" fillcolor="#c6d9f1 [671]" stroked="f">
                      <v:fill opacity="32896f"/>
                      <v:path arrowok="t" o:connecttype="custom" o:connectlocs="0,0;0,3123;1484,2416;1484,648;0,0" o:connectangles="0,0,0,0,0"/>
                    </v:shape>
                    <v:shape id="Freeform 49" o:spid="_x0000_s1030" style="position:absolute;left:7966;top:11330;width:3842;height:2564;visibility:visible;mso-wrap-style:square;v-text-anchor:top" coordsize="4120,2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" adj="-11796480,,5400" path="m1,251l,2662r4120,251l4120,,1,251xe" fillcolor="#f2dbdb [661]" stroked="f">
                      <v:fill opacity="32896f"/>
                      <v:stroke joinstyle="miter"/>
                      <v:formulas/>
                      <v:path arrowok="t" o:connecttype="custom" o:connectlocs="1,221;0,2343;3842,2564;3842,0;1,221" o:connectangles="0,0,0,0,0" textboxrect="0,0,4120,2913"/>
                      <v:textbox>
                        <w:txbxContent>
                          <w:p w14:paraId="292606B1" w14:textId="77777777" w:rsidR="00424C34" w:rsidRDefault="00424C34" w:rsidP="00EB6CD6">
                            <w:pPr>
                              <w:jc w:val="center"/>
                            </w:pPr>
                          </w:p>
                          <w:p w14:paraId="32DB7AF6" w14:textId="77777777" w:rsidR="00424C34" w:rsidRDefault="00424C34" w:rsidP="00EB6CD6">
                            <w:pPr>
                              <w:jc w:val="center"/>
                            </w:pPr>
                          </w:p>
                          <w:p w14:paraId="2908EDDC" w14:textId="77777777" w:rsidR="00424C34" w:rsidRDefault="00424C34" w:rsidP="00EB6CD6">
                            <w:pPr>
                              <w:jc w:val="center"/>
                            </w:pPr>
                          </w:p>
                          <w:p w14:paraId="5699D721" w14:textId="77777777" w:rsidR="00424C34" w:rsidRDefault="00424C34" w:rsidP="00EB6CD6">
                            <w:pPr>
                              <w:jc w:val="center"/>
                            </w:pPr>
                          </w:p>
                          <w:p w14:paraId="66DEEE65" w14:textId="77777777" w:rsidR="00424C34" w:rsidRDefault="00424C34" w:rsidP="00EB6CD6">
                            <w:pPr>
                              <w:jc w:val="center"/>
                            </w:pPr>
                          </w:p>
                          <w:p w14:paraId="50606065" w14:textId="7F2AD478" w:rsidR="00424C34" w:rsidRPr="00EB6CD6" w:rsidRDefault="00424C34" w:rsidP="00EB6CD6">
                            <w:pPr>
                              <w:jc w:val="center"/>
                            </w:pPr>
                            <w:r w:rsidRPr="00EB6CD6">
                              <w:t>Praha, září 2018</w:t>
                            </w:r>
                          </w:p>
                        </w:txbxContent>
                      </v:textbox>
                    </v:shape>
                    <v:shape id="Freeform 50" o:spid="_x0000_s1031" style="position:absolute;left:4265;top:10741;width:3717;height:3727;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" path="m,l,4236,3985,3349r,-2428l,xe" fillcolor="#f2dbdb [661]" stroked="f">
                      <v:fill opacity="32896f"/>
                      <v:path arrowok="t" o:connecttype="custom" o:connectlocs="0,0;0,3727;3717,2947;3717,810;0,0" o:connectangles="0,0,0,0,0"/>
                    </v:shape>
                    <v:shape id="Freeform 51" o:spid="_x0000_s1032" style="position:absolute;left:454;top:10741;width:3811;height:3742;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" path="m4086,r-2,4253l,3198,,1072,4086,xe" fillcolor="#f2dbdb [661]" stroked="f">
                      <v:fill opacity="32896f"/>
                      <v:path arrowok="t" o:connecttype="custom" o:connectlocs="3811,0;3809,3742;0,2814;0,943;3811,0" o:connectangles="0,0,0,0,0"/>
                    </v:shape>
                    <v:shape id="Freeform 52" o:spid="_x0000_s1033" style="position:absolute;left:453;top:10933;width:1936;height:3388;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" path="m,921l2060,r16,3851l,2981,,921xe" fillcolor="#c6d9f1 [671]" stroked="f">
                      <v:fill opacity="32896f"/>
                      <v:path arrowok="t" o:connecttype="custom" o:connectlocs="0,810;1921,0;1936,3388;0,2623;0,810" o:connectangles="0,0,0,0,0"/>
                    </v:shape>
                    <v:shape id="Freeform 53" o:spid="_x0000_s1034" style="position:absolute;left:2374;top:10933;width:5607;height:3374;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" path="m,l17,3835,6011,2629r,-1390l,xe" fillcolor="#b8cce4 [1300]" stroked="f">
                      <v:fill opacity="32896f"/>
                      <v:path arrowok="t" o:connecttype="custom" o:connectlocs="0,0;16,3374;5607,2313;5607,1090;0,0" o:connectangles="0,0,0,0,0"/>
                    </v:shape>
                    <v:shape id="Freeform 54" o:spid="_x0000_s1035" style="position:absolute;left:7197;top:9899;width:3826;height:3019;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" path="m,1038l,2411,4102,3432,4102,,,1038xe" fillcolor="#c6d9f1 [671]" stroked="f">
                      <v:fill opacity="32896f"/>
                      <v:path arrowok="t" o:connecttype="custom" o:connectlocs="0,913;0,2121;3826,3019;3826,0;0,913" o:connectangles="0,0,0,0,0"/>
                    </v:shape>
                    <w10:wrap anchorx="page" anchory="page"/>
                  </v:group>
                </w:pict>
              </mc:Fallback>
            </mc:AlternateContent>
          </w:r>
          <w:r>
            <w:br w:type="page"/>
          </w:r>
        </w:p>
      </w:sdtContent>
    </w:sdt>
    <w:sdt>
      <w:sdtPr>
        <w:rPr>
          <w:rFonts w:asciiTheme="minorHAnsi" w:eastAsiaTheme="minorEastAsia" w:hAnsiTheme="minorHAnsi" w:cstheme="minorBidi"/>
          <w:b w:val="0"/>
          <w:bCs w:val="0"/>
          <w:color w:val="auto"/>
          <w:sz w:val="24"/>
          <w:szCs w:val="24"/>
          <w:lang w:val="cs-CZ"/>
        </w:rPr>
        <w:id w:val="-626395616"/>
        <w:docPartObj>
          <w:docPartGallery w:val="Table of Contents"/>
          <w:docPartUnique/>
        </w:docPartObj>
      </w:sdtPr>
      <w:sdtEndPr>
        <w:rPr>
          <w:noProof/>
        </w:rPr>
      </w:sdtEndPr>
      <w:sdtContent>
        <w:p w14:paraId="49DECEB1" w14:textId="433ACE35" w:rsidR="00EB6CD6" w:rsidRPr="007B5868" w:rsidRDefault="00EB6CD6">
          <w:pPr>
            <w:pStyle w:val="Nadpisobsahu"/>
            <w:rPr>
              <w:lang w:val="pl-PL"/>
            </w:rPr>
          </w:pPr>
          <w:r w:rsidRPr="007B5868">
            <w:rPr>
              <w:lang w:val="pl-PL"/>
            </w:rPr>
            <w:t>Obsah</w:t>
          </w:r>
        </w:p>
        <w:p w14:paraId="3A5ECD2C" w14:textId="79B66710" w:rsidR="00EB6CD6" w:rsidRDefault="00EB6CD6">
          <w:pPr>
            <w:pStyle w:val="Obsah1"/>
            <w:tabs>
              <w:tab w:val="right" w:leader="dot" w:pos="8296"/>
            </w:tabs>
            <w:rPr>
              <w:b w:val="0"/>
              <w:noProof/>
              <w:lang w:eastAsia="ja-JP"/>
            </w:rPr>
          </w:pPr>
          <w:r>
            <w:rPr>
              <w:b w:val="0"/>
            </w:rPr>
            <w:fldChar w:fldCharType="begin"/>
          </w:r>
          <w:r>
            <w:instrText xml:space="preserve"> TOC \o "1-3" \h \z \u </w:instrText>
          </w:r>
          <w:r>
            <w:rPr>
              <w:b w:val="0"/>
            </w:rPr>
            <w:fldChar w:fldCharType="separate"/>
          </w:r>
          <w:r>
            <w:rPr>
              <w:noProof/>
            </w:rPr>
            <w:t>1. Úvod do problematiky</w:t>
          </w:r>
          <w:r>
            <w:rPr>
              <w:noProof/>
            </w:rPr>
            <w:tab/>
          </w:r>
          <w:r>
            <w:rPr>
              <w:noProof/>
            </w:rPr>
            <w:fldChar w:fldCharType="begin"/>
          </w:r>
          <w:r>
            <w:rPr>
              <w:noProof/>
            </w:rPr>
            <w:instrText xml:space="preserve"> PAGEREF _Toc398662566 \h </w:instrText>
          </w:r>
          <w:r>
            <w:rPr>
              <w:noProof/>
            </w:rPr>
          </w:r>
          <w:r>
            <w:rPr>
              <w:noProof/>
            </w:rPr>
            <w:fldChar w:fldCharType="separate"/>
          </w:r>
          <w:r w:rsidR="007B5868">
            <w:rPr>
              <w:noProof/>
            </w:rPr>
            <w:t>3</w:t>
          </w:r>
          <w:r>
            <w:rPr>
              <w:noProof/>
            </w:rPr>
            <w:fldChar w:fldCharType="end"/>
          </w:r>
        </w:p>
        <w:p w14:paraId="61F1E4AD" w14:textId="4C58F4C8" w:rsidR="00EB6CD6" w:rsidRDefault="00EB6CD6">
          <w:pPr>
            <w:pStyle w:val="Obsah2"/>
            <w:tabs>
              <w:tab w:val="right" w:leader="dot" w:pos="8296"/>
            </w:tabs>
            <w:rPr>
              <w:b/>
              <w:noProof/>
              <w:sz w:val="24"/>
              <w:szCs w:val="24"/>
              <w:lang w:eastAsia="ja-JP"/>
            </w:rPr>
          </w:pPr>
          <w:r>
            <w:rPr>
              <w:noProof/>
            </w:rPr>
            <w:t>1.1 Vymezení základních pojmů</w:t>
          </w:r>
          <w:r>
            <w:rPr>
              <w:noProof/>
            </w:rPr>
            <w:tab/>
          </w:r>
          <w:r>
            <w:rPr>
              <w:noProof/>
            </w:rPr>
            <w:fldChar w:fldCharType="begin"/>
          </w:r>
          <w:r>
            <w:rPr>
              <w:noProof/>
            </w:rPr>
            <w:instrText xml:space="preserve"> PAGEREF _Toc398662567 \h </w:instrText>
          </w:r>
          <w:r>
            <w:rPr>
              <w:noProof/>
            </w:rPr>
          </w:r>
          <w:r>
            <w:rPr>
              <w:noProof/>
            </w:rPr>
            <w:fldChar w:fldCharType="separate"/>
          </w:r>
          <w:r w:rsidR="007B5868">
            <w:rPr>
              <w:noProof/>
            </w:rPr>
            <w:t>5</w:t>
          </w:r>
          <w:r>
            <w:rPr>
              <w:noProof/>
            </w:rPr>
            <w:fldChar w:fldCharType="end"/>
          </w:r>
        </w:p>
        <w:p w14:paraId="17DEBCEF" w14:textId="016DB9F0" w:rsidR="00EB6CD6" w:rsidRDefault="00EB6CD6">
          <w:pPr>
            <w:pStyle w:val="Obsah3"/>
            <w:tabs>
              <w:tab w:val="right" w:leader="dot" w:pos="8296"/>
            </w:tabs>
            <w:rPr>
              <w:noProof/>
              <w:sz w:val="24"/>
              <w:szCs w:val="24"/>
              <w:lang w:eastAsia="ja-JP"/>
            </w:rPr>
          </w:pPr>
          <w:r>
            <w:rPr>
              <w:noProof/>
            </w:rPr>
            <w:t>Dovednosti</w:t>
          </w:r>
          <w:r>
            <w:rPr>
              <w:noProof/>
            </w:rPr>
            <w:tab/>
          </w:r>
          <w:r>
            <w:rPr>
              <w:noProof/>
            </w:rPr>
            <w:fldChar w:fldCharType="begin"/>
          </w:r>
          <w:r>
            <w:rPr>
              <w:noProof/>
            </w:rPr>
            <w:instrText xml:space="preserve"> PAGEREF _Toc398662568 \h </w:instrText>
          </w:r>
          <w:r>
            <w:rPr>
              <w:noProof/>
            </w:rPr>
          </w:r>
          <w:r>
            <w:rPr>
              <w:noProof/>
            </w:rPr>
            <w:fldChar w:fldCharType="separate"/>
          </w:r>
          <w:r w:rsidR="007B5868">
            <w:rPr>
              <w:noProof/>
            </w:rPr>
            <w:t>5</w:t>
          </w:r>
          <w:r>
            <w:rPr>
              <w:noProof/>
            </w:rPr>
            <w:fldChar w:fldCharType="end"/>
          </w:r>
        </w:p>
        <w:p w14:paraId="5702C882" w14:textId="5DCB22EB" w:rsidR="00EB6CD6" w:rsidRDefault="00EB6CD6">
          <w:pPr>
            <w:pStyle w:val="Obsah3"/>
            <w:tabs>
              <w:tab w:val="right" w:leader="dot" w:pos="8296"/>
            </w:tabs>
            <w:rPr>
              <w:noProof/>
              <w:sz w:val="24"/>
              <w:szCs w:val="24"/>
              <w:lang w:eastAsia="ja-JP"/>
            </w:rPr>
          </w:pPr>
          <w:r>
            <w:rPr>
              <w:noProof/>
            </w:rPr>
            <w:t>Schopnosti</w:t>
          </w:r>
          <w:r>
            <w:rPr>
              <w:noProof/>
            </w:rPr>
            <w:tab/>
          </w:r>
          <w:r>
            <w:rPr>
              <w:noProof/>
            </w:rPr>
            <w:fldChar w:fldCharType="begin"/>
          </w:r>
          <w:r>
            <w:rPr>
              <w:noProof/>
            </w:rPr>
            <w:instrText xml:space="preserve"> PAGEREF _Toc398662569 \h </w:instrText>
          </w:r>
          <w:r>
            <w:rPr>
              <w:noProof/>
            </w:rPr>
          </w:r>
          <w:r>
            <w:rPr>
              <w:noProof/>
            </w:rPr>
            <w:fldChar w:fldCharType="separate"/>
          </w:r>
          <w:r w:rsidR="007B5868">
            <w:rPr>
              <w:noProof/>
            </w:rPr>
            <w:t>5</w:t>
          </w:r>
          <w:r>
            <w:rPr>
              <w:noProof/>
            </w:rPr>
            <w:fldChar w:fldCharType="end"/>
          </w:r>
        </w:p>
        <w:p w14:paraId="20D2F919" w14:textId="1CD6182F" w:rsidR="00EB6CD6" w:rsidRDefault="00EB6CD6">
          <w:pPr>
            <w:pStyle w:val="Obsah3"/>
            <w:tabs>
              <w:tab w:val="right" w:leader="dot" w:pos="8296"/>
            </w:tabs>
            <w:rPr>
              <w:noProof/>
              <w:sz w:val="24"/>
              <w:szCs w:val="24"/>
              <w:lang w:eastAsia="ja-JP"/>
            </w:rPr>
          </w:pPr>
          <w:r>
            <w:rPr>
              <w:noProof/>
            </w:rPr>
            <w:t>Znalosti</w:t>
          </w:r>
          <w:r>
            <w:rPr>
              <w:noProof/>
            </w:rPr>
            <w:tab/>
          </w:r>
          <w:r>
            <w:rPr>
              <w:noProof/>
            </w:rPr>
            <w:fldChar w:fldCharType="begin"/>
          </w:r>
          <w:r>
            <w:rPr>
              <w:noProof/>
            </w:rPr>
            <w:instrText xml:space="preserve"> PAGEREF _Toc398662570 \h </w:instrText>
          </w:r>
          <w:r>
            <w:rPr>
              <w:noProof/>
            </w:rPr>
          </w:r>
          <w:r>
            <w:rPr>
              <w:noProof/>
            </w:rPr>
            <w:fldChar w:fldCharType="separate"/>
          </w:r>
          <w:r w:rsidR="007B5868">
            <w:rPr>
              <w:noProof/>
            </w:rPr>
            <w:t>5</w:t>
          </w:r>
          <w:r>
            <w:rPr>
              <w:noProof/>
            </w:rPr>
            <w:fldChar w:fldCharType="end"/>
          </w:r>
        </w:p>
        <w:p w14:paraId="58AAEDB3" w14:textId="7B7B0F15" w:rsidR="00EB6CD6" w:rsidRDefault="00EB6CD6">
          <w:pPr>
            <w:pStyle w:val="Obsah3"/>
            <w:tabs>
              <w:tab w:val="right" w:leader="dot" w:pos="8296"/>
            </w:tabs>
            <w:rPr>
              <w:noProof/>
              <w:sz w:val="24"/>
              <w:szCs w:val="24"/>
              <w:lang w:eastAsia="ja-JP"/>
            </w:rPr>
          </w:pPr>
          <w:r>
            <w:rPr>
              <w:noProof/>
            </w:rPr>
            <w:t>Lidský kapitál</w:t>
          </w:r>
          <w:r>
            <w:rPr>
              <w:noProof/>
            </w:rPr>
            <w:tab/>
          </w:r>
          <w:r>
            <w:rPr>
              <w:noProof/>
            </w:rPr>
            <w:fldChar w:fldCharType="begin"/>
          </w:r>
          <w:r>
            <w:rPr>
              <w:noProof/>
            </w:rPr>
            <w:instrText xml:space="preserve"> PAGEREF _Toc398662571 \h </w:instrText>
          </w:r>
          <w:r>
            <w:rPr>
              <w:noProof/>
            </w:rPr>
          </w:r>
          <w:r>
            <w:rPr>
              <w:noProof/>
            </w:rPr>
            <w:fldChar w:fldCharType="separate"/>
          </w:r>
          <w:r w:rsidR="007B5868">
            <w:rPr>
              <w:noProof/>
            </w:rPr>
            <w:t>6</w:t>
          </w:r>
          <w:r>
            <w:rPr>
              <w:noProof/>
            </w:rPr>
            <w:fldChar w:fldCharType="end"/>
          </w:r>
        </w:p>
        <w:p w14:paraId="306DE005" w14:textId="51431744" w:rsidR="00EB6CD6" w:rsidRDefault="00EB6CD6">
          <w:pPr>
            <w:pStyle w:val="Obsah3"/>
            <w:tabs>
              <w:tab w:val="right" w:leader="dot" w:pos="8296"/>
            </w:tabs>
            <w:rPr>
              <w:noProof/>
              <w:sz w:val="24"/>
              <w:szCs w:val="24"/>
              <w:lang w:eastAsia="ja-JP"/>
            </w:rPr>
          </w:pPr>
          <w:r>
            <w:rPr>
              <w:noProof/>
            </w:rPr>
            <w:t>Celoživotní učení (vzdělávání)</w:t>
          </w:r>
          <w:r>
            <w:rPr>
              <w:noProof/>
            </w:rPr>
            <w:tab/>
          </w:r>
          <w:r>
            <w:rPr>
              <w:noProof/>
            </w:rPr>
            <w:fldChar w:fldCharType="begin"/>
          </w:r>
          <w:r>
            <w:rPr>
              <w:noProof/>
            </w:rPr>
            <w:instrText xml:space="preserve"> PAGEREF _Toc398662572 \h </w:instrText>
          </w:r>
          <w:r>
            <w:rPr>
              <w:noProof/>
            </w:rPr>
          </w:r>
          <w:r>
            <w:rPr>
              <w:noProof/>
            </w:rPr>
            <w:fldChar w:fldCharType="separate"/>
          </w:r>
          <w:r w:rsidR="007B5868">
            <w:rPr>
              <w:noProof/>
            </w:rPr>
            <w:t>6</w:t>
          </w:r>
          <w:r>
            <w:rPr>
              <w:noProof/>
            </w:rPr>
            <w:fldChar w:fldCharType="end"/>
          </w:r>
        </w:p>
        <w:p w14:paraId="0237DA31" w14:textId="5FAF541E" w:rsidR="00EB6CD6" w:rsidRDefault="00EB6CD6">
          <w:pPr>
            <w:pStyle w:val="Obsah3"/>
            <w:tabs>
              <w:tab w:val="right" w:leader="dot" w:pos="8296"/>
            </w:tabs>
            <w:rPr>
              <w:noProof/>
              <w:sz w:val="24"/>
              <w:szCs w:val="24"/>
              <w:lang w:eastAsia="ja-JP"/>
            </w:rPr>
          </w:pPr>
          <w:r>
            <w:rPr>
              <w:noProof/>
            </w:rPr>
            <w:t>Další vzdělávání</w:t>
          </w:r>
          <w:r>
            <w:rPr>
              <w:noProof/>
            </w:rPr>
            <w:tab/>
          </w:r>
          <w:r>
            <w:rPr>
              <w:noProof/>
            </w:rPr>
            <w:fldChar w:fldCharType="begin"/>
          </w:r>
          <w:r>
            <w:rPr>
              <w:noProof/>
            </w:rPr>
            <w:instrText xml:space="preserve"> PAGEREF _Toc398662573 \h </w:instrText>
          </w:r>
          <w:r>
            <w:rPr>
              <w:noProof/>
            </w:rPr>
          </w:r>
          <w:r>
            <w:rPr>
              <w:noProof/>
            </w:rPr>
            <w:fldChar w:fldCharType="separate"/>
          </w:r>
          <w:r w:rsidR="007B5868">
            <w:rPr>
              <w:noProof/>
            </w:rPr>
            <w:t>6</w:t>
          </w:r>
          <w:r>
            <w:rPr>
              <w:noProof/>
            </w:rPr>
            <w:fldChar w:fldCharType="end"/>
          </w:r>
        </w:p>
        <w:p w14:paraId="33BA2A05" w14:textId="463DB644" w:rsidR="00EB6CD6" w:rsidRDefault="00EB6CD6">
          <w:pPr>
            <w:pStyle w:val="Obsah2"/>
            <w:tabs>
              <w:tab w:val="right" w:leader="dot" w:pos="8296"/>
            </w:tabs>
            <w:rPr>
              <w:b/>
              <w:noProof/>
              <w:sz w:val="24"/>
              <w:szCs w:val="24"/>
              <w:lang w:eastAsia="ja-JP"/>
            </w:rPr>
          </w:pPr>
          <w:r>
            <w:rPr>
              <w:noProof/>
            </w:rPr>
            <w:t>1.2 Základní teoretická východiska</w:t>
          </w:r>
          <w:r>
            <w:rPr>
              <w:noProof/>
            </w:rPr>
            <w:tab/>
          </w:r>
          <w:r>
            <w:rPr>
              <w:noProof/>
            </w:rPr>
            <w:fldChar w:fldCharType="begin"/>
          </w:r>
          <w:r>
            <w:rPr>
              <w:noProof/>
            </w:rPr>
            <w:instrText xml:space="preserve"> PAGEREF _Toc398662574 \h </w:instrText>
          </w:r>
          <w:r>
            <w:rPr>
              <w:noProof/>
            </w:rPr>
          </w:r>
          <w:r>
            <w:rPr>
              <w:noProof/>
            </w:rPr>
            <w:fldChar w:fldCharType="separate"/>
          </w:r>
          <w:r w:rsidR="007B5868">
            <w:rPr>
              <w:noProof/>
            </w:rPr>
            <w:t>7</w:t>
          </w:r>
          <w:r>
            <w:rPr>
              <w:noProof/>
            </w:rPr>
            <w:fldChar w:fldCharType="end"/>
          </w:r>
        </w:p>
        <w:p w14:paraId="07EADFB5" w14:textId="5C66DE55" w:rsidR="00EB6CD6" w:rsidRDefault="00EB6CD6">
          <w:pPr>
            <w:pStyle w:val="Obsah3"/>
            <w:tabs>
              <w:tab w:val="right" w:leader="dot" w:pos="8296"/>
            </w:tabs>
            <w:rPr>
              <w:noProof/>
              <w:sz w:val="24"/>
              <w:szCs w:val="24"/>
              <w:lang w:eastAsia="ja-JP"/>
            </w:rPr>
          </w:pPr>
          <w:r>
            <w:rPr>
              <w:noProof/>
            </w:rPr>
            <w:t>1.2.1 Ekonomická teorie lidského kapitálu</w:t>
          </w:r>
          <w:r>
            <w:rPr>
              <w:noProof/>
            </w:rPr>
            <w:tab/>
          </w:r>
          <w:r>
            <w:rPr>
              <w:noProof/>
            </w:rPr>
            <w:fldChar w:fldCharType="begin"/>
          </w:r>
          <w:r>
            <w:rPr>
              <w:noProof/>
            </w:rPr>
            <w:instrText xml:space="preserve"> PAGEREF _Toc398662575 \h </w:instrText>
          </w:r>
          <w:r>
            <w:rPr>
              <w:noProof/>
            </w:rPr>
          </w:r>
          <w:r>
            <w:rPr>
              <w:noProof/>
            </w:rPr>
            <w:fldChar w:fldCharType="separate"/>
          </w:r>
          <w:r w:rsidR="007B5868">
            <w:rPr>
              <w:noProof/>
            </w:rPr>
            <w:t>7</w:t>
          </w:r>
          <w:r>
            <w:rPr>
              <w:noProof/>
            </w:rPr>
            <w:fldChar w:fldCharType="end"/>
          </w:r>
        </w:p>
        <w:p w14:paraId="620ADA2C" w14:textId="62C674F8" w:rsidR="00EB6CD6" w:rsidRDefault="00EB6CD6">
          <w:pPr>
            <w:pStyle w:val="Obsah3"/>
            <w:tabs>
              <w:tab w:val="right" w:leader="dot" w:pos="8296"/>
            </w:tabs>
            <w:rPr>
              <w:noProof/>
              <w:sz w:val="24"/>
              <w:szCs w:val="24"/>
              <w:lang w:eastAsia="ja-JP"/>
            </w:rPr>
          </w:pPr>
          <w:r>
            <w:rPr>
              <w:noProof/>
            </w:rPr>
            <w:t>1.2.2 Sociální kapitál versus lidský kapitál</w:t>
          </w:r>
          <w:r>
            <w:rPr>
              <w:noProof/>
            </w:rPr>
            <w:tab/>
          </w:r>
          <w:r>
            <w:rPr>
              <w:noProof/>
            </w:rPr>
            <w:fldChar w:fldCharType="begin"/>
          </w:r>
          <w:r>
            <w:rPr>
              <w:noProof/>
            </w:rPr>
            <w:instrText xml:space="preserve"> PAGEREF _Toc398662577 \h </w:instrText>
          </w:r>
          <w:r>
            <w:rPr>
              <w:noProof/>
            </w:rPr>
          </w:r>
          <w:r>
            <w:rPr>
              <w:noProof/>
            </w:rPr>
            <w:fldChar w:fldCharType="separate"/>
          </w:r>
          <w:r w:rsidR="007B5868">
            <w:rPr>
              <w:noProof/>
            </w:rPr>
            <w:t>11</w:t>
          </w:r>
          <w:r>
            <w:rPr>
              <w:noProof/>
            </w:rPr>
            <w:fldChar w:fldCharType="end"/>
          </w:r>
        </w:p>
        <w:p w14:paraId="78E3D707" w14:textId="06E3C642" w:rsidR="00EB6CD6" w:rsidRDefault="00EB6CD6">
          <w:pPr>
            <w:pStyle w:val="Obsah3"/>
            <w:tabs>
              <w:tab w:val="right" w:leader="dot" w:pos="8296"/>
            </w:tabs>
            <w:rPr>
              <w:noProof/>
              <w:sz w:val="24"/>
              <w:szCs w:val="24"/>
              <w:lang w:eastAsia="ja-JP"/>
            </w:rPr>
          </w:pPr>
          <w:r>
            <w:rPr>
              <w:noProof/>
            </w:rPr>
            <w:t>1.2.3 Měření lidského kapitálu</w:t>
          </w:r>
          <w:r>
            <w:rPr>
              <w:noProof/>
            </w:rPr>
            <w:tab/>
          </w:r>
          <w:r>
            <w:rPr>
              <w:noProof/>
            </w:rPr>
            <w:fldChar w:fldCharType="begin"/>
          </w:r>
          <w:r>
            <w:rPr>
              <w:noProof/>
            </w:rPr>
            <w:instrText xml:space="preserve"> PAGEREF _Toc398662579 \h </w:instrText>
          </w:r>
          <w:r>
            <w:rPr>
              <w:noProof/>
            </w:rPr>
          </w:r>
          <w:r>
            <w:rPr>
              <w:noProof/>
            </w:rPr>
            <w:fldChar w:fldCharType="separate"/>
          </w:r>
          <w:r w:rsidR="007B5868">
            <w:rPr>
              <w:noProof/>
            </w:rPr>
            <w:t>16</w:t>
          </w:r>
          <w:r>
            <w:rPr>
              <w:noProof/>
            </w:rPr>
            <w:fldChar w:fldCharType="end"/>
          </w:r>
        </w:p>
        <w:p w14:paraId="0B85C059" w14:textId="189F065E" w:rsidR="00EB6CD6" w:rsidRDefault="00EB6CD6">
          <w:pPr>
            <w:pStyle w:val="Obsah2"/>
            <w:tabs>
              <w:tab w:val="right" w:leader="dot" w:pos="8296"/>
            </w:tabs>
            <w:rPr>
              <w:b/>
              <w:noProof/>
              <w:sz w:val="24"/>
              <w:szCs w:val="24"/>
              <w:lang w:eastAsia="ja-JP"/>
            </w:rPr>
          </w:pPr>
          <w:r>
            <w:rPr>
              <w:noProof/>
            </w:rPr>
            <w:t>1.3 Strategický a právní rámec</w:t>
          </w:r>
          <w:r>
            <w:rPr>
              <w:noProof/>
            </w:rPr>
            <w:tab/>
          </w:r>
          <w:r>
            <w:rPr>
              <w:noProof/>
            </w:rPr>
            <w:fldChar w:fldCharType="begin"/>
          </w:r>
          <w:r>
            <w:rPr>
              <w:noProof/>
            </w:rPr>
            <w:instrText xml:space="preserve"> PAGEREF _Toc398662581 \h </w:instrText>
          </w:r>
          <w:r>
            <w:rPr>
              <w:noProof/>
            </w:rPr>
          </w:r>
          <w:r>
            <w:rPr>
              <w:noProof/>
            </w:rPr>
            <w:fldChar w:fldCharType="separate"/>
          </w:r>
          <w:r w:rsidR="007B5868">
            <w:rPr>
              <w:noProof/>
            </w:rPr>
            <w:t>22</w:t>
          </w:r>
          <w:r>
            <w:rPr>
              <w:noProof/>
            </w:rPr>
            <w:fldChar w:fldCharType="end"/>
          </w:r>
        </w:p>
        <w:p w14:paraId="2530D353" w14:textId="259D742D" w:rsidR="00EB6CD6" w:rsidRDefault="00EB6CD6">
          <w:pPr>
            <w:pStyle w:val="Obsah3"/>
            <w:tabs>
              <w:tab w:val="right" w:leader="dot" w:pos="8296"/>
            </w:tabs>
            <w:rPr>
              <w:noProof/>
              <w:sz w:val="24"/>
              <w:szCs w:val="24"/>
              <w:lang w:eastAsia="ja-JP"/>
            </w:rPr>
          </w:pPr>
          <w:r>
            <w:rPr>
              <w:noProof/>
            </w:rPr>
            <w:t>1.3.1 Na úrovni Evropské unie</w:t>
          </w:r>
          <w:r>
            <w:rPr>
              <w:noProof/>
            </w:rPr>
            <w:tab/>
          </w:r>
          <w:r>
            <w:rPr>
              <w:noProof/>
            </w:rPr>
            <w:fldChar w:fldCharType="begin"/>
          </w:r>
          <w:r>
            <w:rPr>
              <w:noProof/>
            </w:rPr>
            <w:instrText xml:space="preserve"> PAGEREF _Toc398662582 \h </w:instrText>
          </w:r>
          <w:r>
            <w:rPr>
              <w:noProof/>
            </w:rPr>
          </w:r>
          <w:r>
            <w:rPr>
              <w:noProof/>
            </w:rPr>
            <w:fldChar w:fldCharType="separate"/>
          </w:r>
          <w:r w:rsidR="007B5868">
            <w:rPr>
              <w:noProof/>
            </w:rPr>
            <w:t>22</w:t>
          </w:r>
          <w:r>
            <w:rPr>
              <w:noProof/>
            </w:rPr>
            <w:fldChar w:fldCharType="end"/>
          </w:r>
        </w:p>
        <w:p w14:paraId="5D27EB72" w14:textId="2A432EED" w:rsidR="00EB6CD6" w:rsidRDefault="00EB6CD6">
          <w:pPr>
            <w:pStyle w:val="Obsah3"/>
            <w:tabs>
              <w:tab w:val="right" w:leader="dot" w:pos="8296"/>
            </w:tabs>
            <w:rPr>
              <w:noProof/>
              <w:sz w:val="24"/>
              <w:szCs w:val="24"/>
              <w:lang w:eastAsia="ja-JP"/>
            </w:rPr>
          </w:pPr>
          <w:r>
            <w:rPr>
              <w:noProof/>
            </w:rPr>
            <w:t>1.3.2 Na úrovni České republiky</w:t>
          </w:r>
          <w:r>
            <w:rPr>
              <w:noProof/>
            </w:rPr>
            <w:tab/>
          </w:r>
          <w:r>
            <w:rPr>
              <w:noProof/>
            </w:rPr>
            <w:fldChar w:fldCharType="begin"/>
          </w:r>
          <w:r>
            <w:rPr>
              <w:noProof/>
            </w:rPr>
            <w:instrText xml:space="preserve"> PAGEREF _Toc398662583 \h </w:instrText>
          </w:r>
          <w:r>
            <w:rPr>
              <w:noProof/>
            </w:rPr>
          </w:r>
          <w:r>
            <w:rPr>
              <w:noProof/>
            </w:rPr>
            <w:fldChar w:fldCharType="separate"/>
          </w:r>
          <w:r w:rsidR="007B5868">
            <w:rPr>
              <w:noProof/>
            </w:rPr>
            <w:t>24</w:t>
          </w:r>
          <w:r>
            <w:rPr>
              <w:noProof/>
            </w:rPr>
            <w:fldChar w:fldCharType="end"/>
          </w:r>
        </w:p>
        <w:p w14:paraId="5F805B84" w14:textId="3FE756A8" w:rsidR="00EB6CD6" w:rsidRDefault="00EB6CD6">
          <w:pPr>
            <w:pStyle w:val="Obsah1"/>
            <w:tabs>
              <w:tab w:val="right" w:leader="dot" w:pos="8296"/>
            </w:tabs>
            <w:rPr>
              <w:b w:val="0"/>
              <w:noProof/>
              <w:lang w:eastAsia="ja-JP"/>
            </w:rPr>
          </w:pPr>
          <w:r>
            <w:rPr>
              <w:noProof/>
            </w:rPr>
            <w:t>2. Analýza dalšího vzdělávání v České republice</w:t>
          </w:r>
          <w:r>
            <w:rPr>
              <w:noProof/>
            </w:rPr>
            <w:tab/>
          </w:r>
          <w:r>
            <w:rPr>
              <w:noProof/>
            </w:rPr>
            <w:fldChar w:fldCharType="begin"/>
          </w:r>
          <w:r>
            <w:rPr>
              <w:noProof/>
            </w:rPr>
            <w:instrText xml:space="preserve"> PAGEREF _Toc398662584 \h </w:instrText>
          </w:r>
          <w:r>
            <w:rPr>
              <w:noProof/>
            </w:rPr>
          </w:r>
          <w:r>
            <w:rPr>
              <w:noProof/>
            </w:rPr>
            <w:fldChar w:fldCharType="separate"/>
          </w:r>
          <w:r w:rsidR="007B5868">
            <w:rPr>
              <w:noProof/>
            </w:rPr>
            <w:t>27</w:t>
          </w:r>
          <w:r>
            <w:rPr>
              <w:noProof/>
            </w:rPr>
            <w:fldChar w:fldCharType="end"/>
          </w:r>
        </w:p>
        <w:p w14:paraId="5A43AE65" w14:textId="3F44E233" w:rsidR="00EB6CD6" w:rsidRDefault="00EB6CD6">
          <w:pPr>
            <w:pStyle w:val="Obsah2"/>
            <w:tabs>
              <w:tab w:val="right" w:leader="dot" w:pos="8296"/>
            </w:tabs>
            <w:rPr>
              <w:b/>
              <w:noProof/>
              <w:sz w:val="24"/>
              <w:szCs w:val="24"/>
              <w:lang w:eastAsia="ja-JP"/>
            </w:rPr>
          </w:pPr>
          <w:r>
            <w:rPr>
              <w:noProof/>
            </w:rPr>
            <w:t>2.1 Vzdělanostní struktura v České republice</w:t>
          </w:r>
          <w:r>
            <w:rPr>
              <w:noProof/>
            </w:rPr>
            <w:tab/>
          </w:r>
          <w:r>
            <w:rPr>
              <w:noProof/>
            </w:rPr>
            <w:fldChar w:fldCharType="begin"/>
          </w:r>
          <w:r>
            <w:rPr>
              <w:noProof/>
            </w:rPr>
            <w:instrText xml:space="preserve"> PAGEREF _Toc398662585 \h </w:instrText>
          </w:r>
          <w:r>
            <w:rPr>
              <w:noProof/>
            </w:rPr>
          </w:r>
          <w:r>
            <w:rPr>
              <w:noProof/>
            </w:rPr>
            <w:fldChar w:fldCharType="separate"/>
          </w:r>
          <w:r w:rsidR="007B5868">
            <w:rPr>
              <w:noProof/>
            </w:rPr>
            <w:t>28</w:t>
          </w:r>
          <w:r>
            <w:rPr>
              <w:noProof/>
            </w:rPr>
            <w:fldChar w:fldCharType="end"/>
          </w:r>
        </w:p>
        <w:p w14:paraId="7186318E" w14:textId="21F0E2AB" w:rsidR="00EB6CD6" w:rsidRDefault="00EB6CD6">
          <w:pPr>
            <w:pStyle w:val="Obsah2"/>
            <w:tabs>
              <w:tab w:val="right" w:leader="dot" w:pos="8296"/>
            </w:tabs>
            <w:rPr>
              <w:b/>
              <w:noProof/>
              <w:sz w:val="24"/>
              <w:szCs w:val="24"/>
              <w:lang w:eastAsia="ja-JP"/>
            </w:rPr>
          </w:pPr>
          <w:r>
            <w:rPr>
              <w:noProof/>
            </w:rPr>
            <w:t>Shrnutí a doporučení</w:t>
          </w:r>
          <w:r>
            <w:rPr>
              <w:noProof/>
            </w:rPr>
            <w:tab/>
          </w:r>
          <w:r>
            <w:rPr>
              <w:noProof/>
            </w:rPr>
            <w:fldChar w:fldCharType="begin"/>
          </w:r>
          <w:r>
            <w:rPr>
              <w:noProof/>
            </w:rPr>
            <w:instrText xml:space="preserve"> PAGEREF _Toc398662586 \h </w:instrText>
          </w:r>
          <w:r>
            <w:rPr>
              <w:noProof/>
            </w:rPr>
          </w:r>
          <w:r>
            <w:rPr>
              <w:noProof/>
            </w:rPr>
            <w:fldChar w:fldCharType="separate"/>
          </w:r>
          <w:r w:rsidR="007B5868">
            <w:rPr>
              <w:noProof/>
            </w:rPr>
            <w:t>30</w:t>
          </w:r>
          <w:r>
            <w:rPr>
              <w:noProof/>
            </w:rPr>
            <w:fldChar w:fldCharType="end"/>
          </w:r>
        </w:p>
        <w:p w14:paraId="4427FEC2" w14:textId="4562C0FA" w:rsidR="00EB6CD6" w:rsidRDefault="00EB6CD6">
          <w:pPr>
            <w:pStyle w:val="Obsah2"/>
            <w:tabs>
              <w:tab w:val="right" w:leader="dot" w:pos="8296"/>
            </w:tabs>
            <w:rPr>
              <w:b/>
              <w:noProof/>
              <w:sz w:val="24"/>
              <w:szCs w:val="24"/>
              <w:lang w:eastAsia="ja-JP"/>
            </w:rPr>
          </w:pPr>
          <w:r>
            <w:rPr>
              <w:noProof/>
            </w:rPr>
            <w:t>2.2 Přínos vzdělávání pro jedince</w:t>
          </w:r>
          <w:r>
            <w:rPr>
              <w:noProof/>
            </w:rPr>
            <w:tab/>
          </w:r>
          <w:r>
            <w:rPr>
              <w:noProof/>
            </w:rPr>
            <w:fldChar w:fldCharType="begin"/>
          </w:r>
          <w:r>
            <w:rPr>
              <w:noProof/>
            </w:rPr>
            <w:instrText xml:space="preserve"> PAGEREF _Toc398662587 \h </w:instrText>
          </w:r>
          <w:r>
            <w:rPr>
              <w:noProof/>
            </w:rPr>
          </w:r>
          <w:r>
            <w:rPr>
              <w:noProof/>
            </w:rPr>
            <w:fldChar w:fldCharType="separate"/>
          </w:r>
          <w:r w:rsidR="007B5868">
            <w:rPr>
              <w:noProof/>
            </w:rPr>
            <w:t>31</w:t>
          </w:r>
          <w:r>
            <w:rPr>
              <w:noProof/>
            </w:rPr>
            <w:fldChar w:fldCharType="end"/>
          </w:r>
        </w:p>
        <w:p w14:paraId="4D654127" w14:textId="14964C17" w:rsidR="00EB6CD6" w:rsidRDefault="00EB6CD6">
          <w:pPr>
            <w:pStyle w:val="Obsah3"/>
            <w:tabs>
              <w:tab w:val="right" w:leader="dot" w:pos="8296"/>
            </w:tabs>
            <w:rPr>
              <w:noProof/>
              <w:sz w:val="24"/>
              <w:szCs w:val="24"/>
              <w:lang w:eastAsia="ja-JP"/>
            </w:rPr>
          </w:pPr>
          <w:r>
            <w:rPr>
              <w:noProof/>
            </w:rPr>
            <w:t>2.2.1 Nižší riziko nezaměstnanosti</w:t>
          </w:r>
          <w:r>
            <w:rPr>
              <w:noProof/>
            </w:rPr>
            <w:tab/>
          </w:r>
          <w:r>
            <w:rPr>
              <w:noProof/>
            </w:rPr>
            <w:fldChar w:fldCharType="begin"/>
          </w:r>
          <w:r>
            <w:rPr>
              <w:noProof/>
            </w:rPr>
            <w:instrText xml:space="preserve"> PAGEREF _Toc398662588 \h </w:instrText>
          </w:r>
          <w:r>
            <w:rPr>
              <w:noProof/>
            </w:rPr>
          </w:r>
          <w:r>
            <w:rPr>
              <w:noProof/>
            </w:rPr>
            <w:fldChar w:fldCharType="separate"/>
          </w:r>
          <w:r w:rsidR="007B5868">
            <w:rPr>
              <w:noProof/>
            </w:rPr>
            <w:t>32</w:t>
          </w:r>
          <w:r>
            <w:rPr>
              <w:noProof/>
            </w:rPr>
            <w:fldChar w:fldCharType="end"/>
          </w:r>
        </w:p>
        <w:p w14:paraId="4081457E" w14:textId="2A46D2CF" w:rsidR="00EB6CD6" w:rsidRDefault="00EB6CD6">
          <w:pPr>
            <w:pStyle w:val="Obsah3"/>
            <w:tabs>
              <w:tab w:val="right" w:leader="dot" w:pos="8296"/>
            </w:tabs>
            <w:rPr>
              <w:noProof/>
              <w:sz w:val="24"/>
              <w:szCs w:val="24"/>
              <w:lang w:eastAsia="ja-JP"/>
            </w:rPr>
          </w:pPr>
          <w:r>
            <w:rPr>
              <w:noProof/>
            </w:rPr>
            <w:t>2.2.2 Vyšší příjmy</w:t>
          </w:r>
          <w:r>
            <w:rPr>
              <w:noProof/>
            </w:rPr>
            <w:tab/>
          </w:r>
          <w:r>
            <w:rPr>
              <w:noProof/>
            </w:rPr>
            <w:fldChar w:fldCharType="begin"/>
          </w:r>
          <w:r>
            <w:rPr>
              <w:noProof/>
            </w:rPr>
            <w:instrText xml:space="preserve"> PAGEREF _Toc398662589 \h </w:instrText>
          </w:r>
          <w:r>
            <w:rPr>
              <w:noProof/>
            </w:rPr>
          </w:r>
          <w:r>
            <w:rPr>
              <w:noProof/>
            </w:rPr>
            <w:fldChar w:fldCharType="separate"/>
          </w:r>
          <w:r w:rsidR="007B5868">
            <w:rPr>
              <w:noProof/>
            </w:rPr>
            <w:t>33</w:t>
          </w:r>
          <w:r>
            <w:rPr>
              <w:noProof/>
            </w:rPr>
            <w:fldChar w:fldCharType="end"/>
          </w:r>
        </w:p>
        <w:p w14:paraId="3A53C1D3" w14:textId="2594F81E" w:rsidR="00EB6CD6" w:rsidRDefault="00EB6CD6">
          <w:pPr>
            <w:pStyle w:val="Obsah2"/>
            <w:tabs>
              <w:tab w:val="right" w:leader="dot" w:pos="8296"/>
            </w:tabs>
            <w:rPr>
              <w:b/>
              <w:noProof/>
              <w:sz w:val="24"/>
              <w:szCs w:val="24"/>
              <w:lang w:eastAsia="ja-JP"/>
            </w:rPr>
          </w:pPr>
          <w:r>
            <w:rPr>
              <w:noProof/>
            </w:rPr>
            <w:t>Shrnutí a doporučení</w:t>
          </w:r>
          <w:r>
            <w:rPr>
              <w:noProof/>
            </w:rPr>
            <w:tab/>
          </w:r>
          <w:r>
            <w:rPr>
              <w:noProof/>
            </w:rPr>
            <w:fldChar w:fldCharType="begin"/>
          </w:r>
          <w:r>
            <w:rPr>
              <w:noProof/>
            </w:rPr>
            <w:instrText xml:space="preserve"> PAGEREF _Toc398662590 \h </w:instrText>
          </w:r>
          <w:r>
            <w:rPr>
              <w:noProof/>
            </w:rPr>
          </w:r>
          <w:r>
            <w:rPr>
              <w:noProof/>
            </w:rPr>
            <w:fldChar w:fldCharType="separate"/>
          </w:r>
          <w:r w:rsidR="007B5868">
            <w:rPr>
              <w:noProof/>
            </w:rPr>
            <w:t>35</w:t>
          </w:r>
          <w:r>
            <w:rPr>
              <w:noProof/>
            </w:rPr>
            <w:fldChar w:fldCharType="end"/>
          </w:r>
        </w:p>
        <w:p w14:paraId="3A3F8755" w14:textId="05A975F6" w:rsidR="00EB6CD6" w:rsidRDefault="00EB6CD6">
          <w:pPr>
            <w:pStyle w:val="Obsah2"/>
            <w:tabs>
              <w:tab w:val="right" w:leader="dot" w:pos="8296"/>
            </w:tabs>
            <w:rPr>
              <w:b/>
              <w:noProof/>
              <w:sz w:val="24"/>
              <w:szCs w:val="24"/>
              <w:lang w:eastAsia="ja-JP"/>
            </w:rPr>
          </w:pPr>
          <w:r>
            <w:rPr>
              <w:noProof/>
            </w:rPr>
            <w:t>2.3 Institucionální rámec dalšího vzdělávání a nabídka vzdělávacích programů</w:t>
          </w:r>
          <w:r>
            <w:rPr>
              <w:noProof/>
            </w:rPr>
            <w:tab/>
          </w:r>
          <w:r>
            <w:rPr>
              <w:noProof/>
            </w:rPr>
            <w:fldChar w:fldCharType="begin"/>
          </w:r>
          <w:r>
            <w:rPr>
              <w:noProof/>
            </w:rPr>
            <w:instrText xml:space="preserve"> PAGEREF _Toc398662591 \h </w:instrText>
          </w:r>
          <w:r>
            <w:rPr>
              <w:noProof/>
            </w:rPr>
          </w:r>
          <w:r>
            <w:rPr>
              <w:noProof/>
            </w:rPr>
            <w:fldChar w:fldCharType="separate"/>
          </w:r>
          <w:r w:rsidR="007B5868">
            <w:rPr>
              <w:noProof/>
            </w:rPr>
            <w:t>36</w:t>
          </w:r>
          <w:r>
            <w:rPr>
              <w:noProof/>
            </w:rPr>
            <w:fldChar w:fldCharType="end"/>
          </w:r>
        </w:p>
        <w:p w14:paraId="32378CE4" w14:textId="2F83A293" w:rsidR="00EB6CD6" w:rsidRDefault="00EB6CD6">
          <w:pPr>
            <w:pStyle w:val="Obsah2"/>
            <w:tabs>
              <w:tab w:val="right" w:leader="dot" w:pos="8296"/>
            </w:tabs>
            <w:rPr>
              <w:b/>
              <w:noProof/>
              <w:sz w:val="24"/>
              <w:szCs w:val="24"/>
              <w:lang w:eastAsia="ja-JP"/>
            </w:rPr>
          </w:pPr>
          <w:r>
            <w:rPr>
              <w:noProof/>
            </w:rPr>
            <w:t>Shrnutí</w:t>
          </w:r>
          <w:r>
            <w:rPr>
              <w:noProof/>
            </w:rPr>
            <w:tab/>
          </w:r>
          <w:r>
            <w:rPr>
              <w:noProof/>
            </w:rPr>
            <w:fldChar w:fldCharType="begin"/>
          </w:r>
          <w:r>
            <w:rPr>
              <w:noProof/>
            </w:rPr>
            <w:instrText xml:space="preserve"> PAGEREF _Toc398662592 \h </w:instrText>
          </w:r>
          <w:r>
            <w:rPr>
              <w:noProof/>
            </w:rPr>
          </w:r>
          <w:r>
            <w:rPr>
              <w:noProof/>
            </w:rPr>
            <w:fldChar w:fldCharType="separate"/>
          </w:r>
          <w:r w:rsidR="007B5868">
            <w:rPr>
              <w:noProof/>
            </w:rPr>
            <w:t>40</w:t>
          </w:r>
          <w:r>
            <w:rPr>
              <w:noProof/>
            </w:rPr>
            <w:fldChar w:fldCharType="end"/>
          </w:r>
        </w:p>
        <w:p w14:paraId="1824C579" w14:textId="7C3C2C4D" w:rsidR="00EB6CD6" w:rsidRDefault="00EB6CD6">
          <w:pPr>
            <w:pStyle w:val="Obsah2"/>
            <w:tabs>
              <w:tab w:val="right" w:leader="dot" w:pos="8296"/>
            </w:tabs>
            <w:rPr>
              <w:b/>
              <w:noProof/>
              <w:sz w:val="24"/>
              <w:szCs w:val="24"/>
              <w:lang w:eastAsia="ja-JP"/>
            </w:rPr>
          </w:pPr>
          <w:r>
            <w:rPr>
              <w:noProof/>
            </w:rPr>
            <w:t>Doporučení</w:t>
          </w:r>
          <w:r>
            <w:rPr>
              <w:noProof/>
            </w:rPr>
            <w:tab/>
          </w:r>
          <w:r>
            <w:rPr>
              <w:noProof/>
            </w:rPr>
            <w:fldChar w:fldCharType="begin"/>
          </w:r>
          <w:r>
            <w:rPr>
              <w:noProof/>
            </w:rPr>
            <w:instrText xml:space="preserve"> PAGEREF _Toc398662593 \h </w:instrText>
          </w:r>
          <w:r>
            <w:rPr>
              <w:noProof/>
            </w:rPr>
          </w:r>
          <w:r>
            <w:rPr>
              <w:noProof/>
            </w:rPr>
            <w:fldChar w:fldCharType="separate"/>
          </w:r>
          <w:r w:rsidR="007B5868">
            <w:rPr>
              <w:noProof/>
            </w:rPr>
            <w:t>40</w:t>
          </w:r>
          <w:r>
            <w:rPr>
              <w:noProof/>
            </w:rPr>
            <w:fldChar w:fldCharType="end"/>
          </w:r>
        </w:p>
        <w:p w14:paraId="55B860BD" w14:textId="60431FFA" w:rsidR="00EB6CD6" w:rsidRDefault="00EB6CD6">
          <w:pPr>
            <w:pStyle w:val="Obsah3"/>
            <w:tabs>
              <w:tab w:val="right" w:leader="dot" w:pos="8296"/>
            </w:tabs>
            <w:rPr>
              <w:noProof/>
              <w:sz w:val="24"/>
              <w:szCs w:val="24"/>
              <w:lang w:eastAsia="ja-JP"/>
            </w:rPr>
          </w:pPr>
          <w:r>
            <w:rPr>
              <w:noProof/>
            </w:rPr>
            <w:t>2.3.1 Účast na dalším formálním vzdělávání</w:t>
          </w:r>
          <w:r>
            <w:rPr>
              <w:noProof/>
            </w:rPr>
            <w:tab/>
          </w:r>
          <w:r>
            <w:rPr>
              <w:noProof/>
            </w:rPr>
            <w:fldChar w:fldCharType="begin"/>
          </w:r>
          <w:r>
            <w:rPr>
              <w:noProof/>
            </w:rPr>
            <w:instrText xml:space="preserve"> PAGEREF _Toc398662594 \h </w:instrText>
          </w:r>
          <w:r>
            <w:rPr>
              <w:noProof/>
            </w:rPr>
          </w:r>
          <w:r>
            <w:rPr>
              <w:noProof/>
            </w:rPr>
            <w:fldChar w:fldCharType="separate"/>
          </w:r>
          <w:r w:rsidR="007B5868">
            <w:rPr>
              <w:noProof/>
            </w:rPr>
            <w:t>43</w:t>
          </w:r>
          <w:r>
            <w:rPr>
              <w:noProof/>
            </w:rPr>
            <w:fldChar w:fldCharType="end"/>
          </w:r>
        </w:p>
        <w:p w14:paraId="1D640BD4" w14:textId="39B2573F" w:rsidR="00EB6CD6" w:rsidRDefault="00EB6CD6">
          <w:pPr>
            <w:pStyle w:val="Obsah3"/>
            <w:tabs>
              <w:tab w:val="right" w:leader="dot" w:pos="8296"/>
            </w:tabs>
            <w:rPr>
              <w:noProof/>
              <w:sz w:val="24"/>
              <w:szCs w:val="24"/>
              <w:lang w:eastAsia="ja-JP"/>
            </w:rPr>
          </w:pPr>
          <w:r>
            <w:rPr>
              <w:noProof/>
            </w:rPr>
            <w:t>2.3.2 Neformální vzdělávání</w:t>
          </w:r>
          <w:r>
            <w:rPr>
              <w:noProof/>
            </w:rPr>
            <w:tab/>
          </w:r>
          <w:r>
            <w:rPr>
              <w:noProof/>
            </w:rPr>
            <w:fldChar w:fldCharType="begin"/>
          </w:r>
          <w:r>
            <w:rPr>
              <w:noProof/>
            </w:rPr>
            <w:instrText xml:space="preserve"> PAGEREF _Toc398662595 \h </w:instrText>
          </w:r>
          <w:r>
            <w:rPr>
              <w:noProof/>
            </w:rPr>
          </w:r>
          <w:r>
            <w:rPr>
              <w:noProof/>
            </w:rPr>
            <w:fldChar w:fldCharType="separate"/>
          </w:r>
          <w:r w:rsidR="007B5868">
            <w:rPr>
              <w:noProof/>
            </w:rPr>
            <w:t>46</w:t>
          </w:r>
          <w:r>
            <w:rPr>
              <w:noProof/>
            </w:rPr>
            <w:fldChar w:fldCharType="end"/>
          </w:r>
        </w:p>
        <w:p w14:paraId="22267D57" w14:textId="1FBB968C" w:rsidR="00EB6CD6" w:rsidRDefault="00EB6CD6">
          <w:pPr>
            <w:pStyle w:val="Obsah2"/>
            <w:tabs>
              <w:tab w:val="right" w:leader="dot" w:pos="8296"/>
            </w:tabs>
            <w:rPr>
              <w:b/>
              <w:noProof/>
              <w:sz w:val="24"/>
              <w:szCs w:val="24"/>
              <w:lang w:eastAsia="ja-JP"/>
            </w:rPr>
          </w:pPr>
          <w:r>
            <w:rPr>
              <w:noProof/>
            </w:rPr>
            <w:t>Shrnutí a doporučení</w:t>
          </w:r>
          <w:r>
            <w:rPr>
              <w:noProof/>
            </w:rPr>
            <w:tab/>
          </w:r>
          <w:r>
            <w:rPr>
              <w:noProof/>
            </w:rPr>
            <w:fldChar w:fldCharType="begin"/>
          </w:r>
          <w:r>
            <w:rPr>
              <w:noProof/>
            </w:rPr>
            <w:instrText xml:space="preserve"> PAGEREF _Toc398662596 \h </w:instrText>
          </w:r>
          <w:r>
            <w:rPr>
              <w:noProof/>
            </w:rPr>
          </w:r>
          <w:r>
            <w:rPr>
              <w:noProof/>
            </w:rPr>
            <w:fldChar w:fldCharType="separate"/>
          </w:r>
          <w:r w:rsidR="007B5868">
            <w:rPr>
              <w:noProof/>
            </w:rPr>
            <w:t>53</w:t>
          </w:r>
          <w:r>
            <w:rPr>
              <w:noProof/>
            </w:rPr>
            <w:fldChar w:fldCharType="end"/>
          </w:r>
        </w:p>
        <w:p w14:paraId="39A3245C" w14:textId="4D18D866" w:rsidR="00EB6CD6" w:rsidRDefault="00EB6CD6">
          <w:pPr>
            <w:pStyle w:val="Obsah2"/>
            <w:tabs>
              <w:tab w:val="right" w:leader="dot" w:pos="8296"/>
            </w:tabs>
            <w:rPr>
              <w:b/>
              <w:noProof/>
              <w:sz w:val="24"/>
              <w:szCs w:val="24"/>
              <w:lang w:eastAsia="ja-JP"/>
            </w:rPr>
          </w:pPr>
          <w:r>
            <w:rPr>
              <w:noProof/>
            </w:rPr>
            <w:t>2.4 Podnikové vzdělávání a rozvoj zaměstnanců</w:t>
          </w:r>
          <w:r>
            <w:rPr>
              <w:noProof/>
            </w:rPr>
            <w:tab/>
          </w:r>
          <w:r>
            <w:rPr>
              <w:noProof/>
            </w:rPr>
            <w:fldChar w:fldCharType="begin"/>
          </w:r>
          <w:r>
            <w:rPr>
              <w:noProof/>
            </w:rPr>
            <w:instrText xml:space="preserve"> PAGEREF _Toc398662597 \h </w:instrText>
          </w:r>
          <w:r>
            <w:rPr>
              <w:noProof/>
            </w:rPr>
          </w:r>
          <w:r>
            <w:rPr>
              <w:noProof/>
            </w:rPr>
            <w:fldChar w:fldCharType="separate"/>
          </w:r>
          <w:r w:rsidR="007B5868">
            <w:rPr>
              <w:noProof/>
            </w:rPr>
            <w:t>57</w:t>
          </w:r>
          <w:r>
            <w:rPr>
              <w:noProof/>
            </w:rPr>
            <w:fldChar w:fldCharType="end"/>
          </w:r>
        </w:p>
        <w:p w14:paraId="42B6A847" w14:textId="29B211C3" w:rsidR="00EB6CD6" w:rsidRDefault="00EB6CD6">
          <w:pPr>
            <w:pStyle w:val="Obsah3"/>
            <w:tabs>
              <w:tab w:val="right" w:leader="dot" w:pos="8296"/>
            </w:tabs>
            <w:rPr>
              <w:noProof/>
              <w:sz w:val="24"/>
              <w:szCs w:val="24"/>
              <w:lang w:eastAsia="ja-JP"/>
            </w:rPr>
          </w:pPr>
          <w:r>
            <w:rPr>
              <w:noProof/>
            </w:rPr>
            <w:t>2.4.1 Odborné vzdělávání versus rozvoj</w:t>
          </w:r>
          <w:r>
            <w:rPr>
              <w:noProof/>
            </w:rPr>
            <w:tab/>
          </w:r>
          <w:r>
            <w:rPr>
              <w:noProof/>
            </w:rPr>
            <w:fldChar w:fldCharType="begin"/>
          </w:r>
          <w:r>
            <w:rPr>
              <w:noProof/>
            </w:rPr>
            <w:instrText xml:space="preserve"> PAGEREF _Toc398662598 \h </w:instrText>
          </w:r>
          <w:r>
            <w:rPr>
              <w:noProof/>
            </w:rPr>
          </w:r>
          <w:r>
            <w:rPr>
              <w:noProof/>
            </w:rPr>
            <w:fldChar w:fldCharType="separate"/>
          </w:r>
          <w:r w:rsidR="007B5868">
            <w:rPr>
              <w:noProof/>
            </w:rPr>
            <w:t>58</w:t>
          </w:r>
          <w:r>
            <w:rPr>
              <w:noProof/>
            </w:rPr>
            <w:fldChar w:fldCharType="end"/>
          </w:r>
        </w:p>
        <w:p w14:paraId="746270E0" w14:textId="1713AEF1" w:rsidR="00EB6CD6" w:rsidRDefault="00EB6CD6">
          <w:pPr>
            <w:pStyle w:val="Obsah3"/>
            <w:tabs>
              <w:tab w:val="right" w:leader="dot" w:pos="8296"/>
            </w:tabs>
            <w:rPr>
              <w:noProof/>
              <w:sz w:val="24"/>
              <w:szCs w:val="24"/>
              <w:lang w:eastAsia="ja-JP"/>
            </w:rPr>
          </w:pPr>
          <w:r>
            <w:rPr>
              <w:noProof/>
            </w:rPr>
            <w:t>2.4.2 Systematické vzdělávání a rozvoj zaměstnanců</w:t>
          </w:r>
          <w:r>
            <w:rPr>
              <w:noProof/>
            </w:rPr>
            <w:tab/>
          </w:r>
          <w:r>
            <w:rPr>
              <w:noProof/>
            </w:rPr>
            <w:fldChar w:fldCharType="begin"/>
          </w:r>
          <w:r>
            <w:rPr>
              <w:noProof/>
            </w:rPr>
            <w:instrText xml:space="preserve"> PAGEREF _Toc398662599 \h </w:instrText>
          </w:r>
          <w:r>
            <w:rPr>
              <w:noProof/>
            </w:rPr>
          </w:r>
          <w:r>
            <w:rPr>
              <w:noProof/>
            </w:rPr>
            <w:fldChar w:fldCharType="separate"/>
          </w:r>
          <w:r w:rsidR="007B5868">
            <w:rPr>
              <w:noProof/>
            </w:rPr>
            <w:t>59</w:t>
          </w:r>
          <w:r>
            <w:rPr>
              <w:noProof/>
            </w:rPr>
            <w:fldChar w:fldCharType="end"/>
          </w:r>
        </w:p>
        <w:p w14:paraId="7F912D58" w14:textId="3531CCC4" w:rsidR="00EB6CD6" w:rsidRDefault="00EB6CD6">
          <w:pPr>
            <w:pStyle w:val="Obsah3"/>
            <w:tabs>
              <w:tab w:val="right" w:leader="dot" w:pos="8296"/>
            </w:tabs>
            <w:rPr>
              <w:noProof/>
              <w:sz w:val="24"/>
              <w:szCs w:val="24"/>
              <w:lang w:eastAsia="ja-JP"/>
            </w:rPr>
          </w:pPr>
          <w:r>
            <w:rPr>
              <w:noProof/>
            </w:rPr>
            <w:t>2.4.3 Metody podnikového vzdělávání a rozvoje</w:t>
          </w:r>
          <w:r>
            <w:rPr>
              <w:noProof/>
            </w:rPr>
            <w:tab/>
          </w:r>
          <w:r>
            <w:rPr>
              <w:noProof/>
            </w:rPr>
            <w:fldChar w:fldCharType="begin"/>
          </w:r>
          <w:r>
            <w:rPr>
              <w:noProof/>
            </w:rPr>
            <w:instrText xml:space="preserve"> PAGEREF _Toc398662600 \h </w:instrText>
          </w:r>
          <w:r>
            <w:rPr>
              <w:noProof/>
            </w:rPr>
          </w:r>
          <w:r>
            <w:rPr>
              <w:noProof/>
            </w:rPr>
            <w:fldChar w:fldCharType="separate"/>
          </w:r>
          <w:r w:rsidR="007B5868">
            <w:rPr>
              <w:noProof/>
            </w:rPr>
            <w:t>60</w:t>
          </w:r>
          <w:r>
            <w:rPr>
              <w:noProof/>
            </w:rPr>
            <w:fldChar w:fldCharType="end"/>
          </w:r>
        </w:p>
        <w:p w14:paraId="7F857F6D" w14:textId="75DBC358" w:rsidR="00EB6CD6" w:rsidRDefault="00EB6CD6">
          <w:pPr>
            <w:pStyle w:val="Obsah3"/>
            <w:tabs>
              <w:tab w:val="right" w:leader="dot" w:pos="8296"/>
            </w:tabs>
            <w:rPr>
              <w:noProof/>
              <w:sz w:val="24"/>
              <w:szCs w:val="24"/>
              <w:lang w:eastAsia="ja-JP"/>
            </w:rPr>
          </w:pPr>
          <w:r>
            <w:rPr>
              <w:noProof/>
            </w:rPr>
            <w:t>2.4.4 Podnikové vzdělávání v ČR v datech</w:t>
          </w:r>
          <w:r>
            <w:rPr>
              <w:noProof/>
            </w:rPr>
            <w:tab/>
          </w:r>
          <w:r>
            <w:rPr>
              <w:noProof/>
            </w:rPr>
            <w:fldChar w:fldCharType="begin"/>
          </w:r>
          <w:r>
            <w:rPr>
              <w:noProof/>
            </w:rPr>
            <w:instrText xml:space="preserve"> PAGEREF _Toc398662601 \h </w:instrText>
          </w:r>
          <w:r>
            <w:rPr>
              <w:noProof/>
            </w:rPr>
          </w:r>
          <w:r>
            <w:rPr>
              <w:noProof/>
            </w:rPr>
            <w:fldChar w:fldCharType="separate"/>
          </w:r>
          <w:r w:rsidR="007B5868">
            <w:rPr>
              <w:noProof/>
            </w:rPr>
            <w:t>61</w:t>
          </w:r>
          <w:r>
            <w:rPr>
              <w:noProof/>
            </w:rPr>
            <w:fldChar w:fldCharType="end"/>
          </w:r>
        </w:p>
        <w:p w14:paraId="27702E18" w14:textId="18FE19FB" w:rsidR="00EB6CD6" w:rsidRDefault="00EB6CD6">
          <w:pPr>
            <w:pStyle w:val="Obsah2"/>
            <w:tabs>
              <w:tab w:val="right" w:leader="dot" w:pos="8296"/>
            </w:tabs>
            <w:rPr>
              <w:b/>
              <w:noProof/>
              <w:sz w:val="24"/>
              <w:szCs w:val="24"/>
              <w:lang w:eastAsia="ja-JP"/>
            </w:rPr>
          </w:pPr>
          <w:r>
            <w:rPr>
              <w:noProof/>
            </w:rPr>
            <w:t>Shrnutí</w:t>
          </w:r>
          <w:r>
            <w:rPr>
              <w:noProof/>
            </w:rPr>
            <w:tab/>
          </w:r>
          <w:r>
            <w:rPr>
              <w:noProof/>
            </w:rPr>
            <w:fldChar w:fldCharType="begin"/>
          </w:r>
          <w:r>
            <w:rPr>
              <w:noProof/>
            </w:rPr>
            <w:instrText xml:space="preserve"> PAGEREF _Toc398662724 \h </w:instrText>
          </w:r>
          <w:r>
            <w:rPr>
              <w:noProof/>
            </w:rPr>
          </w:r>
          <w:r>
            <w:rPr>
              <w:noProof/>
            </w:rPr>
            <w:fldChar w:fldCharType="separate"/>
          </w:r>
          <w:r w:rsidR="007B5868">
            <w:rPr>
              <w:noProof/>
            </w:rPr>
            <w:t>66</w:t>
          </w:r>
          <w:r>
            <w:rPr>
              <w:noProof/>
            </w:rPr>
            <w:fldChar w:fldCharType="end"/>
          </w:r>
        </w:p>
        <w:p w14:paraId="15A52976" w14:textId="53E1EEF4" w:rsidR="00EB6CD6" w:rsidRDefault="00EB6CD6">
          <w:pPr>
            <w:pStyle w:val="Obsah2"/>
            <w:tabs>
              <w:tab w:val="right" w:leader="dot" w:pos="8296"/>
            </w:tabs>
            <w:rPr>
              <w:b/>
              <w:noProof/>
              <w:sz w:val="24"/>
              <w:szCs w:val="24"/>
              <w:lang w:eastAsia="ja-JP"/>
            </w:rPr>
          </w:pPr>
          <w:r>
            <w:rPr>
              <w:noProof/>
            </w:rPr>
            <w:t>Doporučení</w:t>
          </w:r>
          <w:r>
            <w:rPr>
              <w:noProof/>
            </w:rPr>
            <w:tab/>
          </w:r>
          <w:r>
            <w:rPr>
              <w:noProof/>
            </w:rPr>
            <w:fldChar w:fldCharType="begin"/>
          </w:r>
          <w:r>
            <w:rPr>
              <w:noProof/>
            </w:rPr>
            <w:instrText xml:space="preserve"> PAGEREF _Toc398662725 \h </w:instrText>
          </w:r>
          <w:r>
            <w:rPr>
              <w:noProof/>
            </w:rPr>
          </w:r>
          <w:r>
            <w:rPr>
              <w:noProof/>
            </w:rPr>
            <w:fldChar w:fldCharType="separate"/>
          </w:r>
          <w:r w:rsidR="007B5868">
            <w:rPr>
              <w:noProof/>
            </w:rPr>
            <w:t>67</w:t>
          </w:r>
          <w:r>
            <w:rPr>
              <w:noProof/>
            </w:rPr>
            <w:fldChar w:fldCharType="end"/>
          </w:r>
        </w:p>
        <w:p w14:paraId="7C344611" w14:textId="0D5E7B0E" w:rsidR="00EB6CD6" w:rsidRDefault="00EB6CD6">
          <w:pPr>
            <w:pStyle w:val="Obsah1"/>
            <w:tabs>
              <w:tab w:val="right" w:leader="dot" w:pos="8296"/>
            </w:tabs>
            <w:rPr>
              <w:b w:val="0"/>
              <w:noProof/>
              <w:lang w:eastAsia="ja-JP"/>
            </w:rPr>
          </w:pPr>
          <w:r>
            <w:rPr>
              <w:noProof/>
            </w:rPr>
            <w:t>3. Pracovní mobilita jako bariéra efektivního využívání disponibilního lidského kapitálu</w:t>
          </w:r>
          <w:r>
            <w:rPr>
              <w:noProof/>
            </w:rPr>
            <w:tab/>
          </w:r>
          <w:r>
            <w:rPr>
              <w:noProof/>
            </w:rPr>
            <w:fldChar w:fldCharType="begin"/>
          </w:r>
          <w:r>
            <w:rPr>
              <w:noProof/>
            </w:rPr>
            <w:instrText xml:space="preserve"> PAGEREF _Toc398662726 \h </w:instrText>
          </w:r>
          <w:r>
            <w:rPr>
              <w:noProof/>
            </w:rPr>
          </w:r>
          <w:r>
            <w:rPr>
              <w:noProof/>
            </w:rPr>
            <w:fldChar w:fldCharType="separate"/>
          </w:r>
          <w:r w:rsidR="007B5868">
            <w:rPr>
              <w:noProof/>
            </w:rPr>
            <w:t>69</w:t>
          </w:r>
          <w:r>
            <w:rPr>
              <w:noProof/>
            </w:rPr>
            <w:fldChar w:fldCharType="end"/>
          </w:r>
        </w:p>
        <w:p w14:paraId="7C70EED6" w14:textId="2A238E51" w:rsidR="00EB6CD6" w:rsidRDefault="00EB6CD6">
          <w:pPr>
            <w:pStyle w:val="Obsah2"/>
            <w:tabs>
              <w:tab w:val="right" w:leader="dot" w:pos="8296"/>
            </w:tabs>
            <w:rPr>
              <w:b/>
              <w:noProof/>
              <w:sz w:val="24"/>
              <w:szCs w:val="24"/>
              <w:lang w:eastAsia="ja-JP"/>
            </w:rPr>
          </w:pPr>
          <w:r>
            <w:rPr>
              <w:noProof/>
            </w:rPr>
            <w:t>3.1 Nízká rezidenční mobilita a ochota dojíždět za prací</w:t>
          </w:r>
          <w:r>
            <w:rPr>
              <w:noProof/>
            </w:rPr>
            <w:tab/>
          </w:r>
          <w:r>
            <w:rPr>
              <w:noProof/>
            </w:rPr>
            <w:fldChar w:fldCharType="begin"/>
          </w:r>
          <w:r>
            <w:rPr>
              <w:noProof/>
            </w:rPr>
            <w:instrText xml:space="preserve"> PAGEREF _Toc398662727 \h </w:instrText>
          </w:r>
          <w:r>
            <w:rPr>
              <w:noProof/>
            </w:rPr>
          </w:r>
          <w:r>
            <w:rPr>
              <w:noProof/>
            </w:rPr>
            <w:fldChar w:fldCharType="separate"/>
          </w:r>
          <w:r w:rsidR="007B5868">
            <w:rPr>
              <w:noProof/>
            </w:rPr>
            <w:t>69</w:t>
          </w:r>
          <w:r>
            <w:rPr>
              <w:noProof/>
            </w:rPr>
            <w:fldChar w:fldCharType="end"/>
          </w:r>
        </w:p>
        <w:p w14:paraId="138780E7" w14:textId="6FBBB1E8" w:rsidR="00EB6CD6" w:rsidRDefault="00EB6CD6">
          <w:pPr>
            <w:pStyle w:val="Obsah3"/>
            <w:tabs>
              <w:tab w:val="right" w:leader="dot" w:pos="8296"/>
            </w:tabs>
            <w:rPr>
              <w:noProof/>
              <w:sz w:val="24"/>
              <w:szCs w:val="24"/>
              <w:lang w:eastAsia="ja-JP"/>
            </w:rPr>
          </w:pPr>
          <w:r>
            <w:rPr>
              <w:noProof/>
            </w:rPr>
            <w:t>3.1.1 Rezidenční mobilita a stěhování za prací</w:t>
          </w:r>
          <w:r>
            <w:rPr>
              <w:noProof/>
            </w:rPr>
            <w:tab/>
          </w:r>
          <w:r>
            <w:rPr>
              <w:noProof/>
            </w:rPr>
            <w:fldChar w:fldCharType="begin"/>
          </w:r>
          <w:r>
            <w:rPr>
              <w:noProof/>
            </w:rPr>
            <w:instrText xml:space="preserve"> PAGEREF _Toc398662728 \h </w:instrText>
          </w:r>
          <w:r>
            <w:rPr>
              <w:noProof/>
            </w:rPr>
          </w:r>
          <w:r>
            <w:rPr>
              <w:noProof/>
            </w:rPr>
            <w:fldChar w:fldCharType="separate"/>
          </w:r>
          <w:r w:rsidR="007B5868">
            <w:rPr>
              <w:noProof/>
            </w:rPr>
            <w:t>69</w:t>
          </w:r>
          <w:r>
            <w:rPr>
              <w:noProof/>
            </w:rPr>
            <w:fldChar w:fldCharType="end"/>
          </w:r>
        </w:p>
        <w:p w14:paraId="5068ECD1" w14:textId="6E0F8E9E" w:rsidR="00EB6CD6" w:rsidRDefault="00EB6CD6">
          <w:pPr>
            <w:pStyle w:val="Obsah3"/>
            <w:tabs>
              <w:tab w:val="right" w:leader="dot" w:pos="8296"/>
            </w:tabs>
            <w:rPr>
              <w:noProof/>
              <w:sz w:val="24"/>
              <w:szCs w:val="24"/>
              <w:lang w:eastAsia="ja-JP"/>
            </w:rPr>
          </w:pPr>
          <w:r>
            <w:rPr>
              <w:noProof/>
            </w:rPr>
            <w:t>3.1.2 Dojíždění za prací</w:t>
          </w:r>
          <w:r>
            <w:rPr>
              <w:noProof/>
            </w:rPr>
            <w:tab/>
          </w:r>
          <w:r>
            <w:rPr>
              <w:noProof/>
            </w:rPr>
            <w:fldChar w:fldCharType="begin"/>
          </w:r>
          <w:r>
            <w:rPr>
              <w:noProof/>
            </w:rPr>
            <w:instrText xml:space="preserve"> PAGEREF _Toc398662729 \h </w:instrText>
          </w:r>
          <w:r>
            <w:rPr>
              <w:noProof/>
            </w:rPr>
          </w:r>
          <w:r>
            <w:rPr>
              <w:noProof/>
            </w:rPr>
            <w:fldChar w:fldCharType="separate"/>
          </w:r>
          <w:r w:rsidR="007B5868">
            <w:rPr>
              <w:noProof/>
            </w:rPr>
            <w:t>71</w:t>
          </w:r>
          <w:r>
            <w:rPr>
              <w:noProof/>
            </w:rPr>
            <w:fldChar w:fldCharType="end"/>
          </w:r>
        </w:p>
        <w:p w14:paraId="6451F207" w14:textId="4076652C" w:rsidR="00EB6CD6" w:rsidRDefault="00EB6CD6">
          <w:pPr>
            <w:pStyle w:val="Obsah2"/>
            <w:tabs>
              <w:tab w:val="right" w:leader="dot" w:pos="8296"/>
            </w:tabs>
            <w:rPr>
              <w:b/>
              <w:noProof/>
              <w:sz w:val="24"/>
              <w:szCs w:val="24"/>
              <w:lang w:eastAsia="ja-JP"/>
            </w:rPr>
          </w:pPr>
          <w:r>
            <w:rPr>
              <w:noProof/>
            </w:rPr>
            <w:t>3.2 Zadlužení jako bariéra vstupu na pracovní trh</w:t>
          </w:r>
          <w:r>
            <w:rPr>
              <w:noProof/>
            </w:rPr>
            <w:tab/>
          </w:r>
          <w:r>
            <w:rPr>
              <w:noProof/>
            </w:rPr>
            <w:fldChar w:fldCharType="begin"/>
          </w:r>
          <w:r>
            <w:rPr>
              <w:noProof/>
            </w:rPr>
            <w:instrText xml:space="preserve"> PAGEREF _Toc398662730 \h </w:instrText>
          </w:r>
          <w:r>
            <w:rPr>
              <w:noProof/>
            </w:rPr>
          </w:r>
          <w:r>
            <w:rPr>
              <w:noProof/>
            </w:rPr>
            <w:fldChar w:fldCharType="separate"/>
          </w:r>
          <w:r w:rsidR="007B5868">
            <w:rPr>
              <w:noProof/>
            </w:rPr>
            <w:t>73</w:t>
          </w:r>
          <w:r>
            <w:rPr>
              <w:noProof/>
            </w:rPr>
            <w:fldChar w:fldCharType="end"/>
          </w:r>
        </w:p>
        <w:p w14:paraId="36BEEA29" w14:textId="36745436" w:rsidR="00EB6CD6" w:rsidRDefault="00EB6CD6">
          <w:pPr>
            <w:pStyle w:val="Obsah2"/>
            <w:tabs>
              <w:tab w:val="right" w:leader="dot" w:pos="8296"/>
            </w:tabs>
            <w:rPr>
              <w:b/>
              <w:noProof/>
              <w:sz w:val="24"/>
              <w:szCs w:val="24"/>
              <w:lang w:eastAsia="ja-JP"/>
            </w:rPr>
          </w:pPr>
          <w:r>
            <w:rPr>
              <w:noProof/>
            </w:rPr>
            <w:t>Shrnutí a doporučení</w:t>
          </w:r>
          <w:r>
            <w:rPr>
              <w:noProof/>
            </w:rPr>
            <w:tab/>
          </w:r>
          <w:r>
            <w:rPr>
              <w:noProof/>
            </w:rPr>
            <w:fldChar w:fldCharType="begin"/>
          </w:r>
          <w:r>
            <w:rPr>
              <w:noProof/>
            </w:rPr>
            <w:instrText xml:space="preserve"> PAGEREF _Toc398662731 \h </w:instrText>
          </w:r>
          <w:r>
            <w:rPr>
              <w:noProof/>
            </w:rPr>
          </w:r>
          <w:r>
            <w:rPr>
              <w:noProof/>
            </w:rPr>
            <w:fldChar w:fldCharType="separate"/>
          </w:r>
          <w:r w:rsidR="007B5868">
            <w:rPr>
              <w:noProof/>
            </w:rPr>
            <w:t>74</w:t>
          </w:r>
          <w:r>
            <w:rPr>
              <w:noProof/>
            </w:rPr>
            <w:fldChar w:fldCharType="end"/>
          </w:r>
        </w:p>
        <w:p w14:paraId="5529E4C9" w14:textId="5AA95465" w:rsidR="00EB6CD6" w:rsidRDefault="00EB6CD6">
          <w:pPr>
            <w:pStyle w:val="Obsah1"/>
            <w:tabs>
              <w:tab w:val="right" w:leader="dot" w:pos="8296"/>
            </w:tabs>
            <w:rPr>
              <w:b w:val="0"/>
              <w:noProof/>
              <w:lang w:eastAsia="ja-JP"/>
            </w:rPr>
          </w:pPr>
          <w:r>
            <w:rPr>
              <w:noProof/>
            </w:rPr>
            <w:t>Literatura</w:t>
          </w:r>
          <w:r>
            <w:rPr>
              <w:noProof/>
            </w:rPr>
            <w:tab/>
          </w:r>
          <w:r>
            <w:rPr>
              <w:noProof/>
            </w:rPr>
            <w:fldChar w:fldCharType="begin"/>
          </w:r>
          <w:r>
            <w:rPr>
              <w:noProof/>
            </w:rPr>
            <w:instrText xml:space="preserve"> PAGEREF _Toc398662732 \h </w:instrText>
          </w:r>
          <w:r>
            <w:rPr>
              <w:noProof/>
            </w:rPr>
          </w:r>
          <w:r>
            <w:rPr>
              <w:noProof/>
            </w:rPr>
            <w:fldChar w:fldCharType="separate"/>
          </w:r>
          <w:r w:rsidR="007B5868">
            <w:rPr>
              <w:noProof/>
            </w:rPr>
            <w:t>76</w:t>
          </w:r>
          <w:r>
            <w:rPr>
              <w:noProof/>
            </w:rPr>
            <w:fldChar w:fldCharType="end"/>
          </w:r>
        </w:p>
        <w:p w14:paraId="15BB0D05" w14:textId="77777777" w:rsidR="007F7368" w:rsidRDefault="00EB6CD6" w:rsidP="007F7368">
          <w:pPr>
            <w:rPr>
              <w:b/>
              <w:bCs/>
              <w:noProof/>
            </w:rPr>
          </w:pPr>
          <w:r>
            <w:rPr>
              <w:b/>
              <w:bCs/>
              <w:noProof/>
            </w:rPr>
            <w:fldChar w:fldCharType="end"/>
          </w:r>
        </w:p>
        <w:p w14:paraId="4F178622" w14:textId="43EF3715" w:rsidR="007F7368" w:rsidRPr="007F7368" w:rsidRDefault="00D8340B" w:rsidP="007F7368"/>
      </w:sdtContent>
    </w:sdt>
    <w:bookmarkStart w:id="0" w:name="_Toc398662566" w:displacedByCustomXml="prev"/>
    <w:p w14:paraId="07BEF66E" w14:textId="77777777" w:rsidR="005D1398" w:rsidRPr="000F4493" w:rsidRDefault="000F4493" w:rsidP="000F4493">
      <w:pPr>
        <w:pStyle w:val="Nadpis1"/>
      </w:pPr>
      <w:r>
        <w:lastRenderedPageBreak/>
        <w:t xml:space="preserve">1. </w:t>
      </w:r>
      <w:r w:rsidRPr="00EB6CD6">
        <w:t>Úvod</w:t>
      </w:r>
      <w:r w:rsidRPr="000F4493">
        <w:t xml:space="preserve"> do problematiky</w:t>
      </w:r>
      <w:bookmarkEnd w:id="0"/>
    </w:p>
    <w:p w14:paraId="7C7B5C8B" w14:textId="2E2E0BFA" w:rsidR="006957CA" w:rsidRDefault="006957CA" w:rsidP="004665F5">
      <w:pPr>
        <w:spacing w:before="120" w:line="360" w:lineRule="auto"/>
        <w:jc w:val="both"/>
        <w:rPr>
          <w:rFonts w:ascii="Times New Roman" w:hAnsi="Times New Roman" w:cs="Times New Roman"/>
        </w:rPr>
      </w:pPr>
      <w:r>
        <w:rPr>
          <w:rFonts w:ascii="Times New Roman" w:hAnsi="Times New Roman" w:cs="Times New Roman"/>
        </w:rPr>
        <w:t xml:space="preserve">Předložená studie se zabývá problematikou dalšího vzdělávání v České republice. Tato forma vzdělávání je významným nástrojem zvyšování flexibility jedince na trhu práce, který je u nás nedostatečně využíván. Míra participace dospělé populace na dalším (neformálním) vzdělávání se v celoevropském srovnání pohybuje kolem průměru. Téměř alarmující jsou ovšem výsledky srovnání, pokud jde o jedince s nejnižší úrovní vzdělání (tj. nejvýše dokončeným základním vzděláním); </w:t>
      </w:r>
      <w:r w:rsidR="0028593B">
        <w:rPr>
          <w:rFonts w:ascii="Times New Roman" w:hAnsi="Times New Roman" w:cs="Times New Roman"/>
        </w:rPr>
        <w:t>z tohoto hlediska patří situace v České republice k nejhorším v rámci EU. Cílem práce je identifikovat hlavní příčiny této situace a formulovat doporučení, jejichž realizace v praxi by pomohla celkovou motivaci dospělé populace (zejména osob s nejnižším vzdělán</w:t>
      </w:r>
      <w:r w:rsidR="009C29F2">
        <w:rPr>
          <w:rFonts w:ascii="Times New Roman" w:hAnsi="Times New Roman" w:cs="Times New Roman"/>
        </w:rPr>
        <w:t>ím) na dalším vzdělávání zvýšit.</w:t>
      </w:r>
      <w:r w:rsidR="0028593B">
        <w:rPr>
          <w:rFonts w:ascii="Times New Roman" w:hAnsi="Times New Roman" w:cs="Times New Roman"/>
        </w:rPr>
        <w:t xml:space="preserve"> </w:t>
      </w:r>
    </w:p>
    <w:p w14:paraId="1F3FF459" w14:textId="77777777" w:rsidR="0028593B" w:rsidRPr="0028593B" w:rsidRDefault="0028593B" w:rsidP="0028593B">
      <w:pPr>
        <w:pStyle w:val="Odstavecseseznamem"/>
        <w:numPr>
          <w:ilvl w:val="0"/>
          <w:numId w:val="35"/>
        </w:numPr>
        <w:spacing w:before="120" w:line="360" w:lineRule="auto"/>
        <w:jc w:val="center"/>
        <w:rPr>
          <w:rFonts w:ascii="Times New Roman" w:hAnsi="Times New Roman" w:cs="Times New Roman"/>
        </w:rPr>
      </w:pPr>
    </w:p>
    <w:p w14:paraId="44009109" w14:textId="01503330" w:rsidR="000F4493" w:rsidRDefault="004665F5" w:rsidP="004665F5">
      <w:pPr>
        <w:spacing w:before="120" w:line="360" w:lineRule="auto"/>
        <w:jc w:val="both"/>
        <w:rPr>
          <w:rFonts w:ascii="Times New Roman" w:hAnsi="Times New Roman" w:cs="Times New Roman"/>
        </w:rPr>
      </w:pPr>
      <w:r>
        <w:rPr>
          <w:rFonts w:ascii="Times New Roman" w:hAnsi="Times New Roman" w:cs="Times New Roman"/>
        </w:rPr>
        <w:t xml:space="preserve">Přibližně od druhé poloviny 90. let se začala ekonomika kvalitativně měnit, a to v důsledku rozvoje informačních a komunikačních technologií </w:t>
      </w:r>
      <w:r w:rsidR="005F6765">
        <w:rPr>
          <w:rFonts w:ascii="Times New Roman" w:hAnsi="Times New Roman" w:cs="Times New Roman"/>
        </w:rPr>
        <w:t xml:space="preserve">(ICT). </w:t>
      </w:r>
      <w:r w:rsidR="003C18B2">
        <w:rPr>
          <w:rFonts w:ascii="Times New Roman" w:hAnsi="Times New Roman" w:cs="Times New Roman"/>
        </w:rPr>
        <w:t>Postupně z</w:t>
      </w:r>
      <w:r w:rsidR="005F6765">
        <w:rPr>
          <w:rFonts w:ascii="Times New Roman" w:hAnsi="Times New Roman" w:cs="Times New Roman"/>
        </w:rPr>
        <w:t xml:space="preserve">ačalo docházet </w:t>
      </w:r>
      <w:r>
        <w:rPr>
          <w:rFonts w:ascii="Times New Roman" w:hAnsi="Times New Roman" w:cs="Times New Roman"/>
        </w:rPr>
        <w:t>k</w:t>
      </w:r>
      <w:r w:rsidR="003C18B2">
        <w:rPr>
          <w:rFonts w:ascii="Times New Roman" w:hAnsi="Times New Roman" w:cs="Times New Roman"/>
        </w:rPr>
        <w:t>e </w:t>
      </w:r>
      <w:r w:rsidR="005F6765">
        <w:rPr>
          <w:rFonts w:ascii="Times New Roman" w:hAnsi="Times New Roman" w:cs="Times New Roman"/>
        </w:rPr>
        <w:t>změnám</w:t>
      </w:r>
      <w:r w:rsidR="003C18B2">
        <w:rPr>
          <w:rFonts w:ascii="Times New Roman" w:hAnsi="Times New Roman" w:cs="Times New Roman"/>
        </w:rPr>
        <w:t xml:space="preserve"> v její struktuře. E</w:t>
      </w:r>
      <w:r w:rsidR="005F6765">
        <w:rPr>
          <w:rFonts w:ascii="Times New Roman" w:hAnsi="Times New Roman" w:cs="Times New Roman"/>
        </w:rPr>
        <w:t>konomika se začala vyznačovat určitými novými rysy</w:t>
      </w:r>
      <w:r w:rsidR="003C18B2">
        <w:rPr>
          <w:rFonts w:ascii="Times New Roman" w:hAnsi="Times New Roman" w:cs="Times New Roman"/>
        </w:rPr>
        <w:t xml:space="preserve"> (procesy), jež</w:t>
      </w:r>
      <w:r w:rsidR="005F6765">
        <w:rPr>
          <w:rFonts w:ascii="Times New Roman" w:hAnsi="Times New Roman" w:cs="Times New Roman"/>
        </w:rPr>
        <w:t xml:space="preserve"> se v průběhu následujících dekád dál</w:t>
      </w:r>
      <w:r w:rsidR="003C18B2">
        <w:rPr>
          <w:rFonts w:ascii="Times New Roman" w:hAnsi="Times New Roman" w:cs="Times New Roman"/>
        </w:rPr>
        <w:t>e prohlubovaly. Zejména:</w:t>
      </w:r>
      <w:r w:rsidR="0020409E">
        <w:rPr>
          <w:rFonts w:ascii="Times New Roman" w:hAnsi="Times New Roman" w:cs="Times New Roman"/>
        </w:rPr>
        <w:t xml:space="preserve"> </w:t>
      </w:r>
    </w:p>
    <w:p w14:paraId="64C8CD26" w14:textId="7CC858E1" w:rsidR="0020409E" w:rsidRDefault="0020409E" w:rsidP="00E94B9D">
      <w:pPr>
        <w:pStyle w:val="Odstavecseseznamem"/>
        <w:numPr>
          <w:ilvl w:val="0"/>
          <w:numId w:val="1"/>
        </w:numPr>
        <w:spacing w:before="120" w:line="360" w:lineRule="auto"/>
        <w:jc w:val="both"/>
        <w:rPr>
          <w:rFonts w:ascii="Times New Roman" w:hAnsi="Times New Roman" w:cs="Times New Roman"/>
        </w:rPr>
      </w:pPr>
      <w:r>
        <w:rPr>
          <w:rFonts w:ascii="Times New Roman" w:hAnsi="Times New Roman" w:cs="Times New Roman"/>
        </w:rPr>
        <w:t xml:space="preserve">Rozvoj ICT </w:t>
      </w:r>
      <w:r w:rsidR="003C18B2">
        <w:rPr>
          <w:rFonts w:ascii="Times New Roman" w:hAnsi="Times New Roman" w:cs="Times New Roman"/>
        </w:rPr>
        <w:t>vedl/</w:t>
      </w:r>
      <w:r>
        <w:rPr>
          <w:rFonts w:ascii="Times New Roman" w:hAnsi="Times New Roman" w:cs="Times New Roman"/>
        </w:rPr>
        <w:t>vede</w:t>
      </w:r>
      <w:r w:rsidR="005F6765">
        <w:rPr>
          <w:rFonts w:ascii="Times New Roman" w:hAnsi="Times New Roman" w:cs="Times New Roman"/>
        </w:rPr>
        <w:t xml:space="preserve"> ke stále intenzivnějšímu propojování národních e</w:t>
      </w:r>
      <w:r>
        <w:rPr>
          <w:rFonts w:ascii="Times New Roman" w:hAnsi="Times New Roman" w:cs="Times New Roman"/>
        </w:rPr>
        <w:t>konomik</w:t>
      </w:r>
      <w:r w:rsidR="00954679">
        <w:rPr>
          <w:rFonts w:ascii="Times New Roman" w:hAnsi="Times New Roman" w:cs="Times New Roman"/>
        </w:rPr>
        <w:t xml:space="preserve"> a k jejich globalizaci; roste</w:t>
      </w:r>
      <w:r>
        <w:rPr>
          <w:rFonts w:ascii="Times New Roman" w:hAnsi="Times New Roman" w:cs="Times New Roman"/>
        </w:rPr>
        <w:t xml:space="preserve"> význam nadnárodních korporací. </w:t>
      </w:r>
    </w:p>
    <w:p w14:paraId="729604E8" w14:textId="3A6D4C1B" w:rsidR="003C18B2" w:rsidRPr="003C18B2" w:rsidRDefault="003C18B2" w:rsidP="003C18B2">
      <w:pPr>
        <w:pStyle w:val="Odstavecseseznamem"/>
        <w:numPr>
          <w:ilvl w:val="0"/>
          <w:numId w:val="1"/>
        </w:numPr>
        <w:spacing w:before="120" w:line="360" w:lineRule="auto"/>
        <w:jc w:val="both"/>
        <w:rPr>
          <w:rFonts w:ascii="Times New Roman" w:hAnsi="Times New Roman" w:cs="Times New Roman"/>
        </w:rPr>
      </w:pPr>
      <w:r>
        <w:rPr>
          <w:rFonts w:ascii="Times New Roman" w:hAnsi="Times New Roman" w:cs="Times New Roman"/>
        </w:rPr>
        <w:t xml:space="preserve">Zavádění moderních technologií umožňuje podnikům přizpůsobit se změnám vnějšího prostředí (rychle reagovat na potřeby trhu), významně zvýšit produktivitu </w:t>
      </w:r>
      <w:proofErr w:type="gramStart"/>
      <w:r>
        <w:rPr>
          <w:rFonts w:ascii="Times New Roman" w:hAnsi="Times New Roman" w:cs="Times New Roman"/>
        </w:rPr>
        <w:t>práce</w:t>
      </w:r>
      <w:proofErr w:type="gramEnd"/>
      <w:r>
        <w:rPr>
          <w:rFonts w:ascii="Times New Roman" w:hAnsi="Times New Roman" w:cs="Times New Roman"/>
        </w:rPr>
        <w:t xml:space="preserve"> a tedy svou konkurenceschopnost. </w:t>
      </w:r>
    </w:p>
    <w:p w14:paraId="06732491" w14:textId="77777777" w:rsidR="005F6765" w:rsidRDefault="0020409E" w:rsidP="00E94B9D">
      <w:pPr>
        <w:pStyle w:val="Odstavecseseznamem"/>
        <w:numPr>
          <w:ilvl w:val="0"/>
          <w:numId w:val="1"/>
        </w:numPr>
        <w:spacing w:before="120" w:line="360" w:lineRule="auto"/>
        <w:jc w:val="both"/>
        <w:rPr>
          <w:rFonts w:ascii="Times New Roman" w:hAnsi="Times New Roman" w:cs="Times New Roman"/>
        </w:rPr>
      </w:pPr>
      <w:r>
        <w:rPr>
          <w:rFonts w:ascii="Times New Roman" w:hAnsi="Times New Roman" w:cs="Times New Roman"/>
        </w:rPr>
        <w:t>Zboží a služby, které jsou spojeny s vysokou úrovní znalostí a vzdělání, přinášejí vysokou přidanou hodnotu.</w:t>
      </w:r>
    </w:p>
    <w:p w14:paraId="3E666D35" w14:textId="6BF59C36" w:rsidR="003C18B2" w:rsidRDefault="003C18B2" w:rsidP="003C18B2">
      <w:pPr>
        <w:pStyle w:val="Odstavecseseznamem"/>
        <w:numPr>
          <w:ilvl w:val="0"/>
          <w:numId w:val="1"/>
        </w:numPr>
        <w:spacing w:before="120" w:line="360" w:lineRule="auto"/>
        <w:jc w:val="both"/>
        <w:rPr>
          <w:rFonts w:ascii="Times New Roman" w:hAnsi="Times New Roman" w:cs="Times New Roman"/>
        </w:rPr>
      </w:pPr>
      <w:r>
        <w:rPr>
          <w:rFonts w:ascii="Times New Roman" w:hAnsi="Times New Roman" w:cs="Times New Roman"/>
        </w:rPr>
        <w:t>Rozvoj ICT významně změnil vnímání prostoru a času. Propojení počítači a dalšími technologiemi umožňuje okamžitě reagovat na udá</w:t>
      </w:r>
      <w:r w:rsidR="00BA55C4">
        <w:rPr>
          <w:rFonts w:ascii="Times New Roman" w:hAnsi="Times New Roman" w:cs="Times New Roman"/>
        </w:rPr>
        <w:t>losti na druhé straně zeměkoule.</w:t>
      </w:r>
      <w:r>
        <w:rPr>
          <w:rFonts w:ascii="Times New Roman" w:hAnsi="Times New Roman" w:cs="Times New Roman"/>
        </w:rPr>
        <w:t xml:space="preserve"> </w:t>
      </w:r>
    </w:p>
    <w:p w14:paraId="2D06A288" w14:textId="0ED1E7DE" w:rsidR="003C18B2" w:rsidRPr="003C18B2" w:rsidRDefault="003C18B2" w:rsidP="003C18B2">
      <w:pPr>
        <w:pStyle w:val="Odstavecseseznamem"/>
        <w:numPr>
          <w:ilvl w:val="0"/>
          <w:numId w:val="1"/>
        </w:numPr>
        <w:spacing w:before="120" w:line="360" w:lineRule="auto"/>
        <w:jc w:val="both"/>
        <w:rPr>
          <w:rFonts w:ascii="Times New Roman" w:hAnsi="Times New Roman" w:cs="Times New Roman"/>
        </w:rPr>
      </w:pPr>
      <w:r>
        <w:rPr>
          <w:rFonts w:ascii="Times New Roman" w:hAnsi="Times New Roman" w:cs="Times New Roman"/>
        </w:rPr>
        <w:t xml:space="preserve">Nepředvídatelnost všech důsledků globalizace znamená růst nejistoty (a to nejen v ekonomické oblasti), pro podniky větší ohrožení, ale i příležitosti. Tlak konkurenčního prostředí roste. Významným nástrojem konkurenceschopnosti se stávají lidské zdroje – lidé se svými znalostmi a dovednostmi podstatně ovlivňují využívání ostatních zdrojů podniku (tj. materiálních a finančních). </w:t>
      </w:r>
      <w:r>
        <w:rPr>
          <w:rFonts w:ascii="Times New Roman" w:hAnsi="Times New Roman" w:cs="Times New Roman"/>
        </w:rPr>
        <w:lastRenderedPageBreak/>
        <w:t>Úspěch podniku je determinován schopností managementu využívat disponibilní podnikové zdroje (materiální, finanční a lidské).</w:t>
      </w:r>
    </w:p>
    <w:p w14:paraId="01D838DA" w14:textId="6F64F319" w:rsidR="0020409E" w:rsidRDefault="00084F79" w:rsidP="00E94B9D">
      <w:pPr>
        <w:pStyle w:val="Odstavecseseznamem"/>
        <w:numPr>
          <w:ilvl w:val="0"/>
          <w:numId w:val="1"/>
        </w:numPr>
        <w:spacing w:before="120" w:line="360" w:lineRule="auto"/>
        <w:jc w:val="both"/>
        <w:rPr>
          <w:rFonts w:ascii="Times New Roman" w:hAnsi="Times New Roman" w:cs="Times New Roman"/>
        </w:rPr>
      </w:pPr>
      <w:r>
        <w:rPr>
          <w:rFonts w:ascii="Times New Roman" w:hAnsi="Times New Roman" w:cs="Times New Roman"/>
        </w:rPr>
        <w:t xml:space="preserve">Podniky mění svou organizační strukturu (stále častěji k horizontálnímu uspořádání a týmové práci), dodavatelé i zákazníci jsou přímo vtahováni do procesu výroby. Mění se ale také styly vedení a řízení lidí. Důležitý význam pro úspěch podniku mají dnes nejen tvrdé faktory řízení </w:t>
      </w:r>
      <w:r w:rsidR="003C18B2">
        <w:rPr>
          <w:rFonts w:ascii="Times New Roman" w:hAnsi="Times New Roman" w:cs="Times New Roman"/>
        </w:rPr>
        <w:t xml:space="preserve">(výkonové ukazatele), ale </w:t>
      </w:r>
      <w:r>
        <w:rPr>
          <w:rFonts w:ascii="Times New Roman" w:hAnsi="Times New Roman" w:cs="Times New Roman"/>
        </w:rPr>
        <w:t xml:space="preserve">roste význam měkkých faktorů řízení, jako je např. podniková kultura, </w:t>
      </w:r>
      <w:proofErr w:type="spellStart"/>
      <w:r>
        <w:rPr>
          <w:rFonts w:ascii="Times New Roman" w:hAnsi="Times New Roman" w:cs="Times New Roman"/>
        </w:rPr>
        <w:t>leadership</w:t>
      </w:r>
      <w:proofErr w:type="spellEnd"/>
      <w:r>
        <w:rPr>
          <w:rFonts w:ascii="Times New Roman" w:hAnsi="Times New Roman" w:cs="Times New Roman"/>
        </w:rPr>
        <w:t xml:space="preserve">, </w:t>
      </w:r>
      <w:r w:rsidR="00AE17A5">
        <w:rPr>
          <w:rFonts w:ascii="Times New Roman" w:hAnsi="Times New Roman" w:cs="Times New Roman"/>
        </w:rPr>
        <w:t xml:space="preserve">možnost dalšího vzdělávání a rozvoje zaměstnanců, </w:t>
      </w:r>
      <w:r w:rsidR="003C18B2">
        <w:rPr>
          <w:rFonts w:ascii="Times New Roman" w:hAnsi="Times New Roman" w:cs="Times New Roman"/>
        </w:rPr>
        <w:t xml:space="preserve">jejich kariérního růstu, neboť pouze spokojený, loajální a dobře motivovaný </w:t>
      </w:r>
      <w:r w:rsidR="00AE17A5">
        <w:rPr>
          <w:rFonts w:ascii="Times New Roman" w:hAnsi="Times New Roman" w:cs="Times New Roman"/>
        </w:rPr>
        <w:t>zaměstnanec, který disponuje požadovanými kompetencemi (znalostmi, dovednostmi, schopnostmi), může podávat maximální výkon.</w:t>
      </w:r>
    </w:p>
    <w:p w14:paraId="52A6168D" w14:textId="046CA8AF" w:rsidR="00CA2B2C" w:rsidRDefault="008B0544" w:rsidP="00511C8E">
      <w:pPr>
        <w:spacing w:before="120" w:line="360" w:lineRule="auto"/>
        <w:jc w:val="both"/>
        <w:rPr>
          <w:rFonts w:ascii="Times New Roman" w:hAnsi="Times New Roman" w:cs="Times New Roman"/>
        </w:rPr>
      </w:pPr>
      <w:r>
        <w:rPr>
          <w:rFonts w:ascii="Times New Roman" w:hAnsi="Times New Roman" w:cs="Times New Roman"/>
        </w:rPr>
        <w:t xml:space="preserve">Všechny naznačené procesy vedly k tomu, že </w:t>
      </w:r>
      <w:r>
        <w:rPr>
          <w:rFonts w:ascii="Times New Roman" w:hAnsi="Times New Roman" w:cs="Times New Roman"/>
          <w:b/>
        </w:rPr>
        <w:t>podstatně vzrostl význam vzdělání a znalostí jako důležitého faktoru konkurenceschopnosti</w:t>
      </w:r>
      <w:r>
        <w:rPr>
          <w:rFonts w:ascii="Times New Roman" w:hAnsi="Times New Roman" w:cs="Times New Roman"/>
        </w:rPr>
        <w:t xml:space="preserve">, a to jak </w:t>
      </w:r>
      <w:r w:rsidRPr="004B119B">
        <w:rPr>
          <w:rFonts w:ascii="Times New Roman" w:hAnsi="Times New Roman" w:cs="Times New Roman"/>
          <w:b/>
        </w:rPr>
        <w:t>na</w:t>
      </w:r>
      <w:r>
        <w:rPr>
          <w:rFonts w:ascii="Times New Roman" w:hAnsi="Times New Roman" w:cs="Times New Roman"/>
        </w:rPr>
        <w:t xml:space="preserve"> </w:t>
      </w:r>
      <w:r w:rsidR="00CA2B2C" w:rsidRPr="004B119B">
        <w:rPr>
          <w:rFonts w:ascii="Times New Roman" w:hAnsi="Times New Roman" w:cs="Times New Roman"/>
          <w:b/>
        </w:rPr>
        <w:t>úrovni</w:t>
      </w:r>
      <w:r w:rsidR="00CA2B2C">
        <w:rPr>
          <w:rFonts w:ascii="Times New Roman" w:hAnsi="Times New Roman" w:cs="Times New Roman"/>
        </w:rPr>
        <w:t xml:space="preserve"> </w:t>
      </w:r>
      <w:r w:rsidR="00CA2B2C" w:rsidRPr="004B119B">
        <w:rPr>
          <w:rFonts w:ascii="Times New Roman" w:hAnsi="Times New Roman" w:cs="Times New Roman"/>
          <w:b/>
        </w:rPr>
        <w:t>jednotlivých</w:t>
      </w:r>
      <w:r w:rsidR="00CA2B2C">
        <w:rPr>
          <w:rFonts w:ascii="Times New Roman" w:hAnsi="Times New Roman" w:cs="Times New Roman"/>
        </w:rPr>
        <w:t xml:space="preserve"> </w:t>
      </w:r>
      <w:r w:rsidR="00CA2B2C" w:rsidRPr="004B119B">
        <w:rPr>
          <w:rFonts w:ascii="Times New Roman" w:hAnsi="Times New Roman" w:cs="Times New Roman"/>
          <w:b/>
        </w:rPr>
        <w:t>zemí</w:t>
      </w:r>
      <w:r w:rsidR="00CA2B2C">
        <w:rPr>
          <w:rFonts w:ascii="Times New Roman" w:hAnsi="Times New Roman" w:cs="Times New Roman"/>
        </w:rPr>
        <w:t xml:space="preserve"> (integračních seskupení, regionů), tak </w:t>
      </w:r>
      <w:r w:rsidR="00CA2B2C" w:rsidRPr="004B119B">
        <w:rPr>
          <w:rFonts w:ascii="Times New Roman" w:hAnsi="Times New Roman" w:cs="Times New Roman"/>
          <w:b/>
        </w:rPr>
        <w:t>podniků</w:t>
      </w:r>
      <w:r w:rsidR="00CA2B2C">
        <w:rPr>
          <w:rFonts w:ascii="Times New Roman" w:hAnsi="Times New Roman" w:cs="Times New Roman"/>
        </w:rPr>
        <w:t xml:space="preserve"> i </w:t>
      </w:r>
      <w:r w:rsidR="00CA2B2C" w:rsidRPr="004B119B">
        <w:rPr>
          <w:rFonts w:ascii="Times New Roman" w:hAnsi="Times New Roman" w:cs="Times New Roman"/>
          <w:b/>
        </w:rPr>
        <w:t>jednotlivce</w:t>
      </w:r>
      <w:r w:rsidR="00CA2B2C">
        <w:rPr>
          <w:rFonts w:ascii="Times New Roman" w:hAnsi="Times New Roman" w:cs="Times New Roman"/>
        </w:rPr>
        <w:t>:</w:t>
      </w:r>
    </w:p>
    <w:p w14:paraId="70A8883D" w14:textId="1138888A" w:rsidR="00CA2B2C" w:rsidRDefault="00CA2B2C" w:rsidP="00E94B9D">
      <w:pPr>
        <w:pStyle w:val="Odstavecseseznamem"/>
        <w:numPr>
          <w:ilvl w:val="0"/>
          <w:numId w:val="2"/>
        </w:numPr>
        <w:spacing w:before="120" w:line="360" w:lineRule="auto"/>
        <w:jc w:val="both"/>
        <w:rPr>
          <w:rFonts w:ascii="Times New Roman" w:hAnsi="Times New Roman" w:cs="Times New Roman"/>
        </w:rPr>
      </w:pPr>
      <w:r>
        <w:rPr>
          <w:rFonts w:ascii="Times New Roman" w:hAnsi="Times New Roman" w:cs="Times New Roman"/>
        </w:rPr>
        <w:t xml:space="preserve">Je empirický prokázáno, že vyšší úroveň vzdělání ve společnosti (vyšší úroveň lidského kapitálu) je spojena s vyšší ekonomickou úrovní země (blíže viz </w:t>
      </w:r>
      <w:r w:rsidR="00CE3561">
        <w:rPr>
          <w:rFonts w:ascii="Times New Roman" w:hAnsi="Times New Roman" w:cs="Times New Roman"/>
        </w:rPr>
        <w:t xml:space="preserve">např. </w:t>
      </w:r>
      <w:proofErr w:type="spellStart"/>
      <w:r>
        <w:rPr>
          <w:rFonts w:ascii="Times New Roman" w:hAnsi="Times New Roman" w:cs="Times New Roman"/>
        </w:rPr>
        <w:t>Palíšková</w:t>
      </w:r>
      <w:proofErr w:type="spellEnd"/>
      <w:r>
        <w:rPr>
          <w:rFonts w:ascii="Times New Roman" w:hAnsi="Times New Roman" w:cs="Times New Roman"/>
        </w:rPr>
        <w:t>, 2014).</w:t>
      </w:r>
    </w:p>
    <w:p w14:paraId="0F0874F4" w14:textId="2A76737B" w:rsidR="00CA2B2C" w:rsidRDefault="00CA2B2C" w:rsidP="00E94B9D">
      <w:pPr>
        <w:pStyle w:val="Odstavecseseznamem"/>
        <w:numPr>
          <w:ilvl w:val="0"/>
          <w:numId w:val="2"/>
        </w:numPr>
        <w:spacing w:before="120" w:line="360" w:lineRule="auto"/>
        <w:jc w:val="both"/>
        <w:rPr>
          <w:rFonts w:ascii="Times New Roman" w:hAnsi="Times New Roman" w:cs="Times New Roman"/>
        </w:rPr>
      </w:pPr>
      <w:r>
        <w:rPr>
          <w:rFonts w:ascii="Times New Roman" w:hAnsi="Times New Roman" w:cs="Times New Roman"/>
        </w:rPr>
        <w:t>P</w:t>
      </w:r>
      <w:r w:rsidR="00D12852">
        <w:rPr>
          <w:rFonts w:ascii="Times New Roman" w:hAnsi="Times New Roman" w:cs="Times New Roman"/>
        </w:rPr>
        <w:t>ro podniky jsou vzdělaní zaměstnanci klíčoví. Velký důraz je kladen na tzv. systematické vzdělávání a rozvoj zaměstnanců. Tento přístup umožňuje nepřetržitě rozvíjet požadované kompetence (znalosti, dovednosti) zaměstnanců, posiluje jejich flexibilitu a působí také jako motivační a stabilizační faktor. Řada podniků uplatňuje specifické postupy řízení a vedení směrem ke znalostním pracovníkům (nositelům inovací) a věnuje se práci s talenty (tzv. talent management).</w:t>
      </w:r>
    </w:p>
    <w:p w14:paraId="5491DAE8" w14:textId="7C5842E4" w:rsidR="00511C8E" w:rsidRPr="00D12852" w:rsidRDefault="00CA2B2C" w:rsidP="00E94B9D">
      <w:pPr>
        <w:pStyle w:val="Odstavecseseznamem"/>
        <w:numPr>
          <w:ilvl w:val="0"/>
          <w:numId w:val="2"/>
        </w:numPr>
        <w:spacing w:before="120" w:line="360" w:lineRule="auto"/>
        <w:jc w:val="both"/>
        <w:rPr>
          <w:rFonts w:ascii="Times New Roman" w:hAnsi="Times New Roman" w:cs="Times New Roman"/>
        </w:rPr>
      </w:pPr>
      <w:r w:rsidRPr="00D12852">
        <w:rPr>
          <w:rFonts w:ascii="Times New Roman" w:hAnsi="Times New Roman" w:cs="Times New Roman"/>
        </w:rPr>
        <w:t xml:space="preserve">Dosažená úroveň vzdělání ale také podstatně ovlivňuje jedince a jeho schopnost uplatnit se na trhu práce. </w:t>
      </w:r>
      <w:r w:rsidR="00D12852">
        <w:rPr>
          <w:rFonts w:ascii="Times New Roman" w:hAnsi="Times New Roman" w:cs="Times New Roman"/>
        </w:rPr>
        <w:t xml:space="preserve">Jedinci s vyšším vzděláním jsou </w:t>
      </w:r>
      <w:r w:rsidR="004B119B">
        <w:rPr>
          <w:rFonts w:ascii="Times New Roman" w:hAnsi="Times New Roman" w:cs="Times New Roman"/>
        </w:rPr>
        <w:t xml:space="preserve">zpravidla také </w:t>
      </w:r>
      <w:r w:rsidR="00D12852">
        <w:rPr>
          <w:rFonts w:ascii="Times New Roman" w:hAnsi="Times New Roman" w:cs="Times New Roman"/>
        </w:rPr>
        <w:t xml:space="preserve">flexibilnější. </w:t>
      </w:r>
      <w:r w:rsidR="004B119B">
        <w:rPr>
          <w:rFonts w:ascii="Times New Roman" w:hAnsi="Times New Roman" w:cs="Times New Roman"/>
        </w:rPr>
        <w:t>Vyšší úroveň vzdělání je spojena s nižší nezaměstnaností.</w:t>
      </w:r>
    </w:p>
    <w:p w14:paraId="644EB542" w14:textId="77777777" w:rsidR="000B10C2" w:rsidRDefault="004B119B" w:rsidP="004B119B">
      <w:pPr>
        <w:spacing w:before="120" w:line="360" w:lineRule="auto"/>
        <w:jc w:val="both"/>
        <w:rPr>
          <w:rFonts w:ascii="Times New Roman" w:hAnsi="Times New Roman" w:cs="Times New Roman"/>
          <w:b/>
        </w:rPr>
      </w:pPr>
      <w:r>
        <w:rPr>
          <w:rFonts w:ascii="Times New Roman" w:hAnsi="Times New Roman" w:cs="Times New Roman"/>
        </w:rPr>
        <w:t xml:space="preserve">S rozvojem ICT se mění nejen struktura pracovních míst, ale současně i požadavky na zaměstnance, a to směrem </w:t>
      </w:r>
      <w:r w:rsidRPr="000B10C2">
        <w:rPr>
          <w:rFonts w:ascii="Times New Roman" w:hAnsi="Times New Roman" w:cs="Times New Roman"/>
          <w:b/>
        </w:rPr>
        <w:t>k vyšší úrovní znalostí a dovedností</w:t>
      </w:r>
      <w:r w:rsidR="00733BDF" w:rsidRPr="000B10C2">
        <w:rPr>
          <w:rFonts w:ascii="Times New Roman" w:hAnsi="Times New Roman" w:cs="Times New Roman"/>
          <w:b/>
        </w:rPr>
        <w:t xml:space="preserve"> </w:t>
      </w:r>
      <w:r>
        <w:rPr>
          <w:rFonts w:ascii="Times New Roman" w:hAnsi="Times New Roman" w:cs="Times New Roman"/>
        </w:rPr>
        <w:t xml:space="preserve">(blíže k této problematice viz např. </w:t>
      </w:r>
      <w:proofErr w:type="spellStart"/>
      <w:r>
        <w:rPr>
          <w:rFonts w:ascii="Times New Roman" w:hAnsi="Times New Roman" w:cs="Times New Roman"/>
        </w:rPr>
        <w:t>Palíšková</w:t>
      </w:r>
      <w:proofErr w:type="spellEnd"/>
      <w:r>
        <w:rPr>
          <w:rFonts w:ascii="Times New Roman" w:hAnsi="Times New Roman" w:cs="Times New Roman"/>
        </w:rPr>
        <w:t>, 2014)</w:t>
      </w:r>
      <w:r w:rsidR="00733BDF">
        <w:rPr>
          <w:rFonts w:ascii="Times New Roman" w:hAnsi="Times New Roman" w:cs="Times New Roman"/>
        </w:rPr>
        <w:t xml:space="preserve">. Mění se ale také </w:t>
      </w:r>
      <w:r w:rsidR="00733BDF" w:rsidRPr="000B10C2">
        <w:rPr>
          <w:rFonts w:ascii="Times New Roman" w:hAnsi="Times New Roman" w:cs="Times New Roman"/>
          <w:b/>
        </w:rPr>
        <w:t>charakter požadovaných znalostí a dovedností.</w:t>
      </w:r>
      <w:r w:rsidR="000B10C2">
        <w:rPr>
          <w:rFonts w:ascii="Times New Roman" w:hAnsi="Times New Roman" w:cs="Times New Roman"/>
        </w:rPr>
        <w:t xml:space="preserve"> </w:t>
      </w:r>
      <w:r w:rsidR="00733BDF">
        <w:rPr>
          <w:rFonts w:ascii="Times New Roman" w:hAnsi="Times New Roman" w:cs="Times New Roman"/>
        </w:rPr>
        <w:t xml:space="preserve">Úzká specializace v určitém oboru je již nedostačující. Stále více pracovních míst vyžaduje, aby zaměstnanci disponovali komplexnějšími znalostmi: byli </w:t>
      </w:r>
      <w:r w:rsidR="00733BDF" w:rsidRPr="000B10C2">
        <w:rPr>
          <w:rFonts w:ascii="Times New Roman" w:hAnsi="Times New Roman" w:cs="Times New Roman"/>
          <w:i/>
        </w:rPr>
        <w:t>speci</w:t>
      </w:r>
      <w:r w:rsidR="000B10C2" w:rsidRPr="000B10C2">
        <w:rPr>
          <w:rFonts w:ascii="Times New Roman" w:hAnsi="Times New Roman" w:cs="Times New Roman"/>
          <w:i/>
        </w:rPr>
        <w:t>alisté</w:t>
      </w:r>
      <w:r w:rsidR="000B10C2">
        <w:rPr>
          <w:rFonts w:ascii="Times New Roman" w:hAnsi="Times New Roman" w:cs="Times New Roman"/>
        </w:rPr>
        <w:t xml:space="preserve"> </w:t>
      </w:r>
      <w:r w:rsidR="000B10C2" w:rsidRPr="000B10C2">
        <w:rPr>
          <w:rFonts w:ascii="Times New Roman" w:hAnsi="Times New Roman" w:cs="Times New Roman"/>
          <w:i/>
        </w:rPr>
        <w:t>v určitém</w:t>
      </w:r>
      <w:r w:rsidR="000B10C2">
        <w:rPr>
          <w:rFonts w:ascii="Times New Roman" w:hAnsi="Times New Roman" w:cs="Times New Roman"/>
        </w:rPr>
        <w:t xml:space="preserve"> </w:t>
      </w:r>
      <w:r w:rsidR="000B10C2" w:rsidRPr="000B10C2">
        <w:rPr>
          <w:rFonts w:ascii="Times New Roman" w:hAnsi="Times New Roman" w:cs="Times New Roman"/>
          <w:i/>
        </w:rPr>
        <w:t>oboru</w:t>
      </w:r>
      <w:r w:rsidR="000B10C2">
        <w:rPr>
          <w:rFonts w:ascii="Times New Roman" w:hAnsi="Times New Roman" w:cs="Times New Roman"/>
        </w:rPr>
        <w:t xml:space="preserve">, ale měli také </w:t>
      </w:r>
      <w:r w:rsidR="000B10C2" w:rsidRPr="000B10C2">
        <w:rPr>
          <w:rFonts w:ascii="Times New Roman" w:hAnsi="Times New Roman" w:cs="Times New Roman"/>
          <w:i/>
        </w:rPr>
        <w:t xml:space="preserve">širší znalosti v souvisejících </w:t>
      </w:r>
      <w:r w:rsidR="000B10C2" w:rsidRPr="000B10C2">
        <w:rPr>
          <w:rFonts w:ascii="Times New Roman" w:hAnsi="Times New Roman" w:cs="Times New Roman"/>
          <w:i/>
        </w:rPr>
        <w:lastRenderedPageBreak/>
        <w:t>oborech,</w:t>
      </w:r>
      <w:r w:rsidR="000B10C2">
        <w:rPr>
          <w:rFonts w:ascii="Times New Roman" w:hAnsi="Times New Roman" w:cs="Times New Roman"/>
        </w:rPr>
        <w:t xml:space="preserve"> disponovali </w:t>
      </w:r>
      <w:r w:rsidR="000B10C2" w:rsidRPr="000B10C2">
        <w:rPr>
          <w:rFonts w:ascii="Times New Roman" w:hAnsi="Times New Roman" w:cs="Times New Roman"/>
          <w:i/>
        </w:rPr>
        <w:t>komunikačními dovednostmi</w:t>
      </w:r>
      <w:r w:rsidR="000B10C2">
        <w:rPr>
          <w:rFonts w:ascii="Times New Roman" w:hAnsi="Times New Roman" w:cs="Times New Roman"/>
        </w:rPr>
        <w:t xml:space="preserve"> a ovládali </w:t>
      </w:r>
      <w:r w:rsidR="000B10C2" w:rsidRPr="000B10C2">
        <w:rPr>
          <w:rFonts w:ascii="Times New Roman" w:hAnsi="Times New Roman" w:cs="Times New Roman"/>
          <w:i/>
        </w:rPr>
        <w:t>informační technologie na požadované úrovni.</w:t>
      </w:r>
      <w:r w:rsidR="000B10C2">
        <w:rPr>
          <w:rFonts w:ascii="Times New Roman" w:hAnsi="Times New Roman" w:cs="Times New Roman"/>
        </w:rPr>
        <w:t xml:space="preserve"> V řadě případů je nutná vyšší úroveň </w:t>
      </w:r>
      <w:r w:rsidR="000B10C2" w:rsidRPr="000B10C2">
        <w:rPr>
          <w:rFonts w:ascii="Times New Roman" w:hAnsi="Times New Roman" w:cs="Times New Roman"/>
          <w:i/>
        </w:rPr>
        <w:t>jazykové</w:t>
      </w:r>
      <w:r w:rsidR="000B10C2">
        <w:rPr>
          <w:rFonts w:ascii="Times New Roman" w:hAnsi="Times New Roman" w:cs="Times New Roman"/>
        </w:rPr>
        <w:t xml:space="preserve"> </w:t>
      </w:r>
      <w:r w:rsidR="000B10C2" w:rsidRPr="000B10C2">
        <w:rPr>
          <w:rFonts w:ascii="Times New Roman" w:hAnsi="Times New Roman" w:cs="Times New Roman"/>
          <w:i/>
        </w:rPr>
        <w:t>vybavenosti</w:t>
      </w:r>
      <w:r w:rsidR="000B10C2">
        <w:rPr>
          <w:rFonts w:ascii="Times New Roman" w:hAnsi="Times New Roman" w:cs="Times New Roman"/>
          <w:i/>
        </w:rPr>
        <w:t xml:space="preserve">. </w:t>
      </w:r>
      <w:r w:rsidR="000B10C2">
        <w:rPr>
          <w:rFonts w:ascii="Times New Roman" w:hAnsi="Times New Roman" w:cs="Times New Roman"/>
          <w:b/>
        </w:rPr>
        <w:t>Požadavky na znalosti a dovednosti zaměstnanců rostou na všech úrovních pracovních míst.</w:t>
      </w:r>
    </w:p>
    <w:p w14:paraId="73F56ECF" w14:textId="40DAC62A" w:rsidR="000B10C2" w:rsidRDefault="009F2D35" w:rsidP="004B119B">
      <w:pPr>
        <w:spacing w:before="120" w:line="360" w:lineRule="auto"/>
        <w:jc w:val="both"/>
        <w:rPr>
          <w:rFonts w:ascii="Times New Roman" w:hAnsi="Times New Roman" w:cs="Times New Roman"/>
        </w:rPr>
      </w:pPr>
      <w:r>
        <w:rPr>
          <w:rFonts w:ascii="Times New Roman" w:hAnsi="Times New Roman" w:cs="Times New Roman"/>
        </w:rPr>
        <w:t>Rychlý technologický rozvoj, časté inovace výrobků (i poskytovaných služeb) a zavádění zcela nových nebo inovovaných výrobních postupů</w:t>
      </w:r>
      <w:r w:rsidR="00036E2E">
        <w:rPr>
          <w:rFonts w:ascii="Times New Roman" w:hAnsi="Times New Roman" w:cs="Times New Roman"/>
        </w:rPr>
        <w:t xml:space="preserve"> či organizace práce</w:t>
      </w:r>
      <w:r>
        <w:rPr>
          <w:rFonts w:ascii="Times New Roman" w:hAnsi="Times New Roman" w:cs="Times New Roman"/>
        </w:rPr>
        <w:t xml:space="preserve"> způsobují </w:t>
      </w:r>
      <w:r>
        <w:rPr>
          <w:rFonts w:ascii="Times New Roman" w:hAnsi="Times New Roman" w:cs="Times New Roman"/>
          <w:b/>
        </w:rPr>
        <w:t>rychlé zastarávání znalostí</w:t>
      </w:r>
      <w:r w:rsidR="00036E2E">
        <w:rPr>
          <w:rFonts w:ascii="Times New Roman" w:hAnsi="Times New Roman" w:cs="Times New Roman"/>
          <w:b/>
        </w:rPr>
        <w:t xml:space="preserve"> a dovedností</w:t>
      </w:r>
      <w:r>
        <w:rPr>
          <w:rFonts w:ascii="Times New Roman" w:hAnsi="Times New Roman" w:cs="Times New Roman"/>
          <w:b/>
        </w:rPr>
        <w:t>.</w:t>
      </w:r>
      <w:r w:rsidR="00036E2E">
        <w:rPr>
          <w:rFonts w:ascii="Times New Roman" w:hAnsi="Times New Roman" w:cs="Times New Roman"/>
          <w:b/>
        </w:rPr>
        <w:t xml:space="preserve"> </w:t>
      </w:r>
      <w:r w:rsidR="00036E2E">
        <w:rPr>
          <w:rFonts w:ascii="Times New Roman" w:hAnsi="Times New Roman" w:cs="Times New Roman"/>
        </w:rPr>
        <w:t xml:space="preserve">Z uvedených důvodů nebývale </w:t>
      </w:r>
      <w:r w:rsidR="00036E2E" w:rsidRPr="00036E2E">
        <w:rPr>
          <w:rFonts w:ascii="Times New Roman" w:hAnsi="Times New Roman" w:cs="Times New Roman"/>
          <w:b/>
        </w:rPr>
        <w:t>roste</w:t>
      </w:r>
      <w:r w:rsidR="00036E2E">
        <w:rPr>
          <w:rFonts w:ascii="Times New Roman" w:hAnsi="Times New Roman" w:cs="Times New Roman"/>
        </w:rPr>
        <w:t xml:space="preserve"> </w:t>
      </w:r>
      <w:r w:rsidR="00036E2E" w:rsidRPr="00036E2E">
        <w:rPr>
          <w:rFonts w:ascii="Times New Roman" w:hAnsi="Times New Roman" w:cs="Times New Roman"/>
          <w:b/>
        </w:rPr>
        <w:t>význam</w:t>
      </w:r>
      <w:r w:rsidR="00036E2E">
        <w:rPr>
          <w:rFonts w:ascii="Times New Roman" w:hAnsi="Times New Roman" w:cs="Times New Roman"/>
          <w:b/>
        </w:rPr>
        <w:t xml:space="preserve"> celoživotního vzdělávání</w:t>
      </w:r>
      <w:r w:rsidR="00CE3561">
        <w:rPr>
          <w:rFonts w:ascii="Times New Roman" w:hAnsi="Times New Roman" w:cs="Times New Roman"/>
          <w:b/>
        </w:rPr>
        <w:t xml:space="preserve"> (učení)</w:t>
      </w:r>
      <w:r w:rsidR="00036E2E">
        <w:rPr>
          <w:rFonts w:ascii="Times New Roman" w:hAnsi="Times New Roman" w:cs="Times New Roman"/>
        </w:rPr>
        <w:t>. Proces</w:t>
      </w:r>
      <w:r w:rsidR="00D41C0B">
        <w:rPr>
          <w:rFonts w:ascii="Times New Roman" w:hAnsi="Times New Roman" w:cs="Times New Roman"/>
        </w:rPr>
        <w:t xml:space="preserve"> celoživotního učení je důležitý</w:t>
      </w:r>
      <w:r w:rsidR="00036E2E">
        <w:rPr>
          <w:rFonts w:ascii="Times New Roman" w:hAnsi="Times New Roman" w:cs="Times New Roman"/>
        </w:rPr>
        <w:t xml:space="preserve"> také z hlediska demografického vývoje – se zvyšováním věku dožití pobývají lidé aktivně na trhu práce delší dobu, než tomu bylo dříve.</w:t>
      </w:r>
      <w:r w:rsidR="00D41C0B">
        <w:rPr>
          <w:rFonts w:ascii="Times New Roman" w:hAnsi="Times New Roman" w:cs="Times New Roman"/>
        </w:rPr>
        <w:t xml:space="preserve"> I z tohoto hlediska je nutné úroveň znalosti a dovednosti aktualizovat a přizpůsobovat požadavkům doby.</w:t>
      </w:r>
    </w:p>
    <w:p w14:paraId="765229B6" w14:textId="2ABFAB9C" w:rsidR="00837D76" w:rsidRPr="00036E2E" w:rsidRDefault="00837D76" w:rsidP="004B119B">
      <w:pPr>
        <w:spacing w:before="120" w:line="360" w:lineRule="auto"/>
        <w:jc w:val="both"/>
        <w:rPr>
          <w:rFonts w:ascii="Times New Roman" w:hAnsi="Times New Roman" w:cs="Times New Roman"/>
        </w:rPr>
      </w:pPr>
      <w:r>
        <w:rPr>
          <w:rFonts w:ascii="Times New Roman" w:hAnsi="Times New Roman" w:cs="Times New Roman"/>
        </w:rPr>
        <w:t xml:space="preserve">Předložená analýza se zabývá problematikou tzv. </w:t>
      </w:r>
      <w:r w:rsidRPr="00837D76">
        <w:rPr>
          <w:rFonts w:ascii="Times New Roman" w:hAnsi="Times New Roman" w:cs="Times New Roman"/>
          <w:b/>
        </w:rPr>
        <w:t>dalšího</w:t>
      </w:r>
      <w:r>
        <w:rPr>
          <w:rFonts w:ascii="Times New Roman" w:hAnsi="Times New Roman" w:cs="Times New Roman"/>
        </w:rPr>
        <w:t xml:space="preserve"> </w:t>
      </w:r>
      <w:r w:rsidRPr="00837D76">
        <w:rPr>
          <w:rFonts w:ascii="Times New Roman" w:hAnsi="Times New Roman" w:cs="Times New Roman"/>
          <w:b/>
        </w:rPr>
        <w:t>vzdělávání</w:t>
      </w:r>
      <w:r>
        <w:rPr>
          <w:rFonts w:ascii="Times New Roman" w:hAnsi="Times New Roman" w:cs="Times New Roman"/>
        </w:rPr>
        <w:t>, které je významnou součástí celoživotního procesu učení.</w:t>
      </w:r>
    </w:p>
    <w:p w14:paraId="6428EAB2" w14:textId="0A0E1CF2" w:rsidR="004B119B" w:rsidRPr="00DB054A" w:rsidRDefault="00916B0B" w:rsidP="00DB054A">
      <w:pPr>
        <w:pStyle w:val="Nadpis2"/>
      </w:pPr>
      <w:bookmarkStart w:id="1" w:name="_Toc398662567"/>
      <w:r w:rsidRPr="00DB054A">
        <w:t>1.1</w:t>
      </w:r>
      <w:r w:rsidR="00912CD7" w:rsidRPr="00DB054A">
        <w:t xml:space="preserve"> Vymez</w:t>
      </w:r>
      <w:r w:rsidR="00E938B6" w:rsidRPr="00DB054A">
        <w:t>ení základních pojmů</w:t>
      </w:r>
      <w:bookmarkEnd w:id="1"/>
    </w:p>
    <w:p w14:paraId="22A4E7D0" w14:textId="0FB4D4D5" w:rsidR="009C7197" w:rsidRPr="00366521" w:rsidRDefault="00CE3561" w:rsidP="00366521">
      <w:pPr>
        <w:spacing w:before="120" w:line="360" w:lineRule="auto"/>
        <w:jc w:val="both"/>
        <w:rPr>
          <w:rFonts w:ascii="Times New Roman" w:hAnsi="Times New Roman" w:cs="Times New Roman"/>
        </w:rPr>
      </w:pPr>
      <w:r>
        <w:rPr>
          <w:rFonts w:ascii="Times New Roman" w:hAnsi="Times New Roman" w:cs="Times New Roman"/>
        </w:rPr>
        <w:t>Níže v</w:t>
      </w:r>
      <w:r w:rsidR="00B919A5">
        <w:rPr>
          <w:rFonts w:ascii="Times New Roman" w:hAnsi="Times New Roman" w:cs="Times New Roman"/>
        </w:rPr>
        <w:t xml:space="preserve"> textu se vyskytuje několik odborných pojmů</w:t>
      </w:r>
      <w:r w:rsidR="00837D76">
        <w:rPr>
          <w:rFonts w:ascii="Times New Roman" w:hAnsi="Times New Roman" w:cs="Times New Roman"/>
        </w:rPr>
        <w:t>,</w:t>
      </w:r>
      <w:r w:rsidR="00B919A5">
        <w:rPr>
          <w:rFonts w:ascii="Times New Roman" w:hAnsi="Times New Roman" w:cs="Times New Roman"/>
        </w:rPr>
        <w:t xml:space="preserve"> které se často </w:t>
      </w:r>
      <w:r>
        <w:rPr>
          <w:rFonts w:ascii="Times New Roman" w:hAnsi="Times New Roman" w:cs="Times New Roman"/>
        </w:rPr>
        <w:t>zaměňují nebo nesprávně používají</w:t>
      </w:r>
      <w:r w:rsidR="00B919A5">
        <w:rPr>
          <w:rFonts w:ascii="Times New Roman" w:hAnsi="Times New Roman" w:cs="Times New Roman"/>
        </w:rPr>
        <w:t>,</w:t>
      </w:r>
      <w:r>
        <w:rPr>
          <w:rFonts w:ascii="Times New Roman" w:hAnsi="Times New Roman" w:cs="Times New Roman"/>
        </w:rPr>
        <w:t xml:space="preserve"> je proto nutné</w:t>
      </w:r>
      <w:r w:rsidR="00837D76">
        <w:rPr>
          <w:rFonts w:ascii="Times New Roman" w:hAnsi="Times New Roman" w:cs="Times New Roman"/>
        </w:rPr>
        <w:t xml:space="preserve"> si je na začátku vysvětlit a blíže specifikovat.</w:t>
      </w:r>
    </w:p>
    <w:p w14:paraId="6E6C2B76" w14:textId="4B97F26E" w:rsidR="009C7197" w:rsidRDefault="009C7197" w:rsidP="00674FDB">
      <w:pPr>
        <w:pStyle w:val="Nadpis3"/>
      </w:pPr>
      <w:bookmarkStart w:id="2" w:name="_Toc398662568"/>
      <w:r>
        <w:t>Dovednosti</w:t>
      </w:r>
      <w:bookmarkEnd w:id="2"/>
      <w:r w:rsidR="00B919A5">
        <w:t xml:space="preserve"> </w:t>
      </w:r>
    </w:p>
    <w:p w14:paraId="5AD5F860" w14:textId="4E0290C8" w:rsidR="00B707EF" w:rsidRDefault="009C7197" w:rsidP="00981818">
      <w:pPr>
        <w:spacing w:before="120" w:line="360" w:lineRule="auto"/>
        <w:jc w:val="both"/>
        <w:rPr>
          <w:rFonts w:ascii="Times New Roman" w:eastAsia="Times New Roman" w:hAnsi="Times New Roman" w:cs="Times New Roman"/>
          <w:bCs/>
          <w:color w:val="222222"/>
        </w:rPr>
      </w:pPr>
      <w:r w:rsidRPr="003C55D6">
        <w:rPr>
          <w:rFonts w:ascii="Times New Roman" w:eastAsia="Times New Roman" w:hAnsi="Times New Roman" w:cs="Times New Roman"/>
          <w:bCs/>
          <w:color w:val="222222"/>
        </w:rPr>
        <w:t>Dovednosti</w:t>
      </w:r>
      <w:r>
        <w:rPr>
          <w:rFonts w:ascii="Times New Roman" w:eastAsia="Times New Roman" w:hAnsi="Times New Roman" w:cs="Times New Roman"/>
          <w:bCs/>
          <w:color w:val="222222"/>
        </w:rPr>
        <w:t xml:space="preserve"> (</w:t>
      </w:r>
      <w:proofErr w:type="spellStart"/>
      <w:r>
        <w:rPr>
          <w:rFonts w:ascii="Times New Roman" w:eastAsia="Times New Roman" w:hAnsi="Times New Roman" w:cs="Times New Roman"/>
          <w:bCs/>
          <w:i/>
          <w:color w:val="222222"/>
        </w:rPr>
        <w:t>skills</w:t>
      </w:r>
      <w:proofErr w:type="spellEnd"/>
      <w:r>
        <w:rPr>
          <w:rFonts w:ascii="Times New Roman" w:eastAsia="Times New Roman" w:hAnsi="Times New Roman" w:cs="Times New Roman"/>
          <w:bCs/>
          <w:color w:val="222222"/>
        </w:rPr>
        <w:t xml:space="preserve">) jsou </w:t>
      </w:r>
      <w:r w:rsidR="002220F0">
        <w:rPr>
          <w:rFonts w:ascii="Times New Roman" w:eastAsia="Times New Roman" w:hAnsi="Times New Roman" w:cs="Times New Roman"/>
          <w:bCs/>
          <w:color w:val="222222"/>
        </w:rPr>
        <w:t xml:space="preserve">bezprostředně spjaté s konkrétní činností, výrobním postupem apod. Vyjadřují úroveň osvojení si určitého stupně dokonalosti při jejich vykonávání. Jinými slovy, </w:t>
      </w:r>
      <w:r>
        <w:rPr>
          <w:rFonts w:ascii="Times New Roman" w:eastAsia="Times New Roman" w:hAnsi="Times New Roman" w:cs="Times New Roman"/>
          <w:bCs/>
          <w:color w:val="222222"/>
        </w:rPr>
        <w:t>uče</w:t>
      </w:r>
      <w:r w:rsidR="00981818">
        <w:rPr>
          <w:rFonts w:ascii="Times New Roman" w:eastAsia="Times New Roman" w:hAnsi="Times New Roman" w:cs="Times New Roman"/>
          <w:bCs/>
          <w:color w:val="222222"/>
        </w:rPr>
        <w:t xml:space="preserve">ním a praxí získané dispozice k efektivnímu (tj. správnému, kvalitnímu, rychlému a úspornému) vykonávání určité činnosti vhodnou metodou. </w:t>
      </w:r>
    </w:p>
    <w:p w14:paraId="59D819BC" w14:textId="3F2859C8" w:rsidR="00B919A5" w:rsidRDefault="00B919A5" w:rsidP="00B919A5">
      <w:pPr>
        <w:pStyle w:val="Nadpis3"/>
        <w:rPr>
          <w:rFonts w:ascii="Times New Roman" w:eastAsia="Times New Roman" w:hAnsi="Times New Roman" w:cs="Times New Roman"/>
          <w:color w:val="222222"/>
        </w:rPr>
      </w:pPr>
      <w:bookmarkStart w:id="3" w:name="_Toc398662569"/>
      <w:r>
        <w:t>Schopnosti</w:t>
      </w:r>
      <w:bookmarkEnd w:id="3"/>
    </w:p>
    <w:p w14:paraId="061A8C0F" w14:textId="77777777" w:rsidR="00795DE3" w:rsidRDefault="00366521" w:rsidP="00981818">
      <w:pPr>
        <w:spacing w:before="120" w:line="360" w:lineRule="auto"/>
        <w:jc w:val="both"/>
        <w:rPr>
          <w:rFonts w:ascii="Times New Roman" w:eastAsia="Times New Roman" w:hAnsi="Times New Roman" w:cs="Times New Roman"/>
          <w:bCs/>
          <w:color w:val="222222"/>
        </w:rPr>
      </w:pPr>
      <w:r w:rsidRPr="003C55D6">
        <w:rPr>
          <w:rFonts w:ascii="Times New Roman" w:eastAsia="Times New Roman" w:hAnsi="Times New Roman" w:cs="Times New Roman"/>
          <w:bCs/>
          <w:color w:val="222222"/>
        </w:rPr>
        <w:t>Schopnosti</w:t>
      </w:r>
      <w:r>
        <w:rPr>
          <w:rFonts w:ascii="Times New Roman" w:eastAsia="Times New Roman" w:hAnsi="Times New Roman" w:cs="Times New Roman"/>
          <w:bCs/>
          <w:color w:val="222222"/>
        </w:rPr>
        <w:t xml:space="preserve"> vyjadřují </w:t>
      </w:r>
      <w:r w:rsidR="00795DE3">
        <w:rPr>
          <w:rFonts w:ascii="Times New Roman" w:eastAsia="Times New Roman" w:hAnsi="Times New Roman" w:cs="Times New Roman"/>
          <w:bCs/>
          <w:color w:val="222222"/>
        </w:rPr>
        <w:t>dispozice</w:t>
      </w:r>
      <w:r w:rsidR="00C85B26">
        <w:rPr>
          <w:rFonts w:ascii="Times New Roman" w:eastAsia="Times New Roman" w:hAnsi="Times New Roman" w:cs="Times New Roman"/>
          <w:bCs/>
          <w:color w:val="222222"/>
        </w:rPr>
        <w:t xml:space="preserve"> jedince dosáhnout určité úrovně dovedností, tzv. osobní strop</w:t>
      </w:r>
      <w:r w:rsidR="00795DE3">
        <w:rPr>
          <w:rFonts w:ascii="Times New Roman" w:eastAsia="Times New Roman" w:hAnsi="Times New Roman" w:cs="Times New Roman"/>
          <w:bCs/>
          <w:color w:val="222222"/>
        </w:rPr>
        <w:t xml:space="preserve"> výkonnosti jedince. Projevují se v kvalitě a kvantitě podávaného výkonu.</w:t>
      </w:r>
    </w:p>
    <w:p w14:paraId="0A092028" w14:textId="1B23517C" w:rsidR="00B919A5" w:rsidRDefault="00B919A5" w:rsidP="00B919A5">
      <w:pPr>
        <w:pStyle w:val="Nadpis3"/>
      </w:pPr>
      <w:bookmarkStart w:id="4" w:name="_Toc398662570"/>
      <w:r>
        <w:t>Znalosti</w:t>
      </w:r>
      <w:bookmarkEnd w:id="4"/>
    </w:p>
    <w:p w14:paraId="545930ED" w14:textId="7C171858" w:rsidR="009C7197" w:rsidRDefault="00795DE3" w:rsidP="00B919A5">
      <w:pPr>
        <w:spacing w:before="120" w:line="360" w:lineRule="auto"/>
        <w:jc w:val="both"/>
        <w:rPr>
          <w:rFonts w:ascii="Times New Roman" w:eastAsia="Times New Roman" w:hAnsi="Times New Roman" w:cs="Times New Roman"/>
          <w:bCs/>
          <w:color w:val="222222"/>
        </w:rPr>
      </w:pPr>
      <w:r w:rsidRPr="003C55D6">
        <w:rPr>
          <w:rFonts w:ascii="Times New Roman" w:eastAsia="Times New Roman" w:hAnsi="Times New Roman" w:cs="Times New Roman"/>
          <w:bCs/>
          <w:color w:val="222222"/>
        </w:rPr>
        <w:t>Znalosti</w:t>
      </w:r>
      <w:r>
        <w:rPr>
          <w:rFonts w:ascii="Times New Roman" w:eastAsia="Times New Roman" w:hAnsi="Times New Roman" w:cs="Times New Roman"/>
          <w:b/>
          <w:bCs/>
          <w:color w:val="222222"/>
        </w:rPr>
        <w:t xml:space="preserve"> </w:t>
      </w:r>
      <w:r>
        <w:rPr>
          <w:rFonts w:ascii="Times New Roman" w:eastAsia="Times New Roman" w:hAnsi="Times New Roman" w:cs="Times New Roman"/>
          <w:bCs/>
          <w:color w:val="222222"/>
        </w:rPr>
        <w:t>(</w:t>
      </w:r>
      <w:proofErr w:type="spellStart"/>
      <w:r>
        <w:rPr>
          <w:rFonts w:ascii="Times New Roman" w:eastAsia="Times New Roman" w:hAnsi="Times New Roman" w:cs="Times New Roman"/>
          <w:bCs/>
          <w:i/>
          <w:color w:val="222222"/>
        </w:rPr>
        <w:t>knowledge</w:t>
      </w:r>
      <w:proofErr w:type="spellEnd"/>
      <w:r w:rsidR="00EF0CB9">
        <w:rPr>
          <w:rFonts w:ascii="Times New Roman" w:eastAsia="Times New Roman" w:hAnsi="Times New Roman" w:cs="Times New Roman"/>
          <w:bCs/>
          <w:color w:val="222222"/>
        </w:rPr>
        <w:t>) lze</w:t>
      </w:r>
      <w:r>
        <w:rPr>
          <w:rFonts w:ascii="Times New Roman" w:eastAsia="Times New Roman" w:hAnsi="Times New Roman" w:cs="Times New Roman"/>
          <w:bCs/>
          <w:color w:val="222222"/>
        </w:rPr>
        <w:t xml:space="preserve"> definovat jako schopnosti jedince spojovat informace a vjemy do souvislostí a na základě toho usměrňovat své jednání nebo rozhodování. </w:t>
      </w:r>
      <w:r w:rsidR="00B919A5">
        <w:rPr>
          <w:rFonts w:ascii="Times New Roman" w:eastAsia="Times New Roman" w:hAnsi="Times New Roman" w:cs="Times New Roman"/>
          <w:bCs/>
          <w:color w:val="222222"/>
        </w:rPr>
        <w:t>Jedinec získává své znalosti na základě studia, praxí a zkušeností. Úroveň znalostí závisí na vrozené inteligenci jedince.</w:t>
      </w:r>
    </w:p>
    <w:p w14:paraId="737A3299" w14:textId="7B1EF8E6" w:rsidR="00F65BF8" w:rsidRDefault="00F65BF8" w:rsidP="007C64E0">
      <w:pPr>
        <w:pStyle w:val="Nadpis3"/>
      </w:pPr>
      <w:bookmarkStart w:id="5" w:name="_Toc398662571"/>
      <w:r>
        <w:lastRenderedPageBreak/>
        <w:t>Lidský kapitál</w:t>
      </w:r>
      <w:bookmarkEnd w:id="5"/>
    </w:p>
    <w:p w14:paraId="31F41038" w14:textId="26A31B7A" w:rsidR="00F65BF8" w:rsidRPr="00B919A5" w:rsidRDefault="00F65BF8" w:rsidP="00B919A5">
      <w:pPr>
        <w:spacing w:before="120" w:line="360" w:lineRule="auto"/>
        <w:jc w:val="both"/>
        <w:rPr>
          <w:rFonts w:ascii="Times New Roman" w:eastAsia="Times New Roman" w:hAnsi="Times New Roman" w:cs="Times New Roman"/>
          <w:bCs/>
          <w:color w:val="222222"/>
        </w:rPr>
      </w:pPr>
      <w:r>
        <w:rPr>
          <w:rFonts w:ascii="Times New Roman" w:eastAsia="Times New Roman" w:hAnsi="Times New Roman" w:cs="Times New Roman"/>
          <w:bCs/>
          <w:color w:val="222222"/>
        </w:rPr>
        <w:t>Neexistuje</w:t>
      </w:r>
      <w:r w:rsidR="00CE3561">
        <w:rPr>
          <w:rFonts w:ascii="Times New Roman" w:eastAsia="Times New Roman" w:hAnsi="Times New Roman" w:cs="Times New Roman"/>
          <w:bCs/>
          <w:color w:val="222222"/>
        </w:rPr>
        <w:t xml:space="preserve"> jednotná definice uvedeného</w:t>
      </w:r>
      <w:r>
        <w:rPr>
          <w:rFonts w:ascii="Times New Roman" w:eastAsia="Times New Roman" w:hAnsi="Times New Roman" w:cs="Times New Roman"/>
          <w:bCs/>
          <w:color w:val="222222"/>
        </w:rPr>
        <w:t xml:space="preserve"> pojmu. Lidský kapitál (</w:t>
      </w:r>
      <w:proofErr w:type="spellStart"/>
      <w:r>
        <w:rPr>
          <w:rFonts w:ascii="Times New Roman" w:eastAsia="Times New Roman" w:hAnsi="Times New Roman" w:cs="Times New Roman"/>
          <w:bCs/>
          <w:i/>
          <w:color w:val="222222"/>
        </w:rPr>
        <w:t>Human</w:t>
      </w:r>
      <w:proofErr w:type="spellEnd"/>
      <w:r>
        <w:rPr>
          <w:rFonts w:ascii="Times New Roman" w:eastAsia="Times New Roman" w:hAnsi="Times New Roman" w:cs="Times New Roman"/>
          <w:bCs/>
          <w:i/>
          <w:color w:val="222222"/>
        </w:rPr>
        <w:t xml:space="preserve"> </w:t>
      </w:r>
      <w:proofErr w:type="spellStart"/>
      <w:r w:rsidRPr="00F65BF8">
        <w:rPr>
          <w:rFonts w:ascii="Times New Roman" w:eastAsia="Times New Roman" w:hAnsi="Times New Roman" w:cs="Times New Roman"/>
          <w:bCs/>
          <w:i/>
          <w:color w:val="222222"/>
        </w:rPr>
        <w:t>Capital</w:t>
      </w:r>
      <w:proofErr w:type="spellEnd"/>
      <w:r>
        <w:rPr>
          <w:rFonts w:ascii="Times New Roman" w:eastAsia="Times New Roman" w:hAnsi="Times New Roman" w:cs="Times New Roman"/>
          <w:bCs/>
          <w:color w:val="222222"/>
        </w:rPr>
        <w:t>) představuje znalosti, schopnosti a dovednosti, jimiž jedinec</w:t>
      </w:r>
      <w:r w:rsidR="00CE3561" w:rsidRPr="00CE3561">
        <w:rPr>
          <w:rFonts w:ascii="Times New Roman" w:eastAsia="Times New Roman" w:hAnsi="Times New Roman" w:cs="Times New Roman"/>
          <w:bCs/>
          <w:color w:val="222222"/>
        </w:rPr>
        <w:t xml:space="preserve"> </w:t>
      </w:r>
      <w:r w:rsidR="00CE3561">
        <w:rPr>
          <w:rFonts w:ascii="Times New Roman" w:eastAsia="Times New Roman" w:hAnsi="Times New Roman" w:cs="Times New Roman"/>
          <w:bCs/>
          <w:color w:val="222222"/>
        </w:rPr>
        <w:t>disponuje, a současně</w:t>
      </w:r>
      <w:r>
        <w:rPr>
          <w:rFonts w:ascii="Times New Roman" w:eastAsia="Times New Roman" w:hAnsi="Times New Roman" w:cs="Times New Roman"/>
          <w:bCs/>
          <w:color w:val="222222"/>
        </w:rPr>
        <w:t xml:space="preserve"> schopnost jedince </w:t>
      </w:r>
      <w:r w:rsidR="00CE3561">
        <w:rPr>
          <w:rFonts w:ascii="Times New Roman" w:eastAsia="Times New Roman" w:hAnsi="Times New Roman" w:cs="Times New Roman"/>
          <w:bCs/>
          <w:color w:val="222222"/>
        </w:rPr>
        <w:t xml:space="preserve">tyto </w:t>
      </w:r>
      <w:r>
        <w:rPr>
          <w:rFonts w:ascii="Times New Roman" w:eastAsia="Times New Roman" w:hAnsi="Times New Roman" w:cs="Times New Roman"/>
          <w:bCs/>
          <w:color w:val="222222"/>
        </w:rPr>
        <w:t xml:space="preserve">své znalosti a dovednosti </w:t>
      </w:r>
      <w:r w:rsidR="00CE3561">
        <w:rPr>
          <w:rFonts w:ascii="Times New Roman" w:eastAsia="Times New Roman" w:hAnsi="Times New Roman" w:cs="Times New Roman"/>
          <w:bCs/>
          <w:color w:val="222222"/>
        </w:rPr>
        <w:t xml:space="preserve">uplatnit </w:t>
      </w:r>
      <w:r>
        <w:rPr>
          <w:rFonts w:ascii="Times New Roman" w:eastAsia="Times New Roman" w:hAnsi="Times New Roman" w:cs="Times New Roman"/>
          <w:bCs/>
          <w:color w:val="222222"/>
        </w:rPr>
        <w:t>v praxi.</w:t>
      </w:r>
    </w:p>
    <w:p w14:paraId="46CAA45E" w14:textId="58881514" w:rsidR="00837D76" w:rsidRDefault="00837D76" w:rsidP="00674FDB">
      <w:pPr>
        <w:pStyle w:val="Nadpis3"/>
      </w:pPr>
      <w:bookmarkStart w:id="6" w:name="_Toc398662572"/>
      <w:r>
        <w:t>Celoživotní učení (vzdělávání)</w:t>
      </w:r>
      <w:bookmarkEnd w:id="6"/>
    </w:p>
    <w:p w14:paraId="4ED3B06D" w14:textId="64085636" w:rsidR="00837D76" w:rsidRDefault="00EF0CB9" w:rsidP="00EF0CB9">
      <w:pPr>
        <w:spacing w:before="120" w:line="360" w:lineRule="auto"/>
        <w:jc w:val="both"/>
        <w:rPr>
          <w:rFonts w:ascii="Times New Roman" w:hAnsi="Times New Roman" w:cs="Times New Roman"/>
        </w:rPr>
      </w:pPr>
      <w:r>
        <w:rPr>
          <w:rFonts w:ascii="Times New Roman" w:hAnsi="Times New Roman" w:cs="Times New Roman"/>
        </w:rPr>
        <w:t>Celoživotní učení je možné</w:t>
      </w:r>
      <w:r w:rsidR="009C7197">
        <w:rPr>
          <w:rFonts w:ascii="Times New Roman" w:hAnsi="Times New Roman" w:cs="Times New Roman"/>
        </w:rPr>
        <w:t xml:space="preserve"> charakterizovat jako proces nepřetržitého získávání a rozvoje znalostí, scho</w:t>
      </w:r>
      <w:r>
        <w:rPr>
          <w:rFonts w:ascii="Times New Roman" w:hAnsi="Times New Roman" w:cs="Times New Roman"/>
        </w:rPr>
        <w:t xml:space="preserve">pností a praktických dovedností. Od roku 1996 se používá místo pojmu „vzdělávání“ pojem </w:t>
      </w:r>
      <w:r w:rsidRPr="00EF0CB9">
        <w:rPr>
          <w:rFonts w:ascii="Times New Roman" w:hAnsi="Times New Roman" w:cs="Times New Roman"/>
          <w:i/>
        </w:rPr>
        <w:t>učení</w:t>
      </w:r>
      <w:r>
        <w:rPr>
          <w:rFonts w:ascii="Times New Roman" w:hAnsi="Times New Roman" w:cs="Times New Roman"/>
        </w:rPr>
        <w:t>, který zdůrazňuje nutnost aktivního příst</w:t>
      </w:r>
      <w:r w:rsidR="00EA735B">
        <w:rPr>
          <w:rFonts w:ascii="Times New Roman" w:hAnsi="Times New Roman" w:cs="Times New Roman"/>
        </w:rPr>
        <w:t xml:space="preserve">upu jedince. Celoživotní učení zahrnuje </w:t>
      </w:r>
      <w:r w:rsidR="00EA735B">
        <w:rPr>
          <w:rFonts w:ascii="Times New Roman" w:hAnsi="Times New Roman" w:cs="Times New Roman"/>
          <w:i/>
        </w:rPr>
        <w:t xml:space="preserve">počáteční vzdělávání </w:t>
      </w:r>
      <w:r w:rsidR="00EA735B">
        <w:rPr>
          <w:rFonts w:ascii="Times New Roman" w:hAnsi="Times New Roman" w:cs="Times New Roman"/>
        </w:rPr>
        <w:t xml:space="preserve">(primární, sekundární a terciární) a </w:t>
      </w:r>
      <w:r w:rsidR="00EA735B" w:rsidRPr="00EA735B">
        <w:rPr>
          <w:rFonts w:ascii="Times New Roman" w:hAnsi="Times New Roman" w:cs="Times New Roman"/>
          <w:i/>
        </w:rPr>
        <w:t>další</w:t>
      </w:r>
      <w:r w:rsidR="00EA735B">
        <w:rPr>
          <w:rFonts w:ascii="Times New Roman" w:hAnsi="Times New Roman" w:cs="Times New Roman"/>
        </w:rPr>
        <w:t xml:space="preserve"> </w:t>
      </w:r>
      <w:r w:rsidR="00EA735B" w:rsidRPr="00EA735B">
        <w:rPr>
          <w:rFonts w:ascii="Times New Roman" w:hAnsi="Times New Roman" w:cs="Times New Roman"/>
          <w:i/>
        </w:rPr>
        <w:t>vzdělávání</w:t>
      </w:r>
      <w:r w:rsidR="00230987">
        <w:rPr>
          <w:rFonts w:ascii="Times New Roman" w:hAnsi="Times New Roman" w:cs="Times New Roman"/>
        </w:rPr>
        <w:t>.</w:t>
      </w:r>
    </w:p>
    <w:p w14:paraId="1656E633" w14:textId="3CECCA94" w:rsidR="00EA735B" w:rsidRDefault="00EA735B" w:rsidP="00EF0CB9">
      <w:pPr>
        <w:spacing w:before="120" w:line="360" w:lineRule="auto"/>
        <w:jc w:val="both"/>
        <w:rPr>
          <w:rFonts w:ascii="Times New Roman" w:hAnsi="Times New Roman" w:cs="Times New Roman"/>
        </w:rPr>
      </w:pPr>
      <w:r>
        <w:rPr>
          <w:rFonts w:ascii="Times New Roman" w:hAnsi="Times New Roman" w:cs="Times New Roman"/>
        </w:rPr>
        <w:t>Rozlišují se tři formy celoživotního učení:</w:t>
      </w:r>
    </w:p>
    <w:p w14:paraId="41503422" w14:textId="4889B954" w:rsidR="00EA735B" w:rsidRDefault="00EA735B" w:rsidP="00E94B9D">
      <w:pPr>
        <w:pStyle w:val="Odstavecseseznamem"/>
        <w:numPr>
          <w:ilvl w:val="0"/>
          <w:numId w:val="3"/>
        </w:numPr>
        <w:spacing w:before="120" w:line="360" w:lineRule="auto"/>
        <w:jc w:val="both"/>
        <w:rPr>
          <w:rFonts w:ascii="Times New Roman" w:hAnsi="Times New Roman" w:cs="Times New Roman"/>
        </w:rPr>
      </w:pPr>
      <w:r>
        <w:rPr>
          <w:rFonts w:ascii="Times New Roman" w:hAnsi="Times New Roman" w:cs="Times New Roman"/>
        </w:rPr>
        <w:t xml:space="preserve">Formální – na sebe navazující stupně vzdělání, které vedou k získání diplomu a kvalifikací (základní vzdělání, střední vzdělání, střední vzdělání s výučním listem, střední vzdělání s maturitou, konzervatoř, vyšší odborné vzdělání, vysokoškolské vzdělání) včetně </w:t>
      </w:r>
      <w:r w:rsidR="00A44BF8">
        <w:rPr>
          <w:rFonts w:ascii="Times New Roman" w:hAnsi="Times New Roman" w:cs="Times New Roman"/>
        </w:rPr>
        <w:t>programů celoživotního vzdělávání (zpravidla ve formě placených kurzů) na vysokých školách, po jejichž absolvování získá účastník osvědčení</w:t>
      </w:r>
      <w:r w:rsidR="00230987">
        <w:rPr>
          <w:rFonts w:ascii="Times New Roman" w:hAnsi="Times New Roman" w:cs="Times New Roman"/>
        </w:rPr>
        <w:t xml:space="preserve"> (diplom)</w:t>
      </w:r>
      <w:r w:rsidR="00A44BF8">
        <w:rPr>
          <w:rFonts w:ascii="Times New Roman" w:hAnsi="Times New Roman" w:cs="Times New Roman"/>
        </w:rPr>
        <w:t>.</w:t>
      </w:r>
    </w:p>
    <w:p w14:paraId="42399344" w14:textId="24B4D15A" w:rsidR="00A44BF8" w:rsidRDefault="00A44BF8" w:rsidP="00E94B9D">
      <w:pPr>
        <w:pStyle w:val="Odstavecseseznamem"/>
        <w:numPr>
          <w:ilvl w:val="0"/>
          <w:numId w:val="3"/>
        </w:numPr>
        <w:spacing w:before="120" w:line="360" w:lineRule="auto"/>
        <w:jc w:val="both"/>
        <w:rPr>
          <w:rFonts w:ascii="Times New Roman" w:hAnsi="Times New Roman" w:cs="Times New Roman"/>
        </w:rPr>
      </w:pPr>
      <w:r>
        <w:rPr>
          <w:rFonts w:ascii="Times New Roman" w:hAnsi="Times New Roman" w:cs="Times New Roman"/>
        </w:rPr>
        <w:t xml:space="preserve">Neformální – nevede k získání dalšího stupně vzdělání. Cílem je získat určité kompetence (znalosti a dovednosti) k rozvoji pracovního a společenského uplatnění. Neformální vzdělávání poskytují </w:t>
      </w:r>
      <w:r w:rsidR="00DF6A18">
        <w:rPr>
          <w:rFonts w:ascii="Times New Roman" w:hAnsi="Times New Roman" w:cs="Times New Roman"/>
        </w:rPr>
        <w:t xml:space="preserve">úřady práce, </w:t>
      </w:r>
      <w:r>
        <w:rPr>
          <w:rFonts w:ascii="Times New Roman" w:hAnsi="Times New Roman" w:cs="Times New Roman"/>
        </w:rPr>
        <w:t>zaměstnavatelé, soukromé instituce, neziskové organizace, nadace, školy a další subjekty (např. počítačové a jazykové kurzy, školení, volnočasové aktivity).</w:t>
      </w:r>
    </w:p>
    <w:p w14:paraId="45F28187" w14:textId="6EF55151" w:rsidR="00A44BF8" w:rsidRDefault="00A44BF8" w:rsidP="00E94B9D">
      <w:pPr>
        <w:pStyle w:val="Odstavecseseznamem"/>
        <w:numPr>
          <w:ilvl w:val="0"/>
          <w:numId w:val="3"/>
        </w:numPr>
        <w:spacing w:before="120" w:line="360" w:lineRule="auto"/>
        <w:jc w:val="both"/>
        <w:rPr>
          <w:rFonts w:ascii="Times New Roman" w:hAnsi="Times New Roman" w:cs="Times New Roman"/>
        </w:rPr>
      </w:pPr>
      <w:r>
        <w:rPr>
          <w:rFonts w:ascii="Times New Roman" w:hAnsi="Times New Roman" w:cs="Times New Roman"/>
        </w:rPr>
        <w:t>Informální – zahrnuje sebevzdělávání, tj. získávání a rozvoj dovedností a znalostí na základě každodenních aktivit (v práci i ve volném čase).</w:t>
      </w:r>
    </w:p>
    <w:p w14:paraId="3E86DFEA" w14:textId="23F83B07" w:rsidR="003C55D6" w:rsidRDefault="00DF6A18" w:rsidP="00DF6A18">
      <w:pPr>
        <w:pStyle w:val="Nadpis3"/>
      </w:pPr>
      <w:bookmarkStart w:id="7" w:name="_Toc398662573"/>
      <w:r>
        <w:t>Další vzdělávání</w:t>
      </w:r>
      <w:bookmarkEnd w:id="7"/>
    </w:p>
    <w:p w14:paraId="61EEDF45" w14:textId="47D03B5E" w:rsidR="00DF6A18" w:rsidRPr="00DF6A18" w:rsidRDefault="00DF6A18" w:rsidP="00DF6A18">
      <w:pPr>
        <w:spacing w:before="120" w:line="360" w:lineRule="auto"/>
        <w:jc w:val="both"/>
        <w:rPr>
          <w:rFonts w:ascii="Times New Roman" w:hAnsi="Times New Roman" w:cs="Times New Roman"/>
        </w:rPr>
      </w:pPr>
      <w:r>
        <w:rPr>
          <w:rFonts w:ascii="Times New Roman" w:hAnsi="Times New Roman" w:cs="Times New Roman"/>
        </w:rPr>
        <w:t>Další vzdělávání lze definovat jako proces, jehož cílem je buď dosáhnout vyššího stupně vzdělání, nebo získat novou kvalifikaci (rekvalifikovat se), popř. doplnit (prohloubit) znalosti a dovednosti v rámci stávající kvalifikace. Probíhá v období po skončení počátečního vzdělávání, zpravidla již po vstupu na trh práce (jedná se tedy o užší pojem než celoživotní učení). Rozlišuje se další vzdělávání formální a neformální. Blíže k této problematice viz Kapitola 2.</w:t>
      </w:r>
    </w:p>
    <w:p w14:paraId="6503AB41" w14:textId="71127C01" w:rsidR="00916B0B" w:rsidRPr="00916B0B" w:rsidRDefault="00916B0B" w:rsidP="00674FDB">
      <w:pPr>
        <w:pStyle w:val="Nadpis2"/>
      </w:pPr>
      <w:bookmarkStart w:id="8" w:name="_Toc398662574"/>
      <w:r>
        <w:lastRenderedPageBreak/>
        <w:t>1.2 Základní teoretická východiska</w:t>
      </w:r>
      <w:bookmarkEnd w:id="8"/>
    </w:p>
    <w:p w14:paraId="0DBA68CA" w14:textId="36001671" w:rsidR="00685DCF" w:rsidRDefault="00912CD7" w:rsidP="00674FDB">
      <w:pPr>
        <w:spacing w:before="120" w:line="360" w:lineRule="auto"/>
        <w:jc w:val="both"/>
        <w:rPr>
          <w:rFonts w:ascii="Times New Roman" w:hAnsi="Times New Roman" w:cs="Times New Roman"/>
        </w:rPr>
      </w:pPr>
      <w:r>
        <w:rPr>
          <w:rFonts w:ascii="Times New Roman" w:hAnsi="Times New Roman" w:cs="Times New Roman"/>
        </w:rPr>
        <w:t>Nositelem práce je člověk.</w:t>
      </w:r>
      <w:r w:rsidR="0078735A">
        <w:rPr>
          <w:rFonts w:ascii="Times New Roman" w:hAnsi="Times New Roman" w:cs="Times New Roman"/>
        </w:rPr>
        <w:t xml:space="preserve"> </w:t>
      </w:r>
      <w:r w:rsidR="009F5731">
        <w:rPr>
          <w:rFonts w:ascii="Times New Roman" w:hAnsi="Times New Roman" w:cs="Times New Roman"/>
        </w:rPr>
        <w:t>Každý jedinec se přitom liší svými schopnostmi; inteligencí, talente</w:t>
      </w:r>
      <w:r w:rsidR="00CE3561">
        <w:rPr>
          <w:rFonts w:ascii="Times New Roman" w:hAnsi="Times New Roman" w:cs="Times New Roman"/>
        </w:rPr>
        <w:t>m</w:t>
      </w:r>
      <w:r w:rsidR="009F5731">
        <w:rPr>
          <w:rFonts w:ascii="Times New Roman" w:hAnsi="Times New Roman" w:cs="Times New Roman"/>
        </w:rPr>
        <w:t>, celkovými psychickými a fyzickými dispozicemi. Jiné jsou také jeho životní a pracovní zkušenosti</w:t>
      </w:r>
      <w:r w:rsidR="00E422B9">
        <w:rPr>
          <w:rFonts w:ascii="Times New Roman" w:hAnsi="Times New Roman" w:cs="Times New Roman"/>
        </w:rPr>
        <w:t xml:space="preserve"> i znalosti</w:t>
      </w:r>
      <w:r w:rsidR="009F5731">
        <w:rPr>
          <w:rFonts w:ascii="Times New Roman" w:hAnsi="Times New Roman" w:cs="Times New Roman"/>
        </w:rPr>
        <w:t>. Rodina a celkové sociální zázemí, z něhož jedinec pochází</w:t>
      </w:r>
      <w:r w:rsidR="00CE3561">
        <w:rPr>
          <w:rFonts w:ascii="Times New Roman" w:hAnsi="Times New Roman" w:cs="Times New Roman"/>
        </w:rPr>
        <w:t>,</w:t>
      </w:r>
      <w:r w:rsidR="009F5731">
        <w:rPr>
          <w:rFonts w:ascii="Times New Roman" w:hAnsi="Times New Roman" w:cs="Times New Roman"/>
        </w:rPr>
        <w:t xml:space="preserve"> má vliv na jeho vnímání hodnot. Promítá se i do utváření vztahu ke vzdělání a uplatnění na trhu práce.</w:t>
      </w:r>
    </w:p>
    <w:p w14:paraId="2BC45B22" w14:textId="3EACF0BC" w:rsidR="009F5731" w:rsidRDefault="009F5731" w:rsidP="00916B0B">
      <w:pPr>
        <w:spacing w:before="120" w:line="360" w:lineRule="auto"/>
        <w:jc w:val="both"/>
        <w:rPr>
          <w:rFonts w:ascii="Times New Roman" w:hAnsi="Times New Roman" w:cs="Times New Roman"/>
        </w:rPr>
      </w:pPr>
      <w:r>
        <w:rPr>
          <w:rFonts w:ascii="Times New Roman" w:hAnsi="Times New Roman" w:cs="Times New Roman"/>
        </w:rPr>
        <w:t xml:space="preserve">Když se člověk rozhoduje o tom, zda přijme pracovní místo, nezvažuje zpravidla jen výši mzdy. Důležitou roli hrají i další faktory, např. vzdálenost pracoviště od domova, růst mzdové sazby, firemní benefity, opatření související s ochranou a bezpečností zdraví při práci, ale také pracovní prostředí, náplň práce, spolupracovníci, celková atmosféra na pracovišti, možnost kariérního růstu a dalšího vzdělávání, v neposlední řadě společenský status pracovního místa a možnost navázat další společenské kontakty. </w:t>
      </w:r>
      <w:r>
        <w:rPr>
          <w:rFonts w:ascii="Times New Roman" w:hAnsi="Times New Roman" w:cs="Times New Roman"/>
          <w:b/>
        </w:rPr>
        <w:t xml:space="preserve">Rozhodování o přijetí pracovního místa je multidimenzionálním procesem. </w:t>
      </w:r>
      <w:r>
        <w:rPr>
          <w:rFonts w:ascii="Times New Roman" w:hAnsi="Times New Roman" w:cs="Times New Roman"/>
        </w:rPr>
        <w:t>Důležité jsou nejen aspekty ekonomické</w:t>
      </w:r>
      <w:r w:rsidR="00E422B9">
        <w:rPr>
          <w:rFonts w:ascii="Times New Roman" w:hAnsi="Times New Roman" w:cs="Times New Roman"/>
        </w:rPr>
        <w:t>,</w:t>
      </w:r>
      <w:r>
        <w:rPr>
          <w:rFonts w:ascii="Times New Roman" w:hAnsi="Times New Roman" w:cs="Times New Roman"/>
        </w:rPr>
        <w:t xml:space="preserve"> ale i právní, sociální a psychologické.</w:t>
      </w:r>
    </w:p>
    <w:p w14:paraId="555C7F13" w14:textId="33A46BD4" w:rsidR="008A4A29" w:rsidRDefault="00E422B9" w:rsidP="00916B0B">
      <w:pPr>
        <w:spacing w:before="120" w:line="360" w:lineRule="auto"/>
        <w:jc w:val="both"/>
        <w:rPr>
          <w:rFonts w:ascii="Times New Roman" w:hAnsi="Times New Roman" w:cs="Times New Roman"/>
        </w:rPr>
      </w:pPr>
      <w:r w:rsidRPr="00E422B9">
        <w:rPr>
          <w:rFonts w:ascii="Times New Roman" w:hAnsi="Times New Roman" w:cs="Times New Roman"/>
          <w:b/>
        </w:rPr>
        <w:t>Lidský kapitál a sociální kapitál, jimiž jedinec disponuje, podstatně determinují jeho chování na trhu práce.</w:t>
      </w:r>
      <w:r>
        <w:rPr>
          <w:rFonts w:ascii="Times New Roman" w:hAnsi="Times New Roman" w:cs="Times New Roman"/>
        </w:rPr>
        <w:t xml:space="preserve"> </w:t>
      </w:r>
      <w:r w:rsidR="008A4A29">
        <w:rPr>
          <w:rFonts w:ascii="Times New Roman" w:hAnsi="Times New Roman" w:cs="Times New Roman"/>
        </w:rPr>
        <w:t>Z uvedeného důvodu je vhodné se na danou problematiku podívat blíže.</w:t>
      </w:r>
    </w:p>
    <w:p w14:paraId="7D82F188" w14:textId="73509453" w:rsidR="0046058F" w:rsidRDefault="0046058F" w:rsidP="009F5731">
      <w:pPr>
        <w:pStyle w:val="Nadpis3"/>
      </w:pPr>
      <w:bookmarkStart w:id="9" w:name="_Toc398662575"/>
      <w:r>
        <w:t>1.2.1 Ekonomická teorie lidského kapitálu</w:t>
      </w:r>
      <w:bookmarkEnd w:id="9"/>
    </w:p>
    <w:p w14:paraId="233DB9F8" w14:textId="034659D1" w:rsidR="0046058F" w:rsidRDefault="009F5731" w:rsidP="00916B0B">
      <w:pPr>
        <w:spacing w:before="120" w:line="360" w:lineRule="auto"/>
        <w:jc w:val="both"/>
        <w:rPr>
          <w:rFonts w:ascii="Times New Roman" w:hAnsi="Times New Roman" w:cs="Times New Roman"/>
          <w:b/>
        </w:rPr>
      </w:pPr>
      <w:r>
        <w:rPr>
          <w:rFonts w:ascii="Times New Roman" w:hAnsi="Times New Roman" w:cs="Times New Roman"/>
        </w:rPr>
        <w:t xml:space="preserve">Úvahy o úloze člověka, tedy lidského kapitálu, v ekonomických vztazích lze nalézt již u </w:t>
      </w:r>
      <w:r>
        <w:rPr>
          <w:rFonts w:ascii="Times New Roman" w:hAnsi="Times New Roman" w:cs="Times New Roman"/>
          <w:i/>
        </w:rPr>
        <w:t>Adama Smithe</w:t>
      </w:r>
      <w:r w:rsidR="001171C9">
        <w:rPr>
          <w:rFonts w:ascii="Times New Roman" w:hAnsi="Times New Roman" w:cs="Times New Roman"/>
          <w:i/>
        </w:rPr>
        <w:t xml:space="preserve"> </w:t>
      </w:r>
      <w:r w:rsidR="001171C9">
        <w:rPr>
          <w:rFonts w:ascii="Times New Roman" w:hAnsi="Times New Roman" w:cs="Times New Roman"/>
        </w:rPr>
        <w:t>(1723–1790)</w:t>
      </w:r>
      <w:r>
        <w:rPr>
          <w:rFonts w:ascii="Times New Roman" w:hAnsi="Times New Roman" w:cs="Times New Roman"/>
        </w:rPr>
        <w:t xml:space="preserve">, a to v jeho stěžejní práci </w:t>
      </w:r>
      <w:r>
        <w:rPr>
          <w:rFonts w:ascii="Times New Roman" w:hAnsi="Times New Roman" w:cs="Times New Roman"/>
          <w:i/>
        </w:rPr>
        <w:t xml:space="preserve">Pojednání o původu a podstatě bohatství národů </w:t>
      </w:r>
      <w:r>
        <w:rPr>
          <w:rFonts w:ascii="Times New Roman" w:hAnsi="Times New Roman" w:cs="Times New Roman"/>
        </w:rPr>
        <w:t>(</w:t>
      </w:r>
      <w:r w:rsidR="008B1E27">
        <w:rPr>
          <w:rFonts w:ascii="Times New Roman" w:hAnsi="Times New Roman" w:cs="Times New Roman"/>
        </w:rPr>
        <w:t xml:space="preserve">v originále </w:t>
      </w:r>
      <w:proofErr w:type="spellStart"/>
      <w:r w:rsidR="008B1E27" w:rsidRPr="008B1E27">
        <w:rPr>
          <w:rFonts w:ascii="Times New Roman" w:hAnsi="Times New Roman" w:cs="Times New Roman"/>
          <w:i/>
        </w:rPr>
        <w:t>An</w:t>
      </w:r>
      <w:proofErr w:type="spellEnd"/>
      <w:r w:rsidR="008B1E27">
        <w:rPr>
          <w:rFonts w:ascii="Times New Roman" w:hAnsi="Times New Roman" w:cs="Times New Roman"/>
        </w:rPr>
        <w:t xml:space="preserve"> </w:t>
      </w:r>
      <w:proofErr w:type="spellStart"/>
      <w:r w:rsidR="008B1E27" w:rsidRPr="008B1E27">
        <w:rPr>
          <w:rFonts w:ascii="Times New Roman" w:hAnsi="Times New Roman" w:cs="Times New Roman"/>
          <w:i/>
        </w:rPr>
        <w:t>Inquiry</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into</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Nature</w:t>
      </w:r>
      <w:proofErr w:type="spellEnd"/>
      <w:r w:rsidR="008B1E27">
        <w:rPr>
          <w:rFonts w:ascii="Times New Roman" w:hAnsi="Times New Roman" w:cs="Times New Roman"/>
          <w:i/>
        </w:rPr>
        <w:t xml:space="preserve"> and </w:t>
      </w:r>
      <w:proofErr w:type="spellStart"/>
      <w:r w:rsidR="008B1E27">
        <w:rPr>
          <w:rFonts w:ascii="Times New Roman" w:hAnsi="Times New Roman" w:cs="Times New Roman"/>
          <w:i/>
        </w:rPr>
        <w:t>Causes</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of</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the</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Wealth</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of</w:t>
      </w:r>
      <w:proofErr w:type="spellEnd"/>
      <w:r w:rsidR="008B1E27">
        <w:rPr>
          <w:rFonts w:ascii="Times New Roman" w:hAnsi="Times New Roman" w:cs="Times New Roman"/>
          <w:i/>
        </w:rPr>
        <w:t xml:space="preserve"> </w:t>
      </w:r>
      <w:proofErr w:type="spellStart"/>
      <w:r w:rsidR="008B1E27">
        <w:rPr>
          <w:rFonts w:ascii="Times New Roman" w:hAnsi="Times New Roman" w:cs="Times New Roman"/>
          <w:i/>
        </w:rPr>
        <w:t>Nations</w:t>
      </w:r>
      <w:proofErr w:type="spellEnd"/>
      <w:r w:rsidR="008B1E27">
        <w:rPr>
          <w:rFonts w:ascii="Times New Roman" w:hAnsi="Times New Roman" w:cs="Times New Roman"/>
        </w:rPr>
        <w:t>), která vyšla v Londýně již v roce 1776. Prospěch jednotlivce je podle Smithe základní silou, která podněcuje akumulaci a vede k růstu národního bohatství.</w:t>
      </w:r>
      <w:r w:rsidR="008B1E27">
        <w:rPr>
          <w:rStyle w:val="Znakapoznpodarou"/>
          <w:rFonts w:ascii="Times New Roman" w:hAnsi="Times New Roman" w:cs="Times New Roman"/>
        </w:rPr>
        <w:footnoteReference w:id="1"/>
      </w:r>
      <w:r w:rsidR="008B1E27">
        <w:rPr>
          <w:rFonts w:ascii="Times New Roman" w:hAnsi="Times New Roman" w:cs="Times New Roman"/>
        </w:rPr>
        <w:t xml:space="preserve"> V pozdějším období se myšlenkou, že mezi základní výrobní faktory patří rovněž jedinec se svými znalostmi a dovednostmi, zabývala celá plejáda ekonomů. Za všechny lze uvést např. </w:t>
      </w:r>
      <w:r w:rsidR="008B1E27">
        <w:rPr>
          <w:rFonts w:ascii="Times New Roman" w:hAnsi="Times New Roman" w:cs="Times New Roman"/>
          <w:i/>
        </w:rPr>
        <w:t>Karla Marxe</w:t>
      </w:r>
      <w:r w:rsidR="008B1E27">
        <w:rPr>
          <w:rFonts w:ascii="Times New Roman" w:hAnsi="Times New Roman" w:cs="Times New Roman"/>
        </w:rPr>
        <w:t xml:space="preserve"> </w:t>
      </w:r>
      <w:r w:rsidR="001171C9">
        <w:rPr>
          <w:rFonts w:ascii="Times New Roman" w:hAnsi="Times New Roman" w:cs="Times New Roman"/>
        </w:rPr>
        <w:t xml:space="preserve">(1818–1883) </w:t>
      </w:r>
      <w:r w:rsidR="008B1E27">
        <w:rPr>
          <w:rFonts w:ascii="Times New Roman" w:hAnsi="Times New Roman" w:cs="Times New Roman"/>
        </w:rPr>
        <w:t>s jeho teorií hodnoty pracovní síly a teorií nadhodnoty</w:t>
      </w:r>
      <w:r w:rsidR="008B1E27">
        <w:rPr>
          <w:rStyle w:val="Znakapoznpodarou"/>
          <w:rFonts w:ascii="Times New Roman" w:hAnsi="Times New Roman" w:cs="Times New Roman"/>
        </w:rPr>
        <w:footnoteReference w:id="2"/>
      </w:r>
      <w:r w:rsidR="00980690">
        <w:rPr>
          <w:rFonts w:ascii="Times New Roman" w:hAnsi="Times New Roman" w:cs="Times New Roman"/>
        </w:rPr>
        <w:t xml:space="preserve"> či </w:t>
      </w:r>
      <w:r w:rsidR="00980690">
        <w:rPr>
          <w:rFonts w:ascii="Times New Roman" w:hAnsi="Times New Roman" w:cs="Times New Roman"/>
          <w:i/>
        </w:rPr>
        <w:t xml:space="preserve">Arthura C. </w:t>
      </w:r>
      <w:proofErr w:type="spellStart"/>
      <w:r w:rsidR="00980690">
        <w:rPr>
          <w:rFonts w:ascii="Times New Roman" w:hAnsi="Times New Roman" w:cs="Times New Roman"/>
          <w:i/>
        </w:rPr>
        <w:t>Pigoua</w:t>
      </w:r>
      <w:proofErr w:type="spellEnd"/>
      <w:r w:rsidR="001171C9">
        <w:rPr>
          <w:rFonts w:ascii="Times New Roman" w:hAnsi="Times New Roman" w:cs="Times New Roman"/>
          <w:i/>
        </w:rPr>
        <w:t xml:space="preserve"> </w:t>
      </w:r>
      <w:r w:rsidR="001171C9">
        <w:rPr>
          <w:rFonts w:ascii="Times New Roman" w:hAnsi="Times New Roman" w:cs="Times New Roman"/>
        </w:rPr>
        <w:t>(1877–1959)</w:t>
      </w:r>
      <w:r w:rsidR="00980690" w:rsidRPr="00980690">
        <w:rPr>
          <w:rFonts w:ascii="Times New Roman" w:hAnsi="Times New Roman" w:cs="Times New Roman"/>
        </w:rPr>
        <w:t>,</w:t>
      </w:r>
      <w:r w:rsidR="00980690">
        <w:rPr>
          <w:rFonts w:ascii="Times New Roman" w:hAnsi="Times New Roman" w:cs="Times New Roman"/>
          <w:i/>
        </w:rPr>
        <w:t xml:space="preserve"> </w:t>
      </w:r>
      <w:r w:rsidR="00980690" w:rsidRPr="00980690">
        <w:rPr>
          <w:rFonts w:ascii="Times New Roman" w:hAnsi="Times New Roman" w:cs="Times New Roman"/>
        </w:rPr>
        <w:t>který</w:t>
      </w:r>
      <w:r w:rsidR="00980690">
        <w:rPr>
          <w:rFonts w:ascii="Times New Roman" w:hAnsi="Times New Roman" w:cs="Times New Roman"/>
          <w:i/>
        </w:rPr>
        <w:t xml:space="preserve"> </w:t>
      </w:r>
      <w:r w:rsidR="00980690">
        <w:rPr>
          <w:rFonts w:ascii="Times New Roman" w:hAnsi="Times New Roman" w:cs="Times New Roman"/>
        </w:rPr>
        <w:t xml:space="preserve">se zabýval mj. problematikou pracovních trhů (zejména pohybem pracovních sil – pracovní </w:t>
      </w:r>
      <w:r w:rsidR="00980690">
        <w:rPr>
          <w:rFonts w:ascii="Times New Roman" w:hAnsi="Times New Roman" w:cs="Times New Roman"/>
        </w:rPr>
        <w:lastRenderedPageBreak/>
        <w:t>migrací).</w:t>
      </w:r>
      <w:r w:rsidR="001171C9">
        <w:rPr>
          <w:rStyle w:val="Znakapoznpodarou"/>
          <w:rFonts w:ascii="Times New Roman" w:hAnsi="Times New Roman" w:cs="Times New Roman"/>
        </w:rPr>
        <w:footnoteReference w:id="3"/>
      </w:r>
      <w:r w:rsidR="00980690">
        <w:rPr>
          <w:rFonts w:ascii="Times New Roman" w:hAnsi="Times New Roman" w:cs="Times New Roman"/>
        </w:rPr>
        <w:t xml:space="preserve"> </w:t>
      </w:r>
      <w:r w:rsidR="004D711E">
        <w:rPr>
          <w:rFonts w:ascii="Times New Roman" w:hAnsi="Times New Roman" w:cs="Times New Roman"/>
        </w:rPr>
        <w:t xml:space="preserve">Až do konce 50. let však mezi ekonomy obecně převládal názor, že jedinec disponuje pracovní silou, kterou nelze rozšířit. </w:t>
      </w:r>
      <w:r w:rsidR="004D711E">
        <w:rPr>
          <w:rFonts w:ascii="Times New Roman" w:hAnsi="Times New Roman" w:cs="Times New Roman"/>
          <w:b/>
        </w:rPr>
        <w:t>Prostředky vynaložené na vzdělání byly považovány za náklady, nikoli za investici.</w:t>
      </w:r>
    </w:p>
    <w:p w14:paraId="0E283EB4" w14:textId="37DBD63F" w:rsidR="004D711E" w:rsidRDefault="004D711E" w:rsidP="00916B0B">
      <w:pPr>
        <w:spacing w:before="120" w:line="360" w:lineRule="auto"/>
        <w:jc w:val="both"/>
        <w:rPr>
          <w:rFonts w:ascii="Times New Roman" w:hAnsi="Times New Roman" w:cs="Times New Roman"/>
        </w:rPr>
      </w:pPr>
      <w:r w:rsidRPr="004D711E">
        <w:rPr>
          <w:rFonts w:ascii="Times New Roman" w:hAnsi="Times New Roman" w:cs="Times New Roman"/>
          <w:b/>
        </w:rPr>
        <w:t>Zásadní</w:t>
      </w:r>
      <w:r>
        <w:rPr>
          <w:rFonts w:ascii="Times New Roman" w:hAnsi="Times New Roman" w:cs="Times New Roman"/>
        </w:rPr>
        <w:t xml:space="preserve"> </w:t>
      </w:r>
      <w:r w:rsidRPr="004D711E">
        <w:rPr>
          <w:rFonts w:ascii="Times New Roman" w:hAnsi="Times New Roman" w:cs="Times New Roman"/>
          <w:b/>
        </w:rPr>
        <w:t>průlom</w:t>
      </w:r>
      <w:r>
        <w:rPr>
          <w:rFonts w:ascii="Times New Roman" w:hAnsi="Times New Roman" w:cs="Times New Roman"/>
        </w:rPr>
        <w:t xml:space="preserve"> v tomto ekonomickém přístupu </w:t>
      </w:r>
      <w:r w:rsidRPr="00E624CC">
        <w:rPr>
          <w:rFonts w:ascii="Times New Roman" w:hAnsi="Times New Roman" w:cs="Times New Roman"/>
          <w:b/>
        </w:rPr>
        <w:t>přinesl</w:t>
      </w:r>
      <w:r>
        <w:rPr>
          <w:rFonts w:ascii="Times New Roman" w:hAnsi="Times New Roman" w:cs="Times New Roman"/>
        </w:rPr>
        <w:t xml:space="preserve"> </w:t>
      </w:r>
      <w:r w:rsidRPr="00E624CC">
        <w:rPr>
          <w:rFonts w:ascii="Times New Roman" w:hAnsi="Times New Roman" w:cs="Times New Roman"/>
          <w:b/>
        </w:rPr>
        <w:t>vznik</w:t>
      </w:r>
      <w:r>
        <w:rPr>
          <w:rFonts w:ascii="Times New Roman" w:hAnsi="Times New Roman" w:cs="Times New Roman"/>
        </w:rPr>
        <w:t xml:space="preserve"> </w:t>
      </w:r>
      <w:r w:rsidRPr="004D711E">
        <w:rPr>
          <w:rFonts w:ascii="Times New Roman" w:hAnsi="Times New Roman" w:cs="Times New Roman"/>
          <w:b/>
        </w:rPr>
        <w:t>ekonomické</w:t>
      </w:r>
      <w:r>
        <w:rPr>
          <w:rFonts w:ascii="Times New Roman" w:hAnsi="Times New Roman" w:cs="Times New Roman"/>
          <w:i/>
        </w:rPr>
        <w:t xml:space="preserve"> </w:t>
      </w:r>
      <w:r w:rsidRPr="00E624CC">
        <w:rPr>
          <w:rFonts w:ascii="Times New Roman" w:hAnsi="Times New Roman" w:cs="Times New Roman"/>
          <w:b/>
        </w:rPr>
        <w:t>teorie lidského kapitálu.</w:t>
      </w:r>
      <w:r w:rsidR="00E624CC">
        <w:rPr>
          <w:rFonts w:ascii="Times New Roman" w:hAnsi="Times New Roman" w:cs="Times New Roman"/>
          <w:b/>
        </w:rPr>
        <w:t xml:space="preserve"> </w:t>
      </w:r>
      <w:r w:rsidR="00E624CC">
        <w:rPr>
          <w:rFonts w:ascii="Times New Roman" w:hAnsi="Times New Roman" w:cs="Times New Roman"/>
        </w:rPr>
        <w:t xml:space="preserve">Vznik této teorie spadá do 60. let a je spojen s tzv. </w:t>
      </w:r>
      <w:r w:rsidR="00E624CC">
        <w:rPr>
          <w:rFonts w:ascii="Times New Roman" w:hAnsi="Times New Roman" w:cs="Times New Roman"/>
          <w:i/>
        </w:rPr>
        <w:t>chicagskou školou.</w:t>
      </w:r>
      <w:r w:rsidR="00A141CA">
        <w:rPr>
          <w:rStyle w:val="Znakapoznpodarou"/>
          <w:rFonts w:ascii="Times New Roman" w:hAnsi="Times New Roman" w:cs="Times New Roman"/>
          <w:i/>
        </w:rPr>
        <w:footnoteReference w:id="4"/>
      </w:r>
      <w:r w:rsidR="00E624CC">
        <w:rPr>
          <w:rFonts w:ascii="Times New Roman" w:hAnsi="Times New Roman" w:cs="Times New Roman"/>
          <w:i/>
        </w:rPr>
        <w:t xml:space="preserve"> </w:t>
      </w:r>
      <w:r w:rsidR="00697A57">
        <w:rPr>
          <w:rFonts w:ascii="Times New Roman" w:hAnsi="Times New Roman" w:cs="Times New Roman"/>
        </w:rPr>
        <w:t>Představitelé tohoto ekonomického proudu, z nichž každý více či méně přispěl k objasnění pojmu „lidský kapitál“, se od konce 50. let stále více zaměřovali na ekonomické výzkumy původně „neekonomických“ oblastí, které byly do té doby doménou jiných společenských věd, např. sociologie, psychologie či demografie</w:t>
      </w:r>
      <w:r w:rsidR="007C64E0">
        <w:rPr>
          <w:rFonts w:ascii="Times New Roman" w:hAnsi="Times New Roman" w:cs="Times New Roman"/>
        </w:rPr>
        <w:t xml:space="preserve"> (v této souvislosti se o ekonomii začalo hovořit jako o tzv. imperiální vědě)</w:t>
      </w:r>
      <w:r w:rsidR="00697A57">
        <w:rPr>
          <w:rFonts w:ascii="Times New Roman" w:hAnsi="Times New Roman" w:cs="Times New Roman"/>
        </w:rPr>
        <w:t>.</w:t>
      </w:r>
    </w:p>
    <w:p w14:paraId="38BA28D1" w14:textId="18C07BDC" w:rsidR="00A52E34" w:rsidRDefault="00A52E34" w:rsidP="00916B0B">
      <w:pPr>
        <w:spacing w:before="120" w:line="360" w:lineRule="auto"/>
        <w:jc w:val="both"/>
        <w:rPr>
          <w:rFonts w:ascii="Times New Roman" w:hAnsi="Times New Roman" w:cs="Times New Roman"/>
        </w:rPr>
      </w:pPr>
      <w:r>
        <w:rPr>
          <w:rFonts w:ascii="Times New Roman" w:hAnsi="Times New Roman" w:cs="Times New Roman"/>
        </w:rPr>
        <w:t xml:space="preserve">Nejčastěji je teorie lidského kapitálu spojována se jménem </w:t>
      </w:r>
      <w:proofErr w:type="spellStart"/>
      <w:r>
        <w:rPr>
          <w:rFonts w:ascii="Times New Roman" w:hAnsi="Times New Roman" w:cs="Times New Roman"/>
          <w:i/>
        </w:rPr>
        <w:t>Garyho</w:t>
      </w:r>
      <w:proofErr w:type="spellEnd"/>
      <w:r>
        <w:rPr>
          <w:rFonts w:ascii="Times New Roman" w:hAnsi="Times New Roman" w:cs="Times New Roman"/>
          <w:i/>
        </w:rPr>
        <w:t xml:space="preserve"> S. </w:t>
      </w:r>
      <w:proofErr w:type="spellStart"/>
      <w:r>
        <w:rPr>
          <w:rFonts w:ascii="Times New Roman" w:hAnsi="Times New Roman" w:cs="Times New Roman"/>
          <w:i/>
        </w:rPr>
        <w:t>Beckera</w:t>
      </w:r>
      <w:proofErr w:type="spellEnd"/>
      <w:r w:rsidR="00D434D4">
        <w:rPr>
          <w:rFonts w:ascii="Times New Roman" w:hAnsi="Times New Roman" w:cs="Times New Roman"/>
          <w:i/>
        </w:rPr>
        <w:t xml:space="preserve"> </w:t>
      </w:r>
      <w:r w:rsidR="00D434D4">
        <w:rPr>
          <w:rFonts w:ascii="Times New Roman" w:hAnsi="Times New Roman" w:cs="Times New Roman"/>
        </w:rPr>
        <w:t>(1930–2014)</w:t>
      </w:r>
      <w:r w:rsidR="00D434D4" w:rsidRPr="00D434D4">
        <w:rPr>
          <w:rFonts w:ascii="Times New Roman" w:hAnsi="Times New Roman" w:cs="Times New Roman"/>
        </w:rPr>
        <w:t>.</w:t>
      </w:r>
      <w:r w:rsidR="00D434D4" w:rsidRPr="00D434D4">
        <w:rPr>
          <w:rStyle w:val="Znakapoznpodarou"/>
          <w:rFonts w:ascii="Times New Roman" w:hAnsi="Times New Roman" w:cs="Times New Roman"/>
        </w:rPr>
        <w:footnoteReference w:id="5"/>
      </w:r>
      <w:r w:rsidR="00D434D4">
        <w:rPr>
          <w:rFonts w:ascii="Times New Roman" w:hAnsi="Times New Roman" w:cs="Times New Roman"/>
        </w:rPr>
        <w:t xml:space="preserve"> V roce 1964 vydal knihu </w:t>
      </w:r>
      <w:proofErr w:type="spellStart"/>
      <w:r w:rsidR="00D434D4">
        <w:rPr>
          <w:rFonts w:ascii="Times New Roman" w:hAnsi="Times New Roman" w:cs="Times New Roman"/>
          <w:i/>
        </w:rPr>
        <w:t>Human</w:t>
      </w:r>
      <w:proofErr w:type="spellEnd"/>
      <w:r w:rsidR="00D434D4">
        <w:rPr>
          <w:rFonts w:ascii="Times New Roman" w:hAnsi="Times New Roman" w:cs="Times New Roman"/>
          <w:i/>
        </w:rPr>
        <w:t xml:space="preserve"> </w:t>
      </w:r>
      <w:proofErr w:type="spellStart"/>
      <w:r w:rsidR="00D434D4">
        <w:rPr>
          <w:rFonts w:ascii="Times New Roman" w:hAnsi="Times New Roman" w:cs="Times New Roman"/>
          <w:i/>
        </w:rPr>
        <w:t>Capital</w:t>
      </w:r>
      <w:proofErr w:type="spellEnd"/>
      <w:r w:rsidR="00D434D4">
        <w:rPr>
          <w:rFonts w:ascii="Times New Roman" w:hAnsi="Times New Roman" w:cs="Times New Roman"/>
          <w:i/>
        </w:rPr>
        <w:t xml:space="preserve">, </w:t>
      </w:r>
      <w:r w:rsidR="00D434D4">
        <w:rPr>
          <w:rFonts w:ascii="Times New Roman" w:hAnsi="Times New Roman" w:cs="Times New Roman"/>
        </w:rPr>
        <w:t>v níž objasnil teoretické základy pro rozhodování o investicích do lidského kapitálu, zejména do vzdělání a zdraví.</w:t>
      </w:r>
      <w:r w:rsidR="00B662D9">
        <w:rPr>
          <w:rFonts w:ascii="Times New Roman" w:hAnsi="Times New Roman" w:cs="Times New Roman"/>
        </w:rPr>
        <w:t xml:space="preserve"> Podstatou teorie je myšlenka, že </w:t>
      </w:r>
      <w:r w:rsidR="00B662D9">
        <w:rPr>
          <w:rFonts w:ascii="Times New Roman" w:hAnsi="Times New Roman" w:cs="Times New Roman"/>
          <w:b/>
        </w:rPr>
        <w:t xml:space="preserve">výdaje na vzdělání jsou investicí </w:t>
      </w:r>
      <w:r w:rsidR="00B662D9">
        <w:rPr>
          <w:rFonts w:ascii="Times New Roman" w:hAnsi="Times New Roman" w:cs="Times New Roman"/>
        </w:rPr>
        <w:t xml:space="preserve">(nikoli spotřebou/nákladem), k níž se jedinec rozhodne se záměrem získat dodatečný výnos. Vychází z předpokladu, že </w:t>
      </w:r>
      <w:r w:rsidR="00840602">
        <w:rPr>
          <w:rFonts w:ascii="Times New Roman" w:hAnsi="Times New Roman" w:cs="Times New Roman"/>
        </w:rPr>
        <w:t xml:space="preserve">se jedinec chová racionálně jako </w:t>
      </w:r>
      <w:r w:rsidR="00840602">
        <w:rPr>
          <w:rFonts w:ascii="Times New Roman" w:hAnsi="Times New Roman" w:cs="Times New Roman"/>
          <w:i/>
        </w:rPr>
        <w:t xml:space="preserve">homo </w:t>
      </w:r>
      <w:proofErr w:type="spellStart"/>
      <w:r w:rsidR="00840602">
        <w:rPr>
          <w:rFonts w:ascii="Times New Roman" w:hAnsi="Times New Roman" w:cs="Times New Roman"/>
          <w:i/>
        </w:rPr>
        <w:t>oeconomicus</w:t>
      </w:r>
      <w:proofErr w:type="spellEnd"/>
      <w:r w:rsidR="00840602">
        <w:rPr>
          <w:rFonts w:ascii="Times New Roman" w:hAnsi="Times New Roman" w:cs="Times New Roman"/>
          <w:i/>
        </w:rPr>
        <w:t xml:space="preserve">, </w:t>
      </w:r>
      <w:r w:rsidR="00840602">
        <w:rPr>
          <w:rFonts w:ascii="Times New Roman" w:hAnsi="Times New Roman" w:cs="Times New Roman"/>
        </w:rPr>
        <w:t>tedy že se na základě porovnání výnosů</w:t>
      </w:r>
      <w:r w:rsidR="00840602" w:rsidRPr="00840602">
        <w:rPr>
          <w:rFonts w:ascii="Times New Roman" w:hAnsi="Times New Roman" w:cs="Times New Roman"/>
        </w:rPr>
        <w:t xml:space="preserve"> </w:t>
      </w:r>
      <w:r w:rsidR="00840602">
        <w:rPr>
          <w:rFonts w:ascii="Times New Roman" w:hAnsi="Times New Roman" w:cs="Times New Roman"/>
        </w:rPr>
        <w:t>a nákladů rozhoduje o tom, zda investuje do svého vzdělání a zdraví. Výnosy mají nejčastěji podobu vyšších budoucích výdělků, lepšího zaměstnání, ale i kulturních nepeněžitých zisků (vyšší společenské postavení, prestiž apod.). Náklady jsou především nepeněžní a závisí zejména na ušlé hodnotě času, který jedinec potřebuje na realizaci investice (např. studia).</w:t>
      </w:r>
      <w:r w:rsidR="00840602">
        <w:rPr>
          <w:rStyle w:val="Znakapoznpodarou"/>
          <w:rFonts w:ascii="Times New Roman" w:hAnsi="Times New Roman" w:cs="Times New Roman"/>
        </w:rPr>
        <w:footnoteReference w:id="6"/>
      </w:r>
      <w:r w:rsidR="001818BC">
        <w:rPr>
          <w:rFonts w:ascii="Times New Roman" w:hAnsi="Times New Roman" w:cs="Times New Roman"/>
        </w:rPr>
        <w:t xml:space="preserve"> Dnes obecně přijímaná a akceptovaná teorie vzbuzovala v počátcích často nepřátelský postoj: </w:t>
      </w:r>
      <w:r w:rsidR="001818BC" w:rsidRPr="001818BC">
        <w:rPr>
          <w:rFonts w:ascii="Times New Roman" w:hAnsi="Times New Roman" w:cs="Times New Roman"/>
          <w:i/>
        </w:rPr>
        <w:t xml:space="preserve">„Samotný pojem </w:t>
      </w:r>
      <w:r w:rsidR="001818BC" w:rsidRPr="001818BC">
        <w:rPr>
          <w:rFonts w:ascii="Times New Roman" w:hAnsi="Times New Roman" w:cs="Times New Roman"/>
          <w:i/>
        </w:rPr>
        <w:lastRenderedPageBreak/>
        <w:t>lidského kapitálu byl považován za ponižující, protože zacházel s lidmi jako se stroji. Přistupovat ke školnímu vzdělání jako k investici, a nikoliv jako ke kulturní zkušenosti, bylo považováno za bezcitné a krajně omezené.“</w:t>
      </w:r>
      <w:r w:rsidR="001818BC">
        <w:rPr>
          <w:rFonts w:ascii="Times New Roman" w:hAnsi="Times New Roman" w:cs="Times New Roman"/>
          <w:i/>
        </w:rPr>
        <w:t xml:space="preserve"> </w:t>
      </w:r>
      <w:r w:rsidR="001818BC">
        <w:rPr>
          <w:rFonts w:ascii="Times New Roman" w:hAnsi="Times New Roman" w:cs="Times New Roman"/>
        </w:rPr>
        <w:t>(</w:t>
      </w:r>
      <w:proofErr w:type="spellStart"/>
      <w:r w:rsidR="001818BC">
        <w:rPr>
          <w:rFonts w:ascii="Times New Roman" w:hAnsi="Times New Roman" w:cs="Times New Roman"/>
        </w:rPr>
        <w:t>Becker</w:t>
      </w:r>
      <w:proofErr w:type="spellEnd"/>
      <w:r w:rsidR="001818BC">
        <w:rPr>
          <w:rFonts w:ascii="Times New Roman" w:hAnsi="Times New Roman" w:cs="Times New Roman"/>
        </w:rPr>
        <w:t xml:space="preserve">, </w:t>
      </w:r>
      <w:r w:rsidR="00A66161">
        <w:rPr>
          <w:rFonts w:ascii="Times New Roman" w:hAnsi="Times New Roman" w:cs="Times New Roman"/>
        </w:rPr>
        <w:t>1997, s. 195).</w:t>
      </w:r>
    </w:p>
    <w:p w14:paraId="6ED5246A" w14:textId="257A055E" w:rsidR="00A66161" w:rsidRDefault="00A66161" w:rsidP="00916B0B">
      <w:pPr>
        <w:spacing w:before="120" w:line="360" w:lineRule="auto"/>
        <w:jc w:val="both"/>
        <w:rPr>
          <w:rFonts w:ascii="Times New Roman" w:hAnsi="Times New Roman" w:cs="Times New Roman"/>
        </w:rPr>
      </w:pPr>
      <w:r>
        <w:rPr>
          <w:rFonts w:ascii="Times New Roman" w:hAnsi="Times New Roman" w:cs="Times New Roman"/>
        </w:rPr>
        <w:t xml:space="preserve">V souvislosti se studiem chudoby v ekonomicky nejméně rozvinutých zemích se otázkou lidského kapitálu zabýval také </w:t>
      </w:r>
      <w:r>
        <w:rPr>
          <w:rFonts w:ascii="Times New Roman" w:hAnsi="Times New Roman" w:cs="Times New Roman"/>
          <w:i/>
        </w:rPr>
        <w:t xml:space="preserve">Theodore W. </w:t>
      </w:r>
      <w:proofErr w:type="spellStart"/>
      <w:r>
        <w:rPr>
          <w:rFonts w:ascii="Times New Roman" w:hAnsi="Times New Roman" w:cs="Times New Roman"/>
          <w:i/>
        </w:rPr>
        <w:t>Schultz</w:t>
      </w:r>
      <w:proofErr w:type="spellEnd"/>
      <w:r>
        <w:rPr>
          <w:rFonts w:ascii="Times New Roman" w:hAnsi="Times New Roman" w:cs="Times New Roman"/>
          <w:i/>
        </w:rPr>
        <w:t xml:space="preserve"> </w:t>
      </w:r>
      <w:r>
        <w:rPr>
          <w:rFonts w:ascii="Times New Roman" w:hAnsi="Times New Roman" w:cs="Times New Roman"/>
        </w:rPr>
        <w:t xml:space="preserve">(např. v práci </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Economic</w:t>
      </w:r>
      <w:proofErr w:type="spellEnd"/>
      <w:r>
        <w:rPr>
          <w:rFonts w:ascii="Times New Roman" w:hAnsi="Times New Roman" w:cs="Times New Roman"/>
          <w:i/>
        </w:rPr>
        <w:t xml:space="preserve"> </w:t>
      </w:r>
      <w:proofErr w:type="spellStart"/>
      <w:r>
        <w:rPr>
          <w:rFonts w:ascii="Times New Roman" w:hAnsi="Times New Roman" w:cs="Times New Roman"/>
          <w:i/>
        </w:rPr>
        <w:t>Value</w:t>
      </w:r>
      <w:proofErr w:type="spellEnd"/>
      <w:r>
        <w:rPr>
          <w:rFonts w:ascii="Times New Roman" w:hAnsi="Times New Roman" w:cs="Times New Roman"/>
          <w:i/>
        </w:rPr>
        <w:t xml:space="preserve"> od </w:t>
      </w:r>
      <w:proofErr w:type="spellStart"/>
      <w:r>
        <w:rPr>
          <w:rFonts w:ascii="Times New Roman" w:hAnsi="Times New Roman" w:cs="Times New Roman"/>
          <w:i/>
        </w:rPr>
        <w:t>Education</w:t>
      </w:r>
      <w:proofErr w:type="spellEnd"/>
      <w:r>
        <w:rPr>
          <w:rFonts w:ascii="Times New Roman" w:hAnsi="Times New Roman" w:cs="Times New Roman"/>
          <w:i/>
        </w:rPr>
        <w:t xml:space="preserve">, </w:t>
      </w:r>
      <w:r w:rsidR="00B91B66">
        <w:rPr>
          <w:rFonts w:ascii="Times New Roman" w:hAnsi="Times New Roman" w:cs="Times New Roman"/>
        </w:rPr>
        <w:t>tj. Ekonomická hodnota vzdělání,</w:t>
      </w:r>
      <w:r w:rsidRPr="00A66161">
        <w:rPr>
          <w:rFonts w:ascii="Times New Roman" w:hAnsi="Times New Roman" w:cs="Times New Roman"/>
        </w:rPr>
        <w:t> </w:t>
      </w:r>
      <w:r w:rsidR="00FA192F">
        <w:rPr>
          <w:rFonts w:ascii="Times New Roman" w:hAnsi="Times New Roman" w:cs="Times New Roman"/>
        </w:rPr>
        <w:t xml:space="preserve">z </w:t>
      </w:r>
      <w:r w:rsidRPr="00A66161">
        <w:rPr>
          <w:rFonts w:ascii="Times New Roman" w:hAnsi="Times New Roman" w:cs="Times New Roman"/>
        </w:rPr>
        <w:t>roku 1963</w:t>
      </w:r>
      <w:r w:rsidR="00B91B66">
        <w:rPr>
          <w:rFonts w:ascii="Times New Roman" w:hAnsi="Times New Roman" w:cs="Times New Roman"/>
        </w:rPr>
        <w:t xml:space="preserve">). A samozřejmě nelze opominout </w:t>
      </w:r>
      <w:proofErr w:type="spellStart"/>
      <w:r w:rsidR="00B91B66">
        <w:rPr>
          <w:rFonts w:ascii="Times New Roman" w:hAnsi="Times New Roman" w:cs="Times New Roman"/>
          <w:i/>
        </w:rPr>
        <w:t>Miltona</w:t>
      </w:r>
      <w:proofErr w:type="spellEnd"/>
      <w:r w:rsidR="00B91B66">
        <w:rPr>
          <w:rFonts w:ascii="Times New Roman" w:hAnsi="Times New Roman" w:cs="Times New Roman"/>
          <w:i/>
        </w:rPr>
        <w:t xml:space="preserve"> </w:t>
      </w:r>
      <w:proofErr w:type="spellStart"/>
      <w:r w:rsidR="00B91B66">
        <w:rPr>
          <w:rFonts w:ascii="Times New Roman" w:hAnsi="Times New Roman" w:cs="Times New Roman"/>
          <w:i/>
        </w:rPr>
        <w:t>Friedmana</w:t>
      </w:r>
      <w:proofErr w:type="spellEnd"/>
      <w:r w:rsidR="00B91B66">
        <w:rPr>
          <w:rFonts w:ascii="Times New Roman" w:hAnsi="Times New Roman" w:cs="Times New Roman"/>
          <w:i/>
        </w:rPr>
        <w:t xml:space="preserve">, </w:t>
      </w:r>
      <w:r w:rsidR="00B91B66">
        <w:rPr>
          <w:rFonts w:ascii="Times New Roman" w:hAnsi="Times New Roman" w:cs="Times New Roman"/>
        </w:rPr>
        <w:t>který rozšířil teorii peněz a monetární politiky právě o problematiku lidského kapitálu a pojem „lidský kapitál“ zavedl do ekonomické teorie. Nebyli to ale jen představitelé chicagské školy, kdo přikládali lidskému ka</w:t>
      </w:r>
      <w:r w:rsidR="00433F48">
        <w:rPr>
          <w:rFonts w:ascii="Times New Roman" w:hAnsi="Times New Roman" w:cs="Times New Roman"/>
        </w:rPr>
        <w:t>pitálu ekonomický význam. Lidský</w:t>
      </w:r>
      <w:r w:rsidR="00B91B66">
        <w:rPr>
          <w:rFonts w:ascii="Times New Roman" w:hAnsi="Times New Roman" w:cs="Times New Roman"/>
        </w:rPr>
        <w:t xml:space="preserve"> kapitál (znalosti, kvalifikace) tvoří základ moci vládnoucí společenské elity (</w:t>
      </w:r>
      <w:r w:rsidR="00433F48">
        <w:rPr>
          <w:rFonts w:ascii="Times New Roman" w:hAnsi="Times New Roman" w:cs="Times New Roman"/>
        </w:rPr>
        <w:t xml:space="preserve">tzv. </w:t>
      </w:r>
      <w:r w:rsidR="00B91B66">
        <w:rPr>
          <w:rFonts w:ascii="Times New Roman" w:hAnsi="Times New Roman" w:cs="Times New Roman"/>
        </w:rPr>
        <w:t>technostruktury</w:t>
      </w:r>
      <w:r w:rsidR="00433F48">
        <w:rPr>
          <w:rFonts w:ascii="Times New Roman" w:hAnsi="Times New Roman" w:cs="Times New Roman"/>
        </w:rPr>
        <w:t xml:space="preserve"> – manažeři, vědci, techničtí odborníci</w:t>
      </w:r>
      <w:r w:rsidR="00B91B66">
        <w:rPr>
          <w:rFonts w:ascii="Times New Roman" w:hAnsi="Times New Roman" w:cs="Times New Roman"/>
        </w:rPr>
        <w:t xml:space="preserve">) v teoriích postindustriální společnosti </w:t>
      </w:r>
      <w:r w:rsidR="00B91B66">
        <w:rPr>
          <w:rFonts w:ascii="Times New Roman" w:hAnsi="Times New Roman" w:cs="Times New Roman"/>
          <w:i/>
        </w:rPr>
        <w:t xml:space="preserve">Johna K. </w:t>
      </w:r>
      <w:proofErr w:type="spellStart"/>
      <w:r w:rsidR="00B91B66">
        <w:rPr>
          <w:rFonts w:ascii="Times New Roman" w:hAnsi="Times New Roman" w:cs="Times New Roman"/>
          <w:i/>
        </w:rPr>
        <w:t>Galbraitha</w:t>
      </w:r>
      <w:proofErr w:type="spellEnd"/>
      <w:r w:rsidR="00B91B66">
        <w:rPr>
          <w:rFonts w:ascii="Times New Roman" w:hAnsi="Times New Roman" w:cs="Times New Roman"/>
          <w:i/>
        </w:rPr>
        <w:t xml:space="preserve">, </w:t>
      </w:r>
      <w:r w:rsidR="00B91B66">
        <w:rPr>
          <w:rFonts w:ascii="Times New Roman" w:hAnsi="Times New Roman" w:cs="Times New Roman"/>
        </w:rPr>
        <w:t xml:space="preserve">nejvýznamnějšího představitele amerického </w:t>
      </w:r>
      <w:proofErr w:type="spellStart"/>
      <w:r w:rsidR="00B91B66">
        <w:rPr>
          <w:rFonts w:ascii="Times New Roman" w:hAnsi="Times New Roman" w:cs="Times New Roman"/>
        </w:rPr>
        <w:t>institucionalismu</w:t>
      </w:r>
      <w:proofErr w:type="spellEnd"/>
      <w:r w:rsidR="00433F48">
        <w:rPr>
          <w:rStyle w:val="Znakapoznpodarou"/>
          <w:rFonts w:ascii="Times New Roman" w:hAnsi="Times New Roman" w:cs="Times New Roman"/>
        </w:rPr>
        <w:footnoteReference w:id="7"/>
      </w:r>
      <w:r w:rsidR="00B91B66">
        <w:rPr>
          <w:rFonts w:ascii="Times New Roman" w:hAnsi="Times New Roman" w:cs="Times New Roman"/>
        </w:rPr>
        <w:t xml:space="preserve"> po druhé světové válce. </w:t>
      </w:r>
    </w:p>
    <w:p w14:paraId="1833AE95" w14:textId="6FB0901A" w:rsidR="00A2519B" w:rsidRPr="00B91B66" w:rsidRDefault="00A2519B" w:rsidP="00A2519B">
      <w:pPr>
        <w:pStyle w:val="Nadpis3"/>
      </w:pPr>
      <w:bookmarkStart w:id="10" w:name="_Toc398662576"/>
      <w:r>
        <w:t>Co je tedy lidský kapitál?</w:t>
      </w:r>
      <w:bookmarkEnd w:id="10"/>
    </w:p>
    <w:p w14:paraId="07B7079B" w14:textId="5739D79F" w:rsidR="007C64E0" w:rsidRDefault="00A2519B" w:rsidP="00916B0B">
      <w:pPr>
        <w:spacing w:before="120" w:line="360" w:lineRule="auto"/>
        <w:jc w:val="both"/>
        <w:rPr>
          <w:rFonts w:ascii="Times New Roman" w:hAnsi="Times New Roman" w:cs="Times New Roman"/>
          <w:i/>
        </w:rPr>
      </w:pPr>
      <w:r>
        <w:rPr>
          <w:rFonts w:ascii="Times New Roman" w:hAnsi="Times New Roman" w:cs="Times New Roman"/>
        </w:rPr>
        <w:t>Vymezení tohoto pojmu je přisuzováno především dvěma představitelů chicagské školy</w:t>
      </w:r>
      <w:r w:rsidR="00FA192F">
        <w:rPr>
          <w:rFonts w:ascii="Times New Roman" w:hAnsi="Times New Roman" w:cs="Times New Roman"/>
        </w:rPr>
        <w:t xml:space="preserve"> ekonomie</w:t>
      </w:r>
      <w:r>
        <w:rPr>
          <w:rFonts w:ascii="Times New Roman" w:hAnsi="Times New Roman" w:cs="Times New Roman"/>
        </w:rPr>
        <w:t xml:space="preserve"> – </w:t>
      </w:r>
      <w:proofErr w:type="spellStart"/>
      <w:r w:rsidRPr="00A2519B">
        <w:rPr>
          <w:rFonts w:ascii="Times New Roman" w:hAnsi="Times New Roman" w:cs="Times New Roman"/>
          <w:i/>
        </w:rPr>
        <w:t>Garrymu</w:t>
      </w:r>
      <w:proofErr w:type="spellEnd"/>
      <w:r>
        <w:rPr>
          <w:rFonts w:ascii="Times New Roman" w:hAnsi="Times New Roman" w:cs="Times New Roman"/>
        </w:rPr>
        <w:t xml:space="preserve"> </w:t>
      </w:r>
      <w:r>
        <w:rPr>
          <w:rFonts w:ascii="Times New Roman" w:hAnsi="Times New Roman" w:cs="Times New Roman"/>
          <w:i/>
        </w:rPr>
        <w:t xml:space="preserve">S. </w:t>
      </w:r>
      <w:proofErr w:type="spellStart"/>
      <w:r>
        <w:rPr>
          <w:rFonts w:ascii="Times New Roman" w:hAnsi="Times New Roman" w:cs="Times New Roman"/>
          <w:i/>
        </w:rPr>
        <w:t>Beckerovi</w:t>
      </w:r>
      <w:proofErr w:type="spellEnd"/>
      <w:r>
        <w:rPr>
          <w:rFonts w:ascii="Times New Roman" w:hAnsi="Times New Roman" w:cs="Times New Roman"/>
        </w:rPr>
        <w:t xml:space="preserve"> (1964) a </w:t>
      </w:r>
      <w:proofErr w:type="spellStart"/>
      <w:r>
        <w:rPr>
          <w:rFonts w:ascii="Times New Roman" w:hAnsi="Times New Roman" w:cs="Times New Roman"/>
          <w:i/>
        </w:rPr>
        <w:t>Jackobu</w:t>
      </w:r>
      <w:proofErr w:type="spellEnd"/>
      <w:r>
        <w:rPr>
          <w:rFonts w:ascii="Times New Roman" w:hAnsi="Times New Roman" w:cs="Times New Roman"/>
          <w:i/>
        </w:rPr>
        <w:t xml:space="preserve"> </w:t>
      </w:r>
      <w:proofErr w:type="spellStart"/>
      <w:r>
        <w:rPr>
          <w:rFonts w:ascii="Times New Roman" w:hAnsi="Times New Roman" w:cs="Times New Roman"/>
          <w:i/>
        </w:rPr>
        <w:t>Minzerovi</w:t>
      </w:r>
      <w:proofErr w:type="spellEnd"/>
      <w:r>
        <w:rPr>
          <w:rFonts w:ascii="Times New Roman" w:hAnsi="Times New Roman" w:cs="Times New Roman"/>
          <w:i/>
        </w:rPr>
        <w:t xml:space="preserve"> </w:t>
      </w:r>
      <w:r>
        <w:rPr>
          <w:rFonts w:ascii="Times New Roman" w:hAnsi="Times New Roman" w:cs="Times New Roman"/>
        </w:rPr>
        <w:t>(1958). V odborné literatuře</w:t>
      </w:r>
      <w:r w:rsidR="00B11177">
        <w:rPr>
          <w:rFonts w:ascii="Times New Roman" w:hAnsi="Times New Roman" w:cs="Times New Roman"/>
        </w:rPr>
        <w:t xml:space="preserve"> se lze v současnosti setkat s celou řadou definic lidského kapitálu, přitom nejrozšířenější a obecně akceptovatelná je právě </w:t>
      </w:r>
      <w:proofErr w:type="spellStart"/>
      <w:r w:rsidR="00B11177">
        <w:rPr>
          <w:rFonts w:ascii="Times New Roman" w:hAnsi="Times New Roman" w:cs="Times New Roman"/>
        </w:rPr>
        <w:t>Beckerova</w:t>
      </w:r>
      <w:proofErr w:type="spellEnd"/>
      <w:r w:rsidR="00B11177">
        <w:rPr>
          <w:rFonts w:ascii="Times New Roman" w:hAnsi="Times New Roman" w:cs="Times New Roman"/>
        </w:rPr>
        <w:t xml:space="preserve"> (1964): </w:t>
      </w:r>
      <w:r w:rsidR="00B11177">
        <w:rPr>
          <w:rFonts w:ascii="Times New Roman" w:hAnsi="Times New Roman" w:cs="Times New Roman"/>
          <w:i/>
        </w:rPr>
        <w:t>„Lidský kapitál jsou schopnosti, dovednosti a odpovídající motivace tyto schopnosti a dovednosti uplatnit.“</w:t>
      </w:r>
    </w:p>
    <w:p w14:paraId="77D83687" w14:textId="6117A98A" w:rsidR="00B11177" w:rsidRDefault="00B11177" w:rsidP="00916B0B">
      <w:pPr>
        <w:spacing w:before="120" w:line="360" w:lineRule="auto"/>
        <w:jc w:val="both"/>
        <w:rPr>
          <w:rFonts w:ascii="Times New Roman" w:hAnsi="Times New Roman" w:cs="Times New Roman"/>
        </w:rPr>
      </w:pPr>
      <w:r>
        <w:rPr>
          <w:rFonts w:ascii="Times New Roman" w:hAnsi="Times New Roman" w:cs="Times New Roman"/>
        </w:rPr>
        <w:t>Často je uváděna rovněž definice, kterou vypracovala Organizace pro hospodářskou spolupráci a rozvoj (</w:t>
      </w:r>
      <w:proofErr w:type="spellStart"/>
      <w:r>
        <w:rPr>
          <w:rFonts w:ascii="Times New Roman" w:hAnsi="Times New Roman" w:cs="Times New Roman"/>
        </w:rPr>
        <w:t>Organization</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Economic</w:t>
      </w:r>
      <w:proofErr w:type="spellEnd"/>
      <w:r>
        <w:rPr>
          <w:rFonts w:ascii="Times New Roman" w:hAnsi="Times New Roman" w:cs="Times New Roman"/>
        </w:rPr>
        <w:t xml:space="preserve"> Co-</w:t>
      </w:r>
      <w:proofErr w:type="spellStart"/>
      <w:r>
        <w:rPr>
          <w:rFonts w:ascii="Times New Roman" w:hAnsi="Times New Roman" w:cs="Times New Roman"/>
        </w:rPr>
        <w:t>operation</w:t>
      </w:r>
      <w:proofErr w:type="spellEnd"/>
      <w:r>
        <w:rPr>
          <w:rFonts w:ascii="Times New Roman" w:hAnsi="Times New Roman" w:cs="Times New Roman"/>
        </w:rPr>
        <w:t xml:space="preserve"> and </w:t>
      </w:r>
      <w:proofErr w:type="spellStart"/>
      <w:r>
        <w:rPr>
          <w:rFonts w:ascii="Times New Roman" w:hAnsi="Times New Roman" w:cs="Times New Roman"/>
        </w:rPr>
        <w:t>Development</w:t>
      </w:r>
      <w:proofErr w:type="spellEnd"/>
      <w:r>
        <w:rPr>
          <w:rFonts w:ascii="Times New Roman" w:hAnsi="Times New Roman" w:cs="Times New Roman"/>
        </w:rPr>
        <w:t xml:space="preserve">, OECD): </w:t>
      </w:r>
      <w:r>
        <w:rPr>
          <w:rFonts w:ascii="Times New Roman" w:hAnsi="Times New Roman" w:cs="Times New Roman"/>
          <w:i/>
        </w:rPr>
        <w:t>„Lidský kapitál jsou znalosti, dovednosti, schopnosti a vlastnosti jedince, které usnadňují vytváření osobního, sociálního a ekonomického blaha.“</w:t>
      </w:r>
      <w:r>
        <w:rPr>
          <w:rFonts w:ascii="Times New Roman" w:hAnsi="Times New Roman" w:cs="Times New Roman"/>
        </w:rPr>
        <w:t xml:space="preserve"> (OECD, 2002).</w:t>
      </w:r>
      <w:r>
        <w:rPr>
          <w:rStyle w:val="Znakapoznpodarou"/>
          <w:rFonts w:ascii="Times New Roman" w:hAnsi="Times New Roman" w:cs="Times New Roman"/>
        </w:rPr>
        <w:footnoteReference w:id="8"/>
      </w:r>
    </w:p>
    <w:p w14:paraId="7310A541" w14:textId="3A7F0D0C" w:rsidR="00557C18" w:rsidRPr="00557C18" w:rsidRDefault="00557C18" w:rsidP="00916B0B">
      <w:pPr>
        <w:spacing w:before="120" w:line="360" w:lineRule="auto"/>
        <w:jc w:val="both"/>
        <w:rPr>
          <w:rFonts w:ascii="Times New Roman" w:hAnsi="Times New Roman" w:cs="Times New Roman"/>
        </w:rPr>
      </w:pPr>
      <w:r>
        <w:rPr>
          <w:rFonts w:ascii="Times New Roman" w:hAnsi="Times New Roman" w:cs="Times New Roman"/>
        </w:rPr>
        <w:t xml:space="preserve">Lidský kapitál je ale velice komplexní pojem, a proto je vhodné posuzovat jej v širším kontextu tzv. </w:t>
      </w:r>
      <w:r w:rsidRPr="00FA192F">
        <w:rPr>
          <w:rFonts w:ascii="Times New Roman" w:hAnsi="Times New Roman" w:cs="Times New Roman"/>
          <w:b/>
        </w:rPr>
        <w:t>intelektuálního kapitálu</w:t>
      </w:r>
      <w:r w:rsidRPr="00557C18">
        <w:rPr>
          <w:rFonts w:ascii="Times New Roman" w:hAnsi="Times New Roman" w:cs="Times New Roman"/>
        </w:rPr>
        <w:t>.</w:t>
      </w:r>
    </w:p>
    <w:p w14:paraId="020FDF56" w14:textId="77777777" w:rsidR="00521BD9" w:rsidRDefault="00521BD9" w:rsidP="00916B0B">
      <w:pPr>
        <w:spacing w:before="120" w:line="360" w:lineRule="auto"/>
        <w:jc w:val="both"/>
        <w:rPr>
          <w:rFonts w:ascii="Times New Roman" w:hAnsi="Times New Roman" w:cs="Times New Roman"/>
          <w:sz w:val="22"/>
          <w:szCs w:val="22"/>
        </w:rPr>
      </w:pPr>
    </w:p>
    <w:p w14:paraId="3ACBCF48" w14:textId="1714FA91" w:rsidR="007C64E0" w:rsidRPr="00FA192F" w:rsidRDefault="00557C18" w:rsidP="00916B0B">
      <w:pPr>
        <w:spacing w:before="120" w:line="360" w:lineRule="auto"/>
        <w:jc w:val="both"/>
        <w:rPr>
          <w:rFonts w:ascii="Times New Roman" w:hAnsi="Times New Roman" w:cs="Times New Roman"/>
          <w:b/>
          <w:sz w:val="22"/>
          <w:szCs w:val="22"/>
        </w:rPr>
      </w:pPr>
      <w:r w:rsidRPr="00FA192F">
        <w:rPr>
          <w:rFonts w:ascii="Times New Roman" w:hAnsi="Times New Roman" w:cs="Times New Roman"/>
          <w:sz w:val="22"/>
          <w:szCs w:val="22"/>
        </w:rPr>
        <w:lastRenderedPageBreak/>
        <w:t xml:space="preserve">Obrázek 1.1 </w:t>
      </w:r>
      <w:r w:rsidRPr="00FA192F">
        <w:rPr>
          <w:rFonts w:ascii="Times New Roman" w:hAnsi="Times New Roman" w:cs="Times New Roman"/>
          <w:b/>
          <w:sz w:val="22"/>
          <w:szCs w:val="22"/>
        </w:rPr>
        <w:t>Složky intelektuálního kapitálu organizace</w:t>
      </w:r>
      <w:r w:rsidR="00FA192F">
        <w:rPr>
          <w:rFonts w:ascii="Times New Roman" w:hAnsi="Times New Roman" w:cs="Times New Roman"/>
          <w:b/>
          <w:sz w:val="22"/>
          <w:szCs w:val="22"/>
        </w:rPr>
        <w:t xml:space="preserve"> (podniku)</w:t>
      </w:r>
    </w:p>
    <w:p w14:paraId="06BEBA47" w14:textId="77777777" w:rsidR="00FA192F" w:rsidRDefault="00557C18" w:rsidP="00FA192F">
      <w:pPr>
        <w:spacing w:before="120" w:line="36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0A7A12C0" wp14:editId="7EF9257A">
            <wp:extent cx="3894032" cy="1943100"/>
            <wp:effectExtent l="95250" t="76200" r="8763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520C28" w14:textId="5DFCF661" w:rsidR="0049029B" w:rsidRPr="008F5EDB" w:rsidRDefault="003D09E9" w:rsidP="00FA192F">
      <w:pPr>
        <w:spacing w:line="240" w:lineRule="atLeast"/>
        <w:rPr>
          <w:rFonts w:ascii="Times New Roman" w:hAnsi="Times New Roman" w:cs="Times New Roman"/>
          <w:i/>
          <w:sz w:val="22"/>
          <w:szCs w:val="22"/>
        </w:rPr>
      </w:pPr>
      <w:r w:rsidRPr="008F5EDB">
        <w:rPr>
          <w:rFonts w:ascii="Times New Roman" w:hAnsi="Times New Roman" w:cs="Times New Roman"/>
          <w:i/>
          <w:sz w:val="22"/>
          <w:szCs w:val="22"/>
        </w:rPr>
        <w:t xml:space="preserve">Zdroj: </w:t>
      </w:r>
      <w:proofErr w:type="spellStart"/>
      <w:r w:rsidRPr="008F5EDB">
        <w:rPr>
          <w:rFonts w:ascii="Times New Roman" w:hAnsi="Times New Roman" w:cs="Times New Roman"/>
          <w:i/>
          <w:sz w:val="22"/>
          <w:szCs w:val="22"/>
        </w:rPr>
        <w:t>Brooking</w:t>
      </w:r>
      <w:proofErr w:type="spellEnd"/>
      <w:r w:rsidRPr="008F5EDB">
        <w:rPr>
          <w:rFonts w:ascii="Times New Roman" w:hAnsi="Times New Roman" w:cs="Times New Roman"/>
          <w:i/>
          <w:sz w:val="22"/>
          <w:szCs w:val="22"/>
        </w:rPr>
        <w:t xml:space="preserve"> (1996), </w:t>
      </w:r>
      <w:proofErr w:type="spellStart"/>
      <w:r w:rsidRPr="008F5EDB">
        <w:rPr>
          <w:rFonts w:ascii="Times New Roman" w:hAnsi="Times New Roman" w:cs="Times New Roman"/>
          <w:i/>
          <w:sz w:val="22"/>
          <w:szCs w:val="22"/>
        </w:rPr>
        <w:t>Putnam</w:t>
      </w:r>
      <w:proofErr w:type="spellEnd"/>
      <w:r w:rsidRPr="008F5EDB">
        <w:rPr>
          <w:rFonts w:ascii="Times New Roman" w:hAnsi="Times New Roman" w:cs="Times New Roman"/>
          <w:i/>
          <w:sz w:val="22"/>
          <w:szCs w:val="22"/>
        </w:rPr>
        <w:t xml:space="preserve"> (1995).</w:t>
      </w:r>
    </w:p>
    <w:p w14:paraId="39A95E55" w14:textId="128BFD5A" w:rsidR="0049029B" w:rsidRDefault="00097F9D" w:rsidP="00FA192F">
      <w:pPr>
        <w:spacing w:before="240" w:line="360" w:lineRule="auto"/>
        <w:jc w:val="both"/>
        <w:rPr>
          <w:rFonts w:ascii="Times New Roman" w:hAnsi="Times New Roman" w:cs="Times New Roman"/>
        </w:rPr>
      </w:pPr>
      <w:r>
        <w:rPr>
          <w:rFonts w:ascii="Times New Roman" w:hAnsi="Times New Roman" w:cs="Times New Roman"/>
        </w:rPr>
        <w:t>Každá z uvedených složek intelektuálního kapitálu ovlivňuje určitým způsobem inovační schopnosti a celkovou konkurenceschopnost podniku. Jednotlivé složky jsou úzce propojeny, prolínají se, doplňují a často lze jen těžce stanovit mezi nimi hranici. Lidský kapitál má zcela jistě dominantní postavení, nicméně teprve jeho interakce s ostatními komponentami intelektuálního kapitálu podstatně přispívá ke zvýšení přidané hodnoty, kterou vytváří. Předpokladem efektivního využití intelektuálního kapitál je tedy optimální propojení všech tří složek.</w:t>
      </w:r>
    </w:p>
    <w:p w14:paraId="1F83108E" w14:textId="1ADD4F37" w:rsidR="00097F9D" w:rsidRDefault="00097F9D" w:rsidP="00916B0B">
      <w:pPr>
        <w:spacing w:before="120" w:line="360" w:lineRule="auto"/>
        <w:jc w:val="both"/>
        <w:rPr>
          <w:rFonts w:ascii="Times New Roman" w:hAnsi="Times New Roman" w:cs="Times New Roman"/>
        </w:rPr>
      </w:pPr>
      <w:r>
        <w:rPr>
          <w:rFonts w:ascii="Times New Roman" w:hAnsi="Times New Roman" w:cs="Times New Roman"/>
          <w:i/>
        </w:rPr>
        <w:t xml:space="preserve">Lidský kapitál </w:t>
      </w:r>
      <w:r>
        <w:rPr>
          <w:rFonts w:ascii="Times New Roman" w:hAnsi="Times New Roman" w:cs="Times New Roman"/>
        </w:rPr>
        <w:t xml:space="preserve">tvoří, jak bylo uvedeno již výše, znalosti, schopnosti a dovednosti jedince. Důležitá je přitom motivace tyto znalosti a dovednosti uplatnit a také schopnosti jedince úspěšně své znalosti, dovednosti atd. realizovat v praxi </w:t>
      </w:r>
      <w:r w:rsidR="00FA192F">
        <w:rPr>
          <w:rFonts w:ascii="Times New Roman" w:hAnsi="Times New Roman" w:cs="Times New Roman"/>
        </w:rPr>
        <w:t xml:space="preserve">a dále je rozvíjet </w:t>
      </w:r>
      <w:r>
        <w:rPr>
          <w:rFonts w:ascii="Times New Roman" w:hAnsi="Times New Roman" w:cs="Times New Roman"/>
        </w:rPr>
        <w:t xml:space="preserve">(uplatnit se na trhu práce). </w:t>
      </w:r>
      <w:r w:rsidR="00B96774">
        <w:rPr>
          <w:rFonts w:ascii="Times New Roman" w:hAnsi="Times New Roman" w:cs="Times New Roman"/>
        </w:rPr>
        <w:t>V prostředí organizace (podniku) hraje důležitou roli soulad mez</w:t>
      </w:r>
      <w:r w:rsidR="003F2CEF">
        <w:rPr>
          <w:rFonts w:ascii="Times New Roman" w:hAnsi="Times New Roman" w:cs="Times New Roman"/>
        </w:rPr>
        <w:t>i nároky kladenými na zaměstnance (pracovníka)</w:t>
      </w:r>
      <w:r w:rsidR="00B96774">
        <w:rPr>
          <w:rFonts w:ascii="Times New Roman" w:hAnsi="Times New Roman" w:cs="Times New Roman"/>
        </w:rPr>
        <w:t xml:space="preserve"> a jeho způsobilostí očekávání organizace naplnit. </w:t>
      </w:r>
    </w:p>
    <w:p w14:paraId="27799256" w14:textId="7F11DC63" w:rsidR="00B96774" w:rsidRDefault="00B96774" w:rsidP="00916B0B">
      <w:pPr>
        <w:spacing w:before="120" w:line="360" w:lineRule="auto"/>
        <w:jc w:val="both"/>
        <w:rPr>
          <w:rFonts w:ascii="Times New Roman" w:hAnsi="Times New Roman" w:cs="Times New Roman"/>
        </w:rPr>
      </w:pPr>
      <w:r>
        <w:rPr>
          <w:rFonts w:ascii="Times New Roman" w:hAnsi="Times New Roman" w:cs="Times New Roman"/>
          <w:i/>
        </w:rPr>
        <w:t xml:space="preserve">Strukturální (organizační) kapitál </w:t>
      </w:r>
      <w:r>
        <w:rPr>
          <w:rFonts w:ascii="Times New Roman" w:hAnsi="Times New Roman" w:cs="Times New Roman"/>
        </w:rPr>
        <w:t xml:space="preserve">zahrnuje dvě složky – procesní a inovační. </w:t>
      </w:r>
      <w:r>
        <w:rPr>
          <w:rFonts w:ascii="Times New Roman" w:hAnsi="Times New Roman" w:cs="Times New Roman"/>
          <w:i/>
        </w:rPr>
        <w:t>Procesní kapitál</w:t>
      </w:r>
      <w:r>
        <w:rPr>
          <w:rFonts w:ascii="Times New Roman" w:hAnsi="Times New Roman" w:cs="Times New Roman"/>
        </w:rPr>
        <w:t xml:space="preserve"> tvoří znalosti (know-how), licence, patenty apod. vlastněné organizací, které jsou uloženy v interních databázích, výrobních a technologických postupech atd. Často jsou výsledkem mnohaleté práce a odrazem získaných zkušeností. Patří k nejcennějším aktivům organizace. </w:t>
      </w:r>
      <w:r>
        <w:rPr>
          <w:rFonts w:ascii="Times New Roman" w:hAnsi="Times New Roman" w:cs="Times New Roman"/>
          <w:i/>
        </w:rPr>
        <w:t>Inovační kapitál</w:t>
      </w:r>
      <w:r>
        <w:rPr>
          <w:rFonts w:ascii="Times New Roman" w:hAnsi="Times New Roman" w:cs="Times New Roman"/>
        </w:rPr>
        <w:t xml:space="preserve"> tvoří informační technologie a databázové systémy, které umožňují propojení a rychlé šíření potřebných informací a znalostí uvnitř organizace.</w:t>
      </w:r>
    </w:p>
    <w:p w14:paraId="105CD9CC" w14:textId="67082F8F" w:rsidR="003F2CEF" w:rsidRPr="003F2CEF" w:rsidRDefault="003F2CEF" w:rsidP="00916B0B">
      <w:pPr>
        <w:spacing w:before="120" w:line="360" w:lineRule="auto"/>
        <w:jc w:val="both"/>
        <w:rPr>
          <w:rFonts w:ascii="Times New Roman" w:hAnsi="Times New Roman" w:cs="Times New Roman"/>
        </w:rPr>
      </w:pPr>
      <w:r>
        <w:rPr>
          <w:rFonts w:ascii="Times New Roman" w:hAnsi="Times New Roman" w:cs="Times New Roman"/>
          <w:i/>
        </w:rPr>
        <w:t xml:space="preserve">Vztahový (relační) kapitál </w:t>
      </w:r>
      <w:r>
        <w:rPr>
          <w:rFonts w:ascii="Times New Roman" w:hAnsi="Times New Roman" w:cs="Times New Roman"/>
        </w:rPr>
        <w:t>je tvořen jednak vzájemnými vazbami mezi jednotlivci uvnitř organizace (</w:t>
      </w:r>
      <w:r>
        <w:rPr>
          <w:rFonts w:ascii="Times New Roman" w:hAnsi="Times New Roman" w:cs="Times New Roman"/>
          <w:i/>
        </w:rPr>
        <w:t>vnitřní vztahy</w:t>
      </w:r>
      <w:r>
        <w:rPr>
          <w:rFonts w:ascii="Times New Roman" w:hAnsi="Times New Roman" w:cs="Times New Roman"/>
        </w:rPr>
        <w:t xml:space="preserve">) a jednak vztahy, které organizace vytváří se svým </w:t>
      </w:r>
      <w:r>
        <w:rPr>
          <w:rFonts w:ascii="Times New Roman" w:hAnsi="Times New Roman" w:cs="Times New Roman"/>
        </w:rPr>
        <w:lastRenderedPageBreak/>
        <w:t>okolím v rámci podnikatelské činnosti (</w:t>
      </w:r>
      <w:r>
        <w:rPr>
          <w:rFonts w:ascii="Times New Roman" w:hAnsi="Times New Roman" w:cs="Times New Roman"/>
          <w:i/>
        </w:rPr>
        <w:t>vnější vztahy</w:t>
      </w:r>
      <w:r>
        <w:rPr>
          <w:rFonts w:ascii="Times New Roman" w:hAnsi="Times New Roman" w:cs="Times New Roman"/>
        </w:rPr>
        <w:t xml:space="preserve">). V prostředí organizace hrají důležitou roli sítě neformálních vůdců, podniková kultura a celkové vnitřní klima. Uvedené faktory mohou pozitivně ovlivnit zaměstnance ve smyslu sdílení společných hodnot a podnikových cílů a jsou důležitým předpokladem loajálního chování. Zdravé klima uvnitř podniku a celková podniková kultura se pak ve svém důsledku pozitivně promítají do vnějších vztahů, do vztahů s dodavateli i zákazníky. Mohou významně ovlivnit celkový výkon </w:t>
      </w:r>
      <w:r w:rsidR="00A67DFB">
        <w:rPr>
          <w:rFonts w:ascii="Times New Roman" w:hAnsi="Times New Roman" w:cs="Times New Roman"/>
        </w:rPr>
        <w:t>organizace.</w:t>
      </w:r>
    </w:p>
    <w:p w14:paraId="2378FB62" w14:textId="36AFD4B0" w:rsidR="0046058F" w:rsidRDefault="0047113F" w:rsidP="00674FDB">
      <w:pPr>
        <w:pStyle w:val="Nadpis3"/>
      </w:pPr>
      <w:bookmarkStart w:id="11" w:name="_Toc398662577"/>
      <w:r>
        <w:t>1.2.2 Sociální kapitál versus lidský</w:t>
      </w:r>
      <w:r w:rsidR="0046058F">
        <w:t xml:space="preserve"> kapitál</w:t>
      </w:r>
      <w:bookmarkEnd w:id="11"/>
    </w:p>
    <w:p w14:paraId="49CE0122" w14:textId="240C3B73" w:rsidR="005619DC" w:rsidRDefault="00547071" w:rsidP="00674FDB">
      <w:pPr>
        <w:spacing w:before="120" w:line="360" w:lineRule="auto"/>
        <w:jc w:val="both"/>
        <w:rPr>
          <w:rFonts w:ascii="Times New Roman" w:hAnsi="Times New Roman" w:cs="Times New Roman"/>
        </w:rPr>
      </w:pPr>
      <w:r>
        <w:rPr>
          <w:rFonts w:ascii="Times New Roman" w:hAnsi="Times New Roman" w:cs="Times New Roman"/>
        </w:rPr>
        <w:t>Ekonomické teorie lidského kapitálu, které zdůrazňují myšlenku, že zlepšení sociální pozice jedince záleží zejména</w:t>
      </w:r>
      <w:r w:rsidR="008B1273">
        <w:rPr>
          <w:rFonts w:ascii="Times New Roman" w:hAnsi="Times New Roman" w:cs="Times New Roman"/>
        </w:rPr>
        <w:t xml:space="preserve"> na něm samotném, na jeho schopnostech a úsilí se dále vzdělávat, jsou často podrobovány kritice zejména ze strany sociologů. Ekonomickému přístupu vytýkají, že ignoruje vliv vzájemných vztahů a vazeb mezi lidmi, vliv sociálních a kulturních hodnot i celkový politický kontext a atmosféru ve společnosti. Všechny uvedené faktory totiž mohou ovlivnit jedince, který už dosáhnul určitého stupně vzdělání a nyní vstupuje na trh práce.</w:t>
      </w:r>
    </w:p>
    <w:p w14:paraId="271AD36C" w14:textId="4B2DAE33" w:rsidR="00BC6CA2" w:rsidRDefault="00BC6CA2" w:rsidP="00BC6CA2">
      <w:pPr>
        <w:pStyle w:val="Nadpis4"/>
      </w:pPr>
      <w:r>
        <w:t>Kulturní kapitál</w:t>
      </w:r>
    </w:p>
    <w:p w14:paraId="2A656D79" w14:textId="10259699" w:rsidR="00496988" w:rsidRDefault="008B1273" w:rsidP="00916B0B">
      <w:pPr>
        <w:spacing w:before="120" w:line="360" w:lineRule="auto"/>
        <w:jc w:val="both"/>
        <w:rPr>
          <w:rFonts w:ascii="Times New Roman" w:hAnsi="Times New Roman" w:cs="Times New Roman"/>
        </w:rPr>
      </w:pPr>
      <w:r>
        <w:rPr>
          <w:rFonts w:ascii="Times New Roman" w:hAnsi="Times New Roman" w:cs="Times New Roman"/>
        </w:rPr>
        <w:t xml:space="preserve">Problematikou </w:t>
      </w:r>
      <w:r>
        <w:rPr>
          <w:rFonts w:ascii="Times New Roman" w:hAnsi="Times New Roman" w:cs="Times New Roman"/>
          <w:i/>
        </w:rPr>
        <w:t xml:space="preserve">přístupu ke vzdělání </w:t>
      </w:r>
      <w:r>
        <w:rPr>
          <w:rFonts w:ascii="Times New Roman" w:hAnsi="Times New Roman" w:cs="Times New Roman"/>
        </w:rPr>
        <w:t xml:space="preserve">se zabýval například </w:t>
      </w:r>
      <w:r w:rsidR="00221E40">
        <w:rPr>
          <w:rFonts w:ascii="Times New Roman" w:hAnsi="Times New Roman" w:cs="Times New Roman"/>
        </w:rPr>
        <w:t xml:space="preserve">francouzský sociolog </w:t>
      </w:r>
      <w:proofErr w:type="spellStart"/>
      <w:r>
        <w:rPr>
          <w:rFonts w:ascii="Times New Roman" w:hAnsi="Times New Roman" w:cs="Times New Roman"/>
          <w:i/>
        </w:rPr>
        <w:t>Pierre</w:t>
      </w:r>
      <w:proofErr w:type="spellEnd"/>
      <w:r>
        <w:rPr>
          <w:rFonts w:ascii="Times New Roman" w:hAnsi="Times New Roman" w:cs="Times New Roman"/>
          <w:i/>
        </w:rPr>
        <w:t xml:space="preserve"> </w:t>
      </w:r>
      <w:proofErr w:type="spellStart"/>
      <w:r>
        <w:rPr>
          <w:rFonts w:ascii="Times New Roman" w:hAnsi="Times New Roman" w:cs="Times New Roman"/>
          <w:i/>
        </w:rPr>
        <w:t>Bourdieu</w:t>
      </w:r>
      <w:proofErr w:type="spellEnd"/>
      <w:r>
        <w:rPr>
          <w:rFonts w:ascii="Times New Roman" w:hAnsi="Times New Roman" w:cs="Times New Roman"/>
          <w:i/>
        </w:rPr>
        <w:t xml:space="preserve"> </w:t>
      </w:r>
      <w:r w:rsidR="00221E40">
        <w:rPr>
          <w:rFonts w:ascii="Times New Roman" w:hAnsi="Times New Roman" w:cs="Times New Roman"/>
        </w:rPr>
        <w:t>(1930–2002</w:t>
      </w:r>
      <w:r>
        <w:rPr>
          <w:rFonts w:ascii="Times New Roman" w:hAnsi="Times New Roman" w:cs="Times New Roman"/>
        </w:rPr>
        <w:t xml:space="preserve">), s jehož jménem je spojen koncept tzv. </w:t>
      </w:r>
      <w:r>
        <w:rPr>
          <w:rFonts w:ascii="Times New Roman" w:hAnsi="Times New Roman" w:cs="Times New Roman"/>
          <w:b/>
        </w:rPr>
        <w:t>kulturního kapitálu</w:t>
      </w:r>
      <w:r w:rsidR="00221E40">
        <w:rPr>
          <w:rFonts w:ascii="Times New Roman" w:hAnsi="Times New Roman" w:cs="Times New Roman"/>
          <w:b/>
        </w:rPr>
        <w:t xml:space="preserve"> </w:t>
      </w:r>
      <w:r w:rsidR="00221E40">
        <w:rPr>
          <w:rFonts w:ascii="Times New Roman" w:hAnsi="Times New Roman" w:cs="Times New Roman"/>
        </w:rPr>
        <w:t>(</w:t>
      </w:r>
      <w:proofErr w:type="spellStart"/>
      <w:r w:rsidR="00221E40">
        <w:rPr>
          <w:rFonts w:ascii="Times New Roman" w:hAnsi="Times New Roman" w:cs="Times New Roman"/>
        </w:rPr>
        <w:t>Bourdieu</w:t>
      </w:r>
      <w:proofErr w:type="spellEnd"/>
      <w:r w:rsidR="00221E40">
        <w:rPr>
          <w:rFonts w:ascii="Times New Roman" w:hAnsi="Times New Roman" w:cs="Times New Roman"/>
        </w:rPr>
        <w:t>, 1964)</w:t>
      </w:r>
      <w:r>
        <w:rPr>
          <w:rFonts w:ascii="Times New Roman" w:hAnsi="Times New Roman" w:cs="Times New Roman"/>
        </w:rPr>
        <w:t xml:space="preserve">. Základem tohoto konceptu je myšlenka, že děti vzdělanějších rodičů jsou vychovávány k pozitivnímu vztahu ke kultuře a vzdělání, a proto mají daleko lepší předpoklady dosáhnout vyššího vzdělání než děti z rodin s nižším vzděláním. Kulturní kapitál rodiny tedy determinuje míru úspěšnosti studia. </w:t>
      </w:r>
      <w:r w:rsidR="00221E40">
        <w:rPr>
          <w:rFonts w:ascii="Times New Roman" w:hAnsi="Times New Roman" w:cs="Times New Roman"/>
        </w:rPr>
        <w:t xml:space="preserve">Další francouzský sociolog </w:t>
      </w:r>
      <w:r>
        <w:rPr>
          <w:rFonts w:ascii="Times New Roman" w:hAnsi="Times New Roman" w:cs="Times New Roman"/>
          <w:i/>
        </w:rPr>
        <w:t xml:space="preserve">Raymond </w:t>
      </w:r>
      <w:proofErr w:type="spellStart"/>
      <w:r>
        <w:rPr>
          <w:rFonts w:ascii="Times New Roman" w:hAnsi="Times New Roman" w:cs="Times New Roman"/>
          <w:i/>
        </w:rPr>
        <w:t>Boudon</w:t>
      </w:r>
      <w:proofErr w:type="spellEnd"/>
      <w:r>
        <w:rPr>
          <w:rFonts w:ascii="Times New Roman" w:hAnsi="Times New Roman" w:cs="Times New Roman"/>
          <w:i/>
        </w:rPr>
        <w:t xml:space="preserve"> </w:t>
      </w:r>
      <w:r w:rsidR="00221E40">
        <w:rPr>
          <w:rFonts w:ascii="Times New Roman" w:hAnsi="Times New Roman" w:cs="Times New Roman"/>
        </w:rPr>
        <w:t>(1934–2013</w:t>
      </w:r>
      <w:r>
        <w:rPr>
          <w:rFonts w:ascii="Times New Roman" w:hAnsi="Times New Roman" w:cs="Times New Roman"/>
        </w:rPr>
        <w:t>), představitel teorie racionálního výběru, podrobil koncept kulturního kapitálu kritice</w:t>
      </w:r>
      <w:r w:rsidR="00221E40">
        <w:rPr>
          <w:rFonts w:ascii="Times New Roman" w:hAnsi="Times New Roman" w:cs="Times New Roman"/>
        </w:rPr>
        <w:t xml:space="preserve"> (</w:t>
      </w:r>
      <w:proofErr w:type="spellStart"/>
      <w:r w:rsidR="00221E40">
        <w:rPr>
          <w:rFonts w:ascii="Times New Roman" w:hAnsi="Times New Roman" w:cs="Times New Roman"/>
        </w:rPr>
        <w:t>Boudon</w:t>
      </w:r>
      <w:proofErr w:type="spellEnd"/>
      <w:r w:rsidR="00221E40">
        <w:rPr>
          <w:rFonts w:ascii="Times New Roman" w:hAnsi="Times New Roman" w:cs="Times New Roman"/>
        </w:rPr>
        <w:t>, 1973)</w:t>
      </w:r>
      <w:r>
        <w:rPr>
          <w:rFonts w:ascii="Times New Roman" w:hAnsi="Times New Roman" w:cs="Times New Roman"/>
        </w:rPr>
        <w:t>. Podle něj jedinec, který se rozhoduje, že bude studovat, zvažuje náklady, riziko a zisk, a to vše s ohledem na majetkovou situaci rodiny.</w:t>
      </w:r>
    </w:p>
    <w:p w14:paraId="3280BDCF" w14:textId="0FFE7B87" w:rsidR="00BC6CA2" w:rsidRDefault="00BC6CA2" w:rsidP="00674FDB">
      <w:pPr>
        <w:pStyle w:val="Nadpis4"/>
      </w:pPr>
      <w:r>
        <w:t>Sociální kapitál</w:t>
      </w:r>
    </w:p>
    <w:p w14:paraId="29CF0B6A" w14:textId="4E8D8B03" w:rsidR="008B1273" w:rsidRDefault="008B1273" w:rsidP="00916B0B">
      <w:pPr>
        <w:spacing w:before="120" w:line="360" w:lineRule="auto"/>
        <w:jc w:val="both"/>
        <w:rPr>
          <w:rFonts w:ascii="Times New Roman" w:hAnsi="Times New Roman" w:cs="Times New Roman"/>
        </w:rPr>
      </w:pPr>
      <w:r>
        <w:rPr>
          <w:rFonts w:ascii="Times New Roman" w:hAnsi="Times New Roman" w:cs="Times New Roman"/>
        </w:rPr>
        <w:t xml:space="preserve">Koncept tzv. </w:t>
      </w:r>
      <w:r>
        <w:rPr>
          <w:rFonts w:ascii="Times New Roman" w:hAnsi="Times New Roman" w:cs="Times New Roman"/>
          <w:b/>
        </w:rPr>
        <w:t xml:space="preserve">sociálního kapitálu </w:t>
      </w:r>
      <w:r w:rsidRPr="00BC6CA2">
        <w:rPr>
          <w:rFonts w:ascii="Times New Roman" w:hAnsi="Times New Roman" w:cs="Times New Roman"/>
        </w:rPr>
        <w:t>je poněkud složitější</w:t>
      </w:r>
      <w:r w:rsidR="00BC6CA2">
        <w:rPr>
          <w:rFonts w:ascii="Times New Roman" w:hAnsi="Times New Roman" w:cs="Times New Roman"/>
        </w:rPr>
        <w:t xml:space="preserve">. </w:t>
      </w:r>
      <w:r w:rsidR="00BC6CA2">
        <w:rPr>
          <w:rFonts w:ascii="Times New Roman" w:hAnsi="Times New Roman" w:cs="Times New Roman"/>
          <w:b/>
        </w:rPr>
        <w:t xml:space="preserve">Snaží se zachytit „neekonomické“ faktory, které ovlivňují vstup jedince na trh práce. </w:t>
      </w:r>
      <w:r w:rsidR="00BC6CA2">
        <w:rPr>
          <w:rFonts w:ascii="Times New Roman" w:hAnsi="Times New Roman" w:cs="Times New Roman"/>
        </w:rPr>
        <w:t xml:space="preserve">Na sociální kapitál lze nahlížet minimálně ze dvou hledisek – </w:t>
      </w:r>
      <w:proofErr w:type="spellStart"/>
      <w:r w:rsidR="00BC6CA2">
        <w:rPr>
          <w:rFonts w:ascii="Times New Roman" w:hAnsi="Times New Roman" w:cs="Times New Roman"/>
        </w:rPr>
        <w:t>mikrosociálního</w:t>
      </w:r>
      <w:proofErr w:type="spellEnd"/>
      <w:r w:rsidR="00BC6CA2">
        <w:rPr>
          <w:rFonts w:ascii="Times New Roman" w:hAnsi="Times New Roman" w:cs="Times New Roman"/>
        </w:rPr>
        <w:t xml:space="preserve"> a makrosociálního. </w:t>
      </w:r>
    </w:p>
    <w:p w14:paraId="30D5AEE7" w14:textId="18CFB61E" w:rsidR="00BC6CA2" w:rsidRPr="00180B4B" w:rsidRDefault="00BC6CA2" w:rsidP="00916B0B">
      <w:pPr>
        <w:spacing w:before="120" w:line="360" w:lineRule="auto"/>
        <w:jc w:val="both"/>
        <w:rPr>
          <w:rFonts w:ascii="Times New Roman" w:hAnsi="Times New Roman" w:cs="Times New Roman"/>
        </w:rPr>
      </w:pPr>
      <w:r>
        <w:rPr>
          <w:rFonts w:ascii="Times New Roman" w:hAnsi="Times New Roman" w:cs="Times New Roman"/>
          <w:b/>
        </w:rPr>
        <w:t xml:space="preserve">Z hlediska </w:t>
      </w:r>
      <w:proofErr w:type="spellStart"/>
      <w:r>
        <w:rPr>
          <w:rFonts w:ascii="Times New Roman" w:hAnsi="Times New Roman" w:cs="Times New Roman"/>
          <w:b/>
        </w:rPr>
        <w:t>mikrosociálního</w:t>
      </w:r>
      <w:proofErr w:type="spellEnd"/>
      <w:r>
        <w:rPr>
          <w:rFonts w:ascii="Times New Roman" w:hAnsi="Times New Roman" w:cs="Times New Roman"/>
          <w:b/>
        </w:rPr>
        <w:t xml:space="preserve"> </w:t>
      </w:r>
      <w:r>
        <w:rPr>
          <w:rFonts w:ascii="Times New Roman" w:hAnsi="Times New Roman" w:cs="Times New Roman"/>
        </w:rPr>
        <w:t xml:space="preserve">představuje sociální kapitál </w:t>
      </w:r>
      <w:r w:rsidRPr="00BC6CA2">
        <w:rPr>
          <w:rFonts w:ascii="Times New Roman" w:hAnsi="Times New Roman" w:cs="Times New Roman"/>
          <w:i/>
        </w:rPr>
        <w:t>síť</w:t>
      </w:r>
      <w:r>
        <w:rPr>
          <w:rFonts w:ascii="Times New Roman" w:hAnsi="Times New Roman" w:cs="Times New Roman"/>
        </w:rPr>
        <w:t xml:space="preserve"> </w:t>
      </w:r>
      <w:r w:rsidRPr="00BC6CA2">
        <w:rPr>
          <w:rFonts w:ascii="Times New Roman" w:hAnsi="Times New Roman" w:cs="Times New Roman"/>
          <w:i/>
        </w:rPr>
        <w:t>mezilidských</w:t>
      </w:r>
      <w:r>
        <w:rPr>
          <w:rFonts w:ascii="Times New Roman" w:hAnsi="Times New Roman" w:cs="Times New Roman"/>
        </w:rPr>
        <w:t xml:space="preserve"> </w:t>
      </w:r>
      <w:r w:rsidRPr="00BC6CA2">
        <w:rPr>
          <w:rFonts w:ascii="Times New Roman" w:hAnsi="Times New Roman" w:cs="Times New Roman"/>
          <w:i/>
        </w:rPr>
        <w:t>vztahů</w:t>
      </w:r>
      <w:r>
        <w:rPr>
          <w:rFonts w:ascii="Times New Roman" w:hAnsi="Times New Roman" w:cs="Times New Roman"/>
        </w:rPr>
        <w:t xml:space="preserve">, kterými každý jedinec v menším či větším rozsahu disponuje a jež může využívat při </w:t>
      </w:r>
      <w:r>
        <w:rPr>
          <w:rFonts w:ascii="Times New Roman" w:hAnsi="Times New Roman" w:cs="Times New Roman"/>
        </w:rPr>
        <w:lastRenderedPageBreak/>
        <w:t xml:space="preserve">prosazování svých zájmů a posílení vlastní sociální pozice. Takto chápe sociální kapitál např. již zmíněný </w:t>
      </w:r>
      <w:proofErr w:type="spellStart"/>
      <w:r>
        <w:rPr>
          <w:rFonts w:ascii="Times New Roman" w:hAnsi="Times New Roman" w:cs="Times New Roman"/>
          <w:i/>
        </w:rPr>
        <w:t>Pierre</w:t>
      </w:r>
      <w:proofErr w:type="spellEnd"/>
      <w:r>
        <w:rPr>
          <w:rFonts w:ascii="Times New Roman" w:hAnsi="Times New Roman" w:cs="Times New Roman"/>
          <w:i/>
        </w:rPr>
        <w:t xml:space="preserve"> </w:t>
      </w:r>
      <w:proofErr w:type="spellStart"/>
      <w:r>
        <w:rPr>
          <w:rFonts w:ascii="Times New Roman" w:hAnsi="Times New Roman" w:cs="Times New Roman"/>
          <w:i/>
        </w:rPr>
        <w:t>Bourdieu</w:t>
      </w:r>
      <w:proofErr w:type="spellEnd"/>
      <w:r>
        <w:rPr>
          <w:rFonts w:ascii="Times New Roman" w:hAnsi="Times New Roman" w:cs="Times New Roman"/>
          <w:i/>
        </w:rPr>
        <w:t xml:space="preserve">. </w:t>
      </w:r>
      <w:r>
        <w:rPr>
          <w:rFonts w:ascii="Times New Roman" w:hAnsi="Times New Roman" w:cs="Times New Roman"/>
        </w:rPr>
        <w:t xml:space="preserve">Snad nejvýznamnějším představitelem této koncepce je ale americký sociolog </w:t>
      </w:r>
      <w:r>
        <w:rPr>
          <w:rFonts w:ascii="Times New Roman" w:hAnsi="Times New Roman" w:cs="Times New Roman"/>
          <w:i/>
        </w:rPr>
        <w:t xml:space="preserve">Mark </w:t>
      </w:r>
      <w:proofErr w:type="spellStart"/>
      <w:r>
        <w:rPr>
          <w:rFonts w:ascii="Times New Roman" w:hAnsi="Times New Roman" w:cs="Times New Roman"/>
          <w:i/>
        </w:rPr>
        <w:t>Granovetter</w:t>
      </w:r>
      <w:proofErr w:type="spellEnd"/>
      <w:r w:rsidR="00221E40">
        <w:rPr>
          <w:rFonts w:ascii="Times New Roman" w:hAnsi="Times New Roman" w:cs="Times New Roman"/>
          <w:i/>
        </w:rPr>
        <w:t xml:space="preserve"> </w:t>
      </w:r>
      <w:r w:rsidR="00221E40">
        <w:rPr>
          <w:rFonts w:ascii="Times New Roman" w:hAnsi="Times New Roman" w:cs="Times New Roman"/>
        </w:rPr>
        <w:t>(nar. 1943)</w:t>
      </w:r>
      <w:r>
        <w:rPr>
          <w:rFonts w:ascii="Times New Roman" w:hAnsi="Times New Roman" w:cs="Times New Roman"/>
          <w:i/>
        </w:rPr>
        <w:t>,</w:t>
      </w:r>
      <w:r>
        <w:rPr>
          <w:rFonts w:ascii="Times New Roman" w:hAnsi="Times New Roman" w:cs="Times New Roman"/>
        </w:rPr>
        <w:t xml:space="preserve"> který rozlišuje tzv. silné a slabé vazby meziosobních vztahů. Síla vztahů mezi jedinci je přitom dána objemem času, který spolu s</w:t>
      </w:r>
      <w:r w:rsidR="00CA4CE1">
        <w:rPr>
          <w:rFonts w:ascii="Times New Roman" w:hAnsi="Times New Roman" w:cs="Times New Roman"/>
        </w:rPr>
        <w:t xml:space="preserve">tráví, emoční intenzitou a </w:t>
      </w:r>
      <w:r>
        <w:rPr>
          <w:rFonts w:ascii="Times New Roman" w:hAnsi="Times New Roman" w:cs="Times New Roman"/>
        </w:rPr>
        <w:t>důvěrou vztahů</w:t>
      </w:r>
      <w:r w:rsidR="00CA4CE1">
        <w:rPr>
          <w:rFonts w:ascii="Times New Roman" w:hAnsi="Times New Roman" w:cs="Times New Roman"/>
        </w:rPr>
        <w:t xml:space="preserve"> a také službami, které si jedinci vzájemně poskytují. Nejsilnější vztahy jsou v rodině, mezi nejbližšími příbuznými a dobrými přáteli a vyznačují se neformálním charakterem. Naopak nejslabší vazby vznikají zpravidla mezi jedincem a náhodnými známými, často z odlišného sociálního prostředí a jejich charakter je spíše formální. </w:t>
      </w:r>
      <w:proofErr w:type="spellStart"/>
      <w:r w:rsidR="00CA4CE1">
        <w:rPr>
          <w:rFonts w:ascii="Times New Roman" w:hAnsi="Times New Roman" w:cs="Times New Roman"/>
        </w:rPr>
        <w:t>Granovetter</w:t>
      </w:r>
      <w:proofErr w:type="spellEnd"/>
      <w:r w:rsidR="00CA4CE1">
        <w:rPr>
          <w:rFonts w:ascii="Times New Roman" w:hAnsi="Times New Roman" w:cs="Times New Roman"/>
        </w:rPr>
        <w:t xml:space="preserve"> (1974) zkoumal, jak tyto meziosobní vztahy ovlivňují chování jedince na trhu práce. Jeho průzkumy potvrdily již známou skutečnost, že osoby hledající práci se o možnostech zaměstnání dovídají především od příbuzných a známých. Přitom nejčastěji poskytují tuto informaci vzdálení známí, s nimiž se zájemce o práci potkal třebas i jen náhodně, např. bývalí kolegové z práce či ze studií. Z tohoto hlediska hrají při hledání práce velký význam právě slabé vazby – které vytvářejí jakési mosty mezi osobami z různého sociálního prostředí (často i velmi odlišného) a umožňují vzájemné toky tolik potřebných informací. </w:t>
      </w:r>
      <w:r w:rsidR="00CA4CE1" w:rsidRPr="00180B4B">
        <w:rPr>
          <w:rFonts w:ascii="Times New Roman" w:hAnsi="Times New Roman" w:cs="Times New Roman"/>
        </w:rPr>
        <w:t>Slabé</w:t>
      </w:r>
      <w:r w:rsidR="00CA4CE1">
        <w:rPr>
          <w:rFonts w:ascii="Times New Roman" w:hAnsi="Times New Roman" w:cs="Times New Roman"/>
        </w:rPr>
        <w:t xml:space="preserve"> </w:t>
      </w:r>
      <w:r w:rsidR="00CA4CE1" w:rsidRPr="00180B4B">
        <w:rPr>
          <w:rFonts w:ascii="Times New Roman" w:hAnsi="Times New Roman" w:cs="Times New Roman"/>
        </w:rPr>
        <w:t>vazby</w:t>
      </w:r>
      <w:r w:rsidR="00CA4CE1">
        <w:rPr>
          <w:rFonts w:ascii="Times New Roman" w:hAnsi="Times New Roman" w:cs="Times New Roman"/>
        </w:rPr>
        <w:t xml:space="preserve"> bývají proto také označovány</w:t>
      </w:r>
      <w:r w:rsidR="00180B4B">
        <w:rPr>
          <w:rFonts w:ascii="Times New Roman" w:hAnsi="Times New Roman" w:cs="Times New Roman"/>
        </w:rPr>
        <w:t xml:space="preserve"> jako </w:t>
      </w:r>
      <w:r w:rsidR="00180B4B">
        <w:rPr>
          <w:rFonts w:ascii="Times New Roman" w:hAnsi="Times New Roman" w:cs="Times New Roman"/>
          <w:i/>
        </w:rPr>
        <w:t xml:space="preserve">vazby přemosťující. </w:t>
      </w:r>
      <w:r w:rsidR="00180B4B">
        <w:rPr>
          <w:rFonts w:ascii="Times New Roman" w:hAnsi="Times New Roman" w:cs="Times New Roman"/>
        </w:rPr>
        <w:t xml:space="preserve">Vazby v rámci rodiny či v úzkém okruhu přátel bývají naopak označovány jako </w:t>
      </w:r>
      <w:r w:rsidR="00180B4B">
        <w:rPr>
          <w:rFonts w:ascii="Times New Roman" w:hAnsi="Times New Roman" w:cs="Times New Roman"/>
          <w:i/>
        </w:rPr>
        <w:t xml:space="preserve">svazující. </w:t>
      </w:r>
      <w:r w:rsidR="00180B4B">
        <w:rPr>
          <w:rFonts w:ascii="Times New Roman" w:hAnsi="Times New Roman" w:cs="Times New Roman"/>
        </w:rPr>
        <w:t>Jedinec, který preferuje pouze silné vazby, je svým způsobem izolován od podnětů a vlivu širšího okolí, a proto také jeho možnosti využít neformálních cest při hledání zaměstnání jsou značně omezené.</w:t>
      </w:r>
      <w:r w:rsidR="00180B4B">
        <w:rPr>
          <w:rStyle w:val="Znakapoznpodarou"/>
          <w:rFonts w:ascii="Times New Roman" w:hAnsi="Times New Roman" w:cs="Times New Roman"/>
        </w:rPr>
        <w:footnoteReference w:id="9"/>
      </w:r>
      <w:r w:rsidR="00180B4B">
        <w:rPr>
          <w:rFonts w:ascii="Times New Roman" w:hAnsi="Times New Roman" w:cs="Times New Roman"/>
        </w:rPr>
        <w:t xml:space="preserve"> </w:t>
      </w:r>
    </w:p>
    <w:p w14:paraId="7F0E4286" w14:textId="1D6FABAD" w:rsidR="005619DC" w:rsidRDefault="008F1250" w:rsidP="00916B0B">
      <w:pPr>
        <w:spacing w:before="120" w:line="360" w:lineRule="auto"/>
        <w:jc w:val="both"/>
        <w:rPr>
          <w:rFonts w:ascii="Times New Roman" w:hAnsi="Times New Roman" w:cs="Times New Roman"/>
        </w:rPr>
      </w:pPr>
      <w:r>
        <w:rPr>
          <w:rFonts w:ascii="Times New Roman" w:hAnsi="Times New Roman" w:cs="Times New Roman"/>
        </w:rPr>
        <w:t xml:space="preserve">V průběhu 80. let zahrnuli sociologové do zkoumání sítí vztahů při hledání práce také </w:t>
      </w:r>
      <w:r>
        <w:rPr>
          <w:rFonts w:ascii="Times New Roman" w:hAnsi="Times New Roman" w:cs="Times New Roman"/>
          <w:i/>
        </w:rPr>
        <w:t xml:space="preserve">faktor sociální nerovnosti. </w:t>
      </w:r>
      <w:r>
        <w:rPr>
          <w:rFonts w:ascii="Times New Roman" w:hAnsi="Times New Roman" w:cs="Times New Roman"/>
        </w:rPr>
        <w:t xml:space="preserve">V této souvislosti vynikají zejména práce amerického sociologa </w:t>
      </w:r>
      <w:proofErr w:type="spellStart"/>
      <w:r>
        <w:rPr>
          <w:rFonts w:ascii="Times New Roman" w:hAnsi="Times New Roman" w:cs="Times New Roman"/>
          <w:i/>
        </w:rPr>
        <w:t>Nan</w:t>
      </w:r>
      <w:proofErr w:type="spellEnd"/>
      <w:r>
        <w:rPr>
          <w:rFonts w:ascii="Times New Roman" w:hAnsi="Times New Roman" w:cs="Times New Roman"/>
          <w:i/>
        </w:rPr>
        <w:t xml:space="preserve"> Lina</w:t>
      </w:r>
      <w:r>
        <w:rPr>
          <w:rFonts w:ascii="Times New Roman" w:hAnsi="Times New Roman" w:cs="Times New Roman"/>
        </w:rPr>
        <w:t xml:space="preserve"> (nar. 1938). Sociální uspořádání společnosti má podle něj uspořádání pyramidy. Čím blíže k vrcholu společenské pyramidy se jedinci nacházejí, tím větší mají podíl nejen na majetku, moci a prestiži, ale – a co je důležité – i větší možnost využít k prosazení svých zájmů sociální zdroje (sociální kapitál). Dochází k závěru, že slabé vazby jsou při hledání práce výhodné jen tehdy, jestliže zprostředkovávají kontakt s jedinci, kteří mají vyšší společenské postavení. Platí, že čím nižší je společenské postavení jedince, tím důležitější jsou pro získání lepší práce </w:t>
      </w:r>
      <w:r>
        <w:rPr>
          <w:rFonts w:ascii="Times New Roman" w:hAnsi="Times New Roman" w:cs="Times New Roman"/>
        </w:rPr>
        <w:lastRenderedPageBreak/>
        <w:t>slabé vazby (prostřednictvím silných vazeb lze v případě nízkého sociálního postavení zpravidla získat jen méně výhodnou práci</w:t>
      </w:r>
      <w:r w:rsidR="001C0962">
        <w:rPr>
          <w:rFonts w:ascii="Times New Roman" w:hAnsi="Times New Roman" w:cs="Times New Roman"/>
        </w:rPr>
        <w:t>)</w:t>
      </w:r>
      <w:r>
        <w:rPr>
          <w:rFonts w:ascii="Times New Roman" w:hAnsi="Times New Roman" w:cs="Times New Roman"/>
        </w:rPr>
        <w:t>. A naopak, s vyšší pozicí na společenské pyramidě se význam slabých vazeb zmenšuje. Na vrcholu společenské struktury silné vazby umožňují získat pracovní pozici často mnohem lepší než vazby slabé.</w:t>
      </w:r>
    </w:p>
    <w:p w14:paraId="11A375C6" w14:textId="035230FF" w:rsidR="008F1250" w:rsidRDefault="008F1250" w:rsidP="00916B0B">
      <w:pPr>
        <w:spacing w:before="120" w:line="360" w:lineRule="auto"/>
        <w:jc w:val="both"/>
        <w:rPr>
          <w:rFonts w:ascii="Times New Roman" w:hAnsi="Times New Roman" w:cs="Times New Roman"/>
        </w:rPr>
      </w:pPr>
      <w:r>
        <w:rPr>
          <w:rFonts w:ascii="Times New Roman" w:hAnsi="Times New Roman" w:cs="Times New Roman"/>
        </w:rPr>
        <w:t xml:space="preserve">Sociální kapitál může být chápán i </w:t>
      </w:r>
      <w:r w:rsidRPr="008F1250">
        <w:rPr>
          <w:rFonts w:ascii="Times New Roman" w:hAnsi="Times New Roman" w:cs="Times New Roman"/>
          <w:b/>
        </w:rPr>
        <w:t>z</w:t>
      </w:r>
      <w:r>
        <w:rPr>
          <w:rFonts w:ascii="Times New Roman" w:hAnsi="Times New Roman" w:cs="Times New Roman"/>
        </w:rPr>
        <w:t> </w:t>
      </w:r>
      <w:r w:rsidRPr="008F1250">
        <w:rPr>
          <w:rFonts w:ascii="Times New Roman" w:hAnsi="Times New Roman" w:cs="Times New Roman"/>
          <w:b/>
        </w:rPr>
        <w:t>hlediska</w:t>
      </w:r>
      <w:r>
        <w:rPr>
          <w:rFonts w:ascii="Times New Roman" w:hAnsi="Times New Roman" w:cs="Times New Roman"/>
          <w:b/>
        </w:rPr>
        <w:t xml:space="preserve"> makrosociálního</w:t>
      </w:r>
      <w:r w:rsidR="004B00EF">
        <w:rPr>
          <w:rFonts w:ascii="Times New Roman" w:hAnsi="Times New Roman" w:cs="Times New Roman"/>
        </w:rPr>
        <w:t xml:space="preserve">, a to jako míra důvěry jedinců ve společnost a její instituce, popř. jako ochota jednotlivců podílet se aktivně na veřejném životě prostřednictvím občanských sdružení, politických stran apod. Významným představitelem tohoto pojetí je např. americký sociolog </w:t>
      </w:r>
      <w:r w:rsidR="004B00EF">
        <w:rPr>
          <w:rFonts w:ascii="Times New Roman" w:hAnsi="Times New Roman" w:cs="Times New Roman"/>
          <w:i/>
        </w:rPr>
        <w:t xml:space="preserve">Robert </w:t>
      </w:r>
      <w:proofErr w:type="spellStart"/>
      <w:r w:rsidR="004B00EF">
        <w:rPr>
          <w:rFonts w:ascii="Times New Roman" w:hAnsi="Times New Roman" w:cs="Times New Roman"/>
          <w:i/>
        </w:rPr>
        <w:t>Putnam</w:t>
      </w:r>
      <w:proofErr w:type="spellEnd"/>
      <w:r w:rsidR="004B00EF">
        <w:rPr>
          <w:rFonts w:ascii="Times New Roman" w:hAnsi="Times New Roman" w:cs="Times New Roman"/>
          <w:i/>
        </w:rPr>
        <w:t xml:space="preserve"> </w:t>
      </w:r>
      <w:r w:rsidR="004B00EF">
        <w:rPr>
          <w:rFonts w:ascii="Times New Roman" w:hAnsi="Times New Roman" w:cs="Times New Roman"/>
        </w:rPr>
        <w:t>(nar. 1941). Tato koncepce sociálního kapitálu se snaží ukázat, že ekonomické vztahy ve společnosti jsou úzce propojeny a jemně navázány na politické, kulturní, sociální a rodinné vazby a hodnoty.</w:t>
      </w:r>
    </w:p>
    <w:p w14:paraId="78663027" w14:textId="5A080FA4" w:rsidR="004B00EF" w:rsidRPr="004B00EF" w:rsidRDefault="00CE3485" w:rsidP="00916B0B">
      <w:pPr>
        <w:spacing w:before="120" w:line="360" w:lineRule="auto"/>
        <w:jc w:val="both"/>
        <w:rPr>
          <w:rFonts w:ascii="Times New Roman" w:hAnsi="Times New Roman" w:cs="Times New Roman"/>
        </w:rPr>
      </w:pPr>
      <w:r>
        <w:rPr>
          <w:rFonts w:ascii="Times New Roman" w:hAnsi="Times New Roman" w:cs="Times New Roman"/>
        </w:rPr>
        <w:t>Vztah mezi obě</w:t>
      </w:r>
      <w:r w:rsidR="004B00EF">
        <w:rPr>
          <w:rFonts w:ascii="Times New Roman" w:hAnsi="Times New Roman" w:cs="Times New Roman"/>
        </w:rPr>
        <w:t>ma složkami sociálního kapitálu přitom není vůbec jednoznačný. Tvrzení, že ve společnosti s vysokou mírou důvěry se sítě vztahů vytvářejí snadněji</w:t>
      </w:r>
      <w:r>
        <w:rPr>
          <w:rFonts w:ascii="Times New Roman" w:hAnsi="Times New Roman" w:cs="Times New Roman"/>
        </w:rPr>
        <w:t xml:space="preserve">, ale nemají nijak velký význam, a naopak – </w:t>
      </w:r>
      <w:r w:rsidR="004B00EF">
        <w:rPr>
          <w:rFonts w:ascii="Times New Roman" w:hAnsi="Times New Roman" w:cs="Times New Roman"/>
        </w:rPr>
        <w:t>sociologické výzkumy jednoznačně nepotvrzují (např. Keller &amp; Tvrdý, 2008).</w:t>
      </w:r>
      <w:r>
        <w:rPr>
          <w:rFonts w:ascii="Times New Roman" w:hAnsi="Times New Roman" w:cs="Times New Roman"/>
        </w:rPr>
        <w:t xml:space="preserve"> Problematika s kauzalitou existuje i v řadě dalších otázek, například: Je příčinou ekonomického růstu země nebo re</w:t>
      </w:r>
      <w:r w:rsidR="001C0962">
        <w:rPr>
          <w:rFonts w:ascii="Times New Roman" w:hAnsi="Times New Roman" w:cs="Times New Roman"/>
        </w:rPr>
        <w:t>gionu výše sociálního kapitálu (</w:t>
      </w:r>
      <w:r>
        <w:rPr>
          <w:rFonts w:ascii="Times New Roman" w:hAnsi="Times New Roman" w:cs="Times New Roman"/>
        </w:rPr>
        <w:t>měřeno mírou důvěry ve společnost), nebo naopak ekonomická prosperita vede k vyšší důvěře občanů ve společnost a její instituce?</w:t>
      </w:r>
    </w:p>
    <w:p w14:paraId="2104C60F" w14:textId="2748EE29" w:rsidR="00253E39" w:rsidRDefault="007F378B" w:rsidP="00CE3485">
      <w:pPr>
        <w:pStyle w:val="Nadpis5"/>
      </w:pPr>
      <w:r>
        <w:t>Úroveň</w:t>
      </w:r>
      <w:r w:rsidR="00281EC6">
        <w:t xml:space="preserve"> sociálního kapitálu v zemích EU</w:t>
      </w:r>
    </w:p>
    <w:p w14:paraId="61416B5D" w14:textId="5862F7AC" w:rsidR="00CE3485" w:rsidRDefault="00801056" w:rsidP="00916B0B">
      <w:pPr>
        <w:spacing w:before="120" w:line="360" w:lineRule="auto"/>
        <w:jc w:val="both"/>
        <w:rPr>
          <w:rFonts w:ascii="Times New Roman" w:hAnsi="Times New Roman" w:cs="Times New Roman"/>
        </w:rPr>
      </w:pPr>
      <w:r>
        <w:rPr>
          <w:rFonts w:ascii="Times New Roman" w:hAnsi="Times New Roman" w:cs="Times New Roman"/>
        </w:rPr>
        <w:t>V roce 2005 se uskutečnilo rozsáhlé měření sociálního kapitálu v zemích EU</w:t>
      </w:r>
      <w:r w:rsidR="006F7437">
        <w:rPr>
          <w:rFonts w:ascii="Times New Roman" w:hAnsi="Times New Roman" w:cs="Times New Roman"/>
        </w:rPr>
        <w:t xml:space="preserve"> (</w:t>
      </w:r>
      <w:proofErr w:type="spellStart"/>
      <w:r w:rsidR="006F7437">
        <w:rPr>
          <w:rFonts w:ascii="Times New Roman" w:hAnsi="Times New Roman" w:cs="Times New Roman"/>
        </w:rPr>
        <w:t>Eurobarometr</w:t>
      </w:r>
      <w:proofErr w:type="spellEnd"/>
      <w:r w:rsidR="006F7437">
        <w:rPr>
          <w:rFonts w:ascii="Times New Roman" w:hAnsi="Times New Roman" w:cs="Times New Roman"/>
        </w:rPr>
        <w:t>, 2005)</w:t>
      </w:r>
      <w:r>
        <w:rPr>
          <w:rFonts w:ascii="Times New Roman" w:hAnsi="Times New Roman" w:cs="Times New Roman"/>
        </w:rPr>
        <w:t>. Byly použity jak indikátory</w:t>
      </w:r>
      <w:r w:rsidR="00DC72CB">
        <w:rPr>
          <w:rFonts w:ascii="Times New Roman" w:hAnsi="Times New Roman" w:cs="Times New Roman"/>
        </w:rPr>
        <w:t xml:space="preserve"> přemosťujícího sociálního kapitálu (např. členství v asociacích a občanských sdruženích, důvěra ve společnost a politické instituce, důvěra ve spoluobčany), tak indikátory sociálního kapitálu svazujícího (intenzita vztahů s přáteli, s kolegy z práce, se sousedy, poskytnutí nějaké služby nebo pomoci v rámci neformální sítě vztahů). Výsledky výzkumu potvrdily známou skutečnost, a to že </w:t>
      </w:r>
      <w:r w:rsidR="00DC72CB">
        <w:rPr>
          <w:rFonts w:ascii="Times New Roman" w:hAnsi="Times New Roman" w:cs="Times New Roman"/>
          <w:b/>
        </w:rPr>
        <w:t>země EU se vyznačují značnou heterogenitou, a to jak z hlediska historického a kulturního vývoje, tak z hlediska dosažené ekonomické úrovně a sociální soudržnosti.</w:t>
      </w:r>
      <w:r w:rsidR="006967A6">
        <w:rPr>
          <w:rFonts w:ascii="Times New Roman" w:hAnsi="Times New Roman" w:cs="Times New Roman"/>
          <w:b/>
        </w:rPr>
        <w:t xml:space="preserve"> </w:t>
      </w:r>
      <w:r w:rsidR="006967A6">
        <w:rPr>
          <w:rFonts w:ascii="Times New Roman" w:hAnsi="Times New Roman" w:cs="Times New Roman"/>
        </w:rPr>
        <w:t>Velké rozdíly mezi zeměmi byly ve všech měřených indikátorech.</w:t>
      </w:r>
    </w:p>
    <w:p w14:paraId="231F56A7" w14:textId="024CF793" w:rsidR="0080731E" w:rsidRDefault="006967A6" w:rsidP="00916B0B">
      <w:pPr>
        <w:spacing w:before="120" w:line="360" w:lineRule="auto"/>
        <w:jc w:val="both"/>
        <w:rPr>
          <w:rFonts w:ascii="Times New Roman" w:hAnsi="Times New Roman" w:cs="Times New Roman"/>
        </w:rPr>
      </w:pPr>
      <w:r>
        <w:rPr>
          <w:rFonts w:ascii="Times New Roman" w:hAnsi="Times New Roman" w:cs="Times New Roman"/>
        </w:rPr>
        <w:t xml:space="preserve">Například pokud jde o </w:t>
      </w:r>
      <w:r w:rsidR="00AE5F2E">
        <w:rPr>
          <w:rFonts w:ascii="Times New Roman" w:hAnsi="Times New Roman" w:cs="Times New Roman"/>
          <w:i/>
        </w:rPr>
        <w:t>i</w:t>
      </w:r>
      <w:r w:rsidR="0080731E">
        <w:rPr>
          <w:rFonts w:ascii="Times New Roman" w:hAnsi="Times New Roman" w:cs="Times New Roman"/>
          <w:i/>
        </w:rPr>
        <w:t xml:space="preserve">ndikátor </w:t>
      </w:r>
      <w:r>
        <w:rPr>
          <w:rFonts w:ascii="Times New Roman" w:hAnsi="Times New Roman" w:cs="Times New Roman"/>
          <w:i/>
        </w:rPr>
        <w:t xml:space="preserve">členství v různých společenských organizacích a aktivní účast na jejich činnosti, </w:t>
      </w:r>
      <w:r>
        <w:rPr>
          <w:rFonts w:ascii="Times New Roman" w:hAnsi="Times New Roman" w:cs="Times New Roman"/>
        </w:rPr>
        <w:t xml:space="preserve">až ¾ občanů jsou aktivními členy v nějaké společenské organizaci ve skandinávských zemích, </w:t>
      </w:r>
      <w:r w:rsidR="001F57EF">
        <w:rPr>
          <w:rFonts w:ascii="Times New Roman" w:hAnsi="Times New Roman" w:cs="Times New Roman"/>
        </w:rPr>
        <w:t xml:space="preserve">v </w:t>
      </w:r>
      <w:r>
        <w:rPr>
          <w:rFonts w:ascii="Times New Roman" w:hAnsi="Times New Roman" w:cs="Times New Roman"/>
        </w:rPr>
        <w:t>Ni</w:t>
      </w:r>
      <w:r w:rsidR="006B6A46">
        <w:rPr>
          <w:rFonts w:ascii="Times New Roman" w:hAnsi="Times New Roman" w:cs="Times New Roman"/>
        </w:rPr>
        <w:t xml:space="preserve">zozemsku a Lucembursku (v </w:t>
      </w:r>
      <w:r w:rsidR="006B6A46">
        <w:rPr>
          <w:rFonts w:ascii="Times New Roman" w:hAnsi="Times New Roman" w:cs="Times New Roman"/>
        </w:rPr>
        <w:lastRenderedPageBreak/>
        <w:t>Dánsku</w:t>
      </w:r>
      <w:r>
        <w:rPr>
          <w:rFonts w:ascii="Times New Roman" w:hAnsi="Times New Roman" w:cs="Times New Roman"/>
        </w:rPr>
        <w:t xml:space="preserve"> a Švédsku dokonce 90 % a více). Ostatní západoevropské země a Slovinsko tvoří velmi kompaktní skupinu (aktivní participace občanů ve společenských organizacích se pohybu</w:t>
      </w:r>
      <w:r w:rsidR="0080731E">
        <w:rPr>
          <w:rFonts w:ascii="Times New Roman" w:hAnsi="Times New Roman" w:cs="Times New Roman"/>
        </w:rPr>
        <w:t>je v rozmezí 56</w:t>
      </w:r>
      <w:r>
        <w:rPr>
          <w:rFonts w:ascii="Times New Roman" w:hAnsi="Times New Roman" w:cs="Times New Roman"/>
        </w:rPr>
        <w:t xml:space="preserve">–59 %). </w:t>
      </w:r>
      <w:r w:rsidR="0080731E">
        <w:rPr>
          <w:rFonts w:ascii="Times New Roman" w:hAnsi="Times New Roman" w:cs="Times New Roman"/>
        </w:rPr>
        <w:t>Česká republika s 36 % se pohybuje pod průměrem EU, ale nad průměrem nových členských zemí. Zcela nejnižší je členství</w:t>
      </w:r>
      <w:r>
        <w:rPr>
          <w:rFonts w:ascii="Times New Roman" w:hAnsi="Times New Roman" w:cs="Times New Roman"/>
        </w:rPr>
        <w:t xml:space="preserve"> v Rumunsku a Bulharsku (19 % a 16 %). </w:t>
      </w:r>
      <w:r w:rsidR="0080731E">
        <w:rPr>
          <w:rFonts w:ascii="Times New Roman" w:hAnsi="Times New Roman" w:cs="Times New Roman"/>
        </w:rPr>
        <w:t>Až na výjimky (Itálie, Španělsko a Portugalsko) dosahuje tento ukazatel vyšších hodnot v původních členských zemích. Z nových členských zemí je výjimečná situace ve Slovinsku.</w:t>
      </w:r>
      <w:r w:rsidR="001F57EF">
        <w:rPr>
          <w:rFonts w:ascii="Times New Roman" w:hAnsi="Times New Roman" w:cs="Times New Roman"/>
        </w:rPr>
        <w:t xml:space="preserve"> Obyvatelé pů</w:t>
      </w:r>
      <w:r w:rsidR="001C0962">
        <w:rPr>
          <w:rFonts w:ascii="Times New Roman" w:hAnsi="Times New Roman" w:cs="Times New Roman"/>
        </w:rPr>
        <w:t>vo</w:t>
      </w:r>
      <w:r w:rsidR="001F57EF">
        <w:rPr>
          <w:rFonts w:ascii="Times New Roman" w:hAnsi="Times New Roman" w:cs="Times New Roman"/>
        </w:rPr>
        <w:t>dních členských zemí EU se tedy daleko intenzivněji aktivně zapojují do života v rámci občanské společnosti.</w:t>
      </w:r>
    </w:p>
    <w:p w14:paraId="64B65415" w14:textId="4998013B" w:rsidR="0080731E" w:rsidRDefault="0080731E" w:rsidP="00916B0B">
      <w:pPr>
        <w:spacing w:before="120" w:line="360" w:lineRule="auto"/>
        <w:jc w:val="both"/>
        <w:rPr>
          <w:rFonts w:ascii="Times New Roman" w:hAnsi="Times New Roman" w:cs="Times New Roman"/>
        </w:rPr>
      </w:pPr>
      <w:r>
        <w:rPr>
          <w:rFonts w:ascii="Times New Roman" w:hAnsi="Times New Roman" w:cs="Times New Roman"/>
          <w:i/>
        </w:rPr>
        <w:t>Ukazatel vš</w:t>
      </w:r>
      <w:r w:rsidR="008E197C">
        <w:rPr>
          <w:rFonts w:ascii="Times New Roman" w:hAnsi="Times New Roman" w:cs="Times New Roman"/>
          <w:i/>
        </w:rPr>
        <w:t>eobecné důvěry</w:t>
      </w:r>
      <w:r w:rsidR="008E197C">
        <w:rPr>
          <w:rFonts w:ascii="Times New Roman" w:hAnsi="Times New Roman" w:cs="Times New Roman"/>
        </w:rPr>
        <w:t xml:space="preserve"> je opět nejvyšší ve skandinávských zemích a v</w:t>
      </w:r>
      <w:r w:rsidR="006B6A46">
        <w:rPr>
          <w:rFonts w:ascii="Times New Roman" w:hAnsi="Times New Roman" w:cs="Times New Roman"/>
        </w:rPr>
        <w:t> Nizozemsku.</w:t>
      </w:r>
      <w:r w:rsidR="008E197C">
        <w:rPr>
          <w:rFonts w:ascii="Times New Roman" w:hAnsi="Times New Roman" w:cs="Times New Roman"/>
        </w:rPr>
        <w:t xml:space="preserve"> Více než 75 % Dánů se domnívá, že lze důvěřovat většině lidí. </w:t>
      </w:r>
      <w:r w:rsidR="006B6A46">
        <w:rPr>
          <w:rFonts w:ascii="Times New Roman" w:hAnsi="Times New Roman" w:cs="Times New Roman"/>
        </w:rPr>
        <w:t>S velkým odstupem následují Velká Británie a Španělsko, kde tento ukazate</w:t>
      </w:r>
      <w:r w:rsidR="00C84FF3">
        <w:rPr>
          <w:rFonts w:ascii="Times New Roman" w:hAnsi="Times New Roman" w:cs="Times New Roman"/>
        </w:rPr>
        <w:t>l dosahuje 36 %. Česká republika</w:t>
      </w:r>
      <w:r w:rsidR="006B6A46">
        <w:rPr>
          <w:rFonts w:ascii="Times New Roman" w:hAnsi="Times New Roman" w:cs="Times New Roman"/>
        </w:rPr>
        <w:t xml:space="preserve"> se 17 % patří k zemím s nižší mírou důvěry; nejméně si lidé důvěřují v Polsku (10 %).</w:t>
      </w:r>
    </w:p>
    <w:p w14:paraId="7D2F9617" w14:textId="01F1E636" w:rsidR="006B6A46" w:rsidRDefault="006B6A46" w:rsidP="00916B0B">
      <w:pPr>
        <w:spacing w:before="120" w:line="360" w:lineRule="auto"/>
        <w:jc w:val="both"/>
        <w:rPr>
          <w:rFonts w:ascii="Times New Roman" w:hAnsi="Times New Roman" w:cs="Times New Roman"/>
        </w:rPr>
      </w:pPr>
      <w:r>
        <w:rPr>
          <w:rFonts w:ascii="Times New Roman" w:hAnsi="Times New Roman" w:cs="Times New Roman"/>
        </w:rPr>
        <w:t xml:space="preserve">K měření </w:t>
      </w:r>
      <w:r>
        <w:rPr>
          <w:rFonts w:ascii="Times New Roman" w:hAnsi="Times New Roman" w:cs="Times New Roman"/>
          <w:i/>
        </w:rPr>
        <w:t xml:space="preserve">sociálních sítí </w:t>
      </w:r>
      <w:r>
        <w:rPr>
          <w:rFonts w:ascii="Times New Roman" w:hAnsi="Times New Roman" w:cs="Times New Roman"/>
        </w:rPr>
        <w:t>se používá řada ukazatelů, sleduje se např. četnost setkávání s přáteli, se spolupracovníky, sousedy apod. Výsledky ukázaly, že rozdíly mezi původními a novými členskými zeměmi jsou v případě sociálních sítí jen nepatrné. Nejčastěji se setkávají přátelé v Nizozemsku. Téměř 80 % Nizozemců</w:t>
      </w:r>
      <w:r w:rsidR="001F57EF">
        <w:rPr>
          <w:rFonts w:ascii="Times New Roman" w:hAnsi="Times New Roman" w:cs="Times New Roman"/>
        </w:rPr>
        <w:t xml:space="preserve"> se setkává se svými přáteli jednou týdně, na opačném pólu je Malta. </w:t>
      </w:r>
    </w:p>
    <w:p w14:paraId="33BDD43B" w14:textId="5DC27294" w:rsidR="001F57EF" w:rsidRDefault="001F57EF" w:rsidP="00916B0B">
      <w:pPr>
        <w:spacing w:before="120" w:line="360" w:lineRule="auto"/>
        <w:jc w:val="both"/>
        <w:rPr>
          <w:rFonts w:ascii="Times New Roman" w:hAnsi="Times New Roman" w:cs="Times New Roman"/>
        </w:rPr>
      </w:pPr>
      <w:r>
        <w:rPr>
          <w:rFonts w:ascii="Times New Roman" w:hAnsi="Times New Roman" w:cs="Times New Roman"/>
        </w:rPr>
        <w:t xml:space="preserve">Nejvýstižněji vyjadřuje úroveň meziosobních vazeb pravděpodobně </w:t>
      </w:r>
      <w:r w:rsidR="00AE5F2E">
        <w:rPr>
          <w:rFonts w:ascii="Times New Roman" w:hAnsi="Times New Roman" w:cs="Times New Roman"/>
          <w:i/>
        </w:rPr>
        <w:t>i</w:t>
      </w:r>
      <w:r>
        <w:rPr>
          <w:rFonts w:ascii="Times New Roman" w:hAnsi="Times New Roman" w:cs="Times New Roman"/>
          <w:i/>
        </w:rPr>
        <w:t xml:space="preserve">ndikátor poskytnutí pomoci prostřednictvím neformálních sítí </w:t>
      </w:r>
      <w:r>
        <w:rPr>
          <w:rFonts w:ascii="Times New Roman" w:hAnsi="Times New Roman" w:cs="Times New Roman"/>
        </w:rPr>
        <w:t>(</w:t>
      </w:r>
      <w:proofErr w:type="spellStart"/>
      <w:r>
        <w:rPr>
          <w:rFonts w:ascii="Times New Roman" w:hAnsi="Times New Roman" w:cs="Times New Roman"/>
        </w:rPr>
        <w:t>social</w:t>
      </w:r>
      <w:proofErr w:type="spellEnd"/>
      <w:r>
        <w:rPr>
          <w:rFonts w:ascii="Times New Roman" w:hAnsi="Times New Roman" w:cs="Times New Roman"/>
        </w:rPr>
        <w:t xml:space="preserve"> support). Sleduje nejen to, kdo poskytuje, ale i přijímá různé druhy služeb v rámci neformálních vztahů. Průzkum ukázal, že nejčastěji poskytují</w:t>
      </w:r>
      <w:r w:rsidR="00625545">
        <w:rPr>
          <w:rFonts w:ascii="Times New Roman" w:hAnsi="Times New Roman" w:cs="Times New Roman"/>
        </w:rPr>
        <w:t>, ale i přijímají pomoc lidé ve Švédsku, Dánsku, Slovinsku a Nizozemsku, dále následuje Finsko, Velká Británie a Německo. V zemích jižní a východní Evropy jsou lidé méně zvyklí přijímat pomoc od druhých. Česká republika se v tomto ukazateli pohybuje nad průměrem EU. Zajímavé je zjištění</w:t>
      </w:r>
      <w:r w:rsidR="001C0962">
        <w:rPr>
          <w:rFonts w:ascii="Times New Roman" w:hAnsi="Times New Roman" w:cs="Times New Roman"/>
        </w:rPr>
        <w:t>,</w:t>
      </w:r>
      <w:r w:rsidR="00625545">
        <w:rPr>
          <w:rFonts w:ascii="Times New Roman" w:hAnsi="Times New Roman" w:cs="Times New Roman"/>
        </w:rPr>
        <w:t xml:space="preserve"> že v zemích s nejrozvinutějším státem blahobytu (skandinávské země) je poskytování a přijímání </w:t>
      </w:r>
      <w:r w:rsidR="00AE5F2E">
        <w:rPr>
          <w:rFonts w:ascii="Times New Roman" w:hAnsi="Times New Roman" w:cs="Times New Roman"/>
        </w:rPr>
        <w:t>p</w:t>
      </w:r>
      <w:r w:rsidR="00625545">
        <w:rPr>
          <w:rFonts w:ascii="Times New Roman" w:hAnsi="Times New Roman" w:cs="Times New Roman"/>
        </w:rPr>
        <w:t xml:space="preserve">omoci a nejrůznějších služeb v rámci neformálních sítí nejrozšířenější. </w:t>
      </w:r>
    </w:p>
    <w:p w14:paraId="63067DAE" w14:textId="0878A527" w:rsidR="00AE5F2E" w:rsidRPr="006F7437" w:rsidRDefault="00AE5F2E" w:rsidP="00916B0B">
      <w:pPr>
        <w:spacing w:before="120" w:line="360" w:lineRule="auto"/>
        <w:jc w:val="both"/>
        <w:rPr>
          <w:rFonts w:ascii="Times New Roman" w:hAnsi="Times New Roman" w:cs="Times New Roman"/>
        </w:rPr>
      </w:pPr>
      <w:r>
        <w:rPr>
          <w:rFonts w:ascii="Times New Roman" w:hAnsi="Times New Roman" w:cs="Times New Roman"/>
        </w:rPr>
        <w:t xml:space="preserve">Složení sociálního kapitálu se nějak výrazně nemění, nicméně lze zaznamenat určité trendy. </w:t>
      </w:r>
      <w:r w:rsidR="00DC53AD">
        <w:rPr>
          <w:rFonts w:ascii="Times New Roman" w:hAnsi="Times New Roman" w:cs="Times New Roman"/>
        </w:rPr>
        <w:t>Další výzkumy ukázaly, že v</w:t>
      </w:r>
      <w:r>
        <w:rPr>
          <w:rFonts w:ascii="Times New Roman" w:hAnsi="Times New Roman" w:cs="Times New Roman"/>
        </w:rPr>
        <w:t xml:space="preserve"> období 1990–2012 ve většině zemí </w:t>
      </w:r>
      <w:r w:rsidR="006F7437">
        <w:rPr>
          <w:rFonts w:ascii="Times New Roman" w:hAnsi="Times New Roman" w:cs="Times New Roman"/>
        </w:rPr>
        <w:t xml:space="preserve">EU </w:t>
      </w:r>
      <w:r w:rsidRPr="00DC53AD">
        <w:rPr>
          <w:rFonts w:ascii="Times New Roman" w:hAnsi="Times New Roman" w:cs="Times New Roman"/>
        </w:rPr>
        <w:t>vzrostla</w:t>
      </w:r>
      <w:r>
        <w:rPr>
          <w:rFonts w:ascii="Times New Roman" w:hAnsi="Times New Roman" w:cs="Times New Roman"/>
        </w:rPr>
        <w:t xml:space="preserve"> </w:t>
      </w:r>
      <w:r w:rsidRPr="00AE5F2E">
        <w:rPr>
          <w:rFonts w:ascii="Times New Roman" w:hAnsi="Times New Roman" w:cs="Times New Roman"/>
          <w:i/>
        </w:rPr>
        <w:t>všeobecná</w:t>
      </w:r>
      <w:r>
        <w:rPr>
          <w:rFonts w:ascii="Times New Roman" w:hAnsi="Times New Roman" w:cs="Times New Roman"/>
        </w:rPr>
        <w:t xml:space="preserve"> </w:t>
      </w:r>
      <w:r w:rsidRPr="00AE5F2E">
        <w:rPr>
          <w:rFonts w:ascii="Times New Roman" w:hAnsi="Times New Roman" w:cs="Times New Roman"/>
          <w:i/>
        </w:rPr>
        <w:t>důvěra</w:t>
      </w:r>
      <w:r>
        <w:rPr>
          <w:rFonts w:ascii="Times New Roman" w:hAnsi="Times New Roman" w:cs="Times New Roman"/>
        </w:rPr>
        <w:t xml:space="preserve"> a také </w:t>
      </w:r>
      <w:r>
        <w:rPr>
          <w:rFonts w:ascii="Times New Roman" w:hAnsi="Times New Roman" w:cs="Times New Roman"/>
          <w:i/>
        </w:rPr>
        <w:t>důvěra ve veřejnou správu</w:t>
      </w:r>
      <w:r w:rsidR="00DC53AD">
        <w:rPr>
          <w:rFonts w:ascii="Times New Roman" w:hAnsi="Times New Roman" w:cs="Times New Roman"/>
        </w:rPr>
        <w:t xml:space="preserve"> a </w:t>
      </w:r>
      <w:r w:rsidR="00DC53AD">
        <w:rPr>
          <w:rFonts w:ascii="Times New Roman" w:hAnsi="Times New Roman" w:cs="Times New Roman"/>
          <w:i/>
        </w:rPr>
        <w:t xml:space="preserve">ozbrojené síly. </w:t>
      </w:r>
      <w:r w:rsidR="00DC53AD">
        <w:rPr>
          <w:rFonts w:ascii="Times New Roman" w:hAnsi="Times New Roman" w:cs="Times New Roman"/>
        </w:rPr>
        <w:t xml:space="preserve">Naopak </w:t>
      </w:r>
      <w:r w:rsidR="00DC53AD" w:rsidRPr="00DC53AD">
        <w:rPr>
          <w:rFonts w:ascii="Times New Roman" w:hAnsi="Times New Roman" w:cs="Times New Roman"/>
          <w:i/>
        </w:rPr>
        <w:t>poklesla</w:t>
      </w:r>
      <w:r w:rsidR="00DC53AD">
        <w:rPr>
          <w:rFonts w:ascii="Times New Roman" w:hAnsi="Times New Roman" w:cs="Times New Roman"/>
        </w:rPr>
        <w:t xml:space="preserve"> </w:t>
      </w:r>
      <w:r w:rsidR="00DC53AD" w:rsidRPr="00DC53AD">
        <w:rPr>
          <w:rFonts w:ascii="Times New Roman" w:hAnsi="Times New Roman" w:cs="Times New Roman"/>
          <w:i/>
        </w:rPr>
        <w:lastRenderedPageBreak/>
        <w:t xml:space="preserve">participace </w:t>
      </w:r>
      <w:r w:rsidR="006F7437">
        <w:rPr>
          <w:rFonts w:ascii="Times New Roman" w:hAnsi="Times New Roman" w:cs="Times New Roman"/>
          <w:i/>
        </w:rPr>
        <w:t xml:space="preserve">občanů </w:t>
      </w:r>
      <w:r w:rsidR="00DC53AD" w:rsidRPr="00DC53AD">
        <w:rPr>
          <w:rFonts w:ascii="Times New Roman" w:hAnsi="Times New Roman" w:cs="Times New Roman"/>
          <w:i/>
        </w:rPr>
        <w:t>v nejrůznějších ob</w:t>
      </w:r>
      <w:r w:rsidR="006F7437">
        <w:rPr>
          <w:rFonts w:ascii="Times New Roman" w:hAnsi="Times New Roman" w:cs="Times New Roman"/>
          <w:i/>
        </w:rPr>
        <w:t xml:space="preserve">čanských skupinách a sdruženích </w:t>
      </w:r>
      <w:r w:rsidR="006F7437">
        <w:rPr>
          <w:rFonts w:ascii="Times New Roman" w:hAnsi="Times New Roman" w:cs="Times New Roman"/>
        </w:rPr>
        <w:t xml:space="preserve">a také </w:t>
      </w:r>
      <w:r w:rsidR="006F7437">
        <w:rPr>
          <w:rFonts w:ascii="Times New Roman" w:hAnsi="Times New Roman" w:cs="Times New Roman"/>
          <w:i/>
        </w:rPr>
        <w:t xml:space="preserve">důvěra v politické instituce. </w:t>
      </w:r>
      <w:r w:rsidR="006F7437">
        <w:rPr>
          <w:rFonts w:ascii="Times New Roman" w:hAnsi="Times New Roman" w:cs="Times New Roman"/>
        </w:rPr>
        <w:t>Rozdíly mezi evropskými zeměmi v úrovni sociálního kapitálu po celé sledované období převážně narůstaly (</w:t>
      </w:r>
      <w:proofErr w:type="spellStart"/>
      <w:r w:rsidR="006F7437">
        <w:rPr>
          <w:rFonts w:ascii="Times New Roman" w:hAnsi="Times New Roman" w:cs="Times New Roman"/>
        </w:rPr>
        <w:t>Sarracino</w:t>
      </w:r>
      <w:proofErr w:type="spellEnd"/>
      <w:r w:rsidR="006F7437">
        <w:rPr>
          <w:rFonts w:ascii="Times New Roman" w:hAnsi="Times New Roman" w:cs="Times New Roman"/>
        </w:rPr>
        <w:t xml:space="preserve"> &amp; </w:t>
      </w:r>
      <w:proofErr w:type="spellStart"/>
      <w:r w:rsidR="006F7437">
        <w:rPr>
          <w:rFonts w:ascii="Times New Roman" w:hAnsi="Times New Roman" w:cs="Times New Roman"/>
        </w:rPr>
        <w:t>Mikucka</w:t>
      </w:r>
      <w:proofErr w:type="spellEnd"/>
      <w:r w:rsidR="006F7437">
        <w:rPr>
          <w:rFonts w:ascii="Times New Roman" w:hAnsi="Times New Roman" w:cs="Times New Roman"/>
        </w:rPr>
        <w:t>, 2016).</w:t>
      </w:r>
    </w:p>
    <w:p w14:paraId="3DD9005F" w14:textId="20521F8D" w:rsidR="001C0962" w:rsidRPr="00CD72B3" w:rsidRDefault="00582BF0" w:rsidP="00916B0B">
      <w:pPr>
        <w:spacing w:before="120" w:line="360" w:lineRule="auto"/>
        <w:jc w:val="both"/>
        <w:rPr>
          <w:rFonts w:ascii="Times New Roman" w:hAnsi="Times New Roman" w:cs="Times New Roman"/>
          <w:b/>
        </w:rPr>
      </w:pPr>
      <w:r>
        <w:rPr>
          <w:rFonts w:ascii="Times New Roman" w:hAnsi="Times New Roman" w:cs="Times New Roman"/>
        </w:rPr>
        <w:t xml:space="preserve">Podle úrovně a struktury lze v Evropě rozlišit </w:t>
      </w:r>
      <w:r>
        <w:rPr>
          <w:rFonts w:ascii="Times New Roman" w:hAnsi="Times New Roman" w:cs="Times New Roman"/>
          <w:b/>
        </w:rPr>
        <w:t>pět typů uspořádání sociálního kapitálu</w:t>
      </w:r>
      <w:r>
        <w:rPr>
          <w:rFonts w:ascii="Times New Roman" w:hAnsi="Times New Roman" w:cs="Times New Roman"/>
        </w:rPr>
        <w:t xml:space="preserve"> (</w:t>
      </w:r>
      <w:proofErr w:type="spellStart"/>
      <w:r>
        <w:rPr>
          <w:rFonts w:ascii="Times New Roman" w:hAnsi="Times New Roman" w:cs="Times New Roman"/>
        </w:rPr>
        <w:t>Wallace</w:t>
      </w:r>
      <w:proofErr w:type="spellEnd"/>
      <w:r>
        <w:rPr>
          <w:rFonts w:ascii="Times New Roman" w:hAnsi="Times New Roman" w:cs="Times New Roman"/>
        </w:rPr>
        <w:t xml:space="preserve"> &amp; </w:t>
      </w:r>
      <w:proofErr w:type="spellStart"/>
      <w:r>
        <w:rPr>
          <w:rFonts w:ascii="Times New Roman" w:hAnsi="Times New Roman" w:cs="Times New Roman"/>
        </w:rPr>
        <w:t>Pichler</w:t>
      </w:r>
      <w:proofErr w:type="spellEnd"/>
      <w:r>
        <w:rPr>
          <w:rFonts w:ascii="Times New Roman" w:hAnsi="Times New Roman" w:cs="Times New Roman"/>
        </w:rPr>
        <w:t xml:space="preserve">, 2007). Při pohledu na Tabulku 1.1 je možné vyslovit domněnku, že </w:t>
      </w:r>
      <w:r>
        <w:rPr>
          <w:rFonts w:ascii="Times New Roman" w:hAnsi="Times New Roman" w:cs="Times New Roman"/>
          <w:b/>
        </w:rPr>
        <w:t>vysoká úroveň sociálního kapitálu jde ruku v ruce s ekonomickou úrovní</w:t>
      </w:r>
      <w:r>
        <w:rPr>
          <w:rFonts w:ascii="Times New Roman" w:hAnsi="Times New Roman" w:cs="Times New Roman"/>
        </w:rPr>
        <w:t xml:space="preserve">. Často je přitom kladena </w:t>
      </w:r>
      <w:r>
        <w:rPr>
          <w:rFonts w:ascii="Times New Roman" w:hAnsi="Times New Roman" w:cs="Times New Roman"/>
          <w:i/>
        </w:rPr>
        <w:t xml:space="preserve">otázka kauzality. </w:t>
      </w:r>
      <w:r>
        <w:rPr>
          <w:rFonts w:ascii="Times New Roman" w:hAnsi="Times New Roman" w:cs="Times New Roman"/>
        </w:rPr>
        <w:t>Je vysoká úroveň sociálního kapitálu předpokladem ekonomického růstu, nebo naopak</w:t>
      </w:r>
      <w:r>
        <w:rPr>
          <w:rFonts w:ascii="Times New Roman" w:hAnsi="Times New Roman" w:cs="Times New Roman"/>
          <w:b/>
        </w:rPr>
        <w:t xml:space="preserve"> </w:t>
      </w:r>
      <w:r w:rsidR="004D301F" w:rsidRPr="004D301F">
        <w:rPr>
          <w:rFonts w:ascii="Times New Roman" w:hAnsi="Times New Roman" w:cs="Times New Roman"/>
        </w:rPr>
        <w:t>vysoká</w:t>
      </w:r>
      <w:r w:rsidR="004D301F">
        <w:rPr>
          <w:rFonts w:ascii="Times New Roman" w:hAnsi="Times New Roman" w:cs="Times New Roman"/>
          <w:b/>
        </w:rPr>
        <w:t xml:space="preserve"> </w:t>
      </w:r>
      <w:r w:rsidR="004D301F" w:rsidRPr="004D301F">
        <w:rPr>
          <w:rFonts w:ascii="Times New Roman" w:hAnsi="Times New Roman" w:cs="Times New Roman"/>
        </w:rPr>
        <w:t>úroveň</w:t>
      </w:r>
      <w:r w:rsidR="004D301F">
        <w:rPr>
          <w:rFonts w:ascii="Times New Roman" w:hAnsi="Times New Roman" w:cs="Times New Roman"/>
          <w:b/>
        </w:rPr>
        <w:t xml:space="preserve"> </w:t>
      </w:r>
      <w:r w:rsidR="004D301F" w:rsidRPr="004D301F">
        <w:rPr>
          <w:rFonts w:ascii="Times New Roman" w:hAnsi="Times New Roman" w:cs="Times New Roman"/>
        </w:rPr>
        <w:t>ekonomiky ve</w:t>
      </w:r>
      <w:r w:rsidR="00CD72B3">
        <w:rPr>
          <w:rFonts w:ascii="Times New Roman" w:hAnsi="Times New Roman" w:cs="Times New Roman"/>
        </w:rPr>
        <w:t>de</w:t>
      </w:r>
      <w:r w:rsidR="004D301F">
        <w:rPr>
          <w:rFonts w:ascii="Times New Roman" w:hAnsi="Times New Roman" w:cs="Times New Roman"/>
        </w:rPr>
        <w:t xml:space="preserve"> k rozvoji sociálního kapitálu? Nalézt jednoznačnou odpověď</w:t>
      </w:r>
      <w:r w:rsidR="00CD72B3">
        <w:rPr>
          <w:rFonts w:ascii="Times New Roman" w:hAnsi="Times New Roman" w:cs="Times New Roman"/>
        </w:rPr>
        <w:t xml:space="preserve"> (dle autorky této studie)</w:t>
      </w:r>
      <w:r w:rsidR="004D301F">
        <w:rPr>
          <w:rFonts w:ascii="Times New Roman" w:hAnsi="Times New Roman" w:cs="Times New Roman"/>
        </w:rPr>
        <w:t xml:space="preserve"> nelze – ekonomické, sociální, společe</w:t>
      </w:r>
      <w:r w:rsidR="00C84FF3">
        <w:rPr>
          <w:rFonts w:ascii="Times New Roman" w:hAnsi="Times New Roman" w:cs="Times New Roman"/>
        </w:rPr>
        <w:t>nské,</w:t>
      </w:r>
      <w:r w:rsidR="00135EC7">
        <w:rPr>
          <w:rFonts w:ascii="Times New Roman" w:hAnsi="Times New Roman" w:cs="Times New Roman"/>
        </w:rPr>
        <w:t xml:space="preserve"> kulturní a politické vazby</w:t>
      </w:r>
      <w:r w:rsidR="004D301F">
        <w:rPr>
          <w:rFonts w:ascii="Times New Roman" w:hAnsi="Times New Roman" w:cs="Times New Roman"/>
        </w:rPr>
        <w:t xml:space="preserve"> ve společnosti se totiž utvářely a utvářejí vzájemnou interakcí. </w:t>
      </w:r>
      <w:r w:rsidR="00135EC7">
        <w:rPr>
          <w:rFonts w:ascii="Times New Roman" w:hAnsi="Times New Roman" w:cs="Times New Roman"/>
        </w:rPr>
        <w:t>Jsou natolik propojen</w:t>
      </w:r>
      <w:r w:rsidR="00C84FF3">
        <w:rPr>
          <w:rFonts w:ascii="Times New Roman" w:hAnsi="Times New Roman" w:cs="Times New Roman"/>
        </w:rPr>
        <w:t>y, že se vzájemně velmi</w:t>
      </w:r>
      <w:r w:rsidR="00135EC7">
        <w:rPr>
          <w:rFonts w:ascii="Times New Roman" w:hAnsi="Times New Roman" w:cs="Times New Roman"/>
        </w:rPr>
        <w:t xml:space="preserve"> ovlivňují, nelze je od sebe zcela oddělit ani izolovat. Společnost je doslova utkána z jemného přediva těchto vazeb a tato vzájemná propojenost jednotlivých oblastí se velmi výrazně projevuje právě na trzích práce. Důležité proto je, aby</w:t>
      </w:r>
      <w:r w:rsidR="004D301F">
        <w:rPr>
          <w:rFonts w:ascii="Times New Roman" w:hAnsi="Times New Roman" w:cs="Times New Roman"/>
        </w:rPr>
        <w:t xml:space="preserve"> </w:t>
      </w:r>
      <w:r w:rsidR="00135EC7">
        <w:rPr>
          <w:rFonts w:ascii="Times New Roman" w:hAnsi="Times New Roman" w:cs="Times New Roman"/>
        </w:rPr>
        <w:t>při zkoumání pracovních trhů byly brány tyto širší souvislosti v potaz.</w:t>
      </w:r>
    </w:p>
    <w:p w14:paraId="66089ED6" w14:textId="69B6541C" w:rsidR="007F3738" w:rsidRPr="007F3738" w:rsidRDefault="007F3738" w:rsidP="00916B0B">
      <w:pPr>
        <w:spacing w:before="120" w:line="360" w:lineRule="auto"/>
        <w:jc w:val="both"/>
        <w:rPr>
          <w:rFonts w:ascii="Times New Roman" w:hAnsi="Times New Roman" w:cs="Times New Roman"/>
          <w:b/>
          <w:sz w:val="22"/>
          <w:szCs w:val="22"/>
        </w:rPr>
      </w:pPr>
      <w:r>
        <w:rPr>
          <w:rFonts w:ascii="Times New Roman" w:hAnsi="Times New Roman" w:cs="Times New Roman"/>
          <w:sz w:val="22"/>
          <w:szCs w:val="22"/>
        </w:rPr>
        <w:t xml:space="preserve">Tabulka 1.1 </w:t>
      </w:r>
      <w:r>
        <w:rPr>
          <w:rFonts w:ascii="Times New Roman" w:hAnsi="Times New Roman" w:cs="Times New Roman"/>
          <w:b/>
          <w:sz w:val="22"/>
          <w:szCs w:val="22"/>
        </w:rPr>
        <w:t>Typy uspořádání sociálního kapitálu</w:t>
      </w:r>
    </w:p>
    <w:tbl>
      <w:tblPr>
        <w:tblStyle w:val="Svtlmkazvraznn1"/>
        <w:tblW w:w="0" w:type="auto"/>
        <w:tblInd w:w="-176" w:type="dxa"/>
        <w:tblLook w:val="04A0" w:firstRow="1" w:lastRow="0" w:firstColumn="1" w:lastColumn="0" w:noHBand="0" w:noVBand="1"/>
      </w:tblPr>
      <w:tblGrid>
        <w:gridCol w:w="802"/>
        <w:gridCol w:w="1491"/>
        <w:gridCol w:w="6405"/>
      </w:tblGrid>
      <w:tr w:rsidR="00E405E1" w:rsidRPr="0093524A" w14:paraId="762AE15B" w14:textId="77777777" w:rsidTr="00E40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3B465C77" w14:textId="3149FADF" w:rsidR="007F3738" w:rsidRPr="00E405E1" w:rsidRDefault="00135EC7" w:rsidP="00E405E1">
            <w:pPr>
              <w:spacing w:before="120" w:after="120" w:line="60" w:lineRule="atLeast"/>
              <w:jc w:val="center"/>
              <w:rPr>
                <w:rFonts w:cs="Times New Roman"/>
                <w:sz w:val="22"/>
                <w:szCs w:val="22"/>
              </w:rPr>
            </w:pPr>
            <w:r w:rsidRPr="00E405E1">
              <w:rPr>
                <w:rFonts w:cs="Times New Roman"/>
                <w:sz w:val="22"/>
                <w:szCs w:val="22"/>
              </w:rPr>
              <w:t>Typ</w:t>
            </w:r>
          </w:p>
        </w:tc>
        <w:tc>
          <w:tcPr>
            <w:tcW w:w="0" w:type="auto"/>
          </w:tcPr>
          <w:p w14:paraId="15560DCF" w14:textId="4E137FFD" w:rsidR="007F3738" w:rsidRPr="00E405E1" w:rsidRDefault="00135EC7" w:rsidP="00E405E1">
            <w:pPr>
              <w:spacing w:before="120" w:after="120" w:line="60" w:lineRule="atLeast"/>
              <w:jc w:val="center"/>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E405E1">
              <w:rPr>
                <w:rFonts w:cs="Times New Roman"/>
                <w:sz w:val="22"/>
                <w:szCs w:val="22"/>
              </w:rPr>
              <w:t>Země</w:t>
            </w:r>
          </w:p>
        </w:tc>
        <w:tc>
          <w:tcPr>
            <w:tcW w:w="0" w:type="auto"/>
          </w:tcPr>
          <w:p w14:paraId="215C8A1B" w14:textId="5D21EF11" w:rsidR="007F3738" w:rsidRPr="00E405E1" w:rsidRDefault="00135EC7" w:rsidP="00E405E1">
            <w:pPr>
              <w:spacing w:before="120" w:after="120" w:line="60" w:lineRule="atLeast"/>
              <w:jc w:val="center"/>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E405E1">
              <w:rPr>
                <w:rFonts w:cs="Times New Roman"/>
                <w:sz w:val="22"/>
                <w:szCs w:val="22"/>
              </w:rPr>
              <w:t>Charakteristika</w:t>
            </w:r>
          </w:p>
        </w:tc>
      </w:tr>
      <w:tr w:rsidR="00E405E1" w:rsidRPr="0093524A" w14:paraId="7481DB8D" w14:textId="77777777" w:rsidTr="00E40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66145F0F" w14:textId="3EE04C75" w:rsidR="007F3738" w:rsidRPr="00E405E1" w:rsidRDefault="00135EC7" w:rsidP="00135EC7">
            <w:pPr>
              <w:spacing w:before="120" w:after="120" w:line="60" w:lineRule="atLeast"/>
              <w:rPr>
                <w:rFonts w:cs="Times New Roman"/>
                <w:sz w:val="22"/>
                <w:szCs w:val="22"/>
              </w:rPr>
            </w:pPr>
            <w:proofErr w:type="gramStart"/>
            <w:r w:rsidRPr="00E405E1">
              <w:rPr>
                <w:rFonts w:cs="Times New Roman"/>
                <w:sz w:val="22"/>
                <w:szCs w:val="22"/>
              </w:rPr>
              <w:t>Typ</w:t>
            </w:r>
            <w:r w:rsidR="00E405E1">
              <w:rPr>
                <w:rFonts w:cs="Times New Roman"/>
                <w:sz w:val="22"/>
                <w:szCs w:val="22"/>
              </w:rPr>
              <w:t xml:space="preserve"> </w:t>
            </w:r>
            <w:r w:rsidRPr="00E405E1">
              <w:rPr>
                <w:rFonts w:cs="Times New Roman"/>
                <w:sz w:val="22"/>
                <w:szCs w:val="22"/>
              </w:rPr>
              <w:t xml:space="preserve"> 1</w:t>
            </w:r>
            <w:proofErr w:type="gramEnd"/>
          </w:p>
        </w:tc>
        <w:tc>
          <w:tcPr>
            <w:tcW w:w="0" w:type="auto"/>
          </w:tcPr>
          <w:p w14:paraId="3696637D" w14:textId="77777777" w:rsidR="007F3738" w:rsidRDefault="00135EC7" w:rsidP="00135EC7">
            <w:pPr>
              <w:spacing w:before="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Dánsko</w:t>
            </w:r>
          </w:p>
          <w:p w14:paraId="760A975E" w14:textId="77777777" w:rsidR="00135EC7" w:rsidRDefault="00135EC7" w:rsidP="00135EC7">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Švédsko</w:t>
            </w:r>
          </w:p>
          <w:p w14:paraId="368FBE28" w14:textId="1FB9559F" w:rsidR="00135EC7" w:rsidRPr="0093524A" w:rsidRDefault="00135EC7" w:rsidP="00135EC7">
            <w:pPr>
              <w:spacing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Nizozemsko</w:t>
            </w:r>
          </w:p>
        </w:tc>
        <w:tc>
          <w:tcPr>
            <w:tcW w:w="0" w:type="auto"/>
          </w:tcPr>
          <w:p w14:paraId="2F9C58EA" w14:textId="77777777" w:rsidR="00D7687A" w:rsidRDefault="00D7687A" w:rsidP="00E94B9D">
            <w:pPr>
              <w:pStyle w:val="Odstavecseseznamem"/>
              <w:numPr>
                <w:ilvl w:val="0"/>
                <w:numId w:val="4"/>
              </w:numPr>
              <w:spacing w:before="120"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v</w:t>
            </w:r>
            <w:r w:rsidRPr="00D7687A">
              <w:rPr>
                <w:rFonts w:asciiTheme="majorHAnsi" w:hAnsiTheme="majorHAnsi" w:cs="Times New Roman"/>
                <w:sz w:val="22"/>
                <w:szCs w:val="22"/>
              </w:rPr>
              <w:t>elmi</w:t>
            </w:r>
            <w:r>
              <w:rPr>
                <w:rFonts w:asciiTheme="majorHAnsi" w:hAnsiTheme="majorHAnsi" w:cs="Times New Roman"/>
                <w:sz w:val="22"/>
                <w:szCs w:val="22"/>
              </w:rPr>
              <w:t xml:space="preserve"> vysoká úroveň svazujícího i přemosťujícího sociálního kapitálu</w:t>
            </w:r>
          </w:p>
          <w:p w14:paraId="0DC59F1F" w14:textId="00EEC03E" w:rsidR="00D7687A" w:rsidRDefault="00D7687A" w:rsidP="00E94B9D">
            <w:pPr>
              <w:pStyle w:val="Odstavecseseznamem"/>
              <w:numPr>
                <w:ilvl w:val="0"/>
                <w:numId w:val="4"/>
              </w:numPr>
              <w:spacing w:before="120"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rozvinutý stát blahobytu</w:t>
            </w:r>
          </w:p>
          <w:p w14:paraId="60CBC790" w14:textId="17B5B750" w:rsidR="007F3738" w:rsidRDefault="00D7687A" w:rsidP="00E94B9D">
            <w:pPr>
              <w:pStyle w:val="Odstavecseseznamem"/>
              <w:numPr>
                <w:ilvl w:val="0"/>
                <w:numId w:val="4"/>
              </w:numPr>
              <w:spacing w:before="120"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vysoká úroveň důvěry ve společnost</w:t>
            </w:r>
          </w:p>
          <w:p w14:paraId="437EDA19" w14:textId="286CB786" w:rsidR="00D7687A" w:rsidRPr="00D7687A" w:rsidRDefault="00D7687A" w:rsidP="00E94B9D">
            <w:pPr>
              <w:pStyle w:val="Odstavecseseznamem"/>
              <w:numPr>
                <w:ilvl w:val="0"/>
                <w:numId w:val="4"/>
              </w:numPr>
              <w:spacing w:before="120"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vysoká úroveň občanské a politické participace</w:t>
            </w:r>
          </w:p>
        </w:tc>
      </w:tr>
      <w:tr w:rsidR="00E405E1" w:rsidRPr="0093524A" w14:paraId="29EAB14A" w14:textId="77777777" w:rsidTr="00E4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34D0B4B2" w14:textId="04B3BB67" w:rsidR="007F3738" w:rsidRPr="0093524A" w:rsidRDefault="00135EC7" w:rsidP="00135EC7">
            <w:pPr>
              <w:spacing w:before="120" w:after="120" w:line="60" w:lineRule="atLeast"/>
              <w:rPr>
                <w:rFonts w:cs="Times New Roman"/>
                <w:sz w:val="22"/>
                <w:szCs w:val="22"/>
              </w:rPr>
            </w:pPr>
            <w:r>
              <w:rPr>
                <w:rFonts w:cs="Times New Roman"/>
                <w:sz w:val="22"/>
                <w:szCs w:val="22"/>
              </w:rPr>
              <w:t>Typ 2</w:t>
            </w:r>
          </w:p>
        </w:tc>
        <w:tc>
          <w:tcPr>
            <w:tcW w:w="0" w:type="auto"/>
          </w:tcPr>
          <w:p w14:paraId="40F9D590" w14:textId="77777777" w:rsidR="007F3738" w:rsidRDefault="00135EC7" w:rsidP="00D7687A">
            <w:pPr>
              <w:spacing w:before="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Lucembursko</w:t>
            </w:r>
          </w:p>
          <w:p w14:paraId="74F5B577" w14:textId="77777777" w:rsidR="00135EC7" w:rsidRDefault="00135EC7" w:rsidP="00135EC7">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Finsko</w:t>
            </w:r>
          </w:p>
          <w:p w14:paraId="4EB49B12" w14:textId="77777777" w:rsidR="00135EC7" w:rsidRDefault="00135EC7" w:rsidP="00135EC7">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Irsko</w:t>
            </w:r>
          </w:p>
          <w:p w14:paraId="5DC20762" w14:textId="77A2138A" w:rsidR="00135EC7" w:rsidRDefault="00135EC7" w:rsidP="00135EC7">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Velká Británie</w:t>
            </w:r>
          </w:p>
          <w:p w14:paraId="07F26233" w14:textId="77777777" w:rsidR="00135EC7" w:rsidRDefault="00135EC7" w:rsidP="00135EC7">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Belgie</w:t>
            </w:r>
          </w:p>
          <w:p w14:paraId="78ADF73F" w14:textId="77777777" w:rsidR="00135EC7" w:rsidRDefault="00135EC7" w:rsidP="00135EC7">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Francie</w:t>
            </w:r>
          </w:p>
          <w:p w14:paraId="3D124102" w14:textId="77777777" w:rsidR="00135EC7" w:rsidRDefault="00135EC7" w:rsidP="00135EC7">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Německo</w:t>
            </w:r>
          </w:p>
          <w:p w14:paraId="45B0EFE6" w14:textId="4B502C58" w:rsidR="00135EC7" w:rsidRPr="0093524A" w:rsidRDefault="00135EC7" w:rsidP="00D7687A">
            <w:pPr>
              <w:spacing w:after="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Rakousko</w:t>
            </w:r>
          </w:p>
        </w:tc>
        <w:tc>
          <w:tcPr>
            <w:tcW w:w="0" w:type="auto"/>
          </w:tcPr>
          <w:p w14:paraId="485B5C4A" w14:textId="77777777" w:rsidR="007F3738" w:rsidRDefault="00D7687A" w:rsidP="00E94B9D">
            <w:pPr>
              <w:pStyle w:val="Odstavecseseznamem"/>
              <w:numPr>
                <w:ilvl w:val="0"/>
                <w:numId w:val="5"/>
              </w:numPr>
              <w:spacing w:before="120" w:after="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střední úroveň přemosťujícího a svazujícího sociálního kapitálu</w:t>
            </w:r>
          </w:p>
          <w:p w14:paraId="33DE48FE" w14:textId="77777777" w:rsidR="00D7687A" w:rsidRDefault="00D7687A" w:rsidP="00E94B9D">
            <w:pPr>
              <w:pStyle w:val="Odstavecseseznamem"/>
              <w:numPr>
                <w:ilvl w:val="0"/>
                <w:numId w:val="5"/>
              </w:numPr>
              <w:spacing w:before="120" w:after="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obdobné charakteristiky jako v předchozím modelu, ale méně silné</w:t>
            </w:r>
          </w:p>
          <w:p w14:paraId="4A58664C" w14:textId="77777777" w:rsidR="00D7687A" w:rsidRDefault="00D7687A" w:rsidP="00E94B9D">
            <w:pPr>
              <w:pStyle w:val="Odstavecseseznamem"/>
              <w:numPr>
                <w:ilvl w:val="0"/>
                <w:numId w:val="5"/>
              </w:numPr>
              <w:spacing w:before="120" w:after="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vysoká úroveň důvěry ve společnost</w:t>
            </w:r>
          </w:p>
          <w:p w14:paraId="2FF01F3A" w14:textId="4BDAE7FB" w:rsidR="00D7687A" w:rsidRPr="00D7687A" w:rsidRDefault="00D7687A" w:rsidP="00E94B9D">
            <w:pPr>
              <w:pStyle w:val="Odstavecseseznamem"/>
              <w:numPr>
                <w:ilvl w:val="0"/>
                <w:numId w:val="5"/>
              </w:numPr>
              <w:spacing w:before="120" w:after="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 xml:space="preserve">víceméně koresponduje </w:t>
            </w:r>
            <w:proofErr w:type="gramStart"/>
            <w:r>
              <w:rPr>
                <w:rFonts w:asciiTheme="majorHAnsi" w:hAnsiTheme="majorHAnsi" w:cs="Times New Roman"/>
                <w:sz w:val="22"/>
                <w:szCs w:val="22"/>
              </w:rPr>
              <w:t>ze</w:t>
            </w:r>
            <w:proofErr w:type="gramEnd"/>
            <w:r>
              <w:rPr>
                <w:rFonts w:asciiTheme="majorHAnsi" w:hAnsiTheme="majorHAnsi" w:cs="Times New Roman"/>
                <w:sz w:val="22"/>
                <w:szCs w:val="22"/>
              </w:rPr>
              <w:t xml:space="preserve"> zeměmi původní EU-15</w:t>
            </w:r>
          </w:p>
        </w:tc>
      </w:tr>
      <w:tr w:rsidR="00E405E1" w:rsidRPr="0093524A" w14:paraId="777DC9F6" w14:textId="77777777" w:rsidTr="00E40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2BA026B8" w14:textId="3C596094" w:rsidR="007F3738" w:rsidRPr="0093524A" w:rsidRDefault="00135EC7" w:rsidP="00135EC7">
            <w:pPr>
              <w:spacing w:before="120" w:after="120" w:line="60" w:lineRule="atLeast"/>
              <w:rPr>
                <w:rFonts w:cs="Times New Roman"/>
                <w:sz w:val="22"/>
                <w:szCs w:val="22"/>
              </w:rPr>
            </w:pPr>
            <w:r>
              <w:rPr>
                <w:rFonts w:cs="Times New Roman"/>
                <w:sz w:val="22"/>
                <w:szCs w:val="22"/>
              </w:rPr>
              <w:t>Typ 3</w:t>
            </w:r>
          </w:p>
        </w:tc>
        <w:tc>
          <w:tcPr>
            <w:tcW w:w="0" w:type="auto"/>
          </w:tcPr>
          <w:p w14:paraId="3730100F" w14:textId="77777777" w:rsidR="007F3738" w:rsidRDefault="00135EC7" w:rsidP="00D7687A">
            <w:pPr>
              <w:spacing w:before="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Česká republika</w:t>
            </w:r>
          </w:p>
          <w:p w14:paraId="6D83314D" w14:textId="77777777" w:rsidR="00135EC7" w:rsidRDefault="00135EC7"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Slovensko</w:t>
            </w:r>
          </w:p>
          <w:p w14:paraId="7E408429" w14:textId="77777777" w:rsidR="00135EC7" w:rsidRDefault="00135EC7"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Slovinsko</w:t>
            </w:r>
          </w:p>
          <w:p w14:paraId="39FA3B95" w14:textId="0850B261" w:rsidR="00135EC7" w:rsidRPr="0093524A" w:rsidRDefault="00135EC7" w:rsidP="00D7687A">
            <w:pPr>
              <w:spacing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Lotyšsko</w:t>
            </w:r>
          </w:p>
        </w:tc>
        <w:tc>
          <w:tcPr>
            <w:tcW w:w="0" w:type="auto"/>
          </w:tcPr>
          <w:p w14:paraId="6E65453F" w14:textId="77777777" w:rsidR="007F3738" w:rsidRDefault="00D7687A" w:rsidP="00E94B9D">
            <w:pPr>
              <w:pStyle w:val="Odstavecseseznamem"/>
              <w:numPr>
                <w:ilvl w:val="0"/>
                <w:numId w:val="6"/>
              </w:numPr>
              <w:spacing w:before="120" w:line="60" w:lineRule="atLeast"/>
              <w:ind w:left="357" w:hanging="357"/>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střední úroveň přemosťujícího i svazujícího sociálního kapitálu s tendencí k převaze svazujících vazeb</w:t>
            </w:r>
          </w:p>
          <w:p w14:paraId="4809D09C" w14:textId="77777777" w:rsidR="00D7687A" w:rsidRDefault="00D7687A" w:rsidP="00E94B9D">
            <w:pPr>
              <w:pStyle w:val="Odstavecseseznamem"/>
              <w:numPr>
                <w:ilvl w:val="0"/>
                <w:numId w:val="6"/>
              </w:num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nízká úroveň důvěry ve společnost</w:t>
            </w:r>
          </w:p>
          <w:p w14:paraId="58BC17A5" w14:textId="77777777" w:rsidR="00D7687A" w:rsidRDefault="00D7687A" w:rsidP="00E94B9D">
            <w:pPr>
              <w:pStyle w:val="Odstavecseseznamem"/>
              <w:numPr>
                <w:ilvl w:val="0"/>
                <w:numId w:val="6"/>
              </w:num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neformální občanská a politická participace převažuje nad formální</w:t>
            </w:r>
          </w:p>
          <w:p w14:paraId="4FCC9BB2" w14:textId="3F884698" w:rsidR="00D7687A" w:rsidRPr="00D7687A" w:rsidRDefault="00D7687A" w:rsidP="00E94B9D">
            <w:pPr>
              <w:pStyle w:val="Odstavecseseznamem"/>
              <w:numPr>
                <w:ilvl w:val="0"/>
                <w:numId w:val="6"/>
              </w:numPr>
              <w:spacing w:after="120" w:line="60" w:lineRule="atLeast"/>
              <w:ind w:left="357" w:hanging="357"/>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postkomunistické země</w:t>
            </w:r>
          </w:p>
        </w:tc>
      </w:tr>
      <w:tr w:rsidR="00E405E1" w:rsidRPr="0093524A" w14:paraId="5AD4F530" w14:textId="77777777" w:rsidTr="00E4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2FB9DB74" w14:textId="42E3FDB1" w:rsidR="007F3738" w:rsidRPr="0093524A" w:rsidRDefault="00135EC7" w:rsidP="00135EC7">
            <w:pPr>
              <w:spacing w:before="120" w:after="120" w:line="60" w:lineRule="atLeast"/>
              <w:rPr>
                <w:rFonts w:cs="Times New Roman"/>
                <w:sz w:val="22"/>
                <w:szCs w:val="22"/>
              </w:rPr>
            </w:pPr>
            <w:r>
              <w:rPr>
                <w:rFonts w:cs="Times New Roman"/>
                <w:sz w:val="22"/>
                <w:szCs w:val="22"/>
              </w:rPr>
              <w:t>Typ 4</w:t>
            </w:r>
          </w:p>
        </w:tc>
        <w:tc>
          <w:tcPr>
            <w:tcW w:w="0" w:type="auto"/>
          </w:tcPr>
          <w:p w14:paraId="3B21783B" w14:textId="77777777" w:rsidR="007F3738" w:rsidRDefault="00D7687A" w:rsidP="00D7687A">
            <w:pPr>
              <w:spacing w:before="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Řecko</w:t>
            </w:r>
          </w:p>
          <w:p w14:paraId="5212D726" w14:textId="77777777" w:rsidR="00D7687A" w:rsidRDefault="00D7687A" w:rsidP="00D7687A">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lastRenderedPageBreak/>
              <w:t>Portugalsko</w:t>
            </w:r>
          </w:p>
          <w:p w14:paraId="749C7304" w14:textId="77777777" w:rsidR="00D7687A" w:rsidRDefault="00D7687A" w:rsidP="00D7687A">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Kypr</w:t>
            </w:r>
          </w:p>
          <w:p w14:paraId="4DB85F2A" w14:textId="77777777" w:rsidR="00D7687A" w:rsidRDefault="00D7687A" w:rsidP="00D7687A">
            <w:p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Litva</w:t>
            </w:r>
          </w:p>
          <w:p w14:paraId="0824B900" w14:textId="4D20BBFD" w:rsidR="00D7687A" w:rsidRPr="0093524A" w:rsidRDefault="00D7687A" w:rsidP="00D7687A">
            <w:pPr>
              <w:spacing w:after="120"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Bulharsko</w:t>
            </w:r>
          </w:p>
        </w:tc>
        <w:tc>
          <w:tcPr>
            <w:tcW w:w="0" w:type="auto"/>
          </w:tcPr>
          <w:p w14:paraId="39CEFDA5" w14:textId="77777777" w:rsidR="007F3738" w:rsidRDefault="00D7687A" w:rsidP="00E94B9D">
            <w:pPr>
              <w:pStyle w:val="Odstavecseseznamem"/>
              <w:numPr>
                <w:ilvl w:val="0"/>
                <w:numId w:val="7"/>
              </w:numPr>
              <w:spacing w:before="120" w:line="60" w:lineRule="atLeast"/>
              <w:ind w:left="357" w:hanging="357"/>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lastRenderedPageBreak/>
              <w:t xml:space="preserve">nejvyšší úroveň svazujícího sociálního kapitálu a nejnižší úroveň </w:t>
            </w:r>
            <w:r>
              <w:rPr>
                <w:rFonts w:asciiTheme="majorHAnsi" w:hAnsiTheme="majorHAnsi" w:cs="Times New Roman"/>
                <w:sz w:val="22"/>
                <w:szCs w:val="22"/>
              </w:rPr>
              <w:lastRenderedPageBreak/>
              <w:t>kapitálu přemosťujícího</w:t>
            </w:r>
          </w:p>
          <w:p w14:paraId="60D2B86A" w14:textId="77777777" w:rsidR="00E405E1" w:rsidRDefault="00E405E1" w:rsidP="00E94B9D">
            <w:pPr>
              <w:pStyle w:val="Odstavecseseznamem"/>
              <w:numPr>
                <w:ilvl w:val="0"/>
                <w:numId w:val="7"/>
              </w:numPr>
              <w:spacing w:line="6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nízká úroveň důvěry ve společnost</w:t>
            </w:r>
          </w:p>
          <w:p w14:paraId="03D9EFE6" w14:textId="39BB4822" w:rsidR="00E405E1" w:rsidRPr="00E405E1" w:rsidRDefault="00E405E1" w:rsidP="00E94B9D">
            <w:pPr>
              <w:pStyle w:val="Odstavecseseznamem"/>
              <w:numPr>
                <w:ilvl w:val="0"/>
                <w:numId w:val="7"/>
              </w:numPr>
              <w:spacing w:after="120" w:line="60" w:lineRule="atLeast"/>
              <w:ind w:left="357" w:hanging="357"/>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bývalé komunistické země nebo země, kde byla občanská společnost rozbita, popř. bylo násilně manipulováno s politickým systémem</w:t>
            </w:r>
          </w:p>
        </w:tc>
      </w:tr>
      <w:tr w:rsidR="00E405E1" w:rsidRPr="0093524A" w14:paraId="7149A5AF" w14:textId="77777777" w:rsidTr="00E40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36CF19D7" w14:textId="24842A57" w:rsidR="007F3738" w:rsidRPr="0093524A" w:rsidRDefault="00135EC7" w:rsidP="00135EC7">
            <w:pPr>
              <w:spacing w:before="120" w:after="120" w:line="60" w:lineRule="atLeast"/>
              <w:rPr>
                <w:rFonts w:cs="Times New Roman"/>
                <w:sz w:val="22"/>
                <w:szCs w:val="22"/>
              </w:rPr>
            </w:pPr>
            <w:r>
              <w:rPr>
                <w:rFonts w:cs="Times New Roman"/>
                <w:sz w:val="22"/>
                <w:szCs w:val="22"/>
              </w:rPr>
              <w:lastRenderedPageBreak/>
              <w:t>Typ 5</w:t>
            </w:r>
          </w:p>
        </w:tc>
        <w:tc>
          <w:tcPr>
            <w:tcW w:w="0" w:type="auto"/>
          </w:tcPr>
          <w:p w14:paraId="2360073E" w14:textId="77777777" w:rsidR="007F3738" w:rsidRDefault="00D7687A" w:rsidP="00D7687A">
            <w:pPr>
              <w:spacing w:before="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Polsko</w:t>
            </w:r>
          </w:p>
          <w:p w14:paraId="4F4F89FF" w14:textId="77777777" w:rsidR="00D7687A" w:rsidRDefault="00D7687A"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Španělsko</w:t>
            </w:r>
          </w:p>
          <w:p w14:paraId="48275E06" w14:textId="77777777" w:rsidR="00D7687A" w:rsidRDefault="00D7687A"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Estonsko</w:t>
            </w:r>
          </w:p>
          <w:p w14:paraId="526DE467" w14:textId="77777777" w:rsidR="00D7687A" w:rsidRDefault="00D7687A"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Malta</w:t>
            </w:r>
          </w:p>
          <w:p w14:paraId="1D36B9FF" w14:textId="77777777" w:rsidR="00D7687A" w:rsidRDefault="00D7687A"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Rumunsko</w:t>
            </w:r>
          </w:p>
          <w:p w14:paraId="698AA530" w14:textId="77777777" w:rsidR="00D7687A" w:rsidRDefault="00D7687A" w:rsidP="00D7687A">
            <w:p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Itálie</w:t>
            </w:r>
          </w:p>
          <w:p w14:paraId="421F1A0F" w14:textId="628E430D" w:rsidR="00D7687A" w:rsidRPr="0093524A" w:rsidRDefault="00D7687A" w:rsidP="00D7687A">
            <w:pPr>
              <w:spacing w:after="120"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Maďarsko</w:t>
            </w:r>
          </w:p>
        </w:tc>
        <w:tc>
          <w:tcPr>
            <w:tcW w:w="0" w:type="auto"/>
          </w:tcPr>
          <w:p w14:paraId="09EB702C" w14:textId="77777777" w:rsidR="007F3738" w:rsidRDefault="00E405E1" w:rsidP="00E94B9D">
            <w:pPr>
              <w:pStyle w:val="Odstavecseseznamem"/>
              <w:numPr>
                <w:ilvl w:val="0"/>
                <w:numId w:val="8"/>
              </w:numPr>
              <w:spacing w:before="120" w:line="60" w:lineRule="atLeast"/>
              <w:ind w:left="714" w:hanging="357"/>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nízká úroveň jak přemosťujícího, tak svazujícího sociálního kapitálu</w:t>
            </w:r>
          </w:p>
          <w:p w14:paraId="7E7F544C" w14:textId="77777777" w:rsidR="00E405E1" w:rsidRDefault="00E405E1" w:rsidP="00E94B9D">
            <w:pPr>
              <w:pStyle w:val="Odstavecseseznamem"/>
              <w:numPr>
                <w:ilvl w:val="0"/>
                <w:numId w:val="8"/>
              </w:num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nízká úroveň všech indikátorů sociálního kapitálu</w:t>
            </w:r>
          </w:p>
          <w:p w14:paraId="678D30A3" w14:textId="77777777" w:rsidR="00E405E1" w:rsidRDefault="00E405E1" w:rsidP="00E94B9D">
            <w:pPr>
              <w:pStyle w:val="Odstavecseseznamem"/>
              <w:numPr>
                <w:ilvl w:val="0"/>
                <w:numId w:val="8"/>
              </w:numPr>
              <w:spacing w:line="6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na jedné straně společnosti vyznačující se silným individualismem, na straně druhé společnosti charakteristické silnými rodinnými vazbami</w:t>
            </w:r>
          </w:p>
          <w:p w14:paraId="3E3779D5" w14:textId="51F25F24" w:rsidR="00E405E1" w:rsidRPr="00E405E1" w:rsidRDefault="00E405E1" w:rsidP="00E94B9D">
            <w:pPr>
              <w:pStyle w:val="Odstavecseseznamem"/>
              <w:numPr>
                <w:ilvl w:val="0"/>
                <w:numId w:val="8"/>
              </w:numPr>
              <w:spacing w:after="120" w:line="60" w:lineRule="atLeast"/>
              <w:ind w:left="714" w:hanging="357"/>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2"/>
                <w:szCs w:val="22"/>
              </w:rPr>
            </w:pPr>
            <w:r>
              <w:rPr>
                <w:rFonts w:asciiTheme="majorHAnsi" w:hAnsiTheme="majorHAnsi" w:cs="Times New Roman"/>
                <w:sz w:val="22"/>
                <w:szCs w:val="22"/>
              </w:rPr>
              <w:t>země východní a jižní Evropy</w:t>
            </w:r>
          </w:p>
        </w:tc>
      </w:tr>
    </w:tbl>
    <w:p w14:paraId="73C26762" w14:textId="18A2F6BC" w:rsidR="007F3738" w:rsidRPr="008F5EDB" w:rsidRDefault="00E405E1" w:rsidP="00916B0B">
      <w:pPr>
        <w:spacing w:before="120" w:line="360" w:lineRule="auto"/>
        <w:jc w:val="both"/>
        <w:rPr>
          <w:rFonts w:ascii="Times New Roman" w:hAnsi="Times New Roman" w:cs="Times New Roman"/>
          <w:i/>
          <w:sz w:val="22"/>
          <w:szCs w:val="22"/>
        </w:rPr>
      </w:pPr>
      <w:r w:rsidRPr="008F5EDB">
        <w:rPr>
          <w:rFonts w:ascii="Times New Roman" w:hAnsi="Times New Roman" w:cs="Times New Roman"/>
          <w:i/>
          <w:sz w:val="22"/>
          <w:szCs w:val="22"/>
        </w:rPr>
        <w:t xml:space="preserve">Zdroj: </w:t>
      </w:r>
      <w:proofErr w:type="spellStart"/>
      <w:r w:rsidRPr="008F5EDB">
        <w:rPr>
          <w:rFonts w:ascii="Times New Roman" w:hAnsi="Times New Roman" w:cs="Times New Roman"/>
          <w:i/>
          <w:sz w:val="22"/>
          <w:szCs w:val="22"/>
        </w:rPr>
        <w:t>Wallace</w:t>
      </w:r>
      <w:proofErr w:type="spellEnd"/>
      <w:r w:rsidRPr="008F5EDB">
        <w:rPr>
          <w:rFonts w:ascii="Times New Roman" w:hAnsi="Times New Roman" w:cs="Times New Roman"/>
          <w:i/>
          <w:sz w:val="22"/>
          <w:szCs w:val="22"/>
        </w:rPr>
        <w:t xml:space="preserve"> &amp; </w:t>
      </w:r>
      <w:proofErr w:type="spellStart"/>
      <w:r w:rsidRPr="008F5EDB">
        <w:rPr>
          <w:rFonts w:ascii="Times New Roman" w:hAnsi="Times New Roman" w:cs="Times New Roman"/>
          <w:i/>
          <w:sz w:val="22"/>
          <w:szCs w:val="22"/>
        </w:rPr>
        <w:t>Pichler</w:t>
      </w:r>
      <w:proofErr w:type="spellEnd"/>
      <w:r w:rsidRPr="008F5EDB">
        <w:rPr>
          <w:rFonts w:ascii="Times New Roman" w:hAnsi="Times New Roman" w:cs="Times New Roman"/>
          <w:i/>
          <w:sz w:val="22"/>
          <w:szCs w:val="22"/>
        </w:rPr>
        <w:t xml:space="preserve"> (2007), vlastní úprava.</w:t>
      </w:r>
    </w:p>
    <w:p w14:paraId="06740874" w14:textId="566EA77E" w:rsidR="000F18FE" w:rsidRPr="00A95B33" w:rsidRDefault="000F18FE" w:rsidP="0091213C">
      <w:pPr>
        <w:pStyle w:val="Nadpis3"/>
        <w:jc w:val="both"/>
        <w:rPr>
          <w:rFonts w:cs="Times New Roman"/>
          <w:color w:val="auto"/>
          <w:sz w:val="22"/>
          <w:szCs w:val="22"/>
        </w:rPr>
      </w:pPr>
      <w:bookmarkStart w:id="12" w:name="_Toc398662578"/>
      <w:r w:rsidRPr="00A95B33">
        <w:rPr>
          <w:rFonts w:cs="Times New Roman"/>
          <w:color w:val="auto"/>
          <w:sz w:val="22"/>
          <w:szCs w:val="22"/>
        </w:rPr>
        <w:t>Pro informaci</w:t>
      </w:r>
      <w:bookmarkEnd w:id="12"/>
    </w:p>
    <w:p w14:paraId="2F96C7AE" w14:textId="77777777" w:rsidR="0091213C" w:rsidRPr="00A95B33" w:rsidRDefault="000F18FE" w:rsidP="00A95B33">
      <w:pPr>
        <w:spacing w:before="120"/>
        <w:jc w:val="both"/>
        <w:rPr>
          <w:rFonts w:asciiTheme="majorHAnsi" w:eastAsia="Times New Roman" w:hAnsiTheme="majorHAnsi" w:cs="Times New Roman"/>
          <w:bCs/>
          <w:color w:val="323232"/>
          <w:sz w:val="22"/>
          <w:szCs w:val="22"/>
          <w:shd w:val="clear" w:color="auto" w:fill="FFFFFF"/>
        </w:rPr>
      </w:pPr>
      <w:r w:rsidRPr="00A95B33">
        <w:rPr>
          <w:rFonts w:asciiTheme="majorHAnsi" w:hAnsiTheme="majorHAnsi"/>
          <w:sz w:val="22"/>
          <w:szCs w:val="22"/>
        </w:rPr>
        <w:t>Rodina a sociální prostředí jsou v procesu utváření vztahu ke vzdělání klíčové – zajímavé jsou v tomto směru</w:t>
      </w:r>
      <w:r w:rsidR="0088387B" w:rsidRPr="00A95B33">
        <w:rPr>
          <w:rFonts w:asciiTheme="majorHAnsi" w:hAnsiTheme="majorHAnsi"/>
          <w:sz w:val="22"/>
          <w:szCs w:val="22"/>
        </w:rPr>
        <w:t xml:space="preserve"> výsledky </w:t>
      </w:r>
      <w:r w:rsidR="0088387B" w:rsidRPr="00A95B33">
        <w:rPr>
          <w:rFonts w:asciiTheme="majorHAnsi" w:eastAsia="Times New Roman" w:hAnsiTheme="majorHAnsi" w:cs="Times New Roman"/>
          <w:bCs/>
          <w:color w:val="323232"/>
          <w:sz w:val="22"/>
          <w:szCs w:val="22"/>
          <w:shd w:val="clear" w:color="auto" w:fill="FFFFFF"/>
        </w:rPr>
        <w:t xml:space="preserve">studie, která byla v ČR realizována </w:t>
      </w:r>
      <w:r w:rsidR="0088387B" w:rsidRPr="00A95B33">
        <w:rPr>
          <w:rFonts w:asciiTheme="majorHAnsi" w:eastAsia="Times New Roman" w:hAnsiTheme="majorHAnsi" w:cs="Times New Roman"/>
          <w:bCs/>
          <w:i/>
          <w:color w:val="323232"/>
          <w:sz w:val="22"/>
          <w:szCs w:val="22"/>
          <w:shd w:val="clear" w:color="auto" w:fill="FFFFFF"/>
        </w:rPr>
        <w:t>mezi dělnickými profesemi</w:t>
      </w:r>
      <w:r w:rsidR="0088387B" w:rsidRPr="00A95B33">
        <w:rPr>
          <w:rFonts w:asciiTheme="majorHAnsi" w:eastAsia="Times New Roman" w:hAnsiTheme="majorHAnsi" w:cs="Times New Roman"/>
          <w:bCs/>
          <w:color w:val="323232"/>
          <w:sz w:val="22"/>
          <w:szCs w:val="22"/>
          <w:shd w:val="clear" w:color="auto" w:fill="FFFFFF"/>
        </w:rPr>
        <w:t xml:space="preserve"> (Vodochodský, 2011). Mezi příslušníky této sociální skupiny zcela </w:t>
      </w:r>
      <w:r w:rsidR="0088387B" w:rsidRPr="00A95B33">
        <w:rPr>
          <w:rFonts w:asciiTheme="majorHAnsi" w:eastAsia="Times New Roman" w:hAnsiTheme="majorHAnsi" w:cs="Times New Roman"/>
          <w:bCs/>
          <w:i/>
          <w:color w:val="323232"/>
          <w:sz w:val="22"/>
          <w:szCs w:val="22"/>
          <w:shd w:val="clear" w:color="auto" w:fill="FFFFFF"/>
        </w:rPr>
        <w:t>převládal názor, že pro získání nového zaměstnání není rozhodující, zda se</w:t>
      </w:r>
      <w:r w:rsidR="0088387B" w:rsidRPr="00A95B33">
        <w:rPr>
          <w:rFonts w:asciiTheme="majorHAnsi" w:eastAsia="Times New Roman" w:hAnsiTheme="majorHAnsi" w:cs="Times New Roman"/>
          <w:bCs/>
          <w:color w:val="323232"/>
          <w:sz w:val="22"/>
          <w:szCs w:val="22"/>
          <w:shd w:val="clear" w:color="auto" w:fill="FFFFFF"/>
        </w:rPr>
        <w:t xml:space="preserve"> </w:t>
      </w:r>
      <w:r w:rsidR="0088387B" w:rsidRPr="00A95B33">
        <w:rPr>
          <w:rFonts w:asciiTheme="majorHAnsi" w:eastAsia="Times New Roman" w:hAnsiTheme="majorHAnsi" w:cs="Times New Roman"/>
          <w:bCs/>
          <w:i/>
          <w:color w:val="323232"/>
          <w:sz w:val="22"/>
          <w:szCs w:val="22"/>
          <w:shd w:val="clear" w:color="auto" w:fill="FFFFFF"/>
        </w:rPr>
        <w:t>člověk vzdělává, ale jaké má známosti</w:t>
      </w:r>
      <w:r w:rsidR="0088387B" w:rsidRPr="00A95B33">
        <w:rPr>
          <w:rFonts w:asciiTheme="majorHAnsi" w:eastAsia="Times New Roman" w:hAnsiTheme="majorHAnsi" w:cs="Times New Roman"/>
          <w:bCs/>
          <w:color w:val="323232"/>
          <w:sz w:val="22"/>
          <w:szCs w:val="22"/>
          <w:shd w:val="clear" w:color="auto" w:fill="FFFFFF"/>
        </w:rPr>
        <w:t xml:space="preserve"> (protekce); pokud se bude rozhodovat mezi dvěma uchazeči, nebude vybrán ten vzdělanější a kvalifikovanější (s lepšími předpoklady), ale ten, který má příslušné konexe. Tento názor převažoval mezi jedinci se základním vzděláním nebo s vyučením bez maturity, ale objevoval se i mezi respondenty s maturitou. Je možné, že tento postoj ještě dále umocňují veřejně diskutované případy, kdy řada „úspěšných“ osob dosáhla svého majetku a společenského postavení nikoli na základě svých znalostí a vzdělání, ale často způsoby </w:t>
      </w:r>
      <w:r w:rsidR="0091213C" w:rsidRPr="00A95B33">
        <w:rPr>
          <w:rFonts w:asciiTheme="majorHAnsi" w:eastAsia="Times New Roman" w:hAnsiTheme="majorHAnsi" w:cs="Times New Roman"/>
          <w:bCs/>
          <w:color w:val="323232"/>
          <w:sz w:val="22"/>
          <w:szCs w:val="22"/>
          <w:shd w:val="clear" w:color="auto" w:fill="FFFFFF"/>
        </w:rPr>
        <w:t xml:space="preserve">na hraně zákona. </w:t>
      </w:r>
    </w:p>
    <w:p w14:paraId="4139A47A" w14:textId="5B4F8FAC" w:rsidR="0088387B" w:rsidRPr="00A95B33" w:rsidRDefault="0091213C" w:rsidP="0091213C">
      <w:pPr>
        <w:jc w:val="both"/>
        <w:rPr>
          <w:rFonts w:asciiTheme="majorHAnsi" w:hAnsiTheme="majorHAnsi"/>
          <w:sz w:val="22"/>
          <w:szCs w:val="22"/>
        </w:rPr>
      </w:pPr>
      <w:r w:rsidRPr="00A95B33">
        <w:rPr>
          <w:rFonts w:asciiTheme="majorHAnsi" w:eastAsia="Times New Roman" w:hAnsiTheme="majorHAnsi" w:cs="Times New Roman"/>
          <w:bCs/>
          <w:color w:val="323232"/>
          <w:sz w:val="22"/>
          <w:szCs w:val="22"/>
          <w:shd w:val="clear" w:color="auto" w:fill="FFFFFF"/>
        </w:rPr>
        <w:t xml:space="preserve">Také další </w:t>
      </w:r>
      <w:r w:rsidR="0088387B" w:rsidRPr="00A95B33">
        <w:rPr>
          <w:rFonts w:asciiTheme="majorHAnsi" w:eastAsia="Times New Roman" w:hAnsiTheme="majorHAnsi" w:cs="Times New Roman"/>
          <w:bCs/>
          <w:color w:val="323232"/>
          <w:sz w:val="22"/>
          <w:szCs w:val="22"/>
          <w:shd w:val="clear" w:color="auto" w:fill="FFFFFF"/>
        </w:rPr>
        <w:t>výzkum</w:t>
      </w:r>
      <w:r w:rsidRPr="00A95B33">
        <w:rPr>
          <w:rFonts w:asciiTheme="majorHAnsi" w:eastAsia="Times New Roman" w:hAnsiTheme="majorHAnsi" w:cs="Times New Roman"/>
          <w:bCs/>
          <w:color w:val="323232"/>
          <w:sz w:val="22"/>
          <w:szCs w:val="22"/>
          <w:shd w:val="clear" w:color="auto" w:fill="FFFFFF"/>
        </w:rPr>
        <w:t xml:space="preserve"> – tentokrát</w:t>
      </w:r>
      <w:r w:rsidR="0088387B" w:rsidRPr="00A95B33">
        <w:rPr>
          <w:rFonts w:asciiTheme="majorHAnsi" w:eastAsia="Times New Roman" w:hAnsiTheme="majorHAnsi" w:cs="Times New Roman"/>
          <w:bCs/>
          <w:color w:val="323232"/>
          <w:sz w:val="22"/>
          <w:szCs w:val="22"/>
          <w:shd w:val="clear" w:color="auto" w:fill="FFFFFF"/>
        </w:rPr>
        <w:t xml:space="preserve"> formou kvalitativních rozhovorů s rodiči v dělnických rodinách (</w:t>
      </w:r>
      <w:proofErr w:type="spellStart"/>
      <w:r w:rsidR="0088387B" w:rsidRPr="00A95B33">
        <w:rPr>
          <w:rFonts w:asciiTheme="majorHAnsi" w:eastAsia="Times New Roman" w:hAnsiTheme="majorHAnsi" w:cs="Times New Roman"/>
          <w:bCs/>
          <w:color w:val="323232"/>
          <w:sz w:val="22"/>
          <w:szCs w:val="22"/>
          <w:shd w:val="clear" w:color="auto" w:fill="FFFFFF"/>
        </w:rPr>
        <w:t>Kastrňák</w:t>
      </w:r>
      <w:proofErr w:type="spellEnd"/>
      <w:r w:rsidR="0088387B" w:rsidRPr="00A95B33">
        <w:rPr>
          <w:rFonts w:asciiTheme="majorHAnsi" w:eastAsia="Times New Roman" w:hAnsiTheme="majorHAnsi" w:cs="Times New Roman"/>
          <w:bCs/>
          <w:color w:val="323232"/>
          <w:sz w:val="22"/>
          <w:szCs w:val="22"/>
          <w:shd w:val="clear" w:color="auto" w:fill="FFFFFF"/>
        </w:rPr>
        <w:t xml:space="preserve">, 2004) </w:t>
      </w:r>
      <w:r w:rsidRPr="00A95B33">
        <w:rPr>
          <w:rFonts w:asciiTheme="majorHAnsi" w:eastAsia="Times New Roman" w:hAnsiTheme="majorHAnsi" w:cs="Times New Roman"/>
          <w:bCs/>
          <w:color w:val="323232"/>
          <w:sz w:val="22"/>
          <w:szCs w:val="22"/>
          <w:shd w:val="clear" w:color="auto" w:fill="FFFFFF"/>
        </w:rPr>
        <w:t xml:space="preserve">– </w:t>
      </w:r>
      <w:r w:rsidR="0088387B" w:rsidRPr="00A95B33">
        <w:rPr>
          <w:rFonts w:asciiTheme="majorHAnsi" w:eastAsia="Times New Roman" w:hAnsiTheme="majorHAnsi" w:cs="Times New Roman"/>
          <w:bCs/>
          <w:color w:val="323232"/>
          <w:sz w:val="22"/>
          <w:szCs w:val="22"/>
          <w:shd w:val="clear" w:color="auto" w:fill="FFFFFF"/>
        </w:rPr>
        <w:t xml:space="preserve">ukázal, že většina z nich se o školu nezajímala a učení jim nešlo. Školu navštěvovali jen z povinnosti, na výuku se téměř nepřipravovali a ani jejich rodiče jim s přípravou nepomáhali. Jejich hlavním přáním bylo rychle se vyučit a začít vydělávat vlastní peníze. Jejich rodiče tento postoj sdíleli, výuční list byl dostačující. Jedná se o projev tzv. </w:t>
      </w:r>
      <w:r w:rsidR="0088387B" w:rsidRPr="00A95B33">
        <w:rPr>
          <w:rFonts w:asciiTheme="majorHAnsi" w:eastAsia="Times New Roman" w:hAnsiTheme="majorHAnsi" w:cs="Times New Roman"/>
          <w:bCs/>
          <w:i/>
          <w:color w:val="323232"/>
          <w:sz w:val="22"/>
          <w:szCs w:val="22"/>
          <w:shd w:val="clear" w:color="auto" w:fill="FFFFFF"/>
        </w:rPr>
        <w:t xml:space="preserve">mezigenerační setrvačnosti; </w:t>
      </w:r>
      <w:r w:rsidR="0088387B" w:rsidRPr="00A95B33">
        <w:rPr>
          <w:rFonts w:asciiTheme="majorHAnsi" w:eastAsia="Times New Roman" w:hAnsiTheme="majorHAnsi" w:cs="Times New Roman"/>
          <w:bCs/>
          <w:color w:val="323232"/>
          <w:sz w:val="22"/>
          <w:szCs w:val="22"/>
          <w:shd w:val="clear" w:color="auto" w:fill="FFFFFF"/>
        </w:rPr>
        <w:t xml:space="preserve">stále platí, že </w:t>
      </w:r>
      <w:r w:rsidR="0088387B" w:rsidRPr="00A95B33">
        <w:rPr>
          <w:rFonts w:asciiTheme="majorHAnsi" w:eastAsia="Times New Roman" w:hAnsiTheme="majorHAnsi" w:cs="Times New Roman"/>
          <w:bCs/>
          <w:i/>
          <w:color w:val="323232"/>
          <w:sz w:val="22"/>
          <w:szCs w:val="22"/>
          <w:shd w:val="clear" w:color="auto" w:fill="FFFFFF"/>
        </w:rPr>
        <w:t xml:space="preserve">lidé s nižších sociálních skupin se o vzdělání příliš nezajímají a zřejmě se v možnostech dalšího vzdělání ani neorientují. </w:t>
      </w:r>
    </w:p>
    <w:p w14:paraId="1C63F1A2" w14:textId="77777777" w:rsidR="0088387B" w:rsidRPr="00A95B33" w:rsidRDefault="0088387B" w:rsidP="0091213C">
      <w:pPr>
        <w:jc w:val="both"/>
        <w:rPr>
          <w:rFonts w:asciiTheme="majorHAnsi" w:hAnsiTheme="majorHAnsi"/>
        </w:rPr>
      </w:pPr>
    </w:p>
    <w:p w14:paraId="7557170E" w14:textId="7DC58267" w:rsidR="0046058F" w:rsidRDefault="007F378B" w:rsidP="00AD34AE">
      <w:pPr>
        <w:pStyle w:val="Nadpis3"/>
      </w:pPr>
      <w:bookmarkStart w:id="13" w:name="_Toc398662579"/>
      <w:r>
        <w:t xml:space="preserve">1.2.3 </w:t>
      </w:r>
      <w:r w:rsidR="0046058F">
        <w:t>Měření lidského kapitálu</w:t>
      </w:r>
      <w:bookmarkEnd w:id="13"/>
    </w:p>
    <w:p w14:paraId="3F1CC04A" w14:textId="23AEDF3B" w:rsidR="00AD34AE" w:rsidRDefault="00995DD0" w:rsidP="00995DD0">
      <w:pPr>
        <w:spacing w:before="120" w:line="360" w:lineRule="auto"/>
        <w:jc w:val="both"/>
        <w:rPr>
          <w:rFonts w:ascii="Times New Roman" w:hAnsi="Times New Roman" w:cs="Times New Roman"/>
        </w:rPr>
      </w:pPr>
      <w:r>
        <w:rPr>
          <w:rFonts w:ascii="Times New Roman" w:hAnsi="Times New Roman" w:cs="Times New Roman"/>
        </w:rPr>
        <w:t>Otázka měření lidského kapitálu není vůbec jednoduchá, neboť se jedná o poměrně složitou kategorii. Již výše v textu bylo naznačeno, že lidský kapitál jedince utváří řada faktorů – geneticky vrozené dispozice a vlastnosti, vliv rodiny a sociálního prostředí, jakož i kvalita vzdělávání (počátečního i dalšího). Přitom jednotlivé faktory se vzájemně ovlivňují a prolínají.</w:t>
      </w:r>
      <w:r w:rsidR="00B07464">
        <w:rPr>
          <w:rFonts w:ascii="Times New Roman" w:hAnsi="Times New Roman" w:cs="Times New Roman"/>
        </w:rPr>
        <w:t xml:space="preserve"> Například vrozené vlastnosti jedince mohou mít rozhodující vliv </w:t>
      </w:r>
      <w:proofErr w:type="gramStart"/>
      <w:r w:rsidR="00B07464">
        <w:rPr>
          <w:rFonts w:ascii="Times New Roman" w:hAnsi="Times New Roman" w:cs="Times New Roman"/>
        </w:rPr>
        <w:t>na  získávání</w:t>
      </w:r>
      <w:proofErr w:type="gramEnd"/>
      <w:r w:rsidR="00B07464">
        <w:rPr>
          <w:rFonts w:ascii="Times New Roman" w:hAnsi="Times New Roman" w:cs="Times New Roman"/>
        </w:rPr>
        <w:t xml:space="preserve"> znalostí v procesu vzdělávání, a to v pozitivním i negativním slova smyslu. Rovněž rodinné a sociální zázemí může zásadním způsobem ovlivnit vrozené dispozice a vlastnosti jedince (opět pozitivně či negativně). </w:t>
      </w:r>
    </w:p>
    <w:p w14:paraId="547AF57A" w14:textId="434C7DDB" w:rsidR="00AC716C" w:rsidRPr="00CD72B3" w:rsidRDefault="00B07464" w:rsidP="00995DD0">
      <w:pPr>
        <w:spacing w:before="120" w:line="360" w:lineRule="auto"/>
        <w:jc w:val="both"/>
        <w:rPr>
          <w:rFonts w:ascii="Times New Roman" w:hAnsi="Times New Roman" w:cs="Times New Roman"/>
        </w:rPr>
      </w:pPr>
      <w:r>
        <w:rPr>
          <w:rFonts w:ascii="Times New Roman" w:hAnsi="Times New Roman" w:cs="Times New Roman"/>
        </w:rPr>
        <w:lastRenderedPageBreak/>
        <w:t xml:space="preserve">Jinými slovy, lidský kapitál vyjadřuje </w:t>
      </w:r>
      <w:r>
        <w:rPr>
          <w:rFonts w:ascii="Times New Roman" w:hAnsi="Times New Roman" w:cs="Times New Roman"/>
          <w:i/>
        </w:rPr>
        <w:t xml:space="preserve">kvalitativní vlastnosti jedince. </w:t>
      </w:r>
      <w:r>
        <w:rPr>
          <w:rFonts w:ascii="Times New Roman" w:hAnsi="Times New Roman" w:cs="Times New Roman"/>
        </w:rPr>
        <w:t>Aby bylo možné úroveň lids</w:t>
      </w:r>
      <w:r w:rsidR="008929BC">
        <w:rPr>
          <w:rFonts w:ascii="Times New Roman" w:hAnsi="Times New Roman" w:cs="Times New Roman"/>
        </w:rPr>
        <w:t>kého kapitálu měřit (odhadnout),</w:t>
      </w:r>
      <w:r>
        <w:rPr>
          <w:rFonts w:ascii="Times New Roman" w:hAnsi="Times New Roman" w:cs="Times New Roman"/>
        </w:rPr>
        <w:t xml:space="preserve"> musí </w:t>
      </w:r>
      <w:proofErr w:type="gramStart"/>
      <w:r>
        <w:rPr>
          <w:rFonts w:ascii="Times New Roman" w:hAnsi="Times New Roman" w:cs="Times New Roman"/>
        </w:rPr>
        <w:t>být</w:t>
      </w:r>
      <w:proofErr w:type="gramEnd"/>
      <w:r>
        <w:rPr>
          <w:rFonts w:ascii="Times New Roman" w:hAnsi="Times New Roman" w:cs="Times New Roman"/>
        </w:rPr>
        <w:t xml:space="preserve"> ale použity </w:t>
      </w:r>
      <w:r>
        <w:rPr>
          <w:rFonts w:ascii="Times New Roman" w:hAnsi="Times New Roman" w:cs="Times New Roman"/>
          <w:i/>
        </w:rPr>
        <w:t xml:space="preserve">kvantitativní ukazatele. </w:t>
      </w:r>
      <w:r w:rsidR="00CD72B3">
        <w:rPr>
          <w:rFonts w:ascii="Times New Roman" w:hAnsi="Times New Roman" w:cs="Times New Roman"/>
        </w:rPr>
        <w:t>Kombinace více ukazatelů umožňuje přesnější zachycení (vyjádření) úrovně lidského kapitálu.</w:t>
      </w:r>
    </w:p>
    <w:p w14:paraId="686B7E7A" w14:textId="1B57E386" w:rsidR="00AC716C" w:rsidRPr="00A95B33" w:rsidRDefault="00AC716C" w:rsidP="00995DD0">
      <w:pPr>
        <w:spacing w:before="120" w:line="360" w:lineRule="auto"/>
        <w:jc w:val="both"/>
        <w:rPr>
          <w:rFonts w:ascii="Times New Roman" w:hAnsi="Times New Roman" w:cs="Times New Roman"/>
          <w:b/>
        </w:rPr>
      </w:pPr>
      <w:r>
        <w:rPr>
          <w:rFonts w:ascii="Times New Roman" w:hAnsi="Times New Roman" w:cs="Times New Roman"/>
        </w:rPr>
        <w:t xml:space="preserve">Na úrovni EU byly ukazatele měření lidského kapitálu definovány již v roce 2009 v souvislosti s přijetím Lisabonské strategie, a to v dokumentu s názvem </w:t>
      </w:r>
      <w:proofErr w:type="spellStart"/>
      <w:r>
        <w:rPr>
          <w:rFonts w:ascii="Times New Roman" w:hAnsi="Times New Roman" w:cs="Times New Roman"/>
        </w:rPr>
        <w:t>Education</w:t>
      </w:r>
      <w:proofErr w:type="spellEnd"/>
      <w:r>
        <w:rPr>
          <w:rFonts w:ascii="Times New Roman" w:hAnsi="Times New Roman" w:cs="Times New Roman"/>
        </w:rPr>
        <w:t xml:space="preserve"> and </w:t>
      </w:r>
      <w:proofErr w:type="spellStart"/>
      <w:r>
        <w:rPr>
          <w:rFonts w:ascii="Times New Roman" w:hAnsi="Times New Roman" w:cs="Times New Roman"/>
        </w:rPr>
        <w:t>Training</w:t>
      </w:r>
      <w:proofErr w:type="spellEnd"/>
      <w:r>
        <w:rPr>
          <w:rFonts w:ascii="Times New Roman" w:hAnsi="Times New Roman" w:cs="Times New Roman"/>
        </w:rPr>
        <w:t xml:space="preserve"> (2010), na který pak v další dekádě navázal obdobný dokument </w:t>
      </w:r>
      <w:proofErr w:type="spellStart"/>
      <w:r>
        <w:rPr>
          <w:rFonts w:ascii="Times New Roman" w:hAnsi="Times New Roman" w:cs="Times New Roman"/>
          <w:b/>
        </w:rPr>
        <w:t>Education</w:t>
      </w:r>
      <w:proofErr w:type="spellEnd"/>
      <w:r>
        <w:rPr>
          <w:rFonts w:ascii="Times New Roman" w:hAnsi="Times New Roman" w:cs="Times New Roman"/>
          <w:b/>
        </w:rPr>
        <w:t xml:space="preserve"> and </w:t>
      </w:r>
      <w:proofErr w:type="spellStart"/>
      <w:r>
        <w:rPr>
          <w:rFonts w:ascii="Times New Roman" w:hAnsi="Times New Roman" w:cs="Times New Roman"/>
          <w:b/>
        </w:rPr>
        <w:t>Training</w:t>
      </w:r>
      <w:proofErr w:type="spellEnd"/>
      <w:r>
        <w:rPr>
          <w:rFonts w:ascii="Times New Roman" w:hAnsi="Times New Roman" w:cs="Times New Roman"/>
          <w:b/>
        </w:rPr>
        <w:t xml:space="preserve"> 2020. </w:t>
      </w:r>
      <w:r>
        <w:rPr>
          <w:rFonts w:ascii="Times New Roman" w:hAnsi="Times New Roman" w:cs="Times New Roman"/>
        </w:rPr>
        <w:t>Dokument vymezuje tzv. evropské referenční ukazatele (</w:t>
      </w:r>
      <w:proofErr w:type="spellStart"/>
      <w:r>
        <w:rPr>
          <w:rFonts w:ascii="Times New Roman" w:hAnsi="Times New Roman" w:cs="Times New Roman"/>
          <w:i/>
        </w:rPr>
        <w:t>European</w:t>
      </w:r>
      <w:proofErr w:type="spellEnd"/>
      <w:r>
        <w:rPr>
          <w:rFonts w:ascii="Times New Roman" w:hAnsi="Times New Roman" w:cs="Times New Roman"/>
          <w:i/>
        </w:rPr>
        <w:t xml:space="preserve"> </w:t>
      </w:r>
      <w:proofErr w:type="spellStart"/>
      <w:r>
        <w:rPr>
          <w:rFonts w:ascii="Times New Roman" w:hAnsi="Times New Roman" w:cs="Times New Roman"/>
          <w:i/>
        </w:rPr>
        <w:t>benchmarks</w:t>
      </w:r>
      <w:proofErr w:type="spellEnd"/>
      <w:r>
        <w:rPr>
          <w:rFonts w:ascii="Times New Roman" w:hAnsi="Times New Roman" w:cs="Times New Roman"/>
        </w:rPr>
        <w:t>), tj. cílové hodnoty, kterých by měly</w:t>
      </w:r>
      <w:r w:rsidR="00A637B3">
        <w:rPr>
          <w:rFonts w:ascii="Times New Roman" w:hAnsi="Times New Roman" w:cs="Times New Roman"/>
        </w:rPr>
        <w:t xml:space="preserve"> země EU dosáhnout do roku 2020:</w:t>
      </w:r>
      <w:r>
        <w:rPr>
          <w:rFonts w:ascii="Times New Roman" w:hAnsi="Times New Roman" w:cs="Times New Roman"/>
        </w:rPr>
        <w:t xml:space="preserve"> </w:t>
      </w:r>
    </w:p>
    <w:p w14:paraId="1AB73ACA" w14:textId="55178935" w:rsidR="00B07464" w:rsidRPr="00A637B3" w:rsidRDefault="00A637B3" w:rsidP="00E94B9D">
      <w:pPr>
        <w:pStyle w:val="Odstavecseseznamem"/>
        <w:numPr>
          <w:ilvl w:val="0"/>
          <w:numId w:val="9"/>
        </w:numPr>
        <w:spacing w:before="120" w:line="360" w:lineRule="auto"/>
        <w:jc w:val="both"/>
        <w:rPr>
          <w:rFonts w:ascii="Times New Roman" w:hAnsi="Times New Roman" w:cs="Times New Roman"/>
          <w:i/>
        </w:rPr>
      </w:pPr>
      <w:r w:rsidRPr="00A637B3">
        <w:rPr>
          <w:rFonts w:ascii="Times New Roman" w:hAnsi="Times New Roman" w:cs="Times New Roman"/>
          <w:i/>
        </w:rPr>
        <w:t>Alespoň 15 % dospělých by se mělo zapojit do různých forem celoživotního vzdě</w:t>
      </w:r>
      <w:r>
        <w:rPr>
          <w:rFonts w:ascii="Times New Roman" w:hAnsi="Times New Roman" w:cs="Times New Roman"/>
          <w:i/>
        </w:rPr>
        <w:t>l</w:t>
      </w:r>
      <w:r w:rsidRPr="00A637B3">
        <w:rPr>
          <w:rFonts w:ascii="Times New Roman" w:hAnsi="Times New Roman" w:cs="Times New Roman"/>
          <w:i/>
        </w:rPr>
        <w:t>ávání.</w:t>
      </w:r>
    </w:p>
    <w:p w14:paraId="77F52A52" w14:textId="53F75D1C" w:rsidR="00B07464" w:rsidRDefault="00A637B3" w:rsidP="00E94B9D">
      <w:pPr>
        <w:pStyle w:val="Odstavecseseznamem"/>
        <w:numPr>
          <w:ilvl w:val="0"/>
          <w:numId w:val="9"/>
        </w:numPr>
        <w:spacing w:before="120" w:line="360" w:lineRule="auto"/>
        <w:jc w:val="both"/>
        <w:rPr>
          <w:rFonts w:ascii="Times New Roman" w:hAnsi="Times New Roman" w:cs="Times New Roman"/>
        </w:rPr>
      </w:pPr>
      <w:r>
        <w:rPr>
          <w:rFonts w:ascii="Times New Roman" w:hAnsi="Times New Roman" w:cs="Times New Roman"/>
        </w:rPr>
        <w:t>Podíl 15letých žáků, kteří</w:t>
      </w:r>
      <w:r w:rsidR="00B07464">
        <w:rPr>
          <w:rFonts w:ascii="Times New Roman" w:hAnsi="Times New Roman" w:cs="Times New Roman"/>
        </w:rPr>
        <w:t xml:space="preserve"> </w:t>
      </w:r>
      <w:r>
        <w:rPr>
          <w:rFonts w:ascii="Times New Roman" w:hAnsi="Times New Roman" w:cs="Times New Roman"/>
        </w:rPr>
        <w:t>mají problémy se čtením, matematikou a přírodními vědami, by měl být nižší než 15 %.</w:t>
      </w:r>
    </w:p>
    <w:p w14:paraId="65904381" w14:textId="71C7CF2D" w:rsidR="00B07464" w:rsidRDefault="00A637B3" w:rsidP="00E94B9D">
      <w:pPr>
        <w:pStyle w:val="Odstavecseseznamem"/>
        <w:numPr>
          <w:ilvl w:val="0"/>
          <w:numId w:val="9"/>
        </w:numPr>
        <w:spacing w:before="120" w:line="360" w:lineRule="auto"/>
        <w:jc w:val="both"/>
        <w:rPr>
          <w:rFonts w:ascii="Times New Roman" w:hAnsi="Times New Roman" w:cs="Times New Roman"/>
        </w:rPr>
      </w:pPr>
      <w:r>
        <w:rPr>
          <w:rFonts w:ascii="Times New Roman" w:hAnsi="Times New Roman" w:cs="Times New Roman"/>
        </w:rPr>
        <w:t>Podíl osob ve věku 30–34 let s dokončeným terciárním vzděláním by měl činit minimálně 40 %.</w:t>
      </w:r>
      <w:r w:rsidR="00B07464">
        <w:rPr>
          <w:rFonts w:ascii="Times New Roman" w:hAnsi="Times New Roman" w:cs="Times New Roman"/>
        </w:rPr>
        <w:t xml:space="preserve"> </w:t>
      </w:r>
    </w:p>
    <w:p w14:paraId="615DF6ED" w14:textId="352E052F" w:rsidR="009F39DD" w:rsidRDefault="00A637B3" w:rsidP="00E94B9D">
      <w:pPr>
        <w:pStyle w:val="Odstavecseseznamem"/>
        <w:numPr>
          <w:ilvl w:val="0"/>
          <w:numId w:val="9"/>
        </w:numPr>
        <w:spacing w:before="120" w:line="360" w:lineRule="auto"/>
        <w:jc w:val="both"/>
        <w:rPr>
          <w:rFonts w:ascii="Times New Roman" w:hAnsi="Times New Roman" w:cs="Times New Roman"/>
        </w:rPr>
      </w:pPr>
      <w:r>
        <w:rPr>
          <w:rFonts w:ascii="Times New Roman" w:hAnsi="Times New Roman" w:cs="Times New Roman"/>
        </w:rPr>
        <w:t>Podíl osob, které předčasně ukončí vzdělání a odbornou přípravu, by měl být nižší než 10 %.</w:t>
      </w:r>
    </w:p>
    <w:p w14:paraId="2A05A23F" w14:textId="0AE55E3C" w:rsidR="00A637B3" w:rsidRDefault="00A637B3" w:rsidP="00E94B9D">
      <w:pPr>
        <w:pStyle w:val="Odstavecseseznamem"/>
        <w:numPr>
          <w:ilvl w:val="0"/>
          <w:numId w:val="9"/>
        </w:numPr>
        <w:spacing w:before="120" w:line="360" w:lineRule="auto"/>
        <w:jc w:val="both"/>
        <w:rPr>
          <w:rFonts w:ascii="Times New Roman" w:hAnsi="Times New Roman" w:cs="Times New Roman"/>
        </w:rPr>
      </w:pPr>
      <w:r>
        <w:rPr>
          <w:rFonts w:ascii="Times New Roman" w:hAnsi="Times New Roman" w:cs="Times New Roman"/>
        </w:rPr>
        <w:t>Vzdělávání v raném věku by se mělo</w:t>
      </w:r>
      <w:r w:rsidR="00C05DBC">
        <w:rPr>
          <w:rFonts w:ascii="Times New Roman" w:hAnsi="Times New Roman" w:cs="Times New Roman"/>
        </w:rPr>
        <w:t xml:space="preserve"> účastnit alespoň 95 % dětí </w:t>
      </w:r>
      <w:r>
        <w:rPr>
          <w:rFonts w:ascii="Times New Roman" w:hAnsi="Times New Roman" w:cs="Times New Roman"/>
        </w:rPr>
        <w:t>o</w:t>
      </w:r>
      <w:r w:rsidR="008929BC">
        <w:rPr>
          <w:rFonts w:ascii="Times New Roman" w:hAnsi="Times New Roman" w:cs="Times New Roman"/>
        </w:rPr>
        <w:t xml:space="preserve">d </w:t>
      </w:r>
      <w:proofErr w:type="gramStart"/>
      <w:r w:rsidR="008929BC">
        <w:rPr>
          <w:rFonts w:ascii="Times New Roman" w:hAnsi="Times New Roman" w:cs="Times New Roman"/>
        </w:rPr>
        <w:t xml:space="preserve">4 </w:t>
      </w:r>
      <w:r>
        <w:rPr>
          <w:rFonts w:ascii="Times New Roman" w:hAnsi="Times New Roman" w:cs="Times New Roman"/>
        </w:rPr>
        <w:t xml:space="preserve"> let</w:t>
      </w:r>
      <w:proofErr w:type="gramEnd"/>
      <w:r w:rsidR="008929BC">
        <w:rPr>
          <w:rFonts w:ascii="Times New Roman" w:hAnsi="Times New Roman" w:cs="Times New Roman"/>
        </w:rPr>
        <w:t xml:space="preserve"> do věku, kdy mají zahájit povinnou školní docházku.</w:t>
      </w:r>
    </w:p>
    <w:p w14:paraId="67740B0C" w14:textId="77777777" w:rsidR="00C84FF3" w:rsidRDefault="00C84FF3" w:rsidP="008929BC">
      <w:pPr>
        <w:spacing w:before="120" w:line="360" w:lineRule="auto"/>
        <w:jc w:val="both"/>
        <w:rPr>
          <w:rFonts w:ascii="Times New Roman" w:hAnsi="Times New Roman" w:cs="Times New Roman"/>
        </w:rPr>
      </w:pPr>
    </w:p>
    <w:p w14:paraId="081A6FF5" w14:textId="77777777" w:rsidR="00F775B0" w:rsidRDefault="00F775B0" w:rsidP="008929BC">
      <w:pPr>
        <w:spacing w:before="120" w:line="360" w:lineRule="auto"/>
        <w:jc w:val="both"/>
        <w:rPr>
          <w:rFonts w:ascii="Times New Roman" w:hAnsi="Times New Roman" w:cs="Times New Roman"/>
        </w:rPr>
      </w:pPr>
    </w:p>
    <w:p w14:paraId="1FE2B036" w14:textId="07172F26" w:rsidR="008929BC" w:rsidRDefault="008929BC" w:rsidP="008929BC">
      <w:pPr>
        <w:spacing w:before="120" w:line="360" w:lineRule="auto"/>
        <w:jc w:val="both"/>
        <w:rPr>
          <w:rFonts w:ascii="Times New Roman" w:hAnsi="Times New Roman" w:cs="Times New Roman"/>
        </w:rPr>
      </w:pPr>
      <w:r>
        <w:rPr>
          <w:rFonts w:ascii="Times New Roman" w:hAnsi="Times New Roman" w:cs="Times New Roman"/>
        </w:rPr>
        <w:t>Následující Obrázky 1.2 až 1.4 zachycují vybrané ukazatele lidského kapitálu pro ČR (ve srovnání s průměrem EU a zeměmi s nejlepším a nejhorším výsledkem</w:t>
      </w:r>
      <w:r w:rsidR="00876C28">
        <w:rPr>
          <w:rFonts w:ascii="Times New Roman" w:hAnsi="Times New Roman" w:cs="Times New Roman"/>
        </w:rPr>
        <w:t xml:space="preserve">, dle klasifikace ISCED </w:t>
      </w:r>
      <w:r w:rsidR="00340BBC">
        <w:rPr>
          <w:rFonts w:ascii="Times New Roman" w:hAnsi="Times New Roman" w:cs="Times New Roman"/>
        </w:rPr>
        <w:t>20</w:t>
      </w:r>
      <w:r w:rsidR="00876C28">
        <w:rPr>
          <w:rFonts w:ascii="Times New Roman" w:hAnsi="Times New Roman" w:cs="Times New Roman"/>
        </w:rPr>
        <w:t>11</w:t>
      </w:r>
      <w:r>
        <w:rPr>
          <w:rFonts w:ascii="Times New Roman" w:hAnsi="Times New Roman" w:cs="Times New Roman"/>
        </w:rPr>
        <w:t>).</w:t>
      </w:r>
      <w:r w:rsidR="00876C28">
        <w:rPr>
          <w:rStyle w:val="Znakapoznpodarou"/>
          <w:rFonts w:ascii="Times New Roman" w:hAnsi="Times New Roman" w:cs="Times New Roman"/>
        </w:rPr>
        <w:footnoteReference w:id="10"/>
      </w:r>
    </w:p>
    <w:p w14:paraId="5D0A4F07" w14:textId="77777777" w:rsidR="00A95B33" w:rsidRDefault="00A95B33" w:rsidP="00AA7DE1">
      <w:pPr>
        <w:spacing w:before="120"/>
        <w:jc w:val="both"/>
        <w:rPr>
          <w:rFonts w:ascii="Times New Roman" w:hAnsi="Times New Roman" w:cs="Times New Roman"/>
          <w:sz w:val="22"/>
          <w:szCs w:val="22"/>
        </w:rPr>
      </w:pPr>
    </w:p>
    <w:p w14:paraId="6F86A43E" w14:textId="77777777" w:rsidR="00A95B33" w:rsidRDefault="00A95B33" w:rsidP="00AA7DE1">
      <w:pPr>
        <w:spacing w:before="120"/>
        <w:jc w:val="both"/>
        <w:rPr>
          <w:rFonts w:ascii="Times New Roman" w:hAnsi="Times New Roman" w:cs="Times New Roman"/>
          <w:sz w:val="22"/>
          <w:szCs w:val="22"/>
        </w:rPr>
      </w:pPr>
    </w:p>
    <w:p w14:paraId="15C04F0B" w14:textId="77777777" w:rsidR="00A95B33" w:rsidRDefault="00A95B33" w:rsidP="00AA7DE1">
      <w:pPr>
        <w:spacing w:before="120"/>
        <w:jc w:val="both"/>
        <w:rPr>
          <w:rFonts w:ascii="Times New Roman" w:hAnsi="Times New Roman" w:cs="Times New Roman"/>
          <w:sz w:val="22"/>
          <w:szCs w:val="22"/>
        </w:rPr>
      </w:pPr>
    </w:p>
    <w:p w14:paraId="367FD048" w14:textId="77777777" w:rsidR="00F775B0" w:rsidRDefault="00F775B0" w:rsidP="00AA7DE1">
      <w:pPr>
        <w:spacing w:before="120"/>
        <w:jc w:val="both"/>
        <w:rPr>
          <w:rFonts w:ascii="Times New Roman" w:hAnsi="Times New Roman" w:cs="Times New Roman"/>
          <w:sz w:val="22"/>
          <w:szCs w:val="22"/>
        </w:rPr>
      </w:pPr>
    </w:p>
    <w:p w14:paraId="60662036" w14:textId="77777777" w:rsidR="00F775B0" w:rsidRDefault="00F775B0" w:rsidP="00AA7DE1">
      <w:pPr>
        <w:spacing w:before="120"/>
        <w:jc w:val="both"/>
        <w:rPr>
          <w:rFonts w:ascii="Times New Roman" w:hAnsi="Times New Roman" w:cs="Times New Roman"/>
          <w:sz w:val="22"/>
          <w:szCs w:val="22"/>
        </w:rPr>
      </w:pPr>
    </w:p>
    <w:p w14:paraId="48EEB173" w14:textId="77777777" w:rsidR="00F775B0" w:rsidRDefault="00F775B0" w:rsidP="00AA7DE1">
      <w:pPr>
        <w:spacing w:before="120"/>
        <w:jc w:val="both"/>
        <w:rPr>
          <w:rFonts w:ascii="Times New Roman" w:hAnsi="Times New Roman" w:cs="Times New Roman"/>
          <w:sz w:val="22"/>
          <w:szCs w:val="22"/>
        </w:rPr>
      </w:pPr>
    </w:p>
    <w:p w14:paraId="436A576B" w14:textId="309889E6" w:rsidR="00AA7DE1" w:rsidRPr="00AA7DE1" w:rsidRDefault="008929BC" w:rsidP="00AA7DE1">
      <w:pPr>
        <w:spacing w:before="120"/>
        <w:jc w:val="both"/>
        <w:rPr>
          <w:rFonts w:ascii="Times New Roman" w:hAnsi="Times New Roman" w:cs="Times New Roman"/>
          <w:b/>
          <w:sz w:val="22"/>
          <w:szCs w:val="22"/>
        </w:rPr>
      </w:pPr>
      <w:r w:rsidRPr="008929BC">
        <w:rPr>
          <w:rFonts w:ascii="Times New Roman" w:hAnsi="Times New Roman" w:cs="Times New Roman"/>
          <w:sz w:val="22"/>
          <w:szCs w:val="22"/>
        </w:rPr>
        <w:t xml:space="preserve">Obrázek 1.2 </w:t>
      </w:r>
      <w:r w:rsidR="00AA7DE1">
        <w:rPr>
          <w:rFonts w:ascii="Times New Roman" w:hAnsi="Times New Roman" w:cs="Times New Roman"/>
          <w:b/>
          <w:sz w:val="22"/>
          <w:szCs w:val="22"/>
        </w:rPr>
        <w:t>Podíl</w:t>
      </w:r>
      <w:r w:rsidR="0091592A">
        <w:rPr>
          <w:rFonts w:ascii="Times New Roman" w:hAnsi="Times New Roman" w:cs="Times New Roman"/>
          <w:b/>
        </w:rPr>
        <w:t xml:space="preserve"> </w:t>
      </w:r>
      <w:r w:rsidR="0091592A" w:rsidRPr="0091592A">
        <w:rPr>
          <w:rFonts w:ascii="Times New Roman" w:hAnsi="Times New Roman" w:cs="Times New Roman"/>
          <w:b/>
          <w:sz w:val="22"/>
          <w:szCs w:val="22"/>
        </w:rPr>
        <w:t>osob ve věku 25</w:t>
      </w:r>
      <w:r w:rsidRPr="0091592A">
        <w:rPr>
          <w:rFonts w:ascii="Times New Roman" w:hAnsi="Times New Roman" w:cs="Times New Roman"/>
          <w:b/>
          <w:sz w:val="22"/>
          <w:szCs w:val="22"/>
        </w:rPr>
        <w:t>–64 let</w:t>
      </w:r>
      <w:r w:rsidR="0091592A">
        <w:rPr>
          <w:rFonts w:ascii="Times New Roman" w:hAnsi="Times New Roman" w:cs="Times New Roman"/>
          <w:b/>
          <w:sz w:val="22"/>
          <w:szCs w:val="22"/>
        </w:rPr>
        <w:t xml:space="preserve"> </w:t>
      </w:r>
      <w:r w:rsidR="00AA7DE1">
        <w:rPr>
          <w:rFonts w:ascii="Times New Roman" w:hAnsi="Times New Roman" w:cs="Times New Roman"/>
          <w:b/>
          <w:sz w:val="22"/>
          <w:szCs w:val="22"/>
        </w:rPr>
        <w:t xml:space="preserve">          </w:t>
      </w:r>
      <w:r w:rsidR="00AA7DE1" w:rsidRPr="00AA7DE1">
        <w:rPr>
          <w:rFonts w:ascii="Times New Roman" w:hAnsi="Times New Roman" w:cs="Times New Roman"/>
          <w:sz w:val="22"/>
          <w:szCs w:val="22"/>
        </w:rPr>
        <w:t>Obrázek</w:t>
      </w:r>
      <w:r w:rsidR="00AA7DE1">
        <w:rPr>
          <w:rFonts w:ascii="Times New Roman" w:hAnsi="Times New Roman" w:cs="Times New Roman"/>
          <w:sz w:val="22"/>
          <w:szCs w:val="22"/>
        </w:rPr>
        <w:t xml:space="preserve"> 1.3 </w:t>
      </w:r>
      <w:r w:rsidR="00AA7DE1">
        <w:rPr>
          <w:rFonts w:ascii="Times New Roman" w:hAnsi="Times New Roman" w:cs="Times New Roman"/>
          <w:b/>
          <w:sz w:val="22"/>
          <w:szCs w:val="22"/>
        </w:rPr>
        <w:t>Podíl osob ve věku 30–34 let</w:t>
      </w:r>
    </w:p>
    <w:p w14:paraId="5DAEF373" w14:textId="2608CA31" w:rsidR="0091592A" w:rsidRDefault="0091592A" w:rsidP="00AA7DE1">
      <w:pPr>
        <w:jc w:val="both"/>
        <w:rPr>
          <w:rFonts w:ascii="Times New Roman" w:hAnsi="Times New Roman" w:cs="Times New Roman"/>
          <w:b/>
          <w:sz w:val="22"/>
          <w:szCs w:val="22"/>
        </w:rPr>
      </w:pPr>
      <w:r>
        <w:rPr>
          <w:rFonts w:ascii="Times New Roman" w:hAnsi="Times New Roman" w:cs="Times New Roman"/>
          <w:b/>
          <w:sz w:val="22"/>
          <w:szCs w:val="22"/>
        </w:rPr>
        <w:t>se středoškolským vzděláním</w:t>
      </w:r>
      <w:r w:rsidR="00AA7DE1">
        <w:rPr>
          <w:rFonts w:ascii="Times New Roman" w:hAnsi="Times New Roman" w:cs="Times New Roman"/>
          <w:b/>
          <w:sz w:val="22"/>
          <w:szCs w:val="22"/>
        </w:rPr>
        <w:t xml:space="preserve"> (v %</w:t>
      </w:r>
      <w:r w:rsidR="00A74E75">
        <w:rPr>
          <w:rFonts w:ascii="Times New Roman" w:hAnsi="Times New Roman" w:cs="Times New Roman"/>
          <w:b/>
          <w:sz w:val="22"/>
          <w:szCs w:val="22"/>
        </w:rPr>
        <w:t xml:space="preserve">, 2017)          </w:t>
      </w:r>
      <w:r w:rsidR="00AA7DE1">
        <w:rPr>
          <w:rFonts w:ascii="Times New Roman" w:hAnsi="Times New Roman" w:cs="Times New Roman"/>
          <w:b/>
          <w:sz w:val="22"/>
          <w:szCs w:val="22"/>
        </w:rPr>
        <w:t>s vysokoškolským vzděláním</w:t>
      </w:r>
      <w:r w:rsidR="006E7C9F">
        <w:rPr>
          <w:rFonts w:ascii="Times New Roman" w:hAnsi="Times New Roman" w:cs="Times New Roman"/>
          <w:b/>
          <w:sz w:val="22"/>
          <w:szCs w:val="22"/>
        </w:rPr>
        <w:t xml:space="preserve"> (v %</w:t>
      </w:r>
      <w:r w:rsidR="00A74E75">
        <w:rPr>
          <w:rFonts w:ascii="Times New Roman" w:hAnsi="Times New Roman" w:cs="Times New Roman"/>
          <w:b/>
          <w:sz w:val="22"/>
          <w:szCs w:val="22"/>
        </w:rPr>
        <w:t>, 2017</w:t>
      </w:r>
      <w:r w:rsidR="006E7C9F">
        <w:rPr>
          <w:rFonts w:ascii="Times New Roman" w:hAnsi="Times New Roman" w:cs="Times New Roman"/>
          <w:b/>
          <w:sz w:val="22"/>
          <w:szCs w:val="22"/>
        </w:rPr>
        <w:t>)</w:t>
      </w:r>
    </w:p>
    <w:p w14:paraId="501D7A4C" w14:textId="77777777" w:rsidR="00AA7DE1" w:rsidRPr="0091592A" w:rsidRDefault="0091592A" w:rsidP="00AA7DE1">
      <w:pPr>
        <w:spacing w:before="120" w:line="360" w:lineRule="auto"/>
        <w:jc w:val="both"/>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4F4AF936" wp14:editId="55281E52">
            <wp:extent cx="2398395" cy="1858433"/>
            <wp:effectExtent l="0" t="0" r="14605"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A7DE1">
        <w:rPr>
          <w:rFonts w:ascii="Times New Roman" w:hAnsi="Times New Roman" w:cs="Times New Roman"/>
          <w:sz w:val="22"/>
          <w:szCs w:val="22"/>
        </w:rPr>
        <w:t xml:space="preserve">           </w:t>
      </w:r>
      <w:r w:rsidR="00AA7DE1">
        <w:rPr>
          <w:rFonts w:ascii="Times New Roman" w:hAnsi="Times New Roman" w:cs="Times New Roman"/>
          <w:noProof/>
          <w:sz w:val="22"/>
          <w:szCs w:val="22"/>
          <w:lang w:val="en-US"/>
        </w:rPr>
        <w:drawing>
          <wp:inline distT="0" distB="0" distL="0" distR="0" wp14:anchorId="15E99A9E" wp14:editId="422E9CC2">
            <wp:extent cx="2398395" cy="1858433"/>
            <wp:effectExtent l="0" t="0" r="14605" b="215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C3AF32" w14:textId="2B605221" w:rsidR="00AA7DE1" w:rsidRDefault="00AA7DE1" w:rsidP="00AA7DE1">
      <w:pPr>
        <w:jc w:val="both"/>
        <w:rPr>
          <w:rFonts w:ascii="Times New Roman" w:hAnsi="Times New Roman" w:cs="Times New Roman"/>
          <w:i/>
          <w:sz w:val="22"/>
          <w:szCs w:val="22"/>
        </w:rPr>
      </w:pPr>
      <w:r>
        <w:rPr>
          <w:rFonts w:ascii="Times New Roman" w:hAnsi="Times New Roman" w:cs="Times New Roman"/>
          <w:i/>
          <w:sz w:val="22"/>
          <w:szCs w:val="22"/>
        </w:rPr>
        <w:t xml:space="preserve">Zdroj: </w:t>
      </w:r>
      <w:proofErr w:type="spellStart"/>
      <w:r>
        <w:rPr>
          <w:rFonts w:ascii="Times New Roman" w:hAnsi="Times New Roman" w:cs="Times New Roman"/>
          <w:i/>
          <w:sz w:val="22"/>
          <w:szCs w:val="22"/>
        </w:rPr>
        <w:t>Eurostat</w:t>
      </w:r>
      <w:proofErr w:type="spellEnd"/>
      <w:r w:rsidR="00A74E75">
        <w:rPr>
          <w:rFonts w:ascii="Times New Roman" w:hAnsi="Times New Roman" w:cs="Times New Roman"/>
          <w:i/>
          <w:sz w:val="22"/>
          <w:szCs w:val="22"/>
        </w:rPr>
        <w:t xml:space="preserve"> (2018)</w:t>
      </w:r>
      <w:r>
        <w:rPr>
          <w:rFonts w:ascii="Times New Roman" w:hAnsi="Times New Roman" w:cs="Times New Roman"/>
          <w:i/>
          <w:sz w:val="22"/>
          <w:szCs w:val="22"/>
        </w:rPr>
        <w:t>, vlastní zpracování.</w:t>
      </w:r>
      <w:r w:rsidR="00A74E75">
        <w:rPr>
          <w:rFonts w:ascii="Times New Roman" w:hAnsi="Times New Roman" w:cs="Times New Roman"/>
          <w:i/>
          <w:sz w:val="22"/>
          <w:szCs w:val="22"/>
        </w:rPr>
        <w:t xml:space="preserve">         </w:t>
      </w:r>
      <w:r w:rsidR="006E7C9F">
        <w:rPr>
          <w:rFonts w:ascii="Times New Roman" w:hAnsi="Times New Roman" w:cs="Times New Roman"/>
          <w:i/>
          <w:sz w:val="22"/>
          <w:szCs w:val="22"/>
        </w:rPr>
        <w:t xml:space="preserve"> Zdroj: </w:t>
      </w:r>
      <w:proofErr w:type="spellStart"/>
      <w:r w:rsidR="006E7C9F">
        <w:rPr>
          <w:rFonts w:ascii="Times New Roman" w:hAnsi="Times New Roman" w:cs="Times New Roman"/>
          <w:i/>
          <w:sz w:val="22"/>
          <w:szCs w:val="22"/>
        </w:rPr>
        <w:t>Eurostat</w:t>
      </w:r>
      <w:proofErr w:type="spellEnd"/>
      <w:r w:rsidR="00A74E75">
        <w:rPr>
          <w:rFonts w:ascii="Times New Roman" w:hAnsi="Times New Roman" w:cs="Times New Roman"/>
          <w:i/>
          <w:sz w:val="22"/>
          <w:szCs w:val="22"/>
        </w:rPr>
        <w:t xml:space="preserve"> (2018)</w:t>
      </w:r>
      <w:r w:rsidR="006E7C9F">
        <w:rPr>
          <w:rFonts w:ascii="Times New Roman" w:hAnsi="Times New Roman" w:cs="Times New Roman"/>
          <w:i/>
          <w:sz w:val="22"/>
          <w:szCs w:val="22"/>
        </w:rPr>
        <w:t>, vlastní zpracování.</w:t>
      </w:r>
    </w:p>
    <w:p w14:paraId="2949882E" w14:textId="77777777" w:rsidR="006E7C9F" w:rsidRDefault="006E7C9F" w:rsidP="00AA7DE1">
      <w:pPr>
        <w:jc w:val="both"/>
        <w:rPr>
          <w:rFonts w:ascii="Times New Roman" w:hAnsi="Times New Roman" w:cs="Times New Roman"/>
          <w:i/>
          <w:sz w:val="22"/>
          <w:szCs w:val="22"/>
        </w:rPr>
      </w:pPr>
    </w:p>
    <w:p w14:paraId="65B233A9" w14:textId="3FA17DAC" w:rsidR="00D6712D" w:rsidRPr="00D6712D" w:rsidRDefault="00D6712D" w:rsidP="00AA7DE1">
      <w:pPr>
        <w:jc w:val="both"/>
        <w:rPr>
          <w:rFonts w:ascii="Times New Roman" w:hAnsi="Times New Roman" w:cs="Times New Roman"/>
          <w:sz w:val="20"/>
          <w:szCs w:val="20"/>
        </w:rPr>
      </w:pPr>
      <w:r>
        <w:rPr>
          <w:rFonts w:ascii="Times New Roman" w:hAnsi="Times New Roman" w:cs="Times New Roman"/>
          <w:sz w:val="20"/>
          <w:szCs w:val="20"/>
        </w:rPr>
        <w:t>Poznámky: LT – Litva, MT – Malta, RO – Rumunsko.</w:t>
      </w:r>
    </w:p>
    <w:p w14:paraId="0074B703" w14:textId="77777777" w:rsidR="00D6712D" w:rsidRDefault="00D6712D" w:rsidP="00AA7DE1">
      <w:pPr>
        <w:jc w:val="both"/>
        <w:rPr>
          <w:rFonts w:ascii="Times New Roman" w:hAnsi="Times New Roman" w:cs="Times New Roman"/>
          <w:sz w:val="22"/>
          <w:szCs w:val="22"/>
        </w:rPr>
      </w:pPr>
    </w:p>
    <w:p w14:paraId="619BA5A5" w14:textId="77777777" w:rsidR="0070785B" w:rsidRDefault="006E7C9F" w:rsidP="00AA7DE1">
      <w:pPr>
        <w:jc w:val="both"/>
        <w:rPr>
          <w:rFonts w:ascii="Times New Roman" w:hAnsi="Times New Roman" w:cs="Times New Roman"/>
          <w:b/>
          <w:sz w:val="22"/>
          <w:szCs w:val="22"/>
        </w:rPr>
      </w:pPr>
      <w:r>
        <w:rPr>
          <w:rFonts w:ascii="Times New Roman" w:hAnsi="Times New Roman" w:cs="Times New Roman"/>
          <w:sz w:val="22"/>
          <w:szCs w:val="22"/>
        </w:rPr>
        <w:t xml:space="preserve">Obrázek 1.4 </w:t>
      </w:r>
      <w:r>
        <w:rPr>
          <w:rFonts w:ascii="Times New Roman" w:hAnsi="Times New Roman" w:cs="Times New Roman"/>
          <w:b/>
          <w:sz w:val="22"/>
          <w:szCs w:val="22"/>
        </w:rPr>
        <w:t xml:space="preserve">Podíl osob ve věku 18–24 </w:t>
      </w:r>
      <w:proofErr w:type="gramStart"/>
      <w:r>
        <w:rPr>
          <w:rFonts w:ascii="Times New Roman" w:hAnsi="Times New Roman" w:cs="Times New Roman"/>
          <w:b/>
          <w:sz w:val="22"/>
          <w:szCs w:val="22"/>
        </w:rPr>
        <w:t xml:space="preserve">let,   </w:t>
      </w:r>
      <w:proofErr w:type="gramEnd"/>
      <w:r>
        <w:rPr>
          <w:rFonts w:ascii="Times New Roman" w:hAnsi="Times New Roman" w:cs="Times New Roman"/>
          <w:b/>
          <w:sz w:val="22"/>
          <w:szCs w:val="22"/>
        </w:rPr>
        <w:t xml:space="preserve">       </w:t>
      </w:r>
      <w:r w:rsidRPr="006E7C9F">
        <w:rPr>
          <w:rFonts w:ascii="Times New Roman" w:hAnsi="Times New Roman" w:cs="Times New Roman"/>
          <w:sz w:val="22"/>
          <w:szCs w:val="22"/>
        </w:rPr>
        <w:t>Obrázek</w:t>
      </w:r>
      <w:r>
        <w:rPr>
          <w:rFonts w:ascii="Times New Roman" w:hAnsi="Times New Roman" w:cs="Times New Roman"/>
          <w:sz w:val="22"/>
          <w:szCs w:val="22"/>
        </w:rPr>
        <w:t xml:space="preserve"> 1.5 </w:t>
      </w:r>
      <w:r w:rsidRPr="006E7C9F">
        <w:rPr>
          <w:rFonts w:ascii="Times New Roman" w:hAnsi="Times New Roman" w:cs="Times New Roman"/>
          <w:b/>
          <w:sz w:val="22"/>
          <w:szCs w:val="22"/>
        </w:rPr>
        <w:t>Podíl</w:t>
      </w:r>
      <w:r>
        <w:rPr>
          <w:rFonts w:ascii="Times New Roman" w:hAnsi="Times New Roman" w:cs="Times New Roman"/>
          <w:b/>
          <w:sz w:val="22"/>
          <w:szCs w:val="22"/>
        </w:rPr>
        <w:t xml:space="preserve"> dospělých </w:t>
      </w:r>
      <w:r w:rsidR="0070785B">
        <w:rPr>
          <w:rFonts w:ascii="Times New Roman" w:hAnsi="Times New Roman" w:cs="Times New Roman"/>
          <w:b/>
          <w:sz w:val="22"/>
          <w:szCs w:val="22"/>
        </w:rPr>
        <w:t xml:space="preserve">ve věku </w:t>
      </w:r>
    </w:p>
    <w:p w14:paraId="488198AC" w14:textId="6483AC6D" w:rsidR="0070785B" w:rsidRDefault="0070785B" w:rsidP="00AA7DE1">
      <w:pPr>
        <w:jc w:val="both"/>
        <w:rPr>
          <w:rFonts w:ascii="Times New Roman" w:hAnsi="Times New Roman" w:cs="Times New Roman"/>
          <w:b/>
          <w:sz w:val="22"/>
          <w:szCs w:val="22"/>
        </w:rPr>
      </w:pPr>
      <w:r>
        <w:rPr>
          <w:rFonts w:ascii="Times New Roman" w:hAnsi="Times New Roman" w:cs="Times New Roman"/>
          <w:b/>
          <w:sz w:val="22"/>
          <w:szCs w:val="22"/>
        </w:rPr>
        <w:t xml:space="preserve">které předčasně ukončily vzdělání </w:t>
      </w:r>
      <w:r w:rsidR="008F7927">
        <w:rPr>
          <w:rFonts w:ascii="Times New Roman" w:hAnsi="Times New Roman" w:cs="Times New Roman"/>
          <w:b/>
          <w:sz w:val="22"/>
          <w:szCs w:val="22"/>
        </w:rPr>
        <w:t xml:space="preserve">                     25–64 let</w:t>
      </w:r>
      <w:r>
        <w:rPr>
          <w:rFonts w:ascii="Times New Roman" w:hAnsi="Times New Roman" w:cs="Times New Roman"/>
          <w:b/>
          <w:sz w:val="22"/>
          <w:szCs w:val="22"/>
        </w:rPr>
        <w:t xml:space="preserve"> účastnících se nějaké formy </w:t>
      </w:r>
    </w:p>
    <w:p w14:paraId="464CD3D1" w14:textId="317BB824" w:rsidR="006E7C9F" w:rsidRPr="006E7C9F" w:rsidRDefault="0070785B" w:rsidP="00AA7DE1">
      <w:pPr>
        <w:jc w:val="both"/>
        <w:rPr>
          <w:rFonts w:ascii="Times New Roman" w:hAnsi="Times New Roman" w:cs="Times New Roman"/>
          <w:b/>
          <w:sz w:val="22"/>
          <w:szCs w:val="22"/>
        </w:rPr>
      </w:pPr>
      <w:r>
        <w:rPr>
          <w:rFonts w:ascii="Times New Roman" w:hAnsi="Times New Roman" w:cs="Times New Roman"/>
          <w:b/>
          <w:sz w:val="22"/>
          <w:szCs w:val="22"/>
        </w:rPr>
        <w:t>(v %, 2017)                                                            celoživotního vzdělávání (v %, 2017)</w:t>
      </w:r>
      <w:r>
        <w:rPr>
          <w:rStyle w:val="Znakapoznpodarou"/>
          <w:rFonts w:ascii="Times New Roman" w:hAnsi="Times New Roman" w:cs="Times New Roman"/>
          <w:b/>
          <w:sz w:val="22"/>
          <w:szCs w:val="22"/>
        </w:rPr>
        <w:footnoteReference w:id="11"/>
      </w:r>
    </w:p>
    <w:p w14:paraId="11496497" w14:textId="7849D481" w:rsidR="00AA7DE1" w:rsidRPr="0091592A" w:rsidRDefault="00AA7DE1" w:rsidP="00AA7DE1">
      <w:pPr>
        <w:spacing w:before="120" w:line="360" w:lineRule="auto"/>
        <w:jc w:val="both"/>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48370AA4" wp14:editId="7FE5AE36">
            <wp:extent cx="2398395" cy="1858433"/>
            <wp:effectExtent l="0" t="0" r="14605" b="215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val="en-US"/>
        </w:rPr>
        <w:drawing>
          <wp:inline distT="0" distB="0" distL="0" distR="0" wp14:anchorId="47A4B1FF" wp14:editId="39BEB3A7">
            <wp:extent cx="2398395" cy="1858433"/>
            <wp:effectExtent l="0" t="0" r="14605" b="215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C6CE38" w14:textId="563EFBDB" w:rsidR="006E7C9F" w:rsidRDefault="003B6920" w:rsidP="006E7C9F">
      <w:pPr>
        <w:jc w:val="both"/>
        <w:rPr>
          <w:rFonts w:ascii="Times New Roman" w:hAnsi="Times New Roman" w:cs="Times New Roman"/>
          <w:i/>
          <w:sz w:val="22"/>
          <w:szCs w:val="22"/>
        </w:rPr>
      </w:pPr>
      <w:r>
        <w:rPr>
          <w:rFonts w:ascii="Times New Roman" w:hAnsi="Times New Roman" w:cs="Times New Roman"/>
          <w:i/>
          <w:sz w:val="22"/>
          <w:szCs w:val="22"/>
        </w:rPr>
        <w:t xml:space="preserve"> </w:t>
      </w:r>
      <w:r w:rsidR="006E7C9F">
        <w:rPr>
          <w:rFonts w:ascii="Times New Roman" w:hAnsi="Times New Roman" w:cs="Times New Roman"/>
          <w:i/>
          <w:sz w:val="22"/>
          <w:szCs w:val="22"/>
        </w:rPr>
        <w:t xml:space="preserve">Zdroj: </w:t>
      </w:r>
      <w:proofErr w:type="spellStart"/>
      <w:r w:rsidR="006E7C9F">
        <w:rPr>
          <w:rFonts w:ascii="Times New Roman" w:hAnsi="Times New Roman" w:cs="Times New Roman"/>
          <w:i/>
          <w:sz w:val="22"/>
          <w:szCs w:val="22"/>
        </w:rPr>
        <w:t>Eurostat</w:t>
      </w:r>
      <w:proofErr w:type="spellEnd"/>
      <w:r>
        <w:rPr>
          <w:rFonts w:ascii="Times New Roman" w:hAnsi="Times New Roman" w:cs="Times New Roman"/>
          <w:i/>
          <w:sz w:val="22"/>
          <w:szCs w:val="22"/>
        </w:rPr>
        <w:t xml:space="preserve"> (2018)</w:t>
      </w:r>
      <w:r w:rsidR="006E7C9F">
        <w:rPr>
          <w:rFonts w:ascii="Times New Roman" w:hAnsi="Times New Roman" w:cs="Times New Roman"/>
          <w:i/>
          <w:sz w:val="22"/>
          <w:szCs w:val="22"/>
        </w:rPr>
        <w:t>, vlastní zp</w:t>
      </w:r>
      <w:r>
        <w:rPr>
          <w:rFonts w:ascii="Times New Roman" w:hAnsi="Times New Roman" w:cs="Times New Roman"/>
          <w:i/>
          <w:sz w:val="22"/>
          <w:szCs w:val="22"/>
        </w:rPr>
        <w:t xml:space="preserve">racování.          </w:t>
      </w:r>
      <w:r w:rsidR="006E7C9F">
        <w:rPr>
          <w:rFonts w:ascii="Times New Roman" w:hAnsi="Times New Roman" w:cs="Times New Roman"/>
          <w:i/>
          <w:sz w:val="22"/>
          <w:szCs w:val="22"/>
        </w:rPr>
        <w:t>Zdro</w:t>
      </w:r>
      <w:r w:rsidR="002849F1">
        <w:rPr>
          <w:rFonts w:ascii="Times New Roman" w:hAnsi="Times New Roman" w:cs="Times New Roman"/>
          <w:i/>
          <w:sz w:val="22"/>
          <w:szCs w:val="22"/>
        </w:rPr>
        <w:t xml:space="preserve">j: </w:t>
      </w:r>
      <w:proofErr w:type="spellStart"/>
      <w:r w:rsidR="002849F1">
        <w:rPr>
          <w:rFonts w:ascii="Times New Roman" w:hAnsi="Times New Roman" w:cs="Times New Roman"/>
          <w:i/>
          <w:sz w:val="22"/>
          <w:szCs w:val="22"/>
        </w:rPr>
        <w:t>Eurostat</w:t>
      </w:r>
      <w:proofErr w:type="spellEnd"/>
      <w:r>
        <w:rPr>
          <w:rFonts w:ascii="Times New Roman" w:hAnsi="Times New Roman" w:cs="Times New Roman"/>
          <w:i/>
          <w:sz w:val="22"/>
          <w:szCs w:val="22"/>
        </w:rPr>
        <w:t xml:space="preserve"> (2018)</w:t>
      </w:r>
      <w:r w:rsidR="002849F1">
        <w:rPr>
          <w:rFonts w:ascii="Times New Roman" w:hAnsi="Times New Roman" w:cs="Times New Roman"/>
          <w:i/>
          <w:sz w:val="22"/>
          <w:szCs w:val="22"/>
        </w:rPr>
        <w:t>, vlastní zpracování.</w:t>
      </w:r>
    </w:p>
    <w:p w14:paraId="315F014F" w14:textId="016478B3" w:rsidR="00D6712D" w:rsidRPr="00D6712D" w:rsidRDefault="00D6712D" w:rsidP="00A74E75">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Poznámky: HR – Chorvatsko, MT – Malta, SE – Švédsko, RO – Rumunsko.</w:t>
      </w:r>
    </w:p>
    <w:p w14:paraId="2EF3365B" w14:textId="155E0980" w:rsidR="00340BBC" w:rsidRPr="00AD17B4" w:rsidRDefault="00A74E75" w:rsidP="00A74E75">
      <w:pPr>
        <w:spacing w:before="240" w:line="360" w:lineRule="auto"/>
        <w:jc w:val="both"/>
        <w:rPr>
          <w:rFonts w:ascii="Times New Roman" w:hAnsi="Times New Roman" w:cs="Times New Roman"/>
        </w:rPr>
      </w:pPr>
      <w:r>
        <w:rPr>
          <w:rFonts w:ascii="Times New Roman" w:hAnsi="Times New Roman" w:cs="Times New Roman"/>
        </w:rPr>
        <w:t xml:space="preserve">Česká republika patří dlouhodobě k zemím s velmi vysokým </w:t>
      </w:r>
      <w:r w:rsidRPr="00AD17B4">
        <w:rPr>
          <w:rFonts w:ascii="Times New Roman" w:hAnsi="Times New Roman" w:cs="Times New Roman"/>
          <w:i/>
        </w:rPr>
        <w:t>podílem</w:t>
      </w:r>
      <w:r>
        <w:rPr>
          <w:rFonts w:ascii="Times New Roman" w:hAnsi="Times New Roman" w:cs="Times New Roman"/>
        </w:rPr>
        <w:t xml:space="preserve"> </w:t>
      </w:r>
      <w:r w:rsidRPr="00AD17B4">
        <w:rPr>
          <w:rFonts w:ascii="Times New Roman" w:hAnsi="Times New Roman" w:cs="Times New Roman"/>
          <w:i/>
        </w:rPr>
        <w:t>osob</w:t>
      </w:r>
      <w:r>
        <w:rPr>
          <w:rFonts w:ascii="Times New Roman" w:hAnsi="Times New Roman" w:cs="Times New Roman"/>
        </w:rPr>
        <w:t xml:space="preserve"> </w:t>
      </w:r>
      <w:r w:rsidRPr="00AD17B4">
        <w:rPr>
          <w:rFonts w:ascii="Times New Roman" w:hAnsi="Times New Roman" w:cs="Times New Roman"/>
          <w:i/>
        </w:rPr>
        <w:t>se</w:t>
      </w:r>
      <w:r>
        <w:rPr>
          <w:rFonts w:ascii="Times New Roman" w:hAnsi="Times New Roman" w:cs="Times New Roman"/>
        </w:rPr>
        <w:t xml:space="preserve"> </w:t>
      </w:r>
      <w:r w:rsidRPr="00AD17B4">
        <w:rPr>
          <w:rFonts w:ascii="Times New Roman" w:hAnsi="Times New Roman" w:cs="Times New Roman"/>
          <w:i/>
        </w:rPr>
        <w:t>středoškolským</w:t>
      </w:r>
      <w:r w:rsidR="003B6920">
        <w:rPr>
          <w:rFonts w:ascii="Times New Roman" w:hAnsi="Times New Roman" w:cs="Times New Roman"/>
        </w:rPr>
        <w:t xml:space="preserve"> </w:t>
      </w:r>
      <w:r w:rsidR="003B6920" w:rsidRPr="00AD17B4">
        <w:rPr>
          <w:rFonts w:ascii="Times New Roman" w:hAnsi="Times New Roman" w:cs="Times New Roman"/>
          <w:i/>
        </w:rPr>
        <w:t>vzděláním</w:t>
      </w:r>
      <w:r w:rsidR="003B6920">
        <w:rPr>
          <w:rFonts w:ascii="Times New Roman" w:hAnsi="Times New Roman" w:cs="Times New Roman"/>
        </w:rPr>
        <w:t xml:space="preserve"> (</w:t>
      </w:r>
      <w:r w:rsidR="00340BBC">
        <w:rPr>
          <w:rFonts w:ascii="Times New Roman" w:hAnsi="Times New Roman" w:cs="Times New Roman"/>
        </w:rPr>
        <w:t>ukončené vzdělání na úrovni</w:t>
      </w:r>
      <w:r w:rsidR="00876C28">
        <w:rPr>
          <w:rFonts w:ascii="Times New Roman" w:hAnsi="Times New Roman" w:cs="Times New Roman"/>
        </w:rPr>
        <w:t xml:space="preserve"> 3–4</w:t>
      </w:r>
      <w:r w:rsidR="00340BBC">
        <w:rPr>
          <w:rFonts w:ascii="Times New Roman" w:hAnsi="Times New Roman" w:cs="Times New Roman"/>
        </w:rPr>
        <w:t xml:space="preserve"> dle ISCED 2011)</w:t>
      </w:r>
      <w:r w:rsidR="008F5EDB">
        <w:rPr>
          <w:rFonts w:ascii="Times New Roman" w:hAnsi="Times New Roman" w:cs="Times New Roman"/>
        </w:rPr>
        <w:t>. Dle údajů za rok 2017 mělo středoškolské vzdělání</w:t>
      </w:r>
      <w:r w:rsidR="00876C28">
        <w:rPr>
          <w:rFonts w:ascii="Times New Roman" w:hAnsi="Times New Roman" w:cs="Times New Roman"/>
        </w:rPr>
        <w:t xml:space="preserve"> </w:t>
      </w:r>
      <w:r w:rsidR="008F5EDB">
        <w:rPr>
          <w:rFonts w:ascii="Times New Roman" w:hAnsi="Times New Roman" w:cs="Times New Roman"/>
        </w:rPr>
        <w:t xml:space="preserve">téměř 94 % osob; v rámci </w:t>
      </w:r>
      <w:r>
        <w:rPr>
          <w:rFonts w:ascii="Times New Roman" w:hAnsi="Times New Roman" w:cs="Times New Roman"/>
        </w:rPr>
        <w:t>U</w:t>
      </w:r>
      <w:r w:rsidR="008F5EDB">
        <w:rPr>
          <w:rFonts w:ascii="Times New Roman" w:hAnsi="Times New Roman" w:cs="Times New Roman"/>
        </w:rPr>
        <w:t>nie</w:t>
      </w:r>
      <w:r>
        <w:rPr>
          <w:rFonts w:ascii="Times New Roman" w:hAnsi="Times New Roman" w:cs="Times New Roman"/>
        </w:rPr>
        <w:t xml:space="preserve"> je </w:t>
      </w:r>
      <w:r w:rsidR="008F5EDB">
        <w:rPr>
          <w:rFonts w:ascii="Times New Roman" w:hAnsi="Times New Roman" w:cs="Times New Roman"/>
        </w:rPr>
        <w:t xml:space="preserve">ČR </w:t>
      </w:r>
      <w:r>
        <w:rPr>
          <w:rFonts w:ascii="Times New Roman" w:hAnsi="Times New Roman" w:cs="Times New Roman"/>
        </w:rPr>
        <w:t>na druhém místě na Litvou</w:t>
      </w:r>
      <w:r w:rsidR="003B6920">
        <w:rPr>
          <w:rFonts w:ascii="Times New Roman" w:hAnsi="Times New Roman" w:cs="Times New Roman"/>
        </w:rPr>
        <w:t xml:space="preserve">. Dobře si vede také v ukazateli </w:t>
      </w:r>
      <w:r w:rsidR="00876C28" w:rsidRPr="00AD17B4">
        <w:rPr>
          <w:rFonts w:ascii="Times New Roman" w:hAnsi="Times New Roman" w:cs="Times New Roman"/>
          <w:i/>
        </w:rPr>
        <w:t>předčasné</w:t>
      </w:r>
      <w:r w:rsidR="00876C28">
        <w:rPr>
          <w:rFonts w:ascii="Times New Roman" w:hAnsi="Times New Roman" w:cs="Times New Roman"/>
        </w:rPr>
        <w:t xml:space="preserve"> </w:t>
      </w:r>
      <w:r w:rsidR="00876C28" w:rsidRPr="00AD17B4">
        <w:rPr>
          <w:rFonts w:ascii="Times New Roman" w:hAnsi="Times New Roman" w:cs="Times New Roman"/>
          <w:i/>
        </w:rPr>
        <w:t>odchody</w:t>
      </w:r>
      <w:r w:rsidR="00876C28">
        <w:rPr>
          <w:rFonts w:ascii="Times New Roman" w:hAnsi="Times New Roman" w:cs="Times New Roman"/>
        </w:rPr>
        <w:t xml:space="preserve"> </w:t>
      </w:r>
      <w:r w:rsidR="00876C28" w:rsidRPr="00AD17B4">
        <w:rPr>
          <w:rFonts w:ascii="Times New Roman" w:hAnsi="Times New Roman" w:cs="Times New Roman"/>
          <w:i/>
        </w:rPr>
        <w:t>ze</w:t>
      </w:r>
      <w:r w:rsidR="00876C28">
        <w:rPr>
          <w:rFonts w:ascii="Times New Roman" w:hAnsi="Times New Roman" w:cs="Times New Roman"/>
        </w:rPr>
        <w:t xml:space="preserve"> </w:t>
      </w:r>
      <w:r w:rsidR="00876C28" w:rsidRPr="00AD17B4">
        <w:rPr>
          <w:rFonts w:ascii="Times New Roman" w:hAnsi="Times New Roman" w:cs="Times New Roman"/>
          <w:i/>
        </w:rPr>
        <w:t>vzdělávání</w:t>
      </w:r>
      <w:r w:rsidR="00876C28">
        <w:rPr>
          <w:rFonts w:ascii="Times New Roman" w:hAnsi="Times New Roman" w:cs="Times New Roman"/>
        </w:rPr>
        <w:t xml:space="preserve"> (ISCED 0–2, nedokončení základního vzdělání). V posledních letech se tento ukazatel mírně zvýšil (z 5,5 </w:t>
      </w:r>
      <w:r w:rsidR="008F5EDB">
        <w:rPr>
          <w:rFonts w:ascii="Times New Roman" w:hAnsi="Times New Roman" w:cs="Times New Roman"/>
        </w:rPr>
        <w:t xml:space="preserve">% </w:t>
      </w:r>
      <w:r w:rsidR="00876C28">
        <w:rPr>
          <w:rFonts w:ascii="Times New Roman" w:hAnsi="Times New Roman" w:cs="Times New Roman"/>
        </w:rPr>
        <w:t>v roce 2014 na 6,7</w:t>
      </w:r>
      <w:r w:rsidR="008F5EDB">
        <w:rPr>
          <w:rFonts w:ascii="Times New Roman" w:hAnsi="Times New Roman" w:cs="Times New Roman"/>
        </w:rPr>
        <w:t xml:space="preserve"> %</w:t>
      </w:r>
      <w:r w:rsidR="00876C28">
        <w:rPr>
          <w:rFonts w:ascii="Times New Roman" w:hAnsi="Times New Roman" w:cs="Times New Roman"/>
        </w:rPr>
        <w:t xml:space="preserve"> v roce 2017). Cílem do roku 2020 je dosáhnout předchozí úrovně, tj. 5,5 %).</w:t>
      </w:r>
      <w:r w:rsidR="00340BBC">
        <w:rPr>
          <w:rFonts w:ascii="Times New Roman" w:hAnsi="Times New Roman" w:cs="Times New Roman"/>
        </w:rPr>
        <w:t xml:space="preserve"> </w:t>
      </w:r>
      <w:r w:rsidR="00340BBC" w:rsidRPr="00AD17B4">
        <w:rPr>
          <w:rFonts w:ascii="Times New Roman" w:hAnsi="Times New Roman" w:cs="Times New Roman"/>
          <w:i/>
        </w:rPr>
        <w:t>P</w:t>
      </w:r>
      <w:r w:rsidR="00D73755" w:rsidRPr="00AD17B4">
        <w:rPr>
          <w:rFonts w:ascii="Times New Roman" w:hAnsi="Times New Roman" w:cs="Times New Roman"/>
          <w:i/>
        </w:rPr>
        <w:t>odíl</w:t>
      </w:r>
      <w:r w:rsidR="00D73755">
        <w:rPr>
          <w:rFonts w:ascii="Times New Roman" w:hAnsi="Times New Roman" w:cs="Times New Roman"/>
        </w:rPr>
        <w:t xml:space="preserve"> </w:t>
      </w:r>
      <w:r w:rsidR="00D73755" w:rsidRPr="00AD17B4">
        <w:rPr>
          <w:rFonts w:ascii="Times New Roman" w:hAnsi="Times New Roman" w:cs="Times New Roman"/>
          <w:i/>
        </w:rPr>
        <w:t>osob</w:t>
      </w:r>
      <w:r w:rsidR="00D73755">
        <w:rPr>
          <w:rFonts w:ascii="Times New Roman" w:hAnsi="Times New Roman" w:cs="Times New Roman"/>
        </w:rPr>
        <w:t xml:space="preserve"> </w:t>
      </w:r>
      <w:r w:rsidR="00D73755" w:rsidRPr="00AD17B4">
        <w:rPr>
          <w:rFonts w:ascii="Times New Roman" w:hAnsi="Times New Roman" w:cs="Times New Roman"/>
          <w:i/>
        </w:rPr>
        <w:t>s vysokoškolským</w:t>
      </w:r>
      <w:r w:rsidR="00D73755">
        <w:rPr>
          <w:rFonts w:ascii="Times New Roman" w:hAnsi="Times New Roman" w:cs="Times New Roman"/>
        </w:rPr>
        <w:t xml:space="preserve"> </w:t>
      </w:r>
      <w:r w:rsidR="00D73755" w:rsidRPr="00AD17B4">
        <w:rPr>
          <w:rFonts w:ascii="Times New Roman" w:hAnsi="Times New Roman" w:cs="Times New Roman"/>
          <w:i/>
        </w:rPr>
        <w:lastRenderedPageBreak/>
        <w:t>vzděláním</w:t>
      </w:r>
      <w:r w:rsidR="00D73755">
        <w:rPr>
          <w:rFonts w:ascii="Times New Roman" w:hAnsi="Times New Roman" w:cs="Times New Roman"/>
        </w:rPr>
        <w:t xml:space="preserve"> (ISCED </w:t>
      </w:r>
      <w:proofErr w:type="gramStart"/>
      <w:r w:rsidR="00D73755">
        <w:rPr>
          <w:rFonts w:ascii="Times New Roman" w:hAnsi="Times New Roman" w:cs="Times New Roman"/>
        </w:rPr>
        <w:t>5 – 8</w:t>
      </w:r>
      <w:proofErr w:type="gramEnd"/>
      <w:r w:rsidR="00D73755">
        <w:rPr>
          <w:rFonts w:ascii="Times New Roman" w:hAnsi="Times New Roman" w:cs="Times New Roman"/>
        </w:rPr>
        <w:t>)</w:t>
      </w:r>
      <w:r w:rsidR="00340BBC">
        <w:rPr>
          <w:rFonts w:ascii="Times New Roman" w:hAnsi="Times New Roman" w:cs="Times New Roman"/>
        </w:rPr>
        <w:t xml:space="preserve"> s</w:t>
      </w:r>
      <w:r w:rsidR="00D07D25">
        <w:rPr>
          <w:rFonts w:ascii="Times New Roman" w:hAnsi="Times New Roman" w:cs="Times New Roman"/>
        </w:rPr>
        <w:t>e pohybuje v ČR pod úrovní EU (dosahuje 34,</w:t>
      </w:r>
      <w:r w:rsidR="007B0E0A">
        <w:rPr>
          <w:rFonts w:ascii="Times New Roman" w:hAnsi="Times New Roman" w:cs="Times New Roman"/>
        </w:rPr>
        <w:t xml:space="preserve">2 %). </w:t>
      </w:r>
      <w:r w:rsidR="00D07D25">
        <w:rPr>
          <w:rFonts w:ascii="Times New Roman" w:hAnsi="Times New Roman" w:cs="Times New Roman"/>
        </w:rPr>
        <w:t xml:space="preserve">Další mechanické navyšování počtu vysokoškoláků </w:t>
      </w:r>
      <w:r w:rsidR="007B0E0A">
        <w:rPr>
          <w:rFonts w:ascii="Times New Roman" w:hAnsi="Times New Roman" w:cs="Times New Roman"/>
        </w:rPr>
        <w:t>(v souladu se Strateg</w:t>
      </w:r>
      <w:r w:rsidR="008F5EDB">
        <w:rPr>
          <w:rFonts w:ascii="Times New Roman" w:hAnsi="Times New Roman" w:cs="Times New Roman"/>
        </w:rPr>
        <w:t xml:space="preserve">ií </w:t>
      </w:r>
      <w:r w:rsidR="007B0E0A">
        <w:rPr>
          <w:rFonts w:ascii="Times New Roman" w:hAnsi="Times New Roman" w:cs="Times New Roman"/>
        </w:rPr>
        <w:t xml:space="preserve">Evropa 2020) </w:t>
      </w:r>
      <w:r w:rsidR="00D07D25">
        <w:rPr>
          <w:rFonts w:ascii="Times New Roman" w:hAnsi="Times New Roman" w:cs="Times New Roman"/>
        </w:rPr>
        <w:t>je sice poměrně jednoduché řešení, ale nemusí být pro potřebu trhu práce optimální. Ukazatel nic nevypovídá o</w:t>
      </w:r>
      <w:r w:rsidR="00AD17B4">
        <w:rPr>
          <w:rFonts w:ascii="Times New Roman" w:hAnsi="Times New Roman" w:cs="Times New Roman"/>
        </w:rPr>
        <w:t xml:space="preserve"> kvalitě a obsahu </w:t>
      </w:r>
      <w:r w:rsidR="00D07D25">
        <w:rPr>
          <w:rFonts w:ascii="Times New Roman" w:hAnsi="Times New Roman" w:cs="Times New Roman"/>
        </w:rPr>
        <w:t xml:space="preserve">vzdělávání. </w:t>
      </w:r>
      <w:r w:rsidR="00AD17B4">
        <w:rPr>
          <w:rFonts w:ascii="Times New Roman" w:hAnsi="Times New Roman" w:cs="Times New Roman"/>
        </w:rPr>
        <w:t>Je nutné se zaměřit na dosažení lepšího souladu poskytovaných vzdělávacích programů s potřebami pr</w:t>
      </w:r>
      <w:r w:rsidR="008F5EDB">
        <w:rPr>
          <w:rFonts w:ascii="Times New Roman" w:hAnsi="Times New Roman" w:cs="Times New Roman"/>
        </w:rPr>
        <w:t xml:space="preserve">axe. Příkladem může být </w:t>
      </w:r>
      <w:r w:rsidR="007B0E0A">
        <w:rPr>
          <w:rFonts w:ascii="Times New Roman" w:hAnsi="Times New Roman" w:cs="Times New Roman"/>
        </w:rPr>
        <w:t>Německo</w:t>
      </w:r>
      <w:r w:rsidR="00AD17B4">
        <w:rPr>
          <w:rFonts w:ascii="Times New Roman" w:hAnsi="Times New Roman" w:cs="Times New Roman"/>
        </w:rPr>
        <w:t xml:space="preserve">, které vykazuje ještě méně </w:t>
      </w:r>
      <w:r w:rsidR="007B0E0A">
        <w:rPr>
          <w:rFonts w:ascii="Times New Roman" w:hAnsi="Times New Roman" w:cs="Times New Roman"/>
        </w:rPr>
        <w:t>vysokoškoláků (34 %</w:t>
      </w:r>
      <w:r w:rsidR="00AD17B4">
        <w:rPr>
          <w:rFonts w:ascii="Times New Roman" w:hAnsi="Times New Roman" w:cs="Times New Roman"/>
        </w:rPr>
        <w:t xml:space="preserve"> ve sledovaném roce 2017</w:t>
      </w:r>
      <w:r w:rsidR="007B0E0A">
        <w:rPr>
          <w:rFonts w:ascii="Times New Roman" w:hAnsi="Times New Roman" w:cs="Times New Roman"/>
        </w:rPr>
        <w:t>), nicméně úzká spolupráce škol s podniky (tzv. duální vzdělávání) umožňuje mnohem pružněji reagovat na potřeby pracovního trhu</w:t>
      </w:r>
      <w:r w:rsidR="00F11987">
        <w:rPr>
          <w:rFonts w:ascii="Times New Roman" w:hAnsi="Times New Roman" w:cs="Times New Roman"/>
        </w:rPr>
        <w:t>.</w:t>
      </w:r>
      <w:r w:rsidR="007B0E0A">
        <w:rPr>
          <w:rFonts w:ascii="Times New Roman" w:hAnsi="Times New Roman" w:cs="Times New Roman"/>
        </w:rPr>
        <w:t xml:space="preserve"> </w:t>
      </w:r>
      <w:r w:rsidR="00AD17B4">
        <w:rPr>
          <w:rFonts w:ascii="Times New Roman" w:hAnsi="Times New Roman" w:cs="Times New Roman"/>
        </w:rPr>
        <w:t xml:space="preserve">Pokud jde o </w:t>
      </w:r>
      <w:r w:rsidR="00AD17B4" w:rsidRPr="00AD17B4">
        <w:rPr>
          <w:rFonts w:ascii="Times New Roman" w:hAnsi="Times New Roman" w:cs="Times New Roman"/>
          <w:i/>
        </w:rPr>
        <w:t>účast dospělých osob</w:t>
      </w:r>
      <w:r w:rsidR="00AD17B4">
        <w:rPr>
          <w:rFonts w:ascii="Times New Roman" w:hAnsi="Times New Roman" w:cs="Times New Roman"/>
          <w:i/>
        </w:rPr>
        <w:t xml:space="preserve"> na celoživotním vzdělávání</w:t>
      </w:r>
      <w:r w:rsidR="00016AC0">
        <w:rPr>
          <w:rFonts w:ascii="Times New Roman" w:hAnsi="Times New Roman" w:cs="Times New Roman"/>
        </w:rPr>
        <w:t xml:space="preserve">, pohybuje se tento ukazatel </w:t>
      </w:r>
      <w:r w:rsidR="008F5EDB">
        <w:rPr>
          <w:rFonts w:ascii="Times New Roman" w:hAnsi="Times New Roman" w:cs="Times New Roman"/>
        </w:rPr>
        <w:t xml:space="preserve">v ČR </w:t>
      </w:r>
      <w:r w:rsidR="00016AC0">
        <w:rPr>
          <w:rFonts w:ascii="Times New Roman" w:hAnsi="Times New Roman" w:cs="Times New Roman"/>
        </w:rPr>
        <w:t>pod průměrem EU</w:t>
      </w:r>
      <w:r w:rsidR="00CB01ED">
        <w:rPr>
          <w:rFonts w:ascii="Times New Roman" w:hAnsi="Times New Roman" w:cs="Times New Roman"/>
        </w:rPr>
        <w:t xml:space="preserve">. Patrný je </w:t>
      </w:r>
      <w:r w:rsidR="00712CDC">
        <w:rPr>
          <w:rFonts w:ascii="Times New Roman" w:hAnsi="Times New Roman" w:cs="Times New Roman"/>
        </w:rPr>
        <w:t xml:space="preserve">sice </w:t>
      </w:r>
      <w:r w:rsidR="00CB01ED">
        <w:rPr>
          <w:rFonts w:ascii="Times New Roman" w:hAnsi="Times New Roman" w:cs="Times New Roman"/>
        </w:rPr>
        <w:t xml:space="preserve">mírný nárůst </w:t>
      </w:r>
      <w:r w:rsidR="00712CDC">
        <w:rPr>
          <w:rFonts w:ascii="Times New Roman" w:hAnsi="Times New Roman" w:cs="Times New Roman"/>
        </w:rPr>
        <w:t>(z 8,5 % v roce 2015 na 9,8 % v roce 2017), nicméně v</w:t>
      </w:r>
      <w:r w:rsidR="00CB01ED">
        <w:rPr>
          <w:rFonts w:ascii="Times New Roman" w:hAnsi="Times New Roman" w:cs="Times New Roman"/>
        </w:rPr>
        <w:t>zhledem k rostoucímu v</w:t>
      </w:r>
      <w:r w:rsidR="008F5EDB">
        <w:rPr>
          <w:rFonts w:ascii="Times New Roman" w:hAnsi="Times New Roman" w:cs="Times New Roman"/>
        </w:rPr>
        <w:t>ýznamu celoživotního vzdělávání</w:t>
      </w:r>
      <w:r w:rsidR="00CB01ED">
        <w:rPr>
          <w:rFonts w:ascii="Times New Roman" w:hAnsi="Times New Roman" w:cs="Times New Roman"/>
        </w:rPr>
        <w:t xml:space="preserve"> je více než žádoucí, </w:t>
      </w:r>
      <w:r w:rsidR="00712CDC">
        <w:rPr>
          <w:rFonts w:ascii="Times New Roman" w:hAnsi="Times New Roman" w:cs="Times New Roman"/>
        </w:rPr>
        <w:t xml:space="preserve">aby se </w:t>
      </w:r>
      <w:r w:rsidR="00CB01ED">
        <w:rPr>
          <w:rFonts w:ascii="Times New Roman" w:hAnsi="Times New Roman" w:cs="Times New Roman"/>
        </w:rPr>
        <w:t>počet osob zapojených do celoživotního vzdělávání podstatně zvýšit.</w:t>
      </w:r>
      <w:r w:rsidR="00AD17B4" w:rsidRPr="00AD17B4">
        <w:rPr>
          <w:rFonts w:ascii="Times New Roman" w:hAnsi="Times New Roman" w:cs="Times New Roman"/>
          <w:i/>
        </w:rPr>
        <w:t xml:space="preserve"> </w:t>
      </w:r>
    </w:p>
    <w:p w14:paraId="641718F4" w14:textId="539F26FA" w:rsidR="00A55FFA" w:rsidRPr="007B5868" w:rsidRDefault="00712CDC" w:rsidP="009F39DD">
      <w:pPr>
        <w:spacing w:before="120" w:line="360" w:lineRule="auto"/>
        <w:jc w:val="both"/>
        <w:rPr>
          <w:rFonts w:ascii="Times New Roman" w:hAnsi="Times New Roman" w:cs="Times New Roman"/>
          <w:noProof/>
          <w:sz w:val="22"/>
          <w:szCs w:val="22"/>
        </w:rPr>
      </w:pPr>
      <w:r>
        <w:rPr>
          <w:rFonts w:ascii="Times New Roman" w:hAnsi="Times New Roman" w:cs="Times New Roman"/>
        </w:rPr>
        <w:t>Kromě uvedených</w:t>
      </w:r>
      <w:r w:rsidR="009F39DD">
        <w:rPr>
          <w:rFonts w:ascii="Times New Roman" w:hAnsi="Times New Roman" w:cs="Times New Roman"/>
        </w:rPr>
        <w:t xml:space="preserve"> ukazatelů se k měření úrovně lidského kapitálu ve společnosti používají také </w:t>
      </w:r>
      <w:r w:rsidR="007658F3">
        <w:rPr>
          <w:rFonts w:ascii="Times New Roman" w:hAnsi="Times New Roman" w:cs="Times New Roman"/>
        </w:rPr>
        <w:t xml:space="preserve">nejrůznější </w:t>
      </w:r>
      <w:r w:rsidR="009F39DD">
        <w:rPr>
          <w:rFonts w:ascii="Times New Roman" w:hAnsi="Times New Roman" w:cs="Times New Roman"/>
        </w:rPr>
        <w:t xml:space="preserve">složené indexy. </w:t>
      </w:r>
    </w:p>
    <w:p w14:paraId="79223568" w14:textId="65253596" w:rsidR="009F39DD" w:rsidRDefault="009F39DD" w:rsidP="009F39DD">
      <w:pPr>
        <w:spacing w:before="120" w:line="360" w:lineRule="auto"/>
        <w:jc w:val="both"/>
        <w:rPr>
          <w:rFonts w:ascii="Times New Roman" w:hAnsi="Times New Roman" w:cs="Times New Roman"/>
        </w:rPr>
      </w:pPr>
      <w:r>
        <w:rPr>
          <w:rFonts w:ascii="Times New Roman" w:hAnsi="Times New Roman" w:cs="Times New Roman"/>
        </w:rPr>
        <w:t xml:space="preserve">Poměrně novou metodou měření úrovně lidského kapitálu je tzv. </w:t>
      </w:r>
      <w:r>
        <w:rPr>
          <w:rFonts w:ascii="Times New Roman" w:hAnsi="Times New Roman" w:cs="Times New Roman"/>
          <w:b/>
        </w:rPr>
        <w:t xml:space="preserve">Evropský index lidského kapitálu </w:t>
      </w:r>
      <w:r>
        <w:rPr>
          <w:rFonts w:ascii="Times New Roman" w:hAnsi="Times New Roman" w:cs="Times New Roman"/>
        </w:rPr>
        <w:t>(</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European</w:t>
      </w:r>
      <w:proofErr w:type="spellEnd"/>
      <w:r>
        <w:rPr>
          <w:rFonts w:ascii="Times New Roman" w:hAnsi="Times New Roman" w:cs="Times New Roman"/>
          <w:i/>
        </w:rPr>
        <w:t xml:space="preserve"> </w:t>
      </w:r>
      <w:proofErr w:type="spellStart"/>
      <w:r>
        <w:rPr>
          <w:rFonts w:ascii="Times New Roman" w:hAnsi="Times New Roman" w:cs="Times New Roman"/>
          <w:i/>
        </w:rPr>
        <w:t>Human</w:t>
      </w:r>
      <w:proofErr w:type="spellEnd"/>
      <w:r>
        <w:rPr>
          <w:rFonts w:ascii="Times New Roman" w:hAnsi="Times New Roman" w:cs="Times New Roman"/>
          <w:i/>
        </w:rPr>
        <w:t xml:space="preserve"> </w:t>
      </w:r>
      <w:proofErr w:type="spellStart"/>
      <w:r>
        <w:rPr>
          <w:rFonts w:ascii="Times New Roman" w:hAnsi="Times New Roman" w:cs="Times New Roman"/>
          <w:i/>
        </w:rPr>
        <w:t>Capitla</w:t>
      </w:r>
      <w:proofErr w:type="spellEnd"/>
      <w:r>
        <w:rPr>
          <w:rFonts w:ascii="Times New Roman" w:hAnsi="Times New Roman" w:cs="Times New Roman"/>
          <w:i/>
        </w:rPr>
        <w:t xml:space="preserve"> Index</w:t>
      </w:r>
      <w:r>
        <w:rPr>
          <w:rFonts w:ascii="Times New Roman" w:hAnsi="Times New Roman" w:cs="Times New Roman"/>
        </w:rPr>
        <w:t xml:space="preserve">), jehož tvůrce </w:t>
      </w:r>
      <w:r>
        <w:rPr>
          <w:rFonts w:ascii="Times New Roman" w:hAnsi="Times New Roman" w:cs="Times New Roman"/>
          <w:i/>
        </w:rPr>
        <w:t xml:space="preserve">Peer </w:t>
      </w:r>
      <w:proofErr w:type="spellStart"/>
      <w:r>
        <w:rPr>
          <w:rFonts w:ascii="Times New Roman" w:hAnsi="Times New Roman" w:cs="Times New Roman"/>
          <w:i/>
        </w:rPr>
        <w:t>Ederer</w:t>
      </w:r>
      <w:proofErr w:type="spellEnd"/>
      <w:r>
        <w:rPr>
          <w:rFonts w:ascii="Times New Roman" w:hAnsi="Times New Roman" w:cs="Times New Roman"/>
          <w:i/>
        </w:rPr>
        <w:t xml:space="preserve"> </w:t>
      </w:r>
      <w:r w:rsidR="00B96D8D">
        <w:rPr>
          <w:rFonts w:ascii="Times New Roman" w:hAnsi="Times New Roman" w:cs="Times New Roman"/>
        </w:rPr>
        <w:t>jej</w:t>
      </w:r>
      <w:r>
        <w:rPr>
          <w:rFonts w:ascii="Times New Roman" w:hAnsi="Times New Roman" w:cs="Times New Roman"/>
        </w:rPr>
        <w:t xml:space="preserve"> vytvořil a představil v roce 2006.</w:t>
      </w:r>
      <w:r>
        <w:rPr>
          <w:rStyle w:val="Znakapoznpodarou"/>
          <w:rFonts w:ascii="Times New Roman" w:hAnsi="Times New Roman" w:cs="Times New Roman"/>
        </w:rPr>
        <w:footnoteReference w:id="12"/>
      </w:r>
      <w:r>
        <w:rPr>
          <w:rFonts w:ascii="Times New Roman" w:hAnsi="Times New Roman" w:cs="Times New Roman"/>
        </w:rPr>
        <w:t xml:space="preserve"> </w:t>
      </w:r>
      <w:r w:rsidR="007658F3">
        <w:rPr>
          <w:rFonts w:ascii="Times New Roman" w:hAnsi="Times New Roman" w:cs="Times New Roman"/>
        </w:rPr>
        <w:t>Index identifikuje a definuje celkem čtyři složky lidského kapitálu:</w:t>
      </w:r>
    </w:p>
    <w:p w14:paraId="1967E133" w14:textId="2AAD4931" w:rsidR="007658F3" w:rsidRDefault="007658F3" w:rsidP="00E94B9D">
      <w:pPr>
        <w:pStyle w:val="Odstavecseseznamem"/>
        <w:numPr>
          <w:ilvl w:val="0"/>
          <w:numId w:val="10"/>
        </w:numPr>
        <w:spacing w:before="120" w:line="360" w:lineRule="auto"/>
        <w:jc w:val="both"/>
        <w:rPr>
          <w:rFonts w:ascii="Times New Roman" w:hAnsi="Times New Roman" w:cs="Times New Roman"/>
        </w:rPr>
      </w:pPr>
      <w:r>
        <w:rPr>
          <w:rFonts w:ascii="Times New Roman" w:hAnsi="Times New Roman" w:cs="Times New Roman"/>
          <w:i/>
        </w:rPr>
        <w:t xml:space="preserve">Investice do lidského kapitálu </w:t>
      </w:r>
      <w:r>
        <w:rPr>
          <w:rFonts w:ascii="Times New Roman" w:hAnsi="Times New Roman" w:cs="Times New Roman"/>
        </w:rPr>
        <w:t xml:space="preserve">– vyjadřuje celkové náklady na všechny typy vzdělávání a výcvik, které jsou vynaloženy na jednu osobu aktivní na pracovním trhu. Index sleduje pět základních typů vzdělávání: učení praxí, při výkonu zaměstnání (měřeno jako náklad ušlé příležitosti), vzdělávání dospělých (měřeno jako náklad ušlé příležitosti), vysokoškolské vzdělávání (měřeno prostřednictvím přímých výdajů), </w:t>
      </w:r>
      <w:proofErr w:type="gramStart"/>
      <w:r>
        <w:rPr>
          <w:rFonts w:ascii="Times New Roman" w:hAnsi="Times New Roman" w:cs="Times New Roman"/>
        </w:rPr>
        <w:t>základní  středoškolské</w:t>
      </w:r>
      <w:proofErr w:type="gramEnd"/>
      <w:r>
        <w:rPr>
          <w:rFonts w:ascii="Times New Roman" w:hAnsi="Times New Roman" w:cs="Times New Roman"/>
        </w:rPr>
        <w:t xml:space="preserve"> vzdělávání (měřeno prostřednictvím přímých výdajů), vzdělávání v rodině (měřeno jako náklad ušlé příležitosti – ušlá mzda – rodičů).</w:t>
      </w:r>
    </w:p>
    <w:p w14:paraId="4EF44FEA" w14:textId="77777777" w:rsidR="00B96D8D" w:rsidRDefault="007658F3" w:rsidP="00E94B9D">
      <w:pPr>
        <w:pStyle w:val="Odstavecseseznamem"/>
        <w:numPr>
          <w:ilvl w:val="0"/>
          <w:numId w:val="10"/>
        </w:numPr>
        <w:spacing w:before="120" w:line="360" w:lineRule="auto"/>
        <w:jc w:val="both"/>
        <w:rPr>
          <w:rFonts w:ascii="Times New Roman" w:hAnsi="Times New Roman" w:cs="Times New Roman"/>
        </w:rPr>
      </w:pPr>
      <w:r>
        <w:rPr>
          <w:rFonts w:ascii="Times New Roman" w:hAnsi="Times New Roman" w:cs="Times New Roman"/>
          <w:i/>
        </w:rPr>
        <w:t xml:space="preserve">Využití lidského kapitálu – </w:t>
      </w:r>
      <w:r w:rsidRPr="007658F3">
        <w:rPr>
          <w:rFonts w:ascii="Times New Roman" w:hAnsi="Times New Roman" w:cs="Times New Roman"/>
        </w:rPr>
        <w:t>sleduje aktuální využívání disponibilního lidského kapitálu</w:t>
      </w:r>
      <w:r>
        <w:rPr>
          <w:rFonts w:ascii="Times New Roman" w:hAnsi="Times New Roman" w:cs="Times New Roman"/>
        </w:rPr>
        <w:t xml:space="preserve"> v dané zemi (měřeno</w:t>
      </w:r>
      <w:r w:rsidR="00B96D8D">
        <w:rPr>
          <w:rFonts w:ascii="Times New Roman" w:hAnsi="Times New Roman" w:cs="Times New Roman"/>
        </w:rPr>
        <w:t xml:space="preserve"> jako podíl na celkové populaci).</w:t>
      </w:r>
    </w:p>
    <w:p w14:paraId="6712C3D2" w14:textId="71EF9142" w:rsidR="00B96D8D" w:rsidRDefault="00B96D8D" w:rsidP="00E94B9D">
      <w:pPr>
        <w:pStyle w:val="Odstavecseseznamem"/>
        <w:numPr>
          <w:ilvl w:val="0"/>
          <w:numId w:val="10"/>
        </w:numPr>
        <w:spacing w:before="120" w:line="360" w:lineRule="auto"/>
        <w:jc w:val="both"/>
        <w:rPr>
          <w:rFonts w:ascii="Times New Roman" w:hAnsi="Times New Roman" w:cs="Times New Roman"/>
        </w:rPr>
      </w:pPr>
      <w:r>
        <w:rPr>
          <w:rFonts w:ascii="Times New Roman" w:hAnsi="Times New Roman" w:cs="Times New Roman"/>
          <w:i/>
        </w:rPr>
        <w:t xml:space="preserve">Produktivita lidského kapitálu </w:t>
      </w:r>
      <w:r>
        <w:rPr>
          <w:rFonts w:ascii="Times New Roman" w:hAnsi="Times New Roman" w:cs="Times New Roman"/>
        </w:rPr>
        <w:t xml:space="preserve">– je vyjádřena jako podíl: HDP/celkový lidský kapitál všech jedinců na pracovním trhu v dané zemi. Na rozdíl od tradičního </w:t>
      </w:r>
      <w:r>
        <w:rPr>
          <w:rFonts w:ascii="Times New Roman" w:hAnsi="Times New Roman" w:cs="Times New Roman"/>
        </w:rPr>
        <w:lastRenderedPageBreak/>
        <w:t>měření produktivity sleduje úroveň vzdělání pracovní síly, nikoli počet odpracovaných hodin.</w:t>
      </w:r>
    </w:p>
    <w:p w14:paraId="54DDA1F5" w14:textId="68DB4298" w:rsidR="007658F3" w:rsidRDefault="00B96D8D" w:rsidP="00E94B9D">
      <w:pPr>
        <w:pStyle w:val="Odstavecseseznamem"/>
        <w:numPr>
          <w:ilvl w:val="0"/>
          <w:numId w:val="10"/>
        </w:numPr>
        <w:spacing w:before="120" w:line="360" w:lineRule="auto"/>
        <w:jc w:val="both"/>
        <w:rPr>
          <w:rFonts w:ascii="Times New Roman" w:hAnsi="Times New Roman" w:cs="Times New Roman"/>
        </w:rPr>
      </w:pPr>
      <w:r>
        <w:rPr>
          <w:rFonts w:ascii="Times New Roman" w:hAnsi="Times New Roman" w:cs="Times New Roman"/>
          <w:i/>
        </w:rPr>
        <w:t xml:space="preserve">Demografie a zaměstnanost lidského kapitálu </w:t>
      </w:r>
      <w:r>
        <w:rPr>
          <w:rFonts w:ascii="Times New Roman" w:hAnsi="Times New Roman" w:cs="Times New Roman"/>
        </w:rPr>
        <w:t>– sleduje ekonomické, demografické a migrační trendy a predikuje jejich vývoj v jednotlivých zemích EU do roku 2030.</w:t>
      </w:r>
    </w:p>
    <w:p w14:paraId="3E96B1FC" w14:textId="4875F928" w:rsidR="00B96D8D" w:rsidRDefault="00B96D8D" w:rsidP="00B96D8D">
      <w:pPr>
        <w:spacing w:before="120" w:line="360" w:lineRule="auto"/>
        <w:jc w:val="both"/>
        <w:rPr>
          <w:rFonts w:ascii="Times New Roman" w:hAnsi="Times New Roman" w:cs="Times New Roman"/>
        </w:rPr>
      </w:pPr>
      <w:r>
        <w:rPr>
          <w:rFonts w:ascii="Times New Roman" w:hAnsi="Times New Roman" w:cs="Times New Roman"/>
        </w:rPr>
        <w:t>Uvedené komponenty indexu nebyly vybrány náhodně; každá z nich reprezentuje jeden aspekt lidského kapitálu, který se nějakým způsobem promítá do ekonomického růstu</w:t>
      </w:r>
      <w:r w:rsidR="0038010B">
        <w:rPr>
          <w:rFonts w:ascii="Times New Roman" w:hAnsi="Times New Roman" w:cs="Times New Roman"/>
        </w:rPr>
        <w:t>, rozvoje a konkurenceschopnosti</w:t>
      </w:r>
      <w:r>
        <w:rPr>
          <w:rFonts w:ascii="Times New Roman" w:hAnsi="Times New Roman" w:cs="Times New Roman"/>
        </w:rPr>
        <w:t>.</w:t>
      </w:r>
      <w:r w:rsidR="0038010B">
        <w:rPr>
          <w:rFonts w:ascii="Times New Roman" w:hAnsi="Times New Roman" w:cs="Times New Roman"/>
        </w:rPr>
        <w:t xml:space="preserve"> </w:t>
      </w:r>
    </w:p>
    <w:p w14:paraId="567DBFB3" w14:textId="77777777" w:rsidR="0091213C" w:rsidRDefault="00B96D8D" w:rsidP="00B96D8D">
      <w:pPr>
        <w:spacing w:before="120" w:line="360" w:lineRule="auto"/>
        <w:jc w:val="both"/>
        <w:rPr>
          <w:rFonts w:ascii="Times New Roman" w:hAnsi="Times New Roman" w:cs="Times New Roman"/>
        </w:rPr>
      </w:pPr>
      <w:r>
        <w:rPr>
          <w:rFonts w:ascii="Times New Roman" w:hAnsi="Times New Roman" w:cs="Times New Roman"/>
        </w:rPr>
        <w:t xml:space="preserve">Populární je také tzv. </w:t>
      </w:r>
      <w:r>
        <w:rPr>
          <w:rFonts w:ascii="Times New Roman" w:hAnsi="Times New Roman" w:cs="Times New Roman"/>
          <w:b/>
        </w:rPr>
        <w:t xml:space="preserve">Globální index lidského kapitálu </w:t>
      </w:r>
      <w:r>
        <w:rPr>
          <w:rFonts w:ascii="Times New Roman" w:hAnsi="Times New Roman" w:cs="Times New Roman"/>
        </w:rPr>
        <w:t>(</w:t>
      </w:r>
      <w:proofErr w:type="spellStart"/>
      <w:r>
        <w:rPr>
          <w:rFonts w:ascii="Times New Roman" w:hAnsi="Times New Roman" w:cs="Times New Roman"/>
          <w:i/>
        </w:rPr>
        <w:t>The</w:t>
      </w:r>
      <w:proofErr w:type="spellEnd"/>
      <w:r>
        <w:rPr>
          <w:rFonts w:ascii="Times New Roman" w:hAnsi="Times New Roman" w:cs="Times New Roman"/>
          <w:i/>
        </w:rPr>
        <w:t xml:space="preserve"> </w:t>
      </w:r>
      <w:proofErr w:type="spellStart"/>
      <w:r>
        <w:rPr>
          <w:rFonts w:ascii="Times New Roman" w:hAnsi="Times New Roman" w:cs="Times New Roman"/>
          <w:i/>
        </w:rPr>
        <w:t>Global</w:t>
      </w:r>
      <w:proofErr w:type="spellEnd"/>
      <w:r>
        <w:rPr>
          <w:rFonts w:ascii="Times New Roman" w:hAnsi="Times New Roman" w:cs="Times New Roman"/>
          <w:i/>
        </w:rPr>
        <w:t xml:space="preserve"> </w:t>
      </w:r>
      <w:proofErr w:type="spellStart"/>
      <w:r>
        <w:rPr>
          <w:rFonts w:ascii="Times New Roman" w:hAnsi="Times New Roman" w:cs="Times New Roman"/>
          <w:i/>
        </w:rPr>
        <w:t>Human</w:t>
      </w:r>
      <w:proofErr w:type="spellEnd"/>
      <w:r>
        <w:rPr>
          <w:rFonts w:ascii="Times New Roman" w:hAnsi="Times New Roman" w:cs="Times New Roman"/>
          <w:i/>
        </w:rPr>
        <w:t xml:space="preserve"> </w:t>
      </w:r>
      <w:proofErr w:type="spellStart"/>
      <w:r>
        <w:rPr>
          <w:rFonts w:ascii="Times New Roman" w:hAnsi="Times New Roman" w:cs="Times New Roman"/>
          <w:i/>
        </w:rPr>
        <w:t>Capital</w:t>
      </w:r>
      <w:proofErr w:type="spellEnd"/>
      <w:r>
        <w:rPr>
          <w:rFonts w:ascii="Times New Roman" w:hAnsi="Times New Roman" w:cs="Times New Roman"/>
          <w:i/>
        </w:rPr>
        <w:t xml:space="preserve"> Index</w:t>
      </w:r>
      <w:r>
        <w:rPr>
          <w:rFonts w:ascii="Times New Roman" w:hAnsi="Times New Roman" w:cs="Times New Roman"/>
        </w:rPr>
        <w:t>), který každoročně uveřejňuje Světové ekonomické fórum (</w:t>
      </w:r>
      <w:proofErr w:type="spellStart"/>
      <w:r>
        <w:rPr>
          <w:rFonts w:ascii="Times New Roman" w:hAnsi="Times New Roman" w:cs="Times New Roman"/>
        </w:rPr>
        <w:t>World</w:t>
      </w:r>
      <w:proofErr w:type="spellEnd"/>
      <w:r>
        <w:rPr>
          <w:rFonts w:ascii="Times New Roman" w:hAnsi="Times New Roman" w:cs="Times New Roman"/>
        </w:rPr>
        <w:t xml:space="preserve"> </w:t>
      </w:r>
      <w:proofErr w:type="spellStart"/>
      <w:r>
        <w:rPr>
          <w:rFonts w:ascii="Times New Roman" w:hAnsi="Times New Roman" w:cs="Times New Roman"/>
        </w:rPr>
        <w:t>Economic</w:t>
      </w:r>
      <w:proofErr w:type="spellEnd"/>
      <w:r>
        <w:rPr>
          <w:rFonts w:ascii="Times New Roman" w:hAnsi="Times New Roman" w:cs="Times New Roman"/>
        </w:rPr>
        <w:t xml:space="preserve"> </w:t>
      </w:r>
      <w:proofErr w:type="spellStart"/>
      <w:r>
        <w:rPr>
          <w:rFonts w:ascii="Times New Roman" w:hAnsi="Times New Roman" w:cs="Times New Roman"/>
        </w:rPr>
        <w:t>Forum</w:t>
      </w:r>
      <w:proofErr w:type="spellEnd"/>
      <w:r w:rsidR="007C0596">
        <w:rPr>
          <w:rFonts w:ascii="Times New Roman" w:hAnsi="Times New Roman" w:cs="Times New Roman"/>
        </w:rPr>
        <w:t xml:space="preserve">, WEF). </w:t>
      </w:r>
    </w:p>
    <w:p w14:paraId="0EA4899D" w14:textId="31300946" w:rsidR="00B96D8D" w:rsidRDefault="007C0596" w:rsidP="00B96D8D">
      <w:pPr>
        <w:spacing w:before="120" w:line="360" w:lineRule="auto"/>
        <w:jc w:val="both"/>
        <w:rPr>
          <w:rFonts w:ascii="Times New Roman" w:hAnsi="Times New Roman" w:cs="Times New Roman"/>
        </w:rPr>
      </w:pPr>
      <w:r>
        <w:rPr>
          <w:rFonts w:ascii="Times New Roman" w:hAnsi="Times New Roman" w:cs="Times New Roman"/>
        </w:rPr>
        <w:t>Ind</w:t>
      </w:r>
      <w:r w:rsidR="00A55FFA">
        <w:rPr>
          <w:rFonts w:ascii="Times New Roman" w:hAnsi="Times New Roman" w:cs="Times New Roman"/>
        </w:rPr>
        <w:t xml:space="preserve">ex </w:t>
      </w:r>
      <w:r w:rsidR="004E30E4">
        <w:rPr>
          <w:rFonts w:ascii="Times New Roman" w:hAnsi="Times New Roman" w:cs="Times New Roman"/>
        </w:rPr>
        <w:t>sleduj</w:t>
      </w:r>
      <w:r w:rsidR="003A167D">
        <w:rPr>
          <w:rFonts w:ascii="Times New Roman" w:hAnsi="Times New Roman" w:cs="Times New Roman"/>
        </w:rPr>
        <w:t>e vývoj lidského kapitálu ve 130</w:t>
      </w:r>
      <w:r w:rsidR="004E30E4">
        <w:rPr>
          <w:rFonts w:ascii="Times New Roman" w:hAnsi="Times New Roman" w:cs="Times New Roman"/>
        </w:rPr>
        <w:t xml:space="preserve"> zemích; </w:t>
      </w:r>
      <w:r w:rsidR="00A55FFA">
        <w:rPr>
          <w:rFonts w:ascii="Times New Roman" w:hAnsi="Times New Roman" w:cs="Times New Roman"/>
        </w:rPr>
        <w:t>zahrnuje čtyři základní komponenty lidského kapitálu</w:t>
      </w:r>
      <w:r w:rsidR="00924914">
        <w:rPr>
          <w:rFonts w:ascii="Times New Roman" w:hAnsi="Times New Roman" w:cs="Times New Roman"/>
        </w:rPr>
        <w:t xml:space="preserve">, které se sledují pomocí vybraných ukazatelů: </w:t>
      </w:r>
    </w:p>
    <w:p w14:paraId="3103DE88" w14:textId="72C33BAA" w:rsidR="00924914" w:rsidRDefault="00924914" w:rsidP="00E94B9D">
      <w:pPr>
        <w:pStyle w:val="Odstavecseseznamem"/>
        <w:numPr>
          <w:ilvl w:val="0"/>
          <w:numId w:val="11"/>
        </w:numPr>
        <w:spacing w:before="120" w:line="360" w:lineRule="auto"/>
        <w:jc w:val="both"/>
        <w:rPr>
          <w:rFonts w:ascii="Times New Roman" w:hAnsi="Times New Roman" w:cs="Times New Roman"/>
        </w:rPr>
      </w:pPr>
      <w:r w:rsidRPr="008F5EDB">
        <w:rPr>
          <w:rFonts w:ascii="Times New Roman" w:hAnsi="Times New Roman" w:cs="Times New Roman"/>
          <w:i/>
        </w:rPr>
        <w:t>Kapacita</w:t>
      </w:r>
      <w:r>
        <w:rPr>
          <w:rFonts w:ascii="Times New Roman" w:hAnsi="Times New Roman" w:cs="Times New Roman"/>
        </w:rPr>
        <w:t xml:space="preserve"> </w:t>
      </w:r>
      <w:r w:rsidR="00414C41">
        <w:rPr>
          <w:rFonts w:ascii="Times New Roman" w:hAnsi="Times New Roman" w:cs="Times New Roman"/>
        </w:rPr>
        <w:t>–</w:t>
      </w:r>
      <w:r>
        <w:rPr>
          <w:rFonts w:ascii="Times New Roman" w:hAnsi="Times New Roman" w:cs="Times New Roman"/>
        </w:rPr>
        <w:t xml:space="preserve"> </w:t>
      </w:r>
      <w:r w:rsidR="008477A1">
        <w:rPr>
          <w:rFonts w:ascii="Times New Roman" w:hAnsi="Times New Roman" w:cs="Times New Roman"/>
        </w:rPr>
        <w:t xml:space="preserve">sledují se např. tyto ukazatele: </w:t>
      </w:r>
      <w:r w:rsidR="00414C41">
        <w:rPr>
          <w:rFonts w:ascii="Times New Roman" w:hAnsi="Times New Roman" w:cs="Times New Roman"/>
        </w:rPr>
        <w:t>úroveň funkční gramotnosti</w:t>
      </w:r>
      <w:r w:rsidR="008477A1">
        <w:rPr>
          <w:rFonts w:ascii="Times New Roman" w:hAnsi="Times New Roman" w:cs="Times New Roman"/>
        </w:rPr>
        <w:t xml:space="preserve"> (jaký podíl populace je schopný se zorientovat v textu nebo si něco spočítat), podíl osob s primárním, sekundárním a terciárním vzděláním v populaci.</w:t>
      </w:r>
    </w:p>
    <w:p w14:paraId="3DA003BF" w14:textId="7416B929" w:rsidR="008477A1" w:rsidRDefault="008477A1" w:rsidP="00E94B9D">
      <w:pPr>
        <w:pStyle w:val="Odstavecseseznamem"/>
        <w:numPr>
          <w:ilvl w:val="0"/>
          <w:numId w:val="11"/>
        </w:numPr>
        <w:spacing w:before="120" w:line="360" w:lineRule="auto"/>
        <w:jc w:val="both"/>
        <w:rPr>
          <w:rFonts w:ascii="Times New Roman" w:hAnsi="Times New Roman" w:cs="Times New Roman"/>
        </w:rPr>
      </w:pPr>
      <w:r w:rsidRPr="008F5EDB">
        <w:rPr>
          <w:rFonts w:ascii="Times New Roman" w:hAnsi="Times New Roman" w:cs="Times New Roman"/>
          <w:i/>
        </w:rPr>
        <w:t>Rozvoj</w:t>
      </w:r>
      <w:r>
        <w:rPr>
          <w:rFonts w:ascii="Times New Roman" w:hAnsi="Times New Roman" w:cs="Times New Roman"/>
        </w:rPr>
        <w:t xml:space="preserve"> – sledují se např. tyto ukazatele: počet osob v primárním vzdělávání, kvalita primárního vzdělávání, počet osob v sekundárním vzdělávání, gender gap (rozdíl mezi pohlavími) v sekundárním vzdělá</w:t>
      </w:r>
      <w:r w:rsidR="006958F1">
        <w:rPr>
          <w:rFonts w:ascii="Times New Roman" w:hAnsi="Times New Roman" w:cs="Times New Roman"/>
        </w:rPr>
        <w:t>vá</w:t>
      </w:r>
      <w:r>
        <w:rPr>
          <w:rFonts w:ascii="Times New Roman" w:hAnsi="Times New Roman" w:cs="Times New Roman"/>
        </w:rPr>
        <w:t xml:space="preserve">ní, počet účastníku odborného vzdělávání, počet osob v terciárním vzdělávání, </w:t>
      </w:r>
      <w:r w:rsidR="006958F1">
        <w:rPr>
          <w:rFonts w:ascii="Times New Roman" w:hAnsi="Times New Roman" w:cs="Times New Roman"/>
        </w:rPr>
        <w:t>šíře dovedností absolvent</w:t>
      </w:r>
      <w:r w:rsidR="008F5EDB">
        <w:rPr>
          <w:rFonts w:ascii="Times New Roman" w:hAnsi="Times New Roman" w:cs="Times New Roman"/>
        </w:rPr>
        <w:t>ů, kvalita vzdělávacího systému</w:t>
      </w:r>
      <w:r w:rsidR="006958F1">
        <w:rPr>
          <w:rFonts w:ascii="Times New Roman" w:hAnsi="Times New Roman" w:cs="Times New Roman"/>
        </w:rPr>
        <w:t>.</w:t>
      </w:r>
    </w:p>
    <w:p w14:paraId="2661C2CB" w14:textId="49298DFF" w:rsidR="006958F1" w:rsidRDefault="006958F1" w:rsidP="00E94B9D">
      <w:pPr>
        <w:pStyle w:val="Odstavecseseznamem"/>
        <w:numPr>
          <w:ilvl w:val="0"/>
          <w:numId w:val="11"/>
        </w:numPr>
        <w:spacing w:before="120" w:line="360" w:lineRule="auto"/>
        <w:jc w:val="both"/>
        <w:rPr>
          <w:rFonts w:ascii="Times New Roman" w:hAnsi="Times New Roman" w:cs="Times New Roman"/>
        </w:rPr>
      </w:pPr>
      <w:r w:rsidRPr="008F5EDB">
        <w:rPr>
          <w:rFonts w:ascii="Times New Roman" w:hAnsi="Times New Roman" w:cs="Times New Roman"/>
          <w:i/>
        </w:rPr>
        <w:t>Rozmístění</w:t>
      </w:r>
      <w:r>
        <w:rPr>
          <w:rFonts w:ascii="Times New Roman" w:hAnsi="Times New Roman" w:cs="Times New Roman"/>
        </w:rPr>
        <w:t xml:space="preserve"> – sledují se např. tyto ukazatele: míra nezaměstnanosti, podzaměstnanost, rozdíl v míře zaměstnanosti žen a mužů, míra ekonomické aktivity.</w:t>
      </w:r>
    </w:p>
    <w:p w14:paraId="542CA8B0" w14:textId="77777777" w:rsidR="004E30E4" w:rsidRDefault="006958F1" w:rsidP="00E94B9D">
      <w:pPr>
        <w:pStyle w:val="Odstavecseseznamem"/>
        <w:numPr>
          <w:ilvl w:val="0"/>
          <w:numId w:val="11"/>
        </w:numPr>
        <w:spacing w:before="120" w:line="360" w:lineRule="auto"/>
        <w:jc w:val="both"/>
        <w:rPr>
          <w:rFonts w:ascii="Times New Roman" w:hAnsi="Times New Roman" w:cs="Times New Roman"/>
        </w:rPr>
      </w:pPr>
      <w:r w:rsidRPr="008F5EDB">
        <w:rPr>
          <w:rFonts w:ascii="Times New Roman" w:hAnsi="Times New Roman" w:cs="Times New Roman"/>
          <w:i/>
        </w:rPr>
        <w:t>Know-how</w:t>
      </w:r>
      <w:r>
        <w:rPr>
          <w:rFonts w:ascii="Times New Roman" w:hAnsi="Times New Roman" w:cs="Times New Roman"/>
        </w:rPr>
        <w:t xml:space="preserve"> – sledují se např. tyto ukazat</w:t>
      </w:r>
      <w:r w:rsidR="004E578E">
        <w:rPr>
          <w:rFonts w:ascii="Times New Roman" w:hAnsi="Times New Roman" w:cs="Times New Roman"/>
        </w:rPr>
        <w:t>ele: zaměstnanost v</w:t>
      </w:r>
      <w:r w:rsidR="001C7E0B">
        <w:rPr>
          <w:rFonts w:ascii="Times New Roman" w:hAnsi="Times New Roman" w:cs="Times New Roman"/>
        </w:rPr>
        <w:t> </w:t>
      </w:r>
      <w:proofErr w:type="spellStart"/>
      <w:r w:rsidR="001C7E0B">
        <w:rPr>
          <w:rFonts w:ascii="Times New Roman" w:hAnsi="Times New Roman" w:cs="Times New Roman"/>
        </w:rPr>
        <w:t>high-tech</w:t>
      </w:r>
      <w:proofErr w:type="spellEnd"/>
      <w:r w:rsidR="001C7E0B">
        <w:rPr>
          <w:rFonts w:ascii="Times New Roman" w:hAnsi="Times New Roman" w:cs="Times New Roman"/>
        </w:rPr>
        <w:t xml:space="preserve"> a medium </w:t>
      </w:r>
      <w:proofErr w:type="spellStart"/>
      <w:r w:rsidR="001C7E0B">
        <w:rPr>
          <w:rFonts w:ascii="Times New Roman" w:hAnsi="Times New Roman" w:cs="Times New Roman"/>
        </w:rPr>
        <w:t>high-tech</w:t>
      </w:r>
      <w:proofErr w:type="spellEnd"/>
      <w:r w:rsidR="001C7E0B">
        <w:rPr>
          <w:rFonts w:ascii="Times New Roman" w:hAnsi="Times New Roman" w:cs="Times New Roman"/>
        </w:rPr>
        <w:t xml:space="preserve"> zpracovatelském průmyslu a službách náročných na znalosti, dostupnost kvalifikovaných zaměstnanců.</w:t>
      </w:r>
    </w:p>
    <w:p w14:paraId="17A30671" w14:textId="77777777" w:rsidR="008D2EAE" w:rsidRDefault="008D2EAE" w:rsidP="00D6712D">
      <w:pPr>
        <w:spacing w:before="120" w:line="360" w:lineRule="auto"/>
        <w:jc w:val="both"/>
        <w:rPr>
          <w:rFonts w:ascii="Times New Roman" w:hAnsi="Times New Roman" w:cs="Times New Roman"/>
          <w:sz w:val="22"/>
          <w:szCs w:val="22"/>
        </w:rPr>
      </w:pPr>
    </w:p>
    <w:p w14:paraId="0DA517CA" w14:textId="77777777" w:rsidR="00A95B33" w:rsidRDefault="00A95B33" w:rsidP="00D6712D">
      <w:pPr>
        <w:spacing w:before="120" w:line="360" w:lineRule="auto"/>
        <w:jc w:val="both"/>
        <w:rPr>
          <w:rFonts w:ascii="Times New Roman" w:hAnsi="Times New Roman" w:cs="Times New Roman"/>
          <w:sz w:val="22"/>
          <w:szCs w:val="22"/>
        </w:rPr>
      </w:pPr>
    </w:p>
    <w:p w14:paraId="118E5C1B" w14:textId="77777777" w:rsidR="00A95B33" w:rsidRDefault="00A95B33" w:rsidP="00D6712D">
      <w:pPr>
        <w:spacing w:before="120" w:line="360" w:lineRule="auto"/>
        <w:jc w:val="both"/>
        <w:rPr>
          <w:rFonts w:ascii="Times New Roman" w:hAnsi="Times New Roman" w:cs="Times New Roman"/>
          <w:sz w:val="22"/>
          <w:szCs w:val="22"/>
        </w:rPr>
      </w:pPr>
    </w:p>
    <w:p w14:paraId="1D70225F" w14:textId="77777777" w:rsidR="00A95B33" w:rsidRDefault="00A95B33" w:rsidP="00D6712D">
      <w:pPr>
        <w:spacing w:before="120" w:line="360" w:lineRule="auto"/>
        <w:jc w:val="both"/>
        <w:rPr>
          <w:rFonts w:ascii="Times New Roman" w:hAnsi="Times New Roman" w:cs="Times New Roman"/>
          <w:sz w:val="22"/>
          <w:szCs w:val="22"/>
        </w:rPr>
      </w:pPr>
    </w:p>
    <w:p w14:paraId="5E9E14DF" w14:textId="167779E3" w:rsidR="00A55FFA" w:rsidRPr="004E30E4" w:rsidRDefault="00B2576A" w:rsidP="00D6712D">
      <w:pPr>
        <w:spacing w:before="120" w:line="360" w:lineRule="auto"/>
        <w:jc w:val="both"/>
        <w:rPr>
          <w:rFonts w:ascii="Times New Roman" w:hAnsi="Times New Roman" w:cs="Times New Roman"/>
        </w:rPr>
      </w:pPr>
      <w:r>
        <w:rPr>
          <w:rFonts w:ascii="Times New Roman" w:hAnsi="Times New Roman" w:cs="Times New Roman"/>
          <w:sz w:val="22"/>
          <w:szCs w:val="22"/>
        </w:rPr>
        <w:lastRenderedPageBreak/>
        <w:t>Obrázek 1.6</w:t>
      </w:r>
      <w:r w:rsidR="00D84922" w:rsidRPr="004E30E4">
        <w:rPr>
          <w:rFonts w:ascii="Times New Roman" w:hAnsi="Times New Roman" w:cs="Times New Roman"/>
          <w:sz w:val="22"/>
          <w:szCs w:val="22"/>
        </w:rPr>
        <w:t xml:space="preserve"> </w:t>
      </w:r>
      <w:r w:rsidR="00D84922" w:rsidRPr="004E30E4">
        <w:rPr>
          <w:rFonts w:ascii="Times New Roman" w:hAnsi="Times New Roman" w:cs="Times New Roman"/>
          <w:b/>
          <w:sz w:val="22"/>
          <w:szCs w:val="22"/>
        </w:rPr>
        <w:t>Složky</w:t>
      </w:r>
      <w:r w:rsidR="00E96729" w:rsidRPr="004E30E4">
        <w:rPr>
          <w:rFonts w:ascii="Times New Roman" w:hAnsi="Times New Roman" w:cs="Times New Roman"/>
          <w:sz w:val="22"/>
          <w:szCs w:val="22"/>
        </w:rPr>
        <w:t xml:space="preserve"> </w:t>
      </w:r>
      <w:r w:rsidR="00D84922" w:rsidRPr="004E30E4">
        <w:rPr>
          <w:rFonts w:ascii="Times New Roman" w:hAnsi="Times New Roman" w:cs="Times New Roman"/>
          <w:b/>
          <w:sz w:val="22"/>
          <w:szCs w:val="22"/>
        </w:rPr>
        <w:t>lidského</w:t>
      </w:r>
      <w:r w:rsidR="00D84922" w:rsidRPr="004E30E4">
        <w:rPr>
          <w:rFonts w:ascii="Times New Roman" w:hAnsi="Times New Roman" w:cs="Times New Roman"/>
          <w:sz w:val="22"/>
          <w:szCs w:val="22"/>
        </w:rPr>
        <w:t xml:space="preserve"> </w:t>
      </w:r>
      <w:r w:rsidR="00D84922" w:rsidRPr="004E30E4">
        <w:rPr>
          <w:rFonts w:ascii="Times New Roman" w:hAnsi="Times New Roman" w:cs="Times New Roman"/>
          <w:b/>
          <w:sz w:val="22"/>
          <w:szCs w:val="22"/>
        </w:rPr>
        <w:t>kapitálu</w:t>
      </w:r>
      <w:r w:rsidR="00A55FFA" w:rsidRPr="004E30E4">
        <w:rPr>
          <w:rFonts w:ascii="Times New Roman" w:hAnsi="Times New Roman" w:cs="Times New Roman"/>
          <w:b/>
          <w:sz w:val="22"/>
          <w:szCs w:val="22"/>
        </w:rPr>
        <w:t xml:space="preserve"> dle Globálního indexu lidského kapitálu</w:t>
      </w:r>
    </w:p>
    <w:p w14:paraId="39D379DF" w14:textId="77777777" w:rsidR="00674FDB" w:rsidRDefault="00F34894" w:rsidP="00674FDB">
      <w:pPr>
        <w:spacing w:before="120" w:line="360" w:lineRule="auto"/>
        <w:jc w:val="center"/>
        <w:rPr>
          <w:rFonts w:ascii="Times New Roman" w:hAnsi="Times New Roman" w:cs="Times New Roman"/>
          <w:i/>
          <w:sz w:val="22"/>
          <w:szCs w:val="22"/>
        </w:rPr>
      </w:pPr>
      <w:r w:rsidRPr="008F5EDB">
        <w:rPr>
          <w:rFonts w:ascii="Times New Roman" w:hAnsi="Times New Roman" w:cs="Times New Roman"/>
          <w:i/>
          <w:noProof/>
          <w:lang w:val="en-US"/>
        </w:rPr>
        <w:drawing>
          <wp:inline distT="0" distB="0" distL="0" distR="0" wp14:anchorId="4C3E1BA5" wp14:editId="50FDDF87">
            <wp:extent cx="4862195" cy="3433233"/>
            <wp:effectExtent l="57150" t="19050" r="71755" b="914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7A0009" w14:textId="00F72613" w:rsidR="00A55FFA" w:rsidRPr="008F5EDB" w:rsidRDefault="00A55FFA" w:rsidP="00674FDB">
      <w:pPr>
        <w:spacing w:line="240" w:lineRule="atLeast"/>
        <w:rPr>
          <w:rFonts w:ascii="Times New Roman" w:hAnsi="Times New Roman" w:cs="Times New Roman"/>
          <w:i/>
          <w:sz w:val="22"/>
          <w:szCs w:val="22"/>
        </w:rPr>
      </w:pPr>
      <w:r w:rsidRPr="008F5EDB">
        <w:rPr>
          <w:rFonts w:ascii="Times New Roman" w:hAnsi="Times New Roman" w:cs="Times New Roman"/>
          <w:i/>
          <w:sz w:val="22"/>
          <w:szCs w:val="22"/>
        </w:rPr>
        <w:t>Zdroj:</w:t>
      </w:r>
      <w:r w:rsidR="00924914" w:rsidRPr="008F5EDB">
        <w:rPr>
          <w:rFonts w:ascii="Times New Roman" w:hAnsi="Times New Roman" w:cs="Times New Roman"/>
          <w:i/>
          <w:sz w:val="22"/>
          <w:szCs w:val="22"/>
        </w:rPr>
        <w:t xml:space="preserve"> </w:t>
      </w:r>
      <w:proofErr w:type="spellStart"/>
      <w:r w:rsidR="00924914" w:rsidRPr="008F5EDB">
        <w:rPr>
          <w:rFonts w:ascii="Times New Roman" w:hAnsi="Times New Roman" w:cs="Times New Roman"/>
          <w:i/>
          <w:sz w:val="22"/>
          <w:szCs w:val="22"/>
        </w:rPr>
        <w:t>The</w:t>
      </w:r>
      <w:proofErr w:type="spellEnd"/>
      <w:r w:rsidR="00924914" w:rsidRPr="008F5EDB">
        <w:rPr>
          <w:rFonts w:ascii="Times New Roman" w:hAnsi="Times New Roman" w:cs="Times New Roman"/>
          <w:i/>
          <w:sz w:val="22"/>
          <w:szCs w:val="22"/>
        </w:rPr>
        <w:t xml:space="preserve"> </w:t>
      </w:r>
      <w:proofErr w:type="spellStart"/>
      <w:r w:rsidR="00924914" w:rsidRPr="008F5EDB">
        <w:rPr>
          <w:rFonts w:ascii="Times New Roman" w:hAnsi="Times New Roman" w:cs="Times New Roman"/>
          <w:i/>
          <w:sz w:val="22"/>
          <w:szCs w:val="22"/>
        </w:rPr>
        <w:t>Global</w:t>
      </w:r>
      <w:proofErr w:type="spellEnd"/>
      <w:r w:rsidR="00924914" w:rsidRPr="008F5EDB">
        <w:rPr>
          <w:rFonts w:ascii="Times New Roman" w:hAnsi="Times New Roman" w:cs="Times New Roman"/>
          <w:i/>
          <w:sz w:val="22"/>
          <w:szCs w:val="22"/>
        </w:rPr>
        <w:t xml:space="preserve"> </w:t>
      </w:r>
      <w:proofErr w:type="spellStart"/>
      <w:r w:rsidR="00924914" w:rsidRPr="008F5EDB">
        <w:rPr>
          <w:rFonts w:ascii="Times New Roman" w:hAnsi="Times New Roman" w:cs="Times New Roman"/>
          <w:i/>
          <w:sz w:val="22"/>
          <w:szCs w:val="22"/>
        </w:rPr>
        <w:t>Human</w:t>
      </w:r>
      <w:proofErr w:type="spellEnd"/>
      <w:r w:rsidR="00924914" w:rsidRPr="008F5EDB">
        <w:rPr>
          <w:rFonts w:ascii="Times New Roman" w:hAnsi="Times New Roman" w:cs="Times New Roman"/>
          <w:i/>
          <w:sz w:val="22"/>
          <w:szCs w:val="22"/>
        </w:rPr>
        <w:t xml:space="preserve"> </w:t>
      </w:r>
      <w:proofErr w:type="spellStart"/>
      <w:r w:rsidR="00924914" w:rsidRPr="008F5EDB">
        <w:rPr>
          <w:rFonts w:ascii="Times New Roman" w:hAnsi="Times New Roman" w:cs="Times New Roman"/>
          <w:i/>
          <w:sz w:val="22"/>
          <w:szCs w:val="22"/>
        </w:rPr>
        <w:t>Capital</w:t>
      </w:r>
      <w:proofErr w:type="spellEnd"/>
      <w:r w:rsidR="00924914" w:rsidRPr="008F5EDB">
        <w:rPr>
          <w:rFonts w:ascii="Times New Roman" w:hAnsi="Times New Roman" w:cs="Times New Roman"/>
          <w:i/>
          <w:sz w:val="22"/>
          <w:szCs w:val="22"/>
        </w:rPr>
        <w:t xml:space="preserve"> Report 2017, vlastní zpracování.</w:t>
      </w:r>
    </w:p>
    <w:p w14:paraId="2011D2F9" w14:textId="1EF8CE63" w:rsidR="003A167D" w:rsidRPr="00F11987" w:rsidRDefault="003A167D" w:rsidP="00674FDB">
      <w:pPr>
        <w:spacing w:before="240" w:line="360" w:lineRule="auto"/>
        <w:jc w:val="both"/>
        <w:rPr>
          <w:rFonts w:ascii="Times New Roman" w:hAnsi="Times New Roman" w:cs="Times New Roman"/>
        </w:rPr>
      </w:pPr>
      <w:r w:rsidRPr="00F11987">
        <w:rPr>
          <w:rFonts w:ascii="Times New Roman" w:hAnsi="Times New Roman" w:cs="Times New Roman"/>
        </w:rPr>
        <w:t xml:space="preserve">Tabulka 1.2 uvádí třicet zemí s nejvyšší úrovní lidského kapitálu v roce 2017 dle Světového ekonomického fóra. </w:t>
      </w:r>
    </w:p>
    <w:p w14:paraId="77B84D16" w14:textId="2BDEAB88" w:rsidR="00CF23AE" w:rsidRDefault="00CF23AE" w:rsidP="00DC110E">
      <w:pPr>
        <w:spacing w:before="120" w:line="360" w:lineRule="auto"/>
        <w:jc w:val="both"/>
        <w:rPr>
          <w:rFonts w:ascii="Times New Roman" w:hAnsi="Times New Roman" w:cs="Times New Roman"/>
          <w:b/>
          <w:sz w:val="22"/>
          <w:szCs w:val="22"/>
        </w:rPr>
      </w:pPr>
      <w:r>
        <w:rPr>
          <w:rFonts w:ascii="Times New Roman" w:hAnsi="Times New Roman" w:cs="Times New Roman"/>
          <w:sz w:val="22"/>
          <w:szCs w:val="22"/>
        </w:rPr>
        <w:t xml:space="preserve">Tabulka 1.2 </w:t>
      </w:r>
      <w:r w:rsidR="003A167D">
        <w:rPr>
          <w:rFonts w:ascii="Times New Roman" w:hAnsi="Times New Roman" w:cs="Times New Roman"/>
          <w:b/>
          <w:sz w:val="22"/>
          <w:szCs w:val="22"/>
        </w:rPr>
        <w:t>Pořadí zemí dle</w:t>
      </w:r>
      <w:r>
        <w:rPr>
          <w:rFonts w:ascii="Times New Roman" w:hAnsi="Times New Roman" w:cs="Times New Roman"/>
          <w:b/>
          <w:sz w:val="22"/>
          <w:szCs w:val="22"/>
        </w:rPr>
        <w:t xml:space="preserve"> Globálního indexu lidského kapitálu</w:t>
      </w:r>
    </w:p>
    <w:tbl>
      <w:tblPr>
        <w:tblStyle w:val="Svtlmkazvraznn1"/>
        <w:tblW w:w="0" w:type="auto"/>
        <w:jc w:val="center"/>
        <w:tblLook w:val="04A0" w:firstRow="1" w:lastRow="0" w:firstColumn="1" w:lastColumn="0" w:noHBand="0" w:noVBand="1"/>
      </w:tblPr>
      <w:tblGrid>
        <w:gridCol w:w="470"/>
        <w:gridCol w:w="1222"/>
        <w:gridCol w:w="470"/>
        <w:gridCol w:w="1189"/>
        <w:gridCol w:w="470"/>
        <w:gridCol w:w="1587"/>
      </w:tblGrid>
      <w:tr w:rsidR="000140D4" w:rsidRPr="004E30E4" w14:paraId="260D92BC" w14:textId="77777777" w:rsidTr="008B2C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8" w:type="dxa"/>
            <w:gridSpan w:val="6"/>
          </w:tcPr>
          <w:p w14:paraId="17C2C508" w14:textId="658FB327" w:rsidR="000140D4" w:rsidRPr="003A167D" w:rsidRDefault="000140D4" w:rsidP="000140D4">
            <w:pPr>
              <w:spacing w:before="120" w:line="0" w:lineRule="atLeast"/>
              <w:jc w:val="center"/>
              <w:rPr>
                <w:rFonts w:cs="Times New Roman"/>
                <w:sz w:val="20"/>
                <w:szCs w:val="20"/>
              </w:rPr>
            </w:pPr>
            <w:proofErr w:type="spellStart"/>
            <w:r w:rsidRPr="003A167D">
              <w:rPr>
                <w:rFonts w:cs="Times New Roman"/>
                <w:sz w:val="20"/>
                <w:szCs w:val="20"/>
              </w:rPr>
              <w:t>The</w:t>
            </w:r>
            <w:proofErr w:type="spellEnd"/>
            <w:r w:rsidRPr="003A167D">
              <w:rPr>
                <w:rFonts w:cs="Times New Roman"/>
                <w:sz w:val="20"/>
                <w:szCs w:val="20"/>
              </w:rPr>
              <w:t xml:space="preserve"> </w:t>
            </w:r>
            <w:proofErr w:type="spellStart"/>
            <w:r w:rsidRPr="003A167D">
              <w:rPr>
                <w:rFonts w:cs="Times New Roman"/>
                <w:sz w:val="20"/>
                <w:szCs w:val="20"/>
              </w:rPr>
              <w:t>Global</w:t>
            </w:r>
            <w:proofErr w:type="spellEnd"/>
            <w:r w:rsidRPr="003A167D">
              <w:rPr>
                <w:rFonts w:cs="Times New Roman"/>
                <w:sz w:val="20"/>
                <w:szCs w:val="20"/>
              </w:rPr>
              <w:t xml:space="preserve"> </w:t>
            </w:r>
            <w:proofErr w:type="spellStart"/>
            <w:r w:rsidR="003A167D" w:rsidRPr="003A167D">
              <w:rPr>
                <w:rFonts w:cs="Times New Roman"/>
                <w:sz w:val="20"/>
                <w:szCs w:val="20"/>
              </w:rPr>
              <w:t>Capital</w:t>
            </w:r>
            <w:proofErr w:type="spellEnd"/>
            <w:r w:rsidR="003A167D" w:rsidRPr="003A167D">
              <w:rPr>
                <w:rFonts w:cs="Times New Roman"/>
                <w:sz w:val="20"/>
                <w:szCs w:val="20"/>
              </w:rPr>
              <w:t xml:space="preserve"> Index Report 2017</w:t>
            </w:r>
          </w:p>
        </w:tc>
      </w:tr>
      <w:tr w:rsidR="004E30E4" w:rsidRPr="004E30E4" w14:paraId="51BA2A56" w14:textId="77777777" w:rsidTr="008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C11E7E" w14:textId="2E5E6DCD"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1.</w:t>
            </w:r>
          </w:p>
        </w:tc>
        <w:tc>
          <w:tcPr>
            <w:tcW w:w="0" w:type="auto"/>
          </w:tcPr>
          <w:p w14:paraId="04BBB40C" w14:textId="6061D960"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Norsko</w:t>
            </w:r>
          </w:p>
        </w:tc>
        <w:tc>
          <w:tcPr>
            <w:tcW w:w="0" w:type="auto"/>
          </w:tcPr>
          <w:p w14:paraId="2FF6F5E5" w14:textId="6B2EADDD"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11.</w:t>
            </w:r>
          </w:p>
        </w:tc>
        <w:tc>
          <w:tcPr>
            <w:tcW w:w="0" w:type="auto"/>
          </w:tcPr>
          <w:p w14:paraId="30441B3F" w14:textId="62B3BFA3"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Singapur</w:t>
            </w:r>
          </w:p>
        </w:tc>
        <w:tc>
          <w:tcPr>
            <w:tcW w:w="0" w:type="auto"/>
          </w:tcPr>
          <w:p w14:paraId="3FD61D8C" w14:textId="5BD6FA93"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21.</w:t>
            </w:r>
          </w:p>
        </w:tc>
        <w:tc>
          <w:tcPr>
            <w:tcW w:w="1587" w:type="dxa"/>
          </w:tcPr>
          <w:p w14:paraId="14385FA6" w14:textId="4A1265A9" w:rsidR="004E30E4" w:rsidRPr="004E30E4" w:rsidRDefault="003A167D" w:rsidP="003A167D">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Island</w:t>
            </w:r>
          </w:p>
        </w:tc>
      </w:tr>
      <w:tr w:rsidR="004E30E4" w:rsidRPr="004E30E4" w14:paraId="7B7B9F59" w14:textId="77777777" w:rsidTr="008B2C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F70692" w14:textId="77A71342"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2.</w:t>
            </w:r>
          </w:p>
        </w:tc>
        <w:tc>
          <w:tcPr>
            <w:tcW w:w="0" w:type="auto"/>
          </w:tcPr>
          <w:p w14:paraId="38C40D5E" w14:textId="24DD1277"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Finsko</w:t>
            </w:r>
          </w:p>
        </w:tc>
        <w:tc>
          <w:tcPr>
            <w:tcW w:w="0" w:type="auto"/>
          </w:tcPr>
          <w:p w14:paraId="5441B294" w14:textId="78D0EF18"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12.</w:t>
            </w:r>
          </w:p>
        </w:tc>
        <w:tc>
          <w:tcPr>
            <w:tcW w:w="0" w:type="auto"/>
          </w:tcPr>
          <w:p w14:paraId="776CB306" w14:textId="24CBC10F"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Estonsko</w:t>
            </w:r>
          </w:p>
        </w:tc>
        <w:tc>
          <w:tcPr>
            <w:tcW w:w="0" w:type="auto"/>
          </w:tcPr>
          <w:p w14:paraId="201CF687" w14:textId="6157B38A"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22.</w:t>
            </w:r>
          </w:p>
        </w:tc>
        <w:tc>
          <w:tcPr>
            <w:tcW w:w="1587" w:type="dxa"/>
          </w:tcPr>
          <w:p w14:paraId="122A4A93" w14:textId="23447EE3" w:rsidR="004E30E4" w:rsidRPr="003A167D" w:rsidRDefault="003A167D" w:rsidP="003A167D">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Česká rep</w:t>
            </w:r>
            <w:r w:rsidR="008B2C2E">
              <w:rPr>
                <w:rFonts w:asciiTheme="majorHAnsi" w:hAnsiTheme="majorHAnsi" w:cs="Times New Roman"/>
                <w:b/>
                <w:sz w:val="20"/>
                <w:szCs w:val="20"/>
              </w:rPr>
              <w:t>ublika</w:t>
            </w:r>
          </w:p>
        </w:tc>
      </w:tr>
      <w:tr w:rsidR="004E30E4" w:rsidRPr="004E30E4" w14:paraId="0F69083C" w14:textId="77777777" w:rsidTr="008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09D1124" w14:textId="5F9AB73F"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3.</w:t>
            </w:r>
          </w:p>
        </w:tc>
        <w:tc>
          <w:tcPr>
            <w:tcW w:w="0" w:type="auto"/>
          </w:tcPr>
          <w:p w14:paraId="34A77D00" w14:textId="16C4B378"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Švýcarsko</w:t>
            </w:r>
          </w:p>
        </w:tc>
        <w:tc>
          <w:tcPr>
            <w:tcW w:w="0" w:type="auto"/>
          </w:tcPr>
          <w:p w14:paraId="18734A8F" w14:textId="027156A5"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13.</w:t>
            </w:r>
          </w:p>
        </w:tc>
        <w:tc>
          <w:tcPr>
            <w:tcW w:w="0" w:type="auto"/>
          </w:tcPr>
          <w:p w14:paraId="1A001676" w14:textId="37BA250E"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Nizozemsko</w:t>
            </w:r>
          </w:p>
        </w:tc>
        <w:tc>
          <w:tcPr>
            <w:tcW w:w="0" w:type="auto"/>
          </w:tcPr>
          <w:p w14:paraId="106A5D6D" w14:textId="7C8FA2AD"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23.</w:t>
            </w:r>
          </w:p>
        </w:tc>
        <w:tc>
          <w:tcPr>
            <w:tcW w:w="1587" w:type="dxa"/>
          </w:tcPr>
          <w:p w14:paraId="5B8EC6AF" w14:textId="4B5D1217" w:rsidR="004E30E4" w:rsidRPr="004E30E4" w:rsidRDefault="003A167D" w:rsidP="008B2C2E">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Velká Británie</w:t>
            </w:r>
          </w:p>
        </w:tc>
      </w:tr>
      <w:tr w:rsidR="004E30E4" w:rsidRPr="004E30E4" w14:paraId="3F1C4CE3" w14:textId="77777777" w:rsidTr="008B2C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B6DA569" w14:textId="4D74D7DC"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4.</w:t>
            </w:r>
          </w:p>
        </w:tc>
        <w:tc>
          <w:tcPr>
            <w:tcW w:w="0" w:type="auto"/>
          </w:tcPr>
          <w:p w14:paraId="486F8F27" w14:textId="1325AE35"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USA</w:t>
            </w:r>
          </w:p>
        </w:tc>
        <w:tc>
          <w:tcPr>
            <w:tcW w:w="0" w:type="auto"/>
          </w:tcPr>
          <w:p w14:paraId="7AD3951E" w14:textId="5115B335"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14.</w:t>
            </w:r>
          </w:p>
        </w:tc>
        <w:tc>
          <w:tcPr>
            <w:tcW w:w="0" w:type="auto"/>
          </w:tcPr>
          <w:p w14:paraId="220CAAD1" w14:textId="7B2C644C"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Kanada</w:t>
            </w:r>
          </w:p>
        </w:tc>
        <w:tc>
          <w:tcPr>
            <w:tcW w:w="0" w:type="auto"/>
          </w:tcPr>
          <w:p w14:paraId="5B01E4C6" w14:textId="2D60B61E"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24.</w:t>
            </w:r>
          </w:p>
        </w:tc>
        <w:tc>
          <w:tcPr>
            <w:tcW w:w="1587" w:type="dxa"/>
          </w:tcPr>
          <w:p w14:paraId="72B25964" w14:textId="15C48450" w:rsidR="004E30E4" w:rsidRPr="004E30E4" w:rsidRDefault="008B2C2E" w:rsidP="008B2C2E">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Ukrajina</w:t>
            </w:r>
          </w:p>
        </w:tc>
      </w:tr>
      <w:tr w:rsidR="004E30E4" w:rsidRPr="004E30E4" w14:paraId="1DB4B47D" w14:textId="77777777" w:rsidTr="008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BE682C" w14:textId="62C2D98F"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5.</w:t>
            </w:r>
          </w:p>
        </w:tc>
        <w:tc>
          <w:tcPr>
            <w:tcW w:w="0" w:type="auto"/>
          </w:tcPr>
          <w:p w14:paraId="12AF334F" w14:textId="2798CFCB"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Dánsko</w:t>
            </w:r>
          </w:p>
        </w:tc>
        <w:tc>
          <w:tcPr>
            <w:tcW w:w="0" w:type="auto"/>
          </w:tcPr>
          <w:p w14:paraId="66501093" w14:textId="4888EC18"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15.</w:t>
            </w:r>
          </w:p>
        </w:tc>
        <w:tc>
          <w:tcPr>
            <w:tcW w:w="0" w:type="auto"/>
          </w:tcPr>
          <w:p w14:paraId="2898BE0E" w14:textId="74F3C830"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Belgie</w:t>
            </w:r>
          </w:p>
        </w:tc>
        <w:tc>
          <w:tcPr>
            <w:tcW w:w="0" w:type="auto"/>
          </w:tcPr>
          <w:p w14:paraId="06BFF316" w14:textId="72376CB2"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25.</w:t>
            </w:r>
          </w:p>
        </w:tc>
        <w:tc>
          <w:tcPr>
            <w:tcW w:w="1587" w:type="dxa"/>
          </w:tcPr>
          <w:p w14:paraId="0CDD37DC" w14:textId="2F14AD3B" w:rsidR="004E30E4" w:rsidRPr="004E30E4" w:rsidRDefault="008B2C2E" w:rsidP="008B2C2E">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Litva</w:t>
            </w:r>
          </w:p>
        </w:tc>
      </w:tr>
      <w:tr w:rsidR="004E30E4" w:rsidRPr="004E30E4" w14:paraId="31A40B0F" w14:textId="77777777" w:rsidTr="008B2C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7CD06A" w14:textId="68211CC9"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6.</w:t>
            </w:r>
          </w:p>
        </w:tc>
        <w:tc>
          <w:tcPr>
            <w:tcW w:w="0" w:type="auto"/>
          </w:tcPr>
          <w:p w14:paraId="27544468" w14:textId="2C685C7D"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Německo</w:t>
            </w:r>
          </w:p>
        </w:tc>
        <w:tc>
          <w:tcPr>
            <w:tcW w:w="0" w:type="auto"/>
          </w:tcPr>
          <w:p w14:paraId="66D111B6" w14:textId="47D63E84"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16.</w:t>
            </w:r>
          </w:p>
        </w:tc>
        <w:tc>
          <w:tcPr>
            <w:tcW w:w="0" w:type="auto"/>
          </w:tcPr>
          <w:p w14:paraId="7DA15B57" w14:textId="134FA53F"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Rusko</w:t>
            </w:r>
          </w:p>
        </w:tc>
        <w:tc>
          <w:tcPr>
            <w:tcW w:w="0" w:type="auto"/>
          </w:tcPr>
          <w:p w14:paraId="323A0BD9" w14:textId="21D6A884"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26.</w:t>
            </w:r>
          </w:p>
        </w:tc>
        <w:tc>
          <w:tcPr>
            <w:tcW w:w="1587" w:type="dxa"/>
          </w:tcPr>
          <w:p w14:paraId="77E54564" w14:textId="474684CD" w:rsidR="004E30E4" w:rsidRPr="004E30E4" w:rsidRDefault="008B2C2E" w:rsidP="008B2C2E">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Francie</w:t>
            </w:r>
          </w:p>
        </w:tc>
      </w:tr>
      <w:tr w:rsidR="004E30E4" w:rsidRPr="004E30E4" w14:paraId="608AE03D" w14:textId="77777777" w:rsidTr="008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D49107E" w14:textId="595A430E"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7.</w:t>
            </w:r>
          </w:p>
        </w:tc>
        <w:tc>
          <w:tcPr>
            <w:tcW w:w="0" w:type="auto"/>
          </w:tcPr>
          <w:p w14:paraId="770AAE00" w14:textId="3AB0F4A9"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Nový Zéland</w:t>
            </w:r>
          </w:p>
        </w:tc>
        <w:tc>
          <w:tcPr>
            <w:tcW w:w="0" w:type="auto"/>
          </w:tcPr>
          <w:p w14:paraId="6FC23C7E" w14:textId="01293A14"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17.</w:t>
            </w:r>
          </w:p>
        </w:tc>
        <w:tc>
          <w:tcPr>
            <w:tcW w:w="0" w:type="auto"/>
          </w:tcPr>
          <w:p w14:paraId="0997AFC7" w14:textId="71831DE7"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Japonsko</w:t>
            </w:r>
          </w:p>
        </w:tc>
        <w:tc>
          <w:tcPr>
            <w:tcW w:w="0" w:type="auto"/>
          </w:tcPr>
          <w:p w14:paraId="1B3F1E77" w14:textId="2F6CBA37"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c>
          <w:tcPr>
            <w:tcW w:w="1587" w:type="dxa"/>
          </w:tcPr>
          <w:p w14:paraId="5F808568" w14:textId="77619A8A" w:rsidR="004E30E4" w:rsidRPr="004E30E4" w:rsidRDefault="008B2C2E" w:rsidP="008B2C2E">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Korea</w:t>
            </w:r>
          </w:p>
        </w:tc>
      </w:tr>
      <w:tr w:rsidR="004E30E4" w:rsidRPr="004E30E4" w14:paraId="191A1900" w14:textId="77777777" w:rsidTr="008B2C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C96EDC" w14:textId="76CB4979"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 xml:space="preserve">8. </w:t>
            </w:r>
          </w:p>
        </w:tc>
        <w:tc>
          <w:tcPr>
            <w:tcW w:w="0" w:type="auto"/>
          </w:tcPr>
          <w:p w14:paraId="2CAEBA93" w14:textId="468934F9"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Švédsko</w:t>
            </w:r>
          </w:p>
        </w:tc>
        <w:tc>
          <w:tcPr>
            <w:tcW w:w="0" w:type="auto"/>
          </w:tcPr>
          <w:p w14:paraId="46386C46" w14:textId="25A5C8DD"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18.</w:t>
            </w:r>
          </w:p>
        </w:tc>
        <w:tc>
          <w:tcPr>
            <w:tcW w:w="0" w:type="auto"/>
          </w:tcPr>
          <w:p w14:paraId="7D9E8F38" w14:textId="4E1F13B7"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Izrael</w:t>
            </w:r>
          </w:p>
        </w:tc>
        <w:tc>
          <w:tcPr>
            <w:tcW w:w="0" w:type="auto"/>
          </w:tcPr>
          <w:p w14:paraId="46E956B9" w14:textId="59857F41"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28. </w:t>
            </w:r>
          </w:p>
        </w:tc>
        <w:tc>
          <w:tcPr>
            <w:tcW w:w="1587" w:type="dxa"/>
          </w:tcPr>
          <w:p w14:paraId="00B0C8F5" w14:textId="767299D0" w:rsidR="004E30E4" w:rsidRPr="004E30E4" w:rsidRDefault="008B2C2E" w:rsidP="008B2C2E">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Lotyšsko</w:t>
            </w:r>
          </w:p>
        </w:tc>
      </w:tr>
      <w:tr w:rsidR="004E30E4" w:rsidRPr="004E30E4" w14:paraId="15DF0140" w14:textId="77777777" w:rsidTr="008B2C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93DDF1C" w14:textId="6FCE9B8B"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 xml:space="preserve">9. </w:t>
            </w:r>
          </w:p>
        </w:tc>
        <w:tc>
          <w:tcPr>
            <w:tcW w:w="0" w:type="auto"/>
          </w:tcPr>
          <w:p w14:paraId="75A4E66F" w14:textId="18C20D8D"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Slovinsko</w:t>
            </w:r>
          </w:p>
        </w:tc>
        <w:tc>
          <w:tcPr>
            <w:tcW w:w="0" w:type="auto"/>
          </w:tcPr>
          <w:p w14:paraId="52292DCA" w14:textId="64179795"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19. </w:t>
            </w:r>
          </w:p>
        </w:tc>
        <w:tc>
          <w:tcPr>
            <w:tcW w:w="0" w:type="auto"/>
          </w:tcPr>
          <w:p w14:paraId="10CE918D" w14:textId="1DC3A245" w:rsidR="004E30E4" w:rsidRPr="004E30E4" w:rsidRDefault="00FD6F36" w:rsidP="000140D4">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Irsko</w:t>
            </w:r>
          </w:p>
        </w:tc>
        <w:tc>
          <w:tcPr>
            <w:tcW w:w="0" w:type="auto"/>
          </w:tcPr>
          <w:p w14:paraId="5FB288AA" w14:textId="716FCE88" w:rsidR="004E30E4" w:rsidRPr="004E30E4" w:rsidRDefault="00BC4D7A" w:rsidP="000140D4">
            <w:pPr>
              <w:spacing w:before="120" w:line="0" w:lineRule="atLeas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29.</w:t>
            </w:r>
          </w:p>
        </w:tc>
        <w:tc>
          <w:tcPr>
            <w:tcW w:w="1587" w:type="dxa"/>
          </w:tcPr>
          <w:p w14:paraId="5F31D5AC" w14:textId="2583C02B" w:rsidR="004E30E4" w:rsidRPr="004E30E4" w:rsidRDefault="008B2C2E" w:rsidP="008B2C2E">
            <w:pPr>
              <w:spacing w:before="120" w:line="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Kazachstán</w:t>
            </w:r>
          </w:p>
        </w:tc>
      </w:tr>
      <w:tr w:rsidR="004E30E4" w:rsidRPr="004E30E4" w14:paraId="7CA10D12" w14:textId="77777777" w:rsidTr="008B2C2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3FBEF5" w14:textId="6432159C" w:rsidR="004E30E4" w:rsidRPr="003A167D" w:rsidRDefault="004E30E4" w:rsidP="000140D4">
            <w:pPr>
              <w:spacing w:before="120" w:line="0" w:lineRule="atLeast"/>
              <w:jc w:val="center"/>
              <w:rPr>
                <w:rFonts w:cs="Times New Roman"/>
                <w:b w:val="0"/>
                <w:sz w:val="20"/>
                <w:szCs w:val="20"/>
              </w:rPr>
            </w:pPr>
            <w:r w:rsidRPr="003A167D">
              <w:rPr>
                <w:rFonts w:cs="Times New Roman"/>
                <w:b w:val="0"/>
                <w:sz w:val="20"/>
                <w:szCs w:val="20"/>
              </w:rPr>
              <w:t>10.</w:t>
            </w:r>
          </w:p>
        </w:tc>
        <w:tc>
          <w:tcPr>
            <w:tcW w:w="0" w:type="auto"/>
          </w:tcPr>
          <w:p w14:paraId="538D7426" w14:textId="1726D370"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Rakousko</w:t>
            </w:r>
          </w:p>
        </w:tc>
        <w:tc>
          <w:tcPr>
            <w:tcW w:w="0" w:type="auto"/>
          </w:tcPr>
          <w:p w14:paraId="74ADCA04" w14:textId="781F178A"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20.</w:t>
            </w:r>
          </w:p>
        </w:tc>
        <w:tc>
          <w:tcPr>
            <w:tcW w:w="0" w:type="auto"/>
          </w:tcPr>
          <w:p w14:paraId="4A2BF117" w14:textId="753500DD" w:rsidR="004E30E4" w:rsidRPr="004E30E4" w:rsidRDefault="00FD6F36" w:rsidP="000140D4">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Austrálie</w:t>
            </w:r>
          </w:p>
        </w:tc>
        <w:tc>
          <w:tcPr>
            <w:tcW w:w="0" w:type="auto"/>
          </w:tcPr>
          <w:p w14:paraId="12CCE017" w14:textId="69532327" w:rsidR="004E30E4" w:rsidRPr="004E30E4" w:rsidRDefault="00BC4D7A" w:rsidP="000140D4">
            <w:pPr>
              <w:spacing w:before="120" w:line="0" w:lineRule="atLeas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30.</w:t>
            </w:r>
          </w:p>
        </w:tc>
        <w:tc>
          <w:tcPr>
            <w:tcW w:w="1587" w:type="dxa"/>
          </w:tcPr>
          <w:p w14:paraId="58BD98F0" w14:textId="6C391FF6" w:rsidR="004E30E4" w:rsidRPr="004E30E4" w:rsidRDefault="008B2C2E" w:rsidP="008B2C2E">
            <w:pPr>
              <w:spacing w:before="120" w:line="0" w:lineRule="atLeast"/>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Lucembursko</w:t>
            </w:r>
          </w:p>
        </w:tc>
      </w:tr>
    </w:tbl>
    <w:p w14:paraId="28600EC5" w14:textId="653BBC96" w:rsidR="00A55FFA" w:rsidRPr="00F775B0" w:rsidRDefault="00D4671E" w:rsidP="00FB7A2B">
      <w:pPr>
        <w:pStyle w:val="Nadpis2"/>
        <w:jc w:val="both"/>
        <w:rPr>
          <w:rFonts w:ascii="Times New Roman" w:hAnsi="Times New Roman"/>
          <w:b w:val="0"/>
          <w:color w:val="auto"/>
          <w:sz w:val="24"/>
          <w:szCs w:val="24"/>
        </w:rPr>
      </w:pPr>
      <w:bookmarkStart w:id="14" w:name="_Toc398662580"/>
      <w:r w:rsidRPr="00F775B0">
        <w:rPr>
          <w:rFonts w:ascii="Times New Roman" w:hAnsi="Times New Roman"/>
          <w:color w:val="auto"/>
          <w:sz w:val="24"/>
          <w:szCs w:val="24"/>
        </w:rPr>
        <w:lastRenderedPageBreak/>
        <w:t>Všechna dosud realizovaná měření lidského kapitálu, a to bez ohledu na zvolený postup a metodiku, svědčí o jeho rozdílné úrovni v rámci zemí Evropské unie.</w:t>
      </w:r>
      <w:bookmarkEnd w:id="14"/>
    </w:p>
    <w:p w14:paraId="7636E642" w14:textId="332C6225" w:rsidR="009F5731" w:rsidRDefault="009F5731" w:rsidP="00674FDB">
      <w:pPr>
        <w:pStyle w:val="Nadpis2"/>
      </w:pPr>
      <w:bookmarkStart w:id="15" w:name="_Toc398662581"/>
      <w:r>
        <w:t>1.3 Strategický a právní rámec</w:t>
      </w:r>
      <w:bookmarkEnd w:id="15"/>
    </w:p>
    <w:p w14:paraId="2B5C58AD" w14:textId="5A62A0B4" w:rsidR="00A66161" w:rsidRDefault="00C140B7" w:rsidP="00674FDB">
      <w:pPr>
        <w:spacing w:before="120" w:line="360" w:lineRule="auto"/>
        <w:jc w:val="both"/>
        <w:rPr>
          <w:rFonts w:ascii="Times New Roman" w:hAnsi="Times New Roman" w:cs="Times New Roman"/>
        </w:rPr>
      </w:pPr>
      <w:r>
        <w:rPr>
          <w:rFonts w:ascii="Times New Roman" w:hAnsi="Times New Roman" w:cs="Times New Roman"/>
        </w:rPr>
        <w:t xml:space="preserve">Zvyšování úrovně lidského kapitálu je jedním ze základních cílů Evropské unie. Jak vyplývá z textu výše, jde o komplexní problematiku, která zahrnuje nejen oblast základního a celoživotního vzdělávání, ale také oblast vědy a výzkumu a v neposlední řadě </w:t>
      </w:r>
      <w:r w:rsidR="00674FDB">
        <w:rPr>
          <w:rFonts w:ascii="Times New Roman" w:hAnsi="Times New Roman" w:cs="Times New Roman"/>
        </w:rPr>
        <w:t xml:space="preserve">také </w:t>
      </w:r>
      <w:r>
        <w:rPr>
          <w:rFonts w:ascii="Times New Roman" w:hAnsi="Times New Roman" w:cs="Times New Roman"/>
        </w:rPr>
        <w:t>otázky pracovního trhu (vstup na pracovní trh a schopnost neustále se pracovnímu trhu přizpůsobovat). To vše v kontextu celkového podnikatelského prostředí. Ve všech uvedených souvislostech je nutné se problematikou dalšího vzdělávání</w:t>
      </w:r>
      <w:r w:rsidRPr="00C140B7">
        <w:rPr>
          <w:rFonts w:ascii="Times New Roman" w:hAnsi="Times New Roman" w:cs="Times New Roman"/>
        </w:rPr>
        <w:t xml:space="preserve"> </w:t>
      </w:r>
      <w:r>
        <w:rPr>
          <w:rFonts w:ascii="Times New Roman" w:hAnsi="Times New Roman" w:cs="Times New Roman"/>
        </w:rPr>
        <w:t>zabývat – jde</w:t>
      </w:r>
      <w:r w:rsidR="00674FDB">
        <w:rPr>
          <w:rFonts w:ascii="Times New Roman" w:hAnsi="Times New Roman" w:cs="Times New Roman"/>
        </w:rPr>
        <w:t xml:space="preserve"> o</w:t>
      </w:r>
      <w:r>
        <w:rPr>
          <w:rFonts w:ascii="Times New Roman" w:hAnsi="Times New Roman" w:cs="Times New Roman"/>
        </w:rPr>
        <w:t xml:space="preserve"> úzce propojené oblasti, které se vzájemně </w:t>
      </w:r>
      <w:r w:rsidR="00A31F56">
        <w:rPr>
          <w:rFonts w:ascii="Times New Roman" w:hAnsi="Times New Roman" w:cs="Times New Roman"/>
        </w:rPr>
        <w:t xml:space="preserve">prolínají a </w:t>
      </w:r>
      <w:r>
        <w:rPr>
          <w:rFonts w:ascii="Times New Roman" w:hAnsi="Times New Roman" w:cs="Times New Roman"/>
        </w:rPr>
        <w:t xml:space="preserve">ovlivňují. </w:t>
      </w:r>
    </w:p>
    <w:p w14:paraId="0F100DC0" w14:textId="0BC7B514" w:rsidR="009210C8" w:rsidRDefault="00674FDB" w:rsidP="009210C8">
      <w:pPr>
        <w:pStyle w:val="Nadpis3"/>
      </w:pPr>
      <w:bookmarkStart w:id="16" w:name="_Toc398662582"/>
      <w:r>
        <w:t>1.3.1 Na úrovni Evropské unie</w:t>
      </w:r>
      <w:bookmarkEnd w:id="16"/>
      <w:r w:rsidR="009210C8">
        <w:t xml:space="preserve"> </w:t>
      </w:r>
    </w:p>
    <w:p w14:paraId="3CA5A139" w14:textId="74AA648B" w:rsidR="00A31F56" w:rsidRDefault="00A31F56" w:rsidP="00C140B7">
      <w:pPr>
        <w:spacing w:before="120" w:line="360" w:lineRule="auto"/>
        <w:jc w:val="both"/>
        <w:rPr>
          <w:rFonts w:ascii="Times New Roman" w:hAnsi="Times New Roman" w:cs="Times New Roman"/>
        </w:rPr>
      </w:pPr>
      <w:r>
        <w:rPr>
          <w:rFonts w:ascii="Times New Roman" w:hAnsi="Times New Roman" w:cs="Times New Roman"/>
        </w:rPr>
        <w:t xml:space="preserve">Základní strategický rámec pro oblast dalšího vzdělávání tvoří na evropské úrovni </w:t>
      </w:r>
      <w:r w:rsidR="001F24A0" w:rsidRPr="001F24A0">
        <w:rPr>
          <w:rFonts w:ascii="Times New Roman" w:hAnsi="Times New Roman" w:cs="Times New Roman"/>
          <w:b/>
        </w:rPr>
        <w:t>Strategie</w:t>
      </w:r>
      <w:r w:rsidR="001F24A0">
        <w:rPr>
          <w:rFonts w:ascii="Times New Roman" w:hAnsi="Times New Roman" w:cs="Times New Roman"/>
          <w:i/>
        </w:rPr>
        <w:t xml:space="preserve"> </w:t>
      </w:r>
      <w:r w:rsidR="001F24A0" w:rsidRPr="001F24A0">
        <w:rPr>
          <w:rFonts w:ascii="Times New Roman" w:hAnsi="Times New Roman" w:cs="Times New Roman"/>
          <w:b/>
        </w:rPr>
        <w:t>Evropa</w:t>
      </w:r>
      <w:r w:rsidR="001F24A0">
        <w:rPr>
          <w:rFonts w:ascii="Times New Roman" w:hAnsi="Times New Roman" w:cs="Times New Roman"/>
          <w:i/>
        </w:rPr>
        <w:t xml:space="preserve"> </w:t>
      </w:r>
      <w:r w:rsidR="001F24A0" w:rsidRPr="001F24A0">
        <w:rPr>
          <w:rFonts w:ascii="Times New Roman" w:hAnsi="Times New Roman" w:cs="Times New Roman"/>
          <w:b/>
        </w:rPr>
        <w:t>2020</w:t>
      </w:r>
      <w:r w:rsidR="001F24A0">
        <w:rPr>
          <w:rFonts w:ascii="Times New Roman" w:hAnsi="Times New Roman" w:cs="Times New Roman"/>
          <w:i/>
        </w:rPr>
        <w:t xml:space="preserve"> </w:t>
      </w:r>
      <w:r w:rsidR="001F24A0">
        <w:rPr>
          <w:rFonts w:ascii="Times New Roman" w:hAnsi="Times New Roman" w:cs="Times New Roman"/>
        </w:rPr>
        <w:t xml:space="preserve">(přijatá v roce 2010), </w:t>
      </w:r>
      <w:r>
        <w:rPr>
          <w:rFonts w:ascii="Times New Roman" w:hAnsi="Times New Roman" w:cs="Times New Roman"/>
        </w:rPr>
        <w:t xml:space="preserve">která formuluje tři </w:t>
      </w:r>
      <w:r w:rsidRPr="00A31F56">
        <w:rPr>
          <w:rFonts w:ascii="Times New Roman" w:hAnsi="Times New Roman" w:cs="Times New Roman"/>
          <w:i/>
        </w:rPr>
        <w:t>prioritní</w:t>
      </w:r>
      <w:r>
        <w:rPr>
          <w:rFonts w:ascii="Times New Roman" w:hAnsi="Times New Roman" w:cs="Times New Roman"/>
        </w:rPr>
        <w:t xml:space="preserve"> </w:t>
      </w:r>
      <w:r w:rsidRPr="00A31F56">
        <w:rPr>
          <w:rFonts w:ascii="Times New Roman" w:hAnsi="Times New Roman" w:cs="Times New Roman"/>
          <w:i/>
        </w:rPr>
        <w:t>oblasti</w:t>
      </w:r>
      <w:r>
        <w:rPr>
          <w:rFonts w:ascii="Times New Roman" w:hAnsi="Times New Roman" w:cs="Times New Roman"/>
        </w:rPr>
        <w:t>, klíčové pro ekonomický růst a posílení konkurenceschopnosti zemí EU:</w:t>
      </w:r>
    </w:p>
    <w:p w14:paraId="3D8C1B49" w14:textId="4EDBAB0A" w:rsidR="00A31F56" w:rsidRDefault="00A31F56" w:rsidP="00E94B9D">
      <w:pPr>
        <w:pStyle w:val="Odstavecseseznamem"/>
        <w:numPr>
          <w:ilvl w:val="0"/>
          <w:numId w:val="12"/>
        </w:numPr>
        <w:spacing w:before="120" w:line="360" w:lineRule="auto"/>
        <w:jc w:val="both"/>
        <w:rPr>
          <w:rFonts w:ascii="Times New Roman" w:hAnsi="Times New Roman" w:cs="Times New Roman"/>
        </w:rPr>
      </w:pPr>
      <w:r>
        <w:rPr>
          <w:rFonts w:ascii="Times New Roman" w:hAnsi="Times New Roman" w:cs="Times New Roman"/>
          <w:i/>
        </w:rPr>
        <w:t xml:space="preserve">Inteligentní růst </w:t>
      </w:r>
      <w:r>
        <w:rPr>
          <w:rFonts w:ascii="Times New Roman" w:hAnsi="Times New Roman" w:cs="Times New Roman"/>
        </w:rPr>
        <w:t>– rozvoj ekonomiky založené na znalostech a inovacích, podpora vzdělávání</w:t>
      </w:r>
      <w:r w:rsidR="00007837">
        <w:rPr>
          <w:rFonts w:ascii="Times New Roman" w:hAnsi="Times New Roman" w:cs="Times New Roman"/>
        </w:rPr>
        <w:t xml:space="preserve"> a digitální společnosti.</w:t>
      </w:r>
    </w:p>
    <w:p w14:paraId="1CC50EF6" w14:textId="077A885A" w:rsidR="00007837" w:rsidRDefault="00007837" w:rsidP="00E94B9D">
      <w:pPr>
        <w:pStyle w:val="Odstavecseseznamem"/>
        <w:numPr>
          <w:ilvl w:val="0"/>
          <w:numId w:val="12"/>
        </w:numPr>
        <w:spacing w:before="120" w:line="360" w:lineRule="auto"/>
        <w:jc w:val="both"/>
        <w:rPr>
          <w:rFonts w:ascii="Times New Roman" w:hAnsi="Times New Roman" w:cs="Times New Roman"/>
        </w:rPr>
      </w:pPr>
      <w:r>
        <w:rPr>
          <w:rFonts w:ascii="Times New Roman" w:hAnsi="Times New Roman" w:cs="Times New Roman"/>
          <w:i/>
        </w:rPr>
        <w:t xml:space="preserve">Udržitelný růst </w:t>
      </w:r>
      <w:r>
        <w:rPr>
          <w:rFonts w:ascii="Times New Roman" w:hAnsi="Times New Roman" w:cs="Times New Roman"/>
        </w:rPr>
        <w:t xml:space="preserve">– rozvoj produkce méně náročné na zdroje </w:t>
      </w:r>
      <w:r w:rsidR="00674FDB">
        <w:rPr>
          <w:rFonts w:ascii="Times New Roman" w:hAnsi="Times New Roman" w:cs="Times New Roman"/>
        </w:rPr>
        <w:t xml:space="preserve">a </w:t>
      </w:r>
      <w:r>
        <w:rPr>
          <w:rFonts w:ascii="Times New Roman" w:hAnsi="Times New Roman" w:cs="Times New Roman"/>
        </w:rPr>
        <w:t>posílení konkurenceschopnosti EU.</w:t>
      </w:r>
    </w:p>
    <w:p w14:paraId="1197DBFE" w14:textId="50176EEF" w:rsidR="00007837" w:rsidRDefault="00007837" w:rsidP="00E94B9D">
      <w:pPr>
        <w:pStyle w:val="Odstavecseseznamem"/>
        <w:numPr>
          <w:ilvl w:val="0"/>
          <w:numId w:val="12"/>
        </w:numPr>
        <w:spacing w:before="120" w:line="360" w:lineRule="auto"/>
        <w:jc w:val="both"/>
        <w:rPr>
          <w:rFonts w:ascii="Times New Roman" w:hAnsi="Times New Roman" w:cs="Times New Roman"/>
        </w:rPr>
      </w:pPr>
      <w:r>
        <w:rPr>
          <w:rFonts w:ascii="Times New Roman" w:hAnsi="Times New Roman" w:cs="Times New Roman"/>
          <w:i/>
        </w:rPr>
        <w:t xml:space="preserve">Růst podporující začleňování </w:t>
      </w:r>
      <w:r>
        <w:rPr>
          <w:rFonts w:ascii="Times New Roman" w:hAnsi="Times New Roman" w:cs="Times New Roman"/>
        </w:rPr>
        <w:t>– zvýšení zaměstnanosti, získávání dovedností, boj proti chudobě a sociálnímu vyloučení.</w:t>
      </w:r>
    </w:p>
    <w:p w14:paraId="54FF689E" w14:textId="6234CF96" w:rsidR="007417A3" w:rsidRDefault="00007837" w:rsidP="00007837">
      <w:pPr>
        <w:spacing w:before="120" w:line="360" w:lineRule="auto"/>
        <w:jc w:val="both"/>
        <w:rPr>
          <w:rFonts w:ascii="Times New Roman" w:hAnsi="Times New Roman" w:cs="Times New Roman"/>
          <w:i/>
        </w:rPr>
      </w:pPr>
      <w:r>
        <w:rPr>
          <w:rFonts w:ascii="Times New Roman" w:hAnsi="Times New Roman" w:cs="Times New Roman"/>
        </w:rPr>
        <w:t xml:space="preserve">S problematikou </w:t>
      </w:r>
      <w:r w:rsidR="00BB334F">
        <w:rPr>
          <w:rFonts w:ascii="Times New Roman" w:hAnsi="Times New Roman" w:cs="Times New Roman"/>
        </w:rPr>
        <w:t xml:space="preserve">vzdělávání včetně celoživotního učení jsou tedy velmi úzce spojeny dvě ze tří prioritních oblastí. </w:t>
      </w:r>
      <w:r w:rsidR="007417A3">
        <w:rPr>
          <w:rFonts w:ascii="Times New Roman" w:hAnsi="Times New Roman" w:cs="Times New Roman"/>
        </w:rPr>
        <w:t xml:space="preserve">V rámci třetí prioritní oblasti (Růst podporující začleňování) se konstatuje: </w:t>
      </w:r>
      <w:r w:rsidR="007417A3" w:rsidRPr="007417A3">
        <w:rPr>
          <w:rFonts w:ascii="Times New Roman" w:hAnsi="Times New Roman" w:cs="Times New Roman"/>
          <w:i/>
        </w:rPr>
        <w:t>„Dovednosti:</w:t>
      </w:r>
      <w:r w:rsidR="007417A3">
        <w:rPr>
          <w:rFonts w:ascii="Times New Roman" w:hAnsi="Times New Roman" w:cs="Times New Roman"/>
          <w:i/>
        </w:rPr>
        <w:t xml:space="preserve"> Asi 80 </w:t>
      </w:r>
      <w:r w:rsidR="001F24A0">
        <w:rPr>
          <w:rFonts w:ascii="Times New Roman" w:hAnsi="Times New Roman" w:cs="Times New Roman"/>
          <w:i/>
        </w:rPr>
        <w:t>milionů osob má nízké nebo jen základní dovednosti, z celoživotního učení ovšem těží především ti vzdělanější. Do roku 2020 bude vysokou kvalifikaci vyžadovat o 16 milionů více pracovních míst, zatímco poptávka po pracovních silách s nízkou kvalifikací poklesne o 12 milionů pracovních míst. Prodloužení produktivního období života bude rovněž předpokládat možnost osvojovat si a rozvíjet nové dovednosti v průběhu života.“</w:t>
      </w:r>
    </w:p>
    <w:p w14:paraId="0CE02429" w14:textId="77777777" w:rsidR="006907A3" w:rsidRDefault="00BA2B04" w:rsidP="00007837">
      <w:pPr>
        <w:spacing w:before="120" w:line="360" w:lineRule="auto"/>
        <w:jc w:val="both"/>
        <w:rPr>
          <w:rFonts w:ascii="Times New Roman" w:hAnsi="Times New Roman" w:cs="Times New Roman"/>
        </w:rPr>
      </w:pPr>
      <w:r>
        <w:rPr>
          <w:rFonts w:ascii="Times New Roman" w:hAnsi="Times New Roman" w:cs="Times New Roman"/>
        </w:rPr>
        <w:t xml:space="preserve">Jednou z klíčových </w:t>
      </w:r>
      <w:r>
        <w:rPr>
          <w:rFonts w:ascii="Times New Roman" w:hAnsi="Times New Roman" w:cs="Times New Roman"/>
          <w:i/>
        </w:rPr>
        <w:t>iniciativ</w:t>
      </w:r>
      <w:r>
        <w:rPr>
          <w:rFonts w:ascii="Times New Roman" w:hAnsi="Times New Roman" w:cs="Times New Roman"/>
        </w:rPr>
        <w:t xml:space="preserve">, které jsou součástí Strategie Evropa 2020, je </w:t>
      </w:r>
      <w:r w:rsidRPr="00BA2B04">
        <w:rPr>
          <w:rFonts w:ascii="Times New Roman" w:hAnsi="Times New Roman" w:cs="Times New Roman"/>
          <w:b/>
        </w:rPr>
        <w:t>Program pro n</w:t>
      </w:r>
      <w:r>
        <w:rPr>
          <w:rFonts w:ascii="Times New Roman" w:hAnsi="Times New Roman" w:cs="Times New Roman"/>
          <w:b/>
        </w:rPr>
        <w:t>ové dovednosti a pracovní místa</w:t>
      </w:r>
      <w:r>
        <w:rPr>
          <w:rFonts w:ascii="Times New Roman" w:hAnsi="Times New Roman" w:cs="Times New Roman"/>
        </w:rPr>
        <w:t xml:space="preserve">. Uvedená iniciativa má přispět k vytvoření </w:t>
      </w:r>
      <w:r>
        <w:rPr>
          <w:rFonts w:ascii="Times New Roman" w:hAnsi="Times New Roman" w:cs="Times New Roman"/>
        </w:rPr>
        <w:lastRenderedPageBreak/>
        <w:t xml:space="preserve">podmínek pro modernizaci trhu práce s cílem zvýšit zaměstnanost a zajistit udržitelnost evropských sociálních systémů. To znamená </w:t>
      </w:r>
      <w:r>
        <w:rPr>
          <w:rFonts w:ascii="Times New Roman" w:hAnsi="Times New Roman" w:cs="Times New Roman"/>
          <w:i/>
        </w:rPr>
        <w:t>„... zlepšit postavení občanů pomocí získávání nových dovedností, jež umožní současné i budoucí pracovní síle přizpůsobit se novým podmínkám a případným posunům profesní dráhy, sníží nezaměstnanost a zvýší produktivitu práce“.</w:t>
      </w:r>
      <w:r w:rsidR="006907A3">
        <w:rPr>
          <w:rFonts w:ascii="Times New Roman" w:hAnsi="Times New Roman" w:cs="Times New Roman"/>
        </w:rPr>
        <w:t xml:space="preserve"> </w:t>
      </w:r>
    </w:p>
    <w:p w14:paraId="5A7E5F03" w14:textId="0DD7EBA0" w:rsidR="006907A3" w:rsidRDefault="006907A3" w:rsidP="00007837">
      <w:pPr>
        <w:spacing w:before="120" w:line="360" w:lineRule="auto"/>
        <w:jc w:val="both"/>
        <w:rPr>
          <w:rFonts w:ascii="Times New Roman" w:hAnsi="Times New Roman" w:cs="Times New Roman"/>
        </w:rPr>
      </w:pPr>
      <w:r>
        <w:rPr>
          <w:rFonts w:ascii="Times New Roman" w:hAnsi="Times New Roman" w:cs="Times New Roman"/>
        </w:rPr>
        <w:t>V souvislosti s realizací této iniciativy byly stanoveny úkoly jak na úrovni EU, tak na úrovni jednotlivých členských států.</w:t>
      </w:r>
    </w:p>
    <w:p w14:paraId="2F770B7A" w14:textId="7160EF6D" w:rsidR="006907A3" w:rsidRDefault="006907A3" w:rsidP="00007837">
      <w:pPr>
        <w:spacing w:before="120" w:line="360" w:lineRule="auto"/>
        <w:jc w:val="both"/>
        <w:rPr>
          <w:rFonts w:ascii="Times New Roman" w:hAnsi="Times New Roman" w:cs="Times New Roman"/>
        </w:rPr>
      </w:pPr>
      <w:r>
        <w:rPr>
          <w:rFonts w:ascii="Times New Roman" w:hAnsi="Times New Roman" w:cs="Times New Roman"/>
        </w:rPr>
        <w:t>Na úrovni EU se činnost Komise zaměří mj. na:</w:t>
      </w:r>
    </w:p>
    <w:p w14:paraId="05002390" w14:textId="3575C639" w:rsidR="006907A3" w:rsidRDefault="006907A3" w:rsidP="00E94B9D">
      <w:pPr>
        <w:pStyle w:val="Odstavecseseznamem"/>
        <w:numPr>
          <w:ilvl w:val="0"/>
          <w:numId w:val="13"/>
        </w:numPr>
        <w:spacing w:before="120" w:line="360" w:lineRule="auto"/>
        <w:jc w:val="both"/>
        <w:rPr>
          <w:rFonts w:ascii="Times New Roman" w:hAnsi="Times New Roman" w:cs="Times New Roman"/>
        </w:rPr>
      </w:pPr>
      <w:r w:rsidRPr="006907A3">
        <w:rPr>
          <w:rFonts w:ascii="Times New Roman" w:hAnsi="Times New Roman" w:cs="Times New Roman"/>
        </w:rPr>
        <w:t>Vytvoření strategického rámce pro</w:t>
      </w:r>
      <w:r>
        <w:rPr>
          <w:rFonts w:ascii="Times New Roman" w:hAnsi="Times New Roman" w:cs="Times New Roman"/>
        </w:rPr>
        <w:t xml:space="preserve"> spolupráci v oblasti vzdělávání a odborné </w:t>
      </w:r>
      <w:r w:rsidR="009E08F8">
        <w:rPr>
          <w:rFonts w:ascii="Times New Roman" w:hAnsi="Times New Roman" w:cs="Times New Roman"/>
        </w:rPr>
        <w:t>přípravy; zlepšení systémů celoživotního učení (ve spolupráci s členskými státy, sociálními partnery a odborníky).</w:t>
      </w:r>
    </w:p>
    <w:p w14:paraId="02425120" w14:textId="7E921612" w:rsidR="009E08F8" w:rsidRDefault="00674FDB" w:rsidP="00E94B9D">
      <w:pPr>
        <w:pStyle w:val="Odstavecseseznamem"/>
        <w:numPr>
          <w:ilvl w:val="0"/>
          <w:numId w:val="13"/>
        </w:numPr>
        <w:spacing w:before="120" w:line="360" w:lineRule="auto"/>
        <w:jc w:val="both"/>
        <w:rPr>
          <w:rFonts w:ascii="Times New Roman" w:hAnsi="Times New Roman" w:cs="Times New Roman"/>
        </w:rPr>
      </w:pPr>
      <w:r>
        <w:rPr>
          <w:rFonts w:ascii="Times New Roman" w:hAnsi="Times New Roman" w:cs="Times New Roman"/>
        </w:rPr>
        <w:t>Zajištění podmínek</w:t>
      </w:r>
      <w:r w:rsidR="009E08F8">
        <w:rPr>
          <w:rFonts w:ascii="Times New Roman" w:hAnsi="Times New Roman" w:cs="Times New Roman"/>
        </w:rPr>
        <w:t xml:space="preserve">, aby v průběhu všeobecného, odborného, vyššího vzdělávání a vzdělávání dospělých mohly být osvojovány a uznávány </w:t>
      </w:r>
      <w:proofErr w:type="gramStart"/>
      <w:r w:rsidR="009E08F8">
        <w:rPr>
          <w:rFonts w:ascii="Times New Roman" w:hAnsi="Times New Roman" w:cs="Times New Roman"/>
        </w:rPr>
        <w:t xml:space="preserve">dovednosti </w:t>
      </w:r>
      <w:r w:rsidR="007C4B7B">
        <w:rPr>
          <w:rFonts w:ascii="Times New Roman" w:hAnsi="Times New Roman" w:cs="Times New Roman"/>
        </w:rPr>
        <w:t xml:space="preserve"> </w:t>
      </w:r>
      <w:r w:rsidR="009E08F8">
        <w:rPr>
          <w:rFonts w:ascii="Times New Roman" w:hAnsi="Times New Roman" w:cs="Times New Roman"/>
        </w:rPr>
        <w:t>požadované</w:t>
      </w:r>
      <w:proofErr w:type="gramEnd"/>
      <w:r w:rsidR="009E08F8">
        <w:rPr>
          <w:rFonts w:ascii="Times New Roman" w:hAnsi="Times New Roman" w:cs="Times New Roman"/>
        </w:rPr>
        <w:t xml:space="preserve"> pro zapojení </w:t>
      </w:r>
      <w:r>
        <w:rPr>
          <w:rFonts w:ascii="Times New Roman" w:hAnsi="Times New Roman" w:cs="Times New Roman"/>
        </w:rPr>
        <w:t xml:space="preserve">se </w:t>
      </w:r>
      <w:r w:rsidR="009E08F8">
        <w:rPr>
          <w:rFonts w:ascii="Times New Roman" w:hAnsi="Times New Roman" w:cs="Times New Roman"/>
        </w:rPr>
        <w:t xml:space="preserve">do dalšího vzdělávání a trhů práce. </w:t>
      </w:r>
    </w:p>
    <w:p w14:paraId="789B46C0" w14:textId="6928FB8B" w:rsidR="009279CF" w:rsidRDefault="009279CF" w:rsidP="009279CF">
      <w:pPr>
        <w:spacing w:before="120" w:line="360" w:lineRule="auto"/>
        <w:jc w:val="both"/>
        <w:rPr>
          <w:rFonts w:ascii="Times New Roman" w:hAnsi="Times New Roman" w:cs="Times New Roman"/>
        </w:rPr>
      </w:pPr>
      <w:r>
        <w:rPr>
          <w:rFonts w:ascii="Times New Roman" w:hAnsi="Times New Roman" w:cs="Times New Roman"/>
        </w:rPr>
        <w:t xml:space="preserve">Na úrovni jednotlivých členských zemí </w:t>
      </w:r>
      <w:r w:rsidR="00674FDB">
        <w:rPr>
          <w:rFonts w:ascii="Times New Roman" w:hAnsi="Times New Roman" w:cs="Times New Roman"/>
        </w:rPr>
        <w:t xml:space="preserve">je </w:t>
      </w:r>
      <w:r>
        <w:rPr>
          <w:rFonts w:ascii="Times New Roman" w:hAnsi="Times New Roman" w:cs="Times New Roman"/>
        </w:rPr>
        <w:t>mj.</w:t>
      </w:r>
      <w:r w:rsidR="00674FDB">
        <w:rPr>
          <w:rFonts w:ascii="Times New Roman" w:hAnsi="Times New Roman" w:cs="Times New Roman"/>
        </w:rPr>
        <w:t xml:space="preserve"> nezbytné</w:t>
      </w:r>
      <w:r>
        <w:rPr>
          <w:rFonts w:ascii="Times New Roman" w:hAnsi="Times New Roman" w:cs="Times New Roman"/>
        </w:rPr>
        <w:t>:</w:t>
      </w:r>
    </w:p>
    <w:p w14:paraId="77F62484" w14:textId="2BAAAF02" w:rsidR="009279CF" w:rsidRDefault="009279CF" w:rsidP="00E94B9D">
      <w:pPr>
        <w:pStyle w:val="Odstavecseseznamem"/>
        <w:numPr>
          <w:ilvl w:val="0"/>
          <w:numId w:val="14"/>
        </w:numPr>
        <w:spacing w:before="120" w:line="360" w:lineRule="auto"/>
        <w:jc w:val="both"/>
        <w:rPr>
          <w:rFonts w:ascii="Times New Roman" w:hAnsi="Times New Roman" w:cs="Times New Roman"/>
        </w:rPr>
      </w:pPr>
      <w:r>
        <w:rPr>
          <w:rFonts w:ascii="Times New Roman" w:hAnsi="Times New Roman" w:cs="Times New Roman"/>
        </w:rPr>
        <w:t>Zajistit, aby v průběhu všeobecného, odborného a vyššího vzdělávání a vzdělávání dospělých, včetně neformálního a informálního učení, mohly být osvojovány a uznávány dovednosti požadované pro zapojení do dalšího vzdělávání a vstup na pracovní trh.</w:t>
      </w:r>
    </w:p>
    <w:p w14:paraId="7F4C4776" w14:textId="54BD4FCE" w:rsidR="003A6367" w:rsidRDefault="00674FDB" w:rsidP="003A6367">
      <w:pPr>
        <w:spacing w:before="120" w:line="360" w:lineRule="auto"/>
        <w:jc w:val="both"/>
        <w:rPr>
          <w:rFonts w:ascii="Times New Roman" w:hAnsi="Times New Roman" w:cs="Times New Roman"/>
        </w:rPr>
      </w:pPr>
      <w:r>
        <w:rPr>
          <w:rFonts w:ascii="Times New Roman" w:hAnsi="Times New Roman" w:cs="Times New Roman"/>
        </w:rPr>
        <w:t>V souvislosti s</w:t>
      </w:r>
      <w:r w:rsidR="003A6367">
        <w:rPr>
          <w:rFonts w:ascii="Times New Roman" w:hAnsi="Times New Roman" w:cs="Times New Roman"/>
        </w:rPr>
        <w:t xml:space="preserve"> naplňování</w:t>
      </w:r>
      <w:r>
        <w:rPr>
          <w:rFonts w:ascii="Times New Roman" w:hAnsi="Times New Roman" w:cs="Times New Roman"/>
        </w:rPr>
        <w:t>m</w:t>
      </w:r>
      <w:r w:rsidR="003A6367">
        <w:rPr>
          <w:rFonts w:ascii="Times New Roman" w:hAnsi="Times New Roman" w:cs="Times New Roman"/>
        </w:rPr>
        <w:t xml:space="preserve"> Strategie Evropa 2020 </w:t>
      </w:r>
      <w:r w:rsidR="003A6367" w:rsidRPr="003A6367">
        <w:rPr>
          <w:rFonts w:ascii="Times New Roman" w:hAnsi="Times New Roman" w:cs="Times New Roman"/>
          <w:b/>
        </w:rPr>
        <w:t>Evropská komise</w:t>
      </w:r>
      <w:r w:rsidR="003A6367">
        <w:rPr>
          <w:rFonts w:ascii="Times New Roman" w:hAnsi="Times New Roman" w:cs="Times New Roman"/>
        </w:rPr>
        <w:t xml:space="preserve"> </w:t>
      </w:r>
      <w:r w:rsidR="003A6367" w:rsidRPr="007C4B7B">
        <w:rPr>
          <w:rFonts w:ascii="Times New Roman" w:hAnsi="Times New Roman" w:cs="Times New Roman"/>
        </w:rPr>
        <w:t>přijala</w:t>
      </w:r>
      <w:r w:rsidR="003A6367" w:rsidRPr="003A6367">
        <w:rPr>
          <w:rFonts w:ascii="Times New Roman" w:hAnsi="Times New Roman" w:cs="Times New Roman"/>
          <w:b/>
        </w:rPr>
        <w:t xml:space="preserve"> </w:t>
      </w:r>
      <w:r w:rsidR="003A6367" w:rsidRPr="007C4B7B">
        <w:rPr>
          <w:rFonts w:ascii="Times New Roman" w:hAnsi="Times New Roman" w:cs="Times New Roman"/>
        </w:rPr>
        <w:t>od</w:t>
      </w:r>
      <w:r w:rsidR="003A6367" w:rsidRPr="003A6367">
        <w:rPr>
          <w:rFonts w:ascii="Times New Roman" w:hAnsi="Times New Roman" w:cs="Times New Roman"/>
          <w:b/>
        </w:rPr>
        <w:t xml:space="preserve"> </w:t>
      </w:r>
      <w:r w:rsidR="003A6367" w:rsidRPr="007C4B7B">
        <w:rPr>
          <w:rFonts w:ascii="Times New Roman" w:hAnsi="Times New Roman" w:cs="Times New Roman"/>
        </w:rPr>
        <w:t>roku</w:t>
      </w:r>
      <w:r w:rsidR="003A6367">
        <w:rPr>
          <w:rFonts w:ascii="Times New Roman" w:hAnsi="Times New Roman" w:cs="Times New Roman"/>
        </w:rPr>
        <w:t xml:space="preserve"> </w:t>
      </w:r>
      <w:r w:rsidR="003A6367" w:rsidRPr="007C4B7B">
        <w:rPr>
          <w:rFonts w:ascii="Times New Roman" w:hAnsi="Times New Roman" w:cs="Times New Roman"/>
        </w:rPr>
        <w:t>2010</w:t>
      </w:r>
      <w:r w:rsidR="003A6367" w:rsidRPr="003A6367">
        <w:rPr>
          <w:rFonts w:ascii="Times New Roman" w:hAnsi="Times New Roman" w:cs="Times New Roman"/>
          <w:b/>
        </w:rPr>
        <w:t xml:space="preserve"> </w:t>
      </w:r>
      <w:r w:rsidR="003A6367" w:rsidRPr="007C4B7B">
        <w:rPr>
          <w:rFonts w:ascii="Times New Roman" w:hAnsi="Times New Roman" w:cs="Times New Roman"/>
        </w:rPr>
        <w:t>řadu</w:t>
      </w:r>
      <w:r w:rsidR="003A6367" w:rsidRPr="003A6367">
        <w:rPr>
          <w:rFonts w:ascii="Times New Roman" w:hAnsi="Times New Roman" w:cs="Times New Roman"/>
          <w:b/>
        </w:rPr>
        <w:t xml:space="preserve"> </w:t>
      </w:r>
      <w:r w:rsidR="003A6367" w:rsidRPr="007C4B7B">
        <w:rPr>
          <w:rFonts w:ascii="Times New Roman" w:hAnsi="Times New Roman" w:cs="Times New Roman"/>
        </w:rPr>
        <w:t>dalších</w:t>
      </w:r>
      <w:r w:rsidR="003A6367" w:rsidRPr="003A6367">
        <w:rPr>
          <w:rFonts w:ascii="Times New Roman" w:hAnsi="Times New Roman" w:cs="Times New Roman"/>
          <w:b/>
        </w:rPr>
        <w:t xml:space="preserve"> iniciativ a opatření k rozvoji požadovaných</w:t>
      </w:r>
      <w:r w:rsidR="003A6367">
        <w:rPr>
          <w:rFonts w:ascii="Times New Roman" w:hAnsi="Times New Roman" w:cs="Times New Roman"/>
        </w:rPr>
        <w:t xml:space="preserve"> </w:t>
      </w:r>
      <w:r w:rsidR="003A6367" w:rsidRPr="003A6367">
        <w:rPr>
          <w:rFonts w:ascii="Times New Roman" w:hAnsi="Times New Roman" w:cs="Times New Roman"/>
          <w:b/>
        </w:rPr>
        <w:t>dovedností</w:t>
      </w:r>
      <w:r w:rsidR="003A6367">
        <w:rPr>
          <w:rFonts w:ascii="Times New Roman" w:hAnsi="Times New Roman" w:cs="Times New Roman"/>
        </w:rPr>
        <w:t>, například:</w:t>
      </w:r>
    </w:p>
    <w:p w14:paraId="1E694D52" w14:textId="3B011897" w:rsidR="00F106E4" w:rsidRPr="00F106E4" w:rsidRDefault="007C4B7B" w:rsidP="00E94B9D">
      <w:pPr>
        <w:pStyle w:val="Odstavecseseznamem"/>
        <w:numPr>
          <w:ilvl w:val="0"/>
          <w:numId w:val="14"/>
        </w:numPr>
        <w:spacing w:before="120" w:line="360" w:lineRule="auto"/>
        <w:jc w:val="both"/>
        <w:rPr>
          <w:rFonts w:ascii="Times New Roman" w:hAnsi="Times New Roman" w:cs="Times New Roman"/>
        </w:rPr>
      </w:pPr>
      <w:r>
        <w:rPr>
          <w:rFonts w:ascii="Times New Roman" w:hAnsi="Times New Roman" w:cs="Times New Roman"/>
          <w:i/>
        </w:rPr>
        <w:t xml:space="preserve">Přehodnocení vzdělávání </w:t>
      </w:r>
      <w:r>
        <w:rPr>
          <w:rFonts w:ascii="Times New Roman" w:hAnsi="Times New Roman" w:cs="Times New Roman"/>
        </w:rPr>
        <w:t>(</w:t>
      </w:r>
      <w:proofErr w:type="spellStart"/>
      <w:r>
        <w:rPr>
          <w:rFonts w:ascii="Times New Roman" w:hAnsi="Times New Roman" w:cs="Times New Roman"/>
          <w:i/>
        </w:rPr>
        <w:t>Rethinking</w:t>
      </w:r>
      <w:proofErr w:type="spellEnd"/>
      <w:r>
        <w:rPr>
          <w:rFonts w:ascii="Times New Roman" w:hAnsi="Times New Roman" w:cs="Times New Roman"/>
          <w:i/>
        </w:rPr>
        <w:t xml:space="preserve"> </w:t>
      </w:r>
      <w:proofErr w:type="spellStart"/>
      <w:r>
        <w:rPr>
          <w:rFonts w:ascii="Times New Roman" w:hAnsi="Times New Roman" w:cs="Times New Roman"/>
          <w:i/>
        </w:rPr>
        <w:t>education</w:t>
      </w:r>
      <w:proofErr w:type="spellEnd"/>
      <w:r>
        <w:rPr>
          <w:rFonts w:ascii="Times New Roman" w:hAnsi="Times New Roman" w:cs="Times New Roman"/>
        </w:rPr>
        <w:t xml:space="preserve">) – je iniciativa z roku 2012, jejímž cílem je reforma vzdělávacích systémů v členských zemích EU, která by měla vést k zajištění rostoucí poptávky po vyšší úrovni znalostí a snížení nezaměstnanosti. Realizací reformních opatření by mělo dojít ke zvýšení úrovně základních znalostí, </w:t>
      </w:r>
      <w:r w:rsidR="005C6C30">
        <w:rPr>
          <w:rFonts w:ascii="Times New Roman" w:hAnsi="Times New Roman" w:cs="Times New Roman"/>
        </w:rPr>
        <w:t xml:space="preserve">ke zvýšení </w:t>
      </w:r>
      <w:r>
        <w:rPr>
          <w:rFonts w:ascii="Times New Roman" w:hAnsi="Times New Roman" w:cs="Times New Roman"/>
        </w:rPr>
        <w:t>podpor</w:t>
      </w:r>
      <w:r w:rsidR="005C6C30">
        <w:rPr>
          <w:rFonts w:ascii="Times New Roman" w:hAnsi="Times New Roman" w:cs="Times New Roman"/>
        </w:rPr>
        <w:t>y</w:t>
      </w:r>
      <w:r>
        <w:rPr>
          <w:rFonts w:ascii="Times New Roman" w:hAnsi="Times New Roman" w:cs="Times New Roman"/>
        </w:rPr>
        <w:t xml:space="preserve"> učňovského vzdě</w:t>
      </w:r>
      <w:r w:rsidR="005C6C30">
        <w:rPr>
          <w:rFonts w:ascii="Times New Roman" w:hAnsi="Times New Roman" w:cs="Times New Roman"/>
        </w:rPr>
        <w:t>l</w:t>
      </w:r>
      <w:r>
        <w:rPr>
          <w:rFonts w:ascii="Times New Roman" w:hAnsi="Times New Roman" w:cs="Times New Roman"/>
        </w:rPr>
        <w:t>ávání,</w:t>
      </w:r>
      <w:r w:rsidR="005C6C30">
        <w:rPr>
          <w:rFonts w:ascii="Times New Roman" w:hAnsi="Times New Roman" w:cs="Times New Roman"/>
        </w:rPr>
        <w:t xml:space="preserve"> k efektivnějšímu rozvoji podnikatelských dovedností, ke zlepšení znalosti cizích jazyků.</w:t>
      </w:r>
    </w:p>
    <w:p w14:paraId="25646CCB" w14:textId="534605EF" w:rsidR="005F6B69" w:rsidRDefault="005F6B69" w:rsidP="00E94B9D">
      <w:pPr>
        <w:pStyle w:val="Odstavecseseznamem"/>
        <w:numPr>
          <w:ilvl w:val="0"/>
          <w:numId w:val="14"/>
        </w:numPr>
        <w:spacing w:before="120" w:line="360" w:lineRule="auto"/>
        <w:jc w:val="both"/>
        <w:rPr>
          <w:rFonts w:ascii="Times New Roman" w:hAnsi="Times New Roman" w:cs="Times New Roman"/>
        </w:rPr>
      </w:pPr>
      <w:r>
        <w:rPr>
          <w:rFonts w:ascii="Times New Roman" w:hAnsi="Times New Roman" w:cs="Times New Roman"/>
          <w:i/>
        </w:rPr>
        <w:t xml:space="preserve">Doporučení Evropského parlamentu a Rady, o klíčových schopnostech pro celoživotní učení </w:t>
      </w:r>
      <w:r>
        <w:rPr>
          <w:rFonts w:ascii="Times New Roman" w:hAnsi="Times New Roman" w:cs="Times New Roman"/>
        </w:rPr>
        <w:t xml:space="preserve">– přijato v roce 2006. Obsahuje doporučení všem členským </w:t>
      </w:r>
      <w:r>
        <w:rPr>
          <w:rFonts w:ascii="Times New Roman" w:hAnsi="Times New Roman" w:cs="Times New Roman"/>
        </w:rPr>
        <w:lastRenderedPageBreak/>
        <w:t xml:space="preserve">státům EU, aby podporovaly rozvoj klíčových schopnosti u všech osob v rámci svých strategií celoživotního učení. Jako vhodný nástroj je doporučován dokument </w:t>
      </w:r>
      <w:r>
        <w:rPr>
          <w:rFonts w:ascii="Times New Roman" w:hAnsi="Times New Roman" w:cs="Times New Roman"/>
          <w:i/>
        </w:rPr>
        <w:t xml:space="preserve">Klíčové schopnosti pro celoživotní učení – evropský referenční rámec, </w:t>
      </w:r>
      <w:r>
        <w:rPr>
          <w:rFonts w:ascii="Times New Roman" w:hAnsi="Times New Roman" w:cs="Times New Roman"/>
        </w:rPr>
        <w:t xml:space="preserve">který je součástí Doporučení (jako Příloha). </w:t>
      </w:r>
      <w:r w:rsidR="00023393">
        <w:rPr>
          <w:rFonts w:ascii="Times New Roman" w:hAnsi="Times New Roman" w:cs="Times New Roman"/>
        </w:rPr>
        <w:t xml:space="preserve">Zahrnuje </w:t>
      </w:r>
      <w:r w:rsidR="00023393" w:rsidRPr="00023393">
        <w:rPr>
          <w:rFonts w:ascii="Times New Roman" w:hAnsi="Times New Roman" w:cs="Times New Roman"/>
          <w:i/>
        </w:rPr>
        <w:t>osm</w:t>
      </w:r>
      <w:r w:rsidR="00023393">
        <w:rPr>
          <w:rFonts w:ascii="Times New Roman" w:hAnsi="Times New Roman" w:cs="Times New Roman"/>
        </w:rPr>
        <w:t xml:space="preserve"> </w:t>
      </w:r>
      <w:r w:rsidR="00023393" w:rsidRPr="00023393">
        <w:rPr>
          <w:rFonts w:ascii="Times New Roman" w:hAnsi="Times New Roman" w:cs="Times New Roman"/>
          <w:i/>
        </w:rPr>
        <w:t>klíčových schopností</w:t>
      </w:r>
      <w:r w:rsidR="00023393" w:rsidRPr="00023393">
        <w:rPr>
          <w:rFonts w:ascii="Times New Roman" w:hAnsi="Times New Roman" w:cs="Times New Roman"/>
        </w:rPr>
        <w:t>:</w:t>
      </w:r>
    </w:p>
    <w:p w14:paraId="0F41A3BF" w14:textId="0C230946"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komunikace v mateřském jazyce,</w:t>
      </w:r>
    </w:p>
    <w:p w14:paraId="2696337D" w14:textId="760A4E62"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komunikace v cizích jazycích,</w:t>
      </w:r>
    </w:p>
    <w:p w14:paraId="0C5D6577" w14:textId="6A131027"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matematická schopnost a základní schopnosti v oblasti vědy a technologií,</w:t>
      </w:r>
    </w:p>
    <w:p w14:paraId="26FA4418" w14:textId="72B65A25"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schopnost práce s digitálními technologiemi,</w:t>
      </w:r>
    </w:p>
    <w:p w14:paraId="320486DB" w14:textId="0903160A"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schopnost učit se,</w:t>
      </w:r>
    </w:p>
    <w:p w14:paraId="58AD3CD1" w14:textId="506FE597"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sociální a občanské schopnosti,</w:t>
      </w:r>
    </w:p>
    <w:p w14:paraId="567137A0" w14:textId="5DC452C9" w:rsidR="003D59FA"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smysl pro iniciativu a podnikavost,</w:t>
      </w:r>
    </w:p>
    <w:p w14:paraId="1C0298A9" w14:textId="6ED31E56" w:rsidR="003D59FA" w:rsidRPr="00F106E4" w:rsidRDefault="003D59FA" w:rsidP="0091213C">
      <w:pPr>
        <w:pStyle w:val="Odstavecseseznamem"/>
        <w:numPr>
          <w:ilvl w:val="0"/>
          <w:numId w:val="15"/>
        </w:numPr>
        <w:spacing w:line="360" w:lineRule="auto"/>
        <w:ind w:left="1434" w:hanging="357"/>
        <w:jc w:val="both"/>
        <w:rPr>
          <w:rFonts w:ascii="Times New Roman" w:hAnsi="Times New Roman" w:cs="Times New Roman"/>
        </w:rPr>
      </w:pPr>
      <w:r>
        <w:rPr>
          <w:rFonts w:ascii="Times New Roman" w:hAnsi="Times New Roman" w:cs="Times New Roman"/>
        </w:rPr>
        <w:t>kulturní povědomí a vyjádření.</w:t>
      </w:r>
    </w:p>
    <w:p w14:paraId="34193CBC" w14:textId="2E3BB04F" w:rsidR="00F106E4" w:rsidRDefault="002E5EEC" w:rsidP="00E94B9D">
      <w:pPr>
        <w:pStyle w:val="Odstavecseseznamem"/>
        <w:numPr>
          <w:ilvl w:val="0"/>
          <w:numId w:val="16"/>
        </w:numPr>
        <w:spacing w:before="120" w:line="360" w:lineRule="auto"/>
        <w:ind w:left="714" w:hanging="357"/>
        <w:jc w:val="both"/>
        <w:rPr>
          <w:rFonts w:ascii="Times New Roman" w:hAnsi="Times New Roman" w:cs="Times New Roman"/>
        </w:rPr>
      </w:pPr>
      <w:r>
        <w:rPr>
          <w:rFonts w:ascii="Times New Roman" w:hAnsi="Times New Roman" w:cs="Times New Roman"/>
          <w:i/>
        </w:rPr>
        <w:t xml:space="preserve">Evropská klasifikace dovedností/kompetencí, kvalifikací a povolání </w:t>
      </w:r>
      <w:r w:rsidRPr="002E5EEC">
        <w:rPr>
          <w:rFonts w:ascii="Times New Roman" w:hAnsi="Times New Roman" w:cs="Times New Roman"/>
        </w:rPr>
        <w:t>(</w:t>
      </w:r>
      <w:r w:rsidR="00F106E4" w:rsidRPr="00C31DB7">
        <w:rPr>
          <w:rFonts w:ascii="Times New Roman" w:hAnsi="Times New Roman" w:cs="Times New Roman"/>
          <w:i/>
        </w:rPr>
        <w:t>ESCO</w:t>
      </w:r>
      <w:r>
        <w:rPr>
          <w:rFonts w:ascii="Times New Roman" w:hAnsi="Times New Roman" w:cs="Times New Roman"/>
        </w:rPr>
        <w:t>)</w:t>
      </w:r>
      <w:r w:rsidR="00F106E4">
        <w:rPr>
          <w:rFonts w:ascii="Times New Roman" w:hAnsi="Times New Roman" w:cs="Times New Roman"/>
        </w:rPr>
        <w:t xml:space="preserve"> – je </w:t>
      </w:r>
      <w:r w:rsidR="00C31DB7">
        <w:rPr>
          <w:rFonts w:ascii="Times New Roman" w:hAnsi="Times New Roman" w:cs="Times New Roman"/>
        </w:rPr>
        <w:t xml:space="preserve">mnohojazyčný </w:t>
      </w:r>
      <w:r w:rsidR="00F106E4">
        <w:rPr>
          <w:rFonts w:ascii="Times New Roman" w:hAnsi="Times New Roman" w:cs="Times New Roman"/>
        </w:rPr>
        <w:t>systém</w:t>
      </w:r>
      <w:r w:rsidR="00C31DB7">
        <w:rPr>
          <w:rFonts w:ascii="Times New Roman" w:hAnsi="Times New Roman" w:cs="Times New Roman"/>
        </w:rPr>
        <w:t xml:space="preserve">, který popisuje a třídí (klasifikuje) dovednosti, kompetence </w:t>
      </w:r>
      <w:r w:rsidR="00F106E4">
        <w:rPr>
          <w:rFonts w:ascii="Times New Roman" w:hAnsi="Times New Roman" w:cs="Times New Roman"/>
        </w:rPr>
        <w:t>a povolání</w:t>
      </w:r>
      <w:r w:rsidR="00C31DB7">
        <w:rPr>
          <w:rFonts w:ascii="Times New Roman" w:hAnsi="Times New Roman" w:cs="Times New Roman"/>
        </w:rPr>
        <w:t xml:space="preserve"> relevantní pro trh práce</w:t>
      </w:r>
      <w:r w:rsidR="00F106E4">
        <w:rPr>
          <w:rFonts w:ascii="Times New Roman" w:hAnsi="Times New Roman" w:cs="Times New Roman"/>
        </w:rPr>
        <w:t xml:space="preserve"> v</w:t>
      </w:r>
      <w:r w:rsidR="00C31DB7">
        <w:rPr>
          <w:rFonts w:ascii="Times New Roman" w:hAnsi="Times New Roman" w:cs="Times New Roman"/>
        </w:rPr>
        <w:t> </w:t>
      </w:r>
      <w:r w:rsidR="00F106E4">
        <w:rPr>
          <w:rFonts w:ascii="Times New Roman" w:hAnsi="Times New Roman" w:cs="Times New Roman"/>
        </w:rPr>
        <w:t>EU</w:t>
      </w:r>
      <w:r w:rsidR="00C31DB7">
        <w:rPr>
          <w:rFonts w:ascii="Times New Roman" w:hAnsi="Times New Roman" w:cs="Times New Roman"/>
        </w:rPr>
        <w:t xml:space="preserve"> a pro vzdělávání a odbornou přípravu. Jedná se tedy o praktický nástroj k rozvoji požadovaných kompetencí a dovedností.</w:t>
      </w:r>
      <w:r w:rsidR="00A6642B">
        <w:rPr>
          <w:rFonts w:ascii="Times New Roman" w:hAnsi="Times New Roman" w:cs="Times New Roman"/>
        </w:rPr>
        <w:t xml:space="preserve"> Systém byl spuštěn v roce 2017.</w:t>
      </w:r>
    </w:p>
    <w:p w14:paraId="063AF1A9" w14:textId="7289019B" w:rsidR="00D130CE" w:rsidRPr="00F106E4" w:rsidRDefault="00D130CE" w:rsidP="00E94B9D">
      <w:pPr>
        <w:pStyle w:val="Odstavecseseznamem"/>
        <w:numPr>
          <w:ilvl w:val="0"/>
          <w:numId w:val="16"/>
        </w:numPr>
        <w:spacing w:before="120" w:line="360" w:lineRule="auto"/>
        <w:ind w:left="714" w:hanging="357"/>
        <w:jc w:val="both"/>
        <w:rPr>
          <w:rFonts w:ascii="Times New Roman" w:hAnsi="Times New Roman" w:cs="Times New Roman"/>
        </w:rPr>
      </w:pPr>
      <w:r>
        <w:rPr>
          <w:rFonts w:ascii="Times New Roman" w:hAnsi="Times New Roman" w:cs="Times New Roman"/>
          <w:i/>
        </w:rPr>
        <w:t xml:space="preserve">Evropský přehled dovedností </w:t>
      </w:r>
      <w:r>
        <w:rPr>
          <w:rFonts w:ascii="Times New Roman" w:hAnsi="Times New Roman" w:cs="Times New Roman"/>
        </w:rPr>
        <w:t>(</w:t>
      </w:r>
      <w:proofErr w:type="spellStart"/>
      <w:r w:rsidRPr="00D130CE">
        <w:rPr>
          <w:rFonts w:ascii="Times New Roman" w:hAnsi="Times New Roman" w:cs="Times New Roman"/>
          <w:i/>
        </w:rPr>
        <w:t>Skills</w:t>
      </w:r>
      <w:proofErr w:type="spellEnd"/>
      <w:r>
        <w:rPr>
          <w:rFonts w:ascii="Times New Roman" w:hAnsi="Times New Roman" w:cs="Times New Roman"/>
          <w:i/>
        </w:rPr>
        <w:t xml:space="preserve"> Panorama</w:t>
      </w:r>
      <w:r>
        <w:rPr>
          <w:rFonts w:ascii="Times New Roman" w:hAnsi="Times New Roman" w:cs="Times New Roman"/>
        </w:rPr>
        <w:t>) – byl vytvořen v roce 2015. Jedná se o centrální datový systém, který obsahuje informace o aktuálních trendech týkajících se dovedností v jednotlivých profesích a odvětvích v jednotlivých členských zemích EU. Systematicky sleduje</w:t>
      </w:r>
      <w:r w:rsidR="00225DD3">
        <w:rPr>
          <w:rFonts w:ascii="Times New Roman" w:hAnsi="Times New Roman" w:cs="Times New Roman"/>
        </w:rPr>
        <w:t xml:space="preserve"> potřeby trhu práce v oblasti dovedností, a to jak na evropské úrovni, tak v rámci národních trhů.</w:t>
      </w:r>
    </w:p>
    <w:p w14:paraId="506BB0F0" w14:textId="27968C8C" w:rsidR="003D59FA" w:rsidRDefault="00AA32FB" w:rsidP="009210C8">
      <w:pPr>
        <w:pStyle w:val="Nadpis3"/>
      </w:pPr>
      <w:bookmarkStart w:id="17" w:name="_Toc398662583"/>
      <w:r>
        <w:t>1.3.2 Na úrovni České republiky</w:t>
      </w:r>
      <w:bookmarkEnd w:id="17"/>
      <w:r>
        <w:t xml:space="preserve"> </w:t>
      </w:r>
    </w:p>
    <w:p w14:paraId="3FCCC8C3" w14:textId="77777777" w:rsidR="00AA32FB" w:rsidRDefault="00264336" w:rsidP="003D59FA">
      <w:pPr>
        <w:spacing w:before="120" w:line="360" w:lineRule="auto"/>
        <w:jc w:val="both"/>
        <w:rPr>
          <w:rFonts w:ascii="Times New Roman" w:hAnsi="Times New Roman" w:cs="Times New Roman"/>
        </w:rPr>
      </w:pPr>
      <w:r>
        <w:rPr>
          <w:rFonts w:ascii="Times New Roman" w:hAnsi="Times New Roman" w:cs="Times New Roman"/>
        </w:rPr>
        <w:t>Další vzdělávání je v České republice dosud méně rozv</w:t>
      </w:r>
      <w:r w:rsidR="009D73E5">
        <w:rPr>
          <w:rFonts w:ascii="Times New Roman" w:hAnsi="Times New Roman" w:cs="Times New Roman"/>
        </w:rPr>
        <w:t>inutou oblastí vzděláván</w:t>
      </w:r>
      <w:r w:rsidR="002A0E22">
        <w:rPr>
          <w:rFonts w:ascii="Times New Roman" w:hAnsi="Times New Roman" w:cs="Times New Roman"/>
        </w:rPr>
        <w:t>í.</w:t>
      </w:r>
      <w:r w:rsidR="004D0AC0">
        <w:rPr>
          <w:rFonts w:ascii="Times New Roman" w:hAnsi="Times New Roman" w:cs="Times New Roman"/>
        </w:rPr>
        <w:t xml:space="preserve"> </w:t>
      </w:r>
      <w:r w:rsidR="00E271DE">
        <w:rPr>
          <w:rFonts w:ascii="Times New Roman" w:hAnsi="Times New Roman" w:cs="Times New Roman"/>
        </w:rPr>
        <w:t>Z</w:t>
      </w:r>
      <w:r w:rsidR="004D0AC0">
        <w:rPr>
          <w:rFonts w:ascii="Times New Roman" w:hAnsi="Times New Roman" w:cs="Times New Roman"/>
        </w:rPr>
        <w:t>ákladní</w:t>
      </w:r>
      <w:r w:rsidR="00E271DE">
        <w:rPr>
          <w:rFonts w:ascii="Times New Roman" w:hAnsi="Times New Roman" w:cs="Times New Roman"/>
        </w:rPr>
        <w:t>m</w:t>
      </w:r>
      <w:r w:rsidR="004D0AC0">
        <w:rPr>
          <w:rFonts w:ascii="Times New Roman" w:hAnsi="Times New Roman" w:cs="Times New Roman"/>
        </w:rPr>
        <w:t xml:space="preserve"> </w:t>
      </w:r>
      <w:r w:rsidR="00E271DE">
        <w:rPr>
          <w:rFonts w:ascii="Times New Roman" w:hAnsi="Times New Roman" w:cs="Times New Roman"/>
        </w:rPr>
        <w:t>strategickým dokumentem, jenž</w:t>
      </w:r>
      <w:r w:rsidR="004D0AC0">
        <w:rPr>
          <w:rFonts w:ascii="Times New Roman" w:hAnsi="Times New Roman" w:cs="Times New Roman"/>
        </w:rPr>
        <w:t xml:space="preserve"> se problematikou dalšího v</w:t>
      </w:r>
      <w:r w:rsidR="00E271DE">
        <w:rPr>
          <w:rFonts w:ascii="Times New Roman" w:hAnsi="Times New Roman" w:cs="Times New Roman"/>
        </w:rPr>
        <w:t>zdělávání zabývá</w:t>
      </w:r>
      <w:r w:rsidR="004D0AC0">
        <w:rPr>
          <w:rFonts w:ascii="Times New Roman" w:hAnsi="Times New Roman" w:cs="Times New Roman"/>
        </w:rPr>
        <w:t xml:space="preserve"> v obecné rovně</w:t>
      </w:r>
      <w:r w:rsidR="00E271DE">
        <w:rPr>
          <w:rFonts w:ascii="Times New Roman" w:hAnsi="Times New Roman" w:cs="Times New Roman"/>
        </w:rPr>
        <w:t>, je</w:t>
      </w:r>
      <w:r w:rsidR="004D0AC0">
        <w:rPr>
          <w:rFonts w:ascii="Times New Roman" w:hAnsi="Times New Roman" w:cs="Times New Roman"/>
        </w:rPr>
        <w:t xml:space="preserve"> </w:t>
      </w:r>
      <w:r w:rsidR="006265DA">
        <w:rPr>
          <w:rFonts w:ascii="Times New Roman" w:hAnsi="Times New Roman" w:cs="Times New Roman"/>
          <w:b/>
        </w:rPr>
        <w:t>Národní program reforem ČR</w:t>
      </w:r>
      <w:r w:rsidR="006265DA">
        <w:rPr>
          <w:rFonts w:ascii="Times New Roman" w:hAnsi="Times New Roman" w:cs="Times New Roman"/>
        </w:rPr>
        <w:t>,</w:t>
      </w:r>
      <w:r w:rsidR="006265DA" w:rsidRPr="006265DA">
        <w:rPr>
          <w:rFonts w:ascii="Times New Roman" w:hAnsi="Times New Roman" w:cs="Times New Roman"/>
        </w:rPr>
        <w:t xml:space="preserve"> </w:t>
      </w:r>
      <w:r w:rsidR="006265DA">
        <w:rPr>
          <w:rFonts w:ascii="Times New Roman" w:hAnsi="Times New Roman" w:cs="Times New Roman"/>
        </w:rPr>
        <w:t>kter</w:t>
      </w:r>
      <w:r w:rsidR="00E271DE">
        <w:rPr>
          <w:rFonts w:ascii="Times New Roman" w:hAnsi="Times New Roman" w:cs="Times New Roman"/>
        </w:rPr>
        <w:t>ý</w:t>
      </w:r>
      <w:r w:rsidR="006265DA">
        <w:rPr>
          <w:rFonts w:ascii="Times New Roman" w:hAnsi="Times New Roman" w:cs="Times New Roman"/>
          <w:b/>
        </w:rPr>
        <w:t xml:space="preserve"> </w:t>
      </w:r>
      <w:r w:rsidR="002A0E22">
        <w:rPr>
          <w:rFonts w:ascii="Times New Roman" w:hAnsi="Times New Roman" w:cs="Times New Roman"/>
          <w:b/>
        </w:rPr>
        <w:t>–</w:t>
      </w:r>
      <w:r w:rsidR="006265DA">
        <w:rPr>
          <w:rFonts w:ascii="Times New Roman" w:hAnsi="Times New Roman" w:cs="Times New Roman"/>
          <w:b/>
        </w:rPr>
        <w:t xml:space="preserve"> </w:t>
      </w:r>
      <w:r w:rsidR="006265DA">
        <w:rPr>
          <w:rFonts w:ascii="Times New Roman" w:hAnsi="Times New Roman" w:cs="Times New Roman"/>
        </w:rPr>
        <w:t>v souladu se Strategií Evropa 2020 – tvoří základní strategický rámec rozvo</w:t>
      </w:r>
      <w:r w:rsidR="004D0AC0">
        <w:rPr>
          <w:rFonts w:ascii="Times New Roman" w:hAnsi="Times New Roman" w:cs="Times New Roman"/>
        </w:rPr>
        <w:t>je národního hospodářství.</w:t>
      </w:r>
      <w:r w:rsidR="002A0E22">
        <w:rPr>
          <w:rFonts w:ascii="Times New Roman" w:hAnsi="Times New Roman" w:cs="Times New Roman"/>
        </w:rPr>
        <w:t xml:space="preserve"> </w:t>
      </w:r>
    </w:p>
    <w:p w14:paraId="1D5E2561" w14:textId="399D5F16" w:rsidR="00AA32FB" w:rsidRDefault="00E271DE" w:rsidP="003D59FA">
      <w:pPr>
        <w:spacing w:before="120" w:line="360" w:lineRule="auto"/>
        <w:jc w:val="both"/>
        <w:rPr>
          <w:rFonts w:ascii="Times New Roman" w:hAnsi="Times New Roman" w:cs="Times New Roman"/>
        </w:rPr>
      </w:pPr>
      <w:r>
        <w:rPr>
          <w:rFonts w:ascii="Times New Roman" w:hAnsi="Times New Roman" w:cs="Times New Roman"/>
        </w:rPr>
        <w:t xml:space="preserve">Podrobněji je problematika dalšího vzdělávání obsažena ve </w:t>
      </w:r>
      <w:r>
        <w:rPr>
          <w:rFonts w:ascii="Times New Roman" w:hAnsi="Times New Roman" w:cs="Times New Roman"/>
          <w:b/>
        </w:rPr>
        <w:t xml:space="preserve">Strategii vzdělávací politiky ČR do roku 2020. </w:t>
      </w:r>
      <w:r w:rsidR="000832AD">
        <w:rPr>
          <w:rFonts w:ascii="Times New Roman" w:hAnsi="Times New Roman" w:cs="Times New Roman"/>
        </w:rPr>
        <w:t xml:space="preserve">Hlavní cílem je </w:t>
      </w:r>
      <w:r w:rsidR="000832AD" w:rsidRPr="000832AD">
        <w:rPr>
          <w:rFonts w:ascii="Times New Roman" w:hAnsi="Times New Roman" w:cs="Times New Roman"/>
          <w:i/>
        </w:rPr>
        <w:t>zvýšení dostupnosti a kvality dalšího vzdělávání</w:t>
      </w:r>
      <w:r w:rsidR="001C5722">
        <w:rPr>
          <w:rFonts w:ascii="Times New Roman" w:hAnsi="Times New Roman" w:cs="Times New Roman"/>
        </w:rPr>
        <w:t xml:space="preserve"> – j</w:t>
      </w:r>
      <w:r w:rsidR="000832AD">
        <w:rPr>
          <w:rFonts w:ascii="Times New Roman" w:hAnsi="Times New Roman" w:cs="Times New Roman"/>
        </w:rPr>
        <w:t xml:space="preserve">e proto nutné zaměřit se </w:t>
      </w:r>
      <w:r w:rsidR="00266522">
        <w:rPr>
          <w:rFonts w:ascii="Times New Roman" w:hAnsi="Times New Roman" w:cs="Times New Roman"/>
        </w:rPr>
        <w:t xml:space="preserve">především </w:t>
      </w:r>
      <w:r w:rsidR="000832AD">
        <w:rPr>
          <w:rFonts w:ascii="Times New Roman" w:hAnsi="Times New Roman" w:cs="Times New Roman"/>
        </w:rPr>
        <w:t>na tyto úkoly:</w:t>
      </w:r>
    </w:p>
    <w:p w14:paraId="61C641C9" w14:textId="5BA4F7AD" w:rsidR="000832AD" w:rsidRDefault="00437015" w:rsidP="00E94B9D">
      <w:pPr>
        <w:pStyle w:val="Odstavecseseznamem"/>
        <w:numPr>
          <w:ilvl w:val="0"/>
          <w:numId w:val="17"/>
        </w:numPr>
        <w:spacing w:before="120" w:line="360" w:lineRule="auto"/>
        <w:jc w:val="both"/>
        <w:rPr>
          <w:rFonts w:ascii="Times New Roman" w:hAnsi="Times New Roman" w:cs="Times New Roman"/>
        </w:rPr>
      </w:pPr>
      <w:r>
        <w:rPr>
          <w:rFonts w:ascii="Times New Roman" w:hAnsi="Times New Roman" w:cs="Times New Roman"/>
        </w:rPr>
        <w:lastRenderedPageBreak/>
        <w:t>Rozšířit nabídku programů dalšího vzdělávání.</w:t>
      </w:r>
    </w:p>
    <w:p w14:paraId="6ACCEC66" w14:textId="77777777" w:rsidR="00437015" w:rsidRDefault="00437015" w:rsidP="00E94B9D">
      <w:pPr>
        <w:pStyle w:val="Odstavecseseznamem"/>
        <w:numPr>
          <w:ilvl w:val="0"/>
          <w:numId w:val="17"/>
        </w:numPr>
        <w:spacing w:before="120" w:line="360" w:lineRule="auto"/>
        <w:jc w:val="both"/>
        <w:rPr>
          <w:rFonts w:ascii="Times New Roman" w:hAnsi="Times New Roman" w:cs="Times New Roman"/>
        </w:rPr>
      </w:pPr>
      <w:r>
        <w:rPr>
          <w:rFonts w:ascii="Times New Roman" w:hAnsi="Times New Roman" w:cs="Times New Roman"/>
        </w:rPr>
        <w:t>Zvýšit informovanost o možnostech dalšího vzdělávání zejména směrem k sociálně znevýhodněným občanům a občanům s nízkou kvalifikací.</w:t>
      </w:r>
    </w:p>
    <w:p w14:paraId="62BE7F4A" w14:textId="559A98F2" w:rsidR="00437015" w:rsidRDefault="00437015" w:rsidP="00E94B9D">
      <w:pPr>
        <w:pStyle w:val="Odstavecseseznamem"/>
        <w:numPr>
          <w:ilvl w:val="0"/>
          <w:numId w:val="17"/>
        </w:numPr>
        <w:spacing w:before="120" w:line="360" w:lineRule="auto"/>
        <w:jc w:val="both"/>
        <w:rPr>
          <w:rFonts w:ascii="Times New Roman" w:hAnsi="Times New Roman" w:cs="Times New Roman"/>
        </w:rPr>
      </w:pPr>
      <w:r>
        <w:rPr>
          <w:rFonts w:ascii="Times New Roman" w:hAnsi="Times New Roman" w:cs="Times New Roman"/>
        </w:rPr>
        <w:t xml:space="preserve">Podporovat a rozvíjet práci škol, školských zařízení a knihoven jako center celoživotního učení, která by poskytovala širokou nabídku dalšího vzdělávání (profesního, zájmového, občanského, rekvalifikací) zaměřeného na dospělou populaci, včetně seniorů, a podílela se na systému uznávání </w:t>
      </w:r>
      <w:r w:rsidR="00AA32FB">
        <w:rPr>
          <w:rFonts w:ascii="Times New Roman" w:hAnsi="Times New Roman" w:cs="Times New Roman"/>
        </w:rPr>
        <w:t xml:space="preserve">kvalifikací </w:t>
      </w:r>
      <w:r>
        <w:rPr>
          <w:rFonts w:ascii="Times New Roman" w:hAnsi="Times New Roman" w:cs="Times New Roman"/>
        </w:rPr>
        <w:t xml:space="preserve">založeném na Národní soustavě kvalifikací pro nejrůznější skupiny dospělých. </w:t>
      </w:r>
    </w:p>
    <w:p w14:paraId="4A48DEEF" w14:textId="17D8B534" w:rsidR="00437015" w:rsidRDefault="00437015" w:rsidP="00E94B9D">
      <w:pPr>
        <w:pStyle w:val="Odstavecseseznamem"/>
        <w:numPr>
          <w:ilvl w:val="0"/>
          <w:numId w:val="17"/>
        </w:numPr>
        <w:spacing w:before="120" w:line="360" w:lineRule="auto"/>
        <w:jc w:val="both"/>
        <w:rPr>
          <w:rFonts w:ascii="Times New Roman" w:hAnsi="Times New Roman" w:cs="Times New Roman"/>
        </w:rPr>
      </w:pPr>
      <w:r>
        <w:rPr>
          <w:rFonts w:ascii="Times New Roman" w:hAnsi="Times New Roman" w:cs="Times New Roman"/>
        </w:rPr>
        <w:t>Prostřednictvím Národní soustavy kvalifikací usměrňovat rozvoj nabídky dalšího vzdělávání tak, aby odpovídala aktuálním potřeb</w:t>
      </w:r>
      <w:r w:rsidR="00266522">
        <w:rPr>
          <w:rFonts w:ascii="Times New Roman" w:hAnsi="Times New Roman" w:cs="Times New Roman"/>
        </w:rPr>
        <w:t>ám trhu práce. Propojit činnost</w:t>
      </w:r>
      <w:r>
        <w:rPr>
          <w:rFonts w:ascii="Times New Roman" w:hAnsi="Times New Roman" w:cs="Times New Roman"/>
        </w:rPr>
        <w:t xml:space="preserve"> Národní soustavy kvalifikací s</w:t>
      </w:r>
      <w:r w:rsidR="00266522">
        <w:rPr>
          <w:rFonts w:ascii="Times New Roman" w:hAnsi="Times New Roman" w:cs="Times New Roman"/>
        </w:rPr>
        <w:t> aktivní politikou zaměstnanosti (např. při realizaci rekvalifikačních kurzů).</w:t>
      </w:r>
    </w:p>
    <w:p w14:paraId="7CC47566" w14:textId="083525FB" w:rsidR="00266522" w:rsidRDefault="00266522" w:rsidP="00E94B9D">
      <w:pPr>
        <w:pStyle w:val="Odstavecseseznamem"/>
        <w:numPr>
          <w:ilvl w:val="0"/>
          <w:numId w:val="17"/>
        </w:numPr>
        <w:spacing w:before="120" w:line="360" w:lineRule="auto"/>
        <w:jc w:val="both"/>
        <w:rPr>
          <w:rFonts w:ascii="Times New Roman" w:hAnsi="Times New Roman" w:cs="Times New Roman"/>
        </w:rPr>
      </w:pPr>
      <w:r>
        <w:rPr>
          <w:rFonts w:ascii="Times New Roman" w:hAnsi="Times New Roman" w:cs="Times New Roman"/>
        </w:rPr>
        <w:t>Zlepšovat dostupnost a kvalitu poradenství zaměřeného na rozvoj dovedností nutných pro řízení vlastní profesní dráhy. Zvýšit informovanost o službách poradenství v otázkách celoživotního vzdělávání.</w:t>
      </w:r>
    </w:p>
    <w:p w14:paraId="42579929" w14:textId="779903F8" w:rsidR="00266522" w:rsidRDefault="00DD6C6A" w:rsidP="00423148">
      <w:pPr>
        <w:spacing w:before="120" w:line="360" w:lineRule="auto"/>
        <w:jc w:val="both"/>
        <w:rPr>
          <w:rFonts w:ascii="Times New Roman" w:hAnsi="Times New Roman" w:cs="Times New Roman"/>
        </w:rPr>
      </w:pPr>
      <w:r>
        <w:rPr>
          <w:rFonts w:ascii="Times New Roman" w:hAnsi="Times New Roman" w:cs="Times New Roman"/>
        </w:rPr>
        <w:t xml:space="preserve">Nástup </w:t>
      </w:r>
      <w:proofErr w:type="spellStart"/>
      <w:r>
        <w:rPr>
          <w:rFonts w:ascii="Times New Roman" w:hAnsi="Times New Roman" w:cs="Times New Roman"/>
        </w:rPr>
        <w:t>Industry</w:t>
      </w:r>
      <w:proofErr w:type="spellEnd"/>
      <w:r>
        <w:rPr>
          <w:rFonts w:ascii="Times New Roman" w:hAnsi="Times New Roman" w:cs="Times New Roman"/>
        </w:rPr>
        <w:t xml:space="preserve"> 4.0 podstatně mění nároky na vzdělání, dovednosti a kompetence pracovníků. V této souvislosti význam celoživotního vzdělávání včetně dalšího vzdělávání narůstá. </w:t>
      </w:r>
      <w:r>
        <w:rPr>
          <w:rFonts w:ascii="Times New Roman" w:hAnsi="Times New Roman" w:cs="Times New Roman"/>
          <w:b/>
        </w:rPr>
        <w:t>Strategie digitáln</w:t>
      </w:r>
      <w:r w:rsidR="001F3892">
        <w:rPr>
          <w:rFonts w:ascii="Times New Roman" w:hAnsi="Times New Roman" w:cs="Times New Roman"/>
          <w:b/>
        </w:rPr>
        <w:t xml:space="preserve">í gramotnosti ČR na období 2015–2020 </w:t>
      </w:r>
      <w:r w:rsidR="00F33954">
        <w:rPr>
          <w:rFonts w:ascii="Times New Roman" w:hAnsi="Times New Roman" w:cs="Times New Roman"/>
        </w:rPr>
        <w:t xml:space="preserve">stanovuje jako hlavní cíl pro oblast zaměstnanosti </w:t>
      </w:r>
      <w:r w:rsidR="00F33954">
        <w:rPr>
          <w:rFonts w:ascii="Times New Roman" w:hAnsi="Times New Roman" w:cs="Times New Roman"/>
          <w:i/>
        </w:rPr>
        <w:t>„zvýšení úrovně digitální gramotnosti zaměstnaných a nezaměstnaných osob na úroveň potřebnou pro efektivní využívání digitálních technologií a na úroveň uplatnitelnou</w:t>
      </w:r>
      <w:r w:rsidR="001F3892" w:rsidRPr="00F33954">
        <w:rPr>
          <w:rFonts w:ascii="Times New Roman" w:hAnsi="Times New Roman" w:cs="Times New Roman"/>
        </w:rPr>
        <w:t xml:space="preserve"> </w:t>
      </w:r>
      <w:r w:rsidR="00F33954" w:rsidRPr="00F33954">
        <w:rPr>
          <w:rFonts w:ascii="Times New Roman" w:hAnsi="Times New Roman" w:cs="Times New Roman"/>
          <w:i/>
        </w:rPr>
        <w:t>na</w:t>
      </w:r>
      <w:r w:rsidR="00F33954">
        <w:rPr>
          <w:rFonts w:ascii="Times New Roman" w:hAnsi="Times New Roman" w:cs="Times New Roman"/>
        </w:rPr>
        <w:t xml:space="preserve"> </w:t>
      </w:r>
      <w:r w:rsidR="00F33954" w:rsidRPr="00F33954">
        <w:rPr>
          <w:rFonts w:ascii="Times New Roman" w:hAnsi="Times New Roman" w:cs="Times New Roman"/>
          <w:i/>
        </w:rPr>
        <w:t>trhu</w:t>
      </w:r>
      <w:r w:rsidR="00F33954">
        <w:rPr>
          <w:rFonts w:ascii="Times New Roman" w:hAnsi="Times New Roman" w:cs="Times New Roman"/>
        </w:rPr>
        <w:t xml:space="preserve"> </w:t>
      </w:r>
      <w:r w:rsidR="00F33954" w:rsidRPr="00F33954">
        <w:rPr>
          <w:rFonts w:ascii="Times New Roman" w:hAnsi="Times New Roman" w:cs="Times New Roman"/>
          <w:i/>
        </w:rPr>
        <w:t>práce</w:t>
      </w:r>
      <w:r w:rsidR="00F33954">
        <w:rPr>
          <w:rFonts w:ascii="Times New Roman" w:hAnsi="Times New Roman" w:cs="Times New Roman"/>
          <w:i/>
        </w:rPr>
        <w:t>“</w:t>
      </w:r>
      <w:r w:rsidR="00F33954">
        <w:rPr>
          <w:rFonts w:ascii="Times New Roman" w:hAnsi="Times New Roman" w:cs="Times New Roman"/>
        </w:rPr>
        <w:t xml:space="preserve">. Specifické cíle a opatření jsou proto zaměřeny na podporu individuálního vzdělávání, rekvalifikací, praxí a stáží. Je také zdůrazněna nutnost přizpůsobit poskytování rekvalifikačních </w:t>
      </w:r>
      <w:r w:rsidR="00C84B54">
        <w:rPr>
          <w:rFonts w:ascii="Times New Roman" w:hAnsi="Times New Roman" w:cs="Times New Roman"/>
        </w:rPr>
        <w:t>kurzů možnostem a potřebám nezaměstnaných.</w:t>
      </w:r>
    </w:p>
    <w:p w14:paraId="200D149D" w14:textId="4172A68D" w:rsidR="00E27DA9" w:rsidRPr="004F575B" w:rsidRDefault="00752FFA" w:rsidP="00423148">
      <w:pPr>
        <w:spacing w:before="120" w:line="360" w:lineRule="auto"/>
        <w:jc w:val="both"/>
        <w:rPr>
          <w:rFonts w:ascii="Times New Roman" w:hAnsi="Times New Roman" w:cs="Times New Roman"/>
          <w:b/>
        </w:rPr>
      </w:pPr>
      <w:r>
        <w:rPr>
          <w:rFonts w:ascii="Times New Roman" w:hAnsi="Times New Roman" w:cs="Times New Roman"/>
        </w:rPr>
        <w:t xml:space="preserve">Problematika </w:t>
      </w:r>
      <w:r w:rsidRPr="00EE4805">
        <w:rPr>
          <w:rFonts w:ascii="Times New Roman" w:hAnsi="Times New Roman" w:cs="Times New Roman"/>
          <w:i/>
        </w:rPr>
        <w:t>r</w:t>
      </w:r>
      <w:r w:rsidR="00E27DA9" w:rsidRPr="00EE4805">
        <w:rPr>
          <w:rFonts w:ascii="Times New Roman" w:hAnsi="Times New Roman" w:cs="Times New Roman"/>
          <w:i/>
        </w:rPr>
        <w:t>ekvalifikací</w:t>
      </w:r>
      <w:r w:rsidR="00E27DA9">
        <w:rPr>
          <w:rFonts w:ascii="Times New Roman" w:hAnsi="Times New Roman" w:cs="Times New Roman"/>
        </w:rPr>
        <w:t xml:space="preserve"> jako jednoho z nástrojů dalšího vzdělávání</w:t>
      </w:r>
      <w:r>
        <w:rPr>
          <w:rFonts w:ascii="Times New Roman" w:hAnsi="Times New Roman" w:cs="Times New Roman"/>
        </w:rPr>
        <w:t xml:space="preserve"> a současně nástroje aktivní politiky zaměstnanosti je upravena v </w:t>
      </w:r>
      <w:r>
        <w:rPr>
          <w:rFonts w:ascii="Times New Roman" w:hAnsi="Times New Roman" w:cs="Times New Roman"/>
          <w:b/>
        </w:rPr>
        <w:t xml:space="preserve">zákoně </w:t>
      </w:r>
      <w:r w:rsidR="004F575B">
        <w:rPr>
          <w:rFonts w:ascii="Times New Roman" w:hAnsi="Times New Roman" w:cs="Times New Roman"/>
          <w:b/>
        </w:rPr>
        <w:t>č. 435/2004 Sb., o zaměstnaností</w:t>
      </w:r>
      <w:r w:rsidRPr="004F575B">
        <w:rPr>
          <w:rFonts w:ascii="Times New Roman" w:hAnsi="Times New Roman" w:cs="Times New Roman"/>
        </w:rPr>
        <w:t>, ve znění pozdějších předpisů (§ 108–110).</w:t>
      </w:r>
    </w:p>
    <w:p w14:paraId="0D533B95" w14:textId="436BE5DD" w:rsidR="00423148" w:rsidRPr="00192DE7" w:rsidRDefault="00752FFA" w:rsidP="00192DE7">
      <w:pPr>
        <w:spacing w:before="120" w:line="360" w:lineRule="auto"/>
        <w:jc w:val="both"/>
        <w:rPr>
          <w:rFonts w:ascii="Times New Roman" w:hAnsi="Times New Roman" w:cs="Times New Roman"/>
          <w:b/>
        </w:rPr>
      </w:pPr>
      <w:r>
        <w:rPr>
          <w:rFonts w:ascii="Times New Roman" w:hAnsi="Times New Roman" w:cs="Times New Roman"/>
        </w:rPr>
        <w:t>V nepo</w:t>
      </w:r>
      <w:r w:rsidR="00AA32FB">
        <w:rPr>
          <w:rFonts w:ascii="Times New Roman" w:hAnsi="Times New Roman" w:cs="Times New Roman"/>
        </w:rPr>
        <w:t>slední řadě je nutné zmínit rovněž</w:t>
      </w:r>
      <w:r>
        <w:rPr>
          <w:rFonts w:ascii="Times New Roman" w:hAnsi="Times New Roman" w:cs="Times New Roman"/>
        </w:rPr>
        <w:t xml:space="preserve"> </w:t>
      </w:r>
      <w:r w:rsidRPr="00752FFA">
        <w:rPr>
          <w:rFonts w:ascii="Times New Roman" w:hAnsi="Times New Roman" w:cs="Times New Roman"/>
          <w:b/>
        </w:rPr>
        <w:t>zákon</w:t>
      </w:r>
      <w:r>
        <w:rPr>
          <w:rFonts w:ascii="Times New Roman" w:hAnsi="Times New Roman" w:cs="Times New Roman"/>
          <w:b/>
        </w:rPr>
        <w:t xml:space="preserve"> č. 179/2006 Sb., o ověřování a uznávání výsledků dalšího vzdělávání a o změně některých zákonů (zákon o uznávání výsledků dalšího vzdělávání)</w:t>
      </w:r>
      <w:r w:rsidRPr="004F575B">
        <w:rPr>
          <w:rFonts w:ascii="Times New Roman" w:hAnsi="Times New Roman" w:cs="Times New Roman"/>
        </w:rPr>
        <w:t>, ve znění pozdějších předpisů.</w:t>
      </w:r>
      <w:r w:rsidR="0003512D">
        <w:rPr>
          <w:rFonts w:ascii="Times New Roman" w:hAnsi="Times New Roman" w:cs="Times New Roman"/>
        </w:rPr>
        <w:t xml:space="preserve"> Tento zákon zakotvuje </w:t>
      </w:r>
      <w:r w:rsidR="0003512D">
        <w:rPr>
          <w:rFonts w:ascii="Times New Roman" w:hAnsi="Times New Roman" w:cs="Times New Roman"/>
          <w:i/>
        </w:rPr>
        <w:t xml:space="preserve">Národní soustavu kvalifikací, </w:t>
      </w:r>
      <w:r w:rsidR="0003512D">
        <w:rPr>
          <w:rFonts w:ascii="Times New Roman" w:hAnsi="Times New Roman" w:cs="Times New Roman"/>
        </w:rPr>
        <w:t xml:space="preserve">obsahuje kvalifikační standardy seskupené do jednotlivých úrovní, vytváří systémový rámec pro počáteční i další vzdělávání a pro </w:t>
      </w:r>
      <w:r w:rsidR="0003512D">
        <w:rPr>
          <w:rFonts w:ascii="Times New Roman" w:hAnsi="Times New Roman" w:cs="Times New Roman"/>
        </w:rPr>
        <w:lastRenderedPageBreak/>
        <w:t>uznávání výsledků učení, umožňuje sr</w:t>
      </w:r>
      <w:r w:rsidR="00AA32FB">
        <w:rPr>
          <w:rFonts w:ascii="Times New Roman" w:hAnsi="Times New Roman" w:cs="Times New Roman"/>
        </w:rPr>
        <w:t xml:space="preserve">ovnání kvalifikací uznávaných v </w:t>
      </w:r>
      <w:r w:rsidR="0003512D">
        <w:rPr>
          <w:rFonts w:ascii="Times New Roman" w:hAnsi="Times New Roman" w:cs="Times New Roman"/>
        </w:rPr>
        <w:t>ČR s kvalifikacemi v ostatních evrops</w:t>
      </w:r>
      <w:r w:rsidR="0032524B">
        <w:rPr>
          <w:rFonts w:ascii="Times New Roman" w:hAnsi="Times New Roman" w:cs="Times New Roman"/>
        </w:rPr>
        <w:t>kých zemích a lépe propojuje</w:t>
      </w:r>
      <w:r w:rsidR="0003512D">
        <w:rPr>
          <w:rFonts w:ascii="Times New Roman" w:hAnsi="Times New Roman" w:cs="Times New Roman"/>
        </w:rPr>
        <w:t xml:space="preserve"> vzdělávání s požadavky praxe</w:t>
      </w:r>
      <w:r w:rsidR="00582254">
        <w:rPr>
          <w:rFonts w:ascii="Times New Roman" w:hAnsi="Times New Roman" w:cs="Times New Roman"/>
        </w:rPr>
        <w:t>.</w:t>
      </w:r>
    </w:p>
    <w:p w14:paraId="4D2182AB" w14:textId="77777777" w:rsidR="00423148" w:rsidRPr="007B5868" w:rsidRDefault="00423148" w:rsidP="00423148">
      <w:pPr>
        <w:pStyle w:val="Default"/>
        <w:rPr>
          <w:bCs/>
          <w:sz w:val="23"/>
          <w:szCs w:val="23"/>
          <w:lang w:val="cs-CZ"/>
        </w:rPr>
      </w:pPr>
    </w:p>
    <w:p w14:paraId="153D1547" w14:textId="77777777" w:rsidR="009E7897" w:rsidRPr="007B5868" w:rsidRDefault="009E7897" w:rsidP="00423148">
      <w:pPr>
        <w:pStyle w:val="Default"/>
        <w:rPr>
          <w:b/>
          <w:bCs/>
          <w:sz w:val="23"/>
          <w:szCs w:val="23"/>
          <w:lang w:val="cs-CZ"/>
        </w:rPr>
      </w:pPr>
    </w:p>
    <w:p w14:paraId="07B1ACC8" w14:textId="55D6E6C2" w:rsidR="00023393" w:rsidRPr="00862017" w:rsidRDefault="00023393" w:rsidP="00862017">
      <w:pPr>
        <w:spacing w:before="120" w:line="360" w:lineRule="auto"/>
        <w:jc w:val="both"/>
        <w:rPr>
          <w:rFonts w:ascii="Times New Roman" w:hAnsi="Times New Roman" w:cs="Times New Roman"/>
        </w:rPr>
      </w:pPr>
    </w:p>
    <w:p w14:paraId="4E08A5A2" w14:textId="77777777" w:rsidR="009279CF" w:rsidRDefault="009279CF" w:rsidP="009279CF">
      <w:pPr>
        <w:spacing w:before="120" w:line="360" w:lineRule="auto"/>
        <w:jc w:val="both"/>
        <w:rPr>
          <w:rFonts w:ascii="Times New Roman" w:hAnsi="Times New Roman" w:cs="Times New Roman"/>
        </w:rPr>
      </w:pPr>
    </w:p>
    <w:p w14:paraId="40EB118E" w14:textId="77777777" w:rsidR="003A6367" w:rsidRDefault="003A6367" w:rsidP="009279CF">
      <w:pPr>
        <w:spacing w:before="120" w:line="360" w:lineRule="auto"/>
        <w:jc w:val="both"/>
        <w:rPr>
          <w:rFonts w:ascii="Times New Roman" w:hAnsi="Times New Roman" w:cs="Times New Roman"/>
        </w:rPr>
      </w:pPr>
    </w:p>
    <w:p w14:paraId="2D9921B8" w14:textId="77777777" w:rsidR="00B832A2" w:rsidRDefault="00B832A2" w:rsidP="00D17E4F">
      <w:pPr>
        <w:pStyle w:val="Nadpis1"/>
        <w:rPr>
          <w:rFonts w:ascii="Times New Roman" w:eastAsiaTheme="minorEastAsia" w:hAnsi="Times New Roman" w:cs="Times New Roman"/>
          <w:b w:val="0"/>
          <w:bCs w:val="0"/>
          <w:color w:val="auto"/>
          <w:sz w:val="24"/>
          <w:szCs w:val="24"/>
        </w:rPr>
      </w:pPr>
    </w:p>
    <w:p w14:paraId="66AF53BA" w14:textId="77777777" w:rsidR="00B832A2" w:rsidRDefault="00B832A2" w:rsidP="00B832A2"/>
    <w:p w14:paraId="6F2BF623" w14:textId="77777777" w:rsidR="00B832A2" w:rsidRDefault="00B832A2" w:rsidP="00B832A2"/>
    <w:p w14:paraId="048E8851" w14:textId="77777777" w:rsidR="00B832A2" w:rsidRDefault="00B832A2" w:rsidP="00B832A2"/>
    <w:p w14:paraId="6B10389B" w14:textId="77777777" w:rsidR="00B832A2" w:rsidRDefault="00B832A2" w:rsidP="00B832A2"/>
    <w:p w14:paraId="68588073" w14:textId="77777777" w:rsidR="00B832A2" w:rsidRDefault="00B832A2" w:rsidP="00B832A2"/>
    <w:p w14:paraId="2644BC95" w14:textId="77777777" w:rsidR="00B832A2" w:rsidRDefault="00B832A2" w:rsidP="00B832A2"/>
    <w:p w14:paraId="36035CD2" w14:textId="77777777" w:rsidR="00B832A2" w:rsidRDefault="00B832A2" w:rsidP="00B832A2"/>
    <w:p w14:paraId="3A0CC313" w14:textId="77777777" w:rsidR="00B832A2" w:rsidRDefault="00B832A2" w:rsidP="00B832A2"/>
    <w:p w14:paraId="16A48121" w14:textId="77777777" w:rsidR="00B832A2" w:rsidRDefault="00B832A2" w:rsidP="00B832A2"/>
    <w:p w14:paraId="3FFA7E91" w14:textId="77777777" w:rsidR="00B832A2" w:rsidRDefault="00B832A2" w:rsidP="00B832A2"/>
    <w:p w14:paraId="07D667A2" w14:textId="77777777" w:rsidR="00B832A2" w:rsidRDefault="00B832A2" w:rsidP="00B832A2"/>
    <w:p w14:paraId="475254FE" w14:textId="77777777" w:rsidR="00B832A2" w:rsidRDefault="00B832A2" w:rsidP="00B832A2"/>
    <w:p w14:paraId="3C937562" w14:textId="77777777" w:rsidR="00B832A2" w:rsidRDefault="00B832A2" w:rsidP="00B832A2"/>
    <w:p w14:paraId="000AF3AB" w14:textId="77777777" w:rsidR="00B832A2" w:rsidRDefault="00B832A2" w:rsidP="00B832A2"/>
    <w:p w14:paraId="3F328A0A" w14:textId="77777777" w:rsidR="00B832A2" w:rsidRDefault="00B832A2" w:rsidP="00B832A2"/>
    <w:p w14:paraId="10E66DD7" w14:textId="77777777" w:rsidR="00B832A2" w:rsidRDefault="00B832A2" w:rsidP="00B832A2"/>
    <w:p w14:paraId="3D029014" w14:textId="77777777" w:rsidR="0091213C" w:rsidRPr="0091213C" w:rsidRDefault="0091213C" w:rsidP="00D17E4F">
      <w:pPr>
        <w:pStyle w:val="Nadpis1"/>
        <w:rPr>
          <w:rFonts w:ascii="Times New Roman" w:hAnsi="Times New Roman" w:cs="Times New Roman"/>
          <w:sz w:val="24"/>
          <w:szCs w:val="24"/>
        </w:rPr>
      </w:pPr>
    </w:p>
    <w:p w14:paraId="265E1780" w14:textId="77777777" w:rsidR="0091213C" w:rsidRPr="0091213C" w:rsidRDefault="0091213C" w:rsidP="00D17E4F">
      <w:pPr>
        <w:pStyle w:val="Nadpis1"/>
        <w:rPr>
          <w:rFonts w:ascii="Times New Roman" w:hAnsi="Times New Roman" w:cs="Times New Roman"/>
          <w:sz w:val="24"/>
          <w:szCs w:val="24"/>
        </w:rPr>
      </w:pPr>
    </w:p>
    <w:p w14:paraId="02B840E0" w14:textId="77777777" w:rsidR="0091213C" w:rsidRPr="0091213C" w:rsidRDefault="0091213C" w:rsidP="00D17E4F">
      <w:pPr>
        <w:pStyle w:val="Nadpis1"/>
        <w:rPr>
          <w:rFonts w:ascii="Times New Roman" w:hAnsi="Times New Roman" w:cs="Times New Roman"/>
          <w:sz w:val="24"/>
          <w:szCs w:val="24"/>
        </w:rPr>
      </w:pPr>
    </w:p>
    <w:p w14:paraId="0DD6942C" w14:textId="77777777" w:rsidR="0091213C" w:rsidRDefault="0091213C" w:rsidP="0091213C"/>
    <w:p w14:paraId="19BC52A9" w14:textId="77777777" w:rsidR="005960E2" w:rsidRDefault="005960E2" w:rsidP="0091213C"/>
    <w:p w14:paraId="68BBECD1" w14:textId="77777777" w:rsidR="005960E2" w:rsidRDefault="005960E2" w:rsidP="0091213C"/>
    <w:p w14:paraId="0C78FC73" w14:textId="77777777" w:rsidR="005960E2" w:rsidRDefault="005960E2" w:rsidP="0091213C"/>
    <w:p w14:paraId="7BFF12AE" w14:textId="77777777" w:rsidR="0091213C" w:rsidRPr="0091213C" w:rsidRDefault="0091213C" w:rsidP="0091213C"/>
    <w:p w14:paraId="2EC49C9B" w14:textId="53D31F41" w:rsidR="00180B4B" w:rsidRDefault="00BA26E0" w:rsidP="00D17E4F">
      <w:pPr>
        <w:pStyle w:val="Nadpis1"/>
      </w:pPr>
      <w:bookmarkStart w:id="18" w:name="_Toc398662584"/>
      <w:r>
        <w:lastRenderedPageBreak/>
        <w:t>2. Analýza dalšího vzdělávání v České republice</w:t>
      </w:r>
      <w:bookmarkEnd w:id="18"/>
    </w:p>
    <w:p w14:paraId="0001C3FF" w14:textId="0D8BC31E" w:rsidR="00E2054F" w:rsidRDefault="00E2054F" w:rsidP="00BA26E0">
      <w:pPr>
        <w:spacing w:before="120" w:line="360" w:lineRule="auto"/>
        <w:jc w:val="both"/>
        <w:rPr>
          <w:rFonts w:ascii="Times New Roman" w:hAnsi="Times New Roman" w:cs="Times New Roman"/>
        </w:rPr>
      </w:pPr>
      <w:r>
        <w:rPr>
          <w:rFonts w:ascii="Times New Roman" w:hAnsi="Times New Roman" w:cs="Times New Roman"/>
        </w:rPr>
        <w:t>Dosažená úroveň vzdělání ve společnosti a kvalita poskytovaného vzdělávání (kvalita vzdělávacího systému) jsou hlavními předpoklady</w:t>
      </w:r>
      <w:r w:rsidR="00F028F5">
        <w:rPr>
          <w:rFonts w:ascii="Times New Roman" w:hAnsi="Times New Roman" w:cs="Times New Roman"/>
        </w:rPr>
        <w:t xml:space="preserve"> budování znalostní společnosti,</w:t>
      </w:r>
      <w:r>
        <w:rPr>
          <w:rFonts w:ascii="Times New Roman" w:hAnsi="Times New Roman" w:cs="Times New Roman"/>
        </w:rPr>
        <w:t xml:space="preserve"> zvyšování ekonomické výkonnosti a konkurenceschopnosti země. Přes tato tvrzení, která byla nesčetněkrát ověřena řadou empirických studií</w:t>
      </w:r>
      <w:r w:rsidR="005246EC">
        <w:rPr>
          <w:rFonts w:ascii="Times New Roman" w:hAnsi="Times New Roman" w:cs="Times New Roman"/>
        </w:rPr>
        <w:t>,</w:t>
      </w:r>
      <w:r>
        <w:rPr>
          <w:rFonts w:ascii="Times New Roman" w:hAnsi="Times New Roman" w:cs="Times New Roman"/>
        </w:rPr>
        <w:t xml:space="preserve"> je problematika vzdělávání v České republice stále na okraji zájmu vrcholné politiky </w:t>
      </w:r>
      <w:r w:rsidR="005246EC">
        <w:rPr>
          <w:rFonts w:ascii="Times New Roman" w:hAnsi="Times New Roman" w:cs="Times New Roman"/>
        </w:rPr>
        <w:t xml:space="preserve">(žádná z vlád, které se od roku 1989 vystřídaly, nestanovily jako svou prioritu vzdělávací systém). Přitom dlouhodobě </w:t>
      </w:r>
      <w:r w:rsidR="00A414DB">
        <w:rPr>
          <w:rFonts w:ascii="Times New Roman" w:hAnsi="Times New Roman" w:cs="Times New Roman"/>
        </w:rPr>
        <w:t xml:space="preserve">je </w:t>
      </w:r>
      <w:r w:rsidR="005246EC">
        <w:rPr>
          <w:rFonts w:ascii="Times New Roman" w:hAnsi="Times New Roman" w:cs="Times New Roman"/>
        </w:rPr>
        <w:t>nejmenší pozornost věnována celoživotnímu učení</w:t>
      </w:r>
      <w:r w:rsidR="00A414DB">
        <w:rPr>
          <w:rFonts w:ascii="Times New Roman" w:hAnsi="Times New Roman" w:cs="Times New Roman"/>
        </w:rPr>
        <w:t xml:space="preserve"> (včetně dalšího vzdělávání), které se v </w:t>
      </w:r>
      <w:r w:rsidR="005246EC">
        <w:rPr>
          <w:rFonts w:ascii="Times New Roman" w:hAnsi="Times New Roman" w:cs="Times New Roman"/>
        </w:rPr>
        <w:t>podmí</w:t>
      </w:r>
      <w:r w:rsidR="00A414DB">
        <w:rPr>
          <w:rFonts w:ascii="Times New Roman" w:hAnsi="Times New Roman" w:cs="Times New Roman"/>
        </w:rPr>
        <w:t>nkách rychle se měnící ekonomiky stává klíčovou oblastí vzdělávání.</w:t>
      </w:r>
    </w:p>
    <w:p w14:paraId="29D55932" w14:textId="2225062D" w:rsidR="00A414DB" w:rsidRDefault="00A414DB" w:rsidP="00BA26E0">
      <w:pPr>
        <w:spacing w:before="120" w:line="360" w:lineRule="auto"/>
        <w:jc w:val="both"/>
        <w:rPr>
          <w:rFonts w:ascii="Times New Roman" w:hAnsi="Times New Roman" w:cs="Times New Roman"/>
        </w:rPr>
      </w:pPr>
      <w:r w:rsidRPr="0022760C">
        <w:rPr>
          <w:rFonts w:ascii="Times New Roman" w:hAnsi="Times New Roman" w:cs="Times New Roman"/>
          <w:b/>
        </w:rPr>
        <w:t>Účast dospělých osob na dalším vzdělávání je determinována řadou</w:t>
      </w:r>
      <w:r>
        <w:rPr>
          <w:rFonts w:ascii="Times New Roman" w:hAnsi="Times New Roman" w:cs="Times New Roman"/>
        </w:rPr>
        <w:t xml:space="preserve"> </w:t>
      </w:r>
      <w:r w:rsidRPr="0022760C">
        <w:rPr>
          <w:rFonts w:ascii="Times New Roman" w:hAnsi="Times New Roman" w:cs="Times New Roman"/>
          <w:b/>
        </w:rPr>
        <w:t>faktorů</w:t>
      </w:r>
      <w:r>
        <w:rPr>
          <w:rFonts w:ascii="Times New Roman" w:hAnsi="Times New Roman" w:cs="Times New Roman"/>
        </w:rPr>
        <w:t>, zejména:</w:t>
      </w:r>
    </w:p>
    <w:p w14:paraId="016AA6F2" w14:textId="423551B7" w:rsidR="00A414DB" w:rsidRDefault="00CF6245" w:rsidP="00E94B9D">
      <w:pPr>
        <w:pStyle w:val="Odstavecseseznamem"/>
        <w:numPr>
          <w:ilvl w:val="0"/>
          <w:numId w:val="18"/>
        </w:numPr>
        <w:spacing w:before="120" w:line="360" w:lineRule="auto"/>
        <w:jc w:val="both"/>
        <w:rPr>
          <w:rFonts w:ascii="Times New Roman" w:hAnsi="Times New Roman" w:cs="Times New Roman"/>
        </w:rPr>
      </w:pPr>
      <w:r w:rsidRPr="00CD0037">
        <w:rPr>
          <w:rFonts w:ascii="Times New Roman" w:hAnsi="Times New Roman" w:cs="Times New Roman"/>
          <w:i/>
        </w:rPr>
        <w:t>Celkovou vzdělanostní strukturou ve společnosti</w:t>
      </w:r>
      <w:r>
        <w:rPr>
          <w:rFonts w:ascii="Times New Roman" w:hAnsi="Times New Roman" w:cs="Times New Roman"/>
        </w:rPr>
        <w:t xml:space="preserve"> – část populace nedosahuje dostatečného vzdělání v průběhu počátečního vzdělávání. </w:t>
      </w:r>
    </w:p>
    <w:p w14:paraId="1D7F92F4" w14:textId="4B2E669C" w:rsidR="00CF6245" w:rsidRDefault="00CF6245" w:rsidP="00E94B9D">
      <w:pPr>
        <w:pStyle w:val="Odstavecseseznamem"/>
        <w:numPr>
          <w:ilvl w:val="0"/>
          <w:numId w:val="18"/>
        </w:numPr>
        <w:spacing w:before="120" w:line="360" w:lineRule="auto"/>
        <w:jc w:val="both"/>
        <w:rPr>
          <w:rFonts w:ascii="Times New Roman" w:hAnsi="Times New Roman" w:cs="Times New Roman"/>
        </w:rPr>
      </w:pPr>
      <w:r w:rsidRPr="00CD0037">
        <w:rPr>
          <w:rFonts w:ascii="Times New Roman" w:hAnsi="Times New Roman" w:cs="Times New Roman"/>
          <w:i/>
        </w:rPr>
        <w:t>Přínosem vzdělávání na trhu práce</w:t>
      </w:r>
      <w:r>
        <w:rPr>
          <w:rFonts w:ascii="Times New Roman" w:hAnsi="Times New Roman" w:cs="Times New Roman"/>
        </w:rPr>
        <w:t xml:space="preserve"> – náklady jedince na vzdělávání (</w:t>
      </w:r>
      <w:r w:rsidR="000B20BF">
        <w:rPr>
          <w:rFonts w:ascii="Times New Roman" w:hAnsi="Times New Roman" w:cs="Times New Roman"/>
        </w:rPr>
        <w:t>volný čas, osobní úsilí, finance ap.) musí být vyváženy dostatečným přínosem na trhu práce (vyšším příjmem, větší společenskou prestiží – tzv. vzestupnou sociální mobilitou, nižší mírou ohrožení ztrátou zaměstnání).</w:t>
      </w:r>
    </w:p>
    <w:p w14:paraId="75BC12E9" w14:textId="46A5B32D" w:rsidR="000B20BF" w:rsidRDefault="000B20BF" w:rsidP="00E94B9D">
      <w:pPr>
        <w:pStyle w:val="Odstavecseseznamem"/>
        <w:numPr>
          <w:ilvl w:val="0"/>
          <w:numId w:val="18"/>
        </w:numPr>
        <w:spacing w:before="120" w:line="360" w:lineRule="auto"/>
        <w:jc w:val="both"/>
        <w:rPr>
          <w:rFonts w:ascii="Times New Roman" w:hAnsi="Times New Roman" w:cs="Times New Roman"/>
        </w:rPr>
      </w:pPr>
      <w:r w:rsidRPr="00CD0037">
        <w:rPr>
          <w:rFonts w:ascii="Times New Roman" w:hAnsi="Times New Roman" w:cs="Times New Roman"/>
          <w:i/>
        </w:rPr>
        <w:t>Dostatečnou nabídkou programů dalšího vzdělávání</w:t>
      </w:r>
      <w:r w:rsidR="00CD0037">
        <w:rPr>
          <w:rFonts w:ascii="Times New Roman" w:hAnsi="Times New Roman" w:cs="Times New Roman"/>
        </w:rPr>
        <w:t xml:space="preserve"> – ve společnosti by měl</w:t>
      </w:r>
      <w:r>
        <w:rPr>
          <w:rFonts w:ascii="Times New Roman" w:hAnsi="Times New Roman" w:cs="Times New Roman"/>
        </w:rPr>
        <w:t xml:space="preserve"> fungovat dostatek institucí poskytujících vzdělávací programy, které mohou dospělí využít ke </w:t>
      </w:r>
      <w:r w:rsidR="003F1081">
        <w:rPr>
          <w:rFonts w:ascii="Times New Roman" w:hAnsi="Times New Roman" w:cs="Times New Roman"/>
        </w:rPr>
        <w:t>zvýšení své kvalifikace či k její změně. Obsah vzdělávacích programů musí být úzce navázán na potřeby praxe.</w:t>
      </w:r>
      <w:r w:rsidR="00EB281D">
        <w:rPr>
          <w:rFonts w:ascii="Times New Roman" w:hAnsi="Times New Roman" w:cs="Times New Roman"/>
        </w:rPr>
        <w:t xml:space="preserve">  </w:t>
      </w:r>
    </w:p>
    <w:p w14:paraId="5701C66A" w14:textId="32031D21" w:rsidR="006E64EE" w:rsidRDefault="00BD1C82" w:rsidP="00E94B9D">
      <w:pPr>
        <w:pStyle w:val="Odstavecseseznamem"/>
        <w:numPr>
          <w:ilvl w:val="0"/>
          <w:numId w:val="18"/>
        </w:numPr>
        <w:spacing w:before="120" w:line="360" w:lineRule="auto"/>
        <w:jc w:val="both"/>
        <w:rPr>
          <w:rFonts w:ascii="Times New Roman" w:hAnsi="Times New Roman" w:cs="Times New Roman"/>
        </w:rPr>
      </w:pPr>
      <w:r w:rsidRPr="00CD0037">
        <w:rPr>
          <w:rFonts w:ascii="Times New Roman" w:hAnsi="Times New Roman" w:cs="Times New Roman"/>
          <w:i/>
        </w:rPr>
        <w:t>Nabídkou</w:t>
      </w:r>
      <w:r w:rsidR="006E64EE" w:rsidRPr="00CD0037">
        <w:rPr>
          <w:rFonts w:ascii="Times New Roman" w:hAnsi="Times New Roman" w:cs="Times New Roman"/>
          <w:i/>
        </w:rPr>
        <w:t xml:space="preserve"> podnikového vzdělávání</w:t>
      </w:r>
      <w:r w:rsidR="006E64EE">
        <w:rPr>
          <w:rFonts w:ascii="Times New Roman" w:hAnsi="Times New Roman" w:cs="Times New Roman"/>
        </w:rPr>
        <w:t xml:space="preserve"> </w:t>
      </w:r>
      <w:r>
        <w:rPr>
          <w:rFonts w:ascii="Times New Roman" w:hAnsi="Times New Roman" w:cs="Times New Roman"/>
        </w:rPr>
        <w:t>–</w:t>
      </w:r>
      <w:r w:rsidR="006E64EE">
        <w:rPr>
          <w:rFonts w:ascii="Times New Roman" w:hAnsi="Times New Roman" w:cs="Times New Roman"/>
        </w:rPr>
        <w:t xml:space="preserve"> </w:t>
      </w:r>
      <w:r>
        <w:rPr>
          <w:rFonts w:ascii="Times New Roman" w:hAnsi="Times New Roman" w:cs="Times New Roman"/>
        </w:rPr>
        <w:t>vzdělávání v rámci podniků je zaměřeno především na získání znalostí, schopností a doved</w:t>
      </w:r>
      <w:r w:rsidR="00CD0037">
        <w:rPr>
          <w:rFonts w:ascii="Times New Roman" w:hAnsi="Times New Roman" w:cs="Times New Roman"/>
        </w:rPr>
        <w:t>ností (kompetencí), kterými by měl</w:t>
      </w:r>
      <w:r>
        <w:rPr>
          <w:rFonts w:ascii="Times New Roman" w:hAnsi="Times New Roman" w:cs="Times New Roman"/>
        </w:rPr>
        <w:t xml:space="preserve"> zaměstnanec disponovat, aby mohl efektivně vykonávat svou práci. Podnikové vzdělávací programy přispívají k vyšší mobilitě pracovníků v rámci podniku, k jejich stabilitě a větší motivaci (kariérní růst). </w:t>
      </w:r>
    </w:p>
    <w:p w14:paraId="1748C763" w14:textId="2DD9D008" w:rsidR="00EB281D" w:rsidRDefault="00EB281D" w:rsidP="00EB281D">
      <w:pPr>
        <w:spacing w:before="120" w:line="360" w:lineRule="auto"/>
        <w:jc w:val="both"/>
        <w:rPr>
          <w:rFonts w:ascii="Times New Roman" w:hAnsi="Times New Roman" w:cs="Times New Roman"/>
        </w:rPr>
      </w:pPr>
      <w:r>
        <w:rPr>
          <w:rFonts w:ascii="Times New Roman" w:hAnsi="Times New Roman" w:cs="Times New Roman"/>
        </w:rPr>
        <w:t>K těmto základním faktorům přist</w:t>
      </w:r>
      <w:r w:rsidR="003B62D5">
        <w:rPr>
          <w:rFonts w:ascii="Times New Roman" w:hAnsi="Times New Roman" w:cs="Times New Roman"/>
        </w:rPr>
        <w:t>upuje ale ještě řada dalších, z nichž mnohé jsou složitě identifikovatelné a měřitelné. Ochota vzdělávat se v dospělém věku buď v rámci svého zaměstnání (s cílem snížit riziko ztráty zaměstnání), nebo ochota získat novou kvalifikaci (s cílem ukončit nezaměstnanost a opět vstoupit na trh práce, popř. i dojíždět za prací)</w:t>
      </w:r>
      <w:r>
        <w:rPr>
          <w:rFonts w:ascii="Times New Roman" w:hAnsi="Times New Roman" w:cs="Times New Roman"/>
        </w:rPr>
        <w:t xml:space="preserve"> </w:t>
      </w:r>
      <w:r w:rsidR="007B0381">
        <w:rPr>
          <w:rFonts w:ascii="Times New Roman" w:hAnsi="Times New Roman" w:cs="Times New Roman"/>
        </w:rPr>
        <w:t xml:space="preserve">může být ovlivněna </w:t>
      </w:r>
      <w:r>
        <w:rPr>
          <w:rFonts w:ascii="Times New Roman" w:hAnsi="Times New Roman" w:cs="Times New Roman"/>
        </w:rPr>
        <w:t xml:space="preserve">například </w:t>
      </w:r>
      <w:r w:rsidR="007B0381">
        <w:rPr>
          <w:rFonts w:ascii="Times New Roman" w:hAnsi="Times New Roman" w:cs="Times New Roman"/>
        </w:rPr>
        <w:t xml:space="preserve">také celkovým </w:t>
      </w:r>
      <w:r w:rsidR="003B62D5">
        <w:rPr>
          <w:rFonts w:ascii="Times New Roman" w:hAnsi="Times New Roman" w:cs="Times New Roman"/>
        </w:rPr>
        <w:t>vývoj</w:t>
      </w:r>
      <w:r w:rsidR="007B0381">
        <w:rPr>
          <w:rFonts w:ascii="Times New Roman" w:hAnsi="Times New Roman" w:cs="Times New Roman"/>
        </w:rPr>
        <w:t xml:space="preserve">em na trhu </w:t>
      </w:r>
      <w:r w:rsidR="007B0381">
        <w:rPr>
          <w:rFonts w:ascii="Times New Roman" w:hAnsi="Times New Roman" w:cs="Times New Roman"/>
        </w:rPr>
        <w:lastRenderedPageBreak/>
        <w:t xml:space="preserve">práce, úrovní dosaženého vzdělání a celkovým </w:t>
      </w:r>
      <w:r w:rsidR="003B62D5">
        <w:rPr>
          <w:rFonts w:ascii="Times New Roman" w:hAnsi="Times New Roman" w:cs="Times New Roman"/>
        </w:rPr>
        <w:t>sociální</w:t>
      </w:r>
      <w:r w:rsidR="007B0381">
        <w:rPr>
          <w:rFonts w:ascii="Times New Roman" w:hAnsi="Times New Roman" w:cs="Times New Roman"/>
        </w:rPr>
        <w:t>m</w:t>
      </w:r>
      <w:r w:rsidR="003B62D5">
        <w:rPr>
          <w:rFonts w:ascii="Times New Roman" w:hAnsi="Times New Roman" w:cs="Times New Roman"/>
        </w:rPr>
        <w:t xml:space="preserve"> zázemí</w:t>
      </w:r>
      <w:r w:rsidR="007B0381">
        <w:rPr>
          <w:rFonts w:ascii="Times New Roman" w:hAnsi="Times New Roman" w:cs="Times New Roman"/>
        </w:rPr>
        <w:t>m</w:t>
      </w:r>
      <w:r w:rsidR="003B62D5">
        <w:rPr>
          <w:rFonts w:ascii="Times New Roman" w:hAnsi="Times New Roman" w:cs="Times New Roman"/>
        </w:rPr>
        <w:t xml:space="preserve"> jedince, </w:t>
      </w:r>
      <w:r w:rsidR="007B0381">
        <w:rPr>
          <w:rFonts w:ascii="Times New Roman" w:hAnsi="Times New Roman" w:cs="Times New Roman"/>
        </w:rPr>
        <w:t>finančními náklady spojenými s dalším vzděláváním, poměrem výše sociálních dávek k možnému výdělku, zadlužením jedince – neochotou vstoupit na trh práce (preference práce „na černo“)</w:t>
      </w:r>
      <w:r w:rsidR="00CD0037">
        <w:rPr>
          <w:rFonts w:ascii="Times New Roman" w:hAnsi="Times New Roman" w:cs="Times New Roman"/>
        </w:rPr>
        <w:t>, situací na trhu s byty a nájemními byty,</w:t>
      </w:r>
      <w:r w:rsidR="007B0381">
        <w:rPr>
          <w:rFonts w:ascii="Times New Roman" w:hAnsi="Times New Roman" w:cs="Times New Roman"/>
        </w:rPr>
        <w:t xml:space="preserve"> atd. V dalším textu se zaměřím</w:t>
      </w:r>
      <w:r w:rsidR="00CD0037">
        <w:rPr>
          <w:rFonts w:ascii="Times New Roman" w:hAnsi="Times New Roman" w:cs="Times New Roman"/>
        </w:rPr>
        <w:t>e na uvedené základní</w:t>
      </w:r>
      <w:r w:rsidR="007B0381">
        <w:rPr>
          <w:rFonts w:ascii="Times New Roman" w:hAnsi="Times New Roman" w:cs="Times New Roman"/>
        </w:rPr>
        <w:t xml:space="preserve"> faktory blíže.</w:t>
      </w:r>
    </w:p>
    <w:p w14:paraId="50008E24" w14:textId="27A7CAC4" w:rsidR="007B0381" w:rsidRDefault="0022760C" w:rsidP="0022760C">
      <w:pPr>
        <w:pStyle w:val="Nadpis2"/>
      </w:pPr>
      <w:bookmarkStart w:id="19" w:name="_Toc398662585"/>
      <w:r>
        <w:t>2.1</w:t>
      </w:r>
      <w:r w:rsidR="007B0381">
        <w:t xml:space="preserve"> </w:t>
      </w:r>
      <w:r w:rsidR="002D66BA">
        <w:t>Vzdělanostní struktura v České republice</w:t>
      </w:r>
      <w:bookmarkEnd w:id="19"/>
    </w:p>
    <w:p w14:paraId="0CA0A7F3" w14:textId="0327627F" w:rsidR="002D66BA" w:rsidRDefault="00920F4C" w:rsidP="00EB281D">
      <w:pPr>
        <w:spacing w:before="120" w:line="360" w:lineRule="auto"/>
        <w:jc w:val="both"/>
        <w:rPr>
          <w:rFonts w:ascii="Times New Roman" w:hAnsi="Times New Roman" w:cs="Times New Roman"/>
        </w:rPr>
      </w:pPr>
      <w:r>
        <w:rPr>
          <w:rFonts w:ascii="Times New Roman" w:hAnsi="Times New Roman" w:cs="Times New Roman"/>
        </w:rPr>
        <w:t>V</w:t>
      </w:r>
      <w:r w:rsidR="00F931DA">
        <w:rPr>
          <w:rFonts w:ascii="Times New Roman" w:hAnsi="Times New Roman" w:cs="Times New Roman"/>
        </w:rPr>
        <w:t>zdělanostní struktura v České republice je výsledkem převážně počátečního vzdělávání. K jejím velkým výhodám patří zejména vysoký podíl obyvatel se středoškolským/</w:t>
      </w:r>
      <w:r w:rsidR="00CD0037">
        <w:rPr>
          <w:rFonts w:ascii="Times New Roman" w:hAnsi="Times New Roman" w:cs="Times New Roman"/>
        </w:rPr>
        <w:t>sekund</w:t>
      </w:r>
      <w:r w:rsidR="003F4A2C">
        <w:rPr>
          <w:rFonts w:ascii="Times New Roman" w:hAnsi="Times New Roman" w:cs="Times New Roman"/>
        </w:rPr>
        <w:t>árním vzděláním (viz Obr. 1</w:t>
      </w:r>
      <w:r w:rsidR="00F931DA">
        <w:rPr>
          <w:rFonts w:ascii="Times New Roman" w:hAnsi="Times New Roman" w:cs="Times New Roman"/>
        </w:rPr>
        <w:t>.2) a také malé procento osob, které předčasně opouštějí vzdělávací systém (viz Obr. 1.3).</w:t>
      </w:r>
    </w:p>
    <w:p w14:paraId="5ADD42E7" w14:textId="3BAEF785" w:rsidR="00F931DA" w:rsidRDefault="00F931DA" w:rsidP="00EB281D">
      <w:pPr>
        <w:spacing w:before="120" w:line="360" w:lineRule="auto"/>
        <w:jc w:val="both"/>
        <w:rPr>
          <w:rFonts w:ascii="Times New Roman" w:hAnsi="Times New Roman" w:cs="Times New Roman"/>
        </w:rPr>
      </w:pPr>
      <w:r>
        <w:rPr>
          <w:rFonts w:ascii="Times New Roman" w:hAnsi="Times New Roman" w:cs="Times New Roman"/>
        </w:rPr>
        <w:t>Bližší pohled na vzdělanost</w:t>
      </w:r>
      <w:r w:rsidR="00F11987">
        <w:rPr>
          <w:rFonts w:ascii="Times New Roman" w:hAnsi="Times New Roman" w:cs="Times New Roman"/>
        </w:rPr>
        <w:t>ní strukturu poskytují Obráz</w:t>
      </w:r>
      <w:r w:rsidR="003F4A2C">
        <w:rPr>
          <w:rFonts w:ascii="Times New Roman" w:hAnsi="Times New Roman" w:cs="Times New Roman"/>
        </w:rPr>
        <w:t>k</w:t>
      </w:r>
      <w:r w:rsidR="00F11987">
        <w:rPr>
          <w:rFonts w:ascii="Times New Roman" w:hAnsi="Times New Roman" w:cs="Times New Roman"/>
        </w:rPr>
        <w:t>y</w:t>
      </w:r>
      <w:r w:rsidR="003F4A2C">
        <w:rPr>
          <w:rFonts w:ascii="Times New Roman" w:hAnsi="Times New Roman" w:cs="Times New Roman"/>
        </w:rPr>
        <w:t xml:space="preserve"> 2.1</w:t>
      </w:r>
      <w:r w:rsidR="00F11987">
        <w:rPr>
          <w:rFonts w:ascii="Times New Roman" w:hAnsi="Times New Roman" w:cs="Times New Roman"/>
        </w:rPr>
        <w:t xml:space="preserve"> a 2.2</w:t>
      </w:r>
      <w:r>
        <w:rPr>
          <w:rFonts w:ascii="Times New Roman" w:hAnsi="Times New Roman" w:cs="Times New Roman"/>
        </w:rPr>
        <w:t>.</w:t>
      </w:r>
    </w:p>
    <w:p w14:paraId="20524D4D" w14:textId="310AAF94" w:rsidR="00AF4B3F" w:rsidRDefault="003F4A2C" w:rsidP="00EB281D">
      <w:pPr>
        <w:spacing w:before="120" w:line="360" w:lineRule="auto"/>
        <w:jc w:val="both"/>
        <w:rPr>
          <w:rFonts w:ascii="Times New Roman" w:hAnsi="Times New Roman" w:cs="Times New Roman"/>
        </w:rPr>
      </w:pPr>
      <w:r>
        <w:rPr>
          <w:rFonts w:ascii="Times New Roman" w:hAnsi="Times New Roman" w:cs="Times New Roman"/>
        </w:rPr>
        <w:t>Obrázek 2.1</w:t>
      </w:r>
      <w:r w:rsidR="00AF4B3F">
        <w:rPr>
          <w:rFonts w:ascii="Times New Roman" w:hAnsi="Times New Roman" w:cs="Times New Roman"/>
        </w:rPr>
        <w:t xml:space="preserve"> </w:t>
      </w:r>
      <w:r w:rsidR="00AF4B3F" w:rsidRPr="00AF4B3F">
        <w:rPr>
          <w:rFonts w:ascii="Times New Roman" w:hAnsi="Times New Roman" w:cs="Times New Roman"/>
          <w:b/>
        </w:rPr>
        <w:t>Vzdělanostní</w:t>
      </w:r>
      <w:r w:rsidR="00AF4B3F">
        <w:rPr>
          <w:rFonts w:ascii="Times New Roman" w:hAnsi="Times New Roman" w:cs="Times New Roman"/>
        </w:rPr>
        <w:t xml:space="preserve"> </w:t>
      </w:r>
      <w:r w:rsidR="00AF4B3F" w:rsidRPr="00AF4B3F">
        <w:rPr>
          <w:rFonts w:ascii="Times New Roman" w:hAnsi="Times New Roman" w:cs="Times New Roman"/>
          <w:b/>
        </w:rPr>
        <w:t>struktura</w:t>
      </w:r>
      <w:r w:rsidR="00AF4B3F">
        <w:rPr>
          <w:rFonts w:ascii="Times New Roman" w:hAnsi="Times New Roman" w:cs="Times New Roman"/>
        </w:rPr>
        <w:t xml:space="preserve"> </w:t>
      </w:r>
      <w:r w:rsidR="00AF4B3F" w:rsidRPr="00AF4B3F">
        <w:rPr>
          <w:rFonts w:ascii="Times New Roman" w:hAnsi="Times New Roman" w:cs="Times New Roman"/>
          <w:b/>
        </w:rPr>
        <w:t>populace</w:t>
      </w:r>
      <w:r w:rsidR="00AF4B3F">
        <w:rPr>
          <w:rFonts w:ascii="Times New Roman" w:hAnsi="Times New Roman" w:cs="Times New Roman"/>
          <w:b/>
        </w:rPr>
        <w:t xml:space="preserve"> v ČR (2017, 15 let a více)</w:t>
      </w:r>
    </w:p>
    <w:p w14:paraId="4838A325" w14:textId="36AA85B4" w:rsidR="00F931DA" w:rsidRPr="00EB281D" w:rsidRDefault="00D75037" w:rsidP="00EB281D">
      <w:pPr>
        <w:spacing w:before="12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46D824FB" wp14:editId="53F98BE3">
            <wp:extent cx="5274310" cy="3076575"/>
            <wp:effectExtent l="0" t="0" r="3429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9524A2" w14:textId="2E43A824" w:rsidR="00EB281D" w:rsidRPr="00CD0037" w:rsidRDefault="00AF4B3F" w:rsidP="00EB281D">
      <w:pPr>
        <w:spacing w:before="120" w:line="360" w:lineRule="auto"/>
        <w:ind w:left="360"/>
        <w:jc w:val="both"/>
        <w:rPr>
          <w:rFonts w:ascii="Times New Roman" w:hAnsi="Times New Roman" w:cs="Times New Roman"/>
          <w:i/>
          <w:sz w:val="22"/>
          <w:szCs w:val="22"/>
        </w:rPr>
      </w:pPr>
      <w:r w:rsidRPr="00CD0037">
        <w:rPr>
          <w:rFonts w:ascii="Times New Roman" w:hAnsi="Times New Roman" w:cs="Times New Roman"/>
          <w:i/>
          <w:sz w:val="22"/>
          <w:szCs w:val="22"/>
        </w:rPr>
        <w:t xml:space="preserve">Zdroj: ČSÚ (2018), </w:t>
      </w:r>
      <w:r w:rsidR="001367B4" w:rsidRPr="00CD0037">
        <w:rPr>
          <w:rFonts w:ascii="Times New Roman" w:hAnsi="Times New Roman" w:cs="Times New Roman"/>
          <w:i/>
          <w:sz w:val="22"/>
          <w:szCs w:val="22"/>
        </w:rPr>
        <w:t xml:space="preserve">data VŠPS (4. čtvrtletí 2017), </w:t>
      </w:r>
      <w:r w:rsidRPr="00CD0037">
        <w:rPr>
          <w:rFonts w:ascii="Times New Roman" w:hAnsi="Times New Roman" w:cs="Times New Roman"/>
          <w:i/>
          <w:sz w:val="22"/>
          <w:szCs w:val="22"/>
        </w:rPr>
        <w:t>vlastní zpracování.</w:t>
      </w:r>
    </w:p>
    <w:p w14:paraId="7642624A" w14:textId="63816EDD" w:rsidR="001F700E" w:rsidRDefault="00B349FD" w:rsidP="001F700E">
      <w:pPr>
        <w:spacing w:before="120" w:line="360" w:lineRule="auto"/>
        <w:jc w:val="both"/>
        <w:rPr>
          <w:rFonts w:ascii="Times New Roman" w:hAnsi="Times New Roman" w:cs="Times New Roman"/>
        </w:rPr>
      </w:pPr>
      <w:r>
        <w:rPr>
          <w:rFonts w:ascii="Times New Roman" w:hAnsi="Times New Roman" w:cs="Times New Roman"/>
        </w:rPr>
        <w:t xml:space="preserve">Podle </w:t>
      </w:r>
      <w:r w:rsidRPr="001F700E">
        <w:rPr>
          <w:rFonts w:ascii="Times New Roman" w:hAnsi="Times New Roman" w:cs="Times New Roman"/>
          <w:i/>
        </w:rPr>
        <w:t>Výběrového</w:t>
      </w:r>
      <w:r>
        <w:rPr>
          <w:rFonts w:ascii="Times New Roman" w:hAnsi="Times New Roman" w:cs="Times New Roman"/>
        </w:rPr>
        <w:t xml:space="preserve"> </w:t>
      </w:r>
      <w:r w:rsidRPr="001F700E">
        <w:rPr>
          <w:rFonts w:ascii="Times New Roman" w:hAnsi="Times New Roman" w:cs="Times New Roman"/>
          <w:i/>
        </w:rPr>
        <w:t>šetření</w:t>
      </w:r>
      <w:r>
        <w:rPr>
          <w:rFonts w:ascii="Times New Roman" w:hAnsi="Times New Roman" w:cs="Times New Roman"/>
        </w:rPr>
        <w:t xml:space="preserve"> </w:t>
      </w:r>
      <w:r w:rsidRPr="001F700E">
        <w:rPr>
          <w:rFonts w:ascii="Times New Roman" w:hAnsi="Times New Roman" w:cs="Times New Roman"/>
          <w:i/>
        </w:rPr>
        <w:t>pracovních</w:t>
      </w:r>
      <w:r>
        <w:rPr>
          <w:rFonts w:ascii="Times New Roman" w:hAnsi="Times New Roman" w:cs="Times New Roman"/>
        </w:rPr>
        <w:t xml:space="preserve"> </w:t>
      </w:r>
      <w:r w:rsidR="001367B4" w:rsidRPr="001F700E">
        <w:rPr>
          <w:rFonts w:ascii="Times New Roman" w:hAnsi="Times New Roman" w:cs="Times New Roman"/>
          <w:i/>
        </w:rPr>
        <w:t>sil</w:t>
      </w:r>
      <w:r w:rsidR="001367B4">
        <w:rPr>
          <w:rFonts w:ascii="Times New Roman" w:hAnsi="Times New Roman" w:cs="Times New Roman"/>
        </w:rPr>
        <w:t xml:space="preserve"> (VŠPS) </w:t>
      </w:r>
      <w:r>
        <w:rPr>
          <w:rFonts w:ascii="Times New Roman" w:hAnsi="Times New Roman" w:cs="Times New Roman"/>
        </w:rPr>
        <w:t xml:space="preserve">má v české populaci nad 15 let minimálně středoškolské vzdělání celkem 86,3 % obyvatel. Mírné jsou rozdíly mezi muži a ženami. Je sice více žen se základním vzděláním, ale </w:t>
      </w:r>
      <w:r w:rsidR="00807EB5">
        <w:rPr>
          <w:rFonts w:ascii="Times New Roman" w:hAnsi="Times New Roman" w:cs="Times New Roman"/>
        </w:rPr>
        <w:t>ve srovnání s muži větší procento žen má střední vzdělání s maturitou.</w:t>
      </w:r>
      <w:r w:rsidR="00C000EC">
        <w:rPr>
          <w:rFonts w:ascii="Times New Roman" w:hAnsi="Times New Roman" w:cs="Times New Roman"/>
        </w:rPr>
        <w:t xml:space="preserve"> V rámci sekundárního vzdělávání </w:t>
      </w:r>
      <w:r w:rsidR="001F700E">
        <w:rPr>
          <w:rFonts w:ascii="Times New Roman" w:hAnsi="Times New Roman" w:cs="Times New Roman"/>
        </w:rPr>
        <w:t xml:space="preserve">dochází </w:t>
      </w:r>
      <w:r w:rsidR="00C000EC">
        <w:rPr>
          <w:rFonts w:ascii="Times New Roman" w:hAnsi="Times New Roman" w:cs="Times New Roman"/>
        </w:rPr>
        <w:t xml:space="preserve">dlouhodobě </w:t>
      </w:r>
      <w:r w:rsidR="001F700E">
        <w:rPr>
          <w:rFonts w:ascii="Times New Roman" w:hAnsi="Times New Roman" w:cs="Times New Roman"/>
        </w:rPr>
        <w:t>k poklesu počtu absolventů nematuritních oborů a roste počet osob</w:t>
      </w:r>
      <w:r w:rsidR="00C000EC">
        <w:rPr>
          <w:rFonts w:ascii="Times New Roman" w:hAnsi="Times New Roman" w:cs="Times New Roman"/>
        </w:rPr>
        <w:t xml:space="preserve"> s maturitou,</w:t>
      </w:r>
      <w:r w:rsidR="001F700E">
        <w:rPr>
          <w:rFonts w:ascii="Times New Roman" w:hAnsi="Times New Roman" w:cs="Times New Roman"/>
        </w:rPr>
        <w:t xml:space="preserve"> s</w:t>
      </w:r>
      <w:r w:rsidR="00C000EC">
        <w:rPr>
          <w:rFonts w:ascii="Times New Roman" w:hAnsi="Times New Roman" w:cs="Times New Roman"/>
        </w:rPr>
        <w:t>oučasně roste počet osob</w:t>
      </w:r>
      <w:r w:rsidR="001F700E">
        <w:rPr>
          <w:rFonts w:ascii="Times New Roman" w:hAnsi="Times New Roman" w:cs="Times New Roman"/>
        </w:rPr>
        <w:t> </w:t>
      </w:r>
      <w:r w:rsidR="00C000EC">
        <w:rPr>
          <w:rFonts w:ascii="Times New Roman" w:hAnsi="Times New Roman" w:cs="Times New Roman"/>
        </w:rPr>
        <w:t xml:space="preserve">s </w:t>
      </w:r>
      <w:r w:rsidR="001F700E">
        <w:rPr>
          <w:rFonts w:ascii="Times New Roman" w:hAnsi="Times New Roman" w:cs="Times New Roman"/>
        </w:rPr>
        <w:t xml:space="preserve">vysokoškolským vzděláním. </w:t>
      </w:r>
    </w:p>
    <w:p w14:paraId="2FC26F06" w14:textId="47B688C8" w:rsidR="00C000EC" w:rsidRPr="00C000EC" w:rsidRDefault="00523FD2" w:rsidP="00C000EC">
      <w:pPr>
        <w:spacing w:before="120"/>
        <w:jc w:val="both"/>
        <w:rPr>
          <w:rFonts w:asciiTheme="majorHAnsi" w:hAnsiTheme="majorHAnsi" w:cs="Times New Roman"/>
          <w:b/>
          <w:sz w:val="22"/>
          <w:szCs w:val="22"/>
        </w:rPr>
      </w:pPr>
      <w:r>
        <w:rPr>
          <w:rFonts w:asciiTheme="majorHAnsi" w:hAnsiTheme="majorHAnsi" w:cs="Times New Roman"/>
          <w:b/>
          <w:sz w:val="22"/>
          <w:szCs w:val="22"/>
        </w:rPr>
        <w:lastRenderedPageBreak/>
        <w:t>Pro informaci</w:t>
      </w:r>
    </w:p>
    <w:p w14:paraId="3F1B5AC4" w14:textId="6E4FE122" w:rsidR="00F67362" w:rsidRPr="00C000EC" w:rsidRDefault="00F67362" w:rsidP="000A21F4">
      <w:pPr>
        <w:spacing w:before="120"/>
        <w:jc w:val="both"/>
        <w:rPr>
          <w:rFonts w:asciiTheme="majorHAnsi" w:hAnsiTheme="majorHAnsi" w:cs="Times New Roman"/>
          <w:sz w:val="22"/>
          <w:szCs w:val="22"/>
        </w:rPr>
      </w:pPr>
      <w:r w:rsidRPr="00C000EC">
        <w:rPr>
          <w:rFonts w:asciiTheme="majorHAnsi" w:hAnsiTheme="majorHAnsi" w:cs="Times New Roman"/>
          <w:sz w:val="22"/>
          <w:szCs w:val="22"/>
        </w:rPr>
        <w:t>Od počátku nového milénia se vzdělanostní struktura významně změnila</w:t>
      </w:r>
      <w:r w:rsidR="001F700E" w:rsidRPr="00C000EC">
        <w:rPr>
          <w:rFonts w:asciiTheme="majorHAnsi" w:hAnsiTheme="majorHAnsi" w:cs="Times New Roman"/>
          <w:sz w:val="22"/>
          <w:szCs w:val="22"/>
        </w:rPr>
        <w:t xml:space="preserve">. Například podle dat ČSÚ získaných na základě </w:t>
      </w:r>
      <w:r w:rsidR="001F700E" w:rsidRPr="00C000EC">
        <w:rPr>
          <w:rFonts w:asciiTheme="majorHAnsi" w:hAnsiTheme="majorHAnsi" w:cs="Times New Roman"/>
          <w:i/>
          <w:sz w:val="22"/>
          <w:szCs w:val="22"/>
        </w:rPr>
        <w:t>Sčítání</w:t>
      </w:r>
      <w:r w:rsidR="001F700E" w:rsidRPr="00C000EC">
        <w:rPr>
          <w:rFonts w:asciiTheme="majorHAnsi" w:hAnsiTheme="majorHAnsi" w:cs="Times New Roman"/>
          <w:sz w:val="22"/>
          <w:szCs w:val="22"/>
        </w:rPr>
        <w:t xml:space="preserve"> </w:t>
      </w:r>
      <w:r w:rsidR="001F700E" w:rsidRPr="00C000EC">
        <w:rPr>
          <w:rFonts w:asciiTheme="majorHAnsi" w:hAnsiTheme="majorHAnsi" w:cs="Times New Roman"/>
          <w:i/>
          <w:sz w:val="22"/>
          <w:szCs w:val="22"/>
        </w:rPr>
        <w:t>lidu</w:t>
      </w:r>
      <w:r w:rsidR="001F700E" w:rsidRPr="00C000EC">
        <w:rPr>
          <w:rFonts w:asciiTheme="majorHAnsi" w:hAnsiTheme="majorHAnsi" w:cs="Times New Roman"/>
          <w:sz w:val="22"/>
          <w:szCs w:val="22"/>
        </w:rPr>
        <w:t xml:space="preserve">, </w:t>
      </w:r>
      <w:r w:rsidR="001F700E" w:rsidRPr="00C000EC">
        <w:rPr>
          <w:rFonts w:asciiTheme="majorHAnsi" w:hAnsiTheme="majorHAnsi" w:cs="Times New Roman"/>
          <w:i/>
          <w:sz w:val="22"/>
          <w:szCs w:val="22"/>
        </w:rPr>
        <w:t>domů</w:t>
      </w:r>
      <w:r w:rsidR="001F700E" w:rsidRPr="00C000EC">
        <w:rPr>
          <w:rFonts w:asciiTheme="majorHAnsi" w:hAnsiTheme="majorHAnsi" w:cs="Times New Roman"/>
          <w:sz w:val="22"/>
          <w:szCs w:val="22"/>
        </w:rPr>
        <w:t xml:space="preserve"> </w:t>
      </w:r>
      <w:r w:rsidR="001F700E" w:rsidRPr="00C000EC">
        <w:rPr>
          <w:rFonts w:asciiTheme="majorHAnsi" w:hAnsiTheme="majorHAnsi" w:cs="Times New Roman"/>
          <w:i/>
          <w:sz w:val="22"/>
          <w:szCs w:val="22"/>
        </w:rPr>
        <w:t>a</w:t>
      </w:r>
      <w:r w:rsidR="001F700E" w:rsidRPr="00C000EC">
        <w:rPr>
          <w:rFonts w:asciiTheme="majorHAnsi" w:hAnsiTheme="majorHAnsi" w:cs="Times New Roman"/>
          <w:sz w:val="22"/>
          <w:szCs w:val="22"/>
        </w:rPr>
        <w:t xml:space="preserve"> </w:t>
      </w:r>
      <w:r w:rsidR="001F700E" w:rsidRPr="00C000EC">
        <w:rPr>
          <w:rFonts w:asciiTheme="majorHAnsi" w:hAnsiTheme="majorHAnsi" w:cs="Times New Roman"/>
          <w:i/>
          <w:sz w:val="22"/>
          <w:szCs w:val="22"/>
        </w:rPr>
        <w:t>bytů</w:t>
      </w:r>
      <w:r w:rsidRPr="00C000EC">
        <w:rPr>
          <w:rFonts w:asciiTheme="majorHAnsi" w:hAnsiTheme="majorHAnsi" w:cs="Times New Roman"/>
          <w:sz w:val="22"/>
          <w:szCs w:val="22"/>
        </w:rPr>
        <w:t xml:space="preserve"> – </w:t>
      </w:r>
      <w:r w:rsidR="001F700E" w:rsidRPr="00C000EC">
        <w:rPr>
          <w:rFonts w:asciiTheme="majorHAnsi" w:hAnsiTheme="majorHAnsi" w:cs="Times New Roman"/>
          <w:sz w:val="22"/>
          <w:szCs w:val="22"/>
        </w:rPr>
        <w:t xml:space="preserve">bylo </w:t>
      </w:r>
      <w:r w:rsidRPr="00C000EC">
        <w:rPr>
          <w:rFonts w:asciiTheme="majorHAnsi" w:hAnsiTheme="majorHAnsi" w:cs="Times New Roman"/>
          <w:sz w:val="22"/>
          <w:szCs w:val="22"/>
        </w:rPr>
        <w:t>v roce 2001 v celé populaci 23,1 % osob</w:t>
      </w:r>
      <w:r w:rsidR="00D84FD2" w:rsidRPr="00C000EC">
        <w:rPr>
          <w:rFonts w:asciiTheme="majorHAnsi" w:hAnsiTheme="majorHAnsi" w:cs="Times New Roman"/>
          <w:sz w:val="22"/>
          <w:szCs w:val="22"/>
        </w:rPr>
        <w:t xml:space="preserve"> se základním vzděláním, 40,4 % osob se středoškolským vzděláním bez maturity, 27,8 % osob se středoškolským vzděláním ukončeným </w:t>
      </w:r>
      <w:r w:rsidRPr="00C000EC">
        <w:rPr>
          <w:rFonts w:asciiTheme="majorHAnsi" w:hAnsiTheme="majorHAnsi" w:cs="Times New Roman"/>
          <w:sz w:val="22"/>
          <w:szCs w:val="22"/>
        </w:rPr>
        <w:t>maturitou</w:t>
      </w:r>
      <w:r w:rsidR="00D84FD2" w:rsidRPr="00C000EC">
        <w:rPr>
          <w:rFonts w:asciiTheme="majorHAnsi" w:hAnsiTheme="majorHAnsi" w:cs="Times New Roman"/>
          <w:sz w:val="22"/>
          <w:szCs w:val="22"/>
        </w:rPr>
        <w:t xml:space="preserve"> a jen 7 % osob s vysokoškolským vzděláním. </w:t>
      </w:r>
      <w:r w:rsidR="001F700E" w:rsidRPr="00C000EC">
        <w:rPr>
          <w:rFonts w:asciiTheme="majorHAnsi" w:hAnsiTheme="majorHAnsi" w:cs="Times New Roman"/>
          <w:sz w:val="22"/>
          <w:szCs w:val="22"/>
        </w:rPr>
        <w:t>V roce 1980 mělo základní vzdělání 46,5 % osob.</w:t>
      </w:r>
      <w:r w:rsidR="003A1BB6">
        <w:rPr>
          <w:rFonts w:asciiTheme="majorHAnsi" w:hAnsiTheme="majorHAnsi" w:cs="Times New Roman"/>
          <w:sz w:val="22"/>
          <w:szCs w:val="22"/>
        </w:rPr>
        <w:t xml:space="preserve"> (Údaje </w:t>
      </w:r>
      <w:r w:rsidR="00CD0037">
        <w:rPr>
          <w:rFonts w:asciiTheme="majorHAnsi" w:hAnsiTheme="majorHAnsi" w:cs="Times New Roman"/>
          <w:sz w:val="22"/>
          <w:szCs w:val="22"/>
        </w:rPr>
        <w:t xml:space="preserve">však </w:t>
      </w:r>
      <w:r w:rsidR="003A1BB6">
        <w:rPr>
          <w:rFonts w:asciiTheme="majorHAnsi" w:hAnsiTheme="majorHAnsi" w:cs="Times New Roman"/>
          <w:sz w:val="22"/>
          <w:szCs w:val="22"/>
        </w:rPr>
        <w:t xml:space="preserve">nelze zcela </w:t>
      </w:r>
      <w:r w:rsidR="00C000EC">
        <w:rPr>
          <w:rFonts w:asciiTheme="majorHAnsi" w:hAnsiTheme="majorHAnsi" w:cs="Times New Roman"/>
          <w:sz w:val="22"/>
          <w:szCs w:val="22"/>
        </w:rPr>
        <w:t>srovnávat –</w:t>
      </w:r>
      <w:r w:rsidR="003A1BB6">
        <w:rPr>
          <w:rFonts w:asciiTheme="majorHAnsi" w:hAnsiTheme="majorHAnsi" w:cs="Times New Roman"/>
          <w:sz w:val="22"/>
          <w:szCs w:val="22"/>
        </w:rPr>
        <w:t xml:space="preserve"> metodika Sčítání lidu, domů a by</w:t>
      </w:r>
      <w:r w:rsidR="00C000EC">
        <w:rPr>
          <w:rFonts w:asciiTheme="majorHAnsi" w:hAnsiTheme="majorHAnsi" w:cs="Times New Roman"/>
          <w:sz w:val="22"/>
          <w:szCs w:val="22"/>
        </w:rPr>
        <w:t>tů se liší</w:t>
      </w:r>
      <w:r w:rsidR="003A1BB6">
        <w:rPr>
          <w:rFonts w:asciiTheme="majorHAnsi" w:hAnsiTheme="majorHAnsi" w:cs="Times New Roman"/>
          <w:sz w:val="22"/>
          <w:szCs w:val="22"/>
        </w:rPr>
        <w:t xml:space="preserve"> od VŠPS).</w:t>
      </w:r>
    </w:p>
    <w:p w14:paraId="08249742" w14:textId="33183468" w:rsidR="00D97212" w:rsidRPr="00F67362" w:rsidRDefault="003F4A2C" w:rsidP="00F06A7C">
      <w:pPr>
        <w:spacing w:before="240" w:line="360" w:lineRule="auto"/>
        <w:jc w:val="both"/>
        <w:rPr>
          <w:rFonts w:ascii="Times New Roman" w:hAnsi="Times New Roman" w:cs="Times New Roman"/>
          <w:b/>
          <w:sz w:val="22"/>
          <w:szCs w:val="22"/>
        </w:rPr>
      </w:pPr>
      <w:r>
        <w:rPr>
          <w:rFonts w:ascii="Times New Roman" w:hAnsi="Times New Roman" w:cs="Times New Roman"/>
          <w:sz w:val="22"/>
          <w:szCs w:val="22"/>
        </w:rPr>
        <w:t>Obrázek 2.2</w:t>
      </w:r>
      <w:r w:rsidR="00D97212">
        <w:rPr>
          <w:rFonts w:ascii="Times New Roman" w:hAnsi="Times New Roman" w:cs="Times New Roman"/>
          <w:sz w:val="22"/>
          <w:szCs w:val="22"/>
        </w:rPr>
        <w:t xml:space="preserve"> </w:t>
      </w:r>
      <w:r w:rsidR="00F67362">
        <w:rPr>
          <w:rFonts w:ascii="Times New Roman" w:hAnsi="Times New Roman" w:cs="Times New Roman"/>
          <w:b/>
          <w:sz w:val="22"/>
          <w:szCs w:val="22"/>
        </w:rPr>
        <w:t>Vzdělanostní struktura v ČR dle věku (2017, 15 let a více)</w:t>
      </w:r>
    </w:p>
    <w:p w14:paraId="27787894" w14:textId="60AD6134" w:rsidR="001367B4" w:rsidRDefault="001367B4" w:rsidP="00AF4B3F">
      <w:pPr>
        <w:spacing w:before="12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7676E313" wp14:editId="79B4EB0D">
            <wp:extent cx="5392420" cy="3076575"/>
            <wp:effectExtent l="0" t="0" r="17780" b="222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7BBD75" w14:textId="77777777" w:rsidR="00F67362" w:rsidRPr="00CD0037" w:rsidRDefault="00F67362" w:rsidP="00F67362">
      <w:pPr>
        <w:spacing w:before="120" w:line="360" w:lineRule="auto"/>
        <w:ind w:left="360"/>
        <w:jc w:val="both"/>
        <w:rPr>
          <w:rFonts w:ascii="Times New Roman" w:hAnsi="Times New Roman" w:cs="Times New Roman"/>
          <w:i/>
          <w:sz w:val="22"/>
          <w:szCs w:val="22"/>
        </w:rPr>
      </w:pPr>
      <w:r w:rsidRPr="00CD0037">
        <w:rPr>
          <w:rFonts w:ascii="Times New Roman" w:hAnsi="Times New Roman" w:cs="Times New Roman"/>
          <w:i/>
          <w:sz w:val="22"/>
          <w:szCs w:val="22"/>
        </w:rPr>
        <w:t>Zdroj: ČSÚ (2018), data VŠPS (4. čtvrtletí 2017), vlastní zpracování.</w:t>
      </w:r>
    </w:p>
    <w:p w14:paraId="53B69BEF" w14:textId="61335D01" w:rsidR="001367B4" w:rsidRDefault="00F06A7C" w:rsidP="003A1BB6">
      <w:pPr>
        <w:spacing w:before="120" w:line="360" w:lineRule="auto"/>
        <w:jc w:val="both"/>
        <w:rPr>
          <w:rFonts w:ascii="Times New Roman" w:hAnsi="Times New Roman" w:cs="Times New Roman"/>
        </w:rPr>
      </w:pPr>
      <w:r>
        <w:rPr>
          <w:rFonts w:ascii="Times New Roman" w:hAnsi="Times New Roman" w:cs="Times New Roman"/>
        </w:rPr>
        <w:t>Osoby ve věkové kategorii 15–24 let se budou zpravidla ještě dále vzdělávat, proto je vzdělanostní struktura ve srovnání s ostatními věkovými kategorie</w:t>
      </w:r>
      <w:r w:rsidR="003F4A2C">
        <w:rPr>
          <w:rFonts w:ascii="Times New Roman" w:hAnsi="Times New Roman" w:cs="Times New Roman"/>
        </w:rPr>
        <w:t>mi významně odlišná. Z Obrázku 2.2</w:t>
      </w:r>
      <w:r>
        <w:rPr>
          <w:rFonts w:ascii="Times New Roman" w:hAnsi="Times New Roman" w:cs="Times New Roman"/>
        </w:rPr>
        <w:t xml:space="preserve"> lze vyčíst, </w:t>
      </w:r>
      <w:r w:rsidR="009B14DA">
        <w:rPr>
          <w:rFonts w:ascii="Times New Roman" w:hAnsi="Times New Roman" w:cs="Times New Roman"/>
        </w:rPr>
        <w:t>že směrem k nižším věkovým kategoriím se úroveň dosaženého formálního vzdělávání zvyšuje; nejlépe je tento trend patrný u věkové skupiny 25–34 let.</w:t>
      </w:r>
    </w:p>
    <w:p w14:paraId="03FDA244" w14:textId="32A2F9CD" w:rsidR="000C4728" w:rsidRDefault="009B14DA" w:rsidP="003A1BB6">
      <w:pPr>
        <w:spacing w:before="120" w:line="360" w:lineRule="auto"/>
        <w:jc w:val="both"/>
        <w:rPr>
          <w:rFonts w:ascii="Times New Roman" w:hAnsi="Times New Roman" w:cs="Times New Roman"/>
        </w:rPr>
      </w:pPr>
      <w:r>
        <w:rPr>
          <w:rFonts w:ascii="Times New Roman" w:hAnsi="Times New Roman" w:cs="Times New Roman"/>
        </w:rPr>
        <w:t>Dalším významným ukazatelem, kterým lze do jisté míry charakterizovat kvalitu vzdělanostní struk</w:t>
      </w:r>
      <w:r w:rsidR="00F05BB3">
        <w:rPr>
          <w:rFonts w:ascii="Times New Roman" w:hAnsi="Times New Roman" w:cs="Times New Roman"/>
        </w:rPr>
        <w:t xml:space="preserve">tury, je </w:t>
      </w:r>
      <w:r w:rsidR="00F05BB3" w:rsidRPr="000C4728">
        <w:rPr>
          <w:rFonts w:ascii="Times New Roman" w:hAnsi="Times New Roman" w:cs="Times New Roman"/>
          <w:i/>
        </w:rPr>
        <w:t>objem</w:t>
      </w:r>
      <w:r w:rsidR="00F05BB3">
        <w:rPr>
          <w:rFonts w:ascii="Times New Roman" w:hAnsi="Times New Roman" w:cs="Times New Roman"/>
        </w:rPr>
        <w:t xml:space="preserve"> </w:t>
      </w:r>
      <w:r w:rsidR="00F05BB3" w:rsidRPr="000C4728">
        <w:rPr>
          <w:rFonts w:ascii="Times New Roman" w:hAnsi="Times New Roman" w:cs="Times New Roman"/>
          <w:i/>
        </w:rPr>
        <w:t>výdajů</w:t>
      </w:r>
      <w:r w:rsidR="00F05BB3">
        <w:rPr>
          <w:rFonts w:ascii="Times New Roman" w:hAnsi="Times New Roman" w:cs="Times New Roman"/>
        </w:rPr>
        <w:t xml:space="preserve"> </w:t>
      </w:r>
      <w:r w:rsidR="00F05BB3" w:rsidRPr="000C4728">
        <w:rPr>
          <w:rFonts w:ascii="Times New Roman" w:hAnsi="Times New Roman" w:cs="Times New Roman"/>
          <w:i/>
        </w:rPr>
        <w:t>použitých</w:t>
      </w:r>
      <w:r w:rsidR="00F05BB3">
        <w:rPr>
          <w:rFonts w:ascii="Times New Roman" w:hAnsi="Times New Roman" w:cs="Times New Roman"/>
        </w:rPr>
        <w:t xml:space="preserve"> </w:t>
      </w:r>
      <w:r w:rsidR="00F05BB3" w:rsidRPr="000C4728">
        <w:rPr>
          <w:rFonts w:ascii="Times New Roman" w:hAnsi="Times New Roman" w:cs="Times New Roman"/>
          <w:i/>
        </w:rPr>
        <w:t>na</w:t>
      </w:r>
      <w:r>
        <w:rPr>
          <w:rFonts w:ascii="Times New Roman" w:hAnsi="Times New Roman" w:cs="Times New Roman"/>
        </w:rPr>
        <w:t xml:space="preserve"> </w:t>
      </w:r>
      <w:r w:rsidRPr="000C4728">
        <w:rPr>
          <w:rFonts w:ascii="Times New Roman" w:hAnsi="Times New Roman" w:cs="Times New Roman"/>
          <w:i/>
        </w:rPr>
        <w:t>vzdělávání</w:t>
      </w:r>
      <w:r>
        <w:rPr>
          <w:rFonts w:ascii="Times New Roman" w:hAnsi="Times New Roman" w:cs="Times New Roman"/>
        </w:rPr>
        <w:t>.</w:t>
      </w:r>
      <w:r w:rsidR="001B13BC">
        <w:rPr>
          <w:rFonts w:ascii="Times New Roman" w:hAnsi="Times New Roman" w:cs="Times New Roman"/>
        </w:rPr>
        <w:t xml:space="preserve"> </w:t>
      </w:r>
      <w:r w:rsidR="000C4728">
        <w:rPr>
          <w:rFonts w:ascii="Times New Roman" w:hAnsi="Times New Roman" w:cs="Times New Roman"/>
        </w:rPr>
        <w:t xml:space="preserve">Obrázek 2.3 zachycuje </w:t>
      </w:r>
      <w:r w:rsidR="000C4728" w:rsidRPr="00687172">
        <w:rPr>
          <w:rFonts w:ascii="Times New Roman" w:hAnsi="Times New Roman" w:cs="Times New Roman"/>
          <w:i/>
        </w:rPr>
        <w:t>veřejné</w:t>
      </w:r>
      <w:r w:rsidR="000C4728">
        <w:rPr>
          <w:rFonts w:ascii="Times New Roman" w:hAnsi="Times New Roman" w:cs="Times New Roman"/>
        </w:rPr>
        <w:t xml:space="preserve"> </w:t>
      </w:r>
      <w:r w:rsidR="000C4728" w:rsidRPr="00687172">
        <w:rPr>
          <w:rFonts w:ascii="Times New Roman" w:hAnsi="Times New Roman" w:cs="Times New Roman"/>
          <w:i/>
        </w:rPr>
        <w:t>výdaje</w:t>
      </w:r>
      <w:r w:rsidR="000C4728">
        <w:rPr>
          <w:rFonts w:ascii="Times New Roman" w:hAnsi="Times New Roman" w:cs="Times New Roman"/>
        </w:rPr>
        <w:t xml:space="preserve"> </w:t>
      </w:r>
      <w:r w:rsidR="000C4728" w:rsidRPr="00687172">
        <w:rPr>
          <w:rFonts w:ascii="Times New Roman" w:hAnsi="Times New Roman" w:cs="Times New Roman"/>
          <w:i/>
        </w:rPr>
        <w:t>na</w:t>
      </w:r>
      <w:r w:rsidR="000C4728">
        <w:rPr>
          <w:rFonts w:ascii="Times New Roman" w:hAnsi="Times New Roman" w:cs="Times New Roman"/>
        </w:rPr>
        <w:t xml:space="preserve"> </w:t>
      </w:r>
      <w:r w:rsidR="000C4728" w:rsidRPr="00687172">
        <w:rPr>
          <w:rFonts w:ascii="Times New Roman" w:hAnsi="Times New Roman" w:cs="Times New Roman"/>
          <w:i/>
        </w:rPr>
        <w:t>vzdělávání</w:t>
      </w:r>
      <w:r w:rsidR="000C4728">
        <w:rPr>
          <w:rFonts w:ascii="Times New Roman" w:hAnsi="Times New Roman" w:cs="Times New Roman"/>
        </w:rPr>
        <w:t xml:space="preserve"> </w:t>
      </w:r>
      <w:r w:rsidR="00687172">
        <w:rPr>
          <w:rFonts w:ascii="Times New Roman" w:hAnsi="Times New Roman" w:cs="Times New Roman"/>
        </w:rPr>
        <w:t>v členských zemích EU v roce 2016 (měřeno</w:t>
      </w:r>
      <w:r w:rsidR="000C4728">
        <w:rPr>
          <w:rFonts w:ascii="Times New Roman" w:hAnsi="Times New Roman" w:cs="Times New Roman"/>
        </w:rPr>
        <w:t xml:space="preserve"> jako procentuální podíl na HDP</w:t>
      </w:r>
      <w:r w:rsidR="00687172">
        <w:rPr>
          <w:rFonts w:ascii="Times New Roman" w:hAnsi="Times New Roman" w:cs="Times New Roman"/>
        </w:rPr>
        <w:t>)</w:t>
      </w:r>
      <w:r w:rsidR="000C4728">
        <w:rPr>
          <w:rFonts w:ascii="Times New Roman" w:hAnsi="Times New Roman" w:cs="Times New Roman"/>
        </w:rPr>
        <w:t>. Lze vidět, že nejvíce investují do vzdělávání skandinávsk</w:t>
      </w:r>
      <w:r w:rsidR="00687172">
        <w:rPr>
          <w:rFonts w:ascii="Times New Roman" w:hAnsi="Times New Roman" w:cs="Times New Roman"/>
        </w:rPr>
        <w:t>é země a Belgie. V Dánsku činily</w:t>
      </w:r>
      <w:r w:rsidR="000C4728">
        <w:rPr>
          <w:rFonts w:ascii="Times New Roman" w:hAnsi="Times New Roman" w:cs="Times New Roman"/>
        </w:rPr>
        <w:t xml:space="preserve"> vládní výdaje na vzdělávání ve sledova</w:t>
      </w:r>
      <w:r w:rsidR="00687172">
        <w:rPr>
          <w:rFonts w:ascii="Times New Roman" w:hAnsi="Times New Roman" w:cs="Times New Roman"/>
        </w:rPr>
        <w:t xml:space="preserve">ném roce 6,9 % HDP, ve Švédsku 6,6 %, v Belgii 6,4 % a ve Finsku 6,1 % HDP. Veřejné výdaje v České republice dosáhly 4,5 % HDP, pohybovaly se tedy mírně </w:t>
      </w:r>
      <w:r w:rsidR="00720DFE">
        <w:rPr>
          <w:rFonts w:ascii="Times New Roman" w:hAnsi="Times New Roman" w:cs="Times New Roman"/>
        </w:rPr>
        <w:t>pod průměrem EU (4,7 % HDP). Nejmenš</w:t>
      </w:r>
      <w:r w:rsidR="00687172">
        <w:rPr>
          <w:rFonts w:ascii="Times New Roman" w:hAnsi="Times New Roman" w:cs="Times New Roman"/>
        </w:rPr>
        <w:t>í ob</w:t>
      </w:r>
      <w:r w:rsidR="00720DFE">
        <w:rPr>
          <w:rFonts w:ascii="Times New Roman" w:hAnsi="Times New Roman" w:cs="Times New Roman"/>
        </w:rPr>
        <w:t xml:space="preserve">jem finančních prostředků </w:t>
      </w:r>
      <w:r w:rsidR="00720DFE">
        <w:rPr>
          <w:rFonts w:ascii="Times New Roman" w:hAnsi="Times New Roman" w:cs="Times New Roman"/>
        </w:rPr>
        <w:lastRenderedPageBreak/>
        <w:t>z veřejných rozpočtů plynul do oblasti vzdělávání v Irsku (3,3 % HDP) a Bulharsku (3,4 % HDP).</w:t>
      </w:r>
    </w:p>
    <w:p w14:paraId="2D4377A9" w14:textId="4D06B3A0" w:rsidR="003F4A2C" w:rsidRDefault="003F4A2C" w:rsidP="003A1BB6">
      <w:pPr>
        <w:spacing w:before="120" w:line="360" w:lineRule="auto"/>
        <w:jc w:val="both"/>
        <w:rPr>
          <w:rFonts w:ascii="Times New Roman" w:hAnsi="Times New Roman" w:cs="Times New Roman"/>
          <w:b/>
          <w:sz w:val="22"/>
          <w:szCs w:val="22"/>
        </w:rPr>
      </w:pPr>
      <w:r>
        <w:rPr>
          <w:rFonts w:ascii="Times New Roman" w:hAnsi="Times New Roman" w:cs="Times New Roman"/>
          <w:sz w:val="22"/>
          <w:szCs w:val="22"/>
        </w:rPr>
        <w:t xml:space="preserve">Obrázek 2.3 </w:t>
      </w:r>
      <w:r w:rsidRPr="003F4A2C">
        <w:rPr>
          <w:rFonts w:ascii="Times New Roman" w:hAnsi="Times New Roman" w:cs="Times New Roman"/>
          <w:b/>
          <w:sz w:val="22"/>
          <w:szCs w:val="22"/>
        </w:rPr>
        <w:t>Celkové</w:t>
      </w:r>
      <w:r>
        <w:rPr>
          <w:rFonts w:ascii="Times New Roman" w:hAnsi="Times New Roman" w:cs="Times New Roman"/>
          <w:sz w:val="22"/>
          <w:szCs w:val="22"/>
        </w:rPr>
        <w:t xml:space="preserve"> </w:t>
      </w:r>
      <w:r w:rsidRPr="003F4A2C">
        <w:rPr>
          <w:rFonts w:ascii="Times New Roman" w:hAnsi="Times New Roman" w:cs="Times New Roman"/>
          <w:b/>
          <w:sz w:val="22"/>
          <w:szCs w:val="22"/>
        </w:rPr>
        <w:t>veřejné</w:t>
      </w:r>
      <w:r>
        <w:rPr>
          <w:rFonts w:ascii="Times New Roman" w:hAnsi="Times New Roman" w:cs="Times New Roman"/>
          <w:sz w:val="22"/>
          <w:szCs w:val="22"/>
        </w:rPr>
        <w:t xml:space="preserve"> </w:t>
      </w:r>
      <w:r>
        <w:rPr>
          <w:rFonts w:ascii="Times New Roman" w:hAnsi="Times New Roman" w:cs="Times New Roman"/>
          <w:b/>
          <w:sz w:val="22"/>
          <w:szCs w:val="22"/>
        </w:rPr>
        <w:t xml:space="preserve">výdaje na vzdělávání </w:t>
      </w:r>
      <w:r w:rsidR="00F05BB3">
        <w:rPr>
          <w:rFonts w:ascii="Times New Roman" w:hAnsi="Times New Roman" w:cs="Times New Roman"/>
          <w:b/>
          <w:sz w:val="22"/>
          <w:szCs w:val="22"/>
        </w:rPr>
        <w:t xml:space="preserve">v zemích EU </w:t>
      </w:r>
      <w:r>
        <w:rPr>
          <w:rFonts w:ascii="Times New Roman" w:hAnsi="Times New Roman" w:cs="Times New Roman"/>
          <w:b/>
          <w:sz w:val="22"/>
          <w:szCs w:val="22"/>
        </w:rPr>
        <w:t>(2016, % HDP)</w:t>
      </w:r>
    </w:p>
    <w:p w14:paraId="48561491" w14:textId="693F7C89" w:rsidR="00F05BB3" w:rsidRDefault="00F05BB3" w:rsidP="003A1BB6">
      <w:pPr>
        <w:spacing w:before="120" w:line="360" w:lineRule="auto"/>
        <w:jc w:val="both"/>
        <w:rPr>
          <w:rFonts w:ascii="Times New Roman" w:hAnsi="Times New Roman" w:cs="Times New Roman"/>
          <w:b/>
          <w:sz w:val="22"/>
          <w:szCs w:val="22"/>
        </w:rPr>
      </w:pPr>
      <w:r>
        <w:rPr>
          <w:rFonts w:ascii="Times New Roman" w:hAnsi="Times New Roman" w:cs="Times New Roman"/>
          <w:b/>
          <w:noProof/>
          <w:sz w:val="22"/>
          <w:szCs w:val="22"/>
          <w:lang w:val="en-US"/>
        </w:rPr>
        <w:drawing>
          <wp:inline distT="0" distB="0" distL="0" distR="0" wp14:anchorId="439992A0" wp14:editId="48C6F372">
            <wp:extent cx="5619115" cy="3076575"/>
            <wp:effectExtent l="0" t="0" r="19685"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763C40" w14:textId="5286DCBA" w:rsidR="002918E2" w:rsidRPr="00CD0037" w:rsidRDefault="002918E2" w:rsidP="003A1BB6">
      <w:pPr>
        <w:spacing w:before="120" w:line="360" w:lineRule="auto"/>
        <w:jc w:val="both"/>
        <w:rPr>
          <w:rFonts w:ascii="Times New Roman" w:hAnsi="Times New Roman" w:cs="Times New Roman"/>
          <w:i/>
          <w:sz w:val="22"/>
          <w:szCs w:val="22"/>
        </w:rPr>
      </w:pPr>
      <w:r w:rsidRPr="00CD0037">
        <w:rPr>
          <w:rFonts w:ascii="Times New Roman" w:hAnsi="Times New Roman" w:cs="Times New Roman"/>
          <w:i/>
          <w:sz w:val="22"/>
          <w:szCs w:val="22"/>
        </w:rPr>
        <w:t xml:space="preserve">Zdroj: </w:t>
      </w:r>
      <w:proofErr w:type="spellStart"/>
      <w:r w:rsidRPr="00CD0037">
        <w:rPr>
          <w:rFonts w:ascii="Times New Roman" w:hAnsi="Times New Roman" w:cs="Times New Roman"/>
          <w:i/>
          <w:sz w:val="22"/>
          <w:szCs w:val="22"/>
        </w:rPr>
        <w:t>Eurostat</w:t>
      </w:r>
      <w:proofErr w:type="spellEnd"/>
      <w:r w:rsidR="00C11020" w:rsidRPr="00CD0037">
        <w:rPr>
          <w:rFonts w:ascii="Times New Roman" w:hAnsi="Times New Roman" w:cs="Times New Roman"/>
          <w:i/>
          <w:sz w:val="22"/>
          <w:szCs w:val="22"/>
        </w:rPr>
        <w:t xml:space="preserve"> (2018)</w:t>
      </w:r>
      <w:r w:rsidRPr="00CD0037">
        <w:rPr>
          <w:rFonts w:ascii="Times New Roman" w:hAnsi="Times New Roman" w:cs="Times New Roman"/>
          <w:i/>
          <w:sz w:val="22"/>
          <w:szCs w:val="22"/>
        </w:rPr>
        <w:t>, vlastní zpracování.</w:t>
      </w:r>
    </w:p>
    <w:p w14:paraId="097CD40F" w14:textId="290982A0" w:rsidR="00CD0037" w:rsidRPr="00CD0037" w:rsidRDefault="00CD0037" w:rsidP="00CD0037">
      <w:pPr>
        <w:spacing w:before="120"/>
        <w:jc w:val="both"/>
        <w:rPr>
          <w:rFonts w:ascii="Times New Roman" w:hAnsi="Times New Roman" w:cs="Times New Roman"/>
          <w:sz w:val="20"/>
          <w:szCs w:val="20"/>
        </w:rPr>
      </w:pPr>
      <w:r w:rsidRPr="00CD0037">
        <w:rPr>
          <w:rFonts w:ascii="Times New Roman" w:hAnsi="Times New Roman" w:cs="Times New Roman"/>
          <w:sz w:val="20"/>
          <w:szCs w:val="20"/>
        </w:rPr>
        <w:t>Poznámka:</w:t>
      </w:r>
      <w:r>
        <w:rPr>
          <w:rFonts w:ascii="Times New Roman" w:hAnsi="Times New Roman" w:cs="Times New Roman"/>
          <w:sz w:val="20"/>
          <w:szCs w:val="20"/>
        </w:rPr>
        <w:t xml:space="preserve"> DK – Dánsko, SE – Švédsko, BE – Belgie, FI – Finsko, CY – Kypr, EE – Estonsko, SI – Slovinsko, LV – Lotyšsko, FR – Francie, MT – Malta, NL – Nizozemsko, LT – Litva, PL – Polsko, AT – Rakousko, PT – Portugalsko, HU – Maďarsko, LU – Lucembursko, HR – Chorvatsko, UK – Velká Británie, EU – Evropská unie, CZ – Česká republika, EL – Řecko, DE – Německo, ES – Španělsko, IT – Itálie, SK – Slovensko, RO – Rumunsko, BG – Bulharsko, IE – Irsko.</w:t>
      </w:r>
    </w:p>
    <w:p w14:paraId="339BD8A4" w14:textId="3E615A98" w:rsidR="00D66A17" w:rsidRDefault="00720DFE" w:rsidP="00CD0037">
      <w:pPr>
        <w:pStyle w:val="Nadpis2"/>
      </w:pPr>
      <w:bookmarkStart w:id="20" w:name="_Toc398662586"/>
      <w:r>
        <w:t>Shrnutí</w:t>
      </w:r>
      <w:r w:rsidR="00CD0037">
        <w:t xml:space="preserve"> a doporučení</w:t>
      </w:r>
      <w:bookmarkEnd w:id="20"/>
    </w:p>
    <w:p w14:paraId="6C7832A4" w14:textId="77777777" w:rsidR="00CD0037" w:rsidRDefault="00720DFE" w:rsidP="00CD0037">
      <w:pPr>
        <w:spacing w:line="360" w:lineRule="auto"/>
        <w:jc w:val="both"/>
        <w:rPr>
          <w:rFonts w:ascii="Times New Roman" w:hAnsi="Times New Roman" w:cs="Times New Roman"/>
        </w:rPr>
      </w:pPr>
      <w:r>
        <w:rPr>
          <w:rFonts w:ascii="Times New Roman" w:hAnsi="Times New Roman" w:cs="Times New Roman"/>
        </w:rPr>
        <w:t xml:space="preserve">Vzdělanostní struktura České republiky se zejména v průběhu posledních dvou dekád významně změnila. </w:t>
      </w:r>
      <w:r w:rsidR="00F11987" w:rsidRPr="00213719">
        <w:rPr>
          <w:rFonts w:ascii="Times New Roman" w:hAnsi="Times New Roman" w:cs="Times New Roman"/>
          <w:b/>
        </w:rPr>
        <w:t>Dosažená úroveň vzdělání ve společnosti</w:t>
      </w:r>
      <w:r w:rsidR="00F11987">
        <w:rPr>
          <w:rFonts w:ascii="Times New Roman" w:hAnsi="Times New Roman" w:cs="Times New Roman"/>
        </w:rPr>
        <w:t xml:space="preserve"> (tedy úroveň lidského kapitálu) </w:t>
      </w:r>
      <w:r w:rsidR="00F11987" w:rsidRPr="00213719">
        <w:rPr>
          <w:rFonts w:ascii="Times New Roman" w:hAnsi="Times New Roman" w:cs="Times New Roman"/>
          <w:b/>
        </w:rPr>
        <w:t>se plynule zvyšuje</w:t>
      </w:r>
      <w:r w:rsidR="00F11987">
        <w:rPr>
          <w:rFonts w:ascii="Times New Roman" w:hAnsi="Times New Roman" w:cs="Times New Roman"/>
        </w:rPr>
        <w:t xml:space="preserve"> – ukazatel, který tento trend nejlépe ilustruje</w:t>
      </w:r>
      <w:r w:rsidR="00D24053">
        <w:rPr>
          <w:rFonts w:ascii="Times New Roman" w:hAnsi="Times New Roman" w:cs="Times New Roman"/>
        </w:rPr>
        <w:t>,</w:t>
      </w:r>
      <w:r w:rsidR="00F11987">
        <w:rPr>
          <w:rFonts w:ascii="Times New Roman" w:hAnsi="Times New Roman" w:cs="Times New Roman"/>
        </w:rPr>
        <w:t xml:space="preserve"> je po</w:t>
      </w:r>
      <w:r w:rsidR="00C56521">
        <w:rPr>
          <w:rFonts w:ascii="Times New Roman" w:hAnsi="Times New Roman" w:cs="Times New Roman"/>
        </w:rPr>
        <w:t>díl osob s terciárním vzdělání</w:t>
      </w:r>
      <w:r w:rsidR="00D24053">
        <w:rPr>
          <w:rStyle w:val="Znakapoznpodarou"/>
          <w:rFonts w:ascii="Times New Roman" w:hAnsi="Times New Roman" w:cs="Times New Roman"/>
        </w:rPr>
        <w:footnoteReference w:id="13"/>
      </w:r>
      <w:r w:rsidR="00D24053">
        <w:rPr>
          <w:rFonts w:ascii="Times New Roman" w:hAnsi="Times New Roman" w:cs="Times New Roman"/>
        </w:rPr>
        <w:t xml:space="preserve"> </w:t>
      </w:r>
      <w:r w:rsidR="00F11987">
        <w:rPr>
          <w:rFonts w:ascii="Times New Roman" w:hAnsi="Times New Roman" w:cs="Times New Roman"/>
        </w:rPr>
        <w:t>ve společnosti</w:t>
      </w:r>
      <w:r w:rsidR="00D24053">
        <w:rPr>
          <w:rFonts w:ascii="Times New Roman" w:hAnsi="Times New Roman" w:cs="Times New Roman"/>
        </w:rPr>
        <w:t>. Zatímco v roce 1998 tvořili vysokoškoláci 11,8 %</w:t>
      </w:r>
      <w:r w:rsidR="00C56521">
        <w:rPr>
          <w:rFonts w:ascii="Times New Roman" w:hAnsi="Times New Roman" w:cs="Times New Roman"/>
        </w:rPr>
        <w:t>, v roce 2017 již 34,2 %. Nicméně i nadále se ČR v tomto ukazateli pohybuje pod průměrem EU, který činí 39,9 %. Rychlý nárůst počtu vysok</w:t>
      </w:r>
      <w:r w:rsidR="00213719">
        <w:rPr>
          <w:rFonts w:ascii="Times New Roman" w:hAnsi="Times New Roman" w:cs="Times New Roman"/>
        </w:rPr>
        <w:t xml:space="preserve">oškoláků doprovází ale také řada problémů, např. rozdílná kvalita vysokých škol, růst počtu uchazečů o VŠ studium s nedostatečnými středoškolskými znalostmi, nedostatečné ohodnocení vysokoškolských pedagogů. </w:t>
      </w:r>
    </w:p>
    <w:p w14:paraId="08F7CE88" w14:textId="1163B46B" w:rsidR="00720DFE" w:rsidRPr="00CD0037" w:rsidRDefault="00213719" w:rsidP="00CD0037">
      <w:pPr>
        <w:spacing w:line="360" w:lineRule="auto"/>
        <w:jc w:val="both"/>
        <w:rPr>
          <w:rFonts w:ascii="Times New Roman" w:hAnsi="Times New Roman" w:cs="Times New Roman"/>
        </w:rPr>
      </w:pPr>
      <w:r>
        <w:rPr>
          <w:rFonts w:ascii="Times New Roman" w:hAnsi="Times New Roman" w:cs="Times New Roman"/>
        </w:rPr>
        <w:lastRenderedPageBreak/>
        <w:t xml:space="preserve">Přes určitý pokrok, kterého bylo dosaženo, je nutné do budoucna </w:t>
      </w:r>
      <w:r w:rsidRPr="00213719">
        <w:rPr>
          <w:rFonts w:ascii="Times New Roman" w:hAnsi="Times New Roman" w:cs="Times New Roman"/>
          <w:b/>
        </w:rPr>
        <w:t>lépe sladit vzdělávací programy s potřebami praxe.</w:t>
      </w:r>
      <w:r>
        <w:rPr>
          <w:rFonts w:ascii="Times New Roman" w:hAnsi="Times New Roman" w:cs="Times New Roman"/>
          <w:b/>
        </w:rPr>
        <w:t xml:space="preserve"> </w:t>
      </w:r>
      <w:r w:rsidR="000A1A60" w:rsidRPr="000A1A60">
        <w:rPr>
          <w:rFonts w:ascii="Times New Roman" w:hAnsi="Times New Roman" w:cs="Times New Roman"/>
        </w:rPr>
        <w:t>Na</w:t>
      </w:r>
      <w:r w:rsidR="000A1A60">
        <w:rPr>
          <w:rFonts w:ascii="Times New Roman" w:hAnsi="Times New Roman" w:cs="Times New Roman"/>
          <w:b/>
        </w:rPr>
        <w:t xml:space="preserve"> </w:t>
      </w:r>
      <w:r w:rsidR="000A1A60" w:rsidRPr="000A1A60">
        <w:rPr>
          <w:rFonts w:ascii="Times New Roman" w:hAnsi="Times New Roman" w:cs="Times New Roman"/>
        </w:rPr>
        <w:t>středoškolské</w:t>
      </w:r>
      <w:r w:rsidR="000A1A60">
        <w:rPr>
          <w:rFonts w:ascii="Times New Roman" w:hAnsi="Times New Roman" w:cs="Times New Roman"/>
          <w:b/>
        </w:rPr>
        <w:t xml:space="preserve"> </w:t>
      </w:r>
      <w:r w:rsidR="000A1A60" w:rsidRPr="000A1A60">
        <w:rPr>
          <w:rFonts w:ascii="Times New Roman" w:hAnsi="Times New Roman" w:cs="Times New Roman"/>
        </w:rPr>
        <w:t>úrovni</w:t>
      </w:r>
      <w:r w:rsidR="0043182B">
        <w:rPr>
          <w:rFonts w:ascii="Times New Roman" w:hAnsi="Times New Roman" w:cs="Times New Roman"/>
        </w:rPr>
        <w:t xml:space="preserve"> j</w:t>
      </w:r>
      <w:r w:rsidR="000A1A60">
        <w:rPr>
          <w:rFonts w:ascii="Times New Roman" w:hAnsi="Times New Roman" w:cs="Times New Roman"/>
        </w:rPr>
        <w:t xml:space="preserve">e toto tzv. duální vzdělávání </w:t>
      </w:r>
      <w:r w:rsidR="0043182B">
        <w:rPr>
          <w:rFonts w:ascii="Times New Roman" w:hAnsi="Times New Roman" w:cs="Times New Roman"/>
        </w:rPr>
        <w:t>(kombinace teorie s praktickou výukou) mnohem rozšířenější a poměrně úspěšné</w:t>
      </w:r>
      <w:r w:rsidR="00672AFA">
        <w:rPr>
          <w:rFonts w:ascii="Times New Roman" w:hAnsi="Times New Roman" w:cs="Times New Roman"/>
        </w:rPr>
        <w:t xml:space="preserve"> (viz např. </w:t>
      </w:r>
      <w:proofErr w:type="spellStart"/>
      <w:r w:rsidR="00672AFA">
        <w:rPr>
          <w:rFonts w:ascii="Times New Roman" w:hAnsi="Times New Roman" w:cs="Times New Roman"/>
        </w:rPr>
        <w:t>Blossfeld</w:t>
      </w:r>
      <w:proofErr w:type="spellEnd"/>
      <w:r w:rsidR="00672AFA">
        <w:rPr>
          <w:rFonts w:ascii="Times New Roman" w:hAnsi="Times New Roman" w:cs="Times New Roman"/>
        </w:rPr>
        <w:t xml:space="preserve">, </w:t>
      </w:r>
      <w:proofErr w:type="spellStart"/>
      <w:r w:rsidR="00672AFA">
        <w:rPr>
          <w:rFonts w:ascii="Times New Roman" w:hAnsi="Times New Roman" w:cs="Times New Roman"/>
        </w:rPr>
        <w:t>Buchholz</w:t>
      </w:r>
      <w:proofErr w:type="spellEnd"/>
      <w:r w:rsidR="00672AFA">
        <w:rPr>
          <w:rFonts w:ascii="Times New Roman" w:hAnsi="Times New Roman" w:cs="Times New Roman"/>
        </w:rPr>
        <w:t xml:space="preserve"> &amp; Kurz</w:t>
      </w:r>
      <w:r w:rsidR="000A1A60">
        <w:rPr>
          <w:rFonts w:ascii="Times New Roman" w:hAnsi="Times New Roman" w:cs="Times New Roman"/>
        </w:rPr>
        <w:t>, 2011).</w:t>
      </w:r>
      <w:r w:rsidR="000A1A60">
        <w:rPr>
          <w:rFonts w:ascii="Times New Roman" w:hAnsi="Times New Roman" w:cs="Times New Roman"/>
          <w:b/>
        </w:rPr>
        <w:t xml:space="preserve"> </w:t>
      </w:r>
      <w:r>
        <w:rPr>
          <w:rFonts w:ascii="Times New Roman" w:hAnsi="Times New Roman" w:cs="Times New Roman"/>
        </w:rPr>
        <w:t>K významným přednostem českého vzdělávacího systému patří především</w:t>
      </w:r>
      <w:r w:rsidR="0043182B">
        <w:rPr>
          <w:rFonts w:ascii="Times New Roman" w:hAnsi="Times New Roman" w:cs="Times New Roman"/>
        </w:rPr>
        <w:t xml:space="preserve"> </w:t>
      </w:r>
      <w:r>
        <w:rPr>
          <w:rFonts w:ascii="Times New Roman" w:hAnsi="Times New Roman" w:cs="Times New Roman"/>
          <w:b/>
        </w:rPr>
        <w:t xml:space="preserve">vysoký počet </w:t>
      </w:r>
      <w:r w:rsidRPr="00F41A71">
        <w:rPr>
          <w:rFonts w:ascii="Times New Roman" w:hAnsi="Times New Roman" w:cs="Times New Roman"/>
          <w:b/>
        </w:rPr>
        <w:t>středoškolák</w:t>
      </w:r>
      <w:r w:rsidR="00CD0037">
        <w:rPr>
          <w:rFonts w:ascii="Times New Roman" w:hAnsi="Times New Roman" w:cs="Times New Roman"/>
          <w:b/>
        </w:rPr>
        <w:t>ů.</w:t>
      </w:r>
      <w:r w:rsidR="00F41A71" w:rsidRPr="00F41A71">
        <w:rPr>
          <w:rStyle w:val="Znakapoznpodarou"/>
          <w:rFonts w:ascii="Times New Roman" w:hAnsi="Times New Roman" w:cs="Times New Roman"/>
        </w:rPr>
        <w:footnoteReference w:id="14"/>
      </w:r>
      <w:r w:rsidR="00F41A71" w:rsidRPr="00F41A71">
        <w:rPr>
          <w:rFonts w:ascii="Times New Roman" w:hAnsi="Times New Roman" w:cs="Times New Roman"/>
        </w:rPr>
        <w:t xml:space="preserve"> </w:t>
      </w:r>
      <w:r w:rsidR="008E5E70">
        <w:rPr>
          <w:rFonts w:ascii="Times New Roman" w:hAnsi="Times New Roman" w:cs="Times New Roman"/>
        </w:rPr>
        <w:t xml:space="preserve">V roce 2017 mělo již 93,8 % obyvatelstva ukončené sekundární vzdělání, což je významně nad průměrem EU, který činil 77,5 %. Další předností je pak </w:t>
      </w:r>
      <w:r w:rsidR="008E5E70">
        <w:rPr>
          <w:rFonts w:ascii="Times New Roman" w:hAnsi="Times New Roman" w:cs="Times New Roman"/>
          <w:b/>
        </w:rPr>
        <w:t>nízký počet osob, které předčasně opouštějí vzdělávací systém</w:t>
      </w:r>
      <w:r w:rsidR="008E5E70">
        <w:rPr>
          <w:rFonts w:ascii="Times New Roman" w:hAnsi="Times New Roman" w:cs="Times New Roman"/>
        </w:rPr>
        <w:t>.</w:t>
      </w:r>
      <w:r w:rsidR="008E5E70">
        <w:rPr>
          <w:rStyle w:val="Znakapoznpodarou"/>
          <w:rFonts w:ascii="Times New Roman" w:hAnsi="Times New Roman" w:cs="Times New Roman"/>
        </w:rPr>
        <w:footnoteReference w:id="15"/>
      </w:r>
      <w:r w:rsidR="0023083F">
        <w:rPr>
          <w:rFonts w:ascii="Times New Roman" w:hAnsi="Times New Roman" w:cs="Times New Roman"/>
        </w:rPr>
        <w:t xml:space="preserve"> Přestože v posledních letech došlo k mírnému nárůstu této skupiny osob, ve srovnání s ostatními zeměmi EU patří ČR v tomto ukazateli stále k premiantům. V roce 2017 činil počet osob, které předčasně odešly ze vzdělává</w:t>
      </w:r>
      <w:r w:rsidR="008D7A33">
        <w:rPr>
          <w:rFonts w:ascii="Times New Roman" w:hAnsi="Times New Roman" w:cs="Times New Roman"/>
        </w:rPr>
        <w:t xml:space="preserve">ní, 6,7 % (průměrná hodnota ukazatele pro </w:t>
      </w:r>
      <w:r w:rsidR="0023083F">
        <w:rPr>
          <w:rFonts w:ascii="Times New Roman" w:hAnsi="Times New Roman" w:cs="Times New Roman"/>
        </w:rPr>
        <w:t>EU dosáhl</w:t>
      </w:r>
      <w:r w:rsidR="008D7A33">
        <w:rPr>
          <w:rFonts w:ascii="Times New Roman" w:hAnsi="Times New Roman" w:cs="Times New Roman"/>
        </w:rPr>
        <w:t>a</w:t>
      </w:r>
      <w:r w:rsidR="0023083F">
        <w:rPr>
          <w:rFonts w:ascii="Times New Roman" w:hAnsi="Times New Roman" w:cs="Times New Roman"/>
        </w:rPr>
        <w:t xml:space="preserve"> 10,6 %).</w:t>
      </w:r>
      <w:r w:rsidR="008D7A33">
        <w:rPr>
          <w:rFonts w:ascii="Times New Roman" w:hAnsi="Times New Roman" w:cs="Times New Roman"/>
        </w:rPr>
        <w:t xml:space="preserve"> Lze tedy konstatovat, že </w:t>
      </w:r>
      <w:r w:rsidR="008D7A33">
        <w:rPr>
          <w:rFonts w:ascii="Times New Roman" w:hAnsi="Times New Roman" w:cs="Times New Roman"/>
          <w:b/>
        </w:rPr>
        <w:t>formální vzdělanost českého obyvatelstva roste</w:t>
      </w:r>
      <w:r w:rsidR="008D7A33">
        <w:rPr>
          <w:rFonts w:ascii="Times New Roman" w:hAnsi="Times New Roman" w:cs="Times New Roman"/>
        </w:rPr>
        <w:t>. Jinou otázkou však je, zda současně s rostoucí úrovní vzdělání rostou také požadované kompetence obyvatelstva?</w:t>
      </w:r>
      <w:r w:rsidR="00627D55">
        <w:rPr>
          <w:rFonts w:ascii="Times New Roman" w:hAnsi="Times New Roman" w:cs="Times New Roman"/>
        </w:rPr>
        <w:t xml:space="preserve"> Mezinárodní srovnání funkční gramotnosti (např. výzkumy SIALS 1998 a PIAAC 2012</w:t>
      </w:r>
      <w:r w:rsidR="000A1A60">
        <w:rPr>
          <w:rFonts w:ascii="Times New Roman" w:hAnsi="Times New Roman" w:cs="Times New Roman"/>
        </w:rPr>
        <w:t xml:space="preserve">) ukázaly, že se významně propadly výsledky u nejmladší sledované skupiny (16–24 let), a to zejména čtenářská a numerická složka tzv. funkční gramotnosti; znatelný byl také propad věkové skupiny dospělých (35–50 let), zejména v numerické gramotnosti (blíže viz Straková &amp; Veselý, 2013). </w:t>
      </w:r>
      <w:r w:rsidR="0043182B" w:rsidRPr="0043182B">
        <w:rPr>
          <w:rFonts w:ascii="Times New Roman" w:hAnsi="Times New Roman" w:cs="Times New Roman"/>
          <w:b/>
        </w:rPr>
        <w:t>Růst úrovně vzdělanosti</w:t>
      </w:r>
      <w:r w:rsidR="0043182B">
        <w:rPr>
          <w:rFonts w:ascii="Times New Roman" w:hAnsi="Times New Roman" w:cs="Times New Roman"/>
        </w:rPr>
        <w:t xml:space="preserve"> obyvatelstva </w:t>
      </w:r>
      <w:r w:rsidR="0043182B" w:rsidRPr="0043182B">
        <w:rPr>
          <w:rFonts w:ascii="Times New Roman" w:hAnsi="Times New Roman" w:cs="Times New Roman"/>
        </w:rPr>
        <w:t xml:space="preserve">je </w:t>
      </w:r>
      <w:r w:rsidR="0043182B">
        <w:rPr>
          <w:rFonts w:ascii="Times New Roman" w:hAnsi="Times New Roman" w:cs="Times New Roman"/>
        </w:rPr>
        <w:t xml:space="preserve">paradoxně </w:t>
      </w:r>
      <w:r w:rsidR="0043182B" w:rsidRPr="0043182B">
        <w:rPr>
          <w:rFonts w:ascii="Times New Roman" w:hAnsi="Times New Roman" w:cs="Times New Roman"/>
          <w:b/>
        </w:rPr>
        <w:t>d</w:t>
      </w:r>
      <w:r w:rsidR="0043182B">
        <w:rPr>
          <w:rFonts w:ascii="Times New Roman" w:hAnsi="Times New Roman" w:cs="Times New Roman"/>
          <w:b/>
        </w:rPr>
        <w:t>oprovázen</w:t>
      </w:r>
      <w:r w:rsidR="0043182B" w:rsidRPr="0043182B">
        <w:rPr>
          <w:rFonts w:ascii="Times New Roman" w:hAnsi="Times New Roman" w:cs="Times New Roman"/>
          <w:b/>
        </w:rPr>
        <w:t xml:space="preserve"> poklesem funkční gramotnosti</w:t>
      </w:r>
      <w:r w:rsidR="0043182B">
        <w:rPr>
          <w:rFonts w:ascii="Times New Roman" w:hAnsi="Times New Roman" w:cs="Times New Roman"/>
        </w:rPr>
        <w:t>.</w:t>
      </w:r>
      <w:r w:rsidR="009C128F">
        <w:rPr>
          <w:rFonts w:ascii="Times New Roman" w:hAnsi="Times New Roman" w:cs="Times New Roman"/>
        </w:rPr>
        <w:t xml:space="preserve"> Řešení uvedeného problému nebude jednoduché; je spojeno </w:t>
      </w:r>
      <w:r w:rsidR="009C128F" w:rsidRPr="00CD0037">
        <w:rPr>
          <w:rFonts w:ascii="Times New Roman" w:hAnsi="Times New Roman" w:cs="Times New Roman"/>
          <w:b/>
        </w:rPr>
        <w:t>s vytvořením kvalitního systému vzdělávání, kde budou optimálně propojeny jeho jednotlivé stupně a formy</w:t>
      </w:r>
      <w:r w:rsidR="009C128F" w:rsidRPr="00CD0037">
        <w:rPr>
          <w:rFonts w:ascii="Times New Roman" w:hAnsi="Times New Roman" w:cs="Times New Roman"/>
        </w:rPr>
        <w:t>.</w:t>
      </w:r>
      <w:r w:rsidR="0031516F">
        <w:rPr>
          <w:rFonts w:ascii="Times New Roman" w:hAnsi="Times New Roman" w:cs="Times New Roman"/>
        </w:rPr>
        <w:t xml:space="preserve"> Uvedené změny jsou systémové a předpokládají </w:t>
      </w:r>
      <w:r w:rsidR="0031516F" w:rsidRPr="0031516F">
        <w:rPr>
          <w:rFonts w:ascii="Times New Roman" w:hAnsi="Times New Roman" w:cs="Times New Roman"/>
          <w:b/>
        </w:rPr>
        <w:t>větší objem investic do</w:t>
      </w:r>
      <w:r w:rsidR="0031516F">
        <w:rPr>
          <w:rFonts w:ascii="Times New Roman" w:hAnsi="Times New Roman" w:cs="Times New Roman"/>
        </w:rPr>
        <w:t xml:space="preserve"> </w:t>
      </w:r>
      <w:r w:rsidR="0031516F" w:rsidRPr="0031516F">
        <w:rPr>
          <w:rFonts w:ascii="Times New Roman" w:hAnsi="Times New Roman" w:cs="Times New Roman"/>
          <w:b/>
        </w:rPr>
        <w:t>vzdělávání</w:t>
      </w:r>
      <w:r w:rsidR="0031516F">
        <w:rPr>
          <w:rFonts w:ascii="Times New Roman" w:hAnsi="Times New Roman" w:cs="Times New Roman"/>
        </w:rPr>
        <w:t xml:space="preserve"> (dosavadní investice jsou zcela nedostatečné).</w:t>
      </w:r>
    </w:p>
    <w:p w14:paraId="682F57D4" w14:textId="751FB929" w:rsidR="00D66A17" w:rsidRDefault="0022760C" w:rsidP="0022760C">
      <w:pPr>
        <w:pStyle w:val="Nadpis2"/>
      </w:pPr>
      <w:bookmarkStart w:id="21" w:name="_Toc398662587"/>
      <w:r>
        <w:t>2.</w:t>
      </w:r>
      <w:r w:rsidR="00D66A17">
        <w:t>2 Přínos vzdělávání pro jedince</w:t>
      </w:r>
      <w:bookmarkEnd w:id="21"/>
    </w:p>
    <w:p w14:paraId="454FA771" w14:textId="77777777" w:rsidR="00CD0037" w:rsidRDefault="00377CA4" w:rsidP="00377CA4">
      <w:pPr>
        <w:spacing w:before="120" w:line="360" w:lineRule="auto"/>
        <w:jc w:val="both"/>
        <w:rPr>
          <w:rFonts w:ascii="Times New Roman" w:hAnsi="Times New Roman" w:cs="Times New Roman"/>
        </w:rPr>
      </w:pPr>
      <w:r>
        <w:rPr>
          <w:rFonts w:ascii="Times New Roman" w:hAnsi="Times New Roman" w:cs="Times New Roman"/>
        </w:rPr>
        <w:t>Jak bylo vysvětleno výše v textu (viz Kapitola 1), od 90. let význam vzdělání kontinuálně narůstá, a to nejen z hlediska společnosti jako celku</w:t>
      </w:r>
      <w:r w:rsidR="00CD0037">
        <w:rPr>
          <w:rFonts w:ascii="Times New Roman" w:hAnsi="Times New Roman" w:cs="Times New Roman"/>
        </w:rPr>
        <w:t xml:space="preserve"> a z hlediska podniků</w:t>
      </w:r>
      <w:r>
        <w:rPr>
          <w:rFonts w:ascii="Times New Roman" w:hAnsi="Times New Roman" w:cs="Times New Roman"/>
        </w:rPr>
        <w:t xml:space="preserve"> (</w:t>
      </w:r>
      <w:r w:rsidR="00920466">
        <w:rPr>
          <w:rFonts w:ascii="Times New Roman" w:hAnsi="Times New Roman" w:cs="Times New Roman"/>
        </w:rPr>
        <w:t xml:space="preserve">na obou úrovních je </w:t>
      </w:r>
      <w:r w:rsidR="006B6097">
        <w:rPr>
          <w:rFonts w:ascii="Times New Roman" w:hAnsi="Times New Roman" w:cs="Times New Roman"/>
        </w:rPr>
        <w:t>lidský kapitál</w:t>
      </w:r>
      <w:r>
        <w:rPr>
          <w:rFonts w:ascii="Times New Roman" w:hAnsi="Times New Roman" w:cs="Times New Roman"/>
        </w:rPr>
        <w:t xml:space="preserve"> </w:t>
      </w:r>
      <w:r w:rsidR="006B6097">
        <w:rPr>
          <w:rFonts w:ascii="Times New Roman" w:hAnsi="Times New Roman" w:cs="Times New Roman"/>
        </w:rPr>
        <w:t xml:space="preserve">klíčovým </w:t>
      </w:r>
      <w:r>
        <w:rPr>
          <w:rFonts w:ascii="Times New Roman" w:hAnsi="Times New Roman" w:cs="Times New Roman"/>
        </w:rPr>
        <w:t>nástroj</w:t>
      </w:r>
      <w:r w:rsidR="006B6097">
        <w:rPr>
          <w:rFonts w:ascii="Times New Roman" w:hAnsi="Times New Roman" w:cs="Times New Roman"/>
        </w:rPr>
        <w:t>em</w:t>
      </w:r>
      <w:r w:rsidR="00920466">
        <w:rPr>
          <w:rFonts w:ascii="Times New Roman" w:hAnsi="Times New Roman" w:cs="Times New Roman"/>
        </w:rPr>
        <w:t xml:space="preserve"> ekonomického růstu a</w:t>
      </w:r>
      <w:r>
        <w:rPr>
          <w:rFonts w:ascii="Times New Roman" w:hAnsi="Times New Roman" w:cs="Times New Roman"/>
        </w:rPr>
        <w:t xml:space="preserve"> konkurenceschopnosti), ale také z hlediska jedince a jeho uplatnění na pracovním trhu. </w:t>
      </w:r>
    </w:p>
    <w:p w14:paraId="34C7B504" w14:textId="77777777" w:rsidR="00CD0037" w:rsidRDefault="00CD0037" w:rsidP="00377CA4">
      <w:pPr>
        <w:spacing w:before="120" w:line="360" w:lineRule="auto"/>
        <w:jc w:val="both"/>
        <w:rPr>
          <w:rFonts w:ascii="Times New Roman" w:hAnsi="Times New Roman" w:cs="Times New Roman"/>
        </w:rPr>
      </w:pPr>
    </w:p>
    <w:p w14:paraId="6E8F7B2F" w14:textId="1175B94E" w:rsidR="00630B41" w:rsidRDefault="00630B41" w:rsidP="00630B41">
      <w:pPr>
        <w:pStyle w:val="Nadpis3"/>
      </w:pPr>
      <w:bookmarkStart w:id="22" w:name="_Toc398662588"/>
      <w:r>
        <w:t>2.2.1 Nižší riziko nezaměstnanosti</w:t>
      </w:r>
      <w:bookmarkEnd w:id="22"/>
    </w:p>
    <w:p w14:paraId="32B8015E" w14:textId="1BD77C49" w:rsidR="006B6097" w:rsidRDefault="00377CA4" w:rsidP="00377CA4">
      <w:pPr>
        <w:spacing w:before="120" w:line="360" w:lineRule="auto"/>
        <w:jc w:val="both"/>
        <w:rPr>
          <w:rFonts w:ascii="Times New Roman" w:hAnsi="Times New Roman" w:cs="Times New Roman"/>
        </w:rPr>
      </w:pPr>
      <w:r>
        <w:rPr>
          <w:rFonts w:ascii="Times New Roman" w:hAnsi="Times New Roman" w:cs="Times New Roman"/>
        </w:rPr>
        <w:t xml:space="preserve">Jedinci s vyšším vzděláním a s požadovanými kompetencemi </w:t>
      </w:r>
      <w:r w:rsidR="006B6097">
        <w:rPr>
          <w:rFonts w:ascii="Times New Roman" w:hAnsi="Times New Roman" w:cs="Times New Roman"/>
        </w:rPr>
        <w:t xml:space="preserve">(tj. znalostmi, dovednostmi a schopnostmi) </w:t>
      </w:r>
      <w:r>
        <w:rPr>
          <w:rFonts w:ascii="Times New Roman" w:hAnsi="Times New Roman" w:cs="Times New Roman"/>
        </w:rPr>
        <w:t>jsou daleko flexibilnější jak v rámci podniku (jako zaměstnanci jsou méně ohroženi rizikem propuštění), tak na pracovním trhu (jsou-li propuštěni, velmi brzy jsou schopni na</w:t>
      </w:r>
      <w:r w:rsidR="006B6097">
        <w:rPr>
          <w:rFonts w:ascii="Times New Roman" w:hAnsi="Times New Roman" w:cs="Times New Roman"/>
        </w:rPr>
        <w:t xml:space="preserve">lézt si novou práci). </w:t>
      </w:r>
    </w:p>
    <w:p w14:paraId="7B22B38D" w14:textId="0A7FBA6E" w:rsidR="00920466" w:rsidRPr="00920466" w:rsidRDefault="00920466" w:rsidP="00377CA4">
      <w:pPr>
        <w:spacing w:before="120" w:line="360" w:lineRule="auto"/>
        <w:jc w:val="both"/>
        <w:rPr>
          <w:rFonts w:ascii="Times New Roman" w:hAnsi="Times New Roman" w:cs="Times New Roman"/>
        </w:rPr>
      </w:pPr>
      <w:r>
        <w:rPr>
          <w:rFonts w:ascii="Times New Roman" w:hAnsi="Times New Roman" w:cs="Times New Roman"/>
        </w:rPr>
        <w:t xml:space="preserve">Výstižně lze zachytit rozdílné postavení osob na trhu práce pomocí ukazatele </w:t>
      </w:r>
      <w:r>
        <w:rPr>
          <w:rFonts w:ascii="Times New Roman" w:hAnsi="Times New Roman" w:cs="Times New Roman"/>
          <w:i/>
        </w:rPr>
        <w:t xml:space="preserve">míra nezaměstnanosti osob dle dosažené úrovně vzdělání </w:t>
      </w:r>
      <w:r>
        <w:rPr>
          <w:rFonts w:ascii="Times New Roman" w:hAnsi="Times New Roman" w:cs="Times New Roman"/>
        </w:rPr>
        <w:t>(viz Obrázek 2.4).</w:t>
      </w:r>
    </w:p>
    <w:p w14:paraId="5B108182" w14:textId="12210AA9" w:rsidR="004D2740" w:rsidRDefault="00920466" w:rsidP="00075C3C">
      <w:pPr>
        <w:spacing w:before="120"/>
        <w:rPr>
          <w:rFonts w:ascii="Times New Roman" w:hAnsi="Times New Roman" w:cs="Times New Roman"/>
          <w:b/>
          <w:sz w:val="22"/>
          <w:szCs w:val="22"/>
        </w:rPr>
      </w:pPr>
      <w:r>
        <w:rPr>
          <w:rFonts w:ascii="Times New Roman" w:hAnsi="Times New Roman" w:cs="Times New Roman"/>
          <w:sz w:val="22"/>
          <w:szCs w:val="22"/>
        </w:rPr>
        <w:t xml:space="preserve">Obrázek 2.4 </w:t>
      </w:r>
      <w:r w:rsidR="00A50BE3" w:rsidRPr="00A50BE3">
        <w:rPr>
          <w:rFonts w:ascii="Times New Roman" w:hAnsi="Times New Roman" w:cs="Times New Roman"/>
          <w:b/>
          <w:sz w:val="22"/>
          <w:szCs w:val="22"/>
        </w:rPr>
        <w:t>Vývoj</w:t>
      </w:r>
      <w:r w:rsidR="00A50BE3">
        <w:rPr>
          <w:rFonts w:ascii="Times New Roman" w:hAnsi="Times New Roman" w:cs="Times New Roman"/>
          <w:sz w:val="22"/>
          <w:szCs w:val="22"/>
        </w:rPr>
        <w:t xml:space="preserve"> </w:t>
      </w:r>
      <w:r w:rsidR="00A50BE3">
        <w:rPr>
          <w:rFonts w:ascii="Times New Roman" w:hAnsi="Times New Roman" w:cs="Times New Roman"/>
          <w:b/>
          <w:sz w:val="22"/>
          <w:szCs w:val="22"/>
        </w:rPr>
        <w:t>míry</w:t>
      </w:r>
      <w:r>
        <w:rPr>
          <w:rFonts w:ascii="Times New Roman" w:hAnsi="Times New Roman" w:cs="Times New Roman"/>
          <w:b/>
          <w:sz w:val="22"/>
          <w:szCs w:val="22"/>
        </w:rPr>
        <w:t xml:space="preserve"> nezaměstnanosti</w:t>
      </w:r>
      <w:r w:rsidR="00A50BE3">
        <w:rPr>
          <w:rFonts w:ascii="Times New Roman" w:hAnsi="Times New Roman" w:cs="Times New Roman"/>
          <w:b/>
          <w:sz w:val="22"/>
          <w:szCs w:val="22"/>
        </w:rPr>
        <w:t xml:space="preserve"> v</w:t>
      </w:r>
      <w:r w:rsidR="00265D69">
        <w:rPr>
          <w:rFonts w:ascii="Times New Roman" w:hAnsi="Times New Roman" w:cs="Times New Roman"/>
          <w:b/>
          <w:sz w:val="22"/>
          <w:szCs w:val="22"/>
        </w:rPr>
        <w:t xml:space="preserve"> ČR </w:t>
      </w:r>
      <w:r w:rsidR="00075C3C">
        <w:rPr>
          <w:rFonts w:ascii="Times New Roman" w:hAnsi="Times New Roman" w:cs="Times New Roman"/>
          <w:b/>
          <w:sz w:val="22"/>
          <w:szCs w:val="22"/>
        </w:rPr>
        <w:t xml:space="preserve">dle dosažené úrovně vzdělání               </w:t>
      </w:r>
      <w:proofErr w:type="gramStart"/>
      <w:r w:rsidR="00075C3C">
        <w:rPr>
          <w:rFonts w:ascii="Times New Roman" w:hAnsi="Times New Roman" w:cs="Times New Roman"/>
          <w:b/>
          <w:sz w:val="22"/>
          <w:szCs w:val="22"/>
        </w:rPr>
        <w:t xml:space="preserve">   </w:t>
      </w:r>
      <w:r w:rsidR="00265D69">
        <w:rPr>
          <w:rFonts w:ascii="Times New Roman" w:hAnsi="Times New Roman" w:cs="Times New Roman"/>
          <w:b/>
          <w:sz w:val="22"/>
          <w:szCs w:val="22"/>
        </w:rPr>
        <w:t>(</w:t>
      </w:r>
      <w:proofErr w:type="gramEnd"/>
      <w:r w:rsidR="00A50BE3">
        <w:rPr>
          <w:rFonts w:ascii="Times New Roman" w:hAnsi="Times New Roman" w:cs="Times New Roman"/>
          <w:b/>
          <w:sz w:val="22"/>
          <w:szCs w:val="22"/>
        </w:rPr>
        <w:t>ve věku 25–64 let</w:t>
      </w:r>
      <w:r w:rsidR="00075C3C">
        <w:rPr>
          <w:rFonts w:ascii="Times New Roman" w:hAnsi="Times New Roman" w:cs="Times New Roman"/>
          <w:b/>
          <w:sz w:val="22"/>
          <w:szCs w:val="22"/>
        </w:rPr>
        <w:t xml:space="preserve">, </w:t>
      </w:r>
      <w:r w:rsidR="00A50BE3">
        <w:rPr>
          <w:rFonts w:ascii="Times New Roman" w:hAnsi="Times New Roman" w:cs="Times New Roman"/>
          <w:b/>
          <w:sz w:val="22"/>
          <w:szCs w:val="22"/>
        </w:rPr>
        <w:t>2006–2017</w:t>
      </w:r>
      <w:r w:rsidR="00265D69">
        <w:rPr>
          <w:rFonts w:ascii="Times New Roman" w:hAnsi="Times New Roman" w:cs="Times New Roman"/>
          <w:b/>
          <w:sz w:val="22"/>
          <w:szCs w:val="22"/>
        </w:rPr>
        <w:t>, v %</w:t>
      </w:r>
      <w:r w:rsidR="00A50BE3">
        <w:rPr>
          <w:rFonts w:ascii="Times New Roman" w:hAnsi="Times New Roman" w:cs="Times New Roman"/>
          <w:b/>
          <w:sz w:val="22"/>
          <w:szCs w:val="22"/>
        </w:rPr>
        <w:t>)</w:t>
      </w:r>
    </w:p>
    <w:p w14:paraId="635E6DBC" w14:textId="2361FAE0" w:rsidR="00A50BE3" w:rsidRDefault="00A50BE3" w:rsidP="002918E2">
      <w:pPr>
        <w:spacing w:before="120" w:line="360" w:lineRule="auto"/>
        <w:rPr>
          <w:rFonts w:ascii="Times New Roman" w:hAnsi="Times New Roman" w:cs="Times New Roman"/>
          <w:b/>
          <w:sz w:val="22"/>
          <w:szCs w:val="22"/>
        </w:rPr>
      </w:pPr>
      <w:r>
        <w:rPr>
          <w:rFonts w:ascii="Times New Roman" w:hAnsi="Times New Roman" w:cs="Times New Roman"/>
          <w:b/>
          <w:noProof/>
          <w:sz w:val="22"/>
          <w:szCs w:val="22"/>
          <w:lang w:val="en-US"/>
        </w:rPr>
        <w:drawing>
          <wp:inline distT="0" distB="0" distL="0" distR="0" wp14:anchorId="00E21894" wp14:editId="4B051E87">
            <wp:extent cx="5274310" cy="3076575"/>
            <wp:effectExtent l="0" t="0" r="34290" b="222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7B54E8" w14:textId="0D758F2A" w:rsidR="00265D69" w:rsidRPr="00630B41" w:rsidRDefault="00265D69" w:rsidP="002918E2">
      <w:pPr>
        <w:spacing w:before="120" w:line="360" w:lineRule="auto"/>
        <w:rPr>
          <w:rFonts w:ascii="Times New Roman" w:hAnsi="Times New Roman" w:cs="Times New Roman"/>
          <w:i/>
          <w:sz w:val="22"/>
          <w:szCs w:val="22"/>
        </w:rPr>
      </w:pPr>
      <w:r w:rsidRPr="00630B41">
        <w:rPr>
          <w:rFonts w:ascii="Times New Roman" w:hAnsi="Times New Roman" w:cs="Times New Roman"/>
          <w:i/>
          <w:sz w:val="22"/>
          <w:szCs w:val="22"/>
        </w:rPr>
        <w:t xml:space="preserve">Zdroj: </w:t>
      </w:r>
      <w:proofErr w:type="spellStart"/>
      <w:r w:rsidRPr="00630B41">
        <w:rPr>
          <w:rFonts w:ascii="Times New Roman" w:hAnsi="Times New Roman" w:cs="Times New Roman"/>
          <w:i/>
          <w:sz w:val="22"/>
          <w:szCs w:val="22"/>
        </w:rPr>
        <w:t>Eurostat</w:t>
      </w:r>
      <w:proofErr w:type="spellEnd"/>
      <w:r w:rsidRPr="00630B41">
        <w:rPr>
          <w:rFonts w:ascii="Times New Roman" w:hAnsi="Times New Roman" w:cs="Times New Roman"/>
          <w:i/>
          <w:sz w:val="22"/>
          <w:szCs w:val="22"/>
        </w:rPr>
        <w:t xml:space="preserve"> (2018), vlastní zpracování.</w:t>
      </w:r>
    </w:p>
    <w:p w14:paraId="6811C9BF" w14:textId="67FEEE27" w:rsidR="00265D69" w:rsidRPr="00630B41" w:rsidRDefault="00265D69" w:rsidP="00265D69">
      <w:pPr>
        <w:rPr>
          <w:rFonts w:ascii="Times New Roman" w:hAnsi="Times New Roman" w:cs="Times New Roman"/>
          <w:sz w:val="20"/>
          <w:szCs w:val="20"/>
        </w:rPr>
      </w:pPr>
      <w:r w:rsidRPr="00630B41">
        <w:rPr>
          <w:rFonts w:ascii="Times New Roman" w:hAnsi="Times New Roman" w:cs="Times New Roman"/>
          <w:sz w:val="20"/>
          <w:szCs w:val="20"/>
        </w:rPr>
        <w:t>Poznámka: Údaje do roku 2013 jsou klasifikovány dle ISCED 1997, od roku 2014 dle ISCED 2011.</w:t>
      </w:r>
    </w:p>
    <w:p w14:paraId="46AC2480" w14:textId="35331848" w:rsidR="00C6619B" w:rsidRDefault="00265D69" w:rsidP="00265D69">
      <w:pPr>
        <w:spacing w:before="240" w:line="360" w:lineRule="auto"/>
        <w:jc w:val="both"/>
        <w:rPr>
          <w:rFonts w:ascii="Times New Roman" w:hAnsi="Times New Roman" w:cs="Times New Roman"/>
        </w:rPr>
      </w:pPr>
      <w:r>
        <w:rPr>
          <w:rFonts w:ascii="Times New Roman" w:hAnsi="Times New Roman" w:cs="Times New Roman"/>
        </w:rPr>
        <w:t>Na první pohled je patrné, že dosažená úroveň vzdělání je významným nástrojem ochrany proti nezaměstnanosti. Míra nezaměstnanosti</w:t>
      </w:r>
      <w:r w:rsidR="00C6619B">
        <w:rPr>
          <w:rFonts w:ascii="Times New Roman" w:hAnsi="Times New Roman" w:cs="Times New Roman"/>
        </w:rPr>
        <w:t xml:space="preserve"> osob se základním vzděláním </w:t>
      </w:r>
      <w:r>
        <w:rPr>
          <w:rFonts w:ascii="Times New Roman" w:hAnsi="Times New Roman" w:cs="Times New Roman"/>
        </w:rPr>
        <w:t xml:space="preserve">dlouhodobě osciluje mezi </w:t>
      </w:r>
      <w:r w:rsidR="00630B41">
        <w:rPr>
          <w:rFonts w:ascii="Times New Roman" w:hAnsi="Times New Roman" w:cs="Times New Roman"/>
        </w:rPr>
        <w:t>20–25 %.</w:t>
      </w:r>
      <w:r w:rsidR="00C6619B">
        <w:rPr>
          <w:rFonts w:ascii="Times New Roman" w:hAnsi="Times New Roman" w:cs="Times New Roman"/>
        </w:rPr>
        <w:t xml:space="preserve"> Je patrná také vysoká volatilita – v období krize a následné recese (v roce 2008 a hlavně 2011) skokový nárůst nezaměstnanosti; jsou to právě jedinci s nízkou úrovní vzdělání, kteří bývají propouštěni jako první. Od roku 2016 se míra nezaměstnanosti plynule snižuje, což je dáno ekonomickým růstem a situací na trhu práce, kde se projevuje vysoký nedostatek pracovní síly</w:t>
      </w:r>
      <w:r w:rsidR="009F7377">
        <w:rPr>
          <w:rFonts w:ascii="Times New Roman" w:hAnsi="Times New Roman" w:cs="Times New Roman"/>
        </w:rPr>
        <w:t xml:space="preserve"> na všech úrovních pracovních míst</w:t>
      </w:r>
      <w:r w:rsidR="00C6619B">
        <w:rPr>
          <w:rFonts w:ascii="Times New Roman" w:hAnsi="Times New Roman" w:cs="Times New Roman"/>
        </w:rPr>
        <w:t xml:space="preserve">. </w:t>
      </w:r>
      <w:r w:rsidR="00C6619B" w:rsidRPr="00F9755A">
        <w:rPr>
          <w:rFonts w:ascii="Times New Roman" w:hAnsi="Times New Roman" w:cs="Times New Roman"/>
          <w:b/>
        </w:rPr>
        <w:t>Přes velmi níz</w:t>
      </w:r>
      <w:r w:rsidR="00F9755A">
        <w:rPr>
          <w:rFonts w:ascii="Times New Roman" w:hAnsi="Times New Roman" w:cs="Times New Roman"/>
          <w:b/>
        </w:rPr>
        <w:t>kou míru celkové</w:t>
      </w:r>
      <w:r w:rsidR="009F7377" w:rsidRPr="00F9755A">
        <w:rPr>
          <w:rFonts w:ascii="Times New Roman" w:hAnsi="Times New Roman" w:cs="Times New Roman"/>
          <w:b/>
        </w:rPr>
        <w:t xml:space="preserve"> nezaměstnanosti</w:t>
      </w:r>
      <w:r w:rsidR="009F7377">
        <w:rPr>
          <w:rFonts w:ascii="Times New Roman" w:hAnsi="Times New Roman" w:cs="Times New Roman"/>
        </w:rPr>
        <w:t xml:space="preserve"> (</w:t>
      </w:r>
      <w:r w:rsidR="009F7377" w:rsidRPr="00F9755A">
        <w:rPr>
          <w:rFonts w:ascii="Times New Roman" w:hAnsi="Times New Roman" w:cs="Times New Roman"/>
          <w:b/>
        </w:rPr>
        <w:t>2,4 %</w:t>
      </w:r>
      <w:r w:rsidR="009F7377">
        <w:rPr>
          <w:rFonts w:ascii="Times New Roman" w:hAnsi="Times New Roman" w:cs="Times New Roman"/>
        </w:rPr>
        <w:t xml:space="preserve"> na konci roku 2017)</w:t>
      </w:r>
      <w:r w:rsidR="00C6619B">
        <w:rPr>
          <w:rFonts w:ascii="Times New Roman" w:hAnsi="Times New Roman" w:cs="Times New Roman"/>
        </w:rPr>
        <w:t xml:space="preserve"> </w:t>
      </w:r>
      <w:r w:rsidR="009F7377" w:rsidRPr="00F9755A">
        <w:rPr>
          <w:rFonts w:ascii="Times New Roman" w:hAnsi="Times New Roman" w:cs="Times New Roman"/>
        </w:rPr>
        <w:t>však</w:t>
      </w:r>
      <w:r w:rsidR="009F7377" w:rsidRPr="00F9755A">
        <w:rPr>
          <w:rFonts w:ascii="Times New Roman" w:hAnsi="Times New Roman" w:cs="Times New Roman"/>
          <w:b/>
        </w:rPr>
        <w:t xml:space="preserve"> </w:t>
      </w:r>
      <w:r w:rsidR="00C6619B" w:rsidRPr="00F9755A">
        <w:rPr>
          <w:rFonts w:ascii="Times New Roman" w:hAnsi="Times New Roman" w:cs="Times New Roman"/>
          <w:b/>
        </w:rPr>
        <w:t xml:space="preserve">dosahovala nezaměstnanost osob s nejnižší úrovní </w:t>
      </w:r>
      <w:r w:rsidR="00C6619B" w:rsidRPr="00F9755A">
        <w:rPr>
          <w:rFonts w:ascii="Times New Roman" w:hAnsi="Times New Roman" w:cs="Times New Roman"/>
          <w:b/>
        </w:rPr>
        <w:lastRenderedPageBreak/>
        <w:t xml:space="preserve">vzdělání </w:t>
      </w:r>
      <w:r w:rsidR="00C6619B" w:rsidRPr="00F9755A">
        <w:rPr>
          <w:rFonts w:ascii="Times New Roman" w:hAnsi="Times New Roman" w:cs="Times New Roman"/>
        </w:rPr>
        <w:t>v roce 2017 hodnoty</w:t>
      </w:r>
      <w:r w:rsidR="009F7377" w:rsidRPr="00F9755A">
        <w:rPr>
          <w:rFonts w:ascii="Times New Roman" w:hAnsi="Times New Roman" w:cs="Times New Roman"/>
          <w:b/>
        </w:rPr>
        <w:t xml:space="preserve"> </w:t>
      </w:r>
      <w:r w:rsidR="00C6619B" w:rsidRPr="00F9755A">
        <w:rPr>
          <w:rFonts w:ascii="Times New Roman" w:hAnsi="Times New Roman" w:cs="Times New Roman"/>
          <w:b/>
        </w:rPr>
        <w:t>11,9 %</w:t>
      </w:r>
      <w:r w:rsidR="00C6619B" w:rsidRPr="00F9755A">
        <w:rPr>
          <w:rFonts w:ascii="Times New Roman" w:hAnsi="Times New Roman" w:cs="Times New Roman"/>
        </w:rPr>
        <w:t>.</w:t>
      </w:r>
      <w:r w:rsidR="009F7377" w:rsidRPr="00F9755A">
        <w:rPr>
          <w:rFonts w:ascii="Times New Roman" w:hAnsi="Times New Roman" w:cs="Times New Roman"/>
        </w:rPr>
        <w:t xml:space="preserve"> </w:t>
      </w:r>
      <w:r w:rsidR="00F9755A">
        <w:rPr>
          <w:rFonts w:ascii="Times New Roman" w:hAnsi="Times New Roman" w:cs="Times New Roman"/>
        </w:rPr>
        <w:t xml:space="preserve">Pro srovnání – </w:t>
      </w:r>
      <w:r w:rsidR="000E6901">
        <w:rPr>
          <w:rFonts w:ascii="Times New Roman" w:hAnsi="Times New Roman" w:cs="Times New Roman"/>
        </w:rPr>
        <w:t>v Německu</w:t>
      </w:r>
      <w:r w:rsidR="00F9755A">
        <w:rPr>
          <w:rFonts w:ascii="Times New Roman" w:hAnsi="Times New Roman" w:cs="Times New Roman"/>
        </w:rPr>
        <w:t>, kde míra celkové nezaměstnanosti dosáhla</w:t>
      </w:r>
      <w:r w:rsidR="000E6901">
        <w:rPr>
          <w:rFonts w:ascii="Times New Roman" w:hAnsi="Times New Roman" w:cs="Times New Roman"/>
        </w:rPr>
        <w:t xml:space="preserve"> na konci roku 3,2 %, činila míra</w:t>
      </w:r>
      <w:r w:rsidR="00F9755A">
        <w:rPr>
          <w:rFonts w:ascii="Times New Roman" w:hAnsi="Times New Roman" w:cs="Times New Roman"/>
        </w:rPr>
        <w:t xml:space="preserve"> nezaměstnanosti osob s primárním vzděláním </w:t>
      </w:r>
      <w:r w:rsidR="000E6901">
        <w:rPr>
          <w:rFonts w:ascii="Times New Roman" w:hAnsi="Times New Roman" w:cs="Times New Roman"/>
        </w:rPr>
        <w:t xml:space="preserve">„jen“ </w:t>
      </w:r>
      <w:r w:rsidR="00F9755A">
        <w:rPr>
          <w:rFonts w:ascii="Times New Roman" w:hAnsi="Times New Roman" w:cs="Times New Roman"/>
        </w:rPr>
        <w:t>9,2 %</w:t>
      </w:r>
      <w:r w:rsidR="000E6901">
        <w:rPr>
          <w:rFonts w:ascii="Times New Roman" w:hAnsi="Times New Roman" w:cs="Times New Roman"/>
        </w:rPr>
        <w:t>. Vzniká otázka – co dělá Německo lépe, které faktory jsou pro účast osob s nejnižší úrovní vzdělání na trhu práce rozhodující. Zřejmě jde o soubor mnoha nejrůznějších faktorů (důsledné duální vzdělávání, efektivnější politika zaměstnanosti</w:t>
      </w:r>
      <w:r w:rsidR="00630B41">
        <w:rPr>
          <w:rFonts w:ascii="Times New Roman" w:hAnsi="Times New Roman" w:cs="Times New Roman"/>
        </w:rPr>
        <w:t xml:space="preserve">, vztah mezd a sociálních </w:t>
      </w:r>
      <w:proofErr w:type="gramStart"/>
      <w:r w:rsidR="00630B41">
        <w:rPr>
          <w:rFonts w:ascii="Times New Roman" w:hAnsi="Times New Roman" w:cs="Times New Roman"/>
        </w:rPr>
        <w:t>dávek,</w:t>
      </w:r>
      <w:proofErr w:type="gramEnd"/>
      <w:r w:rsidR="000E6901">
        <w:rPr>
          <w:rFonts w:ascii="Times New Roman" w:hAnsi="Times New Roman" w:cs="Times New Roman"/>
        </w:rPr>
        <w:t xml:space="preserve"> atd.).</w:t>
      </w:r>
    </w:p>
    <w:p w14:paraId="04376404" w14:textId="5C04A978" w:rsidR="00630B41" w:rsidRDefault="00630B41" w:rsidP="00630B41">
      <w:pPr>
        <w:pStyle w:val="Nadpis3"/>
      </w:pPr>
      <w:bookmarkStart w:id="23" w:name="_Toc398662589"/>
      <w:r>
        <w:t>2.2.2 Vyšší příjmy</w:t>
      </w:r>
      <w:bookmarkEnd w:id="23"/>
    </w:p>
    <w:p w14:paraId="39E64D64" w14:textId="7F0DF9DE" w:rsidR="00630B41" w:rsidRDefault="00630B41" w:rsidP="00630B41">
      <w:pPr>
        <w:spacing w:before="120" w:line="360" w:lineRule="auto"/>
        <w:jc w:val="both"/>
        <w:rPr>
          <w:rFonts w:ascii="Times New Roman" w:hAnsi="Times New Roman" w:cs="Times New Roman"/>
        </w:rPr>
      </w:pPr>
      <w:r>
        <w:rPr>
          <w:rFonts w:ascii="Times New Roman" w:hAnsi="Times New Roman" w:cs="Times New Roman"/>
        </w:rPr>
        <w:t>Úroveň dosaženého vzdělání a ochota dále se vzdělávat jde ruku v ruce také s vyššími příjmy (blíže viz Tabulka 2.1).</w:t>
      </w:r>
    </w:p>
    <w:p w14:paraId="54E83655" w14:textId="3D7C4742" w:rsidR="00D66A17" w:rsidRDefault="006176B8" w:rsidP="002918E2">
      <w:pPr>
        <w:spacing w:before="120" w:line="360" w:lineRule="auto"/>
        <w:rPr>
          <w:rFonts w:ascii="Times New Roman" w:hAnsi="Times New Roman" w:cs="Times New Roman"/>
          <w:b/>
        </w:rPr>
      </w:pPr>
      <w:r>
        <w:rPr>
          <w:rFonts w:ascii="Times New Roman" w:hAnsi="Times New Roman" w:cs="Times New Roman"/>
        </w:rPr>
        <w:t xml:space="preserve">Tabulka 2.1 </w:t>
      </w:r>
      <w:r>
        <w:rPr>
          <w:rFonts w:ascii="Times New Roman" w:hAnsi="Times New Roman" w:cs="Times New Roman"/>
          <w:b/>
        </w:rPr>
        <w:t>Medián měsíčních mezd dle úrovně dosaženého vzdělání v ČR (2</w:t>
      </w:r>
      <w:r w:rsidR="00CB0CD8">
        <w:rPr>
          <w:rFonts w:ascii="Times New Roman" w:hAnsi="Times New Roman" w:cs="Times New Roman"/>
          <w:b/>
        </w:rPr>
        <w:t>017)</w:t>
      </w:r>
    </w:p>
    <w:tbl>
      <w:tblPr>
        <w:tblStyle w:val="Svtlmkazvraznn1"/>
        <w:tblW w:w="0" w:type="auto"/>
        <w:jc w:val="center"/>
        <w:tblLook w:val="04A0" w:firstRow="1" w:lastRow="0" w:firstColumn="1" w:lastColumn="0" w:noHBand="0" w:noVBand="1"/>
      </w:tblPr>
      <w:tblGrid>
        <w:gridCol w:w="1429"/>
        <w:gridCol w:w="832"/>
        <w:gridCol w:w="769"/>
        <w:gridCol w:w="769"/>
      </w:tblGrid>
      <w:tr w:rsidR="00C039CD" w:rsidRPr="006176B8" w14:paraId="351230E1" w14:textId="77777777" w:rsidTr="00C03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gridSpan w:val="4"/>
          </w:tcPr>
          <w:p w14:paraId="16EA497E" w14:textId="63939D94" w:rsidR="00C039CD" w:rsidRPr="00C039CD" w:rsidRDefault="00C039CD" w:rsidP="00C039CD">
            <w:pPr>
              <w:spacing w:before="120" w:line="360" w:lineRule="auto"/>
              <w:jc w:val="center"/>
              <w:rPr>
                <w:rFonts w:cs="Times New Roman"/>
                <w:sz w:val="20"/>
                <w:szCs w:val="20"/>
              </w:rPr>
            </w:pPr>
            <w:r w:rsidRPr="00C039CD">
              <w:rPr>
                <w:rFonts w:cs="Times New Roman"/>
                <w:sz w:val="20"/>
                <w:szCs w:val="20"/>
              </w:rPr>
              <w:t>Medián měsíčních mezd (v Kč)</w:t>
            </w:r>
          </w:p>
        </w:tc>
      </w:tr>
      <w:tr w:rsidR="006176B8" w:rsidRPr="006176B8" w14:paraId="4A883000" w14:textId="77777777" w:rsidTr="00C039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15E9F3DE" w14:textId="04E16748" w:rsidR="006176B8" w:rsidRPr="00C039CD" w:rsidRDefault="00C039CD" w:rsidP="00C039CD">
            <w:pPr>
              <w:spacing w:before="120" w:line="360" w:lineRule="auto"/>
              <w:jc w:val="center"/>
              <w:rPr>
                <w:rFonts w:cs="Times New Roman"/>
                <w:sz w:val="20"/>
                <w:szCs w:val="20"/>
              </w:rPr>
            </w:pPr>
            <w:r w:rsidRPr="00C039CD">
              <w:rPr>
                <w:rFonts w:cs="Times New Roman"/>
                <w:sz w:val="20"/>
                <w:szCs w:val="20"/>
              </w:rPr>
              <w:t>2017</w:t>
            </w:r>
          </w:p>
        </w:tc>
        <w:tc>
          <w:tcPr>
            <w:tcW w:w="238" w:type="dxa"/>
          </w:tcPr>
          <w:p w14:paraId="4B3D541B" w14:textId="31112510" w:rsidR="006176B8" w:rsidRPr="006176B8"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Celkem</w:t>
            </w:r>
          </w:p>
        </w:tc>
        <w:tc>
          <w:tcPr>
            <w:tcW w:w="0" w:type="auto"/>
          </w:tcPr>
          <w:p w14:paraId="0AD05C17" w14:textId="79C798AC" w:rsidR="006176B8" w:rsidRPr="006176B8"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Muži</w:t>
            </w:r>
          </w:p>
        </w:tc>
        <w:tc>
          <w:tcPr>
            <w:tcW w:w="0" w:type="auto"/>
          </w:tcPr>
          <w:p w14:paraId="76698E62" w14:textId="189E2E23" w:rsidR="006176B8" w:rsidRPr="006176B8"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0"/>
                <w:szCs w:val="20"/>
              </w:rPr>
            </w:pPr>
            <w:r>
              <w:rPr>
                <w:rFonts w:asciiTheme="majorHAnsi" w:hAnsiTheme="majorHAnsi" w:cs="Times New Roman"/>
                <w:b/>
                <w:sz w:val="20"/>
                <w:szCs w:val="20"/>
              </w:rPr>
              <w:t>Ženy</w:t>
            </w:r>
          </w:p>
        </w:tc>
      </w:tr>
      <w:tr w:rsidR="006176B8" w:rsidRPr="006176B8" w14:paraId="648DCEF0" w14:textId="77777777" w:rsidTr="00C039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65A64724" w14:textId="075CA5CC" w:rsidR="006176B8" w:rsidRPr="00C039CD" w:rsidRDefault="00C039CD" w:rsidP="002918E2">
            <w:pPr>
              <w:spacing w:before="120" w:line="360" w:lineRule="auto"/>
              <w:rPr>
                <w:rFonts w:cs="Times New Roman"/>
                <w:sz w:val="20"/>
                <w:szCs w:val="20"/>
              </w:rPr>
            </w:pPr>
            <w:r w:rsidRPr="00C039CD">
              <w:rPr>
                <w:rFonts w:cs="Times New Roman"/>
                <w:sz w:val="20"/>
                <w:szCs w:val="20"/>
              </w:rPr>
              <w:t>Celkem</w:t>
            </w:r>
          </w:p>
        </w:tc>
        <w:tc>
          <w:tcPr>
            <w:tcW w:w="238" w:type="dxa"/>
          </w:tcPr>
          <w:p w14:paraId="3704136F" w14:textId="5643F9F0"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C039CD">
              <w:rPr>
                <w:rFonts w:asciiTheme="majorHAnsi" w:hAnsiTheme="majorHAnsi" w:cs="Times New Roman"/>
                <w:sz w:val="20"/>
                <w:szCs w:val="20"/>
              </w:rPr>
              <w:t>26 843</w:t>
            </w:r>
          </w:p>
        </w:tc>
        <w:tc>
          <w:tcPr>
            <w:tcW w:w="0" w:type="auto"/>
          </w:tcPr>
          <w:p w14:paraId="326A5D9F" w14:textId="08D862A7"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C039CD">
              <w:rPr>
                <w:rFonts w:asciiTheme="majorHAnsi" w:hAnsiTheme="majorHAnsi" w:cs="Times New Roman"/>
                <w:sz w:val="20"/>
                <w:szCs w:val="20"/>
              </w:rPr>
              <w:t>29 006</w:t>
            </w:r>
          </w:p>
        </w:tc>
        <w:tc>
          <w:tcPr>
            <w:tcW w:w="0" w:type="auto"/>
          </w:tcPr>
          <w:p w14:paraId="35965D80" w14:textId="704D5ACF"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24 447</w:t>
            </w:r>
          </w:p>
        </w:tc>
      </w:tr>
      <w:tr w:rsidR="006176B8" w:rsidRPr="006176B8" w14:paraId="6DBC498A" w14:textId="77777777" w:rsidTr="00C039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2F48CC6B" w14:textId="0851359D" w:rsidR="006176B8" w:rsidRPr="00C039CD" w:rsidRDefault="00C039CD" w:rsidP="002918E2">
            <w:pPr>
              <w:spacing w:before="120" w:line="360" w:lineRule="auto"/>
              <w:rPr>
                <w:rFonts w:cs="Times New Roman"/>
                <w:sz w:val="20"/>
                <w:szCs w:val="20"/>
              </w:rPr>
            </w:pPr>
            <w:r w:rsidRPr="00C039CD">
              <w:rPr>
                <w:rFonts w:cs="Times New Roman"/>
                <w:sz w:val="20"/>
                <w:szCs w:val="20"/>
              </w:rPr>
              <w:t>Základní a nedokončené</w:t>
            </w:r>
          </w:p>
        </w:tc>
        <w:tc>
          <w:tcPr>
            <w:tcW w:w="238" w:type="dxa"/>
          </w:tcPr>
          <w:p w14:paraId="16D6E8AF" w14:textId="62A1B59A"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19 970</w:t>
            </w:r>
          </w:p>
        </w:tc>
        <w:tc>
          <w:tcPr>
            <w:tcW w:w="0" w:type="auto"/>
          </w:tcPr>
          <w:p w14:paraId="4DA943CF" w14:textId="70C0BF44"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22 480</w:t>
            </w:r>
          </w:p>
        </w:tc>
        <w:tc>
          <w:tcPr>
            <w:tcW w:w="0" w:type="auto"/>
          </w:tcPr>
          <w:p w14:paraId="719B4BEA" w14:textId="2D768A3E"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18 092</w:t>
            </w:r>
          </w:p>
        </w:tc>
      </w:tr>
      <w:tr w:rsidR="006176B8" w:rsidRPr="006176B8" w14:paraId="4D95054E" w14:textId="77777777" w:rsidTr="00C039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6B5E24F2" w14:textId="2E828BD9" w:rsidR="006176B8" w:rsidRPr="00C039CD" w:rsidRDefault="00C039CD" w:rsidP="002918E2">
            <w:pPr>
              <w:spacing w:before="120" w:line="360" w:lineRule="auto"/>
              <w:rPr>
                <w:rFonts w:cs="Times New Roman"/>
                <w:sz w:val="20"/>
                <w:szCs w:val="20"/>
              </w:rPr>
            </w:pPr>
            <w:r w:rsidRPr="00C039CD">
              <w:rPr>
                <w:rFonts w:cs="Times New Roman"/>
                <w:sz w:val="20"/>
                <w:szCs w:val="20"/>
              </w:rPr>
              <w:t>Středoškolské bez maturity</w:t>
            </w:r>
          </w:p>
        </w:tc>
        <w:tc>
          <w:tcPr>
            <w:tcW w:w="238" w:type="dxa"/>
          </w:tcPr>
          <w:p w14:paraId="15BC54D3" w14:textId="37A22DC9"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22 819</w:t>
            </w:r>
          </w:p>
        </w:tc>
        <w:tc>
          <w:tcPr>
            <w:tcW w:w="0" w:type="auto"/>
          </w:tcPr>
          <w:p w14:paraId="750ECE55" w14:textId="63C359E0"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25 452</w:t>
            </w:r>
          </w:p>
        </w:tc>
        <w:tc>
          <w:tcPr>
            <w:tcW w:w="0" w:type="auto"/>
          </w:tcPr>
          <w:p w14:paraId="540E8F1C" w14:textId="585BC8C1"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18 922</w:t>
            </w:r>
          </w:p>
        </w:tc>
      </w:tr>
      <w:tr w:rsidR="006176B8" w:rsidRPr="006176B8" w14:paraId="742A32EC" w14:textId="77777777" w:rsidTr="00C039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68F95CE5" w14:textId="613BC611" w:rsidR="006176B8" w:rsidRPr="00C039CD" w:rsidRDefault="00C039CD" w:rsidP="002918E2">
            <w:pPr>
              <w:spacing w:before="120" w:line="360" w:lineRule="auto"/>
              <w:rPr>
                <w:rFonts w:cs="Times New Roman"/>
                <w:sz w:val="20"/>
                <w:szCs w:val="20"/>
              </w:rPr>
            </w:pPr>
            <w:r w:rsidRPr="00C039CD">
              <w:rPr>
                <w:rFonts w:cs="Times New Roman"/>
                <w:sz w:val="20"/>
                <w:szCs w:val="20"/>
              </w:rPr>
              <w:t>Středoškolské s maturitou</w:t>
            </w:r>
          </w:p>
        </w:tc>
        <w:tc>
          <w:tcPr>
            <w:tcW w:w="238" w:type="dxa"/>
          </w:tcPr>
          <w:p w14:paraId="416DBC0C" w14:textId="543180E9"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27 479</w:t>
            </w:r>
          </w:p>
        </w:tc>
        <w:tc>
          <w:tcPr>
            <w:tcW w:w="0" w:type="auto"/>
          </w:tcPr>
          <w:p w14:paraId="29D3DFB1" w14:textId="0A2B3A99"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30 554</w:t>
            </w:r>
          </w:p>
        </w:tc>
        <w:tc>
          <w:tcPr>
            <w:tcW w:w="0" w:type="auto"/>
          </w:tcPr>
          <w:p w14:paraId="40396025" w14:textId="3773ABCA"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25 266</w:t>
            </w:r>
          </w:p>
        </w:tc>
      </w:tr>
      <w:tr w:rsidR="006176B8" w:rsidRPr="006176B8" w14:paraId="0BBD40DD" w14:textId="77777777" w:rsidTr="00C039C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11F06C84" w14:textId="6F2D495C" w:rsidR="006176B8" w:rsidRPr="00C039CD" w:rsidRDefault="00C039CD" w:rsidP="002918E2">
            <w:pPr>
              <w:spacing w:before="120" w:line="360" w:lineRule="auto"/>
              <w:rPr>
                <w:rFonts w:cs="Times New Roman"/>
                <w:sz w:val="20"/>
                <w:szCs w:val="20"/>
              </w:rPr>
            </w:pPr>
            <w:r w:rsidRPr="00C039CD">
              <w:rPr>
                <w:rFonts w:cs="Times New Roman"/>
                <w:sz w:val="20"/>
                <w:szCs w:val="20"/>
              </w:rPr>
              <w:t>Vyšší odborné a bakalářské</w:t>
            </w:r>
          </w:p>
        </w:tc>
        <w:tc>
          <w:tcPr>
            <w:tcW w:w="238" w:type="dxa"/>
          </w:tcPr>
          <w:p w14:paraId="4F7FC344" w14:textId="6B9244AA"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31 154</w:t>
            </w:r>
          </w:p>
        </w:tc>
        <w:tc>
          <w:tcPr>
            <w:tcW w:w="0" w:type="auto"/>
          </w:tcPr>
          <w:p w14:paraId="7372F432" w14:textId="65611741"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36 351</w:t>
            </w:r>
          </w:p>
        </w:tc>
        <w:tc>
          <w:tcPr>
            <w:tcW w:w="0" w:type="auto"/>
          </w:tcPr>
          <w:p w14:paraId="1C0F22F8" w14:textId="58C60F39" w:rsidR="006176B8" w:rsidRPr="00C039CD" w:rsidRDefault="00C039CD" w:rsidP="00C039CD">
            <w:pPr>
              <w:spacing w:before="120"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28 528</w:t>
            </w:r>
          </w:p>
        </w:tc>
      </w:tr>
      <w:tr w:rsidR="006176B8" w:rsidRPr="006176B8" w14:paraId="07655155" w14:textId="77777777" w:rsidTr="00C039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 w:type="dxa"/>
          </w:tcPr>
          <w:p w14:paraId="766E1DAC" w14:textId="37644017" w:rsidR="006176B8" w:rsidRPr="00C039CD" w:rsidRDefault="00C039CD" w:rsidP="002918E2">
            <w:pPr>
              <w:spacing w:before="120" w:line="360" w:lineRule="auto"/>
              <w:rPr>
                <w:rFonts w:cs="Times New Roman"/>
                <w:sz w:val="20"/>
                <w:szCs w:val="20"/>
              </w:rPr>
            </w:pPr>
            <w:r w:rsidRPr="00C039CD">
              <w:rPr>
                <w:rFonts w:cs="Times New Roman"/>
                <w:sz w:val="20"/>
                <w:szCs w:val="20"/>
              </w:rPr>
              <w:t>Vysokoškolské</w:t>
            </w:r>
          </w:p>
        </w:tc>
        <w:tc>
          <w:tcPr>
            <w:tcW w:w="238" w:type="dxa"/>
          </w:tcPr>
          <w:p w14:paraId="797542F2" w14:textId="4142EC27"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37 861</w:t>
            </w:r>
          </w:p>
        </w:tc>
        <w:tc>
          <w:tcPr>
            <w:tcW w:w="0" w:type="auto"/>
          </w:tcPr>
          <w:p w14:paraId="22963AAC" w14:textId="3F6A63F8"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43 663</w:t>
            </w:r>
          </w:p>
        </w:tc>
        <w:tc>
          <w:tcPr>
            <w:tcW w:w="0" w:type="auto"/>
          </w:tcPr>
          <w:p w14:paraId="78559C97" w14:textId="6F89E5BA" w:rsidR="006176B8" w:rsidRPr="00C039CD" w:rsidRDefault="00C039CD" w:rsidP="00C039CD">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33 853</w:t>
            </w:r>
          </w:p>
        </w:tc>
      </w:tr>
    </w:tbl>
    <w:p w14:paraId="304CD3E2" w14:textId="3A04F441" w:rsidR="006176B8" w:rsidRPr="00630B41" w:rsidRDefault="003E42E6" w:rsidP="002918E2">
      <w:pPr>
        <w:spacing w:before="120" w:line="360" w:lineRule="auto"/>
        <w:rPr>
          <w:rFonts w:ascii="Times New Roman" w:hAnsi="Times New Roman" w:cs="Times New Roman"/>
          <w:i/>
          <w:sz w:val="22"/>
          <w:szCs w:val="22"/>
        </w:rPr>
      </w:pPr>
      <w:r w:rsidRPr="00630B41">
        <w:rPr>
          <w:rFonts w:ascii="Times New Roman" w:hAnsi="Times New Roman" w:cs="Times New Roman"/>
          <w:i/>
          <w:sz w:val="22"/>
          <w:szCs w:val="22"/>
        </w:rPr>
        <w:t>Zdroj: ČSÚ (2018), vlastní zpracování.</w:t>
      </w:r>
    </w:p>
    <w:p w14:paraId="6B1B257F" w14:textId="5751A5CA" w:rsidR="003E42E6" w:rsidRDefault="003E42E6" w:rsidP="003E42E6">
      <w:pPr>
        <w:spacing w:before="240" w:line="360" w:lineRule="auto"/>
        <w:jc w:val="both"/>
        <w:rPr>
          <w:rFonts w:ascii="Times New Roman" w:hAnsi="Times New Roman" w:cs="Times New Roman"/>
        </w:rPr>
      </w:pPr>
      <w:r>
        <w:rPr>
          <w:rFonts w:ascii="Times New Roman" w:hAnsi="Times New Roman" w:cs="Times New Roman"/>
        </w:rPr>
        <w:t xml:space="preserve">Tabulka 2.1 zachycuje medián měsíčních mezd (je to přesnější ukazatel než průměrná hrubá mzda, lépe vystihuje rozdíly mezi jednotlivými skupinami). Je zřejmé, že vyšší úroveň vzdělání je spojena s vyšším příjmem – tedy s vyšší koupěschopností, větší spotřebou (s vyšší životní úrovní) a zpravidla také s vyšším sociálním statusem. Přestože ČR patří spíše k zemím, kde rozdíly ve mzdách podle dosažené úrovně vzdělání nejsou příliš velké, dochází postupně k rozevírání pomyslných nůžek na obou pólech </w:t>
      </w:r>
      <w:r w:rsidR="00E871BC">
        <w:rPr>
          <w:rFonts w:ascii="Times New Roman" w:hAnsi="Times New Roman" w:cs="Times New Roman"/>
        </w:rPr>
        <w:t xml:space="preserve">úrovně vzdělání. Zatímco v roce 2011 činil rozdíl mediánu měsíčních </w:t>
      </w:r>
      <w:r w:rsidR="00E871BC">
        <w:rPr>
          <w:rFonts w:ascii="Times New Roman" w:hAnsi="Times New Roman" w:cs="Times New Roman"/>
        </w:rPr>
        <w:lastRenderedPageBreak/>
        <w:t xml:space="preserve">mezd osob s nejnižším vzděláním a vysokoškoláků 17 273 Kč, v roce 2017 </w:t>
      </w:r>
      <w:r w:rsidR="00630B41">
        <w:rPr>
          <w:rFonts w:ascii="Times New Roman" w:hAnsi="Times New Roman" w:cs="Times New Roman"/>
        </w:rPr>
        <w:t>dosahoval</w:t>
      </w:r>
      <w:r w:rsidR="00E01B33">
        <w:rPr>
          <w:rFonts w:ascii="Times New Roman" w:hAnsi="Times New Roman" w:cs="Times New Roman"/>
        </w:rPr>
        <w:t xml:space="preserve"> tento rozdíl již </w:t>
      </w:r>
      <w:r w:rsidR="00E871BC">
        <w:rPr>
          <w:rFonts w:ascii="Times New Roman" w:hAnsi="Times New Roman" w:cs="Times New Roman"/>
        </w:rPr>
        <w:t>17 891 Kč.</w:t>
      </w:r>
    </w:p>
    <w:p w14:paraId="5F8B3ECB" w14:textId="77777777" w:rsidR="00FA677B" w:rsidRDefault="008C5DA3" w:rsidP="00755011">
      <w:pPr>
        <w:spacing w:before="120" w:line="360" w:lineRule="auto"/>
        <w:jc w:val="both"/>
        <w:rPr>
          <w:rFonts w:ascii="Times New Roman" w:hAnsi="Times New Roman" w:cs="Times New Roman"/>
        </w:rPr>
      </w:pPr>
      <w:r>
        <w:rPr>
          <w:rFonts w:ascii="Times New Roman" w:hAnsi="Times New Roman" w:cs="Times New Roman"/>
        </w:rPr>
        <w:t>Zajímavý pohled na výši mezd dle dosažené úrovně</w:t>
      </w:r>
      <w:r w:rsidR="00D93BCD">
        <w:rPr>
          <w:rFonts w:ascii="Times New Roman" w:hAnsi="Times New Roman" w:cs="Times New Roman"/>
        </w:rPr>
        <w:t xml:space="preserve"> vzdělání</w:t>
      </w:r>
      <w:r w:rsidR="00630B41">
        <w:rPr>
          <w:rFonts w:ascii="Times New Roman" w:hAnsi="Times New Roman" w:cs="Times New Roman"/>
        </w:rPr>
        <w:t>, a to v mezinárodním srovnání,</w:t>
      </w:r>
      <w:r w:rsidR="00D93BCD">
        <w:rPr>
          <w:rFonts w:ascii="Times New Roman" w:hAnsi="Times New Roman" w:cs="Times New Roman"/>
        </w:rPr>
        <w:t xml:space="preserve"> poskytuje Obrázek 2.5</w:t>
      </w:r>
      <w:r>
        <w:rPr>
          <w:rFonts w:ascii="Times New Roman" w:hAnsi="Times New Roman" w:cs="Times New Roman"/>
        </w:rPr>
        <w:t xml:space="preserve"> </w:t>
      </w:r>
      <w:r w:rsidR="00D93BCD">
        <w:rPr>
          <w:rFonts w:ascii="Times New Roman" w:hAnsi="Times New Roman" w:cs="Times New Roman"/>
        </w:rPr>
        <w:t xml:space="preserve">(údaje jsou pro rok 2014, novější nejsou zatím k dispozici). </w:t>
      </w:r>
    </w:p>
    <w:p w14:paraId="736EB0DD" w14:textId="3F5B138D" w:rsidR="002845DC" w:rsidRPr="00755011" w:rsidRDefault="00A11745" w:rsidP="00FA677B">
      <w:pPr>
        <w:spacing w:before="120"/>
        <w:jc w:val="both"/>
        <w:rPr>
          <w:rFonts w:ascii="Times New Roman" w:hAnsi="Times New Roman" w:cs="Times New Roman"/>
        </w:rPr>
      </w:pPr>
      <w:r>
        <w:rPr>
          <w:rFonts w:ascii="Times New Roman" w:hAnsi="Times New Roman" w:cs="Times New Roman"/>
          <w:sz w:val="22"/>
          <w:szCs w:val="22"/>
        </w:rPr>
        <w:t>Obrázek 2.5</w:t>
      </w:r>
      <w:r w:rsidR="008C5DA3">
        <w:rPr>
          <w:rFonts w:ascii="Times New Roman" w:hAnsi="Times New Roman" w:cs="Times New Roman"/>
          <w:sz w:val="22"/>
          <w:szCs w:val="22"/>
        </w:rPr>
        <w:t xml:space="preserve"> </w:t>
      </w:r>
      <w:r w:rsidR="008C5DA3">
        <w:rPr>
          <w:rFonts w:ascii="Times New Roman" w:hAnsi="Times New Roman" w:cs="Times New Roman"/>
          <w:b/>
          <w:sz w:val="22"/>
          <w:szCs w:val="22"/>
        </w:rPr>
        <w:t xml:space="preserve">Průměrné hodinové výdělky podle dosažené úrovně vzdělání </w:t>
      </w:r>
      <w:r w:rsidR="00921C81">
        <w:rPr>
          <w:rFonts w:ascii="Times New Roman" w:hAnsi="Times New Roman" w:cs="Times New Roman"/>
          <w:b/>
          <w:sz w:val="22"/>
          <w:szCs w:val="22"/>
        </w:rPr>
        <w:t xml:space="preserve">             </w:t>
      </w:r>
      <w:proofErr w:type="gramStart"/>
      <w:r w:rsidR="00921C81">
        <w:rPr>
          <w:rFonts w:ascii="Times New Roman" w:hAnsi="Times New Roman" w:cs="Times New Roman"/>
          <w:b/>
          <w:sz w:val="22"/>
          <w:szCs w:val="22"/>
        </w:rPr>
        <w:t xml:space="preserve">   </w:t>
      </w:r>
      <w:r w:rsidR="008C5DA3">
        <w:rPr>
          <w:rFonts w:ascii="Times New Roman" w:hAnsi="Times New Roman" w:cs="Times New Roman"/>
          <w:b/>
          <w:sz w:val="22"/>
          <w:szCs w:val="22"/>
        </w:rPr>
        <w:t>(</w:t>
      </w:r>
      <w:proofErr w:type="gramEnd"/>
      <w:r w:rsidR="008C5DA3">
        <w:rPr>
          <w:rFonts w:ascii="Times New Roman" w:hAnsi="Times New Roman" w:cs="Times New Roman"/>
          <w:b/>
          <w:sz w:val="22"/>
          <w:szCs w:val="22"/>
        </w:rPr>
        <w:t>EU</w:t>
      </w:r>
      <w:r w:rsidR="00921C81">
        <w:rPr>
          <w:rFonts w:ascii="Times New Roman" w:hAnsi="Times New Roman" w:cs="Times New Roman"/>
          <w:b/>
          <w:sz w:val="22"/>
          <w:szCs w:val="22"/>
        </w:rPr>
        <w:t>28</w:t>
      </w:r>
      <w:r w:rsidR="008C5DA3">
        <w:rPr>
          <w:rFonts w:ascii="Times New Roman" w:hAnsi="Times New Roman" w:cs="Times New Roman"/>
          <w:b/>
          <w:sz w:val="22"/>
          <w:szCs w:val="22"/>
        </w:rPr>
        <w:t>, 201</w:t>
      </w:r>
      <w:r w:rsidR="002845DC">
        <w:rPr>
          <w:rFonts w:ascii="Times New Roman" w:hAnsi="Times New Roman" w:cs="Times New Roman"/>
          <w:b/>
          <w:sz w:val="22"/>
          <w:szCs w:val="22"/>
        </w:rPr>
        <w:t>4</w:t>
      </w:r>
      <w:r w:rsidR="00921C81">
        <w:rPr>
          <w:rFonts w:ascii="Times New Roman" w:hAnsi="Times New Roman" w:cs="Times New Roman"/>
          <w:b/>
          <w:sz w:val="22"/>
          <w:szCs w:val="22"/>
        </w:rPr>
        <w:t>, EUR</w:t>
      </w:r>
      <w:r w:rsidR="002845DC">
        <w:rPr>
          <w:rFonts w:ascii="Times New Roman" w:hAnsi="Times New Roman" w:cs="Times New Roman"/>
          <w:b/>
          <w:sz w:val="22"/>
          <w:szCs w:val="22"/>
        </w:rPr>
        <w:t>)</w:t>
      </w:r>
    </w:p>
    <w:p w14:paraId="6974CB45" w14:textId="4A3E7DA5" w:rsidR="00BC25FF" w:rsidRDefault="00BC25FF" w:rsidP="002845DC">
      <w:pPr>
        <w:spacing w:before="240" w:line="360" w:lineRule="auto"/>
        <w:jc w:val="both"/>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0" distR="0" wp14:anchorId="5A66EE65" wp14:editId="6A367F2C">
            <wp:extent cx="5484495" cy="3076575"/>
            <wp:effectExtent l="0" t="0" r="27305" b="222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A26CF2" w14:textId="7D941E7F" w:rsidR="009F2A89" w:rsidRPr="00FA677B" w:rsidRDefault="009F2A89" w:rsidP="00FA677B">
      <w:pPr>
        <w:jc w:val="both"/>
        <w:rPr>
          <w:rFonts w:ascii="Times New Roman" w:hAnsi="Times New Roman" w:cs="Times New Roman"/>
          <w:b/>
          <w:i/>
          <w:sz w:val="22"/>
          <w:szCs w:val="22"/>
        </w:rPr>
      </w:pPr>
      <w:r w:rsidRPr="00FA677B">
        <w:rPr>
          <w:rFonts w:ascii="Times New Roman" w:hAnsi="Times New Roman" w:cs="Times New Roman"/>
          <w:i/>
          <w:sz w:val="22"/>
          <w:szCs w:val="22"/>
        </w:rPr>
        <w:t xml:space="preserve">Zdroj: </w:t>
      </w:r>
      <w:proofErr w:type="spellStart"/>
      <w:r w:rsidR="002845DC" w:rsidRPr="00FA677B">
        <w:rPr>
          <w:rFonts w:ascii="Times New Roman" w:hAnsi="Times New Roman" w:cs="Times New Roman"/>
          <w:i/>
          <w:sz w:val="22"/>
          <w:szCs w:val="22"/>
        </w:rPr>
        <w:t>Eurostat</w:t>
      </w:r>
      <w:proofErr w:type="spellEnd"/>
      <w:r w:rsidR="002845DC" w:rsidRPr="00FA677B">
        <w:rPr>
          <w:rFonts w:ascii="Times New Roman" w:hAnsi="Times New Roman" w:cs="Times New Roman"/>
          <w:i/>
          <w:sz w:val="22"/>
          <w:szCs w:val="22"/>
        </w:rPr>
        <w:t xml:space="preserve"> </w:t>
      </w:r>
      <w:r w:rsidRPr="00FA677B">
        <w:rPr>
          <w:rFonts w:ascii="Times New Roman" w:hAnsi="Times New Roman" w:cs="Times New Roman"/>
          <w:i/>
          <w:sz w:val="22"/>
          <w:szCs w:val="22"/>
        </w:rPr>
        <w:t>(2017)</w:t>
      </w:r>
      <w:r w:rsidR="00D93BCD" w:rsidRPr="00FA677B">
        <w:rPr>
          <w:rFonts w:ascii="Times New Roman" w:hAnsi="Times New Roman" w:cs="Times New Roman"/>
          <w:i/>
          <w:sz w:val="22"/>
          <w:szCs w:val="22"/>
        </w:rPr>
        <w:t>, vlastní zpracování.</w:t>
      </w:r>
    </w:p>
    <w:p w14:paraId="4017DEE2" w14:textId="31721C10" w:rsidR="00FA677B" w:rsidRPr="00FA677B" w:rsidRDefault="00FA677B" w:rsidP="0008652B">
      <w:pPr>
        <w:spacing w:before="120" w:line="240" w:lineRule="atLeast"/>
        <w:jc w:val="both"/>
        <w:rPr>
          <w:rFonts w:ascii="Times New Roman" w:hAnsi="Times New Roman" w:cs="Times New Roman"/>
          <w:sz w:val="20"/>
          <w:szCs w:val="20"/>
        </w:rPr>
      </w:pPr>
      <w:r>
        <w:rPr>
          <w:rFonts w:ascii="Times New Roman" w:hAnsi="Times New Roman" w:cs="Times New Roman"/>
          <w:sz w:val="20"/>
          <w:szCs w:val="20"/>
        </w:rPr>
        <w:t xml:space="preserve">Poznámky: DK – Dánsko, LU – Lucembursko, IE – Irsko, SE – Švédsko, BE – Belgie, UK – Velká Británie, DE – Německo, </w:t>
      </w:r>
      <w:r w:rsidR="0008652B">
        <w:rPr>
          <w:rFonts w:ascii="Times New Roman" w:hAnsi="Times New Roman" w:cs="Times New Roman"/>
          <w:sz w:val="20"/>
          <w:szCs w:val="20"/>
        </w:rPr>
        <w:t>FI – Finsko, NL – Nizozemsko, AT – Rakousko, EU – Evropská unie, FR – Francie, IT – Itálie, CY – Kypr, ES – Španělsko, MT – Malta, PT – Portugalsko, EL – Řecko, SI – Slovinsko, PL – Polsko, HU – Maďarsko, CZ – Česká republika, EE – Estonsko, LV – Lotyšsko, SK – Slovensko, LT – Litva, RO – Rumunsko, BG – Bulharsko. Údaje za Chorvatsko nebyly dostupné.</w:t>
      </w:r>
    </w:p>
    <w:p w14:paraId="2EB3BAF4" w14:textId="260220D2" w:rsidR="00FA677B" w:rsidRDefault="00FA677B" w:rsidP="0008652B">
      <w:pPr>
        <w:spacing w:before="240" w:line="360" w:lineRule="auto"/>
        <w:jc w:val="both"/>
        <w:rPr>
          <w:rFonts w:ascii="Times New Roman" w:hAnsi="Times New Roman" w:cs="Times New Roman"/>
        </w:rPr>
      </w:pPr>
      <w:r>
        <w:rPr>
          <w:rFonts w:ascii="Times New Roman" w:hAnsi="Times New Roman" w:cs="Times New Roman"/>
        </w:rPr>
        <w:t xml:space="preserve">Na první pohled je patrný velký rozdíl ve mzdách napříč zeměmi EU, který je dán rozdílnou ekonomickou úrovní jednotlivých zemí. Čeho bychom si ale měli všimnout, je vztah mezi mzdami – nakolik se mzdy dle úrovně vzdělání liší v rámci jedné země. Největší rozdíly jsou patrné v Německu, Rakousku či Lucembursku. Spíše rovnostářský přístup (tj. malé rozdíly ve mzdách podle dosažené úrovně vzdělání) je typický pro Švédsko nebo Estonsko. V některých zemích se zase minimálně liší výše mezd osob s primárním a sekundárním vzděláním, např. v Řecku, Velké Británii, Belgii a Rumunsku. Ve Finsku je dokonce úroveň mezd osob s primárním a sekundárním vzděláním stejná. Česká republika má podobnou strukturu jako Německo; mzdy osob se středoškolským vzděláním dosahují přibližně 75 % mezd </w:t>
      </w:r>
      <w:r>
        <w:rPr>
          <w:rFonts w:ascii="Times New Roman" w:hAnsi="Times New Roman" w:cs="Times New Roman"/>
        </w:rPr>
        <w:lastRenderedPageBreak/>
        <w:t xml:space="preserve">vysokoškoláků, mzdy osob s primárním vzděláním přibližně 56 % (v Německu je to jen cca 49 %). Přístup ČR je ve srovnání s Německem tedy více rovnostářský – což je zajímavý postřeh vzhledem k vlivu německých odborů ve společnosti. V této souvislosti je nutné upozornit, že </w:t>
      </w:r>
      <w:r w:rsidRPr="00FA677B">
        <w:rPr>
          <w:rFonts w:ascii="Times New Roman" w:hAnsi="Times New Roman" w:cs="Times New Roman"/>
          <w:b/>
        </w:rPr>
        <w:t>rovnostářství v odměňování snižuje motivaci k dalšímu vzdělávání</w:t>
      </w:r>
      <w:r>
        <w:rPr>
          <w:rFonts w:ascii="Times New Roman" w:hAnsi="Times New Roman" w:cs="Times New Roman"/>
        </w:rPr>
        <w:t>.</w:t>
      </w:r>
    </w:p>
    <w:p w14:paraId="52EABFB7" w14:textId="78DD8002" w:rsidR="00E01B33" w:rsidRDefault="00E01B33" w:rsidP="00E01B33">
      <w:pPr>
        <w:spacing w:before="120" w:line="360" w:lineRule="auto"/>
        <w:jc w:val="both"/>
        <w:rPr>
          <w:rFonts w:ascii="Times New Roman" w:eastAsia="Times New Roman" w:hAnsi="Times New Roman" w:cs="Times New Roman"/>
          <w:bCs/>
          <w:color w:val="323232"/>
          <w:shd w:val="clear" w:color="auto" w:fill="FFFFFF"/>
        </w:rPr>
      </w:pPr>
      <w:r>
        <w:rPr>
          <w:rFonts w:ascii="Times New Roman" w:eastAsia="Times New Roman" w:hAnsi="Times New Roman" w:cs="Times New Roman"/>
          <w:bCs/>
          <w:color w:val="323232"/>
          <w:shd w:val="clear" w:color="auto" w:fill="FFFFFF"/>
        </w:rPr>
        <w:t xml:space="preserve">Platová nivelizace snižuje úctu ke vzdělání ve společnosti. V této souvislosti je proto důležité zvýšit společenskou prestiž pedagogů také narovnáním jejich příjmů, a to na všech stupních škol (včetně VŠ, kdy se začíná hovořit dokonce již o </w:t>
      </w:r>
      <w:proofErr w:type="spellStart"/>
      <w:r>
        <w:rPr>
          <w:rFonts w:ascii="Times New Roman" w:eastAsia="Times New Roman" w:hAnsi="Times New Roman" w:cs="Times New Roman"/>
          <w:bCs/>
          <w:color w:val="323232"/>
          <w:shd w:val="clear" w:color="auto" w:fill="FFFFFF"/>
        </w:rPr>
        <w:t>prekarizaci</w:t>
      </w:r>
      <w:proofErr w:type="spellEnd"/>
      <w:r>
        <w:rPr>
          <w:rFonts w:ascii="Times New Roman" w:eastAsia="Times New Roman" w:hAnsi="Times New Roman" w:cs="Times New Roman"/>
          <w:bCs/>
          <w:color w:val="323232"/>
          <w:shd w:val="clear" w:color="auto" w:fill="FFFFFF"/>
        </w:rPr>
        <w:t xml:space="preserve"> práce). </w:t>
      </w:r>
      <w:r w:rsidRPr="003B3425">
        <w:rPr>
          <w:rFonts w:ascii="Times New Roman" w:eastAsia="Times New Roman" w:hAnsi="Times New Roman" w:cs="Times New Roman"/>
          <w:bCs/>
          <w:i/>
          <w:color w:val="323232"/>
          <w:shd w:val="clear" w:color="auto" w:fill="FFFFFF"/>
        </w:rPr>
        <w:t>Nízké platy vzdělaných osob ve společnosti nemotivují jedince s nižším vzděláním, aby se snažili zvýšit svou kvalifikaci</w:t>
      </w:r>
      <w:r>
        <w:rPr>
          <w:rFonts w:ascii="Times New Roman" w:eastAsia="Times New Roman" w:hAnsi="Times New Roman" w:cs="Times New Roman"/>
          <w:bCs/>
          <w:color w:val="323232"/>
          <w:shd w:val="clear" w:color="auto" w:fill="FFFFFF"/>
        </w:rPr>
        <w:t xml:space="preserve">. K tomu přistupuje poměrně bohatý sociální systém – ČR má nejnižší procento osob ohrožených chudobou. Příliš malé rozdíly v příjmech a politika „rovnostářství“ oslabuje motivaci dále se vzdělávat. </w:t>
      </w:r>
    </w:p>
    <w:p w14:paraId="12C99EC2" w14:textId="77777777" w:rsidR="00E01B33" w:rsidRPr="003B3425" w:rsidRDefault="00E01B33" w:rsidP="00E01B33">
      <w:pPr>
        <w:spacing w:before="120"/>
        <w:jc w:val="both"/>
        <w:rPr>
          <w:rFonts w:asciiTheme="majorHAnsi" w:eastAsia="Times New Roman" w:hAnsiTheme="majorHAnsi" w:cs="Times New Roman"/>
          <w:b/>
          <w:bCs/>
          <w:color w:val="323232"/>
          <w:sz w:val="22"/>
          <w:szCs w:val="22"/>
          <w:shd w:val="clear" w:color="auto" w:fill="FFFFFF"/>
        </w:rPr>
      </w:pPr>
      <w:r w:rsidRPr="003B3425">
        <w:rPr>
          <w:rFonts w:asciiTheme="majorHAnsi" w:eastAsia="Times New Roman" w:hAnsiTheme="majorHAnsi" w:cs="Times New Roman"/>
          <w:b/>
          <w:bCs/>
          <w:color w:val="323232"/>
          <w:sz w:val="22"/>
          <w:szCs w:val="22"/>
          <w:shd w:val="clear" w:color="auto" w:fill="FFFFFF"/>
        </w:rPr>
        <w:t>Pro informaci</w:t>
      </w:r>
    </w:p>
    <w:p w14:paraId="6274CF37" w14:textId="3E644D40" w:rsidR="00496988" w:rsidRPr="00515136" w:rsidRDefault="00E01B33" w:rsidP="00515136">
      <w:pPr>
        <w:jc w:val="both"/>
        <w:rPr>
          <w:rFonts w:asciiTheme="majorHAnsi" w:eastAsia="Times New Roman" w:hAnsiTheme="majorHAnsi" w:cs="Times New Roman"/>
          <w:bCs/>
          <w:color w:val="323232"/>
          <w:sz w:val="22"/>
          <w:szCs w:val="22"/>
          <w:shd w:val="clear" w:color="auto" w:fill="FFFFFF"/>
        </w:rPr>
      </w:pPr>
      <w:r w:rsidRPr="003B3425">
        <w:rPr>
          <w:rFonts w:asciiTheme="majorHAnsi" w:eastAsia="Times New Roman" w:hAnsiTheme="majorHAnsi" w:cs="Times New Roman"/>
          <w:bCs/>
          <w:color w:val="323232"/>
          <w:sz w:val="22"/>
          <w:szCs w:val="22"/>
          <w:shd w:val="clear" w:color="auto" w:fill="FFFFFF"/>
        </w:rPr>
        <w:t xml:space="preserve">Podle údajů </w:t>
      </w:r>
      <w:proofErr w:type="spellStart"/>
      <w:r w:rsidRPr="003B3425">
        <w:rPr>
          <w:rFonts w:asciiTheme="majorHAnsi" w:eastAsia="Times New Roman" w:hAnsiTheme="majorHAnsi" w:cs="Times New Roman"/>
          <w:bCs/>
          <w:color w:val="323232"/>
          <w:sz w:val="22"/>
          <w:szCs w:val="22"/>
          <w:shd w:val="clear" w:color="auto" w:fill="FFFFFF"/>
        </w:rPr>
        <w:t>Eurostatu</w:t>
      </w:r>
      <w:proofErr w:type="spellEnd"/>
      <w:r w:rsidRPr="003B3425">
        <w:rPr>
          <w:rFonts w:asciiTheme="majorHAnsi" w:eastAsia="Times New Roman" w:hAnsiTheme="majorHAnsi" w:cs="Times New Roman"/>
          <w:bCs/>
          <w:color w:val="323232"/>
          <w:sz w:val="22"/>
          <w:szCs w:val="22"/>
          <w:shd w:val="clear" w:color="auto" w:fill="FFFFFF"/>
        </w:rPr>
        <w:t xml:space="preserve"> z roku 2018 je v ČR nejmenší nerovnost příjmů ze všech zemí EU. Pětina nejbohatších vydělává 3,5 více než pětina nejchudších. V průměru je v rámci Unie tento rozdíl pětinásobný, v Bulharsku dokonce osminásobný. Obdobně hovoří statistiky OECD, podle kterých v loňském roce vydělávalo 10 % osob s nejvyšším příjmem v Česku přibližně 5,6krát více než desetina osob s nejnižšími příjmy. Patříme tak k největším „rovnostářům“. Menší rozdíly mezi příjmy jsou jen v severských zemích – na Islandu, v Dánsku a Finsku.</w:t>
      </w:r>
    </w:p>
    <w:p w14:paraId="693A7242" w14:textId="243A464A" w:rsidR="00CB0CD8" w:rsidRDefault="00CB0CD8" w:rsidP="00AD2441">
      <w:pPr>
        <w:pStyle w:val="Nadpis2"/>
      </w:pPr>
      <w:bookmarkStart w:id="24" w:name="_Toc398662590"/>
      <w:r>
        <w:t>Shrnutí</w:t>
      </w:r>
      <w:r w:rsidR="0008652B">
        <w:t xml:space="preserve"> a doporučení</w:t>
      </w:r>
      <w:bookmarkEnd w:id="24"/>
    </w:p>
    <w:p w14:paraId="0DE86619" w14:textId="24538E0B" w:rsidR="00076B1D" w:rsidRDefault="00D93BCD" w:rsidP="00CB0CD8">
      <w:pPr>
        <w:spacing w:before="120" w:line="360" w:lineRule="auto"/>
        <w:jc w:val="both"/>
        <w:rPr>
          <w:rFonts w:ascii="Times New Roman" w:hAnsi="Times New Roman" w:cs="Times New Roman"/>
        </w:rPr>
      </w:pPr>
      <w:r w:rsidRPr="00CB0CD8">
        <w:rPr>
          <w:rFonts w:ascii="Times New Roman" w:hAnsi="Times New Roman" w:cs="Times New Roman"/>
        </w:rPr>
        <w:t xml:space="preserve">Jak vyplývá z výše uvedených dat, </w:t>
      </w:r>
      <w:r w:rsidRPr="00CB0CD8">
        <w:rPr>
          <w:rFonts w:ascii="Times New Roman" w:hAnsi="Times New Roman" w:cs="Times New Roman"/>
          <w:b/>
        </w:rPr>
        <w:t>vzdělání je základním předpokladem uplatnění</w:t>
      </w:r>
      <w:r w:rsidRPr="00CB0CD8">
        <w:rPr>
          <w:rFonts w:ascii="Times New Roman" w:hAnsi="Times New Roman" w:cs="Times New Roman"/>
        </w:rPr>
        <w:t xml:space="preserve"> </w:t>
      </w:r>
      <w:r w:rsidRPr="00CB0CD8">
        <w:rPr>
          <w:rFonts w:ascii="Times New Roman" w:hAnsi="Times New Roman" w:cs="Times New Roman"/>
          <w:b/>
        </w:rPr>
        <w:t>jedince na trhu práce</w:t>
      </w:r>
      <w:r w:rsidRPr="00CB0CD8">
        <w:rPr>
          <w:rFonts w:ascii="Times New Roman" w:hAnsi="Times New Roman" w:cs="Times New Roman"/>
        </w:rPr>
        <w:t>; je významným nástrojem, který snižuje riziko ztráty zaměstnání. Vyšší dosažená úroveň vzdělání je zpravidla také spojena s </w:t>
      </w:r>
      <w:r w:rsidRPr="00CB0CD8">
        <w:rPr>
          <w:rFonts w:ascii="Times New Roman" w:hAnsi="Times New Roman" w:cs="Times New Roman"/>
          <w:b/>
        </w:rPr>
        <w:t xml:space="preserve">vyšším </w:t>
      </w:r>
      <w:r w:rsidR="001071F5" w:rsidRPr="00CB0CD8">
        <w:rPr>
          <w:rFonts w:ascii="Times New Roman" w:hAnsi="Times New Roman" w:cs="Times New Roman"/>
          <w:b/>
        </w:rPr>
        <w:t>mzdovým či platovým ohodnocením, vyšší životní úrovní</w:t>
      </w:r>
      <w:r w:rsidR="001071F5" w:rsidRPr="00CB0CD8">
        <w:rPr>
          <w:rFonts w:ascii="Times New Roman" w:hAnsi="Times New Roman" w:cs="Times New Roman"/>
        </w:rPr>
        <w:t xml:space="preserve"> </w:t>
      </w:r>
      <w:r w:rsidR="001071F5" w:rsidRPr="00CB0CD8">
        <w:rPr>
          <w:rFonts w:ascii="Times New Roman" w:hAnsi="Times New Roman" w:cs="Times New Roman"/>
          <w:b/>
        </w:rPr>
        <w:t xml:space="preserve">a vyšším </w:t>
      </w:r>
      <w:r w:rsidR="001504F4" w:rsidRPr="00CB0CD8">
        <w:rPr>
          <w:rFonts w:ascii="Times New Roman" w:hAnsi="Times New Roman" w:cs="Times New Roman"/>
          <w:b/>
        </w:rPr>
        <w:t>sociálním</w:t>
      </w:r>
      <w:r w:rsidR="001504F4" w:rsidRPr="00CB0CD8">
        <w:rPr>
          <w:rFonts w:ascii="Times New Roman" w:hAnsi="Times New Roman" w:cs="Times New Roman"/>
        </w:rPr>
        <w:t xml:space="preserve"> </w:t>
      </w:r>
      <w:r w:rsidR="001504F4" w:rsidRPr="00CB0CD8">
        <w:rPr>
          <w:rFonts w:ascii="Times New Roman" w:hAnsi="Times New Roman" w:cs="Times New Roman"/>
          <w:b/>
        </w:rPr>
        <w:t>statusem.</w:t>
      </w:r>
      <w:r w:rsidR="001504F4" w:rsidRPr="00CB0CD8">
        <w:rPr>
          <w:rFonts w:ascii="Times New Roman" w:hAnsi="Times New Roman" w:cs="Times New Roman"/>
        </w:rPr>
        <w:t xml:space="preserve"> Výzkumy </w:t>
      </w:r>
      <w:r w:rsidR="002D2229" w:rsidRPr="00CB0CD8">
        <w:rPr>
          <w:rFonts w:ascii="Times New Roman" w:hAnsi="Times New Roman" w:cs="Times New Roman"/>
        </w:rPr>
        <w:t xml:space="preserve">v rámci OECD dokonce ukázaly (např. </w:t>
      </w:r>
      <w:proofErr w:type="spellStart"/>
      <w:r w:rsidR="002D2229" w:rsidRPr="00CB0CD8">
        <w:rPr>
          <w:rFonts w:ascii="Times New Roman" w:hAnsi="Times New Roman" w:cs="Times New Roman"/>
        </w:rPr>
        <w:t>Murtin</w:t>
      </w:r>
      <w:proofErr w:type="spellEnd"/>
      <w:r w:rsidR="002D2229" w:rsidRPr="00CB0CD8">
        <w:rPr>
          <w:rFonts w:ascii="Times New Roman" w:hAnsi="Times New Roman" w:cs="Times New Roman"/>
        </w:rPr>
        <w:t xml:space="preserve"> et al., 2017</w:t>
      </w:r>
      <w:r w:rsidR="001504F4" w:rsidRPr="00CB0CD8">
        <w:rPr>
          <w:rFonts w:ascii="Times New Roman" w:hAnsi="Times New Roman" w:cs="Times New Roman"/>
        </w:rPr>
        <w:t>), že existuje vztah mezi dosaženou úrovní vzdělání a délkou dožití. Největší jsou přitom tyto rozdíly právě v České republice</w:t>
      </w:r>
      <w:r w:rsidR="00CE3D55" w:rsidRPr="00CB0CD8">
        <w:rPr>
          <w:rFonts w:ascii="Times New Roman" w:hAnsi="Times New Roman" w:cs="Times New Roman"/>
        </w:rPr>
        <w:t xml:space="preserve"> a rovněž v Maďarsku</w:t>
      </w:r>
      <w:r w:rsidR="001504F4" w:rsidRPr="00CB0CD8">
        <w:rPr>
          <w:rFonts w:ascii="Times New Roman" w:hAnsi="Times New Roman" w:cs="Times New Roman"/>
        </w:rPr>
        <w:t xml:space="preserve">. Předpokládá se, že dnešní muži ve věku 25 let se základním vzděláním se dožijí přibližně o 8 let nižšího věku než jejich vrstevníci s vysokoškolským vzděláním (u žen činí tento </w:t>
      </w:r>
      <w:r w:rsidR="00CE3D55" w:rsidRPr="00CB0CD8">
        <w:rPr>
          <w:rFonts w:ascii="Times New Roman" w:hAnsi="Times New Roman" w:cs="Times New Roman"/>
        </w:rPr>
        <w:t xml:space="preserve">předpokládaný </w:t>
      </w:r>
      <w:r w:rsidR="001504F4" w:rsidRPr="00CB0CD8">
        <w:rPr>
          <w:rFonts w:ascii="Times New Roman" w:hAnsi="Times New Roman" w:cs="Times New Roman"/>
        </w:rPr>
        <w:t xml:space="preserve">rozdíl </w:t>
      </w:r>
      <w:r w:rsidR="00CE3D55" w:rsidRPr="00CB0CD8">
        <w:rPr>
          <w:rFonts w:ascii="Times New Roman" w:hAnsi="Times New Roman" w:cs="Times New Roman"/>
        </w:rPr>
        <w:t>5 let). Tento trend se prohlubuje (u dnešních pětašedesátníků se předpokládá rozdíl v dožití v závislosti na dosaženém vzdělání 3,5 let pro muže a 2,5 let pro ženy).</w:t>
      </w:r>
      <w:r w:rsidR="00076B1D" w:rsidRPr="00CB0CD8">
        <w:rPr>
          <w:rFonts w:ascii="Times New Roman" w:hAnsi="Times New Roman" w:cs="Times New Roman"/>
        </w:rPr>
        <w:t xml:space="preserve"> </w:t>
      </w:r>
      <w:r w:rsidR="00CB0CD8">
        <w:rPr>
          <w:rFonts w:ascii="Times New Roman" w:hAnsi="Times New Roman" w:cs="Times New Roman"/>
        </w:rPr>
        <w:t>Hlavní příčinou uvedených rozdílů je nezdravý životní styl a méně efektivní využívání lékařské péče jedinci se základním vzděláním.</w:t>
      </w:r>
    </w:p>
    <w:p w14:paraId="33A7808B" w14:textId="77777777" w:rsidR="00AD2441" w:rsidRDefault="0031516F" w:rsidP="0031516F">
      <w:pPr>
        <w:spacing w:before="120" w:line="360" w:lineRule="auto"/>
        <w:jc w:val="both"/>
        <w:rPr>
          <w:rFonts w:ascii="Times New Roman" w:hAnsi="Times New Roman" w:cs="Times New Roman"/>
        </w:rPr>
      </w:pPr>
      <w:r>
        <w:rPr>
          <w:rFonts w:ascii="Times New Roman" w:hAnsi="Times New Roman" w:cs="Times New Roman"/>
        </w:rPr>
        <w:lastRenderedPageBreak/>
        <w:t>Z textu vyplynuly</w:t>
      </w:r>
      <w:r w:rsidR="0008652B">
        <w:rPr>
          <w:rFonts w:ascii="Times New Roman" w:hAnsi="Times New Roman" w:cs="Times New Roman"/>
        </w:rPr>
        <w:t xml:space="preserve"> dvě podstatné skutečnosti:</w:t>
      </w:r>
      <w:r>
        <w:rPr>
          <w:rFonts w:ascii="Times New Roman" w:hAnsi="Times New Roman" w:cs="Times New Roman"/>
        </w:rPr>
        <w:t xml:space="preserve"> </w:t>
      </w:r>
    </w:p>
    <w:p w14:paraId="2A8734F2" w14:textId="207CDF9B" w:rsidR="00AD2441" w:rsidRDefault="0031516F" w:rsidP="00AD2441">
      <w:pPr>
        <w:pStyle w:val="Odstavecseseznamem"/>
        <w:numPr>
          <w:ilvl w:val="0"/>
          <w:numId w:val="38"/>
        </w:numPr>
        <w:spacing w:before="120" w:line="360" w:lineRule="auto"/>
        <w:jc w:val="both"/>
        <w:rPr>
          <w:rFonts w:ascii="Times New Roman" w:hAnsi="Times New Roman" w:cs="Times New Roman"/>
        </w:rPr>
      </w:pPr>
      <w:r w:rsidRPr="00AD2441">
        <w:rPr>
          <w:rFonts w:ascii="Times New Roman" w:hAnsi="Times New Roman" w:cs="Times New Roman"/>
        </w:rPr>
        <w:t xml:space="preserve">Přestože </w:t>
      </w:r>
      <w:r w:rsidR="0095713B" w:rsidRPr="00AD2441">
        <w:rPr>
          <w:rFonts w:ascii="Times New Roman" w:hAnsi="Times New Roman" w:cs="Times New Roman"/>
        </w:rPr>
        <w:t xml:space="preserve">celková </w:t>
      </w:r>
      <w:r w:rsidRPr="00AD2441">
        <w:rPr>
          <w:rFonts w:ascii="Times New Roman" w:hAnsi="Times New Roman" w:cs="Times New Roman"/>
        </w:rPr>
        <w:t>nezaměstnanost je</w:t>
      </w:r>
      <w:r w:rsidR="0095713B" w:rsidRPr="00AD2441">
        <w:rPr>
          <w:rFonts w:ascii="Times New Roman" w:hAnsi="Times New Roman" w:cs="Times New Roman"/>
        </w:rPr>
        <w:t xml:space="preserve"> v rámci Evropské unie v České republice nejnižší (je na svém historickém minimu, necelé 2,5 %)</w:t>
      </w:r>
      <w:r w:rsidRPr="00AD2441">
        <w:rPr>
          <w:rFonts w:ascii="Times New Roman" w:hAnsi="Times New Roman" w:cs="Times New Roman"/>
        </w:rPr>
        <w:t xml:space="preserve">, </w:t>
      </w:r>
      <w:r w:rsidR="0095713B" w:rsidRPr="00AD2441">
        <w:rPr>
          <w:rFonts w:ascii="Times New Roman" w:hAnsi="Times New Roman" w:cs="Times New Roman"/>
          <w:b/>
        </w:rPr>
        <w:t>nedaří se adekvátně tomu snížit míru</w:t>
      </w:r>
      <w:r w:rsidRPr="00AD2441">
        <w:rPr>
          <w:rFonts w:ascii="Times New Roman" w:hAnsi="Times New Roman" w:cs="Times New Roman"/>
          <w:b/>
        </w:rPr>
        <w:t xml:space="preserve"> nezaměstnanosti osob s nej</w:t>
      </w:r>
      <w:r w:rsidR="00AD2441" w:rsidRPr="00AD2441">
        <w:rPr>
          <w:rFonts w:ascii="Times New Roman" w:hAnsi="Times New Roman" w:cs="Times New Roman"/>
          <w:b/>
        </w:rPr>
        <w:t>nižším vzděláním</w:t>
      </w:r>
      <w:r w:rsidR="00AD2441" w:rsidRPr="00AD2441">
        <w:rPr>
          <w:rFonts w:ascii="Times New Roman" w:hAnsi="Times New Roman" w:cs="Times New Roman"/>
        </w:rPr>
        <w:t xml:space="preserve"> (</w:t>
      </w:r>
      <w:r w:rsidR="0095713B" w:rsidRPr="00AD2441">
        <w:rPr>
          <w:rFonts w:ascii="Times New Roman" w:hAnsi="Times New Roman" w:cs="Times New Roman"/>
        </w:rPr>
        <w:t>stále dosahuje téměř 12</w:t>
      </w:r>
      <w:r w:rsidR="00AD2441" w:rsidRPr="00AD2441">
        <w:rPr>
          <w:rFonts w:ascii="Times New Roman" w:hAnsi="Times New Roman" w:cs="Times New Roman"/>
        </w:rPr>
        <w:t xml:space="preserve"> %</w:t>
      </w:r>
      <w:r w:rsidR="0095713B" w:rsidRPr="00AD2441">
        <w:rPr>
          <w:rFonts w:ascii="Times New Roman" w:hAnsi="Times New Roman" w:cs="Times New Roman"/>
        </w:rPr>
        <w:t xml:space="preserve">). </w:t>
      </w:r>
      <w:r w:rsidR="00AD2441">
        <w:rPr>
          <w:rFonts w:ascii="Times New Roman" w:hAnsi="Times New Roman" w:cs="Times New Roman"/>
        </w:rPr>
        <w:t xml:space="preserve">Jedná se o </w:t>
      </w:r>
      <w:r w:rsidR="00AD2441" w:rsidRPr="00AD2441">
        <w:rPr>
          <w:rFonts w:ascii="Times New Roman" w:hAnsi="Times New Roman" w:cs="Times New Roman"/>
          <w:b/>
        </w:rPr>
        <w:t>komplexní problém</w:t>
      </w:r>
      <w:r w:rsidR="00AD2441">
        <w:rPr>
          <w:rFonts w:ascii="Times New Roman" w:hAnsi="Times New Roman" w:cs="Times New Roman"/>
        </w:rPr>
        <w:t xml:space="preserve">, který má řadu aspektů (ekonomické, sociální, společenské), jehož řešení nebude jednoduché </w:t>
      </w:r>
      <w:r w:rsidR="0095713B" w:rsidRPr="00AD2441">
        <w:rPr>
          <w:rFonts w:ascii="Times New Roman" w:hAnsi="Times New Roman" w:cs="Times New Roman"/>
        </w:rPr>
        <w:t xml:space="preserve">(blíže viz další text). </w:t>
      </w:r>
    </w:p>
    <w:p w14:paraId="4F7ACF5C" w14:textId="77777777" w:rsidR="00AD2441" w:rsidRPr="00AD2441" w:rsidRDefault="0095713B" w:rsidP="00E92244">
      <w:pPr>
        <w:pStyle w:val="Odstavecseseznamem"/>
        <w:numPr>
          <w:ilvl w:val="0"/>
          <w:numId w:val="38"/>
        </w:numPr>
        <w:spacing w:before="240" w:line="360" w:lineRule="auto"/>
        <w:jc w:val="both"/>
        <w:rPr>
          <w:b/>
        </w:rPr>
      </w:pPr>
      <w:r w:rsidRPr="00AD2441">
        <w:rPr>
          <w:rFonts w:ascii="Times New Roman" w:hAnsi="Times New Roman" w:cs="Times New Roman"/>
        </w:rPr>
        <w:t>Česká republika inklinuje k platové nivelizaci, která podstatně snižuje motivaci méně vzdělaných osob k účasti na dalším vzdělávání formá</w:t>
      </w:r>
      <w:r w:rsidR="00AD2441" w:rsidRPr="00AD2441">
        <w:rPr>
          <w:rFonts w:ascii="Times New Roman" w:hAnsi="Times New Roman" w:cs="Times New Roman"/>
        </w:rPr>
        <w:t>l</w:t>
      </w:r>
      <w:r w:rsidRPr="00AD2441">
        <w:rPr>
          <w:rFonts w:ascii="Times New Roman" w:hAnsi="Times New Roman" w:cs="Times New Roman"/>
        </w:rPr>
        <w:t>ního i nefo</w:t>
      </w:r>
      <w:r w:rsidR="00AD2441" w:rsidRPr="00AD2441">
        <w:rPr>
          <w:rFonts w:ascii="Times New Roman" w:hAnsi="Times New Roman" w:cs="Times New Roman"/>
        </w:rPr>
        <w:t>r</w:t>
      </w:r>
      <w:r w:rsidRPr="00AD2441">
        <w:rPr>
          <w:rFonts w:ascii="Times New Roman" w:hAnsi="Times New Roman" w:cs="Times New Roman"/>
        </w:rPr>
        <w:t>málního</w:t>
      </w:r>
      <w:r w:rsidR="00AD2441" w:rsidRPr="00AD2441">
        <w:rPr>
          <w:rFonts w:ascii="Times New Roman" w:hAnsi="Times New Roman" w:cs="Times New Roman"/>
        </w:rPr>
        <w:t xml:space="preserve"> charakteru. Lze doporučit </w:t>
      </w:r>
      <w:r w:rsidR="00AD2441" w:rsidRPr="00AD2441">
        <w:rPr>
          <w:rFonts w:ascii="Times New Roman" w:hAnsi="Times New Roman" w:cs="Times New Roman"/>
          <w:b/>
        </w:rPr>
        <w:t xml:space="preserve">úpravu platových a mzdových tarifů s mnohem důraznějším ohledem na požadovanou úroveň vzdělání, znalostí, dovedností a schopností (kompetence). </w:t>
      </w:r>
    </w:p>
    <w:p w14:paraId="4D91CBBA" w14:textId="3571DAC2" w:rsidR="00E92244" w:rsidRPr="00E92244" w:rsidRDefault="0022760C" w:rsidP="00AD2441">
      <w:pPr>
        <w:pStyle w:val="Nadpis2"/>
      </w:pPr>
      <w:bookmarkStart w:id="25" w:name="_Toc398662591"/>
      <w:r>
        <w:t>2.3</w:t>
      </w:r>
      <w:r w:rsidR="00FC4660" w:rsidRPr="0022760C">
        <w:t xml:space="preserve"> </w:t>
      </w:r>
      <w:r w:rsidR="00CF4B17">
        <w:t>Institucionální rámec d</w:t>
      </w:r>
      <w:r w:rsidR="00FC4660" w:rsidRPr="0022760C">
        <w:t>alší</w:t>
      </w:r>
      <w:r w:rsidR="00CF4B17">
        <w:t>ho</w:t>
      </w:r>
      <w:r w:rsidR="00FC4660" w:rsidRPr="0022760C">
        <w:t xml:space="preserve"> vzdělávání</w:t>
      </w:r>
      <w:r w:rsidR="00632670">
        <w:t xml:space="preserve"> a </w:t>
      </w:r>
      <w:r w:rsidR="00B71A56">
        <w:t>nabídka vzdělávacích programů</w:t>
      </w:r>
      <w:bookmarkEnd w:id="25"/>
    </w:p>
    <w:p w14:paraId="47ABDD53" w14:textId="5546011B" w:rsidR="00821671" w:rsidRDefault="000C4D35" w:rsidP="00D91175">
      <w:pPr>
        <w:spacing w:before="120" w:line="360" w:lineRule="auto"/>
        <w:jc w:val="both"/>
        <w:rPr>
          <w:rFonts w:ascii="Times New Roman" w:hAnsi="Times New Roman" w:cs="Times New Roman"/>
        </w:rPr>
      </w:pPr>
      <w:r>
        <w:rPr>
          <w:rFonts w:ascii="Times New Roman" w:hAnsi="Times New Roman" w:cs="Times New Roman"/>
        </w:rPr>
        <w:t xml:space="preserve">Programy dalšího </w:t>
      </w:r>
      <w:r w:rsidR="00D91175">
        <w:rPr>
          <w:rFonts w:ascii="Times New Roman" w:hAnsi="Times New Roman" w:cs="Times New Roman"/>
        </w:rPr>
        <w:t>vzdělávání jsou důležitým nástrojem slaňování nabídky práce s po</w:t>
      </w:r>
      <w:r w:rsidR="00803B9C">
        <w:rPr>
          <w:rFonts w:ascii="Times New Roman" w:hAnsi="Times New Roman" w:cs="Times New Roman"/>
        </w:rPr>
        <w:t xml:space="preserve">žadavky a potřebami trhu práce. </w:t>
      </w:r>
      <w:r w:rsidR="00821671">
        <w:rPr>
          <w:rFonts w:ascii="Times New Roman" w:hAnsi="Times New Roman" w:cs="Times New Roman"/>
        </w:rPr>
        <w:t xml:space="preserve">K tomu, aby další vzdělávání ve společnosti mohlo plnit efektivně svou funkci, je potřeba, aby bylo </w:t>
      </w:r>
      <w:r w:rsidR="00821671" w:rsidRPr="00904122">
        <w:rPr>
          <w:rFonts w:ascii="Times New Roman" w:hAnsi="Times New Roman" w:cs="Times New Roman"/>
          <w:b/>
        </w:rPr>
        <w:t>dostatečně</w:t>
      </w:r>
      <w:r w:rsidR="00821671">
        <w:rPr>
          <w:rFonts w:ascii="Times New Roman" w:hAnsi="Times New Roman" w:cs="Times New Roman"/>
        </w:rPr>
        <w:t xml:space="preserve"> </w:t>
      </w:r>
      <w:r w:rsidR="00821671" w:rsidRPr="00904122">
        <w:rPr>
          <w:rFonts w:ascii="Times New Roman" w:hAnsi="Times New Roman" w:cs="Times New Roman"/>
          <w:b/>
        </w:rPr>
        <w:t>institucionálně</w:t>
      </w:r>
      <w:r w:rsidR="00821671">
        <w:rPr>
          <w:rFonts w:ascii="Times New Roman" w:hAnsi="Times New Roman" w:cs="Times New Roman"/>
        </w:rPr>
        <w:t xml:space="preserve"> </w:t>
      </w:r>
      <w:r w:rsidR="00821671" w:rsidRPr="00904122">
        <w:rPr>
          <w:rFonts w:ascii="Times New Roman" w:hAnsi="Times New Roman" w:cs="Times New Roman"/>
          <w:b/>
        </w:rPr>
        <w:t>zajištěno</w:t>
      </w:r>
      <w:r w:rsidR="00821671">
        <w:rPr>
          <w:rFonts w:ascii="Times New Roman" w:hAnsi="Times New Roman" w:cs="Times New Roman"/>
        </w:rPr>
        <w:t>.</w:t>
      </w:r>
      <w:r w:rsidR="00904122">
        <w:rPr>
          <w:rFonts w:ascii="Times New Roman" w:hAnsi="Times New Roman" w:cs="Times New Roman"/>
        </w:rPr>
        <w:t xml:space="preserve"> </w:t>
      </w:r>
    </w:p>
    <w:p w14:paraId="3D3C26D4" w14:textId="3BD4210B" w:rsidR="00222F9E" w:rsidRDefault="00742A88" w:rsidP="00D91175">
      <w:pPr>
        <w:spacing w:before="120" w:line="360" w:lineRule="auto"/>
        <w:jc w:val="both"/>
        <w:rPr>
          <w:rFonts w:ascii="Times New Roman" w:hAnsi="Times New Roman" w:cs="Times New Roman"/>
        </w:rPr>
      </w:pPr>
      <w:r>
        <w:rPr>
          <w:rFonts w:ascii="Times New Roman" w:hAnsi="Times New Roman" w:cs="Times New Roman"/>
        </w:rPr>
        <w:t>Nejdříve bude ale vhodné pojem „další vzdělávání“ přesněji vymezit a vysvětlit, co vše zahrnuje. Logicky z toho pak vyplyne, kdo (které subjekty) další vzdělávání zajišťují.</w:t>
      </w:r>
    </w:p>
    <w:p w14:paraId="79974B75" w14:textId="59262ADE" w:rsidR="00904122" w:rsidRDefault="00904122" w:rsidP="00D91175">
      <w:pPr>
        <w:spacing w:before="120" w:line="360" w:lineRule="auto"/>
        <w:jc w:val="both"/>
        <w:rPr>
          <w:rFonts w:ascii="Times New Roman" w:hAnsi="Times New Roman" w:cs="Times New Roman"/>
        </w:rPr>
      </w:pPr>
      <w:r>
        <w:rPr>
          <w:rFonts w:ascii="Times New Roman" w:hAnsi="Times New Roman" w:cs="Times New Roman"/>
        </w:rPr>
        <w:t xml:space="preserve">Jak bylo řečeno v úvodu, </w:t>
      </w:r>
      <w:r w:rsidRPr="00904122">
        <w:rPr>
          <w:rFonts w:ascii="Times New Roman" w:hAnsi="Times New Roman" w:cs="Times New Roman"/>
          <w:b/>
        </w:rPr>
        <w:t>další vzdělávání probíhá po vstupu na trh práce a po</w:t>
      </w:r>
      <w:r>
        <w:rPr>
          <w:rFonts w:ascii="Times New Roman" w:hAnsi="Times New Roman" w:cs="Times New Roman"/>
        </w:rPr>
        <w:t xml:space="preserve"> </w:t>
      </w:r>
      <w:r w:rsidRPr="00904122">
        <w:rPr>
          <w:rFonts w:ascii="Times New Roman" w:hAnsi="Times New Roman" w:cs="Times New Roman"/>
          <w:b/>
        </w:rPr>
        <w:t>ukončení počátečního vzdělávání</w:t>
      </w:r>
      <w:r>
        <w:rPr>
          <w:rFonts w:ascii="Times New Roman" w:hAnsi="Times New Roman" w:cs="Times New Roman"/>
        </w:rPr>
        <w:t xml:space="preserve"> (bez ohledu na to, zda jedinec v počátečním vzdělávání ukončil primární, sekundární nebo terciární stupeň, popř. předčasně odešel ze vzdělávání). Rozlišuje se další vzdělávání formální a neformální.</w:t>
      </w:r>
    </w:p>
    <w:p w14:paraId="16733669" w14:textId="1D526780" w:rsidR="00BF023E" w:rsidRDefault="009B0EDC" w:rsidP="00D91175">
      <w:pPr>
        <w:spacing w:before="120" w:line="360" w:lineRule="auto"/>
        <w:jc w:val="both"/>
        <w:rPr>
          <w:rFonts w:ascii="Times New Roman" w:hAnsi="Times New Roman" w:cs="Times New Roman"/>
        </w:rPr>
      </w:pPr>
      <w:r>
        <w:rPr>
          <w:rFonts w:ascii="Times New Roman" w:hAnsi="Times New Roman" w:cs="Times New Roman"/>
        </w:rPr>
        <w:t>D</w:t>
      </w:r>
      <w:r w:rsidR="008903B6" w:rsidRPr="008903B6">
        <w:rPr>
          <w:rFonts w:ascii="Times New Roman" w:hAnsi="Times New Roman" w:cs="Times New Roman"/>
        </w:rPr>
        <w:t xml:space="preserve">alší </w:t>
      </w:r>
      <w:r w:rsidR="000C4D35" w:rsidRPr="00BF023E">
        <w:rPr>
          <w:rFonts w:ascii="Times New Roman" w:hAnsi="Times New Roman" w:cs="Times New Roman"/>
        </w:rPr>
        <w:t>vzdělávání</w:t>
      </w:r>
      <w:r w:rsidRPr="009B0EDC">
        <w:rPr>
          <w:rFonts w:ascii="Times New Roman" w:hAnsi="Times New Roman" w:cs="Times New Roman"/>
          <w:b/>
        </w:rPr>
        <w:t xml:space="preserve"> </w:t>
      </w:r>
      <w:r>
        <w:rPr>
          <w:rFonts w:ascii="Times New Roman" w:hAnsi="Times New Roman" w:cs="Times New Roman"/>
          <w:b/>
        </w:rPr>
        <w:t>f</w:t>
      </w:r>
      <w:r w:rsidRPr="00904122">
        <w:rPr>
          <w:rFonts w:ascii="Times New Roman" w:hAnsi="Times New Roman" w:cs="Times New Roman"/>
          <w:b/>
        </w:rPr>
        <w:t>ormální</w:t>
      </w:r>
      <w:r>
        <w:rPr>
          <w:rFonts w:ascii="Times New Roman" w:hAnsi="Times New Roman" w:cs="Times New Roman"/>
          <w:b/>
        </w:rPr>
        <w:t>ho charakteru</w:t>
      </w:r>
      <w:r w:rsidR="00904122">
        <w:rPr>
          <w:rFonts w:ascii="Times New Roman" w:hAnsi="Times New Roman" w:cs="Times New Roman"/>
        </w:rPr>
        <w:t>, jak vyplývá z názvu,</w:t>
      </w:r>
      <w:r w:rsidR="00B0716C">
        <w:rPr>
          <w:rFonts w:ascii="Times New Roman" w:hAnsi="Times New Roman" w:cs="Times New Roman"/>
        </w:rPr>
        <w:t xml:space="preserve"> poskytují formální vzdělávací instituce, tj. školy a univerzity. </w:t>
      </w:r>
      <w:r w:rsidR="008903B6">
        <w:rPr>
          <w:rFonts w:ascii="Times New Roman" w:hAnsi="Times New Roman" w:cs="Times New Roman"/>
        </w:rPr>
        <w:t xml:space="preserve">Přestože formální vzdělávání obecně </w:t>
      </w:r>
      <w:r w:rsidR="00904122">
        <w:rPr>
          <w:rFonts w:ascii="Times New Roman" w:hAnsi="Times New Roman" w:cs="Times New Roman"/>
        </w:rPr>
        <w:t>bývá nejčastěji spojováno s počátečním vzděláváním</w:t>
      </w:r>
      <w:r w:rsidR="008903B6">
        <w:rPr>
          <w:rFonts w:ascii="Times New Roman" w:hAnsi="Times New Roman" w:cs="Times New Roman"/>
        </w:rPr>
        <w:t>, hraje velmi také důležitou roli v dalším vzdělávání</w:t>
      </w:r>
      <w:r w:rsidR="00B0716C">
        <w:rPr>
          <w:rFonts w:ascii="Times New Roman" w:hAnsi="Times New Roman" w:cs="Times New Roman"/>
        </w:rPr>
        <w:t xml:space="preserve"> </w:t>
      </w:r>
      <w:r w:rsidR="008903B6">
        <w:rPr>
          <w:rFonts w:ascii="Times New Roman" w:hAnsi="Times New Roman" w:cs="Times New Roman"/>
        </w:rPr>
        <w:t xml:space="preserve">(tzv. další vzdělávání dospělých). Například vysoké školy nabízejí řadu distančních nebo kombinovaných programů, které jsou určeny zejména jedincům, kteří již pracují, ale chtějí (nebo z pracovních důvodů potřebují) dosáhnout </w:t>
      </w:r>
      <w:r w:rsidR="008903B6">
        <w:rPr>
          <w:rFonts w:ascii="Times New Roman" w:hAnsi="Times New Roman" w:cs="Times New Roman"/>
        </w:rPr>
        <w:lastRenderedPageBreak/>
        <w:t xml:space="preserve">vyšší úrovně vzdělání. </w:t>
      </w:r>
      <w:r w:rsidR="00B0716C">
        <w:rPr>
          <w:rFonts w:ascii="Times New Roman" w:hAnsi="Times New Roman" w:cs="Times New Roman"/>
        </w:rPr>
        <w:t xml:space="preserve">Problematiku formálního vzdělávání upravuje zejména </w:t>
      </w:r>
      <w:r w:rsidR="00B0716C" w:rsidRPr="001A695A">
        <w:rPr>
          <w:rFonts w:ascii="Times New Roman" w:hAnsi="Times New Roman" w:cs="Times New Roman"/>
          <w:i/>
        </w:rPr>
        <w:t>školský</w:t>
      </w:r>
      <w:r w:rsidR="00B0716C">
        <w:rPr>
          <w:rFonts w:ascii="Times New Roman" w:hAnsi="Times New Roman" w:cs="Times New Roman"/>
        </w:rPr>
        <w:t xml:space="preserve"> </w:t>
      </w:r>
      <w:r w:rsidR="00B0716C" w:rsidRPr="001A695A">
        <w:rPr>
          <w:rFonts w:ascii="Times New Roman" w:hAnsi="Times New Roman" w:cs="Times New Roman"/>
          <w:i/>
        </w:rPr>
        <w:t>zákon</w:t>
      </w:r>
      <w:r w:rsidR="001A695A">
        <w:rPr>
          <w:rStyle w:val="Znakapoznpodarou"/>
          <w:rFonts w:ascii="Times New Roman" w:hAnsi="Times New Roman" w:cs="Times New Roman"/>
        </w:rPr>
        <w:footnoteReference w:id="16"/>
      </w:r>
      <w:r w:rsidR="00B0716C">
        <w:rPr>
          <w:rFonts w:ascii="Times New Roman" w:hAnsi="Times New Roman" w:cs="Times New Roman"/>
        </w:rPr>
        <w:t xml:space="preserve"> a </w:t>
      </w:r>
      <w:r w:rsidR="00B0716C" w:rsidRPr="001A695A">
        <w:rPr>
          <w:rFonts w:ascii="Times New Roman" w:hAnsi="Times New Roman" w:cs="Times New Roman"/>
          <w:i/>
        </w:rPr>
        <w:t>zákon</w:t>
      </w:r>
      <w:r w:rsidR="00B0716C">
        <w:rPr>
          <w:rFonts w:ascii="Times New Roman" w:hAnsi="Times New Roman" w:cs="Times New Roman"/>
        </w:rPr>
        <w:t xml:space="preserve"> </w:t>
      </w:r>
      <w:r w:rsidR="00B0716C" w:rsidRPr="001A695A">
        <w:rPr>
          <w:rFonts w:ascii="Times New Roman" w:hAnsi="Times New Roman" w:cs="Times New Roman"/>
          <w:i/>
        </w:rPr>
        <w:t>o</w:t>
      </w:r>
      <w:r w:rsidR="00B0716C">
        <w:rPr>
          <w:rFonts w:ascii="Times New Roman" w:hAnsi="Times New Roman" w:cs="Times New Roman"/>
        </w:rPr>
        <w:t xml:space="preserve"> </w:t>
      </w:r>
      <w:r w:rsidR="00B0716C" w:rsidRPr="001A695A">
        <w:rPr>
          <w:rFonts w:ascii="Times New Roman" w:hAnsi="Times New Roman" w:cs="Times New Roman"/>
          <w:i/>
        </w:rPr>
        <w:t>vysokých</w:t>
      </w:r>
      <w:r w:rsidR="00B0716C">
        <w:rPr>
          <w:rFonts w:ascii="Times New Roman" w:hAnsi="Times New Roman" w:cs="Times New Roman"/>
        </w:rPr>
        <w:t xml:space="preserve"> </w:t>
      </w:r>
      <w:r w:rsidR="00B0716C" w:rsidRPr="001A695A">
        <w:rPr>
          <w:rFonts w:ascii="Times New Roman" w:hAnsi="Times New Roman" w:cs="Times New Roman"/>
          <w:i/>
        </w:rPr>
        <w:t>školách</w:t>
      </w:r>
      <w:r w:rsidR="001A695A">
        <w:rPr>
          <w:rFonts w:ascii="Times New Roman" w:hAnsi="Times New Roman" w:cs="Times New Roman"/>
        </w:rPr>
        <w:t>.</w:t>
      </w:r>
      <w:r w:rsidR="001A695A">
        <w:rPr>
          <w:rStyle w:val="Znakapoznpodarou"/>
          <w:rFonts w:ascii="Times New Roman" w:hAnsi="Times New Roman" w:cs="Times New Roman"/>
        </w:rPr>
        <w:footnoteReference w:id="17"/>
      </w:r>
      <w:r w:rsidR="00B0716C">
        <w:rPr>
          <w:rFonts w:ascii="Times New Roman" w:hAnsi="Times New Roman" w:cs="Times New Roman"/>
        </w:rPr>
        <w:t xml:space="preserve"> </w:t>
      </w:r>
      <w:r w:rsidR="001A695A">
        <w:rPr>
          <w:rFonts w:ascii="Times New Roman" w:hAnsi="Times New Roman" w:cs="Times New Roman"/>
        </w:rPr>
        <w:t xml:space="preserve">Jako jednu z klíčových zásad vzdělávání definuje školský zákon </w:t>
      </w:r>
      <w:r w:rsidR="001A695A">
        <w:rPr>
          <w:rFonts w:ascii="Times New Roman" w:hAnsi="Times New Roman" w:cs="Times New Roman"/>
          <w:i/>
        </w:rPr>
        <w:t xml:space="preserve">„možnost každého vzdělávat se po dobu celého života při vědomí spoluodpovědnosti za své vzdělávání“ </w:t>
      </w:r>
      <w:r w:rsidR="001A695A">
        <w:rPr>
          <w:rFonts w:ascii="Times New Roman" w:hAnsi="Times New Roman" w:cs="Times New Roman"/>
        </w:rPr>
        <w:t>(§ 2 odst. 1 písm. h).</w:t>
      </w:r>
      <w:r w:rsidR="008630B0">
        <w:rPr>
          <w:rFonts w:ascii="Times New Roman" w:hAnsi="Times New Roman" w:cs="Times New Roman"/>
        </w:rPr>
        <w:t xml:space="preserve"> </w:t>
      </w:r>
    </w:p>
    <w:p w14:paraId="432680D4" w14:textId="54047AA9" w:rsidR="00BF023E" w:rsidRDefault="009B0EDC" w:rsidP="00D91175">
      <w:pPr>
        <w:spacing w:before="120" w:line="360" w:lineRule="auto"/>
        <w:jc w:val="both"/>
        <w:rPr>
          <w:rFonts w:ascii="Times New Roman" w:hAnsi="Times New Roman" w:cs="Times New Roman"/>
        </w:rPr>
      </w:pPr>
      <w:r>
        <w:rPr>
          <w:rFonts w:ascii="Times New Roman" w:hAnsi="Times New Roman" w:cs="Times New Roman"/>
        </w:rPr>
        <w:t>N</w:t>
      </w:r>
      <w:r w:rsidR="00CD38C7">
        <w:rPr>
          <w:rFonts w:ascii="Times New Roman" w:hAnsi="Times New Roman" w:cs="Times New Roman"/>
        </w:rPr>
        <w:t>ejčastější form</w:t>
      </w:r>
      <w:r w:rsidR="00FA2391">
        <w:rPr>
          <w:rFonts w:ascii="Times New Roman" w:hAnsi="Times New Roman" w:cs="Times New Roman"/>
        </w:rPr>
        <w:t>u dalšího vzdělávání</w:t>
      </w:r>
      <w:r>
        <w:rPr>
          <w:rFonts w:ascii="Times New Roman" w:hAnsi="Times New Roman" w:cs="Times New Roman"/>
        </w:rPr>
        <w:t xml:space="preserve"> ale představuje </w:t>
      </w:r>
      <w:r>
        <w:rPr>
          <w:rFonts w:ascii="Times New Roman" w:hAnsi="Times New Roman" w:cs="Times New Roman"/>
          <w:b/>
        </w:rPr>
        <w:t xml:space="preserve">neformální </w:t>
      </w:r>
      <w:r>
        <w:rPr>
          <w:rFonts w:ascii="Times New Roman" w:hAnsi="Times New Roman" w:cs="Times New Roman"/>
        </w:rPr>
        <w:t>vzdělávání.</w:t>
      </w:r>
      <w:r>
        <w:rPr>
          <w:rFonts w:ascii="Times New Roman" w:hAnsi="Times New Roman" w:cs="Times New Roman"/>
          <w:b/>
        </w:rPr>
        <w:t xml:space="preserve"> </w:t>
      </w:r>
      <w:r>
        <w:rPr>
          <w:rFonts w:ascii="Times New Roman" w:hAnsi="Times New Roman" w:cs="Times New Roman"/>
        </w:rPr>
        <w:t>P</w:t>
      </w:r>
      <w:r w:rsidR="005B57A3">
        <w:rPr>
          <w:rFonts w:ascii="Times New Roman" w:hAnsi="Times New Roman" w:cs="Times New Roman"/>
        </w:rPr>
        <w:t xml:space="preserve">rogramy neformálního vzdělávání </w:t>
      </w:r>
      <w:r>
        <w:rPr>
          <w:rFonts w:ascii="Times New Roman" w:hAnsi="Times New Roman" w:cs="Times New Roman"/>
        </w:rPr>
        <w:t>(ve srovnání s formálním) trvají zpravidla kratší dobu a</w:t>
      </w:r>
      <w:r w:rsidR="005B57A3">
        <w:rPr>
          <w:rFonts w:ascii="Times New Roman" w:hAnsi="Times New Roman" w:cs="Times New Roman"/>
        </w:rPr>
        <w:t xml:space="preserve"> procesně i obsahově pružněji rea</w:t>
      </w:r>
      <w:r>
        <w:rPr>
          <w:rFonts w:ascii="Times New Roman" w:hAnsi="Times New Roman" w:cs="Times New Roman"/>
        </w:rPr>
        <w:t>gují</w:t>
      </w:r>
      <w:r w:rsidR="00CD38C7">
        <w:rPr>
          <w:rFonts w:ascii="Times New Roman" w:hAnsi="Times New Roman" w:cs="Times New Roman"/>
        </w:rPr>
        <w:t xml:space="preserve"> na potřeby pracovního trhu;</w:t>
      </w:r>
      <w:r w:rsidR="005B57A3">
        <w:rPr>
          <w:rFonts w:ascii="Times New Roman" w:hAnsi="Times New Roman" w:cs="Times New Roman"/>
        </w:rPr>
        <w:t xml:space="preserve"> jsou tedy velmi vhodným nástrojem slaďování nabídky práce s poptá</w:t>
      </w:r>
      <w:r>
        <w:rPr>
          <w:rFonts w:ascii="Times New Roman" w:hAnsi="Times New Roman" w:cs="Times New Roman"/>
        </w:rPr>
        <w:t>vkou. Neformální další vzdělávání z</w:t>
      </w:r>
      <w:r w:rsidR="005B57A3">
        <w:rPr>
          <w:rFonts w:ascii="Times New Roman" w:hAnsi="Times New Roman" w:cs="Times New Roman"/>
        </w:rPr>
        <w:t xml:space="preserve">ahrnuje </w:t>
      </w:r>
      <w:r w:rsidR="005B57A3" w:rsidRPr="009B0EDC">
        <w:rPr>
          <w:rFonts w:ascii="Times New Roman" w:hAnsi="Times New Roman" w:cs="Times New Roman"/>
          <w:i/>
        </w:rPr>
        <w:t>občanské</w:t>
      </w:r>
      <w:r w:rsidR="005B57A3">
        <w:rPr>
          <w:rFonts w:ascii="Times New Roman" w:hAnsi="Times New Roman" w:cs="Times New Roman"/>
        </w:rPr>
        <w:t xml:space="preserve">, </w:t>
      </w:r>
      <w:r w:rsidR="005B57A3" w:rsidRPr="009B0EDC">
        <w:rPr>
          <w:rFonts w:ascii="Times New Roman" w:hAnsi="Times New Roman" w:cs="Times New Roman"/>
          <w:i/>
        </w:rPr>
        <w:t>zájmové</w:t>
      </w:r>
      <w:r w:rsidR="005B57A3">
        <w:rPr>
          <w:rFonts w:ascii="Times New Roman" w:hAnsi="Times New Roman" w:cs="Times New Roman"/>
        </w:rPr>
        <w:t xml:space="preserve"> a </w:t>
      </w:r>
      <w:r w:rsidR="005B57A3" w:rsidRPr="009B0EDC">
        <w:rPr>
          <w:rFonts w:ascii="Times New Roman" w:hAnsi="Times New Roman" w:cs="Times New Roman"/>
          <w:i/>
        </w:rPr>
        <w:t>profesní</w:t>
      </w:r>
      <w:r w:rsidR="005B57A3">
        <w:rPr>
          <w:rFonts w:ascii="Times New Roman" w:hAnsi="Times New Roman" w:cs="Times New Roman"/>
        </w:rPr>
        <w:t xml:space="preserve"> </w:t>
      </w:r>
      <w:r w:rsidR="005B57A3" w:rsidRPr="00BF023E">
        <w:rPr>
          <w:rFonts w:ascii="Times New Roman" w:hAnsi="Times New Roman" w:cs="Times New Roman"/>
        </w:rPr>
        <w:t>vzdělávání</w:t>
      </w:r>
      <w:r w:rsidR="005B57A3">
        <w:rPr>
          <w:rFonts w:ascii="Times New Roman" w:hAnsi="Times New Roman" w:cs="Times New Roman"/>
        </w:rPr>
        <w:t>.</w:t>
      </w:r>
      <w:r w:rsidR="00BF023E">
        <w:rPr>
          <w:rFonts w:ascii="Times New Roman" w:hAnsi="Times New Roman" w:cs="Times New Roman"/>
        </w:rPr>
        <w:t xml:space="preserve"> </w:t>
      </w:r>
      <w:r>
        <w:rPr>
          <w:rFonts w:ascii="Times New Roman" w:hAnsi="Times New Roman" w:cs="Times New Roman"/>
        </w:rPr>
        <w:t xml:space="preserve">Vzhledem k zaměření této studie blíže charakterizujeme </w:t>
      </w:r>
      <w:r w:rsidR="00742A88">
        <w:rPr>
          <w:rFonts w:ascii="Times New Roman" w:hAnsi="Times New Roman" w:cs="Times New Roman"/>
        </w:rPr>
        <w:t xml:space="preserve">pouze </w:t>
      </w:r>
      <w:r>
        <w:rPr>
          <w:rFonts w:ascii="Times New Roman" w:hAnsi="Times New Roman" w:cs="Times New Roman"/>
        </w:rPr>
        <w:t>profesní vzdělávání, kterým se budeme zabývat také dále v textu.</w:t>
      </w:r>
    </w:p>
    <w:p w14:paraId="2E5F6AA9" w14:textId="6C080842" w:rsidR="00FA2391" w:rsidRPr="00EE19CA" w:rsidRDefault="00B727FF" w:rsidP="00D91175">
      <w:pPr>
        <w:spacing w:before="120" w:line="360" w:lineRule="auto"/>
        <w:jc w:val="both"/>
        <w:rPr>
          <w:rFonts w:ascii="Times New Roman" w:hAnsi="Times New Roman" w:cs="Times New Roman"/>
          <w:b/>
          <w:i/>
        </w:rPr>
      </w:pPr>
      <w:r>
        <w:rPr>
          <w:rFonts w:ascii="Times New Roman" w:hAnsi="Times New Roman" w:cs="Times New Roman"/>
          <w:b/>
        </w:rPr>
        <w:t>Další p</w:t>
      </w:r>
      <w:r w:rsidR="00BF023E" w:rsidRPr="00BF023E">
        <w:rPr>
          <w:rFonts w:ascii="Times New Roman" w:hAnsi="Times New Roman" w:cs="Times New Roman"/>
          <w:b/>
        </w:rPr>
        <w:t>rofesní vzdělávání</w:t>
      </w:r>
      <w:r w:rsidR="00BF023E">
        <w:rPr>
          <w:rFonts w:ascii="Times New Roman" w:hAnsi="Times New Roman" w:cs="Times New Roman"/>
          <w:b/>
        </w:rPr>
        <w:t xml:space="preserve"> </w:t>
      </w:r>
      <w:r w:rsidRPr="00B727FF">
        <w:rPr>
          <w:rFonts w:ascii="Times New Roman" w:hAnsi="Times New Roman" w:cs="Times New Roman"/>
        </w:rPr>
        <w:t xml:space="preserve">se přímo vztahuje k určitému </w:t>
      </w:r>
      <w:r>
        <w:rPr>
          <w:rFonts w:ascii="Times New Roman" w:hAnsi="Times New Roman" w:cs="Times New Roman"/>
        </w:rPr>
        <w:t xml:space="preserve">pracovnímu místu. Jeho cílem může být např. </w:t>
      </w:r>
      <w:r w:rsidRPr="00B727FF">
        <w:rPr>
          <w:rFonts w:ascii="Times New Roman" w:hAnsi="Times New Roman" w:cs="Times New Roman"/>
        </w:rPr>
        <w:t xml:space="preserve">udržení si </w:t>
      </w:r>
      <w:r>
        <w:rPr>
          <w:rFonts w:ascii="Times New Roman" w:hAnsi="Times New Roman" w:cs="Times New Roman"/>
        </w:rPr>
        <w:t xml:space="preserve">stávajícího </w:t>
      </w:r>
      <w:r w:rsidRPr="00B727FF">
        <w:rPr>
          <w:rFonts w:ascii="Times New Roman" w:hAnsi="Times New Roman" w:cs="Times New Roman"/>
        </w:rPr>
        <w:t>pracovního místa</w:t>
      </w:r>
      <w:r w:rsidR="00B852D5">
        <w:rPr>
          <w:rFonts w:ascii="Times New Roman" w:hAnsi="Times New Roman" w:cs="Times New Roman"/>
        </w:rPr>
        <w:t xml:space="preserve"> či</w:t>
      </w:r>
      <w:r>
        <w:rPr>
          <w:rFonts w:ascii="Times New Roman" w:hAnsi="Times New Roman" w:cs="Times New Roman"/>
        </w:rPr>
        <w:t xml:space="preserve"> získání </w:t>
      </w:r>
      <w:r w:rsidRPr="00B727FF">
        <w:rPr>
          <w:rFonts w:ascii="Times New Roman" w:hAnsi="Times New Roman" w:cs="Times New Roman"/>
        </w:rPr>
        <w:t>nového</w:t>
      </w:r>
      <w:r w:rsidR="00EE19CA">
        <w:rPr>
          <w:rFonts w:ascii="Times New Roman" w:hAnsi="Times New Roman" w:cs="Times New Roman"/>
        </w:rPr>
        <w:t xml:space="preserve"> </w:t>
      </w:r>
      <w:r>
        <w:rPr>
          <w:rFonts w:ascii="Times New Roman" w:hAnsi="Times New Roman" w:cs="Times New Roman"/>
        </w:rPr>
        <w:t xml:space="preserve">pracovního místa, popř. získání </w:t>
      </w:r>
      <w:r w:rsidR="00EE19CA">
        <w:rPr>
          <w:rFonts w:ascii="Times New Roman" w:hAnsi="Times New Roman" w:cs="Times New Roman"/>
        </w:rPr>
        <w:t xml:space="preserve">zcela </w:t>
      </w:r>
      <w:r>
        <w:rPr>
          <w:rFonts w:ascii="Times New Roman" w:hAnsi="Times New Roman" w:cs="Times New Roman"/>
        </w:rPr>
        <w:t>nové kvalifikace.</w:t>
      </w:r>
      <w:r w:rsidR="00B852D5">
        <w:rPr>
          <w:rFonts w:ascii="Times New Roman" w:hAnsi="Times New Roman" w:cs="Times New Roman"/>
        </w:rPr>
        <w:t xml:space="preserve"> Profesní vzdělávání</w:t>
      </w:r>
      <w:r w:rsidR="00EE19CA">
        <w:rPr>
          <w:rFonts w:ascii="Times New Roman" w:hAnsi="Times New Roman" w:cs="Times New Roman"/>
        </w:rPr>
        <w:t xml:space="preserve"> </w:t>
      </w:r>
      <w:r w:rsidR="00B852D5">
        <w:rPr>
          <w:rFonts w:ascii="Times New Roman" w:hAnsi="Times New Roman" w:cs="Times New Roman"/>
        </w:rPr>
        <w:t xml:space="preserve">tedy </w:t>
      </w:r>
      <w:r w:rsidR="00EE19CA">
        <w:rPr>
          <w:rFonts w:ascii="Times New Roman" w:hAnsi="Times New Roman" w:cs="Times New Roman"/>
        </w:rPr>
        <w:t xml:space="preserve">zahrnuje </w:t>
      </w:r>
      <w:r w:rsidR="00EE19CA" w:rsidRPr="00EE19CA">
        <w:rPr>
          <w:rFonts w:ascii="Times New Roman" w:hAnsi="Times New Roman" w:cs="Times New Roman"/>
          <w:i/>
        </w:rPr>
        <w:t>rekvalifikace</w:t>
      </w:r>
      <w:r w:rsidR="000A481B">
        <w:rPr>
          <w:rFonts w:ascii="Times New Roman" w:hAnsi="Times New Roman" w:cs="Times New Roman"/>
          <w:i/>
        </w:rPr>
        <w:t xml:space="preserve"> </w:t>
      </w:r>
      <w:r w:rsidR="000A481B">
        <w:rPr>
          <w:rFonts w:ascii="Times New Roman" w:hAnsi="Times New Roman" w:cs="Times New Roman"/>
        </w:rPr>
        <w:t>(tj. přeškolení na jinou profesi) a</w:t>
      </w:r>
      <w:r w:rsidR="00EE19CA">
        <w:rPr>
          <w:rFonts w:ascii="Times New Roman" w:hAnsi="Times New Roman" w:cs="Times New Roman"/>
          <w:i/>
        </w:rPr>
        <w:t xml:space="preserve"> </w:t>
      </w:r>
      <w:r w:rsidR="00EE19CA">
        <w:rPr>
          <w:rFonts w:ascii="Times New Roman" w:hAnsi="Times New Roman" w:cs="Times New Roman"/>
        </w:rPr>
        <w:t>vzdělávací programy zaměřené</w:t>
      </w:r>
      <w:r w:rsidR="00EE19CA">
        <w:rPr>
          <w:rFonts w:ascii="Times New Roman" w:hAnsi="Times New Roman" w:cs="Times New Roman"/>
          <w:i/>
        </w:rPr>
        <w:t xml:space="preserve"> </w:t>
      </w:r>
      <w:r w:rsidR="00EE19CA">
        <w:rPr>
          <w:rFonts w:ascii="Times New Roman" w:hAnsi="Times New Roman" w:cs="Times New Roman"/>
        </w:rPr>
        <w:t xml:space="preserve">na </w:t>
      </w:r>
      <w:r w:rsidR="00EE19CA">
        <w:rPr>
          <w:rFonts w:ascii="Times New Roman" w:hAnsi="Times New Roman" w:cs="Times New Roman"/>
          <w:i/>
        </w:rPr>
        <w:t>zvýšení stávající kvalifikace</w:t>
      </w:r>
      <w:r w:rsidR="00EE19CA">
        <w:rPr>
          <w:rFonts w:ascii="Times New Roman" w:hAnsi="Times New Roman" w:cs="Times New Roman"/>
        </w:rPr>
        <w:t xml:space="preserve"> </w:t>
      </w:r>
      <w:r w:rsidR="00B852D5">
        <w:rPr>
          <w:rFonts w:ascii="Times New Roman" w:hAnsi="Times New Roman" w:cs="Times New Roman"/>
        </w:rPr>
        <w:t>(</w:t>
      </w:r>
      <w:r w:rsidR="000A481B">
        <w:rPr>
          <w:rFonts w:ascii="Times New Roman" w:hAnsi="Times New Roman" w:cs="Times New Roman"/>
        </w:rPr>
        <w:t xml:space="preserve">doškolování), tzn. </w:t>
      </w:r>
      <w:r w:rsidR="00EE19CA">
        <w:rPr>
          <w:rFonts w:ascii="Times New Roman" w:hAnsi="Times New Roman" w:cs="Times New Roman"/>
        </w:rPr>
        <w:t>prohloubení či doplnění znal</w:t>
      </w:r>
      <w:r w:rsidR="000A481B">
        <w:rPr>
          <w:rFonts w:ascii="Times New Roman" w:hAnsi="Times New Roman" w:cs="Times New Roman"/>
        </w:rPr>
        <w:t>ostí a dovedností v daném oboru</w:t>
      </w:r>
      <w:r w:rsidR="00EE19CA">
        <w:rPr>
          <w:rFonts w:ascii="Times New Roman" w:hAnsi="Times New Roman" w:cs="Times New Roman"/>
        </w:rPr>
        <w:t xml:space="preserve"> </w:t>
      </w:r>
      <w:r w:rsidR="000A481B">
        <w:rPr>
          <w:rFonts w:ascii="Times New Roman" w:hAnsi="Times New Roman" w:cs="Times New Roman"/>
        </w:rPr>
        <w:t>(</w:t>
      </w:r>
      <w:r w:rsidR="00EE19CA">
        <w:rPr>
          <w:rFonts w:ascii="Times New Roman" w:hAnsi="Times New Roman" w:cs="Times New Roman"/>
        </w:rPr>
        <w:t>získání informací o nových poznatcích, postup</w:t>
      </w:r>
      <w:r w:rsidR="000A481B">
        <w:rPr>
          <w:rFonts w:ascii="Times New Roman" w:hAnsi="Times New Roman" w:cs="Times New Roman"/>
        </w:rPr>
        <w:t xml:space="preserve">ech či technologiích, o nových právních předpisech apod.). Další vzdělávání může </w:t>
      </w:r>
      <w:proofErr w:type="gramStart"/>
      <w:r w:rsidR="000A481B">
        <w:rPr>
          <w:rFonts w:ascii="Times New Roman" w:hAnsi="Times New Roman" w:cs="Times New Roman"/>
        </w:rPr>
        <w:t>být</w:t>
      </w:r>
      <w:proofErr w:type="gramEnd"/>
      <w:r w:rsidR="000A481B">
        <w:rPr>
          <w:rFonts w:ascii="Times New Roman" w:hAnsi="Times New Roman" w:cs="Times New Roman"/>
        </w:rPr>
        <w:t xml:space="preserve"> ale také zaměřeno na rozvoj </w:t>
      </w:r>
      <w:r w:rsidR="006D24DE">
        <w:rPr>
          <w:rFonts w:ascii="Times New Roman" w:hAnsi="Times New Roman" w:cs="Times New Roman"/>
        </w:rPr>
        <w:t xml:space="preserve">specifických </w:t>
      </w:r>
      <w:r w:rsidR="000A481B">
        <w:rPr>
          <w:rFonts w:ascii="Times New Roman" w:hAnsi="Times New Roman" w:cs="Times New Roman"/>
        </w:rPr>
        <w:t xml:space="preserve">kompetencí, jež přímo </w:t>
      </w:r>
      <w:r w:rsidR="006D24DE">
        <w:rPr>
          <w:rFonts w:ascii="Times New Roman" w:hAnsi="Times New Roman" w:cs="Times New Roman"/>
        </w:rPr>
        <w:t>nemusí souviset s danou odborností</w:t>
      </w:r>
      <w:r w:rsidR="000A481B">
        <w:rPr>
          <w:rFonts w:ascii="Times New Roman" w:hAnsi="Times New Roman" w:cs="Times New Roman"/>
        </w:rPr>
        <w:t>, ale které pracovní místo vyžaduje (např. rozv</w:t>
      </w:r>
      <w:r w:rsidR="006D24DE">
        <w:rPr>
          <w:rFonts w:ascii="Times New Roman" w:hAnsi="Times New Roman" w:cs="Times New Roman"/>
        </w:rPr>
        <w:t>oj komunikačních schopností, jednání se zákazníkem</w:t>
      </w:r>
      <w:r w:rsidR="00073B5B">
        <w:rPr>
          <w:rFonts w:ascii="Times New Roman" w:hAnsi="Times New Roman" w:cs="Times New Roman"/>
        </w:rPr>
        <w:t>, jazykové schopnosti</w:t>
      </w:r>
      <w:r w:rsidR="006D24DE">
        <w:rPr>
          <w:rFonts w:ascii="Times New Roman" w:hAnsi="Times New Roman" w:cs="Times New Roman"/>
        </w:rPr>
        <w:t>).</w:t>
      </w:r>
    </w:p>
    <w:p w14:paraId="570D3B67" w14:textId="554B0045" w:rsidR="000C4D35" w:rsidRDefault="008523D0" w:rsidP="00D91175">
      <w:pPr>
        <w:spacing w:before="120" w:line="360" w:lineRule="auto"/>
        <w:jc w:val="both"/>
        <w:rPr>
          <w:rFonts w:ascii="Times New Roman" w:hAnsi="Times New Roman" w:cs="Times New Roman"/>
        </w:rPr>
      </w:pPr>
      <w:r>
        <w:rPr>
          <w:rFonts w:ascii="Times New Roman" w:hAnsi="Times New Roman" w:cs="Times New Roman"/>
        </w:rPr>
        <w:t xml:space="preserve">Zákon č. 435/2004 Sb., o zaměstnanosti, ve znění pozdějších předpisů, definuje </w:t>
      </w:r>
      <w:r w:rsidRPr="008523D0">
        <w:rPr>
          <w:rFonts w:ascii="Times New Roman" w:hAnsi="Times New Roman" w:cs="Times New Roman"/>
          <w:b/>
        </w:rPr>
        <w:t>rekvalifikace</w:t>
      </w:r>
      <w:r>
        <w:rPr>
          <w:rFonts w:ascii="Times New Roman" w:hAnsi="Times New Roman" w:cs="Times New Roman"/>
        </w:rPr>
        <w:t xml:space="preserve"> jako </w:t>
      </w:r>
      <w:r w:rsidRPr="008523D0">
        <w:rPr>
          <w:rFonts w:ascii="Times New Roman" w:hAnsi="Times New Roman" w:cs="Times New Roman"/>
          <w:b/>
        </w:rPr>
        <w:t>jeden z nástrojů aktivní politiky zaměstnanosti</w:t>
      </w:r>
      <w:r w:rsidR="002D59AA">
        <w:rPr>
          <w:rFonts w:ascii="Times New Roman" w:hAnsi="Times New Roman" w:cs="Times New Roman"/>
        </w:rPr>
        <w:t xml:space="preserve">. Rekvalifikace je </w:t>
      </w:r>
      <w:r w:rsidR="00222F9E">
        <w:rPr>
          <w:rFonts w:ascii="Times New Roman" w:hAnsi="Times New Roman" w:cs="Times New Roman"/>
        </w:rPr>
        <w:t xml:space="preserve">zde </w:t>
      </w:r>
      <w:r w:rsidR="002D59AA">
        <w:rPr>
          <w:rFonts w:ascii="Times New Roman" w:hAnsi="Times New Roman" w:cs="Times New Roman"/>
        </w:rPr>
        <w:t xml:space="preserve">chápána v širokém smyslu </w:t>
      </w:r>
      <w:r w:rsidR="009B0EDC">
        <w:rPr>
          <w:rFonts w:ascii="Times New Roman" w:hAnsi="Times New Roman" w:cs="Times New Roman"/>
        </w:rPr>
        <w:t>(nejen úzce jako získání nové kvalifikace)</w:t>
      </w:r>
      <w:r w:rsidR="00222F9E">
        <w:rPr>
          <w:rFonts w:ascii="Times New Roman" w:hAnsi="Times New Roman" w:cs="Times New Roman"/>
        </w:rPr>
        <w:t xml:space="preserve"> </w:t>
      </w:r>
      <w:r w:rsidR="002D59AA">
        <w:rPr>
          <w:rFonts w:ascii="Times New Roman" w:hAnsi="Times New Roman" w:cs="Times New Roman"/>
        </w:rPr>
        <w:t xml:space="preserve">jako </w:t>
      </w:r>
      <w:r w:rsidR="002D59AA">
        <w:rPr>
          <w:rFonts w:ascii="Times New Roman" w:hAnsi="Times New Roman" w:cs="Times New Roman"/>
          <w:i/>
        </w:rPr>
        <w:t xml:space="preserve">„získání nové kvalifikace a zvýšení, rozšíření nebo prohloubení dosavadní kvalifikace, včetně jejího udržování nebo obnovování. Za rekvalifikaci se považuje i získání kvalifikace pro pracovní uplatnění fyzické osoby, která dosud žádnou kvalifikaci nezískala.“ </w:t>
      </w:r>
      <w:r w:rsidR="002D59AA">
        <w:rPr>
          <w:rFonts w:ascii="Times New Roman" w:hAnsi="Times New Roman" w:cs="Times New Roman"/>
        </w:rPr>
        <w:t>(§ 108 odst. 1).</w:t>
      </w:r>
    </w:p>
    <w:p w14:paraId="395641B1" w14:textId="43075FCA" w:rsidR="00222F9E" w:rsidRDefault="00E17133" w:rsidP="00D91175">
      <w:pPr>
        <w:spacing w:before="120" w:line="360" w:lineRule="auto"/>
        <w:jc w:val="both"/>
        <w:rPr>
          <w:rFonts w:ascii="Times New Roman" w:hAnsi="Times New Roman" w:cs="Times New Roman"/>
        </w:rPr>
      </w:pPr>
      <w:r>
        <w:rPr>
          <w:rFonts w:ascii="Times New Roman" w:hAnsi="Times New Roman" w:cs="Times New Roman"/>
        </w:rPr>
        <w:lastRenderedPageBreak/>
        <w:t>Nyní se dostáváme k otázce – KDO další vzdělávání, a to formální i neformální (v zákoně rekvalifikace), poskytuje.</w:t>
      </w:r>
    </w:p>
    <w:p w14:paraId="1FD9FCE2" w14:textId="17D76CBC" w:rsidR="002D59AA" w:rsidRDefault="00E17133" w:rsidP="00D91175">
      <w:pPr>
        <w:spacing w:before="120" w:line="360" w:lineRule="auto"/>
        <w:jc w:val="both"/>
        <w:rPr>
          <w:rFonts w:ascii="Times New Roman" w:hAnsi="Times New Roman" w:cs="Times New Roman"/>
        </w:rPr>
      </w:pPr>
      <w:r>
        <w:rPr>
          <w:rFonts w:ascii="Times New Roman" w:hAnsi="Times New Roman" w:cs="Times New Roman"/>
        </w:rPr>
        <w:t>Jedná se o tyto subjekty</w:t>
      </w:r>
      <w:r w:rsidRPr="00E17133">
        <w:rPr>
          <w:rFonts w:ascii="Times New Roman" w:hAnsi="Times New Roman" w:cs="Times New Roman"/>
        </w:rPr>
        <w:t xml:space="preserve"> </w:t>
      </w:r>
      <w:r>
        <w:rPr>
          <w:rFonts w:ascii="Times New Roman" w:hAnsi="Times New Roman" w:cs="Times New Roman"/>
        </w:rPr>
        <w:t>(§ 108 odst. 2):</w:t>
      </w:r>
    </w:p>
    <w:p w14:paraId="40209F04" w14:textId="650F898D" w:rsidR="002D59AA" w:rsidRDefault="00E05131" w:rsidP="00E94B9D">
      <w:pPr>
        <w:pStyle w:val="Odstavecseseznamem"/>
        <w:numPr>
          <w:ilvl w:val="0"/>
          <w:numId w:val="19"/>
        </w:numPr>
        <w:spacing w:before="120" w:line="360" w:lineRule="auto"/>
        <w:jc w:val="both"/>
        <w:rPr>
          <w:rFonts w:ascii="Times New Roman" w:hAnsi="Times New Roman" w:cs="Times New Roman"/>
        </w:rPr>
      </w:pPr>
      <w:r>
        <w:rPr>
          <w:rFonts w:ascii="Times New Roman" w:hAnsi="Times New Roman" w:cs="Times New Roman"/>
        </w:rPr>
        <w:t>zařízení s akreditovaným vzdělávacím programem (</w:t>
      </w:r>
      <w:r w:rsidRPr="00803B9C">
        <w:rPr>
          <w:rFonts w:ascii="Times New Roman" w:hAnsi="Times New Roman" w:cs="Times New Roman"/>
          <w:i/>
        </w:rPr>
        <w:t>akreditac</w:t>
      </w:r>
      <w:r w:rsidR="00803B9C">
        <w:rPr>
          <w:rFonts w:ascii="Times New Roman" w:hAnsi="Times New Roman" w:cs="Times New Roman"/>
          <w:i/>
        </w:rPr>
        <w:t>e</w:t>
      </w:r>
      <w:r>
        <w:rPr>
          <w:rFonts w:ascii="Times New Roman" w:hAnsi="Times New Roman" w:cs="Times New Roman"/>
        </w:rPr>
        <w:t xml:space="preserve"> </w:t>
      </w:r>
      <w:r w:rsidRPr="00803B9C">
        <w:rPr>
          <w:rFonts w:ascii="Times New Roman" w:hAnsi="Times New Roman" w:cs="Times New Roman"/>
          <w:i/>
        </w:rPr>
        <w:t>uděluje MŠMT</w:t>
      </w:r>
      <w:r>
        <w:rPr>
          <w:rFonts w:ascii="Times New Roman" w:hAnsi="Times New Roman" w:cs="Times New Roman"/>
        </w:rPr>
        <w:t xml:space="preserve"> </w:t>
      </w:r>
      <w:r w:rsidRPr="00803B9C">
        <w:rPr>
          <w:rFonts w:ascii="Times New Roman" w:hAnsi="Times New Roman" w:cs="Times New Roman"/>
          <w:i/>
        </w:rPr>
        <w:t>ČR</w:t>
      </w:r>
      <w:r>
        <w:rPr>
          <w:rFonts w:ascii="Times New Roman" w:hAnsi="Times New Roman" w:cs="Times New Roman"/>
        </w:rPr>
        <w:t>),</w:t>
      </w:r>
    </w:p>
    <w:p w14:paraId="44B504C1" w14:textId="4207532E" w:rsidR="00E05131" w:rsidRDefault="00E05131" w:rsidP="00E94B9D">
      <w:pPr>
        <w:pStyle w:val="Odstavecseseznamem"/>
        <w:numPr>
          <w:ilvl w:val="0"/>
          <w:numId w:val="19"/>
        </w:numPr>
        <w:spacing w:before="120" w:line="360" w:lineRule="auto"/>
        <w:jc w:val="both"/>
        <w:rPr>
          <w:rFonts w:ascii="Times New Roman" w:hAnsi="Times New Roman" w:cs="Times New Roman"/>
        </w:rPr>
      </w:pPr>
      <w:r>
        <w:rPr>
          <w:rFonts w:ascii="Times New Roman" w:hAnsi="Times New Roman" w:cs="Times New Roman"/>
        </w:rPr>
        <w:t>zařízení s akreditovaným vzdělávacím programem pod</w:t>
      </w:r>
      <w:r w:rsidR="00803B9C">
        <w:rPr>
          <w:rFonts w:ascii="Times New Roman" w:hAnsi="Times New Roman" w:cs="Times New Roman"/>
        </w:rPr>
        <w:t xml:space="preserve">le zvláštního právního předpisu (např. dle zák. </w:t>
      </w:r>
      <w:r w:rsidR="00F766BA">
        <w:rPr>
          <w:rFonts w:ascii="Times New Roman" w:hAnsi="Times New Roman" w:cs="Times New Roman"/>
        </w:rPr>
        <w:t xml:space="preserve">č. </w:t>
      </w:r>
      <w:r w:rsidR="00803B9C">
        <w:rPr>
          <w:rFonts w:ascii="Times New Roman" w:hAnsi="Times New Roman" w:cs="Times New Roman"/>
        </w:rPr>
        <w:t>96/2004 Sb., o nelékařských zdravotnických povoláníc</w:t>
      </w:r>
      <w:r w:rsidR="00F766BA">
        <w:rPr>
          <w:rFonts w:ascii="Times New Roman" w:hAnsi="Times New Roman" w:cs="Times New Roman"/>
        </w:rPr>
        <w:t>h, nebo zák. č. 108/2006 Sb., o</w:t>
      </w:r>
      <w:r w:rsidR="00803B9C">
        <w:rPr>
          <w:rFonts w:ascii="Times New Roman" w:hAnsi="Times New Roman" w:cs="Times New Roman"/>
        </w:rPr>
        <w:t xml:space="preserve"> sociálních službách; </w:t>
      </w:r>
      <w:r w:rsidR="00803B9C" w:rsidRPr="00803B9C">
        <w:rPr>
          <w:rFonts w:ascii="Times New Roman" w:hAnsi="Times New Roman" w:cs="Times New Roman"/>
          <w:i/>
        </w:rPr>
        <w:t>akreditace</w:t>
      </w:r>
      <w:r w:rsidR="00803B9C">
        <w:rPr>
          <w:rFonts w:ascii="Times New Roman" w:hAnsi="Times New Roman" w:cs="Times New Roman"/>
        </w:rPr>
        <w:t xml:space="preserve"> </w:t>
      </w:r>
      <w:r w:rsidR="00803B9C" w:rsidRPr="00803B9C">
        <w:rPr>
          <w:rFonts w:ascii="Times New Roman" w:hAnsi="Times New Roman" w:cs="Times New Roman"/>
          <w:i/>
        </w:rPr>
        <w:t>uděluje ministerstvo, do jehož gesce spadá konkrétní právní</w:t>
      </w:r>
      <w:r w:rsidR="00803B9C">
        <w:rPr>
          <w:rFonts w:ascii="Times New Roman" w:hAnsi="Times New Roman" w:cs="Times New Roman"/>
        </w:rPr>
        <w:t xml:space="preserve"> </w:t>
      </w:r>
      <w:r w:rsidR="00803B9C" w:rsidRPr="00803B9C">
        <w:rPr>
          <w:rFonts w:ascii="Times New Roman" w:hAnsi="Times New Roman" w:cs="Times New Roman"/>
          <w:i/>
        </w:rPr>
        <w:t>předpis</w:t>
      </w:r>
      <w:r w:rsidR="00803B9C">
        <w:rPr>
          <w:rFonts w:ascii="Times New Roman" w:hAnsi="Times New Roman" w:cs="Times New Roman"/>
        </w:rPr>
        <w:t>)</w:t>
      </w:r>
      <w:r w:rsidR="00E17133">
        <w:rPr>
          <w:rFonts w:ascii="Times New Roman" w:hAnsi="Times New Roman" w:cs="Times New Roman"/>
        </w:rPr>
        <w:t>,</w:t>
      </w:r>
    </w:p>
    <w:p w14:paraId="08709964" w14:textId="4B71F383" w:rsidR="00803B9C" w:rsidRDefault="00803B9C" w:rsidP="00E94B9D">
      <w:pPr>
        <w:pStyle w:val="Odstavecseseznamem"/>
        <w:numPr>
          <w:ilvl w:val="0"/>
          <w:numId w:val="19"/>
        </w:numPr>
        <w:spacing w:before="120" w:line="360" w:lineRule="auto"/>
        <w:jc w:val="both"/>
        <w:rPr>
          <w:rFonts w:ascii="Times New Roman" w:hAnsi="Times New Roman" w:cs="Times New Roman"/>
        </w:rPr>
      </w:pPr>
      <w:r>
        <w:rPr>
          <w:rFonts w:ascii="Times New Roman" w:hAnsi="Times New Roman" w:cs="Times New Roman"/>
        </w:rPr>
        <w:t>škola v rámci oboru vzdělání, který má zapsaný v rejstříku škol a školských zařízení nebo vysoká škola s akreditovaným studijním programem podle zvláštního právního předpisu (</w:t>
      </w:r>
      <w:r w:rsidRPr="00803B9C">
        <w:rPr>
          <w:rFonts w:ascii="Times New Roman" w:hAnsi="Times New Roman" w:cs="Times New Roman"/>
          <w:i/>
        </w:rPr>
        <w:t>re</w:t>
      </w:r>
      <w:r>
        <w:rPr>
          <w:rFonts w:ascii="Times New Roman" w:hAnsi="Times New Roman" w:cs="Times New Roman"/>
          <w:i/>
        </w:rPr>
        <w:t>kvalifikace se uskutečňují v souladu s vyhláškou č. 176/2009 Sb.</w:t>
      </w:r>
      <w:r w:rsidR="00907CB4">
        <w:rPr>
          <w:rFonts w:ascii="Times New Roman" w:hAnsi="Times New Roman" w:cs="Times New Roman"/>
        </w:rPr>
        <w:t>),</w:t>
      </w:r>
    </w:p>
    <w:p w14:paraId="14DBB315" w14:textId="6D97BBFC" w:rsidR="00907CB4" w:rsidRPr="00E05131" w:rsidRDefault="00907CB4" w:rsidP="00E94B9D">
      <w:pPr>
        <w:pStyle w:val="Odstavecseseznamem"/>
        <w:numPr>
          <w:ilvl w:val="0"/>
          <w:numId w:val="19"/>
        </w:numPr>
        <w:spacing w:before="120" w:line="360" w:lineRule="auto"/>
        <w:jc w:val="both"/>
        <w:rPr>
          <w:rFonts w:ascii="Times New Roman" w:hAnsi="Times New Roman" w:cs="Times New Roman"/>
        </w:rPr>
      </w:pPr>
      <w:r>
        <w:rPr>
          <w:rFonts w:ascii="Times New Roman" w:hAnsi="Times New Roman" w:cs="Times New Roman"/>
        </w:rPr>
        <w:t>zařízení se vzdělávacím programem podle zvláštního předpisu.</w:t>
      </w:r>
    </w:p>
    <w:p w14:paraId="0A2226B6" w14:textId="77777777" w:rsidR="00F15710" w:rsidRDefault="00F15710" w:rsidP="00F15710">
      <w:pPr>
        <w:ind w:left="360"/>
        <w:textAlignment w:val="baseline"/>
        <w:rPr>
          <w:rFonts w:ascii="Arial" w:hAnsi="Arial" w:cs="Arial"/>
          <w:color w:val="000000"/>
          <w:sz w:val="22"/>
          <w:szCs w:val="22"/>
        </w:rPr>
      </w:pPr>
    </w:p>
    <w:p w14:paraId="51352AAE" w14:textId="26D6424A" w:rsidR="00904122" w:rsidRDefault="00904122" w:rsidP="00904122">
      <w:pPr>
        <w:spacing w:before="120" w:line="360" w:lineRule="auto"/>
        <w:jc w:val="both"/>
        <w:rPr>
          <w:rFonts w:ascii="Times New Roman" w:hAnsi="Times New Roman" w:cs="Times New Roman"/>
        </w:rPr>
      </w:pPr>
      <w:r>
        <w:rPr>
          <w:rFonts w:ascii="Times New Roman" w:hAnsi="Times New Roman" w:cs="Times New Roman"/>
        </w:rPr>
        <w:t>V České republice oblast dalšíh</w:t>
      </w:r>
      <w:r w:rsidR="00E17133">
        <w:rPr>
          <w:rFonts w:ascii="Times New Roman" w:hAnsi="Times New Roman" w:cs="Times New Roman"/>
        </w:rPr>
        <w:t xml:space="preserve">o vzdělávání zastřešuje </w:t>
      </w:r>
      <w:r w:rsidR="00E17133" w:rsidRPr="000A21F4">
        <w:rPr>
          <w:rFonts w:ascii="Times New Roman" w:hAnsi="Times New Roman" w:cs="Times New Roman"/>
          <w:b/>
        </w:rPr>
        <w:t>MŠMT ČR</w:t>
      </w:r>
      <w:r w:rsidR="00E17133">
        <w:rPr>
          <w:rFonts w:ascii="Times New Roman" w:hAnsi="Times New Roman" w:cs="Times New Roman"/>
        </w:rPr>
        <w:t xml:space="preserve">, a to v úzké spolupráci s dalšími institucemi, zejména </w:t>
      </w:r>
      <w:r w:rsidRPr="000A21F4">
        <w:rPr>
          <w:rFonts w:ascii="Times New Roman" w:hAnsi="Times New Roman" w:cs="Times New Roman"/>
          <w:b/>
        </w:rPr>
        <w:t>Generální</w:t>
      </w:r>
      <w:r w:rsidR="00E17133" w:rsidRPr="000A21F4">
        <w:rPr>
          <w:rFonts w:ascii="Times New Roman" w:hAnsi="Times New Roman" w:cs="Times New Roman"/>
          <w:b/>
        </w:rPr>
        <w:t>m</w:t>
      </w:r>
      <w:r w:rsidRPr="000A21F4">
        <w:rPr>
          <w:rFonts w:ascii="Times New Roman" w:hAnsi="Times New Roman" w:cs="Times New Roman"/>
          <w:b/>
        </w:rPr>
        <w:t xml:space="preserve"> ředitelství</w:t>
      </w:r>
      <w:r w:rsidR="00E17133" w:rsidRPr="000A21F4">
        <w:rPr>
          <w:rFonts w:ascii="Times New Roman" w:hAnsi="Times New Roman" w:cs="Times New Roman"/>
          <w:b/>
        </w:rPr>
        <w:t>m</w:t>
      </w:r>
      <w:r w:rsidRPr="000A21F4">
        <w:rPr>
          <w:rFonts w:ascii="Times New Roman" w:hAnsi="Times New Roman" w:cs="Times New Roman"/>
          <w:b/>
        </w:rPr>
        <w:t xml:space="preserve"> Úřadu práce ČR</w:t>
      </w:r>
      <w:r w:rsidR="004954EA">
        <w:rPr>
          <w:rFonts w:ascii="Times New Roman" w:hAnsi="Times New Roman" w:cs="Times New Roman"/>
        </w:rPr>
        <w:t xml:space="preserve">, </w:t>
      </w:r>
      <w:r w:rsidR="000A21F4" w:rsidRPr="00795922">
        <w:rPr>
          <w:rFonts w:ascii="Times New Roman" w:hAnsi="Times New Roman" w:cs="Times New Roman"/>
          <w:b/>
        </w:rPr>
        <w:t>MPSV ČR</w:t>
      </w:r>
      <w:r w:rsidR="000A21F4">
        <w:rPr>
          <w:rFonts w:ascii="Times New Roman" w:hAnsi="Times New Roman" w:cs="Times New Roman"/>
        </w:rPr>
        <w:t xml:space="preserve"> a </w:t>
      </w:r>
      <w:r w:rsidR="004954EA">
        <w:rPr>
          <w:rFonts w:ascii="Times New Roman" w:hAnsi="Times New Roman" w:cs="Times New Roman"/>
        </w:rPr>
        <w:t>dalšími ministerstvy.</w:t>
      </w:r>
      <w:r w:rsidR="00E17133">
        <w:rPr>
          <w:rFonts w:ascii="Times New Roman" w:hAnsi="Times New Roman" w:cs="Times New Roman"/>
        </w:rPr>
        <w:t xml:space="preserve"> Odborně garantuje problematiku dalšího vzdělávání především </w:t>
      </w:r>
      <w:r>
        <w:rPr>
          <w:rFonts w:ascii="Times New Roman" w:hAnsi="Times New Roman" w:cs="Times New Roman"/>
        </w:rPr>
        <w:t>Národní ústav pro vzdělávání</w:t>
      </w:r>
      <w:r w:rsidR="002441CB">
        <w:rPr>
          <w:rFonts w:ascii="Times New Roman" w:hAnsi="Times New Roman" w:cs="Times New Roman"/>
        </w:rPr>
        <w:t xml:space="preserve"> (NÚV)</w:t>
      </w:r>
      <w:r>
        <w:rPr>
          <w:rFonts w:ascii="Times New Roman" w:hAnsi="Times New Roman" w:cs="Times New Roman"/>
        </w:rPr>
        <w:t>.</w:t>
      </w:r>
      <w:r w:rsidR="00E17133">
        <w:rPr>
          <w:rFonts w:ascii="Times New Roman" w:hAnsi="Times New Roman" w:cs="Times New Roman"/>
        </w:rPr>
        <w:t xml:space="preserve"> </w:t>
      </w:r>
      <w:r w:rsidR="00713B4B">
        <w:rPr>
          <w:rFonts w:ascii="Times New Roman" w:hAnsi="Times New Roman" w:cs="Times New Roman"/>
        </w:rPr>
        <w:t xml:space="preserve">Je nutné zdůraznit, že další vzdělávání (hlavně neformální) je velmi decentralizované. </w:t>
      </w:r>
      <w:r w:rsidR="004954EA">
        <w:rPr>
          <w:rFonts w:ascii="Times New Roman" w:hAnsi="Times New Roman" w:cs="Times New Roman"/>
        </w:rPr>
        <w:t xml:space="preserve">Vzdělávací programy nabízí </w:t>
      </w:r>
      <w:r w:rsidR="002441CB">
        <w:rPr>
          <w:rFonts w:ascii="Times New Roman" w:hAnsi="Times New Roman" w:cs="Times New Roman"/>
        </w:rPr>
        <w:t>v České republice</w:t>
      </w:r>
      <w:r w:rsidR="004954EA">
        <w:rPr>
          <w:rFonts w:ascii="Times New Roman" w:hAnsi="Times New Roman" w:cs="Times New Roman"/>
        </w:rPr>
        <w:t xml:space="preserve"> </w:t>
      </w:r>
      <w:r w:rsidR="00124ACA">
        <w:rPr>
          <w:rFonts w:ascii="Times New Roman" w:hAnsi="Times New Roman" w:cs="Times New Roman"/>
        </w:rPr>
        <w:t>kolem 3 400 subjektů (MŠMT &amp;</w:t>
      </w:r>
      <w:r w:rsidR="002441CB">
        <w:rPr>
          <w:rFonts w:ascii="Times New Roman" w:hAnsi="Times New Roman" w:cs="Times New Roman"/>
        </w:rPr>
        <w:t xml:space="preserve"> NÚV, 2014), které se liší svou velikos</w:t>
      </w:r>
      <w:r w:rsidR="004954EA">
        <w:rPr>
          <w:rFonts w:ascii="Times New Roman" w:hAnsi="Times New Roman" w:cs="Times New Roman"/>
        </w:rPr>
        <w:t>tí i právní formou: školy (zejm.</w:t>
      </w:r>
      <w:r w:rsidR="002441CB">
        <w:rPr>
          <w:rFonts w:ascii="Times New Roman" w:hAnsi="Times New Roman" w:cs="Times New Roman"/>
        </w:rPr>
        <w:t xml:space="preserve"> střední, VOŠ, VŠ), obchodní</w:t>
      </w:r>
      <w:r w:rsidR="004954EA">
        <w:rPr>
          <w:rFonts w:ascii="Times New Roman" w:hAnsi="Times New Roman" w:cs="Times New Roman"/>
        </w:rPr>
        <w:t xml:space="preserve"> společnosti (nejčastěji s.r.o. nebo a.s.), fyzické osoby (dle živnostenského zákona), nadace, obecně prospěšné společnosti ad. Z celého objemu realizovaných vzdělávacích programů tvoří největší část programy neakreditované, dále následují programy akreditované MŠMT, popř. jiným příslušným ministerstvem</w:t>
      </w:r>
      <w:r w:rsidR="00124ACA">
        <w:rPr>
          <w:rFonts w:ascii="Times New Roman" w:hAnsi="Times New Roman" w:cs="Times New Roman"/>
        </w:rPr>
        <w:t>, a programy nabízené školami na základě zákona o zaměstnanosti (MŠMT &amp; NÚV, 2014). V současnosti je platných 1681 akreditací udělených MŠMT.</w:t>
      </w:r>
      <w:r w:rsidR="000A21F4">
        <w:rPr>
          <w:rFonts w:ascii="Times New Roman" w:hAnsi="Times New Roman" w:cs="Times New Roman"/>
        </w:rPr>
        <w:t xml:space="preserve"> </w:t>
      </w:r>
    </w:p>
    <w:p w14:paraId="18416843" w14:textId="0ABA58B8" w:rsidR="000A21F4" w:rsidRDefault="00B96762" w:rsidP="00904122">
      <w:pPr>
        <w:spacing w:before="120" w:line="360" w:lineRule="auto"/>
        <w:jc w:val="both"/>
        <w:rPr>
          <w:rFonts w:ascii="Times New Roman" w:hAnsi="Times New Roman" w:cs="Times New Roman"/>
        </w:rPr>
      </w:pPr>
      <w:r w:rsidRPr="00B96762">
        <w:rPr>
          <w:rFonts w:ascii="Times New Roman" w:hAnsi="Times New Roman" w:cs="Times New Roman"/>
          <w:b/>
        </w:rPr>
        <w:t xml:space="preserve">Úřad práce </w:t>
      </w:r>
      <w:r>
        <w:rPr>
          <w:rFonts w:ascii="Times New Roman" w:hAnsi="Times New Roman" w:cs="Times New Roman"/>
          <w:b/>
        </w:rPr>
        <w:t xml:space="preserve">ČR </w:t>
      </w:r>
      <w:r w:rsidRPr="00B96762">
        <w:rPr>
          <w:rFonts w:ascii="Times New Roman" w:hAnsi="Times New Roman" w:cs="Times New Roman"/>
          <w:b/>
        </w:rPr>
        <w:t xml:space="preserve">financuje </w:t>
      </w:r>
      <w:r w:rsidR="009645E2">
        <w:rPr>
          <w:rFonts w:ascii="Times New Roman" w:hAnsi="Times New Roman" w:cs="Times New Roman"/>
          <w:b/>
        </w:rPr>
        <w:t xml:space="preserve">(plně nebo částečně) </w:t>
      </w:r>
      <w:r w:rsidRPr="00B96762">
        <w:rPr>
          <w:rFonts w:ascii="Times New Roman" w:hAnsi="Times New Roman" w:cs="Times New Roman"/>
          <w:b/>
        </w:rPr>
        <w:t>tři varianty rekvalifikačních programů</w:t>
      </w:r>
      <w:r>
        <w:rPr>
          <w:rFonts w:ascii="Times New Roman" w:hAnsi="Times New Roman" w:cs="Times New Roman"/>
        </w:rPr>
        <w:t xml:space="preserve"> – jednak ty programy, jež zajišťuje sám, dá</w:t>
      </w:r>
      <w:r w:rsidR="009645E2">
        <w:rPr>
          <w:rFonts w:ascii="Times New Roman" w:hAnsi="Times New Roman" w:cs="Times New Roman"/>
        </w:rPr>
        <w:t>le zvolené rekvalifikace a rekvalifikace zaměstnanců, kteří jsou ohroženi ztrátou zaměstnání u stávajícíh</w:t>
      </w:r>
      <w:r w:rsidR="00F766BA">
        <w:rPr>
          <w:rFonts w:ascii="Times New Roman" w:hAnsi="Times New Roman" w:cs="Times New Roman"/>
        </w:rPr>
        <w:t>o zaměstnavatele (např. z důvodu</w:t>
      </w:r>
      <w:r w:rsidR="009645E2">
        <w:rPr>
          <w:rFonts w:ascii="Times New Roman" w:hAnsi="Times New Roman" w:cs="Times New Roman"/>
        </w:rPr>
        <w:t xml:space="preserve"> změny podnikatelské činnosti či v důsledku útlumu části podnikatelských aktivit).</w:t>
      </w:r>
    </w:p>
    <w:p w14:paraId="1C44FB60" w14:textId="77777777" w:rsidR="00497BDA" w:rsidRDefault="00497BDA" w:rsidP="00A24DED">
      <w:pPr>
        <w:spacing w:before="120"/>
        <w:textAlignment w:val="baseline"/>
        <w:rPr>
          <w:rFonts w:asciiTheme="majorHAnsi" w:hAnsiTheme="majorHAnsi" w:cs="Times New Roman"/>
          <w:b/>
          <w:sz w:val="22"/>
          <w:szCs w:val="22"/>
        </w:rPr>
      </w:pPr>
    </w:p>
    <w:p w14:paraId="6C0548A8" w14:textId="5AE635FB" w:rsidR="004076CD" w:rsidRDefault="00497BDA" w:rsidP="00A24DED">
      <w:pPr>
        <w:spacing w:before="120"/>
        <w:textAlignment w:val="baseline"/>
        <w:rPr>
          <w:rFonts w:asciiTheme="majorHAnsi" w:hAnsiTheme="majorHAnsi" w:cs="Times New Roman"/>
          <w:b/>
          <w:sz w:val="22"/>
          <w:szCs w:val="22"/>
        </w:rPr>
      </w:pPr>
      <w:r>
        <w:rPr>
          <w:rFonts w:asciiTheme="majorHAnsi" w:hAnsiTheme="majorHAnsi" w:cs="Times New Roman"/>
          <w:b/>
          <w:sz w:val="22"/>
          <w:szCs w:val="22"/>
        </w:rPr>
        <w:t>Pro informaci</w:t>
      </w:r>
    </w:p>
    <w:p w14:paraId="5D9EF4E8" w14:textId="43B62EAB" w:rsidR="00B96762" w:rsidRDefault="00B96762" w:rsidP="00A24DED">
      <w:pPr>
        <w:spacing w:before="120"/>
        <w:jc w:val="both"/>
        <w:textAlignment w:val="baseline"/>
        <w:rPr>
          <w:rFonts w:asciiTheme="majorHAnsi" w:hAnsiTheme="majorHAnsi" w:cs="Times New Roman"/>
          <w:sz w:val="22"/>
          <w:szCs w:val="22"/>
        </w:rPr>
      </w:pPr>
      <w:r>
        <w:rPr>
          <w:rFonts w:asciiTheme="majorHAnsi" w:hAnsiTheme="majorHAnsi" w:cs="Times New Roman"/>
          <w:sz w:val="22"/>
          <w:szCs w:val="22"/>
        </w:rPr>
        <w:t>V průběhu roku 2017 se účastnilo 11 472 zájemců o zaměstnání některého z kurzu zabezpečovaného ÚP ČR. Dalších 6 696 osob absolvovalo zvolenou rekvalifikaci.</w:t>
      </w:r>
      <w:r w:rsidRPr="00B96762">
        <w:rPr>
          <w:rFonts w:asciiTheme="majorHAnsi" w:hAnsiTheme="majorHAnsi" w:cs="Times New Roman"/>
          <w:sz w:val="22"/>
          <w:szCs w:val="22"/>
        </w:rPr>
        <w:t xml:space="preserve"> </w:t>
      </w:r>
      <w:r w:rsidR="009645E2">
        <w:rPr>
          <w:rFonts w:asciiTheme="majorHAnsi" w:hAnsiTheme="majorHAnsi" w:cs="Times New Roman"/>
          <w:sz w:val="22"/>
          <w:szCs w:val="22"/>
        </w:rPr>
        <w:t>Přitom k</w:t>
      </w:r>
      <w:r>
        <w:rPr>
          <w:rFonts w:asciiTheme="majorHAnsi" w:hAnsiTheme="majorHAnsi" w:cs="Times New Roman"/>
          <w:sz w:val="22"/>
          <w:szCs w:val="22"/>
        </w:rPr>
        <w:t>urzy úspěšně u</w:t>
      </w:r>
      <w:r w:rsidR="009645E2">
        <w:rPr>
          <w:rFonts w:asciiTheme="majorHAnsi" w:hAnsiTheme="majorHAnsi" w:cs="Times New Roman"/>
          <w:sz w:val="22"/>
          <w:szCs w:val="22"/>
        </w:rPr>
        <w:t xml:space="preserve">končilo přes 91 % účastníků. </w:t>
      </w:r>
      <w:r>
        <w:rPr>
          <w:rFonts w:asciiTheme="majorHAnsi" w:hAnsiTheme="majorHAnsi" w:cs="Times New Roman"/>
          <w:sz w:val="22"/>
          <w:szCs w:val="22"/>
        </w:rPr>
        <w:t xml:space="preserve">ÚP ČR poskytl </w:t>
      </w:r>
      <w:r w:rsidR="009645E2">
        <w:rPr>
          <w:rFonts w:asciiTheme="majorHAnsi" w:hAnsiTheme="majorHAnsi" w:cs="Times New Roman"/>
          <w:sz w:val="22"/>
          <w:szCs w:val="22"/>
        </w:rPr>
        <w:t xml:space="preserve">ve sledovaném roce </w:t>
      </w:r>
      <w:r>
        <w:rPr>
          <w:rFonts w:asciiTheme="majorHAnsi" w:hAnsiTheme="majorHAnsi" w:cs="Times New Roman"/>
          <w:sz w:val="22"/>
          <w:szCs w:val="22"/>
        </w:rPr>
        <w:t>na rekvalifikace</w:t>
      </w:r>
      <w:r w:rsidR="009645E2">
        <w:rPr>
          <w:rFonts w:asciiTheme="majorHAnsi" w:hAnsiTheme="majorHAnsi" w:cs="Times New Roman"/>
          <w:sz w:val="22"/>
          <w:szCs w:val="22"/>
        </w:rPr>
        <w:t xml:space="preserve"> celkem 174 338 000 Kč (včetně prostředků z ESF).</w:t>
      </w:r>
    </w:p>
    <w:p w14:paraId="375A66F4" w14:textId="31C1A1D6" w:rsidR="00C850BD" w:rsidRDefault="00C850BD" w:rsidP="00C850BD">
      <w:pPr>
        <w:jc w:val="both"/>
        <w:textAlignment w:val="baseline"/>
        <w:rPr>
          <w:rFonts w:asciiTheme="majorHAnsi" w:hAnsiTheme="majorHAnsi" w:cs="Times New Roman"/>
          <w:sz w:val="22"/>
          <w:szCs w:val="22"/>
        </w:rPr>
      </w:pPr>
      <w:r>
        <w:rPr>
          <w:rFonts w:asciiTheme="majorHAnsi" w:hAnsiTheme="majorHAnsi" w:cs="Times New Roman"/>
          <w:sz w:val="22"/>
          <w:szCs w:val="22"/>
        </w:rPr>
        <w:t>Největší zájem byl o kurzy zaměřené na základní počítačové dovednosti, kurzy pro získání řidičských a profesních průkazů, svá</w:t>
      </w:r>
      <w:r w:rsidR="001D7E42">
        <w:rPr>
          <w:rFonts w:asciiTheme="majorHAnsi" w:hAnsiTheme="majorHAnsi" w:cs="Times New Roman"/>
          <w:sz w:val="22"/>
          <w:szCs w:val="22"/>
        </w:rPr>
        <w:t>řečské kurzy a kurzy účetnictví, popř. kurzy pro pracovníky v sociální oblasti nebo zaměřené na osobní služby.</w:t>
      </w:r>
    </w:p>
    <w:p w14:paraId="6800DC3D" w14:textId="76859678" w:rsidR="00C850BD" w:rsidRDefault="00C850BD" w:rsidP="00C850BD">
      <w:pPr>
        <w:jc w:val="both"/>
        <w:textAlignment w:val="baseline"/>
        <w:rPr>
          <w:rFonts w:asciiTheme="majorHAnsi" w:hAnsiTheme="majorHAnsi" w:cs="Times New Roman"/>
          <w:sz w:val="22"/>
          <w:szCs w:val="22"/>
        </w:rPr>
      </w:pPr>
      <w:r>
        <w:rPr>
          <w:rFonts w:asciiTheme="majorHAnsi" w:hAnsiTheme="majorHAnsi" w:cs="Times New Roman"/>
          <w:sz w:val="22"/>
          <w:szCs w:val="22"/>
        </w:rPr>
        <w:t>Pro změnu profese nebo další prohloubení znalost</w:t>
      </w:r>
      <w:r w:rsidR="001D7E42">
        <w:rPr>
          <w:rFonts w:asciiTheme="majorHAnsi" w:hAnsiTheme="majorHAnsi" w:cs="Times New Roman"/>
          <w:sz w:val="22"/>
          <w:szCs w:val="22"/>
        </w:rPr>
        <w:t>í se nejčastěji rozhodli lidé ve věkové kategorii</w:t>
      </w:r>
      <w:r>
        <w:rPr>
          <w:rFonts w:asciiTheme="majorHAnsi" w:hAnsiTheme="majorHAnsi" w:cs="Times New Roman"/>
          <w:sz w:val="22"/>
          <w:szCs w:val="22"/>
        </w:rPr>
        <w:t xml:space="preserve"> </w:t>
      </w:r>
      <w:r w:rsidR="001D7E42">
        <w:rPr>
          <w:rFonts w:asciiTheme="majorHAnsi" w:hAnsiTheme="majorHAnsi" w:cs="Times New Roman"/>
          <w:sz w:val="22"/>
          <w:szCs w:val="22"/>
        </w:rPr>
        <w:t>40–44 let. Z hlediska dosažené úrovně vzdělání to byli nejčastěji uchazeči s výučním listem, středním vzděláním s maturitou a se základním vzděláním.</w:t>
      </w:r>
    </w:p>
    <w:p w14:paraId="6C6A6B5A" w14:textId="704CF042" w:rsidR="001D7E42" w:rsidRDefault="00915B78" w:rsidP="00A24DED">
      <w:pPr>
        <w:jc w:val="both"/>
        <w:textAlignment w:val="baseline"/>
        <w:rPr>
          <w:rFonts w:asciiTheme="majorHAnsi" w:hAnsiTheme="majorHAnsi" w:cs="Times New Roman"/>
          <w:sz w:val="22"/>
          <w:szCs w:val="22"/>
        </w:rPr>
      </w:pPr>
      <w:r>
        <w:rPr>
          <w:rFonts w:asciiTheme="majorHAnsi" w:hAnsiTheme="majorHAnsi" w:cs="Times New Roman"/>
          <w:sz w:val="22"/>
          <w:szCs w:val="22"/>
        </w:rPr>
        <w:t>V současném období ÚP v rámci aktivní politiky zaměstnanosti (APZ) realizují řadu projektů zaměřených na podporu uchazečů o zaměstnání ve věku nad 50 let, které zahrnují mj. také širokou nabídku rekvalifikací</w:t>
      </w:r>
      <w:r w:rsidR="007C0331">
        <w:rPr>
          <w:rFonts w:asciiTheme="majorHAnsi" w:hAnsiTheme="majorHAnsi" w:cs="Times New Roman"/>
          <w:sz w:val="22"/>
          <w:szCs w:val="22"/>
        </w:rPr>
        <w:t>.</w:t>
      </w:r>
    </w:p>
    <w:p w14:paraId="1EBA68A3" w14:textId="29EA4930" w:rsidR="007C0331" w:rsidRDefault="007C0331" w:rsidP="00A24DED">
      <w:pPr>
        <w:jc w:val="both"/>
        <w:textAlignment w:val="baseline"/>
        <w:rPr>
          <w:rFonts w:asciiTheme="majorHAnsi" w:hAnsiTheme="majorHAnsi" w:cs="Times New Roman"/>
          <w:sz w:val="22"/>
          <w:szCs w:val="22"/>
        </w:rPr>
      </w:pPr>
      <w:r>
        <w:rPr>
          <w:rFonts w:asciiTheme="majorHAnsi" w:hAnsiTheme="majorHAnsi" w:cs="Times New Roman"/>
          <w:sz w:val="22"/>
          <w:szCs w:val="22"/>
        </w:rPr>
        <w:t>Úřad práce ČR realizuje v období 2015–2020 v rámci Opera</w:t>
      </w:r>
      <w:r w:rsidR="00A46BED">
        <w:rPr>
          <w:rFonts w:asciiTheme="majorHAnsi" w:hAnsiTheme="majorHAnsi" w:cs="Times New Roman"/>
          <w:sz w:val="22"/>
          <w:szCs w:val="22"/>
        </w:rPr>
        <w:t>čního programu Zaměstnanost např.</w:t>
      </w:r>
      <w:r>
        <w:rPr>
          <w:rFonts w:asciiTheme="majorHAnsi" w:hAnsiTheme="majorHAnsi" w:cs="Times New Roman"/>
          <w:sz w:val="22"/>
          <w:szCs w:val="22"/>
        </w:rPr>
        <w:t xml:space="preserve"> proje</w:t>
      </w:r>
      <w:r w:rsidR="00F766BA">
        <w:rPr>
          <w:rFonts w:asciiTheme="majorHAnsi" w:hAnsiTheme="majorHAnsi" w:cs="Times New Roman"/>
          <w:sz w:val="22"/>
          <w:szCs w:val="22"/>
        </w:rPr>
        <w:t>k</w:t>
      </w:r>
      <w:r>
        <w:rPr>
          <w:rFonts w:asciiTheme="majorHAnsi" w:hAnsiTheme="majorHAnsi" w:cs="Times New Roman"/>
          <w:sz w:val="22"/>
          <w:szCs w:val="22"/>
        </w:rPr>
        <w:t xml:space="preserve">t POVEZ (podpora odborného vzdělávání zaměstnanců). Zaměstnavatelé mohou v této souvislosti čerpat finanční příspěvky na zvyšování odborných znalostí a dovedností </w:t>
      </w:r>
      <w:r w:rsidR="00A46BED">
        <w:rPr>
          <w:rFonts w:asciiTheme="majorHAnsi" w:hAnsiTheme="majorHAnsi" w:cs="Times New Roman"/>
          <w:sz w:val="22"/>
          <w:szCs w:val="22"/>
        </w:rPr>
        <w:t xml:space="preserve">svých </w:t>
      </w:r>
      <w:r>
        <w:rPr>
          <w:rFonts w:asciiTheme="majorHAnsi" w:hAnsiTheme="majorHAnsi" w:cs="Times New Roman"/>
          <w:sz w:val="22"/>
          <w:szCs w:val="22"/>
        </w:rPr>
        <w:t>zaměstnanců. Cílem projektu je udržení a zvýšení konkurenceschopnosti a adaptability firem v důsledku vyšších profesních kompetencí jejich zaměstnanců.</w:t>
      </w:r>
      <w:r w:rsidR="00A46BED">
        <w:rPr>
          <w:rFonts w:asciiTheme="majorHAnsi" w:hAnsiTheme="majorHAnsi" w:cs="Times New Roman"/>
          <w:sz w:val="22"/>
          <w:szCs w:val="22"/>
        </w:rPr>
        <w:t xml:space="preserve"> V rámci projektu jsou podporováni také zaměstnanci nad 54 let.</w:t>
      </w:r>
    </w:p>
    <w:p w14:paraId="1C066EB6" w14:textId="7BFE2A25" w:rsidR="00F766BA" w:rsidRPr="00F766BA" w:rsidRDefault="00F766BA" w:rsidP="00F766BA">
      <w:pPr>
        <w:jc w:val="right"/>
        <w:textAlignment w:val="baseline"/>
        <w:rPr>
          <w:rFonts w:asciiTheme="majorHAnsi" w:hAnsiTheme="majorHAnsi" w:cs="Times New Roman"/>
          <w:sz w:val="20"/>
          <w:szCs w:val="20"/>
        </w:rPr>
      </w:pPr>
      <w:r>
        <w:rPr>
          <w:rFonts w:asciiTheme="majorHAnsi" w:hAnsiTheme="majorHAnsi" w:cs="Times New Roman"/>
          <w:sz w:val="20"/>
          <w:szCs w:val="20"/>
        </w:rPr>
        <w:t>Zdroj: Úřad práce (2018).</w:t>
      </w:r>
    </w:p>
    <w:p w14:paraId="6866AF0F" w14:textId="77777777" w:rsidR="00FC0E82" w:rsidRDefault="00AF32D5" w:rsidP="00A46BED">
      <w:pPr>
        <w:spacing w:before="240" w:line="360" w:lineRule="auto"/>
        <w:jc w:val="both"/>
        <w:rPr>
          <w:rFonts w:ascii="Times New Roman" w:hAnsi="Times New Roman" w:cs="Times New Roman"/>
        </w:rPr>
      </w:pPr>
      <w:r>
        <w:rPr>
          <w:rFonts w:ascii="Times New Roman" w:hAnsi="Times New Roman" w:cs="Times New Roman"/>
        </w:rPr>
        <w:t xml:space="preserve">Významným nástrojem, který umožňuje lépe sladit nabídku dalšího vzdělávání s potřebami trhu práce je </w:t>
      </w:r>
      <w:r>
        <w:rPr>
          <w:rFonts w:ascii="Times New Roman" w:hAnsi="Times New Roman" w:cs="Times New Roman"/>
          <w:b/>
        </w:rPr>
        <w:t>Národní soustava kvalifikac</w:t>
      </w:r>
      <w:r w:rsidR="00094457">
        <w:rPr>
          <w:rFonts w:ascii="Times New Roman" w:hAnsi="Times New Roman" w:cs="Times New Roman"/>
          <w:b/>
        </w:rPr>
        <w:t>í</w:t>
      </w:r>
      <w:r w:rsidR="00094457">
        <w:rPr>
          <w:rFonts w:ascii="Times New Roman" w:hAnsi="Times New Roman" w:cs="Times New Roman"/>
        </w:rPr>
        <w:t xml:space="preserve"> (NSK, vytvořená na </w:t>
      </w:r>
      <w:proofErr w:type="gramStart"/>
      <w:r w:rsidR="00094457">
        <w:rPr>
          <w:rFonts w:ascii="Times New Roman" w:hAnsi="Times New Roman" w:cs="Times New Roman"/>
        </w:rPr>
        <w:t>základě</w:t>
      </w:r>
      <w:proofErr w:type="gramEnd"/>
      <w:r w:rsidR="00094457">
        <w:rPr>
          <w:rFonts w:ascii="Times New Roman" w:hAnsi="Times New Roman" w:cs="Times New Roman"/>
        </w:rPr>
        <w:t xml:space="preserve"> již výše zmíněného zákona č. 179/2006 Sb.). Jejím prostřednictvím si zájemci mohou prohloubit své znalosti a dovednosti v rámci tzv. </w:t>
      </w:r>
      <w:r w:rsidR="00094457">
        <w:rPr>
          <w:rFonts w:ascii="Times New Roman" w:hAnsi="Times New Roman" w:cs="Times New Roman"/>
          <w:b/>
        </w:rPr>
        <w:t>dílčích kvalifikací</w:t>
      </w:r>
      <w:r w:rsidR="00094457">
        <w:rPr>
          <w:rFonts w:ascii="Times New Roman" w:hAnsi="Times New Roman" w:cs="Times New Roman"/>
        </w:rPr>
        <w:t xml:space="preserve">. Jde zejména o případy, kdy jedinec nedokončil školu a chce si doplnit vzdělání nebo pracuje v jiném oboru, než který vystudoval, a chce či potřebuje získat oficiální a plnohodnotný doklad o vlastních znalostech, které získal v praxi. </w:t>
      </w:r>
      <w:r w:rsidR="00A24DED" w:rsidRPr="00A24DED">
        <w:rPr>
          <w:rFonts w:ascii="Times New Roman" w:hAnsi="Times New Roman" w:cs="Times New Roman"/>
          <w:i/>
        </w:rPr>
        <w:t>Sada dílčích</w:t>
      </w:r>
      <w:r w:rsidR="00A24DED">
        <w:rPr>
          <w:rFonts w:ascii="Times New Roman" w:hAnsi="Times New Roman" w:cs="Times New Roman"/>
        </w:rPr>
        <w:t xml:space="preserve"> </w:t>
      </w:r>
      <w:r w:rsidR="00A24DED" w:rsidRPr="00A24DED">
        <w:rPr>
          <w:rFonts w:ascii="Times New Roman" w:hAnsi="Times New Roman" w:cs="Times New Roman"/>
          <w:i/>
        </w:rPr>
        <w:t>kvalifikací</w:t>
      </w:r>
      <w:r w:rsidR="00A24DED">
        <w:rPr>
          <w:rFonts w:ascii="Times New Roman" w:hAnsi="Times New Roman" w:cs="Times New Roman"/>
        </w:rPr>
        <w:t xml:space="preserve"> umožňuje získat </w:t>
      </w:r>
      <w:r w:rsidR="00A24DED" w:rsidRPr="00F766BA">
        <w:rPr>
          <w:rFonts w:ascii="Times New Roman" w:hAnsi="Times New Roman" w:cs="Times New Roman"/>
          <w:i/>
        </w:rPr>
        <w:t>výuční list</w:t>
      </w:r>
      <w:r w:rsidR="00A24DED">
        <w:rPr>
          <w:rFonts w:ascii="Times New Roman" w:hAnsi="Times New Roman" w:cs="Times New Roman"/>
        </w:rPr>
        <w:t xml:space="preserve"> v daném oboru a složit závěrečnou zkoušku na škole, která tento obor vyučuje.</w:t>
      </w:r>
      <w:r w:rsidR="00FD379E">
        <w:rPr>
          <w:rFonts w:ascii="Times New Roman" w:hAnsi="Times New Roman" w:cs="Times New Roman"/>
        </w:rPr>
        <w:t xml:space="preserve"> </w:t>
      </w:r>
      <w:r w:rsidR="005C3A0D">
        <w:rPr>
          <w:rFonts w:ascii="Times New Roman" w:hAnsi="Times New Roman" w:cs="Times New Roman"/>
        </w:rPr>
        <w:t>Osvědčení o způsobilosti vykonávat konkrétní profesi získané prostřednictvím NSK je platné v celé EU a má stejnou váhu jako výuční list nebo maturita.</w:t>
      </w:r>
      <w:r w:rsidR="00610E6A">
        <w:rPr>
          <w:rFonts w:ascii="Times New Roman" w:hAnsi="Times New Roman" w:cs="Times New Roman"/>
        </w:rPr>
        <w:t xml:space="preserve"> </w:t>
      </w:r>
    </w:p>
    <w:p w14:paraId="791CD676" w14:textId="187C2E49" w:rsidR="002301D1" w:rsidRDefault="00FC0E82" w:rsidP="00FC0E82">
      <w:pPr>
        <w:spacing w:before="120" w:line="360" w:lineRule="auto"/>
        <w:jc w:val="both"/>
        <w:rPr>
          <w:rFonts w:ascii="Times New Roman" w:hAnsi="Times New Roman" w:cs="Times New Roman"/>
        </w:rPr>
      </w:pPr>
      <w:r>
        <w:rPr>
          <w:rFonts w:ascii="Times New Roman" w:hAnsi="Times New Roman" w:cs="Times New Roman"/>
        </w:rPr>
        <w:t xml:space="preserve">Určitým nedostatkem je </w:t>
      </w:r>
      <w:r w:rsidR="0078275C">
        <w:rPr>
          <w:rFonts w:ascii="Times New Roman" w:hAnsi="Times New Roman" w:cs="Times New Roman"/>
        </w:rPr>
        <w:t xml:space="preserve">nedostačující informovanost o Národní soustavě vzdělávání a možnostech, které nabízí, a to i mezi poskytovateli vzdělávání. </w:t>
      </w:r>
      <w:r w:rsidR="00610E6A">
        <w:rPr>
          <w:rFonts w:ascii="Times New Roman" w:hAnsi="Times New Roman" w:cs="Times New Roman"/>
        </w:rPr>
        <w:t>Z uskutečněných š</w:t>
      </w:r>
      <w:r>
        <w:rPr>
          <w:rFonts w:ascii="Times New Roman" w:hAnsi="Times New Roman" w:cs="Times New Roman"/>
        </w:rPr>
        <w:t>etření (např. MŠMT &amp; NÚV, 2014) vyplynulo, že pouze 65 % dotázaných subjektů</w:t>
      </w:r>
      <w:r w:rsidR="0078275C">
        <w:rPr>
          <w:rFonts w:ascii="Times New Roman" w:hAnsi="Times New Roman" w:cs="Times New Roman"/>
        </w:rPr>
        <w:t xml:space="preserve"> (poskytovatelů vzdělávání)</w:t>
      </w:r>
      <w:r>
        <w:rPr>
          <w:rFonts w:ascii="Times New Roman" w:hAnsi="Times New Roman" w:cs="Times New Roman"/>
        </w:rPr>
        <w:t xml:space="preserve"> zná Náro</w:t>
      </w:r>
      <w:r w:rsidR="0078275C">
        <w:rPr>
          <w:rFonts w:ascii="Times New Roman" w:hAnsi="Times New Roman" w:cs="Times New Roman"/>
        </w:rPr>
        <w:t>dní soustavu kvalifikací a možnost dílčích kvalifikací</w:t>
      </w:r>
      <w:r>
        <w:rPr>
          <w:rFonts w:ascii="Times New Roman" w:hAnsi="Times New Roman" w:cs="Times New Roman"/>
        </w:rPr>
        <w:t>.</w:t>
      </w:r>
    </w:p>
    <w:p w14:paraId="130241C6" w14:textId="77777777" w:rsidR="00E5076A" w:rsidRDefault="00E5076A" w:rsidP="00A24DED">
      <w:pPr>
        <w:spacing w:before="120"/>
        <w:textAlignment w:val="baseline"/>
        <w:rPr>
          <w:rFonts w:asciiTheme="majorHAnsi" w:hAnsiTheme="majorHAnsi" w:cs="Times New Roman"/>
          <w:b/>
          <w:sz w:val="22"/>
          <w:szCs w:val="22"/>
        </w:rPr>
      </w:pPr>
    </w:p>
    <w:p w14:paraId="58A201CD" w14:textId="77777777" w:rsidR="00E5076A" w:rsidRDefault="00E5076A" w:rsidP="00A24DED">
      <w:pPr>
        <w:spacing w:before="120"/>
        <w:textAlignment w:val="baseline"/>
        <w:rPr>
          <w:rFonts w:asciiTheme="majorHAnsi" w:hAnsiTheme="majorHAnsi" w:cs="Times New Roman"/>
          <w:b/>
          <w:sz w:val="22"/>
          <w:szCs w:val="22"/>
        </w:rPr>
      </w:pPr>
    </w:p>
    <w:p w14:paraId="082D12D9" w14:textId="47EA712E" w:rsidR="00A24DED" w:rsidRDefault="00CA4B3B" w:rsidP="00A24DED">
      <w:pPr>
        <w:spacing w:before="120"/>
        <w:textAlignment w:val="baseline"/>
        <w:rPr>
          <w:rFonts w:asciiTheme="majorHAnsi" w:hAnsiTheme="majorHAnsi" w:cs="Times New Roman"/>
          <w:b/>
          <w:sz w:val="22"/>
          <w:szCs w:val="22"/>
        </w:rPr>
      </w:pPr>
      <w:r>
        <w:rPr>
          <w:rFonts w:asciiTheme="majorHAnsi" w:hAnsiTheme="majorHAnsi" w:cs="Times New Roman"/>
          <w:b/>
          <w:sz w:val="22"/>
          <w:szCs w:val="22"/>
        </w:rPr>
        <w:lastRenderedPageBreak/>
        <w:t>Pro informaci</w:t>
      </w:r>
    </w:p>
    <w:p w14:paraId="6D5D24A3" w14:textId="0804DCF0" w:rsidR="00FC0E82" w:rsidRDefault="00A24DED" w:rsidP="00207408">
      <w:pPr>
        <w:spacing w:before="120"/>
        <w:jc w:val="both"/>
        <w:rPr>
          <w:rFonts w:asciiTheme="majorHAnsi" w:hAnsiTheme="majorHAnsi" w:cs="Times New Roman"/>
          <w:sz w:val="22"/>
          <w:szCs w:val="22"/>
        </w:rPr>
      </w:pPr>
      <w:r>
        <w:rPr>
          <w:rFonts w:asciiTheme="majorHAnsi" w:hAnsiTheme="majorHAnsi" w:cs="Times New Roman"/>
          <w:sz w:val="22"/>
          <w:szCs w:val="22"/>
        </w:rPr>
        <w:t>V</w:t>
      </w:r>
      <w:r w:rsidR="002E77F0">
        <w:rPr>
          <w:rFonts w:asciiTheme="majorHAnsi" w:hAnsiTheme="majorHAnsi" w:cs="Times New Roman"/>
          <w:sz w:val="22"/>
          <w:szCs w:val="22"/>
        </w:rPr>
        <w:t> srpnu 2018 bylo v databázi NSK</w:t>
      </w:r>
      <w:r w:rsidR="00207408">
        <w:rPr>
          <w:rFonts w:asciiTheme="majorHAnsi" w:hAnsiTheme="majorHAnsi" w:cs="Times New Roman"/>
          <w:sz w:val="22"/>
          <w:szCs w:val="22"/>
        </w:rPr>
        <w:t xml:space="preserve"> již 1 234 kvalifikací, a to</w:t>
      </w:r>
      <w:r w:rsidR="002E77F0">
        <w:rPr>
          <w:rFonts w:asciiTheme="majorHAnsi" w:hAnsiTheme="majorHAnsi" w:cs="Times New Roman"/>
          <w:sz w:val="22"/>
          <w:szCs w:val="22"/>
        </w:rPr>
        <w:t xml:space="preserve"> </w:t>
      </w:r>
      <w:r w:rsidR="00F766BA">
        <w:rPr>
          <w:rFonts w:asciiTheme="majorHAnsi" w:hAnsiTheme="majorHAnsi" w:cs="Times New Roman"/>
          <w:sz w:val="22"/>
          <w:szCs w:val="22"/>
        </w:rPr>
        <w:t xml:space="preserve">ve </w:t>
      </w:r>
      <w:r w:rsidR="002E77F0">
        <w:rPr>
          <w:rFonts w:asciiTheme="majorHAnsi" w:hAnsiTheme="majorHAnsi" w:cs="Times New Roman"/>
          <w:sz w:val="22"/>
          <w:szCs w:val="22"/>
        </w:rPr>
        <w:t>26 oborech</w:t>
      </w:r>
      <w:r w:rsidR="00207408">
        <w:rPr>
          <w:rFonts w:asciiTheme="majorHAnsi" w:hAnsiTheme="majorHAnsi" w:cs="Times New Roman"/>
          <w:sz w:val="22"/>
          <w:szCs w:val="22"/>
        </w:rPr>
        <w:t>. Nabídka kvalifikací poměrně pružně reaguje na potřeby trhu</w:t>
      </w:r>
      <w:r w:rsidR="00FD379E">
        <w:rPr>
          <w:rFonts w:asciiTheme="majorHAnsi" w:hAnsiTheme="majorHAnsi" w:cs="Times New Roman"/>
          <w:sz w:val="22"/>
          <w:szCs w:val="22"/>
        </w:rPr>
        <w:t xml:space="preserve"> práce</w:t>
      </w:r>
      <w:r w:rsidR="00207408">
        <w:rPr>
          <w:rFonts w:asciiTheme="majorHAnsi" w:hAnsiTheme="majorHAnsi" w:cs="Times New Roman"/>
          <w:sz w:val="22"/>
          <w:szCs w:val="22"/>
        </w:rPr>
        <w:t xml:space="preserve">. Prostřednictvím NSK lze dnes získat kvalifikaci </w:t>
      </w:r>
      <w:r w:rsidR="00FD379E">
        <w:rPr>
          <w:rFonts w:asciiTheme="majorHAnsi" w:hAnsiTheme="majorHAnsi" w:cs="Times New Roman"/>
          <w:sz w:val="22"/>
          <w:szCs w:val="22"/>
        </w:rPr>
        <w:t xml:space="preserve">i </w:t>
      </w:r>
      <w:r w:rsidR="00207408">
        <w:rPr>
          <w:rFonts w:asciiTheme="majorHAnsi" w:hAnsiTheme="majorHAnsi" w:cs="Times New Roman"/>
          <w:sz w:val="22"/>
          <w:szCs w:val="22"/>
        </w:rPr>
        <w:t xml:space="preserve">v takových oborech, které ještě před několika lety v podstatě neexistovaly. Například počítačový </w:t>
      </w:r>
      <w:proofErr w:type="gramStart"/>
      <w:r w:rsidR="00207408">
        <w:rPr>
          <w:rFonts w:asciiTheme="majorHAnsi" w:hAnsiTheme="majorHAnsi" w:cs="Times New Roman"/>
          <w:sz w:val="22"/>
          <w:szCs w:val="22"/>
        </w:rPr>
        <w:t>3D</w:t>
      </w:r>
      <w:proofErr w:type="gramEnd"/>
      <w:r w:rsidR="00207408">
        <w:rPr>
          <w:rFonts w:asciiTheme="majorHAnsi" w:hAnsiTheme="majorHAnsi" w:cs="Times New Roman"/>
          <w:sz w:val="22"/>
          <w:szCs w:val="22"/>
        </w:rPr>
        <w:t xml:space="preserve"> technik, </w:t>
      </w:r>
      <w:proofErr w:type="spellStart"/>
      <w:r w:rsidR="00207408">
        <w:rPr>
          <w:rFonts w:asciiTheme="majorHAnsi" w:hAnsiTheme="majorHAnsi" w:cs="Times New Roman"/>
          <w:sz w:val="22"/>
          <w:szCs w:val="22"/>
        </w:rPr>
        <w:t>tatér</w:t>
      </w:r>
      <w:proofErr w:type="spellEnd"/>
      <w:r w:rsidR="00207408">
        <w:rPr>
          <w:rFonts w:asciiTheme="majorHAnsi" w:hAnsiTheme="majorHAnsi" w:cs="Times New Roman"/>
          <w:sz w:val="22"/>
          <w:szCs w:val="22"/>
        </w:rPr>
        <w:t xml:space="preserve">, </w:t>
      </w:r>
      <w:proofErr w:type="spellStart"/>
      <w:r w:rsidR="00207408">
        <w:rPr>
          <w:rFonts w:asciiTheme="majorHAnsi" w:hAnsiTheme="majorHAnsi" w:cs="Times New Roman"/>
          <w:sz w:val="22"/>
          <w:szCs w:val="22"/>
        </w:rPr>
        <w:t>piercér</w:t>
      </w:r>
      <w:proofErr w:type="spellEnd"/>
      <w:r w:rsidR="00207408">
        <w:rPr>
          <w:rFonts w:asciiTheme="majorHAnsi" w:hAnsiTheme="majorHAnsi" w:cs="Times New Roman"/>
          <w:sz w:val="22"/>
          <w:szCs w:val="22"/>
        </w:rPr>
        <w:t xml:space="preserve">, pivní </w:t>
      </w:r>
      <w:proofErr w:type="spellStart"/>
      <w:r w:rsidR="00207408">
        <w:rPr>
          <w:rFonts w:asciiTheme="majorHAnsi" w:hAnsiTheme="majorHAnsi" w:cs="Times New Roman"/>
          <w:sz w:val="22"/>
          <w:szCs w:val="22"/>
        </w:rPr>
        <w:t>sommeliér</w:t>
      </w:r>
      <w:proofErr w:type="spellEnd"/>
      <w:r w:rsidR="00207408">
        <w:rPr>
          <w:rFonts w:asciiTheme="majorHAnsi" w:hAnsiTheme="majorHAnsi" w:cs="Times New Roman"/>
          <w:sz w:val="22"/>
          <w:szCs w:val="22"/>
        </w:rPr>
        <w:t xml:space="preserve">, elektrotechnik pro automatickou identifikaci RFID, chůva pro dětské koutky, </w:t>
      </w:r>
      <w:r w:rsidR="00FD379E">
        <w:rPr>
          <w:rFonts w:asciiTheme="majorHAnsi" w:hAnsiTheme="majorHAnsi" w:cs="Times New Roman"/>
          <w:sz w:val="22"/>
          <w:szCs w:val="22"/>
        </w:rPr>
        <w:t xml:space="preserve">hospodyně, </w:t>
      </w:r>
      <w:r w:rsidR="00207408">
        <w:rPr>
          <w:rFonts w:asciiTheme="majorHAnsi" w:hAnsiTheme="majorHAnsi" w:cs="Times New Roman"/>
          <w:sz w:val="22"/>
          <w:szCs w:val="22"/>
        </w:rPr>
        <w:t>střihač psů, interkulturní pracovník</w:t>
      </w:r>
      <w:r w:rsidR="00FD379E">
        <w:rPr>
          <w:rFonts w:asciiTheme="majorHAnsi" w:hAnsiTheme="majorHAnsi" w:cs="Times New Roman"/>
          <w:sz w:val="22"/>
          <w:szCs w:val="22"/>
        </w:rPr>
        <w:t xml:space="preserve">, detektiv, atd. Pohled na nabídku možných kvalifikací umožňuje vidět, jak se trh práce mění. </w:t>
      </w:r>
      <w:r w:rsidR="00CA4B3B">
        <w:rPr>
          <w:rFonts w:asciiTheme="majorHAnsi" w:hAnsiTheme="majorHAnsi" w:cs="Times New Roman"/>
          <w:sz w:val="22"/>
          <w:szCs w:val="22"/>
        </w:rPr>
        <w:t xml:space="preserve">Nabízené kvalifikace pružně reagují na potřeby pracovního trhu. </w:t>
      </w:r>
    </w:p>
    <w:p w14:paraId="6EA9C4EC" w14:textId="0AA26B6B" w:rsidR="00FD379E" w:rsidRDefault="00FD379E" w:rsidP="00FD379E">
      <w:pPr>
        <w:jc w:val="both"/>
        <w:rPr>
          <w:rFonts w:asciiTheme="majorHAnsi" w:hAnsiTheme="majorHAnsi" w:cs="Times New Roman"/>
          <w:sz w:val="22"/>
          <w:szCs w:val="22"/>
        </w:rPr>
      </w:pPr>
      <w:r>
        <w:rPr>
          <w:rFonts w:asciiTheme="majorHAnsi" w:hAnsiTheme="majorHAnsi" w:cs="Times New Roman"/>
          <w:sz w:val="22"/>
          <w:szCs w:val="22"/>
        </w:rPr>
        <w:t>Dle do</w:t>
      </w:r>
      <w:r w:rsidR="005C3A0D">
        <w:rPr>
          <w:rFonts w:asciiTheme="majorHAnsi" w:hAnsiTheme="majorHAnsi" w:cs="Times New Roman"/>
          <w:sz w:val="22"/>
          <w:szCs w:val="22"/>
        </w:rPr>
        <w:t xml:space="preserve">stupných údajů se až 50 % středoškoláků vydává do 5 let po ukončení studia na jinou profesní dráhu. </w:t>
      </w:r>
    </w:p>
    <w:p w14:paraId="05B094BA" w14:textId="4044F1BB" w:rsidR="00F766BA" w:rsidRPr="00F766BA" w:rsidRDefault="00F766BA" w:rsidP="00F766BA">
      <w:pPr>
        <w:jc w:val="right"/>
        <w:rPr>
          <w:rFonts w:asciiTheme="majorHAnsi" w:hAnsiTheme="majorHAnsi" w:cs="Times New Roman"/>
          <w:sz w:val="20"/>
          <w:szCs w:val="20"/>
        </w:rPr>
      </w:pPr>
      <w:r>
        <w:rPr>
          <w:rFonts w:asciiTheme="majorHAnsi" w:hAnsiTheme="majorHAnsi" w:cs="Times New Roman"/>
          <w:sz w:val="20"/>
          <w:szCs w:val="20"/>
        </w:rPr>
        <w:t xml:space="preserve">Zdroj: </w:t>
      </w:r>
      <w:r w:rsidRPr="00F766BA">
        <w:rPr>
          <w:rFonts w:asciiTheme="majorHAnsi" w:hAnsiTheme="majorHAnsi" w:cs="Times New Roman"/>
          <w:sz w:val="20"/>
          <w:szCs w:val="20"/>
        </w:rPr>
        <w:t>https://www.narodnikvalifikace.cz</w:t>
      </w:r>
      <w:r>
        <w:rPr>
          <w:rFonts w:asciiTheme="majorHAnsi" w:hAnsiTheme="majorHAnsi" w:cs="Times New Roman"/>
          <w:sz w:val="20"/>
          <w:szCs w:val="20"/>
        </w:rPr>
        <w:t>.</w:t>
      </w:r>
    </w:p>
    <w:p w14:paraId="28EEE497" w14:textId="64EA18FA" w:rsidR="00A46BED" w:rsidRDefault="001E1FC3" w:rsidP="000713C7">
      <w:pPr>
        <w:pStyle w:val="Nadpis2"/>
      </w:pPr>
      <w:bookmarkStart w:id="26" w:name="_Toc398662592"/>
      <w:r>
        <w:t>Shrnutí</w:t>
      </w:r>
      <w:bookmarkEnd w:id="26"/>
    </w:p>
    <w:p w14:paraId="6C896E4F" w14:textId="61B371D5" w:rsidR="002D1402" w:rsidRDefault="00F766BA" w:rsidP="000713C7">
      <w:pPr>
        <w:spacing w:line="360" w:lineRule="auto"/>
        <w:jc w:val="both"/>
        <w:rPr>
          <w:rFonts w:ascii="Times New Roman" w:hAnsi="Times New Roman" w:cs="Times New Roman"/>
        </w:rPr>
      </w:pPr>
      <w:r>
        <w:rPr>
          <w:rFonts w:ascii="Times New Roman" w:hAnsi="Times New Roman" w:cs="Times New Roman"/>
        </w:rPr>
        <w:t>Problematice dalšího vzdělávání a celkově slaďování nabídky vzdělávání s potřebami trhu práce se</w:t>
      </w:r>
      <w:r w:rsidR="0095623F">
        <w:rPr>
          <w:rFonts w:ascii="Times New Roman" w:hAnsi="Times New Roman" w:cs="Times New Roman"/>
        </w:rPr>
        <w:t xml:space="preserve"> v České republice začala věnovat větší pozornost až v posledních letech. </w:t>
      </w:r>
      <w:r w:rsidR="00AE433A">
        <w:rPr>
          <w:rFonts w:ascii="Times New Roman" w:hAnsi="Times New Roman" w:cs="Times New Roman"/>
        </w:rPr>
        <w:t>Základními předpoklady p</w:t>
      </w:r>
      <w:r w:rsidR="001E1FC3">
        <w:rPr>
          <w:rFonts w:ascii="Times New Roman" w:hAnsi="Times New Roman" w:cs="Times New Roman"/>
        </w:rPr>
        <w:t>ro efektivní fungová</w:t>
      </w:r>
      <w:r w:rsidR="00AE433A">
        <w:rPr>
          <w:rFonts w:ascii="Times New Roman" w:hAnsi="Times New Roman" w:cs="Times New Roman"/>
        </w:rPr>
        <w:t>ní systému dalšího vzdělávání je</w:t>
      </w:r>
      <w:r w:rsidR="001E1FC3">
        <w:rPr>
          <w:rFonts w:ascii="Times New Roman" w:hAnsi="Times New Roman" w:cs="Times New Roman"/>
        </w:rPr>
        <w:t xml:space="preserve"> </w:t>
      </w:r>
      <w:r w:rsidR="002D1402">
        <w:rPr>
          <w:rFonts w:ascii="Times New Roman" w:hAnsi="Times New Roman" w:cs="Times New Roman"/>
        </w:rPr>
        <w:t xml:space="preserve">vhodné </w:t>
      </w:r>
      <w:r w:rsidR="002D1402" w:rsidRPr="0095623F">
        <w:rPr>
          <w:rFonts w:ascii="Times New Roman" w:hAnsi="Times New Roman" w:cs="Times New Roman"/>
          <w:b/>
        </w:rPr>
        <w:t>institucionální zajištění</w:t>
      </w:r>
      <w:r w:rsidR="002D1402">
        <w:rPr>
          <w:rFonts w:ascii="Times New Roman" w:hAnsi="Times New Roman" w:cs="Times New Roman"/>
        </w:rPr>
        <w:t xml:space="preserve"> a </w:t>
      </w:r>
      <w:r w:rsidR="00AE433A">
        <w:rPr>
          <w:rFonts w:ascii="Times New Roman" w:hAnsi="Times New Roman" w:cs="Times New Roman"/>
        </w:rPr>
        <w:t xml:space="preserve">vytvoření kvalitní </w:t>
      </w:r>
      <w:r w:rsidR="00AE433A" w:rsidRPr="0095623F">
        <w:rPr>
          <w:rFonts w:ascii="Times New Roman" w:hAnsi="Times New Roman" w:cs="Times New Roman"/>
          <w:b/>
        </w:rPr>
        <w:t>strategie</w:t>
      </w:r>
      <w:r w:rsidR="00AE433A">
        <w:rPr>
          <w:rFonts w:ascii="Times New Roman" w:hAnsi="Times New Roman" w:cs="Times New Roman"/>
        </w:rPr>
        <w:t xml:space="preserve">, která bude </w:t>
      </w:r>
      <w:r w:rsidR="006A72CB">
        <w:rPr>
          <w:rFonts w:ascii="Times New Roman" w:hAnsi="Times New Roman" w:cs="Times New Roman"/>
        </w:rPr>
        <w:t>definovat konkrétní cíle, ale také nástroje a metody jejich dosažení, časový horizont a stanovení odpovědných subjektů. V roce 2007 schválila vláda ČR Strategii celoživotního učení, jejíž implementace skončila v roce 2015. Samostatný strategický dokument k problematice dalšího vzdělávání v současnosti chybí.</w:t>
      </w:r>
      <w:r w:rsidR="002D1402">
        <w:rPr>
          <w:rFonts w:ascii="Times New Roman" w:hAnsi="Times New Roman" w:cs="Times New Roman"/>
        </w:rPr>
        <w:t xml:space="preserve"> Chybí také jednotný koncepční přístup k dalšímu vzdělávání, který by umožňoval účinnou spolupráci všech zúčastněných subjektů. </w:t>
      </w:r>
      <w:r w:rsidR="0095623F">
        <w:rPr>
          <w:rFonts w:ascii="Times New Roman" w:hAnsi="Times New Roman" w:cs="Times New Roman"/>
        </w:rPr>
        <w:t>Není také zajištěna dostatečná informovanost o možnostech dalšího vzdělávání.</w:t>
      </w:r>
    </w:p>
    <w:p w14:paraId="2872D267" w14:textId="5892C89E" w:rsidR="002D1402" w:rsidRDefault="002D1402" w:rsidP="002D1402">
      <w:pPr>
        <w:pStyle w:val="Nadpis2"/>
      </w:pPr>
      <w:bookmarkStart w:id="27" w:name="_Toc398662593"/>
      <w:r>
        <w:t>Doporučení</w:t>
      </w:r>
      <w:bookmarkEnd w:id="27"/>
    </w:p>
    <w:p w14:paraId="57FE79C8" w14:textId="14A6DB41" w:rsidR="002D1402" w:rsidRDefault="0078275C" w:rsidP="001E1FC3">
      <w:pPr>
        <w:spacing w:line="360" w:lineRule="auto"/>
        <w:jc w:val="both"/>
        <w:rPr>
          <w:rFonts w:ascii="Times New Roman" w:hAnsi="Times New Roman" w:cs="Times New Roman"/>
        </w:rPr>
      </w:pPr>
      <w:r w:rsidRPr="0095623F">
        <w:rPr>
          <w:rFonts w:ascii="Times New Roman" w:hAnsi="Times New Roman" w:cs="Times New Roman"/>
          <w:b/>
        </w:rPr>
        <w:t>V</w:t>
      </w:r>
      <w:r w:rsidR="00610E6A" w:rsidRPr="0095623F">
        <w:rPr>
          <w:rFonts w:ascii="Times New Roman" w:hAnsi="Times New Roman" w:cs="Times New Roman"/>
          <w:b/>
        </w:rPr>
        <w:t>ytvoření systémového přístupu</w:t>
      </w:r>
      <w:r w:rsidR="00610E6A">
        <w:rPr>
          <w:rFonts w:ascii="Times New Roman" w:hAnsi="Times New Roman" w:cs="Times New Roman"/>
        </w:rPr>
        <w:t xml:space="preserve"> k dalšímu vzdělávání (a tedy k lepšímu slaďování nabídky vzdělávání s potřebami trhu práce</w:t>
      </w:r>
      <w:r>
        <w:rPr>
          <w:rFonts w:ascii="Times New Roman" w:hAnsi="Times New Roman" w:cs="Times New Roman"/>
        </w:rPr>
        <w:t>)</w:t>
      </w:r>
      <w:r w:rsidR="00610E6A">
        <w:rPr>
          <w:rFonts w:ascii="Times New Roman" w:hAnsi="Times New Roman" w:cs="Times New Roman"/>
        </w:rPr>
        <w:t xml:space="preserve"> bude vyžadovat následující kroky:</w:t>
      </w:r>
    </w:p>
    <w:p w14:paraId="33B28B32" w14:textId="77777777" w:rsidR="003F498C" w:rsidRDefault="003F498C" w:rsidP="00E94B9D">
      <w:pPr>
        <w:pStyle w:val="Odstavecseseznamem"/>
        <w:numPr>
          <w:ilvl w:val="0"/>
          <w:numId w:val="20"/>
        </w:numPr>
        <w:spacing w:line="360" w:lineRule="auto"/>
        <w:jc w:val="both"/>
        <w:rPr>
          <w:rFonts w:ascii="Times New Roman" w:hAnsi="Times New Roman" w:cs="Times New Roman"/>
        </w:rPr>
      </w:pPr>
      <w:r>
        <w:rPr>
          <w:rFonts w:ascii="Times New Roman" w:hAnsi="Times New Roman" w:cs="Times New Roman"/>
        </w:rPr>
        <w:t>u</w:t>
      </w:r>
      <w:r w:rsidR="0078275C">
        <w:rPr>
          <w:rFonts w:ascii="Times New Roman" w:hAnsi="Times New Roman" w:cs="Times New Roman"/>
        </w:rPr>
        <w:t>pravit programy počátečního vzdělávání tak, aby lépe odpovídaly budoucím požadavkům trhu práce</w:t>
      </w:r>
      <w:r>
        <w:rPr>
          <w:rFonts w:ascii="Times New Roman" w:hAnsi="Times New Roman" w:cs="Times New Roman"/>
        </w:rPr>
        <w:t>,</w:t>
      </w:r>
    </w:p>
    <w:p w14:paraId="6F086AED" w14:textId="095A73FF" w:rsidR="0078275C" w:rsidRDefault="003F498C" w:rsidP="00E94B9D">
      <w:pPr>
        <w:pStyle w:val="Odstavecseseznamem"/>
        <w:numPr>
          <w:ilvl w:val="0"/>
          <w:numId w:val="20"/>
        </w:numPr>
        <w:spacing w:line="360" w:lineRule="auto"/>
        <w:jc w:val="both"/>
        <w:rPr>
          <w:rFonts w:ascii="Times New Roman" w:hAnsi="Times New Roman" w:cs="Times New Roman"/>
        </w:rPr>
      </w:pPr>
      <w:r>
        <w:rPr>
          <w:rFonts w:ascii="Times New Roman" w:hAnsi="Times New Roman" w:cs="Times New Roman"/>
        </w:rPr>
        <w:t>zkvalitnit služby poradců na školách o volbě povolání (s ohledem na informovanost o kvalifikačních požadavcích trhu práce),</w:t>
      </w:r>
    </w:p>
    <w:p w14:paraId="6E20B2E9" w14:textId="50F88B53" w:rsidR="003F498C" w:rsidRDefault="003F498C" w:rsidP="00E94B9D">
      <w:pPr>
        <w:pStyle w:val="Odstavecseseznamem"/>
        <w:numPr>
          <w:ilvl w:val="0"/>
          <w:numId w:val="20"/>
        </w:numPr>
        <w:spacing w:line="360" w:lineRule="auto"/>
        <w:jc w:val="both"/>
        <w:rPr>
          <w:rFonts w:ascii="Times New Roman" w:hAnsi="Times New Roman" w:cs="Times New Roman"/>
        </w:rPr>
      </w:pPr>
      <w:r>
        <w:rPr>
          <w:rFonts w:ascii="Times New Roman" w:hAnsi="Times New Roman" w:cs="Times New Roman"/>
        </w:rPr>
        <w:t>zkvalitnit služby zaměstnanosti (poskytovat dostatek informací umožňujících lepší orientaci na pracovním trhu),</w:t>
      </w:r>
    </w:p>
    <w:p w14:paraId="25C3509E" w14:textId="21CF0DDD" w:rsidR="003F498C" w:rsidRDefault="003F498C" w:rsidP="00E94B9D">
      <w:pPr>
        <w:pStyle w:val="Odstavecseseznamem"/>
        <w:numPr>
          <w:ilvl w:val="0"/>
          <w:numId w:val="20"/>
        </w:numPr>
        <w:spacing w:line="360" w:lineRule="auto"/>
        <w:jc w:val="both"/>
        <w:rPr>
          <w:rFonts w:ascii="Times New Roman" w:hAnsi="Times New Roman" w:cs="Times New Roman"/>
        </w:rPr>
      </w:pPr>
      <w:r>
        <w:rPr>
          <w:rFonts w:ascii="Times New Roman" w:hAnsi="Times New Roman" w:cs="Times New Roman"/>
        </w:rPr>
        <w:t xml:space="preserve">vytvořit pravidla (systém) spolupráce všech subjektů zabývajících se dalším vzděláváním – propojit </w:t>
      </w:r>
      <w:r w:rsidR="00552CA0">
        <w:rPr>
          <w:rFonts w:ascii="Times New Roman" w:hAnsi="Times New Roman" w:cs="Times New Roman"/>
        </w:rPr>
        <w:t>všechny administrativní úrovně (stát – kraj – okres – obec); zlepšit vzájemnou informovanost subjektů i na horizontální úrovni,</w:t>
      </w:r>
    </w:p>
    <w:p w14:paraId="6C465CAE" w14:textId="14AA1CBC" w:rsidR="00BE5F4E" w:rsidRDefault="00552CA0" w:rsidP="00E94B9D">
      <w:pPr>
        <w:pStyle w:val="Odstavecseseznamem"/>
        <w:numPr>
          <w:ilvl w:val="0"/>
          <w:numId w:val="20"/>
        </w:numPr>
        <w:spacing w:line="360" w:lineRule="auto"/>
        <w:jc w:val="both"/>
        <w:rPr>
          <w:rFonts w:ascii="Times New Roman" w:hAnsi="Times New Roman" w:cs="Times New Roman"/>
        </w:rPr>
      </w:pPr>
      <w:r>
        <w:rPr>
          <w:rFonts w:ascii="Times New Roman" w:hAnsi="Times New Roman" w:cs="Times New Roman"/>
        </w:rPr>
        <w:lastRenderedPageBreak/>
        <w:t>zohlednit problematiku skupin obyvatelstva, které jsou na trhu práce nejvíce ohrožené</w:t>
      </w:r>
      <w:r w:rsidR="00880F3D">
        <w:rPr>
          <w:rFonts w:ascii="Times New Roman" w:hAnsi="Times New Roman" w:cs="Times New Roman"/>
        </w:rPr>
        <w:t xml:space="preserve"> (definovat cílové skupiny)</w:t>
      </w:r>
      <w:r>
        <w:rPr>
          <w:rFonts w:ascii="Times New Roman" w:hAnsi="Times New Roman" w:cs="Times New Roman"/>
        </w:rPr>
        <w:t xml:space="preserve"> – další vzdělávání by mělo být efektivním nástro</w:t>
      </w:r>
      <w:r w:rsidR="00BE5F4E">
        <w:rPr>
          <w:rFonts w:ascii="Times New Roman" w:hAnsi="Times New Roman" w:cs="Times New Roman"/>
        </w:rPr>
        <w:t>jem, jak zabránit dalšímu prohlu</w:t>
      </w:r>
      <w:r w:rsidR="001B0FC9">
        <w:rPr>
          <w:rFonts w:ascii="Times New Roman" w:hAnsi="Times New Roman" w:cs="Times New Roman"/>
        </w:rPr>
        <w:t>bování segmentace na trhu práce</w:t>
      </w:r>
      <w:r w:rsidR="00880F3D">
        <w:rPr>
          <w:rFonts w:ascii="Times New Roman" w:hAnsi="Times New Roman" w:cs="Times New Roman"/>
        </w:rPr>
        <w:t>.</w:t>
      </w:r>
      <w:r w:rsidR="00BE5F4E">
        <w:rPr>
          <w:rFonts w:ascii="Times New Roman" w:hAnsi="Times New Roman" w:cs="Times New Roman"/>
        </w:rPr>
        <w:t xml:space="preserve"> </w:t>
      </w:r>
    </w:p>
    <w:p w14:paraId="14994431" w14:textId="300DBF2D" w:rsidR="00FE7E40" w:rsidRPr="00C92B38" w:rsidRDefault="00C92B38" w:rsidP="00C92B38">
      <w:pPr>
        <w:spacing w:before="120" w:line="360" w:lineRule="auto"/>
        <w:jc w:val="both"/>
        <w:rPr>
          <w:rFonts w:ascii="Times New Roman" w:hAnsi="Times New Roman" w:cs="Times New Roman"/>
        </w:rPr>
      </w:pPr>
      <w:r w:rsidRPr="00C92B38">
        <w:rPr>
          <w:rFonts w:ascii="Times New Roman" w:hAnsi="Times New Roman" w:cs="Times New Roman"/>
        </w:rPr>
        <w:t xml:space="preserve">Aby takové systémové prostředí bylo vytvořeno, bude nutné získat </w:t>
      </w:r>
      <w:r w:rsidRPr="00C92B38">
        <w:rPr>
          <w:rFonts w:ascii="Times New Roman" w:hAnsi="Times New Roman" w:cs="Times New Roman"/>
          <w:b/>
        </w:rPr>
        <w:t>kvalitní informace o současných a budoucích potřebách trhu práce</w:t>
      </w:r>
      <w:r w:rsidRPr="00C92B38">
        <w:rPr>
          <w:rFonts w:ascii="Times New Roman" w:hAnsi="Times New Roman" w:cs="Times New Roman"/>
        </w:rPr>
        <w:t>, a to na národohospodářské, sektorové i regionální úrovni. Studie a analýzy, které jsou v této souvislosti k dispozici, nejsou vzájemně propojené, používají odlišnou metodiku a zejména z finančních důvodů se jedná o krátkodobé projekty. Systémový přístup ale vyžaduje dlouhodobé, kontinuální sledování dat založené na shodné metodice.</w:t>
      </w:r>
      <w:r w:rsidR="00FE7E40">
        <w:rPr>
          <w:rFonts w:ascii="Times New Roman" w:hAnsi="Times New Roman" w:cs="Times New Roman"/>
        </w:rPr>
        <w:t xml:space="preserve"> </w:t>
      </w:r>
    </w:p>
    <w:p w14:paraId="34CD4501" w14:textId="02CD064C" w:rsidR="00C20A41" w:rsidRDefault="00C92B38" w:rsidP="00C92B38">
      <w:pPr>
        <w:spacing w:before="120" w:line="360" w:lineRule="auto"/>
        <w:jc w:val="both"/>
        <w:rPr>
          <w:rFonts w:ascii="Times New Roman" w:hAnsi="Times New Roman" w:cs="Times New Roman"/>
        </w:rPr>
      </w:pPr>
      <w:r w:rsidRPr="00C92B38">
        <w:rPr>
          <w:rFonts w:ascii="Times New Roman" w:hAnsi="Times New Roman" w:cs="Times New Roman"/>
        </w:rPr>
        <w:t xml:space="preserve">Zkušenosti ze zahraničí ukazují, že klíčovou otázkou je vytvoření tzv. </w:t>
      </w:r>
      <w:r w:rsidRPr="00C92B38">
        <w:rPr>
          <w:rFonts w:ascii="Times New Roman" w:hAnsi="Times New Roman" w:cs="Times New Roman"/>
          <w:b/>
        </w:rPr>
        <w:t>komplexních informačních produktů pro cílové skupiny</w:t>
      </w:r>
      <w:r w:rsidR="00E5076A">
        <w:rPr>
          <w:rFonts w:ascii="Times New Roman" w:hAnsi="Times New Roman" w:cs="Times New Roman"/>
        </w:rPr>
        <w:t xml:space="preserve">. První krok by měl spočívat ve vymezení cílových </w:t>
      </w:r>
      <w:proofErr w:type="gramStart"/>
      <w:r w:rsidR="00E5076A">
        <w:rPr>
          <w:rFonts w:ascii="Times New Roman" w:hAnsi="Times New Roman" w:cs="Times New Roman"/>
        </w:rPr>
        <w:t>skupin</w:t>
      </w:r>
      <w:r w:rsidRPr="00C92B38">
        <w:rPr>
          <w:rFonts w:ascii="Times New Roman" w:hAnsi="Times New Roman" w:cs="Times New Roman"/>
          <w:i/>
        </w:rPr>
        <w:t xml:space="preserve"> </w:t>
      </w:r>
      <w:r w:rsidR="003B5BAA">
        <w:rPr>
          <w:rFonts w:ascii="Times New Roman" w:hAnsi="Times New Roman" w:cs="Times New Roman"/>
          <w:i/>
        </w:rPr>
        <w:t xml:space="preserve"> </w:t>
      </w:r>
      <w:r w:rsidR="00E5076A">
        <w:rPr>
          <w:rFonts w:ascii="Times New Roman" w:hAnsi="Times New Roman" w:cs="Times New Roman"/>
        </w:rPr>
        <w:t>(</w:t>
      </w:r>
      <w:proofErr w:type="gramEnd"/>
      <w:r w:rsidR="00E5076A">
        <w:rPr>
          <w:rFonts w:ascii="Times New Roman" w:hAnsi="Times New Roman" w:cs="Times New Roman"/>
        </w:rPr>
        <w:t>např.</w:t>
      </w:r>
      <w:r w:rsidR="003B5BAA">
        <w:rPr>
          <w:rFonts w:ascii="Times New Roman" w:hAnsi="Times New Roman" w:cs="Times New Roman"/>
        </w:rPr>
        <w:t xml:space="preserve"> osoby s nízkou úrovní vzdělání, </w:t>
      </w:r>
      <w:r w:rsidR="00C20A41">
        <w:rPr>
          <w:rFonts w:ascii="Times New Roman" w:hAnsi="Times New Roman" w:cs="Times New Roman"/>
        </w:rPr>
        <w:t>osoby nad 55 let, mladí, absolventi, osoby se zdravotním postižením</w:t>
      </w:r>
      <w:r w:rsidR="00E5076A">
        <w:rPr>
          <w:rFonts w:ascii="Times New Roman" w:hAnsi="Times New Roman" w:cs="Times New Roman"/>
        </w:rPr>
        <w:t>, osoby na rodičovské dovolené</w:t>
      </w:r>
      <w:r w:rsidR="00C20A41">
        <w:rPr>
          <w:rFonts w:ascii="Times New Roman" w:hAnsi="Times New Roman" w:cs="Times New Roman"/>
        </w:rPr>
        <w:t xml:space="preserve"> apod.). </w:t>
      </w:r>
      <w:r w:rsidR="00E5076A">
        <w:rPr>
          <w:rFonts w:ascii="Times New Roman" w:hAnsi="Times New Roman" w:cs="Times New Roman"/>
        </w:rPr>
        <w:t xml:space="preserve">Komplexní informační produkty </w:t>
      </w:r>
      <w:r w:rsidR="00E5076A" w:rsidRPr="00E5076A">
        <w:rPr>
          <w:rFonts w:ascii="Times New Roman" w:hAnsi="Times New Roman" w:cs="Times New Roman"/>
          <w:i/>
        </w:rPr>
        <w:t>p</w:t>
      </w:r>
      <w:r w:rsidRPr="00E5076A">
        <w:rPr>
          <w:rFonts w:ascii="Times New Roman" w:hAnsi="Times New Roman" w:cs="Times New Roman"/>
          <w:i/>
        </w:rPr>
        <w:t>ropojují data o nabídce volných pracovních míst s dalšími důležitými informacemi,</w:t>
      </w:r>
      <w:r w:rsidRPr="00C92B38">
        <w:rPr>
          <w:rFonts w:ascii="Times New Roman" w:hAnsi="Times New Roman" w:cs="Times New Roman"/>
        </w:rPr>
        <w:t xml:space="preserve"> zejména s profily jednotlivých profesí (požadavky na znalosti, dovednosti apod.), s budoucí perspektivou jednotlivých profesí na trhu práce, s výsledky sektorových analýz (zejm. vývoj potřeby pracovních sil v daném sektoru co do množství pracovníků a jejich kvalifikační struktury). Tento přístup lze doporučit i pro ČR. </w:t>
      </w:r>
    </w:p>
    <w:p w14:paraId="2A796828" w14:textId="0E77337B" w:rsidR="003061FA" w:rsidRDefault="003B5BAA" w:rsidP="00C92B38">
      <w:pPr>
        <w:spacing w:before="120" w:line="360" w:lineRule="auto"/>
        <w:jc w:val="both"/>
        <w:rPr>
          <w:rFonts w:ascii="Times New Roman" w:hAnsi="Times New Roman" w:cs="Times New Roman"/>
        </w:rPr>
      </w:pPr>
      <w:r w:rsidRPr="007B374B">
        <w:rPr>
          <w:rFonts w:ascii="Times New Roman" w:hAnsi="Times New Roman" w:cs="Times New Roman"/>
          <w:b/>
        </w:rPr>
        <w:t xml:space="preserve">Přínos informačních produktů pro cílové skupiny je </w:t>
      </w:r>
      <w:r w:rsidR="00C20A41" w:rsidRPr="007B374B">
        <w:rPr>
          <w:rFonts w:ascii="Times New Roman" w:hAnsi="Times New Roman" w:cs="Times New Roman"/>
          <w:b/>
        </w:rPr>
        <w:t xml:space="preserve">ale </w:t>
      </w:r>
      <w:r w:rsidRPr="007B374B">
        <w:rPr>
          <w:rFonts w:ascii="Times New Roman" w:hAnsi="Times New Roman" w:cs="Times New Roman"/>
          <w:b/>
        </w:rPr>
        <w:t>významně determinován způsoby, které budou použity pro jejich šíření</w:t>
      </w:r>
      <w:r>
        <w:rPr>
          <w:rFonts w:ascii="Times New Roman" w:hAnsi="Times New Roman" w:cs="Times New Roman"/>
        </w:rPr>
        <w:t>.</w:t>
      </w:r>
      <w:r w:rsidR="00C20A41">
        <w:rPr>
          <w:rFonts w:ascii="Times New Roman" w:hAnsi="Times New Roman" w:cs="Times New Roman"/>
        </w:rPr>
        <w:t xml:space="preserve"> Správné nastavení </w:t>
      </w:r>
      <w:r w:rsidR="00C20A41" w:rsidRPr="00E5076A">
        <w:rPr>
          <w:rFonts w:ascii="Times New Roman" w:hAnsi="Times New Roman" w:cs="Times New Roman"/>
          <w:i/>
        </w:rPr>
        <w:t>komunikační strategie</w:t>
      </w:r>
      <w:r w:rsidR="00C20A41">
        <w:rPr>
          <w:rFonts w:ascii="Times New Roman" w:hAnsi="Times New Roman" w:cs="Times New Roman"/>
        </w:rPr>
        <w:t xml:space="preserve"> vůči uživatelům je klíčovou otázkou. Praxe ze zahraničí ukazuje, že šíření informací (informačních produktů) je stále více založeno na elektronických médiích</w:t>
      </w:r>
      <w:r w:rsidR="00FD57E0">
        <w:rPr>
          <w:rFonts w:ascii="Times New Roman" w:hAnsi="Times New Roman" w:cs="Times New Roman"/>
        </w:rPr>
        <w:t xml:space="preserve"> (Národní vzdělávací fond, 2010)</w:t>
      </w:r>
      <w:r w:rsidR="00C20A41">
        <w:rPr>
          <w:rFonts w:ascii="Times New Roman" w:hAnsi="Times New Roman" w:cs="Times New Roman"/>
        </w:rPr>
        <w:t>. Je však ale nutné vzít v úvahu skutečnost,</w:t>
      </w:r>
      <w:r w:rsidR="007B374B">
        <w:rPr>
          <w:rFonts w:ascii="Times New Roman" w:hAnsi="Times New Roman" w:cs="Times New Roman"/>
        </w:rPr>
        <w:t xml:space="preserve"> že u jednotlivých cílových skupin může existovat </w:t>
      </w:r>
      <w:proofErr w:type="spellStart"/>
      <w:r w:rsidR="007B374B">
        <w:rPr>
          <w:rFonts w:ascii="Times New Roman" w:hAnsi="Times New Roman" w:cs="Times New Roman"/>
        </w:rPr>
        <w:t>digital</w:t>
      </w:r>
      <w:proofErr w:type="spellEnd"/>
      <w:r w:rsidR="007B374B">
        <w:rPr>
          <w:rFonts w:ascii="Times New Roman" w:hAnsi="Times New Roman" w:cs="Times New Roman"/>
        </w:rPr>
        <w:t xml:space="preserve"> gap (digitální mezera) mezi těmi, kteří přístup k internetu mají a kteří nikoliv. Lze proto doporučit, aby </w:t>
      </w:r>
      <w:r w:rsidR="007B374B" w:rsidRPr="00BF4633">
        <w:rPr>
          <w:rFonts w:ascii="Times New Roman" w:hAnsi="Times New Roman" w:cs="Times New Roman"/>
          <w:b/>
        </w:rPr>
        <w:t>elektronická média</w:t>
      </w:r>
      <w:r w:rsidR="007B374B">
        <w:rPr>
          <w:rFonts w:ascii="Times New Roman" w:hAnsi="Times New Roman" w:cs="Times New Roman"/>
        </w:rPr>
        <w:t xml:space="preserve"> (</w:t>
      </w:r>
      <w:proofErr w:type="spellStart"/>
      <w:r w:rsidR="007B374B">
        <w:rPr>
          <w:rFonts w:ascii="Times New Roman" w:hAnsi="Times New Roman" w:cs="Times New Roman"/>
        </w:rPr>
        <w:t>pdf</w:t>
      </w:r>
      <w:proofErr w:type="spellEnd"/>
      <w:r w:rsidR="007B374B">
        <w:rPr>
          <w:rFonts w:ascii="Times New Roman" w:hAnsi="Times New Roman" w:cs="Times New Roman"/>
        </w:rPr>
        <w:t xml:space="preserve">. nebo </w:t>
      </w:r>
      <w:proofErr w:type="gramStart"/>
      <w:r w:rsidR="007B374B">
        <w:rPr>
          <w:rFonts w:ascii="Times New Roman" w:hAnsi="Times New Roman" w:cs="Times New Roman"/>
        </w:rPr>
        <w:t>on line</w:t>
      </w:r>
      <w:proofErr w:type="gramEnd"/>
      <w:r w:rsidR="007B374B">
        <w:rPr>
          <w:rFonts w:ascii="Times New Roman" w:hAnsi="Times New Roman" w:cs="Times New Roman"/>
        </w:rPr>
        <w:t xml:space="preserve"> nástroje) </w:t>
      </w:r>
      <w:r w:rsidR="007B374B" w:rsidRPr="00BF4633">
        <w:rPr>
          <w:rFonts w:ascii="Times New Roman" w:hAnsi="Times New Roman" w:cs="Times New Roman"/>
          <w:b/>
        </w:rPr>
        <w:t>byla doplněna tištěnými nosiči</w:t>
      </w:r>
      <w:r w:rsidR="007B374B">
        <w:rPr>
          <w:rFonts w:ascii="Times New Roman" w:hAnsi="Times New Roman" w:cs="Times New Roman"/>
        </w:rPr>
        <w:t>.</w:t>
      </w:r>
      <w:r w:rsidR="00E5076A">
        <w:rPr>
          <w:rFonts w:ascii="Times New Roman" w:hAnsi="Times New Roman" w:cs="Times New Roman"/>
        </w:rPr>
        <w:t xml:space="preserve"> </w:t>
      </w:r>
      <w:r w:rsidR="007B374B">
        <w:rPr>
          <w:rFonts w:ascii="Times New Roman" w:hAnsi="Times New Roman" w:cs="Times New Roman"/>
        </w:rPr>
        <w:t xml:space="preserve"> </w:t>
      </w:r>
    </w:p>
    <w:p w14:paraId="4AD44B19" w14:textId="3700BC1E" w:rsidR="003061FA" w:rsidRDefault="003061FA" w:rsidP="00C92B38">
      <w:pPr>
        <w:spacing w:before="120" w:line="360" w:lineRule="auto"/>
        <w:jc w:val="both"/>
        <w:rPr>
          <w:rFonts w:ascii="Times New Roman" w:hAnsi="Times New Roman" w:cs="Times New Roman"/>
        </w:rPr>
      </w:pPr>
      <w:r>
        <w:rPr>
          <w:rFonts w:ascii="Times New Roman" w:hAnsi="Times New Roman" w:cs="Times New Roman"/>
          <w:i/>
        </w:rPr>
        <w:t xml:space="preserve">Tištěná média </w:t>
      </w:r>
      <w:r>
        <w:rPr>
          <w:rFonts w:ascii="Times New Roman" w:hAnsi="Times New Roman" w:cs="Times New Roman"/>
        </w:rPr>
        <w:t>mohou mít podobu propagačních materiálů (letáků), brožur, knih, ale také článků ve vybraných časopisech nebo denním tisku</w:t>
      </w:r>
      <w:r w:rsidR="00DA78CB">
        <w:rPr>
          <w:rFonts w:ascii="Times New Roman" w:hAnsi="Times New Roman" w:cs="Times New Roman"/>
        </w:rPr>
        <w:t>, popř. regionálním tisku</w:t>
      </w:r>
      <w:r>
        <w:rPr>
          <w:rFonts w:ascii="Times New Roman" w:hAnsi="Times New Roman" w:cs="Times New Roman"/>
        </w:rPr>
        <w:t xml:space="preserve">. </w:t>
      </w:r>
      <w:r w:rsidR="00DE4489">
        <w:rPr>
          <w:rFonts w:ascii="Times New Roman" w:hAnsi="Times New Roman" w:cs="Times New Roman"/>
        </w:rPr>
        <w:t>Jejich cílem je informovat o existenci informačních produktů, ale současně mohou také zájemce motivovat k tomu, ab</w:t>
      </w:r>
      <w:r w:rsidR="00FE7E40">
        <w:rPr>
          <w:rFonts w:ascii="Times New Roman" w:hAnsi="Times New Roman" w:cs="Times New Roman"/>
        </w:rPr>
        <w:t xml:space="preserve">y si tyto produkty vyhledali </w:t>
      </w:r>
      <w:r w:rsidR="00DE4489">
        <w:rPr>
          <w:rFonts w:ascii="Times New Roman" w:hAnsi="Times New Roman" w:cs="Times New Roman"/>
        </w:rPr>
        <w:t>v elektronické podobě.</w:t>
      </w:r>
    </w:p>
    <w:p w14:paraId="5B596798" w14:textId="77777777" w:rsidR="00DE4489" w:rsidRDefault="00DE4489" w:rsidP="00C92B38">
      <w:pPr>
        <w:spacing w:before="120" w:line="360" w:lineRule="auto"/>
        <w:jc w:val="both"/>
        <w:rPr>
          <w:rFonts w:ascii="Times New Roman" w:hAnsi="Times New Roman" w:cs="Times New Roman"/>
        </w:rPr>
      </w:pPr>
      <w:r>
        <w:rPr>
          <w:rFonts w:ascii="Times New Roman" w:hAnsi="Times New Roman" w:cs="Times New Roman"/>
        </w:rPr>
        <w:lastRenderedPageBreak/>
        <w:t xml:space="preserve">Roste také význam </w:t>
      </w:r>
      <w:r w:rsidRPr="00DE4489">
        <w:rPr>
          <w:rFonts w:ascii="Times New Roman" w:hAnsi="Times New Roman" w:cs="Times New Roman"/>
          <w:i/>
        </w:rPr>
        <w:t>sociálních sítí</w:t>
      </w:r>
      <w:r>
        <w:rPr>
          <w:rFonts w:ascii="Times New Roman" w:hAnsi="Times New Roman" w:cs="Times New Roman"/>
          <w:i/>
        </w:rPr>
        <w:t xml:space="preserve">, </w:t>
      </w:r>
      <w:r>
        <w:rPr>
          <w:rFonts w:ascii="Times New Roman" w:hAnsi="Times New Roman" w:cs="Times New Roman"/>
        </w:rPr>
        <w:t>které mohou být vhodnou platformou k šíření a výměně informací, které se týkají dalšího vzdělávání a trhu práce.</w:t>
      </w:r>
    </w:p>
    <w:p w14:paraId="36000D81" w14:textId="2C38493F" w:rsidR="00DA78CB" w:rsidRDefault="00DA78CB" w:rsidP="00C92B38">
      <w:pPr>
        <w:spacing w:before="120" w:line="360" w:lineRule="auto"/>
        <w:jc w:val="both"/>
        <w:rPr>
          <w:rFonts w:ascii="Times New Roman" w:hAnsi="Times New Roman" w:cs="Times New Roman"/>
        </w:rPr>
      </w:pPr>
      <w:r>
        <w:rPr>
          <w:rFonts w:ascii="Times New Roman" w:hAnsi="Times New Roman" w:cs="Times New Roman"/>
        </w:rPr>
        <w:t xml:space="preserve">Vzhledem k závažnosti zkoumaného problému lze doporučit také </w:t>
      </w:r>
      <w:r>
        <w:rPr>
          <w:rFonts w:ascii="Times New Roman" w:hAnsi="Times New Roman" w:cs="Times New Roman"/>
          <w:b/>
        </w:rPr>
        <w:t>dlouhodobější (popř. opakovanou)</w:t>
      </w:r>
      <w:r w:rsidRPr="00DA78CB">
        <w:rPr>
          <w:rFonts w:ascii="Times New Roman" w:hAnsi="Times New Roman" w:cs="Times New Roman"/>
          <w:b/>
        </w:rPr>
        <w:t xml:space="preserve"> informační kampaň prostřednictvím veřejnoprávní televize</w:t>
      </w:r>
      <w:r w:rsidR="007B76C1">
        <w:rPr>
          <w:rFonts w:ascii="Times New Roman" w:hAnsi="Times New Roman" w:cs="Times New Roman"/>
        </w:rPr>
        <w:t>. Celoplošné pokrytí TV signálem umožňuje účinné šíření informací směrem k cílovým skupinám.</w:t>
      </w:r>
    </w:p>
    <w:p w14:paraId="037EEDC4" w14:textId="77777777" w:rsidR="00FE7E40" w:rsidRDefault="00DE4489" w:rsidP="00C92B38">
      <w:pPr>
        <w:spacing w:before="120" w:line="360" w:lineRule="auto"/>
        <w:jc w:val="both"/>
        <w:rPr>
          <w:rFonts w:ascii="Times New Roman" w:hAnsi="Times New Roman" w:cs="Times New Roman"/>
        </w:rPr>
      </w:pPr>
      <w:r>
        <w:rPr>
          <w:rFonts w:ascii="Times New Roman" w:hAnsi="Times New Roman" w:cs="Times New Roman"/>
        </w:rPr>
        <w:t xml:space="preserve">V neposlední řadě by všechny zúčastněné instituce </w:t>
      </w:r>
      <w:r w:rsidR="00383FBE">
        <w:rPr>
          <w:rFonts w:ascii="Times New Roman" w:hAnsi="Times New Roman" w:cs="Times New Roman"/>
        </w:rPr>
        <w:t>(veřejná správa, zejm. úřady práce a příslušná ministerstva, odborná pracoviště, vzdělávací instituce, odborové organizace, zaměstnavatelé) měly</w:t>
      </w:r>
      <w:r>
        <w:rPr>
          <w:rFonts w:ascii="Times New Roman" w:hAnsi="Times New Roman" w:cs="Times New Roman"/>
        </w:rPr>
        <w:t xml:space="preserve"> sdělení o informačních produktech šířit prostřednictvím svých </w:t>
      </w:r>
      <w:r w:rsidRPr="00DE4489">
        <w:rPr>
          <w:rFonts w:ascii="Times New Roman" w:hAnsi="Times New Roman" w:cs="Times New Roman"/>
          <w:i/>
        </w:rPr>
        <w:t>www stránek</w:t>
      </w:r>
      <w:r>
        <w:rPr>
          <w:rFonts w:ascii="Times New Roman" w:hAnsi="Times New Roman" w:cs="Times New Roman"/>
        </w:rPr>
        <w:t xml:space="preserve">. </w:t>
      </w:r>
    </w:p>
    <w:p w14:paraId="599E186D" w14:textId="7190EAAD" w:rsidR="00432E41" w:rsidRDefault="00FE7E40" w:rsidP="00432E41">
      <w:pPr>
        <w:spacing w:before="120" w:line="360" w:lineRule="auto"/>
        <w:jc w:val="both"/>
        <w:rPr>
          <w:rFonts w:ascii="Times New Roman" w:hAnsi="Times New Roman" w:cs="Times New Roman"/>
        </w:rPr>
      </w:pPr>
      <w:r>
        <w:rPr>
          <w:rFonts w:ascii="Times New Roman" w:hAnsi="Times New Roman" w:cs="Times New Roman"/>
        </w:rPr>
        <w:t>Aby byl</w:t>
      </w:r>
      <w:r w:rsidR="007B76C1">
        <w:rPr>
          <w:rFonts w:ascii="Times New Roman" w:hAnsi="Times New Roman" w:cs="Times New Roman"/>
        </w:rPr>
        <w:t>y informace určené cílovým</w:t>
      </w:r>
      <w:r>
        <w:rPr>
          <w:rFonts w:ascii="Times New Roman" w:hAnsi="Times New Roman" w:cs="Times New Roman"/>
        </w:rPr>
        <w:t xml:space="preserve"> skupin</w:t>
      </w:r>
      <w:r w:rsidR="007B76C1">
        <w:rPr>
          <w:rFonts w:ascii="Times New Roman" w:hAnsi="Times New Roman" w:cs="Times New Roman"/>
        </w:rPr>
        <w:t>ám</w:t>
      </w:r>
      <w:r>
        <w:rPr>
          <w:rFonts w:ascii="Times New Roman" w:hAnsi="Times New Roman" w:cs="Times New Roman"/>
        </w:rPr>
        <w:t xml:space="preserve"> neustále aktuální, je nutné </w:t>
      </w:r>
      <w:r w:rsidRPr="00432E41">
        <w:rPr>
          <w:rFonts w:ascii="Times New Roman" w:hAnsi="Times New Roman" w:cs="Times New Roman"/>
          <w:b/>
        </w:rPr>
        <w:t>zajistit také výb</w:t>
      </w:r>
      <w:r w:rsidR="00432E41" w:rsidRPr="00432E41">
        <w:rPr>
          <w:rFonts w:ascii="Times New Roman" w:hAnsi="Times New Roman" w:cs="Times New Roman"/>
          <w:b/>
        </w:rPr>
        <w:t xml:space="preserve">ornou informovanost příslušných </w:t>
      </w:r>
      <w:r w:rsidRPr="00432E41">
        <w:rPr>
          <w:rFonts w:ascii="Times New Roman" w:hAnsi="Times New Roman" w:cs="Times New Roman"/>
          <w:b/>
        </w:rPr>
        <w:t xml:space="preserve">pracovníků </w:t>
      </w:r>
      <w:r w:rsidR="00432E41">
        <w:rPr>
          <w:rFonts w:ascii="Times New Roman" w:hAnsi="Times New Roman" w:cs="Times New Roman"/>
          <w:b/>
        </w:rPr>
        <w:t>všech zúčastněných institucí</w:t>
      </w:r>
      <w:r w:rsidR="00432E41">
        <w:rPr>
          <w:rFonts w:ascii="Times New Roman" w:hAnsi="Times New Roman" w:cs="Times New Roman"/>
        </w:rPr>
        <w:t>.</w:t>
      </w:r>
      <w:r w:rsidR="00432E41" w:rsidRPr="00432E41">
        <w:rPr>
          <w:rFonts w:ascii="Times New Roman" w:hAnsi="Times New Roman" w:cs="Times New Roman"/>
        </w:rPr>
        <w:t xml:space="preserve"> </w:t>
      </w:r>
    </w:p>
    <w:p w14:paraId="055D0297" w14:textId="211C02F0" w:rsidR="00432E41" w:rsidRDefault="00432E41" w:rsidP="00432E41">
      <w:pPr>
        <w:spacing w:before="120" w:line="360" w:lineRule="auto"/>
        <w:jc w:val="both"/>
        <w:rPr>
          <w:rFonts w:ascii="Times New Roman" w:hAnsi="Times New Roman" w:cs="Times New Roman"/>
        </w:rPr>
      </w:pPr>
      <w:r>
        <w:rPr>
          <w:rFonts w:ascii="Times New Roman" w:hAnsi="Times New Roman" w:cs="Times New Roman"/>
        </w:rPr>
        <w:t xml:space="preserve">Konkrétně se může jednat například o </w:t>
      </w:r>
      <w:r>
        <w:rPr>
          <w:rFonts w:ascii="Times New Roman" w:hAnsi="Times New Roman" w:cs="Times New Roman"/>
          <w:i/>
        </w:rPr>
        <w:t xml:space="preserve">pravidelné informační maily </w:t>
      </w:r>
      <w:r>
        <w:rPr>
          <w:rFonts w:ascii="Times New Roman" w:hAnsi="Times New Roman" w:cs="Times New Roman"/>
        </w:rPr>
        <w:t>(</w:t>
      </w:r>
      <w:proofErr w:type="spellStart"/>
      <w:r>
        <w:rPr>
          <w:rFonts w:ascii="Times New Roman" w:hAnsi="Times New Roman" w:cs="Times New Roman"/>
        </w:rPr>
        <w:t>newsletters</w:t>
      </w:r>
      <w:proofErr w:type="spellEnd"/>
      <w:r>
        <w:rPr>
          <w:rFonts w:ascii="Times New Roman" w:hAnsi="Times New Roman" w:cs="Times New Roman"/>
        </w:rPr>
        <w:t xml:space="preserve">), které by v určitých časových intervalech (např. čtvrtletně) informovaly o trhu práce – produkt by byl určen především pro zaměstnance úřadů práce, poradenských center apod. Měl by usnadnit jejich orientaci v aktuálních otázkách trhu práce. </w:t>
      </w:r>
    </w:p>
    <w:p w14:paraId="409C8710" w14:textId="5DBCC85B" w:rsidR="00DE4489" w:rsidRDefault="00383FBE" w:rsidP="00C92B38">
      <w:pPr>
        <w:spacing w:before="120" w:line="360" w:lineRule="auto"/>
        <w:jc w:val="both"/>
        <w:rPr>
          <w:rFonts w:ascii="Times New Roman" w:hAnsi="Times New Roman" w:cs="Times New Roman"/>
        </w:rPr>
      </w:pPr>
      <w:r>
        <w:rPr>
          <w:rFonts w:ascii="Times New Roman" w:hAnsi="Times New Roman" w:cs="Times New Roman"/>
        </w:rPr>
        <w:t>Vzájemnou i</w:t>
      </w:r>
      <w:r w:rsidR="00432E41">
        <w:rPr>
          <w:rFonts w:ascii="Times New Roman" w:hAnsi="Times New Roman" w:cs="Times New Roman"/>
        </w:rPr>
        <w:t>nformovanost a výměnu informací mezi zainteresovanými institucemi, odbornými pracovišti a veřejnou správou,</w:t>
      </w:r>
      <w:r>
        <w:rPr>
          <w:rFonts w:ascii="Times New Roman" w:hAnsi="Times New Roman" w:cs="Times New Roman"/>
        </w:rPr>
        <w:t xml:space="preserve"> včetně vyhodnocování kvality informačních produktů a zpětné vazby, lze realizovat např. cestou </w:t>
      </w:r>
      <w:r w:rsidRPr="00432E41">
        <w:rPr>
          <w:rFonts w:ascii="Times New Roman" w:hAnsi="Times New Roman" w:cs="Times New Roman"/>
          <w:i/>
        </w:rPr>
        <w:t>konferencí</w:t>
      </w:r>
      <w:r>
        <w:rPr>
          <w:rFonts w:ascii="Times New Roman" w:hAnsi="Times New Roman" w:cs="Times New Roman"/>
        </w:rPr>
        <w:t xml:space="preserve"> nebo </w:t>
      </w:r>
      <w:r w:rsidRPr="00432E41">
        <w:rPr>
          <w:rFonts w:ascii="Times New Roman" w:hAnsi="Times New Roman" w:cs="Times New Roman"/>
          <w:i/>
        </w:rPr>
        <w:t>workshopů.</w:t>
      </w:r>
    </w:p>
    <w:p w14:paraId="4F08838A" w14:textId="04B31DEB" w:rsidR="00E663BB" w:rsidRDefault="007B76C1" w:rsidP="0095623F">
      <w:pPr>
        <w:spacing w:before="120" w:line="360" w:lineRule="auto"/>
        <w:jc w:val="both"/>
        <w:rPr>
          <w:rFonts w:ascii="Times New Roman" w:hAnsi="Times New Roman" w:cs="Times New Roman"/>
        </w:rPr>
      </w:pPr>
      <w:r>
        <w:rPr>
          <w:rFonts w:ascii="Times New Roman" w:hAnsi="Times New Roman" w:cs="Times New Roman"/>
        </w:rPr>
        <w:t xml:space="preserve">Důraz musí být kladem na </w:t>
      </w:r>
      <w:r>
        <w:rPr>
          <w:rFonts w:ascii="Times New Roman" w:hAnsi="Times New Roman" w:cs="Times New Roman"/>
          <w:b/>
        </w:rPr>
        <w:t xml:space="preserve">velmi úzkou spolupráci všech zainteresovaných institucí a jejich vzájemnou informovanost! </w:t>
      </w:r>
      <w:r w:rsidR="00E663BB">
        <w:rPr>
          <w:rFonts w:ascii="Times New Roman" w:hAnsi="Times New Roman" w:cs="Times New Roman"/>
        </w:rPr>
        <w:t>I dobře nastavená komunikační strategie vůči cílový skupinám bez otevřené a úzké spolupráce zainteresovaných subjektů nebude úspěšná.</w:t>
      </w:r>
    </w:p>
    <w:p w14:paraId="1DEF2006" w14:textId="6E3D0343" w:rsidR="00E663BB" w:rsidRDefault="00CF6214" w:rsidP="0095623F">
      <w:pPr>
        <w:spacing w:before="120" w:line="360" w:lineRule="auto"/>
        <w:jc w:val="both"/>
        <w:rPr>
          <w:rFonts w:ascii="Times New Roman" w:hAnsi="Times New Roman" w:cs="Times New Roman"/>
        </w:rPr>
      </w:pPr>
      <w:r>
        <w:rPr>
          <w:rFonts w:ascii="Times New Roman" w:hAnsi="Times New Roman" w:cs="Times New Roman"/>
        </w:rPr>
        <w:t>Shrneme-li, pro zajištění informovanosti osob s nejnižší úrovní vzdělání o možnostech, ale také nutnosti se dále vzdělávat (o možnostech, jak uspět na trhu práce), je nutné realizovat následující kroky:</w:t>
      </w:r>
    </w:p>
    <w:p w14:paraId="668F60BD" w14:textId="62D0EC76" w:rsidR="00E663BB" w:rsidRPr="00E2022F" w:rsidRDefault="00CF6214" w:rsidP="00CF6214">
      <w:pPr>
        <w:spacing w:before="120"/>
        <w:jc w:val="both"/>
        <w:rPr>
          <w:rFonts w:ascii="Times New Roman" w:hAnsi="Times New Roman" w:cs="Times New Roman"/>
          <w:i/>
        </w:rPr>
      </w:pPr>
      <w:r w:rsidRPr="00E2022F">
        <w:rPr>
          <w:rFonts w:ascii="Times New Roman" w:hAnsi="Times New Roman" w:cs="Times New Roman"/>
          <w:i/>
        </w:rPr>
        <w:t>Získat k</w:t>
      </w:r>
      <w:r w:rsidR="00E663BB" w:rsidRPr="00E2022F">
        <w:rPr>
          <w:rFonts w:ascii="Times New Roman" w:hAnsi="Times New Roman" w:cs="Times New Roman"/>
          <w:i/>
        </w:rPr>
        <w:t>valitní informace o současných a budoucích potřebách</w:t>
      </w:r>
      <w:r w:rsidRPr="00E2022F">
        <w:rPr>
          <w:rFonts w:ascii="Times New Roman" w:hAnsi="Times New Roman" w:cs="Times New Roman"/>
          <w:i/>
        </w:rPr>
        <w:t xml:space="preserve"> trhu práce </w:t>
      </w:r>
      <w:proofErr w:type="gramStart"/>
      <w:r w:rsidRPr="00E2022F">
        <w:rPr>
          <w:rFonts w:ascii="Times New Roman" w:hAnsi="Times New Roman" w:cs="Times New Roman"/>
          <w:i/>
        </w:rPr>
        <w:t xml:space="preserve">+ </w:t>
      </w:r>
      <w:r w:rsidR="00E663BB" w:rsidRPr="00E2022F">
        <w:rPr>
          <w:rFonts w:ascii="Times New Roman" w:hAnsi="Times New Roman" w:cs="Times New Roman"/>
          <w:i/>
        </w:rPr>
        <w:t xml:space="preserve"> </w:t>
      </w:r>
      <w:r w:rsidRPr="00E2022F">
        <w:rPr>
          <w:rFonts w:ascii="Times New Roman" w:hAnsi="Times New Roman" w:cs="Times New Roman"/>
          <w:i/>
        </w:rPr>
        <w:t>Identifikovat</w:t>
      </w:r>
      <w:proofErr w:type="gramEnd"/>
      <w:r w:rsidRPr="00E2022F">
        <w:rPr>
          <w:rFonts w:ascii="Times New Roman" w:hAnsi="Times New Roman" w:cs="Times New Roman"/>
          <w:i/>
        </w:rPr>
        <w:t xml:space="preserve"> cílové skupiny + Vytvořit vhodnou</w:t>
      </w:r>
      <w:r w:rsidR="00E663BB" w:rsidRPr="00E2022F">
        <w:rPr>
          <w:rFonts w:ascii="Times New Roman" w:hAnsi="Times New Roman" w:cs="Times New Roman"/>
          <w:i/>
        </w:rPr>
        <w:t xml:space="preserve"> komunikační strategie vůči cílovým skupinám + </w:t>
      </w:r>
      <w:r w:rsidRPr="00E2022F">
        <w:rPr>
          <w:rFonts w:ascii="Times New Roman" w:hAnsi="Times New Roman" w:cs="Times New Roman"/>
          <w:i/>
        </w:rPr>
        <w:t>Zajistit výbornou</w:t>
      </w:r>
      <w:r w:rsidR="00E663BB" w:rsidRPr="00E2022F">
        <w:rPr>
          <w:rFonts w:ascii="Times New Roman" w:hAnsi="Times New Roman" w:cs="Times New Roman"/>
          <w:i/>
        </w:rPr>
        <w:t xml:space="preserve"> informovanost příslušných pracovníků veřejné správy + Otevřená a úzká spolupráce všech zainteresovaných pracovišť </w:t>
      </w:r>
      <w:r w:rsidRPr="00E2022F">
        <w:rPr>
          <w:rFonts w:ascii="Times New Roman" w:hAnsi="Times New Roman" w:cs="Times New Roman"/>
          <w:i/>
        </w:rPr>
        <w:t>při realizaci komunikační strategie = Vyšší informovanost cílových skupin vč. osob s nižší úrovní vzdělání.</w:t>
      </w:r>
    </w:p>
    <w:p w14:paraId="2AF378A2" w14:textId="680428A1" w:rsidR="004F6E12" w:rsidRDefault="00C620DA" w:rsidP="0095623F">
      <w:pPr>
        <w:spacing w:before="120" w:line="360" w:lineRule="auto"/>
        <w:jc w:val="both"/>
        <w:rPr>
          <w:rFonts w:ascii="Times New Roman" w:hAnsi="Times New Roman" w:cs="Times New Roman"/>
        </w:rPr>
      </w:pPr>
      <w:r w:rsidRPr="003B5BAA">
        <w:rPr>
          <w:rFonts w:ascii="Times New Roman" w:hAnsi="Times New Roman" w:cs="Times New Roman"/>
        </w:rPr>
        <w:lastRenderedPageBreak/>
        <w:t>Osoby</w:t>
      </w:r>
      <w:r w:rsidR="004F6E12" w:rsidRPr="003B5BAA">
        <w:rPr>
          <w:rFonts w:ascii="Times New Roman" w:hAnsi="Times New Roman" w:cs="Times New Roman"/>
        </w:rPr>
        <w:t xml:space="preserve"> s nejnižší úro</w:t>
      </w:r>
      <w:r w:rsidRPr="003B5BAA">
        <w:rPr>
          <w:rFonts w:ascii="Times New Roman" w:hAnsi="Times New Roman" w:cs="Times New Roman"/>
        </w:rPr>
        <w:t>vní vzdělání vyžadují</w:t>
      </w:r>
      <w:r w:rsidRPr="00C92B38">
        <w:rPr>
          <w:rFonts w:ascii="Times New Roman" w:hAnsi="Times New Roman" w:cs="Times New Roman"/>
          <w:b/>
        </w:rPr>
        <w:t xml:space="preserve"> specifický přístup</w:t>
      </w:r>
      <w:r w:rsidR="004F6E12" w:rsidRPr="00C92B38">
        <w:rPr>
          <w:rFonts w:ascii="Times New Roman" w:hAnsi="Times New Roman" w:cs="Times New Roman"/>
          <w:b/>
        </w:rPr>
        <w:t>.</w:t>
      </w:r>
      <w:r w:rsidR="004F6E12">
        <w:rPr>
          <w:rFonts w:ascii="Times New Roman" w:hAnsi="Times New Roman" w:cs="Times New Roman"/>
        </w:rPr>
        <w:t xml:space="preserve"> Již v rámci základního vzdělávání lze doporučit určitá </w:t>
      </w:r>
      <w:r w:rsidR="004F6E12" w:rsidRPr="00C92B38">
        <w:rPr>
          <w:rFonts w:ascii="Times New Roman" w:hAnsi="Times New Roman" w:cs="Times New Roman"/>
          <w:i/>
        </w:rPr>
        <w:t>opatření, která b</w:t>
      </w:r>
      <w:r w:rsidR="00A92DFB" w:rsidRPr="00C92B38">
        <w:rPr>
          <w:rFonts w:ascii="Times New Roman" w:hAnsi="Times New Roman" w:cs="Times New Roman"/>
          <w:i/>
        </w:rPr>
        <w:t>y mohla zlepšit vztah žáků ke škole a motivovat je pro setrvání ve vzdělávacím procesu</w:t>
      </w:r>
      <w:r w:rsidR="00A92DFB">
        <w:rPr>
          <w:rFonts w:ascii="Times New Roman" w:hAnsi="Times New Roman" w:cs="Times New Roman"/>
        </w:rPr>
        <w:t xml:space="preserve"> (např. zavést předmět, který by jim umožnil lépe se orientovat v pracovním prostředí, v aktuálních požadavcích na dovednosti a kvalifikace). Ucelený poradenský systém by měl žákům pomoci při volbě povolání (profese), aby odpovídalo</w:t>
      </w:r>
      <w:r>
        <w:rPr>
          <w:rFonts w:ascii="Times New Roman" w:hAnsi="Times New Roman" w:cs="Times New Roman"/>
        </w:rPr>
        <w:t xml:space="preserve"> jejich zájmům a současně jejich možnostem (intelektuálním, psychickým apod.). </w:t>
      </w:r>
    </w:p>
    <w:p w14:paraId="0297852E" w14:textId="39266C6E" w:rsidR="00C620DA" w:rsidRDefault="00C620DA" w:rsidP="0095623F">
      <w:pPr>
        <w:spacing w:before="120" w:line="360" w:lineRule="auto"/>
        <w:jc w:val="both"/>
        <w:rPr>
          <w:rFonts w:ascii="Times New Roman" w:hAnsi="Times New Roman" w:cs="Times New Roman"/>
        </w:rPr>
      </w:pPr>
      <w:r>
        <w:rPr>
          <w:rFonts w:ascii="Times New Roman" w:hAnsi="Times New Roman" w:cs="Times New Roman"/>
        </w:rPr>
        <w:t xml:space="preserve">V oblasti </w:t>
      </w:r>
      <w:r w:rsidRPr="00C92B38">
        <w:rPr>
          <w:rFonts w:ascii="Times New Roman" w:hAnsi="Times New Roman" w:cs="Times New Roman"/>
          <w:i/>
        </w:rPr>
        <w:t>pasivní politiky zaměstnanosti</w:t>
      </w:r>
      <w:r>
        <w:rPr>
          <w:rFonts w:ascii="Times New Roman" w:hAnsi="Times New Roman" w:cs="Times New Roman"/>
        </w:rPr>
        <w:t xml:space="preserve"> lze doporučit zejména</w:t>
      </w:r>
      <w:r w:rsidR="00FC0030">
        <w:rPr>
          <w:rFonts w:ascii="Times New Roman" w:hAnsi="Times New Roman" w:cs="Times New Roman"/>
        </w:rPr>
        <w:t xml:space="preserve"> následující opatření</w:t>
      </w:r>
      <w:r>
        <w:rPr>
          <w:rFonts w:ascii="Times New Roman" w:hAnsi="Times New Roman" w:cs="Times New Roman"/>
        </w:rPr>
        <w:t>:</w:t>
      </w:r>
    </w:p>
    <w:p w14:paraId="074795A9" w14:textId="479A4878" w:rsidR="00C620DA" w:rsidRPr="00C92B38" w:rsidRDefault="00FC0030" w:rsidP="00C620DA">
      <w:pPr>
        <w:pStyle w:val="Odstavecseseznamem"/>
        <w:numPr>
          <w:ilvl w:val="0"/>
          <w:numId w:val="40"/>
        </w:numPr>
        <w:spacing w:before="120" w:line="360" w:lineRule="auto"/>
        <w:jc w:val="both"/>
        <w:rPr>
          <w:rFonts w:ascii="Times New Roman" w:hAnsi="Times New Roman" w:cs="Times New Roman"/>
        </w:rPr>
      </w:pPr>
      <w:r>
        <w:rPr>
          <w:rFonts w:ascii="Times New Roman" w:hAnsi="Times New Roman" w:cs="Times New Roman"/>
        </w:rPr>
        <w:t>Významně</w:t>
      </w:r>
      <w:r w:rsidR="00C620DA">
        <w:rPr>
          <w:rFonts w:ascii="Times New Roman" w:hAnsi="Times New Roman" w:cs="Times New Roman"/>
        </w:rPr>
        <w:t xml:space="preserve"> </w:t>
      </w:r>
      <w:r w:rsidR="00C620DA" w:rsidRPr="00C92B38">
        <w:rPr>
          <w:rFonts w:ascii="Times New Roman" w:hAnsi="Times New Roman" w:cs="Times New Roman"/>
        </w:rPr>
        <w:t>odlišit výši sociálních dávek od mzdové úrovně vyplácené zaměstnancům s nejnižším vzděláním</w:t>
      </w:r>
      <w:r w:rsidRPr="00C92B38">
        <w:rPr>
          <w:rFonts w:ascii="Times New Roman" w:hAnsi="Times New Roman" w:cs="Times New Roman"/>
        </w:rPr>
        <w:t xml:space="preserve"> (zpravidla kopírující minimální </w:t>
      </w:r>
      <w:r w:rsidR="00C620DA" w:rsidRPr="00C92B38">
        <w:rPr>
          <w:rFonts w:ascii="Times New Roman" w:hAnsi="Times New Roman" w:cs="Times New Roman"/>
        </w:rPr>
        <w:t>mzdu)</w:t>
      </w:r>
      <w:r w:rsidRPr="00C92B38">
        <w:rPr>
          <w:rFonts w:ascii="Times New Roman" w:hAnsi="Times New Roman" w:cs="Times New Roman"/>
        </w:rPr>
        <w:t xml:space="preserve"> – cílem je zvýšit motivaci k aktivní účasti na trhu práce.</w:t>
      </w:r>
    </w:p>
    <w:p w14:paraId="7799C957" w14:textId="309B00CC" w:rsidR="00FC0030" w:rsidRDefault="00FC0030" w:rsidP="00C620DA">
      <w:pPr>
        <w:pStyle w:val="Odstavecseseznamem"/>
        <w:numPr>
          <w:ilvl w:val="0"/>
          <w:numId w:val="40"/>
        </w:numPr>
        <w:spacing w:before="120" w:line="360" w:lineRule="auto"/>
        <w:jc w:val="both"/>
        <w:rPr>
          <w:rFonts w:ascii="Times New Roman" w:hAnsi="Times New Roman" w:cs="Times New Roman"/>
        </w:rPr>
      </w:pPr>
      <w:r w:rsidRPr="00C92B38">
        <w:rPr>
          <w:rFonts w:ascii="Times New Roman" w:hAnsi="Times New Roman" w:cs="Times New Roman"/>
        </w:rPr>
        <w:t>Zvýhodnit jedince, kteří aktivně hledají práci,</w:t>
      </w:r>
      <w:r>
        <w:rPr>
          <w:rFonts w:ascii="Times New Roman" w:hAnsi="Times New Roman" w:cs="Times New Roman"/>
        </w:rPr>
        <w:t xml:space="preserve"> jsou ochotni zapojit se do dalšího vzdělávání a účastní se programů aktivní politiky zaměstnanosti.</w:t>
      </w:r>
    </w:p>
    <w:p w14:paraId="04DB10C5" w14:textId="55BF3C81" w:rsidR="00FC0030" w:rsidRPr="00FC0030" w:rsidRDefault="00FC0030" w:rsidP="00FC0030">
      <w:pPr>
        <w:spacing w:before="120" w:line="360" w:lineRule="auto"/>
        <w:jc w:val="both"/>
        <w:rPr>
          <w:rFonts w:ascii="Times New Roman" w:hAnsi="Times New Roman" w:cs="Times New Roman"/>
        </w:rPr>
      </w:pPr>
      <w:r>
        <w:rPr>
          <w:rFonts w:ascii="Times New Roman" w:hAnsi="Times New Roman" w:cs="Times New Roman"/>
        </w:rPr>
        <w:t xml:space="preserve">V oblasti </w:t>
      </w:r>
      <w:r w:rsidRPr="00C92B38">
        <w:rPr>
          <w:rFonts w:ascii="Times New Roman" w:hAnsi="Times New Roman" w:cs="Times New Roman"/>
          <w:i/>
        </w:rPr>
        <w:t>aktivní politiky zaměstnanosti</w:t>
      </w:r>
      <w:r w:rsidR="003B5BAA">
        <w:rPr>
          <w:rFonts w:ascii="Times New Roman" w:hAnsi="Times New Roman" w:cs="Times New Roman"/>
        </w:rPr>
        <w:t xml:space="preserve"> by bylo vhodné přijmout opatření, která by vedla k</w:t>
      </w:r>
      <w:r>
        <w:rPr>
          <w:rFonts w:ascii="Times New Roman" w:hAnsi="Times New Roman" w:cs="Times New Roman"/>
        </w:rPr>
        <w:t xml:space="preserve"> lepšímu umisťování osob s nejnižší kvalifikací na trhu práce. Jedná se především o </w:t>
      </w:r>
      <w:r w:rsidRPr="003B5BAA">
        <w:rPr>
          <w:rFonts w:ascii="Times New Roman" w:hAnsi="Times New Roman" w:cs="Times New Roman"/>
        </w:rPr>
        <w:t>zlepšení systému odměňování, vzdělávání a rozvoje zaměstnanců</w:t>
      </w:r>
      <w:r w:rsidR="00C92B38" w:rsidRPr="003B5BAA">
        <w:rPr>
          <w:rFonts w:ascii="Times New Roman" w:hAnsi="Times New Roman" w:cs="Times New Roman"/>
        </w:rPr>
        <w:t xml:space="preserve"> úřadů práce</w:t>
      </w:r>
      <w:r w:rsidR="00C92B38">
        <w:rPr>
          <w:rFonts w:ascii="Times New Roman" w:hAnsi="Times New Roman" w:cs="Times New Roman"/>
        </w:rPr>
        <w:t xml:space="preserve"> – cílem je zefektivnit poskytování poradenské činnosti. Vhodné by bylo například navázat odměňování zaměstnanců úřadu práce (zejm. zprostředkovatelů práce) na počet osob, které se podařilo umístit na trh práce.</w:t>
      </w:r>
    </w:p>
    <w:p w14:paraId="79C405AA" w14:textId="1E8AF845" w:rsidR="00D66A17" w:rsidRPr="00BE5F4E" w:rsidRDefault="00E54669" w:rsidP="00FF5EF1">
      <w:pPr>
        <w:pStyle w:val="Nadpis3"/>
      </w:pPr>
      <w:bookmarkStart w:id="28" w:name="_Toc398662594"/>
      <w:r>
        <w:t>2.3.1</w:t>
      </w:r>
      <w:r w:rsidR="002845DC" w:rsidRPr="00BE5F4E">
        <w:t xml:space="preserve"> Účast na dalším </w:t>
      </w:r>
      <w:r>
        <w:t xml:space="preserve">formálním </w:t>
      </w:r>
      <w:r w:rsidR="002845DC" w:rsidRPr="00BE5F4E">
        <w:t>vzdělávání</w:t>
      </w:r>
      <w:bookmarkEnd w:id="28"/>
    </w:p>
    <w:p w14:paraId="013A6CF0" w14:textId="4CBA157B" w:rsidR="006051CE" w:rsidRPr="00E54669" w:rsidRDefault="00FF5EF1" w:rsidP="00E54669">
      <w:pPr>
        <w:spacing w:before="120" w:line="360" w:lineRule="auto"/>
        <w:jc w:val="both"/>
        <w:rPr>
          <w:rFonts w:ascii="Times New Roman" w:hAnsi="Times New Roman" w:cs="Times New Roman"/>
        </w:rPr>
      </w:pPr>
      <w:r>
        <w:rPr>
          <w:rFonts w:ascii="Times New Roman" w:hAnsi="Times New Roman" w:cs="Times New Roman"/>
        </w:rPr>
        <w:t>Jak bylo uvedeno výše v textu, další vzdělávání mů</w:t>
      </w:r>
      <w:r w:rsidR="00E31F2B">
        <w:rPr>
          <w:rFonts w:ascii="Times New Roman" w:hAnsi="Times New Roman" w:cs="Times New Roman"/>
        </w:rPr>
        <w:t xml:space="preserve">že být formální či neformální. </w:t>
      </w:r>
      <w:r w:rsidR="00B33F13">
        <w:rPr>
          <w:rFonts w:ascii="Times New Roman" w:hAnsi="Times New Roman" w:cs="Times New Roman"/>
        </w:rPr>
        <w:t>Účast dospělé populace na formálním a neformálním vzdělávání je v rámci Evropské unie pravidelně sledována, a to v pětileté periodicitě, na základě šetření AES (</w:t>
      </w:r>
      <w:proofErr w:type="spellStart"/>
      <w:r w:rsidR="00B33F13">
        <w:rPr>
          <w:rFonts w:ascii="Times New Roman" w:hAnsi="Times New Roman" w:cs="Times New Roman"/>
          <w:i/>
        </w:rPr>
        <w:t>Adult</w:t>
      </w:r>
      <w:proofErr w:type="spellEnd"/>
      <w:r w:rsidR="00B33F13">
        <w:rPr>
          <w:rFonts w:ascii="Times New Roman" w:hAnsi="Times New Roman" w:cs="Times New Roman"/>
          <w:i/>
        </w:rPr>
        <w:t xml:space="preserve"> </w:t>
      </w:r>
      <w:proofErr w:type="spellStart"/>
      <w:r w:rsidR="00B33F13">
        <w:rPr>
          <w:rFonts w:ascii="Times New Roman" w:hAnsi="Times New Roman" w:cs="Times New Roman"/>
          <w:i/>
        </w:rPr>
        <w:t>Education</w:t>
      </w:r>
      <w:proofErr w:type="spellEnd"/>
      <w:r w:rsidR="00B33F13">
        <w:rPr>
          <w:rFonts w:ascii="Times New Roman" w:hAnsi="Times New Roman" w:cs="Times New Roman"/>
          <w:i/>
        </w:rPr>
        <w:t xml:space="preserve"> </w:t>
      </w:r>
      <w:proofErr w:type="spellStart"/>
      <w:r w:rsidR="00B33F13">
        <w:rPr>
          <w:rFonts w:ascii="Times New Roman" w:hAnsi="Times New Roman" w:cs="Times New Roman"/>
          <w:i/>
        </w:rPr>
        <w:t>Survey</w:t>
      </w:r>
      <w:proofErr w:type="spellEnd"/>
      <w:r w:rsidR="00B33F13">
        <w:rPr>
          <w:rFonts w:ascii="Times New Roman" w:hAnsi="Times New Roman" w:cs="Times New Roman"/>
        </w:rPr>
        <w:t>).</w:t>
      </w:r>
      <w:r w:rsidR="00B33F13">
        <w:rPr>
          <w:rStyle w:val="Znakapoznpodarou"/>
          <w:rFonts w:ascii="Times New Roman" w:hAnsi="Times New Roman" w:cs="Times New Roman"/>
        </w:rPr>
        <w:footnoteReference w:id="18"/>
      </w:r>
      <w:r w:rsidR="00AB0061">
        <w:rPr>
          <w:rFonts w:ascii="Times New Roman" w:hAnsi="Times New Roman" w:cs="Times New Roman"/>
        </w:rPr>
        <w:t xml:space="preserve"> </w:t>
      </w:r>
    </w:p>
    <w:p w14:paraId="5F11741E" w14:textId="25FF7DE8" w:rsidR="000A1314" w:rsidRDefault="005867E0" w:rsidP="005867E0">
      <w:pPr>
        <w:spacing w:before="120" w:line="360" w:lineRule="auto"/>
        <w:jc w:val="both"/>
        <w:rPr>
          <w:rFonts w:ascii="Times New Roman" w:hAnsi="Times New Roman" w:cs="Times New Roman"/>
        </w:rPr>
      </w:pPr>
      <w:r>
        <w:rPr>
          <w:rFonts w:ascii="Times New Roman" w:hAnsi="Times New Roman" w:cs="Times New Roman"/>
        </w:rPr>
        <w:t xml:space="preserve">Přestože dospělí </w:t>
      </w:r>
      <w:r w:rsidR="00AA35FD">
        <w:rPr>
          <w:rFonts w:ascii="Times New Roman" w:hAnsi="Times New Roman" w:cs="Times New Roman"/>
        </w:rPr>
        <w:t xml:space="preserve">v České republice </w:t>
      </w:r>
      <w:r>
        <w:rPr>
          <w:rFonts w:ascii="Times New Roman" w:hAnsi="Times New Roman" w:cs="Times New Roman"/>
        </w:rPr>
        <w:t xml:space="preserve">mají řadu možností zapojit se do formálního vzdělávání, ve veřejných vzdělávacích institucích za určitých okolností </w:t>
      </w:r>
      <w:r w:rsidR="00AA35FD">
        <w:rPr>
          <w:rFonts w:ascii="Times New Roman" w:hAnsi="Times New Roman" w:cs="Times New Roman"/>
        </w:rPr>
        <w:t xml:space="preserve">i </w:t>
      </w:r>
      <w:r>
        <w:rPr>
          <w:rFonts w:ascii="Times New Roman" w:hAnsi="Times New Roman" w:cs="Times New Roman"/>
        </w:rPr>
        <w:t xml:space="preserve">zdarma, </w:t>
      </w:r>
      <w:r w:rsidR="004D4185">
        <w:rPr>
          <w:rFonts w:ascii="Times New Roman" w:hAnsi="Times New Roman" w:cs="Times New Roman"/>
        </w:rPr>
        <w:t xml:space="preserve">ve srovnání s ostatními zeměmi EU je účast dospělých na </w:t>
      </w:r>
      <w:r w:rsidR="001E2A94">
        <w:rPr>
          <w:rFonts w:ascii="Times New Roman" w:hAnsi="Times New Roman" w:cs="Times New Roman"/>
        </w:rPr>
        <w:t xml:space="preserve">dalším </w:t>
      </w:r>
      <w:r w:rsidR="004D4185">
        <w:rPr>
          <w:rFonts w:ascii="Times New Roman" w:hAnsi="Times New Roman" w:cs="Times New Roman"/>
        </w:rPr>
        <w:t>formálním</w:t>
      </w:r>
      <w:r w:rsidR="00AA35FD">
        <w:rPr>
          <w:rFonts w:ascii="Times New Roman" w:hAnsi="Times New Roman" w:cs="Times New Roman"/>
        </w:rPr>
        <w:t xml:space="preserve"> vzdělávání silně podprůměrná (viz Obrázek 2.6). Je nutné </w:t>
      </w:r>
      <w:r w:rsidR="007946CB">
        <w:rPr>
          <w:rFonts w:ascii="Times New Roman" w:hAnsi="Times New Roman" w:cs="Times New Roman"/>
        </w:rPr>
        <w:t xml:space="preserve">ale </w:t>
      </w:r>
      <w:r w:rsidR="00AA35FD">
        <w:rPr>
          <w:rFonts w:ascii="Times New Roman" w:hAnsi="Times New Roman" w:cs="Times New Roman"/>
        </w:rPr>
        <w:t xml:space="preserve">upozornit, že uvedené srovnání má </w:t>
      </w:r>
      <w:r w:rsidR="00AA35FD">
        <w:rPr>
          <w:rFonts w:ascii="Times New Roman" w:hAnsi="Times New Roman" w:cs="Times New Roman"/>
        </w:rPr>
        <w:lastRenderedPageBreak/>
        <w:t>omezenou vypovídací schopnost, která je dána odlišně koncipovanými programy v jednotlivých zemích i rozdílným práv</w:t>
      </w:r>
      <w:r w:rsidR="000A1314">
        <w:rPr>
          <w:rFonts w:ascii="Times New Roman" w:hAnsi="Times New Roman" w:cs="Times New Roman"/>
        </w:rPr>
        <w:t>ním prostředím. Různorodost konkrétní podoby formálního vzdělávání se pak promítá také do sledovaného indikátoru „průměrný počet hodin strávených studiem (výukou) za měsíc na jednoho účastníka“.</w:t>
      </w:r>
    </w:p>
    <w:p w14:paraId="3E3C0F04" w14:textId="53A71521" w:rsidR="00CA26BD" w:rsidRPr="00CA26BD" w:rsidRDefault="00CA26BD" w:rsidP="00CA26BD">
      <w:pPr>
        <w:spacing w:before="120"/>
        <w:jc w:val="both"/>
        <w:rPr>
          <w:rFonts w:ascii="Times New Roman" w:hAnsi="Times New Roman" w:cs="Times New Roman"/>
          <w:b/>
          <w:sz w:val="22"/>
          <w:szCs w:val="22"/>
        </w:rPr>
      </w:pPr>
      <w:r>
        <w:rPr>
          <w:rFonts w:ascii="Times New Roman" w:hAnsi="Times New Roman" w:cs="Times New Roman"/>
          <w:sz w:val="22"/>
          <w:szCs w:val="22"/>
        </w:rPr>
        <w:t xml:space="preserve">Obrázek 2.6 </w:t>
      </w:r>
      <w:r>
        <w:rPr>
          <w:rFonts w:ascii="Times New Roman" w:hAnsi="Times New Roman" w:cs="Times New Roman"/>
          <w:b/>
          <w:sz w:val="22"/>
          <w:szCs w:val="22"/>
        </w:rPr>
        <w:t xml:space="preserve">Účast dospělé populace (25–64 let) na </w:t>
      </w:r>
      <w:r w:rsidR="00CF7B6A">
        <w:rPr>
          <w:rFonts w:ascii="Times New Roman" w:hAnsi="Times New Roman" w:cs="Times New Roman"/>
          <w:b/>
          <w:sz w:val="22"/>
          <w:szCs w:val="22"/>
        </w:rPr>
        <w:t xml:space="preserve">dalším </w:t>
      </w:r>
      <w:r>
        <w:rPr>
          <w:rFonts w:ascii="Times New Roman" w:hAnsi="Times New Roman" w:cs="Times New Roman"/>
          <w:b/>
          <w:sz w:val="22"/>
          <w:szCs w:val="22"/>
        </w:rPr>
        <w:t>formálním vzdělávání a průměrný počet hodin vynaložený na formální vzdělávání měsíčně (vybrané země, 2016/2017)</w:t>
      </w:r>
    </w:p>
    <w:p w14:paraId="7972F1D8" w14:textId="49B2E5C3" w:rsidR="00CA26BD" w:rsidRDefault="00CA26BD" w:rsidP="005867E0">
      <w:pPr>
        <w:spacing w:before="120" w:line="360" w:lineRule="auto"/>
        <w:jc w:val="both"/>
        <w:rPr>
          <w:rFonts w:ascii="Times New Roman" w:hAnsi="Times New Roman" w:cs="Times New Roman"/>
        </w:rPr>
      </w:pPr>
      <w:r>
        <w:rPr>
          <w:noProof/>
          <w:lang w:val="en-US"/>
        </w:rPr>
        <w:drawing>
          <wp:inline distT="0" distB="0" distL="0" distR="0" wp14:anchorId="6F254E77" wp14:editId="0FC18AAC">
            <wp:extent cx="5274310" cy="3657600"/>
            <wp:effectExtent l="0" t="0" r="34290" b="25400"/>
            <wp:docPr id="1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28C6F5" w14:textId="3E63AE78" w:rsidR="00CA26BD" w:rsidRPr="007946CB" w:rsidRDefault="00CA26BD" w:rsidP="00CA26BD">
      <w:pPr>
        <w:spacing w:before="120"/>
        <w:jc w:val="both"/>
        <w:rPr>
          <w:rFonts w:ascii="Times New Roman" w:hAnsi="Times New Roman" w:cs="Times New Roman"/>
          <w:i/>
          <w:sz w:val="22"/>
          <w:szCs w:val="22"/>
        </w:rPr>
      </w:pPr>
      <w:r w:rsidRPr="007946CB">
        <w:rPr>
          <w:rFonts w:ascii="Times New Roman" w:hAnsi="Times New Roman" w:cs="Times New Roman"/>
          <w:i/>
          <w:sz w:val="22"/>
          <w:szCs w:val="22"/>
        </w:rPr>
        <w:t>Zdroj: AES (2016), ČSÚ (</w:t>
      </w:r>
      <w:proofErr w:type="gramStart"/>
      <w:r w:rsidRPr="007946CB">
        <w:rPr>
          <w:rFonts w:ascii="Times New Roman" w:hAnsi="Times New Roman" w:cs="Times New Roman"/>
          <w:i/>
          <w:sz w:val="22"/>
          <w:szCs w:val="22"/>
        </w:rPr>
        <w:t>2018</w:t>
      </w:r>
      <w:r w:rsidR="007A0B2F">
        <w:rPr>
          <w:rFonts w:ascii="Times New Roman" w:hAnsi="Times New Roman" w:cs="Times New Roman"/>
          <w:i/>
          <w:sz w:val="22"/>
          <w:szCs w:val="22"/>
        </w:rPr>
        <w:t>a</w:t>
      </w:r>
      <w:proofErr w:type="gramEnd"/>
      <w:r w:rsidRPr="007946CB">
        <w:rPr>
          <w:rFonts w:ascii="Times New Roman" w:hAnsi="Times New Roman" w:cs="Times New Roman"/>
          <w:i/>
          <w:sz w:val="22"/>
          <w:szCs w:val="22"/>
        </w:rPr>
        <w:t>).</w:t>
      </w:r>
    </w:p>
    <w:p w14:paraId="49B4D5DE" w14:textId="77777777" w:rsidR="00CA26BD" w:rsidRDefault="00CA26BD" w:rsidP="005867E0">
      <w:pPr>
        <w:spacing w:before="120" w:line="360" w:lineRule="auto"/>
        <w:jc w:val="both"/>
        <w:rPr>
          <w:rFonts w:ascii="Times New Roman" w:hAnsi="Times New Roman" w:cs="Times New Roman"/>
        </w:rPr>
      </w:pPr>
    </w:p>
    <w:p w14:paraId="6A017881" w14:textId="6121AB17" w:rsidR="000A1314" w:rsidRDefault="00390BFF" w:rsidP="005867E0">
      <w:pPr>
        <w:spacing w:before="120" w:line="360" w:lineRule="auto"/>
        <w:jc w:val="both"/>
        <w:rPr>
          <w:rFonts w:ascii="Times New Roman" w:hAnsi="Times New Roman" w:cs="Times New Roman"/>
        </w:rPr>
      </w:pPr>
      <w:r>
        <w:rPr>
          <w:rFonts w:ascii="Times New Roman" w:hAnsi="Times New Roman" w:cs="Times New Roman"/>
        </w:rPr>
        <w:t>Například v Německu se účastní</w:t>
      </w:r>
      <w:r w:rsidR="000A1314">
        <w:rPr>
          <w:rFonts w:ascii="Times New Roman" w:hAnsi="Times New Roman" w:cs="Times New Roman"/>
        </w:rPr>
        <w:t xml:space="preserve"> dalšího vzdě</w:t>
      </w:r>
      <w:r>
        <w:rPr>
          <w:rFonts w:ascii="Times New Roman" w:hAnsi="Times New Roman" w:cs="Times New Roman"/>
        </w:rPr>
        <w:t>lávání jen 4 % dospělých (ve věkové kategorii</w:t>
      </w:r>
      <w:r w:rsidR="000A1314">
        <w:rPr>
          <w:rFonts w:ascii="Times New Roman" w:hAnsi="Times New Roman" w:cs="Times New Roman"/>
        </w:rPr>
        <w:t xml:space="preserve"> 25–64 let</w:t>
      </w:r>
      <w:r>
        <w:rPr>
          <w:rFonts w:ascii="Times New Roman" w:hAnsi="Times New Roman" w:cs="Times New Roman"/>
        </w:rPr>
        <w:t>)</w:t>
      </w:r>
      <w:r w:rsidR="000A1314">
        <w:rPr>
          <w:rFonts w:ascii="Times New Roman" w:hAnsi="Times New Roman" w:cs="Times New Roman"/>
        </w:rPr>
        <w:t xml:space="preserve">, </w:t>
      </w:r>
      <w:r>
        <w:rPr>
          <w:rFonts w:ascii="Times New Roman" w:hAnsi="Times New Roman" w:cs="Times New Roman"/>
        </w:rPr>
        <w:t>kteří se ale věnují studiu v průměru 73 hodin měsíčně. Ve Velké Británii je situace opačná – do dalšího vzdělávání se zapojuje přes 10 % dospělé populace, měsíční průměr vynaložený na studium činí ale jen 12 hodin. V </w:t>
      </w:r>
      <w:proofErr w:type="gramStart"/>
      <w:r>
        <w:rPr>
          <w:rFonts w:ascii="Times New Roman" w:hAnsi="Times New Roman" w:cs="Times New Roman"/>
        </w:rPr>
        <w:t>České  republice</w:t>
      </w:r>
      <w:proofErr w:type="gramEnd"/>
      <w:r>
        <w:rPr>
          <w:rFonts w:ascii="Times New Roman" w:hAnsi="Times New Roman" w:cs="Times New Roman"/>
        </w:rPr>
        <w:t xml:space="preserve"> se účastní formálního vzdělávání jen něco přes </w:t>
      </w:r>
      <w:r w:rsidR="0087397C">
        <w:rPr>
          <w:rFonts w:ascii="Times New Roman" w:hAnsi="Times New Roman" w:cs="Times New Roman"/>
        </w:rPr>
        <w:t>2 % dospělé populace a účastník stráví studiem měsíčně v průměru 28 hodin.</w:t>
      </w:r>
      <w:r w:rsidR="00431FC7">
        <w:rPr>
          <w:rFonts w:ascii="Times New Roman" w:hAnsi="Times New Roman" w:cs="Times New Roman"/>
        </w:rPr>
        <w:t xml:space="preserve"> </w:t>
      </w:r>
    </w:p>
    <w:p w14:paraId="08D0A22B" w14:textId="77777777" w:rsidR="00E2022F" w:rsidRDefault="0087397C" w:rsidP="00E2022F">
      <w:pPr>
        <w:spacing w:before="120" w:line="360" w:lineRule="auto"/>
        <w:jc w:val="both"/>
        <w:rPr>
          <w:rFonts w:ascii="Times New Roman" w:hAnsi="Times New Roman" w:cs="Times New Roman"/>
        </w:rPr>
      </w:pPr>
      <w:r w:rsidRPr="001E2A94">
        <w:rPr>
          <w:rFonts w:ascii="Times New Roman" w:hAnsi="Times New Roman" w:cs="Times New Roman"/>
          <w:b/>
        </w:rPr>
        <w:t xml:space="preserve">Nízká participace dospělé populace na </w:t>
      </w:r>
      <w:r w:rsidR="001E2A94" w:rsidRPr="001E2A94">
        <w:rPr>
          <w:rFonts w:ascii="Times New Roman" w:hAnsi="Times New Roman" w:cs="Times New Roman"/>
          <w:b/>
        </w:rPr>
        <w:t xml:space="preserve">dalším </w:t>
      </w:r>
      <w:r w:rsidRPr="001E2A94">
        <w:rPr>
          <w:rFonts w:ascii="Times New Roman" w:hAnsi="Times New Roman" w:cs="Times New Roman"/>
          <w:b/>
        </w:rPr>
        <w:t>formálním vzdělávání</w:t>
      </w:r>
      <w:r>
        <w:rPr>
          <w:rFonts w:ascii="Times New Roman" w:hAnsi="Times New Roman" w:cs="Times New Roman"/>
        </w:rPr>
        <w:t xml:space="preserve"> v ČR má minimálně dvě </w:t>
      </w:r>
      <w:r w:rsidRPr="001E2A94">
        <w:rPr>
          <w:rFonts w:ascii="Times New Roman" w:hAnsi="Times New Roman" w:cs="Times New Roman"/>
          <w:b/>
        </w:rPr>
        <w:t>příčiny</w:t>
      </w:r>
      <w:r>
        <w:rPr>
          <w:rFonts w:ascii="Times New Roman" w:hAnsi="Times New Roman" w:cs="Times New Roman"/>
        </w:rPr>
        <w:t xml:space="preserve">. Střední i vysoké školy sice nabízejí řadu programů (večerní, distanční, kombinované), které umožňují časově sladit práci se studiem, nicméně tyto programy jsou koncipovány po jednotlivých ročnících, nikoliv modulárně. </w:t>
      </w:r>
      <w:r>
        <w:rPr>
          <w:rFonts w:ascii="Times New Roman" w:hAnsi="Times New Roman" w:cs="Times New Roman"/>
        </w:rPr>
        <w:lastRenderedPageBreak/>
        <w:t xml:space="preserve">Neumožňují tedy pružně sestavovat obsah vzdělávání a </w:t>
      </w:r>
      <w:r w:rsidR="00E848ED">
        <w:rPr>
          <w:rFonts w:ascii="Times New Roman" w:hAnsi="Times New Roman" w:cs="Times New Roman"/>
        </w:rPr>
        <w:t xml:space="preserve">plně jej přizpůsobit </w:t>
      </w:r>
      <w:r>
        <w:rPr>
          <w:rFonts w:ascii="Times New Roman" w:hAnsi="Times New Roman" w:cs="Times New Roman"/>
        </w:rPr>
        <w:t>potřebám jednotlivce</w:t>
      </w:r>
      <w:r w:rsidR="00E848ED">
        <w:rPr>
          <w:rFonts w:ascii="Times New Roman" w:hAnsi="Times New Roman" w:cs="Times New Roman"/>
        </w:rPr>
        <w:t>, vyžadují také větší časové investice.</w:t>
      </w:r>
      <w:r w:rsidR="001E2A94">
        <w:rPr>
          <w:rFonts w:ascii="Times New Roman" w:hAnsi="Times New Roman" w:cs="Times New Roman"/>
        </w:rPr>
        <w:t xml:space="preserve"> </w:t>
      </w:r>
      <w:r w:rsidR="0060618C">
        <w:rPr>
          <w:rFonts w:ascii="Times New Roman" w:hAnsi="Times New Roman" w:cs="Times New Roman"/>
        </w:rPr>
        <w:t>Dalším důvodem je vysoké procento osob, které již v rámci</w:t>
      </w:r>
      <w:r w:rsidR="007946CB">
        <w:rPr>
          <w:rFonts w:ascii="Times New Roman" w:hAnsi="Times New Roman" w:cs="Times New Roman"/>
        </w:rPr>
        <w:t xml:space="preserve"> počátečního vzdělávání dosahují alespoň středoškolské úrovně vzdělá</w:t>
      </w:r>
      <w:r w:rsidR="0060618C">
        <w:rPr>
          <w:rFonts w:ascii="Times New Roman" w:hAnsi="Times New Roman" w:cs="Times New Roman"/>
        </w:rPr>
        <w:t>ní (viz Obrázek 1.2).</w:t>
      </w:r>
    </w:p>
    <w:p w14:paraId="6B367EE0" w14:textId="46EA0EC2" w:rsidR="00CA26BD" w:rsidRDefault="00D645FE" w:rsidP="00E2022F">
      <w:pPr>
        <w:spacing w:before="120" w:line="360" w:lineRule="auto"/>
        <w:jc w:val="both"/>
        <w:rPr>
          <w:rFonts w:ascii="Times New Roman" w:hAnsi="Times New Roman" w:cs="Times New Roman"/>
        </w:rPr>
      </w:pPr>
      <w:r>
        <w:rPr>
          <w:rFonts w:ascii="Times New Roman" w:hAnsi="Times New Roman" w:cs="Times New Roman"/>
        </w:rPr>
        <w:t>Věkové složení účastníků dalšího formál</w:t>
      </w:r>
      <w:r w:rsidR="007E3AFD">
        <w:rPr>
          <w:rFonts w:ascii="Times New Roman" w:hAnsi="Times New Roman" w:cs="Times New Roman"/>
        </w:rPr>
        <w:t>ního vzdělávání v České republi</w:t>
      </w:r>
      <w:r>
        <w:rPr>
          <w:rFonts w:ascii="Times New Roman" w:hAnsi="Times New Roman" w:cs="Times New Roman"/>
        </w:rPr>
        <w:t>ce znázorňuje Obrázek 2.7.</w:t>
      </w:r>
      <w:r w:rsidR="009A4438">
        <w:rPr>
          <w:rFonts w:ascii="Times New Roman" w:hAnsi="Times New Roman" w:cs="Times New Roman"/>
        </w:rPr>
        <w:t xml:space="preserve"> </w:t>
      </w:r>
    </w:p>
    <w:p w14:paraId="649CA5AE" w14:textId="4C8D8985" w:rsidR="00D645FE" w:rsidRDefault="00D645FE" w:rsidP="007946CB">
      <w:pPr>
        <w:spacing w:before="120"/>
        <w:rPr>
          <w:rFonts w:ascii="Times New Roman" w:hAnsi="Times New Roman" w:cs="Times New Roman"/>
          <w:b/>
          <w:sz w:val="22"/>
          <w:szCs w:val="22"/>
        </w:rPr>
      </w:pPr>
      <w:r>
        <w:rPr>
          <w:rFonts w:ascii="Times New Roman" w:hAnsi="Times New Roman" w:cs="Times New Roman"/>
          <w:sz w:val="22"/>
          <w:szCs w:val="22"/>
        </w:rPr>
        <w:t xml:space="preserve">Obrázek 2.7 </w:t>
      </w:r>
      <w:r>
        <w:rPr>
          <w:rFonts w:ascii="Times New Roman" w:hAnsi="Times New Roman" w:cs="Times New Roman"/>
          <w:b/>
          <w:sz w:val="22"/>
          <w:szCs w:val="22"/>
        </w:rPr>
        <w:t xml:space="preserve">Účast dospělých na </w:t>
      </w:r>
      <w:r w:rsidR="00CF7B6A">
        <w:rPr>
          <w:rFonts w:ascii="Times New Roman" w:hAnsi="Times New Roman" w:cs="Times New Roman"/>
          <w:b/>
          <w:sz w:val="22"/>
          <w:szCs w:val="22"/>
        </w:rPr>
        <w:t xml:space="preserve">dalším </w:t>
      </w:r>
      <w:r>
        <w:rPr>
          <w:rFonts w:ascii="Times New Roman" w:hAnsi="Times New Roman" w:cs="Times New Roman"/>
          <w:b/>
          <w:sz w:val="22"/>
          <w:szCs w:val="22"/>
        </w:rPr>
        <w:t xml:space="preserve">formálním vzdělávání dle věkových kategorií </w:t>
      </w:r>
      <w:r w:rsidR="007E3AFD">
        <w:rPr>
          <w:rFonts w:ascii="Times New Roman" w:hAnsi="Times New Roman" w:cs="Times New Roman"/>
          <w:b/>
          <w:sz w:val="22"/>
          <w:szCs w:val="22"/>
        </w:rPr>
        <w:t>v ČR (2016/2017, v %)</w:t>
      </w:r>
    </w:p>
    <w:p w14:paraId="5934B54B" w14:textId="014963DE" w:rsidR="007E3AFD" w:rsidRPr="00D645FE" w:rsidRDefault="007E3AFD" w:rsidP="00D645FE">
      <w:pPr>
        <w:spacing w:before="120" w:line="360" w:lineRule="auto"/>
        <w:rPr>
          <w:rFonts w:ascii="Times New Roman" w:hAnsi="Times New Roman" w:cs="Times New Roman"/>
          <w:b/>
          <w:sz w:val="22"/>
          <w:szCs w:val="22"/>
        </w:rPr>
      </w:pPr>
      <w:r>
        <w:rPr>
          <w:rFonts w:ascii="Times New Roman" w:hAnsi="Times New Roman" w:cs="Times New Roman"/>
          <w:b/>
          <w:noProof/>
          <w:sz w:val="22"/>
          <w:szCs w:val="22"/>
          <w:lang w:val="en-US"/>
        </w:rPr>
        <w:drawing>
          <wp:inline distT="0" distB="0" distL="0" distR="0" wp14:anchorId="7788FD22" wp14:editId="65886C1D">
            <wp:extent cx="5274310" cy="3076575"/>
            <wp:effectExtent l="0" t="0" r="3429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8509F9" w14:textId="456B3C0A" w:rsidR="00594A28" w:rsidRPr="007946CB" w:rsidRDefault="00DF6D71" w:rsidP="00594A28">
      <w:pPr>
        <w:spacing w:before="120"/>
        <w:jc w:val="both"/>
        <w:rPr>
          <w:rFonts w:ascii="Times New Roman" w:hAnsi="Times New Roman" w:cs="Times New Roman"/>
          <w:i/>
          <w:sz w:val="22"/>
          <w:szCs w:val="22"/>
        </w:rPr>
      </w:pPr>
      <w:r w:rsidRPr="007946CB">
        <w:rPr>
          <w:rFonts w:ascii="Times New Roman" w:hAnsi="Times New Roman" w:cs="Times New Roman"/>
          <w:i/>
          <w:sz w:val="22"/>
          <w:szCs w:val="22"/>
        </w:rPr>
        <w:t>Zdroj: AES (2016), vlastní zpracování.</w:t>
      </w:r>
    </w:p>
    <w:p w14:paraId="57602515" w14:textId="77777777" w:rsidR="00CA26BD" w:rsidRDefault="00CA26BD" w:rsidP="00285AF6">
      <w:pPr>
        <w:spacing w:before="240" w:line="360" w:lineRule="auto"/>
        <w:jc w:val="both"/>
        <w:rPr>
          <w:rFonts w:ascii="Times New Roman" w:hAnsi="Times New Roman" w:cs="Times New Roman"/>
        </w:rPr>
      </w:pPr>
      <w:r>
        <w:rPr>
          <w:rFonts w:ascii="Times New Roman" w:hAnsi="Times New Roman" w:cs="Times New Roman"/>
        </w:rPr>
        <w:t>Je zřejmé, že se účastníci tohoto typu vzdělávání soustřeďují do věkové kategorie 25–29 let. Z celkového počtu přibližně 90 000 studentů dalšího formálního vzdělávání je téměř 50 % mladší 30 let. Z hlediska genderového rozdělení mají mírnou převahu ženy, které tvoří 55 %. Pokud jde o pracovní status, 82 % účastníků dalšího formálního vzdělávání pracuje, a to převážně na plný úvazek (pouze 10 % pracuje na částečný úvazek); mezi nepracujícími účastníky dalšího formálního vzdělávání (tvoří 18 %) převažují osoby v domácnosti nebo na rodičovské dovolené a do věku 29 let.</w:t>
      </w:r>
    </w:p>
    <w:p w14:paraId="13FA8A23" w14:textId="1E7B8DC4" w:rsidR="00594A28" w:rsidRDefault="00594A28" w:rsidP="00285AF6">
      <w:pPr>
        <w:spacing w:before="240" w:line="360" w:lineRule="auto"/>
        <w:jc w:val="both"/>
        <w:rPr>
          <w:rFonts w:ascii="Times New Roman" w:hAnsi="Times New Roman" w:cs="Times New Roman"/>
        </w:rPr>
      </w:pPr>
      <w:r>
        <w:rPr>
          <w:rFonts w:ascii="Times New Roman" w:hAnsi="Times New Roman" w:cs="Times New Roman"/>
        </w:rPr>
        <w:t>Pokud jde o stupeň</w:t>
      </w:r>
      <w:r w:rsidR="00285AF6">
        <w:rPr>
          <w:rFonts w:ascii="Times New Roman" w:hAnsi="Times New Roman" w:cs="Times New Roman"/>
        </w:rPr>
        <w:t xml:space="preserve"> studia, 77 % účastníků</w:t>
      </w:r>
      <w:r>
        <w:rPr>
          <w:rFonts w:ascii="Times New Roman" w:hAnsi="Times New Roman" w:cs="Times New Roman"/>
        </w:rPr>
        <w:t xml:space="preserve"> dalšího </w:t>
      </w:r>
      <w:r w:rsidR="00285AF6">
        <w:rPr>
          <w:rFonts w:ascii="Times New Roman" w:hAnsi="Times New Roman" w:cs="Times New Roman"/>
        </w:rPr>
        <w:t>formálního vzdělávání studuje v rámci</w:t>
      </w:r>
      <w:r>
        <w:rPr>
          <w:rFonts w:ascii="Times New Roman" w:hAnsi="Times New Roman" w:cs="Times New Roman"/>
        </w:rPr>
        <w:t xml:space="preserve"> terciárního vzdělávání; mírně převažují bakalářské programy</w:t>
      </w:r>
      <w:r w:rsidR="00285AF6">
        <w:rPr>
          <w:rFonts w:ascii="Times New Roman" w:hAnsi="Times New Roman" w:cs="Times New Roman"/>
        </w:rPr>
        <w:t xml:space="preserve"> (31,1 %) nad magisterskými (22,5 %). Na středním stupni vzdělávání, kde studuje zbývajících 23 % </w:t>
      </w:r>
      <w:r w:rsidR="00285AF6">
        <w:rPr>
          <w:rFonts w:ascii="Times New Roman" w:hAnsi="Times New Roman" w:cs="Times New Roman"/>
        </w:rPr>
        <w:lastRenderedPageBreak/>
        <w:t>účastníků dalšího formálního vzdělávání, převaž</w:t>
      </w:r>
      <w:r w:rsidR="008356BA">
        <w:rPr>
          <w:rFonts w:ascii="Times New Roman" w:hAnsi="Times New Roman" w:cs="Times New Roman"/>
        </w:rPr>
        <w:t xml:space="preserve">ují studijní programy zakončené </w:t>
      </w:r>
      <w:r w:rsidR="00285AF6">
        <w:rPr>
          <w:rFonts w:ascii="Times New Roman" w:hAnsi="Times New Roman" w:cs="Times New Roman"/>
        </w:rPr>
        <w:t>maturitou.</w:t>
      </w:r>
    </w:p>
    <w:p w14:paraId="1B584102" w14:textId="035CE1AA" w:rsidR="001E2A94" w:rsidRDefault="001E2A94" w:rsidP="001E2A94">
      <w:pPr>
        <w:spacing w:before="120" w:line="360" w:lineRule="auto"/>
        <w:jc w:val="both"/>
        <w:rPr>
          <w:rFonts w:ascii="Times New Roman" w:hAnsi="Times New Roman" w:cs="Times New Roman"/>
        </w:rPr>
      </w:pPr>
      <w:r>
        <w:rPr>
          <w:rFonts w:ascii="Times New Roman" w:hAnsi="Times New Roman" w:cs="Times New Roman"/>
        </w:rPr>
        <w:t xml:space="preserve">Zajímavé jsou také </w:t>
      </w:r>
      <w:r w:rsidRPr="0060618C">
        <w:rPr>
          <w:rFonts w:ascii="Times New Roman" w:hAnsi="Times New Roman" w:cs="Times New Roman"/>
          <w:b/>
        </w:rPr>
        <w:t>důvody účasti</w:t>
      </w:r>
      <w:r w:rsidR="0060618C" w:rsidRPr="0060618C">
        <w:rPr>
          <w:rFonts w:ascii="Times New Roman" w:hAnsi="Times New Roman" w:cs="Times New Roman"/>
          <w:b/>
        </w:rPr>
        <w:t xml:space="preserve"> na dalším </w:t>
      </w:r>
      <w:r w:rsidR="0060618C">
        <w:rPr>
          <w:rFonts w:ascii="Times New Roman" w:hAnsi="Times New Roman" w:cs="Times New Roman"/>
          <w:b/>
        </w:rPr>
        <w:t xml:space="preserve">formálním </w:t>
      </w:r>
      <w:r w:rsidR="0060618C" w:rsidRPr="0060618C">
        <w:rPr>
          <w:rFonts w:ascii="Times New Roman" w:hAnsi="Times New Roman" w:cs="Times New Roman"/>
          <w:b/>
        </w:rPr>
        <w:t>vzdělávání</w:t>
      </w:r>
      <w:r w:rsidR="0060618C">
        <w:rPr>
          <w:rFonts w:ascii="Times New Roman" w:hAnsi="Times New Roman" w:cs="Times New Roman"/>
        </w:rPr>
        <w:t>. Obe</w:t>
      </w:r>
      <w:r w:rsidR="00DF6D71">
        <w:rPr>
          <w:rFonts w:ascii="Times New Roman" w:hAnsi="Times New Roman" w:cs="Times New Roman"/>
        </w:rPr>
        <w:t>cně je hlavním cíle</w:t>
      </w:r>
      <w:r w:rsidR="007946CB">
        <w:rPr>
          <w:rFonts w:ascii="Times New Roman" w:hAnsi="Times New Roman" w:cs="Times New Roman"/>
        </w:rPr>
        <w:t>m zvýšení dosavadní kvalifikace,</w:t>
      </w:r>
      <w:r w:rsidR="00DF6D71">
        <w:rPr>
          <w:rFonts w:ascii="Times New Roman" w:hAnsi="Times New Roman" w:cs="Times New Roman"/>
        </w:rPr>
        <w:t xml:space="preserve"> motivace může být ale mnohem strukturovanější (viz Tabulka 2.2).</w:t>
      </w:r>
    </w:p>
    <w:p w14:paraId="259FC7DB" w14:textId="57C2BD09" w:rsidR="00DF6D71" w:rsidRDefault="00DF6D71" w:rsidP="001E2A94">
      <w:pPr>
        <w:spacing w:before="120" w:line="360" w:lineRule="auto"/>
        <w:jc w:val="both"/>
        <w:rPr>
          <w:rFonts w:ascii="Times New Roman" w:hAnsi="Times New Roman" w:cs="Times New Roman"/>
          <w:b/>
          <w:sz w:val="22"/>
          <w:szCs w:val="22"/>
        </w:rPr>
      </w:pPr>
      <w:r>
        <w:rPr>
          <w:rFonts w:ascii="Times New Roman" w:hAnsi="Times New Roman" w:cs="Times New Roman"/>
          <w:sz w:val="22"/>
          <w:szCs w:val="22"/>
        </w:rPr>
        <w:t xml:space="preserve">Tabulka 2.2 </w:t>
      </w:r>
      <w:r>
        <w:rPr>
          <w:rFonts w:ascii="Times New Roman" w:hAnsi="Times New Roman" w:cs="Times New Roman"/>
          <w:b/>
          <w:sz w:val="22"/>
          <w:szCs w:val="22"/>
        </w:rPr>
        <w:t>Důvody účasti v dalším formálním vzdělávání</w:t>
      </w:r>
      <w:r w:rsidR="00C44590">
        <w:rPr>
          <w:rFonts w:ascii="Times New Roman" w:hAnsi="Times New Roman" w:cs="Times New Roman"/>
          <w:b/>
          <w:sz w:val="22"/>
          <w:szCs w:val="22"/>
        </w:rPr>
        <w:t xml:space="preserve"> (18–69 let, </w:t>
      </w:r>
      <w:r w:rsidR="0007053B">
        <w:rPr>
          <w:rFonts w:ascii="Times New Roman" w:hAnsi="Times New Roman" w:cs="Times New Roman"/>
          <w:b/>
          <w:sz w:val="22"/>
          <w:szCs w:val="22"/>
        </w:rPr>
        <w:t>2016/2017</w:t>
      </w:r>
      <w:r w:rsidR="00C44590">
        <w:rPr>
          <w:rFonts w:ascii="Times New Roman" w:hAnsi="Times New Roman" w:cs="Times New Roman"/>
          <w:b/>
          <w:sz w:val="22"/>
          <w:szCs w:val="22"/>
        </w:rPr>
        <w:t>)</w:t>
      </w:r>
    </w:p>
    <w:tbl>
      <w:tblPr>
        <w:tblStyle w:val="Stednmka1zvraznn1"/>
        <w:tblW w:w="0" w:type="auto"/>
        <w:jc w:val="center"/>
        <w:tblLook w:val="04A0" w:firstRow="1" w:lastRow="0" w:firstColumn="1" w:lastColumn="0" w:noHBand="0" w:noVBand="1"/>
      </w:tblPr>
      <w:tblGrid>
        <w:gridCol w:w="5477"/>
        <w:gridCol w:w="607"/>
      </w:tblGrid>
      <w:tr w:rsidR="00DF6D71" w:rsidRPr="0045356A" w14:paraId="48947132" w14:textId="77777777" w:rsidTr="004535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C9CD95" w14:textId="3960288B" w:rsidR="00DF6D71" w:rsidRPr="0045356A" w:rsidRDefault="00DF6D71"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Zlepšit kariérní vyhlídky</w:t>
            </w:r>
          </w:p>
        </w:tc>
        <w:tc>
          <w:tcPr>
            <w:tcW w:w="0" w:type="auto"/>
          </w:tcPr>
          <w:p w14:paraId="75E0B534" w14:textId="39003177" w:rsidR="00DF6D71" w:rsidRPr="0045356A" w:rsidRDefault="00DF6D71" w:rsidP="00DF6D71">
            <w:pPr>
              <w:spacing w:before="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20"/>
                <w:szCs w:val="20"/>
              </w:rPr>
            </w:pPr>
            <w:r w:rsidRPr="0045356A">
              <w:rPr>
                <w:rFonts w:asciiTheme="majorHAnsi" w:hAnsiTheme="majorHAnsi" w:cs="Times New Roman"/>
                <w:b w:val="0"/>
                <w:sz w:val="20"/>
                <w:szCs w:val="20"/>
              </w:rPr>
              <w:t>74 %</w:t>
            </w:r>
          </w:p>
        </w:tc>
      </w:tr>
      <w:tr w:rsidR="00DF6D71" w:rsidRPr="0045356A" w14:paraId="464A3F47" w14:textId="77777777" w:rsidTr="004535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1C754D3" w14:textId="6CB20274" w:rsidR="00DF6D71" w:rsidRPr="0045356A" w:rsidRDefault="00DF6D71"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Získat osvědčení (výuční list, maturitní vysvědčení, diplom apod.)</w:t>
            </w:r>
          </w:p>
        </w:tc>
        <w:tc>
          <w:tcPr>
            <w:tcW w:w="0" w:type="auto"/>
          </w:tcPr>
          <w:p w14:paraId="570DC4F8" w14:textId="57767B52" w:rsidR="00DF6D71" w:rsidRPr="0045356A" w:rsidRDefault="00DF6D71" w:rsidP="00DF6D71">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60 %</w:t>
            </w:r>
          </w:p>
        </w:tc>
      </w:tr>
      <w:tr w:rsidR="00DF6D71" w:rsidRPr="0045356A" w14:paraId="00F7BB94" w14:textId="77777777" w:rsidTr="0045356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6A67D4" w14:textId="2CF54D93" w:rsidR="00DF6D71" w:rsidRPr="0045356A" w:rsidRDefault="00DF6D71" w:rsidP="00873F17">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Prohloubit znalosti/dovednosti v oblasti, která mě zajímá</w:t>
            </w:r>
          </w:p>
        </w:tc>
        <w:tc>
          <w:tcPr>
            <w:tcW w:w="0" w:type="auto"/>
          </w:tcPr>
          <w:p w14:paraId="721DEC1B" w14:textId="59ADD67E" w:rsidR="00DF6D71" w:rsidRPr="0045356A" w:rsidRDefault="00DF6D71" w:rsidP="00DF6D71">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47 %</w:t>
            </w:r>
          </w:p>
        </w:tc>
      </w:tr>
      <w:tr w:rsidR="00DF6D71" w:rsidRPr="0045356A" w14:paraId="3889EF5B" w14:textId="77777777" w:rsidTr="004535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E3C24E" w14:textId="7D0A94A8" w:rsidR="00DF6D71" w:rsidRPr="0045356A" w:rsidRDefault="00DF6D71"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Zlepšit vyhlídky na získání nebo změnu práce</w:t>
            </w:r>
          </w:p>
        </w:tc>
        <w:tc>
          <w:tcPr>
            <w:tcW w:w="0" w:type="auto"/>
          </w:tcPr>
          <w:p w14:paraId="4EA20440" w14:textId="19F5FF06" w:rsidR="00DF6D71" w:rsidRPr="0045356A" w:rsidRDefault="00DF6D71" w:rsidP="00DF6D71">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43 %</w:t>
            </w:r>
          </w:p>
        </w:tc>
      </w:tr>
      <w:tr w:rsidR="00DF6D71" w:rsidRPr="0045356A" w14:paraId="55A498D4" w14:textId="77777777" w:rsidTr="0045356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EB04350" w14:textId="6E05E0F8" w:rsidR="00DF6D71" w:rsidRPr="0045356A" w:rsidRDefault="0045356A"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Vykonávat lépe svou práci</w:t>
            </w:r>
          </w:p>
        </w:tc>
        <w:tc>
          <w:tcPr>
            <w:tcW w:w="0" w:type="auto"/>
          </w:tcPr>
          <w:p w14:paraId="6B1311F3" w14:textId="729480C7" w:rsidR="00DF6D71" w:rsidRPr="0045356A" w:rsidRDefault="0045356A" w:rsidP="00DF6D71">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42 %</w:t>
            </w:r>
          </w:p>
        </w:tc>
      </w:tr>
      <w:tr w:rsidR="00DF6D71" w:rsidRPr="0045356A" w14:paraId="60C1568B" w14:textId="77777777" w:rsidTr="004535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687D91B" w14:textId="461D47B5" w:rsidR="00DF6D71" w:rsidRPr="0045356A" w:rsidRDefault="0045356A"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Snížit pravděpodobnost ztráty zaměstnání</w:t>
            </w:r>
          </w:p>
        </w:tc>
        <w:tc>
          <w:tcPr>
            <w:tcW w:w="0" w:type="auto"/>
          </w:tcPr>
          <w:p w14:paraId="44A09D5A" w14:textId="6C54B681" w:rsidR="00DF6D71" w:rsidRPr="0045356A" w:rsidRDefault="0045356A" w:rsidP="00DF6D71">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33 %</w:t>
            </w:r>
          </w:p>
        </w:tc>
      </w:tr>
      <w:tr w:rsidR="00DF6D71" w:rsidRPr="0045356A" w14:paraId="6ABC8904" w14:textId="77777777" w:rsidTr="0045356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21EBF5" w14:textId="7B0513B7" w:rsidR="00DF6D71" w:rsidRPr="0045356A" w:rsidRDefault="0045356A"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Získat znalosti/dovednosti užitečné v každodenním životě</w:t>
            </w:r>
          </w:p>
        </w:tc>
        <w:tc>
          <w:tcPr>
            <w:tcW w:w="0" w:type="auto"/>
          </w:tcPr>
          <w:p w14:paraId="5466118F" w14:textId="0CD24CCB" w:rsidR="00DF6D71" w:rsidRPr="0045356A" w:rsidRDefault="0045356A" w:rsidP="00DF6D71">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20 %</w:t>
            </w:r>
          </w:p>
        </w:tc>
      </w:tr>
      <w:tr w:rsidR="00DF6D71" w:rsidRPr="0045356A" w14:paraId="5C13EA4A" w14:textId="77777777" w:rsidTr="004535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E15823" w14:textId="7AD8BE37" w:rsidR="00DF6D71" w:rsidRPr="0045356A" w:rsidRDefault="0045356A"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Potkat nové lidi, pro zábavu</w:t>
            </w:r>
          </w:p>
        </w:tc>
        <w:tc>
          <w:tcPr>
            <w:tcW w:w="0" w:type="auto"/>
          </w:tcPr>
          <w:p w14:paraId="28FF0FF5" w14:textId="0E9AB392" w:rsidR="00DF6D71" w:rsidRPr="0045356A" w:rsidRDefault="0045356A" w:rsidP="00DF6D71">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14 %</w:t>
            </w:r>
          </w:p>
        </w:tc>
      </w:tr>
      <w:tr w:rsidR="00DF6D71" w:rsidRPr="0045356A" w14:paraId="2BF339AE" w14:textId="77777777" w:rsidTr="0045356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10133F" w14:textId="3C3855BB" w:rsidR="00DF6D71" w:rsidRPr="0045356A" w:rsidRDefault="0045356A"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Musel/a jsem se účastnit</w:t>
            </w:r>
          </w:p>
        </w:tc>
        <w:tc>
          <w:tcPr>
            <w:tcW w:w="0" w:type="auto"/>
          </w:tcPr>
          <w:p w14:paraId="1ABEFCC1" w14:textId="583DAAD1" w:rsidR="00DF6D71" w:rsidRPr="0045356A" w:rsidRDefault="0045356A" w:rsidP="00DF6D71">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9 %</w:t>
            </w:r>
          </w:p>
        </w:tc>
      </w:tr>
      <w:tr w:rsidR="00DF6D71" w:rsidRPr="0045356A" w14:paraId="57EBF01A" w14:textId="77777777" w:rsidTr="004535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F89038" w14:textId="50CF037E" w:rsidR="00DF6D71" w:rsidRPr="0045356A" w:rsidRDefault="0045356A" w:rsidP="0045356A">
            <w:pPr>
              <w:spacing w:before="120"/>
              <w:rPr>
                <w:rFonts w:asciiTheme="majorHAnsi" w:hAnsiTheme="majorHAnsi" w:cs="Times New Roman"/>
                <w:b w:val="0"/>
                <w:sz w:val="20"/>
                <w:szCs w:val="20"/>
              </w:rPr>
            </w:pPr>
            <w:r w:rsidRPr="0045356A">
              <w:rPr>
                <w:rFonts w:asciiTheme="majorHAnsi" w:hAnsiTheme="majorHAnsi" w:cs="Times New Roman"/>
                <w:b w:val="0"/>
                <w:sz w:val="20"/>
                <w:szCs w:val="20"/>
              </w:rPr>
              <w:t>Začít své vlastní podnikání</w:t>
            </w:r>
          </w:p>
        </w:tc>
        <w:tc>
          <w:tcPr>
            <w:tcW w:w="0" w:type="auto"/>
          </w:tcPr>
          <w:p w14:paraId="56C17D2C" w14:textId="30C5E45F" w:rsidR="00DF6D71" w:rsidRPr="0045356A" w:rsidRDefault="0045356A" w:rsidP="00DF6D71">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45356A">
              <w:rPr>
                <w:rFonts w:asciiTheme="majorHAnsi" w:hAnsiTheme="majorHAnsi" w:cs="Times New Roman"/>
                <w:sz w:val="20"/>
                <w:szCs w:val="20"/>
              </w:rPr>
              <w:t>3 %</w:t>
            </w:r>
          </w:p>
        </w:tc>
      </w:tr>
    </w:tbl>
    <w:p w14:paraId="57A240B9" w14:textId="77777777" w:rsidR="0045356A" w:rsidRPr="007946CB" w:rsidRDefault="0045356A" w:rsidP="0045356A">
      <w:pPr>
        <w:spacing w:before="120"/>
        <w:jc w:val="both"/>
        <w:rPr>
          <w:rFonts w:ascii="Times New Roman" w:hAnsi="Times New Roman" w:cs="Times New Roman"/>
          <w:i/>
          <w:sz w:val="22"/>
          <w:szCs w:val="22"/>
        </w:rPr>
      </w:pPr>
      <w:r w:rsidRPr="007946CB">
        <w:rPr>
          <w:rFonts w:ascii="Times New Roman" w:hAnsi="Times New Roman" w:cs="Times New Roman"/>
          <w:i/>
          <w:sz w:val="22"/>
          <w:szCs w:val="22"/>
        </w:rPr>
        <w:t>Zdroj: AES (2016), vlastní zpracování.</w:t>
      </w:r>
    </w:p>
    <w:p w14:paraId="3DEB30C9" w14:textId="38EDC2FC" w:rsidR="00DF6D71" w:rsidRPr="0045356A" w:rsidRDefault="0045356A" w:rsidP="007946CB">
      <w:pPr>
        <w:spacing w:before="240" w:line="360" w:lineRule="auto"/>
        <w:jc w:val="both"/>
        <w:rPr>
          <w:rFonts w:ascii="Times New Roman" w:hAnsi="Times New Roman" w:cs="Times New Roman"/>
        </w:rPr>
      </w:pPr>
      <w:r w:rsidRPr="0045356A">
        <w:rPr>
          <w:rFonts w:ascii="Times New Roman" w:hAnsi="Times New Roman" w:cs="Times New Roman"/>
        </w:rPr>
        <w:t>Téměř tři čtvr</w:t>
      </w:r>
      <w:r>
        <w:rPr>
          <w:rFonts w:ascii="Times New Roman" w:hAnsi="Times New Roman" w:cs="Times New Roman"/>
        </w:rPr>
        <w:t>tiny účastníku dalšího formálního vzděl</w:t>
      </w:r>
      <w:r w:rsidR="007946CB">
        <w:rPr>
          <w:rFonts w:ascii="Times New Roman" w:hAnsi="Times New Roman" w:cs="Times New Roman"/>
        </w:rPr>
        <w:t>ávání uvedlo, že hlavní motivaci</w:t>
      </w:r>
      <w:r>
        <w:rPr>
          <w:rFonts w:ascii="Times New Roman" w:hAnsi="Times New Roman" w:cs="Times New Roman"/>
        </w:rPr>
        <w:t xml:space="preserve"> představuje možnost lepšího kariérního růstu</w:t>
      </w:r>
      <w:r w:rsidR="00DD6F3F">
        <w:rPr>
          <w:rFonts w:ascii="Times New Roman" w:hAnsi="Times New Roman" w:cs="Times New Roman"/>
        </w:rPr>
        <w:t>. Přibližně jedna třetina vidí v dalším vzdělávání vhodný nástroj snížení rizika ztráty zaměstnání.</w:t>
      </w:r>
    </w:p>
    <w:p w14:paraId="6B73379D" w14:textId="6A382A2F" w:rsidR="006051CE" w:rsidRDefault="00E54669" w:rsidP="00E54669">
      <w:pPr>
        <w:pStyle w:val="Nadpis3"/>
      </w:pPr>
      <w:bookmarkStart w:id="29" w:name="_Toc398662595"/>
      <w:r>
        <w:t xml:space="preserve">2.3.2 </w:t>
      </w:r>
      <w:r w:rsidR="006051CE">
        <w:t>Neformální</w:t>
      </w:r>
      <w:r w:rsidR="00A57404">
        <w:t xml:space="preserve"> vzdělávání</w:t>
      </w:r>
      <w:bookmarkEnd w:id="29"/>
    </w:p>
    <w:p w14:paraId="582EA7E6" w14:textId="77777777" w:rsidR="00DC4CA4" w:rsidRDefault="00632670" w:rsidP="00DC4CA4">
      <w:pPr>
        <w:pStyle w:val="Textpoznpodarou"/>
        <w:spacing w:before="120" w:line="360" w:lineRule="auto"/>
        <w:jc w:val="both"/>
        <w:rPr>
          <w:rFonts w:ascii="Times New Roman" w:hAnsi="Times New Roman" w:cs="Times New Roman"/>
        </w:rPr>
      </w:pPr>
      <w:r w:rsidRPr="00C2632E">
        <w:rPr>
          <w:rFonts w:ascii="Times New Roman" w:hAnsi="Times New Roman" w:cs="Times New Roman"/>
          <w:b/>
        </w:rPr>
        <w:t xml:space="preserve">Vzdělávací programy </w:t>
      </w:r>
      <w:r w:rsidR="00D7311A">
        <w:rPr>
          <w:rFonts w:ascii="Times New Roman" w:hAnsi="Times New Roman" w:cs="Times New Roman"/>
          <w:b/>
        </w:rPr>
        <w:t xml:space="preserve">dalšího </w:t>
      </w:r>
      <w:r w:rsidRPr="00C2632E">
        <w:rPr>
          <w:rFonts w:ascii="Times New Roman" w:hAnsi="Times New Roman" w:cs="Times New Roman"/>
          <w:b/>
        </w:rPr>
        <w:t>neformálního vzdělávání jsou zejména pro svou obsahovou pružnost a kratší dobu trvání vhodným nástrojem, jak se flexibilně přizpůsobit aktuálním požadavkům trhu práce a v relativně krátké době získat odpovídající znalosti či dovednosti.</w:t>
      </w:r>
      <w:r>
        <w:rPr>
          <w:rFonts w:ascii="Times New Roman" w:hAnsi="Times New Roman" w:cs="Times New Roman"/>
        </w:rPr>
        <w:t xml:space="preserve"> </w:t>
      </w:r>
    </w:p>
    <w:p w14:paraId="26464F62" w14:textId="4769CEFA" w:rsidR="00DC4CA4" w:rsidRDefault="008A1067" w:rsidP="00DC4CA4">
      <w:pPr>
        <w:pStyle w:val="Textpoznpodarou"/>
        <w:spacing w:before="120" w:line="360" w:lineRule="auto"/>
        <w:jc w:val="both"/>
        <w:rPr>
          <w:rFonts w:ascii="Times New Roman" w:hAnsi="Times New Roman" w:cs="Times New Roman"/>
        </w:rPr>
      </w:pPr>
      <w:r>
        <w:rPr>
          <w:rFonts w:ascii="Times New Roman" w:hAnsi="Times New Roman" w:cs="Times New Roman"/>
        </w:rPr>
        <w:t xml:space="preserve">Neformální vzdělávání </w:t>
      </w:r>
      <w:r w:rsidRPr="007946CB">
        <w:rPr>
          <w:rFonts w:ascii="Times New Roman" w:hAnsi="Times New Roman" w:cs="Times New Roman"/>
          <w:i/>
        </w:rPr>
        <w:t>může být orientováno pracovně a mimopracovně</w:t>
      </w:r>
      <w:r>
        <w:rPr>
          <w:rFonts w:ascii="Times New Roman" w:hAnsi="Times New Roman" w:cs="Times New Roman"/>
        </w:rPr>
        <w:t xml:space="preserve">. </w:t>
      </w:r>
      <w:r w:rsidR="00DC4CA4">
        <w:rPr>
          <w:rFonts w:ascii="Times New Roman" w:hAnsi="Times New Roman" w:cs="Times New Roman"/>
        </w:rPr>
        <w:t xml:space="preserve">Rozlišují se </w:t>
      </w:r>
      <w:r w:rsidR="00DC4CA4" w:rsidRPr="00DC4CA4">
        <w:rPr>
          <w:rFonts w:ascii="Times New Roman" w:hAnsi="Times New Roman" w:cs="Times New Roman"/>
        </w:rPr>
        <w:t>čtyři hlavn</w:t>
      </w:r>
      <w:r w:rsidR="00DC4CA4">
        <w:rPr>
          <w:rFonts w:ascii="Times New Roman" w:hAnsi="Times New Roman" w:cs="Times New Roman"/>
        </w:rPr>
        <w:t xml:space="preserve">í formy neformálního vzdělávání: </w:t>
      </w:r>
    </w:p>
    <w:p w14:paraId="62DCF35C" w14:textId="77777777" w:rsidR="00DC4CA4" w:rsidRDefault="00DC4CA4" w:rsidP="003941A0">
      <w:pPr>
        <w:pStyle w:val="Textpoznpodarou"/>
        <w:numPr>
          <w:ilvl w:val="0"/>
          <w:numId w:val="21"/>
        </w:numPr>
        <w:spacing w:line="360" w:lineRule="auto"/>
        <w:ind w:left="714" w:hanging="357"/>
        <w:jc w:val="both"/>
        <w:rPr>
          <w:rFonts w:ascii="Times New Roman" w:hAnsi="Times New Roman" w:cs="Times New Roman"/>
        </w:rPr>
      </w:pPr>
      <w:r w:rsidRPr="00DC4CA4">
        <w:rPr>
          <w:rFonts w:ascii="Times New Roman" w:hAnsi="Times New Roman" w:cs="Times New Roman"/>
        </w:rPr>
        <w:t xml:space="preserve">kurzy, </w:t>
      </w:r>
    </w:p>
    <w:p w14:paraId="774D362D" w14:textId="77777777" w:rsidR="00DC4CA4" w:rsidRDefault="00DC4CA4" w:rsidP="003941A0">
      <w:pPr>
        <w:pStyle w:val="Textpoznpodarou"/>
        <w:numPr>
          <w:ilvl w:val="0"/>
          <w:numId w:val="21"/>
        </w:numPr>
        <w:spacing w:line="360" w:lineRule="auto"/>
        <w:ind w:left="714" w:hanging="357"/>
        <w:jc w:val="both"/>
        <w:rPr>
          <w:rFonts w:ascii="Times New Roman" w:hAnsi="Times New Roman" w:cs="Times New Roman"/>
        </w:rPr>
      </w:pPr>
      <w:r w:rsidRPr="00DC4CA4">
        <w:rPr>
          <w:rFonts w:ascii="Times New Roman" w:hAnsi="Times New Roman" w:cs="Times New Roman"/>
        </w:rPr>
        <w:t xml:space="preserve">workshopy/semináře, </w:t>
      </w:r>
    </w:p>
    <w:p w14:paraId="556FA56F" w14:textId="77777777" w:rsidR="00DC4CA4" w:rsidRDefault="00DC4CA4" w:rsidP="003941A0">
      <w:pPr>
        <w:pStyle w:val="Textpoznpodarou"/>
        <w:numPr>
          <w:ilvl w:val="0"/>
          <w:numId w:val="21"/>
        </w:numPr>
        <w:spacing w:line="360" w:lineRule="auto"/>
        <w:ind w:left="714" w:hanging="357"/>
        <w:jc w:val="both"/>
        <w:rPr>
          <w:rFonts w:ascii="Times New Roman" w:hAnsi="Times New Roman" w:cs="Times New Roman"/>
        </w:rPr>
      </w:pPr>
      <w:r w:rsidRPr="00DC4CA4">
        <w:rPr>
          <w:rFonts w:ascii="Times New Roman" w:hAnsi="Times New Roman" w:cs="Times New Roman"/>
        </w:rPr>
        <w:t xml:space="preserve">pracovní školení a </w:t>
      </w:r>
    </w:p>
    <w:p w14:paraId="528BCC6F" w14:textId="372A81EB" w:rsidR="00DC4CA4" w:rsidRPr="00DC4CA4" w:rsidRDefault="00DC4CA4" w:rsidP="003941A0">
      <w:pPr>
        <w:pStyle w:val="Textpoznpodarou"/>
        <w:numPr>
          <w:ilvl w:val="0"/>
          <w:numId w:val="21"/>
        </w:numPr>
        <w:spacing w:line="360" w:lineRule="auto"/>
        <w:ind w:left="714" w:hanging="357"/>
        <w:jc w:val="both"/>
        <w:rPr>
          <w:rFonts w:ascii="Times New Roman" w:hAnsi="Times New Roman" w:cs="Times New Roman"/>
        </w:rPr>
      </w:pPr>
      <w:r w:rsidRPr="00DC4CA4">
        <w:rPr>
          <w:rFonts w:ascii="Times New Roman" w:hAnsi="Times New Roman" w:cs="Times New Roman"/>
        </w:rPr>
        <w:t>soukromé lekce.</w:t>
      </w:r>
    </w:p>
    <w:p w14:paraId="4735ED02" w14:textId="2F76824D" w:rsidR="00B46BC6" w:rsidRDefault="00632670" w:rsidP="00632670">
      <w:pPr>
        <w:spacing w:before="120" w:line="360" w:lineRule="auto"/>
        <w:jc w:val="both"/>
        <w:rPr>
          <w:rFonts w:ascii="Times New Roman" w:hAnsi="Times New Roman" w:cs="Times New Roman"/>
        </w:rPr>
      </w:pPr>
      <w:r>
        <w:rPr>
          <w:rFonts w:ascii="Times New Roman" w:hAnsi="Times New Roman" w:cs="Times New Roman"/>
        </w:rPr>
        <w:lastRenderedPageBreak/>
        <w:t xml:space="preserve">V České republice účast dospělých v neformálním vzdělávání kontinuálně vzrůstá – zatímco v roce 2011 se účastnilo </w:t>
      </w:r>
      <w:r w:rsidR="00DB1A09">
        <w:rPr>
          <w:rFonts w:ascii="Times New Roman" w:hAnsi="Times New Roman" w:cs="Times New Roman"/>
        </w:rPr>
        <w:t>některé z forem neformálního vzdělávání 32,1 % dospělé populace ve věku 18–</w:t>
      </w:r>
      <w:r w:rsidR="009349DA">
        <w:rPr>
          <w:rFonts w:ascii="Times New Roman" w:hAnsi="Times New Roman" w:cs="Times New Roman"/>
        </w:rPr>
        <w:t xml:space="preserve">69 let, v roce 2016 </w:t>
      </w:r>
      <w:r w:rsidR="00DB1A09">
        <w:rPr>
          <w:rFonts w:ascii="Times New Roman" w:hAnsi="Times New Roman" w:cs="Times New Roman"/>
        </w:rPr>
        <w:t>již 39,8 %.</w:t>
      </w:r>
      <w:r w:rsidR="00DB1A09">
        <w:rPr>
          <w:rStyle w:val="Znakapoznpodarou"/>
          <w:rFonts w:ascii="Times New Roman" w:hAnsi="Times New Roman" w:cs="Times New Roman"/>
        </w:rPr>
        <w:footnoteReference w:id="19"/>
      </w:r>
      <w:r w:rsidR="009349DA">
        <w:rPr>
          <w:rFonts w:ascii="Times New Roman" w:hAnsi="Times New Roman" w:cs="Times New Roman"/>
        </w:rPr>
        <w:t xml:space="preserve"> Ve věku 25–64 let byl tento podíl vyšší, a to 35 % v roce 2011 a 45 % v roce 2016.</w:t>
      </w:r>
    </w:p>
    <w:p w14:paraId="1C44F8BA" w14:textId="77777777" w:rsidR="00E2022F" w:rsidRDefault="008731A8" w:rsidP="00632670">
      <w:pPr>
        <w:spacing w:before="120" w:line="360" w:lineRule="auto"/>
        <w:jc w:val="both"/>
        <w:rPr>
          <w:rFonts w:ascii="Times New Roman" w:hAnsi="Times New Roman" w:cs="Times New Roman"/>
        </w:rPr>
      </w:pPr>
      <w:r>
        <w:rPr>
          <w:rFonts w:ascii="Times New Roman" w:hAnsi="Times New Roman" w:cs="Times New Roman"/>
        </w:rPr>
        <w:t xml:space="preserve">Je zřejmé, že i v případě neformálního vzdělávání jsou mezi jednotlivými zeměmi značné rozdíly, a to jak v počtu participantů, tak </w:t>
      </w:r>
      <w:r w:rsidR="007946CB">
        <w:rPr>
          <w:rFonts w:ascii="Times New Roman" w:hAnsi="Times New Roman" w:cs="Times New Roman"/>
        </w:rPr>
        <w:t xml:space="preserve">v </w:t>
      </w:r>
      <w:r>
        <w:rPr>
          <w:rFonts w:ascii="Times New Roman" w:hAnsi="Times New Roman" w:cs="Times New Roman"/>
        </w:rPr>
        <w:t xml:space="preserve">počtu hodin vynaložených na vzdělávání (viz Obrázek 2.8). </w:t>
      </w:r>
    </w:p>
    <w:p w14:paraId="32CE1A99" w14:textId="77777777" w:rsidR="00E2022F" w:rsidRPr="00431FC7" w:rsidRDefault="00E2022F" w:rsidP="00E2022F">
      <w:pPr>
        <w:spacing w:before="120"/>
        <w:jc w:val="both"/>
        <w:rPr>
          <w:rFonts w:ascii="Times New Roman" w:hAnsi="Times New Roman" w:cs="Times New Roman"/>
          <w:b/>
          <w:sz w:val="22"/>
          <w:szCs w:val="22"/>
        </w:rPr>
      </w:pPr>
      <w:r>
        <w:rPr>
          <w:rFonts w:ascii="Times New Roman" w:hAnsi="Times New Roman" w:cs="Times New Roman"/>
          <w:sz w:val="22"/>
          <w:szCs w:val="22"/>
        </w:rPr>
        <w:t xml:space="preserve">Obrázek 2.8 </w:t>
      </w:r>
      <w:r>
        <w:rPr>
          <w:rFonts w:ascii="Times New Roman" w:hAnsi="Times New Roman" w:cs="Times New Roman"/>
          <w:b/>
          <w:sz w:val="22"/>
          <w:szCs w:val="22"/>
        </w:rPr>
        <w:t>Účast dospělé populace (25–64 let) na neformálním vzdělávání a průměrný počet hodin vynaložený na neformální vzdělávání měsíčně (vybrané země, 2016)</w:t>
      </w:r>
    </w:p>
    <w:p w14:paraId="26F33978" w14:textId="238FA046" w:rsidR="00E2022F" w:rsidRDefault="00E2022F" w:rsidP="00632670">
      <w:pPr>
        <w:spacing w:before="120" w:line="360" w:lineRule="auto"/>
        <w:jc w:val="both"/>
        <w:rPr>
          <w:rFonts w:ascii="Times New Roman" w:hAnsi="Times New Roman" w:cs="Times New Roman"/>
        </w:rPr>
      </w:pPr>
      <w:r>
        <w:rPr>
          <w:noProof/>
          <w:lang w:val="en-US"/>
        </w:rPr>
        <w:drawing>
          <wp:inline distT="0" distB="0" distL="0" distR="0" wp14:anchorId="58047372" wp14:editId="790B8935">
            <wp:extent cx="5274310" cy="3532505"/>
            <wp:effectExtent l="0" t="0" r="34290" b="2349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C22F0C" w14:textId="77777777" w:rsidR="00E2022F" w:rsidRPr="007946CB" w:rsidRDefault="00E2022F" w:rsidP="00E2022F">
      <w:pPr>
        <w:spacing w:before="120"/>
        <w:jc w:val="both"/>
        <w:rPr>
          <w:rFonts w:ascii="Times New Roman" w:hAnsi="Times New Roman" w:cs="Times New Roman"/>
          <w:i/>
          <w:sz w:val="22"/>
          <w:szCs w:val="22"/>
        </w:rPr>
      </w:pPr>
      <w:r w:rsidRPr="007946CB">
        <w:rPr>
          <w:rFonts w:ascii="Times New Roman" w:hAnsi="Times New Roman" w:cs="Times New Roman"/>
          <w:i/>
          <w:sz w:val="22"/>
          <w:szCs w:val="22"/>
        </w:rPr>
        <w:t>Zdroj: AES (2016), ČSÚ (</w:t>
      </w:r>
      <w:proofErr w:type="gramStart"/>
      <w:r w:rsidRPr="007946CB">
        <w:rPr>
          <w:rFonts w:ascii="Times New Roman" w:hAnsi="Times New Roman" w:cs="Times New Roman"/>
          <w:i/>
          <w:sz w:val="22"/>
          <w:szCs w:val="22"/>
        </w:rPr>
        <w:t>2018</w:t>
      </w:r>
      <w:r>
        <w:rPr>
          <w:rFonts w:ascii="Times New Roman" w:hAnsi="Times New Roman" w:cs="Times New Roman"/>
          <w:i/>
          <w:sz w:val="22"/>
          <w:szCs w:val="22"/>
        </w:rPr>
        <w:t>a</w:t>
      </w:r>
      <w:proofErr w:type="gramEnd"/>
      <w:r w:rsidRPr="007946CB">
        <w:rPr>
          <w:rFonts w:ascii="Times New Roman" w:hAnsi="Times New Roman" w:cs="Times New Roman"/>
          <w:i/>
          <w:sz w:val="22"/>
          <w:szCs w:val="22"/>
        </w:rPr>
        <w:t>).</w:t>
      </w:r>
    </w:p>
    <w:p w14:paraId="55F4CCA0" w14:textId="1D06BFA7" w:rsidR="003235C5" w:rsidRDefault="003235C5" w:rsidP="00E2022F">
      <w:pPr>
        <w:spacing w:before="240" w:line="360" w:lineRule="auto"/>
        <w:jc w:val="both"/>
        <w:rPr>
          <w:rFonts w:ascii="Times New Roman" w:hAnsi="Times New Roman" w:cs="Times New Roman"/>
        </w:rPr>
      </w:pPr>
      <w:proofErr w:type="gramStart"/>
      <w:r>
        <w:rPr>
          <w:rFonts w:ascii="Times New Roman" w:hAnsi="Times New Roman" w:cs="Times New Roman"/>
        </w:rPr>
        <w:t>V </w:t>
      </w:r>
      <w:r w:rsidR="008731A8">
        <w:rPr>
          <w:rFonts w:ascii="Times New Roman" w:hAnsi="Times New Roman" w:cs="Times New Roman"/>
        </w:rPr>
        <w:t xml:space="preserve"> </w:t>
      </w:r>
      <w:r>
        <w:rPr>
          <w:rFonts w:ascii="Times New Roman" w:hAnsi="Times New Roman" w:cs="Times New Roman"/>
        </w:rPr>
        <w:t>mezinárodním</w:t>
      </w:r>
      <w:proofErr w:type="gramEnd"/>
      <w:r>
        <w:rPr>
          <w:rFonts w:ascii="Times New Roman" w:hAnsi="Times New Roman" w:cs="Times New Roman"/>
        </w:rPr>
        <w:t xml:space="preserve"> srovnání si ČR stojí lépe než ve formálním vzdělávání, a to </w:t>
      </w:r>
      <w:r w:rsidRPr="00C2632E">
        <w:rPr>
          <w:rFonts w:ascii="Times New Roman" w:hAnsi="Times New Roman" w:cs="Times New Roman"/>
          <w:i/>
        </w:rPr>
        <w:t>přibližně na průměru EU</w:t>
      </w:r>
      <w:r w:rsidR="008731A8">
        <w:rPr>
          <w:rFonts w:ascii="Times New Roman" w:hAnsi="Times New Roman" w:cs="Times New Roman"/>
        </w:rPr>
        <w:t xml:space="preserve">; ve sledovaném období se účastnilo neformálního vzdělávání 44,6 % populace ve věku 25–64 let. </w:t>
      </w:r>
      <w:r w:rsidR="00431FC7">
        <w:rPr>
          <w:rFonts w:ascii="Times New Roman" w:hAnsi="Times New Roman" w:cs="Times New Roman"/>
        </w:rPr>
        <w:t xml:space="preserve">Více než </w:t>
      </w:r>
      <w:r w:rsidR="008731A8">
        <w:rPr>
          <w:rFonts w:ascii="Times New Roman" w:hAnsi="Times New Roman" w:cs="Times New Roman"/>
        </w:rPr>
        <w:t xml:space="preserve">60 % dospělé populace </w:t>
      </w:r>
      <w:r w:rsidR="00431FC7">
        <w:rPr>
          <w:rFonts w:ascii="Times New Roman" w:hAnsi="Times New Roman" w:cs="Times New Roman"/>
        </w:rPr>
        <w:t>se účastní nefor</w:t>
      </w:r>
      <w:r w:rsidR="008731A8">
        <w:rPr>
          <w:rFonts w:ascii="Times New Roman" w:hAnsi="Times New Roman" w:cs="Times New Roman"/>
        </w:rPr>
        <w:t>málního vzděl</w:t>
      </w:r>
      <w:r w:rsidR="007946CB">
        <w:rPr>
          <w:rFonts w:ascii="Times New Roman" w:hAnsi="Times New Roman" w:cs="Times New Roman"/>
        </w:rPr>
        <w:t>ávání ve Švýcarsku a Nizozemsku,</w:t>
      </w:r>
      <w:r w:rsidR="00431FC7">
        <w:rPr>
          <w:rFonts w:ascii="Times New Roman" w:hAnsi="Times New Roman" w:cs="Times New Roman"/>
        </w:rPr>
        <w:t xml:space="preserve"> </w:t>
      </w:r>
      <w:r w:rsidR="00C2632E">
        <w:rPr>
          <w:rFonts w:ascii="Times New Roman" w:hAnsi="Times New Roman" w:cs="Times New Roman"/>
        </w:rPr>
        <w:t>přes</w:t>
      </w:r>
      <w:r w:rsidR="008731A8">
        <w:rPr>
          <w:rFonts w:ascii="Times New Roman" w:hAnsi="Times New Roman" w:cs="Times New Roman"/>
        </w:rPr>
        <w:t xml:space="preserve"> 50 % v </w:t>
      </w:r>
      <w:r w:rsidR="00431FC7">
        <w:rPr>
          <w:rFonts w:ascii="Times New Roman" w:hAnsi="Times New Roman" w:cs="Times New Roman"/>
        </w:rPr>
        <w:t>Rakousku, Švédsku</w:t>
      </w:r>
      <w:r w:rsidR="008731A8">
        <w:rPr>
          <w:rFonts w:ascii="Times New Roman" w:hAnsi="Times New Roman" w:cs="Times New Roman"/>
        </w:rPr>
        <w:t>, Norsku a Německu. Na</w:t>
      </w:r>
      <w:r w:rsidR="006C22E7">
        <w:rPr>
          <w:rFonts w:ascii="Times New Roman" w:hAnsi="Times New Roman" w:cs="Times New Roman"/>
        </w:rPr>
        <w:t>opak</w:t>
      </w:r>
      <w:r w:rsidR="008731A8">
        <w:rPr>
          <w:rFonts w:ascii="Times New Roman" w:hAnsi="Times New Roman" w:cs="Times New Roman"/>
        </w:rPr>
        <w:t xml:space="preserve"> </w:t>
      </w:r>
      <w:r w:rsidR="006C22E7">
        <w:rPr>
          <w:rFonts w:ascii="Times New Roman" w:hAnsi="Times New Roman" w:cs="Times New Roman"/>
        </w:rPr>
        <w:t>v Řecku, Makedonii a Rumunsku</w:t>
      </w:r>
      <w:r w:rsidR="008731A8">
        <w:rPr>
          <w:rFonts w:ascii="Times New Roman" w:hAnsi="Times New Roman" w:cs="Times New Roman"/>
        </w:rPr>
        <w:t xml:space="preserve"> se dalšího neformá</w:t>
      </w:r>
      <w:r w:rsidR="00C2632E">
        <w:rPr>
          <w:rFonts w:ascii="Times New Roman" w:hAnsi="Times New Roman" w:cs="Times New Roman"/>
        </w:rPr>
        <w:t>lního vzdělávání účastní jen 5,</w:t>
      </w:r>
      <w:r w:rsidR="008731A8">
        <w:rPr>
          <w:rFonts w:ascii="Times New Roman" w:hAnsi="Times New Roman" w:cs="Times New Roman"/>
        </w:rPr>
        <w:t>6 % dospělé populace.</w:t>
      </w:r>
      <w:r w:rsidR="00C2632E">
        <w:rPr>
          <w:rFonts w:ascii="Times New Roman" w:hAnsi="Times New Roman" w:cs="Times New Roman"/>
        </w:rPr>
        <w:t xml:space="preserve"> Roční </w:t>
      </w:r>
      <w:r w:rsidR="00B55D5F">
        <w:rPr>
          <w:rFonts w:ascii="Times New Roman" w:hAnsi="Times New Roman" w:cs="Times New Roman"/>
        </w:rPr>
        <w:t xml:space="preserve">pensum hodin na účastníka </w:t>
      </w:r>
      <w:r w:rsidR="00C2632E">
        <w:rPr>
          <w:rFonts w:ascii="Times New Roman" w:hAnsi="Times New Roman" w:cs="Times New Roman"/>
        </w:rPr>
        <w:t xml:space="preserve">je nejvyšší ve Slovinsku (142 hod.), </w:t>
      </w:r>
      <w:r w:rsidR="006C22E7">
        <w:rPr>
          <w:rFonts w:ascii="Times New Roman" w:hAnsi="Times New Roman" w:cs="Times New Roman"/>
        </w:rPr>
        <w:t xml:space="preserve">ve </w:t>
      </w:r>
      <w:r w:rsidR="00C2632E">
        <w:rPr>
          <w:rFonts w:ascii="Times New Roman" w:hAnsi="Times New Roman" w:cs="Times New Roman"/>
        </w:rPr>
        <w:t>Španělsku (106 h</w:t>
      </w:r>
      <w:r w:rsidR="00D7311A">
        <w:rPr>
          <w:rFonts w:ascii="Times New Roman" w:hAnsi="Times New Roman" w:cs="Times New Roman"/>
        </w:rPr>
        <w:t xml:space="preserve">od.) a Velké </w:t>
      </w:r>
      <w:r w:rsidR="00D7311A">
        <w:rPr>
          <w:rFonts w:ascii="Times New Roman" w:hAnsi="Times New Roman" w:cs="Times New Roman"/>
        </w:rPr>
        <w:lastRenderedPageBreak/>
        <w:t xml:space="preserve">Británii (91 hod.). Na opačném pólu je Česká republika – přestože počet účastníků neformálního vzdělávání je relativně vysoký, činí </w:t>
      </w:r>
      <w:r w:rsidR="00D7311A" w:rsidRPr="00D7311A">
        <w:rPr>
          <w:rFonts w:ascii="Times New Roman" w:hAnsi="Times New Roman" w:cs="Times New Roman"/>
          <w:i/>
        </w:rPr>
        <w:t>průměrný počet hodin na účastníka ročně jen 35 hodin</w:t>
      </w:r>
      <w:r w:rsidR="002B55BB">
        <w:rPr>
          <w:rFonts w:ascii="Times New Roman" w:hAnsi="Times New Roman" w:cs="Times New Roman"/>
          <w:i/>
        </w:rPr>
        <w:t xml:space="preserve"> </w:t>
      </w:r>
      <w:r w:rsidR="002B55BB">
        <w:rPr>
          <w:rFonts w:ascii="Times New Roman" w:hAnsi="Times New Roman" w:cs="Times New Roman"/>
        </w:rPr>
        <w:t>(pro srovnání – v Rumunsku 37 hod.)</w:t>
      </w:r>
      <w:r w:rsidR="00D7311A" w:rsidRPr="00D7311A">
        <w:rPr>
          <w:rFonts w:ascii="Times New Roman" w:hAnsi="Times New Roman" w:cs="Times New Roman"/>
          <w:i/>
        </w:rPr>
        <w:t>.</w:t>
      </w:r>
      <w:r w:rsidR="00D7311A">
        <w:rPr>
          <w:rFonts w:ascii="Times New Roman" w:hAnsi="Times New Roman" w:cs="Times New Roman"/>
        </w:rPr>
        <w:t xml:space="preserve"> Důvody tohoto zjištění mohou být různé, například nižší zastoupení déle trvajících vzdělávacích aktivit, </w:t>
      </w:r>
      <w:r w:rsidR="002B55BB">
        <w:rPr>
          <w:rFonts w:ascii="Times New Roman" w:hAnsi="Times New Roman" w:cs="Times New Roman"/>
        </w:rPr>
        <w:t xml:space="preserve">menší počet vzdělávacích aktivit na účastníka, </w:t>
      </w:r>
      <w:r w:rsidR="00D7311A">
        <w:rPr>
          <w:rFonts w:ascii="Times New Roman" w:hAnsi="Times New Roman" w:cs="Times New Roman"/>
        </w:rPr>
        <w:t>preference krátkodobých (jednodenních školení),</w:t>
      </w:r>
      <w:r w:rsidR="002B55BB">
        <w:rPr>
          <w:rFonts w:ascii="Times New Roman" w:hAnsi="Times New Roman" w:cs="Times New Roman"/>
        </w:rPr>
        <w:t xml:space="preserve"> nižší podíl mimopracovně orientovaného vzdělávání, které bývá často </w:t>
      </w:r>
      <w:proofErr w:type="gramStart"/>
      <w:r w:rsidR="002B55BB">
        <w:rPr>
          <w:rFonts w:ascii="Times New Roman" w:hAnsi="Times New Roman" w:cs="Times New Roman"/>
        </w:rPr>
        <w:t>dlouhodobější,</w:t>
      </w:r>
      <w:proofErr w:type="gramEnd"/>
      <w:r w:rsidR="002B55BB">
        <w:rPr>
          <w:rFonts w:ascii="Times New Roman" w:hAnsi="Times New Roman" w:cs="Times New Roman"/>
        </w:rPr>
        <w:t xml:space="preserve"> atd.</w:t>
      </w:r>
    </w:p>
    <w:p w14:paraId="76C798D2" w14:textId="79090B74" w:rsidR="00726F8D" w:rsidRDefault="006C22E7" w:rsidP="00B55D5F">
      <w:pPr>
        <w:spacing w:before="240" w:line="360" w:lineRule="auto"/>
        <w:jc w:val="both"/>
        <w:rPr>
          <w:rFonts w:ascii="Times New Roman" w:hAnsi="Times New Roman" w:cs="Times New Roman"/>
        </w:rPr>
      </w:pPr>
      <w:r>
        <w:rPr>
          <w:rFonts w:ascii="Times New Roman" w:hAnsi="Times New Roman" w:cs="Times New Roman"/>
        </w:rPr>
        <w:t xml:space="preserve">Účast na neformálním vzdělávání se – stejně jako v případě formálního vzdělávání </w:t>
      </w:r>
      <w:proofErr w:type="gramStart"/>
      <w:r>
        <w:rPr>
          <w:rFonts w:ascii="Times New Roman" w:hAnsi="Times New Roman" w:cs="Times New Roman"/>
        </w:rPr>
        <w:t xml:space="preserve">– </w:t>
      </w:r>
      <w:r w:rsidR="002B55BB">
        <w:rPr>
          <w:rFonts w:ascii="Times New Roman" w:hAnsi="Times New Roman" w:cs="Times New Roman"/>
        </w:rPr>
        <w:t xml:space="preserve"> liší</w:t>
      </w:r>
      <w:proofErr w:type="gramEnd"/>
      <w:r w:rsidR="002B55BB">
        <w:rPr>
          <w:rFonts w:ascii="Times New Roman" w:hAnsi="Times New Roman" w:cs="Times New Roman"/>
        </w:rPr>
        <w:t xml:space="preserve"> podle řady socioekonomických hledisek, např. podle věku, dosažené úrovně vzdělání, genderu, postavení na trhu práce či výše příjmu.</w:t>
      </w:r>
      <w:r>
        <w:rPr>
          <w:rFonts w:ascii="Times New Roman" w:hAnsi="Times New Roman" w:cs="Times New Roman"/>
        </w:rPr>
        <w:t xml:space="preserve"> Nejčastěji</w:t>
      </w:r>
      <w:r w:rsidR="00CA4BE3">
        <w:rPr>
          <w:rFonts w:ascii="Times New Roman" w:hAnsi="Times New Roman" w:cs="Times New Roman"/>
        </w:rPr>
        <w:t xml:space="preserve"> se neformálního vzdělávání účastní dospělí ve věkové kategorii 35–</w:t>
      </w:r>
      <w:r>
        <w:rPr>
          <w:rFonts w:ascii="Times New Roman" w:hAnsi="Times New Roman" w:cs="Times New Roman"/>
        </w:rPr>
        <w:t xml:space="preserve">44 let (50 %). Je přitom rozdíl mezi muži a ženami. Zatímco </w:t>
      </w:r>
      <w:r w:rsidR="00CA4BE3">
        <w:rPr>
          <w:rFonts w:ascii="Times New Roman" w:hAnsi="Times New Roman" w:cs="Times New Roman"/>
        </w:rPr>
        <w:t>muži se nejčastěji účastní vzdělávání ve věku 25–</w:t>
      </w:r>
      <w:r w:rsidR="0029196E">
        <w:rPr>
          <w:rFonts w:ascii="Times New Roman" w:hAnsi="Times New Roman" w:cs="Times New Roman"/>
        </w:rPr>
        <w:t>34 let (54</w:t>
      </w:r>
      <w:r w:rsidR="00CA4BE3">
        <w:rPr>
          <w:rFonts w:ascii="Times New Roman" w:hAnsi="Times New Roman" w:cs="Times New Roman"/>
        </w:rPr>
        <w:t xml:space="preserve"> %), ženy až </w:t>
      </w:r>
      <w:r w:rsidR="00726F8D">
        <w:rPr>
          <w:rFonts w:ascii="Times New Roman" w:hAnsi="Times New Roman" w:cs="Times New Roman"/>
        </w:rPr>
        <w:t xml:space="preserve">v pozdějším produktivním věku (35–44 let a 45–54 let) a jejich zapojení je méně </w:t>
      </w:r>
      <w:r w:rsidR="0029196E">
        <w:rPr>
          <w:rFonts w:ascii="Times New Roman" w:hAnsi="Times New Roman" w:cs="Times New Roman"/>
        </w:rPr>
        <w:t>intenzivní než u mužů (48 % a 47</w:t>
      </w:r>
      <w:r w:rsidR="00040C3F">
        <w:rPr>
          <w:rFonts w:ascii="Times New Roman" w:hAnsi="Times New Roman" w:cs="Times New Roman"/>
        </w:rPr>
        <w:t xml:space="preserve"> %).</w:t>
      </w:r>
      <w:r w:rsidR="00726F8D">
        <w:rPr>
          <w:rFonts w:ascii="Times New Roman" w:hAnsi="Times New Roman" w:cs="Times New Roman"/>
        </w:rPr>
        <w:t xml:space="preserve"> </w:t>
      </w:r>
    </w:p>
    <w:p w14:paraId="774AFA95" w14:textId="2A6E96AC" w:rsidR="0029196E" w:rsidRDefault="0029196E" w:rsidP="0029196E">
      <w:pPr>
        <w:spacing w:before="120" w:line="360" w:lineRule="auto"/>
        <w:jc w:val="both"/>
        <w:rPr>
          <w:rFonts w:ascii="Times New Roman" w:hAnsi="Times New Roman" w:cs="Times New Roman"/>
        </w:rPr>
      </w:pPr>
      <w:r w:rsidRPr="0029196E">
        <w:rPr>
          <w:rFonts w:ascii="Times New Roman" w:hAnsi="Times New Roman" w:cs="Times New Roman"/>
          <w:b/>
        </w:rPr>
        <w:t xml:space="preserve">Základním faktorem, který ovlivňuje účast jedince v neformálním vzdělávání v dospělosti, je dosažená úroveň vzdělání. </w:t>
      </w:r>
      <w:r w:rsidR="00822CFD">
        <w:rPr>
          <w:rFonts w:ascii="Times New Roman" w:hAnsi="Times New Roman" w:cs="Times New Roman"/>
        </w:rPr>
        <w:t xml:space="preserve">Vyšší dosažené vzdělání znamená také vyšší míru účasti v neformálním vzdělávání (a to jak v pracovně, tak mimopracovně orientovaném). </w:t>
      </w:r>
      <w:r w:rsidR="00765AFA">
        <w:rPr>
          <w:rFonts w:ascii="Times New Roman" w:hAnsi="Times New Roman" w:cs="Times New Roman"/>
        </w:rPr>
        <w:t>Dobře je to patrné z Obrázku 2.9. Zatímco pouze 17 % dospělé populace ve věkové kategorii 18–69 let s nejvýše základním vzděláním se účastní některé z forem neformálního vzdělávání (z toho 10 % vzdělávacích programů je orientováno pracovně), u osob s VOŠ a VŠ vzděláním je to již 59 % (z toho 50 % programů je orientováno pracovně).</w:t>
      </w:r>
    </w:p>
    <w:p w14:paraId="208BBF72" w14:textId="77777777" w:rsidR="00E2022F" w:rsidRDefault="00E2022F" w:rsidP="00E2022F">
      <w:pPr>
        <w:spacing w:before="120" w:line="360" w:lineRule="auto"/>
        <w:jc w:val="both"/>
        <w:rPr>
          <w:rFonts w:ascii="Times New Roman" w:hAnsi="Times New Roman" w:cs="Times New Roman"/>
        </w:rPr>
      </w:pPr>
      <w:r>
        <w:rPr>
          <w:rFonts w:ascii="Times New Roman" w:hAnsi="Times New Roman" w:cs="Times New Roman"/>
        </w:rPr>
        <w:t xml:space="preserve">Z Obrázku 2.9 také vyplývá, že </w:t>
      </w:r>
      <w:r w:rsidRPr="0066392B">
        <w:rPr>
          <w:rFonts w:ascii="Times New Roman" w:hAnsi="Times New Roman" w:cs="Times New Roman"/>
          <w:b/>
        </w:rPr>
        <w:t>hlavní motivací k účasti na programech neformálního vzdělávání jsou pracovní důvody, a to bez ohledu na dosažený stupeň vzdělání</w:t>
      </w:r>
      <w:r>
        <w:rPr>
          <w:rFonts w:ascii="Times New Roman" w:hAnsi="Times New Roman" w:cs="Times New Roman"/>
        </w:rPr>
        <w:t xml:space="preserve">. Cílem může být např. rozšíření a prohloubení stávající kvalifikace, nutnost doplnit si znalosti a dovednosti nezbytné pro udržení stávajícího zaměstnání (např. doplnění jazykových znalostí, práce s ICT či povinné školení hrazené zaměstnavatelem). </w:t>
      </w:r>
    </w:p>
    <w:p w14:paraId="040E45F7" w14:textId="77777777" w:rsidR="00E2022F" w:rsidRDefault="00E2022F" w:rsidP="007946CB">
      <w:pPr>
        <w:spacing w:before="120"/>
        <w:jc w:val="both"/>
        <w:rPr>
          <w:rFonts w:ascii="Times New Roman" w:hAnsi="Times New Roman" w:cs="Times New Roman"/>
          <w:sz w:val="22"/>
          <w:szCs w:val="22"/>
        </w:rPr>
      </w:pPr>
    </w:p>
    <w:p w14:paraId="329ECFB4" w14:textId="77777777" w:rsidR="00E2022F" w:rsidRDefault="00E2022F" w:rsidP="007946CB">
      <w:pPr>
        <w:spacing w:before="120"/>
        <w:jc w:val="both"/>
        <w:rPr>
          <w:rFonts w:ascii="Times New Roman" w:hAnsi="Times New Roman" w:cs="Times New Roman"/>
          <w:sz w:val="22"/>
          <w:szCs w:val="22"/>
        </w:rPr>
      </w:pPr>
    </w:p>
    <w:p w14:paraId="0ED24F8D" w14:textId="77777777" w:rsidR="00E2022F" w:rsidRDefault="00E2022F" w:rsidP="007946CB">
      <w:pPr>
        <w:spacing w:before="120"/>
        <w:jc w:val="both"/>
        <w:rPr>
          <w:rFonts w:ascii="Times New Roman" w:hAnsi="Times New Roman" w:cs="Times New Roman"/>
          <w:sz w:val="22"/>
          <w:szCs w:val="22"/>
        </w:rPr>
      </w:pPr>
    </w:p>
    <w:p w14:paraId="35427F75" w14:textId="77777777" w:rsidR="00E2022F" w:rsidRDefault="00E2022F" w:rsidP="007946CB">
      <w:pPr>
        <w:spacing w:before="120"/>
        <w:jc w:val="both"/>
        <w:rPr>
          <w:rFonts w:ascii="Times New Roman" w:hAnsi="Times New Roman" w:cs="Times New Roman"/>
          <w:sz w:val="22"/>
          <w:szCs w:val="22"/>
        </w:rPr>
      </w:pPr>
    </w:p>
    <w:p w14:paraId="378F475C" w14:textId="008E72A6" w:rsidR="00765AFA" w:rsidRPr="00CD3A87" w:rsidRDefault="00CD3A87" w:rsidP="007946CB">
      <w:pPr>
        <w:spacing w:before="120"/>
        <w:jc w:val="both"/>
        <w:rPr>
          <w:rFonts w:ascii="Times New Roman" w:hAnsi="Times New Roman" w:cs="Times New Roman"/>
          <w:b/>
          <w:sz w:val="22"/>
          <w:szCs w:val="22"/>
        </w:rPr>
      </w:pPr>
      <w:r>
        <w:rPr>
          <w:rFonts w:ascii="Times New Roman" w:hAnsi="Times New Roman" w:cs="Times New Roman"/>
          <w:sz w:val="22"/>
          <w:szCs w:val="22"/>
        </w:rPr>
        <w:lastRenderedPageBreak/>
        <w:t xml:space="preserve">Obrázek 2.9 </w:t>
      </w:r>
      <w:r>
        <w:rPr>
          <w:rFonts w:ascii="Times New Roman" w:hAnsi="Times New Roman" w:cs="Times New Roman"/>
          <w:b/>
          <w:sz w:val="22"/>
          <w:szCs w:val="22"/>
        </w:rPr>
        <w:t>Účast dospělé populace (18–69 let) na neformálním vzdělávání dle dos</w:t>
      </w:r>
      <w:r w:rsidR="008879D5">
        <w:rPr>
          <w:rFonts w:ascii="Times New Roman" w:hAnsi="Times New Roman" w:cs="Times New Roman"/>
          <w:b/>
          <w:sz w:val="22"/>
          <w:szCs w:val="22"/>
        </w:rPr>
        <w:t>ažené úrovně vzdělání</w:t>
      </w:r>
      <w:r w:rsidR="007946CB">
        <w:rPr>
          <w:rFonts w:ascii="Times New Roman" w:hAnsi="Times New Roman" w:cs="Times New Roman"/>
          <w:b/>
          <w:sz w:val="22"/>
          <w:szCs w:val="22"/>
        </w:rPr>
        <w:t xml:space="preserve"> v ČR</w:t>
      </w:r>
      <w:r w:rsidR="008879D5">
        <w:rPr>
          <w:rFonts w:ascii="Times New Roman" w:hAnsi="Times New Roman" w:cs="Times New Roman"/>
          <w:b/>
          <w:sz w:val="22"/>
          <w:szCs w:val="22"/>
        </w:rPr>
        <w:t xml:space="preserve"> (2016</w:t>
      </w:r>
      <w:r>
        <w:rPr>
          <w:rFonts w:ascii="Times New Roman" w:hAnsi="Times New Roman" w:cs="Times New Roman"/>
          <w:b/>
          <w:sz w:val="22"/>
          <w:szCs w:val="22"/>
        </w:rPr>
        <w:t>, v %)</w:t>
      </w:r>
    </w:p>
    <w:p w14:paraId="342FD797" w14:textId="0E8DE037" w:rsidR="00765AFA" w:rsidRDefault="00765AFA" w:rsidP="0029196E">
      <w:pPr>
        <w:spacing w:before="12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73DF4ADC" wp14:editId="038B574E">
            <wp:extent cx="5274310" cy="3076575"/>
            <wp:effectExtent l="0" t="0" r="34290" b="222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8B1327" w14:textId="349A438C" w:rsidR="00CD3A87" w:rsidRPr="00A02267" w:rsidRDefault="00CD3A87" w:rsidP="00CD3A87">
      <w:pPr>
        <w:spacing w:before="120"/>
        <w:jc w:val="both"/>
        <w:rPr>
          <w:rFonts w:ascii="Times New Roman" w:hAnsi="Times New Roman" w:cs="Times New Roman"/>
          <w:i/>
          <w:sz w:val="22"/>
          <w:szCs w:val="22"/>
        </w:rPr>
      </w:pPr>
      <w:r w:rsidRPr="00A02267">
        <w:rPr>
          <w:rFonts w:ascii="Times New Roman" w:hAnsi="Times New Roman" w:cs="Times New Roman"/>
          <w:i/>
          <w:sz w:val="22"/>
          <w:szCs w:val="22"/>
        </w:rPr>
        <w:t>Zdroj: AES (2016), vlastní zpracování.</w:t>
      </w:r>
    </w:p>
    <w:p w14:paraId="5AB4DF22" w14:textId="168AE383" w:rsidR="001D285B" w:rsidRDefault="001D285B" w:rsidP="00E2022F">
      <w:pPr>
        <w:pStyle w:val="Nadpis4"/>
        <w:spacing w:before="240"/>
      </w:pPr>
      <w:r>
        <w:t>Pracovně orientované neformální vzdělávání</w:t>
      </w:r>
    </w:p>
    <w:p w14:paraId="7940C71B" w14:textId="30C95F49" w:rsidR="00A77C00" w:rsidRDefault="00A77C00" w:rsidP="00E2022F">
      <w:pPr>
        <w:spacing w:before="120" w:line="360" w:lineRule="auto"/>
        <w:jc w:val="both"/>
        <w:rPr>
          <w:rFonts w:ascii="Times New Roman" w:hAnsi="Times New Roman" w:cs="Times New Roman"/>
        </w:rPr>
      </w:pPr>
      <w:r>
        <w:rPr>
          <w:rFonts w:ascii="Times New Roman" w:hAnsi="Times New Roman" w:cs="Times New Roman"/>
        </w:rPr>
        <w:t xml:space="preserve">Z hlediska dlouhodobého </w:t>
      </w:r>
      <w:r w:rsidR="001421D1">
        <w:rPr>
          <w:rFonts w:ascii="Times New Roman" w:hAnsi="Times New Roman" w:cs="Times New Roman"/>
        </w:rPr>
        <w:t>uplatnění j</w:t>
      </w:r>
      <w:r>
        <w:rPr>
          <w:rFonts w:ascii="Times New Roman" w:hAnsi="Times New Roman" w:cs="Times New Roman"/>
        </w:rPr>
        <w:t>edince na trhu práce má klíčový</w:t>
      </w:r>
      <w:r w:rsidR="001421D1">
        <w:rPr>
          <w:rFonts w:ascii="Times New Roman" w:hAnsi="Times New Roman" w:cs="Times New Roman"/>
        </w:rPr>
        <w:t xml:space="preserve"> význam tzv. pracovně orientované neformální vzdělávání</w:t>
      </w:r>
      <w:r w:rsidR="000F6019">
        <w:rPr>
          <w:rFonts w:ascii="Times New Roman" w:hAnsi="Times New Roman" w:cs="Times New Roman"/>
        </w:rPr>
        <w:t>. V</w:t>
      </w:r>
      <w:r>
        <w:rPr>
          <w:rFonts w:ascii="Times New Roman" w:hAnsi="Times New Roman" w:cs="Times New Roman"/>
        </w:rPr>
        <w:t>ýznamně zvyšuje flex</w:t>
      </w:r>
      <w:r w:rsidR="00A02267">
        <w:rPr>
          <w:rFonts w:ascii="Times New Roman" w:hAnsi="Times New Roman" w:cs="Times New Roman"/>
        </w:rPr>
        <w:t>ibilitu pracovní síly a zvyšuje</w:t>
      </w:r>
      <w:r>
        <w:rPr>
          <w:rFonts w:ascii="Times New Roman" w:hAnsi="Times New Roman" w:cs="Times New Roman"/>
        </w:rPr>
        <w:t xml:space="preserve"> j</w:t>
      </w:r>
      <w:r w:rsidR="000F6019">
        <w:rPr>
          <w:rFonts w:ascii="Times New Roman" w:hAnsi="Times New Roman" w:cs="Times New Roman"/>
        </w:rPr>
        <w:t>ejí stabilitu na pracovním trhu, popř. usnadňuje vstup na trh práce.</w:t>
      </w:r>
      <w:r>
        <w:rPr>
          <w:rFonts w:ascii="Times New Roman" w:hAnsi="Times New Roman" w:cs="Times New Roman"/>
        </w:rPr>
        <w:t xml:space="preserve"> Z uvedeného důvodu </w:t>
      </w:r>
      <w:r w:rsidR="00774D7B">
        <w:rPr>
          <w:rFonts w:ascii="Times New Roman" w:hAnsi="Times New Roman" w:cs="Times New Roman"/>
        </w:rPr>
        <w:t xml:space="preserve">se na tuto oblast dalšího vzdělávání </w:t>
      </w:r>
      <w:r>
        <w:rPr>
          <w:rFonts w:ascii="Times New Roman" w:hAnsi="Times New Roman" w:cs="Times New Roman"/>
        </w:rPr>
        <w:t xml:space="preserve">podíváme </w:t>
      </w:r>
      <w:r w:rsidR="00774D7B">
        <w:rPr>
          <w:rFonts w:ascii="Times New Roman" w:hAnsi="Times New Roman" w:cs="Times New Roman"/>
        </w:rPr>
        <w:t xml:space="preserve">podrobněji. </w:t>
      </w:r>
    </w:p>
    <w:p w14:paraId="58BBE74A" w14:textId="411921AA" w:rsidR="00E2022F" w:rsidRDefault="00E2022F" w:rsidP="00E2022F">
      <w:pPr>
        <w:spacing w:before="120" w:line="360" w:lineRule="auto"/>
        <w:jc w:val="both"/>
        <w:rPr>
          <w:rFonts w:ascii="Times New Roman" w:hAnsi="Times New Roman" w:cs="Times New Roman"/>
        </w:rPr>
      </w:pPr>
      <w:r>
        <w:rPr>
          <w:rFonts w:ascii="Times New Roman" w:hAnsi="Times New Roman" w:cs="Times New Roman"/>
        </w:rPr>
        <w:t xml:space="preserve">Jak je patrné z Obrázku 2.10, míra účasti v neformálním vzdělávání, které souvisí s výkonem práce, se odvíjí od aktuálního podstavení na trhu práce. </w:t>
      </w:r>
      <w:r w:rsidRPr="00FA019D">
        <w:rPr>
          <w:rFonts w:ascii="Times New Roman" w:hAnsi="Times New Roman" w:cs="Times New Roman"/>
          <w:b/>
        </w:rPr>
        <w:t>Nejvíce se vzdělávají ekonomicky aktivní jedinci v zaměstnaneckém poměru</w:t>
      </w:r>
      <w:r>
        <w:rPr>
          <w:rFonts w:ascii="Times New Roman" w:hAnsi="Times New Roman" w:cs="Times New Roman"/>
        </w:rPr>
        <w:t xml:space="preserve"> – 50 %, tedy každý druhý. Mírný je rozdíl mezi muži a ženami (53 % zaměstnaných mužů a 47 % zaměstnaných žen). Účast </w:t>
      </w:r>
      <w:r w:rsidRPr="00FA019D">
        <w:rPr>
          <w:rFonts w:ascii="Times New Roman" w:hAnsi="Times New Roman" w:cs="Times New Roman"/>
          <w:i/>
        </w:rPr>
        <w:t>podnikatelů</w:t>
      </w:r>
      <w:r>
        <w:rPr>
          <w:rFonts w:ascii="Times New Roman" w:hAnsi="Times New Roman" w:cs="Times New Roman"/>
        </w:rPr>
        <w:t xml:space="preserve"> (včetně OSVČ) na pracovně orientovaném neformálním vzdělávání je ve srovnání se zaměstnanci nižší, činí 36 %, ale vzdělávání věnují ročně v průměru o tři hodiny více (30 hod.). Pokud jde o </w:t>
      </w:r>
      <w:r w:rsidRPr="00FA019D">
        <w:rPr>
          <w:rFonts w:ascii="Times New Roman" w:hAnsi="Times New Roman" w:cs="Times New Roman"/>
          <w:i/>
        </w:rPr>
        <w:t>nezaměstnané osoby</w:t>
      </w:r>
      <w:r>
        <w:rPr>
          <w:rFonts w:ascii="Times New Roman" w:hAnsi="Times New Roman" w:cs="Times New Roman"/>
        </w:rPr>
        <w:t xml:space="preserve">, do pracovně orientovaného neformálního vzdělávání se zapojilo pouze 13 %. Průměrně vysoký objem hodin strávený vzděláváním (52 hod.) souvisí zřejmě s déle trvajícími rekvalifikačními kurzy, které v této skupině osob převažují. Pro doplnění, na pracovně orientované neformálním vzdělávání participuje rovněž </w:t>
      </w:r>
      <w:r w:rsidRPr="00FA019D">
        <w:rPr>
          <w:rFonts w:ascii="Times New Roman" w:hAnsi="Times New Roman" w:cs="Times New Roman"/>
        </w:rPr>
        <w:t>2 %</w:t>
      </w:r>
      <w:r w:rsidRPr="00FA019D">
        <w:rPr>
          <w:rFonts w:ascii="Times New Roman" w:hAnsi="Times New Roman" w:cs="Times New Roman"/>
          <w:i/>
        </w:rPr>
        <w:t xml:space="preserve"> osob pobírajících starobní důchod</w:t>
      </w:r>
      <w:r>
        <w:rPr>
          <w:rFonts w:ascii="Times New Roman" w:hAnsi="Times New Roman" w:cs="Times New Roman"/>
        </w:rPr>
        <w:t>, a to s průměrným ročním objemem 17 hodin.</w:t>
      </w:r>
    </w:p>
    <w:p w14:paraId="3EF11853" w14:textId="77777777" w:rsidR="00E2022F" w:rsidRDefault="00E2022F" w:rsidP="00E2022F">
      <w:pPr>
        <w:spacing w:before="120" w:line="360" w:lineRule="auto"/>
        <w:jc w:val="both"/>
        <w:rPr>
          <w:rFonts w:ascii="Times New Roman" w:hAnsi="Times New Roman" w:cs="Times New Roman"/>
          <w:sz w:val="22"/>
          <w:szCs w:val="22"/>
        </w:rPr>
      </w:pPr>
    </w:p>
    <w:p w14:paraId="57BCE53F" w14:textId="443DFDAF" w:rsidR="00774D7B" w:rsidRPr="00774D7B" w:rsidRDefault="00774D7B" w:rsidP="00A02267">
      <w:pPr>
        <w:spacing w:before="120"/>
        <w:jc w:val="both"/>
        <w:rPr>
          <w:rFonts w:ascii="Times New Roman" w:hAnsi="Times New Roman" w:cs="Times New Roman"/>
          <w:b/>
          <w:sz w:val="22"/>
          <w:szCs w:val="22"/>
        </w:rPr>
      </w:pPr>
      <w:r>
        <w:rPr>
          <w:rFonts w:ascii="Times New Roman" w:hAnsi="Times New Roman" w:cs="Times New Roman"/>
          <w:sz w:val="22"/>
          <w:szCs w:val="22"/>
        </w:rPr>
        <w:lastRenderedPageBreak/>
        <w:t xml:space="preserve">Obrázek 2.10 </w:t>
      </w:r>
      <w:r>
        <w:rPr>
          <w:rFonts w:ascii="Times New Roman" w:hAnsi="Times New Roman" w:cs="Times New Roman"/>
          <w:b/>
          <w:sz w:val="22"/>
          <w:szCs w:val="22"/>
        </w:rPr>
        <w:t xml:space="preserve">Účast a průměrný počet hodin strávený pracovně orientovaným neformálním vzděláváním dle ekonomického postavení vybraných skupin </w:t>
      </w:r>
      <w:r w:rsidR="00A02267">
        <w:rPr>
          <w:rFonts w:ascii="Times New Roman" w:hAnsi="Times New Roman" w:cs="Times New Roman"/>
          <w:b/>
          <w:sz w:val="22"/>
          <w:szCs w:val="22"/>
        </w:rPr>
        <w:t xml:space="preserve">v ČR      </w:t>
      </w:r>
      <w:proofErr w:type="gramStart"/>
      <w:r w:rsidR="00A02267">
        <w:rPr>
          <w:rFonts w:ascii="Times New Roman" w:hAnsi="Times New Roman" w:cs="Times New Roman"/>
          <w:b/>
          <w:sz w:val="22"/>
          <w:szCs w:val="22"/>
        </w:rPr>
        <w:t xml:space="preserve">   </w:t>
      </w:r>
      <w:r>
        <w:rPr>
          <w:rFonts w:ascii="Times New Roman" w:hAnsi="Times New Roman" w:cs="Times New Roman"/>
          <w:b/>
          <w:sz w:val="22"/>
          <w:szCs w:val="22"/>
        </w:rPr>
        <w:t>(</w:t>
      </w:r>
      <w:proofErr w:type="gramEnd"/>
      <w:r>
        <w:rPr>
          <w:rFonts w:ascii="Times New Roman" w:hAnsi="Times New Roman" w:cs="Times New Roman"/>
          <w:b/>
          <w:sz w:val="22"/>
          <w:szCs w:val="22"/>
        </w:rPr>
        <w:t>18–</w:t>
      </w:r>
      <w:r w:rsidR="008879D5">
        <w:rPr>
          <w:rFonts w:ascii="Times New Roman" w:hAnsi="Times New Roman" w:cs="Times New Roman"/>
          <w:b/>
          <w:sz w:val="22"/>
          <w:szCs w:val="22"/>
        </w:rPr>
        <w:t>69 let, 2016</w:t>
      </w:r>
      <w:r>
        <w:rPr>
          <w:rFonts w:ascii="Times New Roman" w:hAnsi="Times New Roman" w:cs="Times New Roman"/>
          <w:b/>
          <w:sz w:val="22"/>
          <w:szCs w:val="22"/>
        </w:rPr>
        <w:t>)</w:t>
      </w:r>
    </w:p>
    <w:p w14:paraId="073DFF38" w14:textId="09663FCD" w:rsidR="008D16E0" w:rsidRDefault="0076587D" w:rsidP="001D285B">
      <w:pPr>
        <w:spacing w:before="12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32AA4D00" wp14:editId="2C89BE79">
            <wp:extent cx="5274310" cy="3076575"/>
            <wp:effectExtent l="0" t="0" r="3429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6BE71B" w14:textId="3FD7618B" w:rsidR="00774D7B" w:rsidRPr="00A02267" w:rsidRDefault="00774D7B" w:rsidP="00774D7B">
      <w:pPr>
        <w:spacing w:before="120"/>
        <w:jc w:val="both"/>
        <w:rPr>
          <w:rFonts w:ascii="Times New Roman" w:hAnsi="Times New Roman" w:cs="Times New Roman"/>
          <w:i/>
          <w:sz w:val="22"/>
          <w:szCs w:val="22"/>
        </w:rPr>
      </w:pPr>
      <w:r w:rsidRPr="00A02267">
        <w:rPr>
          <w:rFonts w:ascii="Times New Roman" w:hAnsi="Times New Roman" w:cs="Times New Roman"/>
          <w:i/>
          <w:sz w:val="22"/>
          <w:szCs w:val="22"/>
        </w:rPr>
        <w:t>Zdroj: AES (2016), vlastní zpracování.</w:t>
      </w:r>
    </w:p>
    <w:p w14:paraId="6D242D70" w14:textId="491E415B" w:rsidR="00774D7B" w:rsidRPr="003941A0" w:rsidRDefault="00774D7B" w:rsidP="00774D7B">
      <w:pPr>
        <w:spacing w:before="120"/>
        <w:jc w:val="both"/>
        <w:rPr>
          <w:rFonts w:ascii="Times New Roman" w:hAnsi="Times New Roman" w:cs="Times New Roman"/>
          <w:sz w:val="20"/>
          <w:szCs w:val="20"/>
        </w:rPr>
      </w:pPr>
      <w:r w:rsidRPr="003941A0">
        <w:rPr>
          <w:rFonts w:ascii="Times New Roman" w:hAnsi="Times New Roman" w:cs="Times New Roman"/>
          <w:sz w:val="20"/>
          <w:szCs w:val="20"/>
        </w:rPr>
        <w:t>Poznámka: RD – rodičovská dovolená.</w:t>
      </w:r>
      <w:r w:rsidR="00016625" w:rsidRPr="003941A0">
        <w:rPr>
          <w:rFonts w:ascii="Times New Roman" w:hAnsi="Times New Roman" w:cs="Times New Roman"/>
          <w:sz w:val="20"/>
          <w:szCs w:val="20"/>
        </w:rPr>
        <w:t xml:space="preserve"> </w:t>
      </w:r>
    </w:p>
    <w:p w14:paraId="0D573342" w14:textId="4FB9B4BD" w:rsidR="00FA019D" w:rsidRDefault="00FA019D" w:rsidP="00E2022F">
      <w:pPr>
        <w:spacing w:before="240" w:line="360" w:lineRule="auto"/>
        <w:jc w:val="both"/>
        <w:rPr>
          <w:rFonts w:ascii="Times New Roman" w:hAnsi="Times New Roman" w:cs="Times New Roman"/>
        </w:rPr>
      </w:pPr>
      <w:r>
        <w:rPr>
          <w:rFonts w:ascii="Times New Roman" w:hAnsi="Times New Roman" w:cs="Times New Roman"/>
        </w:rPr>
        <w:t xml:space="preserve">Z hlediska </w:t>
      </w:r>
      <w:r w:rsidRPr="00E67B90">
        <w:rPr>
          <w:rFonts w:ascii="Times New Roman" w:hAnsi="Times New Roman" w:cs="Times New Roman"/>
          <w:b/>
        </w:rPr>
        <w:t>tematického zaměření vzdělávacích programů</w:t>
      </w:r>
      <w:r>
        <w:rPr>
          <w:rFonts w:ascii="Times New Roman" w:hAnsi="Times New Roman" w:cs="Times New Roman"/>
        </w:rPr>
        <w:t xml:space="preserve"> (dle mezinárodního standardu klasifikace oborů vzdělání CZ-ISCED-F)</w:t>
      </w:r>
      <w:r w:rsidR="00E67B90">
        <w:rPr>
          <w:rFonts w:ascii="Times New Roman" w:hAnsi="Times New Roman" w:cs="Times New Roman"/>
        </w:rPr>
        <w:t xml:space="preserve"> se nejvíce vzdělávacích aktivit týkalo </w:t>
      </w:r>
      <w:r w:rsidR="00E67B90" w:rsidRPr="00E67B90">
        <w:rPr>
          <w:rFonts w:ascii="Times New Roman" w:hAnsi="Times New Roman" w:cs="Times New Roman"/>
          <w:i/>
        </w:rPr>
        <w:t>Služeb</w:t>
      </w:r>
      <w:r w:rsidR="00E67B90">
        <w:rPr>
          <w:rFonts w:ascii="Times New Roman" w:hAnsi="Times New Roman" w:cs="Times New Roman"/>
          <w:i/>
        </w:rPr>
        <w:t xml:space="preserve"> </w:t>
      </w:r>
      <w:r w:rsidR="00E67B90">
        <w:rPr>
          <w:rFonts w:ascii="Times New Roman" w:hAnsi="Times New Roman" w:cs="Times New Roman"/>
        </w:rPr>
        <w:t xml:space="preserve">– zejm. hotelnictví a restauratérství, kadeřnických a kosmetických služeb, bezpečnostních služeb, přepravních služeb. Druhou oblastí co do počtu vzdělávacích aktivit byl </w:t>
      </w:r>
      <w:r w:rsidR="00E67B90">
        <w:rPr>
          <w:rFonts w:ascii="Times New Roman" w:hAnsi="Times New Roman" w:cs="Times New Roman"/>
          <w:i/>
        </w:rPr>
        <w:t xml:space="preserve">Obchod, administrativa a právo </w:t>
      </w:r>
      <w:r w:rsidR="00E67B90">
        <w:rPr>
          <w:rFonts w:ascii="Times New Roman" w:hAnsi="Times New Roman" w:cs="Times New Roman"/>
        </w:rPr>
        <w:t>– jedná se o nejrůznější kurzy, školení a semináře zaměřené především na účetnictví, daně, finance, bankovnictví, pojišťovnictví, právo, manažerské dovednosti, prodejní dovednosti atd.</w:t>
      </w:r>
      <w:r w:rsidR="00B11B8F">
        <w:rPr>
          <w:rFonts w:ascii="Times New Roman" w:hAnsi="Times New Roman" w:cs="Times New Roman"/>
        </w:rPr>
        <w:t xml:space="preserve"> Třetí oblastí, která vykazuje nejvíce vzdělávacích aktivit, je </w:t>
      </w:r>
      <w:r w:rsidR="00B11B8F">
        <w:rPr>
          <w:rFonts w:ascii="Times New Roman" w:hAnsi="Times New Roman" w:cs="Times New Roman"/>
          <w:i/>
        </w:rPr>
        <w:t xml:space="preserve">Technika výroby a stavebnictví </w:t>
      </w:r>
      <w:r w:rsidR="00A02267">
        <w:rPr>
          <w:rFonts w:ascii="Times New Roman" w:hAnsi="Times New Roman" w:cs="Times New Roman"/>
        </w:rPr>
        <w:t>– jde</w:t>
      </w:r>
      <w:r w:rsidR="00B11B8F">
        <w:rPr>
          <w:rFonts w:ascii="Times New Roman" w:hAnsi="Times New Roman" w:cs="Times New Roman"/>
        </w:rPr>
        <w:t xml:space="preserve"> o vzdělávací aktivity zaměřené na inženýrství a strojírenství výrobu a zpracování či architekturu a stavebnictví.</w:t>
      </w:r>
    </w:p>
    <w:p w14:paraId="7C2D44E8" w14:textId="77777777" w:rsidR="00E2022F" w:rsidRDefault="00E2022F" w:rsidP="00A02267">
      <w:pPr>
        <w:spacing w:before="120"/>
        <w:jc w:val="both"/>
        <w:rPr>
          <w:rFonts w:ascii="Times New Roman" w:hAnsi="Times New Roman" w:cs="Times New Roman"/>
          <w:sz w:val="22"/>
          <w:szCs w:val="22"/>
        </w:rPr>
      </w:pPr>
    </w:p>
    <w:p w14:paraId="6FB9636D" w14:textId="77777777" w:rsidR="00E2022F" w:rsidRDefault="00E2022F" w:rsidP="00A02267">
      <w:pPr>
        <w:spacing w:before="120"/>
        <w:jc w:val="both"/>
        <w:rPr>
          <w:rFonts w:ascii="Times New Roman" w:hAnsi="Times New Roman" w:cs="Times New Roman"/>
          <w:sz w:val="22"/>
          <w:szCs w:val="22"/>
        </w:rPr>
      </w:pPr>
    </w:p>
    <w:p w14:paraId="36284336" w14:textId="77777777" w:rsidR="00E2022F" w:rsidRDefault="00E2022F" w:rsidP="00A02267">
      <w:pPr>
        <w:spacing w:before="120"/>
        <w:jc w:val="both"/>
        <w:rPr>
          <w:rFonts w:ascii="Times New Roman" w:hAnsi="Times New Roman" w:cs="Times New Roman"/>
          <w:sz w:val="22"/>
          <w:szCs w:val="22"/>
        </w:rPr>
      </w:pPr>
    </w:p>
    <w:p w14:paraId="41A736C6" w14:textId="77777777" w:rsidR="00E2022F" w:rsidRDefault="00E2022F" w:rsidP="00A02267">
      <w:pPr>
        <w:spacing w:before="120"/>
        <w:jc w:val="both"/>
        <w:rPr>
          <w:rFonts w:ascii="Times New Roman" w:hAnsi="Times New Roman" w:cs="Times New Roman"/>
          <w:sz w:val="22"/>
          <w:szCs w:val="22"/>
        </w:rPr>
      </w:pPr>
    </w:p>
    <w:p w14:paraId="46ED20B2" w14:textId="77777777" w:rsidR="00E2022F" w:rsidRDefault="00E2022F" w:rsidP="00A02267">
      <w:pPr>
        <w:spacing w:before="120"/>
        <w:jc w:val="both"/>
        <w:rPr>
          <w:rFonts w:ascii="Times New Roman" w:hAnsi="Times New Roman" w:cs="Times New Roman"/>
          <w:sz w:val="22"/>
          <w:szCs w:val="22"/>
        </w:rPr>
      </w:pPr>
    </w:p>
    <w:p w14:paraId="120C338B" w14:textId="77777777" w:rsidR="00E2022F" w:rsidRDefault="00E2022F" w:rsidP="00A02267">
      <w:pPr>
        <w:spacing w:before="120"/>
        <w:jc w:val="both"/>
        <w:rPr>
          <w:rFonts w:ascii="Times New Roman" w:hAnsi="Times New Roman" w:cs="Times New Roman"/>
          <w:sz w:val="22"/>
          <w:szCs w:val="22"/>
        </w:rPr>
      </w:pPr>
    </w:p>
    <w:p w14:paraId="3DDA6D5A" w14:textId="1B051CA8" w:rsidR="00A53952" w:rsidRPr="00A53952" w:rsidRDefault="00A53952" w:rsidP="00A02267">
      <w:pPr>
        <w:spacing w:before="120"/>
        <w:jc w:val="both"/>
        <w:rPr>
          <w:rFonts w:ascii="Times New Roman" w:hAnsi="Times New Roman" w:cs="Times New Roman"/>
          <w:b/>
          <w:sz w:val="22"/>
          <w:szCs w:val="22"/>
        </w:rPr>
      </w:pPr>
      <w:r>
        <w:rPr>
          <w:rFonts w:ascii="Times New Roman" w:hAnsi="Times New Roman" w:cs="Times New Roman"/>
          <w:sz w:val="22"/>
          <w:szCs w:val="22"/>
        </w:rPr>
        <w:lastRenderedPageBreak/>
        <w:t xml:space="preserve">Obrázek 2.11 </w:t>
      </w:r>
      <w:r>
        <w:rPr>
          <w:rFonts w:ascii="Times New Roman" w:hAnsi="Times New Roman" w:cs="Times New Roman"/>
          <w:b/>
          <w:sz w:val="22"/>
          <w:szCs w:val="22"/>
        </w:rPr>
        <w:t>Účast pracujících a průměrný počet hodin strávený pracovně orientovaným neformálním vzděláváním dle hlavních tříd zaměstná</w:t>
      </w:r>
      <w:r w:rsidR="008879D5">
        <w:rPr>
          <w:rFonts w:ascii="Times New Roman" w:hAnsi="Times New Roman" w:cs="Times New Roman"/>
          <w:b/>
          <w:sz w:val="22"/>
          <w:szCs w:val="22"/>
        </w:rPr>
        <w:t xml:space="preserve">ní CZ-ISCO </w:t>
      </w:r>
      <w:r w:rsidR="00A02267">
        <w:rPr>
          <w:rFonts w:ascii="Times New Roman" w:hAnsi="Times New Roman" w:cs="Times New Roman"/>
          <w:b/>
          <w:sz w:val="22"/>
          <w:szCs w:val="22"/>
        </w:rPr>
        <w:t xml:space="preserve">    </w:t>
      </w:r>
      <w:proofErr w:type="gramStart"/>
      <w:r w:rsidR="00A02267">
        <w:rPr>
          <w:rFonts w:ascii="Times New Roman" w:hAnsi="Times New Roman" w:cs="Times New Roman"/>
          <w:b/>
          <w:sz w:val="22"/>
          <w:szCs w:val="22"/>
        </w:rPr>
        <w:t xml:space="preserve">   </w:t>
      </w:r>
      <w:r w:rsidR="008879D5">
        <w:rPr>
          <w:rFonts w:ascii="Times New Roman" w:hAnsi="Times New Roman" w:cs="Times New Roman"/>
          <w:b/>
          <w:sz w:val="22"/>
          <w:szCs w:val="22"/>
        </w:rPr>
        <w:t>(</w:t>
      </w:r>
      <w:proofErr w:type="gramEnd"/>
      <w:r w:rsidR="008879D5">
        <w:rPr>
          <w:rFonts w:ascii="Times New Roman" w:hAnsi="Times New Roman" w:cs="Times New Roman"/>
          <w:b/>
          <w:sz w:val="22"/>
          <w:szCs w:val="22"/>
        </w:rPr>
        <w:t>18–69 let, 2016</w:t>
      </w:r>
      <w:r>
        <w:rPr>
          <w:rFonts w:ascii="Times New Roman" w:hAnsi="Times New Roman" w:cs="Times New Roman"/>
          <w:b/>
          <w:sz w:val="22"/>
          <w:szCs w:val="22"/>
        </w:rPr>
        <w:t>)</w:t>
      </w:r>
    </w:p>
    <w:p w14:paraId="72E873F1" w14:textId="6F8BFD1C" w:rsidR="001D285B" w:rsidRDefault="00B11B8F" w:rsidP="001D285B">
      <w:pPr>
        <w:spacing w:before="24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687A1501" wp14:editId="13AF81BD">
            <wp:extent cx="5598795" cy="3454400"/>
            <wp:effectExtent l="0" t="0" r="14605"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424DDE" w14:textId="77777777" w:rsidR="00A53952" w:rsidRDefault="00A53952" w:rsidP="00A53952">
      <w:pPr>
        <w:spacing w:before="120"/>
        <w:jc w:val="both"/>
        <w:rPr>
          <w:rFonts w:ascii="Times New Roman" w:hAnsi="Times New Roman" w:cs="Times New Roman"/>
          <w:sz w:val="22"/>
          <w:szCs w:val="22"/>
        </w:rPr>
      </w:pPr>
      <w:r>
        <w:rPr>
          <w:rFonts w:ascii="Times New Roman" w:hAnsi="Times New Roman" w:cs="Times New Roman"/>
          <w:sz w:val="22"/>
          <w:szCs w:val="22"/>
        </w:rPr>
        <w:t>Zdroj: AES (2016), vlastní zpracování.</w:t>
      </w:r>
    </w:p>
    <w:p w14:paraId="2517CBC0" w14:textId="1092756C" w:rsidR="004F3627" w:rsidRDefault="00B2457D" w:rsidP="001D285B">
      <w:pPr>
        <w:spacing w:before="240" w:line="360" w:lineRule="auto"/>
        <w:jc w:val="both"/>
        <w:rPr>
          <w:rFonts w:ascii="Times New Roman" w:hAnsi="Times New Roman" w:cs="Times New Roman"/>
        </w:rPr>
      </w:pPr>
      <w:r>
        <w:rPr>
          <w:rFonts w:ascii="Times New Roman" w:hAnsi="Times New Roman" w:cs="Times New Roman"/>
        </w:rPr>
        <w:t xml:space="preserve">Z obrázku 2.11 vyplývá, že </w:t>
      </w:r>
      <w:r w:rsidRPr="00A60EFF">
        <w:rPr>
          <w:rFonts w:ascii="Times New Roman" w:hAnsi="Times New Roman" w:cs="Times New Roman"/>
          <w:b/>
        </w:rPr>
        <w:t>s rostoucí složitostí pracovních úkonů, kvalifikačních</w:t>
      </w:r>
      <w:r>
        <w:rPr>
          <w:rFonts w:ascii="Times New Roman" w:hAnsi="Times New Roman" w:cs="Times New Roman"/>
        </w:rPr>
        <w:t xml:space="preserve"> </w:t>
      </w:r>
      <w:r w:rsidRPr="00A60EFF">
        <w:rPr>
          <w:rFonts w:ascii="Times New Roman" w:hAnsi="Times New Roman" w:cs="Times New Roman"/>
          <w:b/>
        </w:rPr>
        <w:t>požadavků a nároků na další kompetence</w:t>
      </w:r>
      <w:r>
        <w:rPr>
          <w:rFonts w:ascii="Times New Roman" w:hAnsi="Times New Roman" w:cs="Times New Roman"/>
        </w:rPr>
        <w:t xml:space="preserve"> (znalosti, dovednosti, vlastnosti a osobnostní charakteristiky) </w:t>
      </w:r>
      <w:r w:rsidRPr="00A60EFF">
        <w:rPr>
          <w:rFonts w:ascii="Times New Roman" w:hAnsi="Times New Roman" w:cs="Times New Roman"/>
          <w:b/>
        </w:rPr>
        <w:t>roste míra participace v pracovně</w:t>
      </w:r>
      <w:r>
        <w:rPr>
          <w:rFonts w:ascii="Times New Roman" w:hAnsi="Times New Roman" w:cs="Times New Roman"/>
        </w:rPr>
        <w:t xml:space="preserve"> </w:t>
      </w:r>
      <w:r w:rsidRPr="00A60EFF">
        <w:rPr>
          <w:rFonts w:ascii="Times New Roman" w:hAnsi="Times New Roman" w:cs="Times New Roman"/>
          <w:b/>
        </w:rPr>
        <w:t>orientovaném neformálním vzdělávání</w:t>
      </w:r>
      <w:r>
        <w:rPr>
          <w:rFonts w:ascii="Times New Roman" w:hAnsi="Times New Roman" w:cs="Times New Roman"/>
        </w:rPr>
        <w:t>. Specialist</w:t>
      </w:r>
      <w:r w:rsidR="0016788A">
        <w:rPr>
          <w:rFonts w:ascii="Times New Roman" w:hAnsi="Times New Roman" w:cs="Times New Roman"/>
        </w:rPr>
        <w:t>é</w:t>
      </w:r>
      <w:r w:rsidR="00A60EFF">
        <w:rPr>
          <w:rFonts w:ascii="Times New Roman" w:hAnsi="Times New Roman" w:cs="Times New Roman"/>
        </w:rPr>
        <w:t xml:space="preserve">, odborní a řídící pracovníci </w:t>
      </w:r>
      <w:r w:rsidR="0016788A">
        <w:rPr>
          <w:rFonts w:ascii="Times New Roman" w:hAnsi="Times New Roman" w:cs="Times New Roman"/>
        </w:rPr>
        <w:t xml:space="preserve">jsou zpravidla odpovědni za realizaci úkolů, které vyžadují komplexní přístup (často strategického nebo systémového charakteru). Musí proto disponovat rozsáhlými znalostmi ve svém oboru s přesahem do dalších souvisejících oblastí; </w:t>
      </w:r>
      <w:r w:rsidR="00FF7E06">
        <w:rPr>
          <w:rFonts w:ascii="Times New Roman" w:hAnsi="Times New Roman" w:cs="Times New Roman"/>
        </w:rPr>
        <w:t xml:space="preserve">současně </w:t>
      </w:r>
      <w:r w:rsidR="0016788A">
        <w:rPr>
          <w:rFonts w:ascii="Times New Roman" w:hAnsi="Times New Roman" w:cs="Times New Roman"/>
        </w:rPr>
        <w:t xml:space="preserve">je nezbytné, aby své znalosti neustále aktualizovali. </w:t>
      </w:r>
      <w:r w:rsidR="00FF7E06">
        <w:rPr>
          <w:rFonts w:ascii="Times New Roman" w:hAnsi="Times New Roman" w:cs="Times New Roman"/>
        </w:rPr>
        <w:t>Z uvedeného důvodu není překvapující</w:t>
      </w:r>
      <w:r w:rsidR="00A60EFF">
        <w:rPr>
          <w:rFonts w:ascii="Times New Roman" w:hAnsi="Times New Roman" w:cs="Times New Roman"/>
        </w:rPr>
        <w:t xml:space="preserve">, že jejich účast na neformálním vzdělávání je nejvyšší (59–63 %). </w:t>
      </w:r>
      <w:r w:rsidR="00457F72">
        <w:rPr>
          <w:rFonts w:ascii="Times New Roman" w:hAnsi="Times New Roman" w:cs="Times New Roman"/>
        </w:rPr>
        <w:t xml:space="preserve">Zákonodárci a řídící pracovníci stráví neformálním pracovně orientovaným vzděláváním </w:t>
      </w:r>
      <w:r w:rsidR="00FF7E06">
        <w:rPr>
          <w:rFonts w:ascii="Times New Roman" w:hAnsi="Times New Roman" w:cs="Times New Roman"/>
        </w:rPr>
        <w:t xml:space="preserve">také </w:t>
      </w:r>
      <w:r w:rsidR="00457F72">
        <w:rPr>
          <w:rFonts w:ascii="Times New Roman" w:hAnsi="Times New Roman" w:cs="Times New Roman"/>
        </w:rPr>
        <w:t xml:space="preserve">nejvíce času (42 hod. ročně v průměru na jednoho zaměstnance). </w:t>
      </w:r>
      <w:r w:rsidR="00A60EFF">
        <w:rPr>
          <w:rFonts w:ascii="Times New Roman" w:hAnsi="Times New Roman" w:cs="Times New Roman"/>
        </w:rPr>
        <w:t xml:space="preserve">Vysokou míru participace vykazují také úředníci (56 %), což je zřejmě dáno </w:t>
      </w:r>
      <w:r w:rsidR="00216DE7">
        <w:rPr>
          <w:rFonts w:ascii="Times New Roman" w:hAnsi="Times New Roman" w:cs="Times New Roman"/>
        </w:rPr>
        <w:t xml:space="preserve">nutností disponovat aktuálními znalostmi příslušné legislativy a informacemi, které jsou nezbytné k zajištění plynulého chodu veřejné správy. Z manuálních profesí se nejvíce účastní </w:t>
      </w:r>
      <w:r w:rsidR="00ED26C8">
        <w:rPr>
          <w:rFonts w:ascii="Times New Roman" w:hAnsi="Times New Roman" w:cs="Times New Roman"/>
        </w:rPr>
        <w:t xml:space="preserve">pracovně orientovaného </w:t>
      </w:r>
      <w:r w:rsidR="00216DE7">
        <w:rPr>
          <w:rFonts w:ascii="Times New Roman" w:hAnsi="Times New Roman" w:cs="Times New Roman"/>
        </w:rPr>
        <w:t>neformálního vzdělávání, často přímo na prac</w:t>
      </w:r>
      <w:r w:rsidR="000B002E">
        <w:rPr>
          <w:rFonts w:ascii="Times New Roman" w:hAnsi="Times New Roman" w:cs="Times New Roman"/>
        </w:rPr>
        <w:t>ovišti, jedinci</w:t>
      </w:r>
      <w:r w:rsidR="00216DE7">
        <w:rPr>
          <w:rFonts w:ascii="Times New Roman" w:hAnsi="Times New Roman" w:cs="Times New Roman"/>
        </w:rPr>
        <w:t xml:space="preserve"> pracující ve třídě Obsluha strojů a zařízení, montéři</w:t>
      </w:r>
      <w:r w:rsidR="004F3627">
        <w:rPr>
          <w:rFonts w:ascii="Times New Roman" w:hAnsi="Times New Roman" w:cs="Times New Roman"/>
        </w:rPr>
        <w:t xml:space="preserve"> (50 %</w:t>
      </w:r>
      <w:r w:rsidR="00FF7E06">
        <w:rPr>
          <w:rFonts w:ascii="Times New Roman" w:hAnsi="Times New Roman" w:cs="Times New Roman"/>
        </w:rPr>
        <w:t>). N</w:t>
      </w:r>
      <w:r w:rsidR="004F3627">
        <w:rPr>
          <w:rFonts w:ascii="Times New Roman" w:hAnsi="Times New Roman" w:cs="Times New Roman"/>
        </w:rPr>
        <w:t xml:space="preserve">utné vzdělávání této skupiny pracovníků může mít </w:t>
      </w:r>
      <w:r w:rsidR="004F3627">
        <w:rPr>
          <w:rFonts w:ascii="Times New Roman" w:hAnsi="Times New Roman" w:cs="Times New Roman"/>
        </w:rPr>
        <w:lastRenderedPageBreak/>
        <w:t xml:space="preserve">řadu důvodů – zavádění nových technologií, modernizace výrobních postupů, přechod na jinou výrobu, rozšiřování výroby, časté inovace produktů atd. </w:t>
      </w:r>
      <w:r w:rsidR="00ED26C8">
        <w:rPr>
          <w:rFonts w:ascii="Times New Roman" w:hAnsi="Times New Roman" w:cs="Times New Roman"/>
        </w:rPr>
        <w:t>O</w:t>
      </w:r>
      <w:r w:rsidR="00457F72">
        <w:rPr>
          <w:rFonts w:ascii="Times New Roman" w:hAnsi="Times New Roman" w:cs="Times New Roman"/>
        </w:rPr>
        <w:t xml:space="preserve">bjem vynaložených hodin je </w:t>
      </w:r>
      <w:r w:rsidR="00ED26C8">
        <w:rPr>
          <w:rFonts w:ascii="Times New Roman" w:hAnsi="Times New Roman" w:cs="Times New Roman"/>
        </w:rPr>
        <w:t xml:space="preserve">však </w:t>
      </w:r>
      <w:r w:rsidR="00FF7E06">
        <w:rPr>
          <w:rFonts w:ascii="Times New Roman" w:hAnsi="Times New Roman" w:cs="Times New Roman"/>
        </w:rPr>
        <w:t>nejmenší</w:t>
      </w:r>
      <w:r w:rsidR="00457F72">
        <w:rPr>
          <w:rFonts w:ascii="Times New Roman" w:hAnsi="Times New Roman" w:cs="Times New Roman"/>
        </w:rPr>
        <w:t xml:space="preserve"> (15 hod. v průměru na zaměstnance ročně). N</w:t>
      </w:r>
      <w:r w:rsidR="00FF7E06">
        <w:rPr>
          <w:rFonts w:ascii="Times New Roman" w:hAnsi="Times New Roman" w:cs="Times New Roman"/>
        </w:rPr>
        <w:t xml:space="preserve">ejnižší účast na vzdělávání </w:t>
      </w:r>
      <w:r w:rsidR="00457F72">
        <w:rPr>
          <w:rFonts w:ascii="Times New Roman" w:hAnsi="Times New Roman" w:cs="Times New Roman"/>
        </w:rPr>
        <w:t>vykazují pomocní a nekvalifikovaní pracovníci (21 %), kteří zpravidl</w:t>
      </w:r>
      <w:r w:rsidR="003941A0">
        <w:rPr>
          <w:rFonts w:ascii="Times New Roman" w:hAnsi="Times New Roman" w:cs="Times New Roman"/>
        </w:rPr>
        <w:t xml:space="preserve">a vykonávají úkoly, které </w:t>
      </w:r>
      <w:r w:rsidR="00457F72">
        <w:rPr>
          <w:rFonts w:ascii="Times New Roman" w:hAnsi="Times New Roman" w:cs="Times New Roman"/>
        </w:rPr>
        <w:t>nevyžadují další vzdělávání, popř. jen omezeně.</w:t>
      </w:r>
    </w:p>
    <w:p w14:paraId="5153639C" w14:textId="77777777" w:rsidR="00FF3A96" w:rsidRDefault="001421D1" w:rsidP="00457F72">
      <w:pPr>
        <w:spacing w:before="120" w:line="360" w:lineRule="auto"/>
        <w:jc w:val="both"/>
        <w:rPr>
          <w:rFonts w:ascii="Times New Roman" w:hAnsi="Times New Roman" w:cs="Times New Roman"/>
        </w:rPr>
      </w:pPr>
      <w:r>
        <w:rPr>
          <w:rFonts w:ascii="Times New Roman" w:hAnsi="Times New Roman" w:cs="Times New Roman"/>
        </w:rPr>
        <w:t xml:space="preserve">Zapojení do pracovně orientovaného neformálního vzdělávání </w:t>
      </w:r>
      <w:r w:rsidR="00774500">
        <w:rPr>
          <w:rFonts w:ascii="Times New Roman" w:hAnsi="Times New Roman" w:cs="Times New Roman"/>
        </w:rPr>
        <w:t xml:space="preserve">významně ovlivňuje také </w:t>
      </w:r>
      <w:r w:rsidR="00774500" w:rsidRPr="00FF7E06">
        <w:rPr>
          <w:rFonts w:ascii="Times New Roman" w:hAnsi="Times New Roman" w:cs="Times New Roman"/>
          <w:b/>
        </w:rPr>
        <w:t>velikost podni</w:t>
      </w:r>
      <w:r w:rsidR="00F01D51" w:rsidRPr="00FF7E06">
        <w:rPr>
          <w:rFonts w:ascii="Times New Roman" w:hAnsi="Times New Roman" w:cs="Times New Roman"/>
          <w:b/>
        </w:rPr>
        <w:t>ku</w:t>
      </w:r>
      <w:r w:rsidR="00F01D51">
        <w:rPr>
          <w:rFonts w:ascii="Times New Roman" w:hAnsi="Times New Roman" w:cs="Times New Roman"/>
          <w:i/>
        </w:rPr>
        <w:t>.</w:t>
      </w:r>
      <w:r w:rsidR="00774500">
        <w:rPr>
          <w:rFonts w:ascii="Times New Roman" w:hAnsi="Times New Roman" w:cs="Times New Roman"/>
        </w:rPr>
        <w:t xml:space="preserve"> </w:t>
      </w:r>
      <w:r w:rsidR="00F01D51">
        <w:rPr>
          <w:rFonts w:ascii="Times New Roman" w:hAnsi="Times New Roman" w:cs="Times New Roman"/>
        </w:rPr>
        <w:t>Zatímco v nejmenších podnicích do 10</w:t>
      </w:r>
      <w:r w:rsidR="00C9118E">
        <w:rPr>
          <w:rFonts w:ascii="Times New Roman" w:hAnsi="Times New Roman" w:cs="Times New Roman"/>
        </w:rPr>
        <w:t xml:space="preserve"> zaměstnanců (tzv. mikr</w:t>
      </w:r>
      <w:r w:rsidR="00F01D51">
        <w:rPr>
          <w:rFonts w:ascii="Times New Roman" w:hAnsi="Times New Roman" w:cs="Times New Roman"/>
        </w:rPr>
        <w:t xml:space="preserve">o-podnicích) se některé z forem pracovně orientovaného neformálního </w:t>
      </w:r>
      <w:r w:rsidR="00C9118E">
        <w:rPr>
          <w:rFonts w:ascii="Times New Roman" w:hAnsi="Times New Roman" w:cs="Times New Roman"/>
        </w:rPr>
        <w:t xml:space="preserve">vzdělávání účastnilo 39 % zaměstnanců, ve větších podnicích </w:t>
      </w:r>
      <w:r w:rsidR="00F01D51">
        <w:rPr>
          <w:rFonts w:ascii="Times New Roman" w:hAnsi="Times New Roman" w:cs="Times New Roman"/>
        </w:rPr>
        <w:t xml:space="preserve">(nad 20 zaměstnanců a více) </w:t>
      </w:r>
      <w:r w:rsidR="00C9118E">
        <w:rPr>
          <w:rFonts w:ascii="Times New Roman" w:hAnsi="Times New Roman" w:cs="Times New Roman"/>
        </w:rPr>
        <w:t>byla participace</w:t>
      </w:r>
      <w:r w:rsidR="00F01D51">
        <w:rPr>
          <w:rFonts w:ascii="Times New Roman" w:hAnsi="Times New Roman" w:cs="Times New Roman"/>
        </w:rPr>
        <w:t xml:space="preserve"> více než </w:t>
      </w:r>
      <w:proofErr w:type="gramStart"/>
      <w:r w:rsidR="00F01D51">
        <w:rPr>
          <w:rFonts w:ascii="Times New Roman" w:hAnsi="Times New Roman" w:cs="Times New Roman"/>
        </w:rPr>
        <w:t>50%</w:t>
      </w:r>
      <w:proofErr w:type="gramEnd"/>
      <w:r w:rsidR="00F01D51">
        <w:rPr>
          <w:rFonts w:ascii="Times New Roman" w:hAnsi="Times New Roman" w:cs="Times New Roman"/>
        </w:rPr>
        <w:t xml:space="preserve">. </w:t>
      </w:r>
    </w:p>
    <w:p w14:paraId="5EA23C8D" w14:textId="7722FC17" w:rsidR="008479DA" w:rsidRDefault="00FF3A96" w:rsidP="00457F72">
      <w:pPr>
        <w:spacing w:before="120" w:line="360" w:lineRule="auto"/>
        <w:jc w:val="both"/>
        <w:rPr>
          <w:rFonts w:ascii="Times New Roman" w:hAnsi="Times New Roman" w:cs="Times New Roman"/>
        </w:rPr>
      </w:pPr>
      <w:r>
        <w:rPr>
          <w:rFonts w:ascii="Times New Roman" w:hAnsi="Times New Roman" w:cs="Times New Roman"/>
        </w:rPr>
        <w:t xml:space="preserve">Z celkového objemu všech realizovaných vzdělávacích aktivit pracovně orientovaného neformálního </w:t>
      </w:r>
      <w:proofErr w:type="gramStart"/>
      <w:r>
        <w:rPr>
          <w:rFonts w:ascii="Times New Roman" w:hAnsi="Times New Roman" w:cs="Times New Roman"/>
        </w:rPr>
        <w:t>vzdělávání  pouze</w:t>
      </w:r>
      <w:proofErr w:type="gramEnd"/>
      <w:r>
        <w:rPr>
          <w:rFonts w:ascii="Times New Roman" w:hAnsi="Times New Roman" w:cs="Times New Roman"/>
        </w:rPr>
        <w:t xml:space="preserve"> 10 % bylo realizováno mimo pracovní dobu a jen 9 % nebylo hrazeno zaměstnavatelem, ale samotným účastníkem. </w:t>
      </w:r>
      <w:r w:rsidR="001C75A4">
        <w:rPr>
          <w:rFonts w:ascii="Times New Roman" w:hAnsi="Times New Roman" w:cs="Times New Roman"/>
        </w:rPr>
        <w:t>Jed</w:t>
      </w:r>
      <w:r w:rsidR="000F6019">
        <w:rPr>
          <w:rFonts w:ascii="Times New Roman" w:hAnsi="Times New Roman" w:cs="Times New Roman"/>
        </w:rPr>
        <w:t xml:space="preserve">nalo </w:t>
      </w:r>
      <w:r w:rsidR="001C75A4">
        <w:rPr>
          <w:rFonts w:ascii="Times New Roman" w:hAnsi="Times New Roman" w:cs="Times New Roman"/>
        </w:rPr>
        <w:t xml:space="preserve">se zejména </w:t>
      </w:r>
      <w:r w:rsidR="000F6019">
        <w:rPr>
          <w:rFonts w:ascii="Times New Roman" w:hAnsi="Times New Roman" w:cs="Times New Roman"/>
        </w:rPr>
        <w:t>o jazykové kurzy (z 28 %), vzdělávání v oblasti zdravotnictví</w:t>
      </w:r>
      <w:r w:rsidR="00952278">
        <w:rPr>
          <w:rFonts w:ascii="Times New Roman" w:hAnsi="Times New Roman" w:cs="Times New Roman"/>
        </w:rPr>
        <w:t xml:space="preserve"> (17 %), </w:t>
      </w:r>
      <w:r w:rsidR="000F6019">
        <w:rPr>
          <w:rFonts w:ascii="Times New Roman" w:hAnsi="Times New Roman" w:cs="Times New Roman"/>
        </w:rPr>
        <w:t>služeb</w:t>
      </w:r>
      <w:r w:rsidR="00952278">
        <w:rPr>
          <w:rFonts w:ascii="Times New Roman" w:hAnsi="Times New Roman" w:cs="Times New Roman"/>
        </w:rPr>
        <w:t xml:space="preserve"> (14 %) a v oblasti ICT (7 %).</w:t>
      </w:r>
      <w:r w:rsidR="008420C4">
        <w:rPr>
          <w:rFonts w:ascii="Times New Roman" w:hAnsi="Times New Roman" w:cs="Times New Roman"/>
        </w:rPr>
        <w:t xml:space="preserve"> </w:t>
      </w:r>
      <w:r w:rsidR="008420C4" w:rsidRPr="008420C4">
        <w:rPr>
          <w:rFonts w:ascii="Times New Roman" w:hAnsi="Times New Roman" w:cs="Times New Roman"/>
          <w:b/>
        </w:rPr>
        <w:t>Pracovně orientované neformální vzdělávání se tedy zpravidla odehrává v pracovní době účastníků a je zcela či podstatně hrazeno zaměstnavatelem.</w:t>
      </w:r>
      <w:r w:rsidR="001C75A4">
        <w:rPr>
          <w:rFonts w:ascii="Times New Roman" w:hAnsi="Times New Roman" w:cs="Times New Roman"/>
          <w:b/>
        </w:rPr>
        <w:t xml:space="preserve"> </w:t>
      </w:r>
      <w:r w:rsidR="001C75A4">
        <w:rPr>
          <w:rFonts w:ascii="Times New Roman" w:hAnsi="Times New Roman" w:cs="Times New Roman"/>
        </w:rPr>
        <w:t xml:space="preserve">Nejčastější formou je v tomto případě pracovní školení (82 %), poté následují kurzy, workshopy a semináře. </w:t>
      </w:r>
      <w:r w:rsidR="008479DA">
        <w:rPr>
          <w:rFonts w:ascii="Times New Roman" w:hAnsi="Times New Roman" w:cs="Times New Roman"/>
        </w:rPr>
        <w:t xml:space="preserve">Přitom největší část tvoří vzdělávací aktivity v oblasti služeb (cca 30 %). </w:t>
      </w:r>
    </w:p>
    <w:p w14:paraId="142DF1BF" w14:textId="5A7DDD2B" w:rsidR="008479DA" w:rsidRDefault="008879D5" w:rsidP="00457F72">
      <w:pPr>
        <w:spacing w:before="120" w:line="360" w:lineRule="auto"/>
        <w:jc w:val="both"/>
        <w:rPr>
          <w:rFonts w:ascii="Times New Roman" w:hAnsi="Times New Roman" w:cs="Times New Roman"/>
        </w:rPr>
      </w:pPr>
      <w:r>
        <w:rPr>
          <w:rFonts w:ascii="Times New Roman" w:hAnsi="Times New Roman" w:cs="Times New Roman"/>
        </w:rPr>
        <w:t>Tabulka 2.3 přináší podrobnější pohled na motivaci dospělých účastnit se některého z programů pracovně orientovaného neformálního vzdělávání.</w:t>
      </w:r>
    </w:p>
    <w:p w14:paraId="0F42D891" w14:textId="47A908E6" w:rsidR="00DC4CA4" w:rsidRPr="00A11503" w:rsidRDefault="008879D5" w:rsidP="003941A0">
      <w:pPr>
        <w:spacing w:before="120" w:after="120"/>
        <w:jc w:val="both"/>
        <w:rPr>
          <w:rFonts w:ascii="Times New Roman" w:hAnsi="Times New Roman" w:cs="Times New Roman"/>
          <w:b/>
          <w:sz w:val="22"/>
          <w:szCs w:val="22"/>
        </w:rPr>
      </w:pPr>
      <w:r>
        <w:rPr>
          <w:rFonts w:ascii="Times New Roman" w:hAnsi="Times New Roman" w:cs="Times New Roman"/>
          <w:sz w:val="22"/>
          <w:szCs w:val="22"/>
        </w:rPr>
        <w:t xml:space="preserve">Tabulka 2.3 </w:t>
      </w:r>
      <w:r>
        <w:rPr>
          <w:rFonts w:ascii="Times New Roman" w:hAnsi="Times New Roman" w:cs="Times New Roman"/>
          <w:b/>
          <w:sz w:val="22"/>
          <w:szCs w:val="22"/>
        </w:rPr>
        <w:t>Důvody účasti v pracovně orientovaném neformálním vzdělávání (18–69 let, 2016</w:t>
      </w:r>
      <w:r w:rsidR="00A11503">
        <w:rPr>
          <w:rFonts w:ascii="Times New Roman" w:hAnsi="Times New Roman" w:cs="Times New Roman"/>
          <w:b/>
          <w:sz w:val="22"/>
          <w:szCs w:val="22"/>
        </w:rPr>
        <w:t>, v %</w:t>
      </w:r>
      <w:r>
        <w:rPr>
          <w:rFonts w:ascii="Times New Roman" w:hAnsi="Times New Roman" w:cs="Times New Roman"/>
          <w:b/>
          <w:sz w:val="22"/>
          <w:szCs w:val="22"/>
        </w:rPr>
        <w:t>)</w:t>
      </w:r>
    </w:p>
    <w:tbl>
      <w:tblPr>
        <w:tblStyle w:val="Svtlmkazvraznn1"/>
        <w:tblW w:w="0" w:type="auto"/>
        <w:jc w:val="center"/>
        <w:tblLook w:val="04A0" w:firstRow="1" w:lastRow="0" w:firstColumn="1" w:lastColumn="0" w:noHBand="0" w:noVBand="1"/>
      </w:tblPr>
      <w:tblGrid>
        <w:gridCol w:w="3847"/>
        <w:gridCol w:w="1270"/>
        <w:gridCol w:w="1209"/>
        <w:gridCol w:w="1402"/>
      </w:tblGrid>
      <w:tr w:rsidR="00A11503" w:rsidRPr="00873F17" w14:paraId="3B8F7BCF" w14:textId="40B9B372" w:rsidTr="008A1067">
        <w:trPr>
          <w:cnfStyle w:val="100000000000" w:firstRow="1" w:lastRow="0" w:firstColumn="0" w:lastColumn="0" w:oddVBand="0" w:evenVBand="0" w:oddHBand="0"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0" w:type="auto"/>
          </w:tcPr>
          <w:p w14:paraId="6AB84E4B" w14:textId="77777777" w:rsidR="00A11503" w:rsidRDefault="00A11503" w:rsidP="00873F17">
            <w:pPr>
              <w:spacing w:before="120"/>
              <w:rPr>
                <w:rFonts w:cs="Times New Roman"/>
                <w:sz w:val="20"/>
                <w:szCs w:val="20"/>
              </w:rPr>
            </w:pPr>
            <w:r>
              <w:rPr>
                <w:rFonts w:cs="Times New Roman"/>
                <w:sz w:val="20"/>
                <w:szCs w:val="20"/>
              </w:rPr>
              <w:t xml:space="preserve">Důvody účasti v pracovně orientovaném </w:t>
            </w:r>
          </w:p>
          <w:p w14:paraId="22DCCAB8" w14:textId="3BA07D6C" w:rsidR="00A11503" w:rsidRPr="00873F17" w:rsidRDefault="00A11503" w:rsidP="00825AD4">
            <w:pPr>
              <w:rPr>
                <w:rFonts w:cs="Times New Roman"/>
                <w:sz w:val="20"/>
                <w:szCs w:val="20"/>
              </w:rPr>
            </w:pPr>
            <w:r>
              <w:rPr>
                <w:rFonts w:cs="Times New Roman"/>
                <w:sz w:val="20"/>
                <w:szCs w:val="20"/>
              </w:rPr>
              <w:t>neformálním vzdělávání</w:t>
            </w:r>
          </w:p>
        </w:tc>
        <w:tc>
          <w:tcPr>
            <w:tcW w:w="0" w:type="auto"/>
          </w:tcPr>
          <w:p w14:paraId="53DD62FE" w14:textId="769A1A1F" w:rsidR="00A11503" w:rsidRPr="00873F17" w:rsidRDefault="00A11503" w:rsidP="00873F17">
            <w:pPr>
              <w:spacing w:before="120"/>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Zaměstnanci</w:t>
            </w:r>
          </w:p>
        </w:tc>
        <w:tc>
          <w:tcPr>
            <w:tcW w:w="0" w:type="auto"/>
          </w:tcPr>
          <w:p w14:paraId="6F2B9904" w14:textId="10E91837" w:rsidR="00A11503" w:rsidRPr="00873F17" w:rsidRDefault="00A11503" w:rsidP="00873F17">
            <w:pPr>
              <w:spacing w:before="120"/>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Podnikatelé</w:t>
            </w:r>
          </w:p>
        </w:tc>
        <w:tc>
          <w:tcPr>
            <w:tcW w:w="0" w:type="auto"/>
          </w:tcPr>
          <w:p w14:paraId="64102218" w14:textId="5952C0AF" w:rsidR="00A11503" w:rsidRPr="00873F17" w:rsidRDefault="00A11503" w:rsidP="00873F17">
            <w:pPr>
              <w:spacing w:before="120"/>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Nezaměstnaní</w:t>
            </w:r>
          </w:p>
        </w:tc>
      </w:tr>
      <w:tr w:rsidR="003A00A7" w:rsidRPr="00873F17" w14:paraId="404FAB1C" w14:textId="5ED7E81C" w:rsidTr="008A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8D7D42" w14:textId="4F0611BE" w:rsidR="003A00A7" w:rsidRPr="008A1067" w:rsidRDefault="00A11503" w:rsidP="00873F17">
            <w:pPr>
              <w:spacing w:before="120"/>
              <w:rPr>
                <w:rFonts w:cs="Times New Roman"/>
                <w:b w:val="0"/>
                <w:sz w:val="20"/>
                <w:szCs w:val="20"/>
              </w:rPr>
            </w:pPr>
            <w:r w:rsidRPr="008A1067">
              <w:rPr>
                <w:rFonts w:cs="Times New Roman"/>
                <w:b w:val="0"/>
                <w:sz w:val="20"/>
                <w:szCs w:val="20"/>
              </w:rPr>
              <w:t>Vykonávat lépe svou práci</w:t>
            </w:r>
          </w:p>
        </w:tc>
        <w:tc>
          <w:tcPr>
            <w:tcW w:w="0" w:type="auto"/>
          </w:tcPr>
          <w:p w14:paraId="710B0445" w14:textId="01860CF3"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61</w:t>
            </w:r>
          </w:p>
        </w:tc>
        <w:tc>
          <w:tcPr>
            <w:tcW w:w="0" w:type="auto"/>
          </w:tcPr>
          <w:p w14:paraId="4EAFCD37" w14:textId="0EAB8A04"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79</w:t>
            </w:r>
          </w:p>
        </w:tc>
        <w:tc>
          <w:tcPr>
            <w:tcW w:w="0" w:type="auto"/>
          </w:tcPr>
          <w:p w14:paraId="4960A473" w14:textId="65DA76B8"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40</w:t>
            </w:r>
          </w:p>
        </w:tc>
      </w:tr>
      <w:tr w:rsidR="003A00A7" w:rsidRPr="00873F17" w14:paraId="440C3787" w14:textId="71CD5AFA" w:rsidTr="008A10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B6434D3" w14:textId="51AFC751" w:rsidR="003A00A7" w:rsidRPr="008A1067" w:rsidRDefault="00A11503" w:rsidP="00873F17">
            <w:pPr>
              <w:spacing w:before="120"/>
              <w:rPr>
                <w:rFonts w:cs="Times New Roman"/>
                <w:b w:val="0"/>
                <w:sz w:val="20"/>
                <w:szCs w:val="20"/>
              </w:rPr>
            </w:pPr>
            <w:r w:rsidRPr="008A1067">
              <w:rPr>
                <w:rFonts w:cs="Times New Roman"/>
                <w:b w:val="0"/>
                <w:sz w:val="20"/>
                <w:szCs w:val="20"/>
              </w:rPr>
              <w:t>Účast byla vyžadována zaměstnavatelem</w:t>
            </w:r>
          </w:p>
        </w:tc>
        <w:tc>
          <w:tcPr>
            <w:tcW w:w="0" w:type="auto"/>
          </w:tcPr>
          <w:p w14:paraId="5E4B72D2" w14:textId="09097030"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68</w:t>
            </w:r>
          </w:p>
        </w:tc>
        <w:tc>
          <w:tcPr>
            <w:tcW w:w="0" w:type="auto"/>
          </w:tcPr>
          <w:p w14:paraId="0F80B8E9" w14:textId="4A219C7B"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16</w:t>
            </w:r>
          </w:p>
        </w:tc>
        <w:tc>
          <w:tcPr>
            <w:tcW w:w="0" w:type="auto"/>
          </w:tcPr>
          <w:p w14:paraId="58427538" w14:textId="067CF99F"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46</w:t>
            </w:r>
          </w:p>
        </w:tc>
      </w:tr>
      <w:tr w:rsidR="003A00A7" w:rsidRPr="00873F17" w14:paraId="30ED7059" w14:textId="15811F84" w:rsidTr="008A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0AA2BB" w14:textId="77777777" w:rsidR="00A11503" w:rsidRPr="008A1067" w:rsidRDefault="00A11503" w:rsidP="00873F17">
            <w:pPr>
              <w:spacing w:before="120"/>
              <w:rPr>
                <w:rFonts w:cs="Times New Roman"/>
                <w:b w:val="0"/>
                <w:sz w:val="20"/>
                <w:szCs w:val="20"/>
              </w:rPr>
            </w:pPr>
            <w:r w:rsidRPr="008A1067">
              <w:rPr>
                <w:rFonts w:cs="Times New Roman"/>
                <w:b w:val="0"/>
                <w:sz w:val="20"/>
                <w:szCs w:val="20"/>
              </w:rPr>
              <w:t xml:space="preserve">Prohloubit znalosti/dovednosti v oblasti, </w:t>
            </w:r>
          </w:p>
          <w:p w14:paraId="23BAFFC6" w14:textId="4611A89D" w:rsidR="003A00A7" w:rsidRPr="008A1067" w:rsidRDefault="00A11503" w:rsidP="00A11503">
            <w:pPr>
              <w:rPr>
                <w:rFonts w:cs="Times New Roman"/>
                <w:b w:val="0"/>
                <w:sz w:val="20"/>
                <w:szCs w:val="20"/>
              </w:rPr>
            </w:pPr>
            <w:r w:rsidRPr="008A1067">
              <w:rPr>
                <w:rFonts w:cs="Times New Roman"/>
                <w:b w:val="0"/>
                <w:sz w:val="20"/>
                <w:szCs w:val="20"/>
              </w:rPr>
              <w:t>která mě zajímá</w:t>
            </w:r>
          </w:p>
        </w:tc>
        <w:tc>
          <w:tcPr>
            <w:tcW w:w="0" w:type="auto"/>
          </w:tcPr>
          <w:p w14:paraId="57F31E94" w14:textId="03810190"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c>
          <w:tcPr>
            <w:tcW w:w="0" w:type="auto"/>
          </w:tcPr>
          <w:p w14:paraId="24E8F0D4" w14:textId="072598A7"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51</w:t>
            </w:r>
          </w:p>
        </w:tc>
        <w:tc>
          <w:tcPr>
            <w:tcW w:w="0" w:type="auto"/>
          </w:tcPr>
          <w:p w14:paraId="176BBF6C" w14:textId="485E0001"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26</w:t>
            </w:r>
          </w:p>
        </w:tc>
      </w:tr>
      <w:tr w:rsidR="003A00A7" w:rsidRPr="00873F17" w14:paraId="73C2B9F3" w14:textId="2147BE6D" w:rsidTr="008A10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4C7FBD" w14:textId="1CCD34B7" w:rsidR="003A00A7" w:rsidRPr="008A1067" w:rsidRDefault="00A11503" w:rsidP="00873F17">
            <w:pPr>
              <w:spacing w:before="120"/>
              <w:rPr>
                <w:rFonts w:cs="Times New Roman"/>
                <w:b w:val="0"/>
                <w:sz w:val="20"/>
                <w:szCs w:val="20"/>
              </w:rPr>
            </w:pPr>
            <w:r w:rsidRPr="008A1067">
              <w:rPr>
                <w:rFonts w:cs="Times New Roman"/>
                <w:b w:val="0"/>
                <w:sz w:val="20"/>
                <w:szCs w:val="20"/>
              </w:rPr>
              <w:t>Přizpůsobit se organizačním a/nebo</w:t>
            </w:r>
          </w:p>
          <w:p w14:paraId="1FFBD41C" w14:textId="6FA66936" w:rsidR="00A11503" w:rsidRPr="008A1067" w:rsidRDefault="00A11503" w:rsidP="00A11503">
            <w:pPr>
              <w:rPr>
                <w:rFonts w:cs="Times New Roman"/>
                <w:b w:val="0"/>
                <w:sz w:val="20"/>
                <w:szCs w:val="20"/>
              </w:rPr>
            </w:pPr>
            <w:r w:rsidRPr="008A1067">
              <w:rPr>
                <w:rFonts w:cs="Times New Roman"/>
                <w:b w:val="0"/>
                <w:sz w:val="20"/>
                <w:szCs w:val="20"/>
              </w:rPr>
              <w:t>technologickým změnám v práci</w:t>
            </w:r>
          </w:p>
        </w:tc>
        <w:tc>
          <w:tcPr>
            <w:tcW w:w="0" w:type="auto"/>
          </w:tcPr>
          <w:p w14:paraId="1B04FE7B" w14:textId="59330F30"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c>
          <w:tcPr>
            <w:tcW w:w="0" w:type="auto"/>
          </w:tcPr>
          <w:p w14:paraId="29A37307" w14:textId="16DA82B3"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23</w:t>
            </w:r>
          </w:p>
        </w:tc>
        <w:tc>
          <w:tcPr>
            <w:tcW w:w="0" w:type="auto"/>
          </w:tcPr>
          <w:p w14:paraId="7E808BD0" w14:textId="57D4D3D5"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10</w:t>
            </w:r>
          </w:p>
        </w:tc>
      </w:tr>
      <w:tr w:rsidR="003A00A7" w:rsidRPr="00873F17" w14:paraId="71BA5C75" w14:textId="20AE4501" w:rsidTr="008A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EE46F7" w14:textId="77777777" w:rsidR="00A11503" w:rsidRPr="008A1067" w:rsidRDefault="00A11503" w:rsidP="00873F17">
            <w:pPr>
              <w:spacing w:before="120"/>
              <w:rPr>
                <w:rFonts w:cs="Times New Roman"/>
                <w:b w:val="0"/>
                <w:sz w:val="20"/>
                <w:szCs w:val="20"/>
              </w:rPr>
            </w:pPr>
            <w:r w:rsidRPr="008A1067">
              <w:rPr>
                <w:rFonts w:cs="Times New Roman"/>
                <w:b w:val="0"/>
                <w:sz w:val="20"/>
                <w:szCs w:val="20"/>
              </w:rPr>
              <w:t xml:space="preserve">Musel/a jsem se účastnit kvůli zákonným </w:t>
            </w:r>
          </w:p>
          <w:p w14:paraId="1064936B" w14:textId="72253517" w:rsidR="003A00A7" w:rsidRPr="008A1067" w:rsidRDefault="00A11503" w:rsidP="00A11503">
            <w:pPr>
              <w:rPr>
                <w:rFonts w:cs="Times New Roman"/>
                <w:b w:val="0"/>
                <w:sz w:val="20"/>
                <w:szCs w:val="20"/>
              </w:rPr>
            </w:pPr>
            <w:r w:rsidRPr="008A1067">
              <w:rPr>
                <w:rFonts w:cs="Times New Roman"/>
                <w:b w:val="0"/>
                <w:sz w:val="20"/>
                <w:szCs w:val="20"/>
              </w:rPr>
              <w:t>požadavkům</w:t>
            </w:r>
          </w:p>
        </w:tc>
        <w:tc>
          <w:tcPr>
            <w:tcW w:w="0" w:type="auto"/>
          </w:tcPr>
          <w:p w14:paraId="7D783853" w14:textId="1ACF852C"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24</w:t>
            </w:r>
          </w:p>
        </w:tc>
        <w:tc>
          <w:tcPr>
            <w:tcW w:w="0" w:type="auto"/>
          </w:tcPr>
          <w:p w14:paraId="0815BACC" w14:textId="2634A6F4"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22</w:t>
            </w:r>
          </w:p>
        </w:tc>
        <w:tc>
          <w:tcPr>
            <w:tcW w:w="0" w:type="auto"/>
          </w:tcPr>
          <w:p w14:paraId="44ABD44A" w14:textId="4CF59A6F"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19</w:t>
            </w:r>
          </w:p>
        </w:tc>
      </w:tr>
      <w:tr w:rsidR="003A00A7" w:rsidRPr="00873F17" w14:paraId="65BF3E6F" w14:textId="2725E580" w:rsidTr="008A10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79D89C" w14:textId="67383D8E" w:rsidR="003A00A7" w:rsidRPr="008A1067" w:rsidRDefault="00A11503" w:rsidP="00873F17">
            <w:pPr>
              <w:spacing w:before="120"/>
              <w:rPr>
                <w:rFonts w:cs="Times New Roman"/>
                <w:b w:val="0"/>
                <w:sz w:val="20"/>
                <w:szCs w:val="20"/>
              </w:rPr>
            </w:pPr>
            <w:r w:rsidRPr="008A1067">
              <w:rPr>
                <w:rFonts w:cs="Times New Roman"/>
                <w:b w:val="0"/>
                <w:sz w:val="20"/>
                <w:szCs w:val="20"/>
              </w:rPr>
              <w:lastRenderedPageBreak/>
              <w:t>Zlepšit kariérní vyhlídky</w:t>
            </w:r>
          </w:p>
        </w:tc>
        <w:tc>
          <w:tcPr>
            <w:tcW w:w="0" w:type="auto"/>
          </w:tcPr>
          <w:p w14:paraId="7E77A5EB" w14:textId="05326C38"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22</w:t>
            </w:r>
          </w:p>
        </w:tc>
        <w:tc>
          <w:tcPr>
            <w:tcW w:w="0" w:type="auto"/>
          </w:tcPr>
          <w:p w14:paraId="4F2532FD" w14:textId="7A6E564A"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21</w:t>
            </w:r>
          </w:p>
        </w:tc>
        <w:tc>
          <w:tcPr>
            <w:tcW w:w="0" w:type="auto"/>
          </w:tcPr>
          <w:p w14:paraId="6121EF3F" w14:textId="75F14CB1" w:rsidR="003A00A7" w:rsidRPr="00873F17" w:rsidRDefault="00A11503"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32</w:t>
            </w:r>
          </w:p>
        </w:tc>
      </w:tr>
      <w:tr w:rsidR="003A00A7" w:rsidRPr="00873F17" w14:paraId="3C63810A" w14:textId="441885D1" w:rsidTr="008A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CB247A" w14:textId="739E598F" w:rsidR="003A00A7" w:rsidRPr="008A1067" w:rsidRDefault="00A11503" w:rsidP="00873F17">
            <w:pPr>
              <w:spacing w:before="120"/>
              <w:rPr>
                <w:rFonts w:cs="Times New Roman"/>
                <w:b w:val="0"/>
                <w:sz w:val="20"/>
                <w:szCs w:val="20"/>
              </w:rPr>
            </w:pPr>
            <w:r w:rsidRPr="008A1067">
              <w:rPr>
                <w:rFonts w:cs="Times New Roman"/>
                <w:b w:val="0"/>
                <w:sz w:val="20"/>
                <w:szCs w:val="20"/>
              </w:rPr>
              <w:t>Snížit pravděpodobnost ztráty zaměstnání</w:t>
            </w:r>
          </w:p>
        </w:tc>
        <w:tc>
          <w:tcPr>
            <w:tcW w:w="0" w:type="auto"/>
          </w:tcPr>
          <w:p w14:paraId="30435BB3" w14:textId="45180D39"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24</w:t>
            </w:r>
          </w:p>
        </w:tc>
        <w:tc>
          <w:tcPr>
            <w:tcW w:w="0" w:type="auto"/>
          </w:tcPr>
          <w:p w14:paraId="2321B3C7" w14:textId="46C02557"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11</w:t>
            </w:r>
          </w:p>
        </w:tc>
        <w:tc>
          <w:tcPr>
            <w:tcW w:w="0" w:type="auto"/>
          </w:tcPr>
          <w:p w14:paraId="5EFA9349" w14:textId="54654815" w:rsidR="003A00A7" w:rsidRPr="00873F17" w:rsidRDefault="00A11503"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8</w:t>
            </w:r>
          </w:p>
        </w:tc>
      </w:tr>
      <w:tr w:rsidR="003A00A7" w:rsidRPr="00873F17" w14:paraId="23729CCF" w14:textId="57AF9E5A" w:rsidTr="008A10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DEAF26" w14:textId="25F2035F" w:rsidR="003A00A7" w:rsidRPr="008A1067" w:rsidRDefault="00A11503" w:rsidP="00873F17">
            <w:pPr>
              <w:spacing w:before="120"/>
              <w:rPr>
                <w:rFonts w:cs="Times New Roman"/>
                <w:b w:val="0"/>
                <w:sz w:val="20"/>
                <w:szCs w:val="20"/>
              </w:rPr>
            </w:pPr>
            <w:r w:rsidRPr="008A1067">
              <w:rPr>
                <w:rFonts w:cs="Times New Roman"/>
                <w:b w:val="0"/>
                <w:sz w:val="20"/>
                <w:szCs w:val="20"/>
              </w:rPr>
              <w:t xml:space="preserve">Získat znalosti/dovednosti užitečné </w:t>
            </w:r>
          </w:p>
          <w:p w14:paraId="505A2516" w14:textId="04D98632" w:rsidR="00A11503" w:rsidRPr="008A1067" w:rsidRDefault="00A11503" w:rsidP="00A11503">
            <w:pPr>
              <w:rPr>
                <w:rFonts w:cs="Times New Roman"/>
                <w:b w:val="0"/>
                <w:sz w:val="20"/>
                <w:szCs w:val="20"/>
              </w:rPr>
            </w:pPr>
            <w:r w:rsidRPr="008A1067">
              <w:rPr>
                <w:rFonts w:cs="Times New Roman"/>
                <w:b w:val="0"/>
                <w:sz w:val="20"/>
                <w:szCs w:val="20"/>
              </w:rPr>
              <w:t>v každodenním životě</w:t>
            </w:r>
          </w:p>
        </w:tc>
        <w:tc>
          <w:tcPr>
            <w:tcW w:w="0" w:type="auto"/>
          </w:tcPr>
          <w:p w14:paraId="2D4DAFA2" w14:textId="77E7405E"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19</w:t>
            </w:r>
          </w:p>
        </w:tc>
        <w:tc>
          <w:tcPr>
            <w:tcW w:w="0" w:type="auto"/>
          </w:tcPr>
          <w:p w14:paraId="1857B03F" w14:textId="7D9D4DE1"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c>
          <w:tcPr>
            <w:tcW w:w="0" w:type="auto"/>
          </w:tcPr>
          <w:p w14:paraId="771124EB" w14:textId="16C1BB22"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r>
      <w:tr w:rsidR="003A00A7" w:rsidRPr="00873F17" w14:paraId="16DF7C98" w14:textId="42AE7B06" w:rsidTr="008A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EF66618" w14:textId="486BFCBF" w:rsidR="003A00A7" w:rsidRPr="008A1067" w:rsidRDefault="00A11503" w:rsidP="00873F17">
            <w:pPr>
              <w:spacing w:before="120"/>
              <w:rPr>
                <w:rFonts w:cs="Times New Roman"/>
                <w:b w:val="0"/>
                <w:sz w:val="20"/>
                <w:szCs w:val="20"/>
              </w:rPr>
            </w:pPr>
            <w:r w:rsidRPr="008A1067">
              <w:rPr>
                <w:rFonts w:cs="Times New Roman"/>
                <w:b w:val="0"/>
                <w:sz w:val="20"/>
                <w:szCs w:val="20"/>
              </w:rPr>
              <w:t>Získat certifikát</w:t>
            </w:r>
          </w:p>
        </w:tc>
        <w:tc>
          <w:tcPr>
            <w:tcW w:w="0" w:type="auto"/>
          </w:tcPr>
          <w:p w14:paraId="4DB7B010" w14:textId="2134CDB6" w:rsidR="003A00A7" w:rsidRPr="00873F17" w:rsidRDefault="008A1067"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17</w:t>
            </w:r>
          </w:p>
        </w:tc>
        <w:tc>
          <w:tcPr>
            <w:tcW w:w="0" w:type="auto"/>
          </w:tcPr>
          <w:p w14:paraId="1AEA2DB5" w14:textId="01C4881A" w:rsidR="003A00A7" w:rsidRPr="00873F17" w:rsidRDefault="008A1067"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29</w:t>
            </w:r>
          </w:p>
        </w:tc>
        <w:tc>
          <w:tcPr>
            <w:tcW w:w="0" w:type="auto"/>
          </w:tcPr>
          <w:p w14:paraId="24E82EB4" w14:textId="6BA5FDC6" w:rsidR="003A00A7" w:rsidRPr="00873F17" w:rsidRDefault="008A1067"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27</w:t>
            </w:r>
          </w:p>
        </w:tc>
      </w:tr>
      <w:tr w:rsidR="003A00A7" w:rsidRPr="00873F17" w14:paraId="43A982AC" w14:textId="68EFB4C8" w:rsidTr="008A10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BB8799" w14:textId="377909A4" w:rsidR="003A00A7" w:rsidRPr="008A1067" w:rsidRDefault="00A11503" w:rsidP="00873F17">
            <w:pPr>
              <w:spacing w:before="120"/>
              <w:rPr>
                <w:rFonts w:cs="Times New Roman"/>
                <w:b w:val="0"/>
                <w:sz w:val="20"/>
                <w:szCs w:val="20"/>
              </w:rPr>
            </w:pPr>
            <w:r w:rsidRPr="008A1067">
              <w:rPr>
                <w:rFonts w:cs="Times New Roman"/>
                <w:b w:val="0"/>
                <w:sz w:val="20"/>
                <w:szCs w:val="20"/>
              </w:rPr>
              <w:t>Zlepšit vyhlídky na získání nebo změnu práce</w:t>
            </w:r>
          </w:p>
        </w:tc>
        <w:tc>
          <w:tcPr>
            <w:tcW w:w="0" w:type="auto"/>
          </w:tcPr>
          <w:p w14:paraId="334DAAC9" w14:textId="5A0574D7"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7</w:t>
            </w:r>
          </w:p>
        </w:tc>
        <w:tc>
          <w:tcPr>
            <w:tcW w:w="0" w:type="auto"/>
          </w:tcPr>
          <w:p w14:paraId="459DAF52" w14:textId="1E6039D8"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5</w:t>
            </w:r>
          </w:p>
        </w:tc>
        <w:tc>
          <w:tcPr>
            <w:tcW w:w="0" w:type="auto"/>
          </w:tcPr>
          <w:p w14:paraId="4D5BAF82" w14:textId="6C97CFDC"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40</w:t>
            </w:r>
          </w:p>
        </w:tc>
      </w:tr>
      <w:tr w:rsidR="003A00A7" w:rsidRPr="00873F17" w14:paraId="57997AA5" w14:textId="7FF4D525" w:rsidTr="008A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906D17B" w14:textId="3973B052" w:rsidR="003A00A7" w:rsidRPr="008A1067" w:rsidRDefault="00A11503" w:rsidP="00873F17">
            <w:pPr>
              <w:spacing w:before="120"/>
              <w:rPr>
                <w:rFonts w:cs="Times New Roman"/>
                <w:b w:val="0"/>
                <w:sz w:val="20"/>
                <w:szCs w:val="20"/>
              </w:rPr>
            </w:pPr>
            <w:r w:rsidRPr="008A1067">
              <w:rPr>
                <w:rFonts w:cs="Times New Roman"/>
                <w:b w:val="0"/>
                <w:sz w:val="20"/>
                <w:szCs w:val="20"/>
              </w:rPr>
              <w:t>Potkat nové lidi, pro zábavu</w:t>
            </w:r>
          </w:p>
        </w:tc>
        <w:tc>
          <w:tcPr>
            <w:tcW w:w="0" w:type="auto"/>
          </w:tcPr>
          <w:p w14:paraId="759F4315" w14:textId="170E1433" w:rsidR="003A00A7" w:rsidRPr="00873F17" w:rsidRDefault="008A1067"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4</w:t>
            </w:r>
          </w:p>
        </w:tc>
        <w:tc>
          <w:tcPr>
            <w:tcW w:w="0" w:type="auto"/>
          </w:tcPr>
          <w:p w14:paraId="79DD6FF1" w14:textId="1229A3F3" w:rsidR="003A00A7" w:rsidRPr="00873F17" w:rsidRDefault="008A1067"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8</w:t>
            </w:r>
          </w:p>
        </w:tc>
        <w:tc>
          <w:tcPr>
            <w:tcW w:w="0" w:type="auto"/>
          </w:tcPr>
          <w:p w14:paraId="3F1C5F5F" w14:textId="62835653" w:rsidR="003A00A7" w:rsidRPr="00873F17" w:rsidRDefault="008A1067" w:rsidP="00A11503">
            <w:pPr>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17</w:t>
            </w:r>
          </w:p>
        </w:tc>
      </w:tr>
      <w:tr w:rsidR="003A00A7" w:rsidRPr="00873F17" w14:paraId="6708F1A1" w14:textId="56257A7F" w:rsidTr="008A106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02F238" w14:textId="2640082A" w:rsidR="003A00A7" w:rsidRPr="008A1067" w:rsidRDefault="00A11503" w:rsidP="00873F17">
            <w:pPr>
              <w:spacing w:before="120"/>
              <w:rPr>
                <w:rFonts w:cs="Times New Roman"/>
                <w:b w:val="0"/>
                <w:sz w:val="20"/>
                <w:szCs w:val="20"/>
              </w:rPr>
            </w:pPr>
            <w:r w:rsidRPr="008A1067">
              <w:rPr>
                <w:rFonts w:cs="Times New Roman"/>
                <w:b w:val="0"/>
                <w:sz w:val="20"/>
                <w:szCs w:val="20"/>
              </w:rPr>
              <w:t>Začít své vlastní podnikání</w:t>
            </w:r>
          </w:p>
        </w:tc>
        <w:tc>
          <w:tcPr>
            <w:tcW w:w="0" w:type="auto"/>
          </w:tcPr>
          <w:p w14:paraId="2A1325DD" w14:textId="63939F11"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w:t>
            </w:r>
          </w:p>
        </w:tc>
        <w:tc>
          <w:tcPr>
            <w:tcW w:w="0" w:type="auto"/>
          </w:tcPr>
          <w:p w14:paraId="3BA048C1" w14:textId="314A451D"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w:t>
            </w:r>
          </w:p>
        </w:tc>
        <w:tc>
          <w:tcPr>
            <w:tcW w:w="0" w:type="auto"/>
          </w:tcPr>
          <w:p w14:paraId="0F13FA2B" w14:textId="094A3FA2" w:rsidR="003A00A7" w:rsidRPr="00873F17" w:rsidRDefault="008A1067" w:rsidP="00A11503">
            <w:pPr>
              <w:spacing w:before="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3</w:t>
            </w:r>
          </w:p>
        </w:tc>
      </w:tr>
    </w:tbl>
    <w:p w14:paraId="44AB902B" w14:textId="6DC83D15" w:rsidR="00DC4CA4" w:rsidRPr="003941A0" w:rsidRDefault="008A1067" w:rsidP="00457F72">
      <w:pPr>
        <w:spacing w:before="120" w:line="360" w:lineRule="auto"/>
        <w:jc w:val="both"/>
        <w:rPr>
          <w:rFonts w:ascii="Times New Roman" w:hAnsi="Times New Roman" w:cs="Times New Roman"/>
          <w:i/>
          <w:sz w:val="22"/>
          <w:szCs w:val="22"/>
        </w:rPr>
      </w:pPr>
      <w:r w:rsidRPr="003941A0">
        <w:rPr>
          <w:rFonts w:ascii="Times New Roman" w:hAnsi="Times New Roman" w:cs="Times New Roman"/>
          <w:i/>
          <w:sz w:val="22"/>
          <w:szCs w:val="22"/>
        </w:rPr>
        <w:t>Zdroj: AES (2016), ČSÚ (</w:t>
      </w:r>
      <w:proofErr w:type="gramStart"/>
      <w:r w:rsidRPr="003941A0">
        <w:rPr>
          <w:rFonts w:ascii="Times New Roman" w:hAnsi="Times New Roman" w:cs="Times New Roman"/>
          <w:i/>
          <w:sz w:val="22"/>
          <w:szCs w:val="22"/>
        </w:rPr>
        <w:t>2018</w:t>
      </w:r>
      <w:r w:rsidR="007A0B2F">
        <w:rPr>
          <w:rFonts w:ascii="Times New Roman" w:hAnsi="Times New Roman" w:cs="Times New Roman"/>
          <w:i/>
          <w:sz w:val="22"/>
          <w:szCs w:val="22"/>
        </w:rPr>
        <w:t>a</w:t>
      </w:r>
      <w:proofErr w:type="gramEnd"/>
      <w:r w:rsidRPr="003941A0">
        <w:rPr>
          <w:rFonts w:ascii="Times New Roman" w:hAnsi="Times New Roman" w:cs="Times New Roman"/>
          <w:i/>
          <w:sz w:val="22"/>
          <w:szCs w:val="22"/>
        </w:rPr>
        <w:t>), vlastní zpracování.</w:t>
      </w:r>
    </w:p>
    <w:p w14:paraId="1EA51041" w14:textId="66B21D85" w:rsidR="00431EE3" w:rsidRDefault="00431EE3" w:rsidP="008A1067">
      <w:pPr>
        <w:spacing w:before="240" w:line="360" w:lineRule="auto"/>
        <w:jc w:val="both"/>
        <w:rPr>
          <w:rFonts w:ascii="Times New Roman" w:hAnsi="Times New Roman" w:cs="Times New Roman"/>
        </w:rPr>
      </w:pPr>
      <w:r>
        <w:rPr>
          <w:rFonts w:ascii="Times New Roman" w:hAnsi="Times New Roman" w:cs="Times New Roman"/>
        </w:rPr>
        <w:t xml:space="preserve">Při pohledu na tabulku je patrné, že jako motiv účasti na pracovně orientovaném neformálním vzdělávání </w:t>
      </w:r>
      <w:r w:rsidRPr="003941A0">
        <w:rPr>
          <w:rFonts w:ascii="Times New Roman" w:hAnsi="Times New Roman" w:cs="Times New Roman"/>
          <w:b/>
        </w:rPr>
        <w:t>převažuje mezi zaměstnanci nařízená povinnost k účasti na vzdělávání</w:t>
      </w:r>
      <w:r w:rsidR="00EE28AB">
        <w:rPr>
          <w:rFonts w:ascii="Times New Roman" w:hAnsi="Times New Roman" w:cs="Times New Roman"/>
        </w:rPr>
        <w:t>, ať již přímo zaměstnavatelem, vyplývající ze zákona, popř. pod vlivem dalších vnějších okolností</w:t>
      </w:r>
      <w:r>
        <w:rPr>
          <w:rFonts w:ascii="Times New Roman" w:hAnsi="Times New Roman" w:cs="Times New Roman"/>
        </w:rPr>
        <w:t xml:space="preserve"> (mírně nižší je mezi vys</w:t>
      </w:r>
      <w:r w:rsidR="00EE28AB">
        <w:rPr>
          <w:rFonts w:ascii="Times New Roman" w:hAnsi="Times New Roman" w:cs="Times New Roman"/>
        </w:rPr>
        <w:t>okoškolsky vzdělanými osobami a jedinci působícími v nemanuálních a nerutinních pracovních profesích). Pozitivně však lze hodnotit</w:t>
      </w:r>
      <w:r w:rsidR="000713C7">
        <w:rPr>
          <w:rFonts w:ascii="Times New Roman" w:hAnsi="Times New Roman" w:cs="Times New Roman"/>
        </w:rPr>
        <w:t xml:space="preserve"> skutečnost, že jako velmi časté</w:t>
      </w:r>
      <w:r w:rsidR="00EE28AB">
        <w:rPr>
          <w:rFonts w:ascii="Times New Roman" w:hAnsi="Times New Roman" w:cs="Times New Roman"/>
        </w:rPr>
        <w:t xml:space="preserve"> důvod</w:t>
      </w:r>
      <w:r w:rsidR="000713C7">
        <w:rPr>
          <w:rFonts w:ascii="Times New Roman" w:hAnsi="Times New Roman" w:cs="Times New Roman"/>
        </w:rPr>
        <w:t>y jsou uváděny</w:t>
      </w:r>
      <w:r w:rsidR="00EE28AB">
        <w:rPr>
          <w:rFonts w:ascii="Times New Roman" w:hAnsi="Times New Roman" w:cs="Times New Roman"/>
        </w:rPr>
        <w:t xml:space="preserve"> </w:t>
      </w:r>
      <w:r w:rsidR="00EE28AB" w:rsidRPr="003941A0">
        <w:rPr>
          <w:rFonts w:ascii="Times New Roman" w:hAnsi="Times New Roman" w:cs="Times New Roman"/>
          <w:b/>
        </w:rPr>
        <w:t>snaha lépe vykonávat svou práci, zlepšit si kariérní vyhlídky</w:t>
      </w:r>
      <w:r w:rsidR="00EE28AB">
        <w:rPr>
          <w:rFonts w:ascii="Times New Roman" w:hAnsi="Times New Roman" w:cs="Times New Roman"/>
        </w:rPr>
        <w:t xml:space="preserve"> nebo </w:t>
      </w:r>
      <w:r w:rsidR="00EE28AB" w:rsidRPr="003941A0">
        <w:rPr>
          <w:rFonts w:ascii="Times New Roman" w:hAnsi="Times New Roman" w:cs="Times New Roman"/>
          <w:b/>
        </w:rPr>
        <w:t>získat certifikát</w:t>
      </w:r>
      <w:r w:rsidR="00EE28AB" w:rsidRPr="00EE28AB">
        <w:rPr>
          <w:rFonts w:ascii="Times New Roman" w:hAnsi="Times New Roman" w:cs="Times New Roman"/>
          <w:i/>
        </w:rPr>
        <w:t>.</w:t>
      </w:r>
      <w:r w:rsidR="00EE28AB">
        <w:rPr>
          <w:rFonts w:ascii="Times New Roman" w:hAnsi="Times New Roman" w:cs="Times New Roman"/>
        </w:rPr>
        <w:t xml:space="preserve"> </w:t>
      </w:r>
      <w:r w:rsidR="000713C7">
        <w:rPr>
          <w:rFonts w:ascii="Times New Roman" w:hAnsi="Times New Roman" w:cs="Times New Roman"/>
        </w:rPr>
        <w:t>Tedy důvody, které jsou vedeny snahou zlepšit svou pracovní pozici v podniku a celkově zlepšit své postavení na trhu práce.</w:t>
      </w:r>
    </w:p>
    <w:p w14:paraId="5A2361F0" w14:textId="5DAF74A4" w:rsidR="000713C7" w:rsidRDefault="000713C7" w:rsidP="000713C7">
      <w:pPr>
        <w:pStyle w:val="Nadpis2"/>
      </w:pPr>
      <w:bookmarkStart w:id="30" w:name="_Toc398662596"/>
      <w:r>
        <w:t>Shrnutí</w:t>
      </w:r>
      <w:r w:rsidR="003941A0">
        <w:t xml:space="preserve"> a doporučení</w:t>
      </w:r>
      <w:bookmarkEnd w:id="30"/>
    </w:p>
    <w:p w14:paraId="7D491704" w14:textId="2B85CFDF" w:rsidR="00176702" w:rsidRDefault="0017417F" w:rsidP="00176702">
      <w:pPr>
        <w:spacing w:line="360" w:lineRule="auto"/>
        <w:jc w:val="both"/>
        <w:rPr>
          <w:rFonts w:ascii="Times New Roman" w:hAnsi="Times New Roman" w:cs="Times New Roman"/>
        </w:rPr>
      </w:pPr>
      <w:r>
        <w:rPr>
          <w:rFonts w:ascii="Times New Roman" w:hAnsi="Times New Roman" w:cs="Times New Roman"/>
        </w:rPr>
        <w:t>V České republice je v rámci dalšího (formálního i neformálního) vzdělávání dospělých nabízená široká škála nejrůzn</w:t>
      </w:r>
      <w:r w:rsidR="00176702">
        <w:rPr>
          <w:rFonts w:ascii="Times New Roman" w:hAnsi="Times New Roman" w:cs="Times New Roman"/>
        </w:rPr>
        <w:t>ějších vzdělávacích programů. Přitom účast na dalším vzdělávání determinuje celá řada faktorů</w:t>
      </w:r>
      <w:r w:rsidR="00176702" w:rsidRPr="00176702">
        <w:rPr>
          <w:rFonts w:ascii="Times New Roman" w:hAnsi="Times New Roman" w:cs="Times New Roman"/>
        </w:rPr>
        <w:t xml:space="preserve"> </w:t>
      </w:r>
      <w:r w:rsidR="00176702">
        <w:rPr>
          <w:rFonts w:ascii="Times New Roman" w:hAnsi="Times New Roman" w:cs="Times New Roman"/>
        </w:rPr>
        <w:t>– věk, dosažená úroveň vzdělání, genderové hledisko, postavení na trhu práce, výše příjmu, ale také velikost podniku, kde jedinec pracuje, popř. místo bydliště nebo práce (s vyšším stupněm urbanizace roste účast v některé z forem dalšího vzdělávání; jednodušeji řečeno, větší města nabízejí více příležitostí se dále vzdělávat).</w:t>
      </w:r>
    </w:p>
    <w:p w14:paraId="0F6423E5" w14:textId="7E17A29C" w:rsidR="00176702" w:rsidRDefault="00176702" w:rsidP="00790B91">
      <w:pPr>
        <w:spacing w:line="360" w:lineRule="auto"/>
        <w:jc w:val="both"/>
        <w:rPr>
          <w:rFonts w:ascii="Times New Roman" w:hAnsi="Times New Roman" w:cs="Times New Roman"/>
        </w:rPr>
      </w:pPr>
      <w:r w:rsidRPr="00176702">
        <w:rPr>
          <w:rFonts w:ascii="Times New Roman" w:hAnsi="Times New Roman" w:cs="Times New Roman"/>
          <w:b/>
        </w:rPr>
        <w:t>Klíčovým faktorem, který ovlivňuje účast a intenzitu zapojení do dalšího vzdělávání, je dosažená úroveň vzdělání</w:t>
      </w:r>
      <w:r>
        <w:rPr>
          <w:rFonts w:ascii="Times New Roman" w:hAnsi="Times New Roman" w:cs="Times New Roman"/>
          <w:b/>
        </w:rPr>
        <w:t xml:space="preserve"> </w:t>
      </w:r>
      <w:r>
        <w:rPr>
          <w:rFonts w:ascii="Times New Roman" w:hAnsi="Times New Roman" w:cs="Times New Roman"/>
        </w:rPr>
        <w:t xml:space="preserve">(viz např. Obr. 2.9). </w:t>
      </w:r>
      <w:r w:rsidR="00790B91">
        <w:rPr>
          <w:rFonts w:ascii="Times New Roman" w:hAnsi="Times New Roman" w:cs="Times New Roman"/>
        </w:rPr>
        <w:t>V</w:t>
      </w:r>
      <w:r>
        <w:rPr>
          <w:rFonts w:ascii="Times New Roman" w:hAnsi="Times New Roman" w:cs="Times New Roman"/>
        </w:rPr>
        <w:t xml:space="preserve">e srovnání s dalšími zeměmi EU se </w:t>
      </w:r>
      <w:r w:rsidRPr="00790B91">
        <w:rPr>
          <w:rFonts w:ascii="Times New Roman" w:hAnsi="Times New Roman" w:cs="Times New Roman"/>
          <w:b/>
        </w:rPr>
        <w:t>České republice nedaří dostatečně zapojit do dalšího vzdělávání dospělé osoby s nejnižší úrovní vzdělání</w:t>
      </w:r>
      <w:r>
        <w:rPr>
          <w:rFonts w:ascii="Times New Roman" w:hAnsi="Times New Roman" w:cs="Times New Roman"/>
        </w:rPr>
        <w:t xml:space="preserve"> (tj. nejvýše základní</w:t>
      </w:r>
      <w:r w:rsidR="00790B91">
        <w:rPr>
          <w:rFonts w:ascii="Times New Roman" w:hAnsi="Times New Roman" w:cs="Times New Roman"/>
        </w:rPr>
        <w:t>m</w:t>
      </w:r>
      <w:r>
        <w:rPr>
          <w:rFonts w:ascii="Times New Roman" w:hAnsi="Times New Roman" w:cs="Times New Roman"/>
        </w:rPr>
        <w:t xml:space="preserve"> vzdělání</w:t>
      </w:r>
      <w:r w:rsidR="00790B91">
        <w:rPr>
          <w:rFonts w:ascii="Times New Roman" w:hAnsi="Times New Roman" w:cs="Times New Roman"/>
        </w:rPr>
        <w:t>m</w:t>
      </w:r>
      <w:r>
        <w:rPr>
          <w:rFonts w:ascii="Times New Roman" w:hAnsi="Times New Roman" w:cs="Times New Roman"/>
        </w:rPr>
        <w:t>).</w:t>
      </w:r>
      <w:r w:rsidR="00790B91">
        <w:rPr>
          <w:rFonts w:ascii="Times New Roman" w:hAnsi="Times New Roman" w:cs="Times New Roman"/>
        </w:rPr>
        <w:t xml:space="preserve"> Je to dobře patrné z n</w:t>
      </w:r>
      <w:r w:rsidR="00A111D7">
        <w:rPr>
          <w:rFonts w:ascii="Times New Roman" w:hAnsi="Times New Roman" w:cs="Times New Roman"/>
        </w:rPr>
        <w:t xml:space="preserve">ásledujícího Obrázku 2.12, jenž znázorňuje procento dospělé populace celkem a procento dospělých s nejvýše základním vzděláním, kteří se </w:t>
      </w:r>
      <w:r w:rsidR="00DB37C9">
        <w:rPr>
          <w:rFonts w:ascii="Times New Roman" w:hAnsi="Times New Roman" w:cs="Times New Roman"/>
        </w:rPr>
        <w:t xml:space="preserve">v daném roce </w:t>
      </w:r>
      <w:r w:rsidR="00A111D7">
        <w:rPr>
          <w:rFonts w:ascii="Times New Roman" w:hAnsi="Times New Roman" w:cs="Times New Roman"/>
        </w:rPr>
        <w:t>účastnili dalšího vzdělávání, a to ve vybraných zemích EU.</w:t>
      </w:r>
      <w:r w:rsidR="00790B91">
        <w:rPr>
          <w:rFonts w:ascii="Times New Roman" w:hAnsi="Times New Roman" w:cs="Times New Roman"/>
        </w:rPr>
        <w:t xml:space="preserve"> </w:t>
      </w:r>
    </w:p>
    <w:p w14:paraId="0FC1CAA8" w14:textId="0E7B748E" w:rsidR="00176702" w:rsidRPr="00A111D7" w:rsidRDefault="00790B91" w:rsidP="003941A0">
      <w:pPr>
        <w:spacing w:before="120"/>
        <w:jc w:val="both"/>
        <w:rPr>
          <w:rFonts w:ascii="Times New Roman" w:hAnsi="Times New Roman" w:cs="Times New Roman"/>
          <w:b/>
          <w:sz w:val="22"/>
          <w:szCs w:val="22"/>
        </w:rPr>
      </w:pPr>
      <w:r>
        <w:rPr>
          <w:rFonts w:ascii="Times New Roman" w:hAnsi="Times New Roman" w:cs="Times New Roman"/>
          <w:sz w:val="22"/>
          <w:szCs w:val="22"/>
        </w:rPr>
        <w:lastRenderedPageBreak/>
        <w:t>Obrázek 2.12</w:t>
      </w:r>
      <w:r w:rsidR="00176702" w:rsidRPr="003445B8">
        <w:rPr>
          <w:rFonts w:ascii="Times New Roman" w:hAnsi="Times New Roman" w:cs="Times New Roman"/>
          <w:sz w:val="22"/>
          <w:szCs w:val="22"/>
        </w:rPr>
        <w:t xml:space="preserve"> </w:t>
      </w:r>
      <w:r w:rsidR="00176702" w:rsidRPr="00A111D7">
        <w:rPr>
          <w:rFonts w:ascii="Times New Roman" w:hAnsi="Times New Roman" w:cs="Times New Roman"/>
          <w:b/>
          <w:sz w:val="22"/>
          <w:szCs w:val="22"/>
        </w:rPr>
        <w:t>Ú</w:t>
      </w:r>
      <w:r w:rsidR="00A111D7">
        <w:rPr>
          <w:rFonts w:ascii="Times New Roman" w:hAnsi="Times New Roman" w:cs="Times New Roman"/>
          <w:b/>
          <w:sz w:val="22"/>
          <w:szCs w:val="22"/>
        </w:rPr>
        <w:t xml:space="preserve">čast dospělých celkem versus účast dospělých s primárním vzděláním (ISCED 0–2) v některé z forem dalšího vzdělávání </w:t>
      </w:r>
      <w:r w:rsidR="00176702" w:rsidRPr="00A111D7">
        <w:rPr>
          <w:rFonts w:ascii="Times New Roman" w:hAnsi="Times New Roman" w:cs="Times New Roman"/>
          <w:b/>
          <w:sz w:val="22"/>
          <w:szCs w:val="22"/>
        </w:rPr>
        <w:t>(25–64 let</w:t>
      </w:r>
      <w:r w:rsidR="00A111D7">
        <w:rPr>
          <w:rFonts w:ascii="Times New Roman" w:hAnsi="Times New Roman" w:cs="Times New Roman"/>
          <w:b/>
          <w:sz w:val="22"/>
          <w:szCs w:val="22"/>
        </w:rPr>
        <w:t>, 2016, EU</w:t>
      </w:r>
      <w:r w:rsidR="003F3655">
        <w:rPr>
          <w:rFonts w:ascii="Times New Roman" w:hAnsi="Times New Roman" w:cs="Times New Roman"/>
          <w:b/>
          <w:sz w:val="22"/>
          <w:szCs w:val="22"/>
        </w:rPr>
        <w:t>, v %</w:t>
      </w:r>
      <w:r w:rsidR="00176702" w:rsidRPr="00A111D7">
        <w:rPr>
          <w:rFonts w:ascii="Times New Roman" w:hAnsi="Times New Roman" w:cs="Times New Roman"/>
          <w:b/>
          <w:sz w:val="22"/>
          <w:szCs w:val="22"/>
        </w:rPr>
        <w:t>)</w:t>
      </w:r>
    </w:p>
    <w:p w14:paraId="188846EE" w14:textId="42A68B9A" w:rsidR="00176702" w:rsidRDefault="00176702" w:rsidP="00176702">
      <w:pPr>
        <w:spacing w:before="24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0A466AFD" wp14:editId="1023CCF1">
            <wp:extent cx="5274310" cy="3076575"/>
            <wp:effectExtent l="0" t="0" r="34290" b="222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870E56" w14:textId="5C25BD07" w:rsidR="003F3655" w:rsidRDefault="00722A5F" w:rsidP="003F3655">
      <w:pPr>
        <w:spacing w:line="360" w:lineRule="auto"/>
        <w:jc w:val="both"/>
        <w:rPr>
          <w:rFonts w:ascii="Times New Roman" w:hAnsi="Times New Roman" w:cs="Times New Roman"/>
          <w:i/>
          <w:sz w:val="22"/>
          <w:szCs w:val="22"/>
        </w:rPr>
      </w:pPr>
      <w:r w:rsidRPr="003941A0">
        <w:rPr>
          <w:rFonts w:ascii="Times New Roman" w:hAnsi="Times New Roman" w:cs="Times New Roman"/>
          <w:i/>
          <w:sz w:val="22"/>
          <w:szCs w:val="22"/>
        </w:rPr>
        <w:t xml:space="preserve">Zdroj: </w:t>
      </w:r>
      <w:proofErr w:type="spellStart"/>
      <w:r w:rsidRPr="003941A0">
        <w:rPr>
          <w:rFonts w:ascii="Times New Roman" w:hAnsi="Times New Roman" w:cs="Times New Roman"/>
          <w:i/>
          <w:sz w:val="22"/>
          <w:szCs w:val="22"/>
        </w:rPr>
        <w:t>Eurostat</w:t>
      </w:r>
      <w:proofErr w:type="spellEnd"/>
      <w:r w:rsidRPr="003941A0">
        <w:rPr>
          <w:rFonts w:ascii="Times New Roman" w:hAnsi="Times New Roman" w:cs="Times New Roman"/>
          <w:i/>
          <w:sz w:val="22"/>
          <w:szCs w:val="22"/>
        </w:rPr>
        <w:t xml:space="preserve"> (2018</w:t>
      </w:r>
      <w:r w:rsidR="003F3655" w:rsidRPr="003941A0">
        <w:rPr>
          <w:rFonts w:ascii="Times New Roman" w:hAnsi="Times New Roman" w:cs="Times New Roman"/>
          <w:i/>
          <w:sz w:val="22"/>
          <w:szCs w:val="22"/>
        </w:rPr>
        <w:t>), vlastní zpracování.</w:t>
      </w:r>
    </w:p>
    <w:p w14:paraId="4BEFFD5A" w14:textId="496DF70E" w:rsidR="003941A0" w:rsidRPr="006E5B8C" w:rsidRDefault="003941A0" w:rsidP="003941A0">
      <w:pPr>
        <w:jc w:val="both"/>
        <w:rPr>
          <w:rFonts w:ascii="Times New Roman" w:hAnsi="Times New Roman" w:cs="Times New Roman"/>
          <w:sz w:val="20"/>
          <w:szCs w:val="20"/>
        </w:rPr>
      </w:pPr>
      <w:r w:rsidRPr="006E5B8C">
        <w:rPr>
          <w:rFonts w:ascii="Times New Roman" w:hAnsi="Times New Roman" w:cs="Times New Roman"/>
          <w:sz w:val="20"/>
          <w:szCs w:val="20"/>
        </w:rPr>
        <w:t xml:space="preserve">Poznámky: NL – Nizozemsko, SE – Švédsko, AT – Rakousko, HU – Maďarsko, FI – Finsko, UK – Velká Británie, DE – Německo, FR – Francie, DK – Dánsko, CY – Kypr, LU – Lucembursko, LV – Lotyšsko, CZ – Česká republika, PT – Portugalsko, SI – Slovinsko, BE – Belgie, EU – Evropská unie, EE – Estonsko, ES – Španělsko, IT – Itálie, MT – Malta, PL – Polsko, BG – Bulharsko. Pro Chorvatsko, </w:t>
      </w:r>
      <w:r w:rsidR="006E5B8C" w:rsidRPr="006E5B8C">
        <w:rPr>
          <w:rFonts w:ascii="Times New Roman" w:hAnsi="Times New Roman" w:cs="Times New Roman"/>
          <w:sz w:val="20"/>
          <w:szCs w:val="20"/>
        </w:rPr>
        <w:t xml:space="preserve">Irsko, </w:t>
      </w:r>
      <w:r w:rsidRPr="006E5B8C">
        <w:rPr>
          <w:rFonts w:ascii="Times New Roman" w:hAnsi="Times New Roman" w:cs="Times New Roman"/>
          <w:sz w:val="20"/>
          <w:szCs w:val="20"/>
        </w:rPr>
        <w:t xml:space="preserve">Litvu, </w:t>
      </w:r>
      <w:r w:rsidR="006E5B8C" w:rsidRPr="006E5B8C">
        <w:rPr>
          <w:rFonts w:ascii="Times New Roman" w:hAnsi="Times New Roman" w:cs="Times New Roman"/>
          <w:sz w:val="20"/>
          <w:szCs w:val="20"/>
        </w:rPr>
        <w:t>Rumunsko, Řecko a Slovensko nebyly k dispozici data.</w:t>
      </w:r>
      <w:r w:rsidRPr="006E5B8C">
        <w:rPr>
          <w:rFonts w:ascii="Times New Roman" w:hAnsi="Times New Roman" w:cs="Times New Roman"/>
          <w:sz w:val="20"/>
          <w:szCs w:val="20"/>
        </w:rPr>
        <w:t xml:space="preserve"> </w:t>
      </w:r>
    </w:p>
    <w:p w14:paraId="2C026190" w14:textId="7AA34340" w:rsidR="00FE0DFF" w:rsidRDefault="003F3655" w:rsidP="003F3655">
      <w:pPr>
        <w:spacing w:before="240" w:line="360" w:lineRule="auto"/>
        <w:jc w:val="both"/>
        <w:rPr>
          <w:rFonts w:ascii="Times New Roman" w:hAnsi="Times New Roman" w:cs="Times New Roman"/>
        </w:rPr>
      </w:pPr>
      <w:r>
        <w:rPr>
          <w:rFonts w:ascii="Times New Roman" w:hAnsi="Times New Roman" w:cs="Times New Roman"/>
        </w:rPr>
        <w:t>Přestože účast dospělých v České republice</w:t>
      </w:r>
      <w:r w:rsidR="00DB37C9">
        <w:rPr>
          <w:rFonts w:ascii="Times New Roman" w:hAnsi="Times New Roman" w:cs="Times New Roman"/>
        </w:rPr>
        <w:t xml:space="preserve"> na dalším vzdělávání je v rámci EU </w:t>
      </w:r>
      <w:r w:rsidR="00FE0DFF">
        <w:rPr>
          <w:rFonts w:ascii="Times New Roman" w:hAnsi="Times New Roman" w:cs="Times New Roman"/>
        </w:rPr>
        <w:t xml:space="preserve">mírně nadprůměrná (46,1 %; v EU </w:t>
      </w:r>
      <w:proofErr w:type="gramStart"/>
      <w:r w:rsidR="00FE0DFF">
        <w:rPr>
          <w:rFonts w:ascii="Times New Roman" w:hAnsi="Times New Roman" w:cs="Times New Roman"/>
        </w:rPr>
        <w:t>45,</w:t>
      </w:r>
      <w:r w:rsidR="00DB37C9">
        <w:rPr>
          <w:rFonts w:ascii="Times New Roman" w:hAnsi="Times New Roman" w:cs="Times New Roman"/>
        </w:rPr>
        <w:t>1%</w:t>
      </w:r>
      <w:proofErr w:type="gramEnd"/>
      <w:r w:rsidR="00DB37C9">
        <w:rPr>
          <w:rFonts w:ascii="Times New Roman" w:hAnsi="Times New Roman" w:cs="Times New Roman"/>
        </w:rPr>
        <w:t>), účast dospělých osob se základním vzděláním je jedna z</w:t>
      </w:r>
      <w:r w:rsidR="00FE0DFF">
        <w:rPr>
          <w:rFonts w:ascii="Times New Roman" w:hAnsi="Times New Roman" w:cs="Times New Roman"/>
        </w:rPr>
        <w:t> </w:t>
      </w:r>
      <w:r w:rsidR="00DB37C9">
        <w:rPr>
          <w:rFonts w:ascii="Times New Roman" w:hAnsi="Times New Roman" w:cs="Times New Roman"/>
        </w:rPr>
        <w:t>nejnižších</w:t>
      </w:r>
      <w:r w:rsidR="00FE0DFF">
        <w:rPr>
          <w:rFonts w:ascii="Times New Roman" w:hAnsi="Times New Roman" w:cs="Times New Roman"/>
        </w:rPr>
        <w:t xml:space="preserve"> (16,2 %; průměr EU činí 24 %). Pro srovnání: Stejné procento dospělých jako v ČR participuje na dalším vzdělá</w:t>
      </w:r>
      <w:r w:rsidR="008C4217">
        <w:rPr>
          <w:rFonts w:ascii="Times New Roman" w:hAnsi="Times New Roman" w:cs="Times New Roman"/>
        </w:rPr>
        <w:t>vá</w:t>
      </w:r>
      <w:r w:rsidR="00FE0DFF">
        <w:rPr>
          <w:rFonts w:ascii="Times New Roman" w:hAnsi="Times New Roman" w:cs="Times New Roman"/>
        </w:rPr>
        <w:t>ní také ve Slovin</w:t>
      </w:r>
      <w:r w:rsidR="0091075B">
        <w:rPr>
          <w:rFonts w:ascii="Times New Roman" w:hAnsi="Times New Roman" w:cs="Times New Roman"/>
        </w:rPr>
        <w:t>sku a Portugalsku, přitom zapojení osob se základním vzděláním je zcela rozdílné (ve Slovinsku dokonce nižší než v ČR, a to 14,7 %; v Portugalsku se naopak úspěšně daří zapojit osoby s nejnižší úrovní vzdělání do dalšího vzdělávání, jejich účast dosahuje 31,5 %). Kromě ČR a Slovinska se příliš nedaří zapojit dospělé jedince s nejnižší úrovní vzdělání do dalšího vzdělávání také například v Polsku nebo Bulharsku, kde je ale celková participace dospělého obyvatelstva na vzdělávání nižší. Naopak nejlepší</w:t>
      </w:r>
      <w:r w:rsidR="008C4217">
        <w:rPr>
          <w:rFonts w:ascii="Times New Roman" w:hAnsi="Times New Roman" w:cs="Times New Roman"/>
        </w:rPr>
        <w:t xml:space="preserve"> výsledky v tomto směru vykazuje</w:t>
      </w:r>
      <w:r w:rsidR="0091075B">
        <w:rPr>
          <w:rFonts w:ascii="Times New Roman" w:hAnsi="Times New Roman" w:cs="Times New Roman"/>
        </w:rPr>
        <w:t xml:space="preserve"> například </w:t>
      </w:r>
      <w:r w:rsidR="008C4217">
        <w:rPr>
          <w:rFonts w:ascii="Times New Roman" w:hAnsi="Times New Roman" w:cs="Times New Roman"/>
        </w:rPr>
        <w:t>Maďarsko, Finsko, Švédsko, Dánsko nebo již zmíněné Portugalsko</w:t>
      </w:r>
      <w:r w:rsidR="0091075B">
        <w:rPr>
          <w:rFonts w:ascii="Times New Roman" w:hAnsi="Times New Roman" w:cs="Times New Roman"/>
        </w:rPr>
        <w:t>.</w:t>
      </w:r>
    </w:p>
    <w:p w14:paraId="51954567" w14:textId="75AC5156" w:rsidR="00F11A53" w:rsidRDefault="00B21ECC" w:rsidP="008C4217">
      <w:pPr>
        <w:spacing w:before="120" w:line="360" w:lineRule="auto"/>
        <w:jc w:val="both"/>
        <w:rPr>
          <w:rFonts w:ascii="Times New Roman" w:hAnsi="Times New Roman" w:cs="Times New Roman"/>
        </w:rPr>
      </w:pPr>
      <w:r>
        <w:rPr>
          <w:rFonts w:ascii="Times New Roman" w:hAnsi="Times New Roman" w:cs="Times New Roman"/>
        </w:rPr>
        <w:t>Mimořádně n</w:t>
      </w:r>
      <w:r w:rsidR="008C4217">
        <w:rPr>
          <w:rFonts w:ascii="Times New Roman" w:hAnsi="Times New Roman" w:cs="Times New Roman"/>
        </w:rPr>
        <w:t>ízká účast</w:t>
      </w:r>
      <w:r w:rsidR="001F0C47">
        <w:rPr>
          <w:rFonts w:ascii="Times New Roman" w:hAnsi="Times New Roman" w:cs="Times New Roman"/>
        </w:rPr>
        <w:t xml:space="preserve"> dospělých</w:t>
      </w:r>
      <w:r w:rsidR="008C4217">
        <w:rPr>
          <w:rFonts w:ascii="Times New Roman" w:hAnsi="Times New Roman" w:cs="Times New Roman"/>
        </w:rPr>
        <w:t xml:space="preserve"> osob </w:t>
      </w:r>
      <w:r>
        <w:rPr>
          <w:rFonts w:ascii="Times New Roman" w:hAnsi="Times New Roman" w:cs="Times New Roman"/>
        </w:rPr>
        <w:t xml:space="preserve">se základním vzděláním </w:t>
      </w:r>
      <w:r w:rsidR="001F0C47">
        <w:rPr>
          <w:rFonts w:ascii="Times New Roman" w:hAnsi="Times New Roman" w:cs="Times New Roman"/>
        </w:rPr>
        <w:t xml:space="preserve">v procesu </w:t>
      </w:r>
      <w:r w:rsidR="00F11A53">
        <w:rPr>
          <w:rFonts w:ascii="Times New Roman" w:hAnsi="Times New Roman" w:cs="Times New Roman"/>
        </w:rPr>
        <w:t xml:space="preserve">dalšího </w:t>
      </w:r>
      <w:r w:rsidR="001F0C47">
        <w:rPr>
          <w:rFonts w:ascii="Times New Roman" w:hAnsi="Times New Roman" w:cs="Times New Roman"/>
        </w:rPr>
        <w:t>vzdělávání se nepříznivě promítá také do dalších ukazatelů, které přímo souvisí s trhem práce –</w:t>
      </w:r>
      <w:r w:rsidR="00F11A53">
        <w:rPr>
          <w:rFonts w:ascii="Times New Roman" w:hAnsi="Times New Roman" w:cs="Times New Roman"/>
        </w:rPr>
        <w:t xml:space="preserve"> do</w:t>
      </w:r>
      <w:r w:rsidR="006E5B8C">
        <w:rPr>
          <w:rFonts w:ascii="Times New Roman" w:hAnsi="Times New Roman" w:cs="Times New Roman"/>
        </w:rPr>
        <w:t xml:space="preserve"> participace na</w:t>
      </w:r>
      <w:r w:rsidR="00F11A53">
        <w:rPr>
          <w:rFonts w:ascii="Times New Roman" w:hAnsi="Times New Roman" w:cs="Times New Roman"/>
        </w:rPr>
        <w:t xml:space="preserve"> pracovně orientovaného neformálního </w:t>
      </w:r>
      <w:r w:rsidR="001F0C47">
        <w:rPr>
          <w:rFonts w:ascii="Times New Roman" w:hAnsi="Times New Roman" w:cs="Times New Roman"/>
        </w:rPr>
        <w:t xml:space="preserve">vzdělávání, </w:t>
      </w:r>
      <w:r w:rsidR="001F0C47">
        <w:rPr>
          <w:rFonts w:ascii="Times New Roman" w:hAnsi="Times New Roman" w:cs="Times New Roman"/>
        </w:rPr>
        <w:lastRenderedPageBreak/>
        <w:t xml:space="preserve">stejně tak </w:t>
      </w:r>
      <w:r w:rsidR="00F11A53">
        <w:rPr>
          <w:rFonts w:ascii="Times New Roman" w:hAnsi="Times New Roman" w:cs="Times New Roman"/>
        </w:rPr>
        <w:t>do účasti nezaměstnaných na dalším vzdělávání (rekvalifikacích), (viz Tabulka 2.4).</w:t>
      </w:r>
    </w:p>
    <w:p w14:paraId="7747EB0D" w14:textId="46E1F384" w:rsidR="00C22F38" w:rsidRPr="00C22F38" w:rsidRDefault="00C22F38" w:rsidP="006E5B8C">
      <w:pPr>
        <w:spacing w:before="120" w:after="120"/>
        <w:jc w:val="both"/>
        <w:rPr>
          <w:rFonts w:ascii="Times New Roman" w:hAnsi="Times New Roman" w:cs="Times New Roman"/>
          <w:b/>
          <w:sz w:val="22"/>
          <w:szCs w:val="22"/>
        </w:rPr>
      </w:pPr>
      <w:r w:rsidRPr="00C22F38">
        <w:rPr>
          <w:rFonts w:ascii="Times New Roman" w:hAnsi="Times New Roman" w:cs="Times New Roman"/>
          <w:sz w:val="22"/>
          <w:szCs w:val="22"/>
        </w:rPr>
        <w:t xml:space="preserve">Tabulka 2.4 </w:t>
      </w:r>
      <w:r w:rsidRPr="00C22F38">
        <w:rPr>
          <w:rFonts w:ascii="Times New Roman" w:hAnsi="Times New Roman" w:cs="Times New Roman"/>
          <w:b/>
          <w:sz w:val="22"/>
          <w:szCs w:val="22"/>
        </w:rPr>
        <w:t>Účast dospělých na dalším vzdělávání dle postavení na trhu práce a účast dospělých na pracovně orientovaném dalším vzdělávání dle dosažené úrovně vzdělání (</w:t>
      </w:r>
      <w:r>
        <w:rPr>
          <w:rFonts w:ascii="Times New Roman" w:hAnsi="Times New Roman" w:cs="Times New Roman"/>
          <w:b/>
          <w:sz w:val="22"/>
          <w:szCs w:val="22"/>
        </w:rPr>
        <w:t>2016, 25–</w:t>
      </w:r>
      <w:r w:rsidR="001E0057">
        <w:rPr>
          <w:rFonts w:ascii="Times New Roman" w:hAnsi="Times New Roman" w:cs="Times New Roman"/>
          <w:b/>
          <w:sz w:val="22"/>
          <w:szCs w:val="22"/>
        </w:rPr>
        <w:t>64 let, v %</w:t>
      </w:r>
      <w:r>
        <w:rPr>
          <w:rFonts w:ascii="Times New Roman" w:hAnsi="Times New Roman" w:cs="Times New Roman"/>
          <w:b/>
          <w:sz w:val="22"/>
          <w:szCs w:val="22"/>
        </w:rPr>
        <w:t>)</w:t>
      </w:r>
    </w:p>
    <w:tbl>
      <w:tblPr>
        <w:tblStyle w:val="Svtlseznamzvraznn1"/>
        <w:tblW w:w="4842" w:type="dxa"/>
        <w:jc w:val="center"/>
        <w:tblLook w:val="04A0" w:firstRow="1" w:lastRow="0" w:firstColumn="1" w:lastColumn="0" w:noHBand="0" w:noVBand="1"/>
      </w:tblPr>
      <w:tblGrid>
        <w:gridCol w:w="3771"/>
        <w:gridCol w:w="467"/>
        <w:gridCol w:w="604"/>
      </w:tblGrid>
      <w:tr w:rsidR="009D544E" w:rsidRPr="009D544E" w14:paraId="39C4FFA9" w14:textId="77777777" w:rsidTr="002C0FA6">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842" w:type="dxa"/>
            <w:gridSpan w:val="3"/>
          </w:tcPr>
          <w:p w14:paraId="6D7B99B7" w14:textId="70A8310A" w:rsidR="009D544E" w:rsidRPr="009D544E" w:rsidRDefault="009D544E"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Účast na dalším vzdělávání dle postavení na trhu práce</w:t>
            </w:r>
          </w:p>
        </w:tc>
      </w:tr>
      <w:tr w:rsidR="0047122D" w:rsidRPr="009D544E" w14:paraId="5041609B" w14:textId="77777777" w:rsidTr="002C0FA6">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569" w:type="dxa"/>
            <w:vMerge w:val="restart"/>
          </w:tcPr>
          <w:p w14:paraId="5590CBBD" w14:textId="4A56E6EE" w:rsidR="009D544E" w:rsidRPr="009D544E" w:rsidRDefault="009D544E"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Celkem</w:t>
            </w:r>
          </w:p>
        </w:tc>
        <w:tc>
          <w:tcPr>
            <w:tcW w:w="0" w:type="auto"/>
          </w:tcPr>
          <w:p w14:paraId="2EE4E73B" w14:textId="008D55BB" w:rsidR="009D544E" w:rsidRPr="00B21ECC" w:rsidRDefault="009D544E"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1E87868C" w14:textId="0CAC9B31" w:rsidR="009D544E" w:rsidRPr="00B21ECC" w:rsidRDefault="001E0057"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45,1</w:t>
            </w:r>
          </w:p>
        </w:tc>
      </w:tr>
      <w:tr w:rsidR="0047122D" w:rsidRPr="009D544E" w14:paraId="38E4E424" w14:textId="77777777" w:rsidTr="002C0FA6">
        <w:trPr>
          <w:trHeight w:val="125"/>
          <w:jc w:val="center"/>
        </w:trPr>
        <w:tc>
          <w:tcPr>
            <w:cnfStyle w:val="001000000000" w:firstRow="0" w:lastRow="0" w:firstColumn="1" w:lastColumn="0" w:oddVBand="0" w:evenVBand="0" w:oddHBand="0" w:evenHBand="0" w:firstRowFirstColumn="0" w:firstRowLastColumn="0" w:lastRowFirstColumn="0" w:lastRowLastColumn="0"/>
            <w:tcW w:w="3569" w:type="dxa"/>
            <w:vMerge/>
          </w:tcPr>
          <w:p w14:paraId="44D2FC38" w14:textId="77777777" w:rsidR="009D544E" w:rsidRPr="009D544E" w:rsidRDefault="009D544E" w:rsidP="009D544E">
            <w:pPr>
              <w:spacing w:before="120"/>
              <w:jc w:val="both"/>
              <w:rPr>
                <w:rFonts w:asciiTheme="majorHAnsi" w:hAnsiTheme="majorHAnsi" w:cs="Times New Roman"/>
                <w:b w:val="0"/>
                <w:sz w:val="20"/>
                <w:szCs w:val="20"/>
              </w:rPr>
            </w:pPr>
          </w:p>
        </w:tc>
        <w:tc>
          <w:tcPr>
            <w:tcW w:w="0" w:type="auto"/>
          </w:tcPr>
          <w:p w14:paraId="6D22BA38" w14:textId="33D64C98" w:rsidR="009D544E" w:rsidRPr="00B21ECC" w:rsidRDefault="001E0057"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ČR</w:t>
            </w:r>
          </w:p>
        </w:tc>
        <w:tc>
          <w:tcPr>
            <w:tcW w:w="0" w:type="auto"/>
          </w:tcPr>
          <w:p w14:paraId="684EFA4A" w14:textId="54CA5FF8" w:rsidR="009D544E" w:rsidRPr="00B21ECC" w:rsidRDefault="001E0057"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46,1</w:t>
            </w:r>
          </w:p>
        </w:tc>
      </w:tr>
      <w:tr w:rsidR="0047122D" w:rsidRPr="009D544E" w14:paraId="316CFEAF" w14:textId="77777777" w:rsidTr="002C0FA6">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569" w:type="dxa"/>
            <w:vMerge w:val="restart"/>
          </w:tcPr>
          <w:p w14:paraId="7723F98A" w14:textId="02E624A9" w:rsidR="0096763F" w:rsidRPr="009D544E" w:rsidRDefault="0096763F"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Zaměstnaní</w:t>
            </w:r>
          </w:p>
        </w:tc>
        <w:tc>
          <w:tcPr>
            <w:tcW w:w="0" w:type="auto"/>
          </w:tcPr>
          <w:p w14:paraId="3A291E2A" w14:textId="72D09DA2" w:rsidR="0096763F" w:rsidRPr="00B21ECC" w:rsidRDefault="001E0057"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567714FC" w14:textId="4FFD6394" w:rsidR="0096763F" w:rsidRPr="00B21ECC" w:rsidRDefault="001E0057"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53,1</w:t>
            </w:r>
          </w:p>
        </w:tc>
      </w:tr>
      <w:tr w:rsidR="0047122D" w:rsidRPr="009D544E" w14:paraId="56E80780" w14:textId="77777777" w:rsidTr="002C0FA6">
        <w:trPr>
          <w:trHeight w:val="125"/>
          <w:jc w:val="center"/>
        </w:trPr>
        <w:tc>
          <w:tcPr>
            <w:cnfStyle w:val="001000000000" w:firstRow="0" w:lastRow="0" w:firstColumn="1" w:lastColumn="0" w:oddVBand="0" w:evenVBand="0" w:oddHBand="0" w:evenHBand="0" w:firstRowFirstColumn="0" w:firstRowLastColumn="0" w:lastRowFirstColumn="0" w:lastRowLastColumn="0"/>
            <w:tcW w:w="3569" w:type="dxa"/>
            <w:vMerge/>
          </w:tcPr>
          <w:p w14:paraId="4EA66CD3" w14:textId="77777777" w:rsidR="0096763F" w:rsidRDefault="0096763F" w:rsidP="009D544E">
            <w:pPr>
              <w:spacing w:before="120"/>
              <w:jc w:val="both"/>
              <w:rPr>
                <w:rFonts w:asciiTheme="majorHAnsi" w:hAnsiTheme="majorHAnsi" w:cs="Times New Roman"/>
                <w:b w:val="0"/>
                <w:sz w:val="20"/>
                <w:szCs w:val="20"/>
              </w:rPr>
            </w:pPr>
          </w:p>
        </w:tc>
        <w:tc>
          <w:tcPr>
            <w:tcW w:w="0" w:type="auto"/>
          </w:tcPr>
          <w:p w14:paraId="61A9AC79" w14:textId="4BD54679" w:rsidR="0096763F" w:rsidRPr="00B21ECC" w:rsidRDefault="001E0057"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ČR</w:t>
            </w:r>
          </w:p>
        </w:tc>
        <w:tc>
          <w:tcPr>
            <w:tcW w:w="0" w:type="auto"/>
          </w:tcPr>
          <w:p w14:paraId="454A8548" w14:textId="7D22EE9D" w:rsidR="0096763F"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53,9</w:t>
            </w:r>
          </w:p>
        </w:tc>
      </w:tr>
      <w:tr w:rsidR="0047122D" w:rsidRPr="009D544E" w14:paraId="0E7016CD" w14:textId="77777777" w:rsidTr="002C0FA6">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569" w:type="dxa"/>
            <w:vMerge w:val="restart"/>
          </w:tcPr>
          <w:p w14:paraId="3D735212" w14:textId="521925F5" w:rsidR="0096763F" w:rsidRPr="009D544E" w:rsidRDefault="0096763F"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Nezaměstnaní</w:t>
            </w:r>
          </w:p>
        </w:tc>
        <w:tc>
          <w:tcPr>
            <w:tcW w:w="0" w:type="auto"/>
          </w:tcPr>
          <w:p w14:paraId="0C2055DB" w14:textId="402905A1" w:rsidR="0096763F"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4F8A79D1" w14:textId="11C25665" w:rsidR="0096763F"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28,3</w:t>
            </w:r>
          </w:p>
        </w:tc>
      </w:tr>
      <w:tr w:rsidR="0047122D" w:rsidRPr="009D544E" w14:paraId="5881F180" w14:textId="77777777" w:rsidTr="002C0FA6">
        <w:trPr>
          <w:trHeight w:val="369"/>
          <w:jc w:val="center"/>
        </w:trPr>
        <w:tc>
          <w:tcPr>
            <w:cnfStyle w:val="001000000000" w:firstRow="0" w:lastRow="0" w:firstColumn="1" w:lastColumn="0" w:oddVBand="0" w:evenVBand="0" w:oddHBand="0" w:evenHBand="0" w:firstRowFirstColumn="0" w:firstRowLastColumn="0" w:lastRowFirstColumn="0" w:lastRowLastColumn="0"/>
            <w:tcW w:w="3569" w:type="dxa"/>
            <w:vMerge/>
          </w:tcPr>
          <w:p w14:paraId="66DFF1CD" w14:textId="77777777" w:rsidR="0096763F" w:rsidRDefault="0096763F" w:rsidP="009D544E">
            <w:pPr>
              <w:spacing w:before="120"/>
              <w:jc w:val="both"/>
              <w:rPr>
                <w:rFonts w:asciiTheme="majorHAnsi" w:hAnsiTheme="majorHAnsi" w:cs="Times New Roman"/>
                <w:b w:val="0"/>
                <w:sz w:val="20"/>
                <w:szCs w:val="20"/>
              </w:rPr>
            </w:pPr>
          </w:p>
        </w:tc>
        <w:tc>
          <w:tcPr>
            <w:tcW w:w="0" w:type="auto"/>
          </w:tcPr>
          <w:p w14:paraId="384C259B" w14:textId="594D9E64" w:rsidR="0096763F"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0"/>
                <w:szCs w:val="20"/>
              </w:rPr>
            </w:pPr>
            <w:r w:rsidRPr="00B21ECC">
              <w:rPr>
                <w:rFonts w:asciiTheme="majorHAnsi" w:hAnsiTheme="majorHAnsi" w:cs="Times New Roman"/>
                <w:b/>
                <w:sz w:val="20"/>
                <w:szCs w:val="20"/>
              </w:rPr>
              <w:t>ČR</w:t>
            </w:r>
          </w:p>
        </w:tc>
        <w:tc>
          <w:tcPr>
            <w:tcW w:w="0" w:type="auto"/>
          </w:tcPr>
          <w:p w14:paraId="5C4B86DF" w14:textId="67792D7E" w:rsidR="0096763F" w:rsidRPr="00B21ECC" w:rsidRDefault="0047122D" w:rsidP="002C0FA6">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0"/>
                <w:szCs w:val="20"/>
              </w:rPr>
            </w:pPr>
            <w:r w:rsidRPr="00B21ECC">
              <w:rPr>
                <w:rFonts w:asciiTheme="majorHAnsi" w:hAnsiTheme="majorHAnsi" w:cs="Times New Roman"/>
                <w:b/>
                <w:sz w:val="20"/>
                <w:szCs w:val="20"/>
              </w:rPr>
              <w:t>22,8</w:t>
            </w:r>
          </w:p>
        </w:tc>
      </w:tr>
    </w:tbl>
    <w:p w14:paraId="5ECF3EA0" w14:textId="77777777" w:rsidR="002C0FA6" w:rsidRDefault="002C0FA6" w:rsidP="002C0FA6">
      <w:pPr>
        <w:spacing w:line="240" w:lineRule="atLeast"/>
      </w:pPr>
    </w:p>
    <w:tbl>
      <w:tblPr>
        <w:tblStyle w:val="Svtlseznamzvraznn1"/>
        <w:tblW w:w="0" w:type="auto"/>
        <w:jc w:val="center"/>
        <w:tblLook w:val="04A0" w:firstRow="1" w:lastRow="0" w:firstColumn="1" w:lastColumn="0" w:noHBand="0" w:noVBand="1"/>
      </w:tblPr>
      <w:tblGrid>
        <w:gridCol w:w="3443"/>
        <w:gridCol w:w="638"/>
        <w:gridCol w:w="826"/>
      </w:tblGrid>
      <w:tr w:rsidR="0096763F" w:rsidRPr="009D544E" w14:paraId="1EDE3B41" w14:textId="77777777" w:rsidTr="002C0FA6">
        <w:trPr>
          <w:cnfStyle w:val="100000000000" w:firstRow="1" w:lastRow="0" w:firstColumn="0" w:lastColumn="0" w:oddVBand="0" w:evenVBand="0" w:oddHBand="0"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448E36EF" w14:textId="4A874B02" w:rsidR="0096763F" w:rsidRPr="009D544E" w:rsidRDefault="0047122D"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Účast na pracovně orientovaném neformálním vzdělávání</w:t>
            </w:r>
          </w:p>
        </w:tc>
      </w:tr>
      <w:tr w:rsidR="0047122D" w:rsidRPr="00B21ECC" w14:paraId="7AD3706F" w14:textId="77777777" w:rsidTr="002C0FA6">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93EA94" w14:textId="4355584E" w:rsidR="0047122D" w:rsidRDefault="0047122D"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Celkem</w:t>
            </w:r>
          </w:p>
        </w:tc>
        <w:tc>
          <w:tcPr>
            <w:tcW w:w="0" w:type="auto"/>
          </w:tcPr>
          <w:p w14:paraId="1B9B11ED" w14:textId="131661C9" w:rsidR="0047122D"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270B62A1" w14:textId="718BA13B" w:rsidR="0047122D"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35,8</w:t>
            </w:r>
          </w:p>
        </w:tc>
      </w:tr>
      <w:tr w:rsidR="0047122D" w:rsidRPr="00B21ECC" w14:paraId="3ED0DF18" w14:textId="77777777" w:rsidTr="002C0FA6">
        <w:trPr>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77BE05C" w14:textId="77777777" w:rsidR="0047122D" w:rsidRDefault="0047122D" w:rsidP="009D544E">
            <w:pPr>
              <w:spacing w:before="120"/>
              <w:jc w:val="both"/>
              <w:rPr>
                <w:rFonts w:asciiTheme="majorHAnsi" w:hAnsiTheme="majorHAnsi" w:cs="Times New Roman"/>
                <w:b w:val="0"/>
                <w:sz w:val="20"/>
                <w:szCs w:val="20"/>
              </w:rPr>
            </w:pPr>
          </w:p>
        </w:tc>
        <w:tc>
          <w:tcPr>
            <w:tcW w:w="0" w:type="auto"/>
          </w:tcPr>
          <w:p w14:paraId="165B0A62" w14:textId="37457E95" w:rsidR="0047122D"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ČR</w:t>
            </w:r>
          </w:p>
        </w:tc>
        <w:tc>
          <w:tcPr>
            <w:tcW w:w="0" w:type="auto"/>
          </w:tcPr>
          <w:p w14:paraId="3DAA06BA" w14:textId="14B54534" w:rsidR="0047122D"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39,3</w:t>
            </w:r>
          </w:p>
        </w:tc>
      </w:tr>
      <w:tr w:rsidR="0047122D" w:rsidRPr="00B21ECC" w14:paraId="4C9C7ED7" w14:textId="77777777" w:rsidTr="002C0FA6">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FA62FC" w14:textId="4E6DF488" w:rsidR="0047122D" w:rsidRDefault="0047122D"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S primárním vzděláním</w:t>
            </w:r>
          </w:p>
        </w:tc>
        <w:tc>
          <w:tcPr>
            <w:tcW w:w="0" w:type="auto"/>
          </w:tcPr>
          <w:p w14:paraId="5D7A183A" w14:textId="0015FA91" w:rsidR="0047122D"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6689B974" w14:textId="150E1AE8" w:rsidR="0047122D" w:rsidRPr="00B21ECC" w:rsidRDefault="002C0FA6"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17,4</w:t>
            </w:r>
          </w:p>
        </w:tc>
      </w:tr>
      <w:tr w:rsidR="0047122D" w:rsidRPr="00B21ECC" w14:paraId="207B6472" w14:textId="77777777" w:rsidTr="002C0FA6">
        <w:trPr>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132C408" w14:textId="77777777" w:rsidR="0047122D" w:rsidRDefault="0047122D" w:rsidP="009D544E">
            <w:pPr>
              <w:spacing w:before="120"/>
              <w:jc w:val="both"/>
              <w:rPr>
                <w:rFonts w:asciiTheme="majorHAnsi" w:hAnsiTheme="majorHAnsi" w:cs="Times New Roman"/>
                <w:b w:val="0"/>
                <w:sz w:val="20"/>
                <w:szCs w:val="20"/>
              </w:rPr>
            </w:pPr>
          </w:p>
        </w:tc>
        <w:tc>
          <w:tcPr>
            <w:tcW w:w="0" w:type="auto"/>
          </w:tcPr>
          <w:p w14:paraId="17E68553" w14:textId="626B98F8" w:rsidR="0047122D"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0"/>
                <w:szCs w:val="20"/>
              </w:rPr>
            </w:pPr>
            <w:r w:rsidRPr="00B21ECC">
              <w:rPr>
                <w:rFonts w:asciiTheme="majorHAnsi" w:hAnsiTheme="majorHAnsi" w:cs="Times New Roman"/>
                <w:b/>
                <w:sz w:val="20"/>
                <w:szCs w:val="20"/>
              </w:rPr>
              <w:t>ČR</w:t>
            </w:r>
          </w:p>
        </w:tc>
        <w:tc>
          <w:tcPr>
            <w:tcW w:w="0" w:type="auto"/>
          </w:tcPr>
          <w:p w14:paraId="43975A98" w14:textId="592AFEF6" w:rsidR="0047122D" w:rsidRPr="00B21ECC" w:rsidRDefault="002C0FA6"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20"/>
                <w:szCs w:val="20"/>
              </w:rPr>
            </w:pPr>
            <w:r w:rsidRPr="00B21ECC">
              <w:rPr>
                <w:rFonts w:asciiTheme="majorHAnsi" w:hAnsiTheme="majorHAnsi" w:cs="Times New Roman"/>
                <w:b/>
                <w:sz w:val="20"/>
                <w:szCs w:val="20"/>
              </w:rPr>
              <w:t>13,4</w:t>
            </w:r>
          </w:p>
        </w:tc>
      </w:tr>
      <w:tr w:rsidR="0047122D" w:rsidRPr="00B21ECC" w14:paraId="5876DDC5" w14:textId="77777777" w:rsidTr="002C0FA6">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9D2BE2" w14:textId="6B4AE397" w:rsidR="0047122D" w:rsidRDefault="0047122D"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Se sekundárním vzděláním</w:t>
            </w:r>
          </w:p>
        </w:tc>
        <w:tc>
          <w:tcPr>
            <w:tcW w:w="0" w:type="auto"/>
          </w:tcPr>
          <w:p w14:paraId="04A93B12" w14:textId="54D85EEC" w:rsidR="0047122D"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6B4BDD54" w14:textId="6184048C" w:rsidR="0047122D" w:rsidRPr="00B21ECC" w:rsidRDefault="002C0FA6"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32,1</w:t>
            </w:r>
          </w:p>
        </w:tc>
      </w:tr>
      <w:tr w:rsidR="0047122D" w:rsidRPr="00B21ECC" w14:paraId="430B6C5C" w14:textId="77777777" w:rsidTr="002C0FA6">
        <w:trPr>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59956F5" w14:textId="77777777" w:rsidR="0047122D" w:rsidRDefault="0047122D" w:rsidP="009D544E">
            <w:pPr>
              <w:spacing w:before="120"/>
              <w:jc w:val="both"/>
              <w:rPr>
                <w:rFonts w:asciiTheme="majorHAnsi" w:hAnsiTheme="majorHAnsi" w:cs="Times New Roman"/>
                <w:b w:val="0"/>
                <w:sz w:val="20"/>
                <w:szCs w:val="20"/>
              </w:rPr>
            </w:pPr>
          </w:p>
        </w:tc>
        <w:tc>
          <w:tcPr>
            <w:tcW w:w="0" w:type="auto"/>
          </w:tcPr>
          <w:p w14:paraId="46A9EFD0" w14:textId="249F3978" w:rsidR="0047122D"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ČR</w:t>
            </w:r>
          </w:p>
        </w:tc>
        <w:tc>
          <w:tcPr>
            <w:tcW w:w="0" w:type="auto"/>
          </w:tcPr>
          <w:p w14:paraId="0061CD3E" w14:textId="20AF5F41" w:rsidR="0047122D" w:rsidRPr="00B21ECC" w:rsidRDefault="002C0FA6"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37,1</w:t>
            </w:r>
          </w:p>
        </w:tc>
      </w:tr>
      <w:tr w:rsidR="0047122D" w:rsidRPr="00B21ECC" w14:paraId="7A377FA7" w14:textId="77777777" w:rsidTr="002C0FA6">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5A6C87" w14:textId="3309FE0F" w:rsidR="0047122D" w:rsidRDefault="0047122D" w:rsidP="009D544E">
            <w:pPr>
              <w:spacing w:before="120"/>
              <w:jc w:val="both"/>
              <w:rPr>
                <w:rFonts w:asciiTheme="majorHAnsi" w:hAnsiTheme="majorHAnsi" w:cs="Times New Roman"/>
                <w:b w:val="0"/>
                <w:sz w:val="20"/>
                <w:szCs w:val="20"/>
              </w:rPr>
            </w:pPr>
            <w:r>
              <w:rPr>
                <w:rFonts w:asciiTheme="majorHAnsi" w:hAnsiTheme="majorHAnsi" w:cs="Times New Roman"/>
                <w:b w:val="0"/>
                <w:sz w:val="20"/>
                <w:szCs w:val="20"/>
              </w:rPr>
              <w:t>S terciárním vzděláním</w:t>
            </w:r>
          </w:p>
        </w:tc>
        <w:tc>
          <w:tcPr>
            <w:tcW w:w="0" w:type="auto"/>
          </w:tcPr>
          <w:p w14:paraId="7FB6638F" w14:textId="0B6C6DF7" w:rsidR="0047122D" w:rsidRPr="00B21ECC" w:rsidRDefault="0047122D"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EU</w:t>
            </w:r>
          </w:p>
        </w:tc>
        <w:tc>
          <w:tcPr>
            <w:tcW w:w="0" w:type="auto"/>
          </w:tcPr>
          <w:p w14:paraId="0817201C" w14:textId="02E605C7" w:rsidR="0047122D" w:rsidRPr="00B21ECC" w:rsidRDefault="002C0FA6" w:rsidP="009D544E">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54,0</w:t>
            </w:r>
          </w:p>
        </w:tc>
      </w:tr>
      <w:tr w:rsidR="0047122D" w:rsidRPr="00B21ECC" w14:paraId="27AE7280" w14:textId="77777777" w:rsidTr="002C0FA6">
        <w:trPr>
          <w:trHeight w:val="12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8507AB6" w14:textId="77777777" w:rsidR="0047122D" w:rsidRDefault="0047122D" w:rsidP="009D544E">
            <w:pPr>
              <w:spacing w:before="120"/>
              <w:jc w:val="both"/>
              <w:rPr>
                <w:rFonts w:asciiTheme="majorHAnsi" w:hAnsiTheme="majorHAnsi" w:cs="Times New Roman"/>
                <w:b w:val="0"/>
                <w:sz w:val="20"/>
                <w:szCs w:val="20"/>
              </w:rPr>
            </w:pPr>
          </w:p>
        </w:tc>
        <w:tc>
          <w:tcPr>
            <w:tcW w:w="0" w:type="auto"/>
          </w:tcPr>
          <w:p w14:paraId="7325910E" w14:textId="338D0293" w:rsidR="0047122D" w:rsidRPr="00B21ECC" w:rsidRDefault="0047122D"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ČR</w:t>
            </w:r>
          </w:p>
        </w:tc>
        <w:tc>
          <w:tcPr>
            <w:tcW w:w="0" w:type="auto"/>
          </w:tcPr>
          <w:p w14:paraId="52808656" w14:textId="4D784982" w:rsidR="0047122D" w:rsidRPr="00B21ECC" w:rsidRDefault="002C0FA6" w:rsidP="009D544E">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B21ECC">
              <w:rPr>
                <w:rFonts w:asciiTheme="majorHAnsi" w:hAnsiTheme="majorHAnsi" w:cs="Times New Roman"/>
                <w:sz w:val="20"/>
                <w:szCs w:val="20"/>
              </w:rPr>
              <w:t>54,4</w:t>
            </w:r>
          </w:p>
        </w:tc>
      </w:tr>
    </w:tbl>
    <w:p w14:paraId="37E68A3E" w14:textId="6DF9FC89" w:rsidR="00176702" w:rsidRPr="006E5B8C" w:rsidRDefault="00B21ECC" w:rsidP="00B21ECC">
      <w:pPr>
        <w:spacing w:before="120" w:line="360" w:lineRule="auto"/>
        <w:jc w:val="both"/>
        <w:rPr>
          <w:rFonts w:ascii="Times New Roman" w:hAnsi="Times New Roman" w:cs="Times New Roman"/>
          <w:i/>
          <w:sz w:val="22"/>
          <w:szCs w:val="22"/>
        </w:rPr>
      </w:pPr>
      <w:r w:rsidRPr="006E5B8C">
        <w:rPr>
          <w:rFonts w:ascii="Times New Roman" w:hAnsi="Times New Roman" w:cs="Times New Roman"/>
          <w:i/>
          <w:sz w:val="22"/>
          <w:szCs w:val="22"/>
        </w:rPr>
        <w:t xml:space="preserve">Zdroj: </w:t>
      </w:r>
      <w:proofErr w:type="spellStart"/>
      <w:r w:rsidRPr="006E5B8C">
        <w:rPr>
          <w:rFonts w:ascii="Times New Roman" w:hAnsi="Times New Roman" w:cs="Times New Roman"/>
          <w:i/>
          <w:sz w:val="22"/>
          <w:szCs w:val="22"/>
        </w:rPr>
        <w:t>Eurostat</w:t>
      </w:r>
      <w:proofErr w:type="spellEnd"/>
      <w:r w:rsidRPr="006E5B8C">
        <w:rPr>
          <w:rFonts w:ascii="Times New Roman" w:hAnsi="Times New Roman" w:cs="Times New Roman"/>
          <w:i/>
          <w:sz w:val="22"/>
          <w:szCs w:val="22"/>
        </w:rPr>
        <w:t xml:space="preserve"> (2018), vlastní zpracování.</w:t>
      </w:r>
    </w:p>
    <w:p w14:paraId="6F7B730F" w14:textId="0E240150" w:rsidR="00B21ECC" w:rsidRPr="00B21ECC" w:rsidRDefault="00F11A53" w:rsidP="00B21ECC">
      <w:pPr>
        <w:spacing w:before="240" w:line="360" w:lineRule="auto"/>
        <w:jc w:val="both"/>
        <w:rPr>
          <w:rFonts w:ascii="Times New Roman" w:hAnsi="Times New Roman" w:cs="Times New Roman"/>
        </w:rPr>
      </w:pPr>
      <w:r>
        <w:rPr>
          <w:rFonts w:ascii="Times New Roman" w:hAnsi="Times New Roman" w:cs="Times New Roman"/>
        </w:rPr>
        <w:t>Přestože ČR si vede v</w:t>
      </w:r>
      <w:r w:rsidR="00B21ECC">
        <w:rPr>
          <w:rFonts w:ascii="Times New Roman" w:hAnsi="Times New Roman" w:cs="Times New Roman"/>
        </w:rPr>
        <w:t xml:space="preserve"> uvedených ukazatelích lépe, než je průměr EU, v případě nezaměstnaných a osob s primárním vzděláním jsou výsledky vždy horší.</w:t>
      </w:r>
    </w:p>
    <w:p w14:paraId="2326E464" w14:textId="26149BB5" w:rsidR="00392F31" w:rsidRDefault="00392F31" w:rsidP="00392F31">
      <w:pPr>
        <w:pStyle w:val="Nadpis5"/>
      </w:pPr>
      <w:r>
        <w:t>Další formální vzdělávání</w:t>
      </w:r>
    </w:p>
    <w:p w14:paraId="65A5D03C" w14:textId="7746260D" w:rsidR="00A33ACA" w:rsidRPr="00176702" w:rsidRDefault="00BE7EE4" w:rsidP="00392F31">
      <w:pPr>
        <w:spacing w:before="120" w:line="360" w:lineRule="auto"/>
        <w:jc w:val="both"/>
        <w:rPr>
          <w:rFonts w:ascii="Times New Roman" w:hAnsi="Times New Roman" w:cs="Times New Roman"/>
          <w:b/>
        </w:rPr>
      </w:pPr>
      <w:r w:rsidRPr="00392F31">
        <w:rPr>
          <w:rFonts w:ascii="Times New Roman" w:hAnsi="Times New Roman" w:cs="Times New Roman"/>
        </w:rPr>
        <w:t>Nízká účast dospělé populace v</w:t>
      </w:r>
      <w:r w:rsidR="004915D2" w:rsidRPr="00392F31">
        <w:rPr>
          <w:rFonts w:ascii="Times New Roman" w:hAnsi="Times New Roman" w:cs="Times New Roman"/>
        </w:rPr>
        <w:t xml:space="preserve"> dalším formálním vzdělávání</w:t>
      </w:r>
      <w:r w:rsidR="004915D2">
        <w:rPr>
          <w:rFonts w:ascii="Times New Roman" w:hAnsi="Times New Roman" w:cs="Times New Roman"/>
        </w:rPr>
        <w:t xml:space="preserve"> </w:t>
      </w:r>
      <w:r w:rsidR="00220E43">
        <w:rPr>
          <w:rFonts w:ascii="Times New Roman" w:hAnsi="Times New Roman" w:cs="Times New Roman"/>
        </w:rPr>
        <w:t>(ve srovnání s ostatními zeměmi EU</w:t>
      </w:r>
      <w:r w:rsidR="008C308F">
        <w:rPr>
          <w:rFonts w:ascii="Times New Roman" w:hAnsi="Times New Roman" w:cs="Times New Roman"/>
        </w:rPr>
        <w:t>, viz Obrázek 2.6</w:t>
      </w:r>
      <w:r w:rsidR="00220E43">
        <w:rPr>
          <w:rFonts w:ascii="Times New Roman" w:hAnsi="Times New Roman" w:cs="Times New Roman"/>
        </w:rPr>
        <w:t xml:space="preserve">) </w:t>
      </w:r>
      <w:r w:rsidR="004915D2">
        <w:rPr>
          <w:rFonts w:ascii="Times New Roman" w:hAnsi="Times New Roman" w:cs="Times New Roman"/>
        </w:rPr>
        <w:t>je dána především faktem, že více než 90 % dospělé populace má minimálně středoškolské vzdělání, což poptávku po dalším formálním vzdělávání podstatně snižuje. Dalším faktorem, který působí proti účasti na dalším formálním vzdělá</w:t>
      </w:r>
      <w:r w:rsidR="00A33ACA">
        <w:rPr>
          <w:rFonts w:ascii="Times New Roman" w:hAnsi="Times New Roman" w:cs="Times New Roman"/>
        </w:rPr>
        <w:t xml:space="preserve">vání je časová náročnost. Školy, a to jak na úrovni sekundárního, tak terciárního vzdělávání, </w:t>
      </w:r>
      <w:r w:rsidR="004915D2">
        <w:rPr>
          <w:rFonts w:ascii="Times New Roman" w:hAnsi="Times New Roman" w:cs="Times New Roman"/>
        </w:rPr>
        <w:t xml:space="preserve">sice nabízejí nejrůznější vzdělávací programy (večerní, distanční, kombinované), které umožňují sladit </w:t>
      </w:r>
      <w:r w:rsidR="00220E43">
        <w:rPr>
          <w:rFonts w:ascii="Times New Roman" w:hAnsi="Times New Roman" w:cs="Times New Roman"/>
        </w:rPr>
        <w:t xml:space="preserve">pracovní povinnosti se studiem, nicméně způsob výuky je tradiční, založený na přímém kontaktu s vyučujícím. </w:t>
      </w:r>
      <w:r w:rsidR="00A33ACA">
        <w:rPr>
          <w:rFonts w:ascii="Times New Roman" w:hAnsi="Times New Roman" w:cs="Times New Roman"/>
        </w:rPr>
        <w:lastRenderedPageBreak/>
        <w:t xml:space="preserve">Například </w:t>
      </w:r>
      <w:r w:rsidR="00A33ACA" w:rsidRPr="006E5B8C">
        <w:rPr>
          <w:rFonts w:ascii="Times New Roman" w:hAnsi="Times New Roman" w:cs="Times New Roman"/>
          <w:i/>
        </w:rPr>
        <w:t>d</w:t>
      </w:r>
      <w:r w:rsidR="00220E43" w:rsidRPr="006E5B8C">
        <w:rPr>
          <w:rFonts w:ascii="Times New Roman" w:hAnsi="Times New Roman" w:cs="Times New Roman"/>
          <w:i/>
        </w:rPr>
        <w:t>istanční vzdělávání prostřednictvím internetu je stále spíše ojedinělé</w:t>
      </w:r>
      <w:r w:rsidR="00220E43">
        <w:rPr>
          <w:rFonts w:ascii="Times New Roman" w:hAnsi="Times New Roman" w:cs="Times New Roman"/>
        </w:rPr>
        <w:t xml:space="preserve"> (tuto formu vzdělávání využilo ve sledovaném období 2016/2017 pouze 5 % studentů, kteří se vzdělávali jinou než prezenční formou; ve všech případech se jednalo o účastníky terciárního vzdělávání). </w:t>
      </w:r>
      <w:r w:rsidR="00A33ACA">
        <w:rPr>
          <w:rFonts w:ascii="Times New Roman" w:hAnsi="Times New Roman" w:cs="Times New Roman"/>
        </w:rPr>
        <w:t xml:space="preserve">Výukové </w:t>
      </w:r>
      <w:r w:rsidR="00A33ACA" w:rsidRPr="00BE7EE4">
        <w:rPr>
          <w:rFonts w:ascii="Times New Roman" w:hAnsi="Times New Roman" w:cs="Times New Roman"/>
          <w:i/>
        </w:rPr>
        <w:t>program</w:t>
      </w:r>
      <w:r>
        <w:rPr>
          <w:rFonts w:ascii="Times New Roman" w:hAnsi="Times New Roman" w:cs="Times New Roman"/>
          <w:i/>
        </w:rPr>
        <w:t>y</w:t>
      </w:r>
      <w:r w:rsidR="00A33ACA" w:rsidRPr="00BE7EE4">
        <w:rPr>
          <w:rFonts w:ascii="Times New Roman" w:hAnsi="Times New Roman" w:cs="Times New Roman"/>
          <w:i/>
        </w:rPr>
        <w:t xml:space="preserve"> nejsou koncipovány modulárně</w:t>
      </w:r>
      <w:r w:rsidR="00A33ACA">
        <w:rPr>
          <w:rFonts w:ascii="Times New Roman" w:hAnsi="Times New Roman" w:cs="Times New Roman"/>
        </w:rPr>
        <w:t xml:space="preserve">, ale po ročnících – to jednak zvyšuje časovou náročnost a současně neumožňuje pružné sestavování obsahu vzdělávání tak, aby co nejvíce </w:t>
      </w:r>
      <w:r>
        <w:rPr>
          <w:rFonts w:ascii="Times New Roman" w:hAnsi="Times New Roman" w:cs="Times New Roman"/>
        </w:rPr>
        <w:t xml:space="preserve">vyhovovalo individuálním potřebám. </w:t>
      </w:r>
      <w:r w:rsidR="006E5B8C">
        <w:rPr>
          <w:rFonts w:ascii="Times New Roman" w:hAnsi="Times New Roman" w:cs="Times New Roman"/>
        </w:rPr>
        <w:t xml:space="preserve">Je žádoucí, aby výukové programy lépe reagovaly, jak na požadavky trhu práce, tak jednotlivců. Z uvedeného důvodu lze doporučit </w:t>
      </w:r>
      <w:r w:rsidR="006E5B8C" w:rsidRPr="006E5B8C">
        <w:rPr>
          <w:rFonts w:ascii="Times New Roman" w:hAnsi="Times New Roman" w:cs="Times New Roman"/>
          <w:b/>
        </w:rPr>
        <w:t>modulární programy</w:t>
      </w:r>
      <w:r w:rsidR="006E5B8C">
        <w:rPr>
          <w:rFonts w:ascii="Times New Roman" w:hAnsi="Times New Roman" w:cs="Times New Roman"/>
        </w:rPr>
        <w:t xml:space="preserve">, které umožňuje lépe reagovat na individuální potřeby účastníků, a využívání </w:t>
      </w:r>
      <w:r w:rsidR="006E5B8C" w:rsidRPr="0044644F">
        <w:rPr>
          <w:rFonts w:ascii="Times New Roman" w:hAnsi="Times New Roman" w:cs="Times New Roman"/>
          <w:b/>
        </w:rPr>
        <w:t>moderních výukových forem</w:t>
      </w:r>
      <w:r w:rsidR="0044644F">
        <w:rPr>
          <w:rFonts w:ascii="Times New Roman" w:hAnsi="Times New Roman" w:cs="Times New Roman"/>
        </w:rPr>
        <w:t>, například řešení případových studií, které vycházejí z reálné situace; práce v (mezinárodním) týmu – participace na řešení konkrétního úkolu, kombinace docházky s </w:t>
      </w:r>
      <w:proofErr w:type="gramStart"/>
      <w:r w:rsidR="0044644F">
        <w:rPr>
          <w:rFonts w:ascii="Times New Roman" w:hAnsi="Times New Roman" w:cs="Times New Roman"/>
        </w:rPr>
        <w:t>on line</w:t>
      </w:r>
      <w:proofErr w:type="gramEnd"/>
      <w:r w:rsidR="0044644F">
        <w:rPr>
          <w:rFonts w:ascii="Times New Roman" w:hAnsi="Times New Roman" w:cs="Times New Roman"/>
        </w:rPr>
        <w:t xml:space="preserve"> výukovými formami, atd.  </w:t>
      </w:r>
    </w:p>
    <w:p w14:paraId="7FA63E40" w14:textId="026EAF4F" w:rsidR="00392F31" w:rsidRDefault="00392F31" w:rsidP="00392F31">
      <w:pPr>
        <w:pStyle w:val="Nadpis5"/>
      </w:pPr>
      <w:r>
        <w:t>Další neformální vzdělávání</w:t>
      </w:r>
    </w:p>
    <w:p w14:paraId="1EF96680" w14:textId="77777777" w:rsidR="00531352" w:rsidRDefault="005034CC" w:rsidP="00392F31">
      <w:pPr>
        <w:spacing w:before="120" w:line="360" w:lineRule="auto"/>
        <w:jc w:val="both"/>
        <w:rPr>
          <w:rFonts w:ascii="Times New Roman" w:hAnsi="Times New Roman" w:cs="Times New Roman"/>
        </w:rPr>
      </w:pPr>
      <w:r w:rsidRPr="00392F31">
        <w:rPr>
          <w:rFonts w:ascii="Times New Roman" w:hAnsi="Times New Roman" w:cs="Times New Roman"/>
        </w:rPr>
        <w:t xml:space="preserve">Účast dospělé populace na dalším neformálním vzdělávání se postupně zvyšuje; </w:t>
      </w:r>
      <w:r w:rsidR="00D02C47" w:rsidRPr="00392F31">
        <w:rPr>
          <w:rFonts w:ascii="Times New Roman" w:hAnsi="Times New Roman" w:cs="Times New Roman"/>
        </w:rPr>
        <w:t xml:space="preserve">dosahuje </w:t>
      </w:r>
      <w:r w:rsidR="00D76E33" w:rsidRPr="00392F31">
        <w:rPr>
          <w:rFonts w:ascii="Times New Roman" w:hAnsi="Times New Roman" w:cs="Times New Roman"/>
        </w:rPr>
        <w:t xml:space="preserve">přibližně </w:t>
      </w:r>
      <w:r w:rsidR="00D02C47" w:rsidRPr="00392F31">
        <w:rPr>
          <w:rFonts w:ascii="Times New Roman" w:hAnsi="Times New Roman" w:cs="Times New Roman"/>
        </w:rPr>
        <w:t>průměru EU.</w:t>
      </w:r>
      <w:r w:rsidR="00D02C47">
        <w:rPr>
          <w:rFonts w:ascii="Times New Roman" w:hAnsi="Times New Roman" w:cs="Times New Roman"/>
          <w:b/>
        </w:rPr>
        <w:t xml:space="preserve"> </w:t>
      </w:r>
      <w:r>
        <w:rPr>
          <w:rFonts w:ascii="Times New Roman" w:hAnsi="Times New Roman" w:cs="Times New Roman"/>
        </w:rPr>
        <w:t xml:space="preserve">Zatímco v roce 2011 se neformálního vzdělávání účastnilo 32,1 % dospělé populace ve věku 18–69 let, v roce 2016 to bylo </w:t>
      </w:r>
      <w:r w:rsidRPr="00392F31">
        <w:rPr>
          <w:rFonts w:ascii="Times New Roman" w:hAnsi="Times New Roman" w:cs="Times New Roman"/>
        </w:rPr>
        <w:t>již 39,8 %</w:t>
      </w:r>
      <w:r w:rsidR="00D76E33" w:rsidRPr="00392F31">
        <w:rPr>
          <w:rFonts w:ascii="Times New Roman" w:hAnsi="Times New Roman" w:cs="Times New Roman"/>
        </w:rPr>
        <w:t>.</w:t>
      </w:r>
      <w:r w:rsidR="00D02C47">
        <w:rPr>
          <w:rFonts w:ascii="Times New Roman" w:hAnsi="Times New Roman" w:cs="Times New Roman"/>
          <w:i/>
        </w:rPr>
        <w:t xml:space="preserve"> </w:t>
      </w:r>
      <w:r w:rsidR="00D02C47">
        <w:rPr>
          <w:rFonts w:ascii="Times New Roman" w:hAnsi="Times New Roman" w:cs="Times New Roman"/>
        </w:rPr>
        <w:t xml:space="preserve">Rozdíl mezi muži a ženami není nijak výrazný (42,4 a 37,1 %). Nejčastěji se neformálního vzdělávání účastní dospělí ve věku 35–50 let (50,8 %). </w:t>
      </w:r>
    </w:p>
    <w:p w14:paraId="57B23B1E" w14:textId="7588E8AF" w:rsidR="000038CC" w:rsidRPr="008C308F" w:rsidRDefault="00D02C47" w:rsidP="000713C7">
      <w:pPr>
        <w:spacing w:line="360" w:lineRule="auto"/>
        <w:jc w:val="both"/>
        <w:rPr>
          <w:rFonts w:ascii="Times New Roman" w:hAnsi="Times New Roman" w:cs="Times New Roman"/>
        </w:rPr>
      </w:pPr>
      <w:r w:rsidRPr="00E43C29">
        <w:rPr>
          <w:rFonts w:ascii="Times New Roman" w:hAnsi="Times New Roman" w:cs="Times New Roman"/>
          <w:b/>
        </w:rPr>
        <w:t>Největší rozdíl v participaci na</w:t>
      </w:r>
      <w:r>
        <w:rPr>
          <w:rFonts w:ascii="Times New Roman" w:hAnsi="Times New Roman" w:cs="Times New Roman"/>
        </w:rPr>
        <w:t xml:space="preserve"> </w:t>
      </w:r>
      <w:r w:rsidRPr="00E43C29">
        <w:rPr>
          <w:rFonts w:ascii="Times New Roman" w:hAnsi="Times New Roman" w:cs="Times New Roman"/>
          <w:b/>
        </w:rPr>
        <w:t xml:space="preserve">neformálním vzdělávání je však dán dosaženou úrovní vzdělání. </w:t>
      </w:r>
      <w:r w:rsidR="00531352">
        <w:rPr>
          <w:rFonts w:ascii="Times New Roman" w:hAnsi="Times New Roman" w:cs="Times New Roman"/>
        </w:rPr>
        <w:t>Rozdíly mezi jedinci dle dosažené úrovně vzdělání jsou v ČR větší než v řadě zemí EU.</w:t>
      </w:r>
      <w:r w:rsidR="008C308F">
        <w:rPr>
          <w:rFonts w:ascii="Times New Roman" w:hAnsi="Times New Roman" w:cs="Times New Roman"/>
        </w:rPr>
        <w:t xml:space="preserve"> </w:t>
      </w:r>
      <w:r>
        <w:rPr>
          <w:rFonts w:ascii="Times New Roman" w:hAnsi="Times New Roman" w:cs="Times New Roman"/>
        </w:rPr>
        <w:t xml:space="preserve">V roce 2016 se účastnilo některého z programu neformálního vzdělávání </w:t>
      </w:r>
      <w:r w:rsidRPr="008C308F">
        <w:rPr>
          <w:rFonts w:ascii="Times New Roman" w:hAnsi="Times New Roman" w:cs="Times New Roman"/>
        </w:rPr>
        <w:t>58,6 % osob</w:t>
      </w:r>
      <w:r>
        <w:rPr>
          <w:rFonts w:ascii="Times New Roman" w:hAnsi="Times New Roman" w:cs="Times New Roman"/>
        </w:rPr>
        <w:t xml:space="preserve"> </w:t>
      </w:r>
      <w:r w:rsidR="00810E18">
        <w:rPr>
          <w:rFonts w:ascii="Times New Roman" w:hAnsi="Times New Roman" w:cs="Times New Roman"/>
        </w:rPr>
        <w:t xml:space="preserve">(18–69 let) </w:t>
      </w:r>
      <w:r>
        <w:rPr>
          <w:rFonts w:ascii="Times New Roman" w:hAnsi="Times New Roman" w:cs="Times New Roman"/>
        </w:rPr>
        <w:t xml:space="preserve">s vyšším odborným a vysokoškolským vzděláním, ale jen </w:t>
      </w:r>
      <w:r w:rsidRPr="008C308F">
        <w:rPr>
          <w:rFonts w:ascii="Times New Roman" w:hAnsi="Times New Roman" w:cs="Times New Roman"/>
        </w:rPr>
        <w:t>17,7 % osob</w:t>
      </w:r>
      <w:r>
        <w:rPr>
          <w:rFonts w:ascii="Times New Roman" w:hAnsi="Times New Roman" w:cs="Times New Roman"/>
        </w:rPr>
        <w:t xml:space="preserve"> s nejvýše základním vzděláním (26,7 % osob se SŠ vzděláním bez maturity a 44,5 % osob se SŠ vzděláním s maturitou). </w:t>
      </w:r>
      <w:r w:rsidR="000038CC">
        <w:rPr>
          <w:rFonts w:ascii="Times New Roman" w:hAnsi="Times New Roman" w:cs="Times New Roman"/>
        </w:rPr>
        <w:t>Nízká participace osob s nejnižší úrovní vzdělání na dalším vzdělávání, ať již formálním či neformálním, má řadu příčin. Pracovní úkoly, které tyto osoby vykonávají, nevyžadují zpravidla další vzdělávání, popř. jen v omezené míře. Motivace k pracovně orientovanému dalšímu vzdělávání je</w:t>
      </w:r>
      <w:r w:rsidR="00445136">
        <w:rPr>
          <w:rFonts w:ascii="Times New Roman" w:hAnsi="Times New Roman" w:cs="Times New Roman"/>
        </w:rPr>
        <w:t xml:space="preserve"> tedy menší</w:t>
      </w:r>
      <w:r w:rsidR="000038CC">
        <w:rPr>
          <w:rFonts w:ascii="Times New Roman" w:hAnsi="Times New Roman" w:cs="Times New Roman"/>
        </w:rPr>
        <w:t xml:space="preserve"> než u vzdělanějších pracovníků, kteří často pracují na pozicích, které umožňují další kariérní růst. Významnou roli hraje také </w:t>
      </w:r>
      <w:r w:rsidR="00445136">
        <w:rPr>
          <w:rFonts w:ascii="Times New Roman" w:hAnsi="Times New Roman" w:cs="Times New Roman"/>
        </w:rPr>
        <w:t>sociální prostředí a kulturní kapitál v rodině, tj.</w:t>
      </w:r>
      <w:r w:rsidR="000038CC">
        <w:rPr>
          <w:rFonts w:ascii="Times New Roman" w:hAnsi="Times New Roman" w:cs="Times New Roman"/>
        </w:rPr>
        <w:t xml:space="preserve"> vztah ke </w:t>
      </w:r>
      <w:r w:rsidR="00445136">
        <w:rPr>
          <w:rFonts w:ascii="Times New Roman" w:hAnsi="Times New Roman" w:cs="Times New Roman"/>
        </w:rPr>
        <w:t xml:space="preserve">knihám a </w:t>
      </w:r>
      <w:r w:rsidR="000038CC">
        <w:rPr>
          <w:rFonts w:ascii="Times New Roman" w:hAnsi="Times New Roman" w:cs="Times New Roman"/>
        </w:rPr>
        <w:t xml:space="preserve">vzdělávání </w:t>
      </w:r>
      <w:r w:rsidR="0044644F">
        <w:rPr>
          <w:rFonts w:ascii="Times New Roman" w:hAnsi="Times New Roman" w:cs="Times New Roman"/>
        </w:rPr>
        <w:t>(blíže viz Kapitola 1). Podstatná doporučení jsou uvedena již výše v </w:t>
      </w:r>
      <w:proofErr w:type="gramStart"/>
      <w:r w:rsidR="0044644F">
        <w:rPr>
          <w:rFonts w:ascii="Times New Roman" w:hAnsi="Times New Roman" w:cs="Times New Roman"/>
        </w:rPr>
        <w:t>rámci  Kapitoly</w:t>
      </w:r>
      <w:proofErr w:type="gramEnd"/>
      <w:r w:rsidR="0044644F">
        <w:rPr>
          <w:rFonts w:ascii="Times New Roman" w:hAnsi="Times New Roman" w:cs="Times New Roman"/>
        </w:rPr>
        <w:t xml:space="preserve"> 2.3.</w:t>
      </w:r>
    </w:p>
    <w:p w14:paraId="17F9DD0C" w14:textId="4118D493" w:rsidR="009654DD" w:rsidRDefault="00E43C29" w:rsidP="000713C7">
      <w:pPr>
        <w:spacing w:line="360" w:lineRule="auto"/>
        <w:jc w:val="both"/>
        <w:rPr>
          <w:rFonts w:ascii="Times New Roman" w:hAnsi="Times New Roman" w:cs="Times New Roman"/>
        </w:rPr>
      </w:pPr>
      <w:r w:rsidRPr="00E43C29">
        <w:rPr>
          <w:rFonts w:ascii="Times New Roman" w:hAnsi="Times New Roman" w:cs="Times New Roman"/>
          <w:b/>
        </w:rPr>
        <w:lastRenderedPageBreak/>
        <w:t>Další velký rozdíl vyplývá z postavení na trhu práce</w:t>
      </w:r>
      <w:r>
        <w:rPr>
          <w:rFonts w:ascii="Times New Roman" w:hAnsi="Times New Roman" w:cs="Times New Roman"/>
        </w:rPr>
        <w:t xml:space="preserve"> – ve sledovaném období se účastnilo neformálního vzdělávání 52,5 % zaměstnanců</w:t>
      </w:r>
      <w:r w:rsidR="00810E18">
        <w:rPr>
          <w:rFonts w:ascii="Times New Roman" w:hAnsi="Times New Roman" w:cs="Times New Roman"/>
        </w:rPr>
        <w:t xml:space="preserve"> (18–69 let)</w:t>
      </w:r>
      <w:r>
        <w:rPr>
          <w:rFonts w:ascii="Times New Roman" w:hAnsi="Times New Roman" w:cs="Times New Roman"/>
        </w:rPr>
        <w:t>, ale jen 19,1</w:t>
      </w:r>
      <w:r w:rsidR="00D76E33">
        <w:rPr>
          <w:rFonts w:ascii="Times New Roman" w:hAnsi="Times New Roman" w:cs="Times New Roman"/>
        </w:rPr>
        <w:t xml:space="preserve"> %</w:t>
      </w:r>
      <w:r>
        <w:rPr>
          <w:rFonts w:ascii="Times New Roman" w:hAnsi="Times New Roman" w:cs="Times New Roman"/>
        </w:rPr>
        <w:t xml:space="preserve"> nezaměstnaných</w:t>
      </w:r>
      <w:r w:rsidR="009654DD">
        <w:rPr>
          <w:rFonts w:ascii="Times New Roman" w:hAnsi="Times New Roman" w:cs="Times New Roman"/>
        </w:rPr>
        <w:t xml:space="preserve">. Pokud jde o </w:t>
      </w:r>
      <w:r w:rsidR="00D76E33">
        <w:rPr>
          <w:rFonts w:ascii="Times New Roman" w:hAnsi="Times New Roman" w:cs="Times New Roman"/>
        </w:rPr>
        <w:t>osoby v domácnosti, na mateřské či rodičovské dovolené</w:t>
      </w:r>
      <w:r w:rsidR="009654DD">
        <w:rPr>
          <w:rFonts w:ascii="Times New Roman" w:hAnsi="Times New Roman" w:cs="Times New Roman"/>
        </w:rPr>
        <w:t xml:space="preserve">, neformálního vzdělávání se účastnilo 19,4 %. </w:t>
      </w:r>
    </w:p>
    <w:p w14:paraId="1AEFC6D9" w14:textId="2053720B" w:rsidR="00F11A53" w:rsidRDefault="009654DD" w:rsidP="00F11A53">
      <w:pPr>
        <w:spacing w:line="360" w:lineRule="auto"/>
        <w:jc w:val="both"/>
        <w:rPr>
          <w:rFonts w:ascii="Times New Roman" w:hAnsi="Times New Roman" w:cs="Times New Roman"/>
        </w:rPr>
      </w:pPr>
      <w:r w:rsidRPr="00C979E7">
        <w:rPr>
          <w:rFonts w:ascii="Times New Roman" w:hAnsi="Times New Roman" w:cs="Times New Roman"/>
          <w:b/>
        </w:rPr>
        <w:t>Hlavním motivem účasti na neformá</w:t>
      </w:r>
      <w:r w:rsidR="00C979E7">
        <w:rPr>
          <w:rFonts w:ascii="Times New Roman" w:hAnsi="Times New Roman" w:cs="Times New Roman"/>
          <w:b/>
        </w:rPr>
        <w:t>lním vzdělávání jsou pracovní důvod</w:t>
      </w:r>
      <w:r w:rsidRPr="00C979E7">
        <w:rPr>
          <w:rFonts w:ascii="Times New Roman" w:hAnsi="Times New Roman" w:cs="Times New Roman"/>
          <w:b/>
        </w:rPr>
        <w:t>y, a to bez rozdílu dosažené úrovně vzdělání.</w:t>
      </w:r>
      <w:r>
        <w:rPr>
          <w:rFonts w:ascii="Times New Roman" w:hAnsi="Times New Roman" w:cs="Times New Roman"/>
        </w:rPr>
        <w:t xml:space="preserve"> Podstatnou část </w:t>
      </w:r>
      <w:r w:rsidR="00C979E7">
        <w:rPr>
          <w:rFonts w:ascii="Times New Roman" w:hAnsi="Times New Roman" w:cs="Times New Roman"/>
        </w:rPr>
        <w:t xml:space="preserve">neformálního vzdělávání proto tvoří </w:t>
      </w:r>
      <w:r w:rsidR="00C979E7" w:rsidRPr="00C979E7">
        <w:rPr>
          <w:rFonts w:ascii="Times New Roman" w:hAnsi="Times New Roman" w:cs="Times New Roman"/>
          <w:i/>
        </w:rPr>
        <w:t>pracovně orientované neformální vzdělávání.</w:t>
      </w:r>
      <w:r w:rsidR="00C979E7">
        <w:rPr>
          <w:rFonts w:ascii="Times New Roman" w:hAnsi="Times New Roman" w:cs="Times New Roman"/>
        </w:rPr>
        <w:t xml:space="preserve"> Zpravidla se odehrává v rámci pracovní doby a je zcela nebo z větší části hrazeno zaměstnavatelem.</w:t>
      </w:r>
      <w:r w:rsidR="0044644F">
        <w:rPr>
          <w:rFonts w:ascii="Times New Roman" w:hAnsi="Times New Roman" w:cs="Times New Roman"/>
        </w:rPr>
        <w:t xml:space="preserve"> Tvoří podstatnou část podnikového vzdělávání.</w:t>
      </w:r>
    </w:p>
    <w:p w14:paraId="75C497F2" w14:textId="78C39968" w:rsidR="006B6DA3" w:rsidRDefault="006B6DA3" w:rsidP="006B6DA3">
      <w:pPr>
        <w:pStyle w:val="Nadpis2"/>
      </w:pPr>
      <w:bookmarkStart w:id="31" w:name="_Toc398662597"/>
      <w:r>
        <w:t>2.4 Podnikové vzdělávání</w:t>
      </w:r>
      <w:r w:rsidR="0031742B">
        <w:t xml:space="preserve"> a rozvoj zaměstnanců</w:t>
      </w:r>
      <w:bookmarkEnd w:id="31"/>
    </w:p>
    <w:p w14:paraId="66082701" w14:textId="77777777" w:rsidR="002F7091" w:rsidRDefault="00D93AAF" w:rsidP="002F7091">
      <w:pPr>
        <w:spacing w:line="360" w:lineRule="auto"/>
        <w:jc w:val="both"/>
        <w:rPr>
          <w:rFonts w:ascii="Times New Roman" w:hAnsi="Times New Roman" w:cs="Times New Roman"/>
        </w:rPr>
      </w:pPr>
      <w:r w:rsidRPr="006B6DA3">
        <w:rPr>
          <w:rFonts w:ascii="Times New Roman" w:hAnsi="Times New Roman" w:cs="Times New Roman"/>
        </w:rPr>
        <w:t xml:space="preserve">Oblast </w:t>
      </w:r>
      <w:r w:rsidR="0031742B">
        <w:rPr>
          <w:rFonts w:ascii="Times New Roman" w:hAnsi="Times New Roman" w:cs="Times New Roman"/>
        </w:rPr>
        <w:t xml:space="preserve">odborného </w:t>
      </w:r>
      <w:r w:rsidRPr="006B6DA3">
        <w:rPr>
          <w:rFonts w:ascii="Times New Roman" w:hAnsi="Times New Roman" w:cs="Times New Roman"/>
        </w:rPr>
        <w:t xml:space="preserve">vzdělávání a rozvoje zaměstnanců má </w:t>
      </w:r>
      <w:r w:rsidR="00AF1FD4" w:rsidRPr="006B6DA3">
        <w:rPr>
          <w:rFonts w:ascii="Times New Roman" w:hAnsi="Times New Roman" w:cs="Times New Roman"/>
        </w:rPr>
        <w:t xml:space="preserve">v podniku na starosti </w:t>
      </w:r>
      <w:r w:rsidRPr="006B6DA3">
        <w:rPr>
          <w:rFonts w:ascii="Times New Roman" w:hAnsi="Times New Roman" w:cs="Times New Roman"/>
          <w:i/>
        </w:rPr>
        <w:t xml:space="preserve">útvar řízení lidských zdrojů </w:t>
      </w:r>
      <w:r w:rsidRPr="006B6DA3">
        <w:rPr>
          <w:rFonts w:ascii="Times New Roman" w:hAnsi="Times New Roman" w:cs="Times New Roman"/>
        </w:rPr>
        <w:t>(personální útvar); v malých podnicích</w:t>
      </w:r>
      <w:r w:rsidR="00870150" w:rsidRPr="006B6DA3">
        <w:rPr>
          <w:rFonts w:ascii="Times New Roman" w:hAnsi="Times New Roman" w:cs="Times New Roman"/>
        </w:rPr>
        <w:t xml:space="preserve"> odpovídá za</w:t>
      </w:r>
      <w:r w:rsidRPr="006B6DA3">
        <w:rPr>
          <w:rFonts w:ascii="Times New Roman" w:hAnsi="Times New Roman" w:cs="Times New Roman"/>
        </w:rPr>
        <w:t xml:space="preserve"> personální činnosti zpravidla majitel podniku nebo výkonný manažer</w:t>
      </w:r>
      <w:r w:rsidR="00870150" w:rsidRPr="006B6DA3">
        <w:rPr>
          <w:rFonts w:ascii="Times New Roman" w:hAnsi="Times New Roman" w:cs="Times New Roman"/>
        </w:rPr>
        <w:t>, popř. personalista (zkušenosti z praxe ukazují, že potřeba vytvořit specializované místo personalisty vzniká při 100 až 150 zaměstnancích)</w:t>
      </w:r>
      <w:r w:rsidR="009A126E" w:rsidRPr="006B6DA3">
        <w:rPr>
          <w:rFonts w:ascii="Times New Roman" w:hAnsi="Times New Roman" w:cs="Times New Roman"/>
        </w:rPr>
        <w:t>.</w:t>
      </w:r>
      <w:r w:rsidR="00AF1FD4" w:rsidRPr="006B6DA3">
        <w:rPr>
          <w:rFonts w:ascii="Times New Roman" w:hAnsi="Times New Roman" w:cs="Times New Roman"/>
        </w:rPr>
        <w:t xml:space="preserve"> </w:t>
      </w:r>
    </w:p>
    <w:p w14:paraId="5B3A43EF" w14:textId="61CD3B29" w:rsidR="00E37A58" w:rsidRPr="002F7091" w:rsidRDefault="003240A8" w:rsidP="002F7091">
      <w:pPr>
        <w:spacing w:line="360" w:lineRule="auto"/>
        <w:jc w:val="both"/>
        <w:rPr>
          <w:rFonts w:ascii="Times New Roman" w:hAnsi="Times New Roman" w:cs="Times New Roman"/>
        </w:rPr>
      </w:pPr>
      <w:r w:rsidRPr="002F7091">
        <w:rPr>
          <w:rFonts w:ascii="Times New Roman" w:hAnsi="Times New Roman" w:cs="Times New Roman"/>
        </w:rPr>
        <w:t xml:space="preserve">V praxi se stále častěji uplatňuje koncept tzv. </w:t>
      </w:r>
      <w:r w:rsidRPr="002F7091">
        <w:rPr>
          <w:rFonts w:ascii="Times New Roman" w:hAnsi="Times New Roman" w:cs="Times New Roman"/>
          <w:i/>
        </w:rPr>
        <w:t>strategického řízení lidských zdrojů</w:t>
      </w:r>
      <w:r w:rsidRPr="002F7091">
        <w:rPr>
          <w:rFonts w:ascii="Times New Roman" w:hAnsi="Times New Roman" w:cs="Times New Roman"/>
        </w:rPr>
        <w:t xml:space="preserve">. </w:t>
      </w:r>
      <w:r w:rsidR="00C21EB4" w:rsidRPr="002F7091">
        <w:rPr>
          <w:rFonts w:ascii="Times New Roman" w:hAnsi="Times New Roman" w:cs="Times New Roman"/>
        </w:rPr>
        <w:t>Cílem t</w:t>
      </w:r>
      <w:r w:rsidRPr="002F7091">
        <w:rPr>
          <w:rFonts w:ascii="Times New Roman" w:hAnsi="Times New Roman" w:cs="Times New Roman"/>
        </w:rPr>
        <w:t xml:space="preserve">ohoto přístupu k řízení lidí je </w:t>
      </w:r>
      <w:r w:rsidR="00C21EB4" w:rsidRPr="002F7091">
        <w:rPr>
          <w:rFonts w:ascii="Times New Roman" w:hAnsi="Times New Roman" w:cs="Times New Roman"/>
        </w:rPr>
        <w:t xml:space="preserve">zajistit, aby všechny personální činnosti (personální procesy) – získávání a výběr pracovníků, přijímání, adaptace, vzdělávání a rozvoj, motivace, řízení pracovního výkonu, odměňování ad. – </w:t>
      </w:r>
      <w:r w:rsidRPr="002F7091">
        <w:rPr>
          <w:rFonts w:ascii="Times New Roman" w:hAnsi="Times New Roman" w:cs="Times New Roman"/>
        </w:rPr>
        <w:t xml:space="preserve">byly lépe provázány s podnikovou strategií a </w:t>
      </w:r>
      <w:r w:rsidR="00C21EB4" w:rsidRPr="002F7091">
        <w:rPr>
          <w:rFonts w:ascii="Times New Roman" w:hAnsi="Times New Roman" w:cs="Times New Roman"/>
        </w:rPr>
        <w:t xml:space="preserve">maximálně přispívaly k naplňování </w:t>
      </w:r>
      <w:r w:rsidRPr="002F7091">
        <w:rPr>
          <w:rFonts w:ascii="Times New Roman" w:hAnsi="Times New Roman" w:cs="Times New Roman"/>
        </w:rPr>
        <w:t>stanovených cílů. Důraz je kladen na vytvoření vhodných pracovních podmínek a prostředí vzájemné důvěry a spo</w:t>
      </w:r>
      <w:r w:rsidR="003559A1" w:rsidRPr="002F7091">
        <w:rPr>
          <w:rFonts w:ascii="Times New Roman" w:hAnsi="Times New Roman" w:cs="Times New Roman"/>
        </w:rPr>
        <w:t>l</w:t>
      </w:r>
      <w:r w:rsidRPr="002F7091">
        <w:rPr>
          <w:rFonts w:ascii="Times New Roman" w:hAnsi="Times New Roman" w:cs="Times New Roman"/>
        </w:rPr>
        <w:t>upráce</w:t>
      </w:r>
      <w:r w:rsidR="003559A1" w:rsidRPr="002F7091">
        <w:rPr>
          <w:rFonts w:ascii="Times New Roman" w:hAnsi="Times New Roman" w:cs="Times New Roman"/>
        </w:rPr>
        <w:t xml:space="preserve">, </w:t>
      </w:r>
      <w:r w:rsidR="00E37A58" w:rsidRPr="002F7091">
        <w:rPr>
          <w:rFonts w:ascii="Times New Roman" w:hAnsi="Times New Roman" w:cs="Times New Roman"/>
        </w:rPr>
        <w:t>které by zaměstnance motivovalo k maximálnímu pracovnímu výkonu, podporovalo jejich loajalitu k podniku a celkovou angažovanost.</w:t>
      </w:r>
    </w:p>
    <w:p w14:paraId="08CD9DD1" w14:textId="00A004D5" w:rsidR="003559A1" w:rsidRDefault="00E37A58" w:rsidP="003559A1">
      <w:pPr>
        <w:spacing w:before="120" w:line="360" w:lineRule="auto"/>
        <w:rPr>
          <w:rFonts w:ascii="Times New Roman" w:hAnsi="Times New Roman" w:cs="Times New Roman"/>
        </w:rPr>
      </w:pPr>
      <w:r w:rsidRPr="00871823">
        <w:rPr>
          <w:rFonts w:ascii="Times New Roman" w:hAnsi="Times New Roman" w:cs="Times New Roman"/>
          <w:b/>
        </w:rPr>
        <w:t>Oblast vzdělávání a ro</w:t>
      </w:r>
      <w:r w:rsidR="003559A1" w:rsidRPr="00871823">
        <w:rPr>
          <w:rFonts w:ascii="Times New Roman" w:hAnsi="Times New Roman" w:cs="Times New Roman"/>
          <w:b/>
        </w:rPr>
        <w:t>zvoje zaměstnanců je považována za strategickou oblast řízení lidských zdrojů</w:t>
      </w:r>
      <w:r w:rsidR="003559A1">
        <w:rPr>
          <w:rFonts w:ascii="Times New Roman" w:hAnsi="Times New Roman" w:cs="Times New Roman"/>
        </w:rPr>
        <w:t xml:space="preserve"> </w:t>
      </w:r>
      <w:r w:rsidR="003559A1" w:rsidRPr="00871823">
        <w:rPr>
          <w:rFonts w:ascii="Times New Roman" w:hAnsi="Times New Roman" w:cs="Times New Roman"/>
          <w:b/>
        </w:rPr>
        <w:t>(personalistiky).</w:t>
      </w:r>
      <w:r w:rsidR="003559A1">
        <w:rPr>
          <w:rFonts w:ascii="Times New Roman" w:hAnsi="Times New Roman" w:cs="Times New Roman"/>
        </w:rPr>
        <w:t xml:space="preserve"> Je důležitá hned z několika hledisek:</w:t>
      </w:r>
    </w:p>
    <w:p w14:paraId="4BCB0B48" w14:textId="0C07656C" w:rsidR="00E37A58" w:rsidRDefault="003559A1" w:rsidP="00E94B9D">
      <w:pPr>
        <w:pStyle w:val="Odstavecseseznamem"/>
        <w:numPr>
          <w:ilvl w:val="0"/>
          <w:numId w:val="22"/>
        </w:numPr>
        <w:spacing w:before="120" w:line="360" w:lineRule="auto"/>
        <w:jc w:val="both"/>
        <w:rPr>
          <w:rFonts w:ascii="Times New Roman" w:hAnsi="Times New Roman" w:cs="Times New Roman"/>
        </w:rPr>
      </w:pPr>
      <w:r>
        <w:rPr>
          <w:rFonts w:ascii="Times New Roman" w:hAnsi="Times New Roman" w:cs="Times New Roman"/>
        </w:rPr>
        <w:t xml:space="preserve">Vzhledem k rychlému rozvoji moderních technologií a zavádění nových výrobních postupů, </w:t>
      </w:r>
      <w:r w:rsidR="00CA4B3B">
        <w:rPr>
          <w:rFonts w:ascii="Times New Roman" w:hAnsi="Times New Roman" w:cs="Times New Roman"/>
        </w:rPr>
        <w:t xml:space="preserve">častým inovacím, </w:t>
      </w:r>
      <w:r>
        <w:rPr>
          <w:rFonts w:ascii="Times New Roman" w:hAnsi="Times New Roman" w:cs="Times New Roman"/>
        </w:rPr>
        <w:t xml:space="preserve">změnám legislativy atd. je nutné zaměstnance neustále vzdělávat </w:t>
      </w:r>
      <w:r w:rsidR="009116BE">
        <w:rPr>
          <w:rFonts w:ascii="Times New Roman" w:hAnsi="Times New Roman" w:cs="Times New Roman"/>
        </w:rPr>
        <w:t>a prohlubovat jejich dovednosti (</w:t>
      </w:r>
      <w:r w:rsidR="007634F1">
        <w:rPr>
          <w:rFonts w:ascii="Times New Roman" w:hAnsi="Times New Roman" w:cs="Times New Roman"/>
        </w:rPr>
        <w:t>posiluje se tak</w:t>
      </w:r>
      <w:r w:rsidR="009116BE">
        <w:rPr>
          <w:rFonts w:ascii="Times New Roman" w:hAnsi="Times New Roman" w:cs="Times New Roman"/>
        </w:rPr>
        <w:t xml:space="preserve"> adaptabilita </w:t>
      </w:r>
      <w:r w:rsidR="00CA4B3B">
        <w:rPr>
          <w:rFonts w:ascii="Times New Roman" w:hAnsi="Times New Roman" w:cs="Times New Roman"/>
        </w:rPr>
        <w:t xml:space="preserve">a flexibilita </w:t>
      </w:r>
      <w:r w:rsidR="009116BE">
        <w:rPr>
          <w:rFonts w:ascii="Times New Roman" w:hAnsi="Times New Roman" w:cs="Times New Roman"/>
        </w:rPr>
        <w:t>zaměstnanců).</w:t>
      </w:r>
    </w:p>
    <w:p w14:paraId="12D0BFD7" w14:textId="5E604144" w:rsidR="003559A1" w:rsidRDefault="00030AA6" w:rsidP="00E94B9D">
      <w:pPr>
        <w:pStyle w:val="Odstavecseseznamem"/>
        <w:numPr>
          <w:ilvl w:val="0"/>
          <w:numId w:val="22"/>
        </w:numPr>
        <w:spacing w:before="120" w:line="360" w:lineRule="auto"/>
        <w:jc w:val="both"/>
        <w:rPr>
          <w:rFonts w:ascii="Times New Roman" w:hAnsi="Times New Roman" w:cs="Times New Roman"/>
        </w:rPr>
      </w:pPr>
      <w:r>
        <w:rPr>
          <w:rFonts w:ascii="Times New Roman" w:hAnsi="Times New Roman" w:cs="Times New Roman"/>
        </w:rPr>
        <w:t>Vzdělávání je významným nástr</w:t>
      </w:r>
      <w:r w:rsidR="00871823">
        <w:rPr>
          <w:rFonts w:ascii="Times New Roman" w:hAnsi="Times New Roman" w:cs="Times New Roman"/>
        </w:rPr>
        <w:t xml:space="preserve">ojem adaptace nových zaměstnanců, a to nejen na pracovní prostředí, ale také v oblasti sociální, tj. v oblasti vztahů a komunikace. Řada podniků má vytvořeny speciální adaptační programy, </w:t>
      </w:r>
      <w:r w:rsidR="00871823">
        <w:rPr>
          <w:rFonts w:ascii="Times New Roman" w:hAnsi="Times New Roman" w:cs="Times New Roman"/>
        </w:rPr>
        <w:lastRenderedPageBreak/>
        <w:t>jejichž cílem je, aby se nový zaměstnanec co nejrychleji v novém prostředí zorientoval a mohl podávat plnohodnotný pracovní výkon</w:t>
      </w:r>
      <w:r>
        <w:rPr>
          <w:rFonts w:ascii="Times New Roman" w:hAnsi="Times New Roman" w:cs="Times New Roman"/>
        </w:rPr>
        <w:t xml:space="preserve">. </w:t>
      </w:r>
    </w:p>
    <w:p w14:paraId="3A448D40" w14:textId="1722B1B9" w:rsidR="00427751" w:rsidRDefault="00427751" w:rsidP="00E94B9D">
      <w:pPr>
        <w:pStyle w:val="Odstavecseseznamem"/>
        <w:numPr>
          <w:ilvl w:val="0"/>
          <w:numId w:val="22"/>
        </w:numPr>
        <w:spacing w:before="120" w:line="360" w:lineRule="auto"/>
        <w:jc w:val="both"/>
        <w:rPr>
          <w:rFonts w:ascii="Times New Roman" w:hAnsi="Times New Roman" w:cs="Times New Roman"/>
        </w:rPr>
      </w:pPr>
      <w:r>
        <w:rPr>
          <w:rFonts w:ascii="Times New Roman" w:hAnsi="Times New Roman" w:cs="Times New Roman"/>
        </w:rPr>
        <w:t xml:space="preserve">Některé podniky nabízejí speciální programy pro absolventy vysokých škol (tzv. </w:t>
      </w:r>
      <w:proofErr w:type="spellStart"/>
      <w:r>
        <w:rPr>
          <w:rFonts w:ascii="Times New Roman" w:hAnsi="Times New Roman" w:cs="Times New Roman"/>
        </w:rPr>
        <w:t>trainee</w:t>
      </w:r>
      <w:proofErr w:type="spellEnd"/>
      <w:r>
        <w:rPr>
          <w:rFonts w:ascii="Times New Roman" w:hAnsi="Times New Roman" w:cs="Times New Roman"/>
        </w:rPr>
        <w:t xml:space="preserve"> programy). Těm, kteří uspějí, je nabídnut pracovní poměr a zajímavý kariérní růst (dobře propracované programy má např. Škoda Auto).</w:t>
      </w:r>
      <w:r w:rsidR="00871823">
        <w:rPr>
          <w:rFonts w:ascii="Times New Roman" w:hAnsi="Times New Roman" w:cs="Times New Roman"/>
        </w:rPr>
        <w:t xml:space="preserve"> Tyto programy jsou vhodným nástrojem objevování talentů.</w:t>
      </w:r>
    </w:p>
    <w:p w14:paraId="00C17728" w14:textId="524917E5" w:rsidR="00427751" w:rsidRDefault="009116BE" w:rsidP="00E94B9D">
      <w:pPr>
        <w:pStyle w:val="Odstavecseseznamem"/>
        <w:numPr>
          <w:ilvl w:val="0"/>
          <w:numId w:val="22"/>
        </w:numPr>
        <w:spacing w:before="120" w:line="360" w:lineRule="auto"/>
        <w:jc w:val="both"/>
        <w:rPr>
          <w:rFonts w:ascii="Times New Roman" w:hAnsi="Times New Roman" w:cs="Times New Roman"/>
        </w:rPr>
      </w:pPr>
      <w:r>
        <w:rPr>
          <w:rFonts w:ascii="Times New Roman" w:hAnsi="Times New Roman" w:cs="Times New Roman"/>
        </w:rPr>
        <w:t>Vzdělávání</w:t>
      </w:r>
      <w:r w:rsidR="00871823">
        <w:rPr>
          <w:rFonts w:ascii="Times New Roman" w:hAnsi="Times New Roman" w:cs="Times New Roman"/>
        </w:rPr>
        <w:t xml:space="preserve"> je účinným</w:t>
      </w:r>
      <w:r w:rsidR="00427751">
        <w:rPr>
          <w:rFonts w:ascii="Times New Roman" w:hAnsi="Times New Roman" w:cs="Times New Roman"/>
        </w:rPr>
        <w:t xml:space="preserve"> nástrojem motivace zaměstnanců, často bývá spojeno s mož</w:t>
      </w:r>
      <w:r>
        <w:rPr>
          <w:rFonts w:ascii="Times New Roman" w:hAnsi="Times New Roman" w:cs="Times New Roman"/>
        </w:rPr>
        <w:t>ností kariérního růstu;</w:t>
      </w:r>
      <w:r w:rsidR="00D43CEA">
        <w:rPr>
          <w:rFonts w:ascii="Times New Roman" w:hAnsi="Times New Roman" w:cs="Times New Roman"/>
        </w:rPr>
        <w:t xml:space="preserve"> </w:t>
      </w:r>
      <w:r>
        <w:rPr>
          <w:rFonts w:ascii="Times New Roman" w:hAnsi="Times New Roman" w:cs="Times New Roman"/>
        </w:rPr>
        <w:t xml:space="preserve">celkově </w:t>
      </w:r>
      <w:r w:rsidR="00D43CEA">
        <w:rPr>
          <w:rFonts w:ascii="Times New Roman" w:hAnsi="Times New Roman" w:cs="Times New Roman"/>
        </w:rPr>
        <w:t>podporuje</w:t>
      </w:r>
      <w:r>
        <w:rPr>
          <w:rFonts w:ascii="Times New Roman" w:hAnsi="Times New Roman" w:cs="Times New Roman"/>
        </w:rPr>
        <w:t xml:space="preserve"> jejich stabilitu</w:t>
      </w:r>
      <w:r w:rsidR="00D43CEA">
        <w:rPr>
          <w:rFonts w:ascii="Times New Roman" w:hAnsi="Times New Roman" w:cs="Times New Roman"/>
        </w:rPr>
        <w:t xml:space="preserve">. Důležitou oblastí rozvoje zaměstnanců je práce s talenty (talent management) a řízené následnictví. </w:t>
      </w:r>
    </w:p>
    <w:p w14:paraId="2ED878F1" w14:textId="59269829" w:rsidR="00D43CEA" w:rsidRPr="0031742B" w:rsidRDefault="00FA2076" w:rsidP="0031742B">
      <w:pPr>
        <w:spacing w:before="120" w:line="360" w:lineRule="auto"/>
        <w:jc w:val="both"/>
        <w:rPr>
          <w:rFonts w:ascii="Times New Roman" w:hAnsi="Times New Roman" w:cs="Times New Roman"/>
        </w:rPr>
      </w:pPr>
      <w:r w:rsidRPr="00CA00BC">
        <w:rPr>
          <w:rFonts w:ascii="Times New Roman" w:hAnsi="Times New Roman" w:cs="Times New Roman"/>
          <w:b/>
        </w:rPr>
        <w:t>Oblast vzdělávání a rozvoje přispívá k vytvoření požadované struktury zaměstnanců</w:t>
      </w:r>
      <w:r w:rsidR="007634F1" w:rsidRPr="00CA00BC">
        <w:rPr>
          <w:rFonts w:ascii="Times New Roman" w:hAnsi="Times New Roman" w:cs="Times New Roman"/>
          <w:b/>
        </w:rPr>
        <w:t xml:space="preserve"> z hlediska</w:t>
      </w:r>
      <w:r w:rsidR="003723E0" w:rsidRPr="00CA00BC">
        <w:rPr>
          <w:rFonts w:ascii="Times New Roman" w:hAnsi="Times New Roman" w:cs="Times New Roman"/>
          <w:b/>
        </w:rPr>
        <w:t xml:space="preserve"> jejich </w:t>
      </w:r>
      <w:r w:rsidR="007634F1" w:rsidRPr="00CA00BC">
        <w:rPr>
          <w:rFonts w:ascii="Times New Roman" w:hAnsi="Times New Roman" w:cs="Times New Roman"/>
          <w:b/>
        </w:rPr>
        <w:t>kompetencí (znalostí a</w:t>
      </w:r>
      <w:r w:rsidR="003723E0" w:rsidRPr="00CA00BC">
        <w:rPr>
          <w:rFonts w:ascii="Times New Roman" w:hAnsi="Times New Roman" w:cs="Times New Roman"/>
          <w:b/>
        </w:rPr>
        <w:t xml:space="preserve"> dovedností),</w:t>
      </w:r>
      <w:r w:rsidR="007634F1" w:rsidRPr="00CA00BC">
        <w:rPr>
          <w:rFonts w:ascii="Times New Roman" w:hAnsi="Times New Roman" w:cs="Times New Roman"/>
          <w:b/>
        </w:rPr>
        <w:t xml:space="preserve"> kt</w:t>
      </w:r>
      <w:r w:rsidR="003723E0" w:rsidRPr="00CA00BC">
        <w:rPr>
          <w:rFonts w:ascii="Times New Roman" w:hAnsi="Times New Roman" w:cs="Times New Roman"/>
          <w:b/>
        </w:rPr>
        <w:t>erou podnik potřebuje, aby mohl plnit stanovené úkoly.</w:t>
      </w:r>
      <w:r w:rsidR="003723E0">
        <w:rPr>
          <w:rFonts w:ascii="Times New Roman" w:hAnsi="Times New Roman" w:cs="Times New Roman"/>
        </w:rPr>
        <w:t xml:space="preserve"> Vzdělaný a dobře motivovaný (tedy spokojený) zaměstnanec je nástrojem </w:t>
      </w:r>
      <w:r w:rsidR="0031742B">
        <w:rPr>
          <w:rFonts w:ascii="Times New Roman" w:hAnsi="Times New Roman" w:cs="Times New Roman"/>
        </w:rPr>
        <w:t xml:space="preserve">posílení </w:t>
      </w:r>
      <w:r w:rsidR="00871823">
        <w:rPr>
          <w:rFonts w:ascii="Times New Roman" w:hAnsi="Times New Roman" w:cs="Times New Roman"/>
        </w:rPr>
        <w:t xml:space="preserve">celkové </w:t>
      </w:r>
      <w:r w:rsidR="003723E0">
        <w:rPr>
          <w:rFonts w:ascii="Times New Roman" w:hAnsi="Times New Roman" w:cs="Times New Roman"/>
        </w:rPr>
        <w:t xml:space="preserve">konkurenceschopnosti podniku. </w:t>
      </w:r>
    </w:p>
    <w:p w14:paraId="38A85348" w14:textId="2C8FCAB2" w:rsidR="00871823" w:rsidRDefault="00871823" w:rsidP="00871823">
      <w:pPr>
        <w:pStyle w:val="Nadpis3"/>
      </w:pPr>
      <w:bookmarkStart w:id="32" w:name="_Toc398662598"/>
      <w:r>
        <w:t>2.4.1 Odborné vzdělávání versus rozvoj</w:t>
      </w:r>
      <w:bookmarkEnd w:id="32"/>
    </w:p>
    <w:p w14:paraId="02D29B5C" w14:textId="51A3529D" w:rsidR="00A96283" w:rsidRPr="0031742B" w:rsidRDefault="0031742B" w:rsidP="00871823">
      <w:pPr>
        <w:spacing w:before="120" w:line="360" w:lineRule="auto"/>
        <w:jc w:val="both"/>
        <w:rPr>
          <w:rFonts w:ascii="Times New Roman" w:hAnsi="Times New Roman" w:cs="Times New Roman"/>
        </w:rPr>
      </w:pPr>
      <w:r>
        <w:rPr>
          <w:rFonts w:ascii="Times New Roman" w:hAnsi="Times New Roman" w:cs="Times New Roman"/>
        </w:rPr>
        <w:t>Pro upřesnění je vhodné zmínit, že v</w:t>
      </w:r>
      <w:r w:rsidR="00030AA6">
        <w:rPr>
          <w:rFonts w:ascii="Times New Roman" w:hAnsi="Times New Roman" w:cs="Times New Roman"/>
        </w:rPr>
        <w:t> podnikové praxi se rozlišují dva pojmy, a to vzdělávání a rozvoj zaměstnanců. Jaký je mezi nimi rozdíl?</w:t>
      </w:r>
      <w:r w:rsidR="003723E0">
        <w:rPr>
          <w:rFonts w:ascii="Times New Roman" w:hAnsi="Times New Roman" w:cs="Times New Roman"/>
        </w:rPr>
        <w:t xml:space="preserve"> </w:t>
      </w:r>
    </w:p>
    <w:p w14:paraId="11A007C0" w14:textId="31C08A87" w:rsidR="00894B61" w:rsidRDefault="0031742B" w:rsidP="005230C6">
      <w:pPr>
        <w:spacing w:before="120" w:line="360" w:lineRule="auto"/>
        <w:jc w:val="both"/>
        <w:rPr>
          <w:rFonts w:ascii="Times New Roman" w:hAnsi="Times New Roman" w:cs="Times New Roman"/>
        </w:rPr>
      </w:pPr>
      <w:r w:rsidRPr="00871823">
        <w:rPr>
          <w:rFonts w:ascii="Times New Roman" w:hAnsi="Times New Roman" w:cs="Times New Roman"/>
          <w:b/>
        </w:rPr>
        <w:t>Odborné</w:t>
      </w:r>
      <w:r w:rsidR="008D740B" w:rsidRPr="00871823">
        <w:rPr>
          <w:rFonts w:ascii="Times New Roman" w:hAnsi="Times New Roman" w:cs="Times New Roman"/>
          <w:b/>
        </w:rPr>
        <w:t xml:space="preserve"> vzdělávání</w:t>
      </w:r>
      <w:r w:rsidR="00894B61" w:rsidRPr="00871823">
        <w:rPr>
          <w:rFonts w:ascii="Times New Roman" w:hAnsi="Times New Roman" w:cs="Times New Roman"/>
          <w:b/>
        </w:rPr>
        <w:t xml:space="preserve"> </w:t>
      </w:r>
      <w:r w:rsidRPr="00871823">
        <w:rPr>
          <w:rFonts w:ascii="Times New Roman" w:hAnsi="Times New Roman" w:cs="Times New Roman"/>
          <w:b/>
        </w:rPr>
        <w:t>zaměstnanců</w:t>
      </w:r>
      <w:r>
        <w:rPr>
          <w:rFonts w:ascii="Times New Roman" w:hAnsi="Times New Roman" w:cs="Times New Roman"/>
        </w:rPr>
        <w:t xml:space="preserve"> je přímo spojeno s daným pracovním místem a jeho cílem je přizpůsobit stávající znalosti pracovníka novým poznatkům, popř. měnícím</w:t>
      </w:r>
      <w:r w:rsidR="00871823">
        <w:rPr>
          <w:rFonts w:ascii="Times New Roman" w:hAnsi="Times New Roman" w:cs="Times New Roman"/>
        </w:rPr>
        <w:t xml:space="preserve"> se požadavkům pracovního místa.</w:t>
      </w:r>
      <w:r>
        <w:rPr>
          <w:rFonts w:ascii="Times New Roman" w:hAnsi="Times New Roman" w:cs="Times New Roman"/>
        </w:rPr>
        <w:t xml:space="preserve"> </w:t>
      </w:r>
    </w:p>
    <w:p w14:paraId="428F29C5" w14:textId="079A2245" w:rsidR="00871823" w:rsidRDefault="00871823" w:rsidP="00871823">
      <w:pPr>
        <w:spacing w:before="120" w:line="360" w:lineRule="auto"/>
        <w:jc w:val="both"/>
        <w:rPr>
          <w:rFonts w:ascii="Times New Roman" w:hAnsi="Times New Roman" w:cs="Times New Roman"/>
        </w:rPr>
      </w:pPr>
      <w:r>
        <w:rPr>
          <w:rFonts w:ascii="Times New Roman" w:hAnsi="Times New Roman" w:cs="Times New Roman"/>
        </w:rPr>
        <w:t xml:space="preserve">Do oblasti vzdělávání patří </w:t>
      </w:r>
      <w:r w:rsidRPr="0008511B">
        <w:rPr>
          <w:rFonts w:ascii="Times New Roman" w:hAnsi="Times New Roman" w:cs="Times New Roman"/>
          <w:i/>
        </w:rPr>
        <w:t>adaptační programy, doškolování</w:t>
      </w:r>
      <w:r w:rsidR="00C53DA4">
        <w:rPr>
          <w:rFonts w:ascii="Times New Roman" w:hAnsi="Times New Roman" w:cs="Times New Roman"/>
        </w:rPr>
        <w:t xml:space="preserve"> (tj. prohlubování </w:t>
      </w:r>
      <w:r>
        <w:rPr>
          <w:rFonts w:ascii="Times New Roman" w:hAnsi="Times New Roman" w:cs="Times New Roman"/>
        </w:rPr>
        <w:t>stávající kvalifikace, „aktualizace“ poznatků – např. nové technologické postupy,</w:t>
      </w:r>
      <w:r w:rsidR="0008511B">
        <w:rPr>
          <w:rFonts w:ascii="Times New Roman" w:hAnsi="Times New Roman" w:cs="Times New Roman"/>
        </w:rPr>
        <w:t xml:space="preserve"> vědecké objevy, metody řízení) nebo </w:t>
      </w:r>
      <w:r w:rsidR="0008511B">
        <w:rPr>
          <w:rFonts w:ascii="Times New Roman" w:hAnsi="Times New Roman" w:cs="Times New Roman"/>
          <w:i/>
        </w:rPr>
        <w:t xml:space="preserve">přeškolování </w:t>
      </w:r>
      <w:r w:rsidR="0008511B">
        <w:rPr>
          <w:rFonts w:ascii="Times New Roman" w:hAnsi="Times New Roman" w:cs="Times New Roman"/>
        </w:rPr>
        <w:t>(</w:t>
      </w:r>
      <w:r w:rsidR="0008511B">
        <w:rPr>
          <w:rFonts w:ascii="Times New Roman" w:hAnsi="Times New Roman" w:cs="Times New Roman"/>
          <w:i/>
        </w:rPr>
        <w:t>rekvalifikace</w:t>
      </w:r>
      <w:r w:rsidR="0008511B">
        <w:rPr>
          <w:rFonts w:ascii="Times New Roman" w:hAnsi="Times New Roman" w:cs="Times New Roman"/>
        </w:rPr>
        <w:t>), tj. získání</w:t>
      </w:r>
      <w:r>
        <w:rPr>
          <w:rFonts w:ascii="Times New Roman" w:hAnsi="Times New Roman" w:cs="Times New Roman"/>
        </w:rPr>
        <w:t xml:space="preserve"> </w:t>
      </w:r>
      <w:r w:rsidR="0008511B">
        <w:rPr>
          <w:rFonts w:ascii="Times New Roman" w:hAnsi="Times New Roman" w:cs="Times New Roman"/>
        </w:rPr>
        <w:t>nových znalostí a dovedností, spojených s jiným pracovním místem.</w:t>
      </w:r>
    </w:p>
    <w:p w14:paraId="2148D9A7" w14:textId="70030132" w:rsidR="00A96283" w:rsidRDefault="0008511B" w:rsidP="0008511B">
      <w:pPr>
        <w:spacing w:before="120" w:line="360" w:lineRule="auto"/>
        <w:jc w:val="both"/>
        <w:rPr>
          <w:rFonts w:ascii="Times New Roman" w:hAnsi="Times New Roman" w:cs="Times New Roman"/>
        </w:rPr>
      </w:pPr>
      <w:r>
        <w:rPr>
          <w:rFonts w:ascii="Times New Roman" w:hAnsi="Times New Roman" w:cs="Times New Roman"/>
          <w:b/>
        </w:rPr>
        <w:t xml:space="preserve">Rozvoj zaměstnanců </w:t>
      </w:r>
      <w:r w:rsidR="00C53DA4" w:rsidRPr="00C53DA4">
        <w:rPr>
          <w:rFonts w:ascii="Times New Roman" w:hAnsi="Times New Roman" w:cs="Times New Roman"/>
        </w:rPr>
        <w:t>zahrnuje</w:t>
      </w:r>
      <w:r w:rsidR="00C53DA4">
        <w:rPr>
          <w:rFonts w:ascii="Times New Roman" w:hAnsi="Times New Roman" w:cs="Times New Roman"/>
        </w:rPr>
        <w:t xml:space="preserve"> další vzdělávání a podstatné rozšiřování stáva</w:t>
      </w:r>
      <w:r w:rsidR="00A7576D">
        <w:rPr>
          <w:rFonts w:ascii="Times New Roman" w:hAnsi="Times New Roman" w:cs="Times New Roman"/>
        </w:rPr>
        <w:t>jící kvalifikace. Je orientován</w:t>
      </w:r>
      <w:r w:rsidR="00C53DA4">
        <w:rPr>
          <w:rFonts w:ascii="Times New Roman" w:hAnsi="Times New Roman" w:cs="Times New Roman"/>
        </w:rPr>
        <w:t xml:space="preserve"> na získání znalostí a dovedností, které nejsou nezbytně nutné k vykonávání současné práce v podniku, na pochopení a zvládnutí komplexních problémů (často překraču</w:t>
      </w:r>
      <w:r w:rsidR="00A7576D">
        <w:rPr>
          <w:rFonts w:ascii="Times New Roman" w:hAnsi="Times New Roman" w:cs="Times New Roman"/>
        </w:rPr>
        <w:t>jících hranice jednoho oboru). Z velké části je zaměřen na rozvoj sociálních dovedností a formování osobnosti jedince (komunikace, schopnost odolávat stresovým situacím, vést lidi apod.). Rozvoj je více orientován na budoucnost zaměstnance, jeho kariéru; formuje spíše pra</w:t>
      </w:r>
      <w:r w:rsidR="00F22BDC">
        <w:rPr>
          <w:rFonts w:ascii="Times New Roman" w:hAnsi="Times New Roman" w:cs="Times New Roman"/>
        </w:rPr>
        <w:t xml:space="preserve">covní potenciál než </w:t>
      </w:r>
      <w:r w:rsidR="00F22BDC">
        <w:rPr>
          <w:rFonts w:ascii="Times New Roman" w:hAnsi="Times New Roman" w:cs="Times New Roman"/>
        </w:rPr>
        <w:lastRenderedPageBreak/>
        <w:t xml:space="preserve">kvalifikaci. Do rozvoje zaměstnanců patří například práce s talenty a systematická příprava </w:t>
      </w:r>
      <w:r w:rsidR="00CA00BC">
        <w:rPr>
          <w:rFonts w:ascii="Times New Roman" w:hAnsi="Times New Roman" w:cs="Times New Roman"/>
        </w:rPr>
        <w:t>nástupníků v pro klíčové manažerské</w:t>
      </w:r>
      <w:r w:rsidR="00F22BDC">
        <w:rPr>
          <w:rFonts w:ascii="Times New Roman" w:hAnsi="Times New Roman" w:cs="Times New Roman"/>
        </w:rPr>
        <w:t xml:space="preserve"> pozice.</w:t>
      </w:r>
    </w:p>
    <w:p w14:paraId="3352C418" w14:textId="32820192" w:rsidR="00A7576D" w:rsidRDefault="0061131B" w:rsidP="0061131B">
      <w:pPr>
        <w:pStyle w:val="Nadpis3"/>
      </w:pPr>
      <w:bookmarkStart w:id="33" w:name="_Toc398662599"/>
      <w:r>
        <w:t>2.4.2 Systematick</w:t>
      </w:r>
      <w:r w:rsidR="00F22BDC">
        <w:t>é vzdělávání a rozvoj zaměstnanců</w:t>
      </w:r>
      <w:bookmarkEnd w:id="33"/>
    </w:p>
    <w:p w14:paraId="39BFF882" w14:textId="070BAD08" w:rsidR="00D84C37" w:rsidRDefault="00F22BDC" w:rsidP="0008511B">
      <w:pPr>
        <w:spacing w:before="120" w:line="360" w:lineRule="auto"/>
        <w:jc w:val="both"/>
        <w:rPr>
          <w:rFonts w:ascii="Times New Roman" w:hAnsi="Times New Roman" w:cs="Times New Roman"/>
        </w:rPr>
      </w:pPr>
      <w:r>
        <w:rPr>
          <w:rFonts w:ascii="Times New Roman" w:hAnsi="Times New Roman" w:cs="Times New Roman"/>
        </w:rPr>
        <w:t>Hlavním faktorem, který ovlivňuje vzdělávání zaměstna</w:t>
      </w:r>
      <w:r w:rsidR="00D84C37">
        <w:rPr>
          <w:rFonts w:ascii="Times New Roman" w:hAnsi="Times New Roman" w:cs="Times New Roman"/>
        </w:rPr>
        <w:t>nců v podniku, je jeho velikost.</w:t>
      </w:r>
      <w:r w:rsidR="00FA7C4B">
        <w:rPr>
          <w:rFonts w:ascii="Times New Roman" w:hAnsi="Times New Roman" w:cs="Times New Roman"/>
        </w:rPr>
        <w:t xml:space="preserve"> </w:t>
      </w:r>
      <w:r>
        <w:rPr>
          <w:rFonts w:ascii="Times New Roman" w:hAnsi="Times New Roman" w:cs="Times New Roman"/>
        </w:rPr>
        <w:t>V </w:t>
      </w:r>
      <w:r w:rsidRPr="00F22BDC">
        <w:rPr>
          <w:rFonts w:ascii="Times New Roman" w:hAnsi="Times New Roman" w:cs="Times New Roman"/>
          <w:i/>
        </w:rPr>
        <w:t>malých firmách</w:t>
      </w:r>
      <w:r>
        <w:rPr>
          <w:rFonts w:ascii="Times New Roman" w:hAnsi="Times New Roman" w:cs="Times New Roman"/>
        </w:rPr>
        <w:t xml:space="preserve"> </w:t>
      </w:r>
      <w:r w:rsidR="000F6BF2">
        <w:rPr>
          <w:rFonts w:ascii="Times New Roman" w:hAnsi="Times New Roman" w:cs="Times New Roman"/>
        </w:rPr>
        <w:t xml:space="preserve">(do 49 zaměstnanců) </w:t>
      </w:r>
      <w:r>
        <w:rPr>
          <w:rFonts w:ascii="Times New Roman" w:hAnsi="Times New Roman" w:cs="Times New Roman"/>
        </w:rPr>
        <w:t>převažuje zapracování či doškolování zaměstnanců; rekvalifikace probíhají zcela ojediněle, protože jsou časově i finančně velice náročné. Řídící pracovníci a vysoce kvalifikovaní zaměstnanci se – často z vlastní iniciativy – účastní také speciálních vzdělávacích a rozvojových programů</w:t>
      </w:r>
      <w:r w:rsidR="00CA00BC">
        <w:rPr>
          <w:rFonts w:ascii="Times New Roman" w:hAnsi="Times New Roman" w:cs="Times New Roman"/>
        </w:rPr>
        <w:t>, které nabízejí vzdělávací agentury</w:t>
      </w:r>
      <w:r>
        <w:rPr>
          <w:rFonts w:ascii="Times New Roman" w:hAnsi="Times New Roman" w:cs="Times New Roman"/>
        </w:rPr>
        <w:t xml:space="preserve">. Ve </w:t>
      </w:r>
      <w:r>
        <w:rPr>
          <w:rFonts w:ascii="Times New Roman" w:hAnsi="Times New Roman" w:cs="Times New Roman"/>
          <w:i/>
        </w:rPr>
        <w:t>středně velkých podnicích</w:t>
      </w:r>
      <w:r w:rsidR="000F6BF2">
        <w:rPr>
          <w:rFonts w:ascii="Times New Roman" w:hAnsi="Times New Roman" w:cs="Times New Roman"/>
          <w:i/>
        </w:rPr>
        <w:t xml:space="preserve"> </w:t>
      </w:r>
      <w:r w:rsidR="000F6BF2">
        <w:rPr>
          <w:rFonts w:ascii="Times New Roman" w:hAnsi="Times New Roman" w:cs="Times New Roman"/>
        </w:rPr>
        <w:t>(do 249 zaměstnanců) hodně záleží na podílu kvalifikované práce. Firmy orientované na náročnou práci a služby s vysokou přidanou hodnotou</w:t>
      </w:r>
      <w:r w:rsidR="000F0A1D">
        <w:rPr>
          <w:rFonts w:ascii="Times New Roman" w:hAnsi="Times New Roman" w:cs="Times New Roman"/>
        </w:rPr>
        <w:t>, tedy s vysokým podílem intelektuální práce,</w:t>
      </w:r>
      <w:r w:rsidR="000F6BF2">
        <w:rPr>
          <w:rFonts w:ascii="Times New Roman" w:hAnsi="Times New Roman" w:cs="Times New Roman"/>
        </w:rPr>
        <w:t xml:space="preserve"> často přebírají modely vzdělávání </w:t>
      </w:r>
      <w:r w:rsidR="004554F4">
        <w:rPr>
          <w:rFonts w:ascii="Times New Roman" w:hAnsi="Times New Roman" w:cs="Times New Roman"/>
        </w:rPr>
        <w:t xml:space="preserve">aplikované ve velkých podnicích. </w:t>
      </w:r>
    </w:p>
    <w:p w14:paraId="22149669" w14:textId="0CB82116" w:rsidR="00D84C37" w:rsidRPr="00D84C37" w:rsidRDefault="00D84C37" w:rsidP="0008511B">
      <w:pPr>
        <w:spacing w:before="120" w:line="360" w:lineRule="auto"/>
        <w:jc w:val="both"/>
        <w:rPr>
          <w:rFonts w:ascii="Times New Roman" w:hAnsi="Times New Roman" w:cs="Times New Roman"/>
          <w:b/>
          <w:sz w:val="22"/>
          <w:szCs w:val="22"/>
        </w:rPr>
      </w:pPr>
      <w:r>
        <w:rPr>
          <w:rFonts w:ascii="Times New Roman" w:hAnsi="Times New Roman" w:cs="Times New Roman"/>
          <w:sz w:val="22"/>
          <w:szCs w:val="22"/>
        </w:rPr>
        <w:t xml:space="preserve">Obrázek 2.13 </w:t>
      </w:r>
      <w:r>
        <w:rPr>
          <w:rFonts w:ascii="Times New Roman" w:hAnsi="Times New Roman" w:cs="Times New Roman"/>
          <w:b/>
          <w:sz w:val="22"/>
          <w:szCs w:val="22"/>
        </w:rPr>
        <w:t>Cyklus rozvoje lidských zdrojů</w:t>
      </w:r>
    </w:p>
    <w:p w14:paraId="5CD92FDD" w14:textId="60A42D32" w:rsidR="00D84C37" w:rsidRDefault="00D84C37" w:rsidP="00D84C37">
      <w:pPr>
        <w:spacing w:before="120" w:line="360" w:lineRule="auto"/>
        <w:jc w:val="center"/>
        <w:rPr>
          <w:rFonts w:ascii="Times New Roman" w:hAnsi="Times New Roman" w:cs="Times New Roman"/>
        </w:rPr>
      </w:pPr>
      <w:r w:rsidRPr="00D84C37">
        <w:rPr>
          <w:rFonts w:ascii="Times New Roman" w:hAnsi="Times New Roman" w:cs="Times New Roman"/>
          <w:noProof/>
          <w:lang w:val="en-US"/>
        </w:rPr>
        <w:drawing>
          <wp:inline distT="0" distB="0" distL="0" distR="0" wp14:anchorId="1566CFA7" wp14:editId="0E670AC3">
            <wp:extent cx="4752253" cy="3500967"/>
            <wp:effectExtent l="0" t="0" r="0" b="444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4" cstate="print"/>
                    <a:srcRect/>
                    <a:stretch>
                      <a:fillRect/>
                    </a:stretch>
                  </pic:blipFill>
                  <pic:spPr bwMode="auto">
                    <a:xfrm>
                      <a:off x="0" y="0"/>
                      <a:ext cx="4752580" cy="3501208"/>
                    </a:xfrm>
                    <a:prstGeom prst="rect">
                      <a:avLst/>
                    </a:prstGeom>
                    <a:noFill/>
                    <a:ln w="9525">
                      <a:noFill/>
                      <a:miter lim="800000"/>
                      <a:headEnd/>
                      <a:tailEnd/>
                    </a:ln>
                  </pic:spPr>
                </pic:pic>
              </a:graphicData>
            </a:graphic>
          </wp:inline>
        </w:drawing>
      </w:r>
    </w:p>
    <w:p w14:paraId="130E1252" w14:textId="1BFAD6D0" w:rsidR="00D84C37" w:rsidRPr="00CA00BC" w:rsidRDefault="00D84C37" w:rsidP="00D84C37">
      <w:pPr>
        <w:spacing w:before="120"/>
        <w:jc w:val="both"/>
        <w:rPr>
          <w:rFonts w:ascii="Times New Roman" w:hAnsi="Times New Roman" w:cs="Times New Roman"/>
          <w:i/>
          <w:sz w:val="22"/>
          <w:szCs w:val="22"/>
        </w:rPr>
      </w:pPr>
      <w:r w:rsidRPr="00CA00BC">
        <w:rPr>
          <w:rFonts w:ascii="Times New Roman" w:hAnsi="Times New Roman" w:cs="Times New Roman"/>
          <w:i/>
          <w:sz w:val="22"/>
          <w:szCs w:val="22"/>
        </w:rPr>
        <w:t>Zdroj: Dvořáková a kol. (2012, s.</w:t>
      </w:r>
      <w:r w:rsidR="00E94B9D" w:rsidRPr="00CA00BC">
        <w:rPr>
          <w:rFonts w:ascii="Times New Roman" w:hAnsi="Times New Roman" w:cs="Times New Roman"/>
          <w:i/>
          <w:sz w:val="22"/>
          <w:szCs w:val="22"/>
        </w:rPr>
        <w:t xml:space="preserve"> 285).</w:t>
      </w:r>
    </w:p>
    <w:p w14:paraId="57939E82" w14:textId="7D7CC079" w:rsidR="004554F4" w:rsidRDefault="004554F4" w:rsidP="00E94B9D">
      <w:pPr>
        <w:spacing w:before="240" w:line="360" w:lineRule="auto"/>
        <w:jc w:val="both"/>
        <w:rPr>
          <w:rFonts w:ascii="Times New Roman" w:hAnsi="Times New Roman" w:cs="Times New Roman"/>
        </w:rPr>
      </w:pPr>
      <w:r>
        <w:rPr>
          <w:rFonts w:ascii="Times New Roman" w:hAnsi="Times New Roman" w:cs="Times New Roman"/>
        </w:rPr>
        <w:t>Zejména pro</w:t>
      </w:r>
      <w:r>
        <w:rPr>
          <w:rFonts w:ascii="Times New Roman" w:hAnsi="Times New Roman" w:cs="Times New Roman"/>
          <w:i/>
        </w:rPr>
        <w:t xml:space="preserve"> velké podniky </w:t>
      </w:r>
      <w:r>
        <w:rPr>
          <w:rFonts w:ascii="Times New Roman" w:hAnsi="Times New Roman" w:cs="Times New Roman"/>
        </w:rPr>
        <w:t xml:space="preserve">(od 250 zaměstnanců) je charakteristické </w:t>
      </w:r>
      <w:r>
        <w:rPr>
          <w:rFonts w:ascii="Times New Roman" w:hAnsi="Times New Roman" w:cs="Times New Roman"/>
          <w:b/>
        </w:rPr>
        <w:t xml:space="preserve">systematické </w:t>
      </w:r>
      <w:r w:rsidRPr="004554F4">
        <w:rPr>
          <w:rFonts w:ascii="Times New Roman" w:hAnsi="Times New Roman" w:cs="Times New Roman"/>
          <w:b/>
        </w:rPr>
        <w:t>vzdělávání a rozvoj</w:t>
      </w:r>
      <w:r>
        <w:rPr>
          <w:rFonts w:ascii="Times New Roman" w:hAnsi="Times New Roman" w:cs="Times New Roman"/>
        </w:rPr>
        <w:t xml:space="preserve"> </w:t>
      </w:r>
      <w:r w:rsidRPr="004554F4">
        <w:rPr>
          <w:rFonts w:ascii="Times New Roman" w:hAnsi="Times New Roman" w:cs="Times New Roman"/>
          <w:b/>
        </w:rPr>
        <w:t>zaměstnanců</w:t>
      </w:r>
      <w:r w:rsidRPr="004554F4">
        <w:rPr>
          <w:rFonts w:ascii="Times New Roman" w:hAnsi="Times New Roman" w:cs="Times New Roman"/>
        </w:rPr>
        <w:t>.</w:t>
      </w:r>
      <w:r w:rsidR="000F6BF2" w:rsidRPr="004554F4">
        <w:rPr>
          <w:rFonts w:ascii="Times New Roman" w:hAnsi="Times New Roman" w:cs="Times New Roman"/>
        </w:rPr>
        <w:t xml:space="preserve"> </w:t>
      </w:r>
      <w:r w:rsidR="000F0A1D">
        <w:rPr>
          <w:rFonts w:ascii="Times New Roman" w:hAnsi="Times New Roman" w:cs="Times New Roman"/>
        </w:rPr>
        <w:t xml:space="preserve"> </w:t>
      </w:r>
      <w:r>
        <w:rPr>
          <w:rFonts w:ascii="Times New Roman" w:hAnsi="Times New Roman" w:cs="Times New Roman"/>
        </w:rPr>
        <w:t xml:space="preserve">Jedná se o </w:t>
      </w:r>
      <w:r w:rsidRPr="004554F4">
        <w:rPr>
          <w:rFonts w:ascii="Times New Roman" w:hAnsi="Times New Roman" w:cs="Times New Roman"/>
          <w:b/>
        </w:rPr>
        <w:t xml:space="preserve">strategické řízení rozvoje lidských </w:t>
      </w:r>
      <w:r w:rsidRPr="004554F4">
        <w:rPr>
          <w:rFonts w:ascii="Times New Roman" w:hAnsi="Times New Roman" w:cs="Times New Roman"/>
          <w:b/>
        </w:rPr>
        <w:lastRenderedPageBreak/>
        <w:t>zdrojů</w:t>
      </w:r>
      <w:r>
        <w:rPr>
          <w:rFonts w:ascii="Times New Roman" w:hAnsi="Times New Roman" w:cs="Times New Roman"/>
        </w:rPr>
        <w:t>, tj. proces nepřetržitě se opakujícího cyklu, který má čtyři fáze</w:t>
      </w:r>
      <w:r w:rsidR="00CA00BC">
        <w:rPr>
          <w:rFonts w:ascii="Times New Roman" w:hAnsi="Times New Roman" w:cs="Times New Roman"/>
        </w:rPr>
        <w:t xml:space="preserve"> (viz Obrázek</w:t>
      </w:r>
      <w:r w:rsidR="00E94B9D">
        <w:rPr>
          <w:rFonts w:ascii="Times New Roman" w:hAnsi="Times New Roman" w:cs="Times New Roman"/>
        </w:rPr>
        <w:t xml:space="preserve"> 2.13)</w:t>
      </w:r>
      <w:r>
        <w:rPr>
          <w:rFonts w:ascii="Times New Roman" w:hAnsi="Times New Roman" w:cs="Times New Roman"/>
        </w:rPr>
        <w:t>:</w:t>
      </w:r>
    </w:p>
    <w:p w14:paraId="665D65CA" w14:textId="586AA7AA" w:rsidR="004554F4" w:rsidRDefault="00D84C37" w:rsidP="00E94B9D">
      <w:pPr>
        <w:pStyle w:val="Odstavecseseznamem"/>
        <w:numPr>
          <w:ilvl w:val="0"/>
          <w:numId w:val="23"/>
        </w:numPr>
        <w:spacing w:before="120" w:line="360" w:lineRule="auto"/>
        <w:jc w:val="both"/>
        <w:rPr>
          <w:rFonts w:ascii="Times New Roman" w:hAnsi="Times New Roman" w:cs="Times New Roman"/>
        </w:rPr>
      </w:pPr>
      <w:r>
        <w:rPr>
          <w:rFonts w:ascii="Times New Roman" w:hAnsi="Times New Roman" w:cs="Times New Roman"/>
        </w:rPr>
        <w:t>rozpoznání potřeby vzdělávání – kdo bude vzděláván (popř. které skupiny pracovníků), s jakým cílem,</w:t>
      </w:r>
    </w:p>
    <w:p w14:paraId="2F51D6D4" w14:textId="6AD46077" w:rsidR="00D84C37" w:rsidRDefault="00D84C37" w:rsidP="00E94B9D">
      <w:pPr>
        <w:pStyle w:val="Odstavecseseznamem"/>
        <w:numPr>
          <w:ilvl w:val="0"/>
          <w:numId w:val="23"/>
        </w:numPr>
        <w:spacing w:before="120" w:line="360" w:lineRule="auto"/>
        <w:jc w:val="both"/>
        <w:rPr>
          <w:rFonts w:ascii="Times New Roman" w:hAnsi="Times New Roman" w:cs="Times New Roman"/>
        </w:rPr>
      </w:pPr>
      <w:r>
        <w:rPr>
          <w:rFonts w:ascii="Times New Roman" w:hAnsi="Times New Roman" w:cs="Times New Roman"/>
        </w:rPr>
        <w:t>plánování vzdělávání – kdo bude vzdělávání zajišťovat (podnik vlastními silami nebo vzdělávací společnost, externí lektor atd.), kdy a kde se uskuteční,</w:t>
      </w:r>
    </w:p>
    <w:p w14:paraId="3C535E3D" w14:textId="3F8DBD36" w:rsidR="00D84C37" w:rsidRDefault="00D84C37" w:rsidP="00E94B9D">
      <w:pPr>
        <w:pStyle w:val="Odstavecseseznamem"/>
        <w:numPr>
          <w:ilvl w:val="0"/>
          <w:numId w:val="23"/>
        </w:numPr>
        <w:spacing w:before="120" w:line="360" w:lineRule="auto"/>
        <w:jc w:val="both"/>
        <w:rPr>
          <w:rFonts w:ascii="Times New Roman" w:hAnsi="Times New Roman" w:cs="Times New Roman"/>
        </w:rPr>
      </w:pPr>
      <w:r>
        <w:rPr>
          <w:rFonts w:ascii="Times New Roman" w:hAnsi="Times New Roman" w:cs="Times New Roman"/>
        </w:rPr>
        <w:t>realizace vzdělávacího procesu,</w:t>
      </w:r>
    </w:p>
    <w:p w14:paraId="3BA088C6" w14:textId="7FA90937" w:rsidR="00D84C37" w:rsidRPr="004554F4" w:rsidRDefault="00D84C37" w:rsidP="00E94B9D">
      <w:pPr>
        <w:pStyle w:val="Odstavecseseznamem"/>
        <w:numPr>
          <w:ilvl w:val="0"/>
          <w:numId w:val="23"/>
        </w:numPr>
        <w:spacing w:before="120" w:line="360" w:lineRule="auto"/>
        <w:jc w:val="both"/>
        <w:rPr>
          <w:rFonts w:ascii="Times New Roman" w:hAnsi="Times New Roman" w:cs="Times New Roman"/>
        </w:rPr>
      </w:pPr>
      <w:r>
        <w:rPr>
          <w:rFonts w:ascii="Times New Roman" w:hAnsi="Times New Roman" w:cs="Times New Roman"/>
        </w:rPr>
        <w:t>vyhodnocování výsledků vzdělávání a účinnosti vzdělávacích programů.</w:t>
      </w:r>
    </w:p>
    <w:p w14:paraId="22707592" w14:textId="37FF03E4" w:rsidR="00436303" w:rsidRDefault="00436303" w:rsidP="00436303">
      <w:pPr>
        <w:pStyle w:val="Bezmezer"/>
        <w:spacing w:before="120" w:line="360" w:lineRule="auto"/>
        <w:jc w:val="both"/>
        <w:rPr>
          <w:rFonts w:ascii="Times New Roman" w:hAnsi="Times New Roman" w:cs="Times New Roman"/>
        </w:rPr>
      </w:pPr>
      <w:r>
        <w:rPr>
          <w:rFonts w:ascii="Times New Roman" w:hAnsi="Times New Roman" w:cs="Times New Roman"/>
        </w:rPr>
        <w:t xml:space="preserve">Plánování vzdělávání a rozvoje zaměstnanců je poměrně složitý proces, který ovlivňuje řada vnitřních i vnějších faktorů – </w:t>
      </w:r>
      <w:r w:rsidR="004523D5">
        <w:rPr>
          <w:rFonts w:ascii="Times New Roman" w:hAnsi="Times New Roman" w:cs="Times New Roman"/>
        </w:rPr>
        <w:t xml:space="preserve">aktuální </w:t>
      </w:r>
      <w:r>
        <w:rPr>
          <w:rFonts w:ascii="Times New Roman" w:hAnsi="Times New Roman" w:cs="Times New Roman"/>
        </w:rPr>
        <w:t xml:space="preserve">situace na trhu práce, demografický vývoj, </w:t>
      </w:r>
      <w:r w:rsidR="004523D5">
        <w:rPr>
          <w:rFonts w:ascii="Times New Roman" w:hAnsi="Times New Roman" w:cs="Times New Roman"/>
        </w:rPr>
        <w:t xml:space="preserve">kondice podniku (rozvoj, stagnace, útlum), </w:t>
      </w:r>
      <w:r>
        <w:rPr>
          <w:rFonts w:ascii="Times New Roman" w:hAnsi="Times New Roman" w:cs="Times New Roman"/>
        </w:rPr>
        <w:t xml:space="preserve">objem finančních prostředků, které podnik na vzdělávání a rozvoj svých zaměstnanců </w:t>
      </w:r>
      <w:proofErr w:type="gramStart"/>
      <w:r>
        <w:rPr>
          <w:rFonts w:ascii="Times New Roman" w:hAnsi="Times New Roman" w:cs="Times New Roman"/>
        </w:rPr>
        <w:t>vyčlení</w:t>
      </w:r>
      <w:r w:rsidR="004523D5">
        <w:rPr>
          <w:rFonts w:ascii="Times New Roman" w:hAnsi="Times New Roman" w:cs="Times New Roman"/>
        </w:rPr>
        <w:t>,</w:t>
      </w:r>
      <w:proofErr w:type="gramEnd"/>
      <w:r w:rsidR="004523D5">
        <w:rPr>
          <w:rFonts w:ascii="Times New Roman" w:hAnsi="Times New Roman" w:cs="Times New Roman"/>
        </w:rPr>
        <w:t xml:space="preserve"> atd.</w:t>
      </w:r>
      <w:r>
        <w:rPr>
          <w:rFonts w:ascii="Times New Roman" w:hAnsi="Times New Roman" w:cs="Times New Roman"/>
        </w:rPr>
        <w:t xml:space="preserve"> </w:t>
      </w:r>
    </w:p>
    <w:p w14:paraId="4B2D97C1" w14:textId="7737B895" w:rsidR="00A428AF" w:rsidRDefault="00CA00BC" w:rsidP="00436303">
      <w:pPr>
        <w:pStyle w:val="Bezmezer"/>
        <w:spacing w:before="120" w:line="360" w:lineRule="auto"/>
        <w:jc w:val="both"/>
        <w:rPr>
          <w:rFonts w:asciiTheme="majorHAnsi" w:hAnsiTheme="majorHAnsi" w:cs="Times New Roman"/>
          <w:b/>
          <w:sz w:val="22"/>
          <w:szCs w:val="22"/>
        </w:rPr>
      </w:pPr>
      <w:r>
        <w:rPr>
          <w:rFonts w:asciiTheme="majorHAnsi" w:hAnsiTheme="majorHAnsi" w:cs="Times New Roman"/>
          <w:b/>
          <w:sz w:val="22"/>
          <w:szCs w:val="22"/>
        </w:rPr>
        <w:t>Pro informaci</w:t>
      </w:r>
    </w:p>
    <w:p w14:paraId="2F23A201" w14:textId="42DD4D6E" w:rsidR="00A428AF" w:rsidRDefault="00A428AF" w:rsidP="00A428AF">
      <w:pPr>
        <w:pStyle w:val="Bezmezer"/>
        <w:jc w:val="both"/>
        <w:rPr>
          <w:rFonts w:asciiTheme="majorHAnsi" w:hAnsiTheme="majorHAnsi" w:cs="Times New Roman"/>
          <w:sz w:val="22"/>
          <w:szCs w:val="22"/>
        </w:rPr>
      </w:pPr>
      <w:r>
        <w:rPr>
          <w:rFonts w:asciiTheme="majorHAnsi" w:hAnsiTheme="majorHAnsi" w:cs="Times New Roman"/>
          <w:sz w:val="22"/>
          <w:szCs w:val="22"/>
        </w:rPr>
        <w:t xml:space="preserve">Malé a střední podniky (MSP), tj. podniky do 249 zaměstnanců, představují v ČR 99,84 % všech podnikatelských subjektů. Zaměstnávají přes 1,8 mil. pracovníků (tj. celkem 59,1 % zaměstnanců podnikatelské sféry), na vývozu se podílejí 51 % a na dovozu 56 %. </w:t>
      </w:r>
      <w:r w:rsidR="00E325D1">
        <w:rPr>
          <w:rFonts w:asciiTheme="majorHAnsi" w:hAnsiTheme="majorHAnsi" w:cs="Times New Roman"/>
          <w:sz w:val="22"/>
          <w:szCs w:val="22"/>
        </w:rPr>
        <w:t>K tvorbě HDP přispívají 40 % (v EU se MSP podílejí na HDP 58 %, zřejmě v důsledku vyšší produktivity práce dané lepší technologickou vybaveností).</w:t>
      </w:r>
    </w:p>
    <w:p w14:paraId="2FB1339A" w14:textId="4675C59F" w:rsidR="00CA00BC" w:rsidRPr="00A428AF" w:rsidRDefault="00CA00BC" w:rsidP="00CA00BC">
      <w:pPr>
        <w:pStyle w:val="Bezmezer"/>
        <w:jc w:val="right"/>
        <w:rPr>
          <w:rFonts w:asciiTheme="majorHAnsi" w:hAnsiTheme="majorHAnsi" w:cs="Times New Roman"/>
          <w:sz w:val="22"/>
          <w:szCs w:val="22"/>
        </w:rPr>
      </w:pPr>
      <w:r>
        <w:rPr>
          <w:rFonts w:asciiTheme="majorHAnsi" w:hAnsiTheme="majorHAnsi" w:cs="Times New Roman"/>
          <w:sz w:val="22"/>
          <w:szCs w:val="22"/>
        </w:rPr>
        <w:t>Zdroj: ČSÚ (2018).</w:t>
      </w:r>
    </w:p>
    <w:p w14:paraId="6666C914" w14:textId="6FECF02A" w:rsidR="00436303" w:rsidRDefault="004523D5" w:rsidP="004523D5">
      <w:pPr>
        <w:pStyle w:val="Nadpis3"/>
      </w:pPr>
      <w:bookmarkStart w:id="34" w:name="_Toc398662600"/>
      <w:r>
        <w:t>2.4.3 Metody podnikového vzdělávání a rozvoje</w:t>
      </w:r>
      <w:bookmarkEnd w:id="34"/>
    </w:p>
    <w:p w14:paraId="65F3DFC5" w14:textId="0844A70D" w:rsidR="004523D5" w:rsidRDefault="004523D5" w:rsidP="004523D5">
      <w:pPr>
        <w:pStyle w:val="Bezmezer"/>
        <w:spacing w:before="120" w:line="360" w:lineRule="auto"/>
        <w:jc w:val="both"/>
        <w:rPr>
          <w:rFonts w:ascii="Times New Roman" w:hAnsi="Times New Roman" w:cs="Times New Roman"/>
        </w:rPr>
      </w:pPr>
      <w:r>
        <w:rPr>
          <w:rFonts w:ascii="Times New Roman" w:hAnsi="Times New Roman" w:cs="Times New Roman"/>
        </w:rPr>
        <w:t>V rámci vzdělávání a rozvoje zaměstnanců se používá řada nejrůznějších metod. Úkolem personalistů je vybrat pro jednotlivé skupiny pracovníků (popř. pro jednotlivce) ty metody vzdělávání, které budou v daném případě nejvhodnější (nejúčinnější).</w:t>
      </w:r>
    </w:p>
    <w:p w14:paraId="3B8213F6" w14:textId="289790EC" w:rsidR="004523D5" w:rsidRDefault="004523D5" w:rsidP="004523D5">
      <w:pPr>
        <w:pStyle w:val="Bezmezer"/>
        <w:spacing w:before="120" w:line="360" w:lineRule="auto"/>
        <w:jc w:val="both"/>
        <w:rPr>
          <w:rFonts w:ascii="Times New Roman" w:hAnsi="Times New Roman" w:cs="Times New Roman"/>
        </w:rPr>
      </w:pPr>
      <w:r>
        <w:rPr>
          <w:rFonts w:ascii="Times New Roman" w:hAnsi="Times New Roman" w:cs="Times New Roman"/>
        </w:rPr>
        <w:t>Tabulka 2.5 přináší přehled základních metod vzdělávání a rozvoje.</w:t>
      </w:r>
      <w:r w:rsidR="00F96343">
        <w:rPr>
          <w:rFonts w:ascii="Times New Roman" w:hAnsi="Times New Roman" w:cs="Times New Roman"/>
        </w:rPr>
        <w:t xml:space="preserve"> Metody lze rozdělit do tří skupin – metody vzdělávání při výkonu práce (na pracovišti, </w:t>
      </w:r>
      <w:r w:rsidR="00F96343">
        <w:rPr>
          <w:rFonts w:ascii="Times New Roman" w:hAnsi="Times New Roman" w:cs="Times New Roman"/>
          <w:i/>
        </w:rPr>
        <w:t>on-</w:t>
      </w:r>
      <w:proofErr w:type="spellStart"/>
      <w:r w:rsidR="00F96343">
        <w:rPr>
          <w:rFonts w:ascii="Times New Roman" w:hAnsi="Times New Roman" w:cs="Times New Roman"/>
          <w:i/>
        </w:rPr>
        <w:t>the</w:t>
      </w:r>
      <w:proofErr w:type="spellEnd"/>
      <w:r w:rsidR="00F96343">
        <w:rPr>
          <w:rFonts w:ascii="Times New Roman" w:hAnsi="Times New Roman" w:cs="Times New Roman"/>
          <w:i/>
        </w:rPr>
        <w:t xml:space="preserve"> </w:t>
      </w:r>
      <w:proofErr w:type="spellStart"/>
      <w:r w:rsidR="00F96343">
        <w:rPr>
          <w:rFonts w:ascii="Times New Roman" w:hAnsi="Times New Roman" w:cs="Times New Roman"/>
          <w:i/>
        </w:rPr>
        <w:t>job</w:t>
      </w:r>
      <w:proofErr w:type="spellEnd"/>
      <w:r w:rsidR="00F96343">
        <w:rPr>
          <w:rFonts w:ascii="Times New Roman" w:hAnsi="Times New Roman" w:cs="Times New Roman"/>
        </w:rPr>
        <w:t>), na rozhraní mezi pracovištěm a mimo pracoviště (</w:t>
      </w:r>
      <w:r w:rsidR="00CA00BC">
        <w:rPr>
          <w:rFonts w:ascii="Times New Roman" w:hAnsi="Times New Roman" w:cs="Times New Roman"/>
          <w:i/>
        </w:rPr>
        <w:t>on-</w:t>
      </w:r>
      <w:proofErr w:type="spellStart"/>
      <w:r w:rsidR="00CA00BC">
        <w:rPr>
          <w:rFonts w:ascii="Times New Roman" w:hAnsi="Times New Roman" w:cs="Times New Roman"/>
          <w:i/>
        </w:rPr>
        <w:t>the</w:t>
      </w:r>
      <w:proofErr w:type="spellEnd"/>
      <w:r w:rsidR="00CA00BC">
        <w:rPr>
          <w:rFonts w:ascii="Times New Roman" w:hAnsi="Times New Roman" w:cs="Times New Roman"/>
          <w:i/>
        </w:rPr>
        <w:t>-</w:t>
      </w:r>
      <w:proofErr w:type="spellStart"/>
      <w:r w:rsidR="00CA00BC">
        <w:rPr>
          <w:rFonts w:ascii="Times New Roman" w:hAnsi="Times New Roman" w:cs="Times New Roman"/>
          <w:i/>
        </w:rPr>
        <w:t>job-</w:t>
      </w:r>
      <w:r w:rsidR="00F96343">
        <w:rPr>
          <w:rFonts w:ascii="Times New Roman" w:hAnsi="Times New Roman" w:cs="Times New Roman"/>
          <w:i/>
        </w:rPr>
        <w:t>rim</w:t>
      </w:r>
      <w:proofErr w:type="spellEnd"/>
      <w:r w:rsidR="00F96343">
        <w:rPr>
          <w:rFonts w:ascii="Times New Roman" w:hAnsi="Times New Roman" w:cs="Times New Roman"/>
        </w:rPr>
        <w:t>) a mimo výkon práce (</w:t>
      </w:r>
      <w:proofErr w:type="spellStart"/>
      <w:r w:rsidR="00F96343">
        <w:rPr>
          <w:rFonts w:ascii="Times New Roman" w:hAnsi="Times New Roman" w:cs="Times New Roman"/>
          <w:i/>
        </w:rPr>
        <w:t>off-the-job</w:t>
      </w:r>
      <w:proofErr w:type="spellEnd"/>
      <w:r w:rsidR="00F96343">
        <w:rPr>
          <w:rFonts w:ascii="Times New Roman" w:hAnsi="Times New Roman" w:cs="Times New Roman"/>
          <w:i/>
        </w:rPr>
        <w:t>).</w:t>
      </w:r>
    </w:p>
    <w:p w14:paraId="2E08C5F8" w14:textId="2E9FDB10" w:rsidR="00F96343" w:rsidRDefault="00F96343" w:rsidP="004523D5">
      <w:pPr>
        <w:pStyle w:val="Bezmezer"/>
        <w:spacing w:before="120" w:line="360" w:lineRule="auto"/>
        <w:jc w:val="both"/>
        <w:rPr>
          <w:rFonts w:ascii="Times New Roman" w:hAnsi="Times New Roman" w:cs="Times New Roman"/>
          <w:sz w:val="22"/>
          <w:szCs w:val="22"/>
        </w:rPr>
      </w:pPr>
      <w:r>
        <w:rPr>
          <w:rFonts w:ascii="Times New Roman" w:hAnsi="Times New Roman" w:cs="Times New Roman"/>
          <w:sz w:val="22"/>
          <w:szCs w:val="22"/>
        </w:rPr>
        <w:t xml:space="preserve">Tabulka 2.5 </w:t>
      </w:r>
      <w:r w:rsidRPr="005674FE">
        <w:rPr>
          <w:rFonts w:ascii="Times New Roman" w:hAnsi="Times New Roman" w:cs="Times New Roman"/>
          <w:b/>
          <w:sz w:val="22"/>
          <w:szCs w:val="22"/>
        </w:rPr>
        <w:t xml:space="preserve">Přehled základních metod vzdělávání </w:t>
      </w:r>
      <w:r w:rsidR="00656305" w:rsidRPr="005674FE">
        <w:rPr>
          <w:rFonts w:ascii="Times New Roman" w:hAnsi="Times New Roman" w:cs="Times New Roman"/>
          <w:b/>
          <w:sz w:val="22"/>
          <w:szCs w:val="22"/>
        </w:rPr>
        <w:t xml:space="preserve">a rozvoje </w:t>
      </w:r>
      <w:r w:rsidRPr="005674FE">
        <w:rPr>
          <w:rFonts w:ascii="Times New Roman" w:hAnsi="Times New Roman" w:cs="Times New Roman"/>
          <w:b/>
          <w:sz w:val="22"/>
          <w:szCs w:val="22"/>
        </w:rPr>
        <w:t>pracovníků</w:t>
      </w:r>
    </w:p>
    <w:tbl>
      <w:tblPr>
        <w:tblStyle w:val="Svtlmkazvraznn1"/>
        <w:tblW w:w="0" w:type="auto"/>
        <w:tblLook w:val="04A0" w:firstRow="1" w:lastRow="0" w:firstColumn="1" w:lastColumn="0" w:noHBand="0" w:noVBand="1"/>
      </w:tblPr>
      <w:tblGrid>
        <w:gridCol w:w="2928"/>
        <w:gridCol w:w="2827"/>
        <w:gridCol w:w="2767"/>
      </w:tblGrid>
      <w:tr w:rsidR="00D2367C" w:rsidRPr="00F96343" w14:paraId="63A936C4" w14:textId="77777777" w:rsidTr="00656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04F9A" w14:textId="222B848E" w:rsidR="00F96343" w:rsidRPr="00F96343" w:rsidRDefault="00F96343" w:rsidP="00656305">
            <w:pPr>
              <w:pStyle w:val="Bezmezer"/>
              <w:spacing w:before="120"/>
              <w:jc w:val="center"/>
              <w:rPr>
                <w:rFonts w:cs="Times New Roman"/>
                <w:sz w:val="20"/>
                <w:szCs w:val="20"/>
              </w:rPr>
            </w:pPr>
            <w:r>
              <w:rPr>
                <w:rFonts w:cs="Times New Roman"/>
                <w:sz w:val="20"/>
                <w:szCs w:val="20"/>
              </w:rPr>
              <w:t>Metody on-</w:t>
            </w:r>
            <w:proofErr w:type="spellStart"/>
            <w:r>
              <w:rPr>
                <w:rFonts w:cs="Times New Roman"/>
                <w:sz w:val="20"/>
                <w:szCs w:val="20"/>
              </w:rPr>
              <w:t>the</w:t>
            </w:r>
            <w:proofErr w:type="spellEnd"/>
            <w:r>
              <w:rPr>
                <w:rFonts w:cs="Times New Roman"/>
                <w:sz w:val="20"/>
                <w:szCs w:val="20"/>
              </w:rPr>
              <w:t>-</w:t>
            </w:r>
            <w:proofErr w:type="spellStart"/>
            <w:r>
              <w:rPr>
                <w:rFonts w:cs="Times New Roman"/>
                <w:sz w:val="20"/>
                <w:szCs w:val="20"/>
              </w:rPr>
              <w:t>job</w:t>
            </w:r>
            <w:proofErr w:type="spellEnd"/>
          </w:p>
        </w:tc>
        <w:tc>
          <w:tcPr>
            <w:tcW w:w="0" w:type="auto"/>
          </w:tcPr>
          <w:p w14:paraId="48BA8343" w14:textId="7A88FCD8" w:rsidR="00F96343" w:rsidRPr="00F96343" w:rsidRDefault="00F96343" w:rsidP="00656305">
            <w:pPr>
              <w:pStyle w:val="Bezmezer"/>
              <w:spacing w:before="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Metody on-</w:t>
            </w:r>
            <w:proofErr w:type="spellStart"/>
            <w:r>
              <w:rPr>
                <w:rFonts w:cs="Times New Roman"/>
                <w:sz w:val="20"/>
                <w:szCs w:val="20"/>
              </w:rPr>
              <w:t>the</w:t>
            </w:r>
            <w:proofErr w:type="spellEnd"/>
            <w:r>
              <w:rPr>
                <w:rFonts w:cs="Times New Roman"/>
                <w:sz w:val="20"/>
                <w:szCs w:val="20"/>
              </w:rPr>
              <w:t>-</w:t>
            </w:r>
            <w:proofErr w:type="spellStart"/>
            <w:r>
              <w:rPr>
                <w:rFonts w:cs="Times New Roman"/>
                <w:sz w:val="20"/>
                <w:szCs w:val="20"/>
              </w:rPr>
              <w:t>job-rim</w:t>
            </w:r>
            <w:proofErr w:type="spellEnd"/>
          </w:p>
        </w:tc>
        <w:tc>
          <w:tcPr>
            <w:tcW w:w="0" w:type="auto"/>
          </w:tcPr>
          <w:p w14:paraId="364A83A6" w14:textId="7458F2AF" w:rsidR="00F96343" w:rsidRPr="00F96343" w:rsidRDefault="00F96343" w:rsidP="00656305">
            <w:pPr>
              <w:pStyle w:val="Bezmezer"/>
              <w:spacing w:before="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Metody </w:t>
            </w:r>
            <w:proofErr w:type="spellStart"/>
            <w:r>
              <w:rPr>
                <w:rFonts w:cs="Times New Roman"/>
                <w:sz w:val="20"/>
                <w:szCs w:val="20"/>
              </w:rPr>
              <w:t>off-the-job</w:t>
            </w:r>
            <w:proofErr w:type="spellEnd"/>
          </w:p>
        </w:tc>
      </w:tr>
      <w:tr w:rsidR="00D2367C" w:rsidRPr="00F96343" w14:paraId="2F302EE4" w14:textId="77777777" w:rsidTr="0065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77C2B" w14:textId="3816C521" w:rsidR="00F96343" w:rsidRPr="00656305" w:rsidRDefault="00F96343" w:rsidP="00F96343">
            <w:pPr>
              <w:pStyle w:val="Bezmezer"/>
              <w:numPr>
                <w:ilvl w:val="0"/>
                <w:numId w:val="26"/>
              </w:numPr>
              <w:spacing w:before="120" w:line="240" w:lineRule="atLeast"/>
              <w:ind w:left="357" w:hanging="357"/>
              <w:jc w:val="both"/>
              <w:rPr>
                <w:rFonts w:cs="Times New Roman"/>
                <w:b w:val="0"/>
                <w:sz w:val="20"/>
                <w:szCs w:val="20"/>
              </w:rPr>
            </w:pPr>
            <w:r w:rsidRPr="00656305">
              <w:rPr>
                <w:rFonts w:cs="Times New Roman"/>
                <w:b w:val="0"/>
                <w:sz w:val="20"/>
                <w:szCs w:val="20"/>
              </w:rPr>
              <w:t>Instruktáž při výkonu práce</w:t>
            </w:r>
          </w:p>
          <w:p w14:paraId="679A61CC" w14:textId="77777777" w:rsidR="00F96343" w:rsidRPr="00656305" w:rsidRDefault="00F96343" w:rsidP="00F96343">
            <w:pPr>
              <w:pStyle w:val="Bezmezer"/>
              <w:numPr>
                <w:ilvl w:val="0"/>
                <w:numId w:val="26"/>
              </w:numPr>
              <w:spacing w:line="240" w:lineRule="atLeast"/>
              <w:ind w:left="357" w:hanging="357"/>
              <w:jc w:val="both"/>
              <w:rPr>
                <w:rFonts w:cs="Times New Roman"/>
                <w:b w:val="0"/>
                <w:sz w:val="20"/>
                <w:szCs w:val="20"/>
              </w:rPr>
            </w:pPr>
            <w:r w:rsidRPr="00656305">
              <w:rPr>
                <w:rFonts w:cs="Times New Roman"/>
                <w:b w:val="0"/>
                <w:sz w:val="20"/>
                <w:szCs w:val="20"/>
              </w:rPr>
              <w:t>Asistování, Stínování</w:t>
            </w:r>
          </w:p>
          <w:p w14:paraId="20CB347D" w14:textId="77777777" w:rsidR="00F96343" w:rsidRPr="00656305" w:rsidRDefault="00F96343" w:rsidP="00F96343">
            <w:pPr>
              <w:pStyle w:val="Bezmezer"/>
              <w:numPr>
                <w:ilvl w:val="0"/>
                <w:numId w:val="26"/>
              </w:numPr>
              <w:spacing w:line="240" w:lineRule="atLeast"/>
              <w:ind w:left="357" w:hanging="357"/>
              <w:jc w:val="both"/>
              <w:rPr>
                <w:rFonts w:cs="Times New Roman"/>
                <w:b w:val="0"/>
                <w:sz w:val="20"/>
                <w:szCs w:val="20"/>
              </w:rPr>
            </w:pPr>
            <w:r w:rsidRPr="00656305">
              <w:rPr>
                <w:rFonts w:cs="Times New Roman"/>
                <w:b w:val="0"/>
                <w:sz w:val="20"/>
                <w:szCs w:val="20"/>
              </w:rPr>
              <w:t>Práce na projektu</w:t>
            </w:r>
          </w:p>
          <w:p w14:paraId="6A5D70A9" w14:textId="7BFCEC38" w:rsidR="00F96343" w:rsidRPr="00656305" w:rsidRDefault="00F96343" w:rsidP="00D2367C">
            <w:pPr>
              <w:pStyle w:val="Bezmezer"/>
              <w:numPr>
                <w:ilvl w:val="0"/>
                <w:numId w:val="26"/>
              </w:numPr>
              <w:spacing w:line="240" w:lineRule="atLeast"/>
              <w:ind w:left="357" w:hanging="357"/>
              <w:rPr>
                <w:rFonts w:cs="Times New Roman"/>
                <w:b w:val="0"/>
                <w:sz w:val="20"/>
                <w:szCs w:val="20"/>
              </w:rPr>
            </w:pPr>
            <w:r w:rsidRPr="00656305">
              <w:rPr>
                <w:rFonts w:cs="Times New Roman"/>
                <w:b w:val="0"/>
                <w:sz w:val="20"/>
                <w:szCs w:val="20"/>
              </w:rPr>
              <w:t>Pověření úkole</w:t>
            </w:r>
            <w:r w:rsidR="00D2367C" w:rsidRPr="00656305">
              <w:rPr>
                <w:rFonts w:cs="Times New Roman"/>
                <w:b w:val="0"/>
                <w:sz w:val="20"/>
                <w:szCs w:val="20"/>
              </w:rPr>
              <w:t>m, S</w:t>
            </w:r>
            <w:r w:rsidRPr="00656305">
              <w:rPr>
                <w:rFonts w:cs="Times New Roman"/>
                <w:b w:val="0"/>
                <w:sz w:val="20"/>
                <w:szCs w:val="20"/>
              </w:rPr>
              <w:t xml:space="preserve">amostatné </w:t>
            </w:r>
          </w:p>
          <w:p w14:paraId="23E663B9" w14:textId="77777777" w:rsidR="00D2367C" w:rsidRPr="00656305" w:rsidRDefault="00D2367C" w:rsidP="00D2367C">
            <w:pPr>
              <w:pStyle w:val="Bezmezer"/>
              <w:spacing w:line="240" w:lineRule="atLeast"/>
              <w:ind w:left="357"/>
              <w:jc w:val="both"/>
              <w:rPr>
                <w:rFonts w:cs="Times New Roman"/>
                <w:b w:val="0"/>
                <w:sz w:val="20"/>
                <w:szCs w:val="20"/>
              </w:rPr>
            </w:pPr>
            <w:r w:rsidRPr="00656305">
              <w:rPr>
                <w:rFonts w:cs="Times New Roman"/>
                <w:b w:val="0"/>
                <w:sz w:val="20"/>
                <w:szCs w:val="20"/>
              </w:rPr>
              <w:lastRenderedPageBreak/>
              <w:t>vedení projektu</w:t>
            </w:r>
          </w:p>
          <w:p w14:paraId="1E30472E" w14:textId="77777777" w:rsidR="00D2367C" w:rsidRPr="00656305" w:rsidRDefault="00D2367C" w:rsidP="00D2367C">
            <w:pPr>
              <w:pStyle w:val="Bezmezer"/>
              <w:numPr>
                <w:ilvl w:val="0"/>
                <w:numId w:val="27"/>
              </w:numPr>
              <w:spacing w:line="240" w:lineRule="atLeast"/>
              <w:jc w:val="both"/>
              <w:rPr>
                <w:rFonts w:cs="Times New Roman"/>
                <w:b w:val="0"/>
                <w:sz w:val="20"/>
                <w:szCs w:val="20"/>
              </w:rPr>
            </w:pPr>
            <w:r w:rsidRPr="00656305">
              <w:rPr>
                <w:rFonts w:cs="Times New Roman"/>
                <w:b w:val="0"/>
                <w:sz w:val="20"/>
                <w:szCs w:val="20"/>
              </w:rPr>
              <w:t xml:space="preserve">Rotace práce, </w:t>
            </w:r>
            <w:proofErr w:type="spellStart"/>
            <w:r w:rsidRPr="00656305">
              <w:rPr>
                <w:rFonts w:cs="Times New Roman"/>
                <w:b w:val="0"/>
                <w:sz w:val="20"/>
                <w:szCs w:val="20"/>
              </w:rPr>
              <w:t>Cross</w:t>
            </w:r>
            <w:proofErr w:type="spellEnd"/>
            <w:r w:rsidRPr="00656305">
              <w:rPr>
                <w:rFonts w:cs="Times New Roman"/>
                <w:b w:val="0"/>
                <w:sz w:val="20"/>
                <w:szCs w:val="20"/>
              </w:rPr>
              <w:t xml:space="preserve"> </w:t>
            </w:r>
            <w:proofErr w:type="spellStart"/>
            <w:r w:rsidRPr="00656305">
              <w:rPr>
                <w:rFonts w:cs="Times New Roman"/>
                <w:b w:val="0"/>
                <w:sz w:val="20"/>
                <w:szCs w:val="20"/>
              </w:rPr>
              <w:t>training</w:t>
            </w:r>
            <w:proofErr w:type="spellEnd"/>
          </w:p>
          <w:p w14:paraId="47D1376C" w14:textId="77777777" w:rsidR="00D2367C" w:rsidRPr="00656305" w:rsidRDefault="00D2367C" w:rsidP="00D2367C">
            <w:pPr>
              <w:pStyle w:val="Bezmezer"/>
              <w:numPr>
                <w:ilvl w:val="0"/>
                <w:numId w:val="27"/>
              </w:numPr>
              <w:spacing w:line="240" w:lineRule="atLeast"/>
              <w:jc w:val="both"/>
              <w:rPr>
                <w:rFonts w:cs="Times New Roman"/>
                <w:b w:val="0"/>
                <w:sz w:val="20"/>
                <w:szCs w:val="20"/>
              </w:rPr>
            </w:pPr>
            <w:r w:rsidRPr="00656305">
              <w:rPr>
                <w:rFonts w:cs="Times New Roman"/>
                <w:b w:val="0"/>
                <w:sz w:val="20"/>
                <w:szCs w:val="20"/>
              </w:rPr>
              <w:t>Rozšiřování a obohacování</w:t>
            </w:r>
          </w:p>
          <w:p w14:paraId="6CF8AA4A" w14:textId="77777777" w:rsidR="00D2367C" w:rsidRPr="00656305" w:rsidRDefault="00D2367C" w:rsidP="00D2367C">
            <w:pPr>
              <w:pStyle w:val="Bezmezer"/>
              <w:spacing w:line="240" w:lineRule="atLeast"/>
              <w:ind w:left="360"/>
              <w:jc w:val="both"/>
              <w:rPr>
                <w:rFonts w:cs="Times New Roman"/>
                <w:b w:val="0"/>
                <w:sz w:val="20"/>
                <w:szCs w:val="20"/>
              </w:rPr>
            </w:pPr>
            <w:r w:rsidRPr="00656305">
              <w:rPr>
                <w:rFonts w:cs="Times New Roman"/>
                <w:b w:val="0"/>
                <w:sz w:val="20"/>
                <w:szCs w:val="20"/>
              </w:rPr>
              <w:t>pracovních úkolů</w:t>
            </w:r>
          </w:p>
          <w:p w14:paraId="3B409812" w14:textId="77777777" w:rsidR="00D2367C" w:rsidRPr="00656305" w:rsidRDefault="00D2367C" w:rsidP="00D2367C">
            <w:pPr>
              <w:pStyle w:val="Bezmezer"/>
              <w:numPr>
                <w:ilvl w:val="0"/>
                <w:numId w:val="28"/>
              </w:numPr>
              <w:spacing w:line="240" w:lineRule="atLeast"/>
              <w:jc w:val="both"/>
              <w:rPr>
                <w:rFonts w:cs="Times New Roman"/>
                <w:b w:val="0"/>
                <w:sz w:val="20"/>
                <w:szCs w:val="20"/>
              </w:rPr>
            </w:pPr>
            <w:proofErr w:type="spellStart"/>
            <w:r w:rsidRPr="00656305">
              <w:rPr>
                <w:rFonts w:cs="Times New Roman"/>
                <w:b w:val="0"/>
                <w:sz w:val="20"/>
                <w:szCs w:val="20"/>
              </w:rPr>
              <w:t>Coaching</w:t>
            </w:r>
            <w:proofErr w:type="spellEnd"/>
            <w:r w:rsidRPr="00656305">
              <w:rPr>
                <w:rFonts w:cs="Times New Roman"/>
                <w:b w:val="0"/>
                <w:sz w:val="20"/>
                <w:szCs w:val="20"/>
              </w:rPr>
              <w:t xml:space="preserve">, </w:t>
            </w:r>
            <w:proofErr w:type="spellStart"/>
            <w:r w:rsidRPr="00656305">
              <w:rPr>
                <w:rFonts w:cs="Times New Roman"/>
                <w:b w:val="0"/>
                <w:sz w:val="20"/>
                <w:szCs w:val="20"/>
              </w:rPr>
              <w:t>Couseling</w:t>
            </w:r>
            <w:proofErr w:type="spellEnd"/>
            <w:r w:rsidRPr="00656305">
              <w:rPr>
                <w:rFonts w:cs="Times New Roman"/>
                <w:b w:val="0"/>
                <w:sz w:val="20"/>
                <w:szCs w:val="20"/>
              </w:rPr>
              <w:t xml:space="preserve">, </w:t>
            </w:r>
          </w:p>
          <w:p w14:paraId="6DA6F7A2" w14:textId="5C954D9E" w:rsidR="00D2367C" w:rsidRPr="00F96343" w:rsidRDefault="00D2367C" w:rsidP="00D2367C">
            <w:pPr>
              <w:pStyle w:val="Bezmezer"/>
              <w:spacing w:line="240" w:lineRule="atLeast"/>
              <w:ind w:left="360"/>
              <w:jc w:val="both"/>
              <w:rPr>
                <w:rFonts w:cs="Times New Roman"/>
                <w:sz w:val="20"/>
                <w:szCs w:val="20"/>
              </w:rPr>
            </w:pPr>
            <w:proofErr w:type="spellStart"/>
            <w:r w:rsidRPr="00656305">
              <w:rPr>
                <w:rFonts w:cs="Times New Roman"/>
                <w:b w:val="0"/>
                <w:sz w:val="20"/>
                <w:szCs w:val="20"/>
              </w:rPr>
              <w:t>Mentoring</w:t>
            </w:r>
            <w:proofErr w:type="spellEnd"/>
          </w:p>
        </w:tc>
        <w:tc>
          <w:tcPr>
            <w:tcW w:w="0" w:type="auto"/>
          </w:tcPr>
          <w:p w14:paraId="71939BDE" w14:textId="77777777" w:rsidR="00F96343" w:rsidRDefault="00D2367C" w:rsidP="00D2367C">
            <w:pPr>
              <w:pStyle w:val="Bezmezer"/>
              <w:numPr>
                <w:ilvl w:val="0"/>
                <w:numId w:val="28"/>
              </w:num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lastRenderedPageBreak/>
              <w:t>Pracovní porady</w:t>
            </w:r>
          </w:p>
          <w:p w14:paraId="37CCDCEA" w14:textId="77777777" w:rsidR="00D2367C" w:rsidRDefault="00D2367C" w:rsidP="00D2367C">
            <w:pPr>
              <w:pStyle w:val="Bezmezer"/>
              <w:numPr>
                <w:ilvl w:val="0"/>
                <w:numId w:val="28"/>
              </w:numPr>
              <w:spacing w:line="240" w:lineRule="atLeast"/>
              <w:ind w:left="357" w:hanging="35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Samostudium, Distanční</w:t>
            </w:r>
          </w:p>
          <w:p w14:paraId="4765B93B" w14:textId="682A0002" w:rsidR="00D2367C" w:rsidRDefault="00D2367C" w:rsidP="00D2367C">
            <w:pPr>
              <w:pStyle w:val="Bezmezer"/>
              <w:spacing w:line="240" w:lineRule="atLeast"/>
              <w:ind w:left="35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vzdělávání</w:t>
            </w:r>
          </w:p>
          <w:p w14:paraId="52760AE2" w14:textId="77777777" w:rsidR="00D2367C" w:rsidRDefault="00D2367C" w:rsidP="00D2367C">
            <w:pPr>
              <w:pStyle w:val="Bezmezer"/>
              <w:numPr>
                <w:ilvl w:val="0"/>
                <w:numId w:val="29"/>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On-line vzdělávací programy</w:t>
            </w:r>
          </w:p>
          <w:p w14:paraId="6C62C200" w14:textId="77777777" w:rsidR="00D2367C" w:rsidRDefault="00D2367C" w:rsidP="00656305">
            <w:pPr>
              <w:pStyle w:val="Bezmezer"/>
              <w:numPr>
                <w:ilvl w:val="0"/>
                <w:numId w:val="29"/>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lastRenderedPageBreak/>
              <w:t>Interní a externí konzultace,</w:t>
            </w:r>
          </w:p>
          <w:p w14:paraId="30FF13CF" w14:textId="77777777" w:rsidR="00D2367C" w:rsidRDefault="00D2367C" w:rsidP="00D2367C">
            <w:pPr>
              <w:pStyle w:val="Bezmezer"/>
              <w:spacing w:line="240" w:lineRule="atLeast"/>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Poradenství</w:t>
            </w:r>
          </w:p>
          <w:p w14:paraId="33572FC3" w14:textId="77777777" w:rsidR="00D2367C" w:rsidRDefault="00D2367C" w:rsidP="00D2367C">
            <w:pPr>
              <w:pStyle w:val="Bezmezer"/>
              <w:numPr>
                <w:ilvl w:val="0"/>
                <w:numId w:val="30"/>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roofErr w:type="spellStart"/>
            <w:r>
              <w:rPr>
                <w:rFonts w:asciiTheme="majorHAnsi" w:hAnsiTheme="majorHAnsi" w:cs="Times New Roman"/>
                <w:sz w:val="20"/>
                <w:szCs w:val="20"/>
              </w:rPr>
              <w:t>Action</w:t>
            </w:r>
            <w:proofErr w:type="spellEnd"/>
            <w:r>
              <w:rPr>
                <w:rFonts w:asciiTheme="majorHAnsi" w:hAnsiTheme="majorHAnsi" w:cs="Times New Roman"/>
                <w:sz w:val="20"/>
                <w:szCs w:val="20"/>
              </w:rPr>
              <w:t xml:space="preserve"> </w:t>
            </w:r>
            <w:proofErr w:type="spellStart"/>
            <w:r>
              <w:rPr>
                <w:rFonts w:asciiTheme="majorHAnsi" w:hAnsiTheme="majorHAnsi" w:cs="Times New Roman"/>
                <w:sz w:val="20"/>
                <w:szCs w:val="20"/>
              </w:rPr>
              <w:t>learning</w:t>
            </w:r>
            <w:proofErr w:type="spellEnd"/>
          </w:p>
          <w:p w14:paraId="3976FA69" w14:textId="71E14851" w:rsidR="00D2367C" w:rsidRPr="00F96343" w:rsidRDefault="00D2367C" w:rsidP="00D2367C">
            <w:pPr>
              <w:pStyle w:val="Bezmezer"/>
              <w:numPr>
                <w:ilvl w:val="0"/>
                <w:numId w:val="30"/>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roofErr w:type="spellStart"/>
            <w:r>
              <w:rPr>
                <w:rFonts w:asciiTheme="majorHAnsi" w:hAnsiTheme="majorHAnsi" w:cs="Times New Roman"/>
                <w:sz w:val="20"/>
                <w:szCs w:val="20"/>
              </w:rPr>
              <w:t>Trainee</w:t>
            </w:r>
            <w:proofErr w:type="spellEnd"/>
            <w:r>
              <w:rPr>
                <w:rFonts w:asciiTheme="majorHAnsi" w:hAnsiTheme="majorHAnsi" w:cs="Times New Roman"/>
                <w:sz w:val="20"/>
                <w:szCs w:val="20"/>
              </w:rPr>
              <w:t xml:space="preserve"> programy</w:t>
            </w:r>
          </w:p>
        </w:tc>
        <w:tc>
          <w:tcPr>
            <w:tcW w:w="0" w:type="auto"/>
          </w:tcPr>
          <w:p w14:paraId="1F26D9B8" w14:textId="77777777" w:rsidR="00F96343" w:rsidRDefault="00D2367C" w:rsidP="00D2367C">
            <w:pPr>
              <w:pStyle w:val="Bezmezer"/>
              <w:numPr>
                <w:ilvl w:val="0"/>
                <w:numId w:val="30"/>
              </w:num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lastRenderedPageBreak/>
              <w:t>Přednášky</w:t>
            </w:r>
          </w:p>
          <w:p w14:paraId="0A3367A0" w14:textId="77777777" w:rsidR="00D2367C" w:rsidRDefault="00D2367C" w:rsidP="00D2367C">
            <w:pPr>
              <w:pStyle w:val="Bezmezer"/>
              <w:numPr>
                <w:ilvl w:val="0"/>
                <w:numId w:val="30"/>
              </w:numPr>
              <w:spacing w:line="240" w:lineRule="atLeast"/>
              <w:ind w:left="357" w:hanging="35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Semináře</w:t>
            </w:r>
          </w:p>
          <w:p w14:paraId="3114F056" w14:textId="77777777" w:rsidR="00D2367C" w:rsidRDefault="00D2367C" w:rsidP="00D2367C">
            <w:pPr>
              <w:pStyle w:val="Bezmezer"/>
              <w:numPr>
                <w:ilvl w:val="0"/>
                <w:numId w:val="30"/>
              </w:numPr>
              <w:spacing w:line="240" w:lineRule="atLeast"/>
              <w:ind w:left="357" w:hanging="357"/>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Demonstrování (instruktáž </w:t>
            </w:r>
          </w:p>
          <w:p w14:paraId="2CDC5DDC" w14:textId="0B54F2B4" w:rsidR="00D2367C" w:rsidRDefault="00D2367C" w:rsidP="00D2367C">
            <w:pPr>
              <w:pStyle w:val="Bezmezer"/>
              <w:spacing w:line="240" w:lineRule="atLeast"/>
              <w:ind w:left="357"/>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mimo </w:t>
            </w:r>
            <w:r w:rsidRPr="00D2367C">
              <w:rPr>
                <w:rFonts w:asciiTheme="majorHAnsi" w:hAnsiTheme="majorHAnsi" w:cs="Times New Roman"/>
                <w:sz w:val="20"/>
                <w:szCs w:val="20"/>
              </w:rPr>
              <w:t>výkon práce)</w:t>
            </w:r>
          </w:p>
          <w:p w14:paraId="54EFA69A" w14:textId="0D0BE92F" w:rsidR="00D2367C" w:rsidRDefault="00656305" w:rsidP="00D2367C">
            <w:pPr>
              <w:pStyle w:val="Bezmezer"/>
              <w:numPr>
                <w:ilvl w:val="0"/>
                <w:numId w:val="31"/>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Workshopy, Řešení </w:t>
            </w:r>
          </w:p>
          <w:p w14:paraId="1CFD7011" w14:textId="3F2BB4AB" w:rsidR="00656305" w:rsidRDefault="00656305" w:rsidP="00656305">
            <w:pPr>
              <w:pStyle w:val="Bezmezer"/>
              <w:spacing w:line="240" w:lineRule="atLeast"/>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lastRenderedPageBreak/>
              <w:t>případových studií</w:t>
            </w:r>
          </w:p>
          <w:p w14:paraId="0ABEEC6D" w14:textId="1F9A388B" w:rsidR="00656305" w:rsidRDefault="00656305" w:rsidP="00656305">
            <w:pPr>
              <w:pStyle w:val="Bezmezer"/>
              <w:numPr>
                <w:ilvl w:val="0"/>
                <w:numId w:val="31"/>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 xml:space="preserve">Brainstorming, </w:t>
            </w:r>
            <w:proofErr w:type="spellStart"/>
            <w:r>
              <w:rPr>
                <w:rFonts w:asciiTheme="majorHAnsi" w:hAnsiTheme="majorHAnsi" w:cs="Times New Roman"/>
                <w:sz w:val="20"/>
                <w:szCs w:val="20"/>
              </w:rPr>
              <w:t>Brainwriting</w:t>
            </w:r>
            <w:proofErr w:type="spellEnd"/>
          </w:p>
          <w:p w14:paraId="7A77DCBF" w14:textId="77777777" w:rsidR="00656305" w:rsidRDefault="00656305" w:rsidP="00656305">
            <w:pPr>
              <w:pStyle w:val="Bezmezer"/>
              <w:numPr>
                <w:ilvl w:val="0"/>
                <w:numId w:val="31"/>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Simulace, Hraní rolí</w:t>
            </w:r>
          </w:p>
          <w:p w14:paraId="635C8AB0" w14:textId="77777777" w:rsidR="00656305" w:rsidRDefault="00656305" w:rsidP="00656305">
            <w:pPr>
              <w:pStyle w:val="Bezmezer"/>
              <w:numPr>
                <w:ilvl w:val="0"/>
                <w:numId w:val="31"/>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roofErr w:type="spellStart"/>
            <w:r>
              <w:rPr>
                <w:rFonts w:asciiTheme="majorHAnsi" w:hAnsiTheme="majorHAnsi" w:cs="Times New Roman"/>
                <w:sz w:val="20"/>
                <w:szCs w:val="20"/>
              </w:rPr>
              <w:t>Assessment</w:t>
            </w:r>
            <w:proofErr w:type="spellEnd"/>
            <w:r>
              <w:rPr>
                <w:rFonts w:asciiTheme="majorHAnsi" w:hAnsiTheme="majorHAnsi" w:cs="Times New Roman"/>
                <w:sz w:val="20"/>
                <w:szCs w:val="20"/>
              </w:rPr>
              <w:t xml:space="preserve"> centre</w:t>
            </w:r>
          </w:p>
          <w:p w14:paraId="19EB8A9E" w14:textId="1533FD7F" w:rsidR="00656305" w:rsidRPr="00D2367C" w:rsidRDefault="00656305" w:rsidP="00656305">
            <w:pPr>
              <w:pStyle w:val="Bezmezer"/>
              <w:numPr>
                <w:ilvl w:val="0"/>
                <w:numId w:val="31"/>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roofErr w:type="spellStart"/>
            <w:r>
              <w:rPr>
                <w:rFonts w:asciiTheme="majorHAnsi" w:hAnsiTheme="majorHAnsi" w:cs="Times New Roman"/>
                <w:sz w:val="20"/>
                <w:szCs w:val="20"/>
              </w:rPr>
              <w:t>Outdoor</w:t>
            </w:r>
            <w:proofErr w:type="spellEnd"/>
            <w:r>
              <w:rPr>
                <w:rFonts w:asciiTheme="majorHAnsi" w:hAnsiTheme="majorHAnsi" w:cs="Times New Roman"/>
                <w:sz w:val="20"/>
                <w:szCs w:val="20"/>
              </w:rPr>
              <w:t xml:space="preserve"> </w:t>
            </w:r>
            <w:proofErr w:type="spellStart"/>
            <w:r>
              <w:rPr>
                <w:rFonts w:asciiTheme="majorHAnsi" w:hAnsiTheme="majorHAnsi" w:cs="Times New Roman"/>
                <w:sz w:val="20"/>
                <w:szCs w:val="20"/>
              </w:rPr>
              <w:t>training</w:t>
            </w:r>
            <w:proofErr w:type="spellEnd"/>
          </w:p>
          <w:p w14:paraId="5360E87A" w14:textId="0F9F0409" w:rsidR="00D2367C" w:rsidRPr="00D2367C" w:rsidRDefault="00656305" w:rsidP="00656305">
            <w:pPr>
              <w:pStyle w:val="Bezmezer"/>
              <w:numPr>
                <w:ilvl w:val="0"/>
                <w:numId w:val="31"/>
              </w:numP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roofErr w:type="spellStart"/>
            <w:r>
              <w:rPr>
                <w:rFonts w:asciiTheme="majorHAnsi" w:hAnsiTheme="majorHAnsi" w:cs="Times New Roman"/>
                <w:sz w:val="20"/>
                <w:szCs w:val="20"/>
              </w:rPr>
              <w:t>Adventure</w:t>
            </w:r>
            <w:proofErr w:type="spellEnd"/>
            <w:r>
              <w:rPr>
                <w:rFonts w:asciiTheme="majorHAnsi" w:hAnsiTheme="majorHAnsi" w:cs="Times New Roman"/>
                <w:sz w:val="20"/>
                <w:szCs w:val="20"/>
              </w:rPr>
              <w:t xml:space="preserve"> </w:t>
            </w:r>
            <w:proofErr w:type="spellStart"/>
            <w:r>
              <w:rPr>
                <w:rFonts w:asciiTheme="majorHAnsi" w:hAnsiTheme="majorHAnsi" w:cs="Times New Roman"/>
                <w:sz w:val="20"/>
                <w:szCs w:val="20"/>
              </w:rPr>
              <w:t>education</w:t>
            </w:r>
            <w:proofErr w:type="spellEnd"/>
          </w:p>
          <w:p w14:paraId="24717207" w14:textId="18987C11" w:rsidR="00D2367C" w:rsidRPr="00D2367C" w:rsidRDefault="00D2367C" w:rsidP="00D2367C">
            <w:pPr>
              <w:pStyle w:val="Bezmezer"/>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
        </w:tc>
      </w:tr>
    </w:tbl>
    <w:p w14:paraId="2B66CAB9" w14:textId="29DF5145" w:rsidR="00656305" w:rsidRPr="00CA00BC" w:rsidRDefault="00656305" w:rsidP="00656305">
      <w:pPr>
        <w:spacing w:before="120"/>
        <w:jc w:val="both"/>
        <w:rPr>
          <w:rFonts w:ascii="Times New Roman" w:hAnsi="Times New Roman" w:cs="Times New Roman"/>
          <w:i/>
          <w:sz w:val="22"/>
          <w:szCs w:val="22"/>
        </w:rPr>
      </w:pPr>
      <w:r w:rsidRPr="00CA00BC">
        <w:rPr>
          <w:rFonts w:ascii="Times New Roman" w:hAnsi="Times New Roman" w:cs="Times New Roman"/>
          <w:i/>
          <w:sz w:val="22"/>
          <w:szCs w:val="22"/>
        </w:rPr>
        <w:lastRenderedPageBreak/>
        <w:t>Zdroj: Dvořáková a kol. (2012, s. 292).</w:t>
      </w:r>
    </w:p>
    <w:p w14:paraId="3C565F0E" w14:textId="18B5F4FB" w:rsidR="00FA2074" w:rsidRDefault="00656305" w:rsidP="00656305">
      <w:pPr>
        <w:spacing w:before="240" w:line="360" w:lineRule="auto"/>
        <w:jc w:val="both"/>
        <w:rPr>
          <w:rFonts w:ascii="Times New Roman" w:hAnsi="Times New Roman" w:cs="Times New Roman"/>
        </w:rPr>
      </w:pPr>
      <w:r>
        <w:rPr>
          <w:rFonts w:ascii="Times New Roman" w:hAnsi="Times New Roman" w:cs="Times New Roman"/>
        </w:rPr>
        <w:t>Každá z metod má své plusy i nedostatky. Důležité je správné použití dané metody, popř. jejich kombinace.</w:t>
      </w:r>
    </w:p>
    <w:p w14:paraId="0AAD9665" w14:textId="2BF29C54" w:rsidR="00F22BDC" w:rsidRDefault="00656305" w:rsidP="00656305">
      <w:pPr>
        <w:pStyle w:val="Nadpis3"/>
      </w:pPr>
      <w:bookmarkStart w:id="35" w:name="_Toc398662601"/>
      <w:r>
        <w:t xml:space="preserve">2.4.4 Podnikové vzdělávání </w:t>
      </w:r>
      <w:r w:rsidR="008226D7">
        <w:t xml:space="preserve">v ČR </w:t>
      </w:r>
      <w:r>
        <w:t>v datech</w:t>
      </w:r>
      <w:bookmarkEnd w:id="35"/>
    </w:p>
    <w:p w14:paraId="45A3C2F6" w14:textId="4B73A12E" w:rsidR="00656305" w:rsidRDefault="0047704D" w:rsidP="0008511B">
      <w:pPr>
        <w:spacing w:before="120" w:line="360" w:lineRule="auto"/>
        <w:jc w:val="both"/>
        <w:rPr>
          <w:rFonts w:ascii="Times New Roman" w:hAnsi="Times New Roman" w:cs="Times New Roman"/>
        </w:rPr>
      </w:pPr>
      <w:r>
        <w:rPr>
          <w:rFonts w:ascii="Times New Roman" w:hAnsi="Times New Roman" w:cs="Times New Roman"/>
        </w:rPr>
        <w:t xml:space="preserve">Vzdělávání zaměstnanců v podnicích je pravidelně sledováno (v pětileté periodicitě) ve všech zemích EU, a to na základě mezinárodního šetření </w:t>
      </w:r>
      <w:r w:rsidR="004F40B3">
        <w:rPr>
          <w:rFonts w:ascii="Times New Roman" w:hAnsi="Times New Roman" w:cs="Times New Roman"/>
        </w:rPr>
        <w:t>CVTS (</w:t>
      </w:r>
      <w:proofErr w:type="spellStart"/>
      <w:r>
        <w:rPr>
          <w:rFonts w:ascii="Times New Roman" w:hAnsi="Times New Roman" w:cs="Times New Roman"/>
          <w:i/>
        </w:rPr>
        <w:t>Continuing</w:t>
      </w:r>
      <w:proofErr w:type="spellEnd"/>
      <w:r>
        <w:rPr>
          <w:rFonts w:ascii="Times New Roman" w:hAnsi="Times New Roman" w:cs="Times New Roman"/>
          <w:i/>
        </w:rPr>
        <w:t xml:space="preserve"> </w:t>
      </w:r>
      <w:proofErr w:type="spellStart"/>
      <w:r>
        <w:rPr>
          <w:rFonts w:ascii="Times New Roman" w:hAnsi="Times New Roman" w:cs="Times New Roman"/>
          <w:i/>
        </w:rPr>
        <w:t>Vocational</w:t>
      </w:r>
      <w:proofErr w:type="spellEnd"/>
      <w:r>
        <w:rPr>
          <w:rFonts w:ascii="Times New Roman" w:hAnsi="Times New Roman" w:cs="Times New Roman"/>
          <w:i/>
        </w:rPr>
        <w:t xml:space="preserve"> </w:t>
      </w:r>
      <w:proofErr w:type="spellStart"/>
      <w:r w:rsidR="004F40B3">
        <w:rPr>
          <w:rFonts w:ascii="Times New Roman" w:hAnsi="Times New Roman" w:cs="Times New Roman"/>
          <w:i/>
        </w:rPr>
        <w:t>Training</w:t>
      </w:r>
      <w:proofErr w:type="spellEnd"/>
      <w:r w:rsidR="004F40B3">
        <w:rPr>
          <w:rFonts w:ascii="Times New Roman" w:hAnsi="Times New Roman" w:cs="Times New Roman"/>
          <w:i/>
        </w:rPr>
        <w:t xml:space="preserve"> </w:t>
      </w:r>
      <w:proofErr w:type="spellStart"/>
      <w:r w:rsidR="004F40B3">
        <w:rPr>
          <w:rFonts w:ascii="Times New Roman" w:hAnsi="Times New Roman" w:cs="Times New Roman"/>
          <w:i/>
        </w:rPr>
        <w:t>Survey</w:t>
      </w:r>
      <w:proofErr w:type="spellEnd"/>
      <w:r w:rsidR="004F40B3">
        <w:rPr>
          <w:rFonts w:ascii="Times New Roman" w:hAnsi="Times New Roman" w:cs="Times New Roman"/>
        </w:rPr>
        <w:t>).</w:t>
      </w:r>
      <w:r w:rsidR="004F40B3">
        <w:rPr>
          <w:rStyle w:val="Znakapoznpodarou"/>
          <w:rFonts w:ascii="Times New Roman" w:hAnsi="Times New Roman" w:cs="Times New Roman"/>
        </w:rPr>
        <w:footnoteReference w:id="20"/>
      </w:r>
      <w:r w:rsidR="004F40B3">
        <w:rPr>
          <w:rFonts w:ascii="Times New Roman" w:hAnsi="Times New Roman" w:cs="Times New Roman"/>
        </w:rPr>
        <w:t xml:space="preserve"> Poslední šetření CVTS 5 bylo realizováno v roce 2016 a odráží stav roku 2015. Z dat tohoto šetření vychází také tato kapitola.</w:t>
      </w:r>
    </w:p>
    <w:p w14:paraId="218F0BB7" w14:textId="77777777" w:rsidR="009C3908" w:rsidRDefault="00C61267" w:rsidP="0008511B">
      <w:pPr>
        <w:spacing w:before="120" w:line="360" w:lineRule="auto"/>
        <w:jc w:val="both"/>
        <w:rPr>
          <w:rFonts w:ascii="Times New Roman" w:hAnsi="Times New Roman" w:cs="Times New Roman"/>
        </w:rPr>
      </w:pPr>
      <w:r>
        <w:rPr>
          <w:rFonts w:ascii="Times New Roman" w:hAnsi="Times New Roman" w:cs="Times New Roman"/>
        </w:rPr>
        <w:t xml:space="preserve">Šetření rozlišuje </w:t>
      </w:r>
      <w:r w:rsidR="009C3908">
        <w:rPr>
          <w:rFonts w:ascii="Times New Roman" w:hAnsi="Times New Roman" w:cs="Times New Roman"/>
        </w:rPr>
        <w:t>dvě základní formy vzdělávání:</w:t>
      </w:r>
    </w:p>
    <w:p w14:paraId="2F941D36" w14:textId="067D5B8C" w:rsidR="004F40B3" w:rsidRDefault="009C3908" w:rsidP="009C3908">
      <w:pPr>
        <w:pStyle w:val="Odstavecseseznamem"/>
        <w:numPr>
          <w:ilvl w:val="0"/>
          <w:numId w:val="32"/>
        </w:numPr>
        <w:spacing w:before="120" w:line="360" w:lineRule="auto"/>
        <w:jc w:val="both"/>
        <w:rPr>
          <w:rFonts w:ascii="Times New Roman" w:hAnsi="Times New Roman" w:cs="Times New Roman"/>
        </w:rPr>
      </w:pPr>
      <w:r>
        <w:rPr>
          <w:rFonts w:ascii="Times New Roman" w:hAnsi="Times New Roman" w:cs="Times New Roman"/>
          <w:i/>
        </w:rPr>
        <w:t>K</w:t>
      </w:r>
      <w:r w:rsidRPr="009C3908">
        <w:rPr>
          <w:rFonts w:ascii="Times New Roman" w:hAnsi="Times New Roman" w:cs="Times New Roman"/>
          <w:i/>
        </w:rPr>
        <w:t xml:space="preserve">urzy/školení </w:t>
      </w:r>
      <w:r>
        <w:rPr>
          <w:rFonts w:ascii="Times New Roman" w:hAnsi="Times New Roman" w:cs="Times New Roman"/>
        </w:rPr>
        <w:t>–</w:t>
      </w:r>
      <w:r w:rsidR="00CA00BC">
        <w:rPr>
          <w:rFonts w:ascii="Times New Roman" w:hAnsi="Times New Roman" w:cs="Times New Roman"/>
        </w:rPr>
        <w:t xml:space="preserve"> </w:t>
      </w:r>
      <w:r>
        <w:rPr>
          <w:rFonts w:ascii="Times New Roman" w:hAnsi="Times New Roman" w:cs="Times New Roman"/>
        </w:rPr>
        <w:t xml:space="preserve">vyznačují </w:t>
      </w:r>
      <w:r w:rsidR="00CA00BC">
        <w:rPr>
          <w:rFonts w:ascii="Times New Roman" w:hAnsi="Times New Roman" w:cs="Times New Roman"/>
        </w:rPr>
        <w:t xml:space="preserve">se </w:t>
      </w:r>
      <w:r>
        <w:rPr>
          <w:rFonts w:ascii="Times New Roman" w:hAnsi="Times New Roman" w:cs="Times New Roman"/>
        </w:rPr>
        <w:t>vysokým stupněm organizace (z hlediska obsahu, času a prostoru) ze strany školitele nebo vzdělávací instituce. Obsah</w:t>
      </w:r>
      <w:r w:rsidR="0098518E">
        <w:rPr>
          <w:rFonts w:ascii="Times New Roman" w:hAnsi="Times New Roman" w:cs="Times New Roman"/>
        </w:rPr>
        <w:t xml:space="preserve"> je předem připraven pro charakteristickou</w:t>
      </w:r>
      <w:r>
        <w:rPr>
          <w:rFonts w:ascii="Times New Roman" w:hAnsi="Times New Roman" w:cs="Times New Roman"/>
        </w:rPr>
        <w:t xml:space="preserve"> cílovou skupinu osob</w:t>
      </w:r>
      <w:r w:rsidR="0098518E">
        <w:rPr>
          <w:rFonts w:ascii="Times New Roman" w:hAnsi="Times New Roman" w:cs="Times New Roman"/>
        </w:rPr>
        <w:t xml:space="preserve"> (např. podle vymezených učebních osnov)</w:t>
      </w:r>
      <w:r>
        <w:rPr>
          <w:rFonts w:ascii="Times New Roman" w:hAnsi="Times New Roman" w:cs="Times New Roman"/>
        </w:rPr>
        <w:t>. Vzdělávání probíhá mimo pracoviště (</w:t>
      </w:r>
      <w:r w:rsidR="00CA00BC">
        <w:rPr>
          <w:rFonts w:ascii="Times New Roman" w:hAnsi="Times New Roman" w:cs="Times New Roman"/>
        </w:rPr>
        <w:t xml:space="preserve">zpravidla </w:t>
      </w:r>
      <w:r>
        <w:rPr>
          <w:rFonts w:ascii="Times New Roman" w:hAnsi="Times New Roman" w:cs="Times New Roman"/>
        </w:rPr>
        <w:t>v prostorách speciálně určených ke vzdělávání, jako jsou učebny nebo vzdělávací centra). Do této skupiny programů pa</w:t>
      </w:r>
      <w:r w:rsidR="00CA00BC">
        <w:rPr>
          <w:rFonts w:ascii="Times New Roman" w:hAnsi="Times New Roman" w:cs="Times New Roman"/>
        </w:rPr>
        <w:t>tří například</w:t>
      </w:r>
      <w:r>
        <w:rPr>
          <w:rFonts w:ascii="Times New Roman" w:hAnsi="Times New Roman" w:cs="Times New Roman"/>
        </w:rPr>
        <w:t xml:space="preserve"> povinné školení BOZP, počítačové nebo jazykové kurzy, kurzy zaměřené na komunikační dovednosti, popř. další jasně strukturované vzdělávání, které zvyšuje kvalifikaci nebo rozšiřuje dovednosti zaměstnanců určitého oboru.</w:t>
      </w:r>
    </w:p>
    <w:p w14:paraId="1FDEEAEC" w14:textId="0A3045BF" w:rsidR="009C3908" w:rsidRDefault="009C3908" w:rsidP="009C3908">
      <w:pPr>
        <w:pStyle w:val="Odstavecseseznamem"/>
        <w:numPr>
          <w:ilvl w:val="0"/>
          <w:numId w:val="32"/>
        </w:numPr>
        <w:spacing w:before="120" w:line="360" w:lineRule="auto"/>
        <w:jc w:val="both"/>
        <w:rPr>
          <w:rFonts w:ascii="Times New Roman" w:hAnsi="Times New Roman" w:cs="Times New Roman"/>
        </w:rPr>
      </w:pPr>
      <w:r>
        <w:rPr>
          <w:rFonts w:ascii="Times New Roman" w:hAnsi="Times New Roman" w:cs="Times New Roman"/>
          <w:i/>
        </w:rPr>
        <w:t xml:space="preserve">Jiné formy vzdělávání než kurzy/školení </w:t>
      </w:r>
      <w:r>
        <w:rPr>
          <w:rFonts w:ascii="Times New Roman" w:hAnsi="Times New Roman" w:cs="Times New Roman"/>
        </w:rPr>
        <w:t>– jedná se o plánované vzdělávání na pracovišti, kdy hlavním cí</w:t>
      </w:r>
      <w:r w:rsidR="0098518E">
        <w:rPr>
          <w:rFonts w:ascii="Times New Roman" w:hAnsi="Times New Roman" w:cs="Times New Roman"/>
        </w:rPr>
        <w:t xml:space="preserve">lem účastníka je něco se naučit (získat znalosti a dovednosti přímo související s výkonem práce). Obsah je přizpůsoben individuálním potřebám; účastníci mají do určité míry možnost ovlivnit místo, čas a obsah vzdělávání. Mezi tyto jiné formy vzdělávání patří např. zaškolování, instruktáž orientovaná na konkrétní pracovní činnost, účast na </w:t>
      </w:r>
      <w:r w:rsidR="0098518E">
        <w:rPr>
          <w:rFonts w:ascii="Times New Roman" w:hAnsi="Times New Roman" w:cs="Times New Roman"/>
        </w:rPr>
        <w:lastRenderedPageBreak/>
        <w:t>konferencích či veletrzích nebo samostudium, pokud splňuje výše zmíněné podmínky definice.</w:t>
      </w:r>
    </w:p>
    <w:p w14:paraId="672E11E2" w14:textId="77777777" w:rsidR="0065594B" w:rsidRDefault="00FB13AF" w:rsidP="0065594B">
      <w:pPr>
        <w:spacing w:before="120" w:line="360" w:lineRule="auto"/>
        <w:jc w:val="both"/>
        <w:rPr>
          <w:rFonts w:ascii="Times New Roman" w:hAnsi="Times New Roman" w:cs="Times New Roman"/>
        </w:rPr>
      </w:pPr>
      <w:r>
        <w:rPr>
          <w:rFonts w:ascii="Times New Roman" w:hAnsi="Times New Roman" w:cs="Times New Roman"/>
        </w:rPr>
        <w:t xml:space="preserve">Alespoň jeden kurz nebo školení (včetně povinných ze zákona) zajišťovalo v roce 2015 pro své zaměstnance 89 % podniků. </w:t>
      </w:r>
      <w:r w:rsidRPr="0041315C">
        <w:rPr>
          <w:rFonts w:ascii="Times New Roman" w:hAnsi="Times New Roman" w:cs="Times New Roman"/>
          <w:b/>
        </w:rPr>
        <w:t>Rozdíly jsou patrné nejen podle velikosti</w:t>
      </w:r>
      <w:r>
        <w:rPr>
          <w:rFonts w:ascii="Times New Roman" w:hAnsi="Times New Roman" w:cs="Times New Roman"/>
        </w:rPr>
        <w:t xml:space="preserve"> </w:t>
      </w:r>
      <w:r w:rsidRPr="0041315C">
        <w:rPr>
          <w:rFonts w:ascii="Times New Roman" w:hAnsi="Times New Roman" w:cs="Times New Roman"/>
          <w:b/>
        </w:rPr>
        <w:t xml:space="preserve">podniků </w:t>
      </w:r>
      <w:r>
        <w:rPr>
          <w:rFonts w:ascii="Times New Roman" w:hAnsi="Times New Roman" w:cs="Times New Roman"/>
        </w:rPr>
        <w:t xml:space="preserve">(viz Obrázek 2.14), </w:t>
      </w:r>
      <w:r w:rsidRPr="0041315C">
        <w:rPr>
          <w:rFonts w:ascii="Times New Roman" w:hAnsi="Times New Roman" w:cs="Times New Roman"/>
          <w:b/>
        </w:rPr>
        <w:t>ale také podle vlastníka podniku</w:t>
      </w:r>
      <w:r>
        <w:rPr>
          <w:rFonts w:ascii="Times New Roman" w:hAnsi="Times New Roman" w:cs="Times New Roman"/>
        </w:rPr>
        <w:t xml:space="preserve">. </w:t>
      </w:r>
      <w:r w:rsidR="00CA57A0">
        <w:rPr>
          <w:rFonts w:ascii="Times New Roman" w:hAnsi="Times New Roman" w:cs="Times New Roman"/>
        </w:rPr>
        <w:t>Své zaměstnance vzdělávalo celkem 96 % firem</w:t>
      </w:r>
      <w:r>
        <w:rPr>
          <w:rFonts w:ascii="Times New Roman" w:hAnsi="Times New Roman" w:cs="Times New Roman"/>
        </w:rPr>
        <w:t xml:space="preserve"> se zahraničním majitelem</w:t>
      </w:r>
      <w:r w:rsidR="00CA57A0">
        <w:rPr>
          <w:rFonts w:ascii="Times New Roman" w:hAnsi="Times New Roman" w:cs="Times New Roman"/>
        </w:rPr>
        <w:t>,</w:t>
      </w:r>
      <w:r>
        <w:rPr>
          <w:rFonts w:ascii="Times New Roman" w:hAnsi="Times New Roman" w:cs="Times New Roman"/>
        </w:rPr>
        <w:t xml:space="preserve"> </w:t>
      </w:r>
      <w:r w:rsidR="00CA57A0">
        <w:rPr>
          <w:rFonts w:ascii="Times New Roman" w:hAnsi="Times New Roman" w:cs="Times New Roman"/>
        </w:rPr>
        <w:t>zatímco jen 88 % českých podniků. Je nutné poznamenat, že mezi zahraničními podniky převládají velké a střední firmy, které obecně poskytují na vzdělávání zaměstnanců větší objemy finančních prostředků. Více než polovina podniků přitom použila k zajištění vzdělávání pro své zaměstnance soukromé vzdělávací agentury.</w:t>
      </w:r>
    </w:p>
    <w:p w14:paraId="22787BC8" w14:textId="62F2D959" w:rsidR="0065594B" w:rsidRDefault="00CA57A0" w:rsidP="00CA00BC">
      <w:pPr>
        <w:spacing w:before="120"/>
        <w:jc w:val="both"/>
        <w:rPr>
          <w:rFonts w:ascii="Times New Roman" w:hAnsi="Times New Roman" w:cs="Times New Roman"/>
          <w:b/>
          <w:sz w:val="22"/>
          <w:szCs w:val="22"/>
        </w:rPr>
      </w:pPr>
      <w:r>
        <w:rPr>
          <w:rFonts w:ascii="Times New Roman" w:hAnsi="Times New Roman" w:cs="Times New Roman"/>
          <w:sz w:val="22"/>
          <w:szCs w:val="22"/>
        </w:rPr>
        <w:t xml:space="preserve">Obrázek 2.14 </w:t>
      </w:r>
      <w:r w:rsidRPr="00CA57A0">
        <w:rPr>
          <w:rFonts w:ascii="Times New Roman" w:hAnsi="Times New Roman" w:cs="Times New Roman"/>
          <w:b/>
          <w:sz w:val="22"/>
          <w:szCs w:val="22"/>
        </w:rPr>
        <w:t>Podíl firem, které poskytovaly kurzy/školení</w:t>
      </w:r>
      <w:r>
        <w:rPr>
          <w:rFonts w:ascii="Times New Roman" w:hAnsi="Times New Roman" w:cs="Times New Roman"/>
          <w:b/>
          <w:sz w:val="22"/>
          <w:szCs w:val="22"/>
        </w:rPr>
        <w:t xml:space="preserve"> a jiné formy vzdělávání – dle </w:t>
      </w:r>
      <w:r w:rsidR="00491185">
        <w:rPr>
          <w:rFonts w:ascii="Times New Roman" w:hAnsi="Times New Roman" w:cs="Times New Roman"/>
          <w:b/>
          <w:sz w:val="22"/>
          <w:szCs w:val="22"/>
        </w:rPr>
        <w:t>v</w:t>
      </w:r>
      <w:r w:rsidR="0065594B">
        <w:rPr>
          <w:rFonts w:ascii="Times New Roman" w:hAnsi="Times New Roman" w:cs="Times New Roman"/>
          <w:b/>
          <w:sz w:val="22"/>
          <w:szCs w:val="22"/>
        </w:rPr>
        <w:t>elikosti</w:t>
      </w:r>
      <w:r w:rsidR="00491185">
        <w:rPr>
          <w:rFonts w:ascii="Times New Roman" w:hAnsi="Times New Roman" w:cs="Times New Roman"/>
          <w:b/>
          <w:sz w:val="22"/>
          <w:szCs w:val="22"/>
        </w:rPr>
        <w:t xml:space="preserve"> podniku</w:t>
      </w:r>
      <w:r w:rsidR="0065594B">
        <w:rPr>
          <w:rFonts w:ascii="Times New Roman" w:hAnsi="Times New Roman" w:cs="Times New Roman"/>
          <w:b/>
          <w:sz w:val="22"/>
          <w:szCs w:val="22"/>
        </w:rPr>
        <w:t xml:space="preserve"> (v %, 2015)</w:t>
      </w:r>
    </w:p>
    <w:p w14:paraId="63938608" w14:textId="39AAC400" w:rsidR="0065594B" w:rsidRPr="0065594B" w:rsidRDefault="0065594B" w:rsidP="0065594B">
      <w:pPr>
        <w:spacing w:before="120" w:line="360" w:lineRule="auto"/>
        <w:jc w:val="both"/>
        <w:rPr>
          <w:rFonts w:ascii="Times New Roman" w:hAnsi="Times New Roman" w:cs="Times New Roman"/>
        </w:rPr>
      </w:pPr>
      <w:r>
        <w:rPr>
          <w:noProof/>
          <w:lang w:val="en-US"/>
        </w:rPr>
        <w:drawing>
          <wp:inline distT="0" distB="0" distL="0" distR="0" wp14:anchorId="2D89DD24" wp14:editId="1CF567B3">
            <wp:extent cx="5274310" cy="3076575"/>
            <wp:effectExtent l="0" t="0" r="34290" b="222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2641B4" w14:textId="2ED18E69" w:rsidR="00F30BBF" w:rsidRPr="00CA00BC" w:rsidRDefault="0065594B" w:rsidP="00F30BBF">
      <w:pPr>
        <w:rPr>
          <w:rFonts w:ascii="Times New Roman" w:hAnsi="Times New Roman" w:cs="Times New Roman"/>
          <w:i/>
          <w:sz w:val="22"/>
          <w:szCs w:val="22"/>
        </w:rPr>
      </w:pPr>
      <w:r w:rsidRPr="00CA00BC">
        <w:rPr>
          <w:rFonts w:ascii="Times New Roman" w:hAnsi="Times New Roman" w:cs="Times New Roman"/>
          <w:i/>
          <w:sz w:val="22"/>
          <w:szCs w:val="22"/>
        </w:rPr>
        <w:t>Zdroj: CVTS (2016), ČSÚ (</w:t>
      </w:r>
      <w:proofErr w:type="gramStart"/>
      <w:r w:rsidRPr="00CA00BC">
        <w:rPr>
          <w:rFonts w:ascii="Times New Roman" w:hAnsi="Times New Roman" w:cs="Times New Roman"/>
          <w:i/>
          <w:sz w:val="22"/>
          <w:szCs w:val="22"/>
        </w:rPr>
        <w:t>2018</w:t>
      </w:r>
      <w:r w:rsidR="007A0B2F">
        <w:rPr>
          <w:rFonts w:ascii="Times New Roman" w:hAnsi="Times New Roman" w:cs="Times New Roman"/>
          <w:i/>
          <w:sz w:val="22"/>
          <w:szCs w:val="22"/>
        </w:rPr>
        <w:t>b</w:t>
      </w:r>
      <w:proofErr w:type="gramEnd"/>
      <w:r w:rsidRPr="00CA00BC">
        <w:rPr>
          <w:rFonts w:ascii="Times New Roman" w:hAnsi="Times New Roman" w:cs="Times New Roman"/>
          <w:i/>
          <w:sz w:val="22"/>
          <w:szCs w:val="22"/>
        </w:rPr>
        <w:t>), vlastní zpracování.</w:t>
      </w:r>
    </w:p>
    <w:p w14:paraId="7B2C18FD" w14:textId="5A8EE5F3" w:rsidR="00ED1F25" w:rsidRDefault="0065594B" w:rsidP="00A428AF">
      <w:pPr>
        <w:spacing w:before="240" w:line="360" w:lineRule="auto"/>
        <w:jc w:val="both"/>
        <w:rPr>
          <w:rFonts w:ascii="Times New Roman" w:hAnsi="Times New Roman" w:cs="Times New Roman"/>
        </w:rPr>
      </w:pPr>
      <w:r>
        <w:rPr>
          <w:rFonts w:ascii="Times New Roman" w:hAnsi="Times New Roman" w:cs="Times New Roman"/>
        </w:rPr>
        <w:t xml:space="preserve">Nepovinné kurzy poskytla více než polovina všech podniků (53 %). </w:t>
      </w:r>
      <w:r w:rsidR="00B776D7">
        <w:rPr>
          <w:rFonts w:ascii="Times New Roman" w:hAnsi="Times New Roman" w:cs="Times New Roman"/>
        </w:rPr>
        <w:t xml:space="preserve">Jiné formy vzdělávání poskytlo svým zaměstnancům 39 % podniků. Nejvíce z nich v odvětví Informační a komunikační činnosti (62 %). S velikostí podniku roste také účast zaměstnanců v jiných formách vzdělávání. Téměř tři čtvrtiny velkých podniků (74 %) umožnilo v roce 2015 svým zaměstnancům účastnit se </w:t>
      </w:r>
      <w:r w:rsidR="00CA00BC">
        <w:rPr>
          <w:rFonts w:ascii="Times New Roman" w:hAnsi="Times New Roman" w:cs="Times New Roman"/>
        </w:rPr>
        <w:t xml:space="preserve">také </w:t>
      </w:r>
      <w:r w:rsidR="00B776D7">
        <w:rPr>
          <w:rFonts w:ascii="Times New Roman" w:hAnsi="Times New Roman" w:cs="Times New Roman"/>
        </w:rPr>
        <w:t>jiné formy vzdělávání.</w:t>
      </w:r>
    </w:p>
    <w:p w14:paraId="1394B25A" w14:textId="42151D44" w:rsidR="00F74684" w:rsidRDefault="00EA3507" w:rsidP="00EA3507">
      <w:pPr>
        <w:spacing w:before="120" w:line="360" w:lineRule="auto"/>
        <w:jc w:val="both"/>
        <w:rPr>
          <w:rFonts w:ascii="Times New Roman" w:hAnsi="Times New Roman" w:cs="Times New Roman"/>
        </w:rPr>
      </w:pPr>
      <w:r>
        <w:rPr>
          <w:rFonts w:ascii="Times New Roman" w:hAnsi="Times New Roman" w:cs="Times New Roman"/>
        </w:rPr>
        <w:t xml:space="preserve">Tabulka 2.6 </w:t>
      </w:r>
      <w:r w:rsidR="005674FE">
        <w:rPr>
          <w:rFonts w:ascii="Times New Roman" w:hAnsi="Times New Roman" w:cs="Times New Roman"/>
        </w:rPr>
        <w:t xml:space="preserve">shrnuje, </w:t>
      </w:r>
      <w:r w:rsidR="005674FE" w:rsidRPr="0041315C">
        <w:rPr>
          <w:rFonts w:ascii="Times New Roman" w:hAnsi="Times New Roman" w:cs="Times New Roman"/>
          <w:b/>
        </w:rPr>
        <w:t>jak podniky reagují na zjištěnou nedostatečnost stávajících znalostí a dovedností svých zaměstnanců.</w:t>
      </w:r>
      <w:r w:rsidR="00F74684">
        <w:rPr>
          <w:rFonts w:ascii="Times New Roman" w:hAnsi="Times New Roman" w:cs="Times New Roman"/>
        </w:rPr>
        <w:t xml:space="preserve"> Většina podniků (celkem 53 %) reaguje </w:t>
      </w:r>
      <w:r w:rsidR="00F74684" w:rsidRPr="0041315C">
        <w:rPr>
          <w:rFonts w:ascii="Times New Roman" w:hAnsi="Times New Roman" w:cs="Times New Roman"/>
          <w:i/>
        </w:rPr>
        <w:t>zajištěním potřebného vzdělávání</w:t>
      </w:r>
      <w:r w:rsidR="00F74684">
        <w:rPr>
          <w:rFonts w:ascii="Times New Roman" w:hAnsi="Times New Roman" w:cs="Times New Roman"/>
        </w:rPr>
        <w:t xml:space="preserve">. Výrazný je přitom rozdíl mezi malými a velkými </w:t>
      </w:r>
      <w:r w:rsidR="00F74684">
        <w:rPr>
          <w:rFonts w:ascii="Times New Roman" w:hAnsi="Times New Roman" w:cs="Times New Roman"/>
        </w:rPr>
        <w:lastRenderedPageBreak/>
        <w:t xml:space="preserve">podniky (47 % vs. 86 %). Z hlediska odvětví podnikání nejčastěji reagují na </w:t>
      </w:r>
      <w:r w:rsidR="00CA00BC">
        <w:rPr>
          <w:rFonts w:ascii="Times New Roman" w:hAnsi="Times New Roman" w:cs="Times New Roman"/>
        </w:rPr>
        <w:t>identifikované</w:t>
      </w:r>
      <w:r w:rsidR="00F74684">
        <w:rPr>
          <w:rFonts w:ascii="Times New Roman" w:hAnsi="Times New Roman" w:cs="Times New Roman"/>
        </w:rPr>
        <w:t xml:space="preserve"> nedostatky v kompetencích svých zaměstnanců zajištěním vzdělávání podniky působící v oblasti Peněžnictví a pojišťovnictví (78 % podniků). </w:t>
      </w:r>
      <w:r w:rsidR="00120EBF">
        <w:rPr>
          <w:rFonts w:ascii="Times New Roman" w:hAnsi="Times New Roman" w:cs="Times New Roman"/>
        </w:rPr>
        <w:t xml:space="preserve">Další nejčastější reakcí je </w:t>
      </w:r>
      <w:r w:rsidR="00120EBF" w:rsidRPr="00CA00BC">
        <w:rPr>
          <w:rFonts w:ascii="Times New Roman" w:hAnsi="Times New Roman" w:cs="Times New Roman"/>
          <w:i/>
        </w:rPr>
        <w:t>vnitřní reorganizace podniku</w:t>
      </w:r>
      <w:r w:rsidR="00120EBF">
        <w:rPr>
          <w:rFonts w:ascii="Times New Roman" w:hAnsi="Times New Roman" w:cs="Times New Roman"/>
        </w:rPr>
        <w:t xml:space="preserve"> </w:t>
      </w:r>
      <w:r w:rsidR="00120EBF" w:rsidRPr="00CA00BC">
        <w:rPr>
          <w:rFonts w:ascii="Times New Roman" w:hAnsi="Times New Roman" w:cs="Times New Roman"/>
          <w:i/>
        </w:rPr>
        <w:t>s cílem zefektivnit využívání stávajících zaměstnanců a jejich dovedností</w:t>
      </w:r>
      <w:r w:rsidR="00120EBF" w:rsidRPr="00CA00BC">
        <w:rPr>
          <w:rFonts w:ascii="Times New Roman" w:hAnsi="Times New Roman" w:cs="Times New Roman"/>
        </w:rPr>
        <w:t xml:space="preserve"> </w:t>
      </w:r>
      <w:r w:rsidR="00120EBF">
        <w:rPr>
          <w:rFonts w:ascii="Times New Roman" w:hAnsi="Times New Roman" w:cs="Times New Roman"/>
        </w:rPr>
        <w:t xml:space="preserve">(24 % podniků), těsně následovaná </w:t>
      </w:r>
      <w:r w:rsidR="00120EBF" w:rsidRPr="00CA00BC">
        <w:rPr>
          <w:rFonts w:ascii="Times New Roman" w:hAnsi="Times New Roman" w:cs="Times New Roman"/>
          <w:i/>
        </w:rPr>
        <w:t>přijímáním nových pracovníků s požadovanou kvalifikací</w:t>
      </w:r>
      <w:r w:rsidR="00120EBF">
        <w:rPr>
          <w:rFonts w:ascii="Times New Roman" w:hAnsi="Times New Roman" w:cs="Times New Roman"/>
        </w:rPr>
        <w:t xml:space="preserve"> (23 % podnik). </w:t>
      </w:r>
      <w:r w:rsidR="00CF3B41">
        <w:rPr>
          <w:rFonts w:ascii="Times New Roman" w:hAnsi="Times New Roman" w:cs="Times New Roman"/>
        </w:rPr>
        <w:t>Přibližně jedna třetina malých podniků (33 %) s 10 až 19 zaměstnanci uvádí, že reaguje jiným způsobem, popř. k situaci nedochází. V těchto podnicích si z důvodu malého počtu zaměstnanců a stále stejného objemu práce nemohou dovolit reagovat jedním z uvedených zp</w:t>
      </w:r>
      <w:r w:rsidR="0041315C">
        <w:rPr>
          <w:rFonts w:ascii="Times New Roman" w:hAnsi="Times New Roman" w:cs="Times New Roman"/>
        </w:rPr>
        <w:t>ů</w:t>
      </w:r>
      <w:r w:rsidR="00CF3B41">
        <w:rPr>
          <w:rFonts w:ascii="Times New Roman" w:hAnsi="Times New Roman" w:cs="Times New Roman"/>
        </w:rPr>
        <w:t>sobů, popř. to charakt</w:t>
      </w:r>
      <w:r w:rsidR="0041315C">
        <w:rPr>
          <w:rFonts w:ascii="Times New Roman" w:hAnsi="Times New Roman" w:cs="Times New Roman"/>
        </w:rPr>
        <w:t>e</w:t>
      </w:r>
      <w:r w:rsidR="00CF3B41">
        <w:rPr>
          <w:rFonts w:ascii="Times New Roman" w:hAnsi="Times New Roman" w:cs="Times New Roman"/>
        </w:rPr>
        <w:t>r práce nevyžaduje.</w:t>
      </w:r>
    </w:p>
    <w:p w14:paraId="110C9CD9" w14:textId="0CD7FAAB" w:rsidR="00CF3B41" w:rsidRDefault="005674FE" w:rsidP="00CF7B6A">
      <w:pPr>
        <w:spacing w:before="120" w:after="120"/>
        <w:jc w:val="both"/>
        <w:rPr>
          <w:rFonts w:ascii="Times New Roman" w:hAnsi="Times New Roman" w:cs="Times New Roman"/>
          <w:b/>
          <w:sz w:val="22"/>
          <w:szCs w:val="22"/>
        </w:rPr>
      </w:pPr>
      <w:r>
        <w:rPr>
          <w:rFonts w:ascii="Times New Roman" w:hAnsi="Times New Roman" w:cs="Times New Roman"/>
          <w:sz w:val="22"/>
          <w:szCs w:val="22"/>
        </w:rPr>
        <w:t xml:space="preserve">Tabulka 2.6 </w:t>
      </w:r>
      <w:r w:rsidR="00F74684">
        <w:rPr>
          <w:rFonts w:ascii="Times New Roman" w:hAnsi="Times New Roman" w:cs="Times New Roman"/>
          <w:b/>
          <w:sz w:val="22"/>
          <w:szCs w:val="22"/>
        </w:rPr>
        <w:t xml:space="preserve">Podíl firem obvykle reagujících daným způsobem na nedostatečnost stávajících znalostí či dovedností svých zaměstnanců – dle velikosti </w:t>
      </w:r>
      <w:r w:rsidR="00491185">
        <w:rPr>
          <w:rFonts w:ascii="Times New Roman" w:hAnsi="Times New Roman" w:cs="Times New Roman"/>
          <w:b/>
          <w:sz w:val="22"/>
          <w:szCs w:val="22"/>
        </w:rPr>
        <w:t xml:space="preserve">podniku </w:t>
      </w:r>
      <w:r w:rsidR="00F74684">
        <w:rPr>
          <w:rFonts w:ascii="Times New Roman" w:hAnsi="Times New Roman" w:cs="Times New Roman"/>
          <w:b/>
          <w:sz w:val="22"/>
          <w:szCs w:val="22"/>
        </w:rPr>
        <w:t>(v %, 2015)</w:t>
      </w:r>
    </w:p>
    <w:tbl>
      <w:tblPr>
        <w:tblStyle w:val="Svtlmkazvraznn1"/>
        <w:tblW w:w="0" w:type="auto"/>
        <w:tblLook w:val="04A0" w:firstRow="1" w:lastRow="0" w:firstColumn="1" w:lastColumn="0" w:noHBand="0" w:noVBand="1"/>
      </w:tblPr>
      <w:tblGrid>
        <w:gridCol w:w="4010"/>
        <w:gridCol w:w="832"/>
        <w:gridCol w:w="871"/>
        <w:gridCol w:w="871"/>
        <w:gridCol w:w="918"/>
        <w:gridCol w:w="1020"/>
      </w:tblGrid>
      <w:tr w:rsidR="00CF3B41" w:rsidRPr="00F30BBF" w14:paraId="2389F08F" w14:textId="77777777" w:rsidTr="00CF3B41">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C59B39A" w14:textId="77777777" w:rsidR="00CF3B41" w:rsidRPr="0022095C" w:rsidRDefault="00CF3B41" w:rsidP="00CF3B41">
            <w:pPr>
              <w:pStyle w:val="Nadpis1"/>
              <w:spacing w:before="120"/>
              <w:jc w:val="center"/>
              <w:outlineLvl w:val="0"/>
              <w:rPr>
                <w:b/>
                <w:color w:val="auto"/>
                <w:sz w:val="20"/>
                <w:szCs w:val="20"/>
              </w:rPr>
            </w:pPr>
            <w:bookmarkStart w:id="36" w:name="_Toc398662602"/>
            <w:r w:rsidRPr="0022095C">
              <w:rPr>
                <w:b/>
                <w:color w:val="auto"/>
                <w:sz w:val="20"/>
                <w:szCs w:val="20"/>
              </w:rPr>
              <w:t>Způsob reakce</w:t>
            </w:r>
            <w:bookmarkEnd w:id="36"/>
          </w:p>
        </w:tc>
        <w:tc>
          <w:tcPr>
            <w:tcW w:w="0" w:type="auto"/>
            <w:vMerge w:val="restart"/>
            <w:vAlign w:val="center"/>
          </w:tcPr>
          <w:p w14:paraId="684BE100" w14:textId="77777777" w:rsidR="00CF3B41" w:rsidRPr="0022095C" w:rsidRDefault="00CF3B41" w:rsidP="00CF3B41">
            <w:pPr>
              <w:pStyle w:val="Nadpis1"/>
              <w:spacing w:before="120"/>
              <w:jc w:val="center"/>
              <w:outlineLvl w:val="0"/>
              <w:cnfStyle w:val="100000000000" w:firstRow="1" w:lastRow="0" w:firstColumn="0" w:lastColumn="0" w:oddVBand="0" w:evenVBand="0" w:oddHBand="0" w:evenHBand="0" w:firstRowFirstColumn="0" w:firstRowLastColumn="0" w:lastRowFirstColumn="0" w:lastRowLastColumn="0"/>
              <w:rPr>
                <w:b/>
                <w:color w:val="auto"/>
                <w:sz w:val="20"/>
                <w:szCs w:val="20"/>
              </w:rPr>
            </w:pPr>
            <w:bookmarkStart w:id="37" w:name="_Toc398662603"/>
            <w:r w:rsidRPr="0022095C">
              <w:rPr>
                <w:b/>
                <w:color w:val="auto"/>
                <w:sz w:val="20"/>
                <w:szCs w:val="20"/>
              </w:rPr>
              <w:t>Celkem</w:t>
            </w:r>
            <w:bookmarkEnd w:id="37"/>
          </w:p>
        </w:tc>
        <w:tc>
          <w:tcPr>
            <w:tcW w:w="0" w:type="auto"/>
            <w:gridSpan w:val="4"/>
          </w:tcPr>
          <w:p w14:paraId="4203B6D5" w14:textId="77777777" w:rsidR="00CF3B41" w:rsidRPr="0022095C" w:rsidRDefault="00CF3B41" w:rsidP="00CF3B41">
            <w:pPr>
              <w:pStyle w:val="Nadpis1"/>
              <w:spacing w:before="120"/>
              <w:jc w:val="center"/>
              <w:outlineLvl w:val="0"/>
              <w:cnfStyle w:val="100000000000" w:firstRow="1" w:lastRow="0" w:firstColumn="0" w:lastColumn="0" w:oddVBand="0" w:evenVBand="0" w:oddHBand="0" w:evenHBand="0" w:firstRowFirstColumn="0" w:firstRowLastColumn="0" w:lastRowFirstColumn="0" w:lastRowLastColumn="0"/>
              <w:rPr>
                <w:b/>
                <w:color w:val="auto"/>
                <w:sz w:val="20"/>
                <w:szCs w:val="20"/>
              </w:rPr>
            </w:pPr>
            <w:bookmarkStart w:id="38" w:name="_Toc398662604"/>
            <w:r w:rsidRPr="0022095C">
              <w:rPr>
                <w:b/>
                <w:color w:val="auto"/>
                <w:sz w:val="20"/>
                <w:szCs w:val="20"/>
              </w:rPr>
              <w:t>Dle velikosti podniku</w:t>
            </w:r>
            <w:bookmarkEnd w:id="38"/>
          </w:p>
        </w:tc>
      </w:tr>
      <w:tr w:rsidR="00CF3B41" w:rsidRPr="00F30BBF" w14:paraId="13D1DFCF" w14:textId="77777777" w:rsidTr="00CF3B41">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0" w:type="auto"/>
            <w:vMerge/>
          </w:tcPr>
          <w:p w14:paraId="7DDE55FE" w14:textId="77777777" w:rsidR="00CF3B41" w:rsidRPr="00F30BBF" w:rsidRDefault="00CF3B41" w:rsidP="00CF3B41">
            <w:pPr>
              <w:pStyle w:val="Nadpis1"/>
              <w:spacing w:before="120"/>
              <w:outlineLvl w:val="0"/>
              <w:rPr>
                <w:color w:val="auto"/>
                <w:sz w:val="20"/>
                <w:szCs w:val="20"/>
              </w:rPr>
            </w:pPr>
          </w:p>
        </w:tc>
        <w:tc>
          <w:tcPr>
            <w:tcW w:w="0" w:type="auto"/>
            <w:vMerge/>
          </w:tcPr>
          <w:p w14:paraId="5595EC61" w14:textId="77777777" w:rsidR="00CF3B41" w:rsidRPr="00F30BBF" w:rsidRDefault="00CF3B41" w:rsidP="00CF3B41">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0" w:type="auto"/>
          </w:tcPr>
          <w:p w14:paraId="739A2FDC" w14:textId="77777777" w:rsidR="00CF3B41" w:rsidRPr="00295192" w:rsidRDefault="00CF3B41" w:rsidP="00CF3B41">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39" w:name="_Toc398662605"/>
            <w:r>
              <w:rPr>
                <w:color w:val="auto"/>
                <w:sz w:val="20"/>
                <w:szCs w:val="20"/>
              </w:rPr>
              <w:t xml:space="preserve">10–19 </w:t>
            </w:r>
            <w:proofErr w:type="spellStart"/>
            <w:r>
              <w:rPr>
                <w:color w:val="auto"/>
                <w:sz w:val="20"/>
                <w:szCs w:val="20"/>
              </w:rPr>
              <w:t>zam</w:t>
            </w:r>
            <w:proofErr w:type="spellEnd"/>
            <w:r>
              <w:rPr>
                <w:color w:val="auto"/>
                <w:sz w:val="20"/>
                <w:szCs w:val="20"/>
              </w:rPr>
              <w:t>.</w:t>
            </w:r>
            <w:bookmarkEnd w:id="39"/>
          </w:p>
        </w:tc>
        <w:tc>
          <w:tcPr>
            <w:tcW w:w="0" w:type="auto"/>
          </w:tcPr>
          <w:p w14:paraId="7D2AF6F7" w14:textId="77777777" w:rsidR="00CF3B41" w:rsidRDefault="00CF3B41" w:rsidP="00CF3B41">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40" w:name="_Toc398662606"/>
            <w:r>
              <w:rPr>
                <w:color w:val="auto"/>
                <w:sz w:val="20"/>
                <w:szCs w:val="20"/>
              </w:rPr>
              <w:t xml:space="preserve">20–49 </w:t>
            </w:r>
            <w:proofErr w:type="spellStart"/>
            <w:r>
              <w:rPr>
                <w:color w:val="auto"/>
                <w:sz w:val="20"/>
                <w:szCs w:val="20"/>
              </w:rPr>
              <w:t>zam</w:t>
            </w:r>
            <w:proofErr w:type="spellEnd"/>
            <w:r>
              <w:rPr>
                <w:color w:val="auto"/>
                <w:sz w:val="20"/>
                <w:szCs w:val="20"/>
              </w:rPr>
              <w:t>.</w:t>
            </w:r>
            <w:bookmarkEnd w:id="40"/>
          </w:p>
          <w:p w14:paraId="74515F3C" w14:textId="77777777" w:rsidR="00CF3B41" w:rsidRPr="00295192" w:rsidRDefault="00CF3B41" w:rsidP="00CF3B41">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0" w:type="auto"/>
          </w:tcPr>
          <w:p w14:paraId="70BF6439" w14:textId="77777777" w:rsidR="00CF3B41" w:rsidRPr="00F30BBF" w:rsidRDefault="00CF3B41" w:rsidP="00CF3B41">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41" w:name="_Toc398662607"/>
            <w:r>
              <w:rPr>
                <w:color w:val="auto"/>
                <w:sz w:val="20"/>
                <w:szCs w:val="20"/>
              </w:rPr>
              <w:t xml:space="preserve">50–249 </w:t>
            </w:r>
            <w:proofErr w:type="spellStart"/>
            <w:r>
              <w:rPr>
                <w:color w:val="auto"/>
                <w:sz w:val="20"/>
                <w:szCs w:val="20"/>
              </w:rPr>
              <w:t>zam</w:t>
            </w:r>
            <w:proofErr w:type="spellEnd"/>
            <w:r>
              <w:rPr>
                <w:color w:val="auto"/>
                <w:sz w:val="20"/>
                <w:szCs w:val="20"/>
              </w:rPr>
              <w:t>.</w:t>
            </w:r>
            <w:bookmarkEnd w:id="41"/>
            <w:r>
              <w:rPr>
                <w:color w:val="auto"/>
                <w:sz w:val="20"/>
                <w:szCs w:val="20"/>
              </w:rPr>
              <w:t xml:space="preserve"> </w:t>
            </w:r>
          </w:p>
        </w:tc>
        <w:tc>
          <w:tcPr>
            <w:tcW w:w="0" w:type="auto"/>
          </w:tcPr>
          <w:p w14:paraId="7974E068" w14:textId="77777777" w:rsidR="00CF3B41" w:rsidRPr="00F30BBF" w:rsidRDefault="00CF3B41" w:rsidP="00CF3B41">
            <w:pPr>
              <w:pStyle w:val="Nadpis1"/>
              <w:spacing w:before="120" w:line="240" w:lineRule="atLeast"/>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42" w:name="_Toc398662608"/>
            <w:r>
              <w:rPr>
                <w:color w:val="auto"/>
                <w:sz w:val="20"/>
                <w:szCs w:val="20"/>
              </w:rPr>
              <w:t xml:space="preserve">250 a více </w:t>
            </w:r>
            <w:proofErr w:type="spellStart"/>
            <w:r>
              <w:rPr>
                <w:color w:val="auto"/>
                <w:sz w:val="20"/>
                <w:szCs w:val="20"/>
              </w:rPr>
              <w:t>zam</w:t>
            </w:r>
            <w:proofErr w:type="spellEnd"/>
            <w:r>
              <w:rPr>
                <w:color w:val="auto"/>
                <w:sz w:val="20"/>
                <w:szCs w:val="20"/>
              </w:rPr>
              <w:t>.</w:t>
            </w:r>
            <w:bookmarkEnd w:id="42"/>
          </w:p>
        </w:tc>
      </w:tr>
      <w:tr w:rsidR="00CF3B41" w:rsidRPr="00F30BBF" w14:paraId="39D85062" w14:textId="77777777" w:rsidTr="00CF3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3BC92" w14:textId="77777777" w:rsidR="00CF3B41" w:rsidRPr="0022095C" w:rsidRDefault="00CF3B41" w:rsidP="00CF3B41">
            <w:pPr>
              <w:pStyle w:val="Nadpis1"/>
              <w:spacing w:before="120"/>
              <w:outlineLvl w:val="0"/>
              <w:rPr>
                <w:color w:val="auto"/>
                <w:sz w:val="20"/>
                <w:szCs w:val="20"/>
              </w:rPr>
            </w:pPr>
            <w:bookmarkStart w:id="43" w:name="_Toc398662609"/>
            <w:r w:rsidRPr="0022095C">
              <w:rPr>
                <w:color w:val="auto"/>
                <w:sz w:val="20"/>
                <w:szCs w:val="20"/>
              </w:rPr>
              <w:t>Zajištění potřebného vzdělávání stávajícím zaměstnancům</w:t>
            </w:r>
            <w:bookmarkEnd w:id="43"/>
          </w:p>
        </w:tc>
        <w:tc>
          <w:tcPr>
            <w:tcW w:w="0" w:type="auto"/>
          </w:tcPr>
          <w:p w14:paraId="59E62BF7"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44" w:name="_Toc398662610"/>
            <w:r w:rsidRPr="0022095C">
              <w:rPr>
                <w:b w:val="0"/>
                <w:color w:val="auto"/>
                <w:sz w:val="20"/>
                <w:szCs w:val="20"/>
              </w:rPr>
              <w:t>53</w:t>
            </w:r>
            <w:bookmarkEnd w:id="44"/>
          </w:p>
        </w:tc>
        <w:tc>
          <w:tcPr>
            <w:tcW w:w="0" w:type="auto"/>
          </w:tcPr>
          <w:p w14:paraId="6E31978B"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45" w:name="_Toc398662611"/>
            <w:r>
              <w:rPr>
                <w:b w:val="0"/>
                <w:color w:val="auto"/>
                <w:sz w:val="20"/>
                <w:szCs w:val="20"/>
              </w:rPr>
              <w:t>47</w:t>
            </w:r>
            <w:bookmarkEnd w:id="45"/>
          </w:p>
        </w:tc>
        <w:tc>
          <w:tcPr>
            <w:tcW w:w="0" w:type="auto"/>
          </w:tcPr>
          <w:p w14:paraId="7F8F9026"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46" w:name="_Toc398662612"/>
            <w:r>
              <w:rPr>
                <w:b w:val="0"/>
                <w:color w:val="auto"/>
                <w:sz w:val="20"/>
                <w:szCs w:val="20"/>
              </w:rPr>
              <w:t>49</w:t>
            </w:r>
            <w:bookmarkEnd w:id="46"/>
            <w:r>
              <w:rPr>
                <w:b w:val="0"/>
                <w:color w:val="auto"/>
                <w:sz w:val="20"/>
                <w:szCs w:val="20"/>
              </w:rPr>
              <w:t xml:space="preserve"> </w:t>
            </w:r>
          </w:p>
        </w:tc>
        <w:tc>
          <w:tcPr>
            <w:tcW w:w="0" w:type="auto"/>
          </w:tcPr>
          <w:p w14:paraId="419A0E4C"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47" w:name="_Toc398662613"/>
            <w:r>
              <w:rPr>
                <w:b w:val="0"/>
                <w:color w:val="auto"/>
                <w:sz w:val="20"/>
                <w:szCs w:val="20"/>
              </w:rPr>
              <w:t>68</w:t>
            </w:r>
            <w:bookmarkEnd w:id="47"/>
          </w:p>
        </w:tc>
        <w:tc>
          <w:tcPr>
            <w:tcW w:w="0" w:type="auto"/>
          </w:tcPr>
          <w:p w14:paraId="4E234343"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48" w:name="_Toc398662614"/>
            <w:r>
              <w:rPr>
                <w:b w:val="0"/>
                <w:color w:val="auto"/>
                <w:sz w:val="20"/>
                <w:szCs w:val="20"/>
              </w:rPr>
              <w:t>86</w:t>
            </w:r>
            <w:bookmarkEnd w:id="48"/>
          </w:p>
        </w:tc>
      </w:tr>
      <w:tr w:rsidR="00CF3B41" w:rsidRPr="00F30BBF" w14:paraId="1ED41712" w14:textId="77777777" w:rsidTr="00CF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0A0C9" w14:textId="77777777" w:rsidR="00CF3B41" w:rsidRPr="0022095C" w:rsidRDefault="00CF3B41" w:rsidP="00CF3B41">
            <w:pPr>
              <w:pStyle w:val="Nadpis1"/>
              <w:spacing w:before="120"/>
              <w:outlineLvl w:val="0"/>
              <w:rPr>
                <w:color w:val="auto"/>
                <w:sz w:val="20"/>
                <w:szCs w:val="20"/>
              </w:rPr>
            </w:pPr>
            <w:bookmarkStart w:id="49" w:name="_Toc398662615"/>
            <w:r w:rsidRPr="0022095C">
              <w:rPr>
                <w:color w:val="auto"/>
                <w:sz w:val="20"/>
                <w:szCs w:val="20"/>
              </w:rPr>
              <w:t>Přijetí nových pracovníků s odpovídající kvalifikací</w:t>
            </w:r>
            <w:bookmarkEnd w:id="49"/>
          </w:p>
        </w:tc>
        <w:tc>
          <w:tcPr>
            <w:tcW w:w="0" w:type="auto"/>
          </w:tcPr>
          <w:p w14:paraId="5975090C"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50" w:name="_Toc398662616"/>
            <w:r>
              <w:rPr>
                <w:b w:val="0"/>
                <w:color w:val="auto"/>
                <w:sz w:val="20"/>
                <w:szCs w:val="20"/>
              </w:rPr>
              <w:t>23</w:t>
            </w:r>
            <w:bookmarkEnd w:id="50"/>
          </w:p>
        </w:tc>
        <w:tc>
          <w:tcPr>
            <w:tcW w:w="0" w:type="auto"/>
          </w:tcPr>
          <w:p w14:paraId="79E8FCE1"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51" w:name="_Toc398662617"/>
            <w:r>
              <w:rPr>
                <w:b w:val="0"/>
                <w:color w:val="auto"/>
                <w:sz w:val="20"/>
                <w:szCs w:val="20"/>
              </w:rPr>
              <w:t>19</w:t>
            </w:r>
            <w:bookmarkEnd w:id="51"/>
          </w:p>
        </w:tc>
        <w:tc>
          <w:tcPr>
            <w:tcW w:w="0" w:type="auto"/>
          </w:tcPr>
          <w:p w14:paraId="7A3A36AD"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52" w:name="_Toc398662618"/>
            <w:r>
              <w:rPr>
                <w:b w:val="0"/>
                <w:color w:val="auto"/>
                <w:sz w:val="20"/>
                <w:szCs w:val="20"/>
              </w:rPr>
              <w:t>22</w:t>
            </w:r>
            <w:bookmarkEnd w:id="52"/>
          </w:p>
        </w:tc>
        <w:tc>
          <w:tcPr>
            <w:tcW w:w="0" w:type="auto"/>
          </w:tcPr>
          <w:p w14:paraId="26507D44"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53" w:name="_Toc398662619"/>
            <w:r>
              <w:rPr>
                <w:b w:val="0"/>
                <w:color w:val="auto"/>
                <w:sz w:val="20"/>
                <w:szCs w:val="20"/>
              </w:rPr>
              <w:t>30</w:t>
            </w:r>
            <w:bookmarkEnd w:id="53"/>
          </w:p>
        </w:tc>
        <w:tc>
          <w:tcPr>
            <w:tcW w:w="0" w:type="auto"/>
          </w:tcPr>
          <w:p w14:paraId="78E25B43"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54" w:name="_Toc398662620"/>
            <w:r>
              <w:rPr>
                <w:b w:val="0"/>
                <w:color w:val="auto"/>
                <w:sz w:val="20"/>
                <w:szCs w:val="20"/>
              </w:rPr>
              <w:t>42</w:t>
            </w:r>
            <w:bookmarkEnd w:id="54"/>
          </w:p>
        </w:tc>
      </w:tr>
      <w:tr w:rsidR="00CF3B41" w:rsidRPr="00F30BBF" w14:paraId="26DC60A8" w14:textId="77777777" w:rsidTr="00CF3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5DF96" w14:textId="77777777" w:rsidR="00CF3B41" w:rsidRPr="0022095C" w:rsidRDefault="00CF3B41" w:rsidP="00CF3B41">
            <w:pPr>
              <w:pStyle w:val="Nadpis1"/>
              <w:spacing w:before="120"/>
              <w:outlineLvl w:val="0"/>
              <w:rPr>
                <w:color w:val="auto"/>
                <w:sz w:val="20"/>
                <w:szCs w:val="20"/>
              </w:rPr>
            </w:pPr>
            <w:bookmarkStart w:id="55" w:name="_Toc398662621"/>
            <w:r w:rsidRPr="0022095C">
              <w:rPr>
                <w:color w:val="auto"/>
                <w:sz w:val="20"/>
                <w:szCs w:val="20"/>
              </w:rPr>
              <w:t>Přijetí nových pracovníků a následné zajištění vzdělávání</w:t>
            </w:r>
            <w:bookmarkEnd w:id="55"/>
          </w:p>
        </w:tc>
        <w:tc>
          <w:tcPr>
            <w:tcW w:w="0" w:type="auto"/>
          </w:tcPr>
          <w:p w14:paraId="2FDF535C"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56" w:name="_Toc398662622"/>
            <w:r>
              <w:rPr>
                <w:b w:val="0"/>
                <w:color w:val="auto"/>
                <w:sz w:val="20"/>
                <w:szCs w:val="20"/>
              </w:rPr>
              <w:t>4</w:t>
            </w:r>
            <w:bookmarkEnd w:id="56"/>
          </w:p>
        </w:tc>
        <w:tc>
          <w:tcPr>
            <w:tcW w:w="0" w:type="auto"/>
          </w:tcPr>
          <w:p w14:paraId="258DD068"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57" w:name="_Toc398662623"/>
            <w:r>
              <w:rPr>
                <w:b w:val="0"/>
                <w:color w:val="auto"/>
                <w:sz w:val="20"/>
                <w:szCs w:val="20"/>
              </w:rPr>
              <w:t>3</w:t>
            </w:r>
            <w:bookmarkEnd w:id="57"/>
          </w:p>
        </w:tc>
        <w:tc>
          <w:tcPr>
            <w:tcW w:w="0" w:type="auto"/>
          </w:tcPr>
          <w:p w14:paraId="4C80F368"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58" w:name="_Toc398662624"/>
            <w:r>
              <w:rPr>
                <w:b w:val="0"/>
                <w:color w:val="auto"/>
                <w:sz w:val="20"/>
                <w:szCs w:val="20"/>
              </w:rPr>
              <w:t>3</w:t>
            </w:r>
            <w:bookmarkEnd w:id="58"/>
          </w:p>
        </w:tc>
        <w:tc>
          <w:tcPr>
            <w:tcW w:w="0" w:type="auto"/>
          </w:tcPr>
          <w:p w14:paraId="0A06BD84"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59" w:name="_Toc398662625"/>
            <w:r>
              <w:rPr>
                <w:b w:val="0"/>
                <w:color w:val="auto"/>
                <w:sz w:val="20"/>
                <w:szCs w:val="20"/>
              </w:rPr>
              <w:t>4</w:t>
            </w:r>
            <w:bookmarkEnd w:id="59"/>
          </w:p>
        </w:tc>
        <w:tc>
          <w:tcPr>
            <w:tcW w:w="0" w:type="auto"/>
          </w:tcPr>
          <w:p w14:paraId="3FA13789"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60" w:name="_Toc398662626"/>
            <w:r>
              <w:rPr>
                <w:b w:val="0"/>
                <w:color w:val="auto"/>
                <w:sz w:val="20"/>
                <w:szCs w:val="20"/>
              </w:rPr>
              <w:t>9</w:t>
            </w:r>
            <w:bookmarkEnd w:id="60"/>
          </w:p>
        </w:tc>
      </w:tr>
      <w:tr w:rsidR="00CF3B41" w:rsidRPr="00F30BBF" w14:paraId="33D94B70" w14:textId="77777777" w:rsidTr="00CF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74D75C" w14:textId="77777777" w:rsidR="00CF3B41" w:rsidRPr="0022095C" w:rsidRDefault="00CF3B41" w:rsidP="00CF3B41">
            <w:pPr>
              <w:pStyle w:val="Nadpis1"/>
              <w:spacing w:before="120"/>
              <w:outlineLvl w:val="0"/>
              <w:rPr>
                <w:color w:val="auto"/>
                <w:sz w:val="20"/>
                <w:szCs w:val="20"/>
              </w:rPr>
            </w:pPr>
            <w:bookmarkStart w:id="61" w:name="_Toc398662627"/>
            <w:r w:rsidRPr="0022095C">
              <w:rPr>
                <w:color w:val="auto"/>
                <w:sz w:val="20"/>
                <w:szCs w:val="20"/>
              </w:rPr>
              <w:t>Vnitřní reorganizace za účelem lepšího využití stávajících dovedností zaměstnanců</w:t>
            </w:r>
            <w:bookmarkEnd w:id="61"/>
          </w:p>
        </w:tc>
        <w:tc>
          <w:tcPr>
            <w:tcW w:w="0" w:type="auto"/>
          </w:tcPr>
          <w:p w14:paraId="7076C574"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62" w:name="_Toc398662628"/>
            <w:r>
              <w:rPr>
                <w:b w:val="0"/>
                <w:color w:val="auto"/>
                <w:sz w:val="20"/>
                <w:szCs w:val="20"/>
              </w:rPr>
              <w:t>24</w:t>
            </w:r>
            <w:bookmarkEnd w:id="62"/>
          </w:p>
        </w:tc>
        <w:tc>
          <w:tcPr>
            <w:tcW w:w="0" w:type="auto"/>
          </w:tcPr>
          <w:p w14:paraId="1781D5AD"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63" w:name="_Toc398662629"/>
            <w:r>
              <w:rPr>
                <w:b w:val="0"/>
                <w:color w:val="auto"/>
                <w:sz w:val="20"/>
                <w:szCs w:val="20"/>
              </w:rPr>
              <w:t>21</w:t>
            </w:r>
            <w:bookmarkEnd w:id="63"/>
          </w:p>
        </w:tc>
        <w:tc>
          <w:tcPr>
            <w:tcW w:w="0" w:type="auto"/>
          </w:tcPr>
          <w:p w14:paraId="6AEEFBED"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64" w:name="_Toc398662630"/>
            <w:r>
              <w:rPr>
                <w:b w:val="0"/>
                <w:color w:val="auto"/>
                <w:sz w:val="20"/>
                <w:szCs w:val="20"/>
              </w:rPr>
              <w:t>23</w:t>
            </w:r>
            <w:bookmarkEnd w:id="64"/>
          </w:p>
        </w:tc>
        <w:tc>
          <w:tcPr>
            <w:tcW w:w="0" w:type="auto"/>
          </w:tcPr>
          <w:p w14:paraId="6D43A822"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65" w:name="_Toc398662631"/>
            <w:r>
              <w:rPr>
                <w:b w:val="0"/>
                <w:color w:val="auto"/>
                <w:sz w:val="20"/>
                <w:szCs w:val="20"/>
              </w:rPr>
              <w:t>30</w:t>
            </w:r>
            <w:bookmarkEnd w:id="65"/>
          </w:p>
        </w:tc>
        <w:tc>
          <w:tcPr>
            <w:tcW w:w="0" w:type="auto"/>
          </w:tcPr>
          <w:p w14:paraId="57961610" w14:textId="77777777" w:rsidR="00CF3B41" w:rsidRPr="0022095C" w:rsidRDefault="00CF3B41" w:rsidP="00CF3B41">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66" w:name="_Toc398662632"/>
            <w:r>
              <w:rPr>
                <w:b w:val="0"/>
                <w:color w:val="auto"/>
                <w:sz w:val="20"/>
                <w:szCs w:val="20"/>
              </w:rPr>
              <w:t>32</w:t>
            </w:r>
            <w:bookmarkEnd w:id="66"/>
          </w:p>
        </w:tc>
      </w:tr>
      <w:tr w:rsidR="00CF3B41" w:rsidRPr="00F30BBF" w14:paraId="2A8D0EF5" w14:textId="77777777" w:rsidTr="00CF3B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FE98C" w14:textId="77777777" w:rsidR="00CF3B41" w:rsidRPr="0022095C" w:rsidRDefault="00CF3B41" w:rsidP="00CF3B41">
            <w:pPr>
              <w:pStyle w:val="Nadpis1"/>
              <w:spacing w:before="120"/>
              <w:outlineLvl w:val="0"/>
              <w:rPr>
                <w:color w:val="auto"/>
                <w:sz w:val="20"/>
                <w:szCs w:val="20"/>
              </w:rPr>
            </w:pPr>
            <w:bookmarkStart w:id="67" w:name="_Toc398662633"/>
            <w:r w:rsidRPr="0022095C">
              <w:rPr>
                <w:color w:val="auto"/>
                <w:sz w:val="20"/>
                <w:szCs w:val="20"/>
              </w:rPr>
              <w:t>Ani jedno z výše uvedených (jiný způsob nebo k situaci nedochází)</w:t>
            </w:r>
            <w:bookmarkEnd w:id="67"/>
          </w:p>
        </w:tc>
        <w:tc>
          <w:tcPr>
            <w:tcW w:w="0" w:type="auto"/>
          </w:tcPr>
          <w:p w14:paraId="731F5BE0"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68" w:name="_Toc398662634"/>
            <w:r>
              <w:rPr>
                <w:b w:val="0"/>
                <w:color w:val="auto"/>
                <w:sz w:val="20"/>
                <w:szCs w:val="20"/>
              </w:rPr>
              <w:t>27</w:t>
            </w:r>
            <w:bookmarkEnd w:id="68"/>
          </w:p>
        </w:tc>
        <w:tc>
          <w:tcPr>
            <w:tcW w:w="0" w:type="auto"/>
          </w:tcPr>
          <w:p w14:paraId="15148D2C"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69" w:name="_Toc398662635"/>
            <w:r>
              <w:rPr>
                <w:b w:val="0"/>
                <w:color w:val="auto"/>
                <w:sz w:val="20"/>
                <w:szCs w:val="20"/>
              </w:rPr>
              <w:t>33</w:t>
            </w:r>
            <w:bookmarkEnd w:id="69"/>
          </w:p>
        </w:tc>
        <w:tc>
          <w:tcPr>
            <w:tcW w:w="0" w:type="auto"/>
          </w:tcPr>
          <w:p w14:paraId="5078A0EF"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70" w:name="_Toc398662636"/>
            <w:r>
              <w:rPr>
                <w:b w:val="0"/>
                <w:color w:val="auto"/>
                <w:sz w:val="20"/>
                <w:szCs w:val="20"/>
              </w:rPr>
              <w:t>28</w:t>
            </w:r>
            <w:bookmarkEnd w:id="70"/>
          </w:p>
        </w:tc>
        <w:tc>
          <w:tcPr>
            <w:tcW w:w="0" w:type="auto"/>
          </w:tcPr>
          <w:p w14:paraId="3EC2C365"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71" w:name="_Toc398662637"/>
            <w:r>
              <w:rPr>
                <w:b w:val="0"/>
                <w:color w:val="auto"/>
                <w:sz w:val="20"/>
                <w:szCs w:val="20"/>
              </w:rPr>
              <w:t>16</w:t>
            </w:r>
            <w:bookmarkEnd w:id="71"/>
          </w:p>
        </w:tc>
        <w:tc>
          <w:tcPr>
            <w:tcW w:w="0" w:type="auto"/>
          </w:tcPr>
          <w:p w14:paraId="50CED9F9" w14:textId="77777777" w:rsidR="00CF3B41" w:rsidRPr="0022095C" w:rsidRDefault="00CF3B41" w:rsidP="00CF3B41">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72" w:name="_Toc398662638"/>
            <w:r>
              <w:rPr>
                <w:b w:val="0"/>
                <w:color w:val="auto"/>
                <w:sz w:val="20"/>
                <w:szCs w:val="20"/>
              </w:rPr>
              <w:t>5</w:t>
            </w:r>
            <w:bookmarkEnd w:id="72"/>
          </w:p>
        </w:tc>
      </w:tr>
    </w:tbl>
    <w:p w14:paraId="30F82F54" w14:textId="132F85E2" w:rsidR="00CF3B41" w:rsidRPr="00CA00BC" w:rsidRDefault="00CF3B41" w:rsidP="00CF3B41">
      <w:pPr>
        <w:spacing w:before="120"/>
        <w:rPr>
          <w:rFonts w:ascii="Times New Roman" w:hAnsi="Times New Roman" w:cs="Times New Roman"/>
          <w:i/>
          <w:sz w:val="22"/>
          <w:szCs w:val="22"/>
        </w:rPr>
      </w:pPr>
      <w:r w:rsidRPr="00CA00BC">
        <w:rPr>
          <w:rFonts w:ascii="Times New Roman" w:hAnsi="Times New Roman" w:cs="Times New Roman"/>
          <w:i/>
          <w:sz w:val="22"/>
          <w:szCs w:val="22"/>
        </w:rPr>
        <w:t>Zdroj: CVTS (2016), ČSÚ (</w:t>
      </w:r>
      <w:proofErr w:type="gramStart"/>
      <w:r w:rsidRPr="00CA00BC">
        <w:rPr>
          <w:rFonts w:ascii="Times New Roman" w:hAnsi="Times New Roman" w:cs="Times New Roman"/>
          <w:i/>
          <w:sz w:val="22"/>
          <w:szCs w:val="22"/>
        </w:rPr>
        <w:t>2018</w:t>
      </w:r>
      <w:r w:rsidR="005019C3">
        <w:rPr>
          <w:rFonts w:ascii="Times New Roman" w:hAnsi="Times New Roman" w:cs="Times New Roman"/>
          <w:i/>
          <w:sz w:val="22"/>
          <w:szCs w:val="22"/>
        </w:rPr>
        <w:t>b</w:t>
      </w:r>
      <w:proofErr w:type="gramEnd"/>
      <w:r w:rsidRPr="00CA00BC">
        <w:rPr>
          <w:rFonts w:ascii="Times New Roman" w:hAnsi="Times New Roman" w:cs="Times New Roman"/>
          <w:i/>
          <w:sz w:val="22"/>
          <w:szCs w:val="22"/>
        </w:rPr>
        <w:t>), vlastní zpracování.</w:t>
      </w:r>
    </w:p>
    <w:p w14:paraId="385DCDCC" w14:textId="0463409F" w:rsidR="00CF3B41" w:rsidRDefault="0041315C" w:rsidP="0041315C">
      <w:pPr>
        <w:spacing w:before="240" w:line="360" w:lineRule="auto"/>
        <w:jc w:val="both"/>
        <w:rPr>
          <w:rFonts w:ascii="Times New Roman" w:hAnsi="Times New Roman" w:cs="Times New Roman"/>
        </w:rPr>
      </w:pPr>
      <w:r>
        <w:rPr>
          <w:rFonts w:ascii="Times New Roman" w:hAnsi="Times New Roman" w:cs="Times New Roman"/>
        </w:rPr>
        <w:t xml:space="preserve">Systém vzdělávání v podniku, jeho podobu, frekvenci a formy vzdělávání do určité míry ovlivňuje také skutečnost, </w:t>
      </w:r>
      <w:r w:rsidRPr="0041315C">
        <w:rPr>
          <w:rFonts w:ascii="Times New Roman" w:hAnsi="Times New Roman" w:cs="Times New Roman"/>
          <w:b/>
        </w:rPr>
        <w:t>zda jsou do rozhodování o vzdělávání zapojeni zástupci zaměstnanců (odborové organizace)</w:t>
      </w:r>
      <w:r w:rsidR="006A607E">
        <w:rPr>
          <w:rFonts w:ascii="Times New Roman" w:hAnsi="Times New Roman" w:cs="Times New Roman"/>
        </w:rPr>
        <w:t xml:space="preserve">. </w:t>
      </w:r>
    </w:p>
    <w:p w14:paraId="7ED310DD" w14:textId="6A6C73F4" w:rsidR="006A607E" w:rsidRDefault="006A607E" w:rsidP="006A607E">
      <w:pPr>
        <w:spacing w:before="120" w:line="360" w:lineRule="auto"/>
        <w:jc w:val="both"/>
        <w:rPr>
          <w:rFonts w:ascii="Times New Roman" w:hAnsi="Times New Roman" w:cs="Times New Roman"/>
        </w:rPr>
      </w:pPr>
      <w:r>
        <w:rPr>
          <w:rFonts w:ascii="Times New Roman" w:hAnsi="Times New Roman" w:cs="Times New Roman"/>
        </w:rPr>
        <w:t>Z Obrázku 2.15 je patrné, že na rozhodování o vzdělávání se podílí zaměstnanci pouze v 6 % podniků. Ve 32 % podniků sice zástupci zaměstnanců (nejčastěji odbory) působí, ale do rozhodování o vzdělávání nejsou zapojeni. Zástupce zaměstnanců nemá 62 % podniků. Do celkového výsledku se opět promítá hlavní faktor, který podnikové vzdělávání ovlivňuje především, a to velikost podniku. Odborové organizace působí zejména ve velkých podnicích nad 250 zaměstnanců.</w:t>
      </w:r>
      <w:r w:rsidR="00587E88">
        <w:rPr>
          <w:rFonts w:ascii="Times New Roman" w:hAnsi="Times New Roman" w:cs="Times New Roman"/>
        </w:rPr>
        <w:t xml:space="preserve"> </w:t>
      </w:r>
    </w:p>
    <w:p w14:paraId="5DA94C74" w14:textId="00F77C0B" w:rsidR="00587E88" w:rsidRPr="003F1425" w:rsidRDefault="00587E88" w:rsidP="006A607E">
      <w:pPr>
        <w:spacing w:before="120" w:line="360" w:lineRule="auto"/>
        <w:jc w:val="both"/>
        <w:rPr>
          <w:rFonts w:ascii="Times New Roman" w:hAnsi="Times New Roman" w:cs="Times New Roman"/>
          <w:b/>
        </w:rPr>
      </w:pPr>
      <w:r w:rsidRPr="003F1425">
        <w:rPr>
          <w:rFonts w:ascii="Times New Roman" w:hAnsi="Times New Roman" w:cs="Times New Roman"/>
          <w:b/>
        </w:rPr>
        <w:lastRenderedPageBreak/>
        <w:t xml:space="preserve">Zástupci zaměstnanců se nejvíce zapojují do rozhodování o cílech vzdělávání, jeho obsahu a do rozhodování o formě či druhu vzdělávání. Naopak nejméně se podílejí na </w:t>
      </w:r>
      <w:r w:rsidR="003F1425" w:rsidRPr="003F1425">
        <w:rPr>
          <w:rFonts w:ascii="Times New Roman" w:hAnsi="Times New Roman" w:cs="Times New Roman"/>
          <w:b/>
        </w:rPr>
        <w:t>rozhodování o rozpočtu.</w:t>
      </w:r>
    </w:p>
    <w:p w14:paraId="4C019BC7" w14:textId="77777777" w:rsidR="0088387B" w:rsidRDefault="002A0C73" w:rsidP="0088387B">
      <w:pPr>
        <w:spacing w:before="120" w:after="240"/>
        <w:jc w:val="both"/>
        <w:rPr>
          <w:rFonts w:ascii="Times New Roman" w:hAnsi="Times New Roman" w:cs="Times New Roman"/>
          <w:b/>
          <w:sz w:val="22"/>
          <w:szCs w:val="22"/>
        </w:rPr>
      </w:pPr>
      <w:r>
        <w:rPr>
          <w:rFonts w:ascii="Times New Roman" w:hAnsi="Times New Roman" w:cs="Times New Roman"/>
          <w:sz w:val="22"/>
          <w:szCs w:val="22"/>
        </w:rPr>
        <w:t xml:space="preserve">Obrázek 2.15 </w:t>
      </w:r>
      <w:r>
        <w:rPr>
          <w:rFonts w:ascii="Times New Roman" w:hAnsi="Times New Roman" w:cs="Times New Roman"/>
          <w:b/>
          <w:sz w:val="22"/>
          <w:szCs w:val="22"/>
        </w:rPr>
        <w:t>Podíl podniků se zástupci zaměstnanců (např. odbory) zapojenými do rozhodování v oblasti podnikového vzdělávání</w:t>
      </w:r>
      <w:r w:rsidR="00CC3CF7">
        <w:rPr>
          <w:rFonts w:ascii="Times New Roman" w:hAnsi="Times New Roman" w:cs="Times New Roman"/>
          <w:b/>
          <w:sz w:val="22"/>
          <w:szCs w:val="22"/>
        </w:rPr>
        <w:t xml:space="preserve"> – dle velikosti</w:t>
      </w:r>
      <w:r w:rsidR="00491185">
        <w:rPr>
          <w:rFonts w:ascii="Times New Roman" w:hAnsi="Times New Roman" w:cs="Times New Roman"/>
          <w:b/>
          <w:sz w:val="22"/>
          <w:szCs w:val="22"/>
        </w:rPr>
        <w:t xml:space="preserve"> podniku</w:t>
      </w:r>
      <w:r w:rsidR="00CC3CF7">
        <w:rPr>
          <w:rFonts w:ascii="Times New Roman" w:hAnsi="Times New Roman" w:cs="Times New Roman"/>
          <w:b/>
          <w:sz w:val="22"/>
          <w:szCs w:val="22"/>
        </w:rPr>
        <w:t xml:space="preserve"> (v %, 2015)</w:t>
      </w:r>
    </w:p>
    <w:p w14:paraId="6222E01A" w14:textId="74C20D43" w:rsidR="00180B4B" w:rsidRDefault="00FF1FEE" w:rsidP="0088387B">
      <w:pPr>
        <w:spacing w:before="120" w:after="240" w:line="360" w:lineRule="auto"/>
        <w:jc w:val="both"/>
        <w:rPr>
          <w:rFonts w:ascii="Times New Roman" w:hAnsi="Times New Roman" w:cs="Times New Roman"/>
          <w:b/>
          <w:sz w:val="22"/>
          <w:szCs w:val="22"/>
        </w:rPr>
      </w:pPr>
      <w:r>
        <w:rPr>
          <w:noProof/>
          <w:lang w:val="en-US"/>
        </w:rPr>
        <w:drawing>
          <wp:inline distT="0" distB="0" distL="0" distR="0" wp14:anchorId="3F2012EB" wp14:editId="71A787A2">
            <wp:extent cx="5274310" cy="3076575"/>
            <wp:effectExtent l="0" t="0" r="34290" b="222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36E5A6" w14:textId="212FDBE9" w:rsidR="00CC3CF7" w:rsidRPr="0088387B" w:rsidRDefault="00CC3CF7" w:rsidP="00CC3CF7">
      <w:pPr>
        <w:spacing w:before="120"/>
        <w:rPr>
          <w:rFonts w:ascii="Times New Roman" w:hAnsi="Times New Roman" w:cs="Times New Roman"/>
          <w:i/>
          <w:sz w:val="22"/>
          <w:szCs w:val="22"/>
        </w:rPr>
      </w:pPr>
      <w:r w:rsidRPr="0088387B">
        <w:rPr>
          <w:rFonts w:ascii="Times New Roman" w:hAnsi="Times New Roman" w:cs="Times New Roman"/>
          <w:i/>
          <w:sz w:val="22"/>
          <w:szCs w:val="22"/>
        </w:rPr>
        <w:t>Zdroj: CVTS (2016), ČSÚ (</w:t>
      </w:r>
      <w:proofErr w:type="gramStart"/>
      <w:r w:rsidRPr="0088387B">
        <w:rPr>
          <w:rFonts w:ascii="Times New Roman" w:hAnsi="Times New Roman" w:cs="Times New Roman"/>
          <w:i/>
          <w:sz w:val="22"/>
          <w:szCs w:val="22"/>
        </w:rPr>
        <w:t>2018</w:t>
      </w:r>
      <w:r w:rsidR="005019C3">
        <w:rPr>
          <w:rFonts w:ascii="Times New Roman" w:hAnsi="Times New Roman" w:cs="Times New Roman"/>
          <w:i/>
          <w:sz w:val="22"/>
          <w:szCs w:val="22"/>
        </w:rPr>
        <w:t>b</w:t>
      </w:r>
      <w:proofErr w:type="gramEnd"/>
      <w:r w:rsidRPr="0088387B">
        <w:rPr>
          <w:rFonts w:ascii="Times New Roman" w:hAnsi="Times New Roman" w:cs="Times New Roman"/>
          <w:i/>
          <w:sz w:val="22"/>
          <w:szCs w:val="22"/>
        </w:rPr>
        <w:t>), vlastní zpracování.</w:t>
      </w:r>
    </w:p>
    <w:p w14:paraId="4C5C3045" w14:textId="353C3515" w:rsidR="00CC3CF7" w:rsidRDefault="00CC3CF7" w:rsidP="00CC3CF7">
      <w:pPr>
        <w:spacing w:before="240" w:line="360" w:lineRule="auto"/>
        <w:jc w:val="both"/>
        <w:rPr>
          <w:rFonts w:ascii="Times New Roman" w:hAnsi="Times New Roman" w:cs="Times New Roman"/>
        </w:rPr>
      </w:pPr>
      <w:r>
        <w:rPr>
          <w:rFonts w:ascii="Times New Roman" w:hAnsi="Times New Roman" w:cs="Times New Roman"/>
        </w:rPr>
        <w:t xml:space="preserve">Pokud jde o rozpočet, 82 % podniků nemá v rozpočtu zvláštní položku na vzdělávání, nicméně pro zaměstnance vzdělávací programy zajišťuje. Přibližně 96 % firem, které mají v rozpočtu speciální položku na vzdělávání zahrnutou, uskutečnilo ve sledovaném roce 2015 </w:t>
      </w:r>
      <w:r w:rsidRPr="007B3E5C">
        <w:rPr>
          <w:rFonts w:ascii="Times New Roman" w:hAnsi="Times New Roman" w:cs="Times New Roman"/>
          <w:i/>
        </w:rPr>
        <w:t>kurzy povinné ze zákona</w:t>
      </w:r>
      <w:r>
        <w:rPr>
          <w:rFonts w:ascii="Times New Roman" w:hAnsi="Times New Roman" w:cs="Times New Roman"/>
        </w:rPr>
        <w:t xml:space="preserve"> a 75 % těchto firem také </w:t>
      </w:r>
      <w:r w:rsidRPr="007B3E5C">
        <w:rPr>
          <w:rFonts w:ascii="Times New Roman" w:hAnsi="Times New Roman" w:cs="Times New Roman"/>
          <w:i/>
        </w:rPr>
        <w:t>nepovinné kurzy</w:t>
      </w:r>
      <w:r w:rsidR="0010548A">
        <w:rPr>
          <w:rFonts w:ascii="Times New Roman" w:hAnsi="Times New Roman" w:cs="Times New Roman"/>
          <w:i/>
        </w:rPr>
        <w:t>.</w:t>
      </w:r>
      <w:r w:rsidR="0010548A" w:rsidRPr="0010548A">
        <w:rPr>
          <w:rStyle w:val="Znakapoznpodarou"/>
          <w:rFonts w:ascii="Times New Roman" w:hAnsi="Times New Roman" w:cs="Times New Roman"/>
        </w:rPr>
        <w:footnoteReference w:id="21"/>
      </w:r>
      <w:r w:rsidR="007B3E5C">
        <w:rPr>
          <w:rFonts w:ascii="Times New Roman" w:hAnsi="Times New Roman" w:cs="Times New Roman"/>
        </w:rPr>
        <w:t xml:space="preserve"> Nejvíce se účastnili nepovinných kurzů zaměstnanci z odvětví (dle CZ-NACE) Peněžnictví a pojišťovnictví (K, 73 %), Informačních a komunikačních technologií (J, 49 %) a Dopravy a skladování (H, 39 %).</w:t>
      </w:r>
      <w:r w:rsidR="0010548A">
        <w:rPr>
          <w:rFonts w:ascii="Times New Roman" w:hAnsi="Times New Roman" w:cs="Times New Roman"/>
        </w:rPr>
        <w:t xml:space="preserve"> Nepovinné vzdělávací aktivity jsou nejčastěji zaměřeny na rozvoj specifických dovedností v daném povolání, jazykové vzdělávání, specifické technické a inženýrské dovednosti, manažerské dovednosti, jednání se zákazníky</w:t>
      </w:r>
      <w:r w:rsidR="005E62D6">
        <w:rPr>
          <w:rFonts w:ascii="Times New Roman" w:hAnsi="Times New Roman" w:cs="Times New Roman"/>
        </w:rPr>
        <w:t>, dovednosti v oblasti ICT a vedení administrativy.</w:t>
      </w:r>
    </w:p>
    <w:p w14:paraId="312C776B" w14:textId="2522ACA5" w:rsidR="003A1BB6" w:rsidRDefault="009906D9" w:rsidP="009906D9">
      <w:pPr>
        <w:spacing w:before="120" w:after="120" w:line="360" w:lineRule="auto"/>
        <w:jc w:val="both"/>
        <w:rPr>
          <w:rFonts w:ascii="Times New Roman" w:hAnsi="Times New Roman" w:cs="Times New Roman"/>
        </w:rPr>
      </w:pPr>
      <w:r>
        <w:rPr>
          <w:rFonts w:ascii="Times New Roman" w:hAnsi="Times New Roman" w:cs="Times New Roman"/>
        </w:rPr>
        <w:lastRenderedPageBreak/>
        <w:t>Obsah podnikového vzdělávání je ovlivněn do jisté míry také tím, na jaké dovednosti svých zaměstnanců klade podnik důraz (viz Tabulka 2.7).</w:t>
      </w:r>
    </w:p>
    <w:p w14:paraId="4A5B673D" w14:textId="1F764464" w:rsidR="00491185" w:rsidRPr="00491185" w:rsidRDefault="00491185" w:rsidP="009906D9">
      <w:pPr>
        <w:spacing w:before="120" w:after="120" w:line="360" w:lineRule="auto"/>
        <w:jc w:val="both"/>
        <w:rPr>
          <w:rFonts w:ascii="Times New Roman" w:hAnsi="Times New Roman" w:cs="Times New Roman"/>
          <w:b/>
          <w:sz w:val="22"/>
          <w:szCs w:val="22"/>
        </w:rPr>
      </w:pPr>
      <w:r>
        <w:rPr>
          <w:rFonts w:ascii="Times New Roman" w:hAnsi="Times New Roman" w:cs="Times New Roman"/>
          <w:sz w:val="22"/>
          <w:szCs w:val="22"/>
        </w:rPr>
        <w:t xml:space="preserve">Tabulka 2.7 </w:t>
      </w:r>
      <w:r>
        <w:rPr>
          <w:rFonts w:ascii="Times New Roman" w:hAnsi="Times New Roman" w:cs="Times New Roman"/>
          <w:b/>
          <w:sz w:val="22"/>
          <w:szCs w:val="22"/>
        </w:rPr>
        <w:t>Požadované dovednosti zaměstnanců – dle velikosti podniku (v %, 2015)</w:t>
      </w:r>
    </w:p>
    <w:tbl>
      <w:tblPr>
        <w:tblStyle w:val="Svtlmkazvraznn1"/>
        <w:tblW w:w="0" w:type="auto"/>
        <w:tblLook w:val="04A0" w:firstRow="1" w:lastRow="0" w:firstColumn="1" w:lastColumn="0" w:noHBand="0" w:noVBand="1"/>
      </w:tblPr>
      <w:tblGrid>
        <w:gridCol w:w="3514"/>
        <w:gridCol w:w="832"/>
        <w:gridCol w:w="975"/>
        <w:gridCol w:w="975"/>
        <w:gridCol w:w="1042"/>
        <w:gridCol w:w="1184"/>
      </w:tblGrid>
      <w:tr w:rsidR="00FE276E" w:rsidRPr="00F30BBF" w14:paraId="282B18A4" w14:textId="77777777" w:rsidTr="00FE276E">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40F2F09" w14:textId="4E6A1E7C" w:rsidR="00FE276E" w:rsidRPr="0022095C" w:rsidRDefault="00FE276E" w:rsidP="00FE276E">
            <w:pPr>
              <w:pStyle w:val="Nadpis1"/>
              <w:spacing w:before="120"/>
              <w:jc w:val="center"/>
              <w:outlineLvl w:val="0"/>
              <w:rPr>
                <w:b/>
                <w:color w:val="auto"/>
                <w:sz w:val="20"/>
                <w:szCs w:val="20"/>
              </w:rPr>
            </w:pPr>
            <w:bookmarkStart w:id="73" w:name="_Toc398662639"/>
            <w:r>
              <w:rPr>
                <w:b/>
                <w:color w:val="auto"/>
                <w:sz w:val="20"/>
                <w:szCs w:val="20"/>
              </w:rPr>
              <w:t>Dovednosti zaměstnanců</w:t>
            </w:r>
            <w:bookmarkEnd w:id="73"/>
          </w:p>
        </w:tc>
        <w:tc>
          <w:tcPr>
            <w:tcW w:w="0" w:type="auto"/>
            <w:vMerge w:val="restart"/>
            <w:vAlign w:val="center"/>
          </w:tcPr>
          <w:p w14:paraId="358C4642" w14:textId="77777777" w:rsidR="00FE276E" w:rsidRPr="0022095C" w:rsidRDefault="00FE276E" w:rsidP="00FE276E">
            <w:pPr>
              <w:pStyle w:val="Nadpis1"/>
              <w:spacing w:before="120"/>
              <w:jc w:val="center"/>
              <w:outlineLvl w:val="0"/>
              <w:cnfStyle w:val="100000000000" w:firstRow="1" w:lastRow="0" w:firstColumn="0" w:lastColumn="0" w:oddVBand="0" w:evenVBand="0" w:oddHBand="0" w:evenHBand="0" w:firstRowFirstColumn="0" w:firstRowLastColumn="0" w:lastRowFirstColumn="0" w:lastRowLastColumn="0"/>
              <w:rPr>
                <w:b/>
                <w:color w:val="auto"/>
                <w:sz w:val="20"/>
                <w:szCs w:val="20"/>
              </w:rPr>
            </w:pPr>
            <w:bookmarkStart w:id="74" w:name="_Toc398662640"/>
            <w:r w:rsidRPr="0022095C">
              <w:rPr>
                <w:b/>
                <w:color w:val="auto"/>
                <w:sz w:val="20"/>
                <w:szCs w:val="20"/>
              </w:rPr>
              <w:t>Celkem</w:t>
            </w:r>
            <w:bookmarkEnd w:id="74"/>
          </w:p>
        </w:tc>
        <w:tc>
          <w:tcPr>
            <w:tcW w:w="0" w:type="auto"/>
            <w:gridSpan w:val="4"/>
          </w:tcPr>
          <w:p w14:paraId="61703195" w14:textId="77777777" w:rsidR="00FE276E" w:rsidRPr="0022095C" w:rsidRDefault="00FE276E" w:rsidP="00FE276E">
            <w:pPr>
              <w:pStyle w:val="Nadpis1"/>
              <w:spacing w:before="120"/>
              <w:jc w:val="center"/>
              <w:outlineLvl w:val="0"/>
              <w:cnfStyle w:val="100000000000" w:firstRow="1" w:lastRow="0" w:firstColumn="0" w:lastColumn="0" w:oddVBand="0" w:evenVBand="0" w:oddHBand="0" w:evenHBand="0" w:firstRowFirstColumn="0" w:firstRowLastColumn="0" w:lastRowFirstColumn="0" w:lastRowLastColumn="0"/>
              <w:rPr>
                <w:b/>
                <w:color w:val="auto"/>
                <w:sz w:val="20"/>
                <w:szCs w:val="20"/>
              </w:rPr>
            </w:pPr>
            <w:bookmarkStart w:id="75" w:name="_Toc398662641"/>
            <w:r w:rsidRPr="0022095C">
              <w:rPr>
                <w:b/>
                <w:color w:val="auto"/>
                <w:sz w:val="20"/>
                <w:szCs w:val="20"/>
              </w:rPr>
              <w:t>Dle velikosti podniku</w:t>
            </w:r>
            <w:bookmarkEnd w:id="75"/>
          </w:p>
        </w:tc>
      </w:tr>
      <w:tr w:rsidR="00FE276E" w:rsidRPr="00F30BBF" w14:paraId="6CBF5255" w14:textId="77777777" w:rsidTr="00FE276E">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0" w:type="auto"/>
            <w:vMerge/>
          </w:tcPr>
          <w:p w14:paraId="185D1A8E" w14:textId="77777777" w:rsidR="00FE276E" w:rsidRPr="00F30BBF" w:rsidRDefault="00FE276E" w:rsidP="00FE276E">
            <w:pPr>
              <w:pStyle w:val="Nadpis1"/>
              <w:spacing w:before="120"/>
              <w:outlineLvl w:val="0"/>
              <w:rPr>
                <w:color w:val="auto"/>
                <w:sz w:val="20"/>
                <w:szCs w:val="20"/>
              </w:rPr>
            </w:pPr>
          </w:p>
        </w:tc>
        <w:tc>
          <w:tcPr>
            <w:tcW w:w="0" w:type="auto"/>
            <w:vMerge/>
          </w:tcPr>
          <w:p w14:paraId="46D07E4C" w14:textId="77777777" w:rsidR="00FE276E" w:rsidRPr="00F30BBF" w:rsidRDefault="00FE276E" w:rsidP="00FE276E">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0" w:type="auto"/>
          </w:tcPr>
          <w:p w14:paraId="4789F2BD" w14:textId="77777777" w:rsidR="00FE276E" w:rsidRPr="00295192" w:rsidRDefault="00FE276E" w:rsidP="00FE276E">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76" w:name="_Toc398662642"/>
            <w:r>
              <w:rPr>
                <w:color w:val="auto"/>
                <w:sz w:val="20"/>
                <w:szCs w:val="20"/>
              </w:rPr>
              <w:t xml:space="preserve">10–19 </w:t>
            </w:r>
            <w:proofErr w:type="spellStart"/>
            <w:r>
              <w:rPr>
                <w:color w:val="auto"/>
                <w:sz w:val="20"/>
                <w:szCs w:val="20"/>
              </w:rPr>
              <w:t>zam</w:t>
            </w:r>
            <w:proofErr w:type="spellEnd"/>
            <w:r>
              <w:rPr>
                <w:color w:val="auto"/>
                <w:sz w:val="20"/>
                <w:szCs w:val="20"/>
              </w:rPr>
              <w:t>.</w:t>
            </w:r>
            <w:bookmarkEnd w:id="76"/>
          </w:p>
        </w:tc>
        <w:tc>
          <w:tcPr>
            <w:tcW w:w="0" w:type="auto"/>
          </w:tcPr>
          <w:p w14:paraId="1232214B" w14:textId="77777777" w:rsidR="00FE276E" w:rsidRDefault="00FE276E" w:rsidP="00FE276E">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77" w:name="_Toc398662643"/>
            <w:r>
              <w:rPr>
                <w:color w:val="auto"/>
                <w:sz w:val="20"/>
                <w:szCs w:val="20"/>
              </w:rPr>
              <w:t xml:space="preserve">20–49 </w:t>
            </w:r>
            <w:proofErr w:type="spellStart"/>
            <w:r>
              <w:rPr>
                <w:color w:val="auto"/>
                <w:sz w:val="20"/>
                <w:szCs w:val="20"/>
              </w:rPr>
              <w:t>zam</w:t>
            </w:r>
            <w:proofErr w:type="spellEnd"/>
            <w:r>
              <w:rPr>
                <w:color w:val="auto"/>
                <w:sz w:val="20"/>
                <w:szCs w:val="20"/>
              </w:rPr>
              <w:t>.</w:t>
            </w:r>
            <w:bookmarkEnd w:id="77"/>
          </w:p>
          <w:p w14:paraId="2833EB8D" w14:textId="77777777" w:rsidR="00FE276E" w:rsidRPr="00295192" w:rsidRDefault="00FE276E" w:rsidP="00FE276E">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0" w:type="auto"/>
          </w:tcPr>
          <w:p w14:paraId="6AE047A1" w14:textId="77777777" w:rsidR="00FE276E" w:rsidRPr="00F30BBF" w:rsidRDefault="00FE276E" w:rsidP="00FE276E">
            <w:pPr>
              <w:pStyle w:val="Nadpis1"/>
              <w:spacing w:before="120"/>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78" w:name="_Toc398662644"/>
            <w:r>
              <w:rPr>
                <w:color w:val="auto"/>
                <w:sz w:val="20"/>
                <w:szCs w:val="20"/>
              </w:rPr>
              <w:t xml:space="preserve">50–249 </w:t>
            </w:r>
            <w:proofErr w:type="spellStart"/>
            <w:r>
              <w:rPr>
                <w:color w:val="auto"/>
                <w:sz w:val="20"/>
                <w:szCs w:val="20"/>
              </w:rPr>
              <w:t>zam</w:t>
            </w:r>
            <w:proofErr w:type="spellEnd"/>
            <w:r>
              <w:rPr>
                <w:color w:val="auto"/>
                <w:sz w:val="20"/>
                <w:szCs w:val="20"/>
              </w:rPr>
              <w:t>.</w:t>
            </w:r>
            <w:bookmarkEnd w:id="78"/>
            <w:r>
              <w:rPr>
                <w:color w:val="auto"/>
                <w:sz w:val="20"/>
                <w:szCs w:val="20"/>
              </w:rPr>
              <w:t xml:space="preserve"> </w:t>
            </w:r>
          </w:p>
        </w:tc>
        <w:tc>
          <w:tcPr>
            <w:tcW w:w="0" w:type="auto"/>
          </w:tcPr>
          <w:p w14:paraId="3928C94D" w14:textId="77777777" w:rsidR="00FE276E" w:rsidRPr="00F30BBF" w:rsidRDefault="00FE276E" w:rsidP="00FE276E">
            <w:pPr>
              <w:pStyle w:val="Nadpis1"/>
              <w:spacing w:before="120" w:line="240" w:lineRule="atLeast"/>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bookmarkStart w:id="79" w:name="_Toc398662645"/>
            <w:r>
              <w:rPr>
                <w:color w:val="auto"/>
                <w:sz w:val="20"/>
                <w:szCs w:val="20"/>
              </w:rPr>
              <w:t xml:space="preserve">250 a více </w:t>
            </w:r>
            <w:proofErr w:type="spellStart"/>
            <w:r>
              <w:rPr>
                <w:color w:val="auto"/>
                <w:sz w:val="20"/>
                <w:szCs w:val="20"/>
              </w:rPr>
              <w:t>zam</w:t>
            </w:r>
            <w:proofErr w:type="spellEnd"/>
            <w:r>
              <w:rPr>
                <w:color w:val="auto"/>
                <w:sz w:val="20"/>
                <w:szCs w:val="20"/>
              </w:rPr>
              <w:t>.</w:t>
            </w:r>
            <w:bookmarkEnd w:id="79"/>
          </w:p>
        </w:tc>
      </w:tr>
      <w:tr w:rsidR="00FE276E" w:rsidRPr="00F30BBF" w14:paraId="1DEE059A"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C66C09" w14:textId="6D879905" w:rsidR="00FE276E" w:rsidRPr="0022095C" w:rsidRDefault="00FE276E" w:rsidP="00FE276E">
            <w:pPr>
              <w:pStyle w:val="Nadpis1"/>
              <w:spacing w:before="120"/>
              <w:outlineLvl w:val="0"/>
              <w:rPr>
                <w:color w:val="auto"/>
                <w:sz w:val="20"/>
                <w:szCs w:val="20"/>
              </w:rPr>
            </w:pPr>
            <w:bookmarkStart w:id="80" w:name="_Toc398662646"/>
            <w:r>
              <w:rPr>
                <w:color w:val="auto"/>
                <w:sz w:val="20"/>
                <w:szCs w:val="20"/>
              </w:rPr>
              <w:t>Běžná orientace v textu a/nebo v početních operacích</w:t>
            </w:r>
            <w:bookmarkEnd w:id="80"/>
          </w:p>
        </w:tc>
        <w:tc>
          <w:tcPr>
            <w:tcW w:w="0" w:type="auto"/>
            <w:vAlign w:val="center"/>
          </w:tcPr>
          <w:p w14:paraId="112B5124" w14:textId="6634743F"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81" w:name="_Toc398662647"/>
            <w:r>
              <w:rPr>
                <w:b w:val="0"/>
                <w:color w:val="auto"/>
                <w:sz w:val="20"/>
                <w:szCs w:val="20"/>
              </w:rPr>
              <w:t>12</w:t>
            </w:r>
            <w:bookmarkEnd w:id="81"/>
          </w:p>
        </w:tc>
        <w:tc>
          <w:tcPr>
            <w:tcW w:w="0" w:type="auto"/>
            <w:vAlign w:val="center"/>
          </w:tcPr>
          <w:p w14:paraId="45D48A94" w14:textId="055C9192" w:rsidR="00FE276E" w:rsidRPr="0022095C" w:rsidRDefault="006F75AD" w:rsidP="006F75AD">
            <w:pPr>
              <w:pStyle w:val="Nadpis1"/>
              <w:tabs>
                <w:tab w:val="left" w:pos="200"/>
                <w:tab w:val="center" w:pos="381"/>
              </w:tabs>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82" w:name="_Toc398662648"/>
            <w:r>
              <w:rPr>
                <w:b w:val="0"/>
                <w:color w:val="auto"/>
                <w:sz w:val="20"/>
                <w:szCs w:val="20"/>
              </w:rPr>
              <w:t>13</w:t>
            </w:r>
            <w:bookmarkEnd w:id="82"/>
          </w:p>
        </w:tc>
        <w:tc>
          <w:tcPr>
            <w:tcW w:w="0" w:type="auto"/>
            <w:vAlign w:val="center"/>
          </w:tcPr>
          <w:p w14:paraId="05D5189A" w14:textId="4B494B1B"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83" w:name="_Toc398662649"/>
            <w:r>
              <w:rPr>
                <w:b w:val="0"/>
                <w:color w:val="auto"/>
                <w:sz w:val="20"/>
                <w:szCs w:val="20"/>
              </w:rPr>
              <w:t>13</w:t>
            </w:r>
            <w:bookmarkEnd w:id="83"/>
          </w:p>
        </w:tc>
        <w:tc>
          <w:tcPr>
            <w:tcW w:w="0" w:type="auto"/>
            <w:vAlign w:val="center"/>
          </w:tcPr>
          <w:p w14:paraId="5B1D6E56" w14:textId="55D32612"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84" w:name="_Toc398662650"/>
            <w:r>
              <w:rPr>
                <w:b w:val="0"/>
                <w:color w:val="auto"/>
                <w:sz w:val="20"/>
                <w:szCs w:val="20"/>
              </w:rPr>
              <w:t>9</w:t>
            </w:r>
            <w:bookmarkEnd w:id="84"/>
          </w:p>
        </w:tc>
        <w:tc>
          <w:tcPr>
            <w:tcW w:w="0" w:type="auto"/>
            <w:vAlign w:val="center"/>
          </w:tcPr>
          <w:p w14:paraId="131EC165" w14:textId="20686386"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85" w:name="_Toc398662651"/>
            <w:r>
              <w:rPr>
                <w:b w:val="0"/>
                <w:color w:val="auto"/>
                <w:sz w:val="20"/>
                <w:szCs w:val="20"/>
              </w:rPr>
              <w:t>8</w:t>
            </w:r>
            <w:bookmarkEnd w:id="85"/>
          </w:p>
        </w:tc>
      </w:tr>
      <w:tr w:rsidR="00FE276E" w:rsidRPr="00F30BBF" w14:paraId="4455F9E8"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59AA7A" w14:textId="3B885788" w:rsidR="00FE276E" w:rsidRPr="0022095C" w:rsidRDefault="00FE276E" w:rsidP="00FE276E">
            <w:pPr>
              <w:pStyle w:val="Nadpis1"/>
              <w:spacing w:before="120"/>
              <w:outlineLvl w:val="0"/>
              <w:rPr>
                <w:color w:val="auto"/>
                <w:sz w:val="20"/>
                <w:szCs w:val="20"/>
              </w:rPr>
            </w:pPr>
            <w:bookmarkStart w:id="86" w:name="_Toc398662652"/>
            <w:r>
              <w:rPr>
                <w:color w:val="auto"/>
                <w:sz w:val="20"/>
                <w:szCs w:val="20"/>
              </w:rPr>
              <w:t>Běžné užívání informačních technologií</w:t>
            </w:r>
            <w:bookmarkEnd w:id="86"/>
          </w:p>
        </w:tc>
        <w:tc>
          <w:tcPr>
            <w:tcW w:w="0" w:type="auto"/>
            <w:vAlign w:val="center"/>
          </w:tcPr>
          <w:p w14:paraId="3DEDF9BD" w14:textId="5FBEBD21"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87" w:name="_Toc398662653"/>
            <w:r>
              <w:rPr>
                <w:b w:val="0"/>
                <w:color w:val="auto"/>
                <w:sz w:val="20"/>
                <w:szCs w:val="20"/>
              </w:rPr>
              <w:t>20</w:t>
            </w:r>
            <w:bookmarkEnd w:id="87"/>
          </w:p>
        </w:tc>
        <w:tc>
          <w:tcPr>
            <w:tcW w:w="0" w:type="auto"/>
            <w:vAlign w:val="center"/>
          </w:tcPr>
          <w:p w14:paraId="6D92A551" w14:textId="336A96B2"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88" w:name="_Toc398662654"/>
            <w:r>
              <w:rPr>
                <w:b w:val="0"/>
                <w:color w:val="auto"/>
                <w:sz w:val="20"/>
                <w:szCs w:val="20"/>
              </w:rPr>
              <w:t>20</w:t>
            </w:r>
            <w:bookmarkEnd w:id="88"/>
          </w:p>
        </w:tc>
        <w:tc>
          <w:tcPr>
            <w:tcW w:w="0" w:type="auto"/>
            <w:vAlign w:val="center"/>
          </w:tcPr>
          <w:p w14:paraId="2DDD1694" w14:textId="1B24003C"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89" w:name="_Toc398662655"/>
            <w:r>
              <w:rPr>
                <w:b w:val="0"/>
                <w:color w:val="auto"/>
                <w:sz w:val="20"/>
                <w:szCs w:val="20"/>
              </w:rPr>
              <w:t>19</w:t>
            </w:r>
            <w:bookmarkEnd w:id="89"/>
          </w:p>
        </w:tc>
        <w:tc>
          <w:tcPr>
            <w:tcW w:w="0" w:type="auto"/>
            <w:vAlign w:val="center"/>
          </w:tcPr>
          <w:p w14:paraId="15B7F2E0" w14:textId="4F29C1E8"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90" w:name="_Toc398662656"/>
            <w:r>
              <w:rPr>
                <w:b w:val="0"/>
                <w:color w:val="auto"/>
                <w:sz w:val="20"/>
                <w:szCs w:val="20"/>
              </w:rPr>
              <w:t>20</w:t>
            </w:r>
            <w:bookmarkEnd w:id="90"/>
          </w:p>
        </w:tc>
        <w:tc>
          <w:tcPr>
            <w:tcW w:w="0" w:type="auto"/>
            <w:vAlign w:val="center"/>
          </w:tcPr>
          <w:p w14:paraId="4CED3D50" w14:textId="1000BF65"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91" w:name="_Toc398662657"/>
            <w:r>
              <w:rPr>
                <w:b w:val="0"/>
                <w:color w:val="auto"/>
                <w:sz w:val="20"/>
                <w:szCs w:val="20"/>
              </w:rPr>
              <w:t>21</w:t>
            </w:r>
            <w:bookmarkEnd w:id="91"/>
          </w:p>
        </w:tc>
      </w:tr>
      <w:tr w:rsidR="00FE276E" w:rsidRPr="00F30BBF" w14:paraId="7C906A81"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11CF0" w14:textId="353794CA" w:rsidR="00FE276E" w:rsidRPr="0022095C" w:rsidRDefault="00FE276E" w:rsidP="00FE276E">
            <w:pPr>
              <w:pStyle w:val="Nadpis1"/>
              <w:spacing w:before="120"/>
              <w:outlineLvl w:val="0"/>
              <w:rPr>
                <w:color w:val="auto"/>
                <w:sz w:val="20"/>
                <w:szCs w:val="20"/>
              </w:rPr>
            </w:pPr>
            <w:bookmarkStart w:id="92" w:name="_Toc398662658"/>
            <w:r>
              <w:rPr>
                <w:color w:val="auto"/>
                <w:sz w:val="20"/>
                <w:szCs w:val="20"/>
              </w:rPr>
              <w:t>Komunikační dovednosti</w:t>
            </w:r>
            <w:bookmarkEnd w:id="92"/>
          </w:p>
        </w:tc>
        <w:tc>
          <w:tcPr>
            <w:tcW w:w="0" w:type="auto"/>
            <w:vAlign w:val="center"/>
          </w:tcPr>
          <w:p w14:paraId="759FECFD" w14:textId="07BB3E91"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93" w:name="_Toc398662659"/>
            <w:r>
              <w:rPr>
                <w:b w:val="0"/>
                <w:color w:val="auto"/>
                <w:sz w:val="20"/>
                <w:szCs w:val="20"/>
              </w:rPr>
              <w:t>19</w:t>
            </w:r>
            <w:bookmarkEnd w:id="93"/>
          </w:p>
        </w:tc>
        <w:tc>
          <w:tcPr>
            <w:tcW w:w="0" w:type="auto"/>
            <w:vAlign w:val="center"/>
          </w:tcPr>
          <w:p w14:paraId="1353A2E5" w14:textId="355BEEFC"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94" w:name="_Toc398662660"/>
            <w:r>
              <w:rPr>
                <w:b w:val="0"/>
                <w:color w:val="auto"/>
                <w:sz w:val="20"/>
                <w:szCs w:val="20"/>
              </w:rPr>
              <w:t>18</w:t>
            </w:r>
            <w:bookmarkEnd w:id="94"/>
          </w:p>
        </w:tc>
        <w:tc>
          <w:tcPr>
            <w:tcW w:w="0" w:type="auto"/>
            <w:vAlign w:val="center"/>
          </w:tcPr>
          <w:p w14:paraId="0A9CDDC6" w14:textId="22EBF6C4"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95" w:name="_Toc398662661"/>
            <w:r>
              <w:rPr>
                <w:b w:val="0"/>
                <w:color w:val="auto"/>
                <w:sz w:val="20"/>
                <w:szCs w:val="20"/>
              </w:rPr>
              <w:t>19</w:t>
            </w:r>
            <w:bookmarkEnd w:id="95"/>
          </w:p>
        </w:tc>
        <w:tc>
          <w:tcPr>
            <w:tcW w:w="0" w:type="auto"/>
            <w:vAlign w:val="center"/>
          </w:tcPr>
          <w:p w14:paraId="3EF49958" w14:textId="5166800A"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96" w:name="_Toc398662662"/>
            <w:r>
              <w:rPr>
                <w:b w:val="0"/>
                <w:color w:val="auto"/>
                <w:sz w:val="20"/>
                <w:szCs w:val="20"/>
              </w:rPr>
              <w:t>18</w:t>
            </w:r>
            <w:bookmarkEnd w:id="96"/>
          </w:p>
        </w:tc>
        <w:tc>
          <w:tcPr>
            <w:tcW w:w="0" w:type="auto"/>
            <w:vAlign w:val="center"/>
          </w:tcPr>
          <w:p w14:paraId="48ABA973" w14:textId="644ADA5E"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97" w:name="_Toc398662663"/>
            <w:r>
              <w:rPr>
                <w:b w:val="0"/>
                <w:color w:val="auto"/>
                <w:sz w:val="20"/>
                <w:szCs w:val="20"/>
              </w:rPr>
              <w:t>21</w:t>
            </w:r>
            <w:bookmarkEnd w:id="97"/>
          </w:p>
        </w:tc>
      </w:tr>
      <w:tr w:rsidR="00FE276E" w:rsidRPr="00F30BBF" w14:paraId="02DD06E3"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2CCE0" w14:textId="1E7D0528" w:rsidR="00FE276E" w:rsidRPr="0022095C" w:rsidRDefault="00FE276E" w:rsidP="00FE276E">
            <w:pPr>
              <w:pStyle w:val="Nadpis1"/>
              <w:spacing w:before="120"/>
              <w:outlineLvl w:val="0"/>
              <w:rPr>
                <w:color w:val="auto"/>
                <w:sz w:val="20"/>
                <w:szCs w:val="20"/>
              </w:rPr>
            </w:pPr>
            <w:bookmarkStart w:id="98" w:name="_Toc398662664"/>
            <w:r>
              <w:rPr>
                <w:color w:val="auto"/>
                <w:sz w:val="20"/>
                <w:szCs w:val="20"/>
              </w:rPr>
              <w:t>Schopnost týmové práce</w:t>
            </w:r>
            <w:bookmarkEnd w:id="98"/>
          </w:p>
        </w:tc>
        <w:tc>
          <w:tcPr>
            <w:tcW w:w="0" w:type="auto"/>
            <w:vAlign w:val="center"/>
          </w:tcPr>
          <w:p w14:paraId="428A8A83" w14:textId="26A84714"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99" w:name="_Toc398662665"/>
            <w:r>
              <w:rPr>
                <w:b w:val="0"/>
                <w:color w:val="auto"/>
                <w:sz w:val="20"/>
                <w:szCs w:val="20"/>
              </w:rPr>
              <w:t>34</w:t>
            </w:r>
            <w:bookmarkEnd w:id="99"/>
          </w:p>
        </w:tc>
        <w:tc>
          <w:tcPr>
            <w:tcW w:w="0" w:type="auto"/>
            <w:vAlign w:val="center"/>
          </w:tcPr>
          <w:p w14:paraId="57F094F6" w14:textId="20BB9891"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00" w:name="_Toc398662666"/>
            <w:r>
              <w:rPr>
                <w:b w:val="0"/>
                <w:color w:val="auto"/>
                <w:sz w:val="20"/>
                <w:szCs w:val="20"/>
              </w:rPr>
              <w:t>36</w:t>
            </w:r>
            <w:bookmarkEnd w:id="100"/>
          </w:p>
        </w:tc>
        <w:tc>
          <w:tcPr>
            <w:tcW w:w="0" w:type="auto"/>
            <w:vAlign w:val="center"/>
          </w:tcPr>
          <w:p w14:paraId="438F853F" w14:textId="57D8C565"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01" w:name="_Toc398662667"/>
            <w:r>
              <w:rPr>
                <w:b w:val="0"/>
                <w:color w:val="auto"/>
                <w:sz w:val="20"/>
                <w:szCs w:val="20"/>
              </w:rPr>
              <w:t>34</w:t>
            </w:r>
            <w:bookmarkEnd w:id="101"/>
          </w:p>
        </w:tc>
        <w:tc>
          <w:tcPr>
            <w:tcW w:w="0" w:type="auto"/>
            <w:vAlign w:val="center"/>
          </w:tcPr>
          <w:p w14:paraId="73F7A098" w14:textId="3219A1E9"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02" w:name="_Toc398662668"/>
            <w:r>
              <w:rPr>
                <w:b w:val="0"/>
                <w:color w:val="auto"/>
                <w:sz w:val="20"/>
                <w:szCs w:val="20"/>
              </w:rPr>
              <w:t>32</w:t>
            </w:r>
            <w:bookmarkEnd w:id="102"/>
          </w:p>
        </w:tc>
        <w:tc>
          <w:tcPr>
            <w:tcW w:w="0" w:type="auto"/>
            <w:vAlign w:val="center"/>
          </w:tcPr>
          <w:p w14:paraId="7DD8D7D5" w14:textId="1C6548E7"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03" w:name="_Toc398662669"/>
            <w:r>
              <w:rPr>
                <w:b w:val="0"/>
                <w:color w:val="auto"/>
                <w:sz w:val="20"/>
                <w:szCs w:val="20"/>
              </w:rPr>
              <w:t>31</w:t>
            </w:r>
            <w:bookmarkEnd w:id="103"/>
          </w:p>
        </w:tc>
      </w:tr>
      <w:tr w:rsidR="00FE276E" w:rsidRPr="00F30BBF" w14:paraId="13704447"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DD35B" w14:textId="09F949D3" w:rsidR="00FE276E" w:rsidRPr="0022095C" w:rsidRDefault="00FE276E" w:rsidP="00FE276E">
            <w:pPr>
              <w:pStyle w:val="Nadpis1"/>
              <w:spacing w:before="120"/>
              <w:outlineLvl w:val="0"/>
              <w:rPr>
                <w:color w:val="auto"/>
                <w:sz w:val="20"/>
                <w:szCs w:val="20"/>
              </w:rPr>
            </w:pPr>
            <w:bookmarkStart w:id="104" w:name="_Toc398662670"/>
            <w:r>
              <w:rPr>
                <w:color w:val="auto"/>
                <w:sz w:val="20"/>
                <w:szCs w:val="20"/>
              </w:rPr>
              <w:t>Řešení problémů nebo obtížných úkolů</w:t>
            </w:r>
            <w:bookmarkEnd w:id="104"/>
          </w:p>
        </w:tc>
        <w:tc>
          <w:tcPr>
            <w:tcW w:w="0" w:type="auto"/>
            <w:vAlign w:val="center"/>
          </w:tcPr>
          <w:p w14:paraId="4E82404C" w14:textId="74AA96EA"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05" w:name="_Toc398662671"/>
            <w:r>
              <w:rPr>
                <w:b w:val="0"/>
                <w:color w:val="auto"/>
                <w:sz w:val="20"/>
                <w:szCs w:val="20"/>
              </w:rPr>
              <w:t>24</w:t>
            </w:r>
            <w:bookmarkEnd w:id="105"/>
          </w:p>
        </w:tc>
        <w:tc>
          <w:tcPr>
            <w:tcW w:w="0" w:type="auto"/>
            <w:vAlign w:val="center"/>
          </w:tcPr>
          <w:p w14:paraId="75E98649" w14:textId="4F6C7669"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06" w:name="_Toc398662672"/>
            <w:r>
              <w:rPr>
                <w:b w:val="0"/>
                <w:color w:val="auto"/>
                <w:sz w:val="20"/>
                <w:szCs w:val="20"/>
              </w:rPr>
              <w:t>23</w:t>
            </w:r>
            <w:bookmarkEnd w:id="106"/>
          </w:p>
        </w:tc>
        <w:tc>
          <w:tcPr>
            <w:tcW w:w="0" w:type="auto"/>
            <w:vAlign w:val="center"/>
          </w:tcPr>
          <w:p w14:paraId="1AD1A731" w14:textId="0F076719"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07" w:name="_Toc398662673"/>
            <w:r>
              <w:rPr>
                <w:b w:val="0"/>
                <w:color w:val="auto"/>
                <w:sz w:val="20"/>
                <w:szCs w:val="20"/>
              </w:rPr>
              <w:t>24</w:t>
            </w:r>
            <w:bookmarkEnd w:id="107"/>
          </w:p>
        </w:tc>
        <w:tc>
          <w:tcPr>
            <w:tcW w:w="0" w:type="auto"/>
            <w:vAlign w:val="center"/>
          </w:tcPr>
          <w:p w14:paraId="7807C243" w14:textId="2A0AF277"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08" w:name="_Toc398662674"/>
            <w:r>
              <w:rPr>
                <w:b w:val="0"/>
                <w:color w:val="auto"/>
                <w:sz w:val="20"/>
                <w:szCs w:val="20"/>
              </w:rPr>
              <w:t>25</w:t>
            </w:r>
            <w:bookmarkEnd w:id="108"/>
          </w:p>
        </w:tc>
        <w:tc>
          <w:tcPr>
            <w:tcW w:w="0" w:type="auto"/>
            <w:vAlign w:val="center"/>
          </w:tcPr>
          <w:p w14:paraId="5CB47EC5" w14:textId="0104848B"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09" w:name="_Toc398662675"/>
            <w:r>
              <w:rPr>
                <w:b w:val="0"/>
                <w:color w:val="auto"/>
                <w:sz w:val="20"/>
                <w:szCs w:val="20"/>
              </w:rPr>
              <w:t>25</w:t>
            </w:r>
            <w:bookmarkEnd w:id="109"/>
          </w:p>
        </w:tc>
      </w:tr>
      <w:tr w:rsidR="00FE276E" w:rsidRPr="00F30BBF" w14:paraId="1117113D"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28DED5" w14:textId="111423CE" w:rsidR="00FE276E" w:rsidRDefault="00FE276E" w:rsidP="00FE276E">
            <w:pPr>
              <w:pStyle w:val="Nadpis1"/>
              <w:spacing w:before="120"/>
              <w:outlineLvl w:val="0"/>
              <w:rPr>
                <w:color w:val="auto"/>
                <w:sz w:val="20"/>
                <w:szCs w:val="20"/>
              </w:rPr>
            </w:pPr>
            <w:bookmarkStart w:id="110" w:name="_Toc398662676"/>
            <w:r>
              <w:rPr>
                <w:color w:val="auto"/>
                <w:sz w:val="20"/>
                <w:szCs w:val="20"/>
              </w:rPr>
              <w:t>Znalost cizích jazyků</w:t>
            </w:r>
            <w:bookmarkEnd w:id="110"/>
          </w:p>
        </w:tc>
        <w:tc>
          <w:tcPr>
            <w:tcW w:w="0" w:type="auto"/>
            <w:vAlign w:val="center"/>
          </w:tcPr>
          <w:p w14:paraId="03F983CC" w14:textId="0E83AFF8"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11" w:name="_Toc398662677"/>
            <w:r>
              <w:rPr>
                <w:b w:val="0"/>
                <w:color w:val="auto"/>
                <w:sz w:val="20"/>
                <w:szCs w:val="20"/>
              </w:rPr>
              <w:t>15</w:t>
            </w:r>
            <w:bookmarkEnd w:id="111"/>
          </w:p>
        </w:tc>
        <w:tc>
          <w:tcPr>
            <w:tcW w:w="0" w:type="auto"/>
            <w:vAlign w:val="center"/>
          </w:tcPr>
          <w:p w14:paraId="1641EA99" w14:textId="6D027CE5"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12" w:name="_Toc398662678"/>
            <w:r>
              <w:rPr>
                <w:b w:val="0"/>
                <w:color w:val="auto"/>
                <w:sz w:val="20"/>
                <w:szCs w:val="20"/>
              </w:rPr>
              <w:t>13</w:t>
            </w:r>
            <w:bookmarkEnd w:id="112"/>
          </w:p>
        </w:tc>
        <w:tc>
          <w:tcPr>
            <w:tcW w:w="0" w:type="auto"/>
            <w:vAlign w:val="center"/>
          </w:tcPr>
          <w:p w14:paraId="79D1BFFA" w14:textId="137E3D71"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13" w:name="_Toc398662679"/>
            <w:r>
              <w:rPr>
                <w:b w:val="0"/>
                <w:color w:val="auto"/>
                <w:sz w:val="20"/>
                <w:szCs w:val="20"/>
              </w:rPr>
              <w:t>12</w:t>
            </w:r>
            <w:bookmarkEnd w:id="113"/>
          </w:p>
        </w:tc>
        <w:tc>
          <w:tcPr>
            <w:tcW w:w="0" w:type="auto"/>
            <w:vAlign w:val="center"/>
          </w:tcPr>
          <w:p w14:paraId="7EBED633" w14:textId="0DA0F715"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14" w:name="_Toc398662680"/>
            <w:r>
              <w:rPr>
                <w:b w:val="0"/>
                <w:color w:val="auto"/>
                <w:sz w:val="20"/>
                <w:szCs w:val="20"/>
              </w:rPr>
              <w:t>23</w:t>
            </w:r>
            <w:bookmarkEnd w:id="114"/>
          </w:p>
        </w:tc>
        <w:tc>
          <w:tcPr>
            <w:tcW w:w="0" w:type="auto"/>
            <w:vAlign w:val="center"/>
          </w:tcPr>
          <w:p w14:paraId="7A2C5072" w14:textId="73339A52"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15" w:name="_Toc398662681"/>
            <w:r>
              <w:rPr>
                <w:b w:val="0"/>
                <w:color w:val="auto"/>
                <w:sz w:val="20"/>
                <w:szCs w:val="20"/>
              </w:rPr>
              <w:t>28</w:t>
            </w:r>
            <w:bookmarkEnd w:id="115"/>
          </w:p>
        </w:tc>
      </w:tr>
      <w:tr w:rsidR="00FE276E" w:rsidRPr="00F30BBF" w14:paraId="5F9AB610"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F0A96" w14:textId="4CAE43EB" w:rsidR="00FE276E" w:rsidRDefault="00FE276E" w:rsidP="00FE276E">
            <w:pPr>
              <w:pStyle w:val="Nadpis1"/>
              <w:spacing w:before="120"/>
              <w:outlineLvl w:val="0"/>
              <w:rPr>
                <w:color w:val="auto"/>
                <w:sz w:val="20"/>
                <w:szCs w:val="20"/>
              </w:rPr>
            </w:pPr>
            <w:bookmarkStart w:id="116" w:name="_Toc398662682"/>
            <w:r>
              <w:rPr>
                <w:color w:val="auto"/>
                <w:sz w:val="20"/>
                <w:szCs w:val="20"/>
              </w:rPr>
              <w:t>Vedení administrativy</w:t>
            </w:r>
            <w:bookmarkEnd w:id="116"/>
          </w:p>
        </w:tc>
        <w:tc>
          <w:tcPr>
            <w:tcW w:w="0" w:type="auto"/>
            <w:vAlign w:val="center"/>
          </w:tcPr>
          <w:p w14:paraId="53A60072" w14:textId="1DB436C0"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17" w:name="_Toc398662683"/>
            <w:r>
              <w:rPr>
                <w:b w:val="0"/>
                <w:color w:val="auto"/>
                <w:sz w:val="20"/>
                <w:szCs w:val="20"/>
              </w:rPr>
              <w:t>7</w:t>
            </w:r>
            <w:bookmarkEnd w:id="117"/>
          </w:p>
        </w:tc>
        <w:tc>
          <w:tcPr>
            <w:tcW w:w="0" w:type="auto"/>
            <w:vAlign w:val="center"/>
          </w:tcPr>
          <w:p w14:paraId="226BFB18" w14:textId="25A51A13"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18" w:name="_Toc398662684"/>
            <w:r>
              <w:rPr>
                <w:b w:val="0"/>
                <w:color w:val="auto"/>
                <w:sz w:val="20"/>
                <w:szCs w:val="20"/>
              </w:rPr>
              <w:t>7</w:t>
            </w:r>
            <w:bookmarkEnd w:id="118"/>
          </w:p>
        </w:tc>
        <w:tc>
          <w:tcPr>
            <w:tcW w:w="0" w:type="auto"/>
            <w:vAlign w:val="center"/>
          </w:tcPr>
          <w:p w14:paraId="238C8DDB" w14:textId="49E618D4"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19" w:name="_Toc398662685"/>
            <w:r>
              <w:rPr>
                <w:b w:val="0"/>
                <w:color w:val="auto"/>
                <w:sz w:val="20"/>
                <w:szCs w:val="20"/>
              </w:rPr>
              <w:t>7</w:t>
            </w:r>
            <w:bookmarkEnd w:id="119"/>
          </w:p>
        </w:tc>
        <w:tc>
          <w:tcPr>
            <w:tcW w:w="0" w:type="auto"/>
            <w:vAlign w:val="center"/>
          </w:tcPr>
          <w:p w14:paraId="622ABEA2" w14:textId="1B535343"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20" w:name="_Toc398662686"/>
            <w:r>
              <w:rPr>
                <w:b w:val="0"/>
                <w:color w:val="auto"/>
                <w:sz w:val="20"/>
                <w:szCs w:val="20"/>
              </w:rPr>
              <w:t>6</w:t>
            </w:r>
            <w:bookmarkEnd w:id="120"/>
          </w:p>
        </w:tc>
        <w:tc>
          <w:tcPr>
            <w:tcW w:w="0" w:type="auto"/>
            <w:vAlign w:val="center"/>
          </w:tcPr>
          <w:p w14:paraId="1CE02FE9" w14:textId="66ADE770"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21" w:name="_Toc398662687"/>
            <w:r>
              <w:rPr>
                <w:b w:val="0"/>
                <w:color w:val="auto"/>
                <w:sz w:val="20"/>
                <w:szCs w:val="20"/>
              </w:rPr>
              <w:t>4</w:t>
            </w:r>
            <w:bookmarkEnd w:id="121"/>
          </w:p>
        </w:tc>
      </w:tr>
      <w:tr w:rsidR="00FE276E" w:rsidRPr="00F30BBF" w14:paraId="119053F4"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3DADF" w14:textId="3E549B90" w:rsidR="00FE276E" w:rsidRDefault="006F75AD" w:rsidP="00FE276E">
            <w:pPr>
              <w:pStyle w:val="Nadpis1"/>
              <w:spacing w:before="120"/>
              <w:outlineLvl w:val="0"/>
              <w:rPr>
                <w:color w:val="auto"/>
                <w:sz w:val="20"/>
                <w:szCs w:val="20"/>
              </w:rPr>
            </w:pPr>
            <w:bookmarkStart w:id="122" w:name="_Toc398662688"/>
            <w:r>
              <w:rPr>
                <w:color w:val="auto"/>
                <w:sz w:val="20"/>
                <w:szCs w:val="20"/>
              </w:rPr>
              <w:t>Jednání se zákazníky</w:t>
            </w:r>
            <w:bookmarkEnd w:id="122"/>
          </w:p>
        </w:tc>
        <w:tc>
          <w:tcPr>
            <w:tcW w:w="0" w:type="auto"/>
            <w:vAlign w:val="center"/>
          </w:tcPr>
          <w:p w14:paraId="30808F94" w14:textId="38949312"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23" w:name="_Toc398662689"/>
            <w:r>
              <w:rPr>
                <w:b w:val="0"/>
                <w:color w:val="auto"/>
                <w:sz w:val="20"/>
                <w:szCs w:val="20"/>
              </w:rPr>
              <w:t>34</w:t>
            </w:r>
            <w:bookmarkEnd w:id="123"/>
          </w:p>
        </w:tc>
        <w:tc>
          <w:tcPr>
            <w:tcW w:w="0" w:type="auto"/>
            <w:vAlign w:val="center"/>
          </w:tcPr>
          <w:p w14:paraId="4F10F030" w14:textId="36DAFC25"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24" w:name="_Toc398662690"/>
            <w:r>
              <w:rPr>
                <w:b w:val="0"/>
                <w:color w:val="auto"/>
                <w:sz w:val="20"/>
                <w:szCs w:val="20"/>
              </w:rPr>
              <w:t>35</w:t>
            </w:r>
            <w:bookmarkEnd w:id="124"/>
          </w:p>
        </w:tc>
        <w:tc>
          <w:tcPr>
            <w:tcW w:w="0" w:type="auto"/>
            <w:vAlign w:val="center"/>
          </w:tcPr>
          <w:p w14:paraId="57DB4FF5" w14:textId="0A07F2C8"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25" w:name="_Toc398662691"/>
            <w:r>
              <w:rPr>
                <w:b w:val="0"/>
                <w:color w:val="auto"/>
                <w:sz w:val="20"/>
                <w:szCs w:val="20"/>
              </w:rPr>
              <w:t>34</w:t>
            </w:r>
            <w:bookmarkEnd w:id="125"/>
          </w:p>
        </w:tc>
        <w:tc>
          <w:tcPr>
            <w:tcW w:w="0" w:type="auto"/>
            <w:vAlign w:val="center"/>
          </w:tcPr>
          <w:p w14:paraId="139740C6" w14:textId="6DF9A63D"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26" w:name="_Toc398662692"/>
            <w:r>
              <w:rPr>
                <w:b w:val="0"/>
                <w:color w:val="auto"/>
                <w:sz w:val="20"/>
                <w:szCs w:val="20"/>
              </w:rPr>
              <w:t>31</w:t>
            </w:r>
            <w:bookmarkEnd w:id="126"/>
          </w:p>
        </w:tc>
        <w:tc>
          <w:tcPr>
            <w:tcW w:w="0" w:type="auto"/>
            <w:vAlign w:val="center"/>
          </w:tcPr>
          <w:p w14:paraId="2C9CAC72" w14:textId="1D6B6C39"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27" w:name="_Toc398662693"/>
            <w:r>
              <w:rPr>
                <w:b w:val="0"/>
                <w:color w:val="auto"/>
                <w:sz w:val="20"/>
                <w:szCs w:val="20"/>
              </w:rPr>
              <w:t>26</w:t>
            </w:r>
            <w:bookmarkEnd w:id="127"/>
          </w:p>
        </w:tc>
      </w:tr>
      <w:tr w:rsidR="00FE276E" w:rsidRPr="00F30BBF" w14:paraId="4855D48E"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6F5A7" w14:textId="4EE0C671" w:rsidR="00FE276E" w:rsidRDefault="006F75AD" w:rsidP="00FE276E">
            <w:pPr>
              <w:pStyle w:val="Nadpis1"/>
              <w:spacing w:before="120"/>
              <w:outlineLvl w:val="0"/>
              <w:rPr>
                <w:color w:val="auto"/>
                <w:sz w:val="20"/>
                <w:szCs w:val="20"/>
              </w:rPr>
            </w:pPr>
            <w:bookmarkStart w:id="128" w:name="_Toc398662694"/>
            <w:r>
              <w:rPr>
                <w:color w:val="auto"/>
                <w:sz w:val="20"/>
                <w:szCs w:val="20"/>
              </w:rPr>
              <w:t>Manažerské dovednosti</w:t>
            </w:r>
            <w:bookmarkEnd w:id="128"/>
          </w:p>
        </w:tc>
        <w:tc>
          <w:tcPr>
            <w:tcW w:w="0" w:type="auto"/>
            <w:vAlign w:val="center"/>
          </w:tcPr>
          <w:p w14:paraId="641AE52D" w14:textId="3D237623"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29" w:name="_Toc398662695"/>
            <w:r>
              <w:rPr>
                <w:b w:val="0"/>
                <w:color w:val="auto"/>
                <w:sz w:val="20"/>
                <w:szCs w:val="20"/>
              </w:rPr>
              <w:t>13</w:t>
            </w:r>
            <w:bookmarkEnd w:id="129"/>
          </w:p>
        </w:tc>
        <w:tc>
          <w:tcPr>
            <w:tcW w:w="0" w:type="auto"/>
            <w:vAlign w:val="center"/>
          </w:tcPr>
          <w:p w14:paraId="76D6E38F" w14:textId="1477F5BC"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30" w:name="_Toc398662696"/>
            <w:r>
              <w:rPr>
                <w:b w:val="0"/>
                <w:color w:val="auto"/>
                <w:sz w:val="20"/>
                <w:szCs w:val="20"/>
              </w:rPr>
              <w:t>8</w:t>
            </w:r>
            <w:bookmarkEnd w:id="130"/>
          </w:p>
        </w:tc>
        <w:tc>
          <w:tcPr>
            <w:tcW w:w="0" w:type="auto"/>
            <w:vAlign w:val="center"/>
          </w:tcPr>
          <w:p w14:paraId="2CE4DA97" w14:textId="591AD8AE"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31" w:name="_Toc398662697"/>
            <w:r>
              <w:rPr>
                <w:b w:val="0"/>
                <w:color w:val="auto"/>
                <w:sz w:val="20"/>
                <w:szCs w:val="20"/>
              </w:rPr>
              <w:t>11</w:t>
            </w:r>
            <w:bookmarkEnd w:id="131"/>
          </w:p>
        </w:tc>
        <w:tc>
          <w:tcPr>
            <w:tcW w:w="0" w:type="auto"/>
            <w:vAlign w:val="center"/>
          </w:tcPr>
          <w:p w14:paraId="62A28D39" w14:textId="75F76B91"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32" w:name="_Toc398662698"/>
            <w:r>
              <w:rPr>
                <w:b w:val="0"/>
                <w:color w:val="auto"/>
                <w:sz w:val="20"/>
                <w:szCs w:val="20"/>
              </w:rPr>
              <w:t>21</w:t>
            </w:r>
            <w:bookmarkEnd w:id="132"/>
          </w:p>
        </w:tc>
        <w:tc>
          <w:tcPr>
            <w:tcW w:w="0" w:type="auto"/>
            <w:vAlign w:val="center"/>
          </w:tcPr>
          <w:p w14:paraId="1110B0A8" w14:textId="2FE68A25" w:rsidR="00FE276E"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33" w:name="_Toc398662699"/>
            <w:r>
              <w:rPr>
                <w:b w:val="0"/>
                <w:color w:val="auto"/>
                <w:sz w:val="20"/>
                <w:szCs w:val="20"/>
              </w:rPr>
              <w:t>36</w:t>
            </w:r>
            <w:bookmarkEnd w:id="133"/>
          </w:p>
        </w:tc>
      </w:tr>
      <w:tr w:rsidR="00FE276E" w:rsidRPr="00F30BBF" w14:paraId="1818F8F9"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E749D0" w14:textId="0831BE4C" w:rsidR="00FE276E" w:rsidRDefault="006F75AD" w:rsidP="00FE276E">
            <w:pPr>
              <w:pStyle w:val="Nadpis1"/>
              <w:spacing w:before="120"/>
              <w:outlineLvl w:val="0"/>
              <w:rPr>
                <w:color w:val="auto"/>
                <w:sz w:val="20"/>
                <w:szCs w:val="20"/>
              </w:rPr>
            </w:pPr>
            <w:bookmarkStart w:id="134" w:name="_Toc398662700"/>
            <w:r>
              <w:rPr>
                <w:color w:val="auto"/>
                <w:sz w:val="20"/>
                <w:szCs w:val="20"/>
              </w:rPr>
              <w:t>Odborná práce s informačními technologiemi</w:t>
            </w:r>
            <w:bookmarkEnd w:id="134"/>
          </w:p>
        </w:tc>
        <w:tc>
          <w:tcPr>
            <w:tcW w:w="0" w:type="auto"/>
            <w:vAlign w:val="center"/>
          </w:tcPr>
          <w:p w14:paraId="36075F78" w14:textId="3A4E79A5"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35" w:name="_Toc398662701"/>
            <w:r>
              <w:rPr>
                <w:b w:val="0"/>
                <w:color w:val="auto"/>
                <w:sz w:val="20"/>
                <w:szCs w:val="20"/>
              </w:rPr>
              <w:t>5</w:t>
            </w:r>
            <w:bookmarkEnd w:id="135"/>
          </w:p>
        </w:tc>
        <w:tc>
          <w:tcPr>
            <w:tcW w:w="0" w:type="auto"/>
            <w:vAlign w:val="center"/>
          </w:tcPr>
          <w:p w14:paraId="53E64D31" w14:textId="6F9D7E5D"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36" w:name="_Toc398662702"/>
            <w:r>
              <w:rPr>
                <w:b w:val="0"/>
                <w:color w:val="auto"/>
                <w:sz w:val="20"/>
                <w:szCs w:val="20"/>
              </w:rPr>
              <w:t>5</w:t>
            </w:r>
            <w:bookmarkEnd w:id="136"/>
          </w:p>
        </w:tc>
        <w:tc>
          <w:tcPr>
            <w:tcW w:w="0" w:type="auto"/>
            <w:vAlign w:val="center"/>
          </w:tcPr>
          <w:p w14:paraId="452C3F65" w14:textId="0805A44F"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37" w:name="_Toc398662703"/>
            <w:r>
              <w:rPr>
                <w:b w:val="0"/>
                <w:color w:val="auto"/>
                <w:sz w:val="20"/>
                <w:szCs w:val="20"/>
              </w:rPr>
              <w:t>4</w:t>
            </w:r>
            <w:bookmarkEnd w:id="137"/>
          </w:p>
        </w:tc>
        <w:tc>
          <w:tcPr>
            <w:tcW w:w="0" w:type="auto"/>
            <w:vAlign w:val="center"/>
          </w:tcPr>
          <w:p w14:paraId="4D88E36D" w14:textId="5B7D1B2D"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38" w:name="_Toc398662704"/>
            <w:r>
              <w:rPr>
                <w:b w:val="0"/>
                <w:color w:val="auto"/>
                <w:sz w:val="20"/>
                <w:szCs w:val="20"/>
              </w:rPr>
              <w:t>5</w:t>
            </w:r>
            <w:bookmarkEnd w:id="138"/>
          </w:p>
        </w:tc>
        <w:tc>
          <w:tcPr>
            <w:tcW w:w="0" w:type="auto"/>
            <w:vAlign w:val="center"/>
          </w:tcPr>
          <w:p w14:paraId="1789AF5B" w14:textId="69887B31" w:rsidR="00FE276E"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39" w:name="_Toc398662705"/>
            <w:r>
              <w:rPr>
                <w:b w:val="0"/>
                <w:color w:val="auto"/>
                <w:sz w:val="20"/>
                <w:szCs w:val="20"/>
              </w:rPr>
              <w:t>7</w:t>
            </w:r>
            <w:bookmarkEnd w:id="139"/>
          </w:p>
        </w:tc>
      </w:tr>
      <w:tr w:rsidR="006F75AD" w:rsidRPr="00F30BBF" w14:paraId="0025F613"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8B29E7" w14:textId="48C790FD" w:rsidR="006F75AD" w:rsidRDefault="006F75AD" w:rsidP="00FE276E">
            <w:pPr>
              <w:pStyle w:val="Nadpis1"/>
              <w:spacing w:before="120"/>
              <w:outlineLvl w:val="0"/>
              <w:rPr>
                <w:color w:val="auto"/>
                <w:sz w:val="20"/>
                <w:szCs w:val="20"/>
              </w:rPr>
            </w:pPr>
            <w:bookmarkStart w:id="140" w:name="_Toc398662706"/>
            <w:r>
              <w:rPr>
                <w:color w:val="auto"/>
                <w:sz w:val="20"/>
                <w:szCs w:val="20"/>
              </w:rPr>
              <w:t>Odborné dovednosti v oblasti matematiky a statistiky</w:t>
            </w:r>
            <w:bookmarkEnd w:id="140"/>
          </w:p>
        </w:tc>
        <w:tc>
          <w:tcPr>
            <w:tcW w:w="0" w:type="auto"/>
            <w:vAlign w:val="center"/>
          </w:tcPr>
          <w:p w14:paraId="21D34A07" w14:textId="33EAEB95"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41" w:name="_Toc398662707"/>
            <w:r>
              <w:rPr>
                <w:b w:val="0"/>
                <w:color w:val="auto"/>
                <w:sz w:val="20"/>
                <w:szCs w:val="20"/>
              </w:rPr>
              <w:t>1</w:t>
            </w:r>
            <w:bookmarkEnd w:id="141"/>
          </w:p>
        </w:tc>
        <w:tc>
          <w:tcPr>
            <w:tcW w:w="0" w:type="auto"/>
            <w:vAlign w:val="center"/>
          </w:tcPr>
          <w:p w14:paraId="41CBB07B" w14:textId="565C725E"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42" w:name="_Toc398662708"/>
            <w:r>
              <w:rPr>
                <w:b w:val="0"/>
                <w:color w:val="auto"/>
                <w:sz w:val="20"/>
                <w:szCs w:val="20"/>
              </w:rPr>
              <w:t>1</w:t>
            </w:r>
            <w:bookmarkEnd w:id="142"/>
          </w:p>
        </w:tc>
        <w:tc>
          <w:tcPr>
            <w:tcW w:w="0" w:type="auto"/>
            <w:vAlign w:val="center"/>
          </w:tcPr>
          <w:p w14:paraId="3E3E3287" w14:textId="0890852D"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43" w:name="_Toc398662709"/>
            <w:proofErr w:type="gramStart"/>
            <w:r>
              <w:rPr>
                <w:rFonts w:ascii="Calibri" w:hAnsi="Calibri"/>
                <w:b w:val="0"/>
                <w:color w:val="auto"/>
                <w:sz w:val="20"/>
                <w:szCs w:val="20"/>
              </w:rPr>
              <w:t>&lt;</w:t>
            </w:r>
            <w:r>
              <w:rPr>
                <w:b w:val="0"/>
                <w:color w:val="auto"/>
                <w:sz w:val="20"/>
                <w:szCs w:val="20"/>
              </w:rPr>
              <w:t xml:space="preserve"> 1</w:t>
            </w:r>
            <w:bookmarkEnd w:id="143"/>
            <w:proofErr w:type="gramEnd"/>
          </w:p>
        </w:tc>
        <w:tc>
          <w:tcPr>
            <w:tcW w:w="0" w:type="auto"/>
            <w:vAlign w:val="center"/>
          </w:tcPr>
          <w:p w14:paraId="732548B2" w14:textId="339C65AD"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44" w:name="_Toc398662710"/>
            <w:r>
              <w:rPr>
                <w:b w:val="0"/>
                <w:color w:val="auto"/>
                <w:sz w:val="20"/>
                <w:szCs w:val="20"/>
              </w:rPr>
              <w:t>1</w:t>
            </w:r>
            <w:bookmarkEnd w:id="144"/>
          </w:p>
        </w:tc>
        <w:tc>
          <w:tcPr>
            <w:tcW w:w="0" w:type="auto"/>
            <w:vAlign w:val="center"/>
          </w:tcPr>
          <w:p w14:paraId="7862C4D4" w14:textId="11F57C69"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45" w:name="_Toc398662711"/>
            <w:r>
              <w:rPr>
                <w:b w:val="0"/>
                <w:color w:val="auto"/>
                <w:sz w:val="20"/>
                <w:szCs w:val="20"/>
              </w:rPr>
              <w:t>1</w:t>
            </w:r>
            <w:bookmarkEnd w:id="145"/>
          </w:p>
        </w:tc>
      </w:tr>
      <w:tr w:rsidR="006F75AD" w:rsidRPr="00F30BBF" w14:paraId="0791653D" w14:textId="77777777" w:rsidTr="006F7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AF6932" w14:textId="2B12042A" w:rsidR="006F75AD" w:rsidRDefault="006F75AD" w:rsidP="00FE276E">
            <w:pPr>
              <w:pStyle w:val="Nadpis1"/>
              <w:spacing w:before="120"/>
              <w:outlineLvl w:val="0"/>
              <w:rPr>
                <w:color w:val="auto"/>
                <w:sz w:val="20"/>
                <w:szCs w:val="20"/>
              </w:rPr>
            </w:pPr>
            <w:bookmarkStart w:id="146" w:name="_Toc398662712"/>
            <w:r>
              <w:rPr>
                <w:color w:val="auto"/>
                <w:sz w:val="20"/>
                <w:szCs w:val="20"/>
              </w:rPr>
              <w:t>Specifické technické a inženýrské dovednosti</w:t>
            </w:r>
            <w:bookmarkEnd w:id="146"/>
          </w:p>
        </w:tc>
        <w:tc>
          <w:tcPr>
            <w:tcW w:w="0" w:type="auto"/>
            <w:vAlign w:val="center"/>
          </w:tcPr>
          <w:p w14:paraId="0D63798F" w14:textId="2B51CED0" w:rsidR="006F75AD"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47" w:name="_Toc398662713"/>
            <w:r>
              <w:rPr>
                <w:b w:val="0"/>
                <w:color w:val="auto"/>
                <w:sz w:val="20"/>
                <w:szCs w:val="20"/>
              </w:rPr>
              <w:t>19</w:t>
            </w:r>
            <w:bookmarkEnd w:id="147"/>
          </w:p>
        </w:tc>
        <w:tc>
          <w:tcPr>
            <w:tcW w:w="0" w:type="auto"/>
            <w:vAlign w:val="center"/>
          </w:tcPr>
          <w:p w14:paraId="3C3B26FC" w14:textId="7C77D5A1" w:rsidR="006F75AD"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48" w:name="_Toc398662714"/>
            <w:r>
              <w:rPr>
                <w:b w:val="0"/>
                <w:color w:val="auto"/>
                <w:sz w:val="20"/>
                <w:szCs w:val="20"/>
              </w:rPr>
              <w:t>16</w:t>
            </w:r>
            <w:bookmarkEnd w:id="148"/>
          </w:p>
        </w:tc>
        <w:tc>
          <w:tcPr>
            <w:tcW w:w="0" w:type="auto"/>
            <w:vAlign w:val="center"/>
          </w:tcPr>
          <w:p w14:paraId="445368B0" w14:textId="1C4B7A0D" w:rsidR="006F75AD"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49" w:name="_Toc398662715"/>
            <w:r>
              <w:rPr>
                <w:b w:val="0"/>
                <w:color w:val="auto"/>
                <w:sz w:val="20"/>
                <w:szCs w:val="20"/>
              </w:rPr>
              <w:t>16</w:t>
            </w:r>
            <w:bookmarkEnd w:id="149"/>
          </w:p>
        </w:tc>
        <w:tc>
          <w:tcPr>
            <w:tcW w:w="0" w:type="auto"/>
            <w:vAlign w:val="center"/>
          </w:tcPr>
          <w:p w14:paraId="4EE40B4B" w14:textId="1696023E" w:rsidR="006F75AD"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50" w:name="_Toc398662716"/>
            <w:r>
              <w:rPr>
                <w:b w:val="0"/>
                <w:color w:val="auto"/>
                <w:sz w:val="20"/>
                <w:szCs w:val="20"/>
              </w:rPr>
              <w:t>25</w:t>
            </w:r>
            <w:bookmarkEnd w:id="150"/>
          </w:p>
        </w:tc>
        <w:tc>
          <w:tcPr>
            <w:tcW w:w="0" w:type="auto"/>
            <w:vAlign w:val="center"/>
          </w:tcPr>
          <w:p w14:paraId="1D92108B" w14:textId="13E0BCDF" w:rsidR="006F75AD" w:rsidRPr="0022095C" w:rsidRDefault="006F75AD" w:rsidP="006F75AD">
            <w:pPr>
              <w:pStyle w:val="Nadpis1"/>
              <w:spacing w:before="120"/>
              <w:jc w:val="center"/>
              <w:outlineLvl w:val="0"/>
              <w:cnfStyle w:val="000000100000" w:firstRow="0" w:lastRow="0" w:firstColumn="0" w:lastColumn="0" w:oddVBand="0" w:evenVBand="0" w:oddHBand="1" w:evenHBand="0" w:firstRowFirstColumn="0" w:firstRowLastColumn="0" w:lastRowFirstColumn="0" w:lastRowLastColumn="0"/>
              <w:rPr>
                <w:b w:val="0"/>
                <w:color w:val="auto"/>
                <w:sz w:val="20"/>
                <w:szCs w:val="20"/>
              </w:rPr>
            </w:pPr>
            <w:bookmarkStart w:id="151" w:name="_Toc398662717"/>
            <w:r>
              <w:rPr>
                <w:b w:val="0"/>
                <w:color w:val="auto"/>
                <w:sz w:val="20"/>
                <w:szCs w:val="20"/>
              </w:rPr>
              <w:t>40</w:t>
            </w:r>
            <w:bookmarkEnd w:id="151"/>
          </w:p>
        </w:tc>
      </w:tr>
      <w:tr w:rsidR="006F75AD" w:rsidRPr="00F30BBF" w14:paraId="7B2742F7" w14:textId="77777777" w:rsidTr="006F7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274DBF" w14:textId="6D369952" w:rsidR="006F75AD" w:rsidRDefault="006F75AD" w:rsidP="00FE276E">
            <w:pPr>
              <w:pStyle w:val="Nadpis1"/>
              <w:spacing w:before="120"/>
              <w:outlineLvl w:val="0"/>
              <w:rPr>
                <w:color w:val="auto"/>
                <w:sz w:val="20"/>
                <w:szCs w:val="20"/>
              </w:rPr>
            </w:pPr>
            <w:bookmarkStart w:id="152" w:name="_Toc398662718"/>
            <w:r>
              <w:rPr>
                <w:color w:val="auto"/>
                <w:sz w:val="20"/>
                <w:szCs w:val="20"/>
              </w:rPr>
              <w:t>Jiné specifické dovednosti</w:t>
            </w:r>
            <w:bookmarkEnd w:id="152"/>
          </w:p>
        </w:tc>
        <w:tc>
          <w:tcPr>
            <w:tcW w:w="0" w:type="auto"/>
            <w:vAlign w:val="center"/>
          </w:tcPr>
          <w:p w14:paraId="7EDE3874" w14:textId="2FBA8144"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53" w:name="_Toc398662719"/>
            <w:r>
              <w:rPr>
                <w:b w:val="0"/>
                <w:color w:val="auto"/>
                <w:sz w:val="20"/>
                <w:szCs w:val="20"/>
              </w:rPr>
              <w:t>27</w:t>
            </w:r>
            <w:bookmarkEnd w:id="153"/>
          </w:p>
        </w:tc>
        <w:tc>
          <w:tcPr>
            <w:tcW w:w="0" w:type="auto"/>
            <w:vAlign w:val="center"/>
          </w:tcPr>
          <w:p w14:paraId="2E28B075" w14:textId="20FDE7C5"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54" w:name="_Toc398662720"/>
            <w:r>
              <w:rPr>
                <w:b w:val="0"/>
                <w:color w:val="auto"/>
                <w:sz w:val="20"/>
                <w:szCs w:val="20"/>
              </w:rPr>
              <w:t>25</w:t>
            </w:r>
            <w:bookmarkEnd w:id="154"/>
          </w:p>
        </w:tc>
        <w:tc>
          <w:tcPr>
            <w:tcW w:w="0" w:type="auto"/>
            <w:vAlign w:val="center"/>
          </w:tcPr>
          <w:p w14:paraId="6A06332C" w14:textId="47B130C8"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55" w:name="_Toc398662721"/>
            <w:r>
              <w:rPr>
                <w:b w:val="0"/>
                <w:color w:val="auto"/>
                <w:sz w:val="20"/>
                <w:szCs w:val="20"/>
              </w:rPr>
              <w:t>27</w:t>
            </w:r>
            <w:bookmarkEnd w:id="155"/>
          </w:p>
        </w:tc>
        <w:tc>
          <w:tcPr>
            <w:tcW w:w="0" w:type="auto"/>
            <w:vAlign w:val="center"/>
          </w:tcPr>
          <w:p w14:paraId="0AE60172" w14:textId="73A935AE"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56" w:name="_Toc398662722"/>
            <w:r>
              <w:rPr>
                <w:b w:val="0"/>
                <w:color w:val="auto"/>
                <w:sz w:val="20"/>
                <w:szCs w:val="20"/>
              </w:rPr>
              <w:t>29</w:t>
            </w:r>
            <w:bookmarkEnd w:id="156"/>
          </w:p>
        </w:tc>
        <w:tc>
          <w:tcPr>
            <w:tcW w:w="0" w:type="auto"/>
            <w:vAlign w:val="center"/>
          </w:tcPr>
          <w:p w14:paraId="34D21974" w14:textId="3D7D49EC" w:rsidR="006F75AD" w:rsidRPr="0022095C" w:rsidRDefault="006F75AD" w:rsidP="006F75AD">
            <w:pPr>
              <w:pStyle w:val="Nadpis1"/>
              <w:spacing w:before="120"/>
              <w:jc w:val="center"/>
              <w:outlineLvl w:val="0"/>
              <w:cnfStyle w:val="000000010000" w:firstRow="0" w:lastRow="0" w:firstColumn="0" w:lastColumn="0" w:oddVBand="0" w:evenVBand="0" w:oddHBand="0" w:evenHBand="1" w:firstRowFirstColumn="0" w:firstRowLastColumn="0" w:lastRowFirstColumn="0" w:lastRowLastColumn="0"/>
              <w:rPr>
                <w:b w:val="0"/>
                <w:color w:val="auto"/>
                <w:sz w:val="20"/>
                <w:szCs w:val="20"/>
              </w:rPr>
            </w:pPr>
            <w:bookmarkStart w:id="157" w:name="_Toc398662723"/>
            <w:r>
              <w:rPr>
                <w:b w:val="0"/>
                <w:color w:val="auto"/>
                <w:sz w:val="20"/>
                <w:szCs w:val="20"/>
              </w:rPr>
              <w:t>26</w:t>
            </w:r>
            <w:bookmarkEnd w:id="157"/>
          </w:p>
        </w:tc>
      </w:tr>
    </w:tbl>
    <w:p w14:paraId="1D3B173C" w14:textId="441444F3" w:rsidR="009906D9" w:rsidRPr="0088387B" w:rsidRDefault="009906D9" w:rsidP="009906D9">
      <w:pPr>
        <w:spacing w:before="120"/>
        <w:rPr>
          <w:rFonts w:ascii="Times New Roman" w:hAnsi="Times New Roman" w:cs="Times New Roman"/>
          <w:i/>
          <w:sz w:val="22"/>
          <w:szCs w:val="22"/>
        </w:rPr>
      </w:pPr>
      <w:r w:rsidRPr="0088387B">
        <w:rPr>
          <w:rFonts w:ascii="Times New Roman" w:hAnsi="Times New Roman" w:cs="Times New Roman"/>
          <w:i/>
          <w:sz w:val="22"/>
          <w:szCs w:val="22"/>
        </w:rPr>
        <w:t>Zdroj: CVTS (2016), ČSÚ (</w:t>
      </w:r>
      <w:proofErr w:type="gramStart"/>
      <w:r w:rsidRPr="0088387B">
        <w:rPr>
          <w:rFonts w:ascii="Times New Roman" w:hAnsi="Times New Roman" w:cs="Times New Roman"/>
          <w:i/>
          <w:sz w:val="22"/>
          <w:szCs w:val="22"/>
        </w:rPr>
        <w:t>2018</w:t>
      </w:r>
      <w:r w:rsidR="005019C3">
        <w:rPr>
          <w:rFonts w:ascii="Times New Roman" w:hAnsi="Times New Roman" w:cs="Times New Roman"/>
          <w:i/>
          <w:sz w:val="22"/>
          <w:szCs w:val="22"/>
        </w:rPr>
        <w:t>b</w:t>
      </w:r>
      <w:proofErr w:type="gramEnd"/>
      <w:r w:rsidRPr="0088387B">
        <w:rPr>
          <w:rFonts w:ascii="Times New Roman" w:hAnsi="Times New Roman" w:cs="Times New Roman"/>
          <w:i/>
          <w:sz w:val="22"/>
          <w:szCs w:val="22"/>
        </w:rPr>
        <w:t>), upraveno.</w:t>
      </w:r>
    </w:p>
    <w:p w14:paraId="3E2C2960" w14:textId="4E30C5AF" w:rsidR="00491185" w:rsidRDefault="00FA6D58" w:rsidP="00FA6D58">
      <w:pPr>
        <w:spacing w:before="240" w:line="360" w:lineRule="auto"/>
        <w:jc w:val="both"/>
        <w:rPr>
          <w:rFonts w:ascii="Times New Roman" w:hAnsi="Times New Roman" w:cs="Times New Roman"/>
        </w:rPr>
      </w:pPr>
      <w:r>
        <w:rPr>
          <w:rFonts w:ascii="Times New Roman" w:hAnsi="Times New Roman" w:cs="Times New Roman"/>
        </w:rPr>
        <w:t xml:space="preserve">Jak je z tabulky patrné, podniky nejvíce preferují tzv. měkké kompetence – nejčastěji je to </w:t>
      </w:r>
      <w:r>
        <w:rPr>
          <w:rFonts w:ascii="Times New Roman" w:hAnsi="Times New Roman" w:cs="Times New Roman"/>
          <w:i/>
        </w:rPr>
        <w:t xml:space="preserve">schopnost týmové práce </w:t>
      </w:r>
      <w:r>
        <w:rPr>
          <w:rFonts w:ascii="Times New Roman" w:hAnsi="Times New Roman" w:cs="Times New Roman"/>
        </w:rPr>
        <w:t xml:space="preserve">a </w:t>
      </w:r>
      <w:r>
        <w:rPr>
          <w:rFonts w:ascii="Times New Roman" w:hAnsi="Times New Roman" w:cs="Times New Roman"/>
          <w:i/>
        </w:rPr>
        <w:t xml:space="preserve">jednání se zákazníky </w:t>
      </w:r>
      <w:r>
        <w:rPr>
          <w:rFonts w:ascii="Times New Roman" w:hAnsi="Times New Roman" w:cs="Times New Roman"/>
        </w:rPr>
        <w:t xml:space="preserve">a také </w:t>
      </w:r>
      <w:r>
        <w:rPr>
          <w:rFonts w:ascii="Times New Roman" w:hAnsi="Times New Roman" w:cs="Times New Roman"/>
          <w:i/>
        </w:rPr>
        <w:t xml:space="preserve">řešení problémů nebo obtížných úkolů. </w:t>
      </w:r>
      <w:r>
        <w:rPr>
          <w:rFonts w:ascii="Times New Roman" w:hAnsi="Times New Roman" w:cs="Times New Roman"/>
        </w:rPr>
        <w:t xml:space="preserve">Více než čtvrtina podniků klade důraz také na odborné </w:t>
      </w:r>
      <w:r w:rsidRPr="00FA6D58">
        <w:rPr>
          <w:rFonts w:ascii="Times New Roman" w:hAnsi="Times New Roman" w:cs="Times New Roman"/>
          <w:i/>
        </w:rPr>
        <w:t>specifické dovednosti</w:t>
      </w:r>
      <w:r>
        <w:rPr>
          <w:rFonts w:ascii="Times New Roman" w:hAnsi="Times New Roman" w:cs="Times New Roman"/>
        </w:rPr>
        <w:t>, které souvisí s výkonem dané profese. Opět je určitý rozdíl mezi MSP a velkými firmami, což zřejmě vyplývá z poněkud jiné organizace práce (ve velkých podnicích je daleko strukturovanější</w:t>
      </w:r>
      <w:r w:rsidR="002226D9">
        <w:rPr>
          <w:rFonts w:ascii="Times New Roman" w:hAnsi="Times New Roman" w:cs="Times New Roman"/>
        </w:rPr>
        <w:t>, větší důraz je kladen např. na manažerské kompetence</w:t>
      </w:r>
      <w:r>
        <w:rPr>
          <w:rFonts w:ascii="Times New Roman" w:hAnsi="Times New Roman" w:cs="Times New Roman"/>
        </w:rPr>
        <w:t>) i z jiných potřeb (např. lepší jazyková vybavenost je nutná zejména ve velkých podnicích, které mají často zahraniční centrály).</w:t>
      </w:r>
      <w:r w:rsidR="002226D9">
        <w:rPr>
          <w:rFonts w:ascii="Times New Roman" w:hAnsi="Times New Roman" w:cs="Times New Roman"/>
        </w:rPr>
        <w:t xml:space="preserve"> Rozdíly jsou dány ale také odvětvím, v němž podnik působí. Například „schopnost týmové práce“ považuje za klíčovou až 48 % firem z odvětví Ubytování, stravování a pohostinství; „schopnost jednání se zákazníky“ označuje za prioritní 60 % podniků z odvětví Obchod.</w:t>
      </w:r>
    </w:p>
    <w:p w14:paraId="401C9B0C" w14:textId="2474F859" w:rsidR="002226D9" w:rsidRDefault="002226D9" w:rsidP="002226D9">
      <w:pPr>
        <w:pStyle w:val="Nadpis2"/>
      </w:pPr>
      <w:bookmarkStart w:id="158" w:name="_Toc398662724"/>
      <w:r>
        <w:lastRenderedPageBreak/>
        <w:t>Shrnutí</w:t>
      </w:r>
      <w:bookmarkEnd w:id="158"/>
    </w:p>
    <w:p w14:paraId="366831C5" w14:textId="0F863A42" w:rsidR="002226D9" w:rsidRDefault="007859C3" w:rsidP="007859C3">
      <w:pPr>
        <w:spacing w:before="120" w:line="360" w:lineRule="auto"/>
        <w:jc w:val="both"/>
        <w:rPr>
          <w:rFonts w:ascii="Times New Roman" w:hAnsi="Times New Roman" w:cs="Times New Roman"/>
        </w:rPr>
      </w:pPr>
      <w:r>
        <w:rPr>
          <w:rFonts w:ascii="Times New Roman" w:hAnsi="Times New Roman" w:cs="Times New Roman"/>
        </w:rPr>
        <w:t>Mezi nejdůležitější zjištění týkající se podnikového vzdělávání v České republice patří následující:</w:t>
      </w:r>
    </w:p>
    <w:p w14:paraId="2B75A9AE" w14:textId="3170E05B" w:rsidR="007859C3" w:rsidRDefault="007859C3" w:rsidP="007859C3">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 xml:space="preserve">Hlavním faktorem, který ovlivňuje nastavení procesu vzdělávání zaměstnanců, je </w:t>
      </w:r>
      <w:r w:rsidRPr="007859C3">
        <w:rPr>
          <w:rFonts w:ascii="Times New Roman" w:hAnsi="Times New Roman" w:cs="Times New Roman"/>
          <w:b/>
        </w:rPr>
        <w:t>velikost podniku</w:t>
      </w:r>
      <w:r>
        <w:rPr>
          <w:rFonts w:ascii="Times New Roman" w:hAnsi="Times New Roman" w:cs="Times New Roman"/>
        </w:rPr>
        <w:t xml:space="preserve">. K dalším faktorům patří – </w:t>
      </w:r>
      <w:r w:rsidRPr="007859C3">
        <w:rPr>
          <w:rFonts w:ascii="Times New Roman" w:hAnsi="Times New Roman" w:cs="Times New Roman"/>
          <w:b/>
        </w:rPr>
        <w:t>odvětví</w:t>
      </w:r>
      <w:r>
        <w:rPr>
          <w:rFonts w:ascii="Times New Roman" w:hAnsi="Times New Roman" w:cs="Times New Roman"/>
        </w:rPr>
        <w:t xml:space="preserve">, v němž podnik působí, </w:t>
      </w:r>
      <w:r w:rsidRPr="007859C3">
        <w:rPr>
          <w:rFonts w:ascii="Times New Roman" w:hAnsi="Times New Roman" w:cs="Times New Roman"/>
          <w:b/>
        </w:rPr>
        <w:t xml:space="preserve">vlastník </w:t>
      </w:r>
      <w:r>
        <w:rPr>
          <w:rFonts w:ascii="Times New Roman" w:hAnsi="Times New Roman" w:cs="Times New Roman"/>
        </w:rPr>
        <w:t xml:space="preserve">podniku, popř. </w:t>
      </w:r>
      <w:r w:rsidRPr="007859C3">
        <w:rPr>
          <w:rFonts w:ascii="Times New Roman" w:hAnsi="Times New Roman" w:cs="Times New Roman"/>
          <w:b/>
        </w:rPr>
        <w:t>zapojení zástupců zaměstnanců</w:t>
      </w:r>
      <w:r>
        <w:rPr>
          <w:rFonts w:ascii="Times New Roman" w:hAnsi="Times New Roman" w:cs="Times New Roman"/>
        </w:rPr>
        <w:t xml:space="preserve"> (např. odborových organizací) do rozhodování o podnikovém vzdělávání.</w:t>
      </w:r>
    </w:p>
    <w:p w14:paraId="06EE095D" w14:textId="4709299D" w:rsidR="00D23F00" w:rsidRDefault="00D23F00" w:rsidP="007859C3">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O vzdělávání v podnicích nejčastěji rozhoduje management (útvar řízení lidských zdrojů). Zástupci zaměstnanců jsou do tohoto rozhodování zapojeni pouze v 6 % podniků.</w:t>
      </w:r>
    </w:p>
    <w:p w14:paraId="0E7CC1C8" w14:textId="3B75DF7F" w:rsidR="000946C3" w:rsidRDefault="000946C3" w:rsidP="007859C3">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Většina podniků (63 %) nemá specializovaný útvar či osobu pověřenou vzděláváním. Jiná je ale situace ve velkých</w:t>
      </w:r>
      <w:r w:rsidR="004F78F5">
        <w:rPr>
          <w:rFonts w:ascii="Times New Roman" w:hAnsi="Times New Roman" w:cs="Times New Roman"/>
        </w:rPr>
        <w:t xml:space="preserve"> podnicích (od 250 zaměstnanců);</w:t>
      </w:r>
      <w:r>
        <w:rPr>
          <w:rFonts w:ascii="Times New Roman" w:hAnsi="Times New Roman" w:cs="Times New Roman"/>
        </w:rPr>
        <w:t xml:space="preserve"> 85 % z nich má osobu, popř. celý útvar, specializující se na vzdělávání zaměstnanců.</w:t>
      </w:r>
    </w:p>
    <w:p w14:paraId="515F304C" w14:textId="36DB19E2" w:rsidR="007859C3" w:rsidRDefault="00D23F00"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V</w:t>
      </w:r>
      <w:r w:rsidR="007859C3">
        <w:rPr>
          <w:rFonts w:ascii="Times New Roman" w:hAnsi="Times New Roman" w:cs="Times New Roman"/>
        </w:rPr>
        <w:t xml:space="preserve">e sledovaném roce 2015 </w:t>
      </w:r>
      <w:r>
        <w:rPr>
          <w:rFonts w:ascii="Times New Roman" w:hAnsi="Times New Roman" w:cs="Times New Roman"/>
        </w:rPr>
        <w:t xml:space="preserve">poskytlo </w:t>
      </w:r>
      <w:r w:rsidR="007859C3">
        <w:rPr>
          <w:rFonts w:ascii="Times New Roman" w:hAnsi="Times New Roman" w:cs="Times New Roman"/>
        </w:rPr>
        <w:t>svým zaměstnancům některou ze vzdělávacích aktivit</w:t>
      </w:r>
      <w:r>
        <w:rPr>
          <w:rFonts w:ascii="Times New Roman" w:hAnsi="Times New Roman" w:cs="Times New Roman"/>
        </w:rPr>
        <w:t xml:space="preserve"> 91 % podniků</w:t>
      </w:r>
      <w:r w:rsidR="007859C3">
        <w:rPr>
          <w:rFonts w:ascii="Times New Roman" w:hAnsi="Times New Roman" w:cs="Times New Roman"/>
        </w:rPr>
        <w:t>.</w:t>
      </w:r>
      <w:r>
        <w:rPr>
          <w:rFonts w:ascii="Times New Roman" w:hAnsi="Times New Roman" w:cs="Times New Roman"/>
        </w:rPr>
        <w:t xml:space="preserve"> </w:t>
      </w:r>
      <w:r w:rsidR="007859C3" w:rsidRPr="00D23F00">
        <w:rPr>
          <w:rFonts w:ascii="Times New Roman" w:hAnsi="Times New Roman" w:cs="Times New Roman"/>
        </w:rPr>
        <w:t>Alespoň jeden kurz nebo školení zaji</w:t>
      </w:r>
      <w:r>
        <w:rPr>
          <w:rFonts w:ascii="Times New Roman" w:hAnsi="Times New Roman" w:cs="Times New Roman"/>
        </w:rPr>
        <w:t xml:space="preserve">stilo </w:t>
      </w:r>
      <w:r w:rsidR="000946C3">
        <w:rPr>
          <w:rFonts w:ascii="Times New Roman" w:hAnsi="Times New Roman" w:cs="Times New Roman"/>
        </w:rPr>
        <w:t xml:space="preserve">pro zaměstnance </w:t>
      </w:r>
      <w:r>
        <w:rPr>
          <w:rFonts w:ascii="Times New Roman" w:hAnsi="Times New Roman" w:cs="Times New Roman"/>
        </w:rPr>
        <w:t>89 % podniků (87 % firem zajistilo kurz/školení povinné ze zákona, 53 % firem poskytlo svým zaměstnancům také kurzy/školen</w:t>
      </w:r>
      <w:r w:rsidR="000946C3">
        <w:rPr>
          <w:rFonts w:ascii="Times New Roman" w:hAnsi="Times New Roman" w:cs="Times New Roman"/>
        </w:rPr>
        <w:t>í nepovinné). Také j</w:t>
      </w:r>
      <w:r>
        <w:rPr>
          <w:rFonts w:ascii="Times New Roman" w:hAnsi="Times New Roman" w:cs="Times New Roman"/>
        </w:rPr>
        <w:t>iné f</w:t>
      </w:r>
      <w:r w:rsidR="000946C3">
        <w:rPr>
          <w:rFonts w:ascii="Times New Roman" w:hAnsi="Times New Roman" w:cs="Times New Roman"/>
        </w:rPr>
        <w:t xml:space="preserve">ormy vzdělávání, než jsou kurzy či </w:t>
      </w:r>
      <w:r>
        <w:rPr>
          <w:rFonts w:ascii="Times New Roman" w:hAnsi="Times New Roman" w:cs="Times New Roman"/>
        </w:rPr>
        <w:t>školení</w:t>
      </w:r>
      <w:r w:rsidR="000946C3">
        <w:rPr>
          <w:rFonts w:ascii="Times New Roman" w:hAnsi="Times New Roman" w:cs="Times New Roman"/>
        </w:rPr>
        <w:t>, se účastnili zaměstnanci téměř ve 40 % podniků.</w:t>
      </w:r>
    </w:p>
    <w:p w14:paraId="1CFBC0A6" w14:textId="6922A4BE" w:rsidR="000946C3" w:rsidRDefault="000946C3"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 xml:space="preserve">Čas, který zaměstnanci v průměru věnovali vzdělávání, činil 0,6 % </w:t>
      </w:r>
      <w:r w:rsidR="007568A7">
        <w:rPr>
          <w:rFonts w:ascii="Times New Roman" w:hAnsi="Times New Roman" w:cs="Times New Roman"/>
        </w:rPr>
        <w:t>jejich placených pracovních hodin, tj. 11 hodin ročně na jednoho zaměstnance (bez ohledu na účast ve vzdělávání). Počet hodin strávených na kurzu/školení na jednoho účastníka dosáhl necelých 14 hodin ročně.</w:t>
      </w:r>
    </w:p>
    <w:p w14:paraId="71170A60" w14:textId="3A42FFB6" w:rsidR="007568A7" w:rsidRDefault="007568A7"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Z hlediska svého dalšího rozvoje považují podniky za důležité rozvíjet u zaměstnanců zejména měkké dovednosti, a to především schopnost pracovat v týmu a schopnost jednat se zákazníky. Preference se liší podle velikosti podniku a odvětví působení.</w:t>
      </w:r>
    </w:p>
    <w:p w14:paraId="417F5D55" w14:textId="7A1E01CF" w:rsidR="0058631E" w:rsidRDefault="0058631E"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Podíl nákladů na vzdělávání</w:t>
      </w:r>
      <w:r w:rsidR="008F154A">
        <w:rPr>
          <w:rFonts w:ascii="Times New Roman" w:hAnsi="Times New Roman" w:cs="Times New Roman"/>
        </w:rPr>
        <w:t xml:space="preserve"> k celkovým nákladům práce podniků činil v daném roce 2015 v průměru 0,71 %.</w:t>
      </w:r>
    </w:p>
    <w:p w14:paraId="6C386326" w14:textId="409C1986" w:rsidR="008F154A" w:rsidRDefault="008F154A"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lastRenderedPageBreak/>
        <w:t xml:space="preserve">Podíl výdajů na vzdělávání dosáhl ve sledovaném roce v průměru 3 134 Kč na jednoho zaměstnance. Podíl výdajů </w:t>
      </w:r>
      <w:r w:rsidR="009A1EDB">
        <w:rPr>
          <w:rFonts w:ascii="Times New Roman" w:hAnsi="Times New Roman" w:cs="Times New Roman"/>
        </w:rPr>
        <w:t>na jednoho účastníka kurzu nebo školení činil 3 470 Kč; na jednu hodinu kurzu/školení 256 Kč.</w:t>
      </w:r>
    </w:p>
    <w:p w14:paraId="2A314E78" w14:textId="4650DE2B" w:rsidR="009A1EDB" w:rsidRDefault="009A1EDB"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Celkem 91 % podniků nevyužilo žádnou dotaci na vzdělávání. Jen 7 % firem využilo dotace z Evropské unie.</w:t>
      </w:r>
    </w:p>
    <w:p w14:paraId="68EF7B0F" w14:textId="0EFE47F9" w:rsidR="009A1EDB" w:rsidRDefault="009A1EDB" w:rsidP="00D23F00">
      <w:pPr>
        <w:pStyle w:val="Odstavecseseznamem"/>
        <w:numPr>
          <w:ilvl w:val="0"/>
          <w:numId w:val="33"/>
        </w:numPr>
        <w:spacing w:before="120" w:line="360" w:lineRule="auto"/>
        <w:jc w:val="both"/>
        <w:rPr>
          <w:rFonts w:ascii="Times New Roman" w:hAnsi="Times New Roman" w:cs="Times New Roman"/>
        </w:rPr>
      </w:pPr>
      <w:r>
        <w:rPr>
          <w:rFonts w:ascii="Times New Roman" w:hAnsi="Times New Roman" w:cs="Times New Roman"/>
        </w:rPr>
        <w:t>Se školami spolupracuje 27 % podniků; míra spolupráce přitom</w:t>
      </w:r>
      <w:r w:rsidR="00CC4F51">
        <w:rPr>
          <w:rFonts w:ascii="Times New Roman" w:hAnsi="Times New Roman" w:cs="Times New Roman"/>
        </w:rPr>
        <w:t xml:space="preserve"> roste s velikostí podniků – spolupráci se školami vykazuje 72 % podniků nad 250 zaměstnanců. Spolupráce je nejčastěji motivována snahou získat kvalifikované pracovníky.</w:t>
      </w:r>
    </w:p>
    <w:p w14:paraId="00CD8FBC" w14:textId="56F089E2" w:rsidR="00100ECD" w:rsidRDefault="00CC4F51" w:rsidP="00CC4F51">
      <w:pPr>
        <w:spacing w:before="120" w:line="360" w:lineRule="auto"/>
        <w:jc w:val="both"/>
        <w:rPr>
          <w:rFonts w:ascii="Times New Roman" w:hAnsi="Times New Roman" w:cs="Times New Roman"/>
          <w:b/>
        </w:rPr>
      </w:pPr>
      <w:r>
        <w:rPr>
          <w:rFonts w:ascii="Times New Roman" w:hAnsi="Times New Roman" w:cs="Times New Roman"/>
        </w:rPr>
        <w:t xml:space="preserve">Oblast vzdělávání patří v současnosti mezi </w:t>
      </w:r>
      <w:r w:rsidRPr="00100ECD">
        <w:rPr>
          <w:rFonts w:ascii="Times New Roman" w:hAnsi="Times New Roman" w:cs="Times New Roman"/>
          <w:b/>
        </w:rPr>
        <w:t>strategick</w:t>
      </w:r>
      <w:r w:rsidR="00100ECD" w:rsidRPr="00100ECD">
        <w:rPr>
          <w:rFonts w:ascii="Times New Roman" w:hAnsi="Times New Roman" w:cs="Times New Roman"/>
          <w:b/>
        </w:rPr>
        <w:t>é oblasti podnikového managementu</w:t>
      </w:r>
      <w:r>
        <w:rPr>
          <w:rFonts w:ascii="Times New Roman" w:hAnsi="Times New Roman" w:cs="Times New Roman"/>
        </w:rPr>
        <w:t>. Hlavním cílem podnikového vzdělávání je dosáhnout toho, aby zaměstnanci disponovali kompetencemi, které budou odpovídat měnícím se požadavkům jejich pracovního místa. Podnikové vzdělávání je také účinným nástrojem, jak vyrovnat rozdíl mezi nabídkou</w:t>
      </w:r>
      <w:r w:rsidR="00100ECD">
        <w:rPr>
          <w:rFonts w:ascii="Times New Roman" w:hAnsi="Times New Roman" w:cs="Times New Roman"/>
        </w:rPr>
        <w:t xml:space="preserve"> pracovní síly</w:t>
      </w:r>
      <w:r>
        <w:rPr>
          <w:rFonts w:ascii="Times New Roman" w:hAnsi="Times New Roman" w:cs="Times New Roman"/>
        </w:rPr>
        <w:t xml:space="preserve"> a poptávkou</w:t>
      </w:r>
      <w:r w:rsidR="00100ECD">
        <w:rPr>
          <w:rFonts w:ascii="Times New Roman" w:hAnsi="Times New Roman" w:cs="Times New Roman"/>
        </w:rPr>
        <w:t xml:space="preserve"> po ní z hlediska požadovaných znalostí a dovedností. </w:t>
      </w:r>
      <w:r w:rsidR="00432CF4">
        <w:rPr>
          <w:rFonts w:ascii="Times New Roman" w:hAnsi="Times New Roman" w:cs="Times New Roman"/>
        </w:rPr>
        <w:t xml:space="preserve">Zejména ve velkých podnicích je vzdělávání propojeno se systémem odměňování, což stimuluje ochotu pracovníků dále se vzdělávat (ne všichni pracovníci totiž mají o další vzdělávání a profesní rozvoj zájem). </w:t>
      </w:r>
      <w:r w:rsidR="00100ECD">
        <w:rPr>
          <w:rFonts w:ascii="Times New Roman" w:hAnsi="Times New Roman" w:cs="Times New Roman"/>
        </w:rPr>
        <w:t xml:space="preserve">V neposlední řadě je možnost dále se vzdělávat pro zaměstnance také motivačním prvkem. Vzdělávání je často předpokladem dalšího kariérního růstu zaměstnanců. </w:t>
      </w:r>
      <w:r w:rsidR="00100ECD" w:rsidRPr="00100ECD">
        <w:rPr>
          <w:rFonts w:ascii="Times New Roman" w:hAnsi="Times New Roman" w:cs="Times New Roman"/>
          <w:b/>
        </w:rPr>
        <w:t>Pouze zaměstnanec s požadovanou kvalifikací, znalostmi a dovednostmi, který bude dobře motivovaný, může odvádět maximální výkon.</w:t>
      </w:r>
    </w:p>
    <w:p w14:paraId="0AB2C60E" w14:textId="37DDC1DA" w:rsidR="008854D5" w:rsidRPr="008854D5" w:rsidRDefault="00100ECD" w:rsidP="008854D5">
      <w:pPr>
        <w:pStyle w:val="Nadpis2"/>
      </w:pPr>
      <w:bookmarkStart w:id="159" w:name="_Toc398662725"/>
      <w:r>
        <w:t>Doporučení</w:t>
      </w:r>
      <w:bookmarkEnd w:id="159"/>
    </w:p>
    <w:p w14:paraId="32E5D52D" w14:textId="684460D8" w:rsidR="00B1728A" w:rsidRDefault="004F78F5" w:rsidP="00B1728A">
      <w:pPr>
        <w:spacing w:before="120" w:line="360" w:lineRule="auto"/>
        <w:jc w:val="both"/>
        <w:rPr>
          <w:rFonts w:ascii="Times New Roman" w:hAnsi="Times New Roman" w:cs="Times New Roman"/>
        </w:rPr>
      </w:pPr>
      <w:r>
        <w:rPr>
          <w:rFonts w:ascii="Times New Roman" w:hAnsi="Times New Roman" w:cs="Times New Roman"/>
        </w:rPr>
        <w:t xml:space="preserve">Vzhledem k tomu, že do procesu rozhodování jsou zapojeni zástupci zaměstnanců jen v 6 % podniků, </w:t>
      </w:r>
      <w:r w:rsidRPr="008854D5">
        <w:rPr>
          <w:rFonts w:ascii="Times New Roman" w:hAnsi="Times New Roman" w:cs="Times New Roman"/>
          <w:b/>
        </w:rPr>
        <w:t>bylo by vhodné, aby se odborové organizace do oblasti vzdělávání intenzivněji zapojovaly.</w:t>
      </w:r>
      <w:r>
        <w:rPr>
          <w:rFonts w:ascii="Times New Roman" w:hAnsi="Times New Roman" w:cs="Times New Roman"/>
        </w:rPr>
        <w:t xml:space="preserve"> Podnikové vzdělávání působí totiž také jako nástroj zvýšení flexibility zaměstnanců uvnitř podniku a omezuje tak riziko propuštění. Po dohodě se zaměstnavateli by bylo vhodné zaměřit se </w:t>
      </w:r>
      <w:r w:rsidR="0053315C">
        <w:rPr>
          <w:rFonts w:ascii="Times New Roman" w:hAnsi="Times New Roman" w:cs="Times New Roman"/>
        </w:rPr>
        <w:t xml:space="preserve">více </w:t>
      </w:r>
      <w:r>
        <w:rPr>
          <w:rFonts w:ascii="Times New Roman" w:hAnsi="Times New Roman" w:cs="Times New Roman"/>
        </w:rPr>
        <w:t>na skupiny pracovníků s nejnižší úrovní vzdělání (s možností zapojit úřady práce</w:t>
      </w:r>
      <w:r w:rsidR="008854D5">
        <w:rPr>
          <w:rFonts w:ascii="Times New Roman" w:hAnsi="Times New Roman" w:cs="Times New Roman"/>
        </w:rPr>
        <w:t>, popř. pomocí prostředků s EU</w:t>
      </w:r>
      <w:r w:rsidR="00B1728A">
        <w:rPr>
          <w:rFonts w:ascii="Times New Roman" w:hAnsi="Times New Roman" w:cs="Times New Roman"/>
        </w:rPr>
        <w:t>), kteří jsou rizikem propuštění ohroženi</w:t>
      </w:r>
      <w:r w:rsidR="008854D5">
        <w:rPr>
          <w:rFonts w:ascii="Times New Roman" w:hAnsi="Times New Roman" w:cs="Times New Roman"/>
        </w:rPr>
        <w:t xml:space="preserve"> nejvíce, s cílem rozšířit jejich kompetence a uvedené riziko snížit. Jinými slovy nečekat, až budou v nepříznivém ekonomickém období propuštěni, ale snažit se</w:t>
      </w:r>
      <w:r w:rsidR="0053315C">
        <w:rPr>
          <w:rFonts w:ascii="Times New Roman" w:hAnsi="Times New Roman" w:cs="Times New Roman"/>
        </w:rPr>
        <w:t xml:space="preserve"> toto riziko cestou podnikového vzdělávání minimalizovat. </w:t>
      </w:r>
      <w:r w:rsidR="00D05F60">
        <w:rPr>
          <w:rFonts w:ascii="Times New Roman" w:hAnsi="Times New Roman" w:cs="Times New Roman"/>
        </w:rPr>
        <w:lastRenderedPageBreak/>
        <w:t>V případě, že budou propuštěni, budou mít na trhu práce větší šance najít nové uplatnění.</w:t>
      </w:r>
    </w:p>
    <w:p w14:paraId="61904BFA" w14:textId="2D2B6A95" w:rsidR="00B1728A" w:rsidRDefault="00B1728A" w:rsidP="00B1728A">
      <w:pPr>
        <w:spacing w:before="120" w:line="360" w:lineRule="auto"/>
        <w:jc w:val="both"/>
        <w:rPr>
          <w:rFonts w:ascii="Times New Roman" w:hAnsi="Times New Roman" w:cs="Times New Roman"/>
        </w:rPr>
      </w:pPr>
      <w:r>
        <w:rPr>
          <w:rFonts w:ascii="Times New Roman" w:hAnsi="Times New Roman" w:cs="Times New Roman"/>
        </w:rPr>
        <w:t xml:space="preserve">Nejde o to přenést na podniky další finanční břemeno, ale po dohodě s nimi vytypovat předpokládané kompetence, kterými by měli v daném podniku pracovníci s nízkou kvalifikací disponovat v budoucnu, a navrhnout odpovídající vzdělávací programy. Jako vhodnou cestu financování </w:t>
      </w:r>
      <w:r w:rsidR="0088387B">
        <w:rPr>
          <w:rFonts w:ascii="Times New Roman" w:hAnsi="Times New Roman" w:cs="Times New Roman"/>
        </w:rPr>
        <w:t xml:space="preserve">takových programů </w:t>
      </w:r>
      <w:r>
        <w:rPr>
          <w:rFonts w:ascii="Times New Roman" w:hAnsi="Times New Roman" w:cs="Times New Roman"/>
        </w:rPr>
        <w:t xml:space="preserve">lze doporučit </w:t>
      </w:r>
      <w:r w:rsidRPr="0088387B">
        <w:rPr>
          <w:rFonts w:ascii="Times New Roman" w:hAnsi="Times New Roman" w:cs="Times New Roman"/>
          <w:b/>
        </w:rPr>
        <w:t>prostřed</w:t>
      </w:r>
      <w:r w:rsidR="00DE5F2A" w:rsidRPr="0088387B">
        <w:rPr>
          <w:rFonts w:ascii="Times New Roman" w:hAnsi="Times New Roman" w:cs="Times New Roman"/>
          <w:b/>
        </w:rPr>
        <w:t>ky z fondů</w:t>
      </w:r>
      <w:r w:rsidR="00DE5F2A">
        <w:rPr>
          <w:rFonts w:ascii="Times New Roman" w:hAnsi="Times New Roman" w:cs="Times New Roman"/>
        </w:rPr>
        <w:t xml:space="preserve"> </w:t>
      </w:r>
      <w:r w:rsidR="00DE5F2A" w:rsidRPr="0088387B">
        <w:rPr>
          <w:rFonts w:ascii="Times New Roman" w:hAnsi="Times New Roman" w:cs="Times New Roman"/>
          <w:b/>
        </w:rPr>
        <w:t>EU</w:t>
      </w:r>
      <w:r w:rsidR="00DE5F2A">
        <w:rPr>
          <w:rFonts w:ascii="Times New Roman" w:hAnsi="Times New Roman" w:cs="Times New Roman"/>
        </w:rPr>
        <w:t>, které jsou českými podniky využívány</w:t>
      </w:r>
      <w:r>
        <w:rPr>
          <w:rFonts w:ascii="Times New Roman" w:hAnsi="Times New Roman" w:cs="Times New Roman"/>
        </w:rPr>
        <w:t xml:space="preserve"> minimálně (jen 7 % podniků). </w:t>
      </w:r>
    </w:p>
    <w:p w14:paraId="48C35CFE" w14:textId="20CF267A" w:rsidR="0088387B" w:rsidRPr="0088387B" w:rsidRDefault="0088387B" w:rsidP="00B1728A">
      <w:pPr>
        <w:spacing w:before="120" w:line="360" w:lineRule="auto"/>
        <w:jc w:val="both"/>
        <w:rPr>
          <w:rFonts w:ascii="Times New Roman" w:hAnsi="Times New Roman" w:cs="Times New Roman"/>
          <w:b/>
        </w:rPr>
      </w:pPr>
      <w:r w:rsidRPr="0088387B">
        <w:rPr>
          <w:rFonts w:ascii="Times New Roman" w:hAnsi="Times New Roman" w:cs="Times New Roman"/>
          <w:b/>
        </w:rPr>
        <w:t>Oblast dalšího vzdělávání by se měla stát jedním z témat kolektivního vyjednávání a měla by být zahrnuta do kolektivních sm</w:t>
      </w:r>
      <w:r>
        <w:rPr>
          <w:rFonts w:ascii="Times New Roman" w:hAnsi="Times New Roman" w:cs="Times New Roman"/>
          <w:b/>
        </w:rPr>
        <w:t>l</w:t>
      </w:r>
      <w:r w:rsidRPr="0088387B">
        <w:rPr>
          <w:rFonts w:ascii="Times New Roman" w:hAnsi="Times New Roman" w:cs="Times New Roman"/>
          <w:b/>
        </w:rPr>
        <w:t>uv.</w:t>
      </w:r>
    </w:p>
    <w:p w14:paraId="39E5B8BA" w14:textId="75A4A7B9" w:rsidR="00B1728A" w:rsidRDefault="00B1728A" w:rsidP="00B1728A">
      <w:pPr>
        <w:spacing w:before="120" w:line="360" w:lineRule="auto"/>
        <w:jc w:val="both"/>
        <w:rPr>
          <w:rFonts w:ascii="Times New Roman" w:hAnsi="Times New Roman" w:cs="Times New Roman"/>
        </w:rPr>
      </w:pPr>
      <w:r>
        <w:rPr>
          <w:rFonts w:ascii="Times New Roman" w:hAnsi="Times New Roman" w:cs="Times New Roman"/>
        </w:rPr>
        <w:t xml:space="preserve">Pro podniky je zejména při předpokládaném dočasném snížení potřeby pracovníků efektivnější zaměstnance nepropouštět, ale </w:t>
      </w:r>
      <w:r w:rsidR="0088387B">
        <w:rPr>
          <w:rFonts w:ascii="Times New Roman" w:hAnsi="Times New Roman" w:cs="Times New Roman"/>
        </w:rPr>
        <w:t xml:space="preserve">rozšířit jejich dovednosti a znalosti a </w:t>
      </w:r>
      <w:r>
        <w:rPr>
          <w:rFonts w:ascii="Times New Roman" w:hAnsi="Times New Roman" w:cs="Times New Roman"/>
        </w:rPr>
        <w:t xml:space="preserve">najít pro ně uplatnění na jiném pracovním místě v rámci podniku. Náklady na získávání nových zaměstnanců, jejich výběr, přijímání </w:t>
      </w:r>
      <w:r w:rsidR="00DE5F2A">
        <w:rPr>
          <w:rFonts w:ascii="Times New Roman" w:hAnsi="Times New Roman" w:cs="Times New Roman"/>
        </w:rPr>
        <w:t xml:space="preserve">a adaptaci jsou poměrně vysoké, </w:t>
      </w:r>
      <w:r w:rsidR="00E57B7D">
        <w:rPr>
          <w:rFonts w:ascii="Times New Roman" w:hAnsi="Times New Roman" w:cs="Times New Roman"/>
        </w:rPr>
        <w:t xml:space="preserve">a to </w:t>
      </w:r>
      <w:r w:rsidR="00DE5F2A">
        <w:rPr>
          <w:rFonts w:ascii="Times New Roman" w:hAnsi="Times New Roman" w:cs="Times New Roman"/>
        </w:rPr>
        <w:t>zejména v současné době.</w:t>
      </w:r>
    </w:p>
    <w:p w14:paraId="40CEDAEF" w14:textId="34DB4792" w:rsidR="00755A70" w:rsidRDefault="00755A70" w:rsidP="00B1728A">
      <w:pPr>
        <w:spacing w:before="120" w:line="360" w:lineRule="auto"/>
        <w:jc w:val="both"/>
        <w:rPr>
          <w:rFonts w:ascii="Times New Roman" w:hAnsi="Times New Roman" w:cs="Times New Roman"/>
        </w:rPr>
      </w:pPr>
      <w:r>
        <w:rPr>
          <w:rFonts w:ascii="Times New Roman" w:hAnsi="Times New Roman" w:cs="Times New Roman"/>
        </w:rPr>
        <w:t xml:space="preserve">Dosažení lepšího souladu mezi poptávkou a nabídkou lze dosáhnout také </w:t>
      </w:r>
      <w:r w:rsidRPr="0088387B">
        <w:rPr>
          <w:rFonts w:ascii="Times New Roman" w:hAnsi="Times New Roman" w:cs="Times New Roman"/>
          <w:b/>
        </w:rPr>
        <w:t>rozšířením spolupráce podniků se školami</w:t>
      </w:r>
      <w:r>
        <w:rPr>
          <w:rFonts w:ascii="Times New Roman" w:hAnsi="Times New Roman" w:cs="Times New Roman"/>
        </w:rPr>
        <w:t xml:space="preserve"> (středními, VOŠ i vysokými); v současnosti spolupracuje se školami jen necelá třetina podniků. Doporučení se týká především MSP. Situace ve velkých podnicích je odlišná – spolupráci se školami vykazují téměř tři čtvrtiny velkých podniků.</w:t>
      </w:r>
    </w:p>
    <w:p w14:paraId="0A24F544" w14:textId="77777777" w:rsidR="00E57B7D" w:rsidRDefault="00E57B7D" w:rsidP="00E57B7D">
      <w:pPr>
        <w:rPr>
          <w:rFonts w:ascii="Times New Roman" w:hAnsi="Times New Roman" w:cs="Times New Roman"/>
        </w:rPr>
      </w:pPr>
    </w:p>
    <w:p w14:paraId="46E1EC4C" w14:textId="77777777" w:rsidR="00E57B7D" w:rsidRDefault="00E57B7D" w:rsidP="00E57B7D">
      <w:pPr>
        <w:rPr>
          <w:rFonts w:ascii="Times New Roman" w:hAnsi="Times New Roman" w:cs="Times New Roman"/>
        </w:rPr>
      </w:pPr>
    </w:p>
    <w:p w14:paraId="6432FB18" w14:textId="77777777" w:rsidR="00E57B7D" w:rsidRDefault="00E57B7D" w:rsidP="00E57B7D">
      <w:pPr>
        <w:rPr>
          <w:rFonts w:ascii="Times New Roman" w:hAnsi="Times New Roman" w:cs="Times New Roman"/>
        </w:rPr>
      </w:pPr>
    </w:p>
    <w:p w14:paraId="12D7BF9B" w14:textId="77777777" w:rsidR="00E57B7D" w:rsidRDefault="00E57B7D" w:rsidP="00E57B7D">
      <w:pPr>
        <w:rPr>
          <w:rFonts w:ascii="Times New Roman" w:hAnsi="Times New Roman" w:cs="Times New Roman"/>
        </w:rPr>
      </w:pPr>
    </w:p>
    <w:p w14:paraId="79DE68C2" w14:textId="77777777" w:rsidR="00E57B7D" w:rsidRDefault="00E57B7D" w:rsidP="00E57B7D">
      <w:pPr>
        <w:rPr>
          <w:rFonts w:ascii="Times New Roman" w:hAnsi="Times New Roman" w:cs="Times New Roman"/>
        </w:rPr>
      </w:pPr>
    </w:p>
    <w:p w14:paraId="6465D74E" w14:textId="77777777" w:rsidR="00E57B7D" w:rsidRDefault="00E57B7D" w:rsidP="00E57B7D">
      <w:pPr>
        <w:rPr>
          <w:rFonts w:ascii="Times New Roman" w:hAnsi="Times New Roman" w:cs="Times New Roman"/>
        </w:rPr>
      </w:pPr>
    </w:p>
    <w:p w14:paraId="3201BCDA" w14:textId="77777777" w:rsidR="00E57B7D" w:rsidRDefault="00E57B7D" w:rsidP="00E57B7D">
      <w:pPr>
        <w:rPr>
          <w:rFonts w:ascii="Times New Roman" w:hAnsi="Times New Roman" w:cs="Times New Roman"/>
        </w:rPr>
      </w:pPr>
    </w:p>
    <w:p w14:paraId="07B6D828" w14:textId="77777777" w:rsidR="00E57B7D" w:rsidRDefault="00E57B7D" w:rsidP="00E57B7D">
      <w:pPr>
        <w:rPr>
          <w:rFonts w:ascii="Times New Roman" w:hAnsi="Times New Roman" w:cs="Times New Roman"/>
        </w:rPr>
      </w:pPr>
    </w:p>
    <w:p w14:paraId="0C8F2BA9" w14:textId="77777777" w:rsidR="00E57B7D" w:rsidRDefault="00E57B7D" w:rsidP="00E57B7D">
      <w:pPr>
        <w:rPr>
          <w:rFonts w:ascii="Times New Roman" w:hAnsi="Times New Roman" w:cs="Times New Roman"/>
        </w:rPr>
      </w:pPr>
    </w:p>
    <w:p w14:paraId="6B8A9D8D" w14:textId="77777777" w:rsidR="00E57B7D" w:rsidRDefault="00E57B7D" w:rsidP="00E57B7D">
      <w:pPr>
        <w:rPr>
          <w:rFonts w:ascii="Times New Roman" w:hAnsi="Times New Roman" w:cs="Times New Roman"/>
        </w:rPr>
      </w:pPr>
    </w:p>
    <w:p w14:paraId="3FCB1C0A" w14:textId="77777777" w:rsidR="00E57B7D" w:rsidRDefault="00E57B7D" w:rsidP="00E57B7D">
      <w:pPr>
        <w:rPr>
          <w:rFonts w:ascii="Times New Roman" w:hAnsi="Times New Roman" w:cs="Times New Roman"/>
        </w:rPr>
      </w:pPr>
    </w:p>
    <w:p w14:paraId="6DFF822C" w14:textId="77777777" w:rsidR="00E57B7D" w:rsidRDefault="00E57B7D" w:rsidP="00E57B7D">
      <w:pPr>
        <w:rPr>
          <w:rFonts w:ascii="Times New Roman" w:hAnsi="Times New Roman" w:cs="Times New Roman"/>
        </w:rPr>
      </w:pPr>
    </w:p>
    <w:p w14:paraId="7E31CA51" w14:textId="77777777" w:rsidR="00E57B7D" w:rsidRDefault="00E57B7D" w:rsidP="00E57B7D">
      <w:pPr>
        <w:rPr>
          <w:rFonts w:ascii="Times New Roman" w:hAnsi="Times New Roman" w:cs="Times New Roman"/>
        </w:rPr>
      </w:pPr>
    </w:p>
    <w:p w14:paraId="572B7AD6" w14:textId="77777777" w:rsidR="00E57B7D" w:rsidRDefault="00E57B7D" w:rsidP="00E57B7D">
      <w:pPr>
        <w:rPr>
          <w:rFonts w:ascii="Times New Roman" w:hAnsi="Times New Roman" w:cs="Times New Roman"/>
        </w:rPr>
      </w:pPr>
    </w:p>
    <w:p w14:paraId="3A1455DC" w14:textId="77777777" w:rsidR="00E57B7D" w:rsidRDefault="00E57B7D" w:rsidP="00E57B7D">
      <w:pPr>
        <w:rPr>
          <w:rFonts w:ascii="Times New Roman" w:hAnsi="Times New Roman" w:cs="Times New Roman"/>
        </w:rPr>
      </w:pPr>
    </w:p>
    <w:p w14:paraId="392EA4E6" w14:textId="77777777" w:rsidR="00E57B7D" w:rsidRDefault="00E57B7D" w:rsidP="00E57B7D">
      <w:pPr>
        <w:rPr>
          <w:rFonts w:ascii="Times New Roman" w:hAnsi="Times New Roman" w:cs="Times New Roman"/>
        </w:rPr>
      </w:pPr>
    </w:p>
    <w:p w14:paraId="4D78EC70" w14:textId="77777777" w:rsidR="00E57B7D" w:rsidRDefault="00E57B7D" w:rsidP="00E57B7D">
      <w:pPr>
        <w:rPr>
          <w:rFonts w:ascii="Times New Roman" w:hAnsi="Times New Roman" w:cs="Times New Roman"/>
        </w:rPr>
      </w:pPr>
    </w:p>
    <w:p w14:paraId="33135935" w14:textId="77777777" w:rsidR="00E57B7D" w:rsidRDefault="00E57B7D" w:rsidP="00E57B7D">
      <w:pPr>
        <w:rPr>
          <w:rFonts w:ascii="Times New Roman" w:hAnsi="Times New Roman" w:cs="Times New Roman"/>
        </w:rPr>
      </w:pPr>
    </w:p>
    <w:p w14:paraId="08521BE7" w14:textId="77777777" w:rsidR="00E57B7D" w:rsidRDefault="00E57B7D" w:rsidP="00E57B7D">
      <w:pPr>
        <w:rPr>
          <w:rFonts w:ascii="Times New Roman" w:hAnsi="Times New Roman" w:cs="Times New Roman"/>
        </w:rPr>
      </w:pPr>
    </w:p>
    <w:p w14:paraId="510511A2" w14:textId="77777777" w:rsidR="00E57B7D" w:rsidRDefault="00E57B7D" w:rsidP="00E57B7D">
      <w:pPr>
        <w:rPr>
          <w:rFonts w:ascii="Times New Roman" w:hAnsi="Times New Roman" w:cs="Times New Roman"/>
        </w:rPr>
      </w:pPr>
    </w:p>
    <w:p w14:paraId="751F5D88" w14:textId="745D2C04" w:rsidR="001C7D1C" w:rsidRDefault="00E57B7D" w:rsidP="0078058D">
      <w:pPr>
        <w:pStyle w:val="Nadpis1"/>
        <w:rPr>
          <w:rFonts w:ascii="Arial" w:eastAsia="Times New Roman" w:hAnsi="Arial" w:cs="Arial"/>
          <w:b w:val="0"/>
          <w:bCs w:val="0"/>
          <w:color w:val="323232"/>
          <w:sz w:val="26"/>
          <w:szCs w:val="26"/>
          <w:shd w:val="clear" w:color="auto" w:fill="FFFFFF"/>
        </w:rPr>
      </w:pPr>
      <w:bookmarkStart w:id="160" w:name="_Toc398662726"/>
      <w:r w:rsidRPr="00E57B7D">
        <w:lastRenderedPageBreak/>
        <w:t xml:space="preserve">3. </w:t>
      </w:r>
      <w:r w:rsidR="00493DE9">
        <w:t>P</w:t>
      </w:r>
      <w:r w:rsidR="0078058D">
        <w:t xml:space="preserve">racovní mobilita jako bariéra </w:t>
      </w:r>
      <w:r w:rsidR="00BB0DF0">
        <w:t>efektivního využívání disponibilního lidského kapitálu</w:t>
      </w:r>
      <w:bookmarkEnd w:id="160"/>
    </w:p>
    <w:p w14:paraId="2C47B259" w14:textId="6EA5A73F" w:rsidR="00A20F40" w:rsidRPr="002055C8" w:rsidRDefault="00493DE9" w:rsidP="00A20F40">
      <w:pPr>
        <w:spacing w:before="240" w:line="360" w:lineRule="auto"/>
        <w:jc w:val="both"/>
        <w:rPr>
          <w:rFonts w:ascii="Times New Roman" w:eastAsia="Times New Roman" w:hAnsi="Times New Roman" w:cs="Times New Roman"/>
          <w:bCs/>
          <w:color w:val="323232"/>
          <w:shd w:val="clear" w:color="auto" w:fill="FFFFFF"/>
        </w:rPr>
      </w:pPr>
      <w:r>
        <w:rPr>
          <w:rFonts w:ascii="Times New Roman" w:eastAsia="Times New Roman" w:hAnsi="Times New Roman" w:cs="Times New Roman"/>
          <w:bCs/>
          <w:color w:val="323232"/>
          <w:shd w:val="clear" w:color="auto" w:fill="FFFFFF"/>
        </w:rPr>
        <w:t>Česká republika patří k zemím s </w:t>
      </w:r>
      <w:r w:rsidR="000B4B9C">
        <w:rPr>
          <w:rFonts w:ascii="Times New Roman" w:eastAsia="Times New Roman" w:hAnsi="Times New Roman" w:cs="Times New Roman"/>
          <w:bCs/>
          <w:color w:val="323232"/>
          <w:shd w:val="clear" w:color="auto" w:fill="FFFFFF"/>
        </w:rPr>
        <w:t>velmi nízkou pracovní mobilitou.</w:t>
      </w:r>
      <w:r>
        <w:rPr>
          <w:rFonts w:ascii="Times New Roman" w:eastAsia="Times New Roman" w:hAnsi="Times New Roman" w:cs="Times New Roman"/>
          <w:bCs/>
          <w:color w:val="323232"/>
          <w:shd w:val="clear" w:color="auto" w:fill="FFFFFF"/>
        </w:rPr>
        <w:t xml:space="preserve"> </w:t>
      </w:r>
      <w:r w:rsidR="000B4B9C">
        <w:rPr>
          <w:rFonts w:ascii="Times New Roman" w:eastAsia="Times New Roman" w:hAnsi="Times New Roman" w:cs="Times New Roman"/>
          <w:bCs/>
          <w:color w:val="323232"/>
          <w:shd w:val="clear" w:color="auto" w:fill="FFFFFF"/>
        </w:rPr>
        <w:t xml:space="preserve">Češi dlouhodobě vykazují nízkou ochotu stěhovat se za prací do zahraničí i v rámci ČR a také ochota dojíždět za prací na delší vzdálenosti je nižší než v zemích západní Evropy. S příchodem mladší generace na pracovní trh by měla mobilita spíše růst, ale v souvislosti s velkým množstvím pracovních příležitostí spíše klesá. </w:t>
      </w:r>
      <w:r w:rsidR="000B4B9C">
        <w:rPr>
          <w:rFonts w:ascii="Times New Roman" w:eastAsia="Times New Roman" w:hAnsi="Times New Roman" w:cs="Times New Roman"/>
          <w:b/>
          <w:bCs/>
          <w:color w:val="323232"/>
          <w:shd w:val="clear" w:color="auto" w:fill="FFFFFF"/>
        </w:rPr>
        <w:t>Aktuální situace na trhu práce nevytváří potřebný tlak, aby se lidé za prací stěhovali.</w:t>
      </w:r>
      <w:r w:rsidR="002055C8">
        <w:rPr>
          <w:rFonts w:ascii="Times New Roman" w:eastAsia="Times New Roman" w:hAnsi="Times New Roman" w:cs="Times New Roman"/>
          <w:b/>
          <w:bCs/>
          <w:color w:val="323232"/>
          <w:shd w:val="clear" w:color="auto" w:fill="FFFFFF"/>
        </w:rPr>
        <w:t xml:space="preserve"> </w:t>
      </w:r>
    </w:p>
    <w:p w14:paraId="52BE3E8A" w14:textId="4E0B547D" w:rsidR="00493DE9" w:rsidRPr="00047B02" w:rsidRDefault="00493DE9" w:rsidP="00047B02">
      <w:pPr>
        <w:pStyle w:val="Nadpis2"/>
      </w:pPr>
      <w:bookmarkStart w:id="161" w:name="_Toc398662727"/>
      <w:r w:rsidRPr="00047B02">
        <w:t>3.1 Nízká rezidenční mobilita a ochota dojíždět za prací</w:t>
      </w:r>
      <w:bookmarkEnd w:id="161"/>
    </w:p>
    <w:p w14:paraId="45C67E90" w14:textId="77777777" w:rsidR="00A508A5" w:rsidRPr="00A508A5" w:rsidRDefault="00493DE9" w:rsidP="00493DE9">
      <w:pPr>
        <w:pStyle w:val="Normlnweb"/>
        <w:spacing w:before="120" w:beforeAutospacing="0" w:after="0" w:afterAutospacing="0" w:line="360" w:lineRule="auto"/>
        <w:jc w:val="both"/>
        <w:rPr>
          <w:rFonts w:ascii="Times New Roman" w:hAnsi="Times New Roman"/>
          <w:color w:val="060604"/>
          <w:sz w:val="24"/>
          <w:szCs w:val="24"/>
        </w:rPr>
      </w:pPr>
      <w:r w:rsidRPr="00A508A5">
        <w:rPr>
          <w:rFonts w:ascii="Times New Roman" w:hAnsi="Times New Roman"/>
          <w:color w:val="060604"/>
          <w:sz w:val="24"/>
          <w:szCs w:val="24"/>
        </w:rPr>
        <w:t xml:space="preserve">Vážnou bariéru ve vyrovnávání poptávky a nabídky práce co do požadovaných kompetencí a kvalifikací představuje v ČR </w:t>
      </w:r>
      <w:r w:rsidRPr="00A508A5">
        <w:rPr>
          <w:rFonts w:ascii="Times New Roman" w:hAnsi="Times New Roman"/>
          <w:i/>
          <w:color w:val="060604"/>
          <w:sz w:val="24"/>
          <w:szCs w:val="24"/>
        </w:rPr>
        <w:t>nízká rezidenční mobilita</w:t>
      </w:r>
      <w:r w:rsidRPr="00A508A5">
        <w:rPr>
          <w:rStyle w:val="Znakapoznpodarou"/>
          <w:rFonts w:ascii="Times New Roman" w:hAnsi="Times New Roman"/>
          <w:color w:val="060604"/>
          <w:sz w:val="24"/>
          <w:szCs w:val="24"/>
        </w:rPr>
        <w:footnoteReference w:id="22"/>
      </w:r>
      <w:r w:rsidRPr="00A508A5">
        <w:rPr>
          <w:rFonts w:ascii="Times New Roman" w:hAnsi="Times New Roman"/>
          <w:color w:val="060604"/>
          <w:sz w:val="24"/>
          <w:szCs w:val="24"/>
        </w:rPr>
        <w:t xml:space="preserve"> </w:t>
      </w:r>
      <w:r w:rsidRPr="00A508A5">
        <w:rPr>
          <w:rFonts w:ascii="Times New Roman" w:hAnsi="Times New Roman"/>
          <w:i/>
          <w:color w:val="060604"/>
          <w:sz w:val="24"/>
          <w:szCs w:val="24"/>
        </w:rPr>
        <w:t>a ochota lidí</w:t>
      </w:r>
      <w:r w:rsidRPr="00A508A5">
        <w:rPr>
          <w:rFonts w:ascii="Times New Roman" w:hAnsi="Times New Roman"/>
          <w:color w:val="060604"/>
          <w:sz w:val="24"/>
          <w:szCs w:val="24"/>
        </w:rPr>
        <w:t xml:space="preserve"> </w:t>
      </w:r>
      <w:r w:rsidRPr="00A508A5">
        <w:rPr>
          <w:rFonts w:ascii="Times New Roman" w:hAnsi="Times New Roman"/>
          <w:i/>
          <w:color w:val="060604"/>
          <w:sz w:val="24"/>
          <w:szCs w:val="24"/>
        </w:rPr>
        <w:t>dojíždět za prací na větší vzdálenosti</w:t>
      </w:r>
      <w:r w:rsidRPr="00A508A5">
        <w:rPr>
          <w:rFonts w:ascii="Times New Roman" w:hAnsi="Times New Roman"/>
          <w:color w:val="060604"/>
          <w:sz w:val="24"/>
          <w:szCs w:val="24"/>
        </w:rPr>
        <w:t xml:space="preserve">. O tom, že pracovní mobilita je nedostatečná, svědčí také velké rozdíly mezi regiony. </w:t>
      </w:r>
      <w:r w:rsidRPr="00A508A5">
        <w:rPr>
          <w:rFonts w:ascii="Times New Roman" w:hAnsi="Times New Roman"/>
          <w:b/>
          <w:color w:val="060604"/>
          <w:sz w:val="24"/>
          <w:szCs w:val="24"/>
        </w:rPr>
        <w:t>Pracovní mobilita tedy nepůsobí jako prostředek vyrovnávání distorzí/nerovnováh na trhu práce.</w:t>
      </w:r>
      <w:r w:rsidRPr="00A508A5">
        <w:rPr>
          <w:rFonts w:ascii="Times New Roman" w:hAnsi="Times New Roman"/>
          <w:color w:val="060604"/>
          <w:sz w:val="24"/>
          <w:szCs w:val="24"/>
        </w:rPr>
        <w:t xml:space="preserve"> </w:t>
      </w:r>
    </w:p>
    <w:p w14:paraId="329FE966" w14:textId="5ABCB1E1" w:rsidR="000B4B9C" w:rsidRDefault="000B4B9C" w:rsidP="000B4B9C">
      <w:pPr>
        <w:pStyle w:val="Nadpis3"/>
      </w:pPr>
      <w:bookmarkStart w:id="162" w:name="_Toc398662728"/>
      <w:r>
        <w:t>3.1.1 Rezidenční mobilita</w:t>
      </w:r>
      <w:r w:rsidR="006C68EE">
        <w:t xml:space="preserve"> a stěhování za prací</w:t>
      </w:r>
      <w:bookmarkEnd w:id="162"/>
    </w:p>
    <w:p w14:paraId="60E1A63D" w14:textId="77777777" w:rsidR="00A508A5" w:rsidRPr="00A508A5" w:rsidRDefault="00493DE9" w:rsidP="00493DE9">
      <w:pPr>
        <w:pStyle w:val="Normlnweb"/>
        <w:spacing w:before="120" w:beforeAutospacing="0" w:after="0" w:afterAutospacing="0" w:line="360" w:lineRule="auto"/>
        <w:jc w:val="both"/>
        <w:rPr>
          <w:rFonts w:ascii="Times New Roman" w:hAnsi="Times New Roman"/>
          <w:color w:val="060604"/>
          <w:sz w:val="24"/>
          <w:szCs w:val="24"/>
        </w:rPr>
      </w:pPr>
      <w:r w:rsidRPr="00A508A5">
        <w:rPr>
          <w:rFonts w:ascii="Times New Roman" w:hAnsi="Times New Roman"/>
          <w:color w:val="060604"/>
          <w:sz w:val="24"/>
          <w:szCs w:val="24"/>
        </w:rPr>
        <w:t>V souvislosti s pojmem „rezidenční mobilit</w:t>
      </w:r>
      <w:r w:rsidR="00A508A5" w:rsidRPr="00A508A5">
        <w:rPr>
          <w:rFonts w:ascii="Times New Roman" w:hAnsi="Times New Roman"/>
          <w:color w:val="060604"/>
          <w:sz w:val="24"/>
          <w:szCs w:val="24"/>
        </w:rPr>
        <w:t>a“ je nutné připomenout, že v České republice</w:t>
      </w:r>
      <w:r w:rsidRPr="00A508A5">
        <w:rPr>
          <w:rFonts w:ascii="Times New Roman" w:hAnsi="Times New Roman"/>
          <w:color w:val="060604"/>
          <w:sz w:val="24"/>
          <w:szCs w:val="24"/>
        </w:rPr>
        <w:t xml:space="preserve"> existují také </w:t>
      </w:r>
      <w:r w:rsidRPr="00A508A5">
        <w:rPr>
          <w:rFonts w:ascii="Times New Roman" w:hAnsi="Times New Roman"/>
          <w:i/>
          <w:color w:val="060604"/>
          <w:sz w:val="24"/>
          <w:szCs w:val="24"/>
        </w:rPr>
        <w:t>problémové rezidenční lokality.</w:t>
      </w:r>
      <w:r w:rsidRPr="00A508A5">
        <w:rPr>
          <w:rFonts w:ascii="Times New Roman" w:hAnsi="Times New Roman"/>
          <w:color w:val="060604"/>
          <w:sz w:val="24"/>
          <w:szCs w:val="24"/>
        </w:rPr>
        <w:t xml:space="preserve"> Jedná se o tzv. transformační periferie a venkovské periferie. </w:t>
      </w:r>
    </w:p>
    <w:p w14:paraId="3AEFD139" w14:textId="77777777" w:rsidR="00A508A5" w:rsidRPr="00A508A5" w:rsidRDefault="00493DE9" w:rsidP="00493DE9">
      <w:pPr>
        <w:pStyle w:val="Normlnweb"/>
        <w:spacing w:before="120" w:beforeAutospacing="0" w:after="0" w:afterAutospacing="0" w:line="360" w:lineRule="auto"/>
        <w:jc w:val="both"/>
        <w:rPr>
          <w:rFonts w:ascii="Times New Roman" w:hAnsi="Times New Roman"/>
          <w:color w:val="060604"/>
          <w:sz w:val="24"/>
          <w:szCs w:val="24"/>
        </w:rPr>
      </w:pPr>
      <w:r w:rsidRPr="00A508A5">
        <w:rPr>
          <w:rFonts w:ascii="Times New Roman" w:hAnsi="Times New Roman"/>
          <w:color w:val="060604"/>
          <w:sz w:val="24"/>
          <w:szCs w:val="24"/>
        </w:rPr>
        <w:t xml:space="preserve">Jako </w:t>
      </w:r>
      <w:r w:rsidRPr="00A508A5">
        <w:rPr>
          <w:rFonts w:ascii="Times New Roman" w:hAnsi="Times New Roman"/>
          <w:i/>
          <w:color w:val="060604"/>
          <w:sz w:val="24"/>
          <w:szCs w:val="24"/>
        </w:rPr>
        <w:t xml:space="preserve">transformační periferie </w:t>
      </w:r>
      <w:r w:rsidRPr="00A508A5">
        <w:rPr>
          <w:rFonts w:ascii="Times New Roman" w:hAnsi="Times New Roman"/>
          <w:color w:val="060604"/>
          <w:sz w:val="24"/>
          <w:szCs w:val="24"/>
        </w:rPr>
        <w:t xml:space="preserve">jsou označovány regiony, které byly zasaženy ekonomickou transformací, tj. změnami struktury ekonomiky (typicky Moravskoslezský či Ústecký kraj). V důsledku změn ekonomické struktury došlo k velkému úbytku pracovních míst; je zde vysoké riziko sociální exkluze (sociálně vyloučené lokality). </w:t>
      </w:r>
    </w:p>
    <w:p w14:paraId="5DA2A435" w14:textId="77777777" w:rsidR="00A508A5" w:rsidRPr="00A508A5" w:rsidRDefault="00493DE9" w:rsidP="00493DE9">
      <w:pPr>
        <w:pStyle w:val="Normlnweb"/>
        <w:spacing w:before="120" w:beforeAutospacing="0" w:after="0" w:afterAutospacing="0" w:line="360" w:lineRule="auto"/>
        <w:jc w:val="both"/>
        <w:rPr>
          <w:rFonts w:ascii="Times New Roman" w:hAnsi="Times New Roman"/>
          <w:color w:val="060604"/>
          <w:sz w:val="24"/>
          <w:szCs w:val="24"/>
        </w:rPr>
      </w:pPr>
      <w:r w:rsidRPr="00A508A5">
        <w:rPr>
          <w:rFonts w:ascii="Times New Roman" w:hAnsi="Times New Roman"/>
          <w:color w:val="060604"/>
          <w:sz w:val="24"/>
          <w:szCs w:val="24"/>
        </w:rPr>
        <w:t xml:space="preserve">Jako </w:t>
      </w:r>
      <w:r w:rsidRPr="00A508A5">
        <w:rPr>
          <w:rFonts w:ascii="Times New Roman" w:hAnsi="Times New Roman"/>
          <w:i/>
          <w:color w:val="060604"/>
          <w:sz w:val="24"/>
          <w:szCs w:val="24"/>
        </w:rPr>
        <w:t xml:space="preserve">venkovské periferie </w:t>
      </w:r>
      <w:r w:rsidRPr="00A508A5">
        <w:rPr>
          <w:rFonts w:ascii="Times New Roman" w:hAnsi="Times New Roman"/>
          <w:color w:val="060604"/>
          <w:sz w:val="24"/>
          <w:szCs w:val="24"/>
        </w:rPr>
        <w:t xml:space="preserve">jsou označovány venkovské oblasti, kde dlouhodobě dochází k úbytku obyvatelstva, s horší dostupností do velkých měst. Je zde málo kvalitních pracovních příležitostí, nedostatek služeb a nízké mzdy. </w:t>
      </w:r>
    </w:p>
    <w:p w14:paraId="170F1806" w14:textId="77777777" w:rsidR="00E61B85" w:rsidRDefault="00493DE9" w:rsidP="00493DE9">
      <w:pPr>
        <w:pStyle w:val="Normlnweb"/>
        <w:spacing w:before="120" w:beforeAutospacing="0" w:after="0" w:afterAutospacing="0" w:line="360" w:lineRule="auto"/>
        <w:jc w:val="both"/>
        <w:rPr>
          <w:rFonts w:ascii="Times New Roman" w:hAnsi="Times New Roman"/>
          <w:color w:val="060604"/>
          <w:sz w:val="24"/>
          <w:szCs w:val="24"/>
        </w:rPr>
      </w:pPr>
      <w:r w:rsidRPr="00A508A5">
        <w:rPr>
          <w:rFonts w:ascii="Times New Roman" w:hAnsi="Times New Roman"/>
          <w:b/>
          <w:color w:val="060604"/>
          <w:sz w:val="24"/>
          <w:szCs w:val="24"/>
        </w:rPr>
        <w:lastRenderedPageBreak/>
        <w:t>Život v problémových rezidenčních lokalitách může negativně ovlivňovat ochotu se (dále) vzdělávat</w:t>
      </w:r>
      <w:r w:rsidRPr="00A508A5">
        <w:rPr>
          <w:rFonts w:ascii="Times New Roman" w:hAnsi="Times New Roman"/>
          <w:color w:val="060604"/>
          <w:sz w:val="24"/>
          <w:szCs w:val="24"/>
        </w:rPr>
        <w:t xml:space="preserve"> – zejména v důsledku vlivu sociálního prostředí nebo horší dopravní obslužnosti, která znesnadňuje dopravu do větších měst, kde jsou příležitosti k dalšímu vzdělávání. </w:t>
      </w:r>
    </w:p>
    <w:p w14:paraId="218B4D38" w14:textId="77777777" w:rsidR="00493DE9" w:rsidRPr="00493DE9" w:rsidRDefault="00493DE9" w:rsidP="00493DE9">
      <w:pPr>
        <w:pStyle w:val="Normlnweb"/>
        <w:spacing w:before="120" w:beforeAutospacing="0" w:after="0" w:afterAutospacing="0"/>
        <w:jc w:val="both"/>
        <w:rPr>
          <w:rFonts w:asciiTheme="majorHAnsi" w:hAnsiTheme="majorHAnsi"/>
          <w:b/>
          <w:color w:val="060604"/>
          <w:sz w:val="22"/>
          <w:szCs w:val="22"/>
        </w:rPr>
      </w:pPr>
      <w:r w:rsidRPr="00493DE9">
        <w:rPr>
          <w:rFonts w:asciiTheme="majorHAnsi" w:hAnsiTheme="majorHAnsi"/>
          <w:b/>
          <w:color w:val="060604"/>
          <w:sz w:val="22"/>
          <w:szCs w:val="22"/>
        </w:rPr>
        <w:t>Příklad – Vliv situace v regionu na formování vztahu ke vzdělání</w:t>
      </w:r>
    </w:p>
    <w:p w14:paraId="781E318F" w14:textId="6F34F90D" w:rsidR="00493DE9" w:rsidRPr="00493DE9" w:rsidRDefault="00493DE9" w:rsidP="00493DE9">
      <w:pPr>
        <w:pStyle w:val="Normlnweb"/>
        <w:spacing w:before="120" w:beforeAutospacing="0" w:after="0" w:afterAutospacing="0"/>
        <w:jc w:val="both"/>
        <w:rPr>
          <w:rFonts w:asciiTheme="majorHAnsi" w:hAnsiTheme="majorHAnsi"/>
          <w:color w:val="060604"/>
          <w:sz w:val="22"/>
          <w:szCs w:val="22"/>
        </w:rPr>
      </w:pPr>
      <w:r w:rsidRPr="00493DE9">
        <w:rPr>
          <w:rFonts w:asciiTheme="majorHAnsi" w:hAnsiTheme="majorHAnsi"/>
          <w:color w:val="060604"/>
          <w:sz w:val="22"/>
          <w:szCs w:val="22"/>
        </w:rPr>
        <w:t xml:space="preserve">V posledních pěti letech vzrostl počet žáků, kteří předčasně opustili vzdělávací proces z 5,6 % na 6,7 %. Koncem roku 2017 žádalo o práci přes 11 tis. osob s nedokončenou školní docházkou. Přitom regionální rozdíly jsou velké – v Ústeckém a Karlovarském kraji opustilo předčasně vzdělávání </w:t>
      </w:r>
      <w:r>
        <w:rPr>
          <w:rFonts w:asciiTheme="majorHAnsi" w:hAnsiTheme="majorHAnsi"/>
          <w:color w:val="060604"/>
          <w:sz w:val="22"/>
          <w:szCs w:val="22"/>
        </w:rPr>
        <w:t xml:space="preserve">dokonce </w:t>
      </w:r>
      <w:r w:rsidRPr="00493DE9">
        <w:rPr>
          <w:rFonts w:asciiTheme="majorHAnsi" w:hAnsiTheme="majorHAnsi"/>
          <w:color w:val="060604"/>
          <w:sz w:val="22"/>
          <w:szCs w:val="22"/>
        </w:rPr>
        <w:t>15,6 % žáků. Nízké vzdělání je doprovázeno nedostatečnou finanční gramotností, minimální praxí, problematickým rodinným zázemím, potížemi s bydlením, dluhy a nezaměstnaností.</w:t>
      </w:r>
    </w:p>
    <w:p w14:paraId="572690BE" w14:textId="77777777" w:rsidR="00493DE9" w:rsidRDefault="00493DE9" w:rsidP="00493DE9">
      <w:pPr>
        <w:pStyle w:val="Normlnweb"/>
        <w:spacing w:before="0" w:beforeAutospacing="0" w:after="0" w:afterAutospacing="0"/>
        <w:jc w:val="both"/>
        <w:rPr>
          <w:rFonts w:asciiTheme="majorHAnsi" w:hAnsiTheme="majorHAnsi"/>
          <w:color w:val="060604"/>
          <w:sz w:val="22"/>
          <w:szCs w:val="22"/>
        </w:rPr>
      </w:pPr>
      <w:r w:rsidRPr="00493DE9">
        <w:rPr>
          <w:rFonts w:asciiTheme="majorHAnsi" w:hAnsiTheme="majorHAnsi"/>
          <w:color w:val="060604"/>
          <w:sz w:val="22"/>
          <w:szCs w:val="22"/>
        </w:rPr>
        <w:t xml:space="preserve">V uvedených krajích je také nejvíce osob se základním vzděláním (13 % v roce 2016), zatímco v Praze jen 3 %. </w:t>
      </w:r>
      <w:r>
        <w:rPr>
          <w:rFonts w:asciiTheme="majorHAnsi" w:hAnsiTheme="majorHAnsi"/>
          <w:color w:val="060604"/>
          <w:sz w:val="22"/>
          <w:szCs w:val="22"/>
        </w:rPr>
        <w:t xml:space="preserve"> </w:t>
      </w:r>
    </w:p>
    <w:p w14:paraId="3CBB8E0D" w14:textId="7D8BA781" w:rsidR="00493DE9" w:rsidRPr="00493DE9" w:rsidRDefault="00493DE9" w:rsidP="00A508A5">
      <w:pPr>
        <w:pStyle w:val="Normlnweb"/>
        <w:spacing w:before="0" w:beforeAutospacing="0" w:after="0" w:afterAutospacing="0"/>
        <w:jc w:val="right"/>
        <w:rPr>
          <w:rFonts w:asciiTheme="majorHAnsi" w:hAnsiTheme="majorHAnsi"/>
          <w:color w:val="060604"/>
          <w:sz w:val="22"/>
          <w:szCs w:val="22"/>
        </w:rPr>
      </w:pPr>
      <w:r w:rsidRPr="00452B43">
        <w:rPr>
          <w:rFonts w:asciiTheme="majorHAnsi" w:hAnsiTheme="majorHAnsi"/>
          <w:color w:val="060604"/>
        </w:rPr>
        <w:t>Zdroj</w:t>
      </w:r>
      <w:r>
        <w:rPr>
          <w:rFonts w:asciiTheme="majorHAnsi" w:hAnsiTheme="majorHAnsi"/>
          <w:color w:val="060604"/>
        </w:rPr>
        <w:t xml:space="preserve">: </w:t>
      </w:r>
      <w:r w:rsidRPr="00452B43">
        <w:rPr>
          <w:rFonts w:asciiTheme="majorHAnsi" w:hAnsiTheme="majorHAnsi"/>
          <w:color w:val="060604"/>
        </w:rPr>
        <w:t>http://ceskapozice.lidovky.cz/nulove-dosazene-vzdelani-drti-zejmena-severozapad-republiky-pud-/tema.aspx?c=A180306_161524_pozice-tema_lube</w:t>
      </w:r>
      <w:r>
        <w:rPr>
          <w:rFonts w:asciiTheme="majorHAnsi" w:hAnsiTheme="majorHAnsi"/>
          <w:color w:val="060604"/>
        </w:rPr>
        <w:t>.</w:t>
      </w:r>
    </w:p>
    <w:p w14:paraId="0245682F" w14:textId="77777777" w:rsidR="00493DE9" w:rsidRPr="005636F7" w:rsidRDefault="00493DE9" w:rsidP="00493DE9">
      <w:pPr>
        <w:pStyle w:val="Normlnweb"/>
        <w:spacing w:before="0" w:beforeAutospacing="0" w:after="0" w:afterAutospacing="0"/>
        <w:jc w:val="both"/>
        <w:rPr>
          <w:rFonts w:asciiTheme="majorHAnsi" w:hAnsiTheme="majorHAnsi"/>
          <w:color w:val="060604"/>
          <w:sz w:val="24"/>
          <w:szCs w:val="24"/>
        </w:rPr>
      </w:pPr>
    </w:p>
    <w:p w14:paraId="2019A72E" w14:textId="0909D7B5" w:rsidR="002E6056" w:rsidRDefault="00E61B85" w:rsidP="00E61B85">
      <w:pPr>
        <w:pStyle w:val="Normlnweb"/>
        <w:spacing w:before="120" w:beforeAutospacing="0" w:after="0" w:afterAutospacing="0" w:line="360" w:lineRule="auto"/>
        <w:jc w:val="both"/>
        <w:rPr>
          <w:rFonts w:ascii="Times New Roman" w:hAnsi="Times New Roman"/>
          <w:color w:val="060604"/>
          <w:sz w:val="24"/>
          <w:szCs w:val="24"/>
        </w:rPr>
      </w:pPr>
      <w:r>
        <w:rPr>
          <w:rFonts w:ascii="Times New Roman" w:hAnsi="Times New Roman"/>
          <w:color w:val="060604"/>
          <w:sz w:val="24"/>
          <w:szCs w:val="24"/>
        </w:rPr>
        <w:t xml:space="preserve">Opět platí, že méně se stěhují za prací osoby s nižší úrovní vzdělání. Příčiny jsou obdobné jako v případě ochoty se vzdělávat, tj. </w:t>
      </w:r>
      <w:r w:rsidR="005360B9" w:rsidRPr="002E6056">
        <w:rPr>
          <w:rFonts w:ascii="Times New Roman" w:hAnsi="Times New Roman"/>
          <w:b/>
          <w:color w:val="060604"/>
          <w:sz w:val="24"/>
          <w:szCs w:val="24"/>
        </w:rPr>
        <w:t>zejména vliv rodiny a sociální prostředí, které formují vztah k</w:t>
      </w:r>
      <w:r w:rsidR="002E6056">
        <w:rPr>
          <w:rFonts w:ascii="Times New Roman" w:hAnsi="Times New Roman"/>
          <w:b/>
          <w:color w:val="060604"/>
          <w:sz w:val="24"/>
          <w:szCs w:val="24"/>
        </w:rPr>
        <w:t> </w:t>
      </w:r>
      <w:r w:rsidR="005360B9" w:rsidRPr="002E6056">
        <w:rPr>
          <w:rFonts w:ascii="Times New Roman" w:hAnsi="Times New Roman"/>
          <w:b/>
          <w:color w:val="060604"/>
          <w:sz w:val="24"/>
          <w:szCs w:val="24"/>
        </w:rPr>
        <w:t>práci</w:t>
      </w:r>
      <w:r w:rsidR="002E6056">
        <w:rPr>
          <w:rFonts w:ascii="Times New Roman" w:hAnsi="Times New Roman"/>
          <w:color w:val="060604"/>
          <w:sz w:val="24"/>
          <w:szCs w:val="24"/>
        </w:rPr>
        <w:t xml:space="preserve"> (vč. ochoty vzdělávat se a stěhovat se za prací),</w:t>
      </w:r>
      <w:r w:rsidR="005360B9">
        <w:rPr>
          <w:rFonts w:ascii="Times New Roman" w:hAnsi="Times New Roman"/>
          <w:color w:val="060604"/>
          <w:sz w:val="24"/>
          <w:szCs w:val="24"/>
        </w:rPr>
        <w:t xml:space="preserve"> ale také ekonomické faktory</w:t>
      </w:r>
      <w:r w:rsidR="002E6056">
        <w:rPr>
          <w:rFonts w:ascii="Times New Roman" w:hAnsi="Times New Roman"/>
          <w:color w:val="060604"/>
          <w:sz w:val="24"/>
          <w:szCs w:val="24"/>
        </w:rPr>
        <w:t xml:space="preserve"> (které už jsou mnohdy ale důsledkem nedostatečného vzdělání)</w:t>
      </w:r>
      <w:r w:rsidR="005360B9">
        <w:rPr>
          <w:rFonts w:ascii="Times New Roman" w:hAnsi="Times New Roman"/>
          <w:color w:val="060604"/>
          <w:sz w:val="24"/>
          <w:szCs w:val="24"/>
        </w:rPr>
        <w:t>. Stěhová</w:t>
      </w:r>
      <w:r w:rsidR="002E6056">
        <w:rPr>
          <w:rFonts w:ascii="Times New Roman" w:hAnsi="Times New Roman"/>
          <w:color w:val="060604"/>
          <w:sz w:val="24"/>
          <w:szCs w:val="24"/>
        </w:rPr>
        <w:t xml:space="preserve">ní za prací nebylo před </w:t>
      </w:r>
      <w:r w:rsidR="005360B9">
        <w:rPr>
          <w:rFonts w:ascii="Times New Roman" w:hAnsi="Times New Roman"/>
          <w:color w:val="060604"/>
          <w:sz w:val="24"/>
          <w:szCs w:val="24"/>
        </w:rPr>
        <w:t>r</w:t>
      </w:r>
      <w:r w:rsidR="002E6056">
        <w:rPr>
          <w:rFonts w:ascii="Times New Roman" w:hAnsi="Times New Roman"/>
          <w:color w:val="060604"/>
          <w:sz w:val="24"/>
          <w:szCs w:val="24"/>
        </w:rPr>
        <w:t>o</w:t>
      </w:r>
      <w:r w:rsidR="005360B9">
        <w:rPr>
          <w:rFonts w:ascii="Times New Roman" w:hAnsi="Times New Roman"/>
          <w:color w:val="060604"/>
          <w:sz w:val="24"/>
          <w:szCs w:val="24"/>
        </w:rPr>
        <w:t>kem 1989 příliš běžné a velká část mladé generace převzala tento model chování od svých rodičů.</w:t>
      </w:r>
      <w:r w:rsidR="002055C8">
        <w:rPr>
          <w:rFonts w:ascii="Times New Roman" w:hAnsi="Times New Roman"/>
          <w:color w:val="060604"/>
          <w:sz w:val="24"/>
          <w:szCs w:val="24"/>
        </w:rPr>
        <w:t xml:space="preserve"> </w:t>
      </w:r>
    </w:p>
    <w:p w14:paraId="3AEF7E67" w14:textId="77777777" w:rsidR="002055C8" w:rsidRDefault="002055C8" w:rsidP="002055C8">
      <w:pPr>
        <w:spacing w:before="240"/>
        <w:jc w:val="both"/>
        <w:rPr>
          <w:rFonts w:asciiTheme="majorHAnsi" w:eastAsia="Times New Roman" w:hAnsiTheme="majorHAnsi" w:cs="Times New Roman"/>
          <w:b/>
          <w:bCs/>
          <w:color w:val="323232"/>
          <w:sz w:val="22"/>
          <w:szCs w:val="22"/>
          <w:shd w:val="clear" w:color="auto" w:fill="FFFFFF"/>
        </w:rPr>
      </w:pPr>
      <w:r w:rsidRPr="005360B9">
        <w:rPr>
          <w:rFonts w:asciiTheme="majorHAnsi" w:eastAsia="Times New Roman" w:hAnsiTheme="majorHAnsi" w:cs="Times New Roman"/>
          <w:b/>
          <w:bCs/>
          <w:color w:val="323232"/>
          <w:sz w:val="22"/>
          <w:szCs w:val="22"/>
          <w:shd w:val="clear" w:color="auto" w:fill="FFFFFF"/>
        </w:rPr>
        <w:t>Pro informaci</w:t>
      </w:r>
    </w:p>
    <w:p w14:paraId="10D0F988" w14:textId="7DF1BAC8" w:rsidR="002055C8" w:rsidRDefault="002055C8" w:rsidP="002055C8">
      <w:pPr>
        <w:jc w:val="both"/>
        <w:rPr>
          <w:rFonts w:asciiTheme="majorHAnsi" w:eastAsia="Times New Roman" w:hAnsiTheme="majorHAnsi" w:cs="Times New Roman"/>
          <w:bCs/>
          <w:color w:val="323232"/>
          <w:sz w:val="22"/>
          <w:szCs w:val="22"/>
          <w:shd w:val="clear" w:color="auto" w:fill="FFFFFF"/>
        </w:rPr>
      </w:pPr>
      <w:r>
        <w:rPr>
          <w:rFonts w:asciiTheme="majorHAnsi" w:eastAsia="Times New Roman" w:hAnsiTheme="majorHAnsi" w:cs="Times New Roman"/>
          <w:bCs/>
          <w:color w:val="323232"/>
          <w:sz w:val="22"/>
          <w:szCs w:val="22"/>
          <w:shd w:val="clear" w:color="auto" w:fill="FFFFFF"/>
        </w:rPr>
        <w:t xml:space="preserve">Podle průzkumu společnosti </w:t>
      </w:r>
      <w:proofErr w:type="spellStart"/>
      <w:r w:rsidR="002E6056">
        <w:rPr>
          <w:rFonts w:asciiTheme="majorHAnsi" w:eastAsia="Times New Roman" w:hAnsiTheme="majorHAnsi" w:cs="Times New Roman"/>
          <w:bCs/>
          <w:color w:val="323232"/>
          <w:sz w:val="22"/>
          <w:szCs w:val="22"/>
          <w:shd w:val="clear" w:color="auto" w:fill="FFFFFF"/>
        </w:rPr>
        <w:t>Randstad</w:t>
      </w:r>
      <w:proofErr w:type="spellEnd"/>
      <w:r w:rsidR="002E6056">
        <w:rPr>
          <w:rFonts w:asciiTheme="majorHAnsi" w:eastAsia="Times New Roman" w:hAnsiTheme="majorHAnsi" w:cs="Times New Roman"/>
          <w:bCs/>
          <w:color w:val="323232"/>
          <w:sz w:val="22"/>
          <w:szCs w:val="22"/>
          <w:shd w:val="clear" w:color="auto" w:fill="FFFFFF"/>
        </w:rPr>
        <w:t xml:space="preserve"> z roku 2017 ochota Čechů přestěhovat se dočasně za prací do zahraničí je druhá nejnižší z 33 sledovaných zemí (horší výsledky vykazovalo jen Dánsko).</w:t>
      </w:r>
      <w:r>
        <w:rPr>
          <w:rFonts w:asciiTheme="majorHAnsi" w:eastAsia="Times New Roman" w:hAnsiTheme="majorHAnsi" w:cs="Times New Roman"/>
          <w:bCs/>
          <w:color w:val="323232"/>
          <w:sz w:val="22"/>
          <w:szCs w:val="22"/>
          <w:shd w:val="clear" w:color="auto" w:fill="FFFFFF"/>
        </w:rPr>
        <w:t xml:space="preserve"> </w:t>
      </w:r>
    </w:p>
    <w:p w14:paraId="21952B8D" w14:textId="21452BC0" w:rsidR="00394A62" w:rsidRDefault="002E6056" w:rsidP="002E6056">
      <w:pPr>
        <w:jc w:val="both"/>
        <w:rPr>
          <w:rFonts w:asciiTheme="majorHAnsi" w:hAnsiTheme="majorHAnsi" w:cs="Arial"/>
          <w:sz w:val="22"/>
          <w:szCs w:val="22"/>
        </w:rPr>
      </w:pPr>
      <w:r>
        <w:rPr>
          <w:rFonts w:asciiTheme="majorHAnsi" w:eastAsia="Times New Roman" w:hAnsiTheme="majorHAnsi" w:cs="Times New Roman"/>
          <w:bCs/>
          <w:color w:val="323232"/>
          <w:sz w:val="22"/>
          <w:szCs w:val="22"/>
          <w:shd w:val="clear" w:color="auto" w:fill="FFFFFF"/>
        </w:rPr>
        <w:t xml:space="preserve">Nízká je ale také ochota Čechů přestěhovat se za prací v rámci republiky. </w:t>
      </w:r>
      <w:r w:rsidRPr="002E6056">
        <w:rPr>
          <w:rFonts w:asciiTheme="majorHAnsi" w:hAnsiTheme="majorHAnsi"/>
          <w:sz w:val="22"/>
          <w:szCs w:val="22"/>
        </w:rPr>
        <w:t xml:space="preserve">Podle průzkumu agentury </w:t>
      </w:r>
      <w:proofErr w:type="spellStart"/>
      <w:r w:rsidRPr="002E6056">
        <w:rPr>
          <w:rFonts w:asciiTheme="majorHAnsi" w:hAnsiTheme="majorHAnsi"/>
          <w:sz w:val="22"/>
          <w:szCs w:val="22"/>
        </w:rPr>
        <w:t>Ipsos</w:t>
      </w:r>
      <w:proofErr w:type="spellEnd"/>
      <w:r w:rsidRPr="002E6056">
        <w:rPr>
          <w:rFonts w:asciiTheme="majorHAnsi" w:hAnsiTheme="majorHAnsi"/>
          <w:sz w:val="22"/>
          <w:szCs w:val="22"/>
        </w:rPr>
        <w:t xml:space="preserve"> pro společnost </w:t>
      </w:r>
      <w:proofErr w:type="spellStart"/>
      <w:r w:rsidRPr="002E6056">
        <w:rPr>
          <w:rFonts w:asciiTheme="majorHAnsi" w:hAnsiTheme="majorHAnsi"/>
          <w:sz w:val="22"/>
          <w:szCs w:val="22"/>
        </w:rPr>
        <w:t>Wincott</w:t>
      </w:r>
      <w:proofErr w:type="spellEnd"/>
      <w:r w:rsidR="00394A62">
        <w:rPr>
          <w:rFonts w:asciiTheme="majorHAnsi" w:hAnsiTheme="majorHAnsi"/>
          <w:sz w:val="22"/>
          <w:szCs w:val="22"/>
        </w:rPr>
        <w:t xml:space="preserve"> </w:t>
      </w:r>
      <w:proofErr w:type="spellStart"/>
      <w:r w:rsidR="00394A62">
        <w:rPr>
          <w:rFonts w:asciiTheme="majorHAnsi" w:hAnsiTheme="majorHAnsi"/>
          <w:sz w:val="22"/>
          <w:szCs w:val="22"/>
        </w:rPr>
        <w:t>People</w:t>
      </w:r>
      <w:proofErr w:type="spellEnd"/>
      <w:r w:rsidR="00394A62">
        <w:rPr>
          <w:rFonts w:asciiTheme="majorHAnsi" w:hAnsiTheme="majorHAnsi"/>
          <w:sz w:val="22"/>
          <w:szCs w:val="22"/>
        </w:rPr>
        <w:t xml:space="preserve"> z roku 2016 není ochotna</w:t>
      </w:r>
      <w:r w:rsidRPr="002E6056">
        <w:rPr>
          <w:rFonts w:asciiTheme="majorHAnsi" w:hAnsiTheme="majorHAnsi"/>
          <w:sz w:val="22"/>
          <w:szCs w:val="22"/>
        </w:rPr>
        <w:t xml:space="preserve"> stěhovat za prací </w:t>
      </w:r>
      <w:r w:rsidR="00394A62">
        <w:rPr>
          <w:rFonts w:asciiTheme="majorHAnsi" w:hAnsiTheme="majorHAnsi"/>
          <w:sz w:val="22"/>
          <w:szCs w:val="22"/>
        </w:rPr>
        <w:t>více než polovina (</w:t>
      </w:r>
      <w:r w:rsidRPr="002E6056">
        <w:rPr>
          <w:rFonts w:asciiTheme="majorHAnsi" w:hAnsiTheme="majorHAnsi"/>
          <w:sz w:val="22"/>
          <w:szCs w:val="22"/>
        </w:rPr>
        <w:t>56 %</w:t>
      </w:r>
      <w:r w:rsidR="00394A62">
        <w:rPr>
          <w:rFonts w:asciiTheme="majorHAnsi" w:hAnsiTheme="majorHAnsi"/>
          <w:sz w:val="22"/>
          <w:szCs w:val="22"/>
        </w:rPr>
        <w:t>)</w:t>
      </w:r>
      <w:r w:rsidRPr="002E6056">
        <w:rPr>
          <w:rFonts w:asciiTheme="majorHAnsi" w:hAnsiTheme="majorHAnsi"/>
          <w:sz w:val="22"/>
          <w:szCs w:val="22"/>
        </w:rPr>
        <w:t xml:space="preserve"> Čechů. Jen 17,3 % by se přestěhovalo, pokud by jim zaměstnavatel zajistil a zaplatil přechodní bydlení</w:t>
      </w:r>
      <w:r w:rsidR="00394A62">
        <w:rPr>
          <w:rFonts w:asciiTheme="majorHAnsi" w:hAnsiTheme="majorHAnsi"/>
          <w:sz w:val="22"/>
          <w:szCs w:val="22"/>
        </w:rPr>
        <w:t>,</w:t>
      </w:r>
      <w:r w:rsidRPr="002E6056">
        <w:rPr>
          <w:rFonts w:asciiTheme="majorHAnsi" w:hAnsiTheme="majorHAnsi"/>
          <w:sz w:val="22"/>
          <w:szCs w:val="22"/>
        </w:rPr>
        <w:t xml:space="preserve"> a jen 9 % by souhlasilo v případě, že by jim zaměstnavatel pomohl najít dlouhodobou práci na novém místě i pro manželku/manžela a pomohl s přestěhováním rodiny. </w:t>
      </w:r>
      <w:r w:rsidR="00394A62">
        <w:rPr>
          <w:rFonts w:asciiTheme="majorHAnsi" w:hAnsiTheme="majorHAnsi" w:cs="Arial"/>
          <w:sz w:val="22"/>
          <w:szCs w:val="22"/>
        </w:rPr>
        <w:t xml:space="preserve">Pokud jde o genderové hledisko, jsou </w:t>
      </w:r>
      <w:r w:rsidRPr="002E6056">
        <w:rPr>
          <w:rFonts w:asciiTheme="majorHAnsi" w:hAnsiTheme="majorHAnsi" w:cs="Arial"/>
          <w:sz w:val="22"/>
          <w:szCs w:val="22"/>
        </w:rPr>
        <w:t xml:space="preserve">ženy </w:t>
      </w:r>
      <w:r w:rsidR="00394A62">
        <w:rPr>
          <w:rFonts w:asciiTheme="majorHAnsi" w:hAnsiTheme="majorHAnsi" w:cs="Arial"/>
          <w:sz w:val="22"/>
          <w:szCs w:val="22"/>
        </w:rPr>
        <w:t xml:space="preserve">méně ochotny se stěhovat za prací </w:t>
      </w:r>
      <w:r w:rsidRPr="002E6056">
        <w:rPr>
          <w:rFonts w:asciiTheme="majorHAnsi" w:hAnsiTheme="majorHAnsi" w:cs="Arial"/>
          <w:sz w:val="22"/>
          <w:szCs w:val="22"/>
        </w:rPr>
        <w:t>(64,6 %) než muži (47,3 %).</w:t>
      </w:r>
      <w:r w:rsidR="00394A62">
        <w:rPr>
          <w:rStyle w:val="Znakapoznpodarou"/>
          <w:rFonts w:asciiTheme="majorHAnsi" w:hAnsiTheme="majorHAnsi" w:cs="Arial"/>
          <w:sz w:val="22"/>
          <w:szCs w:val="22"/>
        </w:rPr>
        <w:footnoteReference w:id="23"/>
      </w:r>
      <w:r w:rsidRPr="002E6056">
        <w:rPr>
          <w:rFonts w:asciiTheme="majorHAnsi" w:hAnsiTheme="majorHAnsi" w:cs="Arial"/>
          <w:sz w:val="22"/>
          <w:szCs w:val="22"/>
        </w:rPr>
        <w:t xml:space="preserve"> </w:t>
      </w:r>
    </w:p>
    <w:p w14:paraId="1A7A665C" w14:textId="66E21E9B" w:rsidR="002E6056" w:rsidRPr="006C68EE" w:rsidRDefault="002E6056" w:rsidP="00F44CC7">
      <w:pPr>
        <w:jc w:val="both"/>
        <w:rPr>
          <w:rFonts w:asciiTheme="majorHAnsi" w:hAnsiTheme="majorHAnsi"/>
          <w:sz w:val="22"/>
          <w:szCs w:val="22"/>
        </w:rPr>
      </w:pPr>
      <w:r w:rsidRPr="006C68EE">
        <w:rPr>
          <w:rFonts w:asciiTheme="majorHAnsi" w:hAnsiTheme="majorHAnsi"/>
          <w:sz w:val="22"/>
          <w:szCs w:val="22"/>
        </w:rPr>
        <w:t xml:space="preserve">Podle průzkumu agentury </w:t>
      </w:r>
      <w:proofErr w:type="spellStart"/>
      <w:r w:rsidRPr="006C68EE">
        <w:rPr>
          <w:rFonts w:asciiTheme="majorHAnsi" w:hAnsiTheme="majorHAnsi"/>
          <w:sz w:val="22"/>
          <w:szCs w:val="22"/>
        </w:rPr>
        <w:t>Grafton</w:t>
      </w:r>
      <w:proofErr w:type="spellEnd"/>
      <w:r w:rsidRPr="006C68EE">
        <w:rPr>
          <w:rFonts w:asciiTheme="majorHAnsi" w:hAnsiTheme="majorHAnsi"/>
          <w:sz w:val="22"/>
          <w:szCs w:val="22"/>
        </w:rPr>
        <w:t xml:space="preserve"> </w:t>
      </w:r>
      <w:proofErr w:type="spellStart"/>
      <w:r w:rsidRPr="006C68EE">
        <w:rPr>
          <w:rFonts w:asciiTheme="majorHAnsi" w:hAnsiTheme="majorHAnsi"/>
          <w:sz w:val="22"/>
          <w:szCs w:val="22"/>
        </w:rPr>
        <w:t>Recruitment</w:t>
      </w:r>
      <w:proofErr w:type="spellEnd"/>
      <w:r w:rsidRPr="006C68EE">
        <w:rPr>
          <w:rFonts w:asciiTheme="majorHAnsi" w:hAnsiTheme="majorHAnsi"/>
          <w:sz w:val="22"/>
          <w:szCs w:val="22"/>
        </w:rPr>
        <w:t xml:space="preserve"> z roku 2017 by až 65 % Čechů nepřiměla k pře</w:t>
      </w:r>
      <w:r w:rsidR="00F44CC7" w:rsidRPr="006C68EE">
        <w:rPr>
          <w:rFonts w:asciiTheme="majorHAnsi" w:hAnsiTheme="majorHAnsi"/>
          <w:sz w:val="22"/>
          <w:szCs w:val="22"/>
        </w:rPr>
        <w:t>stěhování za prací ani lepší praco</w:t>
      </w:r>
      <w:r w:rsidRPr="006C68EE">
        <w:rPr>
          <w:rFonts w:asciiTheme="majorHAnsi" w:hAnsiTheme="majorHAnsi"/>
          <w:sz w:val="22"/>
          <w:szCs w:val="22"/>
        </w:rPr>
        <w:t>vní nabídk</w:t>
      </w:r>
      <w:r w:rsidR="00F44CC7" w:rsidRPr="006C68EE">
        <w:rPr>
          <w:rFonts w:asciiTheme="majorHAnsi" w:hAnsiTheme="majorHAnsi"/>
          <w:sz w:val="22"/>
          <w:szCs w:val="22"/>
        </w:rPr>
        <w:t xml:space="preserve">a nebo lepší pracovní podmínky. Přitom </w:t>
      </w:r>
      <w:r w:rsidRPr="006C68EE">
        <w:rPr>
          <w:rFonts w:asciiTheme="majorHAnsi" w:hAnsiTheme="majorHAnsi"/>
          <w:sz w:val="22"/>
          <w:szCs w:val="22"/>
        </w:rPr>
        <w:t>za poslední dva roky stoup</w:t>
      </w:r>
      <w:r w:rsidR="00F44CC7" w:rsidRPr="006C68EE">
        <w:rPr>
          <w:rFonts w:asciiTheme="majorHAnsi" w:hAnsiTheme="majorHAnsi"/>
          <w:sz w:val="22"/>
          <w:szCs w:val="22"/>
        </w:rPr>
        <w:t>l počet těchto osob o téměř 1 % (což je zřejmě odrazem aktuální situace na trhu práce).</w:t>
      </w:r>
    </w:p>
    <w:p w14:paraId="210A0DB7" w14:textId="078215BC" w:rsidR="00F44CC7" w:rsidRPr="00A1379F" w:rsidRDefault="00A1379F" w:rsidP="002E6056">
      <w:pPr>
        <w:rPr>
          <w:rFonts w:asciiTheme="majorHAnsi" w:hAnsiTheme="majorHAnsi"/>
          <w:sz w:val="20"/>
          <w:szCs w:val="20"/>
        </w:rPr>
      </w:pPr>
      <w:r>
        <w:rPr>
          <w:rFonts w:asciiTheme="majorHAnsi" w:hAnsiTheme="majorHAnsi"/>
          <w:sz w:val="20"/>
          <w:szCs w:val="20"/>
        </w:rPr>
        <w:t xml:space="preserve">Zdroj: </w:t>
      </w:r>
      <w:proofErr w:type="spellStart"/>
      <w:r>
        <w:rPr>
          <w:rFonts w:asciiTheme="majorHAnsi" w:hAnsiTheme="majorHAnsi"/>
          <w:sz w:val="20"/>
          <w:szCs w:val="20"/>
        </w:rPr>
        <w:t>Randstad</w:t>
      </w:r>
      <w:proofErr w:type="spellEnd"/>
      <w:r>
        <w:rPr>
          <w:rFonts w:asciiTheme="majorHAnsi" w:hAnsiTheme="majorHAnsi"/>
          <w:sz w:val="20"/>
          <w:szCs w:val="20"/>
        </w:rPr>
        <w:t xml:space="preserve"> (2017), </w:t>
      </w:r>
      <w:proofErr w:type="spellStart"/>
      <w:r>
        <w:rPr>
          <w:rFonts w:asciiTheme="majorHAnsi" w:hAnsiTheme="majorHAnsi"/>
          <w:sz w:val="20"/>
          <w:szCs w:val="20"/>
        </w:rPr>
        <w:t>Bdo</w:t>
      </w:r>
      <w:proofErr w:type="spellEnd"/>
      <w:r>
        <w:rPr>
          <w:rFonts w:asciiTheme="majorHAnsi" w:hAnsiTheme="majorHAnsi"/>
          <w:sz w:val="20"/>
          <w:szCs w:val="20"/>
        </w:rPr>
        <w:t xml:space="preserve"> </w:t>
      </w:r>
      <w:proofErr w:type="spellStart"/>
      <w:r>
        <w:rPr>
          <w:rFonts w:asciiTheme="majorHAnsi" w:hAnsiTheme="majorHAnsi"/>
          <w:sz w:val="20"/>
          <w:szCs w:val="20"/>
        </w:rPr>
        <w:t>Global</w:t>
      </w:r>
      <w:proofErr w:type="spellEnd"/>
      <w:r>
        <w:rPr>
          <w:rFonts w:asciiTheme="majorHAnsi" w:hAnsiTheme="majorHAnsi"/>
          <w:sz w:val="20"/>
          <w:szCs w:val="20"/>
        </w:rPr>
        <w:t xml:space="preserve"> (2017), </w:t>
      </w:r>
      <w:proofErr w:type="spellStart"/>
      <w:r>
        <w:rPr>
          <w:rFonts w:asciiTheme="majorHAnsi" w:hAnsiTheme="majorHAnsi"/>
          <w:sz w:val="20"/>
          <w:szCs w:val="20"/>
        </w:rPr>
        <w:t>Grafton</w:t>
      </w:r>
      <w:proofErr w:type="spellEnd"/>
      <w:r>
        <w:rPr>
          <w:rFonts w:asciiTheme="majorHAnsi" w:hAnsiTheme="majorHAnsi"/>
          <w:sz w:val="20"/>
          <w:szCs w:val="20"/>
        </w:rPr>
        <w:t xml:space="preserve"> </w:t>
      </w:r>
      <w:proofErr w:type="spellStart"/>
      <w:r>
        <w:rPr>
          <w:rFonts w:asciiTheme="majorHAnsi" w:hAnsiTheme="majorHAnsi"/>
          <w:sz w:val="20"/>
          <w:szCs w:val="20"/>
        </w:rPr>
        <w:t>Recruitment</w:t>
      </w:r>
      <w:proofErr w:type="spellEnd"/>
      <w:r>
        <w:rPr>
          <w:rFonts w:asciiTheme="majorHAnsi" w:hAnsiTheme="majorHAnsi"/>
          <w:sz w:val="20"/>
          <w:szCs w:val="20"/>
        </w:rPr>
        <w:t xml:space="preserve"> (2017).</w:t>
      </w:r>
    </w:p>
    <w:p w14:paraId="0BBCFEA6" w14:textId="77777777" w:rsidR="00F44CC7" w:rsidRDefault="00F44CC7" w:rsidP="002E6056">
      <w:pPr>
        <w:rPr>
          <w:rFonts w:ascii="Times New Roman" w:hAnsi="Times New Roman" w:cs="Times New Roman"/>
        </w:rPr>
      </w:pPr>
    </w:p>
    <w:p w14:paraId="2EEA25AD" w14:textId="6A3A1EF7" w:rsidR="006C68EE" w:rsidRDefault="006C68EE" w:rsidP="006C68EE">
      <w:pPr>
        <w:pStyle w:val="Nadpis4"/>
      </w:pPr>
      <w:r>
        <w:lastRenderedPageBreak/>
        <w:t>Trh s byty a nájemním bydlením – bariéra stěhování za prací</w:t>
      </w:r>
    </w:p>
    <w:p w14:paraId="3CCF8F40" w14:textId="77777777" w:rsidR="006C68EE" w:rsidRDefault="002E6056" w:rsidP="006C68EE">
      <w:pPr>
        <w:spacing w:before="120" w:line="360" w:lineRule="auto"/>
        <w:jc w:val="both"/>
        <w:rPr>
          <w:rFonts w:ascii="Times New Roman" w:hAnsi="Times New Roman" w:cs="Times New Roman"/>
        </w:rPr>
      </w:pPr>
      <w:r w:rsidRPr="00974986">
        <w:rPr>
          <w:rFonts w:ascii="Times New Roman" w:hAnsi="Times New Roman" w:cs="Times New Roman"/>
          <w:b/>
        </w:rPr>
        <w:t>Jednou z největších překážek stěhování za prací jsou vysoké náklady spojené s pořízením nového bydlení a nedostatečně rozvinutý trh s nájemními</w:t>
      </w:r>
      <w:r w:rsidRPr="006C68EE">
        <w:rPr>
          <w:rFonts w:ascii="Times New Roman" w:hAnsi="Times New Roman" w:cs="Times New Roman"/>
        </w:rPr>
        <w:t xml:space="preserve"> </w:t>
      </w:r>
      <w:r w:rsidRPr="00974986">
        <w:rPr>
          <w:rFonts w:ascii="Times New Roman" w:hAnsi="Times New Roman" w:cs="Times New Roman"/>
          <w:b/>
        </w:rPr>
        <w:t>byty.</w:t>
      </w:r>
      <w:r w:rsidRPr="006C68EE">
        <w:rPr>
          <w:rFonts w:ascii="Times New Roman" w:hAnsi="Times New Roman" w:cs="Times New Roman"/>
        </w:rPr>
        <w:t xml:space="preserve"> Přitom ceny bytů i nájmů v posledních letech velmi rychle rostou.</w:t>
      </w:r>
      <w:r w:rsidR="006C68EE">
        <w:rPr>
          <w:rFonts w:ascii="Times New Roman" w:hAnsi="Times New Roman" w:cs="Times New Roman"/>
        </w:rPr>
        <w:t xml:space="preserve"> </w:t>
      </w:r>
    </w:p>
    <w:p w14:paraId="0CD8439B" w14:textId="5FA63A5E" w:rsidR="00261072" w:rsidRPr="00261072" w:rsidRDefault="00261072" w:rsidP="00261072">
      <w:pPr>
        <w:spacing w:before="120"/>
        <w:jc w:val="both"/>
        <w:rPr>
          <w:rFonts w:asciiTheme="majorHAnsi" w:hAnsiTheme="majorHAnsi" w:cs="Times New Roman"/>
          <w:b/>
          <w:sz w:val="22"/>
          <w:szCs w:val="22"/>
        </w:rPr>
      </w:pPr>
      <w:r w:rsidRPr="00261072">
        <w:rPr>
          <w:rFonts w:asciiTheme="majorHAnsi" w:hAnsiTheme="majorHAnsi" w:cs="Times New Roman"/>
          <w:b/>
          <w:sz w:val="22"/>
          <w:szCs w:val="22"/>
        </w:rPr>
        <w:t>Pro informaci</w:t>
      </w:r>
    </w:p>
    <w:p w14:paraId="31CB87C2" w14:textId="0F859EE5" w:rsidR="002E6056" w:rsidRDefault="002E6056" w:rsidP="00261072">
      <w:pPr>
        <w:jc w:val="both"/>
        <w:rPr>
          <w:rFonts w:asciiTheme="majorHAnsi" w:hAnsiTheme="majorHAnsi" w:cs="Times New Roman"/>
          <w:sz w:val="22"/>
          <w:szCs w:val="22"/>
        </w:rPr>
      </w:pPr>
      <w:r w:rsidRPr="00261072">
        <w:rPr>
          <w:rFonts w:asciiTheme="majorHAnsi" w:hAnsiTheme="majorHAnsi" w:cs="Times New Roman"/>
          <w:sz w:val="22"/>
          <w:szCs w:val="22"/>
        </w:rPr>
        <w:t xml:space="preserve">Jak vyplývá ze studie společnosti </w:t>
      </w:r>
      <w:proofErr w:type="spellStart"/>
      <w:r w:rsidRPr="00261072">
        <w:rPr>
          <w:rFonts w:asciiTheme="majorHAnsi" w:hAnsiTheme="majorHAnsi" w:cs="Times New Roman"/>
          <w:sz w:val="22"/>
          <w:szCs w:val="22"/>
        </w:rPr>
        <w:t>Deloitte</w:t>
      </w:r>
      <w:proofErr w:type="spellEnd"/>
      <w:r w:rsidRPr="00261072">
        <w:rPr>
          <w:rFonts w:asciiTheme="majorHAnsi" w:hAnsiTheme="majorHAnsi" w:cs="Times New Roman"/>
          <w:sz w:val="22"/>
          <w:szCs w:val="22"/>
        </w:rPr>
        <w:t>, nabídková cena nájemního bydlení činila koncem roku 2017 v průměru 197</w:t>
      </w:r>
      <w:r w:rsidR="00974986" w:rsidRPr="00261072">
        <w:rPr>
          <w:rFonts w:asciiTheme="majorHAnsi" w:hAnsiTheme="majorHAnsi" w:cs="Times New Roman"/>
          <w:sz w:val="22"/>
          <w:szCs w:val="22"/>
        </w:rPr>
        <w:t xml:space="preserve"> Kč za metr čtvereční (přitom meziročně došlo k nárůstu ceny o</w:t>
      </w:r>
      <w:r w:rsidRPr="00261072">
        <w:rPr>
          <w:rFonts w:asciiTheme="majorHAnsi" w:hAnsiTheme="majorHAnsi" w:cs="Times New Roman"/>
          <w:sz w:val="22"/>
          <w:szCs w:val="22"/>
        </w:rPr>
        <w:t xml:space="preserve"> 13,8 %). </w:t>
      </w:r>
      <w:r w:rsidR="00974986" w:rsidRPr="00261072">
        <w:rPr>
          <w:rFonts w:asciiTheme="majorHAnsi" w:hAnsiTheme="majorHAnsi" w:cs="Times New Roman"/>
          <w:sz w:val="22"/>
          <w:szCs w:val="22"/>
        </w:rPr>
        <w:t xml:space="preserve">Nejvyšší nájemné bylo v Praze (339 </w:t>
      </w:r>
      <w:proofErr w:type="gramStart"/>
      <w:r w:rsidR="00974986" w:rsidRPr="00261072">
        <w:rPr>
          <w:rFonts w:asciiTheme="majorHAnsi" w:hAnsiTheme="majorHAnsi" w:cs="Times New Roman"/>
          <w:sz w:val="22"/>
          <w:szCs w:val="22"/>
        </w:rPr>
        <w:t>Kč,  meziroční</w:t>
      </w:r>
      <w:proofErr w:type="gramEnd"/>
      <w:r w:rsidR="00974986" w:rsidRPr="00261072">
        <w:rPr>
          <w:rFonts w:asciiTheme="majorHAnsi" w:hAnsiTheme="majorHAnsi" w:cs="Times New Roman"/>
          <w:sz w:val="22"/>
          <w:szCs w:val="22"/>
        </w:rPr>
        <w:t xml:space="preserve"> růst cen o 11,8 %); měsíční nájemné za byt o rozloze 65 metru čtverečních tedy dosahuje kolem 22 000 Kč. Následují Brno (234 Kč, 18 %) a Olomouc (231 Kč, 9,1 %). Naopak nejlevnější nájemné je v Ústí nad Labem (148 Kč, 13,4 %) a Karlových Varech (157 Kč, 0,6 %). Nejvíce se nájem zvýšil v Hradci Králo</w:t>
      </w:r>
      <w:r w:rsidR="00C51082" w:rsidRPr="00261072">
        <w:rPr>
          <w:rFonts w:asciiTheme="majorHAnsi" w:hAnsiTheme="majorHAnsi" w:cs="Times New Roman"/>
          <w:sz w:val="22"/>
          <w:szCs w:val="22"/>
        </w:rPr>
        <w:t>vé (a to o 27,9 %, na 191 Kč), v</w:t>
      </w:r>
      <w:r w:rsidR="00974986" w:rsidRPr="00261072">
        <w:rPr>
          <w:rFonts w:asciiTheme="majorHAnsi" w:hAnsiTheme="majorHAnsi" w:cs="Times New Roman"/>
          <w:sz w:val="22"/>
          <w:szCs w:val="22"/>
        </w:rPr>
        <w:t> Karlových Varech nejméně (o 0,6 %).</w:t>
      </w:r>
    </w:p>
    <w:p w14:paraId="46B010D1" w14:textId="6B81FBD6" w:rsidR="00872568" w:rsidRPr="00872568" w:rsidRDefault="00872568" w:rsidP="00872568">
      <w:pPr>
        <w:jc w:val="right"/>
        <w:rPr>
          <w:rFonts w:asciiTheme="majorHAnsi" w:hAnsiTheme="majorHAnsi" w:cs="Times New Roman"/>
          <w:sz w:val="20"/>
          <w:szCs w:val="20"/>
        </w:rPr>
      </w:pPr>
      <w:r w:rsidRPr="00872568">
        <w:rPr>
          <w:rFonts w:asciiTheme="majorHAnsi" w:hAnsiTheme="majorHAnsi" w:cs="Times New Roman"/>
          <w:sz w:val="20"/>
          <w:szCs w:val="20"/>
        </w:rPr>
        <w:t xml:space="preserve">Zdroj: </w:t>
      </w:r>
      <w:proofErr w:type="spellStart"/>
      <w:r w:rsidRPr="00872568">
        <w:rPr>
          <w:rFonts w:asciiTheme="majorHAnsi" w:hAnsiTheme="majorHAnsi" w:cs="Times New Roman"/>
          <w:sz w:val="20"/>
          <w:szCs w:val="20"/>
        </w:rPr>
        <w:t>Deloitte</w:t>
      </w:r>
      <w:proofErr w:type="spellEnd"/>
      <w:r w:rsidRPr="00872568">
        <w:rPr>
          <w:rFonts w:asciiTheme="majorHAnsi" w:hAnsiTheme="majorHAnsi" w:cs="Times New Roman"/>
          <w:sz w:val="20"/>
          <w:szCs w:val="20"/>
        </w:rPr>
        <w:t xml:space="preserve"> (2017).</w:t>
      </w:r>
    </w:p>
    <w:p w14:paraId="6F7D5DE9" w14:textId="7E6A3C6D" w:rsidR="00C51082" w:rsidRPr="006C68EE" w:rsidRDefault="00C51082" w:rsidP="00261072">
      <w:pPr>
        <w:spacing w:before="240" w:line="360" w:lineRule="auto"/>
        <w:jc w:val="both"/>
        <w:rPr>
          <w:rFonts w:ascii="Times New Roman" w:hAnsi="Times New Roman" w:cs="Times New Roman"/>
        </w:rPr>
      </w:pPr>
      <w:r>
        <w:rPr>
          <w:rFonts w:ascii="Times New Roman" w:hAnsi="Times New Roman" w:cs="Times New Roman"/>
        </w:rPr>
        <w:t xml:space="preserve">Tradičně nejvíce pracovních příležitostí vzniká ve velkých městech, kde je současně největší poptávka po bydlení. Ceny bytů a nájmů často šplhají do výšek, které jsou ještě únosné pro středně příjmovou úroveň, pro jedince s nízkými příjmy ale zpravidla znamenají </w:t>
      </w:r>
      <w:r w:rsidR="006B3390">
        <w:rPr>
          <w:rFonts w:ascii="Times New Roman" w:hAnsi="Times New Roman" w:cs="Times New Roman"/>
        </w:rPr>
        <w:t>nepřekonatelnou bariéru.</w:t>
      </w:r>
      <w:r>
        <w:rPr>
          <w:rFonts w:ascii="Times New Roman" w:hAnsi="Times New Roman" w:cs="Times New Roman"/>
        </w:rPr>
        <w:t xml:space="preserve"> </w:t>
      </w:r>
    </w:p>
    <w:p w14:paraId="00133BD0" w14:textId="0AD9A89F" w:rsidR="005360B9" w:rsidRDefault="00C51082" w:rsidP="00C51082">
      <w:pPr>
        <w:pStyle w:val="Nadpis3"/>
      </w:pPr>
      <w:bookmarkStart w:id="163" w:name="_Toc398662729"/>
      <w:r>
        <w:t>3.1.2 Dojíždění za prací</w:t>
      </w:r>
      <w:bookmarkEnd w:id="163"/>
    </w:p>
    <w:p w14:paraId="6F9CDD85" w14:textId="4CF7A57A" w:rsidR="00C51082" w:rsidRDefault="009524E7" w:rsidP="00C51082">
      <w:pPr>
        <w:pStyle w:val="Normlnweb"/>
        <w:spacing w:before="120" w:beforeAutospacing="0" w:after="0" w:afterAutospacing="0" w:line="360" w:lineRule="auto"/>
        <w:jc w:val="both"/>
        <w:rPr>
          <w:rFonts w:ascii="Times New Roman" w:hAnsi="Times New Roman"/>
          <w:color w:val="060604"/>
          <w:sz w:val="24"/>
          <w:szCs w:val="24"/>
        </w:rPr>
      </w:pPr>
      <w:proofErr w:type="gramStart"/>
      <w:r>
        <w:rPr>
          <w:rFonts w:ascii="Times New Roman" w:hAnsi="Times New Roman"/>
          <w:color w:val="060604"/>
          <w:sz w:val="24"/>
          <w:szCs w:val="24"/>
        </w:rPr>
        <w:t>Spíše</w:t>
      </w:r>
      <w:proofErr w:type="gramEnd"/>
      <w:r>
        <w:rPr>
          <w:rFonts w:ascii="Times New Roman" w:hAnsi="Times New Roman"/>
          <w:color w:val="060604"/>
          <w:sz w:val="24"/>
          <w:szCs w:val="24"/>
        </w:rPr>
        <w:t xml:space="preserve"> než stěhování za prací dávají Češi přednost dojíždění. Přestože podle řady průzkumů (např. společnosti </w:t>
      </w:r>
      <w:proofErr w:type="spellStart"/>
      <w:r>
        <w:rPr>
          <w:rFonts w:ascii="Times New Roman" w:hAnsi="Times New Roman"/>
          <w:color w:val="060604"/>
          <w:sz w:val="24"/>
          <w:szCs w:val="24"/>
        </w:rPr>
        <w:t>Grafton</w:t>
      </w:r>
      <w:proofErr w:type="spellEnd"/>
      <w:r>
        <w:rPr>
          <w:rFonts w:ascii="Times New Roman" w:hAnsi="Times New Roman"/>
          <w:color w:val="060604"/>
          <w:sz w:val="24"/>
          <w:szCs w:val="24"/>
        </w:rPr>
        <w:t xml:space="preserve">) považují za ideální dobu dojíždění maximálně 30 minut, </w:t>
      </w:r>
      <w:r w:rsidRPr="009372B4">
        <w:rPr>
          <w:rFonts w:ascii="Times New Roman" w:hAnsi="Times New Roman"/>
          <w:b/>
          <w:color w:val="060604"/>
          <w:sz w:val="24"/>
          <w:szCs w:val="24"/>
        </w:rPr>
        <w:t>postupně se délka dojíždění zvyšuje</w:t>
      </w:r>
      <w:r>
        <w:rPr>
          <w:rFonts w:ascii="Times New Roman" w:hAnsi="Times New Roman"/>
          <w:color w:val="060604"/>
          <w:sz w:val="24"/>
          <w:szCs w:val="24"/>
        </w:rPr>
        <w:t>. Zatímco v roce 2010 bylo ochotno denně cestovat za prací, pokud dojíždění nezabere déle než hodinu, 33 % osob (dle ČSÚ), v roce 2016 již 37 % (podle průzkumu portálu Práce.cz).</w:t>
      </w:r>
    </w:p>
    <w:p w14:paraId="4FE29CED" w14:textId="77777777" w:rsidR="00B22BD8" w:rsidRDefault="009372B4" w:rsidP="00C51082">
      <w:pPr>
        <w:pStyle w:val="Normlnweb"/>
        <w:spacing w:before="120" w:beforeAutospacing="0" w:after="0" w:afterAutospacing="0" w:line="360" w:lineRule="auto"/>
        <w:jc w:val="both"/>
        <w:rPr>
          <w:rFonts w:ascii="Times New Roman" w:hAnsi="Times New Roman"/>
          <w:color w:val="060604"/>
          <w:sz w:val="24"/>
          <w:szCs w:val="24"/>
        </w:rPr>
      </w:pPr>
      <w:r>
        <w:rPr>
          <w:rFonts w:ascii="Times New Roman" w:hAnsi="Times New Roman"/>
          <w:color w:val="060604"/>
          <w:sz w:val="24"/>
          <w:szCs w:val="24"/>
        </w:rPr>
        <w:t xml:space="preserve">V současnosti dojíždí za prací každý den přibližně jeden milion osob, tj. jedna pětina populace v produktivním věku. Přitom </w:t>
      </w:r>
      <w:r w:rsidRPr="00B22BD8">
        <w:rPr>
          <w:rFonts w:ascii="Times New Roman" w:hAnsi="Times New Roman"/>
          <w:b/>
          <w:color w:val="060604"/>
          <w:sz w:val="24"/>
          <w:szCs w:val="24"/>
        </w:rPr>
        <w:t>rozdíly mezi regiony jsou značné</w:t>
      </w:r>
      <w:r>
        <w:rPr>
          <w:rFonts w:ascii="Times New Roman" w:hAnsi="Times New Roman"/>
          <w:color w:val="060604"/>
          <w:sz w:val="24"/>
          <w:szCs w:val="24"/>
        </w:rPr>
        <w:t xml:space="preserve"> – nejvíce osob dojíždí denně za prací ve Středočeském kraji, zatímco v Moravskoslezském kraji je ochota dojíždět za pr</w:t>
      </w:r>
      <w:r w:rsidR="00B975E4">
        <w:rPr>
          <w:rFonts w:ascii="Times New Roman" w:hAnsi="Times New Roman"/>
          <w:color w:val="060604"/>
          <w:sz w:val="24"/>
          <w:szCs w:val="24"/>
        </w:rPr>
        <w:t>ací nízká. Hlavní příčina</w:t>
      </w:r>
      <w:r>
        <w:rPr>
          <w:rFonts w:ascii="Times New Roman" w:hAnsi="Times New Roman"/>
          <w:color w:val="060604"/>
          <w:sz w:val="24"/>
          <w:szCs w:val="24"/>
        </w:rPr>
        <w:t xml:space="preserve"> rozdílů </w:t>
      </w:r>
      <w:r w:rsidR="00B975E4">
        <w:rPr>
          <w:rFonts w:ascii="Times New Roman" w:hAnsi="Times New Roman"/>
          <w:color w:val="060604"/>
          <w:sz w:val="24"/>
          <w:szCs w:val="24"/>
        </w:rPr>
        <w:t xml:space="preserve">mezi regiony spočívá především ve </w:t>
      </w:r>
      <w:r>
        <w:rPr>
          <w:rFonts w:ascii="Times New Roman" w:hAnsi="Times New Roman"/>
          <w:color w:val="060604"/>
          <w:sz w:val="24"/>
          <w:szCs w:val="24"/>
        </w:rPr>
        <w:t xml:space="preserve">struktuře </w:t>
      </w:r>
      <w:r w:rsidR="00B975E4">
        <w:rPr>
          <w:rFonts w:ascii="Times New Roman" w:hAnsi="Times New Roman"/>
          <w:color w:val="060604"/>
          <w:sz w:val="24"/>
          <w:szCs w:val="24"/>
        </w:rPr>
        <w:t xml:space="preserve">jejich </w:t>
      </w:r>
      <w:r>
        <w:rPr>
          <w:rFonts w:ascii="Times New Roman" w:hAnsi="Times New Roman"/>
          <w:color w:val="060604"/>
          <w:sz w:val="24"/>
          <w:szCs w:val="24"/>
        </w:rPr>
        <w:t>ekonomiky</w:t>
      </w:r>
      <w:r w:rsidR="00B975E4">
        <w:rPr>
          <w:rFonts w:ascii="Times New Roman" w:hAnsi="Times New Roman"/>
          <w:color w:val="060604"/>
          <w:sz w:val="24"/>
          <w:szCs w:val="24"/>
        </w:rPr>
        <w:t>, v geografickém umístění, kvalitě infrastruktury a dopravní obslužnosti, popř. i dalších faktorech</w:t>
      </w:r>
      <w:r w:rsidR="00B22BD8">
        <w:rPr>
          <w:rFonts w:ascii="Times New Roman" w:hAnsi="Times New Roman"/>
          <w:color w:val="060604"/>
          <w:sz w:val="24"/>
          <w:szCs w:val="24"/>
        </w:rPr>
        <w:t xml:space="preserve">. </w:t>
      </w:r>
    </w:p>
    <w:p w14:paraId="3C60B0D9" w14:textId="4FE9EB61" w:rsidR="009372B4" w:rsidRDefault="00B975E4" w:rsidP="00C51082">
      <w:pPr>
        <w:pStyle w:val="Normlnweb"/>
        <w:spacing w:before="120" w:beforeAutospacing="0" w:after="0" w:afterAutospacing="0" w:line="360" w:lineRule="auto"/>
        <w:jc w:val="both"/>
        <w:rPr>
          <w:rFonts w:ascii="Times New Roman" w:hAnsi="Times New Roman"/>
          <w:color w:val="060604"/>
          <w:sz w:val="24"/>
          <w:szCs w:val="24"/>
        </w:rPr>
      </w:pPr>
      <w:r>
        <w:rPr>
          <w:rFonts w:ascii="Times New Roman" w:hAnsi="Times New Roman"/>
          <w:color w:val="060604"/>
          <w:sz w:val="24"/>
          <w:szCs w:val="24"/>
        </w:rPr>
        <w:t>Středočeský kraj patří k ekonomicky prosperujícím regionům, kde</w:t>
      </w:r>
      <w:r w:rsidR="009372B4">
        <w:rPr>
          <w:rFonts w:ascii="Times New Roman" w:hAnsi="Times New Roman"/>
          <w:color w:val="060604"/>
          <w:sz w:val="24"/>
          <w:szCs w:val="24"/>
        </w:rPr>
        <w:t xml:space="preserve"> je řada podnikatelských subjektů zpracovatelského průmyslu, které</w:t>
      </w:r>
      <w:r>
        <w:rPr>
          <w:rFonts w:ascii="Times New Roman" w:hAnsi="Times New Roman"/>
          <w:color w:val="060604"/>
          <w:sz w:val="24"/>
          <w:szCs w:val="24"/>
        </w:rPr>
        <w:t xml:space="preserve"> vytvářejí mnoho pracovních příležitostí; naopak Moravskoslezský kraj se špatně vyrovnává s ekonomickou restrukturalizací. Významnou roli hraje také blízkost Prahy. V některých oblastech Moravskoslezského kraje, zejména v pohraničí, je velmi špatná dopravní dostupnost a nedostatečná infrastruktura – což vytváří bariéru nejen </w:t>
      </w:r>
      <w:r>
        <w:rPr>
          <w:rFonts w:ascii="Times New Roman" w:hAnsi="Times New Roman"/>
          <w:color w:val="060604"/>
          <w:sz w:val="24"/>
          <w:szCs w:val="24"/>
        </w:rPr>
        <w:lastRenderedPageBreak/>
        <w:t xml:space="preserve">pracovní mobilitě, ale i rozvoji podnikání. Sociální struktura obyvatelstva se zhoršuje, dochází k odlivu kvalifikovaných jedinců – vznikají sociálně vyloučené oblasti a lokality. </w:t>
      </w:r>
      <w:r w:rsidR="00B22BD8">
        <w:rPr>
          <w:rFonts w:ascii="Times New Roman" w:hAnsi="Times New Roman"/>
          <w:color w:val="060604"/>
          <w:sz w:val="24"/>
          <w:szCs w:val="24"/>
        </w:rPr>
        <w:t xml:space="preserve">Navíc úspěšné regiony přitahují pozornost soukromých investorů, méně úspěšné nikoliv – příliv soukromých investic dále rozdíly mezi regiony zvyšuje. </w:t>
      </w:r>
      <w:r>
        <w:rPr>
          <w:rFonts w:ascii="Times New Roman" w:hAnsi="Times New Roman"/>
          <w:color w:val="060604"/>
          <w:sz w:val="24"/>
          <w:szCs w:val="24"/>
        </w:rPr>
        <w:t xml:space="preserve">Všechny </w:t>
      </w:r>
      <w:r w:rsidR="00B22BD8">
        <w:rPr>
          <w:rFonts w:ascii="Times New Roman" w:hAnsi="Times New Roman"/>
          <w:color w:val="060604"/>
          <w:sz w:val="24"/>
          <w:szCs w:val="24"/>
        </w:rPr>
        <w:t xml:space="preserve">uvedené </w:t>
      </w:r>
      <w:r>
        <w:rPr>
          <w:rFonts w:ascii="Times New Roman" w:hAnsi="Times New Roman"/>
          <w:color w:val="060604"/>
          <w:sz w:val="24"/>
          <w:szCs w:val="24"/>
        </w:rPr>
        <w:t>otázky spolu souvisí a je nutné řešit je komplexně.</w:t>
      </w:r>
    </w:p>
    <w:p w14:paraId="49E4C1B0" w14:textId="3647D49F" w:rsidR="00B22BD8" w:rsidRDefault="00B22BD8" w:rsidP="00C51082">
      <w:pPr>
        <w:pStyle w:val="Normlnweb"/>
        <w:spacing w:before="120" w:beforeAutospacing="0" w:after="0" w:afterAutospacing="0" w:line="360" w:lineRule="auto"/>
        <w:jc w:val="both"/>
        <w:rPr>
          <w:rFonts w:ascii="Times New Roman" w:hAnsi="Times New Roman"/>
          <w:color w:val="060604"/>
          <w:sz w:val="24"/>
          <w:szCs w:val="24"/>
        </w:rPr>
      </w:pPr>
      <w:r>
        <w:rPr>
          <w:rFonts w:ascii="Times New Roman" w:hAnsi="Times New Roman"/>
          <w:color w:val="060604"/>
          <w:sz w:val="24"/>
          <w:szCs w:val="24"/>
        </w:rPr>
        <w:t xml:space="preserve">Podstatným faktorem, který ochotu dojíždět za prací ovlivňuje, je </w:t>
      </w:r>
      <w:r>
        <w:rPr>
          <w:rFonts w:ascii="Times New Roman" w:hAnsi="Times New Roman"/>
          <w:b/>
          <w:color w:val="060604"/>
          <w:sz w:val="24"/>
          <w:szCs w:val="24"/>
        </w:rPr>
        <w:t xml:space="preserve">finanční ohodnocení </w:t>
      </w:r>
      <w:r>
        <w:rPr>
          <w:rFonts w:ascii="Times New Roman" w:hAnsi="Times New Roman"/>
          <w:color w:val="060604"/>
          <w:sz w:val="24"/>
          <w:szCs w:val="24"/>
        </w:rPr>
        <w:t xml:space="preserve">– za prací </w:t>
      </w:r>
      <w:r w:rsidR="004E515E">
        <w:rPr>
          <w:rFonts w:ascii="Times New Roman" w:hAnsi="Times New Roman"/>
          <w:color w:val="060604"/>
          <w:sz w:val="24"/>
          <w:szCs w:val="24"/>
        </w:rPr>
        <w:t>dojíždějí více lidé v okolí velkých měst (Praha, Brno, Ostrava), kde je více pracovních příležitostí, ale hlavně vyšší mzdy; v regionech s nižšími mzdami je mobilita nižší. Kromě výše mezd, dopravní obslužnosti či kvality infrastruktury hraje významnou roli také dostatek a kvalita nezbytných služeb, především jeslí, mateřských školek, škol a dalších zařízení pro děti.</w:t>
      </w:r>
    </w:p>
    <w:p w14:paraId="7CB4B9D7" w14:textId="09B4F139" w:rsidR="004E515E" w:rsidRPr="006D74CB" w:rsidRDefault="004E515E" w:rsidP="00C51082">
      <w:pPr>
        <w:pStyle w:val="Normlnweb"/>
        <w:spacing w:before="120" w:beforeAutospacing="0" w:after="0" w:afterAutospacing="0" w:line="360" w:lineRule="auto"/>
        <w:jc w:val="both"/>
        <w:rPr>
          <w:rFonts w:asciiTheme="majorHAnsi" w:hAnsiTheme="majorHAnsi"/>
          <w:b/>
          <w:color w:val="060604"/>
          <w:sz w:val="22"/>
          <w:szCs w:val="22"/>
        </w:rPr>
      </w:pPr>
      <w:r w:rsidRPr="006D74CB">
        <w:rPr>
          <w:rFonts w:asciiTheme="majorHAnsi" w:hAnsiTheme="majorHAnsi"/>
          <w:b/>
          <w:color w:val="060604"/>
          <w:sz w:val="22"/>
          <w:szCs w:val="22"/>
        </w:rPr>
        <w:t>Příklad – Kdy se vyplatí dojíždět za prací</w:t>
      </w:r>
    </w:p>
    <w:p w14:paraId="099F8D3C" w14:textId="77777777" w:rsidR="006D74CB" w:rsidRPr="006D74CB" w:rsidRDefault="006D74CB" w:rsidP="006D74CB">
      <w:pPr>
        <w:jc w:val="both"/>
        <w:rPr>
          <w:rFonts w:asciiTheme="majorHAnsi" w:hAnsiTheme="majorHAnsi"/>
          <w:sz w:val="22"/>
          <w:szCs w:val="22"/>
        </w:rPr>
      </w:pPr>
      <w:r w:rsidRPr="006D74CB">
        <w:rPr>
          <w:rFonts w:asciiTheme="majorHAnsi" w:hAnsiTheme="majorHAnsi"/>
          <w:sz w:val="22"/>
          <w:szCs w:val="22"/>
        </w:rPr>
        <w:t xml:space="preserve">Vždy je nutné posoudit, kdy se dojíždění za prací vyplatí. Podle finančních poradců by náklady na dopravu neměly činit více než 15 % (tj. šestinu) z měsíčního rozpočtu průměrné domácnosti. Za základní výdaje (tj. nájem, energie, potraviny, pojištění, platby za telefon a internet, ošacení, kroužky pro děti, výlety atd.) rodina zpravidla vydá 80 % čistého příjmu. </w:t>
      </w:r>
    </w:p>
    <w:p w14:paraId="48F9EE8B" w14:textId="77777777" w:rsidR="006D74CB" w:rsidRPr="006D74CB" w:rsidRDefault="006D74CB" w:rsidP="006D74CB">
      <w:pPr>
        <w:jc w:val="both"/>
        <w:rPr>
          <w:rFonts w:asciiTheme="majorHAnsi" w:hAnsiTheme="majorHAnsi"/>
          <w:sz w:val="22"/>
          <w:szCs w:val="22"/>
        </w:rPr>
      </w:pPr>
      <w:r w:rsidRPr="006D74CB">
        <w:rPr>
          <w:rFonts w:asciiTheme="majorHAnsi" w:hAnsiTheme="majorHAnsi"/>
          <w:sz w:val="22"/>
          <w:szCs w:val="22"/>
        </w:rPr>
        <w:t>Pokud je čistý příjem 15 000 Kč, neměly by měsíční náklady na dopravu přesáhnout 2 300 Kč.</w:t>
      </w:r>
    </w:p>
    <w:p w14:paraId="374129BB" w14:textId="77777777" w:rsidR="006D74CB" w:rsidRPr="006D74CB" w:rsidRDefault="006D74CB" w:rsidP="006D74CB">
      <w:pPr>
        <w:jc w:val="both"/>
        <w:rPr>
          <w:rFonts w:asciiTheme="majorHAnsi" w:hAnsiTheme="majorHAnsi"/>
          <w:sz w:val="22"/>
          <w:szCs w:val="22"/>
        </w:rPr>
      </w:pPr>
      <w:r w:rsidRPr="006D74CB">
        <w:rPr>
          <w:rFonts w:asciiTheme="majorHAnsi" w:hAnsiTheme="majorHAnsi"/>
          <w:sz w:val="22"/>
          <w:szCs w:val="22"/>
        </w:rPr>
        <w:t xml:space="preserve">Praxe ukazuje, že lidem, jejichž hrubý příjem se pohybuje mezi 20 000–30 000 Kč, se vyplatí denně dojíždět do krajských měst v rámci jejich regionu, kdy dojezdová vzdálenost nepřesáhne 30 km. </w:t>
      </w:r>
    </w:p>
    <w:p w14:paraId="1DC55A87" w14:textId="6F59DC8D" w:rsidR="006D74CB" w:rsidRDefault="006D74CB" w:rsidP="00B16282">
      <w:pPr>
        <w:jc w:val="both"/>
        <w:rPr>
          <w:rFonts w:asciiTheme="majorHAnsi" w:hAnsiTheme="majorHAnsi"/>
          <w:sz w:val="22"/>
          <w:szCs w:val="22"/>
        </w:rPr>
      </w:pPr>
      <w:r w:rsidRPr="006D74CB">
        <w:rPr>
          <w:rFonts w:asciiTheme="majorHAnsi" w:hAnsiTheme="majorHAnsi"/>
          <w:sz w:val="22"/>
          <w:szCs w:val="22"/>
        </w:rPr>
        <w:t xml:space="preserve">Jedná-li se o dojíždění na větší vzdálenost (kolem 100 km), např. dojíždění z Ústí nad Labem nebo z Hradce Králové do Prahy, lidem ve střední příjmové skupině (tj. 20 000 – 30 000 </w:t>
      </w:r>
      <w:r>
        <w:rPr>
          <w:rFonts w:asciiTheme="majorHAnsi" w:hAnsiTheme="majorHAnsi"/>
          <w:sz w:val="22"/>
          <w:szCs w:val="22"/>
        </w:rPr>
        <w:t xml:space="preserve">Kč </w:t>
      </w:r>
      <w:r w:rsidRPr="006D74CB">
        <w:rPr>
          <w:rFonts w:asciiTheme="majorHAnsi" w:hAnsiTheme="majorHAnsi"/>
          <w:sz w:val="22"/>
          <w:szCs w:val="22"/>
        </w:rPr>
        <w:t>hrubého měsíčně) se to již nemusí vyplatit. Mzdy jsou sice v Praze celkově vyšší, ale na obdobných pozicích nemusí být rozdíl tak velký. Opět je nutné zjistit, zda vyšší mzda pokryje zvýšené náklady na dopravu.</w:t>
      </w:r>
    </w:p>
    <w:p w14:paraId="4A33E00F" w14:textId="3E8521E0" w:rsidR="009319C8" w:rsidRPr="00872568" w:rsidRDefault="009319C8" w:rsidP="009319C8">
      <w:pPr>
        <w:jc w:val="right"/>
        <w:rPr>
          <w:rFonts w:asciiTheme="majorHAnsi" w:hAnsiTheme="majorHAnsi"/>
          <w:sz w:val="20"/>
          <w:szCs w:val="20"/>
        </w:rPr>
      </w:pPr>
      <w:r w:rsidRPr="00872568">
        <w:rPr>
          <w:rFonts w:asciiTheme="majorHAnsi" w:hAnsiTheme="majorHAnsi"/>
          <w:sz w:val="20"/>
          <w:szCs w:val="20"/>
        </w:rPr>
        <w:t>Zdroj: Prace.cz.</w:t>
      </w:r>
    </w:p>
    <w:p w14:paraId="05397FC5" w14:textId="09E754ED" w:rsidR="006D74CB" w:rsidRDefault="006D74CB" w:rsidP="00B16282">
      <w:pPr>
        <w:pStyle w:val="Nadpis4"/>
      </w:pPr>
      <w:r>
        <w:t>Příspěvky na dopravu a stěhování</w:t>
      </w:r>
    </w:p>
    <w:p w14:paraId="5F252206" w14:textId="77777777" w:rsidR="00B16282" w:rsidRDefault="00B16282" w:rsidP="00B16282">
      <w:pPr>
        <w:spacing w:before="120" w:line="360" w:lineRule="auto"/>
        <w:jc w:val="both"/>
        <w:rPr>
          <w:rFonts w:ascii="Times New Roman" w:hAnsi="Times New Roman" w:cs="Times New Roman"/>
        </w:rPr>
      </w:pPr>
      <w:r>
        <w:rPr>
          <w:rFonts w:ascii="Times New Roman" w:hAnsi="Times New Roman" w:cs="Times New Roman"/>
        </w:rPr>
        <w:t>V řadě případů, zejména u nízkopříjmových skupin obyvatelstva, mohou být náklady na dojíždění za prací příliš vysoké – a do práce dojíždět se pak nevyplatí. Mnoho podniků v současnosti již zajišťuje pro své zaměstnance dopravu do práce na své náklady, popř. poskytuje různé příspěvky na dojíždění. Úkolem státu by proto mělo být zaměřit se na tuto problematiku z hlediska osob s nejnižší úrovní vzdělání a dosahovaných příjmů. Nástrojem</w:t>
      </w:r>
      <w:r w:rsidR="006D74CB" w:rsidRPr="00B16282">
        <w:rPr>
          <w:rFonts w:ascii="Times New Roman" w:hAnsi="Times New Roman" w:cs="Times New Roman"/>
        </w:rPr>
        <w:t xml:space="preserve">, který má podpořit regionální mobilitu a </w:t>
      </w:r>
      <w:r>
        <w:rPr>
          <w:rFonts w:ascii="Times New Roman" w:hAnsi="Times New Roman" w:cs="Times New Roman"/>
        </w:rPr>
        <w:t xml:space="preserve">jenž </w:t>
      </w:r>
      <w:r w:rsidR="006D74CB" w:rsidRPr="00B16282">
        <w:rPr>
          <w:rFonts w:ascii="Times New Roman" w:hAnsi="Times New Roman" w:cs="Times New Roman"/>
        </w:rPr>
        <w:t xml:space="preserve">je namířen zejména na skupinu dlouhodobě nezaměstnaných, jsou příspěvky na dopravu a stěhování. Příspěvky jsou nabízeny Úřadem práce ČR od dubna 2016. </w:t>
      </w:r>
    </w:p>
    <w:p w14:paraId="7840A74B" w14:textId="635ED7F6" w:rsidR="00B16282" w:rsidRPr="00B16282" w:rsidRDefault="00B16282" w:rsidP="00B16282">
      <w:pPr>
        <w:spacing w:before="120"/>
        <w:jc w:val="both"/>
        <w:rPr>
          <w:rFonts w:asciiTheme="majorHAnsi" w:hAnsiTheme="majorHAnsi" w:cs="Times New Roman"/>
          <w:b/>
          <w:sz w:val="22"/>
          <w:szCs w:val="22"/>
        </w:rPr>
      </w:pPr>
      <w:r w:rsidRPr="00B16282">
        <w:rPr>
          <w:rFonts w:asciiTheme="majorHAnsi" w:hAnsiTheme="majorHAnsi" w:cs="Times New Roman"/>
          <w:b/>
          <w:sz w:val="22"/>
          <w:szCs w:val="22"/>
        </w:rPr>
        <w:t>Pro informaci</w:t>
      </w:r>
    </w:p>
    <w:p w14:paraId="372EAFE1" w14:textId="389733F8" w:rsidR="006D74CB" w:rsidRDefault="006D74CB" w:rsidP="00B16282">
      <w:pPr>
        <w:spacing w:before="120"/>
        <w:jc w:val="both"/>
        <w:rPr>
          <w:rFonts w:asciiTheme="majorHAnsi" w:hAnsiTheme="majorHAnsi" w:cs="Times New Roman"/>
          <w:sz w:val="22"/>
          <w:szCs w:val="22"/>
        </w:rPr>
      </w:pPr>
      <w:r w:rsidRPr="00B16282">
        <w:rPr>
          <w:rFonts w:asciiTheme="majorHAnsi" w:hAnsiTheme="majorHAnsi" w:cs="Times New Roman"/>
          <w:sz w:val="22"/>
          <w:szCs w:val="22"/>
        </w:rPr>
        <w:t xml:space="preserve">Do konce února o </w:t>
      </w:r>
      <w:r w:rsidR="00B16282">
        <w:rPr>
          <w:rFonts w:asciiTheme="majorHAnsi" w:hAnsiTheme="majorHAnsi" w:cs="Times New Roman"/>
          <w:sz w:val="22"/>
          <w:szCs w:val="22"/>
        </w:rPr>
        <w:t xml:space="preserve">příspěvek na dopravu nebo stěhování za prací </w:t>
      </w:r>
      <w:r w:rsidRPr="00B16282">
        <w:rPr>
          <w:rFonts w:asciiTheme="majorHAnsi" w:hAnsiTheme="majorHAnsi" w:cs="Times New Roman"/>
          <w:sz w:val="22"/>
          <w:szCs w:val="22"/>
        </w:rPr>
        <w:t>požádalo celkem 6 415 osob. Nejvíce v Moravskoslezském (1 811), Olomouckém (1</w:t>
      </w:r>
      <w:r w:rsidR="00B16282" w:rsidRPr="00B16282">
        <w:rPr>
          <w:rFonts w:asciiTheme="majorHAnsi" w:hAnsiTheme="majorHAnsi" w:cs="Times New Roman"/>
          <w:sz w:val="22"/>
          <w:szCs w:val="22"/>
        </w:rPr>
        <w:t>,</w:t>
      </w:r>
      <w:r w:rsidRPr="00B16282">
        <w:rPr>
          <w:rFonts w:asciiTheme="majorHAnsi" w:hAnsiTheme="majorHAnsi" w:cs="Times New Roman"/>
          <w:sz w:val="22"/>
          <w:szCs w:val="22"/>
        </w:rPr>
        <w:t xml:space="preserve">535), Jihomoravském (626) a </w:t>
      </w:r>
      <w:r w:rsidRPr="00B16282">
        <w:rPr>
          <w:rFonts w:asciiTheme="majorHAnsi" w:hAnsiTheme="majorHAnsi" w:cs="Times New Roman"/>
          <w:sz w:val="22"/>
          <w:szCs w:val="22"/>
        </w:rPr>
        <w:lastRenderedPageBreak/>
        <w:t>Ústeckém kraji (605). V roce 2017 vyplatil Úřad p</w:t>
      </w:r>
      <w:r w:rsidR="00D9105E">
        <w:rPr>
          <w:rFonts w:asciiTheme="majorHAnsi" w:hAnsiTheme="majorHAnsi" w:cs="Times New Roman"/>
          <w:sz w:val="22"/>
          <w:szCs w:val="22"/>
        </w:rPr>
        <w:t>ráce na podporu dojíždění</w:t>
      </w:r>
      <w:r w:rsidRPr="00B16282">
        <w:rPr>
          <w:rFonts w:asciiTheme="majorHAnsi" w:hAnsiTheme="majorHAnsi" w:cs="Times New Roman"/>
          <w:sz w:val="22"/>
          <w:szCs w:val="22"/>
        </w:rPr>
        <w:t xml:space="preserve"> 24,8 mil. Kč. Nejčastěji se jednalo o měsíční částku 1 500 a 2 500 Kč osob. Příspěvek již pobíralo nebo </w:t>
      </w:r>
      <w:r w:rsidRPr="00D9105E">
        <w:rPr>
          <w:rFonts w:asciiTheme="majorHAnsi" w:hAnsiTheme="majorHAnsi" w:cs="Times New Roman"/>
          <w:sz w:val="22"/>
          <w:szCs w:val="22"/>
        </w:rPr>
        <w:t>pobírá 4 181 osob, které nemohly dlouhodobě najít práci. Jednalo se o jedince nejrůznějších profesí – administrativní pracovníci, výrobní dělníci, prodavači, automechanik, lakýrník vychovatel, programátor, skladníci, učitelé, obchodní zástupce.</w:t>
      </w:r>
    </w:p>
    <w:p w14:paraId="14716525" w14:textId="5D41FCF4" w:rsidR="009319C8" w:rsidRPr="00872568" w:rsidRDefault="009319C8" w:rsidP="009319C8">
      <w:pPr>
        <w:jc w:val="right"/>
        <w:rPr>
          <w:rFonts w:asciiTheme="majorHAnsi" w:hAnsiTheme="majorHAnsi" w:cs="Times New Roman"/>
          <w:sz w:val="20"/>
          <w:szCs w:val="20"/>
        </w:rPr>
      </w:pPr>
      <w:r w:rsidRPr="00872568">
        <w:rPr>
          <w:rFonts w:asciiTheme="majorHAnsi" w:hAnsiTheme="majorHAnsi" w:cs="Times New Roman"/>
          <w:sz w:val="20"/>
          <w:szCs w:val="20"/>
        </w:rPr>
        <w:t>Zdroj: Měšec.cz.</w:t>
      </w:r>
    </w:p>
    <w:p w14:paraId="647B240A" w14:textId="77777777" w:rsidR="00D9105E" w:rsidRDefault="00D9105E" w:rsidP="00D9105E">
      <w:pPr>
        <w:spacing w:before="240" w:line="360" w:lineRule="auto"/>
        <w:jc w:val="both"/>
        <w:rPr>
          <w:rFonts w:ascii="Times New Roman" w:hAnsi="Times New Roman" w:cs="Times New Roman"/>
        </w:rPr>
      </w:pPr>
      <w:r>
        <w:rPr>
          <w:rFonts w:ascii="Times New Roman" w:hAnsi="Times New Roman" w:cs="Times New Roman"/>
        </w:rPr>
        <w:t>Do budoucna bude důležité vyhodnotit efektivitu tohoto opatření. Pokud se ukáže, že přináší žádoucí efekt, může se stát jedním z nástrojů, jak zvýšit pracovní mobilitu dlouhodobě nezaměstnaných osob, a to zejména v problémových regionech.</w:t>
      </w:r>
    </w:p>
    <w:p w14:paraId="3FEA71C9" w14:textId="77777777" w:rsidR="00D9105E" w:rsidRDefault="00D9105E" w:rsidP="00D9105E">
      <w:pPr>
        <w:pStyle w:val="Nadpis2"/>
      </w:pPr>
      <w:bookmarkStart w:id="164" w:name="_Toc398662730"/>
      <w:r>
        <w:t>3.2 Zadlužení jako bariéra vstupu na pracovní trh</w:t>
      </w:r>
      <w:bookmarkEnd w:id="164"/>
    </w:p>
    <w:p w14:paraId="1BB18577" w14:textId="1A7D7A0C" w:rsidR="00D9105E" w:rsidRDefault="00D9105E" w:rsidP="00D9105E">
      <w:pPr>
        <w:spacing w:before="120" w:line="360" w:lineRule="auto"/>
        <w:jc w:val="both"/>
        <w:rPr>
          <w:rFonts w:ascii="Times New Roman" w:hAnsi="Times New Roman" w:cs="Times New Roman"/>
        </w:rPr>
      </w:pPr>
      <w:r>
        <w:rPr>
          <w:rFonts w:ascii="Times New Roman" w:hAnsi="Times New Roman" w:cs="Times New Roman"/>
        </w:rPr>
        <w:t xml:space="preserve">Vážným problémem, který úzce souvisí také se sociálním prostředím, je </w:t>
      </w:r>
      <w:r w:rsidRPr="00D9105E">
        <w:rPr>
          <w:rFonts w:ascii="Times New Roman" w:hAnsi="Times New Roman" w:cs="Times New Roman"/>
          <w:b/>
        </w:rPr>
        <w:t>zadlužení domác</w:t>
      </w:r>
      <w:r w:rsidR="00922908">
        <w:rPr>
          <w:rFonts w:ascii="Times New Roman" w:hAnsi="Times New Roman" w:cs="Times New Roman"/>
          <w:b/>
        </w:rPr>
        <w:t>ností a osob</w:t>
      </w:r>
      <w:r w:rsidRPr="00D9105E">
        <w:rPr>
          <w:rFonts w:ascii="Times New Roman" w:hAnsi="Times New Roman" w:cs="Times New Roman"/>
        </w:rPr>
        <w:t>.</w:t>
      </w:r>
      <w:r w:rsidRPr="00D9105E">
        <w:rPr>
          <w:rFonts w:ascii="Times New Roman" w:hAnsi="Times New Roman" w:cs="Times New Roman"/>
          <w:b/>
        </w:rPr>
        <w:t xml:space="preserve"> </w:t>
      </w:r>
      <w:r w:rsidR="00922908">
        <w:rPr>
          <w:rFonts w:ascii="Times New Roman" w:hAnsi="Times New Roman" w:cs="Times New Roman"/>
        </w:rPr>
        <w:t xml:space="preserve">Dluhy a exekuce jsou specifickým problémem, který snižuje nejen ochotu jedinců s nízkou kvalifikací dále se vzdělávat, popř. cestovat za prací, ale tvoří </w:t>
      </w:r>
      <w:r w:rsidR="00922908" w:rsidRPr="00922908">
        <w:rPr>
          <w:rFonts w:ascii="Times New Roman" w:hAnsi="Times New Roman" w:cs="Times New Roman"/>
          <w:b/>
        </w:rPr>
        <w:t>vážnou motivační bariéru vstupu na pracovní trh</w:t>
      </w:r>
      <w:r w:rsidR="00922908">
        <w:rPr>
          <w:rFonts w:ascii="Times New Roman" w:hAnsi="Times New Roman" w:cs="Times New Roman"/>
        </w:rPr>
        <w:t>.</w:t>
      </w:r>
      <w:r w:rsidR="00922908">
        <w:rPr>
          <w:rFonts w:ascii="Times New Roman" w:hAnsi="Times New Roman" w:cs="Times New Roman"/>
          <w:b/>
        </w:rPr>
        <w:t xml:space="preserve"> </w:t>
      </w:r>
      <w:r w:rsidR="00922908" w:rsidRPr="00922908">
        <w:rPr>
          <w:rFonts w:ascii="Times New Roman" w:hAnsi="Times New Roman" w:cs="Times New Roman"/>
        </w:rPr>
        <w:t>Kvůli dluhům</w:t>
      </w:r>
      <w:r w:rsidR="00922908">
        <w:rPr>
          <w:rFonts w:ascii="Times New Roman" w:hAnsi="Times New Roman" w:cs="Times New Roman"/>
        </w:rPr>
        <w:t xml:space="preserve"> řada lidí vůbec nenastoupí do práce a raději pracuje „načerno“. Z oficiálního výdělku by jim totiž při splácení finančních závazků zbylo jen minimu.</w:t>
      </w:r>
    </w:p>
    <w:p w14:paraId="5B288799" w14:textId="013C4293" w:rsidR="001A6FC5" w:rsidRPr="001A6FC5" w:rsidRDefault="001A6FC5" w:rsidP="001A6FC5">
      <w:pPr>
        <w:spacing w:before="120" w:line="360" w:lineRule="auto"/>
        <w:jc w:val="both"/>
        <w:rPr>
          <w:rFonts w:ascii="Times New Roman" w:hAnsi="Times New Roman" w:cs="Times New Roman"/>
        </w:rPr>
      </w:pPr>
      <w:r w:rsidRPr="001A6FC5">
        <w:rPr>
          <w:rFonts w:ascii="Times New Roman" w:hAnsi="Times New Roman" w:cs="Times New Roman"/>
        </w:rPr>
        <w:t xml:space="preserve">Riziko zadlužení podstatně zvyšuje nezaměstnanost a zejména pak dlouhodobá nezaměstnanost. Lidé bez příjmů snáze dostanou do tzv. </w:t>
      </w:r>
      <w:r w:rsidRPr="001A6FC5">
        <w:rPr>
          <w:rFonts w:ascii="Times New Roman" w:hAnsi="Times New Roman" w:cs="Times New Roman"/>
          <w:i/>
        </w:rPr>
        <w:t>dluhové pasti</w:t>
      </w:r>
      <w:r w:rsidRPr="001A6FC5">
        <w:rPr>
          <w:rFonts w:ascii="Times New Roman" w:hAnsi="Times New Roman" w:cs="Times New Roman"/>
        </w:rPr>
        <w:t xml:space="preserve"> (někdy se též používá označení dluhová spirála), kdy se postupně zadlužují stále více, až nakonec nejsou schopni splácet jednotlivé půjčky a úvěry. Přestože se podařilo míru dlouhodobé nezaměstnanosti celkově snížit, v jednotlivých regionech je situace rozdílná. Podle dat ČSÚ byla nejvyšší míra dlouhodobé nezaměstnanosti koncem roku 2017 v Moravskoslezském kraji (7,9 %), v Jihomoravské kraji (5,9 %) a v Ústeckém kraji (5 %). Nejnižší naopak v Kraji Vysočina a v Pardubickém kraji (1 % a 1,1 %). </w:t>
      </w:r>
      <w:r>
        <w:rPr>
          <w:rFonts w:ascii="Times New Roman" w:hAnsi="Times New Roman" w:cs="Times New Roman"/>
        </w:rPr>
        <w:t xml:space="preserve">Z údajů je patrné, že opět velkou roli hrají </w:t>
      </w:r>
      <w:r w:rsidRPr="001A6FC5">
        <w:rPr>
          <w:rFonts w:ascii="Times New Roman" w:hAnsi="Times New Roman" w:cs="Times New Roman"/>
          <w:b/>
        </w:rPr>
        <w:t>regionální rozdíly</w:t>
      </w:r>
      <w:r>
        <w:rPr>
          <w:rFonts w:ascii="Times New Roman" w:hAnsi="Times New Roman" w:cs="Times New Roman"/>
        </w:rPr>
        <w:t>, resp. ekonomická kondice jednotlivých regionů.</w:t>
      </w:r>
    </w:p>
    <w:p w14:paraId="7DC18F4D" w14:textId="77777777" w:rsidR="001A6FC5" w:rsidRPr="001A6FC5" w:rsidRDefault="001A6FC5" w:rsidP="001A6FC5">
      <w:pPr>
        <w:spacing w:before="120"/>
        <w:rPr>
          <w:rFonts w:asciiTheme="majorHAnsi" w:hAnsiTheme="majorHAnsi"/>
          <w:b/>
          <w:sz w:val="22"/>
          <w:szCs w:val="22"/>
        </w:rPr>
      </w:pPr>
      <w:r w:rsidRPr="001A6FC5">
        <w:rPr>
          <w:rFonts w:asciiTheme="majorHAnsi" w:hAnsiTheme="majorHAnsi"/>
          <w:b/>
          <w:sz w:val="22"/>
          <w:szCs w:val="22"/>
        </w:rPr>
        <w:t>Pro informaci</w:t>
      </w:r>
    </w:p>
    <w:p w14:paraId="05A36F64" w14:textId="77777777" w:rsidR="001A6FC5" w:rsidRPr="001A6FC5" w:rsidRDefault="001A6FC5" w:rsidP="001A6FC5">
      <w:pPr>
        <w:rPr>
          <w:rFonts w:asciiTheme="majorHAnsi" w:hAnsiTheme="majorHAnsi"/>
          <w:sz w:val="22"/>
          <w:szCs w:val="22"/>
        </w:rPr>
      </w:pPr>
      <w:r w:rsidRPr="001A6FC5">
        <w:rPr>
          <w:rFonts w:asciiTheme="majorHAnsi" w:hAnsiTheme="majorHAnsi"/>
          <w:sz w:val="22"/>
          <w:szCs w:val="22"/>
        </w:rPr>
        <w:t>Koncem října 2017 bylo v exekuci 148 310 klientů úřadu práce – nejen nezaměstnaných, ale také příjemců dávek. Nejvíce z nich bylo v Ústeckém kraji.</w:t>
      </w:r>
    </w:p>
    <w:p w14:paraId="69F510E3" w14:textId="68C3FA1D" w:rsidR="001A6FC5" w:rsidRPr="001A6FC5" w:rsidRDefault="001A6FC5" w:rsidP="001A6FC5">
      <w:pPr>
        <w:jc w:val="both"/>
        <w:rPr>
          <w:rFonts w:asciiTheme="majorHAnsi" w:hAnsiTheme="majorHAnsi"/>
          <w:sz w:val="22"/>
          <w:szCs w:val="22"/>
        </w:rPr>
      </w:pPr>
      <w:r w:rsidRPr="001A6FC5">
        <w:rPr>
          <w:rFonts w:asciiTheme="majorHAnsi" w:hAnsiTheme="majorHAnsi"/>
          <w:sz w:val="22"/>
          <w:szCs w:val="22"/>
        </w:rPr>
        <w:t>Na počátku roku 2018 bylo v exekuci celkem 863 000 osob starších 15 let. Meziročn</w:t>
      </w:r>
      <w:r>
        <w:rPr>
          <w:rFonts w:asciiTheme="majorHAnsi" w:hAnsiTheme="majorHAnsi"/>
          <w:sz w:val="22"/>
          <w:szCs w:val="22"/>
        </w:rPr>
        <w:t>ě došlo k nárůstu o 3,4 % (přibylo dalších přibližně</w:t>
      </w:r>
      <w:r w:rsidRPr="001A6FC5">
        <w:rPr>
          <w:rFonts w:asciiTheme="majorHAnsi" w:hAnsiTheme="majorHAnsi"/>
          <w:sz w:val="22"/>
          <w:szCs w:val="22"/>
        </w:rPr>
        <w:t xml:space="preserve"> 31 000 osob), a to přesto, že je rekordně nízká nezaměstnanosti a rostou mzdy. Nejvyšší podíl osob v exekuci nad 15 let je v</w:t>
      </w:r>
      <w:r>
        <w:rPr>
          <w:rFonts w:asciiTheme="majorHAnsi" w:hAnsiTheme="majorHAnsi"/>
          <w:sz w:val="22"/>
          <w:szCs w:val="22"/>
        </w:rPr>
        <w:t> </w:t>
      </w:r>
      <w:r w:rsidRPr="001A6FC5">
        <w:rPr>
          <w:rFonts w:asciiTheme="majorHAnsi" w:hAnsiTheme="majorHAnsi"/>
          <w:sz w:val="22"/>
          <w:szCs w:val="22"/>
        </w:rPr>
        <w:t>Ústeckém</w:t>
      </w:r>
      <w:r>
        <w:rPr>
          <w:rFonts w:asciiTheme="majorHAnsi" w:hAnsiTheme="majorHAnsi"/>
          <w:sz w:val="22"/>
          <w:szCs w:val="22"/>
        </w:rPr>
        <w:t xml:space="preserve"> </w:t>
      </w:r>
      <w:proofErr w:type="gramStart"/>
      <w:r>
        <w:rPr>
          <w:rFonts w:asciiTheme="majorHAnsi" w:hAnsiTheme="majorHAnsi"/>
          <w:sz w:val="22"/>
          <w:szCs w:val="22"/>
        </w:rPr>
        <w:t xml:space="preserve">kraji </w:t>
      </w:r>
      <w:r w:rsidRPr="001A6FC5">
        <w:rPr>
          <w:rFonts w:asciiTheme="majorHAnsi" w:hAnsiTheme="majorHAnsi"/>
          <w:sz w:val="22"/>
          <w:szCs w:val="22"/>
        </w:rPr>
        <w:t xml:space="preserve"> (</w:t>
      </w:r>
      <w:proofErr w:type="gramEnd"/>
      <w:r w:rsidRPr="001A6FC5">
        <w:rPr>
          <w:rFonts w:asciiTheme="majorHAnsi" w:hAnsiTheme="majorHAnsi"/>
          <w:sz w:val="22"/>
          <w:szCs w:val="22"/>
        </w:rPr>
        <w:t>18,1 %) a</w:t>
      </w:r>
      <w:r>
        <w:rPr>
          <w:rFonts w:asciiTheme="majorHAnsi" w:hAnsiTheme="majorHAnsi"/>
          <w:sz w:val="22"/>
          <w:szCs w:val="22"/>
        </w:rPr>
        <w:t xml:space="preserve"> v</w:t>
      </w:r>
      <w:r w:rsidRPr="001A6FC5">
        <w:rPr>
          <w:rFonts w:asciiTheme="majorHAnsi" w:hAnsiTheme="majorHAnsi"/>
          <w:sz w:val="22"/>
          <w:szCs w:val="22"/>
        </w:rPr>
        <w:t xml:space="preserve"> Karlovarském kraji (17,4 %). Na Ústecku a Mostecku se tento problém týká dokonce každého pátého obyvatele. Naopak nejméně osob v exekuci žije ve Zlínském kraji (5,7 %) a na Vysočině (5,8 %).</w:t>
      </w:r>
    </w:p>
    <w:p w14:paraId="7995D231" w14:textId="77777777" w:rsidR="001A6FC5" w:rsidRPr="001A6FC5" w:rsidRDefault="001A6FC5" w:rsidP="001A6FC5">
      <w:pPr>
        <w:jc w:val="right"/>
        <w:rPr>
          <w:rFonts w:asciiTheme="majorHAnsi" w:hAnsiTheme="majorHAnsi"/>
          <w:sz w:val="20"/>
          <w:szCs w:val="20"/>
        </w:rPr>
      </w:pPr>
      <w:r w:rsidRPr="001A6FC5">
        <w:rPr>
          <w:rFonts w:asciiTheme="majorHAnsi" w:hAnsiTheme="majorHAnsi"/>
          <w:sz w:val="20"/>
          <w:szCs w:val="20"/>
        </w:rPr>
        <w:t>Zdroj: https://ekonomika.idnes.cz/exekuce-mapa-exekuci-dluhy-splatky-cesko-fpj-/ekonomika.aspx?c=A180213_111346_domaci_ekl.</w:t>
      </w:r>
    </w:p>
    <w:p w14:paraId="2A495AAE" w14:textId="77777777" w:rsidR="001A6FC5" w:rsidRPr="001A6FC5" w:rsidRDefault="001A6FC5" w:rsidP="00D9105E">
      <w:pPr>
        <w:spacing w:before="120" w:line="360" w:lineRule="auto"/>
        <w:jc w:val="both"/>
        <w:rPr>
          <w:rFonts w:asciiTheme="majorHAnsi" w:hAnsiTheme="majorHAnsi" w:cs="Times New Roman"/>
          <w:sz w:val="20"/>
          <w:szCs w:val="20"/>
        </w:rPr>
      </w:pPr>
    </w:p>
    <w:p w14:paraId="7305900F" w14:textId="0B5C2694" w:rsidR="009629E2" w:rsidRDefault="009629E2" w:rsidP="00047B02">
      <w:pPr>
        <w:pStyle w:val="Nadpis2"/>
      </w:pPr>
      <w:bookmarkStart w:id="165" w:name="_Toc398662731"/>
      <w:r w:rsidRPr="009629E2">
        <w:t>Shrnutí a doporučení</w:t>
      </w:r>
      <w:bookmarkEnd w:id="165"/>
    </w:p>
    <w:p w14:paraId="49BD2C99" w14:textId="0D3870DB" w:rsidR="00DB054A" w:rsidRDefault="00DB054A" w:rsidP="00DB054A">
      <w:pPr>
        <w:spacing w:line="360" w:lineRule="auto"/>
        <w:jc w:val="both"/>
        <w:rPr>
          <w:rFonts w:ascii="Times New Roman" w:hAnsi="Times New Roman" w:cs="Times New Roman"/>
        </w:rPr>
      </w:pPr>
      <w:r>
        <w:rPr>
          <w:rFonts w:ascii="Times New Roman" w:hAnsi="Times New Roman" w:cs="Times New Roman"/>
        </w:rPr>
        <w:t xml:space="preserve">Ochota stěhovat se, popř. denně dojíždět za prací je ovlivněna řadou faktorů. K sociálním faktorům (vliv sociálního prostředí) přistupují faktory ekonomické (umožní ekonomická situace jedince/rodiny, aby se za prací přestěhoval nebo denně za prací dojížděl?) a současně faktory geografické (vzdálenost od velkých měst, geografická dostupnost regionu). </w:t>
      </w:r>
    </w:p>
    <w:p w14:paraId="0C0DEC8C" w14:textId="34F41689" w:rsidR="00DB054A" w:rsidRDefault="008361C4" w:rsidP="00DB054A">
      <w:pPr>
        <w:spacing w:line="360" w:lineRule="auto"/>
        <w:jc w:val="both"/>
        <w:rPr>
          <w:rFonts w:ascii="Times New Roman" w:hAnsi="Times New Roman" w:cs="Times New Roman"/>
        </w:rPr>
      </w:pPr>
      <w:r>
        <w:rPr>
          <w:rFonts w:ascii="Times New Roman" w:hAnsi="Times New Roman" w:cs="Times New Roman"/>
        </w:rPr>
        <w:t>Dlouhodobě vážným</w:t>
      </w:r>
      <w:r w:rsidR="00DB054A">
        <w:rPr>
          <w:rFonts w:ascii="Times New Roman" w:hAnsi="Times New Roman" w:cs="Times New Roman"/>
        </w:rPr>
        <w:t xml:space="preserve"> a dosud </w:t>
      </w:r>
      <w:r w:rsidR="00DB054A" w:rsidRPr="008361C4">
        <w:rPr>
          <w:rFonts w:ascii="Times New Roman" w:hAnsi="Times New Roman" w:cs="Times New Roman"/>
          <w:b/>
        </w:rPr>
        <w:t>nezvládnutým problémem jsou v České republice velké</w:t>
      </w:r>
      <w:r w:rsidR="00DB054A">
        <w:rPr>
          <w:rFonts w:ascii="Times New Roman" w:hAnsi="Times New Roman" w:cs="Times New Roman"/>
        </w:rPr>
        <w:t xml:space="preserve"> </w:t>
      </w:r>
      <w:r w:rsidR="00DB054A" w:rsidRPr="008361C4">
        <w:rPr>
          <w:rFonts w:ascii="Times New Roman" w:hAnsi="Times New Roman" w:cs="Times New Roman"/>
          <w:b/>
        </w:rPr>
        <w:t>regionální rozdíly a existence sociálně vyloučených lokalit</w:t>
      </w:r>
      <w:r w:rsidR="00DB054A">
        <w:rPr>
          <w:rFonts w:ascii="Times New Roman" w:hAnsi="Times New Roman" w:cs="Times New Roman"/>
        </w:rPr>
        <w:t xml:space="preserve">. </w:t>
      </w:r>
      <w:r>
        <w:rPr>
          <w:rFonts w:ascii="Times New Roman" w:hAnsi="Times New Roman" w:cs="Times New Roman"/>
        </w:rPr>
        <w:t>Vysoká míra dlouhodobé</w:t>
      </w:r>
      <w:r w:rsidR="00DB054A">
        <w:rPr>
          <w:rFonts w:ascii="Times New Roman" w:hAnsi="Times New Roman" w:cs="Times New Roman"/>
        </w:rPr>
        <w:t xml:space="preserve"> nezaměstnanost</w:t>
      </w:r>
      <w:r>
        <w:rPr>
          <w:rFonts w:ascii="Times New Roman" w:hAnsi="Times New Roman" w:cs="Times New Roman"/>
        </w:rPr>
        <w:t>i, největší objemy dluhů, koncentrace osob s nízkou úrovní vzdělání</w:t>
      </w:r>
      <w:r w:rsidR="00DB054A">
        <w:rPr>
          <w:rFonts w:ascii="Times New Roman" w:hAnsi="Times New Roman" w:cs="Times New Roman"/>
        </w:rPr>
        <w:t xml:space="preserve"> a </w:t>
      </w:r>
      <w:r>
        <w:rPr>
          <w:rFonts w:ascii="Times New Roman" w:hAnsi="Times New Roman" w:cs="Times New Roman"/>
        </w:rPr>
        <w:t>často velmi malá ochota ke vstupu či návratu na pracovní trh je úzce svázána právě s problémovými</w:t>
      </w:r>
      <w:r w:rsidR="00303150">
        <w:rPr>
          <w:rFonts w:ascii="Times New Roman" w:hAnsi="Times New Roman" w:cs="Times New Roman"/>
        </w:rPr>
        <w:t xml:space="preserve"> regiony. </w:t>
      </w:r>
      <w:r w:rsidR="00303150" w:rsidRPr="00FA7E62">
        <w:rPr>
          <w:rFonts w:ascii="Times New Roman" w:hAnsi="Times New Roman" w:cs="Times New Roman"/>
          <w:b/>
        </w:rPr>
        <w:t>Stát by měl v této souvislosti podporovat ve větší míře a cíleně ekonomický rozvoj ve vybraných regionech</w:t>
      </w:r>
      <w:r w:rsidR="00303150">
        <w:rPr>
          <w:rFonts w:ascii="Times New Roman" w:hAnsi="Times New Roman" w:cs="Times New Roman"/>
        </w:rPr>
        <w:t xml:space="preserve"> (např. prostřednictvím zvýšeného objemu investičních projektů, vytvořením vhodných podmínek pro podnikání v daném regionu – dostupnost regionu, odpovídající infrastruktura, dopravní obslužnost, dostatečná síť služeb) a tvorbu pracovních příležitostí. Zatím se to nedaří, popř. jen výjimečně – dochází k odlivu osob</w:t>
      </w:r>
      <w:r w:rsidR="00D17948">
        <w:rPr>
          <w:rFonts w:ascii="Times New Roman" w:hAnsi="Times New Roman" w:cs="Times New Roman"/>
        </w:rPr>
        <w:t xml:space="preserve"> s kvalifikací</w:t>
      </w:r>
      <w:r w:rsidR="00303150">
        <w:rPr>
          <w:rFonts w:ascii="Times New Roman" w:hAnsi="Times New Roman" w:cs="Times New Roman"/>
        </w:rPr>
        <w:t xml:space="preserve"> do ekonomicky prosperujících regionů</w:t>
      </w:r>
      <w:r w:rsidR="00D17948">
        <w:rPr>
          <w:rFonts w:ascii="Times New Roman" w:hAnsi="Times New Roman" w:cs="Times New Roman"/>
        </w:rPr>
        <w:t xml:space="preserve"> (vysoký je úbytek mladých a kvalifikovaných jedinců patrný např. v Karlovarském kraji).</w:t>
      </w:r>
    </w:p>
    <w:p w14:paraId="1311683A" w14:textId="132FB06D" w:rsidR="00D17948" w:rsidRDefault="00D17948" w:rsidP="00DB054A">
      <w:pPr>
        <w:spacing w:line="360" w:lineRule="auto"/>
        <w:jc w:val="both"/>
        <w:rPr>
          <w:rFonts w:ascii="Times New Roman" w:hAnsi="Times New Roman" w:cs="Times New Roman"/>
        </w:rPr>
      </w:pPr>
      <w:r>
        <w:rPr>
          <w:rFonts w:ascii="Times New Roman" w:hAnsi="Times New Roman" w:cs="Times New Roman"/>
        </w:rPr>
        <w:t xml:space="preserve">Ke specifickým problémům, které významně omezují </w:t>
      </w:r>
      <w:r w:rsidR="00FA7E62">
        <w:rPr>
          <w:rFonts w:ascii="Times New Roman" w:hAnsi="Times New Roman" w:cs="Times New Roman"/>
        </w:rPr>
        <w:t>možnost stěhovat se za prací, patří</w:t>
      </w:r>
      <w:r>
        <w:rPr>
          <w:rFonts w:ascii="Times New Roman" w:hAnsi="Times New Roman" w:cs="Times New Roman"/>
        </w:rPr>
        <w:t xml:space="preserve"> v ČR </w:t>
      </w:r>
      <w:r w:rsidR="00FA7E62">
        <w:rPr>
          <w:rFonts w:ascii="Times New Roman" w:hAnsi="Times New Roman" w:cs="Times New Roman"/>
          <w:b/>
        </w:rPr>
        <w:t>málo rozvinutý</w:t>
      </w:r>
      <w:r w:rsidRPr="00D17948">
        <w:rPr>
          <w:rFonts w:ascii="Times New Roman" w:hAnsi="Times New Roman" w:cs="Times New Roman"/>
          <w:b/>
        </w:rPr>
        <w:t xml:space="preserve"> trh s nájemním bydlením</w:t>
      </w:r>
      <w:r>
        <w:rPr>
          <w:rFonts w:ascii="Times New Roman" w:hAnsi="Times New Roman" w:cs="Times New Roman"/>
        </w:rPr>
        <w:t xml:space="preserve">. Úkolem státu by mělo být </w:t>
      </w:r>
      <w:r w:rsidR="00FA7E62">
        <w:rPr>
          <w:rFonts w:ascii="Times New Roman" w:hAnsi="Times New Roman" w:cs="Times New Roman"/>
        </w:rPr>
        <w:t xml:space="preserve">jednak </w:t>
      </w:r>
      <w:r w:rsidRPr="00FA7E62">
        <w:rPr>
          <w:rFonts w:ascii="Times New Roman" w:hAnsi="Times New Roman" w:cs="Times New Roman"/>
          <w:b/>
        </w:rPr>
        <w:t>zajistit výstavbu</w:t>
      </w:r>
      <w:r>
        <w:rPr>
          <w:rFonts w:ascii="Times New Roman" w:hAnsi="Times New Roman" w:cs="Times New Roman"/>
        </w:rPr>
        <w:t xml:space="preserve"> </w:t>
      </w:r>
      <w:r w:rsidRPr="00D17948">
        <w:rPr>
          <w:rFonts w:ascii="Times New Roman" w:hAnsi="Times New Roman" w:cs="Times New Roman"/>
          <w:b/>
        </w:rPr>
        <w:t xml:space="preserve">dostupného </w:t>
      </w:r>
      <w:r w:rsidRPr="00FA7E62">
        <w:rPr>
          <w:rFonts w:ascii="Times New Roman" w:hAnsi="Times New Roman" w:cs="Times New Roman"/>
          <w:b/>
        </w:rPr>
        <w:t>bydlení</w:t>
      </w:r>
      <w:r w:rsidR="00FA7E62" w:rsidRPr="00FA7E62">
        <w:rPr>
          <w:rFonts w:ascii="Times New Roman" w:hAnsi="Times New Roman" w:cs="Times New Roman"/>
          <w:b/>
        </w:rPr>
        <w:t xml:space="preserve"> i pro nízko příjmové jedince</w:t>
      </w:r>
      <w:r w:rsidR="00FA7E62">
        <w:rPr>
          <w:rFonts w:ascii="Times New Roman" w:hAnsi="Times New Roman" w:cs="Times New Roman"/>
        </w:rPr>
        <w:t xml:space="preserve"> (tzv. sociální bydlení) a vytvořit vhodné podmínky pro </w:t>
      </w:r>
      <w:r w:rsidR="00FA7E62" w:rsidRPr="00FA7E62">
        <w:rPr>
          <w:rFonts w:ascii="Times New Roman" w:hAnsi="Times New Roman" w:cs="Times New Roman"/>
          <w:b/>
        </w:rPr>
        <w:t>rozvoj</w:t>
      </w:r>
      <w:r w:rsidR="00FA7E62">
        <w:rPr>
          <w:rFonts w:ascii="Times New Roman" w:hAnsi="Times New Roman" w:cs="Times New Roman"/>
          <w:b/>
        </w:rPr>
        <w:t xml:space="preserve"> </w:t>
      </w:r>
      <w:r w:rsidRPr="00D17948">
        <w:rPr>
          <w:rFonts w:ascii="Times New Roman" w:hAnsi="Times New Roman" w:cs="Times New Roman"/>
          <w:b/>
        </w:rPr>
        <w:t>trhu s nájemním bydlením</w:t>
      </w:r>
      <w:r w:rsidRPr="00D17948">
        <w:rPr>
          <w:rFonts w:ascii="Times New Roman" w:hAnsi="Times New Roman" w:cs="Times New Roman"/>
        </w:rPr>
        <w:t>.</w:t>
      </w:r>
      <w:r>
        <w:rPr>
          <w:rFonts w:ascii="Times New Roman" w:hAnsi="Times New Roman" w:cs="Times New Roman"/>
        </w:rPr>
        <w:t xml:space="preserve"> </w:t>
      </w:r>
    </w:p>
    <w:p w14:paraId="08990B47" w14:textId="6E2863CB" w:rsidR="00D17948" w:rsidRDefault="00FA7E62" w:rsidP="00DB054A">
      <w:pPr>
        <w:spacing w:line="360" w:lineRule="auto"/>
        <w:jc w:val="both"/>
        <w:rPr>
          <w:rFonts w:ascii="Times New Roman" w:hAnsi="Times New Roman" w:cs="Times New Roman"/>
        </w:rPr>
      </w:pPr>
      <w:r>
        <w:rPr>
          <w:rFonts w:ascii="Times New Roman" w:hAnsi="Times New Roman" w:cs="Times New Roman"/>
        </w:rPr>
        <w:t xml:space="preserve">Bariéru vstupu na trhu práce představuje také </w:t>
      </w:r>
      <w:r w:rsidRPr="00FA7E62">
        <w:rPr>
          <w:rFonts w:ascii="Times New Roman" w:hAnsi="Times New Roman" w:cs="Times New Roman"/>
          <w:b/>
        </w:rPr>
        <w:t>zadlužení jednotlivců</w:t>
      </w:r>
      <w:r>
        <w:rPr>
          <w:rFonts w:ascii="Times New Roman" w:hAnsi="Times New Roman" w:cs="Times New Roman"/>
        </w:rPr>
        <w:t xml:space="preserve">, které poměrně významně narůstá, a to i v období velmi nízké nezaměstnanosti a podstatného zvyšování příjmů. V této souvislosti lze doporučit další opatření, která by vedla ke </w:t>
      </w:r>
      <w:r w:rsidRPr="00E416BC">
        <w:rPr>
          <w:rFonts w:ascii="Times New Roman" w:hAnsi="Times New Roman" w:cs="Times New Roman"/>
          <w:b/>
        </w:rPr>
        <w:t>zvýšení finanční gramotnosti občanů</w:t>
      </w:r>
      <w:r>
        <w:rPr>
          <w:rFonts w:ascii="Times New Roman" w:hAnsi="Times New Roman" w:cs="Times New Roman"/>
        </w:rPr>
        <w:t>.</w:t>
      </w:r>
      <w:r w:rsidR="00E416BC">
        <w:rPr>
          <w:rFonts w:ascii="Times New Roman" w:hAnsi="Times New Roman" w:cs="Times New Roman"/>
        </w:rPr>
        <w:t xml:space="preserve"> </w:t>
      </w:r>
    </w:p>
    <w:p w14:paraId="1E895790" w14:textId="77777777" w:rsidR="00E416BC" w:rsidRPr="00E416BC" w:rsidRDefault="00E416BC" w:rsidP="00E416BC">
      <w:pPr>
        <w:pStyle w:val="Odstavecseseznamem"/>
        <w:numPr>
          <w:ilvl w:val="0"/>
          <w:numId w:val="35"/>
        </w:numPr>
        <w:spacing w:line="360" w:lineRule="auto"/>
        <w:jc w:val="center"/>
        <w:rPr>
          <w:rFonts w:ascii="Times New Roman" w:hAnsi="Times New Roman" w:cs="Times New Roman"/>
        </w:rPr>
      </w:pPr>
    </w:p>
    <w:p w14:paraId="376D855F" w14:textId="1F7F32A1" w:rsidR="00E416BC" w:rsidRDefault="00E416BC" w:rsidP="00BB356B">
      <w:pPr>
        <w:spacing w:before="120" w:line="360" w:lineRule="auto"/>
        <w:jc w:val="both"/>
        <w:rPr>
          <w:rFonts w:ascii="Times New Roman" w:eastAsia="Times New Roman" w:hAnsi="Times New Roman" w:cs="Times New Roman"/>
          <w:bCs/>
          <w:color w:val="323232"/>
          <w:shd w:val="clear" w:color="auto" w:fill="FFFFFF"/>
        </w:rPr>
      </w:pPr>
      <w:r>
        <w:rPr>
          <w:rFonts w:ascii="Times New Roman" w:eastAsia="Times New Roman" w:hAnsi="Times New Roman" w:cs="Times New Roman"/>
          <w:bCs/>
          <w:color w:val="323232"/>
          <w:shd w:val="clear" w:color="auto" w:fill="FFFFFF"/>
        </w:rPr>
        <w:t xml:space="preserve">Aktuální situace na trhu práce </w:t>
      </w:r>
      <w:r w:rsidR="00A7788A">
        <w:rPr>
          <w:rFonts w:ascii="Times New Roman" w:eastAsia="Times New Roman" w:hAnsi="Times New Roman" w:cs="Times New Roman"/>
          <w:bCs/>
          <w:color w:val="323232"/>
          <w:shd w:val="clear" w:color="auto" w:fill="FFFFFF"/>
        </w:rPr>
        <w:t>vytváří příznivé podmínky pro integraci znevýhodněných skupin osob.</w:t>
      </w:r>
      <w:r w:rsidR="00EB1F52">
        <w:rPr>
          <w:rFonts w:ascii="Times New Roman" w:eastAsia="Times New Roman" w:hAnsi="Times New Roman" w:cs="Times New Roman"/>
          <w:bCs/>
          <w:color w:val="323232"/>
          <w:shd w:val="clear" w:color="auto" w:fill="FFFFFF"/>
        </w:rPr>
        <w:t xml:space="preserve"> Nabídka pracovních příležitostí je velká a mzdy rychle rostou. Koncem roku 2017 tvořil</w:t>
      </w:r>
      <w:r w:rsidR="00A7788A">
        <w:rPr>
          <w:rFonts w:ascii="Times New Roman" w:eastAsia="Times New Roman" w:hAnsi="Times New Roman" w:cs="Times New Roman"/>
          <w:bCs/>
          <w:color w:val="323232"/>
          <w:shd w:val="clear" w:color="auto" w:fill="FFFFFF"/>
        </w:rPr>
        <w:t>a</w:t>
      </w:r>
      <w:r w:rsidR="00EB1F52">
        <w:rPr>
          <w:rFonts w:ascii="Times New Roman" w:eastAsia="Times New Roman" w:hAnsi="Times New Roman" w:cs="Times New Roman"/>
          <w:bCs/>
          <w:color w:val="323232"/>
          <w:shd w:val="clear" w:color="auto" w:fill="FFFFFF"/>
        </w:rPr>
        <w:t xml:space="preserve"> nabídka volných pracovních míst s požadavkem základního vzdělání více než polovinu z celkového počtu volných pracovních míst </w:t>
      </w:r>
      <w:r w:rsidR="00EB1F52">
        <w:rPr>
          <w:rFonts w:ascii="Times New Roman" w:eastAsia="Times New Roman" w:hAnsi="Times New Roman" w:cs="Times New Roman"/>
          <w:bCs/>
          <w:color w:val="323232"/>
          <w:shd w:val="clear" w:color="auto" w:fill="FFFFFF"/>
        </w:rPr>
        <w:lastRenderedPageBreak/>
        <w:t>(přesně 53,7 %; v absolutních číslech se jednalo celkem o 116 273 pracovních míst, dle ČSÚ).</w:t>
      </w:r>
    </w:p>
    <w:p w14:paraId="28C6E2A0" w14:textId="5BE727D5" w:rsidR="004F4F28" w:rsidRDefault="004F4F28" w:rsidP="00BC37FD">
      <w:pPr>
        <w:spacing w:before="120" w:line="360" w:lineRule="auto"/>
        <w:jc w:val="both"/>
        <w:rPr>
          <w:rFonts w:ascii="Times New Roman" w:eastAsia="Times New Roman" w:hAnsi="Times New Roman" w:cs="Times New Roman"/>
          <w:bCs/>
          <w:color w:val="323232"/>
          <w:shd w:val="clear" w:color="auto" w:fill="FFFFFF"/>
        </w:rPr>
      </w:pPr>
      <w:r w:rsidRPr="004F4F28">
        <w:rPr>
          <w:rFonts w:ascii="Times New Roman" w:eastAsia="Times New Roman" w:hAnsi="Times New Roman" w:cs="Times New Roman"/>
          <w:b/>
          <w:bCs/>
          <w:color w:val="323232"/>
          <w:shd w:val="clear" w:color="auto" w:fill="FFFFFF"/>
        </w:rPr>
        <w:t xml:space="preserve">Převažující poptávka po pracovnících s nejnižší úrovní vzdělání, tj. růst pracovních příležitostí pro tuto skupinu osob a současně růst mezd, </w:t>
      </w:r>
      <w:r w:rsidR="00605A4A">
        <w:rPr>
          <w:rFonts w:ascii="Times New Roman" w:eastAsia="Times New Roman" w:hAnsi="Times New Roman" w:cs="Times New Roman"/>
          <w:b/>
          <w:bCs/>
          <w:color w:val="323232"/>
          <w:shd w:val="clear" w:color="auto" w:fill="FFFFFF"/>
        </w:rPr>
        <w:t xml:space="preserve">aktuálně </w:t>
      </w:r>
      <w:r>
        <w:rPr>
          <w:rFonts w:ascii="Times New Roman" w:eastAsia="Times New Roman" w:hAnsi="Times New Roman" w:cs="Times New Roman"/>
          <w:b/>
          <w:bCs/>
          <w:color w:val="323232"/>
          <w:shd w:val="clear" w:color="auto" w:fill="FFFFFF"/>
        </w:rPr>
        <w:t>snižuje potřebu</w:t>
      </w:r>
      <w:r w:rsidRPr="004F4F28">
        <w:rPr>
          <w:rFonts w:ascii="Times New Roman" w:eastAsia="Times New Roman" w:hAnsi="Times New Roman" w:cs="Times New Roman"/>
          <w:b/>
          <w:bCs/>
          <w:color w:val="323232"/>
          <w:shd w:val="clear" w:color="auto" w:fill="FFFFFF"/>
        </w:rPr>
        <w:t> </w:t>
      </w:r>
      <w:r>
        <w:rPr>
          <w:rFonts w:ascii="Times New Roman" w:eastAsia="Times New Roman" w:hAnsi="Times New Roman" w:cs="Times New Roman"/>
          <w:b/>
          <w:bCs/>
          <w:color w:val="323232"/>
          <w:shd w:val="clear" w:color="auto" w:fill="FFFFFF"/>
        </w:rPr>
        <w:t>dále se vzdělávat (a zřejmě i dojíždět</w:t>
      </w:r>
      <w:r w:rsidRPr="004F4F28">
        <w:rPr>
          <w:rFonts w:ascii="Times New Roman" w:eastAsia="Times New Roman" w:hAnsi="Times New Roman" w:cs="Times New Roman"/>
          <w:b/>
          <w:bCs/>
          <w:color w:val="323232"/>
          <w:shd w:val="clear" w:color="auto" w:fill="FFFFFF"/>
        </w:rPr>
        <w:t xml:space="preserve"> za prací</w:t>
      </w:r>
      <w:r w:rsidR="00605A4A">
        <w:rPr>
          <w:rFonts w:ascii="Times New Roman" w:eastAsia="Times New Roman" w:hAnsi="Times New Roman" w:cs="Times New Roman"/>
          <w:b/>
          <w:bCs/>
          <w:color w:val="323232"/>
          <w:shd w:val="clear" w:color="auto" w:fill="FFFFFF"/>
        </w:rPr>
        <w:t xml:space="preserve"> do větší vzdálenosti</w:t>
      </w:r>
      <w:r>
        <w:rPr>
          <w:rFonts w:ascii="Times New Roman" w:eastAsia="Times New Roman" w:hAnsi="Times New Roman" w:cs="Times New Roman"/>
          <w:b/>
          <w:bCs/>
          <w:color w:val="323232"/>
          <w:shd w:val="clear" w:color="auto" w:fill="FFFFFF"/>
        </w:rPr>
        <w:t>)</w:t>
      </w:r>
      <w:r w:rsidRPr="004F4F28">
        <w:rPr>
          <w:rFonts w:ascii="Times New Roman" w:eastAsia="Times New Roman" w:hAnsi="Times New Roman" w:cs="Times New Roman"/>
          <w:b/>
          <w:bCs/>
          <w:color w:val="323232"/>
          <w:shd w:val="clear" w:color="auto" w:fill="FFFFFF"/>
        </w:rPr>
        <w:t xml:space="preserve">. </w:t>
      </w:r>
      <w:r w:rsidR="001F55F2">
        <w:rPr>
          <w:rFonts w:ascii="Times New Roman" w:eastAsia="Times New Roman" w:hAnsi="Times New Roman" w:cs="Times New Roman"/>
          <w:bCs/>
          <w:color w:val="323232"/>
          <w:shd w:val="clear" w:color="auto" w:fill="FFFFFF"/>
        </w:rPr>
        <w:t xml:space="preserve">Proti účasti na dalším vzdělávání působí také skutečnost, že </w:t>
      </w:r>
      <w:r w:rsidR="001F55F2" w:rsidRPr="003263F1">
        <w:rPr>
          <w:rFonts w:ascii="Times New Roman" w:eastAsia="Times New Roman" w:hAnsi="Times New Roman" w:cs="Times New Roman"/>
          <w:bCs/>
          <w:i/>
          <w:color w:val="323232"/>
          <w:shd w:val="clear" w:color="auto" w:fill="FFFFFF"/>
        </w:rPr>
        <w:t xml:space="preserve">výkon práce </w:t>
      </w:r>
      <w:r w:rsidR="003263F1" w:rsidRPr="003263F1">
        <w:rPr>
          <w:rFonts w:ascii="Times New Roman" w:eastAsia="Times New Roman" w:hAnsi="Times New Roman" w:cs="Times New Roman"/>
          <w:bCs/>
          <w:i/>
          <w:color w:val="323232"/>
          <w:shd w:val="clear" w:color="auto" w:fill="FFFFFF"/>
        </w:rPr>
        <w:t xml:space="preserve">spojené s nízkou kvalifikací </w:t>
      </w:r>
      <w:r w:rsidR="001F55F2" w:rsidRPr="003263F1">
        <w:rPr>
          <w:rFonts w:ascii="Times New Roman" w:eastAsia="Times New Roman" w:hAnsi="Times New Roman" w:cs="Times New Roman"/>
          <w:bCs/>
          <w:i/>
          <w:color w:val="323232"/>
          <w:shd w:val="clear" w:color="auto" w:fill="FFFFFF"/>
        </w:rPr>
        <w:t>nevyžaduje zpravidla zvyšování, popř. rozšiřování znalostí</w:t>
      </w:r>
      <w:r w:rsidR="001F55F2">
        <w:rPr>
          <w:rFonts w:ascii="Times New Roman" w:eastAsia="Times New Roman" w:hAnsi="Times New Roman" w:cs="Times New Roman"/>
          <w:bCs/>
          <w:color w:val="323232"/>
          <w:shd w:val="clear" w:color="auto" w:fill="FFFFFF"/>
        </w:rPr>
        <w:t>. Většinou se tito pracovníci účastní jen krátkých školení a zapracování (zejm. v rámci procesu adaptace po vstupu do zaměstnání), která jim umožní získat potřebné jednoduché dovednosti, nevedou ale ke zvýšení jejich profesní flexibility.</w:t>
      </w:r>
      <w:r w:rsidR="00E2022F">
        <w:rPr>
          <w:rFonts w:ascii="Times New Roman" w:eastAsia="Times New Roman" w:hAnsi="Times New Roman" w:cs="Times New Roman"/>
          <w:bCs/>
          <w:color w:val="323232"/>
          <w:shd w:val="clear" w:color="auto" w:fill="FFFFFF"/>
        </w:rPr>
        <w:t xml:space="preserve"> </w:t>
      </w:r>
    </w:p>
    <w:p w14:paraId="247C2078" w14:textId="03906BFD" w:rsidR="006316BF" w:rsidRDefault="00E576C9" w:rsidP="00BC37FD">
      <w:pPr>
        <w:spacing w:before="120" w:line="360" w:lineRule="auto"/>
        <w:jc w:val="both"/>
        <w:rPr>
          <w:rFonts w:ascii="Times New Roman" w:eastAsia="Times New Roman" w:hAnsi="Times New Roman" w:cs="Times New Roman"/>
          <w:bCs/>
          <w:color w:val="323232"/>
          <w:shd w:val="clear" w:color="auto" w:fill="FFFFFF"/>
        </w:rPr>
      </w:pPr>
      <w:r>
        <w:rPr>
          <w:rFonts w:ascii="Times New Roman" w:eastAsia="Times New Roman" w:hAnsi="Times New Roman" w:cs="Times New Roman"/>
          <w:bCs/>
          <w:color w:val="323232"/>
          <w:shd w:val="clear" w:color="auto" w:fill="FFFFFF"/>
        </w:rPr>
        <w:t>Z předchozí</w:t>
      </w:r>
      <w:r w:rsidR="006316BF">
        <w:rPr>
          <w:rFonts w:ascii="Times New Roman" w:eastAsia="Times New Roman" w:hAnsi="Times New Roman" w:cs="Times New Roman"/>
          <w:bCs/>
          <w:color w:val="323232"/>
          <w:shd w:val="clear" w:color="auto" w:fill="FFFFFF"/>
        </w:rPr>
        <w:t xml:space="preserve"> analýzy vyplývá, že velmi malá participace osob s nízkou úrovní vzdělání na dalším vzdělávání je ovlivněna řadou faktorů současně. Řešení naznačeného problému proto vyžaduje komplexní přístup a spolupráci všech zainteresovaných stran.</w:t>
      </w:r>
    </w:p>
    <w:p w14:paraId="279F5D81" w14:textId="77777777" w:rsidR="00E01B33" w:rsidRDefault="00E01B33" w:rsidP="00BC37FD">
      <w:pPr>
        <w:spacing w:before="120" w:line="360" w:lineRule="auto"/>
        <w:jc w:val="both"/>
        <w:rPr>
          <w:rFonts w:ascii="Times New Roman" w:eastAsia="Times New Roman" w:hAnsi="Times New Roman" w:cs="Times New Roman"/>
          <w:bCs/>
          <w:color w:val="323232"/>
          <w:shd w:val="clear" w:color="auto" w:fill="FFFFFF"/>
        </w:rPr>
      </w:pPr>
    </w:p>
    <w:p w14:paraId="27D2E067" w14:textId="77777777" w:rsidR="00E01B33" w:rsidRPr="002E59C3" w:rsidRDefault="00E01B33" w:rsidP="00BC37FD">
      <w:pPr>
        <w:spacing w:before="120" w:line="360" w:lineRule="auto"/>
        <w:jc w:val="both"/>
        <w:rPr>
          <w:rFonts w:ascii="Times New Roman" w:eastAsia="Times New Roman" w:hAnsi="Times New Roman" w:cs="Times New Roman"/>
          <w:bCs/>
          <w:color w:val="323232"/>
          <w:shd w:val="clear" w:color="auto" w:fill="FFFFFF"/>
        </w:rPr>
      </w:pPr>
    </w:p>
    <w:p w14:paraId="234FFE2D" w14:textId="2F47B7C3" w:rsidR="00D5114B" w:rsidRDefault="00D5114B" w:rsidP="00BB356B">
      <w:pPr>
        <w:spacing w:before="120" w:line="360" w:lineRule="auto"/>
        <w:jc w:val="both"/>
        <w:rPr>
          <w:rFonts w:ascii="Times New Roman" w:eastAsia="Times New Roman" w:hAnsi="Times New Roman" w:cs="Times New Roman"/>
          <w:bCs/>
          <w:color w:val="323232"/>
          <w:shd w:val="clear" w:color="auto" w:fill="FFFFFF"/>
        </w:rPr>
      </w:pPr>
    </w:p>
    <w:p w14:paraId="703DAA95" w14:textId="6ED5AE61" w:rsidR="00F418D0" w:rsidRDefault="00F418D0" w:rsidP="00BB356B">
      <w:pPr>
        <w:spacing w:before="120" w:line="360" w:lineRule="auto"/>
        <w:jc w:val="both"/>
        <w:rPr>
          <w:rFonts w:ascii="Times New Roman" w:eastAsia="Times New Roman" w:hAnsi="Times New Roman" w:cs="Times New Roman"/>
          <w:bCs/>
          <w:color w:val="323232"/>
          <w:shd w:val="clear" w:color="auto" w:fill="FFFFFF"/>
        </w:rPr>
      </w:pPr>
    </w:p>
    <w:p w14:paraId="178D67B4"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26D034DE"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1C88DF46"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49EA43DD"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3B3A6168"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49B7B0BE"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27043A53"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683E38B3"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36120DDC"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6DAA7ACC"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4035E80F" w14:textId="77777777" w:rsidR="004C451C" w:rsidRDefault="004C451C" w:rsidP="00BB356B">
      <w:pPr>
        <w:spacing w:before="120" w:line="360" w:lineRule="auto"/>
        <w:jc w:val="both"/>
        <w:rPr>
          <w:rFonts w:ascii="Times New Roman" w:eastAsia="Times New Roman" w:hAnsi="Times New Roman" w:cs="Times New Roman"/>
          <w:bCs/>
          <w:color w:val="323232"/>
          <w:shd w:val="clear" w:color="auto" w:fill="FFFFFF"/>
        </w:rPr>
      </w:pPr>
    </w:p>
    <w:p w14:paraId="3300888B" w14:textId="5A94DE1C" w:rsidR="00A66161" w:rsidRDefault="001E12ED" w:rsidP="001E12ED">
      <w:pPr>
        <w:pStyle w:val="Nadpis1"/>
      </w:pPr>
      <w:bookmarkStart w:id="166" w:name="_Toc398662732"/>
      <w:r>
        <w:lastRenderedPageBreak/>
        <w:t>Lite</w:t>
      </w:r>
      <w:r w:rsidR="005F5E0A">
        <w:t>ratura</w:t>
      </w:r>
      <w:bookmarkEnd w:id="166"/>
    </w:p>
    <w:p w14:paraId="0D1FD28D" w14:textId="18DD2E49" w:rsidR="001E12ED" w:rsidRDefault="001E12ED" w:rsidP="001E12ED">
      <w:pPr>
        <w:pStyle w:val="Nadpis4"/>
      </w:pPr>
      <w:r>
        <w:t>Primární zdroje</w:t>
      </w:r>
    </w:p>
    <w:p w14:paraId="44624DDB" w14:textId="32437694" w:rsidR="009319C8" w:rsidRPr="009319C8" w:rsidRDefault="009319C8" w:rsidP="001E12ED">
      <w:pPr>
        <w:spacing w:before="120"/>
        <w:jc w:val="both"/>
        <w:rPr>
          <w:rFonts w:ascii="Times New Roman" w:hAnsi="Times New Roman" w:cs="Times New Roman"/>
          <w:sz w:val="22"/>
          <w:szCs w:val="22"/>
        </w:rPr>
      </w:pPr>
      <w:r>
        <w:rPr>
          <w:rFonts w:ascii="Times New Roman" w:hAnsi="Times New Roman" w:cs="Times New Roman"/>
          <w:sz w:val="22"/>
          <w:szCs w:val="22"/>
        </w:rPr>
        <w:t xml:space="preserve">BDO </w:t>
      </w:r>
      <w:proofErr w:type="spellStart"/>
      <w:r>
        <w:rPr>
          <w:rFonts w:ascii="Times New Roman" w:hAnsi="Times New Roman" w:cs="Times New Roman"/>
          <w:sz w:val="22"/>
          <w:szCs w:val="22"/>
        </w:rPr>
        <w:t>Global</w:t>
      </w:r>
      <w:proofErr w:type="spellEnd"/>
      <w:r w:rsidR="00872568">
        <w:rPr>
          <w:rFonts w:ascii="Times New Roman" w:hAnsi="Times New Roman" w:cs="Times New Roman"/>
          <w:sz w:val="22"/>
          <w:szCs w:val="22"/>
        </w:rPr>
        <w:t>.</w:t>
      </w:r>
      <w:r>
        <w:rPr>
          <w:rFonts w:ascii="Times New Roman" w:hAnsi="Times New Roman" w:cs="Times New Roman"/>
          <w:sz w:val="22"/>
          <w:szCs w:val="22"/>
        </w:rPr>
        <w:t xml:space="preserve"> (2017). </w:t>
      </w:r>
      <w:r>
        <w:rPr>
          <w:rFonts w:ascii="Times New Roman" w:hAnsi="Times New Roman" w:cs="Times New Roman"/>
          <w:i/>
          <w:sz w:val="22"/>
          <w:szCs w:val="22"/>
        </w:rPr>
        <w:t xml:space="preserve">BDO Mobility Report 2017. </w:t>
      </w:r>
      <w:r>
        <w:rPr>
          <w:rFonts w:ascii="Times New Roman" w:hAnsi="Times New Roman" w:cs="Times New Roman"/>
          <w:sz w:val="22"/>
          <w:szCs w:val="22"/>
        </w:rPr>
        <w:t xml:space="preserve">Dostupné z: </w:t>
      </w:r>
      <w:r w:rsidRPr="009319C8">
        <w:rPr>
          <w:rFonts w:ascii="Times New Roman" w:hAnsi="Times New Roman" w:cs="Times New Roman"/>
          <w:sz w:val="22"/>
          <w:szCs w:val="22"/>
        </w:rPr>
        <w:t>https://www.bdo.global/en-gb/services/tax/global-expatriate-services/employee-mobility-report</w:t>
      </w:r>
      <w:r>
        <w:rPr>
          <w:rFonts w:ascii="Times New Roman" w:hAnsi="Times New Roman" w:cs="Times New Roman"/>
          <w:sz w:val="22"/>
          <w:szCs w:val="22"/>
        </w:rPr>
        <w:t>.</w:t>
      </w:r>
    </w:p>
    <w:p w14:paraId="1CBE995E" w14:textId="1E3DA806" w:rsidR="00291A35" w:rsidRDefault="00B20876" w:rsidP="001E12ED">
      <w:pPr>
        <w:spacing w:before="120"/>
        <w:jc w:val="both"/>
        <w:rPr>
          <w:rFonts w:ascii="Times New Roman" w:hAnsi="Times New Roman" w:cs="Times New Roman"/>
          <w:sz w:val="22"/>
          <w:szCs w:val="22"/>
        </w:rPr>
      </w:pPr>
      <w:r>
        <w:rPr>
          <w:rFonts w:ascii="Times New Roman" w:hAnsi="Times New Roman" w:cs="Times New Roman"/>
          <w:sz w:val="22"/>
          <w:szCs w:val="22"/>
        </w:rPr>
        <w:t xml:space="preserve">ČSÚ. </w:t>
      </w:r>
      <w:r w:rsidR="007A0B2F">
        <w:rPr>
          <w:rFonts w:ascii="Times New Roman" w:hAnsi="Times New Roman" w:cs="Times New Roman"/>
          <w:sz w:val="22"/>
          <w:szCs w:val="22"/>
        </w:rPr>
        <w:t xml:space="preserve">(2018). </w:t>
      </w:r>
      <w:r w:rsidR="00A64895">
        <w:rPr>
          <w:rFonts w:ascii="Times New Roman" w:hAnsi="Times New Roman" w:cs="Times New Roman"/>
          <w:sz w:val="22"/>
          <w:szCs w:val="22"/>
        </w:rPr>
        <w:t>Databáze</w:t>
      </w:r>
      <w:r w:rsidR="00291A35">
        <w:rPr>
          <w:rFonts w:ascii="Times New Roman" w:hAnsi="Times New Roman" w:cs="Times New Roman"/>
          <w:sz w:val="22"/>
          <w:szCs w:val="22"/>
        </w:rPr>
        <w:t xml:space="preserve">. Dostupné z: </w:t>
      </w:r>
      <w:r w:rsidR="00291A35" w:rsidRPr="00291A35">
        <w:rPr>
          <w:rFonts w:ascii="Times New Roman" w:hAnsi="Times New Roman" w:cs="Times New Roman"/>
          <w:sz w:val="22"/>
          <w:szCs w:val="22"/>
        </w:rPr>
        <w:t>https://www.czso.cz/csu/czso/statistiky</w:t>
      </w:r>
      <w:r w:rsidR="00291A35">
        <w:rPr>
          <w:rFonts w:ascii="Times New Roman" w:hAnsi="Times New Roman" w:cs="Times New Roman"/>
          <w:sz w:val="22"/>
          <w:szCs w:val="22"/>
        </w:rPr>
        <w:t>.</w:t>
      </w:r>
    </w:p>
    <w:p w14:paraId="6F47E5E3" w14:textId="2BC7EB37" w:rsidR="004D39D0" w:rsidRDefault="004D39D0" w:rsidP="001E12ED">
      <w:pPr>
        <w:spacing w:before="120"/>
        <w:jc w:val="both"/>
        <w:rPr>
          <w:rFonts w:ascii="Times New Roman" w:hAnsi="Times New Roman" w:cs="Times New Roman"/>
          <w:sz w:val="22"/>
          <w:szCs w:val="22"/>
        </w:rPr>
      </w:pPr>
      <w:r>
        <w:rPr>
          <w:rFonts w:ascii="Times New Roman" w:hAnsi="Times New Roman" w:cs="Times New Roman"/>
          <w:sz w:val="22"/>
          <w:szCs w:val="22"/>
        </w:rPr>
        <w:t>ČSÚ. (</w:t>
      </w:r>
      <w:proofErr w:type="gramStart"/>
      <w:r>
        <w:rPr>
          <w:rFonts w:ascii="Times New Roman" w:hAnsi="Times New Roman" w:cs="Times New Roman"/>
          <w:sz w:val="22"/>
          <w:szCs w:val="22"/>
        </w:rPr>
        <w:t>2018</w:t>
      </w:r>
      <w:r w:rsidR="007A0B2F">
        <w:rPr>
          <w:rFonts w:ascii="Times New Roman" w:hAnsi="Times New Roman" w:cs="Times New Roman"/>
          <w:sz w:val="22"/>
          <w:szCs w:val="22"/>
        </w:rPr>
        <w:t>a</w:t>
      </w:r>
      <w:proofErr w:type="gramEnd"/>
      <w:r>
        <w:rPr>
          <w:rFonts w:ascii="Times New Roman" w:hAnsi="Times New Roman" w:cs="Times New Roman"/>
          <w:sz w:val="22"/>
          <w:szCs w:val="22"/>
        </w:rPr>
        <w:t xml:space="preserve">). </w:t>
      </w:r>
      <w:r>
        <w:rPr>
          <w:rFonts w:ascii="Times New Roman" w:hAnsi="Times New Roman" w:cs="Times New Roman"/>
          <w:i/>
          <w:sz w:val="22"/>
          <w:szCs w:val="22"/>
        </w:rPr>
        <w:t xml:space="preserve">Vzdělávaní dospělých v České republice. </w:t>
      </w:r>
      <w:r>
        <w:rPr>
          <w:rFonts w:ascii="Times New Roman" w:hAnsi="Times New Roman" w:cs="Times New Roman"/>
          <w:sz w:val="22"/>
          <w:szCs w:val="22"/>
        </w:rPr>
        <w:t xml:space="preserve">[on line]. Praha: ČSÚ. Dostupné z: </w:t>
      </w:r>
      <w:r w:rsidRPr="004D39D0">
        <w:rPr>
          <w:rFonts w:ascii="Times New Roman" w:hAnsi="Times New Roman" w:cs="Times New Roman"/>
          <w:sz w:val="22"/>
          <w:szCs w:val="22"/>
        </w:rPr>
        <w:t>https://www.czso.cz/csu/czso/vzdelavani-dospelych-v-ceske-republice-2016</w:t>
      </w:r>
      <w:r>
        <w:rPr>
          <w:rFonts w:ascii="Times New Roman" w:hAnsi="Times New Roman" w:cs="Times New Roman"/>
          <w:sz w:val="22"/>
          <w:szCs w:val="22"/>
        </w:rPr>
        <w:t>.</w:t>
      </w:r>
    </w:p>
    <w:p w14:paraId="513AE9A1" w14:textId="312C49E2" w:rsidR="007A0B2F" w:rsidRPr="005019C3" w:rsidRDefault="007A0B2F" w:rsidP="001E12ED">
      <w:pPr>
        <w:spacing w:before="120"/>
        <w:jc w:val="both"/>
        <w:rPr>
          <w:rFonts w:ascii="Times New Roman" w:hAnsi="Times New Roman" w:cs="Times New Roman"/>
          <w:sz w:val="22"/>
          <w:szCs w:val="22"/>
        </w:rPr>
      </w:pPr>
      <w:r>
        <w:rPr>
          <w:rFonts w:ascii="Times New Roman" w:hAnsi="Times New Roman" w:cs="Times New Roman"/>
          <w:sz w:val="22"/>
          <w:szCs w:val="22"/>
        </w:rPr>
        <w:t>ČSÚ. (</w:t>
      </w:r>
      <w:proofErr w:type="gramStart"/>
      <w:r>
        <w:rPr>
          <w:rFonts w:ascii="Times New Roman" w:hAnsi="Times New Roman" w:cs="Times New Roman"/>
          <w:sz w:val="22"/>
          <w:szCs w:val="22"/>
        </w:rPr>
        <w:t>2018b</w:t>
      </w:r>
      <w:proofErr w:type="gramEnd"/>
      <w:r>
        <w:rPr>
          <w:rFonts w:ascii="Times New Roman" w:hAnsi="Times New Roman" w:cs="Times New Roman"/>
          <w:sz w:val="22"/>
          <w:szCs w:val="22"/>
        </w:rPr>
        <w:t xml:space="preserve">). </w:t>
      </w:r>
      <w:r w:rsidR="005019C3">
        <w:rPr>
          <w:rFonts w:ascii="Times New Roman" w:hAnsi="Times New Roman" w:cs="Times New Roman"/>
          <w:i/>
          <w:sz w:val="22"/>
          <w:szCs w:val="22"/>
        </w:rPr>
        <w:t xml:space="preserve">Vzdělávání zaměstnaných osob – 2015. Analýza a výsledky šetření CVTS 5. </w:t>
      </w:r>
      <w:r w:rsidR="005019C3">
        <w:rPr>
          <w:rFonts w:ascii="Times New Roman" w:hAnsi="Times New Roman" w:cs="Times New Roman"/>
          <w:sz w:val="22"/>
          <w:szCs w:val="22"/>
        </w:rPr>
        <w:t xml:space="preserve">Dostupné z: </w:t>
      </w:r>
      <w:r w:rsidR="005019C3" w:rsidRPr="005019C3">
        <w:rPr>
          <w:rFonts w:ascii="Times New Roman" w:hAnsi="Times New Roman" w:cs="Times New Roman"/>
          <w:sz w:val="22"/>
          <w:szCs w:val="22"/>
        </w:rPr>
        <w:t>https://www.czso.cz/csu/czso/vzdelavani-zamestnanych-osob-2015</w:t>
      </w:r>
      <w:r w:rsidR="005019C3">
        <w:rPr>
          <w:rFonts w:ascii="Times New Roman" w:hAnsi="Times New Roman" w:cs="Times New Roman"/>
          <w:sz w:val="22"/>
          <w:szCs w:val="22"/>
        </w:rPr>
        <w:t>.</w:t>
      </w:r>
    </w:p>
    <w:p w14:paraId="74A73FBE" w14:textId="7C6953C5" w:rsidR="00872568" w:rsidRPr="00872568" w:rsidRDefault="00872568" w:rsidP="001E12ED">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Deloitte</w:t>
      </w:r>
      <w:proofErr w:type="spellEnd"/>
      <w:r>
        <w:rPr>
          <w:rFonts w:ascii="Times New Roman" w:hAnsi="Times New Roman" w:cs="Times New Roman"/>
          <w:sz w:val="22"/>
          <w:szCs w:val="22"/>
        </w:rPr>
        <w:t xml:space="preserve">. (2017). </w:t>
      </w:r>
      <w:proofErr w:type="spellStart"/>
      <w:r>
        <w:rPr>
          <w:rFonts w:ascii="Times New Roman" w:hAnsi="Times New Roman" w:cs="Times New Roman"/>
          <w:i/>
          <w:sz w:val="22"/>
          <w:szCs w:val="22"/>
        </w:rPr>
        <w:t>Property</w:t>
      </w:r>
      <w:proofErr w:type="spellEnd"/>
      <w:r>
        <w:rPr>
          <w:rFonts w:ascii="Times New Roman" w:hAnsi="Times New Roman" w:cs="Times New Roman"/>
          <w:i/>
          <w:sz w:val="22"/>
          <w:szCs w:val="22"/>
        </w:rPr>
        <w:t xml:space="preserve"> Index – ceny nemovitostí. Jak Evropané bydlí a kolik je to stojí. </w:t>
      </w:r>
      <w:r>
        <w:rPr>
          <w:rFonts w:ascii="Times New Roman" w:hAnsi="Times New Roman" w:cs="Times New Roman"/>
          <w:sz w:val="22"/>
          <w:szCs w:val="22"/>
        </w:rPr>
        <w:t xml:space="preserve">Dostupné z: </w:t>
      </w:r>
      <w:r w:rsidRPr="00872568">
        <w:rPr>
          <w:rFonts w:ascii="Times New Roman" w:hAnsi="Times New Roman" w:cs="Times New Roman"/>
          <w:sz w:val="22"/>
          <w:szCs w:val="22"/>
        </w:rPr>
        <w:t>https://www2.deloitte.com/cz/cs/pages/real-estate/articles/cze-index-nemovitosti.</w:t>
      </w:r>
      <w:r>
        <w:rPr>
          <w:rFonts w:ascii="Times New Roman" w:hAnsi="Times New Roman" w:cs="Times New Roman"/>
          <w:sz w:val="22"/>
          <w:szCs w:val="22"/>
        </w:rPr>
        <w:t xml:space="preserve"> </w:t>
      </w:r>
      <w:proofErr w:type="spellStart"/>
      <w:r w:rsidRPr="00872568">
        <w:rPr>
          <w:rFonts w:ascii="Times New Roman" w:hAnsi="Times New Roman" w:cs="Times New Roman"/>
          <w:sz w:val="22"/>
          <w:szCs w:val="22"/>
        </w:rPr>
        <w:t>html</w:t>
      </w:r>
      <w:proofErr w:type="spellEnd"/>
      <w:r>
        <w:rPr>
          <w:rFonts w:ascii="Times New Roman" w:hAnsi="Times New Roman" w:cs="Times New Roman"/>
          <w:sz w:val="22"/>
          <w:szCs w:val="22"/>
        </w:rPr>
        <w:t>.</w:t>
      </w:r>
    </w:p>
    <w:p w14:paraId="3A83D2FB" w14:textId="448AFAF3" w:rsidR="00BE7AD9" w:rsidRPr="00BE7AD9" w:rsidRDefault="00BE7AD9" w:rsidP="001E12ED">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Eurobarometer</w:t>
      </w:r>
      <w:proofErr w:type="spellEnd"/>
      <w:r w:rsidR="00A64895">
        <w:rPr>
          <w:rFonts w:ascii="Times New Roman" w:hAnsi="Times New Roman" w:cs="Times New Roman"/>
          <w:sz w:val="22"/>
          <w:szCs w:val="22"/>
        </w:rPr>
        <w:t>.</w:t>
      </w:r>
      <w:r>
        <w:rPr>
          <w:rFonts w:ascii="Times New Roman" w:hAnsi="Times New Roman" w:cs="Times New Roman"/>
          <w:sz w:val="22"/>
          <w:szCs w:val="22"/>
        </w:rPr>
        <w:t xml:space="preserve"> (2005). </w:t>
      </w:r>
      <w:proofErr w:type="spellStart"/>
      <w:r>
        <w:rPr>
          <w:rFonts w:ascii="Times New Roman" w:hAnsi="Times New Roman" w:cs="Times New Roman"/>
          <w:i/>
          <w:sz w:val="22"/>
          <w:szCs w:val="22"/>
        </w:rPr>
        <w:t>Social</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Capital</w:t>
      </w:r>
      <w:proofErr w:type="spellEnd"/>
      <w:r>
        <w:rPr>
          <w:rFonts w:ascii="Times New Roman" w:hAnsi="Times New Roman" w:cs="Times New Roman"/>
          <w:i/>
          <w:sz w:val="22"/>
          <w:szCs w:val="22"/>
        </w:rPr>
        <w:t xml:space="preserve">. </w:t>
      </w:r>
      <w:r>
        <w:rPr>
          <w:rFonts w:ascii="Times New Roman" w:hAnsi="Times New Roman" w:cs="Times New Roman"/>
          <w:sz w:val="22"/>
          <w:szCs w:val="22"/>
        </w:rPr>
        <w:t xml:space="preserve">[on line]. </w:t>
      </w:r>
      <w:proofErr w:type="spellStart"/>
      <w:r>
        <w:rPr>
          <w:rFonts w:ascii="Times New Roman" w:hAnsi="Times New Roman" w:cs="Times New Roman"/>
          <w:sz w:val="22"/>
          <w:szCs w:val="22"/>
        </w:rPr>
        <w:t>Special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Eurobarometer</w:t>
      </w:r>
      <w:proofErr w:type="spellEnd"/>
      <w:r>
        <w:rPr>
          <w:rFonts w:ascii="Times New Roman" w:hAnsi="Times New Roman" w:cs="Times New Roman"/>
          <w:sz w:val="22"/>
          <w:szCs w:val="22"/>
        </w:rPr>
        <w:t>, 223/</w:t>
      </w:r>
      <w:proofErr w:type="spellStart"/>
      <w:r>
        <w:rPr>
          <w:rFonts w:ascii="Times New Roman" w:hAnsi="Times New Roman" w:cs="Times New Roman"/>
          <w:sz w:val="22"/>
          <w:szCs w:val="22"/>
        </w:rPr>
        <w:t>Wave</w:t>
      </w:r>
      <w:proofErr w:type="spellEnd"/>
      <w:r>
        <w:rPr>
          <w:rFonts w:ascii="Times New Roman" w:hAnsi="Times New Roman" w:cs="Times New Roman"/>
          <w:sz w:val="22"/>
          <w:szCs w:val="22"/>
        </w:rPr>
        <w:t xml:space="preserve"> 62.2. Dostupné z: </w:t>
      </w:r>
      <w:r w:rsidRPr="00BE7AD9">
        <w:rPr>
          <w:rFonts w:ascii="Times New Roman" w:hAnsi="Times New Roman" w:cs="Times New Roman"/>
          <w:sz w:val="22"/>
          <w:szCs w:val="22"/>
        </w:rPr>
        <w:t>http://ec.europa.eu/commfrontoffice/publicopinion/archives/ebs/ebs_223_en.pdf</w:t>
      </w:r>
      <w:r>
        <w:rPr>
          <w:rFonts w:ascii="Times New Roman" w:hAnsi="Times New Roman" w:cs="Times New Roman"/>
          <w:sz w:val="22"/>
          <w:szCs w:val="22"/>
        </w:rPr>
        <w:t>.</w:t>
      </w:r>
    </w:p>
    <w:p w14:paraId="3E895C50" w14:textId="46008D68" w:rsidR="00291A35" w:rsidRDefault="004D39D0" w:rsidP="00BA2B04">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Eurostat</w:t>
      </w:r>
      <w:proofErr w:type="spellEnd"/>
      <w:r>
        <w:rPr>
          <w:rFonts w:ascii="Times New Roman" w:hAnsi="Times New Roman" w:cs="Times New Roman"/>
          <w:sz w:val="22"/>
          <w:szCs w:val="22"/>
        </w:rPr>
        <w:t xml:space="preserve">. </w:t>
      </w:r>
      <w:r w:rsidR="007A0B2F">
        <w:rPr>
          <w:rFonts w:ascii="Times New Roman" w:hAnsi="Times New Roman" w:cs="Times New Roman"/>
          <w:sz w:val="22"/>
          <w:szCs w:val="22"/>
        </w:rPr>
        <w:t xml:space="preserve">(2018). </w:t>
      </w:r>
      <w:proofErr w:type="spellStart"/>
      <w:r w:rsidR="00A64895">
        <w:rPr>
          <w:rFonts w:ascii="Times New Roman" w:hAnsi="Times New Roman" w:cs="Times New Roman"/>
          <w:sz w:val="22"/>
          <w:szCs w:val="22"/>
        </w:rPr>
        <w:t>Statistics</w:t>
      </w:r>
      <w:proofErr w:type="spellEnd"/>
      <w:r w:rsidR="00A64895">
        <w:rPr>
          <w:rFonts w:ascii="Times New Roman" w:hAnsi="Times New Roman" w:cs="Times New Roman"/>
          <w:sz w:val="22"/>
          <w:szCs w:val="22"/>
        </w:rPr>
        <w:t xml:space="preserve"> by </w:t>
      </w:r>
      <w:proofErr w:type="spellStart"/>
      <w:r w:rsidR="00A64895">
        <w:rPr>
          <w:rFonts w:ascii="Times New Roman" w:hAnsi="Times New Roman" w:cs="Times New Roman"/>
          <w:sz w:val="22"/>
          <w:szCs w:val="22"/>
        </w:rPr>
        <w:t>theme</w:t>
      </w:r>
      <w:proofErr w:type="spellEnd"/>
      <w:r w:rsidR="00A64895">
        <w:rPr>
          <w:rFonts w:ascii="Times New Roman" w:hAnsi="Times New Roman" w:cs="Times New Roman"/>
          <w:sz w:val="22"/>
          <w:szCs w:val="22"/>
        </w:rPr>
        <w:t xml:space="preserve">. Dostupné z: </w:t>
      </w:r>
      <w:r w:rsidR="00A64895" w:rsidRPr="00A64895">
        <w:rPr>
          <w:rFonts w:ascii="Times New Roman" w:hAnsi="Times New Roman" w:cs="Times New Roman"/>
          <w:sz w:val="22"/>
          <w:szCs w:val="22"/>
        </w:rPr>
        <w:t>https://ec.europa.eu/eurostat/data/browse-statistics-by-theme</w:t>
      </w:r>
      <w:r w:rsidR="00A64895">
        <w:rPr>
          <w:rFonts w:ascii="Times New Roman" w:hAnsi="Times New Roman" w:cs="Times New Roman"/>
          <w:sz w:val="22"/>
          <w:szCs w:val="22"/>
        </w:rPr>
        <w:t>.</w:t>
      </w:r>
    </w:p>
    <w:p w14:paraId="3F349A91" w14:textId="0E9F1C7F" w:rsidR="004D39D0" w:rsidRDefault="004D39D0" w:rsidP="00BA2B04">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Eurostat</w:t>
      </w:r>
      <w:proofErr w:type="spellEnd"/>
      <w:r>
        <w:rPr>
          <w:rFonts w:ascii="Times New Roman" w:hAnsi="Times New Roman" w:cs="Times New Roman"/>
          <w:sz w:val="22"/>
          <w:szCs w:val="22"/>
        </w:rPr>
        <w:t xml:space="preserve">. (2016). </w:t>
      </w:r>
      <w:proofErr w:type="spellStart"/>
      <w:r>
        <w:rPr>
          <w:rFonts w:ascii="Times New Roman" w:hAnsi="Times New Roman" w:cs="Times New Roman"/>
          <w:i/>
          <w:sz w:val="22"/>
          <w:szCs w:val="22"/>
        </w:rPr>
        <w:t>Adult</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Education</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Survey</w:t>
      </w:r>
      <w:proofErr w:type="spellEnd"/>
      <w:r>
        <w:rPr>
          <w:rFonts w:ascii="Times New Roman" w:hAnsi="Times New Roman" w:cs="Times New Roman"/>
          <w:i/>
          <w:sz w:val="22"/>
          <w:szCs w:val="22"/>
        </w:rPr>
        <w:t xml:space="preserve"> (AES). </w:t>
      </w:r>
      <w:r>
        <w:rPr>
          <w:rFonts w:ascii="Times New Roman" w:hAnsi="Times New Roman" w:cs="Times New Roman"/>
          <w:sz w:val="22"/>
          <w:szCs w:val="22"/>
        </w:rPr>
        <w:t xml:space="preserve">Dostupné z: </w:t>
      </w:r>
      <w:r w:rsidRPr="004D39D0">
        <w:rPr>
          <w:rFonts w:ascii="Times New Roman" w:hAnsi="Times New Roman" w:cs="Times New Roman"/>
          <w:sz w:val="22"/>
          <w:szCs w:val="22"/>
        </w:rPr>
        <w:t>https://ec.europa.eu/eurostat/</w:t>
      </w:r>
      <w:r>
        <w:rPr>
          <w:rFonts w:ascii="Times New Roman" w:hAnsi="Times New Roman" w:cs="Times New Roman"/>
          <w:sz w:val="22"/>
          <w:szCs w:val="22"/>
        </w:rPr>
        <w:t xml:space="preserve"> </w:t>
      </w:r>
      <w:r w:rsidRPr="004D39D0">
        <w:rPr>
          <w:rFonts w:ascii="Times New Roman" w:hAnsi="Times New Roman" w:cs="Times New Roman"/>
          <w:sz w:val="22"/>
          <w:szCs w:val="22"/>
        </w:rPr>
        <w:t>web/</w:t>
      </w:r>
      <w:proofErr w:type="spellStart"/>
      <w:r w:rsidRPr="004D39D0">
        <w:rPr>
          <w:rFonts w:ascii="Times New Roman" w:hAnsi="Times New Roman" w:cs="Times New Roman"/>
          <w:sz w:val="22"/>
          <w:szCs w:val="22"/>
        </w:rPr>
        <w:t>microdata</w:t>
      </w:r>
      <w:proofErr w:type="spellEnd"/>
      <w:r w:rsidRPr="004D39D0">
        <w:rPr>
          <w:rFonts w:ascii="Times New Roman" w:hAnsi="Times New Roman" w:cs="Times New Roman"/>
          <w:sz w:val="22"/>
          <w:szCs w:val="22"/>
        </w:rPr>
        <w:t>/</w:t>
      </w:r>
      <w:proofErr w:type="spellStart"/>
      <w:r w:rsidRPr="004D39D0">
        <w:rPr>
          <w:rFonts w:ascii="Times New Roman" w:hAnsi="Times New Roman" w:cs="Times New Roman"/>
          <w:sz w:val="22"/>
          <w:szCs w:val="22"/>
        </w:rPr>
        <w:t>adult-education-survey</w:t>
      </w:r>
      <w:proofErr w:type="spellEnd"/>
      <w:r>
        <w:rPr>
          <w:rFonts w:ascii="Times New Roman" w:hAnsi="Times New Roman" w:cs="Times New Roman"/>
          <w:sz w:val="22"/>
          <w:szCs w:val="22"/>
        </w:rPr>
        <w:t>.</w:t>
      </w:r>
    </w:p>
    <w:p w14:paraId="22540533" w14:textId="55C42625" w:rsidR="001B2C1A" w:rsidRPr="001B2C1A" w:rsidRDefault="001B2C1A" w:rsidP="00BA2B04">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Eurostat</w:t>
      </w:r>
      <w:proofErr w:type="spellEnd"/>
      <w:r>
        <w:rPr>
          <w:rFonts w:ascii="Times New Roman" w:hAnsi="Times New Roman" w:cs="Times New Roman"/>
          <w:sz w:val="22"/>
          <w:szCs w:val="22"/>
        </w:rPr>
        <w:t xml:space="preserve">. (2015). </w:t>
      </w:r>
      <w:proofErr w:type="spellStart"/>
      <w:r>
        <w:rPr>
          <w:rFonts w:ascii="Times New Roman" w:hAnsi="Times New Roman" w:cs="Times New Roman"/>
          <w:i/>
          <w:sz w:val="22"/>
          <w:szCs w:val="22"/>
        </w:rPr>
        <w:t>Continuing</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Vocationl</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Training</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Survey</w:t>
      </w:r>
      <w:proofErr w:type="spellEnd"/>
      <w:r>
        <w:rPr>
          <w:rFonts w:ascii="Times New Roman" w:hAnsi="Times New Roman" w:cs="Times New Roman"/>
          <w:i/>
          <w:sz w:val="22"/>
          <w:szCs w:val="22"/>
        </w:rPr>
        <w:t xml:space="preserve"> (CVTS). </w:t>
      </w:r>
      <w:r>
        <w:rPr>
          <w:rFonts w:ascii="Times New Roman" w:hAnsi="Times New Roman" w:cs="Times New Roman"/>
          <w:sz w:val="22"/>
          <w:szCs w:val="22"/>
        </w:rPr>
        <w:t xml:space="preserve">Dostupné z: </w:t>
      </w:r>
      <w:r w:rsidRPr="001B2C1A">
        <w:rPr>
          <w:rFonts w:ascii="Times New Roman" w:hAnsi="Times New Roman" w:cs="Times New Roman"/>
          <w:sz w:val="22"/>
          <w:szCs w:val="22"/>
        </w:rPr>
        <w:t>https://ec.europa.eu/eurostat/statistics-explained/index.php/Continuing_Vocational_Training_</w:t>
      </w:r>
      <w:r>
        <w:rPr>
          <w:rFonts w:ascii="Times New Roman" w:hAnsi="Times New Roman" w:cs="Times New Roman"/>
          <w:sz w:val="22"/>
          <w:szCs w:val="22"/>
        </w:rPr>
        <w:t xml:space="preserve"> </w:t>
      </w:r>
      <w:proofErr w:type="spellStart"/>
      <w:r w:rsidRPr="001B2C1A">
        <w:rPr>
          <w:rFonts w:ascii="Times New Roman" w:hAnsi="Times New Roman" w:cs="Times New Roman"/>
          <w:sz w:val="22"/>
          <w:szCs w:val="22"/>
        </w:rPr>
        <w:t>Survey</w:t>
      </w:r>
      <w:proofErr w:type="spellEnd"/>
      <w:r w:rsidRPr="001B2C1A">
        <w:rPr>
          <w:rFonts w:ascii="Times New Roman" w:hAnsi="Times New Roman" w:cs="Times New Roman"/>
          <w:sz w:val="22"/>
          <w:szCs w:val="22"/>
        </w:rPr>
        <w:t>_(CVTS)_</w:t>
      </w:r>
      <w:proofErr w:type="spellStart"/>
      <w:r w:rsidRPr="001B2C1A">
        <w:rPr>
          <w:rFonts w:ascii="Times New Roman" w:hAnsi="Times New Roman" w:cs="Times New Roman"/>
          <w:sz w:val="22"/>
          <w:szCs w:val="22"/>
        </w:rPr>
        <w:t>methodology</w:t>
      </w:r>
      <w:proofErr w:type="spellEnd"/>
      <w:r>
        <w:rPr>
          <w:rFonts w:ascii="Times New Roman" w:hAnsi="Times New Roman" w:cs="Times New Roman"/>
          <w:sz w:val="22"/>
          <w:szCs w:val="22"/>
        </w:rPr>
        <w:t>.</w:t>
      </w:r>
    </w:p>
    <w:p w14:paraId="24888C17" w14:textId="77FBF7DD" w:rsidR="00A1379F" w:rsidRPr="00A1379F" w:rsidRDefault="00A1379F" w:rsidP="00BA2B04">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Grafton</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Recruitment</w:t>
      </w:r>
      <w:proofErr w:type="spellEnd"/>
      <w:r>
        <w:rPr>
          <w:rFonts w:ascii="Times New Roman" w:hAnsi="Times New Roman" w:cs="Times New Roman"/>
          <w:sz w:val="22"/>
          <w:szCs w:val="22"/>
        </w:rPr>
        <w:t xml:space="preserve"> (2017). </w:t>
      </w:r>
      <w:r>
        <w:rPr>
          <w:rFonts w:ascii="Times New Roman" w:hAnsi="Times New Roman" w:cs="Times New Roman"/>
          <w:i/>
          <w:sz w:val="22"/>
          <w:szCs w:val="22"/>
        </w:rPr>
        <w:t xml:space="preserve">Téměř dvě třetiny Čechů by odmítly stěhování za prací. </w:t>
      </w:r>
      <w:r>
        <w:rPr>
          <w:rFonts w:ascii="Times New Roman" w:hAnsi="Times New Roman" w:cs="Times New Roman"/>
          <w:sz w:val="22"/>
          <w:szCs w:val="22"/>
        </w:rPr>
        <w:t xml:space="preserve">Dostupné z: </w:t>
      </w:r>
      <w:r w:rsidRPr="00A1379F">
        <w:rPr>
          <w:rFonts w:ascii="Times New Roman" w:hAnsi="Times New Roman" w:cs="Times New Roman"/>
          <w:sz w:val="22"/>
          <w:szCs w:val="22"/>
        </w:rPr>
        <w:t>https://www.grafton.cz/o-nas/medialni-zona/archiv-2017/tiskove-zpravy-2017/</w:t>
      </w:r>
      <w:r>
        <w:rPr>
          <w:rFonts w:ascii="Times New Roman" w:hAnsi="Times New Roman" w:cs="Times New Roman"/>
          <w:sz w:val="22"/>
          <w:szCs w:val="22"/>
        </w:rPr>
        <w:t xml:space="preserve"> </w:t>
      </w:r>
      <w:proofErr w:type="spellStart"/>
      <w:r w:rsidRPr="00A1379F">
        <w:rPr>
          <w:rFonts w:ascii="Times New Roman" w:hAnsi="Times New Roman" w:cs="Times New Roman"/>
          <w:sz w:val="22"/>
          <w:szCs w:val="22"/>
        </w:rPr>
        <w:t>temer</w:t>
      </w:r>
      <w:proofErr w:type="spellEnd"/>
      <w:r w:rsidRPr="00A1379F">
        <w:rPr>
          <w:rFonts w:ascii="Times New Roman" w:hAnsi="Times New Roman" w:cs="Times New Roman"/>
          <w:sz w:val="22"/>
          <w:szCs w:val="22"/>
        </w:rPr>
        <w:t>-</w:t>
      </w:r>
      <w:proofErr w:type="spellStart"/>
      <w:r w:rsidRPr="00A1379F">
        <w:rPr>
          <w:rFonts w:ascii="Times New Roman" w:hAnsi="Times New Roman" w:cs="Times New Roman"/>
          <w:sz w:val="22"/>
          <w:szCs w:val="22"/>
        </w:rPr>
        <w:t>dve</w:t>
      </w:r>
      <w:proofErr w:type="spellEnd"/>
      <w:r w:rsidRPr="00A1379F">
        <w:rPr>
          <w:rFonts w:ascii="Times New Roman" w:hAnsi="Times New Roman" w:cs="Times New Roman"/>
          <w:sz w:val="22"/>
          <w:szCs w:val="22"/>
        </w:rPr>
        <w:t>-</w:t>
      </w:r>
      <w:proofErr w:type="spellStart"/>
      <w:r w:rsidRPr="00A1379F">
        <w:rPr>
          <w:rFonts w:ascii="Times New Roman" w:hAnsi="Times New Roman" w:cs="Times New Roman"/>
          <w:sz w:val="22"/>
          <w:szCs w:val="22"/>
        </w:rPr>
        <w:t>tretiny</w:t>
      </w:r>
      <w:proofErr w:type="spellEnd"/>
      <w:r w:rsidRPr="00A1379F">
        <w:rPr>
          <w:rFonts w:ascii="Times New Roman" w:hAnsi="Times New Roman" w:cs="Times New Roman"/>
          <w:sz w:val="22"/>
          <w:szCs w:val="22"/>
        </w:rPr>
        <w:t>-cechu-by-</w:t>
      </w:r>
      <w:proofErr w:type="spellStart"/>
      <w:r w:rsidRPr="00A1379F">
        <w:rPr>
          <w:rFonts w:ascii="Times New Roman" w:hAnsi="Times New Roman" w:cs="Times New Roman"/>
          <w:sz w:val="22"/>
          <w:szCs w:val="22"/>
        </w:rPr>
        <w:t>odmitly</w:t>
      </w:r>
      <w:proofErr w:type="spellEnd"/>
      <w:r w:rsidRPr="00A1379F">
        <w:rPr>
          <w:rFonts w:ascii="Times New Roman" w:hAnsi="Times New Roman" w:cs="Times New Roman"/>
          <w:sz w:val="22"/>
          <w:szCs w:val="22"/>
        </w:rPr>
        <w:t>-</w:t>
      </w:r>
      <w:proofErr w:type="spellStart"/>
      <w:r w:rsidRPr="00A1379F">
        <w:rPr>
          <w:rFonts w:ascii="Times New Roman" w:hAnsi="Times New Roman" w:cs="Times New Roman"/>
          <w:sz w:val="22"/>
          <w:szCs w:val="22"/>
        </w:rPr>
        <w:t>stehovani</w:t>
      </w:r>
      <w:proofErr w:type="spellEnd"/>
      <w:r w:rsidRPr="00A1379F">
        <w:rPr>
          <w:rFonts w:ascii="Times New Roman" w:hAnsi="Times New Roman" w:cs="Times New Roman"/>
          <w:sz w:val="22"/>
          <w:szCs w:val="22"/>
        </w:rPr>
        <w:t>-za-</w:t>
      </w:r>
      <w:proofErr w:type="spellStart"/>
      <w:r w:rsidRPr="00A1379F">
        <w:rPr>
          <w:rFonts w:ascii="Times New Roman" w:hAnsi="Times New Roman" w:cs="Times New Roman"/>
          <w:sz w:val="22"/>
          <w:szCs w:val="22"/>
        </w:rPr>
        <w:t>praci</w:t>
      </w:r>
      <w:proofErr w:type="spellEnd"/>
      <w:r>
        <w:rPr>
          <w:rFonts w:ascii="Times New Roman" w:hAnsi="Times New Roman" w:cs="Times New Roman"/>
          <w:sz w:val="22"/>
          <w:szCs w:val="22"/>
        </w:rPr>
        <w:t>.</w:t>
      </w:r>
    </w:p>
    <w:p w14:paraId="129A8DC0" w14:textId="6479669A" w:rsidR="001E12ED" w:rsidRDefault="001E12ED" w:rsidP="00BA2B04">
      <w:pPr>
        <w:spacing w:before="120"/>
        <w:jc w:val="both"/>
        <w:rPr>
          <w:rFonts w:ascii="Times New Roman" w:hAnsi="Times New Roman" w:cs="Times New Roman"/>
          <w:sz w:val="22"/>
          <w:szCs w:val="22"/>
        </w:rPr>
      </w:pPr>
      <w:r w:rsidRPr="001E12ED">
        <w:rPr>
          <w:rFonts w:ascii="Times New Roman" w:hAnsi="Times New Roman" w:cs="Times New Roman"/>
          <w:sz w:val="22"/>
          <w:szCs w:val="22"/>
        </w:rPr>
        <w:t xml:space="preserve">OECD. (2002). </w:t>
      </w:r>
      <w:proofErr w:type="spellStart"/>
      <w:r w:rsidRPr="001E12ED">
        <w:rPr>
          <w:rFonts w:ascii="Times New Roman" w:hAnsi="Times New Roman" w:cs="Times New Roman"/>
          <w:i/>
          <w:sz w:val="22"/>
          <w:szCs w:val="22"/>
        </w:rPr>
        <w:t>Education</w:t>
      </w:r>
      <w:proofErr w:type="spellEnd"/>
      <w:r w:rsidRPr="001E12ED">
        <w:rPr>
          <w:rFonts w:ascii="Times New Roman" w:hAnsi="Times New Roman" w:cs="Times New Roman"/>
          <w:i/>
          <w:sz w:val="22"/>
          <w:szCs w:val="22"/>
        </w:rPr>
        <w:t xml:space="preserve"> </w:t>
      </w:r>
      <w:proofErr w:type="spellStart"/>
      <w:r w:rsidRPr="001E12ED">
        <w:rPr>
          <w:rFonts w:ascii="Times New Roman" w:hAnsi="Times New Roman" w:cs="Times New Roman"/>
          <w:i/>
          <w:sz w:val="22"/>
          <w:szCs w:val="22"/>
        </w:rPr>
        <w:t>policy</w:t>
      </w:r>
      <w:proofErr w:type="spellEnd"/>
      <w:r w:rsidRPr="001E12ED">
        <w:rPr>
          <w:rFonts w:ascii="Times New Roman" w:hAnsi="Times New Roman" w:cs="Times New Roman"/>
          <w:i/>
          <w:sz w:val="22"/>
          <w:szCs w:val="22"/>
        </w:rPr>
        <w:t xml:space="preserve"> </w:t>
      </w:r>
      <w:proofErr w:type="spellStart"/>
      <w:r w:rsidRPr="001E12ED">
        <w:rPr>
          <w:rFonts w:ascii="Times New Roman" w:hAnsi="Times New Roman" w:cs="Times New Roman"/>
          <w:i/>
          <w:sz w:val="22"/>
          <w:szCs w:val="22"/>
        </w:rPr>
        <w:t>analysis</w:t>
      </w:r>
      <w:proofErr w:type="spellEnd"/>
      <w:r w:rsidRPr="001E12ED">
        <w:rPr>
          <w:rFonts w:ascii="Times New Roman" w:hAnsi="Times New Roman" w:cs="Times New Roman"/>
          <w:i/>
          <w:sz w:val="22"/>
          <w:szCs w:val="22"/>
        </w:rPr>
        <w:t xml:space="preserve"> 2002.</w:t>
      </w:r>
      <w:r w:rsidRPr="001E12ED">
        <w:rPr>
          <w:rFonts w:ascii="Times New Roman" w:hAnsi="Times New Roman" w:cs="Times New Roman"/>
          <w:sz w:val="22"/>
          <w:szCs w:val="22"/>
        </w:rPr>
        <w:t xml:space="preserve"> [on line]</w:t>
      </w:r>
      <w:r>
        <w:rPr>
          <w:rFonts w:ascii="Times New Roman" w:hAnsi="Times New Roman" w:cs="Times New Roman"/>
          <w:sz w:val="22"/>
          <w:szCs w:val="22"/>
        </w:rPr>
        <w:t xml:space="preserve">. Paris: OECD. Dostupné z: </w:t>
      </w:r>
      <w:r w:rsidR="00924914" w:rsidRPr="00924914">
        <w:rPr>
          <w:rFonts w:ascii="Times New Roman" w:hAnsi="Times New Roman" w:cs="Times New Roman"/>
          <w:sz w:val="22"/>
          <w:szCs w:val="22"/>
        </w:rPr>
        <w:t>https://read.oecd-ilibrary.org/education/education-policy-analysis-2002_epa-2002-en#page2</w:t>
      </w:r>
      <w:r w:rsidR="00924914">
        <w:rPr>
          <w:rFonts w:ascii="Times New Roman" w:hAnsi="Times New Roman" w:cs="Times New Roman"/>
          <w:sz w:val="22"/>
          <w:szCs w:val="22"/>
        </w:rPr>
        <w:t>.</w:t>
      </w:r>
    </w:p>
    <w:p w14:paraId="2E0BC726" w14:textId="2D956A8F" w:rsidR="000140D4" w:rsidRPr="000140D4" w:rsidRDefault="00924914" w:rsidP="00BA2B04">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World</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Economic</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Forum</w:t>
      </w:r>
      <w:proofErr w:type="spellEnd"/>
      <w:r>
        <w:rPr>
          <w:rFonts w:ascii="Times New Roman" w:hAnsi="Times New Roman" w:cs="Times New Roman"/>
          <w:sz w:val="22"/>
          <w:szCs w:val="22"/>
        </w:rPr>
        <w:t xml:space="preserve"> (2017). </w:t>
      </w:r>
      <w:proofErr w:type="spellStart"/>
      <w:r>
        <w:rPr>
          <w:rFonts w:ascii="Times New Roman" w:hAnsi="Times New Roman" w:cs="Times New Roman"/>
          <w:i/>
          <w:sz w:val="22"/>
          <w:szCs w:val="22"/>
        </w:rPr>
        <w:t>The</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Global</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Human</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Capital</w:t>
      </w:r>
      <w:proofErr w:type="spellEnd"/>
      <w:r>
        <w:rPr>
          <w:rFonts w:ascii="Times New Roman" w:hAnsi="Times New Roman" w:cs="Times New Roman"/>
          <w:i/>
          <w:sz w:val="22"/>
          <w:szCs w:val="22"/>
        </w:rPr>
        <w:t xml:space="preserve"> Report 2017.</w:t>
      </w:r>
      <w:r w:rsidR="000140D4" w:rsidRPr="000140D4">
        <w:rPr>
          <w:rFonts w:ascii="Times New Roman" w:hAnsi="Times New Roman" w:cs="Times New Roman"/>
          <w:sz w:val="22"/>
          <w:szCs w:val="22"/>
        </w:rPr>
        <w:t xml:space="preserve"> </w:t>
      </w:r>
      <w:r w:rsidR="000140D4">
        <w:rPr>
          <w:rFonts w:ascii="Times New Roman" w:hAnsi="Times New Roman" w:cs="Times New Roman"/>
          <w:sz w:val="22"/>
          <w:szCs w:val="22"/>
        </w:rPr>
        <w:t xml:space="preserve">Dostupné z: </w:t>
      </w:r>
      <w:r w:rsidR="000140D4" w:rsidRPr="000140D4">
        <w:rPr>
          <w:rFonts w:ascii="Times New Roman" w:hAnsi="Times New Roman" w:cs="Times New Roman"/>
          <w:sz w:val="22"/>
          <w:szCs w:val="22"/>
        </w:rPr>
        <w:t>https://www.weforum.org/reports/the-global-human-capital-report-2017</w:t>
      </w:r>
      <w:r w:rsidR="000140D4">
        <w:rPr>
          <w:rFonts w:ascii="Times New Roman" w:hAnsi="Times New Roman" w:cs="Times New Roman"/>
          <w:sz w:val="22"/>
          <w:szCs w:val="22"/>
        </w:rPr>
        <w:t>.</w:t>
      </w:r>
    </w:p>
    <w:p w14:paraId="2880D43F" w14:textId="5E18CC02" w:rsidR="007B7B1F" w:rsidRPr="007B7B1F" w:rsidRDefault="007B7B1F" w:rsidP="00E01CAA">
      <w:pPr>
        <w:spacing w:before="120"/>
        <w:jc w:val="both"/>
        <w:rPr>
          <w:rFonts w:ascii="Times New Roman" w:hAnsi="Times New Roman" w:cs="Times New Roman"/>
          <w:sz w:val="22"/>
          <w:szCs w:val="22"/>
        </w:rPr>
      </w:pPr>
      <w:r>
        <w:rPr>
          <w:rFonts w:ascii="Times New Roman" w:hAnsi="Times New Roman" w:cs="Times New Roman"/>
          <w:sz w:val="22"/>
          <w:szCs w:val="22"/>
        </w:rPr>
        <w:t xml:space="preserve">EC. (2010). Sdělení Komise </w:t>
      </w:r>
      <w:r>
        <w:rPr>
          <w:rFonts w:ascii="Times New Roman" w:hAnsi="Times New Roman" w:cs="Times New Roman"/>
          <w:i/>
          <w:sz w:val="22"/>
          <w:szCs w:val="22"/>
        </w:rPr>
        <w:t xml:space="preserve">Evropa 2020. Strategie pro inteligentní a udržitelný růst podporující začlenění, </w:t>
      </w:r>
      <w:r>
        <w:rPr>
          <w:rFonts w:ascii="Times New Roman" w:hAnsi="Times New Roman" w:cs="Times New Roman"/>
          <w:sz w:val="22"/>
          <w:szCs w:val="22"/>
        </w:rPr>
        <w:t xml:space="preserve">ze dne 3. 3. 2010 </w:t>
      </w:r>
      <w:proofErr w:type="gramStart"/>
      <w:r>
        <w:rPr>
          <w:rFonts w:ascii="Times New Roman" w:hAnsi="Times New Roman" w:cs="Times New Roman"/>
          <w:sz w:val="22"/>
          <w:szCs w:val="22"/>
        </w:rPr>
        <w:t>KOM(</w:t>
      </w:r>
      <w:proofErr w:type="gramEnd"/>
      <w:r>
        <w:rPr>
          <w:rFonts w:ascii="Times New Roman" w:hAnsi="Times New Roman" w:cs="Times New Roman"/>
          <w:sz w:val="22"/>
          <w:szCs w:val="22"/>
        </w:rPr>
        <w:t>2010) 2020 v konečném znění. Dostupné z:</w:t>
      </w:r>
    </w:p>
    <w:p w14:paraId="3DE67AB5" w14:textId="1E416170" w:rsidR="00924914" w:rsidRPr="00E01CAA" w:rsidRDefault="00E01CAA" w:rsidP="00E01CAA">
      <w:pPr>
        <w:spacing w:before="120"/>
        <w:jc w:val="both"/>
        <w:rPr>
          <w:rFonts w:ascii="Times New Roman" w:hAnsi="Times New Roman" w:cs="Times New Roman"/>
          <w:sz w:val="22"/>
          <w:szCs w:val="22"/>
        </w:rPr>
      </w:pPr>
      <w:r>
        <w:rPr>
          <w:rFonts w:ascii="Times New Roman" w:hAnsi="Times New Roman" w:cs="Times New Roman"/>
          <w:sz w:val="22"/>
          <w:szCs w:val="22"/>
        </w:rPr>
        <w:t xml:space="preserve">ES. (2006). </w:t>
      </w:r>
      <w:r>
        <w:rPr>
          <w:rFonts w:ascii="Times New Roman" w:hAnsi="Times New Roman" w:cs="Times New Roman"/>
          <w:i/>
          <w:sz w:val="22"/>
          <w:szCs w:val="22"/>
        </w:rPr>
        <w:t xml:space="preserve">Doporučení Evropského parlamentu a Rady ze dne 18. </w:t>
      </w:r>
      <w:r w:rsidR="007B7B1F">
        <w:rPr>
          <w:rFonts w:ascii="Times New Roman" w:hAnsi="Times New Roman" w:cs="Times New Roman"/>
          <w:i/>
          <w:sz w:val="22"/>
          <w:szCs w:val="22"/>
        </w:rPr>
        <w:t>p</w:t>
      </w:r>
      <w:r>
        <w:rPr>
          <w:rFonts w:ascii="Times New Roman" w:hAnsi="Times New Roman" w:cs="Times New Roman"/>
          <w:i/>
          <w:sz w:val="22"/>
          <w:szCs w:val="22"/>
        </w:rPr>
        <w:t>ros</w:t>
      </w:r>
      <w:r w:rsidR="007B7B1F">
        <w:rPr>
          <w:rFonts w:ascii="Times New Roman" w:hAnsi="Times New Roman" w:cs="Times New Roman"/>
          <w:i/>
          <w:sz w:val="22"/>
          <w:szCs w:val="22"/>
        </w:rPr>
        <w:t>i</w:t>
      </w:r>
      <w:r>
        <w:rPr>
          <w:rFonts w:ascii="Times New Roman" w:hAnsi="Times New Roman" w:cs="Times New Roman"/>
          <w:i/>
          <w:sz w:val="22"/>
          <w:szCs w:val="22"/>
        </w:rPr>
        <w:t xml:space="preserve">nce 2006, o klíčových schopnostech pro celoživotní učení </w:t>
      </w:r>
      <w:r w:rsidRPr="00E01CAA">
        <w:rPr>
          <w:rFonts w:ascii="Times New Roman" w:hAnsi="Times New Roman" w:cs="Times New Roman"/>
          <w:sz w:val="22"/>
          <w:szCs w:val="22"/>
        </w:rPr>
        <w:t>(</w:t>
      </w:r>
      <w:r>
        <w:rPr>
          <w:rFonts w:ascii="Times New Roman" w:hAnsi="Times New Roman" w:cs="Times New Roman"/>
          <w:sz w:val="22"/>
          <w:szCs w:val="22"/>
        </w:rPr>
        <w:t xml:space="preserve">2006/962/ES). Dostupné z: </w:t>
      </w:r>
      <w:r w:rsidRPr="00E01CAA">
        <w:rPr>
          <w:rFonts w:ascii="Times New Roman" w:hAnsi="Times New Roman" w:cs="Times New Roman"/>
          <w:sz w:val="22"/>
          <w:szCs w:val="22"/>
        </w:rPr>
        <w:t>https://eur-lex.europa.eu/legal-content/CS/TXT/PDF/?uri=CELEX:32006H0962&amp;from=EN</w:t>
      </w:r>
      <w:r w:rsidR="00C31DB7">
        <w:rPr>
          <w:rFonts w:ascii="Times New Roman" w:hAnsi="Times New Roman" w:cs="Times New Roman"/>
          <w:sz w:val="22"/>
          <w:szCs w:val="22"/>
        </w:rPr>
        <w:t>.</w:t>
      </w:r>
    </w:p>
    <w:p w14:paraId="78456FCC" w14:textId="0D4A9C88" w:rsidR="001E12ED" w:rsidRDefault="00C31DB7"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EU. </w:t>
      </w:r>
      <w:r w:rsidR="00C84B54">
        <w:rPr>
          <w:rFonts w:ascii="Times New Roman" w:hAnsi="Times New Roman" w:cs="Times New Roman"/>
          <w:sz w:val="22"/>
          <w:szCs w:val="22"/>
        </w:rPr>
        <w:t xml:space="preserve">(2015). </w:t>
      </w:r>
      <w:r>
        <w:rPr>
          <w:rFonts w:ascii="Times New Roman" w:hAnsi="Times New Roman" w:cs="Times New Roman"/>
          <w:i/>
          <w:sz w:val="22"/>
          <w:szCs w:val="22"/>
        </w:rPr>
        <w:t xml:space="preserve">Evropský přehled dovedností. </w:t>
      </w:r>
      <w:r>
        <w:rPr>
          <w:rFonts w:ascii="Times New Roman" w:hAnsi="Times New Roman" w:cs="Times New Roman"/>
          <w:sz w:val="22"/>
          <w:szCs w:val="22"/>
        </w:rPr>
        <w:t xml:space="preserve">Dostupné z: </w:t>
      </w:r>
      <w:r w:rsidR="008A1054" w:rsidRPr="008A1054">
        <w:rPr>
          <w:rFonts w:ascii="Times New Roman" w:hAnsi="Times New Roman" w:cs="Times New Roman"/>
          <w:sz w:val="22"/>
          <w:szCs w:val="22"/>
        </w:rPr>
        <w:t>http://skillspanorama.cedefop.</w:t>
      </w:r>
      <w:r w:rsidR="00C84B54">
        <w:rPr>
          <w:rFonts w:ascii="Times New Roman" w:hAnsi="Times New Roman" w:cs="Times New Roman"/>
          <w:sz w:val="22"/>
          <w:szCs w:val="22"/>
        </w:rPr>
        <w:t xml:space="preserve"> </w:t>
      </w:r>
      <w:r w:rsidR="008A1054" w:rsidRPr="008A1054">
        <w:rPr>
          <w:rFonts w:ascii="Times New Roman" w:hAnsi="Times New Roman" w:cs="Times New Roman"/>
          <w:sz w:val="22"/>
          <w:szCs w:val="22"/>
        </w:rPr>
        <w:t>europa.eu/en</w:t>
      </w:r>
      <w:r w:rsidR="008A1054">
        <w:rPr>
          <w:rFonts w:ascii="Times New Roman" w:hAnsi="Times New Roman" w:cs="Times New Roman"/>
          <w:sz w:val="22"/>
          <w:szCs w:val="22"/>
        </w:rPr>
        <w:t>.</w:t>
      </w:r>
    </w:p>
    <w:p w14:paraId="22B7A7EE" w14:textId="3EF8DBE4" w:rsidR="008A1054" w:rsidRDefault="008A1054"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EU. </w:t>
      </w:r>
      <w:r w:rsidR="00C84B54">
        <w:rPr>
          <w:rFonts w:ascii="Times New Roman" w:hAnsi="Times New Roman" w:cs="Times New Roman"/>
          <w:sz w:val="22"/>
          <w:szCs w:val="22"/>
        </w:rPr>
        <w:t xml:space="preserve">(2017). </w:t>
      </w:r>
      <w:r>
        <w:rPr>
          <w:rFonts w:ascii="Times New Roman" w:hAnsi="Times New Roman" w:cs="Times New Roman"/>
          <w:i/>
          <w:sz w:val="22"/>
          <w:szCs w:val="22"/>
        </w:rPr>
        <w:t xml:space="preserve">ESCO. </w:t>
      </w:r>
      <w:r w:rsidR="002E5EEC">
        <w:rPr>
          <w:rFonts w:ascii="Times New Roman" w:hAnsi="Times New Roman" w:cs="Times New Roman"/>
          <w:i/>
          <w:sz w:val="22"/>
          <w:szCs w:val="22"/>
        </w:rPr>
        <w:t xml:space="preserve">Evropská klasifikace dovedností/kompetencí, kvalifikací a povolání. </w:t>
      </w:r>
      <w:r>
        <w:rPr>
          <w:rFonts w:ascii="Times New Roman" w:hAnsi="Times New Roman" w:cs="Times New Roman"/>
          <w:sz w:val="22"/>
          <w:szCs w:val="22"/>
        </w:rPr>
        <w:t xml:space="preserve">Dostupné z: </w:t>
      </w:r>
      <w:r w:rsidR="00300A8D" w:rsidRPr="00300A8D">
        <w:rPr>
          <w:rFonts w:ascii="Times New Roman" w:hAnsi="Times New Roman" w:cs="Times New Roman"/>
          <w:sz w:val="22"/>
          <w:szCs w:val="22"/>
        </w:rPr>
        <w:t>https://ec.europa.eu/esco/portal/home</w:t>
      </w:r>
      <w:r w:rsidR="00300A8D">
        <w:rPr>
          <w:rFonts w:ascii="Times New Roman" w:hAnsi="Times New Roman" w:cs="Times New Roman"/>
          <w:sz w:val="22"/>
          <w:szCs w:val="22"/>
        </w:rPr>
        <w:t>.</w:t>
      </w:r>
    </w:p>
    <w:p w14:paraId="6A3BB64F" w14:textId="78B8BF42" w:rsidR="00C84B54" w:rsidRDefault="00C84B54"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MPSV ČR. (2015). </w:t>
      </w:r>
      <w:r>
        <w:rPr>
          <w:rFonts w:ascii="Times New Roman" w:hAnsi="Times New Roman" w:cs="Times New Roman"/>
          <w:i/>
          <w:sz w:val="22"/>
          <w:szCs w:val="22"/>
        </w:rPr>
        <w:t xml:space="preserve">Strategie digitální gramotnosti ČR na období </w:t>
      </w:r>
      <w:proofErr w:type="gramStart"/>
      <w:r>
        <w:rPr>
          <w:rFonts w:ascii="Times New Roman" w:hAnsi="Times New Roman" w:cs="Times New Roman"/>
          <w:i/>
          <w:sz w:val="22"/>
          <w:szCs w:val="22"/>
        </w:rPr>
        <w:t>2015 – 2020</w:t>
      </w:r>
      <w:proofErr w:type="gramEnd"/>
      <w:r>
        <w:rPr>
          <w:rFonts w:ascii="Times New Roman" w:hAnsi="Times New Roman" w:cs="Times New Roman"/>
          <w:i/>
          <w:sz w:val="22"/>
          <w:szCs w:val="22"/>
        </w:rPr>
        <w:t xml:space="preserve">. </w:t>
      </w:r>
      <w:r>
        <w:rPr>
          <w:rFonts w:ascii="Times New Roman" w:hAnsi="Times New Roman" w:cs="Times New Roman"/>
          <w:sz w:val="22"/>
          <w:szCs w:val="22"/>
        </w:rPr>
        <w:t xml:space="preserve">Dostupné z: </w:t>
      </w:r>
      <w:r w:rsidRPr="00C84B54">
        <w:rPr>
          <w:rFonts w:ascii="Times New Roman" w:hAnsi="Times New Roman" w:cs="Times New Roman"/>
          <w:sz w:val="22"/>
          <w:szCs w:val="22"/>
        </w:rPr>
        <w:t>https://www.mpsv.cz/files/clanky/21499/Strategie_DG.pdf</w:t>
      </w:r>
    </w:p>
    <w:p w14:paraId="04D07B1C" w14:textId="0F0FBFBF" w:rsidR="00933A3B" w:rsidRDefault="00933A3B" w:rsidP="00A2519B">
      <w:pPr>
        <w:spacing w:before="120"/>
        <w:jc w:val="both"/>
        <w:rPr>
          <w:rFonts w:ascii="Times New Roman" w:hAnsi="Times New Roman" w:cs="Times New Roman"/>
          <w:sz w:val="22"/>
          <w:szCs w:val="22"/>
        </w:rPr>
      </w:pPr>
      <w:r>
        <w:rPr>
          <w:rFonts w:ascii="Times New Roman" w:hAnsi="Times New Roman" w:cs="Times New Roman"/>
          <w:sz w:val="22"/>
          <w:szCs w:val="22"/>
        </w:rPr>
        <w:t>MŠMT ČR. (201</w:t>
      </w:r>
      <w:r w:rsidR="00CC35E9">
        <w:rPr>
          <w:rFonts w:ascii="Times New Roman" w:hAnsi="Times New Roman" w:cs="Times New Roman"/>
          <w:sz w:val="22"/>
          <w:szCs w:val="22"/>
        </w:rPr>
        <w:t xml:space="preserve">4). </w:t>
      </w:r>
      <w:r w:rsidR="00CC35E9">
        <w:rPr>
          <w:rFonts w:ascii="Times New Roman" w:hAnsi="Times New Roman" w:cs="Times New Roman"/>
          <w:i/>
          <w:sz w:val="22"/>
          <w:szCs w:val="22"/>
        </w:rPr>
        <w:t xml:space="preserve">Strategie vzdělávací politiky ČR do roku 2020. </w:t>
      </w:r>
      <w:r w:rsidR="00CC35E9">
        <w:rPr>
          <w:rFonts w:ascii="Times New Roman" w:hAnsi="Times New Roman" w:cs="Times New Roman"/>
          <w:sz w:val="22"/>
          <w:szCs w:val="22"/>
        </w:rPr>
        <w:t xml:space="preserve">Dostupné z: </w:t>
      </w:r>
      <w:r w:rsidR="00C84B54" w:rsidRPr="00C84B54">
        <w:rPr>
          <w:rFonts w:ascii="Times New Roman" w:hAnsi="Times New Roman" w:cs="Times New Roman"/>
          <w:sz w:val="22"/>
          <w:szCs w:val="22"/>
        </w:rPr>
        <w:t>https://www.databaze-strategie.cz/cz/msmt/strategie/strategie-vzdelavaci-politiky-ceske-republiky-do-roku-2020</w:t>
      </w:r>
      <w:r w:rsidR="00C84B54">
        <w:rPr>
          <w:rFonts w:ascii="Times New Roman" w:hAnsi="Times New Roman" w:cs="Times New Roman"/>
          <w:sz w:val="22"/>
          <w:szCs w:val="22"/>
        </w:rPr>
        <w:t>.</w:t>
      </w:r>
    </w:p>
    <w:p w14:paraId="1F2B7138" w14:textId="084885FE" w:rsidR="00E737DC" w:rsidRDefault="00B20876" w:rsidP="00A2519B">
      <w:pPr>
        <w:spacing w:before="120"/>
        <w:jc w:val="both"/>
        <w:rPr>
          <w:rFonts w:ascii="Times New Roman" w:hAnsi="Times New Roman" w:cs="Times New Roman"/>
          <w:sz w:val="22"/>
          <w:szCs w:val="22"/>
        </w:rPr>
      </w:pPr>
      <w:r>
        <w:rPr>
          <w:rFonts w:ascii="Times New Roman" w:hAnsi="Times New Roman" w:cs="Times New Roman"/>
          <w:sz w:val="22"/>
          <w:szCs w:val="22"/>
        </w:rPr>
        <w:t>MŠMT ČR &amp; NÚV.</w:t>
      </w:r>
      <w:r w:rsidR="00E737DC">
        <w:rPr>
          <w:rFonts w:ascii="Times New Roman" w:hAnsi="Times New Roman" w:cs="Times New Roman"/>
          <w:sz w:val="22"/>
          <w:szCs w:val="22"/>
        </w:rPr>
        <w:t xml:space="preserve"> (2014).</w:t>
      </w:r>
      <w:r>
        <w:rPr>
          <w:rFonts w:ascii="Times New Roman" w:hAnsi="Times New Roman" w:cs="Times New Roman"/>
          <w:sz w:val="22"/>
          <w:szCs w:val="22"/>
        </w:rPr>
        <w:t xml:space="preserve"> </w:t>
      </w:r>
      <w:r>
        <w:rPr>
          <w:rFonts w:ascii="Times New Roman" w:hAnsi="Times New Roman" w:cs="Times New Roman"/>
          <w:i/>
          <w:sz w:val="22"/>
          <w:szCs w:val="22"/>
        </w:rPr>
        <w:t xml:space="preserve">Šetření akreditovaných a neakreditovaných vzdělávacích programů za rok 2013. </w:t>
      </w:r>
      <w:r>
        <w:rPr>
          <w:rFonts w:ascii="Times New Roman" w:hAnsi="Times New Roman" w:cs="Times New Roman"/>
          <w:sz w:val="22"/>
          <w:szCs w:val="22"/>
        </w:rPr>
        <w:t xml:space="preserve">Dostupné z: </w:t>
      </w:r>
      <w:r w:rsidRPr="00B20876">
        <w:rPr>
          <w:rFonts w:ascii="Times New Roman" w:hAnsi="Times New Roman" w:cs="Times New Roman"/>
          <w:sz w:val="22"/>
          <w:szCs w:val="22"/>
        </w:rPr>
        <w:t>http://www.msmt.cz/file/33908/</w:t>
      </w:r>
      <w:r>
        <w:rPr>
          <w:rFonts w:ascii="Times New Roman" w:hAnsi="Times New Roman" w:cs="Times New Roman"/>
          <w:sz w:val="22"/>
          <w:szCs w:val="22"/>
        </w:rPr>
        <w:t>.</w:t>
      </w:r>
    </w:p>
    <w:p w14:paraId="01885A8F" w14:textId="4129C0BB" w:rsidR="00872568" w:rsidRDefault="001403AF" w:rsidP="00A2519B">
      <w:pPr>
        <w:spacing w:before="120"/>
        <w:jc w:val="both"/>
        <w:rPr>
          <w:rFonts w:ascii="Times New Roman" w:hAnsi="Times New Roman" w:cs="Times New Roman"/>
          <w:sz w:val="22"/>
          <w:szCs w:val="22"/>
        </w:rPr>
      </w:pPr>
      <w:r>
        <w:rPr>
          <w:rFonts w:ascii="Times New Roman" w:hAnsi="Times New Roman" w:cs="Times New Roman"/>
          <w:sz w:val="22"/>
          <w:szCs w:val="22"/>
        </w:rPr>
        <w:lastRenderedPageBreak/>
        <w:t xml:space="preserve">Národní soustava kvalifikací. (2018). [on line]. Dostupné z: </w:t>
      </w:r>
      <w:r w:rsidRPr="001403AF">
        <w:rPr>
          <w:rFonts w:ascii="Times New Roman" w:hAnsi="Times New Roman" w:cs="Times New Roman"/>
          <w:sz w:val="22"/>
          <w:szCs w:val="22"/>
        </w:rPr>
        <w:t>https://www.narodnikvalifikace</w:t>
      </w:r>
      <w:r>
        <w:rPr>
          <w:rFonts w:ascii="Times New Roman" w:hAnsi="Times New Roman" w:cs="Times New Roman"/>
          <w:sz w:val="22"/>
          <w:szCs w:val="22"/>
        </w:rPr>
        <w:t xml:space="preserve">. </w:t>
      </w:r>
      <w:proofErr w:type="spellStart"/>
      <w:r>
        <w:rPr>
          <w:rFonts w:ascii="Times New Roman" w:hAnsi="Times New Roman" w:cs="Times New Roman"/>
          <w:sz w:val="22"/>
          <w:szCs w:val="22"/>
        </w:rPr>
        <w:t>cz</w:t>
      </w:r>
      <w:proofErr w:type="spellEnd"/>
      <w:r>
        <w:rPr>
          <w:rFonts w:ascii="Times New Roman" w:hAnsi="Times New Roman" w:cs="Times New Roman"/>
          <w:sz w:val="22"/>
          <w:szCs w:val="22"/>
        </w:rPr>
        <w:t>.</w:t>
      </w:r>
    </w:p>
    <w:p w14:paraId="6706CCC1" w14:textId="3F00754F" w:rsidR="00872568" w:rsidRPr="00872568" w:rsidRDefault="00872568" w:rsidP="00A2519B">
      <w:pPr>
        <w:spacing w:before="120"/>
        <w:jc w:val="both"/>
        <w:rPr>
          <w:rFonts w:ascii="Times New Roman" w:hAnsi="Times New Roman" w:cs="Times New Roman"/>
          <w:sz w:val="22"/>
          <w:szCs w:val="22"/>
        </w:rPr>
      </w:pPr>
      <w:proofErr w:type="spellStart"/>
      <w:r>
        <w:rPr>
          <w:rFonts w:ascii="Times New Roman" w:hAnsi="Times New Roman" w:cs="Times New Roman"/>
          <w:sz w:val="22"/>
          <w:szCs w:val="22"/>
        </w:rPr>
        <w:t>Randstad</w:t>
      </w:r>
      <w:proofErr w:type="spellEnd"/>
      <w:r>
        <w:rPr>
          <w:rFonts w:ascii="Times New Roman" w:hAnsi="Times New Roman" w:cs="Times New Roman"/>
          <w:sz w:val="22"/>
          <w:szCs w:val="22"/>
        </w:rPr>
        <w:t xml:space="preserve">. (2017). </w:t>
      </w:r>
      <w:proofErr w:type="spellStart"/>
      <w:r>
        <w:rPr>
          <w:rFonts w:ascii="Times New Roman" w:hAnsi="Times New Roman" w:cs="Times New Roman"/>
          <w:i/>
          <w:sz w:val="22"/>
          <w:szCs w:val="22"/>
        </w:rPr>
        <w:t>Workmonitor</w:t>
      </w:r>
      <w:proofErr w:type="spellEnd"/>
      <w:r>
        <w:rPr>
          <w:rFonts w:ascii="Times New Roman" w:hAnsi="Times New Roman" w:cs="Times New Roman"/>
          <w:i/>
          <w:sz w:val="22"/>
          <w:szCs w:val="22"/>
        </w:rPr>
        <w:t xml:space="preserve"> – Češi nejsou ochotni se stěhovat za prací do zahraničí. </w:t>
      </w:r>
      <w:r>
        <w:rPr>
          <w:rFonts w:ascii="Times New Roman" w:hAnsi="Times New Roman" w:cs="Times New Roman"/>
          <w:sz w:val="22"/>
          <w:szCs w:val="22"/>
        </w:rPr>
        <w:t xml:space="preserve">Dostupné z: </w:t>
      </w:r>
      <w:r w:rsidRPr="00872568">
        <w:rPr>
          <w:rFonts w:ascii="Times New Roman" w:hAnsi="Times New Roman" w:cs="Times New Roman"/>
          <w:sz w:val="22"/>
          <w:szCs w:val="22"/>
        </w:rPr>
        <w:t>https://www.randstad.cz/o-nas/tiskove-zpravy/randstad-news/randstad-workmo</w:t>
      </w:r>
      <w:r>
        <w:rPr>
          <w:rFonts w:ascii="Times New Roman" w:hAnsi="Times New Roman" w:cs="Times New Roman"/>
          <w:sz w:val="22"/>
          <w:szCs w:val="22"/>
        </w:rPr>
        <w:t>-</w:t>
      </w:r>
      <w:r w:rsidRPr="00872568">
        <w:rPr>
          <w:rFonts w:ascii="Times New Roman" w:hAnsi="Times New Roman" w:cs="Times New Roman"/>
          <w:sz w:val="22"/>
          <w:szCs w:val="22"/>
        </w:rPr>
        <w:t>nitor-cesi-nejsou-ochotni-se-stehovat-za-praci-do-zahranici/</w:t>
      </w:r>
      <w:r>
        <w:rPr>
          <w:rFonts w:ascii="Times New Roman" w:hAnsi="Times New Roman" w:cs="Times New Roman"/>
          <w:sz w:val="22"/>
          <w:szCs w:val="22"/>
        </w:rPr>
        <w:t>.</w:t>
      </w:r>
    </w:p>
    <w:p w14:paraId="083C339D" w14:textId="3EABC7E0" w:rsidR="00DF429B" w:rsidRDefault="00DF429B"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Úřad práce ČR. (2018). </w:t>
      </w:r>
      <w:r>
        <w:rPr>
          <w:rFonts w:ascii="Times New Roman" w:hAnsi="Times New Roman" w:cs="Times New Roman"/>
          <w:i/>
          <w:sz w:val="22"/>
          <w:szCs w:val="22"/>
        </w:rPr>
        <w:t xml:space="preserve">Rekvalifikaci loni absolvovalo více než 18 tisíc lidí. </w:t>
      </w:r>
      <w:r>
        <w:rPr>
          <w:rFonts w:ascii="Times New Roman" w:hAnsi="Times New Roman" w:cs="Times New Roman"/>
          <w:sz w:val="22"/>
          <w:szCs w:val="22"/>
        </w:rPr>
        <w:t xml:space="preserve">Tisková zpráva. Dostupné z: </w:t>
      </w:r>
      <w:r w:rsidRPr="00DF429B">
        <w:rPr>
          <w:rFonts w:ascii="Times New Roman" w:hAnsi="Times New Roman" w:cs="Times New Roman"/>
          <w:sz w:val="22"/>
          <w:szCs w:val="22"/>
        </w:rPr>
        <w:t>https://portal.mpsv.cz/upcr/media/tz/2018/02/2018_02_16_tz_rekvalifikace</w:t>
      </w:r>
      <w:r>
        <w:rPr>
          <w:rFonts w:ascii="Times New Roman" w:hAnsi="Times New Roman" w:cs="Times New Roman"/>
          <w:sz w:val="22"/>
          <w:szCs w:val="22"/>
        </w:rPr>
        <w:t xml:space="preserve"> </w:t>
      </w:r>
      <w:r w:rsidRPr="00DF429B">
        <w:rPr>
          <w:rFonts w:ascii="Times New Roman" w:hAnsi="Times New Roman" w:cs="Times New Roman"/>
          <w:sz w:val="22"/>
          <w:szCs w:val="22"/>
        </w:rPr>
        <w:t>_2017.pdf</w:t>
      </w:r>
    </w:p>
    <w:p w14:paraId="6334F445" w14:textId="64DD2E6A" w:rsidR="00300A8D" w:rsidRPr="00300A8D" w:rsidRDefault="00933A3B"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Úřad vlády ČR. (2018). </w:t>
      </w:r>
      <w:r w:rsidR="00300A8D" w:rsidRPr="00300A8D">
        <w:rPr>
          <w:rFonts w:ascii="Times New Roman" w:hAnsi="Times New Roman" w:cs="Times New Roman"/>
          <w:i/>
          <w:sz w:val="22"/>
          <w:szCs w:val="22"/>
        </w:rPr>
        <w:t>N</w:t>
      </w:r>
      <w:r w:rsidR="00300A8D">
        <w:rPr>
          <w:rFonts w:ascii="Times New Roman" w:hAnsi="Times New Roman" w:cs="Times New Roman"/>
          <w:i/>
          <w:sz w:val="22"/>
          <w:szCs w:val="22"/>
        </w:rPr>
        <w:t xml:space="preserve">árodní program reforem České republiky 2018. </w:t>
      </w:r>
      <w:r>
        <w:rPr>
          <w:rFonts w:ascii="Times New Roman" w:hAnsi="Times New Roman" w:cs="Times New Roman"/>
          <w:sz w:val="22"/>
          <w:szCs w:val="22"/>
        </w:rPr>
        <w:t>Dostupné z:</w:t>
      </w:r>
      <w:r w:rsidR="001C5722">
        <w:rPr>
          <w:rFonts w:ascii="Times New Roman" w:hAnsi="Times New Roman" w:cs="Times New Roman"/>
          <w:sz w:val="22"/>
          <w:szCs w:val="22"/>
        </w:rPr>
        <w:t xml:space="preserve"> </w:t>
      </w:r>
      <w:r w:rsidR="001C5722" w:rsidRPr="001C5722">
        <w:rPr>
          <w:rFonts w:ascii="Times New Roman" w:hAnsi="Times New Roman" w:cs="Times New Roman"/>
          <w:sz w:val="22"/>
          <w:szCs w:val="22"/>
        </w:rPr>
        <w:t>https://www.vlada.cz/assets/evropske-zalezitosti/aktualne/NPR-2018.pdf</w:t>
      </w:r>
      <w:r w:rsidR="001C5722">
        <w:rPr>
          <w:rFonts w:ascii="Times New Roman" w:hAnsi="Times New Roman" w:cs="Times New Roman"/>
          <w:sz w:val="22"/>
          <w:szCs w:val="22"/>
        </w:rPr>
        <w:t>.</w:t>
      </w:r>
    </w:p>
    <w:p w14:paraId="1ADED7AD" w14:textId="0C5CCC6A" w:rsidR="001E12ED" w:rsidRDefault="001E12ED" w:rsidP="001E12ED">
      <w:pPr>
        <w:pStyle w:val="Nadpis4"/>
      </w:pPr>
      <w:r>
        <w:t>Sekundární zdroje</w:t>
      </w:r>
    </w:p>
    <w:p w14:paraId="36830939" w14:textId="4DAE05B8" w:rsidR="00A66161" w:rsidRDefault="00A66161" w:rsidP="00A2519B">
      <w:pPr>
        <w:spacing w:before="120"/>
        <w:jc w:val="both"/>
        <w:rPr>
          <w:rFonts w:ascii="Times New Roman" w:hAnsi="Times New Roman" w:cs="Times New Roman"/>
          <w:sz w:val="22"/>
          <w:szCs w:val="22"/>
        </w:rPr>
      </w:pPr>
      <w:proofErr w:type="spellStart"/>
      <w:r w:rsidRPr="00A66161">
        <w:rPr>
          <w:rFonts w:ascii="Times New Roman" w:hAnsi="Times New Roman" w:cs="Times New Roman"/>
          <w:sz w:val="22"/>
          <w:szCs w:val="22"/>
        </w:rPr>
        <w:t>Becker</w:t>
      </w:r>
      <w:proofErr w:type="spellEnd"/>
      <w:r w:rsidRPr="00A66161">
        <w:rPr>
          <w:rFonts w:ascii="Times New Roman" w:hAnsi="Times New Roman" w:cs="Times New Roman"/>
          <w:sz w:val="22"/>
          <w:szCs w:val="22"/>
        </w:rPr>
        <w:t>, S. G. (1997)</w:t>
      </w:r>
      <w:r w:rsidR="00F35D19">
        <w:rPr>
          <w:rFonts w:ascii="Times New Roman" w:hAnsi="Times New Roman" w:cs="Times New Roman"/>
          <w:sz w:val="22"/>
          <w:szCs w:val="22"/>
        </w:rPr>
        <w:t>.</w:t>
      </w:r>
      <w:r>
        <w:rPr>
          <w:rFonts w:ascii="Times New Roman" w:hAnsi="Times New Roman" w:cs="Times New Roman"/>
          <w:sz w:val="22"/>
          <w:szCs w:val="22"/>
        </w:rPr>
        <w:t xml:space="preserve"> </w:t>
      </w:r>
      <w:r>
        <w:rPr>
          <w:rFonts w:ascii="Times New Roman" w:hAnsi="Times New Roman" w:cs="Times New Roman"/>
          <w:i/>
          <w:sz w:val="22"/>
          <w:szCs w:val="22"/>
        </w:rPr>
        <w:t xml:space="preserve">Teorie preferencí. </w:t>
      </w:r>
      <w:r w:rsidR="00F35D19">
        <w:rPr>
          <w:rFonts w:ascii="Times New Roman" w:hAnsi="Times New Roman" w:cs="Times New Roman"/>
          <w:sz w:val="22"/>
          <w:szCs w:val="22"/>
        </w:rPr>
        <w:t xml:space="preserve">Praha: </w:t>
      </w:r>
      <w:r w:rsidR="00A2519B">
        <w:rPr>
          <w:rFonts w:ascii="Times New Roman" w:hAnsi="Times New Roman" w:cs="Times New Roman"/>
          <w:sz w:val="22"/>
          <w:szCs w:val="22"/>
        </w:rPr>
        <w:t xml:space="preserve">Liberální institut. ISBN </w:t>
      </w:r>
      <w:r>
        <w:rPr>
          <w:rFonts w:ascii="Times New Roman" w:hAnsi="Times New Roman" w:cs="Times New Roman"/>
          <w:sz w:val="22"/>
          <w:szCs w:val="22"/>
        </w:rPr>
        <w:t>80-7169-463-0.</w:t>
      </w:r>
    </w:p>
    <w:p w14:paraId="45A8D66F" w14:textId="24745250" w:rsidR="00F35D19" w:rsidRPr="001E12ED" w:rsidRDefault="00F35D19" w:rsidP="00A2519B">
      <w:pPr>
        <w:spacing w:before="120"/>
        <w:jc w:val="both"/>
        <w:rPr>
          <w:rFonts w:ascii="Times New Roman" w:hAnsi="Times New Roman" w:cs="Times New Roman"/>
          <w:sz w:val="22"/>
          <w:szCs w:val="22"/>
          <w:lang w:val="en-GB"/>
        </w:rPr>
      </w:pPr>
      <w:r w:rsidRPr="001E12ED">
        <w:rPr>
          <w:rFonts w:ascii="Times New Roman" w:hAnsi="Times New Roman" w:cs="Times New Roman"/>
          <w:sz w:val="22"/>
          <w:szCs w:val="22"/>
          <w:lang w:val="en-GB"/>
        </w:rPr>
        <w:t xml:space="preserve">Becker, S. G. (1964). </w:t>
      </w:r>
      <w:r w:rsidRPr="001E12ED">
        <w:rPr>
          <w:rFonts w:ascii="Times New Roman" w:hAnsi="Times New Roman" w:cs="Times New Roman"/>
          <w:i/>
          <w:sz w:val="22"/>
          <w:szCs w:val="22"/>
          <w:lang w:val="en-GB"/>
        </w:rPr>
        <w:t xml:space="preserve">Human Capital. </w:t>
      </w:r>
      <w:r w:rsidRPr="001E12ED">
        <w:rPr>
          <w:rFonts w:ascii="Times New Roman" w:hAnsi="Times New Roman" w:cs="Times New Roman"/>
          <w:sz w:val="22"/>
          <w:szCs w:val="22"/>
          <w:lang w:val="en-GB"/>
        </w:rPr>
        <w:t>New York: Columbia University Press, for the National Bureau of Economic Research.</w:t>
      </w:r>
    </w:p>
    <w:p w14:paraId="6FB9299A" w14:textId="39326685" w:rsidR="001E12ED" w:rsidRPr="00391F7C" w:rsidRDefault="001E12ED" w:rsidP="00A2519B">
      <w:pPr>
        <w:spacing w:before="120"/>
        <w:jc w:val="both"/>
        <w:rPr>
          <w:rFonts w:ascii="Times New Roman" w:hAnsi="Times New Roman" w:cs="Times New Roman"/>
          <w:sz w:val="22"/>
          <w:szCs w:val="22"/>
          <w:lang w:val="en-GB"/>
        </w:rPr>
      </w:pPr>
      <w:r w:rsidRPr="001E12ED">
        <w:rPr>
          <w:rFonts w:ascii="Times New Roman" w:hAnsi="Times New Roman" w:cs="Times New Roman"/>
          <w:sz w:val="22"/>
          <w:szCs w:val="22"/>
          <w:lang w:val="en-GB"/>
        </w:rPr>
        <w:t xml:space="preserve">Brooking, A. (1996). </w:t>
      </w:r>
      <w:r w:rsidRPr="001E12ED">
        <w:rPr>
          <w:rFonts w:ascii="Times New Roman" w:hAnsi="Times New Roman" w:cs="Times New Roman"/>
          <w:i/>
          <w:sz w:val="22"/>
          <w:szCs w:val="22"/>
          <w:lang w:val="en-GB"/>
        </w:rPr>
        <w:t>Intellectual Capital: Core Asset for the Third Mil</w:t>
      </w:r>
      <w:r>
        <w:rPr>
          <w:rFonts w:ascii="Times New Roman" w:hAnsi="Times New Roman" w:cs="Times New Roman"/>
          <w:i/>
          <w:sz w:val="22"/>
          <w:szCs w:val="22"/>
          <w:lang w:val="en-GB"/>
        </w:rPr>
        <w:t>l</w:t>
      </w:r>
      <w:r w:rsidRPr="001E12ED">
        <w:rPr>
          <w:rFonts w:ascii="Times New Roman" w:hAnsi="Times New Roman" w:cs="Times New Roman"/>
          <w:i/>
          <w:sz w:val="22"/>
          <w:szCs w:val="22"/>
          <w:lang w:val="en-GB"/>
        </w:rPr>
        <w:t>ennium Enterprise.</w:t>
      </w:r>
      <w:r w:rsidR="00391F7C">
        <w:rPr>
          <w:rFonts w:ascii="Times New Roman" w:hAnsi="Times New Roman" w:cs="Times New Roman"/>
          <w:i/>
          <w:sz w:val="22"/>
          <w:szCs w:val="22"/>
          <w:lang w:val="en-GB"/>
        </w:rPr>
        <w:t xml:space="preserve"> </w:t>
      </w:r>
      <w:r w:rsidR="00391F7C">
        <w:rPr>
          <w:rFonts w:ascii="Times New Roman" w:hAnsi="Times New Roman" w:cs="Times New Roman"/>
          <w:sz w:val="22"/>
          <w:szCs w:val="22"/>
          <w:lang w:val="en-GB"/>
        </w:rPr>
        <w:t>London: International Thomson Business Press. ISBN 1-86152-4080.</w:t>
      </w:r>
    </w:p>
    <w:p w14:paraId="4B35F8A8" w14:textId="1C466D84" w:rsidR="00672AFA" w:rsidRPr="00F75EC1" w:rsidRDefault="00672AFA" w:rsidP="0095369A">
      <w:pPr>
        <w:pStyle w:val="Textpoznpodarou"/>
        <w:spacing w:before="120"/>
        <w:jc w:val="both"/>
        <w:rPr>
          <w:rFonts w:ascii="Times New Roman" w:hAnsi="Times New Roman" w:cs="Times New Roman"/>
          <w:sz w:val="22"/>
          <w:szCs w:val="22"/>
          <w:lang w:val="en-GB"/>
        </w:rPr>
      </w:pPr>
      <w:proofErr w:type="spellStart"/>
      <w:r w:rsidRPr="00F75EC1">
        <w:rPr>
          <w:rFonts w:ascii="Times New Roman" w:hAnsi="Times New Roman" w:cs="Times New Roman"/>
          <w:sz w:val="22"/>
          <w:szCs w:val="22"/>
          <w:lang w:val="en-GB"/>
        </w:rPr>
        <w:t>Blossfeld</w:t>
      </w:r>
      <w:proofErr w:type="spellEnd"/>
      <w:r w:rsidRPr="00F75EC1">
        <w:rPr>
          <w:rFonts w:ascii="Times New Roman" w:hAnsi="Times New Roman" w:cs="Times New Roman"/>
          <w:sz w:val="22"/>
          <w:szCs w:val="22"/>
          <w:lang w:val="en-GB"/>
        </w:rPr>
        <w:t xml:space="preserve">, H. P., Buchholz, S., &amp; </w:t>
      </w:r>
      <w:proofErr w:type="spellStart"/>
      <w:r w:rsidRPr="00F75EC1">
        <w:rPr>
          <w:rFonts w:ascii="Times New Roman" w:hAnsi="Times New Roman" w:cs="Times New Roman"/>
          <w:sz w:val="22"/>
          <w:szCs w:val="22"/>
          <w:lang w:val="en-GB"/>
        </w:rPr>
        <w:t>Kurz</w:t>
      </w:r>
      <w:proofErr w:type="spellEnd"/>
      <w:r w:rsidRPr="00F75EC1">
        <w:rPr>
          <w:rFonts w:ascii="Times New Roman" w:hAnsi="Times New Roman" w:cs="Times New Roman"/>
          <w:sz w:val="22"/>
          <w:szCs w:val="22"/>
          <w:lang w:val="en-GB"/>
        </w:rPr>
        <w:t xml:space="preserve">, K. (2011). </w:t>
      </w:r>
      <w:r w:rsidRPr="00F75EC1">
        <w:rPr>
          <w:rFonts w:ascii="Times New Roman" w:hAnsi="Times New Roman" w:cs="Times New Roman"/>
          <w:i/>
          <w:sz w:val="22"/>
          <w:szCs w:val="22"/>
          <w:lang w:val="en-GB"/>
        </w:rPr>
        <w:t xml:space="preserve">Aging Population, Globalization and the </w:t>
      </w:r>
      <w:proofErr w:type="spellStart"/>
      <w:r w:rsidRPr="00F75EC1">
        <w:rPr>
          <w:rFonts w:ascii="Times New Roman" w:hAnsi="Times New Roman" w:cs="Times New Roman"/>
          <w:i/>
          <w:sz w:val="22"/>
          <w:szCs w:val="22"/>
          <w:lang w:val="en-GB"/>
        </w:rPr>
        <w:t>Labor</w:t>
      </w:r>
      <w:proofErr w:type="spellEnd"/>
      <w:r w:rsidRPr="00F75EC1">
        <w:rPr>
          <w:rFonts w:ascii="Times New Roman" w:hAnsi="Times New Roman" w:cs="Times New Roman"/>
          <w:i/>
          <w:sz w:val="22"/>
          <w:szCs w:val="22"/>
          <w:lang w:val="en-GB"/>
        </w:rPr>
        <w:t xml:space="preserve"> Market: Comparing Late Working Life and Retirement in Modern Societies. </w:t>
      </w:r>
      <w:proofErr w:type="spellStart"/>
      <w:r w:rsidRPr="00F75EC1">
        <w:rPr>
          <w:rFonts w:ascii="Times New Roman" w:hAnsi="Times New Roman" w:cs="Times New Roman"/>
          <w:sz w:val="22"/>
          <w:szCs w:val="22"/>
          <w:lang w:val="en-GB"/>
        </w:rPr>
        <w:t>Lndon</w:t>
      </w:r>
      <w:proofErr w:type="spellEnd"/>
      <w:r w:rsidRPr="00F75EC1">
        <w:rPr>
          <w:rFonts w:ascii="Times New Roman" w:hAnsi="Times New Roman" w:cs="Times New Roman"/>
          <w:sz w:val="22"/>
          <w:szCs w:val="22"/>
          <w:lang w:val="en-GB"/>
        </w:rPr>
        <w:t>: Edward Elgar. ISBN 978-1-84980-372-4.</w:t>
      </w:r>
    </w:p>
    <w:p w14:paraId="2991F87A" w14:textId="1E6E814A" w:rsidR="00656305" w:rsidRPr="00D77217" w:rsidRDefault="00656305" w:rsidP="0095369A">
      <w:pPr>
        <w:pStyle w:val="Textpoznpodarou"/>
        <w:spacing w:before="120"/>
        <w:jc w:val="both"/>
        <w:rPr>
          <w:rFonts w:ascii="Times New Roman" w:hAnsi="Times New Roman" w:cs="Times New Roman"/>
          <w:sz w:val="22"/>
          <w:szCs w:val="22"/>
        </w:rPr>
      </w:pPr>
      <w:r>
        <w:rPr>
          <w:rFonts w:ascii="Times New Roman" w:hAnsi="Times New Roman" w:cs="Times New Roman"/>
          <w:sz w:val="22"/>
          <w:szCs w:val="22"/>
        </w:rPr>
        <w:t>Dvořáková a kol.</w:t>
      </w:r>
      <w:r w:rsidR="00D77217">
        <w:rPr>
          <w:rFonts w:ascii="Times New Roman" w:hAnsi="Times New Roman" w:cs="Times New Roman"/>
          <w:sz w:val="22"/>
          <w:szCs w:val="22"/>
        </w:rPr>
        <w:t xml:space="preserve"> </w:t>
      </w:r>
      <w:r w:rsidR="00D77217">
        <w:rPr>
          <w:rFonts w:ascii="Times New Roman" w:hAnsi="Times New Roman" w:cs="Times New Roman"/>
          <w:i/>
          <w:sz w:val="22"/>
          <w:szCs w:val="22"/>
        </w:rPr>
        <w:t xml:space="preserve">Řízení lidských zdrojů. </w:t>
      </w:r>
      <w:r w:rsidR="00D77217">
        <w:rPr>
          <w:rFonts w:ascii="Times New Roman" w:hAnsi="Times New Roman" w:cs="Times New Roman"/>
          <w:sz w:val="22"/>
          <w:szCs w:val="22"/>
        </w:rPr>
        <w:t>Praha: C. H. Beck, 2012. ISBN 978-80-7400-347-9.</w:t>
      </w:r>
    </w:p>
    <w:p w14:paraId="3E60C9A7" w14:textId="3AD43907" w:rsidR="0095369A" w:rsidRPr="00F75EC1" w:rsidRDefault="0095369A" w:rsidP="0095369A">
      <w:pPr>
        <w:pStyle w:val="Textpoznpodarou"/>
        <w:spacing w:before="120"/>
        <w:jc w:val="both"/>
        <w:rPr>
          <w:rFonts w:ascii="Times New Roman" w:hAnsi="Times New Roman" w:cs="Times New Roman"/>
          <w:sz w:val="22"/>
          <w:szCs w:val="22"/>
          <w:lang w:val="en-GB"/>
        </w:rPr>
      </w:pPr>
      <w:proofErr w:type="spellStart"/>
      <w:r w:rsidRPr="00F75EC1">
        <w:rPr>
          <w:rFonts w:ascii="Times New Roman" w:hAnsi="Times New Roman" w:cs="Times New Roman"/>
          <w:sz w:val="22"/>
          <w:szCs w:val="22"/>
          <w:lang w:val="en-GB"/>
        </w:rPr>
        <w:t>Ederer</w:t>
      </w:r>
      <w:proofErr w:type="spellEnd"/>
      <w:r w:rsidRPr="00F75EC1">
        <w:rPr>
          <w:rFonts w:ascii="Times New Roman" w:hAnsi="Times New Roman" w:cs="Times New Roman"/>
          <w:sz w:val="22"/>
          <w:szCs w:val="22"/>
          <w:lang w:val="en-GB"/>
        </w:rPr>
        <w:t xml:space="preserve">, P. (2006). Innovation at Work: The European Human Capital Index. </w:t>
      </w:r>
      <w:r w:rsidRPr="00F75EC1">
        <w:rPr>
          <w:rFonts w:ascii="Times New Roman" w:hAnsi="Times New Roman" w:cs="Times New Roman"/>
          <w:i/>
          <w:sz w:val="22"/>
          <w:szCs w:val="22"/>
          <w:lang w:val="en-GB"/>
        </w:rPr>
        <w:t>Lisbon Council Policy Brief</w:t>
      </w:r>
      <w:r w:rsidRPr="00F75EC1">
        <w:rPr>
          <w:rFonts w:ascii="Times New Roman" w:hAnsi="Times New Roman" w:cs="Times New Roman"/>
          <w:sz w:val="22"/>
          <w:szCs w:val="22"/>
          <w:lang w:val="en-GB"/>
        </w:rPr>
        <w:t>, vol. 1, no. 2. ISSN 2031-0943.</w:t>
      </w:r>
    </w:p>
    <w:p w14:paraId="695351C3" w14:textId="1AA108E9" w:rsidR="00A2519B" w:rsidRDefault="00A2519B"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Holman, R. (2005). </w:t>
      </w:r>
      <w:r>
        <w:rPr>
          <w:rFonts w:ascii="Times New Roman" w:hAnsi="Times New Roman" w:cs="Times New Roman"/>
          <w:i/>
          <w:sz w:val="22"/>
          <w:szCs w:val="22"/>
        </w:rPr>
        <w:t xml:space="preserve">Dějiny ekonomického myšlení. </w:t>
      </w:r>
      <w:r>
        <w:rPr>
          <w:rFonts w:ascii="Times New Roman" w:hAnsi="Times New Roman" w:cs="Times New Roman"/>
          <w:sz w:val="22"/>
          <w:szCs w:val="22"/>
        </w:rPr>
        <w:t xml:space="preserve">3. </w:t>
      </w:r>
      <w:r w:rsidR="00391F7C">
        <w:rPr>
          <w:rFonts w:ascii="Times New Roman" w:hAnsi="Times New Roman" w:cs="Times New Roman"/>
          <w:sz w:val="22"/>
          <w:szCs w:val="22"/>
        </w:rPr>
        <w:t>v</w:t>
      </w:r>
      <w:r>
        <w:rPr>
          <w:rFonts w:ascii="Times New Roman" w:hAnsi="Times New Roman" w:cs="Times New Roman"/>
          <w:sz w:val="22"/>
          <w:szCs w:val="22"/>
        </w:rPr>
        <w:t>ydání. Praha: C. H. Beck. ISBN 80-7179-380-9.</w:t>
      </w:r>
    </w:p>
    <w:p w14:paraId="6FC60091" w14:textId="394E073C" w:rsidR="00F75EC1" w:rsidRPr="00F75EC1" w:rsidRDefault="00F75EC1" w:rsidP="00A2519B">
      <w:pPr>
        <w:spacing w:before="120"/>
        <w:jc w:val="both"/>
        <w:rPr>
          <w:rFonts w:ascii="Times New Roman" w:hAnsi="Times New Roman" w:cs="Times New Roman"/>
          <w:sz w:val="22"/>
          <w:szCs w:val="22"/>
        </w:rPr>
      </w:pPr>
      <w:proofErr w:type="spellStart"/>
      <w:r w:rsidRPr="00F75EC1">
        <w:rPr>
          <w:rFonts w:ascii="Times New Roman" w:hAnsi="Times New Roman" w:cs="Times New Roman"/>
          <w:sz w:val="22"/>
          <w:szCs w:val="22"/>
        </w:rPr>
        <w:t>Kastrňák</w:t>
      </w:r>
      <w:proofErr w:type="spellEnd"/>
      <w:r w:rsidRPr="00F75EC1">
        <w:rPr>
          <w:rFonts w:ascii="Times New Roman" w:hAnsi="Times New Roman" w:cs="Times New Roman"/>
          <w:sz w:val="22"/>
          <w:szCs w:val="22"/>
        </w:rPr>
        <w:t xml:space="preserve">, T. (2004). </w:t>
      </w:r>
      <w:r w:rsidRPr="00F75EC1">
        <w:rPr>
          <w:rFonts w:ascii="Times New Roman" w:hAnsi="Times New Roman" w:cs="Times New Roman"/>
          <w:i/>
          <w:sz w:val="22"/>
          <w:szCs w:val="22"/>
        </w:rPr>
        <w:t>Odsouzeni k manuální práci.</w:t>
      </w:r>
      <w:r>
        <w:rPr>
          <w:rFonts w:ascii="Times New Roman" w:hAnsi="Times New Roman" w:cs="Times New Roman"/>
          <w:i/>
          <w:sz w:val="22"/>
          <w:szCs w:val="22"/>
        </w:rPr>
        <w:t xml:space="preserve"> Vzdělanostní reprodukce v dělnické rodině. </w:t>
      </w:r>
      <w:r>
        <w:rPr>
          <w:rFonts w:ascii="Times New Roman" w:hAnsi="Times New Roman" w:cs="Times New Roman"/>
          <w:sz w:val="22"/>
          <w:szCs w:val="22"/>
        </w:rPr>
        <w:t>Praha: Sociologické nakladatelství. ISBN 80-86429-29-6.</w:t>
      </w:r>
    </w:p>
    <w:p w14:paraId="3BE644BD" w14:textId="451F6837" w:rsidR="004C451C" w:rsidRPr="004C451C" w:rsidRDefault="004C451C" w:rsidP="00A2519B">
      <w:pPr>
        <w:spacing w:before="120"/>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Ley, D. (1983). </w:t>
      </w:r>
      <w:r>
        <w:rPr>
          <w:rFonts w:ascii="Times New Roman" w:hAnsi="Times New Roman" w:cs="Times New Roman"/>
          <w:i/>
          <w:sz w:val="22"/>
          <w:szCs w:val="22"/>
          <w:lang w:val="en-GB"/>
        </w:rPr>
        <w:t xml:space="preserve">A Social Geography of the City. </w:t>
      </w:r>
      <w:r>
        <w:rPr>
          <w:rFonts w:ascii="Times New Roman" w:hAnsi="Times New Roman" w:cs="Times New Roman"/>
          <w:sz w:val="22"/>
          <w:szCs w:val="22"/>
          <w:lang w:val="en-GB"/>
        </w:rPr>
        <w:t>New York: Harper Collins. ISBN 978-0788164378.</w:t>
      </w:r>
    </w:p>
    <w:p w14:paraId="68F254BF" w14:textId="5A0FFD62" w:rsidR="001E12ED" w:rsidRDefault="001E12ED" w:rsidP="00A2519B">
      <w:pPr>
        <w:spacing w:before="120"/>
        <w:jc w:val="both"/>
        <w:rPr>
          <w:rFonts w:ascii="Times New Roman" w:hAnsi="Times New Roman" w:cs="Times New Roman"/>
          <w:sz w:val="22"/>
          <w:szCs w:val="22"/>
          <w:lang w:val="en-GB"/>
        </w:rPr>
      </w:pPr>
      <w:proofErr w:type="spellStart"/>
      <w:r w:rsidRPr="00391F7C">
        <w:rPr>
          <w:rFonts w:ascii="Times New Roman" w:hAnsi="Times New Roman" w:cs="Times New Roman"/>
          <w:sz w:val="22"/>
          <w:szCs w:val="22"/>
          <w:lang w:val="en-GB"/>
        </w:rPr>
        <w:t>Minzer</w:t>
      </w:r>
      <w:proofErr w:type="spellEnd"/>
      <w:r w:rsidRPr="00391F7C">
        <w:rPr>
          <w:rFonts w:ascii="Times New Roman" w:hAnsi="Times New Roman" w:cs="Times New Roman"/>
          <w:sz w:val="22"/>
          <w:szCs w:val="22"/>
          <w:lang w:val="en-GB"/>
        </w:rPr>
        <w:t>, J. (1958).</w:t>
      </w:r>
      <w:r w:rsidR="00391F7C" w:rsidRPr="00391F7C">
        <w:rPr>
          <w:rFonts w:ascii="Times New Roman" w:hAnsi="Times New Roman" w:cs="Times New Roman"/>
          <w:sz w:val="22"/>
          <w:szCs w:val="22"/>
          <w:lang w:val="en-GB"/>
        </w:rPr>
        <w:t xml:space="preserve"> Investment in Human Capital and Personal Income Distribution.</w:t>
      </w:r>
      <w:r w:rsidRPr="00391F7C">
        <w:rPr>
          <w:rFonts w:ascii="Times New Roman" w:hAnsi="Times New Roman" w:cs="Times New Roman"/>
          <w:sz w:val="22"/>
          <w:szCs w:val="22"/>
          <w:lang w:val="en-GB"/>
        </w:rPr>
        <w:t xml:space="preserve"> </w:t>
      </w:r>
      <w:r w:rsidR="00391F7C">
        <w:rPr>
          <w:rFonts w:ascii="Times New Roman" w:hAnsi="Times New Roman" w:cs="Times New Roman"/>
          <w:i/>
          <w:sz w:val="22"/>
          <w:szCs w:val="22"/>
          <w:lang w:val="en-GB"/>
        </w:rPr>
        <w:t xml:space="preserve">Journal of Political Economy, </w:t>
      </w:r>
      <w:r w:rsidR="00391F7C" w:rsidRPr="00391F7C">
        <w:rPr>
          <w:rFonts w:ascii="Times New Roman" w:hAnsi="Times New Roman" w:cs="Times New Roman"/>
          <w:sz w:val="22"/>
          <w:szCs w:val="22"/>
          <w:lang w:val="en-GB"/>
        </w:rPr>
        <w:t>vol</w:t>
      </w:r>
      <w:r w:rsidR="00391F7C">
        <w:rPr>
          <w:rFonts w:ascii="Times New Roman" w:hAnsi="Times New Roman" w:cs="Times New Roman"/>
          <w:sz w:val="22"/>
          <w:szCs w:val="22"/>
          <w:lang w:val="en-GB"/>
        </w:rPr>
        <w:t>. 66, no. 4, p. 281–302.</w:t>
      </w:r>
    </w:p>
    <w:p w14:paraId="32C460CF" w14:textId="5B4BC80F" w:rsidR="002D2229" w:rsidRPr="00F75EC1" w:rsidRDefault="00CE3D55" w:rsidP="002D2229">
      <w:pPr>
        <w:spacing w:before="120"/>
        <w:rPr>
          <w:rFonts w:ascii="Times New Roman" w:eastAsia="Times New Roman" w:hAnsi="Times New Roman" w:cs="Times New Roman"/>
          <w:sz w:val="22"/>
          <w:szCs w:val="22"/>
          <w:lang w:val="en-GB"/>
        </w:rPr>
      </w:pPr>
      <w:proofErr w:type="spellStart"/>
      <w:r w:rsidRPr="00F75EC1">
        <w:rPr>
          <w:rFonts w:ascii="Times New Roman" w:hAnsi="Times New Roman" w:cs="Times New Roman"/>
          <w:sz w:val="22"/>
          <w:szCs w:val="22"/>
          <w:lang w:val="en-GB"/>
        </w:rPr>
        <w:t>Murtin</w:t>
      </w:r>
      <w:proofErr w:type="spellEnd"/>
      <w:r w:rsidRPr="00F75EC1">
        <w:rPr>
          <w:rFonts w:ascii="Times New Roman" w:hAnsi="Times New Roman" w:cs="Times New Roman"/>
          <w:sz w:val="22"/>
          <w:szCs w:val="22"/>
          <w:lang w:val="en-GB"/>
        </w:rPr>
        <w:t>, F. et al.</w:t>
      </w:r>
      <w:r w:rsidR="002D2229" w:rsidRPr="00F75EC1">
        <w:rPr>
          <w:rFonts w:ascii="Times New Roman" w:hAnsi="Times New Roman" w:cs="Times New Roman"/>
          <w:sz w:val="22"/>
          <w:szCs w:val="22"/>
          <w:lang w:val="en-GB"/>
        </w:rPr>
        <w:t xml:space="preserve"> (2017). Inequalities in longevity by education in OECD countries: Insights from new OECD estimates. </w:t>
      </w:r>
      <w:r w:rsidR="002D2229" w:rsidRPr="00F75EC1">
        <w:rPr>
          <w:rFonts w:ascii="Times New Roman" w:hAnsi="Times New Roman" w:cs="Times New Roman"/>
          <w:i/>
          <w:sz w:val="22"/>
          <w:szCs w:val="22"/>
          <w:lang w:val="en-GB"/>
        </w:rPr>
        <w:t xml:space="preserve">OECD Statistics Working Papers, </w:t>
      </w:r>
      <w:r w:rsidR="002D2229" w:rsidRPr="00F75EC1">
        <w:rPr>
          <w:rFonts w:ascii="Times New Roman" w:hAnsi="Times New Roman" w:cs="Times New Roman"/>
          <w:sz w:val="22"/>
          <w:szCs w:val="22"/>
          <w:lang w:val="en-GB"/>
        </w:rPr>
        <w:t xml:space="preserve">no. 2. Paris: OECD Publishing. DOI: </w:t>
      </w:r>
      <w:r w:rsidR="002D2229" w:rsidRPr="00F75EC1">
        <w:rPr>
          <w:rFonts w:ascii="Times New Roman" w:eastAsia="Times New Roman" w:hAnsi="Times New Roman" w:cs="Times New Roman"/>
          <w:sz w:val="22"/>
          <w:szCs w:val="22"/>
          <w:lang w:val="en-GB"/>
        </w:rPr>
        <w:t>http://dx.doi.org/10.1787/6b64d9cf-en.</w:t>
      </w:r>
    </w:p>
    <w:p w14:paraId="60EDCEBC" w14:textId="538425EE" w:rsidR="004C451C" w:rsidRPr="004C451C" w:rsidRDefault="004C451C"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Musil, M. (1968). </w:t>
      </w:r>
      <w:proofErr w:type="spellStart"/>
      <w:r>
        <w:rPr>
          <w:rFonts w:ascii="Times New Roman" w:hAnsi="Times New Roman" w:cs="Times New Roman"/>
          <w:sz w:val="22"/>
          <w:szCs w:val="22"/>
        </w:rPr>
        <w:t>The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Development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of</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Prague’s</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Ecological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Structure</w:t>
      </w:r>
      <w:proofErr w:type="spellEnd"/>
      <w:r>
        <w:rPr>
          <w:rFonts w:ascii="Times New Roman" w:hAnsi="Times New Roman" w:cs="Times New Roman"/>
          <w:sz w:val="22"/>
          <w:szCs w:val="22"/>
        </w:rPr>
        <w:t xml:space="preserve">. In </w:t>
      </w:r>
      <w:proofErr w:type="spellStart"/>
      <w:r>
        <w:rPr>
          <w:rFonts w:ascii="Times New Roman" w:hAnsi="Times New Roman" w:cs="Times New Roman"/>
          <w:sz w:val="22"/>
          <w:szCs w:val="22"/>
        </w:rPr>
        <w:t>Pahl</w:t>
      </w:r>
      <w:proofErr w:type="spellEnd"/>
      <w:r>
        <w:rPr>
          <w:rFonts w:ascii="Times New Roman" w:hAnsi="Times New Roman" w:cs="Times New Roman"/>
          <w:sz w:val="22"/>
          <w:szCs w:val="22"/>
        </w:rPr>
        <w:t>, R. E. (</w:t>
      </w:r>
      <w:proofErr w:type="spellStart"/>
      <w:r>
        <w:rPr>
          <w:rFonts w:ascii="Times New Roman" w:hAnsi="Times New Roman" w:cs="Times New Roman"/>
          <w:sz w:val="22"/>
          <w:szCs w:val="22"/>
        </w:rPr>
        <w:t>ed</w:t>
      </w:r>
      <w:proofErr w:type="spellEnd"/>
      <w:r>
        <w:rPr>
          <w:rFonts w:ascii="Times New Roman" w:hAnsi="Times New Roman" w:cs="Times New Roman"/>
          <w:sz w:val="22"/>
          <w:szCs w:val="22"/>
        </w:rPr>
        <w:t xml:space="preserve">.). </w:t>
      </w:r>
      <w:proofErr w:type="spellStart"/>
      <w:r>
        <w:rPr>
          <w:rFonts w:ascii="Times New Roman" w:hAnsi="Times New Roman" w:cs="Times New Roman"/>
          <w:i/>
          <w:sz w:val="22"/>
          <w:szCs w:val="22"/>
        </w:rPr>
        <w:t>Readings</w:t>
      </w:r>
      <w:proofErr w:type="spellEnd"/>
      <w:r>
        <w:rPr>
          <w:rFonts w:ascii="Times New Roman" w:hAnsi="Times New Roman" w:cs="Times New Roman"/>
          <w:i/>
          <w:sz w:val="22"/>
          <w:szCs w:val="22"/>
        </w:rPr>
        <w:t xml:space="preserve"> in Urban Sociology. </w:t>
      </w:r>
      <w:r>
        <w:rPr>
          <w:rFonts w:ascii="Times New Roman" w:hAnsi="Times New Roman" w:cs="Times New Roman"/>
          <w:sz w:val="22"/>
          <w:szCs w:val="22"/>
        </w:rPr>
        <w:t xml:space="preserve">Oxford: Pergamon </w:t>
      </w:r>
      <w:proofErr w:type="spellStart"/>
      <w:r>
        <w:rPr>
          <w:rFonts w:ascii="Times New Roman" w:hAnsi="Times New Roman" w:cs="Times New Roman"/>
          <w:sz w:val="22"/>
          <w:szCs w:val="22"/>
        </w:rPr>
        <w:t>Press</w:t>
      </w:r>
      <w:proofErr w:type="spellEnd"/>
      <w:r>
        <w:rPr>
          <w:rFonts w:ascii="Times New Roman" w:hAnsi="Times New Roman" w:cs="Times New Roman"/>
          <w:sz w:val="22"/>
          <w:szCs w:val="22"/>
        </w:rPr>
        <w:t>.</w:t>
      </w:r>
    </w:p>
    <w:p w14:paraId="30A69130" w14:textId="7DCAAA98" w:rsidR="001403AF" w:rsidRPr="001403AF" w:rsidRDefault="001403AF" w:rsidP="00A2519B">
      <w:pPr>
        <w:spacing w:before="120"/>
        <w:jc w:val="both"/>
        <w:rPr>
          <w:rFonts w:ascii="Times New Roman" w:hAnsi="Times New Roman" w:cs="Times New Roman"/>
          <w:sz w:val="22"/>
          <w:szCs w:val="22"/>
        </w:rPr>
      </w:pPr>
      <w:r>
        <w:rPr>
          <w:rFonts w:ascii="Times New Roman" w:hAnsi="Times New Roman" w:cs="Times New Roman"/>
          <w:sz w:val="22"/>
          <w:szCs w:val="22"/>
        </w:rPr>
        <w:t xml:space="preserve">NVF. (2010). Kol. autorů. </w:t>
      </w:r>
      <w:r>
        <w:rPr>
          <w:rFonts w:ascii="Times New Roman" w:hAnsi="Times New Roman" w:cs="Times New Roman"/>
          <w:i/>
          <w:sz w:val="22"/>
          <w:szCs w:val="22"/>
        </w:rPr>
        <w:t>Slaďování nabídky vzdělávání s potřebami trhu práce</w:t>
      </w:r>
      <w:r>
        <w:rPr>
          <w:rFonts w:ascii="Times New Roman" w:hAnsi="Times New Roman" w:cs="Times New Roman"/>
          <w:sz w:val="22"/>
          <w:szCs w:val="22"/>
        </w:rPr>
        <w:t xml:space="preserve">. </w:t>
      </w:r>
      <w:r w:rsidRPr="001403AF">
        <w:rPr>
          <w:rFonts w:ascii="Times New Roman" w:hAnsi="Times New Roman" w:cs="Times New Roman"/>
          <w:sz w:val="22"/>
          <w:szCs w:val="22"/>
        </w:rPr>
        <w:t>Analyticko-koncepční studie.</w:t>
      </w:r>
      <w:r>
        <w:rPr>
          <w:rFonts w:ascii="Times New Roman" w:hAnsi="Times New Roman" w:cs="Times New Roman"/>
          <w:i/>
          <w:sz w:val="22"/>
          <w:szCs w:val="22"/>
        </w:rPr>
        <w:t xml:space="preserve"> </w:t>
      </w:r>
      <w:r>
        <w:rPr>
          <w:rFonts w:ascii="Times New Roman" w:hAnsi="Times New Roman" w:cs="Times New Roman"/>
          <w:sz w:val="22"/>
          <w:szCs w:val="22"/>
        </w:rPr>
        <w:t xml:space="preserve">Praha: </w:t>
      </w:r>
      <w:r w:rsidR="007A0B2F">
        <w:rPr>
          <w:rFonts w:ascii="Times New Roman" w:hAnsi="Times New Roman" w:cs="Times New Roman"/>
          <w:sz w:val="22"/>
          <w:szCs w:val="22"/>
        </w:rPr>
        <w:t>Národní vzdělávací fond (</w:t>
      </w:r>
      <w:r>
        <w:rPr>
          <w:rFonts w:ascii="Times New Roman" w:hAnsi="Times New Roman" w:cs="Times New Roman"/>
          <w:sz w:val="22"/>
          <w:szCs w:val="22"/>
        </w:rPr>
        <w:t>NVF</w:t>
      </w:r>
      <w:r w:rsidR="007A0B2F">
        <w:rPr>
          <w:rFonts w:ascii="Times New Roman" w:hAnsi="Times New Roman" w:cs="Times New Roman"/>
          <w:sz w:val="22"/>
          <w:szCs w:val="22"/>
        </w:rPr>
        <w:t>)</w:t>
      </w:r>
      <w:r>
        <w:rPr>
          <w:rFonts w:ascii="Times New Roman" w:hAnsi="Times New Roman" w:cs="Times New Roman"/>
          <w:sz w:val="22"/>
          <w:szCs w:val="22"/>
        </w:rPr>
        <w:t>.</w:t>
      </w:r>
      <w:r w:rsidR="007A0B2F">
        <w:rPr>
          <w:rFonts w:ascii="Times New Roman" w:hAnsi="Times New Roman" w:cs="Times New Roman"/>
          <w:sz w:val="22"/>
          <w:szCs w:val="22"/>
        </w:rPr>
        <w:t xml:space="preserve"> Dostupné z: </w:t>
      </w:r>
      <w:r w:rsidR="007A0B2F" w:rsidRPr="007A0B2F">
        <w:rPr>
          <w:rFonts w:ascii="Times New Roman" w:hAnsi="Times New Roman" w:cs="Times New Roman"/>
          <w:sz w:val="22"/>
          <w:szCs w:val="22"/>
        </w:rPr>
        <w:t>http://www.nuov.cz/</w:t>
      </w:r>
      <w:r w:rsidR="007A0B2F">
        <w:rPr>
          <w:rFonts w:ascii="Times New Roman" w:hAnsi="Times New Roman" w:cs="Times New Roman"/>
          <w:sz w:val="22"/>
          <w:szCs w:val="22"/>
        </w:rPr>
        <w:t xml:space="preserve"> </w:t>
      </w:r>
      <w:r w:rsidR="007A0B2F" w:rsidRPr="007A0B2F">
        <w:rPr>
          <w:rFonts w:ascii="Times New Roman" w:hAnsi="Times New Roman" w:cs="Times New Roman"/>
          <w:sz w:val="22"/>
          <w:szCs w:val="22"/>
        </w:rPr>
        <w:t>uploads/koncept/k_diskusi/Sladovani_analyticko_koncepcni_studie.pdf</w:t>
      </w:r>
      <w:r w:rsidR="007A0B2F">
        <w:rPr>
          <w:rFonts w:ascii="Times New Roman" w:hAnsi="Times New Roman" w:cs="Times New Roman"/>
          <w:sz w:val="22"/>
          <w:szCs w:val="22"/>
        </w:rPr>
        <w:t>.</w:t>
      </w:r>
    </w:p>
    <w:p w14:paraId="5C8E299F" w14:textId="325EA714" w:rsidR="00C14021" w:rsidRPr="00C14021" w:rsidRDefault="00C14021" w:rsidP="00A2519B">
      <w:pPr>
        <w:spacing w:before="120"/>
        <w:jc w:val="both"/>
        <w:rPr>
          <w:rFonts w:ascii="Times New Roman" w:hAnsi="Times New Roman" w:cs="Times New Roman"/>
          <w:sz w:val="22"/>
          <w:szCs w:val="22"/>
        </w:rPr>
      </w:pPr>
      <w:proofErr w:type="spellStart"/>
      <w:r w:rsidRPr="00C14021">
        <w:rPr>
          <w:rFonts w:ascii="Times New Roman" w:hAnsi="Times New Roman" w:cs="Times New Roman"/>
          <w:sz w:val="22"/>
          <w:szCs w:val="22"/>
        </w:rPr>
        <w:t>Palíšková</w:t>
      </w:r>
      <w:proofErr w:type="spellEnd"/>
      <w:r w:rsidRPr="00C14021">
        <w:rPr>
          <w:rFonts w:ascii="Times New Roman" w:hAnsi="Times New Roman" w:cs="Times New Roman"/>
          <w:sz w:val="22"/>
          <w:szCs w:val="22"/>
        </w:rPr>
        <w:t xml:space="preserve">, M. (2014). </w:t>
      </w:r>
      <w:r w:rsidRPr="00C14021">
        <w:rPr>
          <w:rFonts w:ascii="Times New Roman" w:hAnsi="Times New Roman" w:cs="Times New Roman"/>
          <w:i/>
          <w:sz w:val="22"/>
          <w:szCs w:val="22"/>
        </w:rPr>
        <w:t>Trh práce v Evropské unii</w:t>
      </w:r>
      <w:r>
        <w:rPr>
          <w:rFonts w:ascii="Times New Roman" w:hAnsi="Times New Roman" w:cs="Times New Roman"/>
          <w:i/>
          <w:sz w:val="22"/>
          <w:szCs w:val="22"/>
        </w:rPr>
        <w:t xml:space="preserve">. Historický vývoj, aktuální trendy, perspektivy. </w:t>
      </w:r>
      <w:r>
        <w:rPr>
          <w:rFonts w:ascii="Times New Roman" w:hAnsi="Times New Roman" w:cs="Times New Roman"/>
          <w:sz w:val="22"/>
          <w:szCs w:val="22"/>
        </w:rPr>
        <w:t>Praha: C. H. Beck. ISBN 978-80-7400-270-0.</w:t>
      </w:r>
    </w:p>
    <w:p w14:paraId="53A10600" w14:textId="6AABD16D" w:rsidR="001E12ED" w:rsidRDefault="001E12ED" w:rsidP="00A2519B">
      <w:pPr>
        <w:spacing w:before="120"/>
        <w:jc w:val="both"/>
        <w:rPr>
          <w:rFonts w:ascii="Times New Roman" w:hAnsi="Times New Roman" w:cs="Times New Roman"/>
          <w:sz w:val="22"/>
          <w:szCs w:val="22"/>
          <w:lang w:val="en-GB"/>
        </w:rPr>
      </w:pPr>
      <w:r w:rsidRPr="00391F7C">
        <w:rPr>
          <w:rFonts w:ascii="Times New Roman" w:hAnsi="Times New Roman" w:cs="Times New Roman"/>
          <w:sz w:val="22"/>
          <w:szCs w:val="22"/>
          <w:lang w:val="en-GB"/>
        </w:rPr>
        <w:t>Putnam</w:t>
      </w:r>
      <w:r w:rsidR="00391F7C">
        <w:rPr>
          <w:rFonts w:ascii="Times New Roman" w:hAnsi="Times New Roman" w:cs="Times New Roman"/>
          <w:sz w:val="22"/>
          <w:szCs w:val="22"/>
          <w:lang w:val="en-GB"/>
        </w:rPr>
        <w:t>, D. R.</w:t>
      </w:r>
      <w:r w:rsidRPr="00391F7C">
        <w:rPr>
          <w:rFonts w:ascii="Times New Roman" w:hAnsi="Times New Roman" w:cs="Times New Roman"/>
          <w:sz w:val="22"/>
          <w:szCs w:val="22"/>
          <w:lang w:val="en-GB"/>
        </w:rPr>
        <w:t xml:space="preserve"> (1995)</w:t>
      </w:r>
      <w:r w:rsidR="00391F7C">
        <w:rPr>
          <w:rFonts w:ascii="Times New Roman" w:hAnsi="Times New Roman" w:cs="Times New Roman"/>
          <w:sz w:val="22"/>
          <w:szCs w:val="22"/>
          <w:lang w:val="en-GB"/>
        </w:rPr>
        <w:t xml:space="preserve">. Bowling Alone: America’s Declining Social Capital. </w:t>
      </w:r>
      <w:r w:rsidR="00391F7C">
        <w:rPr>
          <w:rFonts w:ascii="Times New Roman" w:hAnsi="Times New Roman" w:cs="Times New Roman"/>
          <w:i/>
          <w:sz w:val="22"/>
          <w:szCs w:val="22"/>
          <w:lang w:val="en-GB"/>
        </w:rPr>
        <w:t xml:space="preserve">Journal of Democracy, </w:t>
      </w:r>
      <w:r w:rsidR="00391F7C">
        <w:rPr>
          <w:rFonts w:ascii="Times New Roman" w:hAnsi="Times New Roman" w:cs="Times New Roman"/>
          <w:sz w:val="22"/>
          <w:szCs w:val="22"/>
          <w:lang w:val="en-GB"/>
        </w:rPr>
        <w:t>January, vol. 6., no</w:t>
      </w:r>
      <w:r w:rsidR="00C14021">
        <w:rPr>
          <w:rFonts w:ascii="Times New Roman" w:hAnsi="Times New Roman" w:cs="Times New Roman"/>
          <w:sz w:val="22"/>
          <w:szCs w:val="22"/>
          <w:lang w:val="en-GB"/>
        </w:rPr>
        <w:t>.</w:t>
      </w:r>
      <w:r w:rsidR="00391F7C">
        <w:rPr>
          <w:rFonts w:ascii="Times New Roman" w:hAnsi="Times New Roman" w:cs="Times New Roman"/>
          <w:sz w:val="22"/>
          <w:szCs w:val="22"/>
          <w:lang w:val="en-GB"/>
        </w:rPr>
        <w:t xml:space="preserve"> 1,</w:t>
      </w:r>
      <w:r w:rsidR="00C14021">
        <w:rPr>
          <w:rFonts w:ascii="Times New Roman" w:hAnsi="Times New Roman" w:cs="Times New Roman"/>
          <w:sz w:val="22"/>
          <w:szCs w:val="22"/>
          <w:lang w:val="en-GB"/>
        </w:rPr>
        <w:t xml:space="preserve"> p. 65–78. </w:t>
      </w:r>
    </w:p>
    <w:p w14:paraId="17647F0B" w14:textId="70F9CEEA" w:rsidR="006F7437" w:rsidRPr="00BE7AD9" w:rsidRDefault="006F7437" w:rsidP="00A2519B">
      <w:pPr>
        <w:spacing w:before="120"/>
        <w:jc w:val="both"/>
        <w:rPr>
          <w:rFonts w:ascii="Times New Roman" w:hAnsi="Times New Roman" w:cs="Times New Roman"/>
          <w:sz w:val="22"/>
          <w:szCs w:val="22"/>
          <w:lang w:val="en-GB"/>
        </w:rPr>
      </w:pPr>
      <w:proofErr w:type="spellStart"/>
      <w:r>
        <w:rPr>
          <w:rFonts w:ascii="Times New Roman" w:hAnsi="Times New Roman" w:cs="Times New Roman"/>
          <w:sz w:val="22"/>
          <w:szCs w:val="22"/>
          <w:lang w:val="en-GB"/>
        </w:rPr>
        <w:t>Sarracino</w:t>
      </w:r>
      <w:proofErr w:type="spellEnd"/>
      <w:r>
        <w:rPr>
          <w:rFonts w:ascii="Times New Roman" w:hAnsi="Times New Roman" w:cs="Times New Roman"/>
          <w:sz w:val="22"/>
          <w:szCs w:val="22"/>
          <w:lang w:val="en-GB"/>
        </w:rPr>
        <w:t xml:space="preserve">, F., &amp; </w:t>
      </w:r>
      <w:proofErr w:type="spellStart"/>
      <w:r>
        <w:rPr>
          <w:rFonts w:ascii="Times New Roman" w:hAnsi="Times New Roman" w:cs="Times New Roman"/>
          <w:sz w:val="22"/>
          <w:szCs w:val="22"/>
          <w:lang w:val="en-GB"/>
        </w:rPr>
        <w:t>Mikucka</w:t>
      </w:r>
      <w:proofErr w:type="spellEnd"/>
      <w:r>
        <w:rPr>
          <w:rFonts w:ascii="Times New Roman" w:hAnsi="Times New Roman" w:cs="Times New Roman"/>
          <w:sz w:val="22"/>
          <w:szCs w:val="22"/>
          <w:lang w:val="en-GB"/>
        </w:rPr>
        <w:t xml:space="preserve">, M. (2016). </w:t>
      </w:r>
      <w:r w:rsidR="00BE7AD9">
        <w:rPr>
          <w:rFonts w:ascii="Times New Roman" w:hAnsi="Times New Roman" w:cs="Times New Roman"/>
          <w:sz w:val="22"/>
          <w:szCs w:val="22"/>
          <w:lang w:val="en-GB"/>
        </w:rPr>
        <w:t xml:space="preserve">Social Capital in Europe from 1990 to 2012: Trends and Convergence. </w:t>
      </w:r>
      <w:r w:rsidR="00BE7AD9">
        <w:rPr>
          <w:rFonts w:ascii="Times New Roman" w:hAnsi="Times New Roman" w:cs="Times New Roman"/>
          <w:i/>
          <w:sz w:val="22"/>
          <w:szCs w:val="22"/>
          <w:lang w:val="en-GB"/>
        </w:rPr>
        <w:t xml:space="preserve">Social Indicators Research, </w:t>
      </w:r>
      <w:r w:rsidR="00BE7AD9">
        <w:rPr>
          <w:rFonts w:ascii="Times New Roman" w:hAnsi="Times New Roman" w:cs="Times New Roman"/>
          <w:sz w:val="22"/>
          <w:szCs w:val="22"/>
          <w:lang w:val="en-GB"/>
        </w:rPr>
        <w:t>vol. 131, issue 1, p. 407–432.</w:t>
      </w:r>
    </w:p>
    <w:p w14:paraId="54E41627" w14:textId="461D4DAB" w:rsidR="00672AFA" w:rsidRPr="00BB22E8" w:rsidRDefault="00672AFA" w:rsidP="00A2519B">
      <w:pPr>
        <w:spacing w:before="120"/>
        <w:jc w:val="both"/>
        <w:rPr>
          <w:rFonts w:ascii="Times New Roman" w:hAnsi="Times New Roman" w:cs="Times New Roman"/>
          <w:sz w:val="22"/>
          <w:szCs w:val="22"/>
        </w:rPr>
      </w:pPr>
      <w:r w:rsidRPr="00BB22E8">
        <w:rPr>
          <w:rFonts w:ascii="Times New Roman" w:hAnsi="Times New Roman" w:cs="Times New Roman"/>
          <w:sz w:val="22"/>
          <w:szCs w:val="22"/>
        </w:rPr>
        <w:lastRenderedPageBreak/>
        <w:t xml:space="preserve">Straková, J., &amp; Veselý, A. </w:t>
      </w:r>
      <w:r w:rsidR="00BB22E8">
        <w:rPr>
          <w:rFonts w:ascii="Times New Roman" w:hAnsi="Times New Roman" w:cs="Times New Roman"/>
          <w:sz w:val="22"/>
          <w:szCs w:val="22"/>
        </w:rPr>
        <w:t xml:space="preserve">a kol. </w:t>
      </w:r>
      <w:r w:rsidRPr="00BB22E8">
        <w:rPr>
          <w:rFonts w:ascii="Times New Roman" w:hAnsi="Times New Roman" w:cs="Times New Roman"/>
          <w:sz w:val="22"/>
          <w:szCs w:val="22"/>
        </w:rPr>
        <w:t xml:space="preserve">(2013). </w:t>
      </w:r>
      <w:r w:rsidRPr="00BB22E8">
        <w:rPr>
          <w:rFonts w:ascii="Times New Roman" w:hAnsi="Times New Roman" w:cs="Times New Roman"/>
          <w:i/>
          <w:sz w:val="22"/>
          <w:szCs w:val="22"/>
        </w:rPr>
        <w:t>Předpoklady úspěchu v práci a životě.</w:t>
      </w:r>
      <w:r w:rsidR="00BB22E8">
        <w:rPr>
          <w:rFonts w:ascii="Times New Roman" w:hAnsi="Times New Roman" w:cs="Times New Roman"/>
          <w:i/>
          <w:sz w:val="22"/>
          <w:szCs w:val="22"/>
        </w:rPr>
        <w:t xml:space="preserve"> </w:t>
      </w:r>
      <w:r w:rsidR="00BB22E8">
        <w:rPr>
          <w:rFonts w:ascii="Times New Roman" w:hAnsi="Times New Roman" w:cs="Times New Roman"/>
          <w:sz w:val="22"/>
          <w:szCs w:val="22"/>
        </w:rPr>
        <w:t>Výsledky mezinárodního výzkumu dospělých OECD PIAAC.</w:t>
      </w:r>
      <w:r w:rsidRPr="00BB22E8">
        <w:rPr>
          <w:rFonts w:ascii="Times New Roman" w:hAnsi="Times New Roman" w:cs="Times New Roman"/>
          <w:i/>
          <w:sz w:val="22"/>
          <w:szCs w:val="22"/>
        </w:rPr>
        <w:t xml:space="preserve"> </w:t>
      </w:r>
      <w:r w:rsidRPr="00BB22E8">
        <w:rPr>
          <w:rFonts w:ascii="Times New Roman" w:hAnsi="Times New Roman" w:cs="Times New Roman"/>
          <w:sz w:val="22"/>
          <w:szCs w:val="22"/>
        </w:rPr>
        <w:t xml:space="preserve">Praha: </w:t>
      </w:r>
      <w:r w:rsidR="00BB22E8" w:rsidRPr="00BB22E8">
        <w:rPr>
          <w:rFonts w:ascii="Times New Roman" w:hAnsi="Times New Roman" w:cs="Times New Roman"/>
          <w:sz w:val="22"/>
          <w:szCs w:val="22"/>
        </w:rPr>
        <w:t>Dům zahraniční spolupráce.</w:t>
      </w:r>
      <w:r w:rsidR="00BB22E8">
        <w:rPr>
          <w:rFonts w:ascii="Times New Roman" w:hAnsi="Times New Roman" w:cs="Times New Roman"/>
          <w:sz w:val="22"/>
          <w:szCs w:val="22"/>
        </w:rPr>
        <w:t xml:space="preserve"> ISBN 978-80-87335-53-6. Dostupné z: </w:t>
      </w:r>
      <w:r w:rsidR="00BB22E8" w:rsidRPr="00BB22E8">
        <w:rPr>
          <w:rFonts w:ascii="Times New Roman" w:hAnsi="Times New Roman" w:cs="Times New Roman"/>
          <w:sz w:val="22"/>
          <w:szCs w:val="22"/>
        </w:rPr>
        <w:t>http://www.piaac.cz/attach/PIAAC_publikace_web.pdf</w:t>
      </w:r>
      <w:r w:rsidR="00BB22E8">
        <w:rPr>
          <w:rFonts w:ascii="Times New Roman" w:hAnsi="Times New Roman" w:cs="Times New Roman"/>
          <w:sz w:val="22"/>
          <w:szCs w:val="22"/>
        </w:rPr>
        <w:t>.</w:t>
      </w:r>
    </w:p>
    <w:p w14:paraId="6656B9A7" w14:textId="5E2AB97C" w:rsidR="00E61562" w:rsidRPr="00E61562" w:rsidRDefault="00E61562" w:rsidP="00A2519B">
      <w:pPr>
        <w:spacing w:before="120"/>
        <w:jc w:val="both"/>
        <w:rPr>
          <w:rFonts w:ascii="Times New Roman" w:hAnsi="Times New Roman" w:cs="Times New Roman"/>
          <w:sz w:val="22"/>
          <w:szCs w:val="22"/>
        </w:rPr>
      </w:pPr>
      <w:r w:rsidRPr="00E61562">
        <w:rPr>
          <w:rFonts w:ascii="Times New Roman" w:hAnsi="Times New Roman" w:cs="Times New Roman"/>
          <w:sz w:val="22"/>
          <w:szCs w:val="22"/>
        </w:rPr>
        <w:t>Vodochodský, I. Utváření obrazu sociální str</w:t>
      </w:r>
      <w:r>
        <w:rPr>
          <w:rFonts w:ascii="Times New Roman" w:hAnsi="Times New Roman" w:cs="Times New Roman"/>
          <w:sz w:val="22"/>
          <w:szCs w:val="22"/>
        </w:rPr>
        <w:t>u</w:t>
      </w:r>
      <w:r w:rsidRPr="00E61562">
        <w:rPr>
          <w:rFonts w:ascii="Times New Roman" w:hAnsi="Times New Roman" w:cs="Times New Roman"/>
          <w:sz w:val="22"/>
          <w:szCs w:val="22"/>
        </w:rPr>
        <w:t>ktury</w:t>
      </w:r>
      <w:r>
        <w:rPr>
          <w:rFonts w:ascii="Times New Roman" w:hAnsi="Times New Roman" w:cs="Times New Roman"/>
          <w:sz w:val="22"/>
          <w:szCs w:val="22"/>
        </w:rPr>
        <w:t xml:space="preserve"> současné české společnosti ve skupinových rozhovorech s „dělníky“ a „profesionály“. </w:t>
      </w:r>
      <w:r>
        <w:rPr>
          <w:rFonts w:ascii="Times New Roman" w:hAnsi="Times New Roman" w:cs="Times New Roman"/>
          <w:i/>
          <w:sz w:val="22"/>
          <w:szCs w:val="22"/>
        </w:rPr>
        <w:t xml:space="preserve">Naše společnost, </w:t>
      </w:r>
      <w:r>
        <w:rPr>
          <w:rFonts w:ascii="Times New Roman" w:hAnsi="Times New Roman" w:cs="Times New Roman"/>
          <w:sz w:val="22"/>
          <w:szCs w:val="22"/>
        </w:rPr>
        <w:t>č. 9, s. 13–18.</w:t>
      </w:r>
    </w:p>
    <w:p w14:paraId="1D868E79" w14:textId="7EB349A2" w:rsidR="00F35D19" w:rsidRDefault="006F6D25" w:rsidP="00A2519B">
      <w:pPr>
        <w:spacing w:before="120"/>
        <w:jc w:val="both"/>
        <w:rPr>
          <w:rFonts w:ascii="Times New Roman" w:hAnsi="Times New Roman" w:cs="Times New Roman"/>
          <w:sz w:val="22"/>
          <w:szCs w:val="22"/>
          <w:lang w:val="en-GB"/>
        </w:rPr>
      </w:pPr>
      <w:r w:rsidRPr="00AD34AE">
        <w:rPr>
          <w:rFonts w:ascii="Times New Roman" w:hAnsi="Times New Roman" w:cs="Times New Roman"/>
          <w:sz w:val="22"/>
          <w:szCs w:val="22"/>
          <w:lang w:val="en-GB"/>
        </w:rPr>
        <w:t xml:space="preserve">Wallace, C., &amp; </w:t>
      </w:r>
      <w:r w:rsidR="00AD34AE" w:rsidRPr="00AD34AE">
        <w:rPr>
          <w:rFonts w:ascii="Times New Roman" w:hAnsi="Times New Roman" w:cs="Times New Roman"/>
          <w:sz w:val="22"/>
          <w:szCs w:val="22"/>
          <w:lang w:val="en-GB"/>
        </w:rPr>
        <w:t>Pichler, F. (2007). Bridgin</w:t>
      </w:r>
      <w:r w:rsidR="00AD34AE">
        <w:rPr>
          <w:rFonts w:ascii="Times New Roman" w:hAnsi="Times New Roman" w:cs="Times New Roman"/>
          <w:sz w:val="22"/>
          <w:szCs w:val="22"/>
          <w:lang w:val="en-GB"/>
        </w:rPr>
        <w:t xml:space="preserve">g and Bonding Social Capital: Which Is More Prevalent in Europe? </w:t>
      </w:r>
      <w:r w:rsidR="00AD34AE">
        <w:rPr>
          <w:rFonts w:ascii="Times New Roman" w:hAnsi="Times New Roman" w:cs="Times New Roman"/>
          <w:i/>
          <w:sz w:val="22"/>
          <w:szCs w:val="22"/>
          <w:lang w:val="en-GB"/>
        </w:rPr>
        <w:t xml:space="preserve">European Journal of Social Security, </w:t>
      </w:r>
      <w:r w:rsidR="00AD34AE">
        <w:rPr>
          <w:rFonts w:ascii="Times New Roman" w:hAnsi="Times New Roman" w:cs="Times New Roman"/>
          <w:sz w:val="22"/>
          <w:szCs w:val="22"/>
          <w:lang w:val="en-GB"/>
        </w:rPr>
        <w:t>vol. 9, no. 1, p. 25–94.</w:t>
      </w:r>
    </w:p>
    <w:p w14:paraId="5902A647" w14:textId="77777777" w:rsidR="001B2619" w:rsidRDefault="001B2619" w:rsidP="00A2519B">
      <w:pPr>
        <w:spacing w:before="120"/>
        <w:jc w:val="both"/>
        <w:rPr>
          <w:rFonts w:ascii="Times New Roman" w:hAnsi="Times New Roman" w:cs="Times New Roman"/>
          <w:sz w:val="22"/>
          <w:szCs w:val="22"/>
          <w:lang w:val="en-GB"/>
        </w:rPr>
      </w:pPr>
    </w:p>
    <w:p w14:paraId="6CBABE6A" w14:textId="77777777" w:rsidR="0099196B" w:rsidRDefault="0099196B" w:rsidP="00A2519B">
      <w:pPr>
        <w:spacing w:before="120"/>
        <w:jc w:val="both"/>
        <w:rPr>
          <w:rFonts w:ascii="Times New Roman" w:hAnsi="Times New Roman" w:cs="Times New Roman"/>
          <w:sz w:val="22"/>
          <w:szCs w:val="22"/>
          <w:lang w:val="en-GB"/>
        </w:rPr>
      </w:pPr>
    </w:p>
    <w:p w14:paraId="5327DA79" w14:textId="77777777" w:rsidR="0099196B" w:rsidRDefault="0099196B" w:rsidP="00A2519B">
      <w:pPr>
        <w:spacing w:before="120"/>
        <w:jc w:val="both"/>
        <w:rPr>
          <w:rFonts w:ascii="Times New Roman" w:hAnsi="Times New Roman" w:cs="Times New Roman"/>
          <w:sz w:val="22"/>
          <w:szCs w:val="22"/>
          <w:lang w:val="en-GB"/>
        </w:rPr>
      </w:pPr>
    </w:p>
    <w:p w14:paraId="3AF53870" w14:textId="77777777" w:rsidR="0099196B" w:rsidRDefault="0099196B" w:rsidP="00A2519B">
      <w:pPr>
        <w:spacing w:before="120"/>
        <w:jc w:val="both"/>
        <w:rPr>
          <w:rFonts w:ascii="Times New Roman" w:hAnsi="Times New Roman" w:cs="Times New Roman"/>
          <w:sz w:val="22"/>
          <w:szCs w:val="22"/>
          <w:lang w:val="en-GB"/>
        </w:rPr>
      </w:pPr>
    </w:p>
    <w:p w14:paraId="6C82EA6A" w14:textId="77777777" w:rsidR="0099196B" w:rsidRDefault="0099196B" w:rsidP="00A2519B">
      <w:pPr>
        <w:spacing w:before="120"/>
        <w:jc w:val="both"/>
        <w:rPr>
          <w:rFonts w:ascii="Times New Roman" w:hAnsi="Times New Roman" w:cs="Times New Roman"/>
          <w:sz w:val="22"/>
          <w:szCs w:val="22"/>
          <w:lang w:val="en-GB"/>
        </w:rPr>
      </w:pPr>
    </w:p>
    <w:p w14:paraId="7567DA84" w14:textId="77777777" w:rsidR="0099196B" w:rsidRDefault="0099196B" w:rsidP="00A2519B">
      <w:pPr>
        <w:spacing w:before="120"/>
        <w:jc w:val="both"/>
        <w:rPr>
          <w:rFonts w:ascii="Times New Roman" w:hAnsi="Times New Roman" w:cs="Times New Roman"/>
          <w:sz w:val="22"/>
          <w:szCs w:val="22"/>
          <w:lang w:val="en-GB"/>
        </w:rPr>
      </w:pPr>
    </w:p>
    <w:p w14:paraId="2C36FD74" w14:textId="77777777" w:rsidR="0099196B" w:rsidRDefault="0099196B" w:rsidP="00A2519B">
      <w:pPr>
        <w:spacing w:before="120"/>
        <w:jc w:val="both"/>
        <w:rPr>
          <w:rFonts w:ascii="Times New Roman" w:hAnsi="Times New Roman" w:cs="Times New Roman"/>
          <w:sz w:val="22"/>
          <w:szCs w:val="22"/>
          <w:lang w:val="en-GB"/>
        </w:rPr>
      </w:pPr>
    </w:p>
    <w:p w14:paraId="54A61C96" w14:textId="77777777" w:rsidR="0099196B" w:rsidRDefault="0099196B" w:rsidP="00A2519B">
      <w:pPr>
        <w:spacing w:before="120"/>
        <w:jc w:val="both"/>
        <w:rPr>
          <w:rFonts w:ascii="Times New Roman" w:hAnsi="Times New Roman" w:cs="Times New Roman"/>
          <w:sz w:val="22"/>
          <w:szCs w:val="22"/>
          <w:lang w:val="en-GB"/>
        </w:rPr>
      </w:pPr>
    </w:p>
    <w:p w14:paraId="03A39158" w14:textId="77777777" w:rsidR="0099196B" w:rsidRDefault="0099196B" w:rsidP="00A2519B">
      <w:pPr>
        <w:spacing w:before="120"/>
        <w:jc w:val="both"/>
        <w:rPr>
          <w:rFonts w:ascii="Times New Roman" w:hAnsi="Times New Roman" w:cs="Times New Roman"/>
          <w:sz w:val="22"/>
          <w:szCs w:val="22"/>
          <w:lang w:val="en-GB"/>
        </w:rPr>
      </w:pPr>
    </w:p>
    <w:p w14:paraId="350B9132" w14:textId="77777777" w:rsidR="0099196B" w:rsidRDefault="0099196B" w:rsidP="00A2519B">
      <w:pPr>
        <w:spacing w:before="120"/>
        <w:jc w:val="both"/>
        <w:rPr>
          <w:rFonts w:ascii="Times New Roman" w:hAnsi="Times New Roman" w:cs="Times New Roman"/>
          <w:sz w:val="22"/>
          <w:szCs w:val="22"/>
          <w:lang w:val="en-GB"/>
        </w:rPr>
      </w:pPr>
    </w:p>
    <w:p w14:paraId="17CDF5CC" w14:textId="77777777" w:rsidR="0099196B" w:rsidRDefault="0099196B" w:rsidP="00A2519B">
      <w:pPr>
        <w:spacing w:before="120"/>
        <w:jc w:val="both"/>
        <w:rPr>
          <w:rFonts w:ascii="Times New Roman" w:hAnsi="Times New Roman" w:cs="Times New Roman"/>
          <w:sz w:val="22"/>
          <w:szCs w:val="22"/>
          <w:lang w:val="en-GB"/>
        </w:rPr>
      </w:pPr>
    </w:p>
    <w:p w14:paraId="535B434A" w14:textId="77777777" w:rsidR="0099196B" w:rsidRDefault="0099196B" w:rsidP="00A2519B">
      <w:pPr>
        <w:spacing w:before="120"/>
        <w:jc w:val="both"/>
        <w:rPr>
          <w:rFonts w:ascii="Times New Roman" w:hAnsi="Times New Roman" w:cs="Times New Roman"/>
          <w:sz w:val="22"/>
          <w:szCs w:val="22"/>
          <w:lang w:val="en-GB"/>
        </w:rPr>
      </w:pPr>
    </w:p>
    <w:p w14:paraId="6F313FDA" w14:textId="77777777" w:rsidR="0099196B" w:rsidRDefault="0099196B" w:rsidP="00A2519B">
      <w:pPr>
        <w:spacing w:before="120"/>
        <w:jc w:val="both"/>
        <w:rPr>
          <w:rFonts w:ascii="Times New Roman" w:hAnsi="Times New Roman" w:cs="Times New Roman"/>
          <w:sz w:val="22"/>
          <w:szCs w:val="22"/>
          <w:lang w:val="en-GB"/>
        </w:rPr>
      </w:pPr>
    </w:p>
    <w:p w14:paraId="4F6B8375" w14:textId="77777777" w:rsidR="0099196B" w:rsidRDefault="0099196B" w:rsidP="00A2519B">
      <w:pPr>
        <w:spacing w:before="120"/>
        <w:jc w:val="both"/>
        <w:rPr>
          <w:rFonts w:ascii="Times New Roman" w:hAnsi="Times New Roman" w:cs="Times New Roman"/>
          <w:sz w:val="22"/>
          <w:szCs w:val="22"/>
          <w:lang w:val="en-GB"/>
        </w:rPr>
      </w:pPr>
    </w:p>
    <w:p w14:paraId="6A9F03AE" w14:textId="77777777" w:rsidR="0099196B" w:rsidRDefault="0099196B" w:rsidP="00A2519B">
      <w:pPr>
        <w:spacing w:before="120"/>
        <w:jc w:val="both"/>
        <w:rPr>
          <w:rFonts w:ascii="Times New Roman" w:hAnsi="Times New Roman" w:cs="Times New Roman"/>
          <w:sz w:val="22"/>
          <w:szCs w:val="22"/>
          <w:lang w:val="en-GB"/>
        </w:rPr>
      </w:pPr>
    </w:p>
    <w:p w14:paraId="715D24CA" w14:textId="77777777" w:rsidR="0099196B" w:rsidRDefault="0099196B" w:rsidP="00A2519B">
      <w:pPr>
        <w:spacing w:before="120"/>
        <w:jc w:val="both"/>
        <w:rPr>
          <w:rFonts w:ascii="Times New Roman" w:hAnsi="Times New Roman" w:cs="Times New Roman"/>
          <w:sz w:val="22"/>
          <w:szCs w:val="22"/>
          <w:lang w:val="en-GB"/>
        </w:rPr>
      </w:pPr>
    </w:p>
    <w:p w14:paraId="1D595FE2" w14:textId="77777777" w:rsidR="0099196B" w:rsidRDefault="0099196B" w:rsidP="00A2519B">
      <w:pPr>
        <w:spacing w:before="120"/>
        <w:jc w:val="both"/>
        <w:rPr>
          <w:rFonts w:ascii="Times New Roman" w:hAnsi="Times New Roman" w:cs="Times New Roman"/>
          <w:sz w:val="22"/>
          <w:szCs w:val="22"/>
          <w:lang w:val="en-GB"/>
        </w:rPr>
      </w:pPr>
    </w:p>
    <w:p w14:paraId="08C01661" w14:textId="77777777" w:rsidR="0099196B" w:rsidRDefault="0099196B" w:rsidP="00A2519B">
      <w:pPr>
        <w:spacing w:before="120"/>
        <w:jc w:val="both"/>
        <w:rPr>
          <w:rFonts w:ascii="Times New Roman" w:hAnsi="Times New Roman" w:cs="Times New Roman"/>
          <w:sz w:val="22"/>
          <w:szCs w:val="22"/>
          <w:lang w:val="en-GB"/>
        </w:rPr>
      </w:pPr>
    </w:p>
    <w:p w14:paraId="4C274055" w14:textId="77777777" w:rsidR="0099196B" w:rsidRDefault="0099196B" w:rsidP="00A2519B">
      <w:pPr>
        <w:spacing w:before="120"/>
        <w:jc w:val="both"/>
        <w:rPr>
          <w:rFonts w:ascii="Times New Roman" w:hAnsi="Times New Roman" w:cs="Times New Roman"/>
          <w:sz w:val="22"/>
          <w:szCs w:val="22"/>
          <w:lang w:val="en-GB"/>
        </w:rPr>
      </w:pPr>
    </w:p>
    <w:p w14:paraId="18DBE675" w14:textId="77777777" w:rsidR="0099196B" w:rsidRDefault="0099196B" w:rsidP="00A2519B">
      <w:pPr>
        <w:spacing w:before="120"/>
        <w:jc w:val="both"/>
        <w:rPr>
          <w:rFonts w:ascii="Times New Roman" w:hAnsi="Times New Roman" w:cs="Times New Roman"/>
          <w:sz w:val="22"/>
          <w:szCs w:val="22"/>
          <w:lang w:val="en-GB"/>
        </w:rPr>
      </w:pPr>
    </w:p>
    <w:p w14:paraId="4724C75B" w14:textId="77777777" w:rsidR="0099196B" w:rsidRDefault="0099196B" w:rsidP="00A2519B">
      <w:pPr>
        <w:spacing w:before="120"/>
        <w:jc w:val="both"/>
        <w:rPr>
          <w:rFonts w:ascii="Times New Roman" w:hAnsi="Times New Roman" w:cs="Times New Roman"/>
          <w:sz w:val="22"/>
          <w:szCs w:val="22"/>
          <w:lang w:val="en-GB"/>
        </w:rPr>
      </w:pPr>
    </w:p>
    <w:p w14:paraId="6900D861" w14:textId="77777777" w:rsidR="0099196B" w:rsidRDefault="0099196B" w:rsidP="00A2519B">
      <w:pPr>
        <w:spacing w:before="120"/>
        <w:jc w:val="both"/>
        <w:rPr>
          <w:rFonts w:ascii="Times New Roman" w:hAnsi="Times New Roman" w:cs="Times New Roman"/>
          <w:sz w:val="22"/>
          <w:szCs w:val="22"/>
          <w:lang w:val="en-GB"/>
        </w:rPr>
      </w:pPr>
    </w:p>
    <w:p w14:paraId="6079F7C6" w14:textId="77777777" w:rsidR="0099196B" w:rsidRDefault="0099196B" w:rsidP="00A2519B">
      <w:pPr>
        <w:spacing w:before="120"/>
        <w:jc w:val="both"/>
        <w:rPr>
          <w:rFonts w:ascii="Times New Roman" w:hAnsi="Times New Roman" w:cs="Times New Roman"/>
          <w:sz w:val="22"/>
          <w:szCs w:val="22"/>
          <w:lang w:val="en-GB"/>
        </w:rPr>
      </w:pPr>
    </w:p>
    <w:p w14:paraId="42234E68" w14:textId="77777777" w:rsidR="0099196B" w:rsidRDefault="0099196B" w:rsidP="00A2519B">
      <w:pPr>
        <w:spacing w:before="120"/>
        <w:jc w:val="both"/>
        <w:rPr>
          <w:rFonts w:ascii="Times New Roman" w:hAnsi="Times New Roman" w:cs="Times New Roman"/>
          <w:sz w:val="22"/>
          <w:szCs w:val="22"/>
          <w:lang w:val="en-GB"/>
        </w:rPr>
      </w:pPr>
    </w:p>
    <w:p w14:paraId="5F83BFB3" w14:textId="77777777" w:rsidR="0099196B" w:rsidRDefault="0099196B" w:rsidP="00A2519B">
      <w:pPr>
        <w:spacing w:before="120"/>
        <w:jc w:val="both"/>
        <w:rPr>
          <w:rFonts w:ascii="Times New Roman" w:hAnsi="Times New Roman" w:cs="Times New Roman"/>
          <w:sz w:val="22"/>
          <w:szCs w:val="22"/>
          <w:lang w:val="en-GB"/>
        </w:rPr>
      </w:pPr>
    </w:p>
    <w:p w14:paraId="22176C5A" w14:textId="77777777" w:rsidR="0099196B" w:rsidRDefault="0099196B" w:rsidP="001B2619">
      <w:pPr>
        <w:pStyle w:val="Nadpis2"/>
        <w:rPr>
          <w:rFonts w:ascii="Times New Roman" w:hAnsi="Times New Roman"/>
          <w:sz w:val="24"/>
          <w:szCs w:val="24"/>
        </w:rPr>
      </w:pPr>
    </w:p>
    <w:p w14:paraId="77A48FAF" w14:textId="77777777" w:rsidR="0099196B" w:rsidRDefault="0099196B" w:rsidP="0099196B"/>
    <w:p w14:paraId="7F29285A" w14:textId="77777777" w:rsidR="0099196B" w:rsidRPr="0099196B" w:rsidRDefault="0099196B" w:rsidP="0099196B"/>
    <w:p w14:paraId="4C10D6FF" w14:textId="2C75363B" w:rsidR="001B2619" w:rsidRPr="008F7927" w:rsidRDefault="00A00934" w:rsidP="001B2619">
      <w:pPr>
        <w:pStyle w:val="Nadpis2"/>
        <w:rPr>
          <w:sz w:val="24"/>
          <w:szCs w:val="24"/>
        </w:rPr>
      </w:pPr>
      <w:r>
        <w:rPr>
          <w:sz w:val="24"/>
          <w:szCs w:val="24"/>
        </w:rPr>
        <w:lastRenderedPageBreak/>
        <w:t xml:space="preserve">Seznam obrázků </w:t>
      </w:r>
    </w:p>
    <w:p w14:paraId="3D14D392" w14:textId="2573CE1E" w:rsidR="001B2619" w:rsidRDefault="008F7927" w:rsidP="008F7927">
      <w:pPr>
        <w:pStyle w:val="Nadpis2"/>
        <w:spacing w:before="120" w:line="240" w:lineRule="auto"/>
        <w:rPr>
          <w:rFonts w:ascii="Times New Roman" w:hAnsi="Times New Roman"/>
          <w:b w:val="0"/>
          <w:color w:val="auto"/>
          <w:sz w:val="22"/>
          <w:szCs w:val="22"/>
        </w:rPr>
      </w:pPr>
      <w:r w:rsidRPr="008F7927">
        <w:rPr>
          <w:rFonts w:ascii="Times New Roman" w:hAnsi="Times New Roman"/>
          <w:b w:val="0"/>
          <w:color w:val="auto"/>
          <w:sz w:val="22"/>
          <w:szCs w:val="22"/>
        </w:rPr>
        <w:t xml:space="preserve">Obrázek 1.1 </w:t>
      </w:r>
      <w:r>
        <w:rPr>
          <w:rFonts w:ascii="Times New Roman" w:hAnsi="Times New Roman"/>
          <w:b w:val="0"/>
          <w:color w:val="auto"/>
          <w:sz w:val="22"/>
          <w:szCs w:val="22"/>
        </w:rPr>
        <w:t>Složky intelektuálního kapitálu organizace</w:t>
      </w:r>
    </w:p>
    <w:p w14:paraId="76C521A2" w14:textId="6A99B6B2" w:rsidR="008F7927" w:rsidRDefault="008F7927" w:rsidP="008F7927">
      <w:pPr>
        <w:spacing w:before="120"/>
        <w:rPr>
          <w:rFonts w:ascii="Times New Roman" w:hAnsi="Times New Roman" w:cs="Times New Roman"/>
          <w:sz w:val="22"/>
          <w:szCs w:val="22"/>
        </w:rPr>
      </w:pPr>
      <w:r w:rsidRPr="008F7927">
        <w:rPr>
          <w:rFonts w:ascii="Times New Roman" w:hAnsi="Times New Roman" w:cs="Times New Roman"/>
          <w:sz w:val="22"/>
          <w:szCs w:val="22"/>
        </w:rPr>
        <w:t>Obrázek</w:t>
      </w:r>
      <w:r>
        <w:rPr>
          <w:rFonts w:ascii="Times New Roman" w:hAnsi="Times New Roman" w:cs="Times New Roman"/>
          <w:sz w:val="22"/>
          <w:szCs w:val="22"/>
        </w:rPr>
        <w:t xml:space="preserve"> 1.2 Podíl osob ve věku 25–64 let se středoškolským vzděláním</w:t>
      </w:r>
    </w:p>
    <w:p w14:paraId="2A30C462" w14:textId="4D89AAFF" w:rsidR="008F7927" w:rsidRDefault="008F7927" w:rsidP="008F7927">
      <w:pPr>
        <w:spacing w:before="120"/>
        <w:rPr>
          <w:rFonts w:ascii="Times New Roman" w:hAnsi="Times New Roman" w:cs="Times New Roman"/>
          <w:sz w:val="22"/>
          <w:szCs w:val="22"/>
        </w:rPr>
      </w:pPr>
      <w:r>
        <w:rPr>
          <w:rFonts w:ascii="Times New Roman" w:hAnsi="Times New Roman" w:cs="Times New Roman"/>
          <w:sz w:val="22"/>
          <w:szCs w:val="22"/>
        </w:rPr>
        <w:t>Obrázek 1.3 Podíl osob ve věku 30–34 let s vysokoškolským vzděláním</w:t>
      </w:r>
    </w:p>
    <w:p w14:paraId="7CB88315" w14:textId="63171C93" w:rsidR="008F7927" w:rsidRDefault="008F7927" w:rsidP="008F7927">
      <w:pPr>
        <w:spacing w:before="120"/>
        <w:rPr>
          <w:rFonts w:ascii="Times New Roman" w:hAnsi="Times New Roman" w:cs="Times New Roman"/>
          <w:sz w:val="22"/>
          <w:szCs w:val="22"/>
        </w:rPr>
      </w:pPr>
      <w:r>
        <w:rPr>
          <w:rFonts w:ascii="Times New Roman" w:hAnsi="Times New Roman" w:cs="Times New Roman"/>
          <w:sz w:val="22"/>
          <w:szCs w:val="22"/>
        </w:rPr>
        <w:t>Obrázek 1.4 Podíl osob ve věku 18–24 let, které předčasně ukončily vzdělání</w:t>
      </w:r>
    </w:p>
    <w:p w14:paraId="08B02EBD" w14:textId="5E2A5552" w:rsidR="008F7927" w:rsidRDefault="008F7927" w:rsidP="008F7927">
      <w:pPr>
        <w:spacing w:before="120"/>
        <w:rPr>
          <w:rFonts w:ascii="Times New Roman" w:hAnsi="Times New Roman" w:cs="Times New Roman"/>
          <w:sz w:val="22"/>
          <w:szCs w:val="22"/>
        </w:rPr>
      </w:pPr>
      <w:r>
        <w:rPr>
          <w:rFonts w:ascii="Times New Roman" w:hAnsi="Times New Roman" w:cs="Times New Roman"/>
          <w:sz w:val="22"/>
          <w:szCs w:val="22"/>
        </w:rPr>
        <w:t>Obrázek 1.5 Podíl dospělých ve věku 25–64 let</w:t>
      </w:r>
      <w:r w:rsidR="00075C3C">
        <w:rPr>
          <w:rFonts w:ascii="Times New Roman" w:hAnsi="Times New Roman" w:cs="Times New Roman"/>
          <w:sz w:val="22"/>
          <w:szCs w:val="22"/>
        </w:rPr>
        <w:t xml:space="preserve"> účastnících se nějaké formy celoživotního vzdělávání</w:t>
      </w:r>
    </w:p>
    <w:p w14:paraId="3CB3F0D1" w14:textId="19180B00" w:rsidR="00075C3C" w:rsidRDefault="00075C3C" w:rsidP="008F7927">
      <w:pPr>
        <w:spacing w:before="120"/>
        <w:rPr>
          <w:rFonts w:ascii="Times New Roman" w:hAnsi="Times New Roman" w:cs="Times New Roman"/>
          <w:sz w:val="22"/>
          <w:szCs w:val="22"/>
        </w:rPr>
      </w:pPr>
      <w:r>
        <w:rPr>
          <w:rFonts w:ascii="Times New Roman" w:hAnsi="Times New Roman" w:cs="Times New Roman"/>
          <w:sz w:val="22"/>
          <w:szCs w:val="22"/>
        </w:rPr>
        <w:t>Obrázek 1.6 Složky lidského kapitálu dle Globálního indexu lidského kapitálu</w:t>
      </w:r>
    </w:p>
    <w:p w14:paraId="76D45F93" w14:textId="6294CB95" w:rsidR="00075C3C" w:rsidRDefault="00075C3C" w:rsidP="008F7927">
      <w:pPr>
        <w:spacing w:before="120"/>
        <w:rPr>
          <w:rFonts w:ascii="Times New Roman" w:hAnsi="Times New Roman" w:cs="Times New Roman"/>
          <w:sz w:val="22"/>
          <w:szCs w:val="22"/>
        </w:rPr>
      </w:pPr>
      <w:r>
        <w:rPr>
          <w:rFonts w:ascii="Times New Roman" w:hAnsi="Times New Roman" w:cs="Times New Roman"/>
          <w:sz w:val="22"/>
          <w:szCs w:val="22"/>
        </w:rPr>
        <w:t>Obrázek 2.1 Vzdělanostní struktura populace v ČR</w:t>
      </w:r>
    </w:p>
    <w:p w14:paraId="66A4569A" w14:textId="158196FE" w:rsidR="00075C3C" w:rsidRDefault="00075C3C" w:rsidP="008F7927">
      <w:pPr>
        <w:spacing w:before="120"/>
        <w:rPr>
          <w:rFonts w:ascii="Times New Roman" w:hAnsi="Times New Roman" w:cs="Times New Roman"/>
          <w:sz w:val="22"/>
          <w:szCs w:val="22"/>
        </w:rPr>
      </w:pPr>
      <w:r>
        <w:rPr>
          <w:rFonts w:ascii="Times New Roman" w:hAnsi="Times New Roman" w:cs="Times New Roman"/>
          <w:sz w:val="22"/>
          <w:szCs w:val="22"/>
        </w:rPr>
        <w:t>Obrázek 2.2 Vzdělanostní struktura v ČR dle věku</w:t>
      </w:r>
    </w:p>
    <w:p w14:paraId="2967FDD5" w14:textId="78966550" w:rsidR="00075C3C" w:rsidRDefault="00075C3C" w:rsidP="008F7927">
      <w:pPr>
        <w:spacing w:before="120"/>
        <w:rPr>
          <w:rFonts w:ascii="Times New Roman" w:hAnsi="Times New Roman" w:cs="Times New Roman"/>
          <w:sz w:val="22"/>
          <w:szCs w:val="22"/>
        </w:rPr>
      </w:pPr>
      <w:r>
        <w:rPr>
          <w:rFonts w:ascii="Times New Roman" w:hAnsi="Times New Roman" w:cs="Times New Roman"/>
          <w:sz w:val="22"/>
          <w:szCs w:val="22"/>
        </w:rPr>
        <w:t>Obrázek 2.3 Celkové veřejné výdaje na vzdělávání v zemích EU</w:t>
      </w:r>
    </w:p>
    <w:p w14:paraId="78874607" w14:textId="1801D172" w:rsidR="00075C3C" w:rsidRDefault="00075C3C" w:rsidP="008F7927">
      <w:pPr>
        <w:spacing w:before="120"/>
        <w:rPr>
          <w:rFonts w:ascii="Times New Roman" w:hAnsi="Times New Roman" w:cs="Times New Roman"/>
          <w:sz w:val="22"/>
          <w:szCs w:val="22"/>
        </w:rPr>
      </w:pPr>
      <w:r>
        <w:rPr>
          <w:rFonts w:ascii="Times New Roman" w:hAnsi="Times New Roman" w:cs="Times New Roman"/>
          <w:sz w:val="22"/>
          <w:szCs w:val="22"/>
        </w:rPr>
        <w:t>Obrázek 2.4 Vývoj míry nezaměstnanosti v ČR dle dosažené úrovně vzdělání</w:t>
      </w:r>
    </w:p>
    <w:p w14:paraId="352546CC" w14:textId="60B1E027" w:rsidR="0053478B" w:rsidRDefault="0053478B" w:rsidP="008F7927">
      <w:pPr>
        <w:spacing w:before="120"/>
        <w:rPr>
          <w:rFonts w:ascii="Times New Roman" w:hAnsi="Times New Roman" w:cs="Times New Roman"/>
          <w:sz w:val="22"/>
          <w:szCs w:val="22"/>
        </w:rPr>
      </w:pPr>
      <w:r>
        <w:rPr>
          <w:rFonts w:ascii="Times New Roman" w:hAnsi="Times New Roman" w:cs="Times New Roman"/>
          <w:sz w:val="22"/>
          <w:szCs w:val="22"/>
        </w:rPr>
        <w:t>Obrázek 2.5 Průměrné hodinové výdělky podle dosažené úrovně vzdělání</w:t>
      </w:r>
    </w:p>
    <w:p w14:paraId="7219BE99" w14:textId="1D84C144" w:rsidR="0053478B" w:rsidRDefault="0053478B" w:rsidP="008F7927">
      <w:pPr>
        <w:spacing w:before="120"/>
        <w:rPr>
          <w:rFonts w:ascii="Times New Roman" w:hAnsi="Times New Roman" w:cs="Times New Roman"/>
          <w:sz w:val="22"/>
          <w:szCs w:val="22"/>
        </w:rPr>
      </w:pPr>
      <w:r>
        <w:rPr>
          <w:rFonts w:ascii="Times New Roman" w:hAnsi="Times New Roman" w:cs="Times New Roman"/>
          <w:sz w:val="22"/>
          <w:szCs w:val="22"/>
        </w:rPr>
        <w:t xml:space="preserve">Obrázek 2.6 Účast dospělé populace (25–64 let) na </w:t>
      </w:r>
      <w:r w:rsidR="00CF7B6A">
        <w:rPr>
          <w:rFonts w:ascii="Times New Roman" w:hAnsi="Times New Roman" w:cs="Times New Roman"/>
          <w:sz w:val="22"/>
          <w:szCs w:val="22"/>
        </w:rPr>
        <w:t xml:space="preserve">dalším </w:t>
      </w:r>
      <w:r>
        <w:rPr>
          <w:rFonts w:ascii="Times New Roman" w:hAnsi="Times New Roman" w:cs="Times New Roman"/>
          <w:sz w:val="22"/>
          <w:szCs w:val="22"/>
        </w:rPr>
        <w:t>formálním vzdělávání a průměrný počet hodin vynaložený na formální vzdělávání měsíčně</w:t>
      </w:r>
    </w:p>
    <w:p w14:paraId="37CCFA68" w14:textId="3C2E34A9" w:rsidR="0053478B" w:rsidRDefault="0053478B" w:rsidP="008F7927">
      <w:pPr>
        <w:spacing w:before="120"/>
        <w:rPr>
          <w:rFonts w:ascii="Times New Roman" w:hAnsi="Times New Roman" w:cs="Times New Roman"/>
          <w:sz w:val="22"/>
          <w:szCs w:val="22"/>
        </w:rPr>
      </w:pPr>
      <w:r>
        <w:rPr>
          <w:rFonts w:ascii="Times New Roman" w:hAnsi="Times New Roman" w:cs="Times New Roman"/>
          <w:sz w:val="22"/>
          <w:szCs w:val="22"/>
        </w:rPr>
        <w:t xml:space="preserve">Obrázek </w:t>
      </w:r>
      <w:r w:rsidR="00CF7B6A">
        <w:rPr>
          <w:rFonts w:ascii="Times New Roman" w:hAnsi="Times New Roman" w:cs="Times New Roman"/>
          <w:sz w:val="22"/>
          <w:szCs w:val="22"/>
        </w:rPr>
        <w:t>2.7 Účast dospělých na dalším formálním vzdělávání dle věkových kategorií</w:t>
      </w:r>
    </w:p>
    <w:p w14:paraId="731688AC" w14:textId="22145585" w:rsidR="00CF7B6A" w:rsidRDefault="00CF7B6A" w:rsidP="008F7927">
      <w:pPr>
        <w:spacing w:before="120"/>
        <w:rPr>
          <w:rFonts w:ascii="Times New Roman" w:hAnsi="Times New Roman" w:cs="Times New Roman"/>
          <w:sz w:val="22"/>
          <w:szCs w:val="22"/>
        </w:rPr>
      </w:pPr>
      <w:r>
        <w:rPr>
          <w:rFonts w:ascii="Times New Roman" w:hAnsi="Times New Roman" w:cs="Times New Roman"/>
          <w:sz w:val="22"/>
          <w:szCs w:val="22"/>
        </w:rPr>
        <w:t>Obrázek 2.8 Účast dospělé populace (25–64 let) na neformálním vzdělávání a průměrný počet hodin vynaložený na neformální vzdělávání měsíčně</w:t>
      </w:r>
    </w:p>
    <w:p w14:paraId="6FDA3AF2" w14:textId="1F548B21" w:rsidR="00CF7B6A" w:rsidRDefault="00CF7B6A" w:rsidP="008F7927">
      <w:pPr>
        <w:spacing w:before="120"/>
        <w:rPr>
          <w:rFonts w:ascii="Times New Roman" w:hAnsi="Times New Roman" w:cs="Times New Roman"/>
          <w:sz w:val="22"/>
          <w:szCs w:val="22"/>
        </w:rPr>
      </w:pPr>
      <w:r>
        <w:rPr>
          <w:rFonts w:ascii="Times New Roman" w:hAnsi="Times New Roman" w:cs="Times New Roman"/>
          <w:sz w:val="22"/>
          <w:szCs w:val="22"/>
        </w:rPr>
        <w:t>Obrázek 2.9 Účast dospělé populace (18–69 let) na neformálním vzdělávání dle dosažené úrovně vzdělání</w:t>
      </w:r>
    </w:p>
    <w:p w14:paraId="096A3121" w14:textId="52CE263B" w:rsidR="00CF7B6A" w:rsidRDefault="00CF7B6A" w:rsidP="008F7927">
      <w:pPr>
        <w:spacing w:before="120"/>
        <w:rPr>
          <w:rFonts w:ascii="Times New Roman" w:hAnsi="Times New Roman" w:cs="Times New Roman"/>
          <w:sz w:val="22"/>
          <w:szCs w:val="22"/>
        </w:rPr>
      </w:pPr>
      <w:r>
        <w:rPr>
          <w:rFonts w:ascii="Times New Roman" w:hAnsi="Times New Roman" w:cs="Times New Roman"/>
          <w:sz w:val="22"/>
          <w:szCs w:val="22"/>
        </w:rPr>
        <w:t>Obrázek 2.10 Účast a průměrný počet hodin strávený pracovně orientovaným neformálním vzděláváním dle ekonomického postavení vybraných skupin</w:t>
      </w:r>
    </w:p>
    <w:p w14:paraId="57362249" w14:textId="78521917" w:rsidR="00CF7B6A" w:rsidRDefault="00CF7B6A" w:rsidP="008F7927">
      <w:pPr>
        <w:spacing w:before="120"/>
        <w:rPr>
          <w:rFonts w:ascii="Times New Roman" w:hAnsi="Times New Roman" w:cs="Times New Roman"/>
          <w:sz w:val="22"/>
          <w:szCs w:val="22"/>
        </w:rPr>
      </w:pPr>
      <w:r>
        <w:rPr>
          <w:rFonts w:ascii="Times New Roman" w:hAnsi="Times New Roman" w:cs="Times New Roman"/>
          <w:sz w:val="22"/>
          <w:szCs w:val="22"/>
        </w:rPr>
        <w:t>Obrázek 2.11 Účast pracujících a průměrný počet hodin strávený pracovně orientovaným neformálním vzděláváním dle hlavních tříd zaměstnání CZ-ISCO</w:t>
      </w:r>
    </w:p>
    <w:p w14:paraId="296B146D" w14:textId="2D9167F4" w:rsidR="00424C34" w:rsidRDefault="00424C34" w:rsidP="008F7927">
      <w:pPr>
        <w:spacing w:before="120"/>
        <w:rPr>
          <w:rFonts w:ascii="Times New Roman" w:hAnsi="Times New Roman" w:cs="Times New Roman"/>
          <w:sz w:val="22"/>
          <w:szCs w:val="22"/>
        </w:rPr>
      </w:pPr>
      <w:r>
        <w:rPr>
          <w:rFonts w:ascii="Times New Roman" w:hAnsi="Times New Roman" w:cs="Times New Roman"/>
          <w:sz w:val="22"/>
          <w:szCs w:val="22"/>
        </w:rPr>
        <w:t>Obrázek 2.12 Účast dospělých celkem versus účast dospělých s primárním vzděláním v některé z forem dalšího vzdělávání (EU)</w:t>
      </w:r>
    </w:p>
    <w:p w14:paraId="1960B1CB" w14:textId="67BE2130" w:rsidR="00424C34" w:rsidRDefault="00424C34" w:rsidP="008F7927">
      <w:pPr>
        <w:spacing w:before="120"/>
        <w:rPr>
          <w:rFonts w:ascii="Times New Roman" w:hAnsi="Times New Roman" w:cs="Times New Roman"/>
          <w:sz w:val="22"/>
          <w:szCs w:val="22"/>
        </w:rPr>
      </w:pPr>
      <w:r>
        <w:rPr>
          <w:rFonts w:ascii="Times New Roman" w:hAnsi="Times New Roman" w:cs="Times New Roman"/>
          <w:sz w:val="22"/>
          <w:szCs w:val="22"/>
        </w:rPr>
        <w:t>Obrázek 2.13 Cyklus rozvoje lidských zdrojů</w:t>
      </w:r>
    </w:p>
    <w:p w14:paraId="77FB60ED" w14:textId="774CD651" w:rsidR="00424C34" w:rsidRDefault="00424C34" w:rsidP="008F7927">
      <w:pPr>
        <w:spacing w:before="120"/>
        <w:rPr>
          <w:rFonts w:ascii="Times New Roman" w:hAnsi="Times New Roman" w:cs="Times New Roman"/>
          <w:sz w:val="22"/>
          <w:szCs w:val="22"/>
        </w:rPr>
      </w:pPr>
      <w:r>
        <w:rPr>
          <w:rFonts w:ascii="Times New Roman" w:hAnsi="Times New Roman" w:cs="Times New Roman"/>
          <w:sz w:val="22"/>
          <w:szCs w:val="22"/>
        </w:rPr>
        <w:t>Obrázek 2.14 Podíl firem v ČR, které poskytovaly kurzy/školení a jiné formy vzdělávání</w:t>
      </w:r>
    </w:p>
    <w:p w14:paraId="5D607B68" w14:textId="0B485DD1" w:rsidR="00A00934" w:rsidRDefault="00A00934" w:rsidP="008F7927">
      <w:pPr>
        <w:spacing w:before="120"/>
        <w:rPr>
          <w:rFonts w:ascii="Times New Roman" w:hAnsi="Times New Roman" w:cs="Times New Roman"/>
          <w:sz w:val="22"/>
          <w:szCs w:val="22"/>
        </w:rPr>
      </w:pPr>
      <w:r>
        <w:rPr>
          <w:rFonts w:ascii="Times New Roman" w:hAnsi="Times New Roman" w:cs="Times New Roman"/>
          <w:sz w:val="22"/>
          <w:szCs w:val="22"/>
        </w:rPr>
        <w:t xml:space="preserve">Obrázek 2.15 Podíl podniků se zástupci zaměstnanců (např. odbory) zapojenými do rozhodování v oblasti podnikového vzdělávání </w:t>
      </w:r>
    </w:p>
    <w:p w14:paraId="0D6BB6D7" w14:textId="77777777" w:rsidR="00CF7B6A" w:rsidRDefault="00CF7B6A" w:rsidP="008F7927">
      <w:pPr>
        <w:spacing w:before="120"/>
        <w:rPr>
          <w:rFonts w:ascii="Times New Roman" w:hAnsi="Times New Roman" w:cs="Times New Roman"/>
          <w:sz w:val="22"/>
          <w:szCs w:val="22"/>
        </w:rPr>
      </w:pPr>
    </w:p>
    <w:p w14:paraId="27AE4263" w14:textId="63359858" w:rsidR="00A00934" w:rsidRDefault="00A00934" w:rsidP="00A00934">
      <w:pPr>
        <w:pStyle w:val="Nadpis2"/>
      </w:pPr>
      <w:r>
        <w:t>Seznam tabulek</w:t>
      </w:r>
    </w:p>
    <w:p w14:paraId="7C3DEF84" w14:textId="2746F963" w:rsidR="008F7927" w:rsidRDefault="008F7927" w:rsidP="008F7927">
      <w:pPr>
        <w:spacing w:before="120"/>
        <w:rPr>
          <w:rFonts w:ascii="Times New Roman" w:hAnsi="Times New Roman" w:cs="Times New Roman"/>
          <w:sz w:val="22"/>
          <w:szCs w:val="22"/>
        </w:rPr>
      </w:pPr>
      <w:r>
        <w:rPr>
          <w:rFonts w:ascii="Times New Roman" w:hAnsi="Times New Roman" w:cs="Times New Roman"/>
          <w:sz w:val="22"/>
          <w:szCs w:val="22"/>
        </w:rPr>
        <w:t>Tabulka 1.1 Typy uspořádání sociálního kapitálu</w:t>
      </w:r>
    </w:p>
    <w:p w14:paraId="4A6ABB2B" w14:textId="0C4CBBFC" w:rsidR="00075C3C" w:rsidRDefault="00075C3C" w:rsidP="008F7927">
      <w:pPr>
        <w:spacing w:before="120"/>
        <w:rPr>
          <w:rFonts w:ascii="Times New Roman" w:hAnsi="Times New Roman" w:cs="Times New Roman"/>
          <w:sz w:val="22"/>
          <w:szCs w:val="22"/>
        </w:rPr>
      </w:pPr>
      <w:r>
        <w:rPr>
          <w:rFonts w:ascii="Times New Roman" w:hAnsi="Times New Roman" w:cs="Times New Roman"/>
          <w:sz w:val="22"/>
          <w:szCs w:val="22"/>
        </w:rPr>
        <w:t>Tabulka 1.2 Pořadí zemí dle Globálního indexu lidského kapitálu</w:t>
      </w:r>
    </w:p>
    <w:p w14:paraId="212E641A" w14:textId="5DF413A9" w:rsidR="0053478B" w:rsidRDefault="0053478B" w:rsidP="008F7927">
      <w:pPr>
        <w:spacing w:before="120"/>
        <w:rPr>
          <w:rFonts w:ascii="Times New Roman" w:hAnsi="Times New Roman" w:cs="Times New Roman"/>
          <w:sz w:val="22"/>
          <w:szCs w:val="22"/>
        </w:rPr>
      </w:pPr>
      <w:r>
        <w:rPr>
          <w:rFonts w:ascii="Times New Roman" w:hAnsi="Times New Roman" w:cs="Times New Roman"/>
          <w:sz w:val="22"/>
          <w:szCs w:val="22"/>
        </w:rPr>
        <w:t>Tabulka 2.1 Medián měsíčních mezd dle úrovně dosaženého vzdělání v</w:t>
      </w:r>
      <w:r w:rsidR="00CF7B6A">
        <w:rPr>
          <w:rFonts w:ascii="Times New Roman" w:hAnsi="Times New Roman" w:cs="Times New Roman"/>
          <w:sz w:val="22"/>
          <w:szCs w:val="22"/>
        </w:rPr>
        <w:t> </w:t>
      </w:r>
      <w:r>
        <w:rPr>
          <w:rFonts w:ascii="Times New Roman" w:hAnsi="Times New Roman" w:cs="Times New Roman"/>
          <w:sz w:val="22"/>
          <w:szCs w:val="22"/>
        </w:rPr>
        <w:t>ČR</w:t>
      </w:r>
    </w:p>
    <w:p w14:paraId="6A3C275D" w14:textId="1B525D96" w:rsidR="00CF7B6A" w:rsidRDefault="00CF7B6A" w:rsidP="008F7927">
      <w:pPr>
        <w:spacing w:before="120"/>
        <w:rPr>
          <w:rFonts w:ascii="Times New Roman" w:hAnsi="Times New Roman" w:cs="Times New Roman"/>
          <w:sz w:val="22"/>
          <w:szCs w:val="22"/>
        </w:rPr>
      </w:pPr>
      <w:r>
        <w:rPr>
          <w:rFonts w:ascii="Times New Roman" w:hAnsi="Times New Roman" w:cs="Times New Roman"/>
          <w:sz w:val="22"/>
          <w:szCs w:val="22"/>
        </w:rPr>
        <w:t>Tabulka 2.2 Důvody účasti v dalším formálním vzdělávání</w:t>
      </w:r>
    </w:p>
    <w:p w14:paraId="53CA8D5B" w14:textId="20700797" w:rsidR="0099196B" w:rsidRDefault="0099196B" w:rsidP="008F7927">
      <w:pPr>
        <w:spacing w:before="120"/>
        <w:rPr>
          <w:rFonts w:ascii="Times New Roman" w:hAnsi="Times New Roman" w:cs="Times New Roman"/>
          <w:sz w:val="22"/>
          <w:szCs w:val="22"/>
        </w:rPr>
      </w:pPr>
      <w:r>
        <w:rPr>
          <w:rFonts w:ascii="Times New Roman" w:hAnsi="Times New Roman" w:cs="Times New Roman"/>
          <w:sz w:val="22"/>
          <w:szCs w:val="22"/>
        </w:rPr>
        <w:t>Tabulka 2.3 Důvody účasti v pracovně orientovaném neformálním vzdělávání</w:t>
      </w:r>
    </w:p>
    <w:p w14:paraId="3E4DD6C1" w14:textId="57955D49" w:rsidR="00424C34" w:rsidRDefault="00424C34" w:rsidP="008F7927">
      <w:pPr>
        <w:spacing w:before="120"/>
        <w:rPr>
          <w:rFonts w:ascii="Times New Roman" w:hAnsi="Times New Roman" w:cs="Times New Roman"/>
          <w:sz w:val="22"/>
          <w:szCs w:val="22"/>
        </w:rPr>
      </w:pPr>
      <w:r>
        <w:rPr>
          <w:rFonts w:ascii="Times New Roman" w:hAnsi="Times New Roman" w:cs="Times New Roman"/>
          <w:sz w:val="22"/>
          <w:szCs w:val="22"/>
        </w:rPr>
        <w:lastRenderedPageBreak/>
        <w:t>Tabulka 2.4 Účast dospělých na dalším vzdělávání dle postavení na trhu práce a účast dospělých na pracovně orientovaném dalším vzdělávání dle dosažené úrovně vzdělání (ČR a EU)</w:t>
      </w:r>
    </w:p>
    <w:p w14:paraId="040C1159" w14:textId="23DB26B4" w:rsidR="00424C34" w:rsidRDefault="00424C34" w:rsidP="008F7927">
      <w:pPr>
        <w:spacing w:before="120"/>
        <w:rPr>
          <w:rFonts w:ascii="Times New Roman" w:hAnsi="Times New Roman" w:cs="Times New Roman"/>
          <w:sz w:val="22"/>
          <w:szCs w:val="22"/>
        </w:rPr>
      </w:pPr>
      <w:r>
        <w:rPr>
          <w:rFonts w:ascii="Times New Roman" w:hAnsi="Times New Roman" w:cs="Times New Roman"/>
          <w:sz w:val="22"/>
          <w:szCs w:val="22"/>
        </w:rPr>
        <w:t>Tabulka 2.5 Přehled základních metod vzdělávání a rozvoje pracovníků</w:t>
      </w:r>
    </w:p>
    <w:p w14:paraId="59C6CDFF" w14:textId="329370F0" w:rsidR="00424C34" w:rsidRDefault="00424C34" w:rsidP="008F7927">
      <w:pPr>
        <w:spacing w:before="120"/>
        <w:rPr>
          <w:rFonts w:ascii="Times New Roman" w:hAnsi="Times New Roman" w:cs="Times New Roman"/>
          <w:sz w:val="22"/>
          <w:szCs w:val="22"/>
        </w:rPr>
      </w:pPr>
      <w:r>
        <w:rPr>
          <w:rFonts w:ascii="Times New Roman" w:hAnsi="Times New Roman" w:cs="Times New Roman"/>
          <w:sz w:val="22"/>
          <w:szCs w:val="22"/>
        </w:rPr>
        <w:t xml:space="preserve">Tabulka 2.6 </w:t>
      </w:r>
      <w:r w:rsidR="00A00934">
        <w:rPr>
          <w:rFonts w:ascii="Times New Roman" w:hAnsi="Times New Roman" w:cs="Times New Roman"/>
          <w:sz w:val="22"/>
          <w:szCs w:val="22"/>
        </w:rPr>
        <w:t>Podíl firem obvykle reagujících daným způsobem na nedostatečnost stávajících znalostí či dovedností svých zaměstnanců</w:t>
      </w:r>
    </w:p>
    <w:p w14:paraId="55B1D6A5" w14:textId="6AE09776" w:rsidR="001B2619" w:rsidRPr="008F7927" w:rsidRDefault="00A00934" w:rsidP="00BF4390">
      <w:pPr>
        <w:spacing w:before="120"/>
        <w:rPr>
          <w:rFonts w:ascii="Times New Roman" w:hAnsi="Times New Roman"/>
        </w:rPr>
      </w:pPr>
      <w:r>
        <w:rPr>
          <w:rFonts w:ascii="Times New Roman" w:hAnsi="Times New Roman" w:cs="Times New Roman"/>
          <w:sz w:val="22"/>
          <w:szCs w:val="22"/>
        </w:rPr>
        <w:t xml:space="preserve">Tabulka 2.7 Požadované dovednosti zaměstnanců </w:t>
      </w:r>
      <w:bookmarkStart w:id="167" w:name="_GoBack"/>
      <w:bookmarkEnd w:id="167"/>
    </w:p>
    <w:sectPr w:rsidR="001B2619" w:rsidRPr="008F7927" w:rsidSect="00EB6CD6">
      <w:footerReference w:type="even" r:id="rId37"/>
      <w:footerReference w:type="default" r:id="rId38"/>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6422B" w14:textId="77777777" w:rsidR="00D8340B" w:rsidRDefault="00D8340B" w:rsidP="00AE17A5">
      <w:r>
        <w:separator/>
      </w:r>
    </w:p>
  </w:endnote>
  <w:endnote w:type="continuationSeparator" w:id="0">
    <w:p w14:paraId="34659488" w14:textId="77777777" w:rsidR="00D8340B" w:rsidRDefault="00D8340B" w:rsidP="00AE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CE">
    <w:altName w:val="Segoe UI"/>
    <w:charset w:val="58"/>
    <w:family w:val="auto"/>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A208F" w14:textId="77777777" w:rsidR="00424C34" w:rsidRDefault="00424C34" w:rsidP="00AE17A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BA55C4">
      <w:rPr>
        <w:rStyle w:val="slostrnky"/>
        <w:noProof/>
      </w:rPr>
      <w:t>2</w:t>
    </w:r>
    <w:r>
      <w:rPr>
        <w:rStyle w:val="slostrnky"/>
      </w:rPr>
      <w:fldChar w:fldCharType="end"/>
    </w:r>
  </w:p>
  <w:p w14:paraId="344FD761" w14:textId="77777777" w:rsidR="00424C34" w:rsidRDefault="00424C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166B" w14:textId="77777777" w:rsidR="00424C34" w:rsidRDefault="00424C34" w:rsidP="00AE17A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BA55C4">
      <w:rPr>
        <w:rStyle w:val="slostrnky"/>
        <w:noProof/>
      </w:rPr>
      <w:t>3</w:t>
    </w:r>
    <w:r>
      <w:rPr>
        <w:rStyle w:val="slostrnky"/>
      </w:rPr>
      <w:fldChar w:fldCharType="end"/>
    </w:r>
  </w:p>
  <w:p w14:paraId="7A07F649" w14:textId="77777777" w:rsidR="00424C34" w:rsidRDefault="00424C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7E9AA" w14:textId="77777777" w:rsidR="00D8340B" w:rsidRDefault="00D8340B" w:rsidP="00AE17A5">
      <w:r>
        <w:separator/>
      </w:r>
    </w:p>
  </w:footnote>
  <w:footnote w:type="continuationSeparator" w:id="0">
    <w:p w14:paraId="2F643DCB" w14:textId="77777777" w:rsidR="00D8340B" w:rsidRDefault="00D8340B" w:rsidP="00AE17A5">
      <w:r>
        <w:continuationSeparator/>
      </w:r>
    </w:p>
  </w:footnote>
  <w:footnote w:id="1">
    <w:p w14:paraId="07B6B0C7" w14:textId="0F3439BF" w:rsidR="00424C34" w:rsidRPr="008B1E27" w:rsidRDefault="00424C34" w:rsidP="008B1E27">
      <w:pPr>
        <w:pStyle w:val="Textpoznpodarou"/>
        <w:jc w:val="both"/>
        <w:rPr>
          <w:rFonts w:ascii="Times New Roman" w:hAnsi="Times New Roman" w:cs="Times New Roman"/>
          <w:sz w:val="20"/>
          <w:szCs w:val="20"/>
        </w:rPr>
      </w:pPr>
      <w:r w:rsidRPr="008B1E27">
        <w:rPr>
          <w:rStyle w:val="Znakapoznpodarou"/>
          <w:rFonts w:ascii="Times New Roman" w:hAnsi="Times New Roman" w:cs="Times New Roman"/>
          <w:sz w:val="20"/>
          <w:szCs w:val="20"/>
        </w:rPr>
        <w:footnoteRef/>
      </w:r>
      <w:r w:rsidRPr="008B1E27">
        <w:rPr>
          <w:rFonts w:ascii="Times New Roman" w:hAnsi="Times New Roman" w:cs="Times New Roman"/>
          <w:sz w:val="20"/>
          <w:szCs w:val="20"/>
        </w:rPr>
        <w:t xml:space="preserve"> Vlastní prospěch je základním motivem lidského jednání – vede jedince k tomu, aby</w:t>
      </w:r>
      <w:r>
        <w:rPr>
          <w:rFonts w:ascii="Times New Roman" w:hAnsi="Times New Roman" w:cs="Times New Roman"/>
          <w:sz w:val="20"/>
          <w:szCs w:val="20"/>
        </w:rPr>
        <w:t xml:space="preserve"> se věnoval takové práci, k níž má nejlepší předpoklady, aby nabízel své služby co nejkvalitněji a nejlevněji, a uspěl tak v soutěži s ostatními, a aby spořil, investoval a své bohatství dále zvětšoval.</w:t>
      </w:r>
    </w:p>
  </w:footnote>
  <w:footnote w:id="2">
    <w:p w14:paraId="0B886D95" w14:textId="132C92F5" w:rsidR="00424C34" w:rsidRPr="008B1E27" w:rsidRDefault="00424C34" w:rsidP="008B1E27">
      <w:pPr>
        <w:pStyle w:val="Textpoznpodarou"/>
        <w:jc w:val="both"/>
        <w:rPr>
          <w:rFonts w:ascii="Times New Roman" w:hAnsi="Times New Roman" w:cs="Times New Roman"/>
          <w:sz w:val="20"/>
          <w:szCs w:val="20"/>
        </w:rPr>
      </w:pPr>
      <w:r w:rsidRPr="008B1E27">
        <w:rPr>
          <w:rStyle w:val="Znakapoznpodarou"/>
          <w:rFonts w:ascii="Times New Roman" w:hAnsi="Times New Roman" w:cs="Times New Roman"/>
          <w:sz w:val="20"/>
          <w:szCs w:val="20"/>
        </w:rPr>
        <w:footnoteRef/>
      </w:r>
      <w:r w:rsidRPr="008B1E27">
        <w:rPr>
          <w:rFonts w:ascii="Times New Roman" w:hAnsi="Times New Roman" w:cs="Times New Roman"/>
          <w:sz w:val="20"/>
          <w:szCs w:val="20"/>
        </w:rPr>
        <w:t xml:space="preserve"> </w:t>
      </w:r>
      <w:r>
        <w:rPr>
          <w:rFonts w:ascii="Times New Roman" w:hAnsi="Times New Roman" w:cs="Times New Roman"/>
          <w:sz w:val="20"/>
          <w:szCs w:val="20"/>
        </w:rPr>
        <w:t xml:space="preserve">Viz Marx, K. (1980). </w:t>
      </w:r>
      <w:r w:rsidRPr="004A43DE">
        <w:rPr>
          <w:rFonts w:ascii="Times New Roman" w:hAnsi="Times New Roman" w:cs="Times New Roman"/>
          <w:i/>
          <w:sz w:val="20"/>
          <w:szCs w:val="20"/>
        </w:rPr>
        <w:t>Kapitál</w:t>
      </w:r>
      <w:r>
        <w:rPr>
          <w:rFonts w:ascii="Times New Roman" w:hAnsi="Times New Roman" w:cs="Times New Roman"/>
          <w:i/>
          <w:sz w:val="20"/>
          <w:szCs w:val="20"/>
        </w:rPr>
        <w:t xml:space="preserve">: Kritika politické ekonomie. </w:t>
      </w:r>
      <w:r>
        <w:rPr>
          <w:rFonts w:ascii="Times New Roman" w:hAnsi="Times New Roman" w:cs="Times New Roman"/>
          <w:sz w:val="20"/>
          <w:szCs w:val="20"/>
        </w:rPr>
        <w:t xml:space="preserve">Praha: Svoboda, 1978–1980. </w:t>
      </w:r>
      <w:r>
        <w:rPr>
          <w:rFonts w:ascii="Times New Roman" w:hAnsi="Times New Roman" w:cs="Times New Roman"/>
          <w:i/>
          <w:sz w:val="20"/>
          <w:szCs w:val="20"/>
        </w:rPr>
        <w:t>Capital. A Critique of Political Economy</w:t>
      </w:r>
      <w:r>
        <w:rPr>
          <w:rFonts w:ascii="Times New Roman" w:hAnsi="Times New Roman" w:cs="Times New Roman"/>
          <w:sz w:val="20"/>
          <w:szCs w:val="20"/>
        </w:rPr>
        <w:t xml:space="preserve"> – jednotlivé díly vycházely postupně v letech 1867–1883.</w:t>
      </w:r>
    </w:p>
  </w:footnote>
  <w:footnote w:id="3">
    <w:p w14:paraId="1AFAF2BF" w14:textId="69B324A4" w:rsidR="00424C34" w:rsidRPr="004D711E" w:rsidRDefault="00424C34" w:rsidP="001171C9">
      <w:pPr>
        <w:pStyle w:val="Textpoznpodarou"/>
        <w:jc w:val="both"/>
        <w:rPr>
          <w:rFonts w:ascii="Times New Roman" w:hAnsi="Times New Roman" w:cs="Times New Roman"/>
          <w:sz w:val="20"/>
          <w:szCs w:val="20"/>
        </w:rPr>
      </w:pPr>
      <w:r w:rsidRPr="001171C9">
        <w:rPr>
          <w:rStyle w:val="Znakapoznpodarou"/>
          <w:rFonts w:ascii="Times New Roman" w:hAnsi="Times New Roman" w:cs="Times New Roman"/>
          <w:sz w:val="20"/>
          <w:szCs w:val="20"/>
        </w:rPr>
        <w:footnoteRef/>
      </w:r>
      <w:r w:rsidRPr="001171C9">
        <w:rPr>
          <w:rFonts w:ascii="Times New Roman" w:hAnsi="Times New Roman" w:cs="Times New Roman"/>
          <w:sz w:val="20"/>
          <w:szCs w:val="20"/>
        </w:rPr>
        <w:t xml:space="preserve"> Největším přínosem tohoto představitele</w:t>
      </w:r>
      <w:r>
        <w:rPr>
          <w:rFonts w:ascii="Times New Roman" w:hAnsi="Times New Roman" w:cs="Times New Roman"/>
          <w:sz w:val="20"/>
          <w:szCs w:val="20"/>
        </w:rPr>
        <w:t xml:space="preserve"> tzv. cambridgeské ekonomické školy bylo rozpracování </w:t>
      </w:r>
      <w:r>
        <w:rPr>
          <w:rFonts w:ascii="Times New Roman" w:hAnsi="Times New Roman" w:cs="Times New Roman"/>
          <w:i/>
          <w:sz w:val="20"/>
          <w:szCs w:val="20"/>
        </w:rPr>
        <w:t>teorie blahobytu</w:t>
      </w:r>
      <w:r>
        <w:rPr>
          <w:rFonts w:ascii="Times New Roman" w:hAnsi="Times New Roman" w:cs="Times New Roman"/>
          <w:sz w:val="20"/>
          <w:szCs w:val="20"/>
        </w:rPr>
        <w:t xml:space="preserve">, zejména odlišení soukromých a společenských nákladů, jakož i soukromého a společenského užitku. Teorii blahobytu představil poprvé v roce 1912 v knize </w:t>
      </w:r>
      <w:r>
        <w:rPr>
          <w:rFonts w:ascii="Times New Roman" w:hAnsi="Times New Roman" w:cs="Times New Roman"/>
          <w:i/>
          <w:sz w:val="20"/>
          <w:szCs w:val="20"/>
        </w:rPr>
        <w:t xml:space="preserve">Wealth and Welfare </w:t>
      </w:r>
      <w:r>
        <w:rPr>
          <w:rFonts w:ascii="Times New Roman" w:hAnsi="Times New Roman" w:cs="Times New Roman"/>
          <w:sz w:val="20"/>
          <w:szCs w:val="20"/>
        </w:rPr>
        <w:t xml:space="preserve">(Bohatství a blahobyt). Později teorii dále rozvinul a zdokonalil – viz jeho nejznámější práce </w:t>
      </w:r>
      <w:r>
        <w:rPr>
          <w:rFonts w:ascii="Times New Roman" w:hAnsi="Times New Roman" w:cs="Times New Roman"/>
          <w:i/>
          <w:sz w:val="20"/>
          <w:szCs w:val="20"/>
        </w:rPr>
        <w:t xml:space="preserve">Economics of Welfare </w:t>
      </w:r>
      <w:r>
        <w:rPr>
          <w:rFonts w:ascii="Times New Roman" w:hAnsi="Times New Roman" w:cs="Times New Roman"/>
          <w:sz w:val="20"/>
          <w:szCs w:val="20"/>
        </w:rPr>
        <w:t xml:space="preserve">(Ekonomie blahobytu) z roku 1920. </w:t>
      </w:r>
    </w:p>
  </w:footnote>
  <w:footnote w:id="4">
    <w:p w14:paraId="1F03CB90" w14:textId="463408C6" w:rsidR="00424C34" w:rsidRPr="00697A57" w:rsidRDefault="00424C34" w:rsidP="00A141CA">
      <w:pPr>
        <w:pStyle w:val="Textpoznpodarou"/>
        <w:jc w:val="both"/>
        <w:rPr>
          <w:rFonts w:ascii="Times New Roman" w:hAnsi="Times New Roman" w:cs="Times New Roman"/>
          <w:i/>
          <w:sz w:val="20"/>
          <w:szCs w:val="20"/>
        </w:rPr>
      </w:pPr>
      <w:r w:rsidRPr="00DB3038">
        <w:rPr>
          <w:rStyle w:val="Znakapoznpodarou"/>
          <w:rFonts w:ascii="Times New Roman" w:hAnsi="Times New Roman" w:cs="Times New Roman"/>
          <w:sz w:val="20"/>
          <w:szCs w:val="20"/>
        </w:rPr>
        <w:footnoteRef/>
      </w:r>
      <w:r>
        <w:rPr>
          <w:rFonts w:ascii="Times New Roman" w:hAnsi="Times New Roman" w:cs="Times New Roman"/>
          <w:sz w:val="20"/>
          <w:szCs w:val="20"/>
        </w:rPr>
        <w:t xml:space="preserve"> Představitele </w:t>
      </w:r>
      <w:r w:rsidRPr="00DB3038">
        <w:rPr>
          <w:rFonts w:ascii="Times New Roman" w:hAnsi="Times New Roman" w:cs="Times New Roman"/>
          <w:i/>
          <w:sz w:val="20"/>
          <w:szCs w:val="20"/>
        </w:rPr>
        <w:t>chicagské</w:t>
      </w:r>
      <w:r>
        <w:rPr>
          <w:rFonts w:ascii="Times New Roman" w:hAnsi="Times New Roman" w:cs="Times New Roman"/>
          <w:sz w:val="20"/>
          <w:szCs w:val="20"/>
        </w:rPr>
        <w:t xml:space="preserve"> </w:t>
      </w:r>
      <w:r w:rsidRPr="00DB3038">
        <w:rPr>
          <w:rFonts w:ascii="Times New Roman" w:hAnsi="Times New Roman" w:cs="Times New Roman"/>
          <w:i/>
          <w:sz w:val="20"/>
          <w:szCs w:val="20"/>
        </w:rPr>
        <w:t>školy</w:t>
      </w:r>
      <w:r>
        <w:rPr>
          <w:rFonts w:ascii="Times New Roman" w:hAnsi="Times New Roman" w:cs="Times New Roman"/>
          <w:i/>
          <w:sz w:val="20"/>
          <w:szCs w:val="20"/>
        </w:rPr>
        <w:t xml:space="preserve"> ekonomie</w:t>
      </w:r>
      <w:r w:rsidRPr="00DB3038">
        <w:rPr>
          <w:rFonts w:ascii="Times New Roman" w:hAnsi="Times New Roman" w:cs="Times New Roman"/>
          <w:sz w:val="20"/>
          <w:szCs w:val="20"/>
        </w:rPr>
        <w:t xml:space="preserve"> pojí nejen příslušnost k Chicagské univerzitě, ale především společně sdílené myšlenky a názory na fungování ekonomiky.</w:t>
      </w:r>
      <w:r>
        <w:rPr>
          <w:rFonts w:ascii="Times New Roman" w:hAnsi="Times New Roman" w:cs="Times New Roman"/>
          <w:sz w:val="20"/>
          <w:szCs w:val="20"/>
        </w:rPr>
        <w:t xml:space="preserve"> Je pro ně charakteristická </w:t>
      </w:r>
      <w:r>
        <w:rPr>
          <w:rFonts w:ascii="Times New Roman" w:hAnsi="Times New Roman" w:cs="Times New Roman"/>
          <w:i/>
          <w:sz w:val="20"/>
          <w:szCs w:val="20"/>
        </w:rPr>
        <w:t xml:space="preserve">důvěra ve svobodné trhy, </w:t>
      </w:r>
      <w:r>
        <w:rPr>
          <w:rFonts w:ascii="Times New Roman" w:hAnsi="Times New Roman" w:cs="Times New Roman"/>
          <w:sz w:val="20"/>
          <w:szCs w:val="20"/>
        </w:rPr>
        <w:t xml:space="preserve">v jejich schopnost efektivně alokovat zdroje a rozdělovat důchody. Jejich </w:t>
      </w:r>
      <w:r>
        <w:rPr>
          <w:rFonts w:ascii="Times New Roman" w:hAnsi="Times New Roman" w:cs="Times New Roman"/>
          <w:i/>
          <w:sz w:val="20"/>
          <w:szCs w:val="20"/>
        </w:rPr>
        <w:t xml:space="preserve">liberální myšlení </w:t>
      </w:r>
      <w:r>
        <w:rPr>
          <w:rFonts w:ascii="Times New Roman" w:hAnsi="Times New Roman" w:cs="Times New Roman"/>
          <w:sz w:val="20"/>
          <w:szCs w:val="20"/>
        </w:rPr>
        <w:t xml:space="preserve">se orientuje na snahu minimalizovat úlohu státu v ekonomice. Mezi významné představitele této ekonomické školy patří např. </w:t>
      </w:r>
      <w:r>
        <w:rPr>
          <w:rFonts w:ascii="Times New Roman" w:hAnsi="Times New Roman" w:cs="Times New Roman"/>
          <w:i/>
          <w:sz w:val="20"/>
          <w:szCs w:val="20"/>
        </w:rPr>
        <w:t xml:space="preserve">Milton Friedman, Gary Becker </w:t>
      </w:r>
      <w:r>
        <w:rPr>
          <w:rFonts w:ascii="Times New Roman" w:hAnsi="Times New Roman" w:cs="Times New Roman"/>
          <w:sz w:val="20"/>
          <w:szCs w:val="20"/>
        </w:rPr>
        <w:t xml:space="preserve">či </w:t>
      </w:r>
      <w:r>
        <w:rPr>
          <w:rFonts w:ascii="Times New Roman" w:hAnsi="Times New Roman" w:cs="Times New Roman"/>
          <w:i/>
          <w:sz w:val="20"/>
          <w:szCs w:val="20"/>
        </w:rPr>
        <w:t>Theodore W. Schultz.</w:t>
      </w:r>
    </w:p>
  </w:footnote>
  <w:footnote w:id="5">
    <w:p w14:paraId="6E655C09" w14:textId="00EA2E8C" w:rsidR="00424C34" w:rsidRPr="00D434D4" w:rsidRDefault="00424C34" w:rsidP="00D434D4">
      <w:pPr>
        <w:pStyle w:val="Textpoznpodarou"/>
        <w:jc w:val="both"/>
        <w:rPr>
          <w:rFonts w:ascii="Times New Roman" w:hAnsi="Times New Roman" w:cs="Times New Roman"/>
          <w:sz w:val="20"/>
          <w:szCs w:val="20"/>
        </w:rPr>
      </w:pPr>
      <w:r w:rsidRPr="00D434D4">
        <w:rPr>
          <w:rStyle w:val="Znakapoznpodarou"/>
          <w:rFonts w:ascii="Times New Roman" w:hAnsi="Times New Roman" w:cs="Times New Roman"/>
          <w:sz w:val="20"/>
          <w:szCs w:val="20"/>
        </w:rPr>
        <w:footnoteRef/>
      </w:r>
      <w:r w:rsidRPr="00D434D4">
        <w:rPr>
          <w:rFonts w:ascii="Times New Roman" w:hAnsi="Times New Roman" w:cs="Times New Roman"/>
          <w:sz w:val="20"/>
          <w:szCs w:val="20"/>
        </w:rPr>
        <w:t xml:space="preserve"> Za nejvýznamnější přínos</w:t>
      </w:r>
      <w:r>
        <w:rPr>
          <w:rFonts w:ascii="Times New Roman" w:hAnsi="Times New Roman" w:cs="Times New Roman"/>
          <w:sz w:val="20"/>
          <w:szCs w:val="20"/>
        </w:rPr>
        <w:t xml:space="preserve"> k rozvoji ekonomické teorie je považována Beckerova práce z roku 1976 </w:t>
      </w:r>
      <w:r>
        <w:rPr>
          <w:rFonts w:ascii="Times New Roman" w:hAnsi="Times New Roman" w:cs="Times New Roman"/>
          <w:i/>
          <w:sz w:val="20"/>
          <w:szCs w:val="20"/>
        </w:rPr>
        <w:t xml:space="preserve">The Economic Approach to Human Behavior </w:t>
      </w:r>
      <w:r>
        <w:rPr>
          <w:rFonts w:ascii="Times New Roman" w:hAnsi="Times New Roman" w:cs="Times New Roman"/>
          <w:sz w:val="20"/>
          <w:szCs w:val="20"/>
        </w:rPr>
        <w:t>(Ekonomické přístupy k lidskému chování). Vysvětluje v ní, že jedinec se vždy chová (ať už si to uvědomuje, či nikoliv) racionálně, s cílem maximalizovat svůj užitek na základě osobních preferencí. V roce 1992 byla Garymu S. Beckerovi udělena Nobelova cena za ekonomii.</w:t>
      </w:r>
    </w:p>
  </w:footnote>
  <w:footnote w:id="6">
    <w:p w14:paraId="6FD5A317" w14:textId="53D2C0C3" w:rsidR="00424C34" w:rsidRPr="001818BC" w:rsidRDefault="00424C34" w:rsidP="00840602">
      <w:pPr>
        <w:pStyle w:val="Textpoznpodarou"/>
        <w:jc w:val="both"/>
        <w:rPr>
          <w:rFonts w:ascii="Times New Roman" w:hAnsi="Times New Roman" w:cs="Times New Roman"/>
          <w:sz w:val="20"/>
          <w:szCs w:val="20"/>
        </w:rPr>
      </w:pPr>
      <w:r w:rsidRPr="00840602">
        <w:rPr>
          <w:rStyle w:val="Znakapoznpodarou"/>
          <w:rFonts w:ascii="Times New Roman" w:hAnsi="Times New Roman" w:cs="Times New Roman"/>
          <w:sz w:val="20"/>
          <w:szCs w:val="20"/>
        </w:rPr>
        <w:footnoteRef/>
      </w:r>
      <w:r w:rsidRPr="00840602">
        <w:rPr>
          <w:rFonts w:ascii="Times New Roman" w:hAnsi="Times New Roman" w:cs="Times New Roman"/>
          <w:sz w:val="20"/>
          <w:szCs w:val="20"/>
        </w:rPr>
        <w:t xml:space="preserve"> </w:t>
      </w:r>
      <w:r>
        <w:rPr>
          <w:rFonts w:ascii="Times New Roman" w:hAnsi="Times New Roman" w:cs="Times New Roman"/>
          <w:i/>
          <w:sz w:val="20"/>
          <w:szCs w:val="20"/>
        </w:rPr>
        <w:t>Gary S. Bec</w:t>
      </w:r>
      <w:r w:rsidRPr="00840602">
        <w:rPr>
          <w:rFonts w:ascii="Times New Roman" w:hAnsi="Times New Roman" w:cs="Times New Roman"/>
          <w:i/>
          <w:sz w:val="20"/>
          <w:szCs w:val="20"/>
        </w:rPr>
        <w:t>k</w:t>
      </w:r>
      <w:r>
        <w:rPr>
          <w:rFonts w:ascii="Times New Roman" w:hAnsi="Times New Roman" w:cs="Times New Roman"/>
          <w:i/>
          <w:sz w:val="20"/>
          <w:szCs w:val="20"/>
        </w:rPr>
        <w:t>e</w:t>
      </w:r>
      <w:r w:rsidRPr="00840602">
        <w:rPr>
          <w:rFonts w:ascii="Times New Roman" w:hAnsi="Times New Roman" w:cs="Times New Roman"/>
          <w:i/>
          <w:sz w:val="20"/>
          <w:szCs w:val="20"/>
        </w:rPr>
        <w:t xml:space="preserve">r </w:t>
      </w:r>
      <w:r w:rsidRPr="00840602">
        <w:rPr>
          <w:rFonts w:ascii="Times New Roman" w:hAnsi="Times New Roman" w:cs="Times New Roman"/>
          <w:sz w:val="20"/>
          <w:szCs w:val="20"/>
        </w:rPr>
        <w:t>je společně s </w:t>
      </w:r>
      <w:r w:rsidRPr="00840602">
        <w:rPr>
          <w:rFonts w:ascii="Times New Roman" w:hAnsi="Times New Roman" w:cs="Times New Roman"/>
          <w:i/>
          <w:sz w:val="20"/>
          <w:szCs w:val="20"/>
        </w:rPr>
        <w:t>George</w:t>
      </w:r>
      <w:r>
        <w:rPr>
          <w:rFonts w:ascii="Times New Roman" w:hAnsi="Times New Roman" w:cs="Times New Roman"/>
          <w:i/>
          <w:sz w:val="20"/>
          <w:szCs w:val="20"/>
        </w:rPr>
        <w:t>m</w:t>
      </w:r>
      <w:r w:rsidRPr="00840602">
        <w:rPr>
          <w:rFonts w:ascii="Times New Roman" w:hAnsi="Times New Roman" w:cs="Times New Roman"/>
          <w:i/>
          <w:sz w:val="20"/>
          <w:szCs w:val="20"/>
        </w:rPr>
        <w:t xml:space="preserve"> J. Stiglerem</w:t>
      </w:r>
      <w:r>
        <w:rPr>
          <w:rFonts w:ascii="Times New Roman" w:hAnsi="Times New Roman" w:cs="Times New Roman"/>
          <w:i/>
          <w:sz w:val="20"/>
          <w:szCs w:val="20"/>
        </w:rPr>
        <w:t xml:space="preserve"> </w:t>
      </w:r>
      <w:r>
        <w:rPr>
          <w:rFonts w:ascii="Times New Roman" w:hAnsi="Times New Roman" w:cs="Times New Roman"/>
          <w:sz w:val="20"/>
          <w:szCs w:val="20"/>
        </w:rPr>
        <w:t xml:space="preserve">(dalším představitelem chicagské školy) tvůrcem tzv. </w:t>
      </w:r>
      <w:r>
        <w:rPr>
          <w:rFonts w:ascii="Times New Roman" w:hAnsi="Times New Roman" w:cs="Times New Roman"/>
          <w:i/>
          <w:sz w:val="20"/>
          <w:szCs w:val="20"/>
        </w:rPr>
        <w:t xml:space="preserve">ekonomie času. </w:t>
      </w:r>
      <w:r>
        <w:rPr>
          <w:rFonts w:ascii="Times New Roman" w:hAnsi="Times New Roman" w:cs="Times New Roman"/>
          <w:sz w:val="20"/>
          <w:szCs w:val="20"/>
        </w:rPr>
        <w:t>Základním předpokladem je tvrzení, že čas je vzácným faktorem. Časové náklady mají podobu obětované příležitosti, tj. hodnota toho, co člověk obětuje, když na určitou činnost vynakládá svůj čas (budu se vzdělávat, nebo pojedu na výlet?).</w:t>
      </w:r>
    </w:p>
  </w:footnote>
  <w:footnote w:id="7">
    <w:p w14:paraId="11EEA4AE" w14:textId="3E38BD2E" w:rsidR="00424C34" w:rsidRPr="00001056" w:rsidRDefault="00424C34" w:rsidP="00433F48">
      <w:pPr>
        <w:pStyle w:val="Textpoznpodarou"/>
        <w:jc w:val="both"/>
        <w:rPr>
          <w:rFonts w:ascii="Times New Roman" w:hAnsi="Times New Roman" w:cs="Times New Roman"/>
          <w:i/>
          <w:sz w:val="20"/>
          <w:szCs w:val="20"/>
        </w:rPr>
      </w:pPr>
      <w:r w:rsidRPr="00433F48">
        <w:rPr>
          <w:rStyle w:val="Znakapoznpodarou"/>
          <w:rFonts w:ascii="Times New Roman" w:hAnsi="Times New Roman" w:cs="Times New Roman"/>
          <w:sz w:val="20"/>
          <w:szCs w:val="20"/>
        </w:rPr>
        <w:footnoteRef/>
      </w:r>
      <w:r w:rsidRPr="00433F48">
        <w:rPr>
          <w:rFonts w:ascii="Times New Roman" w:hAnsi="Times New Roman" w:cs="Times New Roman"/>
          <w:sz w:val="20"/>
          <w:szCs w:val="20"/>
        </w:rPr>
        <w:t xml:space="preserve"> </w:t>
      </w:r>
      <w:r w:rsidRPr="00433F48">
        <w:rPr>
          <w:rFonts w:ascii="Times New Roman" w:hAnsi="Times New Roman" w:cs="Times New Roman"/>
          <w:i/>
          <w:sz w:val="20"/>
          <w:szCs w:val="20"/>
        </w:rPr>
        <w:t>Institucionalismus</w:t>
      </w:r>
      <w:r w:rsidRPr="00433F48">
        <w:rPr>
          <w:rFonts w:ascii="Times New Roman" w:hAnsi="Times New Roman" w:cs="Times New Roman"/>
          <w:sz w:val="20"/>
          <w:szCs w:val="20"/>
        </w:rPr>
        <w:t xml:space="preserve"> </w:t>
      </w:r>
      <w:r>
        <w:rPr>
          <w:rFonts w:ascii="Times New Roman" w:hAnsi="Times New Roman" w:cs="Times New Roman"/>
          <w:sz w:val="20"/>
          <w:szCs w:val="20"/>
        </w:rPr>
        <w:t xml:space="preserve">a na něj navazující </w:t>
      </w:r>
      <w:r w:rsidRPr="00433F48">
        <w:rPr>
          <w:rFonts w:ascii="Times New Roman" w:hAnsi="Times New Roman" w:cs="Times New Roman"/>
          <w:i/>
          <w:sz w:val="20"/>
          <w:szCs w:val="20"/>
        </w:rPr>
        <w:t>institucionální</w:t>
      </w:r>
      <w:r>
        <w:rPr>
          <w:rFonts w:ascii="Times New Roman" w:hAnsi="Times New Roman" w:cs="Times New Roman"/>
          <w:sz w:val="20"/>
          <w:szCs w:val="20"/>
        </w:rPr>
        <w:t xml:space="preserve"> </w:t>
      </w:r>
      <w:r w:rsidRPr="00433F48">
        <w:rPr>
          <w:rFonts w:ascii="Times New Roman" w:hAnsi="Times New Roman" w:cs="Times New Roman"/>
          <w:i/>
          <w:sz w:val="20"/>
          <w:szCs w:val="20"/>
        </w:rPr>
        <w:t>ekonomie</w:t>
      </w:r>
      <w:r>
        <w:rPr>
          <w:rFonts w:ascii="Times New Roman" w:hAnsi="Times New Roman" w:cs="Times New Roman"/>
          <w:sz w:val="20"/>
          <w:szCs w:val="20"/>
        </w:rPr>
        <w:t xml:space="preserve"> (která se rozvíjí od 60. let) vycházejí z názoru, že </w:t>
      </w:r>
      <w:r w:rsidRPr="00001056">
        <w:rPr>
          <w:rFonts w:ascii="Times New Roman" w:hAnsi="Times New Roman" w:cs="Times New Roman"/>
          <w:sz w:val="20"/>
          <w:szCs w:val="20"/>
        </w:rPr>
        <w:t>instituce</w:t>
      </w:r>
      <w:r>
        <w:rPr>
          <w:rFonts w:ascii="Times New Roman" w:hAnsi="Times New Roman" w:cs="Times New Roman"/>
          <w:i/>
          <w:sz w:val="20"/>
          <w:szCs w:val="20"/>
        </w:rPr>
        <w:t xml:space="preserve"> </w:t>
      </w:r>
      <w:r w:rsidRPr="00001056">
        <w:rPr>
          <w:rFonts w:ascii="Times New Roman" w:hAnsi="Times New Roman" w:cs="Times New Roman"/>
          <w:sz w:val="20"/>
          <w:szCs w:val="20"/>
        </w:rPr>
        <w:t>hrají</w:t>
      </w:r>
      <w:r>
        <w:rPr>
          <w:rFonts w:ascii="Times New Roman" w:hAnsi="Times New Roman" w:cs="Times New Roman"/>
          <w:sz w:val="20"/>
          <w:szCs w:val="20"/>
        </w:rPr>
        <w:t xml:space="preserve"> zásadní roli při utváření ekonomického chování lidí i při dosahování ekonomické výkonnosti a že samy instituce se v čase mění.</w:t>
      </w:r>
    </w:p>
  </w:footnote>
  <w:footnote w:id="8">
    <w:p w14:paraId="63CFF92F" w14:textId="3E0C34E4" w:rsidR="00424C34" w:rsidRPr="00B11177" w:rsidRDefault="00424C34" w:rsidP="00B11177">
      <w:pPr>
        <w:pStyle w:val="Textpoznpodarou"/>
        <w:jc w:val="both"/>
        <w:rPr>
          <w:rFonts w:ascii="Times New Roman" w:hAnsi="Times New Roman" w:cs="Times New Roman"/>
          <w:sz w:val="20"/>
          <w:szCs w:val="20"/>
        </w:rPr>
      </w:pPr>
      <w:r w:rsidRPr="00B11177">
        <w:rPr>
          <w:rStyle w:val="Znakapoznpodarou"/>
          <w:rFonts w:ascii="Times New Roman" w:hAnsi="Times New Roman" w:cs="Times New Roman"/>
          <w:sz w:val="20"/>
          <w:szCs w:val="20"/>
        </w:rPr>
        <w:footnoteRef/>
      </w:r>
      <w:r w:rsidRPr="00B11177">
        <w:rPr>
          <w:rFonts w:ascii="Times New Roman" w:hAnsi="Times New Roman" w:cs="Times New Roman"/>
          <w:sz w:val="20"/>
          <w:szCs w:val="20"/>
        </w:rPr>
        <w:t xml:space="preserve"> OECD</w:t>
      </w:r>
      <w:r>
        <w:rPr>
          <w:rFonts w:ascii="Times New Roman" w:hAnsi="Times New Roman" w:cs="Times New Roman"/>
          <w:sz w:val="20"/>
          <w:szCs w:val="20"/>
        </w:rPr>
        <w:t xml:space="preserve"> věnuje problematice rozvoje lidského kapitálu velkou pozornost. Výsledky zkoumání každoročně uveřejňuje ve studii </w:t>
      </w:r>
      <w:r w:rsidRPr="00B11177">
        <w:rPr>
          <w:rFonts w:ascii="Times New Roman" w:hAnsi="Times New Roman" w:cs="Times New Roman"/>
          <w:i/>
          <w:sz w:val="20"/>
          <w:szCs w:val="20"/>
        </w:rPr>
        <w:t>Education</w:t>
      </w:r>
      <w:r>
        <w:rPr>
          <w:rFonts w:ascii="Times New Roman" w:hAnsi="Times New Roman" w:cs="Times New Roman"/>
          <w:sz w:val="20"/>
          <w:szCs w:val="20"/>
        </w:rPr>
        <w:t xml:space="preserve"> </w:t>
      </w:r>
      <w:r w:rsidRPr="00B11177">
        <w:rPr>
          <w:rFonts w:ascii="Times New Roman" w:hAnsi="Times New Roman" w:cs="Times New Roman"/>
          <w:i/>
          <w:sz w:val="20"/>
          <w:szCs w:val="20"/>
        </w:rPr>
        <w:t>a</w:t>
      </w:r>
      <w:r>
        <w:rPr>
          <w:rFonts w:ascii="Times New Roman" w:hAnsi="Times New Roman" w:cs="Times New Roman"/>
          <w:i/>
          <w:sz w:val="20"/>
          <w:szCs w:val="20"/>
        </w:rPr>
        <w:t>t a Glance.</w:t>
      </w:r>
    </w:p>
  </w:footnote>
  <w:footnote w:id="9">
    <w:p w14:paraId="3D7C12F6" w14:textId="5B0DC108" w:rsidR="00424C34" w:rsidRPr="00180B4B" w:rsidRDefault="00424C34" w:rsidP="00221E40">
      <w:pPr>
        <w:pStyle w:val="Textpoznpodarou"/>
        <w:jc w:val="both"/>
        <w:rPr>
          <w:rFonts w:ascii="Times New Roman" w:hAnsi="Times New Roman" w:cs="Times New Roman"/>
          <w:sz w:val="20"/>
          <w:szCs w:val="20"/>
        </w:rPr>
      </w:pPr>
      <w:r w:rsidRPr="00180B4B">
        <w:rPr>
          <w:rStyle w:val="Znakapoznpodarou"/>
          <w:rFonts w:ascii="Times New Roman" w:hAnsi="Times New Roman" w:cs="Times New Roman"/>
          <w:sz w:val="20"/>
          <w:szCs w:val="20"/>
        </w:rPr>
        <w:footnoteRef/>
      </w:r>
      <w:r w:rsidRPr="00180B4B">
        <w:rPr>
          <w:rFonts w:ascii="Times New Roman" w:hAnsi="Times New Roman" w:cs="Times New Roman"/>
          <w:sz w:val="20"/>
          <w:szCs w:val="20"/>
        </w:rPr>
        <w:t xml:space="preserve"> Průzkumy</w:t>
      </w:r>
      <w:r>
        <w:rPr>
          <w:rFonts w:ascii="Times New Roman" w:hAnsi="Times New Roman" w:cs="Times New Roman"/>
          <w:sz w:val="20"/>
          <w:szCs w:val="20"/>
        </w:rPr>
        <w:t xml:space="preserve"> realizované Granovetterem také ukázaly, že jedinci, kteří získali nové pracovní místo na základě osobních kontaktů, neformální cestou, měli v průměru vyšší plat a celkově byli s novým zaměstnáním více spokojeni. Zda a v jaké míře skutečně zásadně ovlivňuje využívání slabých či silných vazeb úspěšnost při hledání zaměstnání, vyšší mzdy či spokojenost v práci, nebylo však nikdy jednoznačně prokázáno.</w:t>
      </w:r>
    </w:p>
  </w:footnote>
  <w:footnote w:id="10">
    <w:p w14:paraId="0273AE34" w14:textId="011AA2D0" w:rsidR="00424C34" w:rsidRPr="008F5EDB" w:rsidRDefault="00424C34" w:rsidP="00D73755">
      <w:pPr>
        <w:pStyle w:val="Textpoznpodarou"/>
        <w:jc w:val="both"/>
        <w:rPr>
          <w:rFonts w:ascii="Times New Roman" w:hAnsi="Times New Roman" w:cs="Times New Roman"/>
          <w:sz w:val="20"/>
          <w:szCs w:val="20"/>
        </w:rPr>
      </w:pPr>
      <w:r w:rsidRPr="008F5EDB">
        <w:rPr>
          <w:rStyle w:val="Znakapoznpodarou"/>
          <w:rFonts w:ascii="Times New Roman" w:hAnsi="Times New Roman" w:cs="Times New Roman"/>
          <w:sz w:val="20"/>
          <w:szCs w:val="20"/>
        </w:rPr>
        <w:footnoteRef/>
      </w:r>
      <w:r w:rsidRPr="008F5EDB">
        <w:rPr>
          <w:rFonts w:ascii="Times New Roman" w:hAnsi="Times New Roman" w:cs="Times New Roman"/>
          <w:sz w:val="20"/>
          <w:szCs w:val="20"/>
        </w:rPr>
        <w:t xml:space="preserve"> ISCED (</w:t>
      </w:r>
      <w:r w:rsidRPr="008F5EDB">
        <w:rPr>
          <w:rFonts w:ascii="Times New Roman" w:hAnsi="Times New Roman" w:cs="Times New Roman"/>
          <w:i/>
          <w:sz w:val="20"/>
          <w:szCs w:val="20"/>
        </w:rPr>
        <w:t>International Standard Classification of Education</w:t>
      </w:r>
      <w:r w:rsidRPr="008F5EDB">
        <w:rPr>
          <w:rFonts w:ascii="Times New Roman" w:hAnsi="Times New Roman" w:cs="Times New Roman"/>
          <w:sz w:val="20"/>
          <w:szCs w:val="20"/>
        </w:rPr>
        <w:t>) je mezinárodní standardní klasifikace vzdělání. V roce 2014 se začala používat nová verze ISCED 2011, která nahradila stávající verzi ISCED 97. Uvedené verze se mírně liší v používané metodice, a proto nelze sledovat delší časové řady.</w:t>
      </w:r>
    </w:p>
  </w:footnote>
  <w:footnote w:id="11">
    <w:p w14:paraId="72540FA5" w14:textId="11E06DD0" w:rsidR="00424C34" w:rsidRPr="008F5EDB" w:rsidRDefault="00424C34" w:rsidP="00503885">
      <w:pPr>
        <w:pStyle w:val="Textpoznpodarou"/>
        <w:jc w:val="both"/>
        <w:rPr>
          <w:sz w:val="20"/>
          <w:szCs w:val="20"/>
        </w:rPr>
      </w:pPr>
      <w:r w:rsidRPr="008F5EDB">
        <w:rPr>
          <w:rStyle w:val="Znakapoznpodarou"/>
          <w:sz w:val="20"/>
          <w:szCs w:val="20"/>
        </w:rPr>
        <w:footnoteRef/>
      </w:r>
      <w:r w:rsidRPr="008F5EDB">
        <w:rPr>
          <w:sz w:val="20"/>
          <w:szCs w:val="20"/>
        </w:rPr>
        <w:t xml:space="preserve"> Ukazatel zahrnuje osoby, které se v posledních 4 týdnech před šetřením účastnily alespoň jedné z forem celoživotního vzdělávání.</w:t>
      </w:r>
    </w:p>
  </w:footnote>
  <w:footnote w:id="12">
    <w:p w14:paraId="3F9E3FD6" w14:textId="64F7EA86" w:rsidR="00424C34" w:rsidRPr="0095369A" w:rsidRDefault="00424C34" w:rsidP="009F39DD">
      <w:pPr>
        <w:pStyle w:val="Textpoznpodarou"/>
        <w:jc w:val="both"/>
        <w:rPr>
          <w:rFonts w:ascii="Times New Roman" w:hAnsi="Times New Roman" w:cs="Times New Roman"/>
          <w:sz w:val="20"/>
          <w:szCs w:val="20"/>
        </w:rPr>
      </w:pPr>
      <w:r w:rsidRPr="0095369A">
        <w:rPr>
          <w:rStyle w:val="Znakapoznpodarou"/>
          <w:rFonts w:ascii="Times New Roman" w:hAnsi="Times New Roman" w:cs="Times New Roman"/>
          <w:sz w:val="20"/>
          <w:szCs w:val="20"/>
        </w:rPr>
        <w:footnoteRef/>
      </w:r>
      <w:r w:rsidRPr="0095369A">
        <w:rPr>
          <w:rFonts w:ascii="Times New Roman" w:hAnsi="Times New Roman" w:cs="Times New Roman"/>
          <w:sz w:val="20"/>
          <w:szCs w:val="20"/>
        </w:rPr>
        <w:t xml:space="preserve"> Ederer, P. (2006). Innovation at Work: The European Human Capital Index. </w:t>
      </w:r>
      <w:r w:rsidRPr="0095369A">
        <w:rPr>
          <w:rFonts w:ascii="Times New Roman" w:hAnsi="Times New Roman" w:cs="Times New Roman"/>
          <w:i/>
          <w:sz w:val="20"/>
          <w:szCs w:val="20"/>
        </w:rPr>
        <w:t>Lisbon Council Policy Brief</w:t>
      </w:r>
      <w:r w:rsidRPr="0095369A">
        <w:rPr>
          <w:rFonts w:ascii="Times New Roman" w:hAnsi="Times New Roman" w:cs="Times New Roman"/>
          <w:sz w:val="20"/>
          <w:szCs w:val="20"/>
        </w:rPr>
        <w:t>, vol. 1, no. 2. ISSN 2031-0943.</w:t>
      </w:r>
    </w:p>
  </w:footnote>
  <w:footnote w:id="13">
    <w:p w14:paraId="6D0D5549" w14:textId="3FC863A2" w:rsidR="00424C34" w:rsidRPr="00C56521" w:rsidRDefault="00424C34" w:rsidP="00C56521">
      <w:pPr>
        <w:pStyle w:val="Textpoznpodarou"/>
        <w:jc w:val="both"/>
        <w:rPr>
          <w:rFonts w:ascii="Times New Roman" w:hAnsi="Times New Roman" w:cs="Times New Roman"/>
          <w:sz w:val="22"/>
          <w:szCs w:val="22"/>
        </w:rPr>
      </w:pPr>
      <w:r w:rsidRPr="00C56521">
        <w:rPr>
          <w:rStyle w:val="Znakapoznpodarou"/>
          <w:rFonts w:ascii="Times New Roman" w:hAnsi="Times New Roman" w:cs="Times New Roman"/>
          <w:sz w:val="22"/>
          <w:szCs w:val="22"/>
        </w:rPr>
        <w:footnoteRef/>
      </w:r>
      <w:r w:rsidRPr="00C56521">
        <w:rPr>
          <w:rFonts w:ascii="Times New Roman" w:hAnsi="Times New Roman" w:cs="Times New Roman"/>
          <w:sz w:val="22"/>
          <w:szCs w:val="22"/>
        </w:rPr>
        <w:t xml:space="preserve"> </w:t>
      </w:r>
      <w:r>
        <w:rPr>
          <w:rFonts w:ascii="Times New Roman" w:hAnsi="Times New Roman" w:cs="Times New Roman"/>
          <w:sz w:val="22"/>
          <w:szCs w:val="22"/>
        </w:rPr>
        <w:t>Přesná definice ukazatele, který se v</w:t>
      </w:r>
      <w:r w:rsidRPr="00C56521">
        <w:rPr>
          <w:rFonts w:ascii="Times New Roman" w:hAnsi="Times New Roman" w:cs="Times New Roman"/>
          <w:sz w:val="22"/>
          <w:szCs w:val="22"/>
        </w:rPr>
        <w:t> rámci EU</w:t>
      </w:r>
      <w:r>
        <w:rPr>
          <w:rFonts w:ascii="Times New Roman" w:hAnsi="Times New Roman" w:cs="Times New Roman"/>
          <w:sz w:val="22"/>
          <w:szCs w:val="22"/>
        </w:rPr>
        <w:t xml:space="preserve"> pravidelně sleduje v souvislosti s plněním cílů Strategie Evropa 2020, zní: </w:t>
      </w:r>
      <w:r>
        <w:rPr>
          <w:rFonts w:ascii="Times New Roman" w:hAnsi="Times New Roman" w:cs="Times New Roman"/>
          <w:i/>
          <w:sz w:val="22"/>
          <w:szCs w:val="22"/>
        </w:rPr>
        <w:t xml:space="preserve">Podíl osob ve věku 30–34 let s minimálně terciárním vzděláním </w:t>
      </w:r>
      <w:r w:rsidRPr="00C56521">
        <w:rPr>
          <w:rFonts w:ascii="Times New Roman" w:hAnsi="Times New Roman" w:cs="Times New Roman"/>
          <w:sz w:val="22"/>
          <w:szCs w:val="22"/>
        </w:rPr>
        <w:t>(ISCED 5 – 8).</w:t>
      </w:r>
    </w:p>
  </w:footnote>
  <w:footnote w:id="14">
    <w:p w14:paraId="3650488B" w14:textId="468D7417" w:rsidR="00424C34" w:rsidRPr="00F41A71" w:rsidRDefault="00424C34" w:rsidP="00F41A71">
      <w:pPr>
        <w:pStyle w:val="Textpoznpodarou"/>
        <w:jc w:val="both"/>
        <w:rPr>
          <w:rFonts w:ascii="Times New Roman" w:hAnsi="Times New Roman" w:cs="Times New Roman"/>
          <w:sz w:val="22"/>
          <w:szCs w:val="22"/>
        </w:rPr>
      </w:pPr>
      <w:r w:rsidRPr="00F41A71">
        <w:rPr>
          <w:rStyle w:val="Znakapoznpodarou"/>
          <w:rFonts w:ascii="Times New Roman" w:hAnsi="Times New Roman" w:cs="Times New Roman"/>
          <w:sz w:val="22"/>
          <w:szCs w:val="22"/>
        </w:rPr>
        <w:footnoteRef/>
      </w:r>
      <w:r w:rsidRPr="00F41A71">
        <w:rPr>
          <w:rFonts w:ascii="Times New Roman" w:hAnsi="Times New Roman" w:cs="Times New Roman"/>
          <w:sz w:val="22"/>
          <w:szCs w:val="22"/>
        </w:rPr>
        <w:t xml:space="preserve"> P</w:t>
      </w:r>
      <w:r>
        <w:rPr>
          <w:rFonts w:ascii="Times New Roman" w:hAnsi="Times New Roman" w:cs="Times New Roman"/>
          <w:sz w:val="22"/>
          <w:szCs w:val="22"/>
        </w:rPr>
        <w:t xml:space="preserve">řesná definice sledovaného ukazatele zní: </w:t>
      </w:r>
      <w:r>
        <w:rPr>
          <w:rFonts w:ascii="Times New Roman" w:hAnsi="Times New Roman" w:cs="Times New Roman"/>
          <w:i/>
          <w:sz w:val="22"/>
          <w:szCs w:val="22"/>
        </w:rPr>
        <w:t xml:space="preserve">Podíl osob ve věku 25–64 let, které dosáhly alespoň vyššího středního vzdělání </w:t>
      </w:r>
      <w:r>
        <w:rPr>
          <w:rFonts w:ascii="Times New Roman" w:hAnsi="Times New Roman" w:cs="Times New Roman"/>
          <w:sz w:val="22"/>
          <w:szCs w:val="22"/>
        </w:rPr>
        <w:t>(ISCED 3–8).</w:t>
      </w:r>
    </w:p>
  </w:footnote>
  <w:footnote w:id="15">
    <w:p w14:paraId="1C9BE385" w14:textId="67793864" w:rsidR="00424C34" w:rsidRPr="008E5E70" w:rsidRDefault="00424C34" w:rsidP="008E5E70">
      <w:pPr>
        <w:pStyle w:val="Textpoznpodarou"/>
        <w:jc w:val="both"/>
        <w:rPr>
          <w:rFonts w:ascii="Times New Roman" w:hAnsi="Times New Roman" w:cs="Times New Roman"/>
          <w:sz w:val="22"/>
          <w:szCs w:val="22"/>
        </w:rPr>
      </w:pPr>
      <w:r w:rsidRPr="008E5E70">
        <w:rPr>
          <w:rStyle w:val="Znakapoznpodarou"/>
          <w:rFonts w:ascii="Times New Roman" w:hAnsi="Times New Roman" w:cs="Times New Roman"/>
          <w:sz w:val="22"/>
          <w:szCs w:val="22"/>
        </w:rPr>
        <w:footnoteRef/>
      </w:r>
      <w:r w:rsidRPr="008E5E70">
        <w:rPr>
          <w:rFonts w:ascii="Times New Roman" w:hAnsi="Times New Roman" w:cs="Times New Roman"/>
          <w:sz w:val="22"/>
          <w:szCs w:val="22"/>
        </w:rPr>
        <w:t xml:space="preserve"> V rámci plnění cílů </w:t>
      </w:r>
      <w:r>
        <w:rPr>
          <w:rFonts w:ascii="Times New Roman" w:hAnsi="Times New Roman" w:cs="Times New Roman"/>
          <w:sz w:val="22"/>
          <w:szCs w:val="22"/>
        </w:rPr>
        <w:t xml:space="preserve">Strategie Evropa 2020 se sleduje ukazatel: </w:t>
      </w:r>
      <w:r>
        <w:rPr>
          <w:rFonts w:ascii="Times New Roman" w:hAnsi="Times New Roman" w:cs="Times New Roman"/>
          <w:i/>
          <w:sz w:val="22"/>
          <w:szCs w:val="22"/>
        </w:rPr>
        <w:t xml:space="preserve">Procento obyvatel ve věku 18–24 let, kteří předčasně ukončili vzdělání </w:t>
      </w:r>
      <w:r>
        <w:rPr>
          <w:rFonts w:ascii="Times New Roman" w:hAnsi="Times New Roman" w:cs="Times New Roman"/>
          <w:sz w:val="22"/>
          <w:szCs w:val="22"/>
        </w:rPr>
        <w:t>(tj. ukončili nejvýše základní vzdělání a v budoucnu se nezúčastní dalšího vzdělávacího procesu; ISCED 0–2).</w:t>
      </w:r>
    </w:p>
  </w:footnote>
  <w:footnote w:id="16">
    <w:p w14:paraId="01599709" w14:textId="6854F95F" w:rsidR="00424C34" w:rsidRPr="00F766BA" w:rsidRDefault="00424C34" w:rsidP="001A695A">
      <w:pPr>
        <w:pStyle w:val="Textpoznpodarou"/>
        <w:jc w:val="both"/>
        <w:rPr>
          <w:rFonts w:ascii="Times New Roman" w:hAnsi="Times New Roman" w:cs="Times New Roman"/>
          <w:sz w:val="20"/>
          <w:szCs w:val="20"/>
        </w:rPr>
      </w:pPr>
      <w:r w:rsidRPr="00F766BA">
        <w:rPr>
          <w:rStyle w:val="Znakapoznpodarou"/>
          <w:rFonts w:ascii="Times New Roman" w:hAnsi="Times New Roman" w:cs="Times New Roman"/>
          <w:sz w:val="20"/>
          <w:szCs w:val="20"/>
        </w:rPr>
        <w:footnoteRef/>
      </w:r>
      <w:r w:rsidRPr="00F766BA">
        <w:rPr>
          <w:rFonts w:ascii="Times New Roman" w:hAnsi="Times New Roman" w:cs="Times New Roman"/>
          <w:sz w:val="20"/>
          <w:szCs w:val="20"/>
        </w:rPr>
        <w:t xml:space="preserve"> Zákon č. 561/2004 Sb., o předškolním, základním, středním, vyšším odborném a jiném vzdělávání (školský zákon), ve znění pozdějších předpisů.</w:t>
      </w:r>
    </w:p>
  </w:footnote>
  <w:footnote w:id="17">
    <w:p w14:paraId="2A9CB36C" w14:textId="6FB74993" w:rsidR="00424C34" w:rsidRPr="00F766BA" w:rsidRDefault="00424C34" w:rsidP="008630B0">
      <w:pPr>
        <w:pStyle w:val="Textpoznpodarou"/>
        <w:jc w:val="both"/>
        <w:rPr>
          <w:rFonts w:ascii="Times New Roman" w:hAnsi="Times New Roman" w:cs="Times New Roman"/>
          <w:sz w:val="20"/>
          <w:szCs w:val="20"/>
        </w:rPr>
      </w:pPr>
      <w:r w:rsidRPr="00F766BA">
        <w:rPr>
          <w:rStyle w:val="Znakapoznpodarou"/>
          <w:rFonts w:ascii="Times New Roman" w:hAnsi="Times New Roman" w:cs="Times New Roman"/>
          <w:sz w:val="20"/>
          <w:szCs w:val="20"/>
        </w:rPr>
        <w:footnoteRef/>
      </w:r>
      <w:r w:rsidRPr="00F766BA">
        <w:rPr>
          <w:rFonts w:ascii="Times New Roman" w:hAnsi="Times New Roman" w:cs="Times New Roman"/>
          <w:sz w:val="20"/>
          <w:szCs w:val="20"/>
        </w:rPr>
        <w:t xml:space="preserve">  Zákon č. 111/1998 Sb., o vysokých školách a o změně a doplnění dalších zákonů (zákon o vysokých školách), ve znění pozdějších předpisů.</w:t>
      </w:r>
    </w:p>
  </w:footnote>
  <w:footnote w:id="18">
    <w:p w14:paraId="35622876" w14:textId="070AAA2F" w:rsidR="00424C34" w:rsidRPr="007946CB" w:rsidRDefault="00424C34" w:rsidP="00B33F13">
      <w:pPr>
        <w:pStyle w:val="Textpoznpodarou"/>
        <w:jc w:val="both"/>
        <w:rPr>
          <w:rFonts w:ascii="Times New Roman" w:hAnsi="Times New Roman" w:cs="Times New Roman"/>
          <w:sz w:val="20"/>
          <w:szCs w:val="20"/>
        </w:rPr>
      </w:pPr>
      <w:r w:rsidRPr="007946CB">
        <w:rPr>
          <w:rStyle w:val="Znakapoznpodarou"/>
          <w:rFonts w:ascii="Times New Roman" w:hAnsi="Times New Roman" w:cs="Times New Roman"/>
          <w:sz w:val="20"/>
          <w:szCs w:val="20"/>
        </w:rPr>
        <w:footnoteRef/>
      </w:r>
      <w:r w:rsidRPr="007946CB">
        <w:rPr>
          <w:rFonts w:ascii="Times New Roman" w:hAnsi="Times New Roman" w:cs="Times New Roman"/>
          <w:sz w:val="20"/>
          <w:szCs w:val="20"/>
        </w:rPr>
        <w:t xml:space="preserve"> Šetření AES je realizováno </w:t>
      </w:r>
      <w:r>
        <w:rPr>
          <w:rFonts w:ascii="Times New Roman" w:hAnsi="Times New Roman" w:cs="Times New Roman"/>
          <w:sz w:val="20"/>
          <w:szCs w:val="20"/>
        </w:rPr>
        <w:t>v členských zemích EU dle</w:t>
      </w:r>
      <w:r w:rsidRPr="007946CB">
        <w:rPr>
          <w:rFonts w:ascii="Times New Roman" w:hAnsi="Times New Roman" w:cs="Times New Roman"/>
          <w:sz w:val="20"/>
          <w:szCs w:val="20"/>
        </w:rPr>
        <w:t xml:space="preserve"> </w:t>
      </w:r>
      <w:r w:rsidRPr="007946CB">
        <w:rPr>
          <w:rFonts w:ascii="Times New Roman" w:hAnsi="Times New Roman" w:cs="Times New Roman"/>
          <w:i/>
          <w:sz w:val="20"/>
          <w:szCs w:val="20"/>
        </w:rPr>
        <w:t xml:space="preserve">Nařízení Evropského parlamentu a Rady (ES) č. 452/2008 o vypracování a rozvoji statistik o vzdělávání a celoživotním učení. </w:t>
      </w:r>
      <w:r w:rsidRPr="007946CB">
        <w:rPr>
          <w:rFonts w:ascii="Times New Roman" w:hAnsi="Times New Roman" w:cs="Times New Roman"/>
          <w:sz w:val="20"/>
          <w:szCs w:val="20"/>
        </w:rPr>
        <w:t>První AES proběhlo v období 2007/2008. Zatím poslední šetření se vztahuje ke školnímu (akademickému) roku 2016/2017 a kromě členských zemí EU zahrnuje také Island, Norsko, Makedon</w:t>
      </w:r>
      <w:r>
        <w:rPr>
          <w:rFonts w:ascii="Times New Roman" w:hAnsi="Times New Roman" w:cs="Times New Roman"/>
          <w:sz w:val="20"/>
          <w:szCs w:val="20"/>
        </w:rPr>
        <w:t>ii, Švýcarsko, Srbsko a Turecko. Z</w:t>
      </w:r>
      <w:r w:rsidRPr="007946CB">
        <w:rPr>
          <w:rFonts w:ascii="Times New Roman" w:hAnsi="Times New Roman" w:cs="Times New Roman"/>
          <w:sz w:val="20"/>
          <w:szCs w:val="20"/>
        </w:rPr>
        <w:t xml:space="preserve"> výsledků tohoto šetření vychází </w:t>
      </w:r>
      <w:r>
        <w:rPr>
          <w:rFonts w:ascii="Times New Roman" w:hAnsi="Times New Roman" w:cs="Times New Roman"/>
          <w:sz w:val="20"/>
          <w:szCs w:val="20"/>
        </w:rPr>
        <w:t>Kapitoly</w:t>
      </w:r>
      <w:r w:rsidRPr="007946CB">
        <w:rPr>
          <w:rFonts w:ascii="Times New Roman" w:hAnsi="Times New Roman" w:cs="Times New Roman"/>
          <w:sz w:val="20"/>
          <w:szCs w:val="20"/>
        </w:rPr>
        <w:t xml:space="preserve"> 2.3.1 a 2.3.2. </w:t>
      </w:r>
    </w:p>
  </w:footnote>
  <w:footnote w:id="19">
    <w:p w14:paraId="407F767C" w14:textId="74C6F21A" w:rsidR="00424C34" w:rsidRPr="007946CB" w:rsidRDefault="00424C34" w:rsidP="00DB1A09">
      <w:pPr>
        <w:pStyle w:val="Textpoznpodarou"/>
        <w:jc w:val="both"/>
        <w:rPr>
          <w:rFonts w:ascii="Times New Roman" w:hAnsi="Times New Roman" w:cs="Times New Roman"/>
          <w:i/>
          <w:sz w:val="20"/>
          <w:szCs w:val="20"/>
        </w:rPr>
      </w:pPr>
      <w:r w:rsidRPr="007946CB">
        <w:rPr>
          <w:rStyle w:val="Znakapoznpodarou"/>
          <w:rFonts w:ascii="Times New Roman" w:hAnsi="Times New Roman" w:cs="Times New Roman"/>
          <w:sz w:val="20"/>
          <w:szCs w:val="20"/>
        </w:rPr>
        <w:footnoteRef/>
      </w:r>
      <w:r w:rsidRPr="007946CB">
        <w:rPr>
          <w:rFonts w:ascii="Times New Roman" w:hAnsi="Times New Roman" w:cs="Times New Roman"/>
          <w:sz w:val="20"/>
          <w:szCs w:val="20"/>
        </w:rPr>
        <w:t xml:space="preserve"> Míra účasti v neformálním vzdělávání zachycuje podíl osob, které v rámci šetření AES uvedly, že se v průběhu dvanácti měsíců, které předcházely datu dotazování, účastnily alespoň jedné z aktivit neformálního vzdělávání. </w:t>
      </w:r>
    </w:p>
  </w:footnote>
  <w:footnote w:id="20">
    <w:p w14:paraId="2DFB3B2D" w14:textId="15566CAE" w:rsidR="00424C34" w:rsidRPr="00CA00BC" w:rsidRDefault="00424C34" w:rsidP="004F40B3">
      <w:pPr>
        <w:pStyle w:val="Textpoznpodarou"/>
        <w:jc w:val="both"/>
        <w:rPr>
          <w:rFonts w:ascii="Times New Roman" w:hAnsi="Times New Roman" w:cs="Times New Roman"/>
          <w:sz w:val="20"/>
          <w:szCs w:val="20"/>
        </w:rPr>
      </w:pPr>
      <w:r w:rsidRPr="00CA00BC">
        <w:rPr>
          <w:rStyle w:val="Znakapoznpodarou"/>
          <w:rFonts w:ascii="Times New Roman" w:hAnsi="Times New Roman" w:cs="Times New Roman"/>
          <w:sz w:val="20"/>
          <w:szCs w:val="20"/>
        </w:rPr>
        <w:footnoteRef/>
      </w:r>
      <w:r w:rsidRPr="00CA00BC">
        <w:rPr>
          <w:rFonts w:ascii="Times New Roman" w:hAnsi="Times New Roman" w:cs="Times New Roman"/>
          <w:sz w:val="20"/>
          <w:szCs w:val="20"/>
        </w:rPr>
        <w:t xml:space="preserve"> Realizace šetření vyplývá z nařízení Komise (ES) č. 198/2006 ze dne 29. 10. 2014, kterým se provádí nařízení Evropského parlamentu a Rady (ES) č. 1552/2005 o statistikách odborného vzdělávání v podnicích, ve znění pozdějších předpisů. První šetření CVTS 1 se vztahovalo k referenčnímu roku 1993.</w:t>
      </w:r>
    </w:p>
  </w:footnote>
  <w:footnote w:id="21">
    <w:p w14:paraId="1DAD63D7" w14:textId="5CA5EAFF" w:rsidR="00424C34" w:rsidRPr="0088387B" w:rsidRDefault="00424C34" w:rsidP="0010548A">
      <w:pPr>
        <w:pStyle w:val="Textpoznpodarou"/>
        <w:jc w:val="both"/>
        <w:rPr>
          <w:rFonts w:ascii="Times New Roman" w:hAnsi="Times New Roman" w:cs="Times New Roman"/>
          <w:sz w:val="20"/>
          <w:szCs w:val="20"/>
        </w:rPr>
      </w:pPr>
      <w:r w:rsidRPr="0088387B">
        <w:rPr>
          <w:rStyle w:val="Znakapoznpodarou"/>
          <w:rFonts w:ascii="Times New Roman" w:hAnsi="Times New Roman" w:cs="Times New Roman"/>
          <w:sz w:val="20"/>
          <w:szCs w:val="20"/>
        </w:rPr>
        <w:footnoteRef/>
      </w:r>
      <w:r w:rsidRPr="0088387B">
        <w:rPr>
          <w:rFonts w:ascii="Times New Roman" w:hAnsi="Times New Roman" w:cs="Times New Roman"/>
          <w:sz w:val="20"/>
          <w:szCs w:val="20"/>
        </w:rPr>
        <w:t xml:space="preserve"> Termínem „</w:t>
      </w:r>
      <w:r w:rsidRPr="0088387B">
        <w:rPr>
          <w:rFonts w:ascii="Times New Roman" w:hAnsi="Times New Roman" w:cs="Times New Roman"/>
          <w:i/>
          <w:sz w:val="20"/>
          <w:szCs w:val="20"/>
        </w:rPr>
        <w:t xml:space="preserve">nepovinné kurzy/školení“ </w:t>
      </w:r>
      <w:r w:rsidRPr="0088387B">
        <w:rPr>
          <w:rFonts w:ascii="Times New Roman" w:hAnsi="Times New Roman" w:cs="Times New Roman"/>
          <w:sz w:val="20"/>
          <w:szCs w:val="20"/>
        </w:rPr>
        <w:t>jsou v rámci šetření CVTS označovány kurzy a školení, která nejsou povinná ze zákona. Nejčastěji se jedná o počítačové či jazykové kurzy, kurzy zaměřené na komunikační dovednosti, rekvalifikační kurzy, vzdělávání na VŠ, popř. jiné jasně strukturované vzdělávání, které vede ke zvýšení kvalifikace nebo rozšiřuje dovednosti zaměstnanců v určitém oboru.</w:t>
      </w:r>
    </w:p>
  </w:footnote>
  <w:footnote w:id="22">
    <w:p w14:paraId="7433473B" w14:textId="77777777" w:rsidR="00424C34" w:rsidRPr="00493DE9" w:rsidRDefault="00424C34" w:rsidP="00493DE9">
      <w:pPr>
        <w:pStyle w:val="Textpoznpodarou"/>
        <w:jc w:val="both"/>
        <w:rPr>
          <w:rFonts w:ascii="Times New Roman" w:hAnsi="Times New Roman" w:cs="Times New Roman"/>
          <w:sz w:val="20"/>
          <w:szCs w:val="20"/>
        </w:rPr>
      </w:pPr>
      <w:r w:rsidRPr="00493DE9">
        <w:rPr>
          <w:rStyle w:val="Znakapoznpodarou"/>
          <w:rFonts w:ascii="Times New Roman" w:hAnsi="Times New Roman" w:cs="Times New Roman"/>
          <w:sz w:val="20"/>
          <w:szCs w:val="20"/>
        </w:rPr>
        <w:footnoteRef/>
      </w:r>
      <w:r w:rsidRPr="00493DE9">
        <w:rPr>
          <w:rFonts w:ascii="Times New Roman" w:hAnsi="Times New Roman" w:cs="Times New Roman"/>
          <w:sz w:val="20"/>
          <w:szCs w:val="20"/>
        </w:rPr>
        <w:t xml:space="preserve"> </w:t>
      </w:r>
      <w:r w:rsidRPr="00493DE9">
        <w:rPr>
          <w:rFonts w:ascii="Times New Roman" w:hAnsi="Times New Roman" w:cs="Times New Roman"/>
          <w:i/>
          <w:sz w:val="20"/>
          <w:szCs w:val="20"/>
        </w:rPr>
        <w:t>Rezidenční mobilita</w:t>
      </w:r>
      <w:r w:rsidRPr="00493DE9">
        <w:rPr>
          <w:rFonts w:ascii="Times New Roman" w:hAnsi="Times New Roman" w:cs="Times New Roman"/>
          <w:sz w:val="20"/>
          <w:szCs w:val="20"/>
        </w:rPr>
        <w:t xml:space="preserve"> v sobě nese aspekt geografické a také sociální mobility. Lze ji definovat jako stěhování obyvatelstva do nového bydliště na krátké vzdálenosti do lokalit s podobným sociálním statusem. V českém prostředí však diference lokalit podle sociálního statusu téměř zanikla v důsledku socialistické bytové politiky, proto je vhodnější rezidenční mobilitu v podmínkách ČR chápat jako stěhování na krátkou vzdálenost.</w:t>
      </w:r>
    </w:p>
  </w:footnote>
  <w:footnote w:id="23">
    <w:p w14:paraId="1CD07CF3" w14:textId="54D7D43B" w:rsidR="00424C34" w:rsidRPr="00394A62" w:rsidRDefault="00424C34" w:rsidP="00394A62">
      <w:pPr>
        <w:jc w:val="both"/>
        <w:rPr>
          <w:rFonts w:ascii="Times New Roman" w:hAnsi="Times New Roman" w:cs="Times New Roman"/>
          <w:sz w:val="20"/>
          <w:szCs w:val="20"/>
        </w:rPr>
      </w:pPr>
      <w:r w:rsidRPr="00394A62">
        <w:rPr>
          <w:rStyle w:val="Znakapoznpodarou"/>
          <w:rFonts w:ascii="Times New Roman" w:hAnsi="Times New Roman" w:cs="Times New Roman"/>
          <w:sz w:val="20"/>
          <w:szCs w:val="20"/>
        </w:rPr>
        <w:footnoteRef/>
      </w:r>
      <w:r w:rsidRPr="00394A62">
        <w:rPr>
          <w:rFonts w:ascii="Times New Roman" w:hAnsi="Times New Roman" w:cs="Times New Roman"/>
          <w:sz w:val="20"/>
          <w:szCs w:val="20"/>
        </w:rPr>
        <w:t xml:space="preserve"> </w:t>
      </w:r>
      <w:r>
        <w:rPr>
          <w:rFonts w:ascii="Times New Roman" w:hAnsi="Times New Roman" w:cs="Times New Roman"/>
          <w:sz w:val="20"/>
          <w:szCs w:val="20"/>
        </w:rPr>
        <w:t>Uvedená data jsou ze s</w:t>
      </w:r>
      <w:r w:rsidRPr="00394A62">
        <w:rPr>
          <w:rFonts w:ascii="Times New Roman" w:hAnsi="Times New Roman" w:cs="Times New Roman"/>
          <w:sz w:val="20"/>
          <w:szCs w:val="20"/>
        </w:rPr>
        <w:t xml:space="preserve">tudie BDO Mobility Report </w:t>
      </w:r>
      <w:r>
        <w:rPr>
          <w:rFonts w:ascii="Times New Roman" w:hAnsi="Times New Roman" w:cs="Times New Roman"/>
          <w:sz w:val="20"/>
          <w:szCs w:val="20"/>
        </w:rPr>
        <w:t>(2017); výzkum se</w:t>
      </w:r>
      <w:r w:rsidRPr="00394A62">
        <w:rPr>
          <w:rFonts w:ascii="Times New Roman" w:hAnsi="Times New Roman" w:cs="Times New Roman"/>
          <w:sz w:val="20"/>
          <w:szCs w:val="20"/>
        </w:rPr>
        <w:t xml:space="preserve"> uskutečňuje pravidelně </w:t>
      </w:r>
      <w:r>
        <w:rPr>
          <w:rFonts w:ascii="Times New Roman" w:hAnsi="Times New Roman" w:cs="Times New Roman"/>
          <w:sz w:val="20"/>
          <w:szCs w:val="20"/>
        </w:rPr>
        <w:t>ve spolupráci s agenturou Ipsos. Výsledky studie jsou založeny na datech z 20 zemí</w:t>
      </w:r>
      <w:r w:rsidRPr="00394A62">
        <w:rPr>
          <w:rFonts w:ascii="Times New Roman" w:hAnsi="Times New Roman" w:cs="Times New Roman"/>
          <w:sz w:val="20"/>
          <w:szCs w:val="20"/>
        </w:rPr>
        <w:t xml:space="preserve"> od 14 516 respondentů ve věku 18</w:t>
      </w:r>
      <w:r>
        <w:rPr>
          <w:rFonts w:ascii="Times New Roman" w:hAnsi="Times New Roman" w:cs="Times New Roman"/>
          <w:sz w:val="20"/>
          <w:szCs w:val="20"/>
        </w:rPr>
        <w:t xml:space="preserve"> – 64 let. </w:t>
      </w:r>
    </w:p>
    <w:p w14:paraId="75AC1FF1" w14:textId="5B70FF3A" w:rsidR="00424C34" w:rsidRDefault="00424C34">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E3F"/>
    <w:multiLevelType w:val="hybridMultilevel"/>
    <w:tmpl w:val="4ED6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13A05"/>
    <w:multiLevelType w:val="hybridMultilevel"/>
    <w:tmpl w:val="3C4A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743B8"/>
    <w:multiLevelType w:val="hybridMultilevel"/>
    <w:tmpl w:val="0D20E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3D0D32"/>
    <w:multiLevelType w:val="hybridMultilevel"/>
    <w:tmpl w:val="DB70E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60113"/>
    <w:multiLevelType w:val="hybridMultilevel"/>
    <w:tmpl w:val="EAB8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33C02"/>
    <w:multiLevelType w:val="hybridMultilevel"/>
    <w:tmpl w:val="AF7A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35EAD"/>
    <w:multiLevelType w:val="hybridMultilevel"/>
    <w:tmpl w:val="98F0D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E30F8F"/>
    <w:multiLevelType w:val="hybridMultilevel"/>
    <w:tmpl w:val="F82A2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5248"/>
    <w:multiLevelType w:val="hybridMultilevel"/>
    <w:tmpl w:val="AE30D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A97D9D"/>
    <w:multiLevelType w:val="hybridMultilevel"/>
    <w:tmpl w:val="81F05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7C16C4"/>
    <w:multiLevelType w:val="multilevel"/>
    <w:tmpl w:val="474A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B54C3"/>
    <w:multiLevelType w:val="hybridMultilevel"/>
    <w:tmpl w:val="C33C8E2A"/>
    <w:lvl w:ilvl="0" w:tplc="450660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27CB5"/>
    <w:multiLevelType w:val="hybridMultilevel"/>
    <w:tmpl w:val="1F461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5A4645"/>
    <w:multiLevelType w:val="hybridMultilevel"/>
    <w:tmpl w:val="29BC6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D336A"/>
    <w:multiLevelType w:val="hybridMultilevel"/>
    <w:tmpl w:val="5108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20BE6"/>
    <w:multiLevelType w:val="hybridMultilevel"/>
    <w:tmpl w:val="5440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A283E"/>
    <w:multiLevelType w:val="hybridMultilevel"/>
    <w:tmpl w:val="2462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219A0"/>
    <w:multiLevelType w:val="hybridMultilevel"/>
    <w:tmpl w:val="72BA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3715B"/>
    <w:multiLevelType w:val="hybridMultilevel"/>
    <w:tmpl w:val="251AC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A772E0"/>
    <w:multiLevelType w:val="hybridMultilevel"/>
    <w:tmpl w:val="D53E4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FD0E83"/>
    <w:multiLevelType w:val="hybridMultilevel"/>
    <w:tmpl w:val="B086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FC71BA"/>
    <w:multiLevelType w:val="hybridMultilevel"/>
    <w:tmpl w:val="67D26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8B1F73"/>
    <w:multiLevelType w:val="hybridMultilevel"/>
    <w:tmpl w:val="780E3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E20015"/>
    <w:multiLevelType w:val="hybridMultilevel"/>
    <w:tmpl w:val="C696F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F6650"/>
    <w:multiLevelType w:val="hybridMultilevel"/>
    <w:tmpl w:val="B338DD8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5BFA4FAF"/>
    <w:multiLevelType w:val="hybridMultilevel"/>
    <w:tmpl w:val="80B8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E6ABB"/>
    <w:multiLevelType w:val="hybridMultilevel"/>
    <w:tmpl w:val="CC74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C5629"/>
    <w:multiLevelType w:val="multilevel"/>
    <w:tmpl w:val="F8D6DC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2304D7"/>
    <w:multiLevelType w:val="multilevel"/>
    <w:tmpl w:val="2CC25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6B38CE"/>
    <w:multiLevelType w:val="multilevel"/>
    <w:tmpl w:val="E8F2420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4322875"/>
    <w:multiLevelType w:val="hybridMultilevel"/>
    <w:tmpl w:val="9CDE678E"/>
    <w:lvl w:ilvl="0" w:tplc="A1605BD0">
      <w:start w:val="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6C7E03"/>
    <w:multiLevelType w:val="hybridMultilevel"/>
    <w:tmpl w:val="097C2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087656"/>
    <w:multiLevelType w:val="hybridMultilevel"/>
    <w:tmpl w:val="2B061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6043B2"/>
    <w:multiLevelType w:val="hybridMultilevel"/>
    <w:tmpl w:val="9B34A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C85D7A"/>
    <w:multiLevelType w:val="hybridMultilevel"/>
    <w:tmpl w:val="B998A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267001"/>
    <w:multiLevelType w:val="hybridMultilevel"/>
    <w:tmpl w:val="3EA0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15F28"/>
    <w:multiLevelType w:val="hybridMultilevel"/>
    <w:tmpl w:val="7766F6C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7" w15:restartNumberingAfterBreak="0">
    <w:nsid w:val="71E115F5"/>
    <w:multiLevelType w:val="hybridMultilevel"/>
    <w:tmpl w:val="2BE0A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643B18"/>
    <w:multiLevelType w:val="hybridMultilevel"/>
    <w:tmpl w:val="95B0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B85AB9"/>
    <w:multiLevelType w:val="hybridMultilevel"/>
    <w:tmpl w:val="706C7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6"/>
  </w:num>
  <w:num w:numId="3">
    <w:abstractNumId w:val="28"/>
  </w:num>
  <w:num w:numId="4">
    <w:abstractNumId w:val="33"/>
  </w:num>
  <w:num w:numId="5">
    <w:abstractNumId w:val="34"/>
  </w:num>
  <w:num w:numId="6">
    <w:abstractNumId w:val="12"/>
  </w:num>
  <w:num w:numId="7">
    <w:abstractNumId w:val="32"/>
  </w:num>
  <w:num w:numId="8">
    <w:abstractNumId w:val="38"/>
  </w:num>
  <w:num w:numId="9">
    <w:abstractNumId w:val="26"/>
  </w:num>
  <w:num w:numId="10">
    <w:abstractNumId w:val="39"/>
  </w:num>
  <w:num w:numId="11">
    <w:abstractNumId w:val="23"/>
  </w:num>
  <w:num w:numId="12">
    <w:abstractNumId w:val="29"/>
  </w:num>
  <w:num w:numId="13">
    <w:abstractNumId w:val="14"/>
  </w:num>
  <w:num w:numId="14">
    <w:abstractNumId w:val="7"/>
  </w:num>
  <w:num w:numId="15">
    <w:abstractNumId w:val="30"/>
  </w:num>
  <w:num w:numId="16">
    <w:abstractNumId w:val="0"/>
  </w:num>
  <w:num w:numId="17">
    <w:abstractNumId w:val="4"/>
  </w:num>
  <w:num w:numId="18">
    <w:abstractNumId w:val="3"/>
  </w:num>
  <w:num w:numId="19">
    <w:abstractNumId w:val="15"/>
  </w:num>
  <w:num w:numId="20">
    <w:abstractNumId w:val="16"/>
  </w:num>
  <w:num w:numId="21">
    <w:abstractNumId w:val="35"/>
  </w:num>
  <w:num w:numId="22">
    <w:abstractNumId w:val="24"/>
  </w:num>
  <w:num w:numId="23">
    <w:abstractNumId w:val="5"/>
  </w:num>
  <w:num w:numId="24">
    <w:abstractNumId w:val="17"/>
  </w:num>
  <w:num w:numId="25">
    <w:abstractNumId w:val="1"/>
  </w:num>
  <w:num w:numId="26">
    <w:abstractNumId w:val="6"/>
  </w:num>
  <w:num w:numId="27">
    <w:abstractNumId w:val="22"/>
  </w:num>
  <w:num w:numId="28">
    <w:abstractNumId w:val="9"/>
  </w:num>
  <w:num w:numId="29">
    <w:abstractNumId w:val="21"/>
  </w:num>
  <w:num w:numId="30">
    <w:abstractNumId w:val="19"/>
  </w:num>
  <w:num w:numId="31">
    <w:abstractNumId w:val="2"/>
  </w:num>
  <w:num w:numId="32">
    <w:abstractNumId w:val="8"/>
  </w:num>
  <w:num w:numId="33">
    <w:abstractNumId w:val="25"/>
  </w:num>
  <w:num w:numId="34">
    <w:abstractNumId w:val="10"/>
  </w:num>
  <w:num w:numId="35">
    <w:abstractNumId w:val="37"/>
  </w:num>
  <w:num w:numId="36">
    <w:abstractNumId w:val="18"/>
  </w:num>
  <w:num w:numId="37">
    <w:abstractNumId w:val="13"/>
  </w:num>
  <w:num w:numId="38">
    <w:abstractNumId w:val="11"/>
  </w:num>
  <w:num w:numId="39">
    <w:abstractNumId w:val="27"/>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C02"/>
    <w:rsid w:val="00001056"/>
    <w:rsid w:val="000038CC"/>
    <w:rsid w:val="00004816"/>
    <w:rsid w:val="00005849"/>
    <w:rsid w:val="000070AD"/>
    <w:rsid w:val="00007837"/>
    <w:rsid w:val="000136B7"/>
    <w:rsid w:val="000140D4"/>
    <w:rsid w:val="00016625"/>
    <w:rsid w:val="00016AC0"/>
    <w:rsid w:val="000203BA"/>
    <w:rsid w:val="00023393"/>
    <w:rsid w:val="00025EAC"/>
    <w:rsid w:val="00030AA6"/>
    <w:rsid w:val="00032BCC"/>
    <w:rsid w:val="0003512D"/>
    <w:rsid w:val="00036E2E"/>
    <w:rsid w:val="00040C3F"/>
    <w:rsid w:val="000471E0"/>
    <w:rsid w:val="00047B02"/>
    <w:rsid w:val="00051939"/>
    <w:rsid w:val="0006274A"/>
    <w:rsid w:val="000664E0"/>
    <w:rsid w:val="0007053B"/>
    <w:rsid w:val="000713C7"/>
    <w:rsid w:val="00073B5B"/>
    <w:rsid w:val="00075908"/>
    <w:rsid w:val="00075C3C"/>
    <w:rsid w:val="00076B1D"/>
    <w:rsid w:val="000832AD"/>
    <w:rsid w:val="00084F79"/>
    <w:rsid w:val="0008511B"/>
    <w:rsid w:val="0008652B"/>
    <w:rsid w:val="00086928"/>
    <w:rsid w:val="00086EB6"/>
    <w:rsid w:val="00094457"/>
    <w:rsid w:val="000946C3"/>
    <w:rsid w:val="00097F9D"/>
    <w:rsid w:val="000A11F5"/>
    <w:rsid w:val="000A1314"/>
    <w:rsid w:val="000A1A60"/>
    <w:rsid w:val="000A21F4"/>
    <w:rsid w:val="000A481B"/>
    <w:rsid w:val="000A7CA9"/>
    <w:rsid w:val="000B002E"/>
    <w:rsid w:val="000B10C2"/>
    <w:rsid w:val="000B20BF"/>
    <w:rsid w:val="000B2A85"/>
    <w:rsid w:val="000B4B9C"/>
    <w:rsid w:val="000C41F2"/>
    <w:rsid w:val="000C4728"/>
    <w:rsid w:val="000C4D35"/>
    <w:rsid w:val="000D6754"/>
    <w:rsid w:val="000D6961"/>
    <w:rsid w:val="000E266F"/>
    <w:rsid w:val="000E6901"/>
    <w:rsid w:val="000F0A1D"/>
    <w:rsid w:val="000F18FE"/>
    <w:rsid w:val="000F4493"/>
    <w:rsid w:val="000F6019"/>
    <w:rsid w:val="000F6BF2"/>
    <w:rsid w:val="00100ECD"/>
    <w:rsid w:val="00102CCF"/>
    <w:rsid w:val="0010548A"/>
    <w:rsid w:val="001071F5"/>
    <w:rsid w:val="001171C9"/>
    <w:rsid w:val="00120EBF"/>
    <w:rsid w:val="00124ACA"/>
    <w:rsid w:val="00135EC7"/>
    <w:rsid w:val="001367B4"/>
    <w:rsid w:val="001403AF"/>
    <w:rsid w:val="001421D1"/>
    <w:rsid w:val="00146BC1"/>
    <w:rsid w:val="001504F4"/>
    <w:rsid w:val="0016788A"/>
    <w:rsid w:val="0017417F"/>
    <w:rsid w:val="00176702"/>
    <w:rsid w:val="00180B4B"/>
    <w:rsid w:val="001818BC"/>
    <w:rsid w:val="001912C0"/>
    <w:rsid w:val="001922AD"/>
    <w:rsid w:val="00192DE7"/>
    <w:rsid w:val="001A49F7"/>
    <w:rsid w:val="001A695A"/>
    <w:rsid w:val="001A6FC5"/>
    <w:rsid w:val="001B0C02"/>
    <w:rsid w:val="001B0FC9"/>
    <w:rsid w:val="001B13BC"/>
    <w:rsid w:val="001B2619"/>
    <w:rsid w:val="001B2C1A"/>
    <w:rsid w:val="001C0962"/>
    <w:rsid w:val="001C2D17"/>
    <w:rsid w:val="001C5722"/>
    <w:rsid w:val="001C75A4"/>
    <w:rsid w:val="001C7D1C"/>
    <w:rsid w:val="001C7E0B"/>
    <w:rsid w:val="001D248D"/>
    <w:rsid w:val="001D285B"/>
    <w:rsid w:val="001D35FC"/>
    <w:rsid w:val="001D7E42"/>
    <w:rsid w:val="001E0057"/>
    <w:rsid w:val="001E12ED"/>
    <w:rsid w:val="001E1FC3"/>
    <w:rsid w:val="001E2A94"/>
    <w:rsid w:val="001E4467"/>
    <w:rsid w:val="001F0C47"/>
    <w:rsid w:val="001F24A0"/>
    <w:rsid w:val="001F2DD8"/>
    <w:rsid w:val="001F30D9"/>
    <w:rsid w:val="001F3892"/>
    <w:rsid w:val="001F55F2"/>
    <w:rsid w:val="001F57EF"/>
    <w:rsid w:val="001F700E"/>
    <w:rsid w:val="0020125C"/>
    <w:rsid w:val="00201887"/>
    <w:rsid w:val="0020409E"/>
    <w:rsid w:val="002055C8"/>
    <w:rsid w:val="00207408"/>
    <w:rsid w:val="00213719"/>
    <w:rsid w:val="00216DE7"/>
    <w:rsid w:val="0022095C"/>
    <w:rsid w:val="00220E43"/>
    <w:rsid w:val="00221E40"/>
    <w:rsid w:val="002220F0"/>
    <w:rsid w:val="002226D9"/>
    <w:rsid w:val="00222F9E"/>
    <w:rsid w:val="00225DD3"/>
    <w:rsid w:val="0022760C"/>
    <w:rsid w:val="002301D1"/>
    <w:rsid w:val="0023083F"/>
    <w:rsid w:val="00230987"/>
    <w:rsid w:val="002441CB"/>
    <w:rsid w:val="00244854"/>
    <w:rsid w:val="002504A5"/>
    <w:rsid w:val="00253E39"/>
    <w:rsid w:val="002601F0"/>
    <w:rsid w:val="00261072"/>
    <w:rsid w:val="00264336"/>
    <w:rsid w:val="00265D69"/>
    <w:rsid w:val="00266522"/>
    <w:rsid w:val="00280177"/>
    <w:rsid w:val="00280EFA"/>
    <w:rsid w:val="00281EC6"/>
    <w:rsid w:val="002845DC"/>
    <w:rsid w:val="002849F1"/>
    <w:rsid w:val="0028593B"/>
    <w:rsid w:val="00285AF6"/>
    <w:rsid w:val="00290AC5"/>
    <w:rsid w:val="002918E2"/>
    <w:rsid w:val="0029196E"/>
    <w:rsid w:val="00291A35"/>
    <w:rsid w:val="0029272D"/>
    <w:rsid w:val="00295192"/>
    <w:rsid w:val="002A0C73"/>
    <w:rsid w:val="002A0E22"/>
    <w:rsid w:val="002B00D7"/>
    <w:rsid w:val="002B5407"/>
    <w:rsid w:val="002B55BB"/>
    <w:rsid w:val="002C0FA6"/>
    <w:rsid w:val="002D1402"/>
    <w:rsid w:val="002D2229"/>
    <w:rsid w:val="002D4041"/>
    <w:rsid w:val="002D59AA"/>
    <w:rsid w:val="002D66BA"/>
    <w:rsid w:val="002E53A3"/>
    <w:rsid w:val="002E59C3"/>
    <w:rsid w:val="002E5EEC"/>
    <w:rsid w:val="002E6056"/>
    <w:rsid w:val="002E77F0"/>
    <w:rsid w:val="002F7091"/>
    <w:rsid w:val="002F7BF3"/>
    <w:rsid w:val="00300A8D"/>
    <w:rsid w:val="00303150"/>
    <w:rsid w:val="003061FA"/>
    <w:rsid w:val="0030763B"/>
    <w:rsid w:val="00307955"/>
    <w:rsid w:val="0031516F"/>
    <w:rsid w:val="00316C79"/>
    <w:rsid w:val="0031742B"/>
    <w:rsid w:val="003235C5"/>
    <w:rsid w:val="003240A8"/>
    <w:rsid w:val="0032524B"/>
    <w:rsid w:val="003263F1"/>
    <w:rsid w:val="00340BBC"/>
    <w:rsid w:val="003445B8"/>
    <w:rsid w:val="003559A1"/>
    <w:rsid w:val="00366521"/>
    <w:rsid w:val="003723E0"/>
    <w:rsid w:val="00377CA4"/>
    <w:rsid w:val="0038010B"/>
    <w:rsid w:val="00383FBE"/>
    <w:rsid w:val="00390BFF"/>
    <w:rsid w:val="00391F7C"/>
    <w:rsid w:val="00392F31"/>
    <w:rsid w:val="003941A0"/>
    <w:rsid w:val="00394A62"/>
    <w:rsid w:val="003960F8"/>
    <w:rsid w:val="003A00A7"/>
    <w:rsid w:val="003A127F"/>
    <w:rsid w:val="003A167D"/>
    <w:rsid w:val="003A1BB6"/>
    <w:rsid w:val="003A6367"/>
    <w:rsid w:val="003A6E0B"/>
    <w:rsid w:val="003B3425"/>
    <w:rsid w:val="003B5BAA"/>
    <w:rsid w:val="003B62D5"/>
    <w:rsid w:val="003B6920"/>
    <w:rsid w:val="003B74A0"/>
    <w:rsid w:val="003C0D5C"/>
    <w:rsid w:val="003C18B2"/>
    <w:rsid w:val="003C443E"/>
    <w:rsid w:val="003C55D6"/>
    <w:rsid w:val="003C5824"/>
    <w:rsid w:val="003D09E9"/>
    <w:rsid w:val="003D59FA"/>
    <w:rsid w:val="003E42E6"/>
    <w:rsid w:val="003F1081"/>
    <w:rsid w:val="003F1425"/>
    <w:rsid w:val="003F2CEF"/>
    <w:rsid w:val="003F3655"/>
    <w:rsid w:val="003F498C"/>
    <w:rsid w:val="003F4A2C"/>
    <w:rsid w:val="004076CD"/>
    <w:rsid w:val="0041315C"/>
    <w:rsid w:val="00414C41"/>
    <w:rsid w:val="00423148"/>
    <w:rsid w:val="00424C34"/>
    <w:rsid w:val="00427751"/>
    <w:rsid w:val="0043182B"/>
    <w:rsid w:val="00431EE3"/>
    <w:rsid w:val="00431FC7"/>
    <w:rsid w:val="00432CF4"/>
    <w:rsid w:val="00432E41"/>
    <w:rsid w:val="00433F48"/>
    <w:rsid w:val="00434214"/>
    <w:rsid w:val="00436303"/>
    <w:rsid w:val="00437015"/>
    <w:rsid w:val="00445136"/>
    <w:rsid w:val="0044644F"/>
    <w:rsid w:val="004523D5"/>
    <w:rsid w:val="00452B43"/>
    <w:rsid w:val="00453534"/>
    <w:rsid w:val="0045356A"/>
    <w:rsid w:val="004554F4"/>
    <w:rsid w:val="00457F72"/>
    <w:rsid w:val="0046058F"/>
    <w:rsid w:val="004665F5"/>
    <w:rsid w:val="0047113F"/>
    <w:rsid w:val="0047122D"/>
    <w:rsid w:val="0047704D"/>
    <w:rsid w:val="0049029B"/>
    <w:rsid w:val="00491185"/>
    <w:rsid w:val="004915D2"/>
    <w:rsid w:val="00493DE9"/>
    <w:rsid w:val="0049412D"/>
    <w:rsid w:val="004954EA"/>
    <w:rsid w:val="00496988"/>
    <w:rsid w:val="0049706D"/>
    <w:rsid w:val="00497BDA"/>
    <w:rsid w:val="004A43DE"/>
    <w:rsid w:val="004A6E0E"/>
    <w:rsid w:val="004B00EF"/>
    <w:rsid w:val="004B119B"/>
    <w:rsid w:val="004B4BBD"/>
    <w:rsid w:val="004C451C"/>
    <w:rsid w:val="004D0AC0"/>
    <w:rsid w:val="004D21DB"/>
    <w:rsid w:val="004D2740"/>
    <w:rsid w:val="004D301F"/>
    <w:rsid w:val="004D388F"/>
    <w:rsid w:val="004D39D0"/>
    <w:rsid w:val="004D4185"/>
    <w:rsid w:val="004D711E"/>
    <w:rsid w:val="004D74E4"/>
    <w:rsid w:val="004D7FF2"/>
    <w:rsid w:val="004E1CCE"/>
    <w:rsid w:val="004E30E4"/>
    <w:rsid w:val="004E515E"/>
    <w:rsid w:val="004E578E"/>
    <w:rsid w:val="004F3627"/>
    <w:rsid w:val="004F36E6"/>
    <w:rsid w:val="004F40B3"/>
    <w:rsid w:val="004F4F28"/>
    <w:rsid w:val="004F575B"/>
    <w:rsid w:val="004F59F0"/>
    <w:rsid w:val="004F6E12"/>
    <w:rsid w:val="004F78F5"/>
    <w:rsid w:val="005019C3"/>
    <w:rsid w:val="005034CC"/>
    <w:rsid w:val="00503885"/>
    <w:rsid w:val="00511C8E"/>
    <w:rsid w:val="00515136"/>
    <w:rsid w:val="00521BD9"/>
    <w:rsid w:val="005230C6"/>
    <w:rsid w:val="00523FD2"/>
    <w:rsid w:val="005246EC"/>
    <w:rsid w:val="00524D41"/>
    <w:rsid w:val="0052788C"/>
    <w:rsid w:val="00531352"/>
    <w:rsid w:val="0053315C"/>
    <w:rsid w:val="0053478B"/>
    <w:rsid w:val="005360B9"/>
    <w:rsid w:val="0054425F"/>
    <w:rsid w:val="00547071"/>
    <w:rsid w:val="00547919"/>
    <w:rsid w:val="00552CA0"/>
    <w:rsid w:val="00555C52"/>
    <w:rsid w:val="00557C18"/>
    <w:rsid w:val="005619DC"/>
    <w:rsid w:val="005636F7"/>
    <w:rsid w:val="005674FE"/>
    <w:rsid w:val="00570DE4"/>
    <w:rsid w:val="00573203"/>
    <w:rsid w:val="00575209"/>
    <w:rsid w:val="00582254"/>
    <w:rsid w:val="00582BF0"/>
    <w:rsid w:val="00582D9A"/>
    <w:rsid w:val="0058631E"/>
    <w:rsid w:val="005867E0"/>
    <w:rsid w:val="00587E88"/>
    <w:rsid w:val="00590F77"/>
    <w:rsid w:val="005910AC"/>
    <w:rsid w:val="00594A28"/>
    <w:rsid w:val="005960E2"/>
    <w:rsid w:val="005A0325"/>
    <w:rsid w:val="005B297C"/>
    <w:rsid w:val="005B57A3"/>
    <w:rsid w:val="005C3A0D"/>
    <w:rsid w:val="005C6C30"/>
    <w:rsid w:val="005D1398"/>
    <w:rsid w:val="005D39AF"/>
    <w:rsid w:val="005D7163"/>
    <w:rsid w:val="005E082F"/>
    <w:rsid w:val="005E62D6"/>
    <w:rsid w:val="005F007D"/>
    <w:rsid w:val="005F5E0A"/>
    <w:rsid w:val="005F6765"/>
    <w:rsid w:val="005F6B0A"/>
    <w:rsid w:val="005F6B69"/>
    <w:rsid w:val="006047CE"/>
    <w:rsid w:val="006051CE"/>
    <w:rsid w:val="00605A4A"/>
    <w:rsid w:val="0060618C"/>
    <w:rsid w:val="00610E6A"/>
    <w:rsid w:val="0061131B"/>
    <w:rsid w:val="00613389"/>
    <w:rsid w:val="006176B8"/>
    <w:rsid w:val="00625545"/>
    <w:rsid w:val="006258E5"/>
    <w:rsid w:val="006265DA"/>
    <w:rsid w:val="00627CBC"/>
    <w:rsid w:val="00627D55"/>
    <w:rsid w:val="00630B41"/>
    <w:rsid w:val="006316BF"/>
    <w:rsid w:val="00632670"/>
    <w:rsid w:val="00632C5C"/>
    <w:rsid w:val="00651E33"/>
    <w:rsid w:val="00652464"/>
    <w:rsid w:val="0065594B"/>
    <w:rsid w:val="00656305"/>
    <w:rsid w:val="00656560"/>
    <w:rsid w:val="0066392B"/>
    <w:rsid w:val="00672AFA"/>
    <w:rsid w:val="00674FDB"/>
    <w:rsid w:val="00685DCF"/>
    <w:rsid w:val="00687172"/>
    <w:rsid w:val="006907A3"/>
    <w:rsid w:val="006957CA"/>
    <w:rsid w:val="006958F1"/>
    <w:rsid w:val="006967A6"/>
    <w:rsid w:val="00697A57"/>
    <w:rsid w:val="006A607E"/>
    <w:rsid w:val="006A72CB"/>
    <w:rsid w:val="006B3390"/>
    <w:rsid w:val="006B36FD"/>
    <w:rsid w:val="006B6097"/>
    <w:rsid w:val="006B6A46"/>
    <w:rsid w:val="006B6DA3"/>
    <w:rsid w:val="006C22E7"/>
    <w:rsid w:val="006C5B47"/>
    <w:rsid w:val="006C68EE"/>
    <w:rsid w:val="006D24DE"/>
    <w:rsid w:val="006D74CB"/>
    <w:rsid w:val="006E5B8C"/>
    <w:rsid w:val="006E64EE"/>
    <w:rsid w:val="006E7C9F"/>
    <w:rsid w:val="006F6D25"/>
    <w:rsid w:val="006F7437"/>
    <w:rsid w:val="006F75AD"/>
    <w:rsid w:val="0070057B"/>
    <w:rsid w:val="0070785B"/>
    <w:rsid w:val="00712CDC"/>
    <w:rsid w:val="00713B4B"/>
    <w:rsid w:val="0072079E"/>
    <w:rsid w:val="00720DFE"/>
    <w:rsid w:val="00722A5F"/>
    <w:rsid w:val="00722C1A"/>
    <w:rsid w:val="00726F8D"/>
    <w:rsid w:val="00733BDF"/>
    <w:rsid w:val="007417A3"/>
    <w:rsid w:val="007427E0"/>
    <w:rsid w:val="00742A88"/>
    <w:rsid w:val="00751BE5"/>
    <w:rsid w:val="00752FFA"/>
    <w:rsid w:val="00755011"/>
    <w:rsid w:val="00755A70"/>
    <w:rsid w:val="007568A7"/>
    <w:rsid w:val="007634F1"/>
    <w:rsid w:val="007642F2"/>
    <w:rsid w:val="0076587D"/>
    <w:rsid w:val="007658F3"/>
    <w:rsid w:val="00765AFA"/>
    <w:rsid w:val="00766532"/>
    <w:rsid w:val="007701B9"/>
    <w:rsid w:val="00774500"/>
    <w:rsid w:val="00774D7B"/>
    <w:rsid w:val="0078058D"/>
    <w:rsid w:val="0078275C"/>
    <w:rsid w:val="00784884"/>
    <w:rsid w:val="007859C3"/>
    <w:rsid w:val="00786757"/>
    <w:rsid w:val="0078735A"/>
    <w:rsid w:val="00787E91"/>
    <w:rsid w:val="00790B91"/>
    <w:rsid w:val="007946CB"/>
    <w:rsid w:val="00795922"/>
    <w:rsid w:val="00795DE3"/>
    <w:rsid w:val="007A0B2F"/>
    <w:rsid w:val="007A1231"/>
    <w:rsid w:val="007A4423"/>
    <w:rsid w:val="007B0381"/>
    <w:rsid w:val="007B0E0A"/>
    <w:rsid w:val="007B124E"/>
    <w:rsid w:val="007B1609"/>
    <w:rsid w:val="007B374B"/>
    <w:rsid w:val="007B3E5C"/>
    <w:rsid w:val="007B5868"/>
    <w:rsid w:val="007B76C1"/>
    <w:rsid w:val="007B7B1F"/>
    <w:rsid w:val="007C0331"/>
    <w:rsid w:val="007C0596"/>
    <w:rsid w:val="007C4B7B"/>
    <w:rsid w:val="007C58F3"/>
    <w:rsid w:val="007C5AF1"/>
    <w:rsid w:val="007C5CB2"/>
    <w:rsid w:val="007C64E0"/>
    <w:rsid w:val="007E12B9"/>
    <w:rsid w:val="007E3AFD"/>
    <w:rsid w:val="007F3738"/>
    <w:rsid w:val="007F378B"/>
    <w:rsid w:val="007F7368"/>
    <w:rsid w:val="00801056"/>
    <w:rsid w:val="00803B9C"/>
    <w:rsid w:val="008040C9"/>
    <w:rsid w:val="0080731E"/>
    <w:rsid w:val="00807EB5"/>
    <w:rsid w:val="00810E18"/>
    <w:rsid w:val="00821671"/>
    <w:rsid w:val="008226D7"/>
    <w:rsid w:val="00822CFD"/>
    <w:rsid w:val="00825AD4"/>
    <w:rsid w:val="00833E10"/>
    <w:rsid w:val="008356BA"/>
    <w:rsid w:val="008361C4"/>
    <w:rsid w:val="00837D76"/>
    <w:rsid w:val="00840602"/>
    <w:rsid w:val="008420C4"/>
    <w:rsid w:val="00842F38"/>
    <w:rsid w:val="008477A1"/>
    <w:rsid w:val="008479DA"/>
    <w:rsid w:val="00851D2E"/>
    <w:rsid w:val="008523D0"/>
    <w:rsid w:val="00862017"/>
    <w:rsid w:val="008630B0"/>
    <w:rsid w:val="008654BB"/>
    <w:rsid w:val="00870150"/>
    <w:rsid w:val="00871823"/>
    <w:rsid w:val="00872568"/>
    <w:rsid w:val="008731A8"/>
    <w:rsid w:val="0087397C"/>
    <w:rsid w:val="00873F17"/>
    <w:rsid w:val="0087530D"/>
    <w:rsid w:val="00876C28"/>
    <w:rsid w:val="00880F3D"/>
    <w:rsid w:val="00882D32"/>
    <w:rsid w:val="0088387B"/>
    <w:rsid w:val="008854D5"/>
    <w:rsid w:val="008879D5"/>
    <w:rsid w:val="008903B6"/>
    <w:rsid w:val="008929BC"/>
    <w:rsid w:val="00894B61"/>
    <w:rsid w:val="00896324"/>
    <w:rsid w:val="008A1054"/>
    <w:rsid w:val="008A1067"/>
    <w:rsid w:val="008A4A29"/>
    <w:rsid w:val="008B0544"/>
    <w:rsid w:val="008B1273"/>
    <w:rsid w:val="008B1E27"/>
    <w:rsid w:val="008B2768"/>
    <w:rsid w:val="008B2C2E"/>
    <w:rsid w:val="008C0DC1"/>
    <w:rsid w:val="008C308F"/>
    <w:rsid w:val="008C4217"/>
    <w:rsid w:val="008C5DA3"/>
    <w:rsid w:val="008C7A69"/>
    <w:rsid w:val="008D16E0"/>
    <w:rsid w:val="008D2EAE"/>
    <w:rsid w:val="008D740B"/>
    <w:rsid w:val="008D7A33"/>
    <w:rsid w:val="008E197C"/>
    <w:rsid w:val="008E3863"/>
    <w:rsid w:val="008E5E70"/>
    <w:rsid w:val="008F1250"/>
    <w:rsid w:val="008F154A"/>
    <w:rsid w:val="008F3B28"/>
    <w:rsid w:val="008F5EDB"/>
    <w:rsid w:val="008F7927"/>
    <w:rsid w:val="0090366F"/>
    <w:rsid w:val="00904122"/>
    <w:rsid w:val="00907CB4"/>
    <w:rsid w:val="0091075B"/>
    <w:rsid w:val="009116BE"/>
    <w:rsid w:val="0091213C"/>
    <w:rsid w:val="00912CD7"/>
    <w:rsid w:val="0091592A"/>
    <w:rsid w:val="00915B78"/>
    <w:rsid w:val="00916B0B"/>
    <w:rsid w:val="00920466"/>
    <w:rsid w:val="00920F4C"/>
    <w:rsid w:val="009210C8"/>
    <w:rsid w:val="00921C81"/>
    <w:rsid w:val="00922908"/>
    <w:rsid w:val="00922BAA"/>
    <w:rsid w:val="00924914"/>
    <w:rsid w:val="00926EE2"/>
    <w:rsid w:val="009279CF"/>
    <w:rsid w:val="009319C8"/>
    <w:rsid w:val="00933A3B"/>
    <w:rsid w:val="009349DA"/>
    <w:rsid w:val="0093524A"/>
    <w:rsid w:val="009372B4"/>
    <w:rsid w:val="00944E7E"/>
    <w:rsid w:val="00952278"/>
    <w:rsid w:val="009524E7"/>
    <w:rsid w:val="0095369A"/>
    <w:rsid w:val="00954679"/>
    <w:rsid w:val="0095623F"/>
    <w:rsid w:val="0095713B"/>
    <w:rsid w:val="009629E2"/>
    <w:rsid w:val="009645E2"/>
    <w:rsid w:val="009649C2"/>
    <w:rsid w:val="009654DD"/>
    <w:rsid w:val="0096763F"/>
    <w:rsid w:val="0097053C"/>
    <w:rsid w:val="00974986"/>
    <w:rsid w:val="00980690"/>
    <w:rsid w:val="00981818"/>
    <w:rsid w:val="0098518E"/>
    <w:rsid w:val="00990530"/>
    <w:rsid w:val="009906D9"/>
    <w:rsid w:val="0099196B"/>
    <w:rsid w:val="00995DD0"/>
    <w:rsid w:val="00996638"/>
    <w:rsid w:val="009A126E"/>
    <w:rsid w:val="009A1B95"/>
    <w:rsid w:val="009A1EDB"/>
    <w:rsid w:val="009A4438"/>
    <w:rsid w:val="009A6F67"/>
    <w:rsid w:val="009B0C9B"/>
    <w:rsid w:val="009B0EDC"/>
    <w:rsid w:val="009B14DA"/>
    <w:rsid w:val="009B6915"/>
    <w:rsid w:val="009B753B"/>
    <w:rsid w:val="009C128F"/>
    <w:rsid w:val="009C29F2"/>
    <w:rsid w:val="009C3908"/>
    <w:rsid w:val="009C7197"/>
    <w:rsid w:val="009D544E"/>
    <w:rsid w:val="009D73E5"/>
    <w:rsid w:val="009E08F8"/>
    <w:rsid w:val="009E7897"/>
    <w:rsid w:val="009F0200"/>
    <w:rsid w:val="009F2A89"/>
    <w:rsid w:val="009F2D35"/>
    <w:rsid w:val="009F39DD"/>
    <w:rsid w:val="009F3D27"/>
    <w:rsid w:val="009F5731"/>
    <w:rsid w:val="009F66C0"/>
    <w:rsid w:val="009F7377"/>
    <w:rsid w:val="00A00934"/>
    <w:rsid w:val="00A02267"/>
    <w:rsid w:val="00A111D7"/>
    <w:rsid w:val="00A11503"/>
    <w:rsid w:val="00A11745"/>
    <w:rsid w:val="00A1379F"/>
    <w:rsid w:val="00A141CA"/>
    <w:rsid w:val="00A20F40"/>
    <w:rsid w:val="00A24DED"/>
    <w:rsid w:val="00A2519B"/>
    <w:rsid w:val="00A26488"/>
    <w:rsid w:val="00A270C4"/>
    <w:rsid w:val="00A31F56"/>
    <w:rsid w:val="00A33ACA"/>
    <w:rsid w:val="00A37FAE"/>
    <w:rsid w:val="00A414DB"/>
    <w:rsid w:val="00A428AF"/>
    <w:rsid w:val="00A44BF8"/>
    <w:rsid w:val="00A46BED"/>
    <w:rsid w:val="00A508A5"/>
    <w:rsid w:val="00A50BE3"/>
    <w:rsid w:val="00A52E34"/>
    <w:rsid w:val="00A53952"/>
    <w:rsid w:val="00A55FFA"/>
    <w:rsid w:val="00A57404"/>
    <w:rsid w:val="00A60EFF"/>
    <w:rsid w:val="00A62342"/>
    <w:rsid w:val="00A637B3"/>
    <w:rsid w:val="00A64895"/>
    <w:rsid w:val="00A66161"/>
    <w:rsid w:val="00A6642B"/>
    <w:rsid w:val="00A6773D"/>
    <w:rsid w:val="00A67DFB"/>
    <w:rsid w:val="00A74E75"/>
    <w:rsid w:val="00A7576D"/>
    <w:rsid w:val="00A7788A"/>
    <w:rsid w:val="00A77C00"/>
    <w:rsid w:val="00A82CFD"/>
    <w:rsid w:val="00A92DFB"/>
    <w:rsid w:val="00A95B33"/>
    <w:rsid w:val="00A96283"/>
    <w:rsid w:val="00AA2185"/>
    <w:rsid w:val="00AA32FB"/>
    <w:rsid w:val="00AA35FD"/>
    <w:rsid w:val="00AA3ED4"/>
    <w:rsid w:val="00AA7DE1"/>
    <w:rsid w:val="00AB0061"/>
    <w:rsid w:val="00AC07E1"/>
    <w:rsid w:val="00AC35E7"/>
    <w:rsid w:val="00AC716C"/>
    <w:rsid w:val="00AD17B4"/>
    <w:rsid w:val="00AD2441"/>
    <w:rsid w:val="00AD34AE"/>
    <w:rsid w:val="00AE17A5"/>
    <w:rsid w:val="00AE41DC"/>
    <w:rsid w:val="00AE433A"/>
    <w:rsid w:val="00AE5F2E"/>
    <w:rsid w:val="00AF1FD4"/>
    <w:rsid w:val="00AF32D5"/>
    <w:rsid w:val="00AF4B3F"/>
    <w:rsid w:val="00B0177D"/>
    <w:rsid w:val="00B0716C"/>
    <w:rsid w:val="00B07464"/>
    <w:rsid w:val="00B11177"/>
    <w:rsid w:val="00B11A1A"/>
    <w:rsid w:val="00B11B8F"/>
    <w:rsid w:val="00B13355"/>
    <w:rsid w:val="00B16282"/>
    <w:rsid w:val="00B16F8E"/>
    <w:rsid w:val="00B1728A"/>
    <w:rsid w:val="00B20876"/>
    <w:rsid w:val="00B21ECC"/>
    <w:rsid w:val="00B22BD8"/>
    <w:rsid w:val="00B2457D"/>
    <w:rsid w:val="00B24BA7"/>
    <w:rsid w:val="00B2576A"/>
    <w:rsid w:val="00B310A4"/>
    <w:rsid w:val="00B33F13"/>
    <w:rsid w:val="00B349FD"/>
    <w:rsid w:val="00B37093"/>
    <w:rsid w:val="00B3769C"/>
    <w:rsid w:val="00B41FB4"/>
    <w:rsid w:val="00B447DD"/>
    <w:rsid w:val="00B4526B"/>
    <w:rsid w:val="00B46BC6"/>
    <w:rsid w:val="00B51A86"/>
    <w:rsid w:val="00B55D5F"/>
    <w:rsid w:val="00B570C1"/>
    <w:rsid w:val="00B61171"/>
    <w:rsid w:val="00B662D9"/>
    <w:rsid w:val="00B67588"/>
    <w:rsid w:val="00B70001"/>
    <w:rsid w:val="00B707EF"/>
    <w:rsid w:val="00B71169"/>
    <w:rsid w:val="00B71A56"/>
    <w:rsid w:val="00B727FF"/>
    <w:rsid w:val="00B776D7"/>
    <w:rsid w:val="00B832A2"/>
    <w:rsid w:val="00B852D5"/>
    <w:rsid w:val="00B919A5"/>
    <w:rsid w:val="00B91B66"/>
    <w:rsid w:val="00B96762"/>
    <w:rsid w:val="00B96774"/>
    <w:rsid w:val="00B96D8D"/>
    <w:rsid w:val="00B975E4"/>
    <w:rsid w:val="00BA26E0"/>
    <w:rsid w:val="00BA2B04"/>
    <w:rsid w:val="00BA3777"/>
    <w:rsid w:val="00BA55C4"/>
    <w:rsid w:val="00BB0DF0"/>
    <w:rsid w:val="00BB22E8"/>
    <w:rsid w:val="00BB334F"/>
    <w:rsid w:val="00BB33F0"/>
    <w:rsid w:val="00BB356B"/>
    <w:rsid w:val="00BB70F9"/>
    <w:rsid w:val="00BC25FF"/>
    <w:rsid w:val="00BC37FD"/>
    <w:rsid w:val="00BC4D7A"/>
    <w:rsid w:val="00BC6CA2"/>
    <w:rsid w:val="00BD1C82"/>
    <w:rsid w:val="00BD2356"/>
    <w:rsid w:val="00BE5F4E"/>
    <w:rsid w:val="00BE7AD9"/>
    <w:rsid w:val="00BE7EE4"/>
    <w:rsid w:val="00BF023E"/>
    <w:rsid w:val="00BF4390"/>
    <w:rsid w:val="00BF4633"/>
    <w:rsid w:val="00C000EC"/>
    <w:rsid w:val="00C01FF4"/>
    <w:rsid w:val="00C039CD"/>
    <w:rsid w:val="00C05DBC"/>
    <w:rsid w:val="00C075EE"/>
    <w:rsid w:val="00C11020"/>
    <w:rsid w:val="00C112A7"/>
    <w:rsid w:val="00C12C5D"/>
    <w:rsid w:val="00C14021"/>
    <w:rsid w:val="00C140B7"/>
    <w:rsid w:val="00C15B17"/>
    <w:rsid w:val="00C20A41"/>
    <w:rsid w:val="00C21EB4"/>
    <w:rsid w:val="00C22F38"/>
    <w:rsid w:val="00C2632E"/>
    <w:rsid w:val="00C267B4"/>
    <w:rsid w:val="00C31DB7"/>
    <w:rsid w:val="00C36D95"/>
    <w:rsid w:val="00C3780F"/>
    <w:rsid w:val="00C43853"/>
    <w:rsid w:val="00C44590"/>
    <w:rsid w:val="00C51082"/>
    <w:rsid w:val="00C533F3"/>
    <w:rsid w:val="00C53DA4"/>
    <w:rsid w:val="00C56521"/>
    <w:rsid w:val="00C61267"/>
    <w:rsid w:val="00C61CD1"/>
    <w:rsid w:val="00C620DA"/>
    <w:rsid w:val="00C6619B"/>
    <w:rsid w:val="00C735CB"/>
    <w:rsid w:val="00C81869"/>
    <w:rsid w:val="00C84B54"/>
    <w:rsid w:val="00C84FF3"/>
    <w:rsid w:val="00C850BD"/>
    <w:rsid w:val="00C85B26"/>
    <w:rsid w:val="00C9118E"/>
    <w:rsid w:val="00C91A4C"/>
    <w:rsid w:val="00C92B38"/>
    <w:rsid w:val="00C979E7"/>
    <w:rsid w:val="00CA00BC"/>
    <w:rsid w:val="00CA26BD"/>
    <w:rsid w:val="00CA2B2C"/>
    <w:rsid w:val="00CA4B3B"/>
    <w:rsid w:val="00CA4BE3"/>
    <w:rsid w:val="00CA4C9B"/>
    <w:rsid w:val="00CA4CE1"/>
    <w:rsid w:val="00CA57A0"/>
    <w:rsid w:val="00CA7F93"/>
    <w:rsid w:val="00CB01ED"/>
    <w:rsid w:val="00CB0CD8"/>
    <w:rsid w:val="00CB2505"/>
    <w:rsid w:val="00CC35E9"/>
    <w:rsid w:val="00CC3CF7"/>
    <w:rsid w:val="00CC4F51"/>
    <w:rsid w:val="00CD0037"/>
    <w:rsid w:val="00CD107D"/>
    <w:rsid w:val="00CD38C7"/>
    <w:rsid w:val="00CD3A87"/>
    <w:rsid w:val="00CD72B3"/>
    <w:rsid w:val="00CE3485"/>
    <w:rsid w:val="00CE3561"/>
    <w:rsid w:val="00CE3D55"/>
    <w:rsid w:val="00CF23AE"/>
    <w:rsid w:val="00CF3B41"/>
    <w:rsid w:val="00CF4B17"/>
    <w:rsid w:val="00CF4EFE"/>
    <w:rsid w:val="00CF6214"/>
    <w:rsid w:val="00CF6245"/>
    <w:rsid w:val="00CF7B4C"/>
    <w:rsid w:val="00CF7B6A"/>
    <w:rsid w:val="00D02C47"/>
    <w:rsid w:val="00D05F60"/>
    <w:rsid w:val="00D07D25"/>
    <w:rsid w:val="00D12852"/>
    <w:rsid w:val="00D130CE"/>
    <w:rsid w:val="00D138C8"/>
    <w:rsid w:val="00D17948"/>
    <w:rsid w:val="00D17E4F"/>
    <w:rsid w:val="00D2367C"/>
    <w:rsid w:val="00D23F00"/>
    <w:rsid w:val="00D24053"/>
    <w:rsid w:val="00D269C5"/>
    <w:rsid w:val="00D41C0B"/>
    <w:rsid w:val="00D434D4"/>
    <w:rsid w:val="00D43CEA"/>
    <w:rsid w:val="00D4671E"/>
    <w:rsid w:val="00D5114B"/>
    <w:rsid w:val="00D645FE"/>
    <w:rsid w:val="00D66A17"/>
    <w:rsid w:val="00D6712D"/>
    <w:rsid w:val="00D7311A"/>
    <w:rsid w:val="00D73755"/>
    <w:rsid w:val="00D75037"/>
    <w:rsid w:val="00D75BA0"/>
    <w:rsid w:val="00D7687A"/>
    <w:rsid w:val="00D76E33"/>
    <w:rsid w:val="00D7714B"/>
    <w:rsid w:val="00D77217"/>
    <w:rsid w:val="00D8340B"/>
    <w:rsid w:val="00D84922"/>
    <w:rsid w:val="00D84C37"/>
    <w:rsid w:val="00D84FD2"/>
    <w:rsid w:val="00D862B8"/>
    <w:rsid w:val="00D90EC5"/>
    <w:rsid w:val="00D9105E"/>
    <w:rsid w:val="00D9107D"/>
    <w:rsid w:val="00D91175"/>
    <w:rsid w:val="00D91EAE"/>
    <w:rsid w:val="00D93AAF"/>
    <w:rsid w:val="00D93BCD"/>
    <w:rsid w:val="00D97212"/>
    <w:rsid w:val="00DA78CB"/>
    <w:rsid w:val="00DB054A"/>
    <w:rsid w:val="00DB1A09"/>
    <w:rsid w:val="00DB1A79"/>
    <w:rsid w:val="00DB3038"/>
    <w:rsid w:val="00DB37C9"/>
    <w:rsid w:val="00DC110E"/>
    <w:rsid w:val="00DC4CA4"/>
    <w:rsid w:val="00DC53AD"/>
    <w:rsid w:val="00DC72CB"/>
    <w:rsid w:val="00DD6C6A"/>
    <w:rsid w:val="00DD6F3F"/>
    <w:rsid w:val="00DE4489"/>
    <w:rsid w:val="00DE5F2A"/>
    <w:rsid w:val="00DF429B"/>
    <w:rsid w:val="00DF6A18"/>
    <w:rsid w:val="00DF6D71"/>
    <w:rsid w:val="00DF6EC7"/>
    <w:rsid w:val="00E01B33"/>
    <w:rsid w:val="00E01CAA"/>
    <w:rsid w:val="00E05131"/>
    <w:rsid w:val="00E066A2"/>
    <w:rsid w:val="00E148BC"/>
    <w:rsid w:val="00E17133"/>
    <w:rsid w:val="00E2022F"/>
    <w:rsid w:val="00E2054F"/>
    <w:rsid w:val="00E271DE"/>
    <w:rsid w:val="00E27DA9"/>
    <w:rsid w:val="00E300A2"/>
    <w:rsid w:val="00E31F2B"/>
    <w:rsid w:val="00E325D1"/>
    <w:rsid w:val="00E37573"/>
    <w:rsid w:val="00E37A58"/>
    <w:rsid w:val="00E405E1"/>
    <w:rsid w:val="00E416BC"/>
    <w:rsid w:val="00E422B9"/>
    <w:rsid w:val="00E42C9D"/>
    <w:rsid w:val="00E43C29"/>
    <w:rsid w:val="00E4657B"/>
    <w:rsid w:val="00E5076A"/>
    <w:rsid w:val="00E54669"/>
    <w:rsid w:val="00E57423"/>
    <w:rsid w:val="00E576C9"/>
    <w:rsid w:val="00E57B7D"/>
    <w:rsid w:val="00E61562"/>
    <w:rsid w:val="00E61B85"/>
    <w:rsid w:val="00E624CC"/>
    <w:rsid w:val="00E63F14"/>
    <w:rsid w:val="00E663BB"/>
    <w:rsid w:val="00E6778E"/>
    <w:rsid w:val="00E67B90"/>
    <w:rsid w:val="00E726E7"/>
    <w:rsid w:val="00E737DC"/>
    <w:rsid w:val="00E756F8"/>
    <w:rsid w:val="00E7573E"/>
    <w:rsid w:val="00E77131"/>
    <w:rsid w:val="00E848ED"/>
    <w:rsid w:val="00E871BC"/>
    <w:rsid w:val="00E92244"/>
    <w:rsid w:val="00E938B6"/>
    <w:rsid w:val="00E94B9D"/>
    <w:rsid w:val="00E94C2B"/>
    <w:rsid w:val="00E96729"/>
    <w:rsid w:val="00EA320D"/>
    <w:rsid w:val="00EA3507"/>
    <w:rsid w:val="00EA735B"/>
    <w:rsid w:val="00EB1F52"/>
    <w:rsid w:val="00EB281D"/>
    <w:rsid w:val="00EB321F"/>
    <w:rsid w:val="00EB6CD6"/>
    <w:rsid w:val="00ED1F25"/>
    <w:rsid w:val="00ED26C8"/>
    <w:rsid w:val="00EE1793"/>
    <w:rsid w:val="00EE19CA"/>
    <w:rsid w:val="00EE28AB"/>
    <w:rsid w:val="00EE4805"/>
    <w:rsid w:val="00EF0CB9"/>
    <w:rsid w:val="00EF36C6"/>
    <w:rsid w:val="00F0008A"/>
    <w:rsid w:val="00F01D51"/>
    <w:rsid w:val="00F028F5"/>
    <w:rsid w:val="00F05BB3"/>
    <w:rsid w:val="00F0646E"/>
    <w:rsid w:val="00F06A7C"/>
    <w:rsid w:val="00F106E4"/>
    <w:rsid w:val="00F11987"/>
    <w:rsid w:val="00F11A53"/>
    <w:rsid w:val="00F15710"/>
    <w:rsid w:val="00F22BDC"/>
    <w:rsid w:val="00F24D46"/>
    <w:rsid w:val="00F30BBF"/>
    <w:rsid w:val="00F33954"/>
    <w:rsid w:val="00F33CFB"/>
    <w:rsid w:val="00F34894"/>
    <w:rsid w:val="00F35D19"/>
    <w:rsid w:val="00F418D0"/>
    <w:rsid w:val="00F41A71"/>
    <w:rsid w:val="00F44CC7"/>
    <w:rsid w:val="00F5426A"/>
    <w:rsid w:val="00F6148E"/>
    <w:rsid w:val="00F64816"/>
    <w:rsid w:val="00F65BF8"/>
    <w:rsid w:val="00F67362"/>
    <w:rsid w:val="00F72AC4"/>
    <w:rsid w:val="00F74684"/>
    <w:rsid w:val="00F75EC1"/>
    <w:rsid w:val="00F766BA"/>
    <w:rsid w:val="00F76E3A"/>
    <w:rsid w:val="00F775B0"/>
    <w:rsid w:val="00F931DA"/>
    <w:rsid w:val="00F96343"/>
    <w:rsid w:val="00F96D5D"/>
    <w:rsid w:val="00F9755A"/>
    <w:rsid w:val="00FA019D"/>
    <w:rsid w:val="00FA0A0D"/>
    <w:rsid w:val="00FA192F"/>
    <w:rsid w:val="00FA2074"/>
    <w:rsid w:val="00FA2076"/>
    <w:rsid w:val="00FA2391"/>
    <w:rsid w:val="00FA677B"/>
    <w:rsid w:val="00FA6D58"/>
    <w:rsid w:val="00FA7C4B"/>
    <w:rsid w:val="00FA7E62"/>
    <w:rsid w:val="00FB13AF"/>
    <w:rsid w:val="00FB7A2B"/>
    <w:rsid w:val="00FC0030"/>
    <w:rsid w:val="00FC0E82"/>
    <w:rsid w:val="00FC4660"/>
    <w:rsid w:val="00FD379E"/>
    <w:rsid w:val="00FD57E0"/>
    <w:rsid w:val="00FD6F36"/>
    <w:rsid w:val="00FE0DFF"/>
    <w:rsid w:val="00FE0FC4"/>
    <w:rsid w:val="00FE276E"/>
    <w:rsid w:val="00FE6F7C"/>
    <w:rsid w:val="00FE7E40"/>
    <w:rsid w:val="00FF1FEE"/>
    <w:rsid w:val="00FF3A96"/>
    <w:rsid w:val="00FF5EF1"/>
    <w:rsid w:val="00FF7E0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101A6"/>
  <w14:defaultImageDpi w14:val="300"/>
  <w15:docId w15:val="{60A30D43-5ADC-4D8F-8677-E1FDD83D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F449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Nadpis2">
    <w:name w:val="heading 2"/>
    <w:basedOn w:val="Normln"/>
    <w:next w:val="Normln"/>
    <w:link w:val="Nadpis2Char"/>
    <w:uiPriority w:val="9"/>
    <w:unhideWhenUsed/>
    <w:qFormat/>
    <w:rsid w:val="00DB054A"/>
    <w:pPr>
      <w:keepNext/>
      <w:keepLines/>
      <w:spacing w:before="240" w:line="360" w:lineRule="auto"/>
      <w:outlineLvl w:val="1"/>
    </w:pPr>
    <w:rPr>
      <w:rFonts w:asciiTheme="majorHAnsi" w:hAnsiTheme="majorHAnsi" w:cs="Times New Roman"/>
      <w:b/>
      <w:color w:val="4F81BD" w:themeColor="accent1"/>
      <w:sz w:val="26"/>
      <w:szCs w:val="26"/>
      <w:shd w:val="clear" w:color="auto" w:fill="FFFFFF"/>
    </w:rPr>
  </w:style>
  <w:style w:type="paragraph" w:styleId="Nadpis3">
    <w:name w:val="heading 3"/>
    <w:basedOn w:val="Normln"/>
    <w:next w:val="Normln"/>
    <w:link w:val="Nadpis3Char"/>
    <w:uiPriority w:val="9"/>
    <w:unhideWhenUsed/>
    <w:qFormat/>
    <w:rsid w:val="00837D76"/>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F65BF8"/>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CE348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F4493"/>
    <w:pPr>
      <w:ind w:left="720"/>
      <w:contextualSpacing/>
    </w:pPr>
  </w:style>
  <w:style w:type="character" w:customStyle="1" w:styleId="Nadpis1Char">
    <w:name w:val="Nadpis 1 Char"/>
    <w:basedOn w:val="Standardnpsmoodstavce"/>
    <w:link w:val="Nadpis1"/>
    <w:uiPriority w:val="9"/>
    <w:rsid w:val="000F4493"/>
    <w:rPr>
      <w:rFonts w:asciiTheme="majorHAnsi" w:eastAsiaTheme="majorEastAsia" w:hAnsiTheme="majorHAnsi" w:cstheme="majorBidi"/>
      <w:b/>
      <w:bCs/>
      <w:color w:val="345A8A" w:themeColor="accent1" w:themeShade="B5"/>
      <w:sz w:val="32"/>
      <w:szCs w:val="32"/>
    </w:rPr>
  </w:style>
  <w:style w:type="paragraph" w:styleId="Zpat">
    <w:name w:val="footer"/>
    <w:basedOn w:val="Normln"/>
    <w:link w:val="ZpatChar"/>
    <w:uiPriority w:val="99"/>
    <w:unhideWhenUsed/>
    <w:rsid w:val="00AE17A5"/>
    <w:pPr>
      <w:tabs>
        <w:tab w:val="center" w:pos="4153"/>
        <w:tab w:val="right" w:pos="8306"/>
      </w:tabs>
    </w:pPr>
  </w:style>
  <w:style w:type="character" w:customStyle="1" w:styleId="ZpatChar">
    <w:name w:val="Zápatí Char"/>
    <w:basedOn w:val="Standardnpsmoodstavce"/>
    <w:link w:val="Zpat"/>
    <w:uiPriority w:val="99"/>
    <w:rsid w:val="00AE17A5"/>
  </w:style>
  <w:style w:type="character" w:styleId="slostrnky">
    <w:name w:val="page number"/>
    <w:basedOn w:val="Standardnpsmoodstavce"/>
    <w:uiPriority w:val="99"/>
    <w:semiHidden/>
    <w:unhideWhenUsed/>
    <w:rsid w:val="00AE17A5"/>
  </w:style>
  <w:style w:type="character" w:customStyle="1" w:styleId="Nadpis2Char">
    <w:name w:val="Nadpis 2 Char"/>
    <w:basedOn w:val="Standardnpsmoodstavce"/>
    <w:link w:val="Nadpis2"/>
    <w:uiPriority w:val="9"/>
    <w:rsid w:val="00DB054A"/>
    <w:rPr>
      <w:rFonts w:asciiTheme="majorHAnsi" w:hAnsiTheme="majorHAnsi" w:cs="Times New Roman"/>
      <w:b/>
      <w:color w:val="4F81BD" w:themeColor="accent1"/>
      <w:sz w:val="26"/>
      <w:szCs w:val="26"/>
    </w:rPr>
  </w:style>
  <w:style w:type="character" w:customStyle="1" w:styleId="Nadpis3Char">
    <w:name w:val="Nadpis 3 Char"/>
    <w:basedOn w:val="Standardnpsmoodstavce"/>
    <w:link w:val="Nadpis3"/>
    <w:uiPriority w:val="9"/>
    <w:rsid w:val="00837D76"/>
    <w:rPr>
      <w:rFonts w:asciiTheme="majorHAnsi" w:eastAsiaTheme="majorEastAsia" w:hAnsiTheme="majorHAnsi" w:cstheme="majorBidi"/>
      <w:b/>
      <w:bCs/>
      <w:color w:val="4F81BD" w:themeColor="accent1"/>
    </w:rPr>
  </w:style>
  <w:style w:type="character" w:customStyle="1" w:styleId="apple-converted-space">
    <w:name w:val="apple-converted-space"/>
    <w:basedOn w:val="Standardnpsmoodstavce"/>
    <w:rsid w:val="009C7197"/>
  </w:style>
  <w:style w:type="character" w:styleId="Hypertextovodkaz">
    <w:name w:val="Hyperlink"/>
    <w:basedOn w:val="Standardnpsmoodstavce"/>
    <w:uiPriority w:val="99"/>
    <w:unhideWhenUsed/>
    <w:rsid w:val="009C7197"/>
    <w:rPr>
      <w:color w:val="0000FF"/>
      <w:u w:val="single"/>
    </w:rPr>
  </w:style>
  <w:style w:type="paragraph" w:styleId="Normlnweb">
    <w:name w:val="Normal (Web)"/>
    <w:basedOn w:val="Normln"/>
    <w:uiPriority w:val="99"/>
    <w:unhideWhenUsed/>
    <w:rsid w:val="00795DE3"/>
    <w:pPr>
      <w:spacing w:before="100" w:beforeAutospacing="1" w:after="100" w:afterAutospacing="1"/>
    </w:pPr>
    <w:rPr>
      <w:rFonts w:ascii="Times" w:hAnsi="Times" w:cs="Times New Roman"/>
      <w:sz w:val="20"/>
      <w:szCs w:val="20"/>
    </w:rPr>
  </w:style>
  <w:style w:type="character" w:styleId="Siln">
    <w:name w:val="Strong"/>
    <w:basedOn w:val="Standardnpsmoodstavce"/>
    <w:uiPriority w:val="22"/>
    <w:qFormat/>
    <w:rsid w:val="00795DE3"/>
    <w:rPr>
      <w:b/>
      <w:bCs/>
    </w:rPr>
  </w:style>
  <w:style w:type="character" w:customStyle="1" w:styleId="Nadpis4Char">
    <w:name w:val="Nadpis 4 Char"/>
    <w:basedOn w:val="Standardnpsmoodstavce"/>
    <w:link w:val="Nadpis4"/>
    <w:uiPriority w:val="9"/>
    <w:rsid w:val="00F65BF8"/>
    <w:rPr>
      <w:rFonts w:asciiTheme="majorHAnsi" w:eastAsiaTheme="majorEastAsia" w:hAnsiTheme="majorHAnsi" w:cstheme="majorBidi"/>
      <w:b/>
      <w:bCs/>
      <w:i/>
      <w:iCs/>
      <w:color w:val="4F81BD" w:themeColor="accent1"/>
    </w:rPr>
  </w:style>
  <w:style w:type="paragraph" w:styleId="Textpoznpodarou">
    <w:name w:val="footnote text"/>
    <w:basedOn w:val="Normln"/>
    <w:link w:val="TextpoznpodarouChar"/>
    <w:uiPriority w:val="99"/>
    <w:unhideWhenUsed/>
    <w:rsid w:val="008B1E27"/>
  </w:style>
  <w:style w:type="character" w:customStyle="1" w:styleId="TextpoznpodarouChar">
    <w:name w:val="Text pozn. pod čarou Char"/>
    <w:basedOn w:val="Standardnpsmoodstavce"/>
    <w:link w:val="Textpoznpodarou"/>
    <w:uiPriority w:val="99"/>
    <w:rsid w:val="008B1E27"/>
  </w:style>
  <w:style w:type="character" w:styleId="Znakapoznpodarou">
    <w:name w:val="footnote reference"/>
    <w:basedOn w:val="Standardnpsmoodstavce"/>
    <w:uiPriority w:val="99"/>
    <w:unhideWhenUsed/>
    <w:rsid w:val="008B1E27"/>
    <w:rPr>
      <w:vertAlign w:val="superscript"/>
    </w:rPr>
  </w:style>
  <w:style w:type="paragraph" w:styleId="Textbubliny">
    <w:name w:val="Balloon Text"/>
    <w:basedOn w:val="Normln"/>
    <w:link w:val="TextbublinyChar"/>
    <w:uiPriority w:val="99"/>
    <w:semiHidden/>
    <w:unhideWhenUsed/>
    <w:rsid w:val="00557C18"/>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557C18"/>
    <w:rPr>
      <w:rFonts w:ascii="Lucida Grande CE" w:hAnsi="Lucida Grande CE" w:cs="Lucida Grande CE"/>
      <w:sz w:val="18"/>
      <w:szCs w:val="18"/>
    </w:rPr>
  </w:style>
  <w:style w:type="character" w:customStyle="1" w:styleId="Nadpis5Char">
    <w:name w:val="Nadpis 5 Char"/>
    <w:basedOn w:val="Standardnpsmoodstavce"/>
    <w:link w:val="Nadpis5"/>
    <w:uiPriority w:val="9"/>
    <w:rsid w:val="00CE3485"/>
    <w:rPr>
      <w:rFonts w:asciiTheme="majorHAnsi" w:eastAsiaTheme="majorEastAsia" w:hAnsiTheme="majorHAnsi" w:cstheme="majorBidi"/>
      <w:color w:val="243F60" w:themeColor="accent1" w:themeShade="7F"/>
    </w:rPr>
  </w:style>
  <w:style w:type="table" w:styleId="Mkatabulky">
    <w:name w:val="Table Grid"/>
    <w:basedOn w:val="Normlntabulka"/>
    <w:uiPriority w:val="59"/>
    <w:rsid w:val="007F3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1">
    <w:name w:val="Light Grid Accent 1"/>
    <w:basedOn w:val="Normlntabulka"/>
    <w:uiPriority w:val="62"/>
    <w:rsid w:val="00E405E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423148"/>
    <w:pPr>
      <w:widowControl w:val="0"/>
      <w:autoSpaceDE w:val="0"/>
      <w:autoSpaceDN w:val="0"/>
      <w:adjustRightInd w:val="0"/>
    </w:pPr>
    <w:rPr>
      <w:rFonts w:ascii="Times New Roman" w:hAnsi="Times New Roman" w:cs="Times New Roman"/>
      <w:color w:val="000000"/>
      <w:lang w:val="en-US"/>
    </w:rPr>
  </w:style>
  <w:style w:type="paragraph" w:styleId="Bezmezer">
    <w:name w:val="No Spacing"/>
    <w:uiPriority w:val="1"/>
    <w:qFormat/>
    <w:rsid w:val="00D17E4F"/>
  </w:style>
  <w:style w:type="paragraph" w:customStyle="1" w:styleId="l4">
    <w:name w:val="l4"/>
    <w:basedOn w:val="Normln"/>
    <w:rsid w:val="002D59AA"/>
    <w:pPr>
      <w:spacing w:before="100" w:beforeAutospacing="1" w:after="100" w:afterAutospacing="1"/>
    </w:pPr>
    <w:rPr>
      <w:rFonts w:ascii="Times" w:hAnsi="Times"/>
      <w:sz w:val="20"/>
      <w:szCs w:val="20"/>
    </w:rPr>
  </w:style>
  <w:style w:type="paragraph" w:customStyle="1" w:styleId="l5">
    <w:name w:val="l5"/>
    <w:basedOn w:val="Normln"/>
    <w:rsid w:val="002D59AA"/>
    <w:pPr>
      <w:spacing w:before="100" w:beforeAutospacing="1" w:after="100" w:afterAutospacing="1"/>
    </w:pPr>
    <w:rPr>
      <w:rFonts w:ascii="Times" w:hAnsi="Times"/>
      <w:sz w:val="20"/>
      <w:szCs w:val="20"/>
    </w:rPr>
  </w:style>
  <w:style w:type="character" w:styleId="PromnnHTML">
    <w:name w:val="HTML Variable"/>
    <w:basedOn w:val="Standardnpsmoodstavce"/>
    <w:uiPriority w:val="99"/>
    <w:semiHidden/>
    <w:unhideWhenUsed/>
    <w:rsid w:val="002D59AA"/>
    <w:rPr>
      <w:i/>
      <w:iCs/>
    </w:rPr>
  </w:style>
  <w:style w:type="character" w:styleId="Sledovanodkaz">
    <w:name w:val="FollowedHyperlink"/>
    <w:basedOn w:val="Standardnpsmoodstavce"/>
    <w:uiPriority w:val="99"/>
    <w:semiHidden/>
    <w:unhideWhenUsed/>
    <w:rsid w:val="00F15710"/>
    <w:rPr>
      <w:color w:val="800080" w:themeColor="followedHyperlink"/>
      <w:u w:val="single"/>
    </w:rPr>
  </w:style>
  <w:style w:type="table" w:styleId="Stednseznam1zvraznn1">
    <w:name w:val="Medium List 1 Accent 1"/>
    <w:basedOn w:val="Normlntabulka"/>
    <w:uiPriority w:val="65"/>
    <w:rsid w:val="0045356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mka1zvraznn1">
    <w:name w:val="Medium Grid 1 Accent 1"/>
    <w:basedOn w:val="Normlntabulka"/>
    <w:uiPriority w:val="67"/>
    <w:rsid w:val="0045356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vtlseznamzvraznn4">
    <w:name w:val="Light List Accent 4"/>
    <w:basedOn w:val="Normlntabulka"/>
    <w:uiPriority w:val="61"/>
    <w:rsid w:val="002C0FA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1">
    <w:name w:val="Light List Accent 1"/>
    <w:basedOn w:val="Normlntabulka"/>
    <w:uiPriority w:val="61"/>
    <w:rsid w:val="002C0F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hlav">
    <w:name w:val="header"/>
    <w:basedOn w:val="Normln"/>
    <w:link w:val="ZhlavChar"/>
    <w:uiPriority w:val="99"/>
    <w:unhideWhenUsed/>
    <w:rsid w:val="00120EBF"/>
    <w:pPr>
      <w:tabs>
        <w:tab w:val="center" w:pos="4153"/>
        <w:tab w:val="right" w:pos="8306"/>
      </w:tabs>
    </w:pPr>
  </w:style>
  <w:style w:type="character" w:customStyle="1" w:styleId="ZhlavChar">
    <w:name w:val="Záhlaví Char"/>
    <w:basedOn w:val="Standardnpsmoodstavce"/>
    <w:link w:val="Zhlav"/>
    <w:uiPriority w:val="99"/>
    <w:rsid w:val="00120EBF"/>
  </w:style>
  <w:style w:type="paragraph" w:customStyle="1" w:styleId="bodytext">
    <w:name w:val="bodytext"/>
    <w:basedOn w:val="Normln"/>
    <w:rsid w:val="001C7D1C"/>
    <w:pPr>
      <w:spacing w:before="100" w:beforeAutospacing="1" w:after="100" w:afterAutospacing="1"/>
    </w:pPr>
    <w:rPr>
      <w:rFonts w:ascii="Times" w:hAnsi="Times"/>
      <w:sz w:val="20"/>
      <w:szCs w:val="20"/>
    </w:rPr>
  </w:style>
  <w:style w:type="paragraph" w:styleId="Nadpisobsahu">
    <w:name w:val="TOC Heading"/>
    <w:basedOn w:val="Nadpis1"/>
    <w:next w:val="Normln"/>
    <w:uiPriority w:val="39"/>
    <w:unhideWhenUsed/>
    <w:qFormat/>
    <w:rsid w:val="00EB6CD6"/>
    <w:pPr>
      <w:spacing w:line="276" w:lineRule="auto"/>
      <w:outlineLvl w:val="9"/>
    </w:pPr>
    <w:rPr>
      <w:color w:val="365F91" w:themeColor="accent1" w:themeShade="BF"/>
      <w:sz w:val="28"/>
      <w:szCs w:val="28"/>
      <w:lang w:val="en-US"/>
    </w:rPr>
  </w:style>
  <w:style w:type="paragraph" w:styleId="Obsah1">
    <w:name w:val="toc 1"/>
    <w:basedOn w:val="Normln"/>
    <w:next w:val="Normln"/>
    <w:autoRedefine/>
    <w:uiPriority w:val="39"/>
    <w:unhideWhenUsed/>
    <w:rsid w:val="00EB6CD6"/>
    <w:pPr>
      <w:spacing w:before="120"/>
    </w:pPr>
    <w:rPr>
      <w:b/>
      <w:caps/>
      <w:sz w:val="22"/>
      <w:szCs w:val="22"/>
    </w:rPr>
  </w:style>
  <w:style w:type="paragraph" w:styleId="Obsah2">
    <w:name w:val="toc 2"/>
    <w:basedOn w:val="Normln"/>
    <w:next w:val="Normln"/>
    <w:autoRedefine/>
    <w:uiPriority w:val="39"/>
    <w:unhideWhenUsed/>
    <w:rsid w:val="00EB6CD6"/>
    <w:pPr>
      <w:ind w:left="240"/>
    </w:pPr>
    <w:rPr>
      <w:smallCaps/>
      <w:sz w:val="22"/>
      <w:szCs w:val="22"/>
    </w:rPr>
  </w:style>
  <w:style w:type="paragraph" w:styleId="Obsah3">
    <w:name w:val="toc 3"/>
    <w:basedOn w:val="Normln"/>
    <w:next w:val="Normln"/>
    <w:autoRedefine/>
    <w:uiPriority w:val="39"/>
    <w:unhideWhenUsed/>
    <w:rsid w:val="00EB6CD6"/>
    <w:pPr>
      <w:ind w:left="480"/>
    </w:pPr>
    <w:rPr>
      <w:i/>
      <w:sz w:val="22"/>
      <w:szCs w:val="22"/>
    </w:rPr>
  </w:style>
  <w:style w:type="paragraph" w:styleId="Obsah4">
    <w:name w:val="toc 4"/>
    <w:basedOn w:val="Normln"/>
    <w:next w:val="Normln"/>
    <w:autoRedefine/>
    <w:uiPriority w:val="39"/>
    <w:semiHidden/>
    <w:unhideWhenUsed/>
    <w:rsid w:val="00EB6CD6"/>
    <w:pPr>
      <w:ind w:left="720"/>
    </w:pPr>
    <w:rPr>
      <w:sz w:val="18"/>
      <w:szCs w:val="18"/>
    </w:rPr>
  </w:style>
  <w:style w:type="paragraph" w:styleId="Obsah5">
    <w:name w:val="toc 5"/>
    <w:basedOn w:val="Normln"/>
    <w:next w:val="Normln"/>
    <w:autoRedefine/>
    <w:uiPriority w:val="39"/>
    <w:semiHidden/>
    <w:unhideWhenUsed/>
    <w:rsid w:val="00EB6CD6"/>
    <w:pPr>
      <w:ind w:left="960"/>
    </w:pPr>
    <w:rPr>
      <w:sz w:val="18"/>
      <w:szCs w:val="18"/>
    </w:rPr>
  </w:style>
  <w:style w:type="paragraph" w:styleId="Obsah6">
    <w:name w:val="toc 6"/>
    <w:basedOn w:val="Normln"/>
    <w:next w:val="Normln"/>
    <w:autoRedefine/>
    <w:uiPriority w:val="39"/>
    <w:semiHidden/>
    <w:unhideWhenUsed/>
    <w:rsid w:val="00EB6CD6"/>
    <w:pPr>
      <w:ind w:left="1200"/>
    </w:pPr>
    <w:rPr>
      <w:sz w:val="18"/>
      <w:szCs w:val="18"/>
    </w:rPr>
  </w:style>
  <w:style w:type="paragraph" w:styleId="Obsah7">
    <w:name w:val="toc 7"/>
    <w:basedOn w:val="Normln"/>
    <w:next w:val="Normln"/>
    <w:autoRedefine/>
    <w:uiPriority w:val="39"/>
    <w:semiHidden/>
    <w:unhideWhenUsed/>
    <w:rsid w:val="00EB6CD6"/>
    <w:pPr>
      <w:ind w:left="1440"/>
    </w:pPr>
    <w:rPr>
      <w:sz w:val="18"/>
      <w:szCs w:val="18"/>
    </w:rPr>
  </w:style>
  <w:style w:type="paragraph" w:styleId="Obsah8">
    <w:name w:val="toc 8"/>
    <w:basedOn w:val="Normln"/>
    <w:next w:val="Normln"/>
    <w:autoRedefine/>
    <w:uiPriority w:val="39"/>
    <w:semiHidden/>
    <w:unhideWhenUsed/>
    <w:rsid w:val="00EB6CD6"/>
    <w:pPr>
      <w:ind w:left="1680"/>
    </w:pPr>
    <w:rPr>
      <w:sz w:val="18"/>
      <w:szCs w:val="18"/>
    </w:rPr>
  </w:style>
  <w:style w:type="paragraph" w:styleId="Obsah9">
    <w:name w:val="toc 9"/>
    <w:basedOn w:val="Normln"/>
    <w:next w:val="Normln"/>
    <w:autoRedefine/>
    <w:uiPriority w:val="39"/>
    <w:semiHidden/>
    <w:unhideWhenUsed/>
    <w:rsid w:val="00EB6CD6"/>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5522">
      <w:bodyDiv w:val="1"/>
      <w:marLeft w:val="0"/>
      <w:marRight w:val="0"/>
      <w:marTop w:val="0"/>
      <w:marBottom w:val="0"/>
      <w:divBdr>
        <w:top w:val="none" w:sz="0" w:space="0" w:color="auto"/>
        <w:left w:val="none" w:sz="0" w:space="0" w:color="auto"/>
        <w:bottom w:val="none" w:sz="0" w:space="0" w:color="auto"/>
        <w:right w:val="none" w:sz="0" w:space="0" w:color="auto"/>
      </w:divBdr>
      <w:divsChild>
        <w:div w:id="1197542706">
          <w:marLeft w:val="405"/>
          <w:marRight w:val="0"/>
          <w:marTop w:val="0"/>
          <w:marBottom w:val="0"/>
          <w:divBdr>
            <w:top w:val="none" w:sz="0" w:space="0" w:color="auto"/>
            <w:left w:val="none" w:sz="0" w:space="0" w:color="auto"/>
            <w:bottom w:val="none" w:sz="0" w:space="0" w:color="auto"/>
            <w:right w:val="none" w:sz="0" w:space="0" w:color="auto"/>
          </w:divBdr>
        </w:div>
        <w:div w:id="822892123">
          <w:marLeft w:val="405"/>
          <w:marRight w:val="0"/>
          <w:marTop w:val="0"/>
          <w:marBottom w:val="0"/>
          <w:divBdr>
            <w:top w:val="none" w:sz="0" w:space="0" w:color="auto"/>
            <w:left w:val="none" w:sz="0" w:space="0" w:color="auto"/>
            <w:bottom w:val="none" w:sz="0" w:space="0" w:color="auto"/>
            <w:right w:val="none" w:sz="0" w:space="0" w:color="auto"/>
          </w:divBdr>
        </w:div>
      </w:divsChild>
    </w:div>
    <w:div w:id="27726035">
      <w:bodyDiv w:val="1"/>
      <w:marLeft w:val="0"/>
      <w:marRight w:val="0"/>
      <w:marTop w:val="0"/>
      <w:marBottom w:val="0"/>
      <w:divBdr>
        <w:top w:val="none" w:sz="0" w:space="0" w:color="auto"/>
        <w:left w:val="none" w:sz="0" w:space="0" w:color="auto"/>
        <w:bottom w:val="none" w:sz="0" w:space="0" w:color="auto"/>
        <w:right w:val="none" w:sz="0" w:space="0" w:color="auto"/>
      </w:divBdr>
    </w:div>
    <w:div w:id="51925184">
      <w:bodyDiv w:val="1"/>
      <w:marLeft w:val="0"/>
      <w:marRight w:val="0"/>
      <w:marTop w:val="0"/>
      <w:marBottom w:val="0"/>
      <w:divBdr>
        <w:top w:val="none" w:sz="0" w:space="0" w:color="auto"/>
        <w:left w:val="none" w:sz="0" w:space="0" w:color="auto"/>
        <w:bottom w:val="none" w:sz="0" w:space="0" w:color="auto"/>
        <w:right w:val="none" w:sz="0" w:space="0" w:color="auto"/>
      </w:divBdr>
    </w:div>
    <w:div w:id="89551849">
      <w:bodyDiv w:val="1"/>
      <w:marLeft w:val="0"/>
      <w:marRight w:val="0"/>
      <w:marTop w:val="0"/>
      <w:marBottom w:val="0"/>
      <w:divBdr>
        <w:top w:val="none" w:sz="0" w:space="0" w:color="auto"/>
        <w:left w:val="none" w:sz="0" w:space="0" w:color="auto"/>
        <w:bottom w:val="none" w:sz="0" w:space="0" w:color="auto"/>
        <w:right w:val="none" w:sz="0" w:space="0" w:color="auto"/>
      </w:divBdr>
    </w:div>
    <w:div w:id="103962669">
      <w:bodyDiv w:val="1"/>
      <w:marLeft w:val="0"/>
      <w:marRight w:val="0"/>
      <w:marTop w:val="0"/>
      <w:marBottom w:val="0"/>
      <w:divBdr>
        <w:top w:val="none" w:sz="0" w:space="0" w:color="auto"/>
        <w:left w:val="none" w:sz="0" w:space="0" w:color="auto"/>
        <w:bottom w:val="none" w:sz="0" w:space="0" w:color="auto"/>
        <w:right w:val="none" w:sz="0" w:space="0" w:color="auto"/>
      </w:divBdr>
    </w:div>
    <w:div w:id="235894021">
      <w:bodyDiv w:val="1"/>
      <w:marLeft w:val="0"/>
      <w:marRight w:val="0"/>
      <w:marTop w:val="0"/>
      <w:marBottom w:val="0"/>
      <w:divBdr>
        <w:top w:val="none" w:sz="0" w:space="0" w:color="auto"/>
        <w:left w:val="none" w:sz="0" w:space="0" w:color="auto"/>
        <w:bottom w:val="none" w:sz="0" w:space="0" w:color="auto"/>
        <w:right w:val="none" w:sz="0" w:space="0" w:color="auto"/>
      </w:divBdr>
      <w:divsChild>
        <w:div w:id="1203514855">
          <w:marLeft w:val="0"/>
          <w:marRight w:val="0"/>
          <w:marTop w:val="0"/>
          <w:marBottom w:val="0"/>
          <w:divBdr>
            <w:top w:val="none" w:sz="0" w:space="0" w:color="auto"/>
            <w:left w:val="none" w:sz="0" w:space="0" w:color="auto"/>
            <w:bottom w:val="none" w:sz="0" w:space="0" w:color="auto"/>
            <w:right w:val="none" w:sz="0" w:space="0" w:color="auto"/>
          </w:divBdr>
          <w:divsChild>
            <w:div w:id="112554224">
              <w:marLeft w:val="0"/>
              <w:marRight w:val="0"/>
              <w:marTop w:val="0"/>
              <w:marBottom w:val="0"/>
              <w:divBdr>
                <w:top w:val="none" w:sz="0" w:space="0" w:color="auto"/>
                <w:left w:val="none" w:sz="0" w:space="0" w:color="auto"/>
                <w:bottom w:val="none" w:sz="0" w:space="0" w:color="auto"/>
                <w:right w:val="none" w:sz="0" w:space="0" w:color="auto"/>
              </w:divBdr>
              <w:divsChild>
                <w:div w:id="11935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4900">
      <w:bodyDiv w:val="1"/>
      <w:marLeft w:val="0"/>
      <w:marRight w:val="0"/>
      <w:marTop w:val="0"/>
      <w:marBottom w:val="0"/>
      <w:divBdr>
        <w:top w:val="none" w:sz="0" w:space="0" w:color="auto"/>
        <w:left w:val="none" w:sz="0" w:space="0" w:color="auto"/>
        <w:bottom w:val="none" w:sz="0" w:space="0" w:color="auto"/>
        <w:right w:val="none" w:sz="0" w:space="0" w:color="auto"/>
      </w:divBdr>
    </w:div>
    <w:div w:id="276258542">
      <w:bodyDiv w:val="1"/>
      <w:marLeft w:val="0"/>
      <w:marRight w:val="0"/>
      <w:marTop w:val="0"/>
      <w:marBottom w:val="0"/>
      <w:divBdr>
        <w:top w:val="none" w:sz="0" w:space="0" w:color="auto"/>
        <w:left w:val="none" w:sz="0" w:space="0" w:color="auto"/>
        <w:bottom w:val="none" w:sz="0" w:space="0" w:color="auto"/>
        <w:right w:val="none" w:sz="0" w:space="0" w:color="auto"/>
      </w:divBdr>
    </w:div>
    <w:div w:id="343283052">
      <w:bodyDiv w:val="1"/>
      <w:marLeft w:val="0"/>
      <w:marRight w:val="0"/>
      <w:marTop w:val="0"/>
      <w:marBottom w:val="0"/>
      <w:divBdr>
        <w:top w:val="none" w:sz="0" w:space="0" w:color="auto"/>
        <w:left w:val="none" w:sz="0" w:space="0" w:color="auto"/>
        <w:bottom w:val="none" w:sz="0" w:space="0" w:color="auto"/>
        <w:right w:val="none" w:sz="0" w:space="0" w:color="auto"/>
      </w:divBdr>
    </w:div>
    <w:div w:id="377321015">
      <w:bodyDiv w:val="1"/>
      <w:marLeft w:val="0"/>
      <w:marRight w:val="0"/>
      <w:marTop w:val="0"/>
      <w:marBottom w:val="0"/>
      <w:divBdr>
        <w:top w:val="none" w:sz="0" w:space="0" w:color="auto"/>
        <w:left w:val="none" w:sz="0" w:space="0" w:color="auto"/>
        <w:bottom w:val="none" w:sz="0" w:space="0" w:color="auto"/>
        <w:right w:val="none" w:sz="0" w:space="0" w:color="auto"/>
      </w:divBdr>
      <w:divsChild>
        <w:div w:id="1542087470">
          <w:marLeft w:val="864"/>
          <w:marRight w:val="0"/>
          <w:marTop w:val="50"/>
          <w:marBottom w:val="0"/>
          <w:divBdr>
            <w:top w:val="none" w:sz="0" w:space="0" w:color="auto"/>
            <w:left w:val="none" w:sz="0" w:space="0" w:color="auto"/>
            <w:bottom w:val="none" w:sz="0" w:space="0" w:color="auto"/>
            <w:right w:val="none" w:sz="0" w:space="0" w:color="auto"/>
          </w:divBdr>
        </w:div>
        <w:div w:id="167795399">
          <w:marLeft w:val="864"/>
          <w:marRight w:val="0"/>
          <w:marTop w:val="50"/>
          <w:marBottom w:val="0"/>
          <w:divBdr>
            <w:top w:val="none" w:sz="0" w:space="0" w:color="auto"/>
            <w:left w:val="none" w:sz="0" w:space="0" w:color="auto"/>
            <w:bottom w:val="none" w:sz="0" w:space="0" w:color="auto"/>
            <w:right w:val="none" w:sz="0" w:space="0" w:color="auto"/>
          </w:divBdr>
        </w:div>
        <w:div w:id="2047286960">
          <w:marLeft w:val="864"/>
          <w:marRight w:val="0"/>
          <w:marTop w:val="50"/>
          <w:marBottom w:val="0"/>
          <w:divBdr>
            <w:top w:val="none" w:sz="0" w:space="0" w:color="auto"/>
            <w:left w:val="none" w:sz="0" w:space="0" w:color="auto"/>
            <w:bottom w:val="none" w:sz="0" w:space="0" w:color="auto"/>
            <w:right w:val="none" w:sz="0" w:space="0" w:color="auto"/>
          </w:divBdr>
        </w:div>
        <w:div w:id="309021268">
          <w:marLeft w:val="864"/>
          <w:marRight w:val="0"/>
          <w:marTop w:val="50"/>
          <w:marBottom w:val="0"/>
          <w:divBdr>
            <w:top w:val="none" w:sz="0" w:space="0" w:color="auto"/>
            <w:left w:val="none" w:sz="0" w:space="0" w:color="auto"/>
            <w:bottom w:val="none" w:sz="0" w:space="0" w:color="auto"/>
            <w:right w:val="none" w:sz="0" w:space="0" w:color="auto"/>
          </w:divBdr>
        </w:div>
        <w:div w:id="1797066397">
          <w:marLeft w:val="864"/>
          <w:marRight w:val="0"/>
          <w:marTop w:val="50"/>
          <w:marBottom w:val="0"/>
          <w:divBdr>
            <w:top w:val="none" w:sz="0" w:space="0" w:color="auto"/>
            <w:left w:val="none" w:sz="0" w:space="0" w:color="auto"/>
            <w:bottom w:val="none" w:sz="0" w:space="0" w:color="auto"/>
            <w:right w:val="none" w:sz="0" w:space="0" w:color="auto"/>
          </w:divBdr>
        </w:div>
      </w:divsChild>
    </w:div>
    <w:div w:id="405341861">
      <w:bodyDiv w:val="1"/>
      <w:marLeft w:val="0"/>
      <w:marRight w:val="0"/>
      <w:marTop w:val="0"/>
      <w:marBottom w:val="0"/>
      <w:divBdr>
        <w:top w:val="none" w:sz="0" w:space="0" w:color="auto"/>
        <w:left w:val="none" w:sz="0" w:space="0" w:color="auto"/>
        <w:bottom w:val="none" w:sz="0" w:space="0" w:color="auto"/>
        <w:right w:val="none" w:sz="0" w:space="0" w:color="auto"/>
      </w:divBdr>
      <w:divsChild>
        <w:div w:id="191766784">
          <w:marLeft w:val="180"/>
          <w:marRight w:val="0"/>
          <w:marTop w:val="0"/>
          <w:marBottom w:val="0"/>
          <w:divBdr>
            <w:top w:val="none" w:sz="0" w:space="0" w:color="auto"/>
            <w:left w:val="none" w:sz="0" w:space="0" w:color="auto"/>
            <w:bottom w:val="none" w:sz="0" w:space="0" w:color="auto"/>
            <w:right w:val="none" w:sz="0" w:space="0" w:color="auto"/>
          </w:divBdr>
          <w:divsChild>
            <w:div w:id="2082828678">
              <w:marLeft w:val="405"/>
              <w:marRight w:val="0"/>
              <w:marTop w:val="0"/>
              <w:marBottom w:val="0"/>
              <w:divBdr>
                <w:top w:val="none" w:sz="0" w:space="0" w:color="auto"/>
                <w:left w:val="none" w:sz="0" w:space="0" w:color="auto"/>
                <w:bottom w:val="none" w:sz="0" w:space="0" w:color="auto"/>
                <w:right w:val="none" w:sz="0" w:space="0" w:color="auto"/>
              </w:divBdr>
            </w:div>
            <w:div w:id="1571650286">
              <w:marLeft w:val="405"/>
              <w:marRight w:val="0"/>
              <w:marTop w:val="0"/>
              <w:marBottom w:val="0"/>
              <w:divBdr>
                <w:top w:val="none" w:sz="0" w:space="0" w:color="auto"/>
                <w:left w:val="none" w:sz="0" w:space="0" w:color="auto"/>
                <w:bottom w:val="none" w:sz="0" w:space="0" w:color="auto"/>
                <w:right w:val="none" w:sz="0" w:space="0" w:color="auto"/>
              </w:divBdr>
            </w:div>
            <w:div w:id="508758041">
              <w:marLeft w:val="405"/>
              <w:marRight w:val="0"/>
              <w:marTop w:val="0"/>
              <w:marBottom w:val="0"/>
              <w:divBdr>
                <w:top w:val="none" w:sz="0" w:space="0" w:color="auto"/>
                <w:left w:val="none" w:sz="0" w:space="0" w:color="auto"/>
                <w:bottom w:val="none" w:sz="0" w:space="0" w:color="auto"/>
                <w:right w:val="none" w:sz="0" w:space="0" w:color="auto"/>
              </w:divBdr>
            </w:div>
            <w:div w:id="512690207">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 w:id="484512188">
      <w:bodyDiv w:val="1"/>
      <w:marLeft w:val="0"/>
      <w:marRight w:val="0"/>
      <w:marTop w:val="0"/>
      <w:marBottom w:val="0"/>
      <w:divBdr>
        <w:top w:val="none" w:sz="0" w:space="0" w:color="auto"/>
        <w:left w:val="none" w:sz="0" w:space="0" w:color="auto"/>
        <w:bottom w:val="none" w:sz="0" w:space="0" w:color="auto"/>
        <w:right w:val="none" w:sz="0" w:space="0" w:color="auto"/>
      </w:divBdr>
    </w:div>
    <w:div w:id="485323502">
      <w:bodyDiv w:val="1"/>
      <w:marLeft w:val="0"/>
      <w:marRight w:val="0"/>
      <w:marTop w:val="0"/>
      <w:marBottom w:val="0"/>
      <w:divBdr>
        <w:top w:val="none" w:sz="0" w:space="0" w:color="auto"/>
        <w:left w:val="none" w:sz="0" w:space="0" w:color="auto"/>
        <w:bottom w:val="none" w:sz="0" w:space="0" w:color="auto"/>
        <w:right w:val="none" w:sz="0" w:space="0" w:color="auto"/>
      </w:divBdr>
    </w:div>
    <w:div w:id="523448112">
      <w:bodyDiv w:val="1"/>
      <w:marLeft w:val="0"/>
      <w:marRight w:val="0"/>
      <w:marTop w:val="0"/>
      <w:marBottom w:val="0"/>
      <w:divBdr>
        <w:top w:val="none" w:sz="0" w:space="0" w:color="auto"/>
        <w:left w:val="none" w:sz="0" w:space="0" w:color="auto"/>
        <w:bottom w:val="none" w:sz="0" w:space="0" w:color="auto"/>
        <w:right w:val="none" w:sz="0" w:space="0" w:color="auto"/>
      </w:divBdr>
    </w:div>
    <w:div w:id="705716598">
      <w:bodyDiv w:val="1"/>
      <w:marLeft w:val="0"/>
      <w:marRight w:val="0"/>
      <w:marTop w:val="0"/>
      <w:marBottom w:val="0"/>
      <w:divBdr>
        <w:top w:val="none" w:sz="0" w:space="0" w:color="auto"/>
        <w:left w:val="none" w:sz="0" w:space="0" w:color="auto"/>
        <w:bottom w:val="none" w:sz="0" w:space="0" w:color="auto"/>
        <w:right w:val="none" w:sz="0" w:space="0" w:color="auto"/>
      </w:divBdr>
      <w:divsChild>
        <w:div w:id="1791243095">
          <w:marLeft w:val="418"/>
          <w:marRight w:val="0"/>
          <w:marTop w:val="50"/>
          <w:marBottom w:val="0"/>
          <w:divBdr>
            <w:top w:val="none" w:sz="0" w:space="0" w:color="auto"/>
            <w:left w:val="none" w:sz="0" w:space="0" w:color="auto"/>
            <w:bottom w:val="none" w:sz="0" w:space="0" w:color="auto"/>
            <w:right w:val="none" w:sz="0" w:space="0" w:color="auto"/>
          </w:divBdr>
        </w:div>
        <w:div w:id="66269632">
          <w:marLeft w:val="418"/>
          <w:marRight w:val="0"/>
          <w:marTop w:val="50"/>
          <w:marBottom w:val="0"/>
          <w:divBdr>
            <w:top w:val="none" w:sz="0" w:space="0" w:color="auto"/>
            <w:left w:val="none" w:sz="0" w:space="0" w:color="auto"/>
            <w:bottom w:val="none" w:sz="0" w:space="0" w:color="auto"/>
            <w:right w:val="none" w:sz="0" w:space="0" w:color="auto"/>
          </w:divBdr>
        </w:div>
      </w:divsChild>
    </w:div>
    <w:div w:id="718823432">
      <w:bodyDiv w:val="1"/>
      <w:marLeft w:val="0"/>
      <w:marRight w:val="0"/>
      <w:marTop w:val="0"/>
      <w:marBottom w:val="0"/>
      <w:divBdr>
        <w:top w:val="none" w:sz="0" w:space="0" w:color="auto"/>
        <w:left w:val="none" w:sz="0" w:space="0" w:color="auto"/>
        <w:bottom w:val="none" w:sz="0" w:space="0" w:color="auto"/>
        <w:right w:val="none" w:sz="0" w:space="0" w:color="auto"/>
      </w:divBdr>
    </w:div>
    <w:div w:id="740373079">
      <w:bodyDiv w:val="1"/>
      <w:marLeft w:val="0"/>
      <w:marRight w:val="0"/>
      <w:marTop w:val="0"/>
      <w:marBottom w:val="0"/>
      <w:divBdr>
        <w:top w:val="none" w:sz="0" w:space="0" w:color="auto"/>
        <w:left w:val="none" w:sz="0" w:space="0" w:color="auto"/>
        <w:bottom w:val="none" w:sz="0" w:space="0" w:color="auto"/>
        <w:right w:val="none" w:sz="0" w:space="0" w:color="auto"/>
      </w:divBdr>
    </w:div>
    <w:div w:id="880823240">
      <w:bodyDiv w:val="1"/>
      <w:marLeft w:val="0"/>
      <w:marRight w:val="0"/>
      <w:marTop w:val="0"/>
      <w:marBottom w:val="0"/>
      <w:divBdr>
        <w:top w:val="none" w:sz="0" w:space="0" w:color="auto"/>
        <w:left w:val="none" w:sz="0" w:space="0" w:color="auto"/>
        <w:bottom w:val="none" w:sz="0" w:space="0" w:color="auto"/>
        <w:right w:val="none" w:sz="0" w:space="0" w:color="auto"/>
      </w:divBdr>
    </w:div>
    <w:div w:id="884369417">
      <w:bodyDiv w:val="1"/>
      <w:marLeft w:val="0"/>
      <w:marRight w:val="0"/>
      <w:marTop w:val="0"/>
      <w:marBottom w:val="0"/>
      <w:divBdr>
        <w:top w:val="none" w:sz="0" w:space="0" w:color="auto"/>
        <w:left w:val="none" w:sz="0" w:space="0" w:color="auto"/>
        <w:bottom w:val="none" w:sz="0" w:space="0" w:color="auto"/>
        <w:right w:val="none" w:sz="0" w:space="0" w:color="auto"/>
      </w:divBdr>
    </w:div>
    <w:div w:id="923490464">
      <w:bodyDiv w:val="1"/>
      <w:marLeft w:val="0"/>
      <w:marRight w:val="0"/>
      <w:marTop w:val="0"/>
      <w:marBottom w:val="0"/>
      <w:divBdr>
        <w:top w:val="none" w:sz="0" w:space="0" w:color="auto"/>
        <w:left w:val="none" w:sz="0" w:space="0" w:color="auto"/>
        <w:bottom w:val="none" w:sz="0" w:space="0" w:color="auto"/>
        <w:right w:val="none" w:sz="0" w:space="0" w:color="auto"/>
      </w:divBdr>
    </w:div>
    <w:div w:id="927925422">
      <w:bodyDiv w:val="1"/>
      <w:marLeft w:val="0"/>
      <w:marRight w:val="0"/>
      <w:marTop w:val="0"/>
      <w:marBottom w:val="0"/>
      <w:divBdr>
        <w:top w:val="none" w:sz="0" w:space="0" w:color="auto"/>
        <w:left w:val="none" w:sz="0" w:space="0" w:color="auto"/>
        <w:bottom w:val="none" w:sz="0" w:space="0" w:color="auto"/>
        <w:right w:val="none" w:sz="0" w:space="0" w:color="auto"/>
      </w:divBdr>
    </w:div>
    <w:div w:id="1087531871">
      <w:bodyDiv w:val="1"/>
      <w:marLeft w:val="0"/>
      <w:marRight w:val="0"/>
      <w:marTop w:val="0"/>
      <w:marBottom w:val="0"/>
      <w:divBdr>
        <w:top w:val="none" w:sz="0" w:space="0" w:color="auto"/>
        <w:left w:val="none" w:sz="0" w:space="0" w:color="auto"/>
        <w:bottom w:val="none" w:sz="0" w:space="0" w:color="auto"/>
        <w:right w:val="none" w:sz="0" w:space="0" w:color="auto"/>
      </w:divBdr>
    </w:div>
    <w:div w:id="1144618849">
      <w:bodyDiv w:val="1"/>
      <w:marLeft w:val="0"/>
      <w:marRight w:val="0"/>
      <w:marTop w:val="0"/>
      <w:marBottom w:val="0"/>
      <w:divBdr>
        <w:top w:val="none" w:sz="0" w:space="0" w:color="auto"/>
        <w:left w:val="none" w:sz="0" w:space="0" w:color="auto"/>
        <w:bottom w:val="none" w:sz="0" w:space="0" w:color="auto"/>
        <w:right w:val="none" w:sz="0" w:space="0" w:color="auto"/>
      </w:divBdr>
    </w:div>
    <w:div w:id="1203517609">
      <w:bodyDiv w:val="1"/>
      <w:marLeft w:val="0"/>
      <w:marRight w:val="0"/>
      <w:marTop w:val="0"/>
      <w:marBottom w:val="0"/>
      <w:divBdr>
        <w:top w:val="none" w:sz="0" w:space="0" w:color="auto"/>
        <w:left w:val="none" w:sz="0" w:space="0" w:color="auto"/>
        <w:bottom w:val="none" w:sz="0" w:space="0" w:color="auto"/>
        <w:right w:val="none" w:sz="0" w:space="0" w:color="auto"/>
      </w:divBdr>
    </w:div>
    <w:div w:id="1218930520">
      <w:bodyDiv w:val="1"/>
      <w:marLeft w:val="0"/>
      <w:marRight w:val="0"/>
      <w:marTop w:val="0"/>
      <w:marBottom w:val="0"/>
      <w:divBdr>
        <w:top w:val="none" w:sz="0" w:space="0" w:color="auto"/>
        <w:left w:val="none" w:sz="0" w:space="0" w:color="auto"/>
        <w:bottom w:val="none" w:sz="0" w:space="0" w:color="auto"/>
        <w:right w:val="none" w:sz="0" w:space="0" w:color="auto"/>
      </w:divBdr>
    </w:div>
    <w:div w:id="1240477287">
      <w:bodyDiv w:val="1"/>
      <w:marLeft w:val="0"/>
      <w:marRight w:val="0"/>
      <w:marTop w:val="0"/>
      <w:marBottom w:val="0"/>
      <w:divBdr>
        <w:top w:val="none" w:sz="0" w:space="0" w:color="auto"/>
        <w:left w:val="none" w:sz="0" w:space="0" w:color="auto"/>
        <w:bottom w:val="none" w:sz="0" w:space="0" w:color="auto"/>
        <w:right w:val="none" w:sz="0" w:space="0" w:color="auto"/>
      </w:divBdr>
    </w:div>
    <w:div w:id="1361055773">
      <w:bodyDiv w:val="1"/>
      <w:marLeft w:val="0"/>
      <w:marRight w:val="0"/>
      <w:marTop w:val="0"/>
      <w:marBottom w:val="0"/>
      <w:divBdr>
        <w:top w:val="none" w:sz="0" w:space="0" w:color="auto"/>
        <w:left w:val="none" w:sz="0" w:space="0" w:color="auto"/>
        <w:bottom w:val="none" w:sz="0" w:space="0" w:color="auto"/>
        <w:right w:val="none" w:sz="0" w:space="0" w:color="auto"/>
      </w:divBdr>
    </w:div>
    <w:div w:id="1432386769">
      <w:bodyDiv w:val="1"/>
      <w:marLeft w:val="0"/>
      <w:marRight w:val="0"/>
      <w:marTop w:val="0"/>
      <w:marBottom w:val="0"/>
      <w:divBdr>
        <w:top w:val="none" w:sz="0" w:space="0" w:color="auto"/>
        <w:left w:val="none" w:sz="0" w:space="0" w:color="auto"/>
        <w:bottom w:val="none" w:sz="0" w:space="0" w:color="auto"/>
        <w:right w:val="none" w:sz="0" w:space="0" w:color="auto"/>
      </w:divBdr>
    </w:div>
    <w:div w:id="1443844051">
      <w:bodyDiv w:val="1"/>
      <w:marLeft w:val="0"/>
      <w:marRight w:val="0"/>
      <w:marTop w:val="0"/>
      <w:marBottom w:val="0"/>
      <w:divBdr>
        <w:top w:val="none" w:sz="0" w:space="0" w:color="auto"/>
        <w:left w:val="none" w:sz="0" w:space="0" w:color="auto"/>
        <w:bottom w:val="none" w:sz="0" w:space="0" w:color="auto"/>
        <w:right w:val="none" w:sz="0" w:space="0" w:color="auto"/>
      </w:divBdr>
      <w:divsChild>
        <w:div w:id="517504785">
          <w:marLeft w:val="0"/>
          <w:marRight w:val="0"/>
          <w:marTop w:val="0"/>
          <w:marBottom w:val="0"/>
          <w:divBdr>
            <w:top w:val="none" w:sz="0" w:space="0" w:color="auto"/>
            <w:left w:val="none" w:sz="0" w:space="0" w:color="auto"/>
            <w:bottom w:val="none" w:sz="0" w:space="0" w:color="auto"/>
            <w:right w:val="none" w:sz="0" w:space="0" w:color="auto"/>
          </w:divBdr>
          <w:divsChild>
            <w:div w:id="1761948853">
              <w:marLeft w:val="0"/>
              <w:marRight w:val="0"/>
              <w:marTop w:val="0"/>
              <w:marBottom w:val="0"/>
              <w:divBdr>
                <w:top w:val="none" w:sz="0" w:space="0" w:color="auto"/>
                <w:left w:val="none" w:sz="0" w:space="0" w:color="auto"/>
                <w:bottom w:val="none" w:sz="0" w:space="0" w:color="auto"/>
                <w:right w:val="none" w:sz="0" w:space="0" w:color="auto"/>
              </w:divBdr>
              <w:divsChild>
                <w:div w:id="190270438">
                  <w:marLeft w:val="0"/>
                  <w:marRight w:val="0"/>
                  <w:marTop w:val="0"/>
                  <w:marBottom w:val="0"/>
                  <w:divBdr>
                    <w:top w:val="none" w:sz="0" w:space="0" w:color="auto"/>
                    <w:left w:val="none" w:sz="0" w:space="0" w:color="auto"/>
                    <w:bottom w:val="none" w:sz="0" w:space="0" w:color="auto"/>
                    <w:right w:val="none" w:sz="0" w:space="0" w:color="auto"/>
                  </w:divBdr>
                  <w:divsChild>
                    <w:div w:id="538981668">
                      <w:marLeft w:val="0"/>
                      <w:marRight w:val="0"/>
                      <w:marTop w:val="0"/>
                      <w:marBottom w:val="0"/>
                      <w:divBdr>
                        <w:top w:val="none" w:sz="0" w:space="0" w:color="auto"/>
                        <w:left w:val="none" w:sz="0" w:space="0" w:color="auto"/>
                        <w:bottom w:val="none" w:sz="0" w:space="0" w:color="auto"/>
                        <w:right w:val="none" w:sz="0" w:space="0" w:color="auto"/>
                      </w:divBdr>
                    </w:div>
                    <w:div w:id="861943178">
                      <w:marLeft w:val="0"/>
                      <w:marRight w:val="0"/>
                      <w:marTop w:val="0"/>
                      <w:marBottom w:val="0"/>
                      <w:divBdr>
                        <w:top w:val="none" w:sz="0" w:space="0" w:color="auto"/>
                        <w:left w:val="none" w:sz="0" w:space="0" w:color="auto"/>
                        <w:bottom w:val="none" w:sz="0" w:space="0" w:color="auto"/>
                        <w:right w:val="none" w:sz="0" w:space="0" w:color="auto"/>
                      </w:divBdr>
                    </w:div>
                  </w:divsChild>
                </w:div>
                <w:div w:id="318849231">
                  <w:marLeft w:val="0"/>
                  <w:marRight w:val="0"/>
                  <w:marTop w:val="0"/>
                  <w:marBottom w:val="0"/>
                  <w:divBdr>
                    <w:top w:val="none" w:sz="0" w:space="0" w:color="auto"/>
                    <w:left w:val="none" w:sz="0" w:space="0" w:color="auto"/>
                    <w:bottom w:val="none" w:sz="0" w:space="0" w:color="auto"/>
                    <w:right w:val="none" w:sz="0" w:space="0" w:color="auto"/>
                  </w:divBdr>
                  <w:divsChild>
                    <w:div w:id="1390113815">
                      <w:marLeft w:val="0"/>
                      <w:marRight w:val="0"/>
                      <w:marTop w:val="0"/>
                      <w:marBottom w:val="0"/>
                      <w:divBdr>
                        <w:top w:val="none" w:sz="0" w:space="0" w:color="auto"/>
                        <w:left w:val="none" w:sz="0" w:space="0" w:color="auto"/>
                        <w:bottom w:val="none" w:sz="0" w:space="0" w:color="auto"/>
                        <w:right w:val="none" w:sz="0" w:space="0" w:color="auto"/>
                      </w:divBdr>
                    </w:div>
                    <w:div w:id="10883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014752">
      <w:bodyDiv w:val="1"/>
      <w:marLeft w:val="0"/>
      <w:marRight w:val="0"/>
      <w:marTop w:val="0"/>
      <w:marBottom w:val="0"/>
      <w:divBdr>
        <w:top w:val="none" w:sz="0" w:space="0" w:color="auto"/>
        <w:left w:val="none" w:sz="0" w:space="0" w:color="auto"/>
        <w:bottom w:val="none" w:sz="0" w:space="0" w:color="auto"/>
        <w:right w:val="none" w:sz="0" w:space="0" w:color="auto"/>
      </w:divBdr>
    </w:div>
    <w:div w:id="1595283399">
      <w:bodyDiv w:val="1"/>
      <w:marLeft w:val="0"/>
      <w:marRight w:val="0"/>
      <w:marTop w:val="0"/>
      <w:marBottom w:val="0"/>
      <w:divBdr>
        <w:top w:val="none" w:sz="0" w:space="0" w:color="auto"/>
        <w:left w:val="none" w:sz="0" w:space="0" w:color="auto"/>
        <w:bottom w:val="none" w:sz="0" w:space="0" w:color="auto"/>
        <w:right w:val="none" w:sz="0" w:space="0" w:color="auto"/>
      </w:divBdr>
    </w:div>
    <w:div w:id="1711297783">
      <w:bodyDiv w:val="1"/>
      <w:marLeft w:val="0"/>
      <w:marRight w:val="0"/>
      <w:marTop w:val="0"/>
      <w:marBottom w:val="0"/>
      <w:divBdr>
        <w:top w:val="none" w:sz="0" w:space="0" w:color="auto"/>
        <w:left w:val="none" w:sz="0" w:space="0" w:color="auto"/>
        <w:bottom w:val="none" w:sz="0" w:space="0" w:color="auto"/>
        <w:right w:val="none" w:sz="0" w:space="0" w:color="auto"/>
      </w:divBdr>
    </w:div>
    <w:div w:id="1774470866">
      <w:bodyDiv w:val="1"/>
      <w:marLeft w:val="0"/>
      <w:marRight w:val="0"/>
      <w:marTop w:val="0"/>
      <w:marBottom w:val="0"/>
      <w:divBdr>
        <w:top w:val="none" w:sz="0" w:space="0" w:color="auto"/>
        <w:left w:val="none" w:sz="0" w:space="0" w:color="auto"/>
        <w:bottom w:val="none" w:sz="0" w:space="0" w:color="auto"/>
        <w:right w:val="none" w:sz="0" w:space="0" w:color="auto"/>
      </w:divBdr>
    </w:div>
    <w:div w:id="1839422058">
      <w:bodyDiv w:val="1"/>
      <w:marLeft w:val="0"/>
      <w:marRight w:val="0"/>
      <w:marTop w:val="0"/>
      <w:marBottom w:val="0"/>
      <w:divBdr>
        <w:top w:val="none" w:sz="0" w:space="0" w:color="auto"/>
        <w:left w:val="none" w:sz="0" w:space="0" w:color="auto"/>
        <w:bottom w:val="none" w:sz="0" w:space="0" w:color="auto"/>
        <w:right w:val="none" w:sz="0" w:space="0" w:color="auto"/>
      </w:divBdr>
    </w:div>
    <w:div w:id="1931547957">
      <w:bodyDiv w:val="1"/>
      <w:marLeft w:val="0"/>
      <w:marRight w:val="0"/>
      <w:marTop w:val="0"/>
      <w:marBottom w:val="0"/>
      <w:divBdr>
        <w:top w:val="none" w:sz="0" w:space="0" w:color="auto"/>
        <w:left w:val="none" w:sz="0" w:space="0" w:color="auto"/>
        <w:bottom w:val="none" w:sz="0" w:space="0" w:color="auto"/>
        <w:right w:val="none" w:sz="0" w:space="0" w:color="auto"/>
      </w:divBdr>
      <w:divsChild>
        <w:div w:id="1394934423">
          <w:marLeft w:val="418"/>
          <w:marRight w:val="0"/>
          <w:marTop w:val="50"/>
          <w:marBottom w:val="0"/>
          <w:divBdr>
            <w:top w:val="none" w:sz="0" w:space="0" w:color="auto"/>
            <w:left w:val="none" w:sz="0" w:space="0" w:color="auto"/>
            <w:bottom w:val="none" w:sz="0" w:space="0" w:color="auto"/>
            <w:right w:val="none" w:sz="0" w:space="0" w:color="auto"/>
          </w:divBdr>
        </w:div>
        <w:div w:id="164440130">
          <w:marLeft w:val="418"/>
          <w:marRight w:val="0"/>
          <w:marTop w:val="50"/>
          <w:marBottom w:val="0"/>
          <w:divBdr>
            <w:top w:val="none" w:sz="0" w:space="0" w:color="auto"/>
            <w:left w:val="none" w:sz="0" w:space="0" w:color="auto"/>
            <w:bottom w:val="none" w:sz="0" w:space="0" w:color="auto"/>
            <w:right w:val="none" w:sz="0" w:space="0" w:color="auto"/>
          </w:divBdr>
        </w:div>
      </w:divsChild>
    </w:div>
    <w:div w:id="2023510923">
      <w:bodyDiv w:val="1"/>
      <w:marLeft w:val="0"/>
      <w:marRight w:val="0"/>
      <w:marTop w:val="0"/>
      <w:marBottom w:val="0"/>
      <w:divBdr>
        <w:top w:val="none" w:sz="0" w:space="0" w:color="auto"/>
        <w:left w:val="none" w:sz="0" w:space="0" w:color="auto"/>
        <w:bottom w:val="none" w:sz="0" w:space="0" w:color="auto"/>
        <w:right w:val="none" w:sz="0" w:space="0" w:color="auto"/>
      </w:divBdr>
    </w:div>
    <w:div w:id="2041590846">
      <w:bodyDiv w:val="1"/>
      <w:marLeft w:val="0"/>
      <w:marRight w:val="0"/>
      <w:marTop w:val="0"/>
      <w:marBottom w:val="0"/>
      <w:divBdr>
        <w:top w:val="none" w:sz="0" w:space="0" w:color="auto"/>
        <w:left w:val="none" w:sz="0" w:space="0" w:color="auto"/>
        <w:bottom w:val="none" w:sz="0" w:space="0" w:color="auto"/>
        <w:right w:val="none" w:sz="0" w:space="0" w:color="auto"/>
      </w:divBdr>
    </w:div>
    <w:div w:id="2102405595">
      <w:bodyDiv w:val="1"/>
      <w:marLeft w:val="0"/>
      <w:marRight w:val="0"/>
      <w:marTop w:val="0"/>
      <w:marBottom w:val="0"/>
      <w:divBdr>
        <w:top w:val="none" w:sz="0" w:space="0" w:color="auto"/>
        <w:left w:val="none" w:sz="0" w:space="0" w:color="auto"/>
        <w:bottom w:val="none" w:sz="0" w:space="0" w:color="auto"/>
        <w:right w:val="none" w:sz="0" w:space="0" w:color="auto"/>
      </w:divBdr>
      <w:divsChild>
        <w:div w:id="288325042">
          <w:marLeft w:val="418"/>
          <w:marRight w:val="0"/>
          <w:marTop w:val="50"/>
          <w:marBottom w:val="0"/>
          <w:divBdr>
            <w:top w:val="none" w:sz="0" w:space="0" w:color="auto"/>
            <w:left w:val="none" w:sz="0" w:space="0" w:color="auto"/>
            <w:bottom w:val="none" w:sz="0" w:space="0" w:color="auto"/>
            <w:right w:val="none" w:sz="0" w:space="0" w:color="auto"/>
          </w:divBdr>
        </w:div>
        <w:div w:id="939337603">
          <w:marLeft w:val="864"/>
          <w:marRight w:val="0"/>
          <w:marTop w:val="50"/>
          <w:marBottom w:val="0"/>
          <w:divBdr>
            <w:top w:val="none" w:sz="0" w:space="0" w:color="auto"/>
            <w:left w:val="none" w:sz="0" w:space="0" w:color="auto"/>
            <w:bottom w:val="none" w:sz="0" w:space="0" w:color="auto"/>
            <w:right w:val="none" w:sz="0" w:space="0" w:color="auto"/>
          </w:divBdr>
        </w:div>
        <w:div w:id="1077433058">
          <w:marLeft w:val="864"/>
          <w:marRight w:val="0"/>
          <w:marTop w:val="50"/>
          <w:marBottom w:val="0"/>
          <w:divBdr>
            <w:top w:val="none" w:sz="0" w:space="0" w:color="auto"/>
            <w:left w:val="none" w:sz="0" w:space="0" w:color="auto"/>
            <w:bottom w:val="none" w:sz="0" w:space="0" w:color="auto"/>
            <w:right w:val="none" w:sz="0" w:space="0" w:color="auto"/>
          </w:divBdr>
        </w:div>
        <w:div w:id="1013798342">
          <w:marLeft w:val="864"/>
          <w:marRight w:val="0"/>
          <w:marTop w:val="50"/>
          <w:marBottom w:val="0"/>
          <w:divBdr>
            <w:top w:val="none" w:sz="0" w:space="0" w:color="auto"/>
            <w:left w:val="none" w:sz="0" w:space="0" w:color="auto"/>
            <w:bottom w:val="none" w:sz="0" w:space="0" w:color="auto"/>
            <w:right w:val="none" w:sz="0" w:space="0" w:color="auto"/>
          </w:divBdr>
        </w:div>
        <w:div w:id="1878009718">
          <w:marLeft w:val="864"/>
          <w:marRight w:val="0"/>
          <w:marTop w:val="5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diagramLayout" Target="diagrams/layout2.xml"/><Relationship Id="rId26" Type="http://schemas.openxmlformats.org/officeDocument/2006/relationships/chart" Target="charts/chart9.xml"/><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diagramColors" Target="diagrams/colors2.xml"/><Relationship Id="rId29" Type="http://schemas.openxmlformats.org/officeDocument/2006/relationships/chart" Target="charts/chart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8.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ABFS2\DATA\DATA\ZPRAC\TECHNOL\oddeleni_6301\2_Vzd&#283;l&#225;v&#225;n&#237;\1_AES_P&#367;balov&#225;\AES%202016\Data%20a%20publikace\publikace\grafy.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oleObject" Target="file:///\\ABFS2\DATA\DATA\ZPRAC\TECHNOL\oddeleni_6301\2_Vzd&#283;l&#225;v&#225;n&#237;\1_AES_P&#367;balov&#225;\AES%202016\Data%20a%20publikace\publikace\grafy.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ČR</c:v>
                </c:pt>
                <c:pt idx="1">
                  <c:v>EU28</c:v>
                </c:pt>
                <c:pt idx="2">
                  <c:v>LT</c:v>
                </c:pt>
                <c:pt idx="3">
                  <c:v>MT</c:v>
                </c:pt>
              </c:strCache>
            </c:strRef>
          </c:cat>
          <c:val>
            <c:numRef>
              <c:f>Sheet1!$B$2:$B$5</c:f>
              <c:numCache>
                <c:formatCode>General</c:formatCode>
                <c:ptCount val="4"/>
                <c:pt idx="0">
                  <c:v>93.8</c:v>
                </c:pt>
                <c:pt idx="1">
                  <c:v>77.5</c:v>
                </c:pt>
                <c:pt idx="2">
                  <c:v>94.8</c:v>
                </c:pt>
                <c:pt idx="3">
                  <c:v>47.3</c:v>
                </c:pt>
              </c:numCache>
            </c:numRef>
          </c:val>
          <c:extLst>
            <c:ext xmlns:c16="http://schemas.microsoft.com/office/drawing/2014/chart" uri="{C3380CC4-5D6E-409C-BE32-E72D297353CC}">
              <c16:uniqueId val="{00000000-4A65-4CCB-9CE8-1033406118DE}"/>
            </c:ext>
          </c:extLst>
        </c:ser>
        <c:dLbls>
          <c:showLegendKey val="0"/>
          <c:showVal val="1"/>
          <c:showCatName val="0"/>
          <c:showSerName val="0"/>
          <c:showPercent val="0"/>
          <c:showBubbleSize val="0"/>
        </c:dLbls>
        <c:gapWidth val="75"/>
        <c:shape val="box"/>
        <c:axId val="-2106843976"/>
        <c:axId val="2102734552"/>
        <c:axId val="0"/>
      </c:bar3DChart>
      <c:catAx>
        <c:axId val="-2106843976"/>
        <c:scaling>
          <c:orientation val="minMax"/>
        </c:scaling>
        <c:delete val="0"/>
        <c:axPos val="b"/>
        <c:numFmt formatCode="General" sourceLinked="0"/>
        <c:majorTickMark val="none"/>
        <c:minorTickMark val="none"/>
        <c:tickLblPos val="nextTo"/>
        <c:crossAx val="2102734552"/>
        <c:crosses val="autoZero"/>
        <c:auto val="1"/>
        <c:lblAlgn val="ctr"/>
        <c:lblOffset val="100"/>
        <c:noMultiLvlLbl val="0"/>
      </c:catAx>
      <c:valAx>
        <c:axId val="2102734552"/>
        <c:scaling>
          <c:orientation val="minMax"/>
        </c:scaling>
        <c:delete val="0"/>
        <c:axPos val="l"/>
        <c:numFmt formatCode="General" sourceLinked="1"/>
        <c:majorTickMark val="none"/>
        <c:minorTickMark val="none"/>
        <c:tickLblPos val="nextTo"/>
        <c:crossAx val="-21068439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1"/>
          <c:order val="1"/>
          <c:tx>
            <c:strRef>
              <c:f>'G8'!$S$68</c:f>
              <c:strCache>
                <c:ptCount val="1"/>
                <c:pt idx="0">
                  <c:v> celková účast</c:v>
                </c:pt>
              </c:strCache>
            </c:strRef>
          </c:tx>
          <c:invertIfNegative val="0"/>
          <c:dPt>
            <c:idx val="21"/>
            <c:invertIfNegative val="0"/>
            <c:bubble3D val="0"/>
            <c:extLst>
              <c:ext xmlns:c16="http://schemas.microsoft.com/office/drawing/2014/chart" uri="{C3380CC4-5D6E-409C-BE32-E72D297353CC}">
                <c16:uniqueId val="{00000000-F3D9-4876-AD2F-DBC9C2424B21}"/>
              </c:ext>
            </c:extLst>
          </c:dPt>
          <c:cat>
            <c:strRef>
              <c:f>'\\ABFS2\DATA\DATA\ZPRAC\TECHNOL\oddeleni_6301\2_Vzdělávání\1_AES_Půbalová\AES 2016\Data a publikace\publikace\[tabulky_publikace_priloha_AK.xlsx]FV_PrůmPočHod_celkem'!$F$15:$F$39</c:f>
              <c:strCache>
                <c:ptCount val="25"/>
                <c:pt idx="0">
                  <c:v>Švédsko</c:v>
                </c:pt>
                <c:pt idx="1">
                  <c:v>Finsko</c:v>
                </c:pt>
                <c:pt idx="2">
                  <c:v>Norsko</c:v>
                </c:pt>
                <c:pt idx="3">
                  <c:v>Spojené království</c:v>
                </c:pt>
                <c:pt idx="4">
                  <c:v>Španělsko</c:v>
                </c:pt>
                <c:pt idx="5">
                  <c:v>Nizozemí</c:v>
                </c:pt>
                <c:pt idx="6">
                  <c:v>Lucembursko</c:v>
                </c:pt>
                <c:pt idx="7">
                  <c:v>Švýcarsko</c:v>
                </c:pt>
                <c:pt idx="8">
                  <c:v>Malta</c:v>
                </c:pt>
                <c:pt idx="9">
                  <c:v>Rakousko</c:v>
                </c:pt>
                <c:pt idx="10">
                  <c:v>Slovinsko</c:v>
                </c:pt>
                <c:pt idx="11">
                  <c:v>Lotyšsko</c:v>
                </c:pt>
                <c:pt idx="12">
                  <c:v>Polsko</c:v>
                </c:pt>
                <c:pt idx="13">
                  <c:v>Chorvatsko</c:v>
                </c:pt>
                <c:pt idx="14">
                  <c:v>Portugalsko</c:v>
                </c:pt>
                <c:pt idx="15">
                  <c:v>Makedonie</c:v>
                </c:pt>
                <c:pt idx="16">
                  <c:v>Řecko</c:v>
                </c:pt>
                <c:pt idx="17">
                  <c:v>Německo</c:v>
                </c:pt>
                <c:pt idx="18">
                  <c:v>Kypr</c:v>
                </c:pt>
                <c:pt idx="19">
                  <c:v>Srbsko</c:v>
                </c:pt>
                <c:pt idx="20">
                  <c:v>Bulharsko</c:v>
                </c:pt>
                <c:pt idx="21">
                  <c:v>Česká republika</c:v>
                </c:pt>
                <c:pt idx="22">
                  <c:v>Litva</c:v>
                </c:pt>
                <c:pt idx="23">
                  <c:v>Rumunsko</c:v>
                </c:pt>
                <c:pt idx="24">
                  <c:v>Slovensko</c:v>
                </c:pt>
              </c:strCache>
            </c:strRef>
          </c:cat>
          <c:val>
            <c:numRef>
              <c:f>'G8'!$S$69:$S$93</c:f>
              <c:numCache>
                <c:formatCode>0</c:formatCode>
                <c:ptCount val="25"/>
                <c:pt idx="0">
                  <c:v>0.13800000000000001</c:v>
                </c:pt>
                <c:pt idx="1">
                  <c:v>0.13700000000000001</c:v>
                </c:pt>
                <c:pt idx="2">
                  <c:v>0.121</c:v>
                </c:pt>
                <c:pt idx="3">
                  <c:v>0.11899999999999999</c:v>
                </c:pt>
                <c:pt idx="4">
                  <c:v>9.8000000000000004E-2</c:v>
                </c:pt>
                <c:pt idx="5">
                  <c:v>0.09</c:v>
                </c:pt>
                <c:pt idx="6">
                  <c:v>8.5999999999999993E-2</c:v>
                </c:pt>
                <c:pt idx="7">
                  <c:v>8.5000000000000006E-2</c:v>
                </c:pt>
                <c:pt idx="8">
                  <c:v>7.1999999999999995E-2</c:v>
                </c:pt>
                <c:pt idx="9">
                  <c:v>6.2E-2</c:v>
                </c:pt>
                <c:pt idx="10">
                  <c:v>0.06</c:v>
                </c:pt>
                <c:pt idx="11">
                  <c:v>4.3999999999999997E-2</c:v>
                </c:pt>
                <c:pt idx="12">
                  <c:v>4.2000000000000003E-2</c:v>
                </c:pt>
                <c:pt idx="13">
                  <c:v>0.04</c:v>
                </c:pt>
                <c:pt idx="14">
                  <c:v>0.04</c:v>
                </c:pt>
                <c:pt idx="15">
                  <c:v>0.04</c:v>
                </c:pt>
                <c:pt idx="16">
                  <c:v>3.6999999999999998E-2</c:v>
                </c:pt>
                <c:pt idx="17">
                  <c:v>3.5000000000000003E-2</c:v>
                </c:pt>
                <c:pt idx="18">
                  <c:v>0.03</c:v>
                </c:pt>
                <c:pt idx="19">
                  <c:v>0.03</c:v>
                </c:pt>
                <c:pt idx="20">
                  <c:v>2.9000000000000001E-2</c:v>
                </c:pt>
                <c:pt idx="21">
                  <c:v>2.5000000000000001E-2</c:v>
                </c:pt>
                <c:pt idx="22">
                  <c:v>2.4E-2</c:v>
                </c:pt>
                <c:pt idx="23">
                  <c:v>1.7000000000000001E-2</c:v>
                </c:pt>
                <c:pt idx="24">
                  <c:v>1.4999999999999999E-2</c:v>
                </c:pt>
              </c:numCache>
            </c:numRef>
          </c:val>
          <c:extLst>
            <c:ext xmlns:c16="http://schemas.microsoft.com/office/drawing/2014/chart" uri="{C3380CC4-5D6E-409C-BE32-E72D297353CC}">
              <c16:uniqueId val="{00000001-F3D9-4876-AD2F-DBC9C2424B21}"/>
            </c:ext>
          </c:extLst>
        </c:ser>
        <c:dLbls>
          <c:showLegendKey val="0"/>
          <c:showVal val="0"/>
          <c:showCatName val="0"/>
          <c:showSerName val="0"/>
          <c:showPercent val="0"/>
          <c:showBubbleSize val="0"/>
        </c:dLbls>
        <c:gapWidth val="150"/>
        <c:axId val="-2139279560"/>
        <c:axId val="-2111510392"/>
      </c:barChart>
      <c:scatterChart>
        <c:scatterStyle val="lineMarker"/>
        <c:varyColors val="0"/>
        <c:ser>
          <c:idx val="0"/>
          <c:order val="0"/>
          <c:tx>
            <c:strRef>
              <c:f>'G8'!$R$68</c:f>
              <c:strCache>
                <c:ptCount val="1"/>
                <c:pt idx="0">
                  <c:v> průměrný počet hodin na účastníka měsíčně</c:v>
                </c:pt>
              </c:strCache>
            </c:strRef>
          </c:tx>
          <c:spPr>
            <a:ln w="47625">
              <a:noFill/>
            </a:ln>
          </c:spPr>
          <c:dPt>
            <c:idx val="21"/>
            <c:bubble3D val="0"/>
            <c:extLst>
              <c:ext xmlns:c16="http://schemas.microsoft.com/office/drawing/2014/chart" uri="{C3380CC4-5D6E-409C-BE32-E72D297353CC}">
                <c16:uniqueId val="{00000002-F3D9-4876-AD2F-DBC9C2424B21}"/>
              </c:ext>
            </c:extLst>
          </c:dPt>
          <c:xVal>
            <c:strRef>
              <c:f>'G8'!$Q$69:$Q$93</c:f>
              <c:strCache>
                <c:ptCount val="25"/>
                <c:pt idx="0">
                  <c:v>Švédsko</c:v>
                </c:pt>
                <c:pt idx="1">
                  <c:v>Finsko</c:v>
                </c:pt>
                <c:pt idx="2">
                  <c:v>Norsko</c:v>
                </c:pt>
                <c:pt idx="3">
                  <c:v>Spojené království</c:v>
                </c:pt>
                <c:pt idx="4">
                  <c:v>Španělsko</c:v>
                </c:pt>
                <c:pt idx="5">
                  <c:v>Nizozemí</c:v>
                </c:pt>
                <c:pt idx="6">
                  <c:v>Lucembursko</c:v>
                </c:pt>
                <c:pt idx="7">
                  <c:v>Švýcarsko</c:v>
                </c:pt>
                <c:pt idx="8">
                  <c:v>Malta</c:v>
                </c:pt>
                <c:pt idx="9">
                  <c:v>Rakousko</c:v>
                </c:pt>
                <c:pt idx="10">
                  <c:v>Slovinsko</c:v>
                </c:pt>
                <c:pt idx="11">
                  <c:v>Lotyšsko</c:v>
                </c:pt>
                <c:pt idx="12">
                  <c:v>Polsko</c:v>
                </c:pt>
                <c:pt idx="13">
                  <c:v>Chorvatsko</c:v>
                </c:pt>
                <c:pt idx="14">
                  <c:v>Portugalsko</c:v>
                </c:pt>
                <c:pt idx="15">
                  <c:v>Makedonie</c:v>
                </c:pt>
                <c:pt idx="16">
                  <c:v>Řecko</c:v>
                </c:pt>
                <c:pt idx="17">
                  <c:v>Německo</c:v>
                </c:pt>
                <c:pt idx="18">
                  <c:v>Kypr</c:v>
                </c:pt>
                <c:pt idx="19">
                  <c:v>Srbsko</c:v>
                </c:pt>
                <c:pt idx="20">
                  <c:v>Bulharsko</c:v>
                </c:pt>
                <c:pt idx="21">
                  <c:v>Česká republika</c:v>
                </c:pt>
                <c:pt idx="22">
                  <c:v>Litva</c:v>
                </c:pt>
                <c:pt idx="23">
                  <c:v>Rumunsko</c:v>
                </c:pt>
                <c:pt idx="24">
                  <c:v>Slovensko</c:v>
                </c:pt>
              </c:strCache>
            </c:strRef>
          </c:xVal>
          <c:yVal>
            <c:numRef>
              <c:f>'G8'!$R$69:$R$93</c:f>
              <c:numCache>
                <c:formatCode>0</c:formatCode>
                <c:ptCount val="25"/>
                <c:pt idx="0">
                  <c:v>38.5</c:v>
                </c:pt>
                <c:pt idx="1">
                  <c:v>28.7</c:v>
                </c:pt>
                <c:pt idx="2">
                  <c:v>18.7</c:v>
                </c:pt>
                <c:pt idx="3">
                  <c:v>14.1</c:v>
                </c:pt>
                <c:pt idx="4">
                  <c:v>23.7</c:v>
                </c:pt>
                <c:pt idx="5">
                  <c:v>27.3</c:v>
                </c:pt>
                <c:pt idx="6">
                  <c:v>24.8</c:v>
                </c:pt>
                <c:pt idx="7">
                  <c:v>44.3</c:v>
                </c:pt>
                <c:pt idx="8">
                  <c:v>20.399999999999999</c:v>
                </c:pt>
                <c:pt idx="9">
                  <c:v>38.1</c:v>
                </c:pt>
                <c:pt idx="10">
                  <c:v>31.3</c:v>
                </c:pt>
                <c:pt idx="11">
                  <c:v>31.3</c:v>
                </c:pt>
                <c:pt idx="12">
                  <c:v>38</c:v>
                </c:pt>
                <c:pt idx="13">
                  <c:v>36.799999999999997</c:v>
                </c:pt>
                <c:pt idx="14">
                  <c:v>54.4</c:v>
                </c:pt>
                <c:pt idx="15">
                  <c:v>2.1</c:v>
                </c:pt>
                <c:pt idx="16">
                  <c:v>39</c:v>
                </c:pt>
                <c:pt idx="17">
                  <c:v>72.7</c:v>
                </c:pt>
                <c:pt idx="18">
                  <c:v>20.6</c:v>
                </c:pt>
                <c:pt idx="19">
                  <c:v>31.8</c:v>
                </c:pt>
                <c:pt idx="20">
                  <c:v>37.4</c:v>
                </c:pt>
                <c:pt idx="21">
                  <c:v>28.2</c:v>
                </c:pt>
                <c:pt idx="22">
                  <c:v>34.5</c:v>
                </c:pt>
                <c:pt idx="23">
                  <c:v>38.1</c:v>
                </c:pt>
                <c:pt idx="24">
                  <c:v>41.6</c:v>
                </c:pt>
              </c:numCache>
            </c:numRef>
          </c:yVal>
          <c:smooth val="0"/>
          <c:extLst>
            <c:ext xmlns:c16="http://schemas.microsoft.com/office/drawing/2014/chart" uri="{C3380CC4-5D6E-409C-BE32-E72D297353CC}">
              <c16:uniqueId val="{00000003-F3D9-4876-AD2F-DBC9C2424B21}"/>
            </c:ext>
          </c:extLst>
        </c:ser>
        <c:dLbls>
          <c:showLegendKey val="0"/>
          <c:showVal val="0"/>
          <c:showCatName val="0"/>
          <c:showSerName val="0"/>
          <c:showPercent val="0"/>
          <c:showBubbleSize val="0"/>
        </c:dLbls>
        <c:axId val="2102739368"/>
        <c:axId val="-2048606664"/>
      </c:scatterChart>
      <c:catAx>
        <c:axId val="-2139279560"/>
        <c:scaling>
          <c:orientation val="minMax"/>
        </c:scaling>
        <c:delete val="0"/>
        <c:axPos val="b"/>
        <c:majorGridlines/>
        <c:numFmt formatCode="General" sourceLinked="0"/>
        <c:majorTickMark val="none"/>
        <c:minorTickMark val="none"/>
        <c:tickLblPos val="nextTo"/>
        <c:crossAx val="-2111510392"/>
        <c:crosses val="autoZero"/>
        <c:auto val="1"/>
        <c:lblAlgn val="ctr"/>
        <c:lblOffset val="100"/>
        <c:noMultiLvlLbl val="0"/>
      </c:catAx>
      <c:valAx>
        <c:axId val="-2111510392"/>
        <c:scaling>
          <c:orientation val="minMax"/>
        </c:scaling>
        <c:delete val="0"/>
        <c:axPos val="l"/>
        <c:majorGridlines/>
        <c:numFmt formatCode="0%" sourceLinked="0"/>
        <c:majorTickMark val="none"/>
        <c:minorTickMark val="none"/>
        <c:tickLblPos val="nextTo"/>
        <c:crossAx val="-2139279560"/>
        <c:crosses val="autoZero"/>
        <c:crossBetween val="between"/>
      </c:valAx>
      <c:valAx>
        <c:axId val="-2048606664"/>
        <c:scaling>
          <c:orientation val="minMax"/>
          <c:max val="80"/>
          <c:min val="0"/>
        </c:scaling>
        <c:delete val="0"/>
        <c:axPos val="r"/>
        <c:title>
          <c:tx>
            <c:rich>
              <a:bodyPr rot="-5400000" vert="horz"/>
              <a:lstStyle/>
              <a:p>
                <a:pPr>
                  <a:defRPr/>
                </a:pPr>
                <a:r>
                  <a:rPr lang="en-US"/>
                  <a:t>průměrný počet hodin</a:t>
                </a:r>
              </a:p>
            </c:rich>
          </c:tx>
          <c:overlay val="0"/>
        </c:title>
        <c:numFmt formatCode="#,##0" sourceLinked="0"/>
        <c:majorTickMark val="out"/>
        <c:minorTickMark val="none"/>
        <c:tickLblPos val="nextTo"/>
        <c:crossAx val="2102739368"/>
        <c:crosses val="max"/>
        <c:crossBetween val="midCat"/>
      </c:valAx>
      <c:valAx>
        <c:axId val="2102739368"/>
        <c:scaling>
          <c:orientation val="minMax"/>
        </c:scaling>
        <c:delete val="1"/>
        <c:axPos val="b"/>
        <c:majorTickMark val="out"/>
        <c:minorTickMark val="none"/>
        <c:tickLblPos val="none"/>
        <c:crossAx val="-2048606664"/>
        <c:crosses val="autoZero"/>
        <c:crossBetween val="midCat"/>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Sheet1!$B$1</c:f>
              <c:strCache>
                <c:ptCount val="1"/>
                <c:pt idx="0">
                  <c:v>Series 1</c:v>
                </c:pt>
              </c:strCache>
            </c:strRef>
          </c:tx>
          <c:invertIfNegative val="0"/>
          <c:cat>
            <c:strRef>
              <c:f>Sheet1!$A$2:$A$7</c:f>
              <c:strCache>
                <c:ptCount val="6"/>
                <c:pt idx="0">
                  <c:v>18-24 let</c:v>
                </c:pt>
                <c:pt idx="1">
                  <c:v>25-29 let</c:v>
                </c:pt>
                <c:pt idx="2">
                  <c:v>30-39 let</c:v>
                </c:pt>
                <c:pt idx="3">
                  <c:v>40-49 let</c:v>
                </c:pt>
                <c:pt idx="4">
                  <c:v>50-59 let</c:v>
                </c:pt>
                <c:pt idx="5">
                  <c:v>60-69 let</c:v>
                </c:pt>
              </c:strCache>
            </c:strRef>
          </c:cat>
          <c:val>
            <c:numRef>
              <c:f>Sheet1!$B$2:$B$7</c:f>
              <c:numCache>
                <c:formatCode>General</c:formatCode>
                <c:ptCount val="6"/>
                <c:pt idx="0">
                  <c:v>1</c:v>
                </c:pt>
                <c:pt idx="1">
                  <c:v>5</c:v>
                </c:pt>
                <c:pt idx="2">
                  <c:v>2</c:v>
                </c:pt>
                <c:pt idx="3">
                  <c:v>1</c:v>
                </c:pt>
                <c:pt idx="4">
                  <c:v>0.3</c:v>
                </c:pt>
                <c:pt idx="5">
                  <c:v>0.1</c:v>
                </c:pt>
              </c:numCache>
            </c:numRef>
          </c:val>
          <c:extLst>
            <c:ext xmlns:c16="http://schemas.microsoft.com/office/drawing/2014/chart" uri="{C3380CC4-5D6E-409C-BE32-E72D297353CC}">
              <c16:uniqueId val="{00000000-1ECC-4317-B27D-517AFA0E9842}"/>
            </c:ext>
          </c:extLst>
        </c:ser>
        <c:dLbls>
          <c:showLegendKey val="0"/>
          <c:showVal val="0"/>
          <c:showCatName val="0"/>
          <c:showSerName val="0"/>
          <c:showPercent val="0"/>
          <c:showBubbleSize val="0"/>
        </c:dLbls>
        <c:gapWidth val="150"/>
        <c:shape val="box"/>
        <c:axId val="2102754024"/>
        <c:axId val="-2111705704"/>
        <c:axId val="0"/>
      </c:bar3DChart>
      <c:catAx>
        <c:axId val="2102754024"/>
        <c:scaling>
          <c:orientation val="minMax"/>
        </c:scaling>
        <c:delete val="0"/>
        <c:axPos val="b"/>
        <c:numFmt formatCode="General" sourceLinked="0"/>
        <c:majorTickMark val="out"/>
        <c:minorTickMark val="none"/>
        <c:tickLblPos val="nextTo"/>
        <c:crossAx val="-2111705704"/>
        <c:crosses val="autoZero"/>
        <c:auto val="1"/>
        <c:lblAlgn val="ctr"/>
        <c:lblOffset val="100"/>
        <c:noMultiLvlLbl val="0"/>
      </c:catAx>
      <c:valAx>
        <c:axId val="-2111705704"/>
        <c:scaling>
          <c:orientation val="minMax"/>
        </c:scaling>
        <c:delete val="0"/>
        <c:axPos val="l"/>
        <c:majorGridlines/>
        <c:numFmt formatCode="General" sourceLinked="1"/>
        <c:majorTickMark val="out"/>
        <c:minorTickMark val="none"/>
        <c:tickLblPos val="nextTo"/>
        <c:crossAx val="21027540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'G16'!$H$4</c:f>
              <c:strCache>
                <c:ptCount val="1"/>
                <c:pt idx="0">
                  <c:v> celková účast v neformální vzdělávání</c:v>
                </c:pt>
              </c:strCache>
            </c:strRef>
          </c:tx>
          <c:invertIfNegative val="0"/>
          <c:dPt>
            <c:idx val="12"/>
            <c:invertIfNegative val="0"/>
            <c:bubble3D val="0"/>
            <c:extLst>
              <c:ext xmlns:c16="http://schemas.microsoft.com/office/drawing/2014/chart" uri="{C3380CC4-5D6E-409C-BE32-E72D297353CC}">
                <c16:uniqueId val="{00000000-B9D8-4A80-B765-CECF5CDBEE83}"/>
              </c:ext>
            </c:extLst>
          </c:dPt>
          <c:cat>
            <c:strRef>
              <c:f>'G16'!$F$15:$F$39</c:f>
              <c:strCache>
                <c:ptCount val="25"/>
                <c:pt idx="0">
                  <c:v>Švýcarsko</c:v>
                </c:pt>
                <c:pt idx="1">
                  <c:v>Nizozemí</c:v>
                </c:pt>
                <c:pt idx="2">
                  <c:v>Rakousko</c:v>
                </c:pt>
                <c:pt idx="3">
                  <c:v>Švédsko</c:v>
                </c:pt>
                <c:pt idx="4">
                  <c:v>Norsko</c:v>
                </c:pt>
                <c:pt idx="5">
                  <c:v>Německo</c:v>
                </c:pt>
                <c:pt idx="6">
                  <c:v>Finsko</c:v>
                </c:pt>
                <c:pt idx="7">
                  <c:v>Spojené království</c:v>
                </c:pt>
                <c:pt idx="8">
                  <c:v>Kypr</c:v>
                </c:pt>
                <c:pt idx="9">
                  <c:v>Lotyšsko</c:v>
                </c:pt>
                <c:pt idx="10">
                  <c:v>Lucembursko</c:v>
                </c:pt>
                <c:pt idx="11">
                  <c:v>Slovensko</c:v>
                </c:pt>
                <c:pt idx="12">
                  <c:v>Česká republika</c:v>
                </c:pt>
                <c:pt idx="13">
                  <c:v>Portugalsko</c:v>
                </c:pt>
                <c:pt idx="14">
                  <c:v>Slovinsko</c:v>
                </c:pt>
                <c:pt idx="15">
                  <c:v>Španělsko</c:v>
                </c:pt>
                <c:pt idx="16">
                  <c:v>Malta</c:v>
                </c:pt>
                <c:pt idx="17">
                  <c:v>Chorvatsko</c:v>
                </c:pt>
                <c:pt idx="18">
                  <c:v>Litva</c:v>
                </c:pt>
                <c:pt idx="19">
                  <c:v>Bulharsko</c:v>
                </c:pt>
                <c:pt idx="20">
                  <c:v>Polsko</c:v>
                </c:pt>
                <c:pt idx="21">
                  <c:v>Srbsko</c:v>
                </c:pt>
                <c:pt idx="22">
                  <c:v>Řecko</c:v>
                </c:pt>
                <c:pt idx="23">
                  <c:v>Makedonie</c:v>
                </c:pt>
                <c:pt idx="24">
                  <c:v>Rumunsko</c:v>
                </c:pt>
              </c:strCache>
            </c:strRef>
          </c:cat>
          <c:val>
            <c:numRef>
              <c:f>'G16'!$H$15:$H$39</c:f>
              <c:numCache>
                <c:formatCode>0.0%</c:formatCode>
                <c:ptCount val="25"/>
                <c:pt idx="0">
                  <c:v>0.67500000000000004</c:v>
                </c:pt>
                <c:pt idx="1">
                  <c:v>0.61499999999999999</c:v>
                </c:pt>
                <c:pt idx="2">
                  <c:v>0.58399999999999996</c:v>
                </c:pt>
                <c:pt idx="3">
                  <c:v>0.56499999999999995</c:v>
                </c:pt>
                <c:pt idx="4">
                  <c:v>0.54900000000000004</c:v>
                </c:pt>
                <c:pt idx="5">
                  <c:v>0.502</c:v>
                </c:pt>
                <c:pt idx="6">
                  <c:v>0.47899999999999998</c:v>
                </c:pt>
                <c:pt idx="7">
                  <c:v>0.47499999999999998</c:v>
                </c:pt>
                <c:pt idx="8">
                  <c:v>0.47199999999999998</c:v>
                </c:pt>
                <c:pt idx="9">
                  <c:v>0.45700000000000002</c:v>
                </c:pt>
                <c:pt idx="10">
                  <c:v>0.45300000000000001</c:v>
                </c:pt>
                <c:pt idx="11">
                  <c:v>0.45</c:v>
                </c:pt>
                <c:pt idx="12">
                  <c:v>0.44600000000000001</c:v>
                </c:pt>
                <c:pt idx="13">
                  <c:v>0.44400000000000001</c:v>
                </c:pt>
                <c:pt idx="14">
                  <c:v>0.436</c:v>
                </c:pt>
                <c:pt idx="15">
                  <c:v>0.39100000000000001</c:v>
                </c:pt>
                <c:pt idx="16">
                  <c:v>0.33800000000000002</c:v>
                </c:pt>
                <c:pt idx="17">
                  <c:v>0.29799999999999999</c:v>
                </c:pt>
                <c:pt idx="18">
                  <c:v>0.26500000000000001</c:v>
                </c:pt>
                <c:pt idx="19">
                  <c:v>0.22500000000000001</c:v>
                </c:pt>
                <c:pt idx="20">
                  <c:v>0.222</c:v>
                </c:pt>
                <c:pt idx="21">
                  <c:v>0.182</c:v>
                </c:pt>
                <c:pt idx="22">
                  <c:v>0.14000000000000001</c:v>
                </c:pt>
                <c:pt idx="23">
                  <c:v>0.104</c:v>
                </c:pt>
                <c:pt idx="24">
                  <c:v>5.6000000000000001E-2</c:v>
                </c:pt>
              </c:numCache>
            </c:numRef>
          </c:val>
          <c:extLst>
            <c:ext xmlns:c16="http://schemas.microsoft.com/office/drawing/2014/chart" uri="{C3380CC4-5D6E-409C-BE32-E72D297353CC}">
              <c16:uniqueId val="{00000001-B9D8-4A80-B765-CECF5CDBEE83}"/>
            </c:ext>
          </c:extLst>
        </c:ser>
        <c:dLbls>
          <c:showLegendKey val="0"/>
          <c:showVal val="0"/>
          <c:showCatName val="0"/>
          <c:showSerName val="0"/>
          <c:showPercent val="0"/>
          <c:showBubbleSize val="0"/>
        </c:dLbls>
        <c:gapWidth val="150"/>
        <c:axId val="-2114617704"/>
        <c:axId val="-2118000552"/>
      </c:barChart>
      <c:scatterChart>
        <c:scatterStyle val="lineMarker"/>
        <c:varyColors val="0"/>
        <c:ser>
          <c:idx val="1"/>
          <c:order val="0"/>
          <c:tx>
            <c:strRef>
              <c:f>'G16'!$G$4</c:f>
              <c:strCache>
                <c:ptCount val="1"/>
                <c:pt idx="0">
                  <c:v> průměrný počet hodin na účastníka ročně</c:v>
                </c:pt>
              </c:strCache>
            </c:strRef>
          </c:tx>
          <c:spPr>
            <a:ln w="28575">
              <a:noFill/>
            </a:ln>
          </c:spPr>
          <c:dPt>
            <c:idx val="12"/>
            <c:bubble3D val="0"/>
            <c:extLst>
              <c:ext xmlns:c16="http://schemas.microsoft.com/office/drawing/2014/chart" uri="{C3380CC4-5D6E-409C-BE32-E72D297353CC}">
                <c16:uniqueId val="{00000002-B9D8-4A80-B765-CECF5CDBEE83}"/>
              </c:ext>
            </c:extLst>
          </c:dPt>
          <c:xVal>
            <c:strRef>
              <c:f>'G16'!$F$15:$F$39</c:f>
              <c:strCache>
                <c:ptCount val="25"/>
                <c:pt idx="0">
                  <c:v>Švýcarsko</c:v>
                </c:pt>
                <c:pt idx="1">
                  <c:v>Nizozemí</c:v>
                </c:pt>
                <c:pt idx="2">
                  <c:v>Rakousko</c:v>
                </c:pt>
                <c:pt idx="3">
                  <c:v>Švédsko</c:v>
                </c:pt>
                <c:pt idx="4">
                  <c:v>Norsko</c:v>
                </c:pt>
                <c:pt idx="5">
                  <c:v>Německo</c:v>
                </c:pt>
                <c:pt idx="6">
                  <c:v>Finsko</c:v>
                </c:pt>
                <c:pt idx="7">
                  <c:v>Spojené království</c:v>
                </c:pt>
                <c:pt idx="8">
                  <c:v>Kypr</c:v>
                </c:pt>
                <c:pt idx="9">
                  <c:v>Lotyšsko</c:v>
                </c:pt>
                <c:pt idx="10">
                  <c:v>Lucembursko</c:v>
                </c:pt>
                <c:pt idx="11">
                  <c:v>Slovensko</c:v>
                </c:pt>
                <c:pt idx="12">
                  <c:v>Česká republika</c:v>
                </c:pt>
                <c:pt idx="13">
                  <c:v>Portugalsko</c:v>
                </c:pt>
                <c:pt idx="14">
                  <c:v>Slovinsko</c:v>
                </c:pt>
                <c:pt idx="15">
                  <c:v>Španělsko</c:v>
                </c:pt>
                <c:pt idx="16">
                  <c:v>Malta</c:v>
                </c:pt>
                <c:pt idx="17">
                  <c:v>Chorvatsko</c:v>
                </c:pt>
                <c:pt idx="18">
                  <c:v>Litva</c:v>
                </c:pt>
                <c:pt idx="19">
                  <c:v>Bulharsko</c:v>
                </c:pt>
                <c:pt idx="20">
                  <c:v>Polsko</c:v>
                </c:pt>
                <c:pt idx="21">
                  <c:v>Srbsko</c:v>
                </c:pt>
                <c:pt idx="22">
                  <c:v>Řecko</c:v>
                </c:pt>
                <c:pt idx="23">
                  <c:v>Makedonie</c:v>
                </c:pt>
                <c:pt idx="24">
                  <c:v>Rumunsko</c:v>
                </c:pt>
              </c:strCache>
            </c:strRef>
          </c:xVal>
          <c:yVal>
            <c:numRef>
              <c:f>'G16'!$G$15:$G$39</c:f>
              <c:numCache>
                <c:formatCode>#,##0</c:formatCode>
                <c:ptCount val="25"/>
                <c:pt idx="0">
                  <c:v>71</c:v>
                </c:pt>
                <c:pt idx="1">
                  <c:v>62</c:v>
                </c:pt>
                <c:pt idx="2">
                  <c:v>87</c:v>
                </c:pt>
                <c:pt idx="3">
                  <c:v>56</c:v>
                </c:pt>
                <c:pt idx="4">
                  <c:v>50</c:v>
                </c:pt>
                <c:pt idx="5">
                  <c:v>68</c:v>
                </c:pt>
                <c:pt idx="6">
                  <c:v>76</c:v>
                </c:pt>
                <c:pt idx="7">
                  <c:v>91</c:v>
                </c:pt>
                <c:pt idx="8">
                  <c:v>48</c:v>
                </c:pt>
                <c:pt idx="9">
                  <c:v>76</c:v>
                </c:pt>
                <c:pt idx="10">
                  <c:v>78</c:v>
                </c:pt>
                <c:pt idx="11">
                  <c:v>36</c:v>
                </c:pt>
                <c:pt idx="12">
                  <c:v>35</c:v>
                </c:pt>
                <c:pt idx="13">
                  <c:v>80</c:v>
                </c:pt>
                <c:pt idx="14">
                  <c:v>142</c:v>
                </c:pt>
                <c:pt idx="15">
                  <c:v>106</c:v>
                </c:pt>
                <c:pt idx="16">
                  <c:v>82</c:v>
                </c:pt>
                <c:pt idx="17">
                  <c:v>72</c:v>
                </c:pt>
                <c:pt idx="18">
                  <c:v>42</c:v>
                </c:pt>
                <c:pt idx="19">
                  <c:v>59</c:v>
                </c:pt>
                <c:pt idx="20">
                  <c:v>76</c:v>
                </c:pt>
                <c:pt idx="21">
                  <c:v>36</c:v>
                </c:pt>
                <c:pt idx="22">
                  <c:v>63</c:v>
                </c:pt>
                <c:pt idx="23">
                  <c:v>64</c:v>
                </c:pt>
                <c:pt idx="24">
                  <c:v>37</c:v>
                </c:pt>
              </c:numCache>
            </c:numRef>
          </c:yVal>
          <c:smooth val="0"/>
          <c:extLst>
            <c:ext xmlns:c16="http://schemas.microsoft.com/office/drawing/2014/chart" uri="{C3380CC4-5D6E-409C-BE32-E72D297353CC}">
              <c16:uniqueId val="{00000003-B9D8-4A80-B765-CECF5CDBEE83}"/>
            </c:ext>
          </c:extLst>
        </c:ser>
        <c:dLbls>
          <c:showLegendKey val="0"/>
          <c:showVal val="0"/>
          <c:showCatName val="0"/>
          <c:showSerName val="0"/>
          <c:showPercent val="0"/>
          <c:showBubbleSize val="0"/>
        </c:dLbls>
        <c:axId val="-2098024968"/>
        <c:axId val="-2097248008"/>
      </c:scatterChart>
      <c:catAx>
        <c:axId val="-2114617704"/>
        <c:scaling>
          <c:orientation val="minMax"/>
        </c:scaling>
        <c:delete val="0"/>
        <c:axPos val="b"/>
        <c:majorGridlines/>
        <c:numFmt formatCode="General" sourceLinked="1"/>
        <c:majorTickMark val="none"/>
        <c:minorTickMark val="none"/>
        <c:tickLblPos val="nextTo"/>
        <c:crossAx val="-2118000552"/>
        <c:crosses val="autoZero"/>
        <c:auto val="1"/>
        <c:lblAlgn val="ctr"/>
        <c:lblOffset val="100"/>
        <c:noMultiLvlLbl val="0"/>
      </c:catAx>
      <c:valAx>
        <c:axId val="-2118000552"/>
        <c:scaling>
          <c:orientation val="minMax"/>
          <c:max val="0.8"/>
          <c:min val="0"/>
        </c:scaling>
        <c:delete val="0"/>
        <c:axPos val="l"/>
        <c:majorGridlines/>
        <c:numFmt formatCode="0%" sourceLinked="0"/>
        <c:majorTickMark val="none"/>
        <c:minorTickMark val="none"/>
        <c:tickLblPos val="nextTo"/>
        <c:crossAx val="-2114617704"/>
        <c:crosses val="autoZero"/>
        <c:crossBetween val="between"/>
      </c:valAx>
      <c:valAx>
        <c:axId val="-2097248008"/>
        <c:scaling>
          <c:orientation val="minMax"/>
          <c:max val="160"/>
          <c:min val="0"/>
        </c:scaling>
        <c:delete val="0"/>
        <c:axPos val="r"/>
        <c:title>
          <c:tx>
            <c:rich>
              <a:bodyPr rot="-5400000" vert="horz"/>
              <a:lstStyle/>
              <a:p>
                <a:pPr>
                  <a:defRPr/>
                </a:pPr>
                <a:r>
                  <a:rPr lang="en-US"/>
                  <a:t>průměrný počet hodin</a:t>
                </a:r>
              </a:p>
            </c:rich>
          </c:tx>
          <c:overlay val="0"/>
        </c:title>
        <c:numFmt formatCode="#,##0" sourceLinked="1"/>
        <c:majorTickMark val="out"/>
        <c:minorTickMark val="none"/>
        <c:tickLblPos val="nextTo"/>
        <c:crossAx val="-2098024968"/>
        <c:crosses val="max"/>
        <c:crossBetween val="midCat"/>
      </c:valAx>
      <c:valAx>
        <c:axId val="-2098024968"/>
        <c:scaling>
          <c:orientation val="minMax"/>
        </c:scaling>
        <c:delete val="1"/>
        <c:axPos val="b"/>
        <c:numFmt formatCode="General" sourceLinked="1"/>
        <c:majorTickMark val="out"/>
        <c:minorTickMark val="none"/>
        <c:tickLblPos val="none"/>
        <c:crossAx val="-2097248008"/>
        <c:crosses val="autoZero"/>
        <c:crossBetween val="midCat"/>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Pracovně orientované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Nejvýše ZV</c:v>
                </c:pt>
                <c:pt idx="2">
                  <c:v>SŠ bez maturity</c:v>
                </c:pt>
                <c:pt idx="3">
                  <c:v>SŠ s maturitou</c:v>
                </c:pt>
                <c:pt idx="4">
                  <c:v>VOŠ a VŠ</c:v>
                </c:pt>
              </c:strCache>
            </c:strRef>
          </c:cat>
          <c:val>
            <c:numRef>
              <c:f>Sheet1!$B$2:$B$6</c:f>
              <c:numCache>
                <c:formatCode>General</c:formatCode>
                <c:ptCount val="5"/>
                <c:pt idx="0">
                  <c:v>33</c:v>
                </c:pt>
                <c:pt idx="1">
                  <c:v>10</c:v>
                </c:pt>
                <c:pt idx="2">
                  <c:v>27</c:v>
                </c:pt>
                <c:pt idx="3">
                  <c:v>36</c:v>
                </c:pt>
                <c:pt idx="4">
                  <c:v>50</c:v>
                </c:pt>
              </c:numCache>
            </c:numRef>
          </c:val>
          <c:extLst>
            <c:ext xmlns:c16="http://schemas.microsoft.com/office/drawing/2014/chart" uri="{C3380CC4-5D6E-409C-BE32-E72D297353CC}">
              <c16:uniqueId val="{00000000-7534-495E-B691-9FAB7883E571}"/>
            </c:ext>
          </c:extLst>
        </c:ser>
        <c:ser>
          <c:idx val="1"/>
          <c:order val="1"/>
          <c:tx>
            <c:strRef>
              <c:f>Sheet1!$C$1</c:f>
              <c:strCache>
                <c:ptCount val="1"/>
                <c:pt idx="0">
                  <c:v>Mimopracovně orientované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Nejvýše ZV</c:v>
                </c:pt>
                <c:pt idx="2">
                  <c:v>SŠ bez maturity</c:v>
                </c:pt>
                <c:pt idx="3">
                  <c:v>SŠ s maturitou</c:v>
                </c:pt>
                <c:pt idx="4">
                  <c:v>VOŠ a VŠ</c:v>
                </c:pt>
              </c:strCache>
            </c:strRef>
          </c:cat>
          <c:val>
            <c:numRef>
              <c:f>Sheet1!$C$2:$C$6</c:f>
              <c:numCache>
                <c:formatCode>General</c:formatCode>
                <c:ptCount val="5"/>
                <c:pt idx="0">
                  <c:v>7</c:v>
                </c:pt>
                <c:pt idx="1">
                  <c:v>7</c:v>
                </c:pt>
                <c:pt idx="2">
                  <c:v>3</c:v>
                </c:pt>
                <c:pt idx="3">
                  <c:v>8</c:v>
                </c:pt>
                <c:pt idx="4">
                  <c:v>9</c:v>
                </c:pt>
              </c:numCache>
            </c:numRef>
          </c:val>
          <c:extLst>
            <c:ext xmlns:c16="http://schemas.microsoft.com/office/drawing/2014/chart" uri="{C3380CC4-5D6E-409C-BE32-E72D297353CC}">
              <c16:uniqueId val="{00000001-7534-495E-B691-9FAB7883E571}"/>
            </c:ext>
          </c:extLst>
        </c:ser>
        <c:dLbls>
          <c:showLegendKey val="0"/>
          <c:showVal val="1"/>
          <c:showCatName val="0"/>
          <c:showSerName val="0"/>
          <c:showPercent val="0"/>
          <c:showBubbleSize val="0"/>
        </c:dLbls>
        <c:gapWidth val="75"/>
        <c:shape val="box"/>
        <c:axId val="-2141249000"/>
        <c:axId val="2102780232"/>
        <c:axId val="0"/>
      </c:bar3DChart>
      <c:catAx>
        <c:axId val="-2141249000"/>
        <c:scaling>
          <c:orientation val="minMax"/>
        </c:scaling>
        <c:delete val="0"/>
        <c:axPos val="b"/>
        <c:numFmt formatCode="General" sourceLinked="0"/>
        <c:majorTickMark val="none"/>
        <c:minorTickMark val="none"/>
        <c:tickLblPos val="nextTo"/>
        <c:crossAx val="2102780232"/>
        <c:crosses val="autoZero"/>
        <c:auto val="1"/>
        <c:lblAlgn val="ctr"/>
        <c:lblOffset val="100"/>
        <c:noMultiLvlLbl val="0"/>
      </c:catAx>
      <c:valAx>
        <c:axId val="2102780232"/>
        <c:scaling>
          <c:orientation val="minMax"/>
        </c:scaling>
        <c:delete val="0"/>
        <c:axPos val="l"/>
        <c:numFmt formatCode="General" sourceLinked="1"/>
        <c:majorTickMark val="none"/>
        <c:minorTickMark val="none"/>
        <c:tickLblPos val="nextTo"/>
        <c:crossAx val="-2141249000"/>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cat>
            <c:strRef>
              <c:f>Sheet1!$A$2:$A$6</c:f>
              <c:strCache>
                <c:ptCount val="5"/>
                <c:pt idx="0">
                  <c:v>Pracující celkem</c:v>
                </c:pt>
                <c:pt idx="1">
                  <c:v>Zaměstnanci</c:v>
                </c:pt>
                <c:pt idx="2">
                  <c:v>Podnikatelé</c:v>
                </c:pt>
                <c:pt idx="3">
                  <c:v>Nezaměstnaní</c:v>
                </c:pt>
                <c:pt idx="4">
                  <c:v>Na RD/v domácnosti</c:v>
                </c:pt>
              </c:strCache>
            </c:strRef>
          </c:cat>
          <c:val>
            <c:numRef>
              <c:f>Sheet1!$B$2:$B$6</c:f>
              <c:numCache>
                <c:formatCode>0%</c:formatCode>
                <c:ptCount val="5"/>
                <c:pt idx="0">
                  <c:v>0.48</c:v>
                </c:pt>
                <c:pt idx="1">
                  <c:v>0.5</c:v>
                </c:pt>
                <c:pt idx="2">
                  <c:v>0.36</c:v>
                </c:pt>
                <c:pt idx="3">
                  <c:v>0.13</c:v>
                </c:pt>
                <c:pt idx="4">
                  <c:v>7.0000000000000007E-2</c:v>
                </c:pt>
              </c:numCache>
            </c:numRef>
          </c:val>
          <c:extLst>
            <c:ext xmlns:c16="http://schemas.microsoft.com/office/drawing/2014/chart" uri="{C3380CC4-5D6E-409C-BE32-E72D297353CC}">
              <c16:uniqueId val="{00000000-F633-40BF-AFA6-ED9C1CF9EA78}"/>
            </c:ext>
          </c:extLst>
        </c:ser>
        <c:dLbls>
          <c:showLegendKey val="0"/>
          <c:showVal val="0"/>
          <c:showCatName val="0"/>
          <c:showSerName val="0"/>
          <c:showPercent val="0"/>
          <c:showBubbleSize val="0"/>
        </c:dLbls>
        <c:gapWidth val="150"/>
        <c:shape val="box"/>
        <c:axId val="-2106843560"/>
        <c:axId val="-2111338936"/>
        <c:axId val="0"/>
      </c:bar3DChart>
      <c:catAx>
        <c:axId val="-2106843560"/>
        <c:scaling>
          <c:orientation val="minMax"/>
        </c:scaling>
        <c:delete val="0"/>
        <c:axPos val="b"/>
        <c:numFmt formatCode="General" sourceLinked="0"/>
        <c:majorTickMark val="out"/>
        <c:minorTickMark val="none"/>
        <c:tickLblPos val="nextTo"/>
        <c:crossAx val="-2111338936"/>
        <c:crosses val="autoZero"/>
        <c:auto val="1"/>
        <c:lblAlgn val="ctr"/>
        <c:lblOffset val="100"/>
        <c:noMultiLvlLbl val="0"/>
      </c:catAx>
      <c:valAx>
        <c:axId val="-2111338936"/>
        <c:scaling>
          <c:orientation val="minMax"/>
        </c:scaling>
        <c:delete val="0"/>
        <c:axPos val="l"/>
        <c:majorGridlines/>
        <c:numFmt formatCode="0%" sourceLinked="1"/>
        <c:majorTickMark val="out"/>
        <c:minorTickMark val="none"/>
        <c:tickLblPos val="nextTo"/>
        <c:crossAx val="-2106843560"/>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cat>
            <c:strRef>
              <c:f>Sheet1!$A$2:$A$11</c:f>
              <c:strCache>
                <c:ptCount val="10"/>
                <c:pt idx="0">
                  <c:v>Pracující celkem</c:v>
                </c:pt>
                <c:pt idx="1">
                  <c:v>Pomocní a nekvalif. pracovníci (9)</c:v>
                </c:pt>
                <c:pt idx="2">
                  <c:v>Kvalif. prac. v zem., lesnictví a rybář. (6)</c:v>
                </c:pt>
                <c:pt idx="3">
                  <c:v>Pracovníci ve službách a prodeji (5)</c:v>
                </c:pt>
                <c:pt idx="4">
                  <c:v>Řemeslníci a opraváři (7)</c:v>
                </c:pt>
                <c:pt idx="5">
                  <c:v>Obsluha strojů a zařízení, montéři (8)</c:v>
                </c:pt>
                <c:pt idx="6">
                  <c:v>Úředníci (4)</c:v>
                </c:pt>
                <c:pt idx="7">
                  <c:v>Zákonodárci a řídící pracovníci (1)</c:v>
                </c:pt>
                <c:pt idx="8">
                  <c:v>Techničtí a odborní pracovníci (3)</c:v>
                </c:pt>
                <c:pt idx="9">
                  <c:v>Specialisté (2)</c:v>
                </c:pt>
              </c:strCache>
            </c:strRef>
          </c:cat>
          <c:val>
            <c:numRef>
              <c:f>Sheet1!$B$2:$B$11</c:f>
              <c:numCache>
                <c:formatCode>0%</c:formatCode>
                <c:ptCount val="10"/>
                <c:pt idx="0">
                  <c:v>0.48</c:v>
                </c:pt>
                <c:pt idx="1">
                  <c:v>0.21</c:v>
                </c:pt>
                <c:pt idx="2">
                  <c:v>0.26</c:v>
                </c:pt>
                <c:pt idx="3">
                  <c:v>0.34</c:v>
                </c:pt>
                <c:pt idx="4">
                  <c:v>0.37</c:v>
                </c:pt>
                <c:pt idx="5">
                  <c:v>0.5</c:v>
                </c:pt>
                <c:pt idx="6">
                  <c:v>0.56000000000000005</c:v>
                </c:pt>
                <c:pt idx="7">
                  <c:v>0.59</c:v>
                </c:pt>
                <c:pt idx="8">
                  <c:v>0.61</c:v>
                </c:pt>
                <c:pt idx="9">
                  <c:v>0.63</c:v>
                </c:pt>
              </c:numCache>
            </c:numRef>
          </c:val>
          <c:extLst>
            <c:ext xmlns:c16="http://schemas.microsoft.com/office/drawing/2014/chart" uri="{C3380CC4-5D6E-409C-BE32-E72D297353CC}">
              <c16:uniqueId val="{00000000-4663-4EC5-B024-6ADE90161072}"/>
            </c:ext>
          </c:extLst>
        </c:ser>
        <c:dLbls>
          <c:showLegendKey val="0"/>
          <c:showVal val="0"/>
          <c:showCatName val="0"/>
          <c:showSerName val="0"/>
          <c:showPercent val="0"/>
          <c:showBubbleSize val="0"/>
        </c:dLbls>
        <c:gapWidth val="150"/>
        <c:shape val="box"/>
        <c:axId val="-2106738584"/>
        <c:axId val="-2139332632"/>
        <c:axId val="0"/>
      </c:bar3DChart>
      <c:catAx>
        <c:axId val="-2106738584"/>
        <c:scaling>
          <c:orientation val="minMax"/>
        </c:scaling>
        <c:delete val="0"/>
        <c:axPos val="b"/>
        <c:numFmt formatCode="General" sourceLinked="0"/>
        <c:majorTickMark val="out"/>
        <c:minorTickMark val="none"/>
        <c:tickLblPos val="nextTo"/>
        <c:txPr>
          <a:bodyPr/>
          <a:lstStyle/>
          <a:p>
            <a:pPr>
              <a:defRPr sz="900"/>
            </a:pPr>
            <a:endParaRPr lang="cs-CZ"/>
          </a:p>
        </c:txPr>
        <c:crossAx val="-2139332632"/>
        <c:crosses val="autoZero"/>
        <c:auto val="1"/>
        <c:lblAlgn val="ctr"/>
        <c:lblOffset val="100"/>
        <c:noMultiLvlLbl val="0"/>
      </c:catAx>
      <c:valAx>
        <c:axId val="-2139332632"/>
        <c:scaling>
          <c:orientation val="minMax"/>
        </c:scaling>
        <c:delete val="0"/>
        <c:axPos val="l"/>
        <c:majorGridlines/>
        <c:numFmt formatCode="0%" sourceLinked="1"/>
        <c:majorTickMark val="out"/>
        <c:minorTickMark val="none"/>
        <c:tickLblPos val="nextTo"/>
        <c:crossAx val="-2106738584"/>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Celkem</c:v>
                </c:pt>
              </c:strCache>
            </c:strRef>
          </c:tx>
          <c:invertIfNegative val="0"/>
          <c:cat>
            <c:strRef>
              <c:f>Sheet1!$A$2:$A$24</c:f>
              <c:strCache>
                <c:ptCount val="23"/>
                <c:pt idx="0">
                  <c:v>NL</c:v>
                </c:pt>
                <c:pt idx="1">
                  <c:v>SE</c:v>
                </c:pt>
                <c:pt idx="2">
                  <c:v>AT</c:v>
                </c:pt>
                <c:pt idx="3">
                  <c:v>HU</c:v>
                </c:pt>
                <c:pt idx="4">
                  <c:v>FI</c:v>
                </c:pt>
                <c:pt idx="5">
                  <c:v>UK</c:v>
                </c:pt>
                <c:pt idx="6">
                  <c:v>DE</c:v>
                </c:pt>
                <c:pt idx="7">
                  <c:v>FR</c:v>
                </c:pt>
                <c:pt idx="8">
                  <c:v>DK</c:v>
                </c:pt>
                <c:pt idx="9">
                  <c:v>CY</c:v>
                </c:pt>
                <c:pt idx="10">
                  <c:v>LU</c:v>
                </c:pt>
                <c:pt idx="11">
                  <c:v>LV</c:v>
                </c:pt>
                <c:pt idx="12">
                  <c:v>CZ</c:v>
                </c:pt>
                <c:pt idx="13">
                  <c:v>PT</c:v>
                </c:pt>
                <c:pt idx="14">
                  <c:v>SI</c:v>
                </c:pt>
                <c:pt idx="15">
                  <c:v>BE</c:v>
                </c:pt>
                <c:pt idx="16">
                  <c:v>EU</c:v>
                </c:pt>
                <c:pt idx="17">
                  <c:v>EE</c:v>
                </c:pt>
                <c:pt idx="18">
                  <c:v>ES</c:v>
                </c:pt>
                <c:pt idx="19">
                  <c:v>IT</c:v>
                </c:pt>
                <c:pt idx="20">
                  <c:v>MT</c:v>
                </c:pt>
                <c:pt idx="21">
                  <c:v>PL</c:v>
                </c:pt>
                <c:pt idx="22">
                  <c:v>BG</c:v>
                </c:pt>
              </c:strCache>
            </c:strRef>
          </c:cat>
          <c:val>
            <c:numRef>
              <c:f>Sheet1!$B$2:$B$24</c:f>
              <c:numCache>
                <c:formatCode>General</c:formatCode>
                <c:ptCount val="23"/>
                <c:pt idx="0">
                  <c:v>64.099999999999994</c:v>
                </c:pt>
                <c:pt idx="1">
                  <c:v>63.8</c:v>
                </c:pt>
                <c:pt idx="2">
                  <c:v>59.9</c:v>
                </c:pt>
                <c:pt idx="3">
                  <c:v>55.7</c:v>
                </c:pt>
                <c:pt idx="4">
                  <c:v>54.1</c:v>
                </c:pt>
                <c:pt idx="5">
                  <c:v>52.1</c:v>
                </c:pt>
                <c:pt idx="6">
                  <c:v>52</c:v>
                </c:pt>
                <c:pt idx="7">
                  <c:v>51.3</c:v>
                </c:pt>
                <c:pt idx="8">
                  <c:v>50.4</c:v>
                </c:pt>
                <c:pt idx="9">
                  <c:v>48.1</c:v>
                </c:pt>
                <c:pt idx="10">
                  <c:v>48.1</c:v>
                </c:pt>
                <c:pt idx="11">
                  <c:v>47.5</c:v>
                </c:pt>
                <c:pt idx="12">
                  <c:v>46.1</c:v>
                </c:pt>
                <c:pt idx="13">
                  <c:v>46.1</c:v>
                </c:pt>
                <c:pt idx="14">
                  <c:v>46.1</c:v>
                </c:pt>
                <c:pt idx="15">
                  <c:v>45.2</c:v>
                </c:pt>
                <c:pt idx="16">
                  <c:v>45.1</c:v>
                </c:pt>
                <c:pt idx="17">
                  <c:v>44</c:v>
                </c:pt>
                <c:pt idx="18">
                  <c:v>43.4</c:v>
                </c:pt>
                <c:pt idx="19">
                  <c:v>41.5</c:v>
                </c:pt>
                <c:pt idx="20">
                  <c:v>36.299999999999997</c:v>
                </c:pt>
                <c:pt idx="21">
                  <c:v>25.5</c:v>
                </c:pt>
                <c:pt idx="22">
                  <c:v>24.6</c:v>
                </c:pt>
              </c:numCache>
            </c:numRef>
          </c:val>
          <c:extLst>
            <c:ext xmlns:c16="http://schemas.microsoft.com/office/drawing/2014/chart" uri="{C3380CC4-5D6E-409C-BE32-E72D297353CC}">
              <c16:uniqueId val="{00000000-9A5C-481F-91E7-25A9EED4C54A}"/>
            </c:ext>
          </c:extLst>
        </c:ser>
        <c:ser>
          <c:idx val="1"/>
          <c:order val="1"/>
          <c:tx>
            <c:strRef>
              <c:f>Sheet1!$C$1</c:f>
              <c:strCache>
                <c:ptCount val="1"/>
                <c:pt idx="0">
                  <c:v>S primárním vzděláním</c:v>
                </c:pt>
              </c:strCache>
            </c:strRef>
          </c:tx>
          <c:invertIfNegative val="0"/>
          <c:cat>
            <c:strRef>
              <c:f>Sheet1!$A$2:$A$24</c:f>
              <c:strCache>
                <c:ptCount val="23"/>
                <c:pt idx="0">
                  <c:v>NL</c:v>
                </c:pt>
                <c:pt idx="1">
                  <c:v>SE</c:v>
                </c:pt>
                <c:pt idx="2">
                  <c:v>AT</c:v>
                </c:pt>
                <c:pt idx="3">
                  <c:v>HU</c:v>
                </c:pt>
                <c:pt idx="4">
                  <c:v>FI</c:v>
                </c:pt>
                <c:pt idx="5">
                  <c:v>UK</c:v>
                </c:pt>
                <c:pt idx="6">
                  <c:v>DE</c:v>
                </c:pt>
                <c:pt idx="7">
                  <c:v>FR</c:v>
                </c:pt>
                <c:pt idx="8">
                  <c:v>DK</c:v>
                </c:pt>
                <c:pt idx="9">
                  <c:v>CY</c:v>
                </c:pt>
                <c:pt idx="10">
                  <c:v>LU</c:v>
                </c:pt>
                <c:pt idx="11">
                  <c:v>LV</c:v>
                </c:pt>
                <c:pt idx="12">
                  <c:v>CZ</c:v>
                </c:pt>
                <c:pt idx="13">
                  <c:v>PT</c:v>
                </c:pt>
                <c:pt idx="14">
                  <c:v>SI</c:v>
                </c:pt>
                <c:pt idx="15">
                  <c:v>BE</c:v>
                </c:pt>
                <c:pt idx="16">
                  <c:v>EU</c:v>
                </c:pt>
                <c:pt idx="17">
                  <c:v>EE</c:v>
                </c:pt>
                <c:pt idx="18">
                  <c:v>ES</c:v>
                </c:pt>
                <c:pt idx="19">
                  <c:v>IT</c:v>
                </c:pt>
                <c:pt idx="20">
                  <c:v>MT</c:v>
                </c:pt>
                <c:pt idx="21">
                  <c:v>PL</c:v>
                </c:pt>
                <c:pt idx="22">
                  <c:v>BG</c:v>
                </c:pt>
              </c:strCache>
            </c:strRef>
          </c:cat>
          <c:val>
            <c:numRef>
              <c:f>Sheet1!$C$2:$C$24</c:f>
              <c:numCache>
                <c:formatCode>General</c:formatCode>
                <c:ptCount val="23"/>
                <c:pt idx="0">
                  <c:v>38.299999999999997</c:v>
                </c:pt>
                <c:pt idx="1">
                  <c:v>45.1</c:v>
                </c:pt>
                <c:pt idx="2">
                  <c:v>31.3</c:v>
                </c:pt>
                <c:pt idx="3">
                  <c:v>41.6</c:v>
                </c:pt>
                <c:pt idx="4">
                  <c:v>36.299999999999997</c:v>
                </c:pt>
                <c:pt idx="5">
                  <c:v>28.1</c:v>
                </c:pt>
                <c:pt idx="6">
                  <c:v>27.4</c:v>
                </c:pt>
                <c:pt idx="7">
                  <c:v>25.1</c:v>
                </c:pt>
                <c:pt idx="8">
                  <c:v>31.6</c:v>
                </c:pt>
                <c:pt idx="9">
                  <c:v>24.4</c:v>
                </c:pt>
                <c:pt idx="10">
                  <c:v>21.1</c:v>
                </c:pt>
                <c:pt idx="11">
                  <c:v>26.7</c:v>
                </c:pt>
                <c:pt idx="12">
                  <c:v>16.2</c:v>
                </c:pt>
                <c:pt idx="13">
                  <c:v>31.5</c:v>
                </c:pt>
                <c:pt idx="14">
                  <c:v>14.7</c:v>
                </c:pt>
                <c:pt idx="15">
                  <c:v>20.3</c:v>
                </c:pt>
                <c:pt idx="16">
                  <c:v>24</c:v>
                </c:pt>
                <c:pt idx="17">
                  <c:v>23.5</c:v>
                </c:pt>
                <c:pt idx="18">
                  <c:v>23.8</c:v>
                </c:pt>
                <c:pt idx="19">
                  <c:v>21.2</c:v>
                </c:pt>
                <c:pt idx="20">
                  <c:v>24.3</c:v>
                </c:pt>
                <c:pt idx="21">
                  <c:v>5.4</c:v>
                </c:pt>
                <c:pt idx="22">
                  <c:v>7.6</c:v>
                </c:pt>
              </c:numCache>
            </c:numRef>
          </c:val>
          <c:extLst>
            <c:ext xmlns:c16="http://schemas.microsoft.com/office/drawing/2014/chart" uri="{C3380CC4-5D6E-409C-BE32-E72D297353CC}">
              <c16:uniqueId val="{00000001-9A5C-481F-91E7-25A9EED4C54A}"/>
            </c:ext>
          </c:extLst>
        </c:ser>
        <c:dLbls>
          <c:showLegendKey val="0"/>
          <c:showVal val="0"/>
          <c:showCatName val="0"/>
          <c:showSerName val="0"/>
          <c:showPercent val="0"/>
          <c:showBubbleSize val="0"/>
        </c:dLbls>
        <c:gapWidth val="75"/>
        <c:shape val="box"/>
        <c:axId val="-2101941416"/>
        <c:axId val="-2122117032"/>
        <c:axId val="0"/>
      </c:bar3DChart>
      <c:catAx>
        <c:axId val="-2101941416"/>
        <c:scaling>
          <c:orientation val="minMax"/>
        </c:scaling>
        <c:delete val="0"/>
        <c:axPos val="b"/>
        <c:numFmt formatCode="General" sourceLinked="0"/>
        <c:majorTickMark val="none"/>
        <c:minorTickMark val="none"/>
        <c:tickLblPos val="nextTo"/>
        <c:crossAx val="-2122117032"/>
        <c:crosses val="autoZero"/>
        <c:auto val="1"/>
        <c:lblAlgn val="ctr"/>
        <c:lblOffset val="100"/>
        <c:noMultiLvlLbl val="0"/>
      </c:catAx>
      <c:valAx>
        <c:axId val="-2122117032"/>
        <c:scaling>
          <c:orientation val="minMax"/>
        </c:scaling>
        <c:delete val="0"/>
        <c:axPos val="l"/>
        <c:majorGridlines/>
        <c:numFmt formatCode="General" sourceLinked="1"/>
        <c:majorTickMark val="none"/>
        <c:minorTickMark val="none"/>
        <c:tickLblPos val="nextTo"/>
        <c:spPr>
          <a:ln w="9525">
            <a:noFill/>
          </a:ln>
        </c:spPr>
        <c:crossAx val="-2101941416"/>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kurzy/školení celkem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250 a více zam.</c:v>
                </c:pt>
              </c:strCache>
            </c:strRef>
          </c:cat>
          <c:val>
            <c:numRef>
              <c:f>Sheet1!$B$2:$B$6</c:f>
              <c:numCache>
                <c:formatCode>General</c:formatCode>
                <c:ptCount val="5"/>
                <c:pt idx="0">
                  <c:v>89</c:v>
                </c:pt>
                <c:pt idx="1">
                  <c:v>87</c:v>
                </c:pt>
                <c:pt idx="2">
                  <c:v>89</c:v>
                </c:pt>
                <c:pt idx="3">
                  <c:v>95</c:v>
                </c:pt>
                <c:pt idx="4">
                  <c:v>99</c:v>
                </c:pt>
              </c:numCache>
            </c:numRef>
          </c:val>
          <c:extLst>
            <c:ext xmlns:c16="http://schemas.microsoft.com/office/drawing/2014/chart" uri="{C3380CC4-5D6E-409C-BE32-E72D297353CC}">
              <c16:uniqueId val="{00000000-C22F-4473-8167-DB0D099808A5}"/>
            </c:ext>
          </c:extLst>
        </c:ser>
        <c:ser>
          <c:idx val="1"/>
          <c:order val="1"/>
          <c:tx>
            <c:strRef>
              <c:f>Sheet1!$C$1</c:f>
              <c:strCache>
                <c:ptCount val="1"/>
                <c:pt idx="0">
                  <c:v>kurzy/školení povinné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250 a více zam.</c:v>
                </c:pt>
              </c:strCache>
            </c:strRef>
          </c:cat>
          <c:val>
            <c:numRef>
              <c:f>Sheet1!$C$2:$C$6</c:f>
              <c:numCache>
                <c:formatCode>General</c:formatCode>
                <c:ptCount val="5"/>
                <c:pt idx="0">
                  <c:v>87</c:v>
                </c:pt>
                <c:pt idx="1">
                  <c:v>83</c:v>
                </c:pt>
                <c:pt idx="2">
                  <c:v>87</c:v>
                </c:pt>
                <c:pt idx="3">
                  <c:v>94</c:v>
                </c:pt>
                <c:pt idx="4">
                  <c:v>99</c:v>
                </c:pt>
              </c:numCache>
            </c:numRef>
          </c:val>
          <c:extLst>
            <c:ext xmlns:c16="http://schemas.microsoft.com/office/drawing/2014/chart" uri="{C3380CC4-5D6E-409C-BE32-E72D297353CC}">
              <c16:uniqueId val="{00000001-C22F-4473-8167-DB0D099808A5}"/>
            </c:ext>
          </c:extLst>
        </c:ser>
        <c:ser>
          <c:idx val="2"/>
          <c:order val="2"/>
          <c:tx>
            <c:strRef>
              <c:f>Sheet1!$D$1</c:f>
              <c:strCache>
                <c:ptCount val="1"/>
                <c:pt idx="0">
                  <c:v>kurzy/školení nepovinné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250 a více zam.</c:v>
                </c:pt>
              </c:strCache>
            </c:strRef>
          </c:cat>
          <c:val>
            <c:numRef>
              <c:f>Sheet1!$D$2:$D$6</c:f>
              <c:numCache>
                <c:formatCode>General</c:formatCode>
                <c:ptCount val="5"/>
                <c:pt idx="0">
                  <c:v>53</c:v>
                </c:pt>
                <c:pt idx="1">
                  <c:v>43</c:v>
                </c:pt>
                <c:pt idx="2">
                  <c:v>51</c:v>
                </c:pt>
                <c:pt idx="3">
                  <c:v>73</c:v>
                </c:pt>
                <c:pt idx="4">
                  <c:v>89</c:v>
                </c:pt>
              </c:numCache>
            </c:numRef>
          </c:val>
          <c:extLst>
            <c:ext xmlns:c16="http://schemas.microsoft.com/office/drawing/2014/chart" uri="{C3380CC4-5D6E-409C-BE32-E72D297353CC}">
              <c16:uniqueId val="{00000002-C22F-4473-8167-DB0D099808A5}"/>
            </c:ext>
          </c:extLst>
        </c:ser>
        <c:ser>
          <c:idx val="3"/>
          <c:order val="3"/>
          <c:tx>
            <c:strRef>
              <c:f>Sheet1!$E$1</c:f>
              <c:strCache>
                <c:ptCount val="1"/>
                <c:pt idx="0">
                  <c:v>jiné formy vzdělávání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250 a více zam.</c:v>
                </c:pt>
              </c:strCache>
            </c:strRef>
          </c:cat>
          <c:val>
            <c:numRef>
              <c:f>Sheet1!$E$2:$E$6</c:f>
              <c:numCache>
                <c:formatCode>General</c:formatCode>
                <c:ptCount val="5"/>
                <c:pt idx="0">
                  <c:v>39</c:v>
                </c:pt>
                <c:pt idx="1">
                  <c:v>32</c:v>
                </c:pt>
                <c:pt idx="2">
                  <c:v>36</c:v>
                </c:pt>
                <c:pt idx="3">
                  <c:v>52</c:v>
                </c:pt>
                <c:pt idx="4">
                  <c:v>74</c:v>
                </c:pt>
              </c:numCache>
            </c:numRef>
          </c:val>
          <c:extLst>
            <c:ext xmlns:c16="http://schemas.microsoft.com/office/drawing/2014/chart" uri="{C3380CC4-5D6E-409C-BE32-E72D297353CC}">
              <c16:uniqueId val="{00000003-C22F-4473-8167-DB0D099808A5}"/>
            </c:ext>
          </c:extLst>
        </c:ser>
        <c:dLbls>
          <c:showLegendKey val="0"/>
          <c:showVal val="1"/>
          <c:showCatName val="0"/>
          <c:showSerName val="0"/>
          <c:showPercent val="0"/>
          <c:showBubbleSize val="0"/>
        </c:dLbls>
        <c:gapWidth val="75"/>
        <c:shape val="box"/>
        <c:axId val="-2104178168"/>
        <c:axId val="-2111825192"/>
        <c:axId val="0"/>
      </c:bar3DChart>
      <c:catAx>
        <c:axId val="-2104178168"/>
        <c:scaling>
          <c:orientation val="minMax"/>
        </c:scaling>
        <c:delete val="0"/>
        <c:axPos val="b"/>
        <c:numFmt formatCode="General" sourceLinked="0"/>
        <c:majorTickMark val="none"/>
        <c:minorTickMark val="none"/>
        <c:tickLblPos val="nextTo"/>
        <c:crossAx val="-2111825192"/>
        <c:crosses val="autoZero"/>
        <c:auto val="1"/>
        <c:lblAlgn val="ctr"/>
        <c:lblOffset val="100"/>
        <c:noMultiLvlLbl val="0"/>
      </c:catAx>
      <c:valAx>
        <c:axId val="-2111825192"/>
        <c:scaling>
          <c:orientation val="minMax"/>
        </c:scaling>
        <c:delete val="0"/>
        <c:axPos val="l"/>
        <c:numFmt formatCode="General" sourceLinked="1"/>
        <c:majorTickMark val="none"/>
        <c:minorTickMark val="none"/>
        <c:tickLblPos val="nextTo"/>
        <c:crossAx val="-2104178168"/>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Zastupci zam. zapojeni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Více než 250 zam.</c:v>
                </c:pt>
              </c:strCache>
            </c:strRef>
          </c:cat>
          <c:val>
            <c:numRef>
              <c:f>Sheet1!$B$2:$B$6</c:f>
              <c:numCache>
                <c:formatCode>General</c:formatCode>
                <c:ptCount val="5"/>
                <c:pt idx="0">
                  <c:v>6</c:v>
                </c:pt>
                <c:pt idx="1">
                  <c:v>6</c:v>
                </c:pt>
                <c:pt idx="2">
                  <c:v>6</c:v>
                </c:pt>
                <c:pt idx="3">
                  <c:v>7</c:v>
                </c:pt>
                <c:pt idx="4">
                  <c:v>13</c:v>
                </c:pt>
              </c:numCache>
            </c:numRef>
          </c:val>
          <c:extLst>
            <c:ext xmlns:c16="http://schemas.microsoft.com/office/drawing/2014/chart" uri="{C3380CC4-5D6E-409C-BE32-E72D297353CC}">
              <c16:uniqueId val="{00000000-03F0-4515-B3B6-5058A957E0CB}"/>
            </c:ext>
          </c:extLst>
        </c:ser>
        <c:ser>
          <c:idx val="1"/>
          <c:order val="1"/>
          <c:tx>
            <c:strRef>
              <c:f>Sheet1!$C$1</c:f>
              <c:strCache>
                <c:ptCount val="1"/>
                <c:pt idx="0">
                  <c:v>Zástupci zam. nezapojeni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Více než 250 zam.</c:v>
                </c:pt>
              </c:strCache>
            </c:strRef>
          </c:cat>
          <c:val>
            <c:numRef>
              <c:f>Sheet1!$C$2:$C$6</c:f>
              <c:numCache>
                <c:formatCode>General</c:formatCode>
                <c:ptCount val="5"/>
                <c:pt idx="0">
                  <c:v>32</c:v>
                </c:pt>
                <c:pt idx="1">
                  <c:v>28</c:v>
                </c:pt>
                <c:pt idx="2">
                  <c:v>32</c:v>
                </c:pt>
                <c:pt idx="3">
                  <c:v>36</c:v>
                </c:pt>
                <c:pt idx="4">
                  <c:v>56</c:v>
                </c:pt>
              </c:numCache>
            </c:numRef>
          </c:val>
          <c:extLst>
            <c:ext xmlns:c16="http://schemas.microsoft.com/office/drawing/2014/chart" uri="{C3380CC4-5D6E-409C-BE32-E72D297353CC}">
              <c16:uniqueId val="{00000001-03F0-4515-B3B6-5058A957E0CB}"/>
            </c:ext>
          </c:extLst>
        </c:ser>
        <c:ser>
          <c:idx val="2"/>
          <c:order val="2"/>
          <c:tx>
            <c:strRef>
              <c:f>Sheet1!$D$1</c:f>
              <c:strCache>
                <c:ptCount val="1"/>
                <c:pt idx="0">
                  <c:v>Podnik nemá určené zástupce zam.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Celkem</c:v>
                </c:pt>
                <c:pt idx="1">
                  <c:v>10-19 zam.</c:v>
                </c:pt>
                <c:pt idx="2">
                  <c:v>20-49 zam.</c:v>
                </c:pt>
                <c:pt idx="3">
                  <c:v>50-249 zam.</c:v>
                </c:pt>
                <c:pt idx="4">
                  <c:v>Více než 250 zam.</c:v>
                </c:pt>
              </c:strCache>
            </c:strRef>
          </c:cat>
          <c:val>
            <c:numRef>
              <c:f>Sheet1!$D$2:$D$6</c:f>
              <c:numCache>
                <c:formatCode>General</c:formatCode>
                <c:ptCount val="5"/>
                <c:pt idx="0">
                  <c:v>62</c:v>
                </c:pt>
                <c:pt idx="1">
                  <c:v>67</c:v>
                </c:pt>
                <c:pt idx="2">
                  <c:v>62</c:v>
                </c:pt>
                <c:pt idx="3">
                  <c:v>57</c:v>
                </c:pt>
                <c:pt idx="4">
                  <c:v>32</c:v>
                </c:pt>
              </c:numCache>
            </c:numRef>
          </c:val>
          <c:extLst>
            <c:ext xmlns:c16="http://schemas.microsoft.com/office/drawing/2014/chart" uri="{C3380CC4-5D6E-409C-BE32-E72D297353CC}">
              <c16:uniqueId val="{00000002-03F0-4515-B3B6-5058A957E0CB}"/>
            </c:ext>
          </c:extLst>
        </c:ser>
        <c:dLbls>
          <c:showLegendKey val="0"/>
          <c:showVal val="1"/>
          <c:showCatName val="0"/>
          <c:showSerName val="0"/>
          <c:showPercent val="0"/>
          <c:showBubbleSize val="0"/>
        </c:dLbls>
        <c:gapWidth val="75"/>
        <c:shape val="box"/>
        <c:axId val="-2111735352"/>
        <c:axId val="-2048231592"/>
        <c:axId val="0"/>
      </c:bar3DChart>
      <c:catAx>
        <c:axId val="-2111735352"/>
        <c:scaling>
          <c:orientation val="minMax"/>
        </c:scaling>
        <c:delete val="0"/>
        <c:axPos val="b"/>
        <c:numFmt formatCode="General" sourceLinked="0"/>
        <c:majorTickMark val="none"/>
        <c:minorTickMark val="none"/>
        <c:tickLblPos val="nextTo"/>
        <c:crossAx val="-2048231592"/>
        <c:crosses val="autoZero"/>
        <c:auto val="1"/>
        <c:lblAlgn val="ctr"/>
        <c:lblOffset val="100"/>
        <c:noMultiLvlLbl val="0"/>
      </c:catAx>
      <c:valAx>
        <c:axId val="-2048231592"/>
        <c:scaling>
          <c:orientation val="minMax"/>
        </c:scaling>
        <c:delete val="0"/>
        <c:axPos val="l"/>
        <c:numFmt formatCode="0%" sourceLinked="1"/>
        <c:majorTickMark val="none"/>
        <c:minorTickMark val="none"/>
        <c:tickLblPos val="nextTo"/>
        <c:crossAx val="-211173535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ČR</c:v>
                </c:pt>
                <c:pt idx="1">
                  <c:v>EU28</c:v>
                </c:pt>
                <c:pt idx="2">
                  <c:v>LT</c:v>
                </c:pt>
                <c:pt idx="3">
                  <c:v>RO</c:v>
                </c:pt>
              </c:strCache>
            </c:strRef>
          </c:cat>
          <c:val>
            <c:numRef>
              <c:f>Sheet1!$B$2:$B$5</c:f>
              <c:numCache>
                <c:formatCode>General</c:formatCode>
                <c:ptCount val="4"/>
                <c:pt idx="0">
                  <c:v>34.200000000000003</c:v>
                </c:pt>
                <c:pt idx="1">
                  <c:v>39.9</c:v>
                </c:pt>
                <c:pt idx="2">
                  <c:v>58</c:v>
                </c:pt>
                <c:pt idx="3">
                  <c:v>26.3</c:v>
                </c:pt>
              </c:numCache>
            </c:numRef>
          </c:val>
          <c:extLst>
            <c:ext xmlns:c16="http://schemas.microsoft.com/office/drawing/2014/chart" uri="{C3380CC4-5D6E-409C-BE32-E72D297353CC}">
              <c16:uniqueId val="{00000000-01C8-4A3E-8AE0-068F576A1B80}"/>
            </c:ext>
          </c:extLst>
        </c:ser>
        <c:dLbls>
          <c:showLegendKey val="0"/>
          <c:showVal val="1"/>
          <c:showCatName val="0"/>
          <c:showSerName val="0"/>
          <c:showPercent val="0"/>
          <c:showBubbleSize val="0"/>
        </c:dLbls>
        <c:gapWidth val="75"/>
        <c:shape val="box"/>
        <c:axId val="-2111427336"/>
        <c:axId val="2104572136"/>
        <c:axId val="0"/>
      </c:bar3DChart>
      <c:catAx>
        <c:axId val="-2111427336"/>
        <c:scaling>
          <c:orientation val="minMax"/>
        </c:scaling>
        <c:delete val="0"/>
        <c:axPos val="b"/>
        <c:numFmt formatCode="General" sourceLinked="0"/>
        <c:majorTickMark val="none"/>
        <c:minorTickMark val="none"/>
        <c:tickLblPos val="nextTo"/>
        <c:crossAx val="2104572136"/>
        <c:crosses val="autoZero"/>
        <c:auto val="1"/>
        <c:lblAlgn val="ctr"/>
        <c:lblOffset val="100"/>
        <c:noMultiLvlLbl val="0"/>
      </c:catAx>
      <c:valAx>
        <c:axId val="2104572136"/>
        <c:scaling>
          <c:orientation val="minMax"/>
        </c:scaling>
        <c:delete val="0"/>
        <c:axPos val="l"/>
        <c:numFmt formatCode="General" sourceLinked="1"/>
        <c:majorTickMark val="none"/>
        <c:minorTickMark val="none"/>
        <c:tickLblPos val="nextTo"/>
        <c:crossAx val="-21114273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ČR</c:v>
                </c:pt>
                <c:pt idx="1">
                  <c:v>EU28</c:v>
                </c:pt>
                <c:pt idx="2">
                  <c:v>HR</c:v>
                </c:pt>
                <c:pt idx="3">
                  <c:v>MT</c:v>
                </c:pt>
              </c:strCache>
            </c:strRef>
          </c:cat>
          <c:val>
            <c:numRef>
              <c:f>Sheet1!$B$2:$B$5</c:f>
              <c:numCache>
                <c:formatCode>General</c:formatCode>
                <c:ptCount val="4"/>
                <c:pt idx="0">
                  <c:v>6.7</c:v>
                </c:pt>
                <c:pt idx="1">
                  <c:v>10.6</c:v>
                </c:pt>
                <c:pt idx="2">
                  <c:v>3.1</c:v>
                </c:pt>
                <c:pt idx="3">
                  <c:v>18.600000000000001</c:v>
                </c:pt>
              </c:numCache>
            </c:numRef>
          </c:val>
          <c:extLst>
            <c:ext xmlns:c16="http://schemas.microsoft.com/office/drawing/2014/chart" uri="{C3380CC4-5D6E-409C-BE32-E72D297353CC}">
              <c16:uniqueId val="{00000000-193B-43BB-BE4E-7214908E85B4}"/>
            </c:ext>
          </c:extLst>
        </c:ser>
        <c:dLbls>
          <c:showLegendKey val="0"/>
          <c:showVal val="1"/>
          <c:showCatName val="0"/>
          <c:showSerName val="0"/>
          <c:showPercent val="0"/>
          <c:showBubbleSize val="0"/>
        </c:dLbls>
        <c:gapWidth val="75"/>
        <c:shape val="box"/>
        <c:axId val="-2111371736"/>
        <c:axId val="-2111532040"/>
        <c:axId val="0"/>
      </c:bar3DChart>
      <c:catAx>
        <c:axId val="-2111371736"/>
        <c:scaling>
          <c:orientation val="minMax"/>
        </c:scaling>
        <c:delete val="0"/>
        <c:axPos val="b"/>
        <c:numFmt formatCode="General" sourceLinked="0"/>
        <c:majorTickMark val="none"/>
        <c:minorTickMark val="none"/>
        <c:tickLblPos val="nextTo"/>
        <c:crossAx val="-2111532040"/>
        <c:crosses val="autoZero"/>
        <c:auto val="1"/>
        <c:lblAlgn val="ctr"/>
        <c:lblOffset val="100"/>
        <c:noMultiLvlLbl val="0"/>
      </c:catAx>
      <c:valAx>
        <c:axId val="-2111532040"/>
        <c:scaling>
          <c:orientation val="minMax"/>
        </c:scaling>
        <c:delete val="0"/>
        <c:axPos val="l"/>
        <c:numFmt formatCode="General" sourceLinked="1"/>
        <c:majorTickMark val="none"/>
        <c:minorTickMark val="none"/>
        <c:tickLblPos val="nextTo"/>
        <c:crossAx val="-21113717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ČR</c:v>
                </c:pt>
                <c:pt idx="1">
                  <c:v>EU28</c:v>
                </c:pt>
                <c:pt idx="2">
                  <c:v>SE</c:v>
                </c:pt>
                <c:pt idx="3">
                  <c:v>RO</c:v>
                </c:pt>
              </c:strCache>
            </c:strRef>
          </c:cat>
          <c:val>
            <c:numRef>
              <c:f>Sheet1!$B$2:$B$5</c:f>
              <c:numCache>
                <c:formatCode>General</c:formatCode>
                <c:ptCount val="4"/>
                <c:pt idx="0">
                  <c:v>9.8000000000000007</c:v>
                </c:pt>
                <c:pt idx="1">
                  <c:v>10.9</c:v>
                </c:pt>
                <c:pt idx="2">
                  <c:v>30.4</c:v>
                </c:pt>
                <c:pt idx="3">
                  <c:v>1.1000000000000001</c:v>
                </c:pt>
              </c:numCache>
            </c:numRef>
          </c:val>
          <c:extLst>
            <c:ext xmlns:c16="http://schemas.microsoft.com/office/drawing/2014/chart" uri="{C3380CC4-5D6E-409C-BE32-E72D297353CC}">
              <c16:uniqueId val="{00000000-3B22-4990-B1C1-884D71CF2E3D}"/>
            </c:ext>
          </c:extLst>
        </c:ser>
        <c:dLbls>
          <c:showLegendKey val="0"/>
          <c:showVal val="1"/>
          <c:showCatName val="0"/>
          <c:showSerName val="0"/>
          <c:showPercent val="0"/>
          <c:showBubbleSize val="0"/>
        </c:dLbls>
        <c:gapWidth val="75"/>
        <c:shape val="box"/>
        <c:axId val="2098068968"/>
        <c:axId val="-2139290504"/>
        <c:axId val="0"/>
      </c:bar3DChart>
      <c:catAx>
        <c:axId val="2098068968"/>
        <c:scaling>
          <c:orientation val="minMax"/>
        </c:scaling>
        <c:delete val="0"/>
        <c:axPos val="b"/>
        <c:numFmt formatCode="General" sourceLinked="0"/>
        <c:majorTickMark val="none"/>
        <c:minorTickMark val="none"/>
        <c:tickLblPos val="nextTo"/>
        <c:crossAx val="-2139290504"/>
        <c:crosses val="autoZero"/>
        <c:auto val="1"/>
        <c:lblAlgn val="ctr"/>
        <c:lblOffset val="100"/>
        <c:noMultiLvlLbl val="0"/>
      </c:catAx>
      <c:valAx>
        <c:axId val="-2139290504"/>
        <c:scaling>
          <c:orientation val="minMax"/>
        </c:scaling>
        <c:delete val="0"/>
        <c:axPos val="l"/>
        <c:numFmt formatCode="General" sourceLinked="1"/>
        <c:majorTickMark val="none"/>
        <c:minorTickMark val="none"/>
        <c:tickLblPos val="nextTo"/>
        <c:crossAx val="20980689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Základní vzdělání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Celá populace</c:v>
                </c:pt>
                <c:pt idx="1">
                  <c:v>Muži</c:v>
                </c:pt>
                <c:pt idx="2">
                  <c:v>Ženy</c:v>
                </c:pt>
              </c:strCache>
            </c:strRef>
          </c:cat>
          <c:val>
            <c:numRef>
              <c:f>Sheet1!$B$2:$B$4</c:f>
              <c:numCache>
                <c:formatCode>General</c:formatCode>
                <c:ptCount val="3"/>
                <c:pt idx="0">
                  <c:v>13.5</c:v>
                </c:pt>
                <c:pt idx="1">
                  <c:v>10.1</c:v>
                </c:pt>
                <c:pt idx="2">
                  <c:v>16.7</c:v>
                </c:pt>
              </c:numCache>
            </c:numRef>
          </c:val>
          <c:extLst>
            <c:ext xmlns:c16="http://schemas.microsoft.com/office/drawing/2014/chart" uri="{C3380CC4-5D6E-409C-BE32-E72D297353CC}">
              <c16:uniqueId val="{00000000-7161-4C0B-88E8-0934F9A320A6}"/>
            </c:ext>
          </c:extLst>
        </c:ser>
        <c:ser>
          <c:idx val="1"/>
          <c:order val="1"/>
          <c:tx>
            <c:strRef>
              <c:f>Sheet1!$C$1</c:f>
              <c:strCache>
                <c:ptCount val="1"/>
                <c:pt idx="0">
                  <c:v>SŠ bez maturity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Celá populace</c:v>
                </c:pt>
                <c:pt idx="1">
                  <c:v>Muži</c:v>
                </c:pt>
                <c:pt idx="2">
                  <c:v>Ženy</c:v>
                </c:pt>
              </c:strCache>
            </c:strRef>
          </c:cat>
          <c:val>
            <c:numRef>
              <c:f>Sheet1!$C$2:$C$4</c:f>
              <c:numCache>
                <c:formatCode>General</c:formatCode>
                <c:ptCount val="3"/>
                <c:pt idx="0">
                  <c:v>33.200000000000003</c:v>
                </c:pt>
                <c:pt idx="1">
                  <c:v>39.6</c:v>
                </c:pt>
                <c:pt idx="2">
                  <c:v>27.1</c:v>
                </c:pt>
              </c:numCache>
            </c:numRef>
          </c:val>
          <c:extLst>
            <c:ext xmlns:c16="http://schemas.microsoft.com/office/drawing/2014/chart" uri="{C3380CC4-5D6E-409C-BE32-E72D297353CC}">
              <c16:uniqueId val="{00000001-7161-4C0B-88E8-0934F9A320A6}"/>
            </c:ext>
          </c:extLst>
        </c:ser>
        <c:ser>
          <c:idx val="2"/>
          <c:order val="2"/>
          <c:tx>
            <c:strRef>
              <c:f>Sheet1!$D$1</c:f>
              <c:strCache>
                <c:ptCount val="1"/>
                <c:pt idx="0">
                  <c:v>SŠ s maturitou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Celá populace</c:v>
                </c:pt>
                <c:pt idx="1">
                  <c:v>Muži</c:v>
                </c:pt>
                <c:pt idx="2">
                  <c:v>Ženy</c:v>
                </c:pt>
              </c:strCache>
            </c:strRef>
          </c:cat>
          <c:val>
            <c:numRef>
              <c:f>Sheet1!$D$2:$D$4</c:f>
              <c:numCache>
                <c:formatCode>General</c:formatCode>
                <c:ptCount val="3"/>
                <c:pt idx="0">
                  <c:v>34</c:v>
                </c:pt>
                <c:pt idx="1">
                  <c:v>30.9</c:v>
                </c:pt>
                <c:pt idx="2">
                  <c:v>37</c:v>
                </c:pt>
              </c:numCache>
            </c:numRef>
          </c:val>
          <c:extLst>
            <c:ext xmlns:c16="http://schemas.microsoft.com/office/drawing/2014/chart" uri="{C3380CC4-5D6E-409C-BE32-E72D297353CC}">
              <c16:uniqueId val="{00000002-7161-4C0B-88E8-0934F9A320A6}"/>
            </c:ext>
          </c:extLst>
        </c:ser>
        <c:ser>
          <c:idx val="3"/>
          <c:order val="3"/>
          <c:tx>
            <c:strRef>
              <c:f>Sheet1!$E$1</c:f>
              <c:strCache>
                <c:ptCount val="1"/>
                <c:pt idx="0">
                  <c:v>Vysokoškolské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Celá populace</c:v>
                </c:pt>
                <c:pt idx="1">
                  <c:v>Muži</c:v>
                </c:pt>
                <c:pt idx="2">
                  <c:v>Ženy</c:v>
                </c:pt>
              </c:strCache>
            </c:strRef>
          </c:cat>
          <c:val>
            <c:numRef>
              <c:f>Sheet1!$E$2:$E$4</c:f>
              <c:numCache>
                <c:formatCode>General</c:formatCode>
                <c:ptCount val="3"/>
                <c:pt idx="0">
                  <c:v>19.100000000000001</c:v>
                </c:pt>
                <c:pt idx="1">
                  <c:v>19.100000000000001</c:v>
                </c:pt>
                <c:pt idx="2">
                  <c:v>19.100000000000001</c:v>
                </c:pt>
              </c:numCache>
            </c:numRef>
          </c:val>
          <c:extLst>
            <c:ext xmlns:c16="http://schemas.microsoft.com/office/drawing/2014/chart" uri="{C3380CC4-5D6E-409C-BE32-E72D297353CC}">
              <c16:uniqueId val="{00000003-7161-4C0B-88E8-0934F9A320A6}"/>
            </c:ext>
          </c:extLst>
        </c:ser>
        <c:dLbls>
          <c:showLegendKey val="0"/>
          <c:showVal val="1"/>
          <c:showCatName val="0"/>
          <c:showSerName val="0"/>
          <c:showPercent val="0"/>
          <c:showBubbleSize val="0"/>
        </c:dLbls>
        <c:gapWidth val="75"/>
        <c:shape val="box"/>
        <c:axId val="-2047070504"/>
        <c:axId val="2054430376"/>
        <c:axId val="0"/>
      </c:bar3DChart>
      <c:catAx>
        <c:axId val="-2047070504"/>
        <c:scaling>
          <c:orientation val="minMax"/>
        </c:scaling>
        <c:delete val="0"/>
        <c:axPos val="b"/>
        <c:numFmt formatCode="General" sourceLinked="0"/>
        <c:majorTickMark val="none"/>
        <c:minorTickMark val="none"/>
        <c:tickLblPos val="nextTo"/>
        <c:crossAx val="2054430376"/>
        <c:crosses val="autoZero"/>
        <c:auto val="1"/>
        <c:lblAlgn val="ctr"/>
        <c:lblOffset val="100"/>
        <c:noMultiLvlLbl val="0"/>
      </c:catAx>
      <c:valAx>
        <c:axId val="2054430376"/>
        <c:scaling>
          <c:orientation val="minMax"/>
        </c:scaling>
        <c:delete val="0"/>
        <c:axPos val="l"/>
        <c:numFmt formatCode="0%" sourceLinked="1"/>
        <c:majorTickMark val="none"/>
        <c:minorTickMark val="none"/>
        <c:tickLblPos val="nextTo"/>
        <c:crossAx val="-204707050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Základní vzdělání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15-24 let </c:v>
                </c:pt>
                <c:pt idx="1">
                  <c:v>25-34 let</c:v>
                </c:pt>
                <c:pt idx="2">
                  <c:v>35-44 let</c:v>
                </c:pt>
                <c:pt idx="3">
                  <c:v>45-54 let</c:v>
                </c:pt>
                <c:pt idx="4">
                  <c:v>55-64 let</c:v>
                </c:pt>
              </c:strCache>
            </c:strRef>
          </c:cat>
          <c:val>
            <c:numRef>
              <c:f>Sheet1!$B$2:$B$6</c:f>
              <c:numCache>
                <c:formatCode>General</c:formatCode>
                <c:ptCount val="5"/>
                <c:pt idx="0">
                  <c:v>46.6</c:v>
                </c:pt>
                <c:pt idx="1">
                  <c:v>5.8</c:v>
                </c:pt>
                <c:pt idx="2">
                  <c:v>4.3</c:v>
                </c:pt>
                <c:pt idx="3">
                  <c:v>5.0999999999999996</c:v>
                </c:pt>
                <c:pt idx="4">
                  <c:v>9.6</c:v>
                </c:pt>
              </c:numCache>
            </c:numRef>
          </c:val>
          <c:extLst>
            <c:ext xmlns:c16="http://schemas.microsoft.com/office/drawing/2014/chart" uri="{C3380CC4-5D6E-409C-BE32-E72D297353CC}">
              <c16:uniqueId val="{00000000-0D96-47C0-ABDD-F4A30299D1C7}"/>
            </c:ext>
          </c:extLst>
        </c:ser>
        <c:ser>
          <c:idx val="1"/>
          <c:order val="1"/>
          <c:tx>
            <c:strRef>
              <c:f>Sheet1!$C$1</c:f>
              <c:strCache>
                <c:ptCount val="1"/>
                <c:pt idx="0">
                  <c:v>SŠ bez maturity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15-24 let </c:v>
                </c:pt>
                <c:pt idx="1">
                  <c:v>25-34 let</c:v>
                </c:pt>
                <c:pt idx="2">
                  <c:v>35-44 let</c:v>
                </c:pt>
                <c:pt idx="3">
                  <c:v>45-54 let</c:v>
                </c:pt>
                <c:pt idx="4">
                  <c:v>55-64 let</c:v>
                </c:pt>
              </c:strCache>
            </c:strRef>
          </c:cat>
          <c:val>
            <c:numRef>
              <c:f>Sheet1!$C$2:$C$6</c:f>
              <c:numCache>
                <c:formatCode>General</c:formatCode>
                <c:ptCount val="5"/>
                <c:pt idx="0">
                  <c:v>12.1</c:v>
                </c:pt>
                <c:pt idx="1">
                  <c:v>23.9</c:v>
                </c:pt>
                <c:pt idx="2">
                  <c:v>32.1</c:v>
                </c:pt>
                <c:pt idx="3">
                  <c:v>39.200000000000003</c:v>
                </c:pt>
                <c:pt idx="4">
                  <c:v>43.4</c:v>
                </c:pt>
              </c:numCache>
            </c:numRef>
          </c:val>
          <c:extLst>
            <c:ext xmlns:c16="http://schemas.microsoft.com/office/drawing/2014/chart" uri="{C3380CC4-5D6E-409C-BE32-E72D297353CC}">
              <c16:uniqueId val="{00000001-0D96-47C0-ABDD-F4A30299D1C7}"/>
            </c:ext>
          </c:extLst>
        </c:ser>
        <c:ser>
          <c:idx val="2"/>
          <c:order val="2"/>
          <c:tx>
            <c:strRef>
              <c:f>Sheet1!$D$1</c:f>
              <c:strCache>
                <c:ptCount val="1"/>
                <c:pt idx="0">
                  <c:v>SŠ s maturitou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15-24 let </c:v>
                </c:pt>
                <c:pt idx="1">
                  <c:v>25-34 let</c:v>
                </c:pt>
                <c:pt idx="2">
                  <c:v>35-44 let</c:v>
                </c:pt>
                <c:pt idx="3">
                  <c:v>45-54 let</c:v>
                </c:pt>
                <c:pt idx="4">
                  <c:v>55-64 let</c:v>
                </c:pt>
              </c:strCache>
            </c:strRef>
          </c:cat>
          <c:val>
            <c:numRef>
              <c:f>Sheet1!$D$2:$D$6</c:f>
              <c:numCache>
                <c:formatCode>General</c:formatCode>
                <c:ptCount val="5"/>
                <c:pt idx="0">
                  <c:v>34.299999999999997</c:v>
                </c:pt>
                <c:pt idx="1">
                  <c:v>36.299999999999997</c:v>
                </c:pt>
                <c:pt idx="2">
                  <c:v>37.1</c:v>
                </c:pt>
                <c:pt idx="3">
                  <c:v>37</c:v>
                </c:pt>
                <c:pt idx="4">
                  <c:v>30.7</c:v>
                </c:pt>
              </c:numCache>
            </c:numRef>
          </c:val>
          <c:extLst>
            <c:ext xmlns:c16="http://schemas.microsoft.com/office/drawing/2014/chart" uri="{C3380CC4-5D6E-409C-BE32-E72D297353CC}">
              <c16:uniqueId val="{00000002-0D96-47C0-ABDD-F4A30299D1C7}"/>
            </c:ext>
          </c:extLst>
        </c:ser>
        <c:ser>
          <c:idx val="3"/>
          <c:order val="3"/>
          <c:tx>
            <c:strRef>
              <c:f>Sheet1!$E$1</c:f>
              <c:strCache>
                <c:ptCount val="1"/>
                <c:pt idx="0">
                  <c:v>Vysokoškolské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15-24 let </c:v>
                </c:pt>
                <c:pt idx="1">
                  <c:v>25-34 let</c:v>
                </c:pt>
                <c:pt idx="2">
                  <c:v>35-44 let</c:v>
                </c:pt>
                <c:pt idx="3">
                  <c:v>45-54 let</c:v>
                </c:pt>
                <c:pt idx="4">
                  <c:v>55-64 let</c:v>
                </c:pt>
              </c:strCache>
            </c:strRef>
          </c:cat>
          <c:val>
            <c:numRef>
              <c:f>Sheet1!$E$2:$E$6</c:f>
              <c:numCache>
                <c:formatCode>General</c:formatCode>
                <c:ptCount val="5"/>
                <c:pt idx="0">
                  <c:v>6.8</c:v>
                </c:pt>
                <c:pt idx="1">
                  <c:v>33.700000000000003</c:v>
                </c:pt>
                <c:pt idx="2">
                  <c:v>26.3</c:v>
                </c:pt>
                <c:pt idx="3">
                  <c:v>18.5</c:v>
                </c:pt>
                <c:pt idx="4">
                  <c:v>16.2</c:v>
                </c:pt>
              </c:numCache>
            </c:numRef>
          </c:val>
          <c:extLst>
            <c:ext xmlns:c16="http://schemas.microsoft.com/office/drawing/2014/chart" uri="{C3380CC4-5D6E-409C-BE32-E72D297353CC}">
              <c16:uniqueId val="{00000003-0D96-47C0-ABDD-F4A30299D1C7}"/>
            </c:ext>
          </c:extLst>
        </c:ser>
        <c:dLbls>
          <c:showLegendKey val="0"/>
          <c:showVal val="1"/>
          <c:showCatName val="0"/>
          <c:showSerName val="0"/>
          <c:showPercent val="0"/>
          <c:showBubbleSize val="0"/>
        </c:dLbls>
        <c:gapWidth val="75"/>
        <c:shape val="box"/>
        <c:axId val="-2101899400"/>
        <c:axId val="-2121322200"/>
        <c:axId val="0"/>
      </c:bar3DChart>
      <c:catAx>
        <c:axId val="-2101899400"/>
        <c:scaling>
          <c:orientation val="minMax"/>
        </c:scaling>
        <c:delete val="0"/>
        <c:axPos val="b"/>
        <c:numFmt formatCode="General" sourceLinked="0"/>
        <c:majorTickMark val="none"/>
        <c:minorTickMark val="none"/>
        <c:tickLblPos val="nextTo"/>
        <c:crossAx val="-2121322200"/>
        <c:crosses val="autoZero"/>
        <c:auto val="1"/>
        <c:lblAlgn val="ctr"/>
        <c:lblOffset val="100"/>
        <c:noMultiLvlLbl val="0"/>
      </c:catAx>
      <c:valAx>
        <c:axId val="-2121322200"/>
        <c:scaling>
          <c:orientation val="minMax"/>
        </c:scaling>
        <c:delete val="0"/>
        <c:axPos val="l"/>
        <c:numFmt formatCode="0%" sourceLinked="1"/>
        <c:majorTickMark val="none"/>
        <c:minorTickMark val="none"/>
        <c:tickLblPos val="nextTo"/>
        <c:crossAx val="-210189940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Sheet1!$A$2:$A$30</c:f>
              <c:strCache>
                <c:ptCount val="29"/>
                <c:pt idx="0">
                  <c:v>DK</c:v>
                </c:pt>
                <c:pt idx="1">
                  <c:v>SE</c:v>
                </c:pt>
                <c:pt idx="2">
                  <c:v>BE</c:v>
                </c:pt>
                <c:pt idx="3">
                  <c:v>FI</c:v>
                </c:pt>
                <c:pt idx="4">
                  <c:v>CY</c:v>
                </c:pt>
                <c:pt idx="5">
                  <c:v>EE</c:v>
                </c:pt>
                <c:pt idx="6">
                  <c:v>SI</c:v>
                </c:pt>
                <c:pt idx="7">
                  <c:v>LV</c:v>
                </c:pt>
                <c:pt idx="8">
                  <c:v>FR</c:v>
                </c:pt>
                <c:pt idx="9">
                  <c:v>MT</c:v>
                </c:pt>
                <c:pt idx="10">
                  <c:v>NL</c:v>
                </c:pt>
                <c:pt idx="11">
                  <c:v>LT</c:v>
                </c:pt>
                <c:pt idx="12">
                  <c:v>PL</c:v>
                </c:pt>
                <c:pt idx="13">
                  <c:v>AT</c:v>
                </c:pt>
                <c:pt idx="14">
                  <c:v>PT</c:v>
                </c:pt>
                <c:pt idx="15">
                  <c:v>HU</c:v>
                </c:pt>
                <c:pt idx="16">
                  <c:v>LU</c:v>
                </c:pt>
                <c:pt idx="17">
                  <c:v>HR</c:v>
                </c:pt>
                <c:pt idx="18">
                  <c:v>UK</c:v>
                </c:pt>
                <c:pt idx="19">
                  <c:v>EU</c:v>
                </c:pt>
                <c:pt idx="20">
                  <c:v>CZ</c:v>
                </c:pt>
                <c:pt idx="21">
                  <c:v>EL</c:v>
                </c:pt>
                <c:pt idx="22">
                  <c:v>DE</c:v>
                </c:pt>
                <c:pt idx="23">
                  <c:v>ES</c:v>
                </c:pt>
                <c:pt idx="24">
                  <c:v>IT</c:v>
                </c:pt>
                <c:pt idx="25">
                  <c:v>SK</c:v>
                </c:pt>
                <c:pt idx="26">
                  <c:v>RO</c:v>
                </c:pt>
                <c:pt idx="27">
                  <c:v>BG</c:v>
                </c:pt>
                <c:pt idx="28">
                  <c:v>IE</c:v>
                </c:pt>
              </c:strCache>
            </c:strRef>
          </c:cat>
          <c:val>
            <c:numRef>
              <c:f>Sheet1!$B$2:$B$30</c:f>
              <c:numCache>
                <c:formatCode>General</c:formatCode>
                <c:ptCount val="29"/>
                <c:pt idx="0">
                  <c:v>6.9</c:v>
                </c:pt>
                <c:pt idx="1">
                  <c:v>6.6</c:v>
                </c:pt>
                <c:pt idx="2">
                  <c:v>6.4</c:v>
                </c:pt>
                <c:pt idx="3">
                  <c:v>6.1</c:v>
                </c:pt>
                <c:pt idx="4">
                  <c:v>6</c:v>
                </c:pt>
                <c:pt idx="5">
                  <c:v>5.9</c:v>
                </c:pt>
                <c:pt idx="6">
                  <c:v>5.6</c:v>
                </c:pt>
                <c:pt idx="7">
                  <c:v>5.5</c:v>
                </c:pt>
                <c:pt idx="8">
                  <c:v>5.4</c:v>
                </c:pt>
                <c:pt idx="9">
                  <c:v>5.4</c:v>
                </c:pt>
                <c:pt idx="10">
                  <c:v>5.3</c:v>
                </c:pt>
                <c:pt idx="11">
                  <c:v>5.2</c:v>
                </c:pt>
                <c:pt idx="12">
                  <c:v>5</c:v>
                </c:pt>
                <c:pt idx="13">
                  <c:v>4.9000000000000004</c:v>
                </c:pt>
                <c:pt idx="14">
                  <c:v>4.9000000000000004</c:v>
                </c:pt>
                <c:pt idx="15">
                  <c:v>4.9000000000000004</c:v>
                </c:pt>
                <c:pt idx="16">
                  <c:v>4.8</c:v>
                </c:pt>
                <c:pt idx="17">
                  <c:v>4.8</c:v>
                </c:pt>
                <c:pt idx="18">
                  <c:v>4.7</c:v>
                </c:pt>
                <c:pt idx="19">
                  <c:v>4.7</c:v>
                </c:pt>
                <c:pt idx="20">
                  <c:v>4.5</c:v>
                </c:pt>
                <c:pt idx="21">
                  <c:v>4.3</c:v>
                </c:pt>
                <c:pt idx="22">
                  <c:v>4.2</c:v>
                </c:pt>
                <c:pt idx="23">
                  <c:v>4</c:v>
                </c:pt>
                <c:pt idx="24">
                  <c:v>3.9</c:v>
                </c:pt>
                <c:pt idx="25">
                  <c:v>3.8</c:v>
                </c:pt>
                <c:pt idx="26">
                  <c:v>3.7</c:v>
                </c:pt>
                <c:pt idx="27">
                  <c:v>3.4</c:v>
                </c:pt>
                <c:pt idx="28">
                  <c:v>3.3</c:v>
                </c:pt>
              </c:numCache>
            </c:numRef>
          </c:val>
          <c:extLst>
            <c:ext xmlns:c16="http://schemas.microsoft.com/office/drawing/2014/chart" uri="{C3380CC4-5D6E-409C-BE32-E72D297353CC}">
              <c16:uniqueId val="{00000000-72E0-47BA-9C9E-BA6A626367D0}"/>
            </c:ext>
          </c:extLst>
        </c:ser>
        <c:dLbls>
          <c:showLegendKey val="0"/>
          <c:showVal val="0"/>
          <c:showCatName val="0"/>
          <c:showSerName val="0"/>
          <c:showPercent val="0"/>
          <c:showBubbleSize val="0"/>
        </c:dLbls>
        <c:gapWidth val="150"/>
        <c:shape val="box"/>
        <c:axId val="-2122136888"/>
        <c:axId val="-2119583992"/>
        <c:axId val="0"/>
      </c:bar3DChart>
      <c:catAx>
        <c:axId val="-2122136888"/>
        <c:scaling>
          <c:orientation val="minMax"/>
        </c:scaling>
        <c:delete val="0"/>
        <c:axPos val="b"/>
        <c:numFmt formatCode="General" sourceLinked="0"/>
        <c:majorTickMark val="out"/>
        <c:minorTickMark val="none"/>
        <c:tickLblPos val="nextTo"/>
        <c:crossAx val="-2119583992"/>
        <c:crosses val="autoZero"/>
        <c:auto val="1"/>
        <c:lblAlgn val="ctr"/>
        <c:lblOffset val="100"/>
        <c:noMultiLvlLbl val="0"/>
      </c:catAx>
      <c:valAx>
        <c:axId val="-2119583992"/>
        <c:scaling>
          <c:orientation val="minMax"/>
        </c:scaling>
        <c:delete val="0"/>
        <c:axPos val="l"/>
        <c:majorGridlines/>
        <c:numFmt formatCode="General" sourceLinked="1"/>
        <c:majorTickMark val="out"/>
        <c:minorTickMark val="none"/>
        <c:tickLblPos val="nextTo"/>
        <c:crossAx val="-21221368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Primární vzdělání</c:v>
                </c:pt>
              </c:strCache>
            </c:strRef>
          </c:tx>
          <c:marker>
            <c:symbol val="none"/>
          </c:marker>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General</c:formatCode>
                <c:ptCount val="12"/>
                <c:pt idx="0">
                  <c:v>22.4</c:v>
                </c:pt>
                <c:pt idx="1">
                  <c:v>19.100000000000001</c:v>
                </c:pt>
                <c:pt idx="2">
                  <c:v>17.3</c:v>
                </c:pt>
                <c:pt idx="3">
                  <c:v>21.8</c:v>
                </c:pt>
                <c:pt idx="4">
                  <c:v>22.7</c:v>
                </c:pt>
                <c:pt idx="5">
                  <c:v>21.5</c:v>
                </c:pt>
                <c:pt idx="6">
                  <c:v>25.5</c:v>
                </c:pt>
                <c:pt idx="7">
                  <c:v>23.4</c:v>
                </c:pt>
                <c:pt idx="8">
                  <c:v>20.7</c:v>
                </c:pt>
                <c:pt idx="9">
                  <c:v>20.7</c:v>
                </c:pt>
                <c:pt idx="10">
                  <c:v>19.2</c:v>
                </c:pt>
                <c:pt idx="11">
                  <c:v>11.9</c:v>
                </c:pt>
              </c:numCache>
            </c:numRef>
          </c:val>
          <c:smooth val="0"/>
          <c:extLst>
            <c:ext xmlns:c16="http://schemas.microsoft.com/office/drawing/2014/chart" uri="{C3380CC4-5D6E-409C-BE32-E72D297353CC}">
              <c16:uniqueId val="{00000000-2BBE-43C4-A8A1-B13BC5D2D281}"/>
            </c:ext>
          </c:extLst>
        </c:ser>
        <c:ser>
          <c:idx val="1"/>
          <c:order val="1"/>
          <c:tx>
            <c:strRef>
              <c:f>Sheet1!$C$1</c:f>
              <c:strCache>
                <c:ptCount val="1"/>
                <c:pt idx="0">
                  <c:v>Sekundární vzdělání</c:v>
                </c:pt>
              </c:strCache>
            </c:strRef>
          </c:tx>
          <c:marker>
            <c:symbol val="none"/>
          </c:marker>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Sheet1!$C$2:$C$13</c:f>
              <c:numCache>
                <c:formatCode>General</c:formatCode>
                <c:ptCount val="12"/>
                <c:pt idx="0">
                  <c:v>5.5</c:v>
                </c:pt>
                <c:pt idx="1">
                  <c:v>4.3</c:v>
                </c:pt>
                <c:pt idx="2">
                  <c:v>3.3</c:v>
                </c:pt>
                <c:pt idx="3">
                  <c:v>5.4</c:v>
                </c:pt>
                <c:pt idx="4">
                  <c:v>6.2</c:v>
                </c:pt>
                <c:pt idx="5">
                  <c:v>5.7</c:v>
                </c:pt>
                <c:pt idx="6">
                  <c:v>5.7</c:v>
                </c:pt>
                <c:pt idx="7">
                  <c:v>6.1</c:v>
                </c:pt>
                <c:pt idx="8">
                  <c:v>5.4</c:v>
                </c:pt>
                <c:pt idx="9">
                  <c:v>4.4000000000000004</c:v>
                </c:pt>
                <c:pt idx="10">
                  <c:v>3.2</c:v>
                </c:pt>
                <c:pt idx="11">
                  <c:v>2.5</c:v>
                </c:pt>
              </c:numCache>
            </c:numRef>
          </c:val>
          <c:smooth val="0"/>
          <c:extLst>
            <c:ext xmlns:c16="http://schemas.microsoft.com/office/drawing/2014/chart" uri="{C3380CC4-5D6E-409C-BE32-E72D297353CC}">
              <c16:uniqueId val="{00000001-2BBE-43C4-A8A1-B13BC5D2D281}"/>
            </c:ext>
          </c:extLst>
        </c:ser>
        <c:ser>
          <c:idx val="2"/>
          <c:order val="2"/>
          <c:tx>
            <c:strRef>
              <c:f>Sheet1!$D$1</c:f>
              <c:strCache>
                <c:ptCount val="1"/>
                <c:pt idx="0">
                  <c:v>Terciární vzdělání</c:v>
                </c:pt>
              </c:strCache>
            </c:strRef>
          </c:tx>
          <c:marker>
            <c:symbol val="none"/>
          </c:marker>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Sheet1!$D$2:$D$13</c:f>
              <c:numCache>
                <c:formatCode>General</c:formatCode>
                <c:ptCount val="12"/>
                <c:pt idx="0">
                  <c:v>2.2000000000000002</c:v>
                </c:pt>
                <c:pt idx="1">
                  <c:v>1.5</c:v>
                </c:pt>
                <c:pt idx="2">
                  <c:v>1.5</c:v>
                </c:pt>
                <c:pt idx="3">
                  <c:v>2.2000000000000002</c:v>
                </c:pt>
                <c:pt idx="4">
                  <c:v>2.5</c:v>
                </c:pt>
                <c:pt idx="5">
                  <c:v>2.6</c:v>
                </c:pt>
                <c:pt idx="6">
                  <c:v>2.6</c:v>
                </c:pt>
                <c:pt idx="7">
                  <c:v>2.5</c:v>
                </c:pt>
                <c:pt idx="8">
                  <c:v>2.6</c:v>
                </c:pt>
                <c:pt idx="9">
                  <c:v>2.2000000000000002</c:v>
                </c:pt>
                <c:pt idx="10">
                  <c:v>1.8</c:v>
                </c:pt>
                <c:pt idx="11">
                  <c:v>1.4</c:v>
                </c:pt>
              </c:numCache>
            </c:numRef>
          </c:val>
          <c:smooth val="0"/>
          <c:extLst>
            <c:ext xmlns:c16="http://schemas.microsoft.com/office/drawing/2014/chart" uri="{C3380CC4-5D6E-409C-BE32-E72D297353CC}">
              <c16:uniqueId val="{00000002-2BBE-43C4-A8A1-B13BC5D2D281}"/>
            </c:ext>
          </c:extLst>
        </c:ser>
        <c:dLbls>
          <c:showLegendKey val="0"/>
          <c:showVal val="0"/>
          <c:showCatName val="0"/>
          <c:showSerName val="0"/>
          <c:showPercent val="0"/>
          <c:showBubbleSize val="0"/>
        </c:dLbls>
        <c:smooth val="0"/>
        <c:axId val="-2103281736"/>
        <c:axId val="-2102598072"/>
      </c:lineChart>
      <c:catAx>
        <c:axId val="-2103281736"/>
        <c:scaling>
          <c:orientation val="minMax"/>
        </c:scaling>
        <c:delete val="0"/>
        <c:axPos val="b"/>
        <c:numFmt formatCode="General" sourceLinked="1"/>
        <c:majorTickMark val="none"/>
        <c:minorTickMark val="none"/>
        <c:tickLblPos val="nextTo"/>
        <c:crossAx val="-2102598072"/>
        <c:crosses val="autoZero"/>
        <c:auto val="1"/>
        <c:lblAlgn val="ctr"/>
        <c:lblOffset val="100"/>
        <c:noMultiLvlLbl val="0"/>
      </c:catAx>
      <c:valAx>
        <c:axId val="-2102598072"/>
        <c:scaling>
          <c:orientation val="minMax"/>
        </c:scaling>
        <c:delete val="0"/>
        <c:axPos val="l"/>
        <c:majorGridlines/>
        <c:numFmt formatCode="General" sourceLinked="1"/>
        <c:majorTickMark val="none"/>
        <c:minorTickMark val="none"/>
        <c:tickLblPos val="nextTo"/>
        <c:spPr>
          <a:ln w="9525">
            <a:noFill/>
          </a:ln>
        </c:spPr>
        <c:crossAx val="-2103281736"/>
        <c:crosses val="autoZero"/>
        <c:crossBetween val="between"/>
      </c:valAx>
    </c:plotArea>
    <c:legend>
      <c:legendPos val="b"/>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Primární</c:v>
                </c:pt>
              </c:strCache>
            </c:strRef>
          </c:tx>
          <c:invertIfNegative val="0"/>
          <c:cat>
            <c:strRef>
              <c:f>Sheet1!$A$2:$A$29</c:f>
              <c:strCache>
                <c:ptCount val="28"/>
                <c:pt idx="0">
                  <c:v>DK</c:v>
                </c:pt>
                <c:pt idx="1">
                  <c:v>LU</c:v>
                </c:pt>
                <c:pt idx="2">
                  <c:v>IE</c:v>
                </c:pt>
                <c:pt idx="3">
                  <c:v>SE</c:v>
                </c:pt>
                <c:pt idx="4">
                  <c:v>BE</c:v>
                </c:pt>
                <c:pt idx="5">
                  <c:v>UK</c:v>
                </c:pt>
                <c:pt idx="6">
                  <c:v>DE</c:v>
                </c:pt>
                <c:pt idx="7">
                  <c:v>FI</c:v>
                </c:pt>
                <c:pt idx="8">
                  <c:v>NL</c:v>
                </c:pt>
                <c:pt idx="9">
                  <c:v>AT</c:v>
                </c:pt>
                <c:pt idx="10">
                  <c:v>EU</c:v>
                </c:pt>
                <c:pt idx="11">
                  <c:v>FR</c:v>
                </c:pt>
                <c:pt idx="12">
                  <c:v>IT</c:v>
                </c:pt>
                <c:pt idx="13">
                  <c:v>CY</c:v>
                </c:pt>
                <c:pt idx="14">
                  <c:v>ES</c:v>
                </c:pt>
                <c:pt idx="15">
                  <c:v>MT</c:v>
                </c:pt>
                <c:pt idx="16">
                  <c:v>PT</c:v>
                </c:pt>
                <c:pt idx="17">
                  <c:v>EL</c:v>
                </c:pt>
                <c:pt idx="18">
                  <c:v>SI</c:v>
                </c:pt>
                <c:pt idx="19">
                  <c:v>PL</c:v>
                </c:pt>
                <c:pt idx="20">
                  <c:v>HU</c:v>
                </c:pt>
                <c:pt idx="21">
                  <c:v>CZ</c:v>
                </c:pt>
                <c:pt idx="22">
                  <c:v>EE</c:v>
                </c:pt>
                <c:pt idx="23">
                  <c:v>LV</c:v>
                </c:pt>
                <c:pt idx="24">
                  <c:v>SK</c:v>
                </c:pt>
                <c:pt idx="25">
                  <c:v>LT</c:v>
                </c:pt>
                <c:pt idx="26">
                  <c:v>RO</c:v>
                </c:pt>
                <c:pt idx="27">
                  <c:v>BG</c:v>
                </c:pt>
              </c:strCache>
            </c:strRef>
          </c:cat>
          <c:val>
            <c:numRef>
              <c:f>Sheet1!$B$2:$B$29</c:f>
              <c:numCache>
                <c:formatCode>General</c:formatCode>
                <c:ptCount val="28"/>
                <c:pt idx="0">
                  <c:v>30.37</c:v>
                </c:pt>
                <c:pt idx="1">
                  <c:v>29.16</c:v>
                </c:pt>
                <c:pt idx="2">
                  <c:v>26.84</c:v>
                </c:pt>
                <c:pt idx="3">
                  <c:v>23.23</c:v>
                </c:pt>
                <c:pt idx="4">
                  <c:v>22.51</c:v>
                </c:pt>
                <c:pt idx="5">
                  <c:v>22.03</c:v>
                </c:pt>
                <c:pt idx="6">
                  <c:v>21.63</c:v>
                </c:pt>
                <c:pt idx="7">
                  <c:v>20.29</c:v>
                </c:pt>
                <c:pt idx="8">
                  <c:v>19.59</c:v>
                </c:pt>
                <c:pt idx="9">
                  <c:v>18.989999999999998</c:v>
                </c:pt>
                <c:pt idx="10">
                  <c:v>18.690000000000001</c:v>
                </c:pt>
                <c:pt idx="11">
                  <c:v>18.440000000000001</c:v>
                </c:pt>
                <c:pt idx="12">
                  <c:v>15.44</c:v>
                </c:pt>
                <c:pt idx="13">
                  <c:v>13.75</c:v>
                </c:pt>
                <c:pt idx="14">
                  <c:v>13.45</c:v>
                </c:pt>
                <c:pt idx="15">
                  <c:v>12.72</c:v>
                </c:pt>
                <c:pt idx="16">
                  <c:v>12.23</c:v>
                </c:pt>
                <c:pt idx="17">
                  <c:v>11.76</c:v>
                </c:pt>
                <c:pt idx="18">
                  <c:v>10.82</c:v>
                </c:pt>
                <c:pt idx="19">
                  <c:v>6.47</c:v>
                </c:pt>
                <c:pt idx="20">
                  <c:v>6.43</c:v>
                </c:pt>
                <c:pt idx="21">
                  <c:v>6.35</c:v>
                </c:pt>
                <c:pt idx="22">
                  <c:v>5.73</c:v>
                </c:pt>
                <c:pt idx="23">
                  <c:v>5.63</c:v>
                </c:pt>
                <c:pt idx="24">
                  <c:v>5.56</c:v>
                </c:pt>
                <c:pt idx="25">
                  <c:v>4.4000000000000004</c:v>
                </c:pt>
                <c:pt idx="26">
                  <c:v>4.3099999999999996</c:v>
                </c:pt>
                <c:pt idx="27">
                  <c:v>2.87</c:v>
                </c:pt>
              </c:numCache>
            </c:numRef>
          </c:val>
          <c:extLst>
            <c:ext xmlns:c16="http://schemas.microsoft.com/office/drawing/2014/chart" uri="{C3380CC4-5D6E-409C-BE32-E72D297353CC}">
              <c16:uniqueId val="{00000000-1F52-47B3-81E5-B691D0F30765}"/>
            </c:ext>
          </c:extLst>
        </c:ser>
        <c:ser>
          <c:idx val="1"/>
          <c:order val="1"/>
          <c:tx>
            <c:strRef>
              <c:f>Sheet1!$C$1</c:f>
              <c:strCache>
                <c:ptCount val="1"/>
                <c:pt idx="0">
                  <c:v>Sekundární</c:v>
                </c:pt>
              </c:strCache>
            </c:strRef>
          </c:tx>
          <c:invertIfNegative val="0"/>
          <c:cat>
            <c:strRef>
              <c:f>Sheet1!$A$2:$A$29</c:f>
              <c:strCache>
                <c:ptCount val="28"/>
                <c:pt idx="0">
                  <c:v>DK</c:v>
                </c:pt>
                <c:pt idx="1">
                  <c:v>LU</c:v>
                </c:pt>
                <c:pt idx="2">
                  <c:v>IE</c:v>
                </c:pt>
                <c:pt idx="3">
                  <c:v>SE</c:v>
                </c:pt>
                <c:pt idx="4">
                  <c:v>BE</c:v>
                </c:pt>
                <c:pt idx="5">
                  <c:v>UK</c:v>
                </c:pt>
                <c:pt idx="6">
                  <c:v>DE</c:v>
                </c:pt>
                <c:pt idx="7">
                  <c:v>FI</c:v>
                </c:pt>
                <c:pt idx="8">
                  <c:v>NL</c:v>
                </c:pt>
                <c:pt idx="9">
                  <c:v>AT</c:v>
                </c:pt>
                <c:pt idx="10">
                  <c:v>EU</c:v>
                </c:pt>
                <c:pt idx="11">
                  <c:v>FR</c:v>
                </c:pt>
                <c:pt idx="12">
                  <c:v>IT</c:v>
                </c:pt>
                <c:pt idx="13">
                  <c:v>CY</c:v>
                </c:pt>
                <c:pt idx="14">
                  <c:v>ES</c:v>
                </c:pt>
                <c:pt idx="15">
                  <c:v>MT</c:v>
                </c:pt>
                <c:pt idx="16">
                  <c:v>PT</c:v>
                </c:pt>
                <c:pt idx="17">
                  <c:v>EL</c:v>
                </c:pt>
                <c:pt idx="18">
                  <c:v>SI</c:v>
                </c:pt>
                <c:pt idx="19">
                  <c:v>PL</c:v>
                </c:pt>
                <c:pt idx="20">
                  <c:v>HU</c:v>
                </c:pt>
                <c:pt idx="21">
                  <c:v>CZ</c:v>
                </c:pt>
                <c:pt idx="22">
                  <c:v>EE</c:v>
                </c:pt>
                <c:pt idx="23">
                  <c:v>LV</c:v>
                </c:pt>
                <c:pt idx="24">
                  <c:v>SK</c:v>
                </c:pt>
                <c:pt idx="25">
                  <c:v>LT</c:v>
                </c:pt>
                <c:pt idx="26">
                  <c:v>RO</c:v>
                </c:pt>
                <c:pt idx="27">
                  <c:v>BG</c:v>
                </c:pt>
              </c:strCache>
            </c:strRef>
          </c:cat>
          <c:val>
            <c:numRef>
              <c:f>Sheet1!$C$2:$C$29</c:f>
              <c:numCache>
                <c:formatCode>General</c:formatCode>
                <c:ptCount val="28"/>
                <c:pt idx="0">
                  <c:v>26.1</c:v>
                </c:pt>
                <c:pt idx="1">
                  <c:v>20.39</c:v>
                </c:pt>
                <c:pt idx="2">
                  <c:v>19.02</c:v>
                </c:pt>
                <c:pt idx="3">
                  <c:v>19.190000000000001</c:v>
                </c:pt>
                <c:pt idx="4">
                  <c:v>16.37</c:v>
                </c:pt>
                <c:pt idx="5">
                  <c:v>15.83</c:v>
                </c:pt>
                <c:pt idx="6">
                  <c:v>16.12</c:v>
                </c:pt>
                <c:pt idx="7">
                  <c:v>16.62</c:v>
                </c:pt>
                <c:pt idx="8">
                  <c:v>15.47</c:v>
                </c:pt>
                <c:pt idx="9">
                  <c:v>15.16</c:v>
                </c:pt>
                <c:pt idx="10">
                  <c:v>13.25</c:v>
                </c:pt>
                <c:pt idx="11">
                  <c:v>14.83</c:v>
                </c:pt>
                <c:pt idx="12">
                  <c:v>14.46</c:v>
                </c:pt>
                <c:pt idx="13">
                  <c:v>8.4</c:v>
                </c:pt>
                <c:pt idx="14">
                  <c:v>10.57</c:v>
                </c:pt>
                <c:pt idx="15">
                  <c:v>9.4700000000000006</c:v>
                </c:pt>
                <c:pt idx="16">
                  <c:v>6.59</c:v>
                </c:pt>
                <c:pt idx="17">
                  <c:v>7.7699999999999987</c:v>
                </c:pt>
                <c:pt idx="18">
                  <c:v>7.24</c:v>
                </c:pt>
                <c:pt idx="19">
                  <c:v>4.17</c:v>
                </c:pt>
                <c:pt idx="20">
                  <c:v>3.7</c:v>
                </c:pt>
                <c:pt idx="21">
                  <c:v>4.79</c:v>
                </c:pt>
                <c:pt idx="22">
                  <c:v>5.01</c:v>
                </c:pt>
                <c:pt idx="23">
                  <c:v>3.49</c:v>
                </c:pt>
                <c:pt idx="24">
                  <c:v>4.58</c:v>
                </c:pt>
                <c:pt idx="25">
                  <c:v>2.95</c:v>
                </c:pt>
                <c:pt idx="26">
                  <c:v>2.09</c:v>
                </c:pt>
                <c:pt idx="27">
                  <c:v>1.83</c:v>
                </c:pt>
              </c:numCache>
            </c:numRef>
          </c:val>
          <c:extLst>
            <c:ext xmlns:c16="http://schemas.microsoft.com/office/drawing/2014/chart" uri="{C3380CC4-5D6E-409C-BE32-E72D297353CC}">
              <c16:uniqueId val="{00000001-1F52-47B3-81E5-B691D0F30765}"/>
            </c:ext>
          </c:extLst>
        </c:ser>
        <c:ser>
          <c:idx val="2"/>
          <c:order val="2"/>
          <c:tx>
            <c:strRef>
              <c:f>Sheet1!$D$1</c:f>
              <c:strCache>
                <c:ptCount val="1"/>
                <c:pt idx="0">
                  <c:v>Terciární</c:v>
                </c:pt>
              </c:strCache>
            </c:strRef>
          </c:tx>
          <c:invertIfNegative val="0"/>
          <c:cat>
            <c:strRef>
              <c:f>Sheet1!$A$2:$A$29</c:f>
              <c:strCache>
                <c:ptCount val="28"/>
                <c:pt idx="0">
                  <c:v>DK</c:v>
                </c:pt>
                <c:pt idx="1">
                  <c:v>LU</c:v>
                </c:pt>
                <c:pt idx="2">
                  <c:v>IE</c:v>
                </c:pt>
                <c:pt idx="3">
                  <c:v>SE</c:v>
                </c:pt>
                <c:pt idx="4">
                  <c:v>BE</c:v>
                </c:pt>
                <c:pt idx="5">
                  <c:v>UK</c:v>
                </c:pt>
                <c:pt idx="6">
                  <c:v>DE</c:v>
                </c:pt>
                <c:pt idx="7">
                  <c:v>FI</c:v>
                </c:pt>
                <c:pt idx="8">
                  <c:v>NL</c:v>
                </c:pt>
                <c:pt idx="9">
                  <c:v>AT</c:v>
                </c:pt>
                <c:pt idx="10">
                  <c:v>EU</c:v>
                </c:pt>
                <c:pt idx="11">
                  <c:v>FR</c:v>
                </c:pt>
                <c:pt idx="12">
                  <c:v>IT</c:v>
                </c:pt>
                <c:pt idx="13">
                  <c:v>CY</c:v>
                </c:pt>
                <c:pt idx="14">
                  <c:v>ES</c:v>
                </c:pt>
                <c:pt idx="15">
                  <c:v>MT</c:v>
                </c:pt>
                <c:pt idx="16">
                  <c:v>PT</c:v>
                </c:pt>
                <c:pt idx="17">
                  <c:v>EL</c:v>
                </c:pt>
                <c:pt idx="18">
                  <c:v>SI</c:v>
                </c:pt>
                <c:pt idx="19">
                  <c:v>PL</c:v>
                </c:pt>
                <c:pt idx="20">
                  <c:v>HU</c:v>
                </c:pt>
                <c:pt idx="21">
                  <c:v>CZ</c:v>
                </c:pt>
                <c:pt idx="22">
                  <c:v>EE</c:v>
                </c:pt>
                <c:pt idx="23">
                  <c:v>LV</c:v>
                </c:pt>
                <c:pt idx="24">
                  <c:v>SK</c:v>
                </c:pt>
                <c:pt idx="25">
                  <c:v>LT</c:v>
                </c:pt>
                <c:pt idx="26">
                  <c:v>RO</c:v>
                </c:pt>
                <c:pt idx="27">
                  <c:v>BG</c:v>
                </c:pt>
              </c:strCache>
            </c:strRef>
          </c:cat>
          <c:val>
            <c:numRef>
              <c:f>Sheet1!$D$2:$D$29</c:f>
              <c:numCache>
                <c:formatCode>General</c:formatCode>
                <c:ptCount val="28"/>
                <c:pt idx="0">
                  <c:v>21.14</c:v>
                </c:pt>
                <c:pt idx="1">
                  <c:v>15.71</c:v>
                </c:pt>
                <c:pt idx="2">
                  <c:v>17.71</c:v>
                </c:pt>
                <c:pt idx="3">
                  <c:v>17.82</c:v>
                </c:pt>
                <c:pt idx="4">
                  <c:v>15.04</c:v>
                </c:pt>
                <c:pt idx="5">
                  <c:v>14.89</c:v>
                </c:pt>
                <c:pt idx="6">
                  <c:v>10.63</c:v>
                </c:pt>
                <c:pt idx="7">
                  <c:v>16.59</c:v>
                </c:pt>
                <c:pt idx="8">
                  <c:v>13.67</c:v>
                </c:pt>
                <c:pt idx="9">
                  <c:v>10.61</c:v>
                </c:pt>
                <c:pt idx="10">
                  <c:v>11.49</c:v>
                </c:pt>
                <c:pt idx="11">
                  <c:v>13.66</c:v>
                </c:pt>
                <c:pt idx="12">
                  <c:v>11.49</c:v>
                </c:pt>
                <c:pt idx="13">
                  <c:v>6.96</c:v>
                </c:pt>
                <c:pt idx="14">
                  <c:v>9.1</c:v>
                </c:pt>
                <c:pt idx="15">
                  <c:v>7.48</c:v>
                </c:pt>
                <c:pt idx="16">
                  <c:v>4.92</c:v>
                </c:pt>
                <c:pt idx="17">
                  <c:v>7.14</c:v>
                </c:pt>
                <c:pt idx="18">
                  <c:v>5.85</c:v>
                </c:pt>
                <c:pt idx="19">
                  <c:v>3.52</c:v>
                </c:pt>
                <c:pt idx="20">
                  <c:v>2.94</c:v>
                </c:pt>
                <c:pt idx="21">
                  <c:v>3.57</c:v>
                </c:pt>
                <c:pt idx="22">
                  <c:v>4.42</c:v>
                </c:pt>
                <c:pt idx="23">
                  <c:v>3.18</c:v>
                </c:pt>
                <c:pt idx="24">
                  <c:v>3.13</c:v>
                </c:pt>
                <c:pt idx="25">
                  <c:v>2.61</c:v>
                </c:pt>
                <c:pt idx="26">
                  <c:v>1.69</c:v>
                </c:pt>
                <c:pt idx="27">
                  <c:v>1.46</c:v>
                </c:pt>
              </c:numCache>
            </c:numRef>
          </c:val>
          <c:extLst>
            <c:ext xmlns:c16="http://schemas.microsoft.com/office/drawing/2014/chart" uri="{C3380CC4-5D6E-409C-BE32-E72D297353CC}">
              <c16:uniqueId val="{00000002-1F52-47B3-81E5-B691D0F30765}"/>
            </c:ext>
          </c:extLst>
        </c:ser>
        <c:dLbls>
          <c:showLegendKey val="0"/>
          <c:showVal val="0"/>
          <c:showCatName val="0"/>
          <c:showSerName val="0"/>
          <c:showPercent val="0"/>
          <c:showBubbleSize val="0"/>
        </c:dLbls>
        <c:gapWidth val="75"/>
        <c:overlap val="-25"/>
        <c:axId val="2053500744"/>
        <c:axId val="-2048916584"/>
      </c:barChart>
      <c:catAx>
        <c:axId val="2053500744"/>
        <c:scaling>
          <c:orientation val="minMax"/>
        </c:scaling>
        <c:delete val="0"/>
        <c:axPos val="b"/>
        <c:numFmt formatCode="General" sourceLinked="0"/>
        <c:majorTickMark val="none"/>
        <c:minorTickMark val="none"/>
        <c:tickLblPos val="nextTo"/>
        <c:txPr>
          <a:bodyPr/>
          <a:lstStyle/>
          <a:p>
            <a:pPr>
              <a:defRPr sz="900"/>
            </a:pPr>
            <a:endParaRPr lang="cs-CZ"/>
          </a:p>
        </c:txPr>
        <c:crossAx val="-2048916584"/>
        <c:crosses val="autoZero"/>
        <c:auto val="1"/>
        <c:lblAlgn val="ctr"/>
        <c:lblOffset val="100"/>
        <c:noMultiLvlLbl val="0"/>
      </c:catAx>
      <c:valAx>
        <c:axId val="-2048916584"/>
        <c:scaling>
          <c:orientation val="minMax"/>
        </c:scaling>
        <c:delete val="0"/>
        <c:axPos val="l"/>
        <c:majorGridlines/>
        <c:numFmt formatCode="General" sourceLinked="1"/>
        <c:majorTickMark val="none"/>
        <c:minorTickMark val="none"/>
        <c:tickLblPos val="nextTo"/>
        <c:spPr>
          <a:ln w="9525">
            <a:noFill/>
          </a:ln>
        </c:spPr>
        <c:txPr>
          <a:bodyPr/>
          <a:lstStyle/>
          <a:p>
            <a:pPr>
              <a:defRPr sz="900"/>
            </a:pPr>
            <a:endParaRPr lang="cs-CZ"/>
          </a:p>
        </c:txPr>
        <c:crossAx val="2053500744"/>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3CB68-9878-4641-A929-31E9C837A0D4}" type="doc">
      <dgm:prSet loTypeId="urn:microsoft.com/office/officeart/2005/8/layout/hierarchy4" loCatId="" qsTypeId="urn:microsoft.com/office/officeart/2005/8/quickstyle/simple3" qsCatId="simple" csTypeId="urn:microsoft.com/office/officeart/2005/8/colors/accent1_2" csCatId="accent1" phldr="1"/>
      <dgm:spPr/>
      <dgm:t>
        <a:bodyPr/>
        <a:lstStyle/>
        <a:p>
          <a:endParaRPr lang="en-US"/>
        </a:p>
      </dgm:t>
    </dgm:pt>
    <dgm:pt modelId="{F200A5EC-B692-E44F-AFEA-00D29CF4F2DF}">
      <dgm:prSet phldrT="[Text]" custT="1"/>
      <dgm:spPr/>
      <dgm:t>
        <a:bodyPr/>
        <a:lstStyle/>
        <a:p>
          <a:pPr algn="ctr"/>
          <a:r>
            <a:rPr lang="en-US" sz="2000">
              <a:latin typeface="+mj-lt"/>
              <a:cs typeface="Lucida Grande CE"/>
            </a:rPr>
            <a:t>Intelektuální kapitál</a:t>
          </a:r>
        </a:p>
      </dgm:t>
    </dgm:pt>
    <dgm:pt modelId="{01178D7B-BE9C-8744-9AA4-049B713D3A64}" type="parTrans" cxnId="{F4059C5B-3E7F-4141-9F9F-057835228E8E}">
      <dgm:prSet/>
      <dgm:spPr/>
      <dgm:t>
        <a:bodyPr/>
        <a:lstStyle/>
        <a:p>
          <a:pPr algn="ctr"/>
          <a:endParaRPr lang="en-US"/>
        </a:p>
      </dgm:t>
    </dgm:pt>
    <dgm:pt modelId="{81FD8D60-1F72-A34A-BD11-ABFD09A516BD}" type="sibTrans" cxnId="{F4059C5B-3E7F-4141-9F9F-057835228E8E}">
      <dgm:prSet/>
      <dgm:spPr/>
      <dgm:t>
        <a:bodyPr/>
        <a:lstStyle/>
        <a:p>
          <a:pPr algn="ctr"/>
          <a:endParaRPr lang="en-US"/>
        </a:p>
      </dgm:t>
    </dgm:pt>
    <dgm:pt modelId="{21369046-10D8-2242-8DC5-D7488DFB083A}">
      <dgm:prSet phldrT="[Text]" custT="1"/>
      <dgm:spPr/>
      <dgm:t>
        <a:bodyPr/>
        <a:lstStyle/>
        <a:p>
          <a:pPr algn="ctr"/>
          <a:r>
            <a:rPr lang="en-US" sz="1200" b="1">
              <a:latin typeface="+mj-lt"/>
            </a:rPr>
            <a:t>Lidský kapitál</a:t>
          </a:r>
        </a:p>
        <a:p>
          <a:pPr algn="ctr"/>
          <a:r>
            <a:rPr lang="en-US" sz="1200">
              <a:latin typeface="+mj-lt"/>
            </a:rPr>
            <a:t>schopnosti</a:t>
          </a:r>
        </a:p>
        <a:p>
          <a:pPr algn="ctr"/>
          <a:r>
            <a:rPr lang="en-US" sz="1200">
              <a:latin typeface="+mj-lt"/>
            </a:rPr>
            <a:t>znalosti</a:t>
          </a:r>
        </a:p>
        <a:p>
          <a:pPr algn="ctr"/>
          <a:r>
            <a:rPr lang="en-US" sz="1200">
              <a:latin typeface="+mj-lt"/>
            </a:rPr>
            <a:t>dovednosti</a:t>
          </a:r>
        </a:p>
      </dgm:t>
    </dgm:pt>
    <dgm:pt modelId="{ABEAE337-9692-6745-81E0-7BA7CDC79D02}" type="parTrans" cxnId="{5F1FE98C-9D43-254C-AC2F-837CBD28C489}">
      <dgm:prSet/>
      <dgm:spPr/>
      <dgm:t>
        <a:bodyPr/>
        <a:lstStyle/>
        <a:p>
          <a:pPr algn="ctr"/>
          <a:endParaRPr lang="en-US"/>
        </a:p>
      </dgm:t>
    </dgm:pt>
    <dgm:pt modelId="{438EC960-ED86-1841-BF7E-76C83D8A30D5}" type="sibTrans" cxnId="{5F1FE98C-9D43-254C-AC2F-837CBD28C489}">
      <dgm:prSet/>
      <dgm:spPr/>
      <dgm:t>
        <a:bodyPr/>
        <a:lstStyle/>
        <a:p>
          <a:pPr algn="ctr"/>
          <a:endParaRPr lang="en-US"/>
        </a:p>
      </dgm:t>
    </dgm:pt>
    <dgm:pt modelId="{763C1205-7C40-084E-B947-DE65EA404E36}">
      <dgm:prSet phldrT="[Text]" custT="1"/>
      <dgm:spPr/>
      <dgm:t>
        <a:bodyPr/>
        <a:lstStyle/>
        <a:p>
          <a:pPr algn="ctr"/>
          <a:r>
            <a:rPr lang="en-US" sz="1200" b="1">
              <a:latin typeface="+mj-lt"/>
            </a:rPr>
            <a:t>Strukturální kapitál</a:t>
          </a:r>
        </a:p>
        <a:p>
          <a:pPr algn="ctr"/>
          <a:r>
            <a:rPr lang="en-US" sz="1200">
              <a:latin typeface="+mj-lt"/>
            </a:rPr>
            <a:t>procesní</a:t>
          </a:r>
        </a:p>
        <a:p>
          <a:pPr algn="ctr"/>
          <a:r>
            <a:rPr lang="en-US" sz="1200">
              <a:latin typeface="+mj-lt"/>
            </a:rPr>
            <a:t>inovační</a:t>
          </a:r>
        </a:p>
      </dgm:t>
    </dgm:pt>
    <dgm:pt modelId="{FD552A50-9B35-9D44-B55A-F16B4D8E93DB}" type="parTrans" cxnId="{963D72E9-3F2E-D641-8EC9-150B5FE81FA4}">
      <dgm:prSet/>
      <dgm:spPr/>
      <dgm:t>
        <a:bodyPr/>
        <a:lstStyle/>
        <a:p>
          <a:pPr algn="ctr"/>
          <a:endParaRPr lang="en-US"/>
        </a:p>
      </dgm:t>
    </dgm:pt>
    <dgm:pt modelId="{61DF2B4F-D55B-6A4F-8369-F57E51BD8388}" type="sibTrans" cxnId="{963D72E9-3F2E-D641-8EC9-150B5FE81FA4}">
      <dgm:prSet/>
      <dgm:spPr/>
      <dgm:t>
        <a:bodyPr/>
        <a:lstStyle/>
        <a:p>
          <a:pPr algn="ctr"/>
          <a:endParaRPr lang="en-US"/>
        </a:p>
      </dgm:t>
    </dgm:pt>
    <dgm:pt modelId="{BC0DBFA1-7B73-1140-A307-6C7E738B6106}">
      <dgm:prSet phldrT="[Text]" custT="1"/>
      <dgm:spPr/>
      <dgm:t>
        <a:bodyPr/>
        <a:lstStyle/>
        <a:p>
          <a:pPr algn="ctr"/>
          <a:r>
            <a:rPr lang="en-US" sz="1200" b="1">
              <a:latin typeface="+mj-lt"/>
            </a:rPr>
            <a:t>Vztahový kapitál</a:t>
          </a:r>
        </a:p>
        <a:p>
          <a:pPr algn="ctr"/>
          <a:r>
            <a:rPr lang="en-US" sz="1200">
              <a:latin typeface="+mj-lt"/>
            </a:rPr>
            <a:t>vnitřní vztahy</a:t>
          </a:r>
        </a:p>
        <a:p>
          <a:pPr algn="ctr"/>
          <a:r>
            <a:rPr lang="en-US" sz="1200">
              <a:latin typeface="+mj-lt"/>
            </a:rPr>
            <a:t>vnější vztahy</a:t>
          </a:r>
        </a:p>
      </dgm:t>
    </dgm:pt>
    <dgm:pt modelId="{8B978320-7332-CD46-A59C-FE2B69F7A3EE}" type="parTrans" cxnId="{923BE30A-D6CD-D249-B98D-3E0FD796829C}">
      <dgm:prSet/>
      <dgm:spPr/>
      <dgm:t>
        <a:bodyPr/>
        <a:lstStyle/>
        <a:p>
          <a:pPr algn="ctr"/>
          <a:endParaRPr lang="en-US"/>
        </a:p>
      </dgm:t>
    </dgm:pt>
    <dgm:pt modelId="{30BE5DF7-F8A9-304C-BF12-2A333B1518C6}" type="sibTrans" cxnId="{923BE30A-D6CD-D249-B98D-3E0FD796829C}">
      <dgm:prSet/>
      <dgm:spPr/>
      <dgm:t>
        <a:bodyPr/>
        <a:lstStyle/>
        <a:p>
          <a:pPr algn="ctr"/>
          <a:endParaRPr lang="en-US"/>
        </a:p>
      </dgm:t>
    </dgm:pt>
    <dgm:pt modelId="{7E6A317B-5928-6F41-96C8-BFCDD23A40F6}" type="pres">
      <dgm:prSet presAssocID="{F353CB68-9878-4641-A929-31E9C837A0D4}" presName="Name0" presStyleCnt="0">
        <dgm:presLayoutVars>
          <dgm:chPref val="1"/>
          <dgm:dir/>
          <dgm:animOne val="branch"/>
          <dgm:animLvl val="lvl"/>
          <dgm:resizeHandles/>
        </dgm:presLayoutVars>
      </dgm:prSet>
      <dgm:spPr/>
    </dgm:pt>
    <dgm:pt modelId="{F9503526-A6CC-4342-8DEE-D5E45007BDB6}" type="pres">
      <dgm:prSet presAssocID="{F200A5EC-B692-E44F-AFEA-00D29CF4F2DF}" presName="vertOne" presStyleCnt="0"/>
      <dgm:spPr/>
    </dgm:pt>
    <dgm:pt modelId="{0F2605AE-86E0-6E43-A0B3-4D4E29289B83}" type="pres">
      <dgm:prSet presAssocID="{F200A5EC-B692-E44F-AFEA-00D29CF4F2DF}" presName="txOne" presStyleLbl="node0" presStyleIdx="0" presStyleCnt="1" custLinFactNeighborX="11020" custLinFactNeighborY="-51972">
        <dgm:presLayoutVars>
          <dgm:chPref val="3"/>
        </dgm:presLayoutVars>
      </dgm:prSet>
      <dgm:spPr/>
    </dgm:pt>
    <dgm:pt modelId="{0D495358-6B7A-A644-8399-28CB1D9EAE36}" type="pres">
      <dgm:prSet presAssocID="{F200A5EC-B692-E44F-AFEA-00D29CF4F2DF}" presName="parTransOne" presStyleCnt="0"/>
      <dgm:spPr/>
    </dgm:pt>
    <dgm:pt modelId="{FE118FBD-7EF2-6546-9DF6-FB9F2BFE4439}" type="pres">
      <dgm:prSet presAssocID="{F200A5EC-B692-E44F-AFEA-00D29CF4F2DF}" presName="horzOne" presStyleCnt="0"/>
      <dgm:spPr/>
    </dgm:pt>
    <dgm:pt modelId="{652F0245-5BD6-A943-8AC4-7DFAE31F7B64}" type="pres">
      <dgm:prSet presAssocID="{21369046-10D8-2242-8DC5-D7488DFB083A}" presName="vertTwo" presStyleCnt="0"/>
      <dgm:spPr/>
    </dgm:pt>
    <dgm:pt modelId="{E7BC3D7B-7744-2A4F-8299-6C0322E75E37}" type="pres">
      <dgm:prSet presAssocID="{21369046-10D8-2242-8DC5-D7488DFB083A}" presName="txTwo" presStyleLbl="node2" presStyleIdx="0" presStyleCnt="3">
        <dgm:presLayoutVars>
          <dgm:chPref val="3"/>
        </dgm:presLayoutVars>
      </dgm:prSet>
      <dgm:spPr/>
    </dgm:pt>
    <dgm:pt modelId="{FED2494E-CB84-104D-BD7B-6A9734164027}" type="pres">
      <dgm:prSet presAssocID="{21369046-10D8-2242-8DC5-D7488DFB083A}" presName="horzTwo" presStyleCnt="0"/>
      <dgm:spPr/>
    </dgm:pt>
    <dgm:pt modelId="{1EBC4A28-D7E1-F046-83B6-DE2B480D555B}" type="pres">
      <dgm:prSet presAssocID="{438EC960-ED86-1841-BF7E-76C83D8A30D5}" presName="sibSpaceTwo" presStyleCnt="0"/>
      <dgm:spPr/>
    </dgm:pt>
    <dgm:pt modelId="{933C5EBA-5E8C-8B4B-BB9E-9A146A9435DD}" type="pres">
      <dgm:prSet presAssocID="{763C1205-7C40-084E-B947-DE65EA404E36}" presName="vertTwo" presStyleCnt="0"/>
      <dgm:spPr/>
    </dgm:pt>
    <dgm:pt modelId="{B32F9278-35E3-BD4A-A5EA-7C9B702531B9}" type="pres">
      <dgm:prSet presAssocID="{763C1205-7C40-084E-B947-DE65EA404E36}" presName="txTwo" presStyleLbl="node2" presStyleIdx="1" presStyleCnt="3">
        <dgm:presLayoutVars>
          <dgm:chPref val="3"/>
        </dgm:presLayoutVars>
      </dgm:prSet>
      <dgm:spPr/>
    </dgm:pt>
    <dgm:pt modelId="{5134ED3F-0A7F-F848-9660-F3D338D667B5}" type="pres">
      <dgm:prSet presAssocID="{763C1205-7C40-084E-B947-DE65EA404E36}" presName="horzTwo" presStyleCnt="0"/>
      <dgm:spPr/>
    </dgm:pt>
    <dgm:pt modelId="{26305FF3-123E-F541-BF6D-04874FEB13F3}" type="pres">
      <dgm:prSet presAssocID="{61DF2B4F-D55B-6A4F-8369-F57E51BD8388}" presName="sibSpaceTwo" presStyleCnt="0"/>
      <dgm:spPr/>
    </dgm:pt>
    <dgm:pt modelId="{FB112F50-1B21-6943-84EB-264BBAAC1CE9}" type="pres">
      <dgm:prSet presAssocID="{BC0DBFA1-7B73-1140-A307-6C7E738B6106}" presName="vertTwo" presStyleCnt="0"/>
      <dgm:spPr/>
    </dgm:pt>
    <dgm:pt modelId="{B27EC80E-BEAF-8A44-AC40-5A150E4BDCA2}" type="pres">
      <dgm:prSet presAssocID="{BC0DBFA1-7B73-1140-A307-6C7E738B6106}" presName="txTwo" presStyleLbl="node2" presStyleIdx="2" presStyleCnt="3">
        <dgm:presLayoutVars>
          <dgm:chPref val="3"/>
        </dgm:presLayoutVars>
      </dgm:prSet>
      <dgm:spPr/>
    </dgm:pt>
    <dgm:pt modelId="{D279F3F1-A9A2-9E4D-A3BB-EFAD680845C4}" type="pres">
      <dgm:prSet presAssocID="{BC0DBFA1-7B73-1140-A307-6C7E738B6106}" presName="horzTwo" presStyleCnt="0"/>
      <dgm:spPr/>
    </dgm:pt>
  </dgm:ptLst>
  <dgm:cxnLst>
    <dgm:cxn modelId="{923BE30A-D6CD-D249-B98D-3E0FD796829C}" srcId="{F200A5EC-B692-E44F-AFEA-00D29CF4F2DF}" destId="{BC0DBFA1-7B73-1140-A307-6C7E738B6106}" srcOrd="2" destOrd="0" parTransId="{8B978320-7332-CD46-A59C-FE2B69F7A3EE}" sibTransId="{30BE5DF7-F8A9-304C-BF12-2A333B1518C6}"/>
    <dgm:cxn modelId="{73338C11-DCBB-A249-9A3A-01853C6F1B05}" type="presOf" srcId="{F200A5EC-B692-E44F-AFEA-00D29CF4F2DF}" destId="{0F2605AE-86E0-6E43-A0B3-4D4E29289B83}" srcOrd="0" destOrd="0" presId="urn:microsoft.com/office/officeart/2005/8/layout/hierarchy4"/>
    <dgm:cxn modelId="{F4059C5B-3E7F-4141-9F9F-057835228E8E}" srcId="{F353CB68-9878-4641-A929-31E9C837A0D4}" destId="{F200A5EC-B692-E44F-AFEA-00D29CF4F2DF}" srcOrd="0" destOrd="0" parTransId="{01178D7B-BE9C-8744-9AA4-049B713D3A64}" sibTransId="{81FD8D60-1F72-A34A-BD11-ABFD09A516BD}"/>
    <dgm:cxn modelId="{6BF60670-C2C0-7C42-8212-328F1AE0E5EF}" type="presOf" srcId="{BC0DBFA1-7B73-1140-A307-6C7E738B6106}" destId="{B27EC80E-BEAF-8A44-AC40-5A150E4BDCA2}" srcOrd="0" destOrd="0" presId="urn:microsoft.com/office/officeart/2005/8/layout/hierarchy4"/>
    <dgm:cxn modelId="{5A13C971-6576-2F48-9D3F-0D5E2D70DA10}" type="presOf" srcId="{21369046-10D8-2242-8DC5-D7488DFB083A}" destId="{E7BC3D7B-7744-2A4F-8299-6C0322E75E37}" srcOrd="0" destOrd="0" presId="urn:microsoft.com/office/officeart/2005/8/layout/hierarchy4"/>
    <dgm:cxn modelId="{5F1FE98C-9D43-254C-AC2F-837CBD28C489}" srcId="{F200A5EC-B692-E44F-AFEA-00D29CF4F2DF}" destId="{21369046-10D8-2242-8DC5-D7488DFB083A}" srcOrd="0" destOrd="0" parTransId="{ABEAE337-9692-6745-81E0-7BA7CDC79D02}" sibTransId="{438EC960-ED86-1841-BF7E-76C83D8A30D5}"/>
    <dgm:cxn modelId="{20E4D590-C3D2-7740-8F74-C4F5C3DCD028}" type="presOf" srcId="{F353CB68-9878-4641-A929-31E9C837A0D4}" destId="{7E6A317B-5928-6F41-96C8-BFCDD23A40F6}" srcOrd="0" destOrd="0" presId="urn:microsoft.com/office/officeart/2005/8/layout/hierarchy4"/>
    <dgm:cxn modelId="{0A4CBCB1-D9CD-F44C-9136-570B2A9BCCE1}" type="presOf" srcId="{763C1205-7C40-084E-B947-DE65EA404E36}" destId="{B32F9278-35E3-BD4A-A5EA-7C9B702531B9}" srcOrd="0" destOrd="0" presId="urn:microsoft.com/office/officeart/2005/8/layout/hierarchy4"/>
    <dgm:cxn modelId="{963D72E9-3F2E-D641-8EC9-150B5FE81FA4}" srcId="{F200A5EC-B692-E44F-AFEA-00D29CF4F2DF}" destId="{763C1205-7C40-084E-B947-DE65EA404E36}" srcOrd="1" destOrd="0" parTransId="{FD552A50-9B35-9D44-B55A-F16B4D8E93DB}" sibTransId="{61DF2B4F-D55B-6A4F-8369-F57E51BD8388}"/>
    <dgm:cxn modelId="{70873D2F-1ABA-0740-9C51-21CF05949453}" type="presParOf" srcId="{7E6A317B-5928-6F41-96C8-BFCDD23A40F6}" destId="{F9503526-A6CC-4342-8DEE-D5E45007BDB6}" srcOrd="0" destOrd="0" presId="urn:microsoft.com/office/officeart/2005/8/layout/hierarchy4"/>
    <dgm:cxn modelId="{51487094-A97C-414D-8E68-214FF578628D}" type="presParOf" srcId="{F9503526-A6CC-4342-8DEE-D5E45007BDB6}" destId="{0F2605AE-86E0-6E43-A0B3-4D4E29289B83}" srcOrd="0" destOrd="0" presId="urn:microsoft.com/office/officeart/2005/8/layout/hierarchy4"/>
    <dgm:cxn modelId="{51A96495-F60B-EE4D-9E81-36EE0FEE2B8B}" type="presParOf" srcId="{F9503526-A6CC-4342-8DEE-D5E45007BDB6}" destId="{0D495358-6B7A-A644-8399-28CB1D9EAE36}" srcOrd="1" destOrd="0" presId="urn:microsoft.com/office/officeart/2005/8/layout/hierarchy4"/>
    <dgm:cxn modelId="{4E7EA5B8-C1D0-F442-84A6-C7A571A38E92}" type="presParOf" srcId="{F9503526-A6CC-4342-8DEE-D5E45007BDB6}" destId="{FE118FBD-7EF2-6546-9DF6-FB9F2BFE4439}" srcOrd="2" destOrd="0" presId="urn:microsoft.com/office/officeart/2005/8/layout/hierarchy4"/>
    <dgm:cxn modelId="{B34B2240-95B4-7C46-892B-6A12CA3449A8}" type="presParOf" srcId="{FE118FBD-7EF2-6546-9DF6-FB9F2BFE4439}" destId="{652F0245-5BD6-A943-8AC4-7DFAE31F7B64}" srcOrd="0" destOrd="0" presId="urn:microsoft.com/office/officeart/2005/8/layout/hierarchy4"/>
    <dgm:cxn modelId="{59D04273-3459-E945-83B6-DFC34D0581A8}" type="presParOf" srcId="{652F0245-5BD6-A943-8AC4-7DFAE31F7B64}" destId="{E7BC3D7B-7744-2A4F-8299-6C0322E75E37}" srcOrd="0" destOrd="0" presId="urn:microsoft.com/office/officeart/2005/8/layout/hierarchy4"/>
    <dgm:cxn modelId="{46E36EE5-4256-A241-A5E9-C20628906471}" type="presParOf" srcId="{652F0245-5BD6-A943-8AC4-7DFAE31F7B64}" destId="{FED2494E-CB84-104D-BD7B-6A9734164027}" srcOrd="1" destOrd="0" presId="urn:microsoft.com/office/officeart/2005/8/layout/hierarchy4"/>
    <dgm:cxn modelId="{8E21AA28-D188-E241-BF48-383E3E6A1E48}" type="presParOf" srcId="{FE118FBD-7EF2-6546-9DF6-FB9F2BFE4439}" destId="{1EBC4A28-D7E1-F046-83B6-DE2B480D555B}" srcOrd="1" destOrd="0" presId="urn:microsoft.com/office/officeart/2005/8/layout/hierarchy4"/>
    <dgm:cxn modelId="{E2F9DEFC-A092-C94C-A575-6D3FDD1968A7}" type="presParOf" srcId="{FE118FBD-7EF2-6546-9DF6-FB9F2BFE4439}" destId="{933C5EBA-5E8C-8B4B-BB9E-9A146A9435DD}" srcOrd="2" destOrd="0" presId="urn:microsoft.com/office/officeart/2005/8/layout/hierarchy4"/>
    <dgm:cxn modelId="{E7CFBA53-6FE7-DA4F-99F7-2B36A824605D}" type="presParOf" srcId="{933C5EBA-5E8C-8B4B-BB9E-9A146A9435DD}" destId="{B32F9278-35E3-BD4A-A5EA-7C9B702531B9}" srcOrd="0" destOrd="0" presId="urn:microsoft.com/office/officeart/2005/8/layout/hierarchy4"/>
    <dgm:cxn modelId="{4837CD0A-8037-5D43-9272-56AF93C0881F}" type="presParOf" srcId="{933C5EBA-5E8C-8B4B-BB9E-9A146A9435DD}" destId="{5134ED3F-0A7F-F848-9660-F3D338D667B5}" srcOrd="1" destOrd="0" presId="urn:microsoft.com/office/officeart/2005/8/layout/hierarchy4"/>
    <dgm:cxn modelId="{BDF5645A-F885-A140-B5CD-FB9CC7B3D2EB}" type="presParOf" srcId="{FE118FBD-7EF2-6546-9DF6-FB9F2BFE4439}" destId="{26305FF3-123E-F541-BF6D-04874FEB13F3}" srcOrd="3" destOrd="0" presId="urn:microsoft.com/office/officeart/2005/8/layout/hierarchy4"/>
    <dgm:cxn modelId="{E2FB351B-7381-2347-BD0D-092CD7EC91C5}" type="presParOf" srcId="{FE118FBD-7EF2-6546-9DF6-FB9F2BFE4439}" destId="{FB112F50-1B21-6943-84EB-264BBAAC1CE9}" srcOrd="4" destOrd="0" presId="urn:microsoft.com/office/officeart/2005/8/layout/hierarchy4"/>
    <dgm:cxn modelId="{D5CC78EB-DFD3-A548-94C2-DE28687FF11E}" type="presParOf" srcId="{FB112F50-1B21-6943-84EB-264BBAAC1CE9}" destId="{B27EC80E-BEAF-8A44-AC40-5A150E4BDCA2}" srcOrd="0" destOrd="0" presId="urn:microsoft.com/office/officeart/2005/8/layout/hierarchy4"/>
    <dgm:cxn modelId="{808B410B-E267-464F-AACE-1180A7C11139}" type="presParOf" srcId="{FB112F50-1B21-6943-84EB-264BBAAC1CE9}" destId="{D279F3F1-A9A2-9E4D-A3BB-EFAD680845C4}"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367041-DCF3-5547-9E77-F1F2EEF91812}"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en-US"/>
        </a:p>
      </dgm:t>
    </dgm:pt>
    <dgm:pt modelId="{67244006-9587-AF44-A804-57E174003A2B}">
      <dgm:prSet phldrT="[Text]" custT="1"/>
      <dgm:spPr/>
      <dgm:t>
        <a:bodyPr/>
        <a:lstStyle/>
        <a:p>
          <a:r>
            <a:rPr lang="en-US" sz="1200" b="1">
              <a:latin typeface="+mj-lt"/>
            </a:rPr>
            <a:t>Složky </a:t>
          </a:r>
        </a:p>
        <a:p>
          <a:r>
            <a:rPr lang="en-US" sz="1200" b="1">
              <a:latin typeface="+mj-lt"/>
            </a:rPr>
            <a:t>lidského kapitálu</a:t>
          </a:r>
        </a:p>
      </dgm:t>
    </dgm:pt>
    <dgm:pt modelId="{C3E03971-0830-D34C-B156-2EF14EDD3D4D}" type="parTrans" cxnId="{A09FF633-3D41-8440-A406-628DA4E282FF}">
      <dgm:prSet/>
      <dgm:spPr/>
      <dgm:t>
        <a:bodyPr/>
        <a:lstStyle/>
        <a:p>
          <a:endParaRPr lang="en-US"/>
        </a:p>
      </dgm:t>
    </dgm:pt>
    <dgm:pt modelId="{C9251B11-07AB-8045-A5F9-7ADB117F785C}" type="sibTrans" cxnId="{A09FF633-3D41-8440-A406-628DA4E282FF}">
      <dgm:prSet/>
      <dgm:spPr/>
      <dgm:t>
        <a:bodyPr/>
        <a:lstStyle/>
        <a:p>
          <a:endParaRPr lang="en-US"/>
        </a:p>
      </dgm:t>
    </dgm:pt>
    <dgm:pt modelId="{04A085CB-CE88-2146-8C6E-2FB19C44FA4C}">
      <dgm:prSet phldrT="[Text]" custT="1"/>
      <dgm:spPr/>
      <dgm:t>
        <a:bodyPr/>
        <a:lstStyle/>
        <a:p>
          <a:r>
            <a:rPr lang="en-US" sz="1100" b="1">
              <a:solidFill>
                <a:srgbClr val="000000"/>
              </a:solidFill>
              <a:latin typeface="+mj-lt"/>
              <a:cs typeface="Calibri"/>
            </a:rPr>
            <a:t>Kapacita </a:t>
          </a:r>
        </a:p>
        <a:p>
          <a:r>
            <a:rPr lang="en-US" sz="1100" b="0">
              <a:solidFill>
                <a:srgbClr val="000000"/>
              </a:solidFill>
              <a:latin typeface="+mj-lt"/>
              <a:cs typeface="Calibri"/>
            </a:rPr>
            <a:t>sleduje rozdíly v dosažené úrovni vzdělání mezi starší a mladší generací jako výsledek investic do oblasti vzdělávání (% populace s primárním, sekundárním a terciárním vzděláním)</a:t>
          </a:r>
        </a:p>
      </dgm:t>
    </dgm:pt>
    <dgm:pt modelId="{1C755300-2A78-7C4D-8639-787ED94158D8}" type="parTrans" cxnId="{BE1B060A-DDFB-C74D-803C-44EAED7E5D32}">
      <dgm:prSet/>
      <dgm:spPr/>
      <dgm:t>
        <a:bodyPr/>
        <a:lstStyle/>
        <a:p>
          <a:endParaRPr lang="en-US"/>
        </a:p>
      </dgm:t>
    </dgm:pt>
    <dgm:pt modelId="{C67974BF-E414-6B4E-9FA1-54BFABD2CA6E}" type="sibTrans" cxnId="{BE1B060A-DDFB-C74D-803C-44EAED7E5D32}">
      <dgm:prSet/>
      <dgm:spPr/>
      <dgm:t>
        <a:bodyPr/>
        <a:lstStyle/>
        <a:p>
          <a:endParaRPr lang="en-US"/>
        </a:p>
      </dgm:t>
    </dgm:pt>
    <dgm:pt modelId="{3C29043A-75D6-2748-AA01-538A48D088B6}">
      <dgm:prSet phldrT="[Text]" custT="1"/>
      <dgm:spPr/>
      <dgm:t>
        <a:bodyPr/>
        <a:lstStyle/>
        <a:p>
          <a:r>
            <a:rPr lang="en-US" sz="1100" b="1">
              <a:solidFill>
                <a:srgbClr val="000000"/>
              </a:solidFill>
              <a:latin typeface="+mj-lt"/>
            </a:rPr>
            <a:t>Rozvoj </a:t>
          </a:r>
        </a:p>
        <a:p>
          <a:r>
            <a:rPr lang="en-US" sz="1100" b="0">
              <a:solidFill>
                <a:srgbClr val="000000"/>
              </a:solidFill>
              <a:latin typeface="+mj-lt"/>
            </a:rPr>
            <a:t>sleduje dosaženou úroveň formálního vzdělávání budoucí pracovní síly   (15-24 let) a účast na celoživotním vzdělávání   stávající pracovní síly</a:t>
          </a:r>
        </a:p>
      </dgm:t>
    </dgm:pt>
    <dgm:pt modelId="{6C15651F-F9E8-8C4C-A40D-E55F3167BA14}" type="parTrans" cxnId="{E90A5753-5AAD-2F44-8CFD-06B1CA248D67}">
      <dgm:prSet/>
      <dgm:spPr/>
      <dgm:t>
        <a:bodyPr/>
        <a:lstStyle/>
        <a:p>
          <a:endParaRPr lang="en-US"/>
        </a:p>
      </dgm:t>
    </dgm:pt>
    <dgm:pt modelId="{12E9B818-5418-D640-98CA-F0C41E8B9940}" type="sibTrans" cxnId="{E90A5753-5AAD-2F44-8CFD-06B1CA248D67}">
      <dgm:prSet/>
      <dgm:spPr/>
      <dgm:t>
        <a:bodyPr/>
        <a:lstStyle/>
        <a:p>
          <a:endParaRPr lang="en-US"/>
        </a:p>
      </dgm:t>
    </dgm:pt>
    <dgm:pt modelId="{46A81292-8650-E14F-B189-0DC7F70F4BD4}">
      <dgm:prSet phldrT="[Text]" custT="1"/>
      <dgm:spPr/>
      <dgm:t>
        <a:bodyPr/>
        <a:lstStyle/>
        <a:p>
          <a:r>
            <a:rPr lang="en-US" sz="1100" b="1">
              <a:solidFill>
                <a:srgbClr val="000000"/>
              </a:solidFill>
              <a:latin typeface="+mj-lt"/>
            </a:rPr>
            <a:t>Rozmístění </a:t>
          </a:r>
        </a:p>
        <a:p>
          <a:r>
            <a:rPr lang="en-US" sz="1100" b="0">
              <a:solidFill>
                <a:srgbClr val="000000"/>
              </a:solidFill>
              <a:latin typeface="+mj-lt"/>
            </a:rPr>
            <a:t>sleduje úroveň praktických dovedností       a jejich alokaci mezi jednotlivé segmenty (ženy, mladší, starší) a také rozvoj dovedností pracovní síly v rámci podnikového vzdělávání</a:t>
          </a:r>
        </a:p>
      </dgm:t>
    </dgm:pt>
    <dgm:pt modelId="{E264DBBF-8C5F-1449-BB54-9DBC4A4F889F}" type="parTrans" cxnId="{011B8E4D-513C-F747-938A-8D12A5094390}">
      <dgm:prSet/>
      <dgm:spPr/>
      <dgm:t>
        <a:bodyPr/>
        <a:lstStyle/>
        <a:p>
          <a:endParaRPr lang="en-US"/>
        </a:p>
      </dgm:t>
    </dgm:pt>
    <dgm:pt modelId="{DEC44AD6-1A61-3945-8CC5-0534C7E55D49}" type="sibTrans" cxnId="{011B8E4D-513C-F747-938A-8D12A5094390}">
      <dgm:prSet/>
      <dgm:spPr/>
      <dgm:t>
        <a:bodyPr/>
        <a:lstStyle/>
        <a:p>
          <a:endParaRPr lang="en-US"/>
        </a:p>
      </dgm:t>
    </dgm:pt>
    <dgm:pt modelId="{548F7C28-02D7-1042-8598-AFAA19781670}">
      <dgm:prSet phldrT="[Text]" custT="1"/>
      <dgm:spPr/>
      <dgm:t>
        <a:bodyPr/>
        <a:lstStyle/>
        <a:p>
          <a:r>
            <a:rPr lang="en-US" sz="1100" b="1">
              <a:solidFill>
                <a:srgbClr val="000000"/>
              </a:solidFill>
              <a:latin typeface="+mj-lt"/>
            </a:rPr>
            <a:t>Know</a:t>
          </a:r>
          <a:r>
            <a:rPr lang="en-US" sz="1200" b="1">
              <a:solidFill>
                <a:srgbClr val="000000"/>
              </a:solidFill>
              <a:latin typeface="+mj-lt"/>
            </a:rPr>
            <a:t>-how </a:t>
          </a:r>
        </a:p>
        <a:p>
          <a:r>
            <a:rPr lang="en-US" sz="1100" b="0">
              <a:solidFill>
                <a:srgbClr val="000000"/>
              </a:solidFill>
              <a:latin typeface="+mj-lt"/>
            </a:rPr>
            <a:t>sleduje šířku a hloubku využívaných odborných znalostí, které vytvářejí vysokou přidanou hodnotu (při vyrobě produktů a poskytování služeb); sleduje obtížnost obsazování pracovních míst pracovníky s požadovanými znalostmi        a dovednostmi</a:t>
          </a:r>
          <a:endParaRPr lang="en-US" sz="1100" b="1">
            <a:solidFill>
              <a:srgbClr val="000000"/>
            </a:solidFill>
            <a:latin typeface="+mj-lt"/>
          </a:endParaRPr>
        </a:p>
      </dgm:t>
    </dgm:pt>
    <dgm:pt modelId="{8B3F0E8F-9118-E04D-8A60-29E0D78344D4}" type="parTrans" cxnId="{007B94EE-AA55-E144-88AB-5D58260875D7}">
      <dgm:prSet/>
      <dgm:spPr/>
      <dgm:t>
        <a:bodyPr/>
        <a:lstStyle/>
        <a:p>
          <a:endParaRPr lang="en-US"/>
        </a:p>
      </dgm:t>
    </dgm:pt>
    <dgm:pt modelId="{BD5BF838-ABB3-8F47-A5A7-3D855845B309}" type="sibTrans" cxnId="{007B94EE-AA55-E144-88AB-5D58260875D7}">
      <dgm:prSet/>
      <dgm:spPr/>
      <dgm:t>
        <a:bodyPr/>
        <a:lstStyle/>
        <a:p>
          <a:endParaRPr lang="en-US"/>
        </a:p>
      </dgm:t>
    </dgm:pt>
    <dgm:pt modelId="{01F8CE55-5843-9846-A8E7-C7F7F1C316D0}" type="pres">
      <dgm:prSet presAssocID="{C7367041-DCF3-5547-9E77-F1F2EEF91812}" presName="diagram" presStyleCnt="0">
        <dgm:presLayoutVars>
          <dgm:chMax val="1"/>
          <dgm:dir/>
          <dgm:animLvl val="ctr"/>
          <dgm:resizeHandles val="exact"/>
        </dgm:presLayoutVars>
      </dgm:prSet>
      <dgm:spPr/>
    </dgm:pt>
    <dgm:pt modelId="{6EBCC3DC-DC70-1249-B6F2-C62FD98C6389}" type="pres">
      <dgm:prSet presAssocID="{C7367041-DCF3-5547-9E77-F1F2EEF91812}" presName="matrix" presStyleCnt="0"/>
      <dgm:spPr/>
    </dgm:pt>
    <dgm:pt modelId="{C4601E83-D327-D24C-A6BE-8594FB948A36}" type="pres">
      <dgm:prSet presAssocID="{C7367041-DCF3-5547-9E77-F1F2EEF91812}" presName="tile1" presStyleLbl="node1" presStyleIdx="0" presStyleCnt="4" custLinFactNeighborX="-2005" custLinFactNeighborY="-1399"/>
      <dgm:spPr/>
    </dgm:pt>
    <dgm:pt modelId="{AED3A24E-740A-BC49-B514-F71BC55DC4B2}" type="pres">
      <dgm:prSet presAssocID="{C7367041-DCF3-5547-9E77-F1F2EEF91812}" presName="tile1text" presStyleLbl="node1" presStyleIdx="0" presStyleCnt="4">
        <dgm:presLayoutVars>
          <dgm:chMax val="0"/>
          <dgm:chPref val="0"/>
          <dgm:bulletEnabled val="1"/>
        </dgm:presLayoutVars>
      </dgm:prSet>
      <dgm:spPr/>
    </dgm:pt>
    <dgm:pt modelId="{DC6C6CF1-1CEC-094D-A03F-1BDD96C1CA5F}" type="pres">
      <dgm:prSet presAssocID="{C7367041-DCF3-5547-9E77-F1F2EEF91812}" presName="tile2" presStyleLbl="node1" presStyleIdx="1" presStyleCnt="4" custLinFactNeighborX="1329" custLinFactNeighborY="-1914"/>
      <dgm:spPr/>
    </dgm:pt>
    <dgm:pt modelId="{4087AD98-2B0D-BC4D-8DA4-8DDC9D8FA00B}" type="pres">
      <dgm:prSet presAssocID="{C7367041-DCF3-5547-9E77-F1F2EEF91812}" presName="tile2text" presStyleLbl="node1" presStyleIdx="1" presStyleCnt="4">
        <dgm:presLayoutVars>
          <dgm:chMax val="0"/>
          <dgm:chPref val="0"/>
          <dgm:bulletEnabled val="1"/>
        </dgm:presLayoutVars>
      </dgm:prSet>
      <dgm:spPr/>
    </dgm:pt>
    <dgm:pt modelId="{B4F54250-1A80-0343-AC83-9C0C037A4B34}" type="pres">
      <dgm:prSet presAssocID="{C7367041-DCF3-5547-9E77-F1F2EEF91812}" presName="tile3" presStyleLbl="node1" presStyleIdx="2" presStyleCnt="4"/>
      <dgm:spPr/>
    </dgm:pt>
    <dgm:pt modelId="{DC4549C6-F6C4-2B43-BF51-1FC080E2550F}" type="pres">
      <dgm:prSet presAssocID="{C7367041-DCF3-5547-9E77-F1F2EEF91812}" presName="tile3text" presStyleLbl="node1" presStyleIdx="2" presStyleCnt="4">
        <dgm:presLayoutVars>
          <dgm:chMax val="0"/>
          <dgm:chPref val="0"/>
          <dgm:bulletEnabled val="1"/>
        </dgm:presLayoutVars>
      </dgm:prSet>
      <dgm:spPr/>
    </dgm:pt>
    <dgm:pt modelId="{36F1FEC8-BD74-9749-B399-F9A02E63BA25}" type="pres">
      <dgm:prSet presAssocID="{C7367041-DCF3-5547-9E77-F1F2EEF91812}" presName="tile4" presStyleLbl="node1" presStyleIdx="3" presStyleCnt="4"/>
      <dgm:spPr/>
    </dgm:pt>
    <dgm:pt modelId="{FAAC3882-2F56-2440-A8A2-30E2D2952FF3}" type="pres">
      <dgm:prSet presAssocID="{C7367041-DCF3-5547-9E77-F1F2EEF91812}" presName="tile4text" presStyleLbl="node1" presStyleIdx="3" presStyleCnt="4">
        <dgm:presLayoutVars>
          <dgm:chMax val="0"/>
          <dgm:chPref val="0"/>
          <dgm:bulletEnabled val="1"/>
        </dgm:presLayoutVars>
      </dgm:prSet>
      <dgm:spPr/>
    </dgm:pt>
    <dgm:pt modelId="{A215EC44-408B-0343-AC4E-D09C883B7E43}" type="pres">
      <dgm:prSet presAssocID="{C7367041-DCF3-5547-9E77-F1F2EEF91812}" presName="centerTile" presStyleLbl="fgShp" presStyleIdx="0" presStyleCnt="1">
        <dgm:presLayoutVars>
          <dgm:chMax val="0"/>
          <dgm:chPref val="0"/>
        </dgm:presLayoutVars>
      </dgm:prSet>
      <dgm:spPr/>
    </dgm:pt>
  </dgm:ptLst>
  <dgm:cxnLst>
    <dgm:cxn modelId="{49E59602-D29E-3D4A-BD7F-3AEAAF7AE724}" type="presOf" srcId="{04A085CB-CE88-2146-8C6E-2FB19C44FA4C}" destId="{C4601E83-D327-D24C-A6BE-8594FB948A36}" srcOrd="0" destOrd="0" presId="urn:microsoft.com/office/officeart/2005/8/layout/matrix1"/>
    <dgm:cxn modelId="{BE1B060A-DDFB-C74D-803C-44EAED7E5D32}" srcId="{67244006-9587-AF44-A804-57E174003A2B}" destId="{04A085CB-CE88-2146-8C6E-2FB19C44FA4C}" srcOrd="0" destOrd="0" parTransId="{1C755300-2A78-7C4D-8639-787ED94158D8}" sibTransId="{C67974BF-E414-6B4E-9FA1-54BFABD2CA6E}"/>
    <dgm:cxn modelId="{47C9960C-7581-674F-A32C-FBD1917970CC}" type="presOf" srcId="{C7367041-DCF3-5547-9E77-F1F2EEF91812}" destId="{01F8CE55-5843-9846-A8E7-C7F7F1C316D0}" srcOrd="0" destOrd="0" presId="urn:microsoft.com/office/officeart/2005/8/layout/matrix1"/>
    <dgm:cxn modelId="{A09FF633-3D41-8440-A406-628DA4E282FF}" srcId="{C7367041-DCF3-5547-9E77-F1F2EEF91812}" destId="{67244006-9587-AF44-A804-57E174003A2B}" srcOrd="0" destOrd="0" parTransId="{C3E03971-0830-D34C-B156-2EF14EDD3D4D}" sibTransId="{C9251B11-07AB-8045-A5F9-7ADB117F785C}"/>
    <dgm:cxn modelId="{CD171C60-3C90-504E-BCBD-47DC115F5585}" type="presOf" srcId="{3C29043A-75D6-2748-AA01-538A48D088B6}" destId="{DC6C6CF1-1CEC-094D-A03F-1BDD96C1CA5F}" srcOrd="0" destOrd="0" presId="urn:microsoft.com/office/officeart/2005/8/layout/matrix1"/>
    <dgm:cxn modelId="{694A8C61-8BB3-4E41-843F-7EDD613B2017}" type="presOf" srcId="{3C29043A-75D6-2748-AA01-538A48D088B6}" destId="{4087AD98-2B0D-BC4D-8DA4-8DDC9D8FA00B}" srcOrd="1" destOrd="0" presId="urn:microsoft.com/office/officeart/2005/8/layout/matrix1"/>
    <dgm:cxn modelId="{011B8E4D-513C-F747-938A-8D12A5094390}" srcId="{67244006-9587-AF44-A804-57E174003A2B}" destId="{46A81292-8650-E14F-B189-0DC7F70F4BD4}" srcOrd="2" destOrd="0" parTransId="{E264DBBF-8C5F-1449-BB54-9DBC4A4F889F}" sibTransId="{DEC44AD6-1A61-3945-8CC5-0534C7E55D49}"/>
    <dgm:cxn modelId="{359A7D6F-0B2D-8E4E-8419-63098D5E31ED}" type="presOf" srcId="{46A81292-8650-E14F-B189-0DC7F70F4BD4}" destId="{DC4549C6-F6C4-2B43-BF51-1FC080E2550F}" srcOrd="1" destOrd="0" presId="urn:microsoft.com/office/officeart/2005/8/layout/matrix1"/>
    <dgm:cxn modelId="{E90A5753-5AAD-2F44-8CFD-06B1CA248D67}" srcId="{67244006-9587-AF44-A804-57E174003A2B}" destId="{3C29043A-75D6-2748-AA01-538A48D088B6}" srcOrd="1" destOrd="0" parTransId="{6C15651F-F9E8-8C4C-A40D-E55F3167BA14}" sibTransId="{12E9B818-5418-D640-98CA-F0C41E8B9940}"/>
    <dgm:cxn modelId="{5C6A3589-80C3-3A43-AABB-FE73D4F18390}" type="presOf" srcId="{46A81292-8650-E14F-B189-0DC7F70F4BD4}" destId="{B4F54250-1A80-0343-AC83-9C0C037A4B34}" srcOrd="0" destOrd="0" presId="urn:microsoft.com/office/officeart/2005/8/layout/matrix1"/>
    <dgm:cxn modelId="{2140618D-DECD-664A-BBD1-54689F2A3B65}" type="presOf" srcId="{548F7C28-02D7-1042-8598-AFAA19781670}" destId="{FAAC3882-2F56-2440-A8A2-30E2D2952FF3}" srcOrd="1" destOrd="0" presId="urn:microsoft.com/office/officeart/2005/8/layout/matrix1"/>
    <dgm:cxn modelId="{6968D7D6-7565-DF4A-85C0-B76B4EA8EB16}" type="presOf" srcId="{548F7C28-02D7-1042-8598-AFAA19781670}" destId="{36F1FEC8-BD74-9749-B399-F9A02E63BA25}" srcOrd="0" destOrd="0" presId="urn:microsoft.com/office/officeart/2005/8/layout/matrix1"/>
    <dgm:cxn modelId="{3ABC42DA-C4B0-3549-BED3-8424B0E8C22B}" type="presOf" srcId="{67244006-9587-AF44-A804-57E174003A2B}" destId="{A215EC44-408B-0343-AC4E-D09C883B7E43}" srcOrd="0" destOrd="0" presId="urn:microsoft.com/office/officeart/2005/8/layout/matrix1"/>
    <dgm:cxn modelId="{007B94EE-AA55-E144-88AB-5D58260875D7}" srcId="{67244006-9587-AF44-A804-57E174003A2B}" destId="{548F7C28-02D7-1042-8598-AFAA19781670}" srcOrd="3" destOrd="0" parTransId="{8B3F0E8F-9118-E04D-8A60-29E0D78344D4}" sibTransId="{BD5BF838-ABB3-8F47-A5A7-3D855845B309}"/>
    <dgm:cxn modelId="{817E68F9-AD03-3F4E-B066-E65F244B0536}" type="presOf" srcId="{04A085CB-CE88-2146-8C6E-2FB19C44FA4C}" destId="{AED3A24E-740A-BC49-B514-F71BC55DC4B2}" srcOrd="1" destOrd="0" presId="urn:microsoft.com/office/officeart/2005/8/layout/matrix1"/>
    <dgm:cxn modelId="{6A7518B3-04E5-3149-8A77-03F0BD9F0674}" type="presParOf" srcId="{01F8CE55-5843-9846-A8E7-C7F7F1C316D0}" destId="{6EBCC3DC-DC70-1249-B6F2-C62FD98C6389}" srcOrd="0" destOrd="0" presId="urn:microsoft.com/office/officeart/2005/8/layout/matrix1"/>
    <dgm:cxn modelId="{9C5AC0F3-3B88-8F41-879D-0711B2BDBBC2}" type="presParOf" srcId="{6EBCC3DC-DC70-1249-B6F2-C62FD98C6389}" destId="{C4601E83-D327-D24C-A6BE-8594FB948A36}" srcOrd="0" destOrd="0" presId="urn:microsoft.com/office/officeart/2005/8/layout/matrix1"/>
    <dgm:cxn modelId="{06CE91A1-19F4-D146-906E-0651C3552037}" type="presParOf" srcId="{6EBCC3DC-DC70-1249-B6F2-C62FD98C6389}" destId="{AED3A24E-740A-BC49-B514-F71BC55DC4B2}" srcOrd="1" destOrd="0" presId="urn:microsoft.com/office/officeart/2005/8/layout/matrix1"/>
    <dgm:cxn modelId="{8CC8E366-7BAB-B240-A391-1FC637C0CF73}" type="presParOf" srcId="{6EBCC3DC-DC70-1249-B6F2-C62FD98C6389}" destId="{DC6C6CF1-1CEC-094D-A03F-1BDD96C1CA5F}" srcOrd="2" destOrd="0" presId="urn:microsoft.com/office/officeart/2005/8/layout/matrix1"/>
    <dgm:cxn modelId="{5DD18E35-B6CE-CF47-8BEB-5C9C963A0DEE}" type="presParOf" srcId="{6EBCC3DC-DC70-1249-B6F2-C62FD98C6389}" destId="{4087AD98-2B0D-BC4D-8DA4-8DDC9D8FA00B}" srcOrd="3" destOrd="0" presId="urn:microsoft.com/office/officeart/2005/8/layout/matrix1"/>
    <dgm:cxn modelId="{D2027648-E71C-104B-92E9-65389558E409}" type="presParOf" srcId="{6EBCC3DC-DC70-1249-B6F2-C62FD98C6389}" destId="{B4F54250-1A80-0343-AC83-9C0C037A4B34}" srcOrd="4" destOrd="0" presId="urn:microsoft.com/office/officeart/2005/8/layout/matrix1"/>
    <dgm:cxn modelId="{3099A326-E25D-FB4D-8CBA-C8151CA48E3D}" type="presParOf" srcId="{6EBCC3DC-DC70-1249-B6F2-C62FD98C6389}" destId="{DC4549C6-F6C4-2B43-BF51-1FC080E2550F}" srcOrd="5" destOrd="0" presId="urn:microsoft.com/office/officeart/2005/8/layout/matrix1"/>
    <dgm:cxn modelId="{01A2DDEB-B564-144B-840E-959AD50943CA}" type="presParOf" srcId="{6EBCC3DC-DC70-1249-B6F2-C62FD98C6389}" destId="{36F1FEC8-BD74-9749-B399-F9A02E63BA25}" srcOrd="6" destOrd="0" presId="urn:microsoft.com/office/officeart/2005/8/layout/matrix1"/>
    <dgm:cxn modelId="{5C52CFE3-588F-AC4F-8773-ADCEE76CD6AD}" type="presParOf" srcId="{6EBCC3DC-DC70-1249-B6F2-C62FD98C6389}" destId="{FAAC3882-2F56-2440-A8A2-30E2D2952FF3}" srcOrd="7" destOrd="0" presId="urn:microsoft.com/office/officeart/2005/8/layout/matrix1"/>
    <dgm:cxn modelId="{1DE5CECA-77FB-F04A-9FEB-852E02082005}" type="presParOf" srcId="{01F8CE55-5843-9846-A8E7-C7F7F1C316D0}" destId="{A215EC44-408B-0343-AC4E-D09C883B7E43}"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605AE-86E0-6E43-A0B3-4D4E29289B83}">
      <dsp:nvSpPr>
        <dsp:cNvPr id="0" name=""/>
        <dsp:cNvSpPr/>
      </dsp:nvSpPr>
      <dsp:spPr>
        <a:xfrm>
          <a:off x="2798" y="0"/>
          <a:ext cx="3891233" cy="9193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latin typeface="+mj-lt"/>
              <a:cs typeface="Lucida Grande CE"/>
            </a:rPr>
            <a:t>Intelektuální kapitál</a:t>
          </a:r>
        </a:p>
      </dsp:txBody>
      <dsp:txXfrm>
        <a:off x="29725" y="26927"/>
        <a:ext cx="3837379" cy="865513"/>
      </dsp:txXfrm>
    </dsp:sp>
    <dsp:sp modelId="{E7BC3D7B-7744-2A4F-8299-6C0322E75E37}">
      <dsp:nvSpPr>
        <dsp:cNvPr id="0" name=""/>
        <dsp:cNvSpPr/>
      </dsp:nvSpPr>
      <dsp:spPr>
        <a:xfrm>
          <a:off x="1399" y="1023138"/>
          <a:ext cx="1228293" cy="9193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Lidský kapitál</a:t>
          </a:r>
        </a:p>
        <a:p>
          <a:pPr marL="0" lvl="0" indent="0" algn="ctr" defTabSz="533400">
            <a:lnSpc>
              <a:spcPct val="90000"/>
            </a:lnSpc>
            <a:spcBef>
              <a:spcPct val="0"/>
            </a:spcBef>
            <a:spcAft>
              <a:spcPct val="35000"/>
            </a:spcAft>
            <a:buNone/>
          </a:pPr>
          <a:r>
            <a:rPr lang="en-US" sz="1200" kern="1200">
              <a:latin typeface="+mj-lt"/>
            </a:rPr>
            <a:t>schopnosti</a:t>
          </a:r>
        </a:p>
        <a:p>
          <a:pPr marL="0" lvl="0" indent="0" algn="ctr" defTabSz="533400">
            <a:lnSpc>
              <a:spcPct val="90000"/>
            </a:lnSpc>
            <a:spcBef>
              <a:spcPct val="0"/>
            </a:spcBef>
            <a:spcAft>
              <a:spcPct val="35000"/>
            </a:spcAft>
            <a:buNone/>
          </a:pPr>
          <a:r>
            <a:rPr lang="en-US" sz="1200" kern="1200">
              <a:latin typeface="+mj-lt"/>
            </a:rPr>
            <a:t>znalosti</a:t>
          </a:r>
        </a:p>
        <a:p>
          <a:pPr marL="0" lvl="0" indent="0" algn="ctr" defTabSz="533400">
            <a:lnSpc>
              <a:spcPct val="90000"/>
            </a:lnSpc>
            <a:spcBef>
              <a:spcPct val="0"/>
            </a:spcBef>
            <a:spcAft>
              <a:spcPct val="35000"/>
            </a:spcAft>
            <a:buNone/>
          </a:pPr>
          <a:r>
            <a:rPr lang="en-US" sz="1200" kern="1200">
              <a:latin typeface="+mj-lt"/>
            </a:rPr>
            <a:t>dovednosti</a:t>
          </a:r>
        </a:p>
      </dsp:txBody>
      <dsp:txXfrm>
        <a:off x="28326" y="1050065"/>
        <a:ext cx="1174439" cy="865513"/>
      </dsp:txXfrm>
    </dsp:sp>
    <dsp:sp modelId="{B32F9278-35E3-BD4A-A5EA-7C9B702531B9}">
      <dsp:nvSpPr>
        <dsp:cNvPr id="0" name=""/>
        <dsp:cNvSpPr/>
      </dsp:nvSpPr>
      <dsp:spPr>
        <a:xfrm>
          <a:off x="1332869" y="1023138"/>
          <a:ext cx="1228293" cy="9193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Strukturální kapitál</a:t>
          </a:r>
        </a:p>
        <a:p>
          <a:pPr marL="0" lvl="0" indent="0" algn="ctr" defTabSz="533400">
            <a:lnSpc>
              <a:spcPct val="90000"/>
            </a:lnSpc>
            <a:spcBef>
              <a:spcPct val="0"/>
            </a:spcBef>
            <a:spcAft>
              <a:spcPct val="35000"/>
            </a:spcAft>
            <a:buNone/>
          </a:pPr>
          <a:r>
            <a:rPr lang="en-US" sz="1200" kern="1200">
              <a:latin typeface="+mj-lt"/>
            </a:rPr>
            <a:t>procesní</a:t>
          </a:r>
        </a:p>
        <a:p>
          <a:pPr marL="0" lvl="0" indent="0" algn="ctr" defTabSz="533400">
            <a:lnSpc>
              <a:spcPct val="90000"/>
            </a:lnSpc>
            <a:spcBef>
              <a:spcPct val="0"/>
            </a:spcBef>
            <a:spcAft>
              <a:spcPct val="35000"/>
            </a:spcAft>
            <a:buNone/>
          </a:pPr>
          <a:r>
            <a:rPr lang="en-US" sz="1200" kern="1200">
              <a:latin typeface="+mj-lt"/>
            </a:rPr>
            <a:t>inovační</a:t>
          </a:r>
        </a:p>
      </dsp:txBody>
      <dsp:txXfrm>
        <a:off x="1359796" y="1050065"/>
        <a:ext cx="1174439" cy="865513"/>
      </dsp:txXfrm>
    </dsp:sp>
    <dsp:sp modelId="{B27EC80E-BEAF-8A44-AC40-5A150E4BDCA2}">
      <dsp:nvSpPr>
        <dsp:cNvPr id="0" name=""/>
        <dsp:cNvSpPr/>
      </dsp:nvSpPr>
      <dsp:spPr>
        <a:xfrm>
          <a:off x="2664339" y="1023138"/>
          <a:ext cx="1228293" cy="9193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Vztahový kapitál</a:t>
          </a:r>
        </a:p>
        <a:p>
          <a:pPr marL="0" lvl="0" indent="0" algn="ctr" defTabSz="533400">
            <a:lnSpc>
              <a:spcPct val="90000"/>
            </a:lnSpc>
            <a:spcBef>
              <a:spcPct val="0"/>
            </a:spcBef>
            <a:spcAft>
              <a:spcPct val="35000"/>
            </a:spcAft>
            <a:buNone/>
          </a:pPr>
          <a:r>
            <a:rPr lang="en-US" sz="1200" kern="1200">
              <a:latin typeface="+mj-lt"/>
            </a:rPr>
            <a:t>vnitřní vztahy</a:t>
          </a:r>
        </a:p>
        <a:p>
          <a:pPr marL="0" lvl="0" indent="0" algn="ctr" defTabSz="533400">
            <a:lnSpc>
              <a:spcPct val="90000"/>
            </a:lnSpc>
            <a:spcBef>
              <a:spcPct val="0"/>
            </a:spcBef>
            <a:spcAft>
              <a:spcPct val="35000"/>
            </a:spcAft>
            <a:buNone/>
          </a:pPr>
          <a:r>
            <a:rPr lang="en-US" sz="1200" kern="1200">
              <a:latin typeface="+mj-lt"/>
            </a:rPr>
            <a:t>vnější vztahy</a:t>
          </a:r>
        </a:p>
      </dsp:txBody>
      <dsp:txXfrm>
        <a:off x="2691266" y="1050065"/>
        <a:ext cx="1174439" cy="8655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01E83-D327-D24C-A6BE-8594FB948A36}">
      <dsp:nvSpPr>
        <dsp:cNvPr id="0" name=""/>
        <dsp:cNvSpPr/>
      </dsp:nvSpPr>
      <dsp:spPr>
        <a:xfrm rot="16200000">
          <a:off x="357240" y="-357240"/>
          <a:ext cx="1716616" cy="2431097"/>
        </a:xfrm>
        <a:prstGeom prst="round1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latin typeface="+mj-lt"/>
              <a:cs typeface="Calibri"/>
            </a:rPr>
            <a:t>Kapacita </a:t>
          </a:r>
        </a:p>
        <a:p>
          <a:pPr marL="0" lvl="0" indent="0" algn="ctr" defTabSz="488950">
            <a:lnSpc>
              <a:spcPct val="90000"/>
            </a:lnSpc>
            <a:spcBef>
              <a:spcPct val="0"/>
            </a:spcBef>
            <a:spcAft>
              <a:spcPct val="35000"/>
            </a:spcAft>
            <a:buNone/>
          </a:pPr>
          <a:r>
            <a:rPr lang="en-US" sz="1100" b="0" kern="1200">
              <a:solidFill>
                <a:srgbClr val="000000"/>
              </a:solidFill>
              <a:latin typeface="+mj-lt"/>
              <a:cs typeface="Calibri"/>
            </a:rPr>
            <a:t>sleduje rozdíly v dosažené úrovni vzdělání mezi starší a mladší generací jako výsledek investic do oblasti vzdělávání (% populace s primárním, sekundárním a terciárním vzděláním)</a:t>
          </a:r>
        </a:p>
      </dsp:txBody>
      <dsp:txXfrm rot="5400000">
        <a:off x="0" y="0"/>
        <a:ext cx="2431097" cy="1287462"/>
      </dsp:txXfrm>
    </dsp:sp>
    <dsp:sp modelId="{DC6C6CF1-1CEC-094D-A03F-1BDD96C1CA5F}">
      <dsp:nvSpPr>
        <dsp:cNvPr id="0" name=""/>
        <dsp:cNvSpPr/>
      </dsp:nvSpPr>
      <dsp:spPr>
        <a:xfrm>
          <a:off x="2431097" y="0"/>
          <a:ext cx="2431097" cy="1716616"/>
        </a:xfrm>
        <a:prstGeom prst="round1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latin typeface="+mj-lt"/>
            </a:rPr>
            <a:t>Rozvoj </a:t>
          </a:r>
        </a:p>
        <a:p>
          <a:pPr marL="0" lvl="0" indent="0" algn="ctr" defTabSz="488950">
            <a:lnSpc>
              <a:spcPct val="90000"/>
            </a:lnSpc>
            <a:spcBef>
              <a:spcPct val="0"/>
            </a:spcBef>
            <a:spcAft>
              <a:spcPct val="35000"/>
            </a:spcAft>
            <a:buNone/>
          </a:pPr>
          <a:r>
            <a:rPr lang="en-US" sz="1100" b="0" kern="1200">
              <a:solidFill>
                <a:srgbClr val="000000"/>
              </a:solidFill>
              <a:latin typeface="+mj-lt"/>
            </a:rPr>
            <a:t>sleduje dosaženou úroveň formálního vzdělávání budoucí pracovní síly   (15-24 let) a účast na celoživotním vzdělávání   stávající pracovní síly</a:t>
          </a:r>
        </a:p>
      </dsp:txBody>
      <dsp:txXfrm>
        <a:off x="2431097" y="0"/>
        <a:ext cx="2431097" cy="1287462"/>
      </dsp:txXfrm>
    </dsp:sp>
    <dsp:sp modelId="{B4F54250-1A80-0343-AC83-9C0C037A4B34}">
      <dsp:nvSpPr>
        <dsp:cNvPr id="0" name=""/>
        <dsp:cNvSpPr/>
      </dsp:nvSpPr>
      <dsp:spPr>
        <a:xfrm rot="10800000">
          <a:off x="0" y="1716616"/>
          <a:ext cx="2431097" cy="1716616"/>
        </a:xfrm>
        <a:prstGeom prst="round1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latin typeface="+mj-lt"/>
            </a:rPr>
            <a:t>Rozmístění </a:t>
          </a:r>
        </a:p>
        <a:p>
          <a:pPr marL="0" lvl="0" indent="0" algn="ctr" defTabSz="488950">
            <a:lnSpc>
              <a:spcPct val="90000"/>
            </a:lnSpc>
            <a:spcBef>
              <a:spcPct val="0"/>
            </a:spcBef>
            <a:spcAft>
              <a:spcPct val="35000"/>
            </a:spcAft>
            <a:buNone/>
          </a:pPr>
          <a:r>
            <a:rPr lang="en-US" sz="1100" b="0" kern="1200">
              <a:solidFill>
                <a:srgbClr val="000000"/>
              </a:solidFill>
              <a:latin typeface="+mj-lt"/>
            </a:rPr>
            <a:t>sleduje úroveň praktických dovedností       a jejich alokaci mezi jednotlivé segmenty (ženy, mladší, starší) a také rozvoj dovedností pracovní síly v rámci podnikového vzdělávání</a:t>
          </a:r>
        </a:p>
      </dsp:txBody>
      <dsp:txXfrm rot="10800000">
        <a:off x="0" y="2145770"/>
        <a:ext cx="2431097" cy="1287462"/>
      </dsp:txXfrm>
    </dsp:sp>
    <dsp:sp modelId="{36F1FEC8-BD74-9749-B399-F9A02E63BA25}">
      <dsp:nvSpPr>
        <dsp:cNvPr id="0" name=""/>
        <dsp:cNvSpPr/>
      </dsp:nvSpPr>
      <dsp:spPr>
        <a:xfrm rot="5400000">
          <a:off x="2788338" y="1359375"/>
          <a:ext cx="1716616" cy="2431097"/>
        </a:xfrm>
        <a:prstGeom prst="round1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latin typeface="+mj-lt"/>
            </a:rPr>
            <a:t>Know</a:t>
          </a:r>
          <a:r>
            <a:rPr lang="en-US" sz="1200" b="1" kern="1200">
              <a:solidFill>
                <a:srgbClr val="000000"/>
              </a:solidFill>
              <a:latin typeface="+mj-lt"/>
            </a:rPr>
            <a:t>-how </a:t>
          </a:r>
        </a:p>
        <a:p>
          <a:pPr marL="0" lvl="0" indent="0" algn="ctr" defTabSz="488950">
            <a:lnSpc>
              <a:spcPct val="90000"/>
            </a:lnSpc>
            <a:spcBef>
              <a:spcPct val="0"/>
            </a:spcBef>
            <a:spcAft>
              <a:spcPct val="35000"/>
            </a:spcAft>
            <a:buNone/>
          </a:pPr>
          <a:r>
            <a:rPr lang="en-US" sz="1100" b="0" kern="1200">
              <a:solidFill>
                <a:srgbClr val="000000"/>
              </a:solidFill>
              <a:latin typeface="+mj-lt"/>
            </a:rPr>
            <a:t>sleduje šířku a hloubku využívaných odborných znalostí, které vytvářejí vysokou přidanou hodnotu (při vyrobě produktů a poskytování služeb); sleduje obtížnost obsazování pracovních míst pracovníky s požadovanými znalostmi        a dovednostmi</a:t>
          </a:r>
          <a:endParaRPr lang="en-US" sz="1100" b="1" kern="1200">
            <a:solidFill>
              <a:srgbClr val="000000"/>
            </a:solidFill>
            <a:latin typeface="+mj-lt"/>
          </a:endParaRPr>
        </a:p>
      </dsp:txBody>
      <dsp:txXfrm rot="-5400000">
        <a:off x="2431098" y="2145770"/>
        <a:ext cx="2431097" cy="1287462"/>
      </dsp:txXfrm>
    </dsp:sp>
    <dsp:sp modelId="{A215EC44-408B-0343-AC4E-D09C883B7E43}">
      <dsp:nvSpPr>
        <dsp:cNvPr id="0" name=""/>
        <dsp:cNvSpPr/>
      </dsp:nvSpPr>
      <dsp:spPr>
        <a:xfrm>
          <a:off x="1701768" y="1287462"/>
          <a:ext cx="1458658" cy="858308"/>
        </a:xfrm>
        <a:prstGeom prst="roundRect">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Složky </a:t>
          </a:r>
        </a:p>
        <a:p>
          <a:pPr marL="0" lvl="0" indent="0" algn="ctr" defTabSz="533400">
            <a:lnSpc>
              <a:spcPct val="90000"/>
            </a:lnSpc>
            <a:spcBef>
              <a:spcPct val="0"/>
            </a:spcBef>
            <a:spcAft>
              <a:spcPct val="35000"/>
            </a:spcAft>
            <a:buNone/>
          </a:pPr>
          <a:r>
            <a:rPr lang="en-US" sz="1200" b="1" kern="1200">
              <a:latin typeface="+mj-lt"/>
            </a:rPr>
            <a:t>lidského kapitálu</a:t>
          </a:r>
        </a:p>
      </dsp:txBody>
      <dsp:txXfrm>
        <a:off x="1743667" y="1329361"/>
        <a:ext cx="1374860" cy="7745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0.17301</cdr:x>
      <cdr:y>0.40867</cdr:y>
    </cdr:from>
    <cdr:to>
      <cdr:x>0.23802</cdr:x>
      <cdr:y>0.52012</cdr:y>
    </cdr:to>
    <cdr:sp macro="" textlink="">
      <cdr:nvSpPr>
        <cdr:cNvPr id="2" name="Text Box 1"/>
        <cdr:cNvSpPr txBox="1"/>
      </cdr:nvSpPr>
      <cdr:spPr>
        <a:xfrm xmlns:a="http://schemas.openxmlformats.org/drawingml/2006/main">
          <a:off x="912495" y="1257300"/>
          <a:ext cx="3429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0.17301</cdr:x>
      <cdr:y>0</cdr:y>
    </cdr:from>
    <cdr:to>
      <cdr:x>0.23802</cdr:x>
      <cdr:y>0.0743</cdr:y>
    </cdr:to>
    <cdr:sp macro="" textlink="">
      <cdr:nvSpPr>
        <cdr:cNvPr id="3" name="Text Box 2"/>
        <cdr:cNvSpPr txBox="1"/>
      </cdr:nvSpPr>
      <cdr:spPr>
        <a:xfrm xmlns:a="http://schemas.openxmlformats.org/drawingml/2006/main">
          <a:off x="912495" y="0"/>
          <a:ext cx="3429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27</a:t>
          </a:r>
        </a:p>
      </cdr:txBody>
    </cdr:sp>
  </cdr:relSizeAnchor>
  <cdr:relSizeAnchor xmlns:cdr="http://schemas.openxmlformats.org/drawingml/2006/chartDrawing">
    <cdr:from>
      <cdr:x>0.15134</cdr:x>
      <cdr:y>0.70279</cdr:y>
    </cdr:from>
    <cdr:to>
      <cdr:x>0.25969</cdr:x>
      <cdr:y>0.81734</cdr:y>
    </cdr:to>
    <cdr:sp macro="" textlink="">
      <cdr:nvSpPr>
        <cdr:cNvPr id="4" name="Text Box 3"/>
        <cdr:cNvSpPr txBox="1"/>
      </cdr:nvSpPr>
      <cdr:spPr>
        <a:xfrm xmlns:a="http://schemas.openxmlformats.org/drawingml/2006/main">
          <a:off x="798195" y="2162175"/>
          <a:ext cx="5715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 </a:t>
          </a:r>
          <a:r>
            <a:rPr lang="en-US" sz="1000" b="0"/>
            <a:t>48 %</a:t>
          </a:r>
        </a:p>
      </cdr:txBody>
    </cdr:sp>
  </cdr:relSizeAnchor>
  <cdr:relSizeAnchor xmlns:cdr="http://schemas.openxmlformats.org/drawingml/2006/chartDrawing">
    <cdr:from>
      <cdr:x>0.30303</cdr:x>
      <cdr:y>0.70279</cdr:y>
    </cdr:from>
    <cdr:to>
      <cdr:x>0.41139</cdr:x>
      <cdr:y>0.81734</cdr:y>
    </cdr:to>
    <cdr:sp macro="" textlink="">
      <cdr:nvSpPr>
        <cdr:cNvPr id="5" name="Text Box 4"/>
        <cdr:cNvSpPr txBox="1"/>
      </cdr:nvSpPr>
      <cdr:spPr>
        <a:xfrm xmlns:a="http://schemas.openxmlformats.org/drawingml/2006/main">
          <a:off x="1598295" y="2162175"/>
          <a:ext cx="5715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  50 %</a:t>
          </a:r>
        </a:p>
      </cdr:txBody>
    </cdr:sp>
  </cdr:relSizeAnchor>
  <cdr:relSizeAnchor xmlns:cdr="http://schemas.openxmlformats.org/drawingml/2006/chartDrawing">
    <cdr:from>
      <cdr:x>0.32471</cdr:x>
      <cdr:y>0</cdr:y>
    </cdr:from>
    <cdr:to>
      <cdr:x>0.38972</cdr:x>
      <cdr:y>0.0743</cdr:y>
    </cdr:to>
    <cdr:sp macro="" textlink="">
      <cdr:nvSpPr>
        <cdr:cNvPr id="6" name="Text Box 5"/>
        <cdr:cNvSpPr txBox="1"/>
      </cdr:nvSpPr>
      <cdr:spPr>
        <a:xfrm xmlns:a="http://schemas.openxmlformats.org/drawingml/2006/main">
          <a:off x="1712595" y="0"/>
          <a:ext cx="3429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27</a:t>
          </a:r>
        </a:p>
      </cdr:txBody>
    </cdr:sp>
  </cdr:relSizeAnchor>
  <cdr:relSizeAnchor xmlns:cdr="http://schemas.openxmlformats.org/drawingml/2006/chartDrawing">
    <cdr:from>
      <cdr:x>0.45473</cdr:x>
      <cdr:y>0.70279</cdr:y>
    </cdr:from>
    <cdr:to>
      <cdr:x>0.56309</cdr:x>
      <cdr:y>0.81734</cdr:y>
    </cdr:to>
    <cdr:sp macro="" textlink="">
      <cdr:nvSpPr>
        <cdr:cNvPr id="7" name="Text Box 6"/>
        <cdr:cNvSpPr txBox="1"/>
      </cdr:nvSpPr>
      <cdr:spPr>
        <a:xfrm xmlns:a="http://schemas.openxmlformats.org/drawingml/2006/main">
          <a:off x="2398395" y="2162175"/>
          <a:ext cx="5715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   36 %</a:t>
          </a:r>
        </a:p>
      </cdr:txBody>
    </cdr:sp>
  </cdr:relSizeAnchor>
  <cdr:relSizeAnchor xmlns:cdr="http://schemas.openxmlformats.org/drawingml/2006/chartDrawing">
    <cdr:from>
      <cdr:x>0.4764</cdr:x>
      <cdr:y>0</cdr:y>
    </cdr:from>
    <cdr:to>
      <cdr:x>0.58476</cdr:x>
      <cdr:y>0.0743</cdr:y>
    </cdr:to>
    <cdr:sp macro="" textlink="">
      <cdr:nvSpPr>
        <cdr:cNvPr id="8" name="Text Box 7"/>
        <cdr:cNvSpPr txBox="1"/>
      </cdr:nvSpPr>
      <cdr:spPr>
        <a:xfrm xmlns:a="http://schemas.openxmlformats.org/drawingml/2006/main">
          <a:off x="2512695" y="0"/>
          <a:ext cx="5715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  30</a:t>
          </a:r>
        </a:p>
      </cdr:txBody>
    </cdr:sp>
  </cdr:relSizeAnchor>
  <cdr:relSizeAnchor xmlns:cdr="http://schemas.openxmlformats.org/drawingml/2006/chartDrawing">
    <cdr:from>
      <cdr:x>0.67144</cdr:x>
      <cdr:y>0.59443</cdr:y>
    </cdr:from>
    <cdr:to>
      <cdr:x>0.75813</cdr:x>
      <cdr:y>1</cdr:y>
    </cdr:to>
    <cdr:sp macro="" textlink="">
      <cdr:nvSpPr>
        <cdr:cNvPr id="9" name="Text Box 8"/>
        <cdr:cNvSpPr txBox="1"/>
      </cdr:nvSpPr>
      <cdr:spPr>
        <a:xfrm xmlns:a="http://schemas.openxmlformats.org/drawingml/2006/main">
          <a:off x="3541395" y="1828800"/>
          <a:ext cx="457200" cy="1247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0.6281</cdr:x>
      <cdr:y>0.70279</cdr:y>
    </cdr:from>
    <cdr:to>
      <cdr:x>0.71478</cdr:x>
      <cdr:y>0.81734</cdr:y>
    </cdr:to>
    <cdr:sp macro="" textlink="">
      <cdr:nvSpPr>
        <cdr:cNvPr id="10" name="Text Box 9"/>
        <cdr:cNvSpPr txBox="1"/>
      </cdr:nvSpPr>
      <cdr:spPr>
        <a:xfrm xmlns:a="http://schemas.openxmlformats.org/drawingml/2006/main">
          <a:off x="3312795" y="2162175"/>
          <a:ext cx="4572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13 %          </a:t>
          </a:r>
        </a:p>
      </cdr:txBody>
    </cdr:sp>
  </cdr:relSizeAnchor>
  <cdr:relSizeAnchor xmlns:cdr="http://schemas.openxmlformats.org/drawingml/2006/chartDrawing">
    <cdr:from>
      <cdr:x>0.64977</cdr:x>
      <cdr:y>0.03715</cdr:y>
    </cdr:from>
    <cdr:to>
      <cdr:x>0.86648</cdr:x>
      <cdr:y>0.33437</cdr:y>
    </cdr:to>
    <cdr:sp macro="" textlink="">
      <cdr:nvSpPr>
        <cdr:cNvPr id="11" name="Text Box 10"/>
        <cdr:cNvSpPr txBox="1"/>
      </cdr:nvSpPr>
      <cdr:spPr>
        <a:xfrm xmlns:a="http://schemas.openxmlformats.org/drawingml/2006/main">
          <a:off x="3427095" y="114300"/>
          <a:ext cx="11430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0.64977</cdr:x>
      <cdr:y>0</cdr:y>
    </cdr:from>
    <cdr:to>
      <cdr:x>0.73646</cdr:x>
      <cdr:y>0.11146</cdr:y>
    </cdr:to>
    <cdr:sp macro="" textlink="">
      <cdr:nvSpPr>
        <cdr:cNvPr id="12" name="Text Box 11"/>
        <cdr:cNvSpPr txBox="1"/>
      </cdr:nvSpPr>
      <cdr:spPr>
        <a:xfrm xmlns:a="http://schemas.openxmlformats.org/drawingml/2006/main">
          <a:off x="3427095" y="0"/>
          <a:ext cx="4572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52</a:t>
          </a:r>
        </a:p>
      </cdr:txBody>
    </cdr:sp>
  </cdr:relSizeAnchor>
  <cdr:relSizeAnchor xmlns:cdr="http://schemas.openxmlformats.org/drawingml/2006/chartDrawing">
    <cdr:from>
      <cdr:x>0.7798</cdr:x>
      <cdr:y>0.70279</cdr:y>
    </cdr:from>
    <cdr:to>
      <cdr:x>0.88815</cdr:x>
      <cdr:y>0.81734</cdr:y>
    </cdr:to>
    <cdr:sp macro="" textlink="">
      <cdr:nvSpPr>
        <cdr:cNvPr id="13" name="Text Box 12"/>
        <cdr:cNvSpPr txBox="1"/>
      </cdr:nvSpPr>
      <cdr:spPr>
        <a:xfrm xmlns:a="http://schemas.openxmlformats.org/drawingml/2006/main">
          <a:off x="4112895" y="2162175"/>
          <a:ext cx="5715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  7 %</a:t>
          </a:r>
        </a:p>
      </cdr:txBody>
    </cdr:sp>
  </cdr:relSizeAnchor>
  <cdr:relSizeAnchor xmlns:cdr="http://schemas.openxmlformats.org/drawingml/2006/chartDrawing">
    <cdr:from>
      <cdr:x>0.82663</cdr:x>
      <cdr:y>0</cdr:y>
    </cdr:from>
    <cdr:to>
      <cdr:x>0.88815</cdr:x>
      <cdr:y>0.0743</cdr:y>
    </cdr:to>
    <cdr:sp macro="" textlink="">
      <cdr:nvSpPr>
        <cdr:cNvPr id="14" name="Text Box 13"/>
        <cdr:cNvSpPr txBox="1"/>
      </cdr:nvSpPr>
      <cdr:spPr>
        <a:xfrm xmlns:a="http://schemas.openxmlformats.org/drawingml/2006/main">
          <a:off x="4359910" y="0"/>
          <a:ext cx="324485"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36</a:t>
          </a:r>
        </a:p>
      </cdr:txBody>
    </cdr:sp>
  </cdr:relSizeAnchor>
</c:userShapes>
</file>

<file path=word/drawings/drawing2.xml><?xml version="1.0" encoding="utf-8"?>
<c:userShapes xmlns:c="http://schemas.openxmlformats.org/drawingml/2006/chart">
  <cdr:relSizeAnchor xmlns:cdr="http://schemas.openxmlformats.org/drawingml/2006/chartDrawing">
    <cdr:from>
      <cdr:x>0.17301</cdr:x>
      <cdr:y>0.40867</cdr:y>
    </cdr:from>
    <cdr:to>
      <cdr:x>0.23802</cdr:x>
      <cdr:y>0.52012</cdr:y>
    </cdr:to>
    <cdr:sp macro="" textlink="">
      <cdr:nvSpPr>
        <cdr:cNvPr id="2" name="Text Box 1"/>
        <cdr:cNvSpPr txBox="1"/>
      </cdr:nvSpPr>
      <cdr:spPr>
        <a:xfrm xmlns:a="http://schemas.openxmlformats.org/drawingml/2006/main">
          <a:off x="912495" y="1257300"/>
          <a:ext cx="3429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0.13434</cdr:x>
      <cdr:y>0</cdr:y>
    </cdr:from>
    <cdr:to>
      <cdr:x>0.92305</cdr:x>
      <cdr:y>0.09191</cdr:y>
    </cdr:to>
    <cdr:sp macro="" textlink="">
      <cdr:nvSpPr>
        <cdr:cNvPr id="3" name="Text Box 2"/>
        <cdr:cNvSpPr txBox="1"/>
      </cdr:nvSpPr>
      <cdr:spPr>
        <a:xfrm xmlns:a="http://schemas.openxmlformats.org/drawingml/2006/main">
          <a:off x="798195" y="0"/>
          <a:ext cx="4686299" cy="317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27           22           16           14            17            15            27            42            32            38            </a:t>
          </a:r>
        </a:p>
      </cdr:txBody>
    </cdr:sp>
  </cdr:relSizeAnchor>
  <cdr:relSizeAnchor xmlns:cdr="http://schemas.openxmlformats.org/drawingml/2006/chartDrawing">
    <cdr:from>
      <cdr:x>0.1151</cdr:x>
      <cdr:y>0.42279</cdr:y>
    </cdr:from>
    <cdr:to>
      <cdr:x>0.92305</cdr:x>
      <cdr:y>0.52206</cdr:y>
    </cdr:to>
    <cdr:sp macro="" textlink="">
      <cdr:nvSpPr>
        <cdr:cNvPr id="4" name="Text Box 3"/>
        <cdr:cNvSpPr txBox="1"/>
      </cdr:nvSpPr>
      <cdr:spPr>
        <a:xfrm xmlns:a="http://schemas.openxmlformats.org/drawingml/2006/main">
          <a:off x="683895" y="1460501"/>
          <a:ext cx="4800600" cy="3428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0"/>
            <a:t>  48 %       21 %      26 %      34 %      37 %      50 %      56 %      59 %     61 %      63 %</a:t>
          </a:r>
        </a:p>
      </cdr:txBody>
    </cdr:sp>
  </cdr:relSizeAnchor>
  <cdr:relSizeAnchor xmlns:cdr="http://schemas.openxmlformats.org/drawingml/2006/chartDrawing">
    <cdr:from>
      <cdr:x>0.67144</cdr:x>
      <cdr:y>0.59443</cdr:y>
    </cdr:from>
    <cdr:to>
      <cdr:x>0.75813</cdr:x>
      <cdr:y>1</cdr:y>
    </cdr:to>
    <cdr:sp macro="" textlink="">
      <cdr:nvSpPr>
        <cdr:cNvPr id="9" name="Text Box 8"/>
        <cdr:cNvSpPr txBox="1"/>
      </cdr:nvSpPr>
      <cdr:spPr>
        <a:xfrm xmlns:a="http://schemas.openxmlformats.org/drawingml/2006/main">
          <a:off x="3541395" y="1828800"/>
          <a:ext cx="457200" cy="1247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0.64977</cdr:x>
      <cdr:y>0.03715</cdr:y>
    </cdr:from>
    <cdr:to>
      <cdr:x>0.86648</cdr:x>
      <cdr:y>0.33437</cdr:y>
    </cdr:to>
    <cdr:sp macro="" textlink="">
      <cdr:nvSpPr>
        <cdr:cNvPr id="11" name="Text Box 10"/>
        <cdr:cNvSpPr txBox="1"/>
      </cdr:nvSpPr>
      <cdr:spPr>
        <a:xfrm xmlns:a="http://schemas.openxmlformats.org/drawingml/2006/main">
          <a:off x="3427095" y="114300"/>
          <a:ext cx="11430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61D535A56A96488DC7510F57AE9511"/>
        <w:category>
          <w:name w:val="General"/>
          <w:gallery w:val="placeholder"/>
        </w:category>
        <w:types>
          <w:type w:val="bbPlcHdr"/>
        </w:types>
        <w:behaviors>
          <w:behavior w:val="content"/>
        </w:behaviors>
        <w:guid w:val="{B581AED2-3F83-B24A-82FF-10D49E217FD2}"/>
      </w:docPartPr>
      <w:docPartBody>
        <w:p w:rsidR="00BF6CBE" w:rsidRDefault="00BF6CBE" w:rsidP="00BF6CBE">
          <w:pPr>
            <w:pStyle w:val="B461D535A56A96488DC7510F57AE9511"/>
          </w:pPr>
          <w:r>
            <w:rPr>
              <w:rFonts w:eastAsiaTheme="majorEastAsia" w:cstheme="majorBidi"/>
              <w:b/>
              <w:color w:val="44546A" w:themeColor="text2"/>
              <w:sz w:val="72"/>
              <w:szCs w:val="72"/>
            </w:rPr>
            <w:t>[Document Title]</w:t>
          </w:r>
        </w:p>
      </w:docPartBody>
    </w:docPart>
    <w:docPart>
      <w:docPartPr>
        <w:name w:val="A0B2DF7D7FB92345921E3DBFF1F68130"/>
        <w:category>
          <w:name w:val="General"/>
          <w:gallery w:val="placeholder"/>
        </w:category>
        <w:types>
          <w:type w:val="bbPlcHdr"/>
        </w:types>
        <w:behaviors>
          <w:behavior w:val="content"/>
        </w:behaviors>
        <w:guid w:val="{D5FA10CA-EE5D-9848-BC0A-4480A4579430}"/>
      </w:docPartPr>
      <w:docPartBody>
        <w:p w:rsidR="00BF6CBE" w:rsidRDefault="00BF6CBE" w:rsidP="00BF6CBE">
          <w:pPr>
            <w:pStyle w:val="A0B2DF7D7FB92345921E3DBFF1F68130"/>
          </w:pPr>
          <w:r>
            <w:rPr>
              <w:b/>
              <w:noProof/>
              <w:color w:val="4472C4" w:themeColor="accent1"/>
              <w:sz w:val="40"/>
              <w:szCs w:val="36"/>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CE">
    <w:altName w:val="Segoe UI"/>
    <w:charset w:val="58"/>
    <w:family w:val="auto"/>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CBE"/>
    <w:rsid w:val="004B208E"/>
    <w:rsid w:val="008F5677"/>
    <w:rsid w:val="00BF6CB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461D535A56A96488DC7510F57AE9511">
    <w:name w:val="B461D535A56A96488DC7510F57AE9511"/>
    <w:rsid w:val="00BF6CBE"/>
  </w:style>
  <w:style w:type="paragraph" w:customStyle="1" w:styleId="A0B2DF7D7FB92345921E3DBFF1F68130">
    <w:name w:val="A0B2DF7D7FB92345921E3DBFF1F68130"/>
    <w:rsid w:val="00BF6CBE"/>
  </w:style>
  <w:style w:type="paragraph" w:customStyle="1" w:styleId="00F8FE01AB6EF84EB4943AB588EA3357">
    <w:name w:val="00F8FE01AB6EF84EB4943AB588EA3357"/>
    <w:rsid w:val="00BF6C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15AFC-0BFD-4A76-9CB3-9455EE28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6692</TotalTime>
  <Pages>80</Pages>
  <Words>22053</Words>
  <Characters>130115</Characters>
  <Application>Microsoft Office Word</Application>
  <DocSecurity>0</DocSecurity>
  <Lines>1084</Lines>
  <Paragraphs>303</Paragraphs>
  <ScaleCrop>false</ScaleCrop>
  <HeadingPairs>
    <vt:vector size="2" baseType="variant">
      <vt:variant>
        <vt:lpstr>Název</vt:lpstr>
      </vt:variant>
      <vt:variant>
        <vt:i4>1</vt:i4>
      </vt:variant>
    </vt:vector>
  </HeadingPairs>
  <TitlesOfParts>
    <vt:vector size="1" baseType="lpstr">
      <vt:lpstr>Zajištění informační podpory pro zvýšení motivace zaměstnanců účastnit se dalšího vzdělávání</vt:lpstr>
    </vt:vector>
  </TitlesOfParts>
  <Company/>
  <LinksUpToDate>false</LinksUpToDate>
  <CharactersWithSpaces>151865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Zajištění informační podpory pro zvýšení motivace zaměstnanců účastnit se dalšího vzdělávání</dc:title>
  <dc:subject/>
  <dc:creator>Marcela Palíšková, Fakulta podnikohospodářská VŠE v Praze</dc:creator>
  <cp:keywords/>
  <dc:description/>
  <cp:lastModifiedBy>PC01</cp:lastModifiedBy>
  <cp:revision>327</cp:revision>
  <cp:lastPrinted>2018-09-25T13:49:00Z</cp:lastPrinted>
  <dcterms:created xsi:type="dcterms:W3CDTF">2018-08-10T08:17:00Z</dcterms:created>
  <dcterms:modified xsi:type="dcterms:W3CDTF">2018-10-05T06:18:00Z</dcterms:modified>
</cp:coreProperties>
</file>