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DE" w:rsidRDefault="00B113DE" w:rsidP="00A744FF"/>
    <w:p w:rsidR="00B113DE" w:rsidRDefault="00B113DE" w:rsidP="00A744FF"/>
    <w:p w:rsidR="00167DD3" w:rsidRDefault="00167DD3" w:rsidP="00A744FF"/>
    <w:p w:rsidR="00167DD3" w:rsidRDefault="00167DD3" w:rsidP="00A744FF"/>
    <w:p w:rsidR="00167DD3" w:rsidRDefault="00167DD3" w:rsidP="00A744FF"/>
    <w:p w:rsidR="00167DD3" w:rsidRDefault="00167DD3" w:rsidP="00A744FF"/>
    <w:p w:rsidR="00A744FF" w:rsidRDefault="00A744FF" w:rsidP="00A744FF"/>
    <w:p w:rsidR="00A744FF" w:rsidRDefault="00A744FF" w:rsidP="00A744FF"/>
    <w:p w:rsidR="00A744FF" w:rsidRDefault="00A744FF" w:rsidP="00A744FF"/>
    <w:p w:rsidR="00A744FF" w:rsidRDefault="00A744FF" w:rsidP="00A744FF"/>
    <w:p w:rsidR="00A744FF" w:rsidRDefault="00167DD3" w:rsidP="00167DD3">
      <w:pPr>
        <w:jc w:val="right"/>
      </w:pPr>
      <w:r>
        <w:rPr>
          <w:noProof/>
          <w:lang w:eastAsia="cs-CZ"/>
        </w:rPr>
        <w:drawing>
          <wp:inline distT="0" distB="0" distL="0" distR="0">
            <wp:extent cx="2498652" cy="29556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61" cy="29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3E5" w:rsidRDefault="00E873E5" w:rsidP="00167DD3">
      <w:pPr>
        <w:rPr>
          <w:b/>
          <w:smallCaps/>
          <w:color w:val="000080"/>
          <w:sz w:val="40"/>
          <w:szCs w:val="40"/>
        </w:rPr>
      </w:pPr>
    </w:p>
    <w:p w:rsidR="00A744FF" w:rsidRDefault="00A744FF" w:rsidP="00A744FF">
      <w:pPr>
        <w:jc w:val="right"/>
        <w:sectPr w:rsidR="00A744FF" w:rsidSect="005D68EA">
          <w:footerReference w:type="even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b/>
          <w:smallCaps/>
          <w:color w:val="000080"/>
          <w:sz w:val="40"/>
          <w:szCs w:val="40"/>
        </w:rPr>
        <w:t>Akční plán</w:t>
      </w:r>
      <w:r w:rsidRPr="00F1401B">
        <w:rPr>
          <w:b/>
          <w:smallCaps/>
          <w:color w:val="000080"/>
          <w:sz w:val="40"/>
          <w:szCs w:val="40"/>
        </w:rPr>
        <w:t xml:space="preserve"> </w:t>
      </w:r>
      <w:r w:rsidR="00AA2731">
        <w:rPr>
          <w:b/>
          <w:smallCaps/>
          <w:color w:val="000080"/>
          <w:sz w:val="40"/>
          <w:szCs w:val="40"/>
        </w:rPr>
        <w:t>na </w:t>
      </w:r>
      <w:r w:rsidRPr="00F1401B">
        <w:rPr>
          <w:b/>
          <w:smallCaps/>
          <w:color w:val="000080"/>
          <w:sz w:val="40"/>
          <w:szCs w:val="40"/>
        </w:rPr>
        <w:t>podporu hospodářského růstu</w:t>
      </w:r>
      <w:r>
        <w:rPr>
          <w:b/>
          <w:smallCaps/>
          <w:color w:val="000080"/>
          <w:sz w:val="40"/>
          <w:szCs w:val="40"/>
        </w:rPr>
        <w:t xml:space="preserve"> </w:t>
      </w:r>
      <w:r>
        <w:rPr>
          <w:b/>
          <w:smallCaps/>
          <w:color w:val="000080"/>
          <w:sz w:val="40"/>
          <w:szCs w:val="40"/>
        </w:rPr>
        <w:br/>
        <w:t>a zaměstnanosti</w:t>
      </w:r>
      <w:r w:rsidR="005A4068">
        <w:rPr>
          <w:b/>
          <w:smallCaps/>
          <w:color w:val="000080"/>
          <w:sz w:val="40"/>
          <w:szCs w:val="40"/>
        </w:rPr>
        <w:t xml:space="preserve"> </w:t>
      </w:r>
      <w:r w:rsidRPr="00F1401B">
        <w:rPr>
          <w:b/>
          <w:smallCaps/>
          <w:color w:val="000080"/>
          <w:sz w:val="40"/>
          <w:szCs w:val="40"/>
        </w:rPr>
        <w:t>ČR</w:t>
      </w:r>
      <w:r w:rsidR="004B0052">
        <w:rPr>
          <w:b/>
          <w:smallCaps/>
          <w:color w:val="000080"/>
          <w:sz w:val="40"/>
          <w:szCs w:val="40"/>
        </w:rPr>
        <w:t xml:space="preserve"> – Pracovní verze</w:t>
      </w:r>
    </w:p>
    <w:p w:rsidR="00A744FF" w:rsidRPr="00552029" w:rsidRDefault="00A744FF" w:rsidP="002B7A3D">
      <w:pPr>
        <w:pStyle w:val="Nadpis1"/>
      </w:pPr>
      <w:bookmarkStart w:id="0" w:name="_Toc389751449"/>
      <w:bookmarkStart w:id="1" w:name="_Toc435423982"/>
      <w:r w:rsidRPr="00552029">
        <w:lastRenderedPageBreak/>
        <w:t>Obsah</w:t>
      </w:r>
      <w:bookmarkEnd w:id="0"/>
      <w:bookmarkEnd w:id="1"/>
    </w:p>
    <w:p w:rsidR="00BA6046" w:rsidRDefault="00A1229B">
      <w:pPr>
        <w:pStyle w:val="Obsah1"/>
        <w:rPr>
          <w:rFonts w:asciiTheme="minorHAnsi" w:eastAsiaTheme="minorEastAsia" w:hAnsiTheme="minorHAnsi" w:cstheme="minorBidi"/>
          <w:b w:val="0"/>
          <w:color w:val="auto"/>
          <w:lang w:eastAsia="cs-CZ"/>
        </w:rPr>
      </w:pPr>
      <w:r w:rsidRPr="00A1229B">
        <w:fldChar w:fldCharType="begin"/>
      </w:r>
      <w:r w:rsidR="00A744FF">
        <w:instrText xml:space="preserve"> TOC \o "1-3" \h \z \u </w:instrText>
      </w:r>
      <w:r w:rsidRPr="00A1229B">
        <w:fldChar w:fldCharType="separate"/>
      </w:r>
      <w:hyperlink w:anchor="_Toc435423982" w:history="1">
        <w:r w:rsidR="00BA6046" w:rsidRPr="00FC4362">
          <w:rPr>
            <w:rStyle w:val="Hypertextovodkaz"/>
          </w:rPr>
          <w:t>Obsah</w:t>
        </w:r>
        <w:r w:rsidR="00BA6046">
          <w:rPr>
            <w:webHidden/>
          </w:rPr>
          <w:tab/>
        </w:r>
        <w:r>
          <w:rPr>
            <w:webHidden/>
          </w:rPr>
          <w:fldChar w:fldCharType="begin"/>
        </w:r>
        <w:r w:rsidR="00BA6046">
          <w:rPr>
            <w:webHidden/>
          </w:rPr>
          <w:instrText xml:space="preserve"> PAGEREF _Toc435423982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A6046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BA6046" w:rsidRDefault="00A1229B">
      <w:pPr>
        <w:pStyle w:val="Obsah1"/>
        <w:rPr>
          <w:rFonts w:asciiTheme="minorHAnsi" w:eastAsiaTheme="minorEastAsia" w:hAnsiTheme="minorHAnsi" w:cstheme="minorBidi"/>
          <w:b w:val="0"/>
          <w:color w:val="auto"/>
          <w:lang w:eastAsia="cs-CZ"/>
        </w:rPr>
      </w:pPr>
      <w:hyperlink w:anchor="_Toc435423983" w:history="1">
        <w:r w:rsidR="00BA6046" w:rsidRPr="00FC4362">
          <w:rPr>
            <w:rStyle w:val="Hypertextovodkaz"/>
          </w:rPr>
          <w:t>Seznam použitých zkratek</w:t>
        </w:r>
        <w:r w:rsidR="00BA6046">
          <w:rPr>
            <w:webHidden/>
          </w:rPr>
          <w:tab/>
        </w:r>
        <w:r>
          <w:rPr>
            <w:webHidden/>
          </w:rPr>
          <w:fldChar w:fldCharType="begin"/>
        </w:r>
        <w:r w:rsidR="00BA6046">
          <w:rPr>
            <w:webHidden/>
          </w:rPr>
          <w:instrText xml:space="preserve"> PAGEREF _Toc435423983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A604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A6046" w:rsidRDefault="00A1229B">
      <w:pPr>
        <w:pStyle w:val="Obsah1"/>
        <w:rPr>
          <w:rFonts w:asciiTheme="minorHAnsi" w:eastAsiaTheme="minorEastAsia" w:hAnsiTheme="minorHAnsi" w:cstheme="minorBidi"/>
          <w:b w:val="0"/>
          <w:color w:val="auto"/>
          <w:lang w:eastAsia="cs-CZ"/>
        </w:rPr>
      </w:pPr>
      <w:hyperlink w:anchor="_Toc435423984" w:history="1">
        <w:r w:rsidR="00BA6046" w:rsidRPr="00FC4362">
          <w:rPr>
            <w:rStyle w:val="Hypertextovodkaz"/>
          </w:rPr>
          <w:t>Předmluva</w:t>
        </w:r>
        <w:r w:rsidR="00BA6046">
          <w:rPr>
            <w:webHidden/>
          </w:rPr>
          <w:tab/>
        </w:r>
        <w:r>
          <w:rPr>
            <w:webHidden/>
          </w:rPr>
          <w:fldChar w:fldCharType="begin"/>
        </w:r>
        <w:r w:rsidR="00BA6046">
          <w:rPr>
            <w:webHidden/>
          </w:rPr>
          <w:instrText xml:space="preserve"> PAGEREF _Toc435423984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A604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A6046" w:rsidRDefault="00A1229B">
      <w:pPr>
        <w:pStyle w:val="Obsah1"/>
        <w:rPr>
          <w:rFonts w:asciiTheme="minorHAnsi" w:eastAsiaTheme="minorEastAsia" w:hAnsiTheme="minorHAnsi" w:cstheme="minorBidi"/>
          <w:b w:val="0"/>
          <w:color w:val="auto"/>
          <w:lang w:eastAsia="cs-CZ"/>
        </w:rPr>
      </w:pPr>
      <w:hyperlink w:anchor="_Toc435423985" w:history="1">
        <w:r w:rsidR="00BA6046" w:rsidRPr="00FC4362">
          <w:rPr>
            <w:rStyle w:val="Hypertextovodkaz"/>
          </w:rPr>
          <w:t>Úvod: Kontext vývoje českého hospodářství</w:t>
        </w:r>
        <w:r w:rsidR="00BA6046">
          <w:rPr>
            <w:webHidden/>
          </w:rPr>
          <w:tab/>
        </w:r>
        <w:r>
          <w:rPr>
            <w:webHidden/>
          </w:rPr>
          <w:fldChar w:fldCharType="begin"/>
        </w:r>
        <w:r w:rsidR="00BA6046">
          <w:rPr>
            <w:webHidden/>
          </w:rPr>
          <w:instrText xml:space="preserve"> PAGEREF _Toc435423985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A604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A6046" w:rsidRDefault="00A1229B">
      <w:pPr>
        <w:pStyle w:val="Obsah1"/>
        <w:rPr>
          <w:rFonts w:asciiTheme="minorHAnsi" w:eastAsiaTheme="minorEastAsia" w:hAnsiTheme="minorHAnsi" w:cstheme="minorBidi"/>
          <w:b w:val="0"/>
          <w:color w:val="auto"/>
          <w:lang w:eastAsia="cs-CZ"/>
        </w:rPr>
      </w:pPr>
      <w:hyperlink w:anchor="_Toc435423986" w:history="1">
        <w:r w:rsidR="00BA6046" w:rsidRPr="00FC4362">
          <w:rPr>
            <w:rStyle w:val="Hypertextovodkaz"/>
          </w:rPr>
          <w:t>Implementace opatření Akčního plánu</w:t>
        </w:r>
        <w:r w:rsidR="00BA6046">
          <w:rPr>
            <w:webHidden/>
          </w:rPr>
          <w:tab/>
        </w:r>
        <w:r>
          <w:rPr>
            <w:webHidden/>
          </w:rPr>
          <w:fldChar w:fldCharType="begin"/>
        </w:r>
        <w:r w:rsidR="00BA6046">
          <w:rPr>
            <w:webHidden/>
          </w:rPr>
          <w:instrText xml:space="preserve"> PAGEREF _Toc435423986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A604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A6046" w:rsidRDefault="00A1229B">
      <w:pPr>
        <w:pStyle w:val="Obsah1"/>
        <w:rPr>
          <w:rFonts w:asciiTheme="minorHAnsi" w:eastAsiaTheme="minorEastAsia" w:hAnsiTheme="minorHAnsi" w:cstheme="minorBidi"/>
          <w:b w:val="0"/>
          <w:color w:val="auto"/>
          <w:lang w:eastAsia="cs-CZ"/>
        </w:rPr>
      </w:pPr>
      <w:hyperlink w:anchor="_Toc435423987" w:history="1">
        <w:r w:rsidR="00BA6046" w:rsidRPr="00FC4362">
          <w:rPr>
            <w:rStyle w:val="Hypertextovodkaz"/>
          </w:rPr>
          <w:t>Hlavní priority vlády ČR</w:t>
        </w:r>
        <w:r w:rsidR="00BA6046">
          <w:rPr>
            <w:webHidden/>
          </w:rPr>
          <w:tab/>
        </w:r>
        <w:r>
          <w:rPr>
            <w:webHidden/>
          </w:rPr>
          <w:fldChar w:fldCharType="begin"/>
        </w:r>
        <w:r w:rsidR="00BA6046">
          <w:rPr>
            <w:webHidden/>
          </w:rPr>
          <w:instrText xml:space="preserve"> PAGEREF _Toc435423987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A604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A6046" w:rsidRDefault="00A1229B">
      <w:pPr>
        <w:pStyle w:val="Obsah1"/>
        <w:rPr>
          <w:rFonts w:asciiTheme="minorHAnsi" w:eastAsiaTheme="minorEastAsia" w:hAnsiTheme="minorHAnsi" w:cstheme="minorBidi"/>
          <w:b w:val="0"/>
          <w:color w:val="auto"/>
          <w:lang w:eastAsia="cs-CZ"/>
        </w:rPr>
      </w:pPr>
      <w:hyperlink w:anchor="_Toc435423988" w:history="1">
        <w:r w:rsidR="00BA6046" w:rsidRPr="00FC4362">
          <w:rPr>
            <w:rStyle w:val="Hypertextovodkaz"/>
          </w:rPr>
          <w:t>Kroky vlády pro podporu hospodářského růstu</w:t>
        </w:r>
        <w:r w:rsidR="00BA6046">
          <w:rPr>
            <w:webHidden/>
          </w:rPr>
          <w:tab/>
        </w:r>
        <w:r>
          <w:rPr>
            <w:webHidden/>
          </w:rPr>
          <w:fldChar w:fldCharType="begin"/>
        </w:r>
        <w:r w:rsidR="00BA6046">
          <w:rPr>
            <w:webHidden/>
          </w:rPr>
          <w:instrText xml:space="preserve"> PAGEREF _Toc435423988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A604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BA6046" w:rsidRDefault="00A1229B">
      <w:pPr>
        <w:pStyle w:val="Obsah2"/>
        <w:rPr>
          <w:rFonts w:asciiTheme="minorHAnsi" w:eastAsiaTheme="minorEastAsia" w:hAnsiTheme="minorHAnsi" w:cstheme="minorBidi"/>
          <w:noProof/>
          <w:color w:val="auto"/>
          <w:lang w:eastAsia="cs-CZ"/>
        </w:rPr>
      </w:pPr>
      <w:hyperlink w:anchor="_Toc435423989" w:history="1">
        <w:r w:rsidR="00BA6046" w:rsidRPr="00FC4362">
          <w:rPr>
            <w:rStyle w:val="Hypertextovodkaz"/>
            <w:noProof/>
          </w:rPr>
          <w:t>1.</w:t>
        </w:r>
        <w:r w:rsidR="00BA6046">
          <w:rPr>
            <w:rFonts w:asciiTheme="minorHAnsi" w:eastAsiaTheme="minorEastAsia" w:hAnsiTheme="minorHAnsi" w:cstheme="minorBidi"/>
            <w:noProof/>
            <w:color w:val="auto"/>
            <w:lang w:eastAsia="cs-CZ"/>
          </w:rPr>
          <w:tab/>
        </w:r>
        <w:r w:rsidR="00BA6046" w:rsidRPr="00FC4362">
          <w:rPr>
            <w:rStyle w:val="Hypertextovodkaz"/>
            <w:noProof/>
          </w:rPr>
          <w:t>Atraktivní podnikatelské prostředí</w:t>
        </w:r>
        <w:r w:rsidR="00BA604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046">
          <w:rPr>
            <w:noProof/>
            <w:webHidden/>
          </w:rPr>
          <w:instrText xml:space="preserve"> PAGEREF _Toc435423989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04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A6046" w:rsidRDefault="00A1229B">
      <w:pPr>
        <w:pStyle w:val="Obsah2"/>
        <w:rPr>
          <w:rFonts w:asciiTheme="minorHAnsi" w:eastAsiaTheme="minorEastAsia" w:hAnsiTheme="minorHAnsi" w:cstheme="minorBidi"/>
          <w:noProof/>
          <w:color w:val="auto"/>
          <w:lang w:eastAsia="cs-CZ"/>
        </w:rPr>
      </w:pPr>
      <w:hyperlink w:anchor="_Toc435423990" w:history="1">
        <w:r w:rsidR="00BA6046" w:rsidRPr="00FC4362">
          <w:rPr>
            <w:rStyle w:val="Hypertextovodkaz"/>
            <w:noProof/>
          </w:rPr>
          <w:t>2.</w:t>
        </w:r>
        <w:r w:rsidR="00BA6046">
          <w:rPr>
            <w:rFonts w:asciiTheme="minorHAnsi" w:eastAsiaTheme="minorEastAsia" w:hAnsiTheme="minorHAnsi" w:cstheme="minorBidi"/>
            <w:noProof/>
            <w:color w:val="auto"/>
            <w:lang w:eastAsia="cs-CZ"/>
          </w:rPr>
          <w:tab/>
        </w:r>
        <w:r w:rsidR="00BA6046" w:rsidRPr="00FC4362">
          <w:rPr>
            <w:rStyle w:val="Hypertextovodkaz"/>
            <w:noProof/>
          </w:rPr>
          <w:t>Podpora exportu a cestovního ruchu</w:t>
        </w:r>
        <w:r w:rsidR="00BA604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046">
          <w:rPr>
            <w:noProof/>
            <w:webHidden/>
          </w:rPr>
          <w:instrText xml:space="preserve"> PAGEREF _Toc435423990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04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A6046" w:rsidRDefault="00A1229B">
      <w:pPr>
        <w:pStyle w:val="Obsah2"/>
        <w:rPr>
          <w:rFonts w:asciiTheme="minorHAnsi" w:eastAsiaTheme="minorEastAsia" w:hAnsiTheme="minorHAnsi" w:cstheme="minorBidi"/>
          <w:noProof/>
          <w:color w:val="auto"/>
          <w:lang w:eastAsia="cs-CZ"/>
        </w:rPr>
      </w:pPr>
      <w:hyperlink w:anchor="_Toc435423991" w:history="1">
        <w:r w:rsidR="00BA6046" w:rsidRPr="00FC4362">
          <w:rPr>
            <w:rStyle w:val="Hypertextovodkaz"/>
            <w:noProof/>
          </w:rPr>
          <w:t>3.</w:t>
        </w:r>
        <w:r w:rsidR="00BA6046">
          <w:rPr>
            <w:rFonts w:asciiTheme="minorHAnsi" w:eastAsiaTheme="minorEastAsia" w:hAnsiTheme="minorHAnsi" w:cstheme="minorBidi"/>
            <w:noProof/>
            <w:color w:val="auto"/>
            <w:lang w:eastAsia="cs-CZ"/>
          </w:rPr>
          <w:tab/>
        </w:r>
        <w:r w:rsidR="00BA6046" w:rsidRPr="00FC4362">
          <w:rPr>
            <w:rStyle w:val="Hypertextovodkaz"/>
            <w:noProof/>
          </w:rPr>
          <w:t>Podpora zahraničních a domácích soukromých investic</w:t>
        </w:r>
        <w:r w:rsidR="00BA604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046">
          <w:rPr>
            <w:noProof/>
            <w:webHidden/>
          </w:rPr>
          <w:instrText xml:space="preserve"> PAGEREF _Toc435423991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04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A6046" w:rsidRDefault="00A1229B">
      <w:pPr>
        <w:pStyle w:val="Obsah2"/>
        <w:rPr>
          <w:rFonts w:asciiTheme="minorHAnsi" w:eastAsiaTheme="minorEastAsia" w:hAnsiTheme="minorHAnsi" w:cstheme="minorBidi"/>
          <w:noProof/>
          <w:color w:val="auto"/>
          <w:lang w:eastAsia="cs-CZ"/>
        </w:rPr>
      </w:pPr>
      <w:hyperlink w:anchor="_Toc435423992" w:history="1">
        <w:r w:rsidR="00BA6046" w:rsidRPr="00FC4362">
          <w:rPr>
            <w:rStyle w:val="Hypertextovodkaz"/>
            <w:noProof/>
          </w:rPr>
          <w:t>4.</w:t>
        </w:r>
        <w:r w:rsidR="00BA6046">
          <w:rPr>
            <w:rFonts w:asciiTheme="minorHAnsi" w:eastAsiaTheme="minorEastAsia" w:hAnsiTheme="minorHAnsi" w:cstheme="minorBidi"/>
            <w:noProof/>
            <w:color w:val="auto"/>
            <w:lang w:eastAsia="cs-CZ"/>
          </w:rPr>
          <w:tab/>
        </w:r>
        <w:r w:rsidR="00BA6046" w:rsidRPr="00FC4362">
          <w:rPr>
            <w:rStyle w:val="Hypertextovodkaz"/>
            <w:noProof/>
          </w:rPr>
          <w:t>Transfer výsledků VaV do aplikační sféry</w:t>
        </w:r>
        <w:r w:rsidR="00BA604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046">
          <w:rPr>
            <w:noProof/>
            <w:webHidden/>
          </w:rPr>
          <w:instrText xml:space="preserve"> PAGEREF _Toc435423992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04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A6046" w:rsidRDefault="00A1229B">
      <w:pPr>
        <w:pStyle w:val="Obsah2"/>
        <w:rPr>
          <w:rFonts w:asciiTheme="minorHAnsi" w:eastAsiaTheme="minorEastAsia" w:hAnsiTheme="minorHAnsi" w:cstheme="minorBidi"/>
          <w:noProof/>
          <w:color w:val="auto"/>
          <w:lang w:eastAsia="cs-CZ"/>
        </w:rPr>
      </w:pPr>
      <w:hyperlink w:anchor="_Toc435423993" w:history="1">
        <w:r w:rsidR="00BA6046" w:rsidRPr="00FC4362">
          <w:rPr>
            <w:rStyle w:val="Hypertextovodkaz"/>
            <w:noProof/>
          </w:rPr>
          <w:t>5.</w:t>
        </w:r>
        <w:r w:rsidR="00BA6046">
          <w:rPr>
            <w:rFonts w:asciiTheme="minorHAnsi" w:eastAsiaTheme="minorEastAsia" w:hAnsiTheme="minorHAnsi" w:cstheme="minorBidi"/>
            <w:noProof/>
            <w:color w:val="auto"/>
            <w:lang w:eastAsia="cs-CZ"/>
          </w:rPr>
          <w:tab/>
        </w:r>
        <w:r w:rsidR="00BA6046" w:rsidRPr="00FC4362">
          <w:rPr>
            <w:rStyle w:val="Hypertextovodkaz"/>
            <w:noProof/>
          </w:rPr>
          <w:t>Rozvoj investiční výstavby</w:t>
        </w:r>
        <w:r w:rsidR="00BA604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046">
          <w:rPr>
            <w:noProof/>
            <w:webHidden/>
          </w:rPr>
          <w:instrText xml:space="preserve"> PAGEREF _Toc435423993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04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A6046" w:rsidRDefault="00A1229B">
      <w:pPr>
        <w:pStyle w:val="Obsah2"/>
        <w:rPr>
          <w:rFonts w:asciiTheme="minorHAnsi" w:eastAsiaTheme="minorEastAsia" w:hAnsiTheme="minorHAnsi" w:cstheme="minorBidi"/>
          <w:noProof/>
          <w:color w:val="auto"/>
          <w:lang w:eastAsia="cs-CZ"/>
        </w:rPr>
      </w:pPr>
      <w:hyperlink w:anchor="_Toc435423994" w:history="1">
        <w:r w:rsidR="00BA6046" w:rsidRPr="00FC4362">
          <w:rPr>
            <w:rStyle w:val="Hypertextovodkaz"/>
            <w:noProof/>
          </w:rPr>
          <w:t>6.</w:t>
        </w:r>
        <w:r w:rsidR="00BA6046">
          <w:rPr>
            <w:rFonts w:asciiTheme="minorHAnsi" w:eastAsiaTheme="minorEastAsia" w:hAnsiTheme="minorHAnsi" w:cstheme="minorBidi"/>
            <w:noProof/>
            <w:color w:val="auto"/>
            <w:lang w:eastAsia="cs-CZ"/>
          </w:rPr>
          <w:tab/>
        </w:r>
        <w:r w:rsidR="00BA6046" w:rsidRPr="00FC4362">
          <w:rPr>
            <w:rStyle w:val="Hypertextovodkaz"/>
            <w:noProof/>
          </w:rPr>
          <w:t>Efektivní výkon fungující veřejné správy</w:t>
        </w:r>
        <w:r w:rsidR="00BA604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046">
          <w:rPr>
            <w:noProof/>
            <w:webHidden/>
          </w:rPr>
          <w:instrText xml:space="preserve"> PAGEREF _Toc435423994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04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A6046" w:rsidRDefault="00A1229B">
      <w:pPr>
        <w:pStyle w:val="Obsah2"/>
        <w:rPr>
          <w:rFonts w:asciiTheme="minorHAnsi" w:eastAsiaTheme="minorEastAsia" w:hAnsiTheme="minorHAnsi" w:cstheme="minorBidi"/>
          <w:noProof/>
          <w:color w:val="auto"/>
          <w:lang w:eastAsia="cs-CZ"/>
        </w:rPr>
      </w:pPr>
      <w:hyperlink w:anchor="_Toc435423995" w:history="1">
        <w:r w:rsidR="00BA6046" w:rsidRPr="00FC4362">
          <w:rPr>
            <w:rStyle w:val="Hypertextovodkaz"/>
            <w:noProof/>
          </w:rPr>
          <w:t>7.</w:t>
        </w:r>
        <w:r w:rsidR="00BA6046">
          <w:rPr>
            <w:rFonts w:asciiTheme="minorHAnsi" w:eastAsiaTheme="minorEastAsia" w:hAnsiTheme="minorHAnsi" w:cstheme="minorBidi"/>
            <w:noProof/>
            <w:color w:val="auto"/>
            <w:lang w:eastAsia="cs-CZ"/>
          </w:rPr>
          <w:tab/>
        </w:r>
        <w:r w:rsidR="00BA6046" w:rsidRPr="00FC4362">
          <w:rPr>
            <w:rStyle w:val="Hypertextovodkaz"/>
            <w:noProof/>
          </w:rPr>
          <w:t>Energetika</w:t>
        </w:r>
        <w:r w:rsidR="00BA604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046">
          <w:rPr>
            <w:noProof/>
            <w:webHidden/>
          </w:rPr>
          <w:instrText xml:space="preserve"> PAGEREF _Toc435423995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04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A6046" w:rsidRDefault="00A1229B">
      <w:pPr>
        <w:pStyle w:val="Obsah2"/>
        <w:rPr>
          <w:rFonts w:asciiTheme="minorHAnsi" w:eastAsiaTheme="minorEastAsia" w:hAnsiTheme="minorHAnsi" w:cstheme="minorBidi"/>
          <w:noProof/>
          <w:color w:val="auto"/>
          <w:lang w:eastAsia="cs-CZ"/>
        </w:rPr>
      </w:pPr>
      <w:hyperlink w:anchor="_Toc435423996" w:history="1">
        <w:r w:rsidR="00BA6046" w:rsidRPr="00FC4362">
          <w:rPr>
            <w:rStyle w:val="Hypertextovodkaz"/>
            <w:noProof/>
          </w:rPr>
          <w:t>8.</w:t>
        </w:r>
        <w:r w:rsidR="00BA6046">
          <w:rPr>
            <w:rFonts w:asciiTheme="minorHAnsi" w:eastAsiaTheme="minorEastAsia" w:hAnsiTheme="minorHAnsi" w:cstheme="minorBidi"/>
            <w:noProof/>
            <w:color w:val="auto"/>
            <w:lang w:eastAsia="cs-CZ"/>
          </w:rPr>
          <w:tab/>
        </w:r>
        <w:r w:rsidR="00BA6046" w:rsidRPr="00FC4362">
          <w:rPr>
            <w:rStyle w:val="Hypertextovodkaz"/>
            <w:noProof/>
          </w:rPr>
          <w:t>Podpora zaměstnanosti a trhu práce</w:t>
        </w:r>
        <w:r w:rsidR="00BA604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A6046">
          <w:rPr>
            <w:noProof/>
            <w:webHidden/>
          </w:rPr>
          <w:instrText xml:space="preserve"> PAGEREF _Toc435423996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604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A6046" w:rsidRDefault="00A1229B">
      <w:pPr>
        <w:pStyle w:val="Obsah1"/>
        <w:rPr>
          <w:rFonts w:asciiTheme="minorHAnsi" w:eastAsiaTheme="minorEastAsia" w:hAnsiTheme="minorHAnsi" w:cstheme="minorBidi"/>
          <w:b w:val="0"/>
          <w:color w:val="auto"/>
          <w:lang w:eastAsia="cs-CZ"/>
        </w:rPr>
      </w:pPr>
      <w:hyperlink w:anchor="_Toc435423997" w:history="1">
        <w:r w:rsidR="00BA6046" w:rsidRPr="00FC4362">
          <w:rPr>
            <w:rStyle w:val="Hypertextovodkaz"/>
          </w:rPr>
          <w:t>Opatření na posílení příjmů státního rozpočtu</w:t>
        </w:r>
        <w:r w:rsidR="00BA6046">
          <w:rPr>
            <w:webHidden/>
          </w:rPr>
          <w:tab/>
        </w:r>
        <w:r>
          <w:rPr>
            <w:webHidden/>
          </w:rPr>
          <w:fldChar w:fldCharType="begin"/>
        </w:r>
        <w:r w:rsidR="00BA6046">
          <w:rPr>
            <w:webHidden/>
          </w:rPr>
          <w:instrText xml:space="preserve"> PAGEREF _Toc435423997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A6046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BA6046" w:rsidRDefault="00A1229B">
      <w:pPr>
        <w:pStyle w:val="Obsah1"/>
        <w:rPr>
          <w:rFonts w:asciiTheme="minorHAnsi" w:eastAsiaTheme="minorEastAsia" w:hAnsiTheme="minorHAnsi" w:cstheme="minorBidi"/>
          <w:b w:val="0"/>
          <w:color w:val="auto"/>
          <w:lang w:eastAsia="cs-CZ"/>
        </w:rPr>
      </w:pPr>
      <w:hyperlink w:anchor="_Toc435423998" w:history="1">
        <w:r w:rsidR="00BA6046" w:rsidRPr="00FC4362">
          <w:rPr>
            <w:rStyle w:val="Hypertextovodkaz"/>
          </w:rPr>
          <w:t>Použité strategie a koncepční materiály</w:t>
        </w:r>
        <w:r w:rsidR="00BA6046">
          <w:rPr>
            <w:webHidden/>
          </w:rPr>
          <w:tab/>
        </w:r>
        <w:r>
          <w:rPr>
            <w:webHidden/>
          </w:rPr>
          <w:fldChar w:fldCharType="begin"/>
        </w:r>
        <w:r w:rsidR="00BA6046">
          <w:rPr>
            <w:webHidden/>
          </w:rPr>
          <w:instrText xml:space="preserve"> PAGEREF _Toc435423998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A6046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A744FF" w:rsidRDefault="00A1229B" w:rsidP="00A744FF">
      <w:r>
        <w:fldChar w:fldCharType="end"/>
      </w:r>
    </w:p>
    <w:p w:rsidR="001B0C27" w:rsidRDefault="001B0C27" w:rsidP="00A744FF"/>
    <w:p w:rsidR="00A744FF" w:rsidRDefault="00A744FF" w:rsidP="00773E0B">
      <w:pPr>
        <w:ind w:left="142"/>
        <w:sectPr w:rsidR="00A744FF" w:rsidSect="005D68EA">
          <w:footerReference w:type="first" r:id="rId1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E6A5E" w:rsidRPr="002C694E" w:rsidRDefault="00E817F3" w:rsidP="002B7A3D">
      <w:pPr>
        <w:pStyle w:val="Nadpis1"/>
      </w:pPr>
      <w:bookmarkStart w:id="2" w:name="_Toc389751450"/>
      <w:bookmarkStart w:id="3" w:name="_Toc435423983"/>
      <w:r>
        <w:lastRenderedPageBreak/>
        <w:t>Seznam použitých zkratek</w:t>
      </w:r>
      <w:bookmarkEnd w:id="2"/>
      <w:bookmarkEnd w:id="3"/>
    </w:p>
    <w:p w:rsidR="00E817F3" w:rsidRDefault="00E817F3" w:rsidP="00E817F3">
      <w:pPr>
        <w:spacing w:after="0"/>
      </w:pPr>
      <w:r>
        <w:rPr>
          <w:b/>
          <w:color w:val="000080"/>
        </w:rPr>
        <w:t>AP</w:t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 w:rsidRPr="00690942">
        <w:t>Akční plán</w:t>
      </w:r>
    </w:p>
    <w:p w:rsidR="00B24F84" w:rsidRDefault="00B24F84" w:rsidP="00E817F3">
      <w:pPr>
        <w:spacing w:after="0"/>
        <w:rPr>
          <w:b/>
          <w:color w:val="000080"/>
        </w:rPr>
      </w:pPr>
      <w:r w:rsidRPr="00B24F84">
        <w:rPr>
          <w:b/>
          <w:color w:val="000080"/>
        </w:rPr>
        <w:t>APZ</w:t>
      </w:r>
      <w:r w:rsidRPr="00B24F84">
        <w:rPr>
          <w:b/>
          <w:color w:val="000080"/>
        </w:rPr>
        <w:tab/>
      </w:r>
      <w:r>
        <w:tab/>
        <w:t>Aktivní politika zaměstnanosti</w:t>
      </w:r>
    </w:p>
    <w:p w:rsidR="009F6A5D" w:rsidRDefault="009F6A5D" w:rsidP="00E817F3">
      <w:pPr>
        <w:spacing w:after="0"/>
        <w:rPr>
          <w:b/>
          <w:color w:val="000080"/>
        </w:rPr>
      </w:pPr>
      <w:r w:rsidRPr="0089751A">
        <w:rPr>
          <w:b/>
          <w:color w:val="000080"/>
        </w:rPr>
        <w:t>EK</w:t>
      </w:r>
      <w:r>
        <w:rPr>
          <w:b/>
          <w:color w:val="000080"/>
        </w:rPr>
        <w:t xml:space="preserve"> </w:t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t>Evropská komise</w:t>
      </w:r>
    </w:p>
    <w:p w:rsidR="009F6A5D" w:rsidRDefault="009F6A5D" w:rsidP="00E817F3">
      <w:pPr>
        <w:spacing w:after="0"/>
        <w:rPr>
          <w:b/>
          <w:color w:val="000080"/>
        </w:rPr>
      </w:pPr>
      <w:r>
        <w:rPr>
          <w:b/>
          <w:color w:val="000080"/>
        </w:rPr>
        <w:t>EIA</w:t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proofErr w:type="spellStart"/>
      <w:r w:rsidRPr="009F6A5D">
        <w:t>Environmental</w:t>
      </w:r>
      <w:proofErr w:type="spellEnd"/>
      <w:r w:rsidRPr="009F6A5D">
        <w:t xml:space="preserve"> </w:t>
      </w:r>
      <w:proofErr w:type="spellStart"/>
      <w:r w:rsidRPr="009F6A5D">
        <w:t>Impact</w:t>
      </w:r>
      <w:proofErr w:type="spellEnd"/>
      <w:r w:rsidRPr="009F6A5D">
        <w:t xml:space="preserve"> </w:t>
      </w:r>
      <w:proofErr w:type="spellStart"/>
      <w:r w:rsidRPr="009F6A5D">
        <w:t>Assessment</w:t>
      </w:r>
      <w:proofErr w:type="spellEnd"/>
      <w:r w:rsidR="00A5363F">
        <w:t xml:space="preserve"> </w:t>
      </w:r>
      <w:r>
        <w:t>/</w:t>
      </w:r>
      <w:r w:rsidR="00A5363F">
        <w:t xml:space="preserve"> </w:t>
      </w:r>
      <w:r w:rsidRPr="009F6A5D">
        <w:t>Vyhodnocení vlivů na životní prostředí</w:t>
      </w:r>
    </w:p>
    <w:p w:rsidR="00E817F3" w:rsidRDefault="00E817F3" w:rsidP="00E817F3">
      <w:pPr>
        <w:spacing w:after="0"/>
      </w:pPr>
      <w:r>
        <w:rPr>
          <w:b/>
          <w:color w:val="000080"/>
        </w:rPr>
        <w:t>ESI</w:t>
      </w:r>
      <w:r w:rsidR="004C61DB">
        <w:rPr>
          <w:b/>
          <w:color w:val="000080"/>
        </w:rPr>
        <w:t xml:space="preserve"> fondy</w:t>
      </w:r>
      <w:r>
        <w:rPr>
          <w:b/>
          <w:color w:val="000080"/>
        </w:rPr>
        <w:tab/>
      </w:r>
      <w:r w:rsidRPr="00EA3F0B">
        <w:t>Evropské strukturální a investiční fondy</w:t>
      </w:r>
    </w:p>
    <w:p w:rsidR="00B24F84" w:rsidRDefault="00B24F84" w:rsidP="00E817F3">
      <w:pPr>
        <w:spacing w:after="0"/>
        <w:rPr>
          <w:b/>
          <w:color w:val="000080"/>
        </w:rPr>
      </w:pPr>
      <w:r w:rsidRPr="00B24F84">
        <w:rPr>
          <w:b/>
          <w:color w:val="000080"/>
        </w:rPr>
        <w:t>ESF</w:t>
      </w:r>
      <w:r>
        <w:tab/>
      </w:r>
      <w:r>
        <w:tab/>
        <w:t>Evropský sociální fond</w:t>
      </w:r>
    </w:p>
    <w:p w:rsidR="0089751A" w:rsidRDefault="00E817F3" w:rsidP="00E817F3">
      <w:pPr>
        <w:spacing w:after="0"/>
      </w:pPr>
      <w:r>
        <w:rPr>
          <w:b/>
          <w:color w:val="000080"/>
        </w:rPr>
        <w:t>EU, EU27</w:t>
      </w:r>
      <w:r>
        <w:rPr>
          <w:b/>
          <w:color w:val="000080"/>
        </w:rPr>
        <w:tab/>
      </w:r>
      <w:r w:rsidRPr="00C36AB2">
        <w:t>Evropská unie</w:t>
      </w:r>
      <w:r>
        <w:t xml:space="preserve"> (v rozsahu 27 členských států)</w:t>
      </w:r>
      <w:r w:rsidR="0089751A">
        <w:tab/>
      </w:r>
    </w:p>
    <w:p w:rsidR="009F6A5D" w:rsidRDefault="009F6A5D" w:rsidP="009F6A5D">
      <w:pPr>
        <w:spacing w:after="0"/>
        <w:jc w:val="left"/>
      </w:pPr>
      <w:r w:rsidRPr="00C36AB2">
        <w:rPr>
          <w:b/>
          <w:color w:val="000080"/>
        </w:rPr>
        <w:t>HDP</w:t>
      </w:r>
      <w:r>
        <w:tab/>
      </w:r>
      <w:r>
        <w:tab/>
        <w:t>Hrubý domácí produkt</w:t>
      </w:r>
    </w:p>
    <w:p w:rsidR="00E817F3" w:rsidRDefault="00E817F3" w:rsidP="00E817F3">
      <w:pPr>
        <w:spacing w:after="0"/>
        <w:jc w:val="left"/>
        <w:rPr>
          <w:b/>
          <w:color w:val="000080"/>
        </w:rPr>
      </w:pPr>
      <w:r w:rsidRPr="00204F7B">
        <w:rPr>
          <w:b/>
          <w:color w:val="000080"/>
        </w:rPr>
        <w:t>IROP</w:t>
      </w:r>
      <w:r>
        <w:tab/>
      </w:r>
      <w:r>
        <w:tab/>
        <w:t>Integrovaný regionální operační program</w:t>
      </w:r>
    </w:p>
    <w:p w:rsidR="00E817F3" w:rsidRDefault="00E817F3" w:rsidP="00E817F3">
      <w:pPr>
        <w:spacing w:after="0"/>
        <w:jc w:val="left"/>
        <w:rPr>
          <w:b/>
          <w:color w:val="000080"/>
        </w:rPr>
      </w:pPr>
      <w:r>
        <w:rPr>
          <w:b/>
          <w:color w:val="000080"/>
        </w:rPr>
        <w:t>MD</w:t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 w:rsidRPr="00BB4288">
        <w:t>Ministerstvo dopravy</w:t>
      </w:r>
    </w:p>
    <w:p w:rsidR="00E817F3" w:rsidRDefault="00E817F3" w:rsidP="00E817F3">
      <w:pPr>
        <w:spacing w:after="0"/>
        <w:jc w:val="left"/>
      </w:pPr>
      <w:r w:rsidRPr="00A1251E">
        <w:rPr>
          <w:b/>
          <w:color w:val="000080"/>
        </w:rPr>
        <w:t>MF</w:t>
      </w:r>
      <w:r>
        <w:tab/>
      </w:r>
      <w:r>
        <w:tab/>
        <w:t>Ministerstvo financí</w:t>
      </w:r>
    </w:p>
    <w:p w:rsidR="00E817F3" w:rsidRDefault="00E817F3" w:rsidP="00E817F3">
      <w:pPr>
        <w:spacing w:after="0"/>
        <w:jc w:val="left"/>
        <w:rPr>
          <w:b/>
          <w:color w:val="000080"/>
        </w:rPr>
      </w:pPr>
      <w:r>
        <w:rPr>
          <w:b/>
          <w:color w:val="000080"/>
        </w:rPr>
        <w:t>MLR</w:t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 w:rsidRPr="00AD4722">
        <w:t>Ministr pro lidská práva</w:t>
      </w:r>
      <w:r>
        <w:t xml:space="preserve"> a </w:t>
      </w:r>
      <w:r w:rsidRPr="00AD4722">
        <w:t>rovné příležitosti</w:t>
      </w:r>
    </w:p>
    <w:p w:rsidR="00E817F3" w:rsidRDefault="00E817F3" w:rsidP="00E817F3">
      <w:pPr>
        <w:spacing w:after="0"/>
        <w:jc w:val="left"/>
      </w:pPr>
      <w:r w:rsidRPr="00BB4288">
        <w:rPr>
          <w:b/>
          <w:color w:val="000080"/>
        </w:rPr>
        <w:t>MMR</w:t>
      </w:r>
      <w:r>
        <w:tab/>
      </w:r>
      <w:r>
        <w:tab/>
        <w:t>Ministerstvo pro místní rozvoj</w:t>
      </w:r>
    </w:p>
    <w:p w:rsidR="00397954" w:rsidRDefault="00E817F3" w:rsidP="00E817F3">
      <w:pPr>
        <w:spacing w:after="0"/>
        <w:jc w:val="left"/>
      </w:pPr>
      <w:r w:rsidRPr="00A1251E">
        <w:rPr>
          <w:b/>
          <w:color w:val="000080"/>
        </w:rPr>
        <w:t>MPO</w:t>
      </w:r>
      <w:r>
        <w:tab/>
      </w:r>
      <w:r>
        <w:tab/>
        <w:t>Ministerstvo průmyslu a obchodu</w:t>
      </w:r>
    </w:p>
    <w:p w:rsidR="00E817F3" w:rsidRDefault="00E817F3" w:rsidP="00E817F3">
      <w:pPr>
        <w:spacing w:after="0"/>
        <w:jc w:val="left"/>
        <w:rPr>
          <w:b/>
          <w:color w:val="000080"/>
        </w:rPr>
      </w:pPr>
      <w:r w:rsidRPr="00A1251E">
        <w:rPr>
          <w:b/>
          <w:color w:val="000080"/>
        </w:rPr>
        <w:t>MPSV</w:t>
      </w:r>
      <w:r>
        <w:tab/>
      </w:r>
      <w:r>
        <w:tab/>
        <w:t>Ministerstvo práce a sociálních věcí</w:t>
      </w:r>
      <w:r w:rsidRPr="00A1251E">
        <w:rPr>
          <w:b/>
          <w:color w:val="000080"/>
        </w:rPr>
        <w:t xml:space="preserve"> </w:t>
      </w:r>
    </w:p>
    <w:p w:rsidR="00E817F3" w:rsidRDefault="00E817F3" w:rsidP="00E817F3">
      <w:pPr>
        <w:spacing w:after="0"/>
        <w:jc w:val="left"/>
      </w:pPr>
      <w:r>
        <w:rPr>
          <w:b/>
          <w:color w:val="000080"/>
        </w:rPr>
        <w:t>MSP</w:t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 w:rsidRPr="006429B0">
        <w:t>Malé</w:t>
      </w:r>
      <w:r>
        <w:t xml:space="preserve"> a </w:t>
      </w:r>
      <w:r w:rsidRPr="006429B0">
        <w:t>stře</w:t>
      </w:r>
      <w:r w:rsidR="00261A80">
        <w:t>d</w:t>
      </w:r>
      <w:r w:rsidRPr="006429B0">
        <w:t>ní podniky</w:t>
      </w:r>
    </w:p>
    <w:p w:rsidR="00E817F3" w:rsidRDefault="00DA3F71" w:rsidP="00E817F3">
      <w:pPr>
        <w:spacing w:after="0"/>
        <w:jc w:val="left"/>
      </w:pPr>
      <w:proofErr w:type="spellStart"/>
      <w:r>
        <w:rPr>
          <w:b/>
          <w:color w:val="000080"/>
        </w:rPr>
        <w:t>MSP</w:t>
      </w:r>
      <w:r w:rsidR="00E817F3" w:rsidRPr="000E2111">
        <w:rPr>
          <w:b/>
          <w:color w:val="000080"/>
        </w:rPr>
        <w:t>r</w:t>
      </w:r>
      <w:proofErr w:type="spellEnd"/>
      <w:r w:rsidR="00E817F3">
        <w:tab/>
      </w:r>
      <w:r w:rsidR="00E817F3">
        <w:tab/>
        <w:t>Ministerstvo spravedlnosti</w:t>
      </w:r>
    </w:p>
    <w:p w:rsidR="00BD14B4" w:rsidRDefault="00BD14B4" w:rsidP="00E817F3">
      <w:pPr>
        <w:spacing w:after="0"/>
        <w:jc w:val="left"/>
      </w:pPr>
      <w:r w:rsidRPr="00BD14B4">
        <w:rPr>
          <w:b/>
          <w:color w:val="000080"/>
        </w:rPr>
        <w:t>MŠMT</w:t>
      </w:r>
      <w:r>
        <w:tab/>
      </w:r>
      <w:r>
        <w:tab/>
        <w:t>Ministerstvo školství mládeže a tělovýchovy</w:t>
      </w:r>
    </w:p>
    <w:p w:rsidR="00E817F3" w:rsidRDefault="00E817F3" w:rsidP="00E817F3">
      <w:pPr>
        <w:spacing w:after="0"/>
        <w:jc w:val="left"/>
      </w:pPr>
      <w:r w:rsidRPr="00BB4288">
        <w:rPr>
          <w:b/>
          <w:color w:val="000080"/>
        </w:rPr>
        <w:t>MV</w:t>
      </w:r>
      <w:r>
        <w:tab/>
      </w:r>
      <w:r>
        <w:tab/>
        <w:t>Ministerstvo vnitra</w:t>
      </w:r>
    </w:p>
    <w:p w:rsidR="00E817F3" w:rsidRDefault="00E817F3" w:rsidP="00E817F3">
      <w:pPr>
        <w:spacing w:after="0"/>
        <w:jc w:val="left"/>
      </w:pPr>
      <w:r w:rsidRPr="00BB4288">
        <w:rPr>
          <w:b/>
          <w:color w:val="000080"/>
        </w:rPr>
        <w:t>MV</w:t>
      </w:r>
      <w:r>
        <w:rPr>
          <w:b/>
          <w:color w:val="000080"/>
        </w:rPr>
        <w:t>V</w:t>
      </w:r>
      <w:r w:rsidRPr="00BB4288">
        <w:rPr>
          <w:b/>
          <w:color w:val="000080"/>
        </w:rPr>
        <w:t>I</w:t>
      </w:r>
      <w:r>
        <w:tab/>
      </w:r>
      <w:r>
        <w:tab/>
        <w:t>Místopředseda vlády pro vědu, výzkum a inovace</w:t>
      </w:r>
    </w:p>
    <w:p w:rsidR="00B24F84" w:rsidRPr="00A1251E" w:rsidRDefault="00B24F84" w:rsidP="00B24F84">
      <w:pPr>
        <w:spacing w:after="0"/>
        <w:jc w:val="left"/>
      </w:pPr>
      <w:proofErr w:type="spellStart"/>
      <w:r w:rsidRPr="00B24F84">
        <w:rPr>
          <w:b/>
          <w:color w:val="000080"/>
        </w:rPr>
        <w:t>MZe</w:t>
      </w:r>
      <w:proofErr w:type="spellEnd"/>
      <w:r>
        <w:tab/>
      </w:r>
      <w:r>
        <w:tab/>
        <w:t>Ministerstvo zemědělství</w:t>
      </w:r>
    </w:p>
    <w:p w:rsidR="00E817F3" w:rsidRDefault="00E817F3" w:rsidP="00E817F3">
      <w:pPr>
        <w:spacing w:after="0"/>
        <w:jc w:val="left"/>
      </w:pPr>
      <w:r w:rsidRPr="00A1251E">
        <w:rPr>
          <w:b/>
          <w:color w:val="000080"/>
        </w:rPr>
        <w:t>MŽP</w:t>
      </w:r>
      <w:r w:rsidRPr="00A1251E">
        <w:tab/>
      </w:r>
      <w:r w:rsidRPr="00A1251E">
        <w:tab/>
        <w:t>Ministerstvo životního prostředí</w:t>
      </w:r>
    </w:p>
    <w:p w:rsidR="00E817F3" w:rsidRDefault="00E817F3" w:rsidP="00E817F3">
      <w:pPr>
        <w:spacing w:after="0"/>
        <w:jc w:val="left"/>
        <w:rPr>
          <w:b/>
          <w:color w:val="000080"/>
        </w:rPr>
      </w:pPr>
      <w:r w:rsidRPr="00204F7B">
        <w:rPr>
          <w:b/>
          <w:color w:val="000080"/>
        </w:rPr>
        <w:t>OP D</w:t>
      </w:r>
      <w:r w:rsidRPr="00204F7B">
        <w:rPr>
          <w:b/>
          <w:color w:val="000080"/>
        </w:rPr>
        <w:tab/>
      </w:r>
      <w:r>
        <w:tab/>
        <w:t xml:space="preserve">Operační program </w:t>
      </w:r>
      <w:r w:rsidR="00261A80">
        <w:t>D</w:t>
      </w:r>
      <w:r>
        <w:t>oprava</w:t>
      </w:r>
    </w:p>
    <w:p w:rsidR="00E817F3" w:rsidRDefault="00E817F3" w:rsidP="00E817F3">
      <w:pPr>
        <w:spacing w:after="0"/>
        <w:jc w:val="left"/>
      </w:pPr>
      <w:r>
        <w:rPr>
          <w:b/>
          <w:color w:val="000080"/>
        </w:rPr>
        <w:t>OP PIK</w:t>
      </w:r>
      <w:r>
        <w:rPr>
          <w:b/>
          <w:color w:val="000080"/>
        </w:rPr>
        <w:tab/>
      </w:r>
      <w:r w:rsidRPr="00A64D3A">
        <w:t>Operační program Podnikání</w:t>
      </w:r>
      <w:r>
        <w:t xml:space="preserve"> a </w:t>
      </w:r>
      <w:r w:rsidRPr="00A64D3A">
        <w:t>inovace pro konkurenceschopnost</w:t>
      </w:r>
    </w:p>
    <w:p w:rsidR="00E817F3" w:rsidRPr="005F6264" w:rsidRDefault="00E817F3" w:rsidP="00E817F3">
      <w:pPr>
        <w:spacing w:after="0"/>
        <w:jc w:val="left"/>
        <w:rPr>
          <w:b/>
          <w:color w:val="000080"/>
        </w:rPr>
      </w:pPr>
      <w:r>
        <w:rPr>
          <w:b/>
          <w:color w:val="000080"/>
        </w:rPr>
        <w:t>OP LZZ</w:t>
      </w:r>
      <w:r>
        <w:rPr>
          <w:b/>
          <w:color w:val="000080"/>
        </w:rPr>
        <w:tab/>
      </w:r>
      <w:r w:rsidRPr="00A80509">
        <w:t>Operační program Lidské zdroje</w:t>
      </w:r>
      <w:r>
        <w:t xml:space="preserve"> a </w:t>
      </w:r>
      <w:r w:rsidRPr="00A80509">
        <w:t>zaměstnanost</w:t>
      </w:r>
    </w:p>
    <w:p w:rsidR="00E817F3" w:rsidRDefault="00E817F3" w:rsidP="00E817F3">
      <w:pPr>
        <w:spacing w:after="0"/>
        <w:jc w:val="left"/>
      </w:pPr>
      <w:r w:rsidRPr="009F6A5D">
        <w:rPr>
          <w:b/>
          <w:color w:val="000080"/>
        </w:rPr>
        <w:t>OSVČ</w:t>
      </w:r>
      <w:r>
        <w:rPr>
          <w:b/>
        </w:rPr>
        <w:tab/>
      </w:r>
      <w:r>
        <w:rPr>
          <w:b/>
        </w:rPr>
        <w:tab/>
      </w:r>
      <w:r w:rsidRPr="002D6E12">
        <w:t>Osoby samostatně výdělečně činné</w:t>
      </w:r>
    </w:p>
    <w:p w:rsidR="00C40A40" w:rsidRDefault="00C40A40" w:rsidP="00E817F3">
      <w:pPr>
        <w:spacing w:after="0"/>
        <w:jc w:val="left"/>
      </w:pPr>
      <w:r w:rsidRPr="00C40A40">
        <w:rPr>
          <w:b/>
          <w:color w:val="000080"/>
        </w:rPr>
        <w:t>PEM</w:t>
      </w:r>
      <w:r>
        <w:tab/>
      </w:r>
      <w:r>
        <w:tab/>
        <w:t>Porada ekonomických ministrů</w:t>
      </w:r>
    </w:p>
    <w:p w:rsidR="00397954" w:rsidRPr="001B0C27" w:rsidRDefault="00397954" w:rsidP="00E817F3">
      <w:pPr>
        <w:spacing w:after="0"/>
        <w:jc w:val="left"/>
        <w:rPr>
          <w:color w:val="000080"/>
        </w:rPr>
      </w:pPr>
      <w:r w:rsidRPr="00397954">
        <w:rPr>
          <w:b/>
          <w:color w:val="000080"/>
        </w:rPr>
        <w:t>RHSD</w:t>
      </w:r>
      <w:r w:rsidRPr="00397954">
        <w:rPr>
          <w:b/>
          <w:color w:val="000080"/>
        </w:rPr>
        <w:tab/>
      </w:r>
      <w:r>
        <w:tab/>
        <w:t>Rada hospodářské a sociální dohody ČR</w:t>
      </w:r>
    </w:p>
    <w:p w:rsidR="009F6A5D" w:rsidRDefault="009F6A5D" w:rsidP="009F6A5D">
      <w:pPr>
        <w:spacing w:after="0"/>
        <w:jc w:val="left"/>
        <w:rPr>
          <w:b/>
          <w:color w:val="000080"/>
        </w:rPr>
      </w:pPr>
      <w:r>
        <w:rPr>
          <w:b/>
          <w:color w:val="000080"/>
        </w:rPr>
        <w:t>RIS3</w:t>
      </w:r>
      <w:r w:rsidR="00C40A40">
        <w:rPr>
          <w:b/>
          <w:color w:val="000080"/>
        </w:rPr>
        <w:t xml:space="preserve"> ČR</w:t>
      </w:r>
      <w:r w:rsidR="00D62906">
        <w:rPr>
          <w:b/>
          <w:color w:val="000080"/>
        </w:rPr>
        <w:tab/>
      </w:r>
      <w:r w:rsidR="00922BCC" w:rsidRPr="00922BCC">
        <w:rPr>
          <w:rFonts w:cs="Calibri"/>
          <w:lang w:eastAsia="cs-CZ"/>
        </w:rPr>
        <w:t>Národní Strategie inteligentní specializace</w:t>
      </w:r>
    </w:p>
    <w:p w:rsidR="00E817F3" w:rsidRPr="002707E6" w:rsidRDefault="00E817F3" w:rsidP="00E817F3">
      <w:pPr>
        <w:spacing w:after="0"/>
        <w:jc w:val="left"/>
        <w:rPr>
          <w:color w:val="000080"/>
        </w:rPr>
      </w:pPr>
      <w:r w:rsidRPr="00204F7B">
        <w:rPr>
          <w:b/>
          <w:color w:val="000080"/>
        </w:rPr>
        <w:t>SFRB</w:t>
      </w:r>
      <w:r>
        <w:tab/>
      </w:r>
      <w:r>
        <w:tab/>
        <w:t>Státní fond rozvoje bydlení</w:t>
      </w:r>
    </w:p>
    <w:p w:rsidR="005F6264" w:rsidRDefault="005F6264" w:rsidP="00E817F3">
      <w:pPr>
        <w:spacing w:after="0"/>
        <w:jc w:val="left"/>
      </w:pPr>
      <w:r w:rsidRPr="005F6264">
        <w:rPr>
          <w:b/>
          <w:color w:val="000080"/>
        </w:rPr>
        <w:t>SMO</w:t>
      </w:r>
      <w:r>
        <w:tab/>
      </w:r>
      <w:r>
        <w:tab/>
        <w:t>Svaz měst a obcí</w:t>
      </w:r>
    </w:p>
    <w:p w:rsidR="00CE09C5" w:rsidRDefault="00CE09C5" w:rsidP="00E817F3">
      <w:pPr>
        <w:spacing w:after="0"/>
        <w:jc w:val="left"/>
      </w:pPr>
      <w:r w:rsidRPr="00CE09C5">
        <w:rPr>
          <w:b/>
          <w:color w:val="000080"/>
        </w:rPr>
        <w:t>SÚIP</w:t>
      </w:r>
      <w:r>
        <w:tab/>
      </w:r>
      <w:r>
        <w:tab/>
        <w:t>Státní úřad inspekce práce</w:t>
      </w:r>
    </w:p>
    <w:p w:rsidR="00F76A83" w:rsidRDefault="00F76A83" w:rsidP="00E817F3">
      <w:pPr>
        <w:spacing w:after="0"/>
        <w:jc w:val="left"/>
        <w:rPr>
          <w:b/>
          <w:color w:val="000080"/>
        </w:rPr>
      </w:pPr>
      <w:r w:rsidRPr="00F76A83">
        <w:rPr>
          <w:b/>
          <w:color w:val="000080"/>
        </w:rPr>
        <w:t>TA ČR</w:t>
      </w:r>
      <w:r>
        <w:tab/>
      </w:r>
      <w:r>
        <w:tab/>
        <w:t>Technologická agentura České republiky</w:t>
      </w:r>
    </w:p>
    <w:p w:rsidR="00E817F3" w:rsidRDefault="00CE09C5" w:rsidP="00E817F3">
      <w:pPr>
        <w:spacing w:after="0"/>
        <w:jc w:val="left"/>
        <w:rPr>
          <w:b/>
          <w:color w:val="000080"/>
        </w:rPr>
      </w:pPr>
      <w:r>
        <w:rPr>
          <w:b/>
          <w:color w:val="000080"/>
        </w:rPr>
        <w:t>Ú</w:t>
      </w:r>
      <w:r w:rsidR="00E817F3">
        <w:rPr>
          <w:b/>
          <w:color w:val="000080"/>
        </w:rPr>
        <w:t>P</w:t>
      </w:r>
      <w:r w:rsidR="000E56EC">
        <w:rPr>
          <w:b/>
          <w:color w:val="000080"/>
        </w:rPr>
        <w:t xml:space="preserve"> ČR</w:t>
      </w:r>
      <w:r w:rsidR="00E817F3">
        <w:rPr>
          <w:b/>
          <w:color w:val="000080"/>
        </w:rPr>
        <w:tab/>
      </w:r>
      <w:r w:rsidR="00E817F3">
        <w:rPr>
          <w:b/>
          <w:color w:val="000080"/>
        </w:rPr>
        <w:tab/>
      </w:r>
      <w:r w:rsidR="000E56EC">
        <w:t>Úřad</w:t>
      </w:r>
      <w:r w:rsidR="00E817F3" w:rsidRPr="00A80509">
        <w:t xml:space="preserve"> práce</w:t>
      </w:r>
      <w:r w:rsidR="000E56EC">
        <w:t xml:space="preserve"> České republiky</w:t>
      </w:r>
    </w:p>
    <w:p w:rsidR="00E817F3" w:rsidRDefault="00E817F3" w:rsidP="00E817F3">
      <w:pPr>
        <w:spacing w:after="0"/>
        <w:jc w:val="left"/>
        <w:rPr>
          <w:b/>
          <w:color w:val="000080"/>
        </w:rPr>
      </w:pPr>
      <w:r>
        <w:rPr>
          <w:b/>
          <w:color w:val="000080"/>
        </w:rPr>
        <w:t>ÚV</w:t>
      </w:r>
      <w:r>
        <w:rPr>
          <w:b/>
          <w:color w:val="000080"/>
        </w:rPr>
        <w:tab/>
      </w:r>
      <w:r>
        <w:rPr>
          <w:b/>
          <w:color w:val="000080"/>
        </w:rPr>
        <w:tab/>
      </w:r>
      <w:r w:rsidRPr="00A1251E">
        <w:t>Úřad vlády</w:t>
      </w:r>
    </w:p>
    <w:p w:rsidR="00E817F3" w:rsidRDefault="00E817F3" w:rsidP="00E817F3">
      <w:pPr>
        <w:spacing w:after="0"/>
        <w:jc w:val="left"/>
      </w:pPr>
      <w:proofErr w:type="spellStart"/>
      <w:r>
        <w:rPr>
          <w:b/>
          <w:color w:val="000080"/>
        </w:rPr>
        <w:t>VaVaI</w:t>
      </w:r>
      <w:proofErr w:type="spellEnd"/>
      <w:r>
        <w:rPr>
          <w:b/>
          <w:color w:val="000080"/>
        </w:rPr>
        <w:tab/>
      </w:r>
      <w:r>
        <w:rPr>
          <w:b/>
          <w:color w:val="000080"/>
        </w:rPr>
        <w:tab/>
      </w:r>
      <w:r>
        <w:t>Výzkum, vývoj a inovace</w:t>
      </w:r>
    </w:p>
    <w:p w:rsidR="00E817F3" w:rsidRDefault="00E817F3" w:rsidP="00E817F3">
      <w:pPr>
        <w:spacing w:after="0"/>
        <w:jc w:val="left"/>
      </w:pPr>
      <w:r>
        <w:tab/>
      </w:r>
      <w:r>
        <w:tab/>
      </w:r>
    </w:p>
    <w:p w:rsidR="00CE09C5" w:rsidRPr="006E7F93" w:rsidRDefault="00CE09C5" w:rsidP="00E817F3">
      <w:pPr>
        <w:spacing w:after="0"/>
        <w:jc w:val="left"/>
        <w:sectPr w:rsidR="00CE09C5" w:rsidRPr="006E7F93" w:rsidSect="005D68EA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7245F6" w:rsidRPr="007245F6" w:rsidRDefault="006E7F93" w:rsidP="002B7A3D">
      <w:pPr>
        <w:pStyle w:val="Nadpis1"/>
      </w:pPr>
      <w:bookmarkStart w:id="4" w:name="_Toc389822870"/>
      <w:bookmarkStart w:id="5" w:name="_Toc390188786"/>
      <w:bookmarkStart w:id="6" w:name="_Toc435423984"/>
      <w:bookmarkStart w:id="7" w:name="_Toc389751451"/>
      <w:bookmarkStart w:id="8" w:name="_Toc389751453"/>
      <w:r>
        <w:lastRenderedPageBreak/>
        <w:t>Předmluva</w:t>
      </w:r>
      <w:bookmarkEnd w:id="4"/>
      <w:bookmarkEnd w:id="5"/>
      <w:bookmarkEnd w:id="6"/>
    </w:p>
    <w:p w:rsidR="007245F6" w:rsidRDefault="007245F6" w:rsidP="007245F6">
      <w:pPr>
        <w:pStyle w:val="MarginNote"/>
        <w:framePr w:wrap="around"/>
      </w:pPr>
      <w:r>
        <w:t>Plán vychází zejména z již z existujících závazků a prohlášení</w:t>
      </w:r>
    </w:p>
    <w:p w:rsidR="00D93986" w:rsidRDefault="00D93986" w:rsidP="00D93986">
      <w:r>
        <w:t xml:space="preserve">Akční plán na podporu hospodářského růstu a zaměstnanosti ČR vychází z koaličních závazků, programového prohlášení vlády, požadavků sociálních a hospodářských partnerů a reaguje též na volání veřejnosti po řešení tíživé hospodářské a sociální situace v ČR. </w:t>
      </w:r>
    </w:p>
    <w:p w:rsidR="00D93986" w:rsidRDefault="00D93986" w:rsidP="00D93986">
      <w:r>
        <w:t xml:space="preserve">Cílem tohoto dokumentu není vytvářet novou hospodářskou strategii Vlády ČR, ani nahrazovat předchozí strategie, ale reagovat na aktuální hospodářské potřeby země. </w:t>
      </w:r>
    </w:p>
    <w:p w:rsidR="00D93986" w:rsidRDefault="00D93986" w:rsidP="00D93986">
      <w:r>
        <w:t xml:space="preserve">Akční plán je koncipován na zbývající část funkčního období současné vlády a bude každoročně aktualizován tak, aby reagoval na aktuální ekonomickou a sociální situaci v České </w:t>
      </w:r>
      <w:r w:rsidR="00200F49">
        <w:t>r</w:t>
      </w:r>
      <w:r>
        <w:t xml:space="preserve">epublice. </w:t>
      </w:r>
    </w:p>
    <w:p w:rsidR="00D93986" w:rsidRDefault="00D93986" w:rsidP="00D93986">
      <w:pPr>
        <w:pStyle w:val="MarginNote"/>
        <w:framePr w:wrap="around"/>
      </w:pPr>
      <w:r>
        <w:t>Koncepce vychází ze  strategických dokumentů vlády a sociálních partnerů</w:t>
      </w:r>
    </w:p>
    <w:p w:rsidR="00D93986" w:rsidRDefault="00D93986" w:rsidP="00D93986">
      <w:r>
        <w:t>Akční plán vychází z významných strategických a koncepčních materiálů vlády a návrhů opatření pro podporu hospodářského růstu ČR, jež byly již ve spolupráci s podnikatelskými a odborovými organizacemi zpracovány. Vláda tak chce také mimo jiné posílit vliv sociálních partnerů na realizaci hospodářské politiky.</w:t>
      </w:r>
    </w:p>
    <w:p w:rsidR="00D93986" w:rsidRDefault="00D93986" w:rsidP="00D93986">
      <w:pPr>
        <w:pStyle w:val="MarginNote"/>
        <w:framePr w:wrap="around"/>
      </w:pPr>
      <w:r>
        <w:t>Závazný plán reformních opatření a důsledná kontrola jeho implementace</w:t>
      </w:r>
    </w:p>
    <w:p w:rsidR="00D93986" w:rsidRDefault="00D93986" w:rsidP="00D93986">
      <w:r>
        <w:t xml:space="preserve">Cílem plánu je zajistit, aby opatření, na kterých je dlouhodobá shoda, byla co nejrychleji uvedena do života. Opatření mají nelegislativní </w:t>
      </w:r>
      <w:r w:rsidR="00E038F9">
        <w:br/>
      </w:r>
      <w:r>
        <w:t xml:space="preserve">i legislativní charakter, přičemž v případě opatření legislativního charakteru je významné nejen přijetí příslušných zákonů a dalších předpisů, ale také vyhodnocení jejich fungování do jednoho až dvou roků po jejich vstoupení v účinnost. Opatření budou realizována jejich gestory (případně </w:t>
      </w:r>
      <w:proofErr w:type="spellStart"/>
      <w:r>
        <w:t>spolugestory</w:t>
      </w:r>
      <w:proofErr w:type="spellEnd"/>
      <w:r>
        <w:t xml:space="preserve">), a ti zajistí, aby realizovaná opatření byla včas </w:t>
      </w:r>
      <w:r w:rsidR="00E038F9">
        <w:br/>
      </w:r>
      <w:r>
        <w:t xml:space="preserve">a dostatečně kvalitně implementována. </w:t>
      </w:r>
    </w:p>
    <w:p w:rsidR="00D93986" w:rsidRDefault="00D93986" w:rsidP="00D93986">
      <w:pPr>
        <w:pStyle w:val="MarginNote"/>
        <w:framePr w:wrap="around"/>
      </w:pPr>
      <w:r>
        <w:t>Návaznosti na EU fondy</w:t>
      </w:r>
    </w:p>
    <w:p w:rsidR="00D93986" w:rsidRDefault="00D93986" w:rsidP="00D93986">
      <w:r>
        <w:t xml:space="preserve">Akční plán bude také realizován prostřednictvím zahrnutí některých opatření AP do financování z Evropských strukturálních a investičních fondů pro programové období 2014–2020 (ESI fondy). Kroky vlády, které navrhuje AP, a ty, které jsou </w:t>
      </w:r>
      <w:proofErr w:type="spellStart"/>
      <w:r>
        <w:t>financovatelné</w:t>
      </w:r>
      <w:proofErr w:type="spellEnd"/>
      <w:r>
        <w:t xml:space="preserve"> ze zdrojů EU, jsou v souladu s Dohodou o partnerství pro programové období 2014-2020 a uvedenými programy v návrzích opatření AP. </w:t>
      </w:r>
    </w:p>
    <w:p w:rsidR="00D93986" w:rsidRDefault="00D93986" w:rsidP="00D93986">
      <w:r>
        <w:t xml:space="preserve">Důležitou roli v rámci implementace vybraných opatření na národní úrovni mají i předběžné podmínky (tzv. ex ante </w:t>
      </w:r>
      <w:proofErr w:type="spellStart"/>
      <w:r>
        <w:t>kondicionality</w:t>
      </w:r>
      <w:proofErr w:type="spellEnd"/>
      <w:r>
        <w:t xml:space="preserve">). Naplnění předběžných podmínek je jedním ze základních předpokladů pro možnost čerpání z ESI fondů pro období 2014-2020, ať už od samého počátku programového období nebo v jeho průběhu. </w:t>
      </w:r>
    </w:p>
    <w:p w:rsidR="00D93986" w:rsidRDefault="00D93986" w:rsidP="00D93986">
      <w:r>
        <w:t xml:space="preserve">V souvislosti s tím jsou pro nesplněné předběžné podmínky (a jejich kritéria) vytvářeny Akční plány, které jsou na národní úrovni koordinovány MMR-NOK. Součástí Akčních plánů pro nesplněné předběžné podmínky je řada opatření obsahující úkoly, milníky, odpovědnosti a další  informace. Tyto Akční plány tak mají významnou roli při implementaci klíčových opatření v ČR, Akční plán tak bude vycházet i z těchto dokumentů (pro zajištění souladu i pro potřeby hodnocení opatření). </w:t>
      </w:r>
    </w:p>
    <w:p w:rsidR="00D93986" w:rsidRDefault="00D93986" w:rsidP="007245F6"/>
    <w:p w:rsidR="006E7F93" w:rsidRDefault="006E7F93" w:rsidP="002B7A3D">
      <w:pPr>
        <w:pStyle w:val="Nadpis1"/>
      </w:pPr>
      <w:bookmarkStart w:id="9" w:name="_Toc390188787"/>
      <w:bookmarkStart w:id="10" w:name="_Toc435423985"/>
      <w:bookmarkEnd w:id="7"/>
      <w:r>
        <w:t>Úvod: Kontext vývoje českého hospodářství</w:t>
      </w:r>
      <w:bookmarkEnd w:id="9"/>
      <w:bookmarkEnd w:id="10"/>
      <w:r>
        <w:t xml:space="preserve">  </w:t>
      </w:r>
    </w:p>
    <w:p w:rsidR="00B26265" w:rsidRDefault="00B26265" w:rsidP="00F52260">
      <w:pPr>
        <w:pStyle w:val="MarginNote"/>
        <w:framePr w:wrap="around" w:x="771" w:y="1284"/>
      </w:pPr>
      <w:r>
        <w:t>Růst české ekonomiky v roce 2015</w:t>
      </w:r>
    </w:p>
    <w:p w:rsidR="00612866" w:rsidRPr="00AC5552" w:rsidRDefault="00612866" w:rsidP="00AC5552">
      <w:r w:rsidRPr="00B363DA">
        <w:t xml:space="preserve">Česká ekonomika v první polovině roku </w:t>
      </w:r>
      <w:r w:rsidR="009E5C48">
        <w:t xml:space="preserve">2015 </w:t>
      </w:r>
      <w:r w:rsidRPr="00B363DA">
        <w:t xml:space="preserve">výrazně zrychlila </w:t>
      </w:r>
      <w:r w:rsidRPr="00AC5552">
        <w:t>tempo svého růstu a situace na trhu práce</w:t>
      </w:r>
      <w:r w:rsidR="003C3FFF">
        <w:t xml:space="preserve"> na tento vývoj reagovala odpovídajícím</w:t>
      </w:r>
      <w:r w:rsidR="003C3FFF" w:rsidRPr="003C3FFF">
        <w:t xml:space="preserve"> </w:t>
      </w:r>
      <w:r w:rsidR="003C3FFF" w:rsidRPr="00AC5552">
        <w:t>zlepšování</w:t>
      </w:r>
      <w:r w:rsidR="003C3FFF">
        <w:t>m</w:t>
      </w:r>
      <w:r w:rsidRPr="00AC5552">
        <w:t>.</w:t>
      </w:r>
    </w:p>
    <w:p w:rsidR="009E69DA" w:rsidRPr="006940C1" w:rsidRDefault="009E69DA" w:rsidP="009E69DA">
      <w:pPr>
        <w:shd w:val="clear" w:color="auto" w:fill="FFFFFF"/>
        <w:spacing w:after="0" w:line="240" w:lineRule="auto"/>
        <w:rPr>
          <w:color w:val="auto"/>
        </w:rPr>
      </w:pPr>
      <w:r w:rsidRPr="006940C1">
        <w:rPr>
          <w:color w:val="auto"/>
        </w:rPr>
        <w:t>Hrubý domácí produkt se dle údajů ČSÚ po meziročním růstu v prvním čtvrtletí 2015 o 4,2% a ve druhém čtvrtletí o 4,4% ve třetím čtvrtletí zvýšil o 4,5 % a ve srovnání s předchozím čtvrtletím tohoto roku se reálně zvýšil o 0,5 %. O pokračujícím vysokém růstu tuzemské ekonomiky vypovídá dlouhodobě pozitivní meziroční i </w:t>
      </w:r>
      <w:proofErr w:type="spellStart"/>
      <w:r w:rsidRPr="006940C1">
        <w:rPr>
          <w:color w:val="auto"/>
        </w:rPr>
        <w:t>mezičtvrtletní</w:t>
      </w:r>
      <w:proofErr w:type="spellEnd"/>
      <w:r w:rsidRPr="006940C1">
        <w:rPr>
          <w:color w:val="auto"/>
        </w:rPr>
        <w:t xml:space="preserve"> vývoj hrubé přidané hodnoty. Ve třetím čtvrtletí se hrubá přidaná hodnota (HPH) zvýšila meziročně o 4,3 % a </w:t>
      </w:r>
      <w:proofErr w:type="spellStart"/>
      <w:r w:rsidRPr="006940C1">
        <w:rPr>
          <w:color w:val="auto"/>
        </w:rPr>
        <w:t>mezičtvrtletně</w:t>
      </w:r>
      <w:proofErr w:type="spellEnd"/>
      <w:r w:rsidRPr="006940C1">
        <w:rPr>
          <w:color w:val="auto"/>
        </w:rPr>
        <w:t xml:space="preserve"> o 1,2 %. Rostla výkonnost téměř všech odvětví tuzemské ekonomiky. Tento vývoj významně podpořen i výdaji vládních institucí a zahraniční poptávkou.</w:t>
      </w:r>
    </w:p>
    <w:p w:rsidR="009E69DA" w:rsidRPr="006940C1" w:rsidRDefault="009E69DA" w:rsidP="009E69DA">
      <w:pPr>
        <w:shd w:val="clear" w:color="auto" w:fill="FFFFFF"/>
        <w:spacing w:after="0" w:line="240" w:lineRule="auto"/>
        <w:rPr>
          <w:rFonts w:eastAsia="Times New Roman" w:cs="Arial"/>
          <w:bCs/>
          <w:color w:val="auto"/>
          <w:lang w:eastAsia="cs-CZ"/>
        </w:rPr>
      </w:pPr>
    </w:p>
    <w:p w:rsidR="009E69DA" w:rsidRPr="006940C1" w:rsidRDefault="009E69DA" w:rsidP="009E69DA">
      <w:pPr>
        <w:shd w:val="clear" w:color="auto" w:fill="FFFFFF"/>
        <w:spacing w:after="0" w:line="240" w:lineRule="auto"/>
        <w:rPr>
          <w:color w:val="auto"/>
        </w:rPr>
      </w:pPr>
      <w:r w:rsidRPr="006940C1">
        <w:rPr>
          <w:color w:val="auto"/>
        </w:rPr>
        <w:t>Nejvíce přispěl k růstu hrubé přidané hodnoty zpracovatelský průmysl, který meziročně vzrostl o 7,9 % a v porovnání s předchozím čtvrtletím letošního roku o 1,0 %. Oproti předchozím čtvrtletím významněji k růstu přispělo také stavebnictví, které hlavně díky zvýšeným výdajům vládních institucí vzrostlo meziročně o 5,5 %.</w:t>
      </w:r>
    </w:p>
    <w:p w:rsidR="009E69DA" w:rsidRPr="006940C1" w:rsidRDefault="009E69DA" w:rsidP="009E69DA">
      <w:pPr>
        <w:shd w:val="clear" w:color="auto" w:fill="FFFFFF"/>
        <w:spacing w:after="0" w:line="240" w:lineRule="auto"/>
        <w:rPr>
          <w:color w:val="auto"/>
        </w:rPr>
      </w:pPr>
    </w:p>
    <w:p w:rsidR="009E69DA" w:rsidRPr="006940C1" w:rsidRDefault="009E69DA" w:rsidP="009E69DA">
      <w:pPr>
        <w:shd w:val="clear" w:color="auto" w:fill="FFFFFF"/>
        <w:spacing w:after="0" w:line="240" w:lineRule="auto"/>
        <w:rPr>
          <w:color w:val="auto"/>
        </w:rPr>
      </w:pPr>
      <w:r w:rsidRPr="006940C1">
        <w:rPr>
          <w:color w:val="auto"/>
        </w:rPr>
        <w:t xml:space="preserve">Mnohé z příčin robustního růstu české ekonomiky však lze dle makroekonomické predikce MF z října 2015 označit jako jednorázové faktory, jejichž působení je omezeno pouze na letošní rok. Jde zejména o čerpání prostředků z fondů EU z programového období 2007–2013, které je možné využít pouze do konce roku 2015. Dalším pozitivním faktorem je fiskální stimulace (která z části souvisí s čerpáním z fondů EU), jejíž rozsah odhadujeme okolo 0,8 % HDP. Rovněž tak pozitivní nabídkový šok v podobě propadu světových cen ropy považujeme za časově limitovaný. </w:t>
      </w:r>
    </w:p>
    <w:p w:rsidR="009E69DA" w:rsidRPr="006940C1" w:rsidRDefault="009E69DA" w:rsidP="009E69DA">
      <w:pPr>
        <w:shd w:val="clear" w:color="auto" w:fill="FFFFFF"/>
        <w:spacing w:after="0" w:line="240" w:lineRule="auto"/>
        <w:rPr>
          <w:color w:val="auto"/>
        </w:rPr>
      </w:pPr>
    </w:p>
    <w:p w:rsidR="009E69DA" w:rsidRPr="006940C1" w:rsidRDefault="009E69DA" w:rsidP="009E69DA">
      <w:pPr>
        <w:shd w:val="clear" w:color="auto" w:fill="FFFFFF"/>
        <w:spacing w:after="0" w:line="240" w:lineRule="auto"/>
        <w:rPr>
          <w:color w:val="auto"/>
        </w:rPr>
      </w:pPr>
      <w:r w:rsidRPr="006940C1">
        <w:rPr>
          <w:color w:val="auto"/>
        </w:rPr>
        <w:t>Dosavadní pozitivní výsledky a vyhlídky na zbývající část roku vedly MF k dalšímu zvýšení predikce reálného růstu HDP pro rok 2015 z 3,9 % na 4,5 %. V roce 2016 by měly uvedené jednorázové faktory odeznít. Ekonomický růst v roce 2016 by tak měl odrážet normální podmínky a možnosti české ekonomiky. Očekávaný dobrý stav ekonomiky přesto vede MF ke zvýšení predikce růstu reálného HDP pro rok 2016 z 2,5 % na 2,7 %.</w:t>
      </w:r>
    </w:p>
    <w:p w:rsidR="009E69DA" w:rsidRPr="006940C1" w:rsidRDefault="009E69DA" w:rsidP="009E69DA">
      <w:pPr>
        <w:shd w:val="clear" w:color="auto" w:fill="FFFFFF"/>
        <w:spacing w:after="0" w:line="240" w:lineRule="auto"/>
        <w:rPr>
          <w:color w:val="auto"/>
        </w:rPr>
      </w:pPr>
    </w:p>
    <w:p w:rsidR="002F1E38" w:rsidRDefault="009E69DA" w:rsidP="009E69DA">
      <w:r w:rsidRPr="006940C1">
        <w:rPr>
          <w:color w:val="auto"/>
        </w:rPr>
        <w:t xml:space="preserve">Velmi dobrou zprávou je opakovaně vysoký růst indexu důvěry spotřebitelů a s tím spojený růst výdajů na konečnou spotřebu domácností, které se opět ve třetím čtvrtletí 2015 zvýšily, a to meziročně o 3,0 % a </w:t>
      </w:r>
      <w:proofErr w:type="spellStart"/>
      <w:r w:rsidRPr="006940C1">
        <w:rPr>
          <w:color w:val="auto"/>
        </w:rPr>
        <w:t>mezičtvrtletně</w:t>
      </w:r>
      <w:proofErr w:type="spellEnd"/>
      <w:r w:rsidRPr="006940C1">
        <w:rPr>
          <w:color w:val="auto"/>
        </w:rPr>
        <w:t xml:space="preserve"> o 0,3 %</w:t>
      </w:r>
      <w:r w:rsidR="00B26265" w:rsidRPr="006940C1">
        <w:rPr>
          <w:color w:val="auto"/>
        </w:rPr>
        <w:t xml:space="preserve">, což lze </w:t>
      </w:r>
      <w:r w:rsidR="00B26265">
        <w:t xml:space="preserve">přičítat zvýšení kupní síly občanů České republiky a také opadnutí obav, které nás provázely dlouhými lety ekonomické recese. </w:t>
      </w:r>
      <w:r w:rsidR="00B65A4F">
        <w:t xml:space="preserve">S poklesem kupní síly obyvatel byla spojena i ztráta důvěry spotřebitelů v budoucí vývoj a pokles indikátoru spotřebitelské důvěry. Vládě se systematickou podporu příjmů domácností prostřednictvím zvyšování platů státních zaměstnanců, minimální mzdy a důchodů a obnovením investiční aktivity podařilo důvěru obyvatel v ekonomický vývoj opět zvednout. Důvěra spotřebitelů </w:t>
      </w:r>
      <w:r w:rsidR="00B65A4F">
        <w:lastRenderedPageBreak/>
        <w:t xml:space="preserve">je tak v současnosti výše než u podniků a je spolu s investicemi </w:t>
      </w:r>
      <w:r w:rsidR="002F1E38">
        <w:t>hlavním zdrojem růstu HD</w:t>
      </w:r>
      <w:r w:rsidR="00AC5552">
        <w:t>P.</w:t>
      </w:r>
    </w:p>
    <w:p w:rsidR="009E69DA" w:rsidRDefault="009E69DA" w:rsidP="009E69DA">
      <w:pPr>
        <w:pStyle w:val="MarginNote"/>
        <w:framePr w:wrap="around"/>
      </w:pPr>
      <w:r>
        <w:t>Navýšení investic</w:t>
      </w:r>
    </w:p>
    <w:p w:rsidR="001C7007" w:rsidRDefault="00B26265" w:rsidP="00AC5552">
      <w:r>
        <w:t xml:space="preserve">V uplynulém roce se také výrazně navýšil objem investic, a to jak investic vládního sektoru, tak i investic soukromých firem. </w:t>
      </w:r>
      <w:r w:rsidR="00200F49">
        <w:t>V</w:t>
      </w:r>
      <w:r>
        <w:t xml:space="preserve">ýrazným faktorem jsou </w:t>
      </w:r>
      <w:r w:rsidR="00200F49">
        <w:t xml:space="preserve">přitom </w:t>
      </w:r>
      <w:r>
        <w:t>úspěchy při čerpání prostředků E</w:t>
      </w:r>
      <w:r w:rsidR="00200F49">
        <w:t xml:space="preserve">U, </w:t>
      </w:r>
      <w:r>
        <w:t>bez nichž by nebylo možné podstatnou část významných investic realizovat.</w:t>
      </w:r>
      <w:r w:rsidR="00AC5552" w:rsidRPr="00AC5552">
        <w:t xml:space="preserve"> </w:t>
      </w:r>
    </w:p>
    <w:p w:rsidR="00AC5552" w:rsidRDefault="00AC5552" w:rsidP="00A80848">
      <w:pPr>
        <w:pStyle w:val="MarginNote"/>
        <w:framePr w:h="826" w:hRule="exact" w:wrap="around" w:x="906" w:y="299"/>
      </w:pPr>
      <w:r>
        <w:t>Pokles míry nezaměstnanosti v České republice</w:t>
      </w:r>
    </w:p>
    <w:p w:rsidR="00B26265" w:rsidRDefault="00AC5552" w:rsidP="0024397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300" w:lineRule="exact"/>
      </w:pPr>
      <w:r>
        <w:t>Pozitivně lze vnímat</w:t>
      </w:r>
      <w:r w:rsidR="00200F49">
        <w:t xml:space="preserve"> také</w:t>
      </w:r>
      <w:r>
        <w:t xml:space="preserve"> zprávy z oblasti zaměstnanosti. </w:t>
      </w:r>
      <w:r w:rsidRPr="00AC5552">
        <w:rPr>
          <w:bCs/>
        </w:rPr>
        <w:t>Celková zaměstnanost se ve 3. čtvrtletí 2015 meziročně zvýšila o 65,4 tis. osob a dosáhla 5 060,3 tis.</w:t>
      </w:r>
      <w:r w:rsidR="00A80848">
        <w:rPr>
          <w:bCs/>
        </w:rPr>
        <w:t xml:space="preserve"> osob.</w:t>
      </w:r>
      <w:r w:rsidRPr="00AC5552">
        <w:rPr>
          <w:bCs/>
        </w:rPr>
        <w:t xml:space="preserve"> Míra zaměstnanosti 15</w:t>
      </w:r>
      <w:r w:rsidR="00A80848" w:rsidRPr="00B363DA">
        <w:rPr>
          <w:bCs/>
        </w:rPr>
        <w:t>–</w:t>
      </w:r>
      <w:r w:rsidRPr="00AC5552">
        <w:rPr>
          <w:bCs/>
        </w:rPr>
        <w:t>64</w:t>
      </w:r>
      <w:r w:rsidR="00A80848">
        <w:rPr>
          <w:bCs/>
        </w:rPr>
        <w:t xml:space="preserve"> </w:t>
      </w:r>
      <w:proofErr w:type="spellStart"/>
      <w:r w:rsidRPr="00AC5552">
        <w:rPr>
          <w:bCs/>
        </w:rPr>
        <w:t>letých</w:t>
      </w:r>
      <w:proofErr w:type="spellEnd"/>
      <w:r w:rsidRPr="00AC5552">
        <w:rPr>
          <w:bCs/>
        </w:rPr>
        <w:t xml:space="preserve"> činila 70,5 %, tj. vůbec nejvíce od začátku výběrového šetření v roce 1993. </w:t>
      </w:r>
      <w:r w:rsidR="00A819A5">
        <w:rPr>
          <w:bCs/>
        </w:rPr>
        <w:t>P</w:t>
      </w:r>
      <w:r>
        <w:t>atříme mezi tři země s nejnižší nezaměstnaností v rámci EU.</w:t>
      </w:r>
      <w:r w:rsidR="00B363DA">
        <w:rPr>
          <w:rStyle w:val="Znakapoznpodarou"/>
        </w:rPr>
        <w:footnoteReference w:id="2"/>
      </w:r>
      <w:r>
        <w:t xml:space="preserve"> </w:t>
      </w:r>
      <w:r w:rsidR="00A819A5" w:rsidRPr="00A819A5">
        <w:rPr>
          <w:bCs/>
        </w:rPr>
        <w:t xml:space="preserve">Vysoká míra nezaměstnanosti </w:t>
      </w:r>
      <w:r w:rsidR="00200F49">
        <w:rPr>
          <w:bCs/>
        </w:rPr>
        <w:t xml:space="preserve">ovšem </w:t>
      </w:r>
      <w:r w:rsidR="00A819A5" w:rsidRPr="00A819A5">
        <w:rPr>
          <w:bCs/>
        </w:rPr>
        <w:t xml:space="preserve">přetrvává ve skupině osob se základním vzděláním (21,9 %), což má mimo jiné i negativní regionální dopady. </w:t>
      </w:r>
      <w:r w:rsidR="003B3877">
        <w:rPr>
          <w:bCs/>
        </w:rPr>
        <w:br/>
      </w:r>
      <w:r w:rsidR="00B26265">
        <w:t xml:space="preserve">Stejně jako v letech minulých i v roce 2015 </w:t>
      </w:r>
      <w:r w:rsidR="00200F49">
        <w:t xml:space="preserve">také </w:t>
      </w:r>
      <w:r w:rsidR="00B26265">
        <w:t xml:space="preserve">přetrvává poměrně výrazný vliv odlivu výnosů z České republiky, zejména ve formě dividend. V prvním pololetí roku 2015 takto Českou republiku opustilo podle zpráv Českého statistického úřadu 140,1 miliardy korun. To je sice o cca 15 miliard korun méně než v roce předchozím, ale je to výrazně více než v letech předešlých (roční průměr v posledních pěti letech byl </w:t>
      </w:r>
      <w:r w:rsidR="00E038F9">
        <w:br/>
      </w:r>
      <w:r w:rsidR="00B26265">
        <w:t xml:space="preserve">128,7 miliardy). </w:t>
      </w:r>
      <w:r w:rsidR="00B363DA">
        <w:t xml:space="preserve"> </w:t>
      </w:r>
    </w:p>
    <w:p w:rsidR="00B26265" w:rsidRDefault="00B26265" w:rsidP="00B26265">
      <w:pPr>
        <w:pStyle w:val="MarginNote"/>
        <w:framePr w:wrap="around"/>
      </w:pPr>
      <w:r>
        <w:t xml:space="preserve">Nutnost kontinuity </w:t>
      </w:r>
      <w:r w:rsidR="00BD0D5D">
        <w:t>trendu</w:t>
      </w:r>
    </w:p>
    <w:p w:rsidR="001C7007" w:rsidRDefault="00B363DA" w:rsidP="00B26265">
      <w:r w:rsidRPr="00B363DA">
        <w:t>Letošní vysoký růst HDP</w:t>
      </w:r>
      <w:r>
        <w:t xml:space="preserve"> a vývoj zaměstnanosti </w:t>
      </w:r>
      <w:r w:rsidR="001C7007">
        <w:t xml:space="preserve">při současné konsolidaci veřejných financí </w:t>
      </w:r>
      <w:r>
        <w:t>jsou</w:t>
      </w:r>
      <w:r w:rsidRPr="00B363DA">
        <w:t xml:space="preserve"> naprosto zřetelným a jasným důsledkem hospodářské politiky této vlády, politiky podpory hospodářského růstu </w:t>
      </w:r>
      <w:r w:rsidR="003B3877">
        <w:br/>
      </w:r>
      <w:r w:rsidRPr="00B363DA">
        <w:t xml:space="preserve">a </w:t>
      </w:r>
      <w:r>
        <w:t>vláda chce</w:t>
      </w:r>
      <w:r w:rsidRPr="00B363DA">
        <w:t xml:space="preserve"> solidní tempo růstu udržet i v následujících letech</w:t>
      </w:r>
      <w:r w:rsidR="007C5C09">
        <w:t xml:space="preserve"> po odeznění jednorázových výše uvedených stimulů</w:t>
      </w:r>
      <w:r w:rsidRPr="00B363DA">
        <w:t>. Rozpočet na rok 2016 je stejně jako předchozí rozpočet zaměřen na podporu ekonomického růstu.</w:t>
      </w:r>
      <w:r>
        <w:t xml:space="preserve"> </w:t>
      </w:r>
      <w:r w:rsidR="00B26265">
        <w:t xml:space="preserve">Jedním z opatření, které vstoupí v účinnost ještě v letošním roce, je navýšení platů státních zaměstnanců, což povede k navýšení kupní síly nezanedbatelného počtu českých domácností, a lze tím pádem očekávat pozitivní makroekonomické efekty. </w:t>
      </w:r>
      <w:r w:rsidR="001C7007">
        <w:t xml:space="preserve">V roce 2016 dojde k dalšímu růstu platů, zvýšení minimální mzdy a důchodů. </w:t>
      </w:r>
      <w:r w:rsidR="007C5C09">
        <w:t xml:space="preserve">Vedle uvedených rozpočtových stimulů růstu bude vláda pokračovat v realizaci opatření Akčního plánu na podporu hospodářského růstu </w:t>
      </w:r>
      <w:r w:rsidR="00DD0183">
        <w:br/>
      </w:r>
      <w:r w:rsidR="007C5C09">
        <w:t>a zaměstnanosti, aby tak přispěla udržení dynamického růstu ekonomiky i v dalších letech.</w:t>
      </w:r>
    </w:p>
    <w:p w:rsidR="00B26265" w:rsidRDefault="00B26265" w:rsidP="00F52260">
      <w:r>
        <w:t xml:space="preserve">Jednotlivé resorty budou také pokračovat v práci tak, aby došlo ke stabilizaci a zlepšení situace v oblastech, které mají v gesci. </w:t>
      </w:r>
    </w:p>
    <w:p w:rsidR="00A0117E" w:rsidRPr="00B26265" w:rsidRDefault="00A0117E" w:rsidP="00F52260"/>
    <w:p w:rsidR="006E7F93" w:rsidRDefault="006E7F93" w:rsidP="002B7A3D">
      <w:pPr>
        <w:pStyle w:val="Nadpis1"/>
      </w:pPr>
      <w:bookmarkStart w:id="11" w:name="_Toc390186050"/>
      <w:bookmarkStart w:id="12" w:name="_Toc435423986"/>
      <w:r w:rsidRPr="006E7F93">
        <w:lastRenderedPageBreak/>
        <w:t>Implementace</w:t>
      </w:r>
      <w:r>
        <w:t xml:space="preserve"> opatření</w:t>
      </w:r>
      <w:bookmarkEnd w:id="11"/>
      <w:r>
        <w:t xml:space="preserve"> Akčního plánu</w:t>
      </w:r>
      <w:bookmarkEnd w:id="12"/>
    </w:p>
    <w:p w:rsidR="00451374" w:rsidRDefault="00451374" w:rsidP="00451374">
      <w:r>
        <w:t>Akční plán je provázán se strategickými materiály vlády v oblasti hospodářské politiky, růstu a konkurenceschopnosti. Z hlediska synergií je Akční plán provázán také s Národním programem reforem ČR 201</w:t>
      </w:r>
      <w:r w:rsidR="00B26265">
        <w:t>5</w:t>
      </w:r>
      <w:r>
        <w:t>, ve kterém vláda stanovila své klíčové hospodářské priority pro nejbližší období. S ohledem na důraz kladený na přínosy politiky soudržnosti je materiál rovněž provázaný s Dohodou o partnerství, která stanovuje priority pro efektivní využívání Evropských strukturálních a investičních fondů (ESI</w:t>
      </w:r>
      <w:r w:rsidR="004C61DB">
        <w:t xml:space="preserve"> fondy</w:t>
      </w:r>
      <w:r>
        <w:t xml:space="preserve">) v programovém období 2014 až 2020. Akční plán je tak plně komplementární s potřebami národní ekonomiky a zároveň bere v úvahu hospodářské směřování Evropské unie. </w:t>
      </w:r>
    </w:p>
    <w:p w:rsidR="00DD0183" w:rsidRDefault="00451374" w:rsidP="002B7A3D">
      <w:r>
        <w:t>Opatření Akčního plánu budou konkretizovat úkoly Plánu legislativních prací vlády a Plánu nelegislativních úkolů vlády</w:t>
      </w:r>
      <w:r w:rsidR="00410F84">
        <w:t xml:space="preserve"> včetně indikátorů plnění. Opatření jsou také logicky sdružena dle klíčových priorit.</w:t>
      </w:r>
    </w:p>
    <w:p w:rsidR="00451374" w:rsidRDefault="00451374" w:rsidP="00451374">
      <w:r>
        <w:t>Implementaci Akčního plánu bude v pravidelných čtvrtletních intervalech projednávat rozšířená porada ekonomických ministrů v následujícím složení:</w:t>
      </w:r>
    </w:p>
    <w:p w:rsidR="00451374" w:rsidRDefault="00167DD3" w:rsidP="00451374">
      <w:pPr>
        <w:pStyle w:val="Odstavecseseznamem"/>
        <w:numPr>
          <w:ilvl w:val="0"/>
          <w:numId w:val="26"/>
        </w:numPr>
      </w:pPr>
      <w:r>
        <w:t>p</w:t>
      </w:r>
      <w:r w:rsidR="00451374">
        <w:t>ředseda</w:t>
      </w:r>
      <w:r>
        <w:t>/předsedkyně</w:t>
      </w:r>
      <w:r w:rsidR="00451374">
        <w:t xml:space="preserve"> vlády</w:t>
      </w:r>
    </w:p>
    <w:p w:rsidR="00451374" w:rsidRDefault="00167DD3" w:rsidP="00451374">
      <w:pPr>
        <w:pStyle w:val="Odstavecseseznamem"/>
        <w:numPr>
          <w:ilvl w:val="0"/>
          <w:numId w:val="26"/>
        </w:numPr>
      </w:pPr>
      <w:r>
        <w:t>m</w:t>
      </w:r>
      <w:r w:rsidR="00451374">
        <w:t>inistr</w:t>
      </w:r>
      <w:r>
        <w:t>/ministryně</w:t>
      </w:r>
      <w:r w:rsidR="00451374">
        <w:t xml:space="preserve"> financí</w:t>
      </w:r>
    </w:p>
    <w:p w:rsidR="00451374" w:rsidRDefault="00167DD3" w:rsidP="00451374">
      <w:pPr>
        <w:pStyle w:val="Odstavecseseznamem"/>
        <w:numPr>
          <w:ilvl w:val="0"/>
          <w:numId w:val="26"/>
        </w:numPr>
      </w:pPr>
      <w:r>
        <w:t>ministr/ministryně</w:t>
      </w:r>
      <w:r w:rsidR="00451374">
        <w:t xml:space="preserve"> průmyslu a obchodu</w:t>
      </w:r>
    </w:p>
    <w:p w:rsidR="00451374" w:rsidRDefault="00167DD3" w:rsidP="00451374">
      <w:pPr>
        <w:pStyle w:val="Odstavecseseznamem"/>
        <w:numPr>
          <w:ilvl w:val="0"/>
          <w:numId w:val="26"/>
        </w:numPr>
      </w:pPr>
      <w:r>
        <w:t>ministr/ministryně</w:t>
      </w:r>
      <w:r w:rsidR="00451374">
        <w:t xml:space="preserve"> pro místní rozvoj</w:t>
      </w:r>
    </w:p>
    <w:p w:rsidR="00451374" w:rsidRDefault="00167DD3" w:rsidP="00451374">
      <w:pPr>
        <w:pStyle w:val="Odstavecseseznamem"/>
        <w:numPr>
          <w:ilvl w:val="0"/>
          <w:numId w:val="26"/>
        </w:numPr>
      </w:pPr>
      <w:r>
        <w:t>ministr/ministryně</w:t>
      </w:r>
      <w:r w:rsidR="00451374">
        <w:t xml:space="preserve"> dopravy</w:t>
      </w:r>
    </w:p>
    <w:p w:rsidR="00DF1ECE" w:rsidRDefault="00167DD3" w:rsidP="00451374">
      <w:pPr>
        <w:pStyle w:val="Odstavecseseznamem"/>
        <w:numPr>
          <w:ilvl w:val="0"/>
          <w:numId w:val="26"/>
        </w:numPr>
      </w:pPr>
      <w:r>
        <w:t>ministr/ministryně</w:t>
      </w:r>
      <w:r w:rsidR="00DF1ECE">
        <w:t xml:space="preserve"> zemědělství</w:t>
      </w:r>
    </w:p>
    <w:p w:rsidR="00451374" w:rsidRDefault="00451374" w:rsidP="00451374">
      <w:pPr>
        <w:pStyle w:val="Odstavecseseznamem"/>
        <w:numPr>
          <w:ilvl w:val="0"/>
          <w:numId w:val="26"/>
        </w:numPr>
      </w:pPr>
      <w:r>
        <w:t>místopředseda</w:t>
      </w:r>
      <w:r w:rsidR="00167DD3">
        <w:t>/místopředsedkyně</w:t>
      </w:r>
      <w:r>
        <w:t xml:space="preserve"> vlády pro vědu, výzkum </w:t>
      </w:r>
      <w:r w:rsidR="00FD6E1F">
        <w:br/>
      </w:r>
      <w:r>
        <w:t>a inovace</w:t>
      </w:r>
    </w:p>
    <w:p w:rsidR="00451374" w:rsidRDefault="00167DD3" w:rsidP="00451374">
      <w:pPr>
        <w:pStyle w:val="Odstavecseseznamem"/>
        <w:numPr>
          <w:ilvl w:val="0"/>
          <w:numId w:val="26"/>
        </w:numPr>
      </w:pPr>
      <w:r>
        <w:t xml:space="preserve">ministr/ministryně </w:t>
      </w:r>
      <w:r w:rsidR="00451374">
        <w:t>práce a sociálních věcí</w:t>
      </w:r>
    </w:p>
    <w:p w:rsidR="00BD32D0" w:rsidRDefault="00BD32D0" w:rsidP="00451374">
      <w:pPr>
        <w:pStyle w:val="Odstavecseseznamem"/>
        <w:numPr>
          <w:ilvl w:val="0"/>
          <w:numId w:val="26"/>
        </w:numPr>
      </w:pPr>
      <w:r>
        <w:t>ministr/ministryně školství mládeže a tělovýchovy</w:t>
      </w:r>
    </w:p>
    <w:p w:rsidR="00451374" w:rsidRDefault="00451374" w:rsidP="00451374">
      <w:pPr>
        <w:pStyle w:val="Odstavecseseznamem"/>
        <w:numPr>
          <w:ilvl w:val="0"/>
          <w:numId w:val="26"/>
        </w:numPr>
      </w:pPr>
      <w:r>
        <w:t>zástupci sociálních partnerů</w:t>
      </w:r>
      <w:r w:rsidR="00397954">
        <w:t xml:space="preserve"> – členů RHSD </w:t>
      </w:r>
      <w:r w:rsidR="00FD6E1F">
        <w:br/>
      </w:r>
      <w:r w:rsidR="00397954">
        <w:t>(</w:t>
      </w:r>
      <w:r w:rsidR="008B6C67">
        <w:t>2 zástupci zaměstnavatelů, 2 zástupci odborů</w:t>
      </w:r>
      <w:r w:rsidR="00397954">
        <w:t>)</w:t>
      </w:r>
    </w:p>
    <w:p w:rsidR="00451374" w:rsidRDefault="00451374" w:rsidP="00451374">
      <w:r>
        <w:t>Zprávy o plnění budou vycházet z</w:t>
      </w:r>
      <w:r w:rsidR="00C9282B">
        <w:t xml:space="preserve"> monitorovacích</w:t>
      </w:r>
      <w:r>
        <w:t xml:space="preserve"> zpráv jednotlivých odpovědných rezortů, rezorty si k nim dle potřeby zřídí pracovní skupiny. Přípravu podkladů pro jednání porady ministrů bude na základě zpráv jednotlivých rezortů připravovat sekretariát PEM. Sekretariát a potřebné administrativní zázemí bude zajišťovat Úřad </w:t>
      </w:r>
      <w:r w:rsidR="00DE2DFB">
        <w:t>vlády</w:t>
      </w:r>
      <w:r>
        <w:t xml:space="preserve">. </w:t>
      </w:r>
    </w:p>
    <w:p w:rsidR="00BD2B69" w:rsidRDefault="001D17CD" w:rsidP="00451374">
      <w:r>
        <w:t>Hlavní</w:t>
      </w:r>
      <w:r w:rsidR="007D592F">
        <w:t>m</w:t>
      </w:r>
      <w:r>
        <w:t xml:space="preserve"> cílem zpráv o plnění</w:t>
      </w:r>
      <w:r w:rsidR="00451374">
        <w:t xml:space="preserve"> Akčního plánu bude</w:t>
      </w:r>
      <w:r w:rsidR="00707F5E">
        <w:t xml:space="preserve"> kontrola</w:t>
      </w:r>
      <w:r w:rsidR="00451374">
        <w:t xml:space="preserve"> naplňování harmonogramu a stanovených kvalitativních a kvantitativních indikátorů a případné návrhy a doporučení vládě ve věci dalšího postupu.</w:t>
      </w:r>
      <w:r w:rsidR="00BD2B69">
        <w:t xml:space="preserve"> </w:t>
      </w:r>
    </w:p>
    <w:p w:rsidR="00A87EE2" w:rsidRDefault="00451374" w:rsidP="00451374">
      <w:r>
        <w:t>Po projednání rozšířenou poradou ekonomických ministrů a sociálních partnerů budou z</w:t>
      </w:r>
      <w:r w:rsidRPr="00883D11">
        <w:t>právy o plnění Akčního plán</w:t>
      </w:r>
      <w:r w:rsidR="00565FD2">
        <w:t>u předkládány k</w:t>
      </w:r>
      <w:r w:rsidRPr="00883D11">
        <w:t xml:space="preserve"> </w:t>
      </w:r>
      <w:r w:rsidR="00565FD2">
        <w:t>projednání</w:t>
      </w:r>
      <w:r w:rsidRPr="00883D11">
        <w:t xml:space="preserve"> vládě. Na základě těchto zpráv, aktuální situace a konzultačního procesu se sociálními partnery bude Akční plán pravidelně</w:t>
      </w:r>
      <w:r w:rsidR="001460B8">
        <w:t xml:space="preserve"> jednou ročně</w:t>
      </w:r>
      <w:r w:rsidRPr="00883D11">
        <w:t xml:space="preserve"> aktualizován. </w:t>
      </w:r>
    </w:p>
    <w:p w:rsidR="00764775" w:rsidRDefault="00764775" w:rsidP="00451374"/>
    <w:p w:rsidR="003A2521" w:rsidRDefault="00707F5E" w:rsidP="002B7A3D">
      <w:pPr>
        <w:pStyle w:val="Nadpis1"/>
      </w:pPr>
      <w:bookmarkStart w:id="13" w:name="_Toc435423987"/>
      <w:r>
        <w:lastRenderedPageBreak/>
        <w:t>Hlavní</w:t>
      </w:r>
      <w:r w:rsidR="003A2521">
        <w:t xml:space="preserve"> priorit</w:t>
      </w:r>
      <w:r>
        <w:t>y</w:t>
      </w:r>
      <w:r w:rsidR="003A2521">
        <w:t xml:space="preserve"> </w:t>
      </w:r>
      <w:r w:rsidR="003E2403">
        <w:t>v</w:t>
      </w:r>
      <w:r w:rsidR="00FA3BFA">
        <w:t>lády</w:t>
      </w:r>
      <w:r w:rsidR="00143D7B">
        <w:t xml:space="preserve"> ČR</w:t>
      </w:r>
      <w:bookmarkEnd w:id="13"/>
    </w:p>
    <w:p w:rsidR="003A2521" w:rsidRDefault="003A2521" w:rsidP="00C85589">
      <w:pPr>
        <w:pStyle w:val="MarginNote"/>
        <w:framePr w:wrap="around"/>
      </w:pPr>
      <w:r>
        <w:t xml:space="preserve">Efektivní čerpání </w:t>
      </w:r>
      <w:r>
        <w:br/>
        <w:t>ESI fondů</w:t>
      </w:r>
    </w:p>
    <w:p w:rsidR="003A2521" w:rsidRPr="00214D13" w:rsidRDefault="003A2521" w:rsidP="003A2521">
      <w:r>
        <w:t>Akční kroky vlády budou financovány především ze strukturálních fondů, tak aby byly tyto prostředky efektivně využity. Až v druhém kro</w:t>
      </w:r>
      <w:r w:rsidR="006B73AC">
        <w:t>ku</w:t>
      </w:r>
      <w:r>
        <w:t>, kde financování opatření z</w:t>
      </w:r>
      <w:r w:rsidR="004C61DB">
        <w:t> </w:t>
      </w:r>
      <w:r>
        <w:t>ESI</w:t>
      </w:r>
      <w:r w:rsidR="004C61DB">
        <w:t xml:space="preserve"> fondů</w:t>
      </w:r>
      <w:r>
        <w:t xml:space="preserve"> </w:t>
      </w:r>
      <w:r w:rsidR="00143D7B">
        <w:t>nebude</w:t>
      </w:r>
      <w:r>
        <w:t xml:space="preserve"> možné, bude finanční podpora hrazena z veřejných rozpočtů. Vláda se zaměří na financování z Evropských strukturálních a investičních fondů pro programové období 2014–2020</w:t>
      </w:r>
      <w:r w:rsidR="001460B8">
        <w:t xml:space="preserve"> </w:t>
      </w:r>
      <w:r>
        <w:t>maximálně</w:t>
      </w:r>
      <w:r w:rsidR="00707F5E">
        <w:t xml:space="preserve"> budou</w:t>
      </w:r>
      <w:r>
        <w:t xml:space="preserve"> využity</w:t>
      </w:r>
      <w:r w:rsidR="00707F5E">
        <w:t xml:space="preserve"> i</w:t>
      </w:r>
      <w:r>
        <w:t xml:space="preserve"> prostředky z končícího programové</w:t>
      </w:r>
      <w:r w:rsidR="00261A80">
        <w:t>ho</w:t>
      </w:r>
      <w:r>
        <w:t xml:space="preserve"> období 2007–2013.</w:t>
      </w:r>
    </w:p>
    <w:p w:rsidR="003A2521" w:rsidRDefault="003A2521" w:rsidP="00C85589">
      <w:pPr>
        <w:pStyle w:val="MarginNote"/>
        <w:framePr w:wrap="around"/>
      </w:pPr>
      <w:r>
        <w:t>Investice do projektů s </w:t>
      </w:r>
      <w:r w:rsidR="00604D51">
        <w:t xml:space="preserve">vyšším </w:t>
      </w:r>
      <w:r>
        <w:t>multiplikačním efektem</w:t>
      </w:r>
    </w:p>
    <w:p w:rsidR="0048657B" w:rsidRPr="00FD701C" w:rsidRDefault="0048657B" w:rsidP="0048657B">
      <w:pPr>
        <w:rPr>
          <w:rFonts w:ascii="Times New Roman" w:hAnsi="Times New Roman"/>
        </w:rPr>
      </w:pPr>
      <w:r w:rsidRPr="0048657B">
        <w:t xml:space="preserve">Vláda </w:t>
      </w:r>
      <w:r w:rsidR="0067557A">
        <w:t>zajistí realizaci</w:t>
      </w:r>
      <w:r w:rsidR="0067557A" w:rsidRPr="0048657B">
        <w:t xml:space="preserve"> </w:t>
      </w:r>
      <w:r w:rsidRPr="0048657B">
        <w:t>investic do výstavby</w:t>
      </w:r>
      <w:r w:rsidR="00DA2572">
        <w:t>,</w:t>
      </w:r>
      <w:r w:rsidRPr="0048657B">
        <w:t xml:space="preserve"> například výstavba páteřní infrastruktury, opravy a údržba bytového fondu, veřejných budov, a též projektů pro sladění rodinného a pracovního života umožňujících vyšší participaci na trhu práce, jako j</w:t>
      </w:r>
      <w:r w:rsidR="00764775">
        <w:t>e dostupné nájemní bydlení,</w:t>
      </w:r>
      <w:r w:rsidR="00DD0183">
        <w:t xml:space="preserve"> byty pro seniory,</w:t>
      </w:r>
      <w:r w:rsidRPr="0048657B">
        <w:t xml:space="preserve"> startovací byty či školky</w:t>
      </w:r>
      <w:r w:rsidRPr="00FD701C">
        <w:rPr>
          <w:rFonts w:ascii="Times New Roman" w:hAnsi="Times New Roman"/>
        </w:rPr>
        <w:t>.</w:t>
      </w:r>
    </w:p>
    <w:p w:rsidR="00D7530B" w:rsidRDefault="00D7530B" w:rsidP="00C85589">
      <w:pPr>
        <w:pStyle w:val="MarginNote"/>
        <w:framePr w:wrap="around"/>
        <w:rPr>
          <w:noProof/>
        </w:rPr>
      </w:pPr>
      <w:r>
        <w:rPr>
          <w:noProof/>
        </w:rPr>
        <w:t xml:space="preserve">Zefektivnění systému </w:t>
      </w:r>
      <w:r w:rsidR="00FA3BFA">
        <w:rPr>
          <w:noProof/>
        </w:rPr>
        <w:t>stavebního řízení</w:t>
      </w:r>
    </w:p>
    <w:p w:rsidR="00DA2572" w:rsidRDefault="00D7530B" w:rsidP="00665774">
      <w:r>
        <w:rPr>
          <w:noProof/>
        </w:rPr>
        <w:t xml:space="preserve">Vláda si </w:t>
      </w:r>
      <w:r w:rsidR="0067557A">
        <w:rPr>
          <w:noProof/>
        </w:rPr>
        <w:t xml:space="preserve">nadále </w:t>
      </w:r>
      <w:r>
        <w:rPr>
          <w:noProof/>
        </w:rPr>
        <w:t xml:space="preserve">klade za cíl </w:t>
      </w:r>
      <w:r w:rsidRPr="004607D3">
        <w:t>vytvoření administrativně a časově co nejméně náročn</w:t>
      </w:r>
      <w:r w:rsidR="00AF1CCB">
        <w:t>ých</w:t>
      </w:r>
      <w:r w:rsidRPr="004607D3">
        <w:t xml:space="preserve"> podmín</w:t>
      </w:r>
      <w:r w:rsidR="00AF1CCB">
        <w:t>ek</w:t>
      </w:r>
      <w:r w:rsidRPr="004607D3">
        <w:t xml:space="preserve"> pro realizaci výstavby</w:t>
      </w:r>
      <w:r>
        <w:t xml:space="preserve">. </w:t>
      </w:r>
    </w:p>
    <w:p w:rsidR="00D7530B" w:rsidRDefault="0093354F" w:rsidP="00665774">
      <w:r w:rsidRPr="00665774">
        <w:t>Navrhuje se zavedení tzv. koordinovaného řízení, s vydáním jednoho koordinovaného povolení, a to v kratších lhůtách</w:t>
      </w:r>
      <w:r w:rsidR="0067557A">
        <w:t>,</w:t>
      </w:r>
      <w:r w:rsidRPr="00665774">
        <w:t xml:space="preserve"> než umožňuje stávající právní úprava ve svém sou</w:t>
      </w:r>
      <w:r w:rsidR="00665774" w:rsidRPr="00665774">
        <w:t>hrnu územního a stavebního říze</w:t>
      </w:r>
      <w:r w:rsidRPr="00665774">
        <w:t>ní.</w:t>
      </w:r>
      <w:r w:rsidR="0067557A">
        <w:t xml:space="preserve"> Důležité bude nejen přijetí zákona vládou a následně Parlamentem ČR, ale také dobrá příprava na jeho uvedení v účinnost.</w:t>
      </w:r>
    </w:p>
    <w:p w:rsidR="00315D59" w:rsidRDefault="009A3591" w:rsidP="00A66D4B">
      <w:pPr>
        <w:pStyle w:val="MarginNote"/>
        <w:framePr w:wrap="around"/>
      </w:pPr>
      <w:r>
        <w:t>Boj pro</w:t>
      </w:r>
      <w:r w:rsidR="00315D59">
        <w:t>ti suchu</w:t>
      </w:r>
    </w:p>
    <w:p w:rsidR="00315D59" w:rsidRDefault="00315D59" w:rsidP="00665774">
      <w:r>
        <w:t>Vláda</w:t>
      </w:r>
      <w:r w:rsidR="0067557A">
        <w:t xml:space="preserve"> v roce 2015 projednala dva koncepční materiály týkající se problematiky sucha a klimatických změn – a sice „</w:t>
      </w:r>
      <w:r>
        <w:t>Přípravy realizace opatření pro zmírnění negativních dopadů sucha a nedostatku vody</w:t>
      </w:r>
      <w:r w:rsidR="0067557A">
        <w:t xml:space="preserve">“ </w:t>
      </w:r>
      <w:r w:rsidR="003B3877">
        <w:br/>
      </w:r>
      <w:r w:rsidR="0067557A">
        <w:t>a „</w:t>
      </w:r>
      <w:r w:rsidR="0067557A" w:rsidRPr="0067557A">
        <w:t>Strategie přizpůsobení se změně klimatu v podmínkách ČR</w:t>
      </w:r>
      <w:r w:rsidR="0067557A">
        <w:t>“</w:t>
      </w:r>
      <w:r>
        <w:t xml:space="preserve">. </w:t>
      </w:r>
      <w:r w:rsidR="0067557A">
        <w:t>O</w:t>
      </w:r>
      <w:r w:rsidRPr="00315D59">
        <w:t>patření</w:t>
      </w:r>
      <w:r w:rsidR="0067557A">
        <w:t xml:space="preserve">, která může Česká republika realizovat ve vztahu k boji proti suchu, mohou mít leckdy investiční charakter. Klíčové proto bude konkretizovat tato opatření a připravit během roku 2016 podrobný návrh dalšího postupu. </w:t>
      </w:r>
    </w:p>
    <w:p w:rsidR="004B0052" w:rsidRPr="00E00329" w:rsidRDefault="004B0052" w:rsidP="004B0052">
      <w:pPr>
        <w:pStyle w:val="MarginNote"/>
        <w:framePr w:wrap="around"/>
      </w:pPr>
      <w:r w:rsidRPr="00E00329">
        <w:t>Podpora vědy, výzkumu, vývoje a inovací:</w:t>
      </w:r>
    </w:p>
    <w:p w:rsidR="004B0052" w:rsidRPr="00315D59" w:rsidRDefault="0067557A" w:rsidP="00665774">
      <w:r>
        <w:t>V oblasti mobilizace inovačního potenciálu ČR a podpory vědy, v</w:t>
      </w:r>
      <w:r w:rsidR="00910DD2">
        <w:t xml:space="preserve">ýzkumu a inovací bude klíčové dokončit institucionální změny, které ztělesňuje věcný záměr zákona o podpoře </w:t>
      </w:r>
      <w:proofErr w:type="spellStart"/>
      <w:r w:rsidR="00910DD2">
        <w:t>VaVaI</w:t>
      </w:r>
      <w:proofErr w:type="spellEnd"/>
      <w:r w:rsidR="00910DD2">
        <w:t xml:space="preserve">. </w:t>
      </w:r>
      <w:r w:rsidR="004B0052">
        <w:t xml:space="preserve">Nově </w:t>
      </w:r>
      <w:r>
        <w:t xml:space="preserve">koncipovaný </w:t>
      </w:r>
      <w:r w:rsidR="004B0052">
        <w:t>centrální orgán státní správy pro oblast vědy, výzkumu, vývoje a inovací</w:t>
      </w:r>
      <w:r>
        <w:t xml:space="preserve"> </w:t>
      </w:r>
      <w:r w:rsidR="004B0052">
        <w:t xml:space="preserve">bude </w:t>
      </w:r>
      <w:r w:rsidR="00910DD2">
        <w:t xml:space="preserve">účinněji </w:t>
      </w:r>
      <w:r w:rsidR="004B0052">
        <w:t>koordinovat oblast vědy, výzkumu a inovací směrem k hledání synergií</w:t>
      </w:r>
      <w:r>
        <w:t xml:space="preserve"> </w:t>
      </w:r>
      <w:r w:rsidR="004B0052">
        <w:t xml:space="preserve">v této oblasti a efektivní využití národních i evropských prostředků k rychlému přenosu nových poznatků do praxe a zvýšení inovační schopnosti země.  Fungování výzkumných agentur GA ČR </w:t>
      </w:r>
      <w:r w:rsidR="003B3877">
        <w:br/>
      </w:r>
      <w:r w:rsidR="004B0052">
        <w:t xml:space="preserve">a TA ČR bude </w:t>
      </w:r>
      <w:r w:rsidR="00910DD2">
        <w:t>lépe</w:t>
      </w:r>
      <w:r w:rsidR="004B0052">
        <w:t xml:space="preserve"> podporovat transfer znalostí a jejich využití v praxi.</w:t>
      </w:r>
    </w:p>
    <w:p w:rsidR="00134D40" w:rsidRDefault="00820CEA" w:rsidP="00C85589">
      <w:pPr>
        <w:pStyle w:val="MarginNote"/>
        <w:framePr w:wrap="around"/>
      </w:pPr>
      <w:r>
        <w:t>Digitální ekonomika a inovace</w:t>
      </w:r>
    </w:p>
    <w:p w:rsidR="000C1974" w:rsidRPr="00820CEA" w:rsidRDefault="00820CEA" w:rsidP="00665774">
      <w:r w:rsidRPr="00820CEA">
        <w:t>Velkou výzvou bude pro Českou republiku a český průmysl proces digitalizace</w:t>
      </w:r>
      <w:r w:rsidR="00910DD2">
        <w:t xml:space="preserve"> a s ní spojený technologický pokrok. </w:t>
      </w:r>
      <w:r w:rsidRPr="00820CEA">
        <w:t xml:space="preserve">Vláda </w:t>
      </w:r>
      <w:r w:rsidR="00093EFD">
        <w:t>bud</w:t>
      </w:r>
      <w:r w:rsidR="00315D59">
        <w:t>e</w:t>
      </w:r>
      <w:r w:rsidRPr="00820CEA">
        <w:t xml:space="preserve"> do budoucna pracovat na podpoře a rozvoji digitalizace</w:t>
      </w:r>
      <w:r w:rsidR="00093EFD">
        <w:t>, ve které vidí jeden z hlavních nástrojů zvýšení konkurenceschopnosti České republiky</w:t>
      </w:r>
      <w:r w:rsidRPr="00820CEA">
        <w:t>. Mezi okruhy</w:t>
      </w:r>
      <w:r w:rsidR="00093EFD">
        <w:t>, na které se bude vláda soustředit,</w:t>
      </w:r>
      <w:r w:rsidRPr="00820CEA">
        <w:t xml:space="preserve"> jsou opatření jednoznačně investičního charakteru, jako je výstavba infrastruktury nebo rozvoj </w:t>
      </w:r>
      <w:r w:rsidR="00910DD2">
        <w:t xml:space="preserve">       </w:t>
      </w:r>
      <w:r w:rsidRPr="00820CEA">
        <w:t>e-</w:t>
      </w:r>
      <w:proofErr w:type="spellStart"/>
      <w:r w:rsidRPr="00820CEA">
        <w:t>commerce</w:t>
      </w:r>
      <w:proofErr w:type="spellEnd"/>
      <w:r w:rsidRPr="00820CEA">
        <w:t xml:space="preserve">, a také opatření týkající se efektivnějšího výkonu veřejné </w:t>
      </w:r>
      <w:r w:rsidRPr="00820CEA">
        <w:lastRenderedPageBreak/>
        <w:t>správy.</w:t>
      </w:r>
      <w:r w:rsidR="00910DD2">
        <w:t xml:space="preserve"> </w:t>
      </w:r>
      <w:r w:rsidR="00FA3BFA" w:rsidRPr="00FA25A0">
        <w:t>Vláda se zasadí o vybudování dostatečně rozvinuté a dostupné technologické základny v ČR v podobě adekvátní infrastruktury umožňující vysokorychlostní přístup k</w:t>
      </w:r>
      <w:r w:rsidR="000C1974">
        <w:t> </w:t>
      </w:r>
      <w:r w:rsidR="00FA3BFA" w:rsidRPr="00FA25A0">
        <w:t>internetu</w:t>
      </w:r>
      <w:r w:rsidR="000C1974">
        <w:t xml:space="preserve"> a odpovídající ochranu dat</w:t>
      </w:r>
      <w:r w:rsidR="007245F6">
        <w:t>.</w:t>
      </w:r>
      <w:r w:rsidR="00FA3BFA" w:rsidRPr="00FA25A0">
        <w:t xml:space="preserve"> </w:t>
      </w:r>
      <w:r w:rsidR="007245F6">
        <w:t>Zkoncentrováno bude také strategické řízení I</w:t>
      </w:r>
      <w:r w:rsidR="004B4A29">
        <w:t>C</w:t>
      </w:r>
      <w:r w:rsidR="007245F6">
        <w:t>T ve veřejné správě</w:t>
      </w:r>
      <w:r w:rsidR="001C433E">
        <w:t xml:space="preserve"> Vláda dne 2. listopadu 2015 schválila Strategii </w:t>
      </w:r>
      <w:r w:rsidR="001C433E" w:rsidRPr="0024397E">
        <w:t>rozvoje ICT služeb veřejné správy</w:t>
      </w:r>
      <w:r w:rsidR="001C433E">
        <w:t xml:space="preserve"> a posílila koordinaci v ob</w:t>
      </w:r>
      <w:r w:rsidR="00EF7284">
        <w:t>la</w:t>
      </w:r>
      <w:r w:rsidR="001C433E">
        <w:t xml:space="preserve">sti rozvoje ICT. Strategie obsahuje cíl </w:t>
      </w:r>
      <w:r w:rsidR="001C433E" w:rsidRPr="0024397E">
        <w:t>vybudovat instituci veřejné správy ČR, která bude schopna převzít zodpovědnost za strategické, projektové i provozní řízení ICT veřejné správy ČR jako celku a dostane k tomu odpovídající pravomoc. S tímto účelem ustanovila vláda Radu vlády pro informační společnost (RVIS) jako orgán určující strategii a pravidla rozvoje ICT služeb v ČR. Výkonným orgánem, který bude připravovat materiály pro jednání RVIS a bude kontrolovat plnění usnesení vlády týkající se ICT, stanovi</w:t>
      </w:r>
      <w:r w:rsidR="001C433E">
        <w:t>la</w:t>
      </w:r>
      <w:r w:rsidR="001C433E" w:rsidRPr="0024397E">
        <w:t xml:space="preserve"> Úřad hlavního architekta veřejné správy (ÚHA</w:t>
      </w:r>
      <w:r w:rsidR="001C433E">
        <w:t>)</w:t>
      </w:r>
    </w:p>
    <w:p w:rsidR="00665774" w:rsidRDefault="00665774" w:rsidP="00665774">
      <w:pPr>
        <w:pStyle w:val="MarginNote"/>
        <w:framePr w:wrap="around"/>
      </w:pPr>
      <w:r>
        <w:t>Podpora exportu</w:t>
      </w:r>
    </w:p>
    <w:p w:rsidR="00665774" w:rsidRDefault="00665774" w:rsidP="003A2521">
      <w:r>
        <w:t xml:space="preserve">S ohledem na strukturu české ekonomiky se vláda zaměří na účelnou </w:t>
      </w:r>
      <w:r>
        <w:br/>
        <w:t xml:space="preserve">a efektivní podporu tuzemského vývozu. Ten podpoří především zajištěním úvěrové pomoci a pojištění exportu jako nejvýznamnějšího nástroje státní podpory pro české vývozce.  Vláda se také zaměří na maximální využití ekonomické diplomacie jako významného nástroje pro podporu exportu. </w:t>
      </w:r>
      <w:r w:rsidRPr="00661D29">
        <w:t xml:space="preserve">Jako klíčový vláda nadále vnímá také jednotný trh EU </w:t>
      </w:r>
      <w:r>
        <w:br/>
      </w:r>
      <w:r w:rsidRPr="00661D29">
        <w:t>a jeho dobré fungování spolu s příležitostmi, které českým podnikatelům skýtá</w:t>
      </w:r>
      <w:r>
        <w:t>.</w:t>
      </w:r>
    </w:p>
    <w:p w:rsidR="000C1974" w:rsidRDefault="000C1974" w:rsidP="000C1974">
      <w:pPr>
        <w:pStyle w:val="MarginNote"/>
        <w:framePr w:wrap="around"/>
        <w:rPr>
          <w:noProof/>
        </w:rPr>
      </w:pPr>
      <w:r w:rsidRPr="00FA3BFA">
        <w:rPr>
          <w:noProof/>
        </w:rPr>
        <w:t>Efektivní výkon fungující veřejné správ</w:t>
      </w:r>
      <w:r>
        <w:rPr>
          <w:noProof/>
        </w:rPr>
        <w:t xml:space="preserve">y </w:t>
      </w:r>
    </w:p>
    <w:p w:rsidR="000C1974" w:rsidRDefault="000C1974" w:rsidP="003A2521">
      <w:r>
        <w:t>Vláda považuje kvalitní, transparentní a korupci odolávající veřejnou správu za</w:t>
      </w:r>
      <w:r w:rsidRPr="00045F9D">
        <w:t xml:space="preserve"> </w:t>
      </w:r>
      <w:r>
        <w:t xml:space="preserve">klíčový předpoklad pro obnovu hospodářského růstu a zvyšování zaměstnanosti. Transparentní veřejné finance a efektivní instituce, téma </w:t>
      </w:r>
      <w:proofErr w:type="spellStart"/>
      <w:r>
        <w:t>eGovernmentu</w:t>
      </w:r>
      <w:proofErr w:type="spellEnd"/>
      <w:r>
        <w:t xml:space="preserve"> a zavádění digitálních sužeb do fungování veřejné správy jsou základem dobrého fungování státu, jehož posláním je služba občanům a obhajoba veřejného zájmu.</w:t>
      </w:r>
    </w:p>
    <w:p w:rsidR="00FA3BFA" w:rsidRDefault="00FA3BFA" w:rsidP="00C85589">
      <w:pPr>
        <w:pStyle w:val="MarginNote"/>
        <w:framePr w:wrap="around"/>
      </w:pPr>
      <w:r>
        <w:t>Podpora zaměstnanosti</w:t>
      </w:r>
    </w:p>
    <w:p w:rsidR="009A3591" w:rsidRDefault="00FA3BFA" w:rsidP="009A3591">
      <w:r>
        <w:rPr>
          <w:noProof/>
        </w:rPr>
        <w:t>Vláda si je vědoma, že i z pohledu veřejných rozpočtů se státu více vyplatí podporovat tvorbu pracovních míst</w:t>
      </w:r>
      <w:r w:rsidR="00DA2572">
        <w:rPr>
          <w:noProof/>
        </w:rPr>
        <w:t xml:space="preserve"> pro zaměstnání v </w:t>
      </w:r>
      <w:r w:rsidR="006A1504">
        <w:rPr>
          <w:noProof/>
        </w:rPr>
        <w:t>pracovněprávním</w:t>
      </w:r>
      <w:r w:rsidR="00DA2572">
        <w:rPr>
          <w:noProof/>
        </w:rPr>
        <w:t xml:space="preserve"> poměru na dobu neurčitou</w:t>
      </w:r>
      <w:r w:rsidR="00E81688">
        <w:rPr>
          <w:noProof/>
        </w:rPr>
        <w:t>,</w:t>
      </w:r>
      <w:r>
        <w:rPr>
          <w:noProof/>
        </w:rPr>
        <w:t xml:space="preserve"> pro dlouhodobě nezaměstnané a osoby se zdravotním nebo sociálním znevýhodněním. Vláda se proto zaměří na posílení</w:t>
      </w:r>
      <w:r w:rsidR="00C501D5">
        <w:rPr>
          <w:noProof/>
        </w:rPr>
        <w:t xml:space="preserve"> kapacit a další rozvoj</w:t>
      </w:r>
      <w:r>
        <w:rPr>
          <w:noProof/>
        </w:rPr>
        <w:t xml:space="preserve"> </w:t>
      </w:r>
      <w:r w:rsidR="000E56EC">
        <w:rPr>
          <w:noProof/>
        </w:rPr>
        <w:t>Úřadu práce ČR</w:t>
      </w:r>
      <w:r>
        <w:rPr>
          <w:noProof/>
        </w:rPr>
        <w:t>, pomoc dlouhodobě nezaměstnaným osobám a především také na sladění rodinného a pracovního života.</w:t>
      </w:r>
      <w:r w:rsidR="009A3591">
        <w:rPr>
          <w:noProof/>
        </w:rPr>
        <w:t xml:space="preserve"> </w:t>
      </w:r>
      <w:r w:rsidR="009A3591">
        <w:t xml:space="preserve">Limitujícím faktorem pro další rozvoj mnoha firem je </w:t>
      </w:r>
      <w:r w:rsidR="00E81688">
        <w:t>dostupnost</w:t>
      </w:r>
      <w:r w:rsidR="009A3591">
        <w:t xml:space="preserve"> pracovních sil</w:t>
      </w:r>
      <w:r w:rsidR="00DA2572">
        <w:t xml:space="preserve"> s odpovídající kvalifikací</w:t>
      </w:r>
      <w:r w:rsidR="009A3591">
        <w:t xml:space="preserve">. Vláda posílí systémy podpory celoživotního vzdělávání, vzdělávání a </w:t>
      </w:r>
      <w:r w:rsidR="00DA2572">
        <w:t>pozitivní změny</w:t>
      </w:r>
      <w:r w:rsidR="009A3591">
        <w:t xml:space="preserve"> trhu práce alternativními formami zamě</w:t>
      </w:r>
      <w:r w:rsidR="002C438A">
        <w:t>stnávání pro větší zapojení žen</w:t>
      </w:r>
      <w:r w:rsidR="009A3591">
        <w:t>,</w:t>
      </w:r>
      <w:r w:rsidR="002C438A">
        <w:t xml:space="preserve"> </w:t>
      </w:r>
      <w:r w:rsidR="009A3591">
        <w:t xml:space="preserve">absolventů a pracovníků brzce důchodového věku, případně </w:t>
      </w:r>
      <w:r w:rsidR="002C438A">
        <w:t>z řad osob přicházejících ze zahraničí</w:t>
      </w:r>
      <w:r w:rsidR="009A3591">
        <w:t xml:space="preserve">. </w:t>
      </w:r>
      <w:r w:rsidR="00910DD2">
        <w:t>Maximální a cílenou pozornost bude vláda věnovat otázce zaměstnanosti ve strukturálně znevýhodněných regionech.</w:t>
      </w:r>
    </w:p>
    <w:p w:rsidR="0054461C" w:rsidRDefault="0054461C" w:rsidP="002B7A3D">
      <w:pPr>
        <w:pStyle w:val="Nadpis1"/>
      </w:pPr>
    </w:p>
    <w:p w:rsidR="0054461C" w:rsidRDefault="0054461C">
      <w:pPr>
        <w:spacing w:after="0" w:line="240" w:lineRule="auto"/>
        <w:jc w:val="left"/>
        <w:rPr>
          <w:rFonts w:eastAsiaTheme="majorEastAsia" w:cstheme="majorBidi"/>
          <w:b/>
          <w:bCs/>
          <w:color w:val="1F497D" w:themeColor="text2"/>
          <w:kern w:val="32"/>
          <w:sz w:val="32"/>
          <w:szCs w:val="32"/>
        </w:rPr>
      </w:pPr>
      <w:r>
        <w:br w:type="page"/>
      </w:r>
    </w:p>
    <w:p w:rsidR="008B5A30" w:rsidRDefault="0098528A" w:rsidP="002B7A3D">
      <w:pPr>
        <w:pStyle w:val="Nadpis1"/>
      </w:pPr>
      <w:bookmarkStart w:id="14" w:name="_Toc435423988"/>
      <w:r>
        <w:lastRenderedPageBreak/>
        <w:t>Kroky vlády pro podporu hospodářského růstu</w:t>
      </w:r>
      <w:bookmarkStart w:id="15" w:name="_Toc389751454"/>
      <w:bookmarkEnd w:id="8"/>
      <w:bookmarkEnd w:id="14"/>
    </w:p>
    <w:p w:rsidR="0071765F" w:rsidRDefault="0071765F" w:rsidP="00341DA2">
      <w:pPr>
        <w:pStyle w:val="Nadpis2"/>
        <w:spacing w:after="240"/>
        <w:jc w:val="both"/>
      </w:pPr>
      <w:bookmarkStart w:id="16" w:name="_Toc435423989"/>
      <w:r>
        <w:t>Atraktivní podnikatelské prostředí</w:t>
      </w:r>
      <w:bookmarkEnd w:id="15"/>
      <w:bookmarkEnd w:id="16"/>
    </w:p>
    <w:tbl>
      <w:tblPr>
        <w:tblW w:w="9286" w:type="dxa"/>
        <w:jc w:val="right"/>
        <w:tblLayout w:type="fixed"/>
        <w:tblLook w:val="01E0"/>
      </w:tblPr>
      <w:tblGrid>
        <w:gridCol w:w="1130"/>
        <w:gridCol w:w="1655"/>
        <w:gridCol w:w="3509"/>
        <w:gridCol w:w="1732"/>
        <w:gridCol w:w="1260"/>
      </w:tblGrid>
      <w:tr w:rsidR="004C44F8" w:rsidRPr="00FD6E1F" w:rsidTr="004C44F8">
        <w:trPr>
          <w:tblHeader/>
          <w:jc w:val="right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F8" w:rsidRPr="00FD6E1F" w:rsidRDefault="004C44F8" w:rsidP="004C44F8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Gestor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F8" w:rsidRPr="00FD6E1F" w:rsidRDefault="004C44F8" w:rsidP="004C44F8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proofErr w:type="spellStart"/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Spolugestor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F8" w:rsidRPr="00FD6E1F" w:rsidRDefault="004C44F8" w:rsidP="004C44F8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Opatření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4C44F8" w:rsidRPr="00FD6E1F" w:rsidRDefault="004C44F8" w:rsidP="004C44F8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Možnosti financování cíle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F8" w:rsidRPr="00FD6E1F" w:rsidRDefault="004C44F8" w:rsidP="004C44F8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Termín</w:t>
            </w:r>
          </w:p>
        </w:tc>
      </w:tr>
      <w:tr w:rsidR="00B16FAD" w:rsidRPr="00FD6E1F" w:rsidTr="00B16FAD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B16FAD" w:rsidRPr="00FD6E1F" w:rsidRDefault="00FD7480" w:rsidP="00FD748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MLR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B16FAD" w:rsidRPr="00FD6E1F" w:rsidRDefault="00FD7480" w:rsidP="00B16FAD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CE50F4" w:rsidRPr="00CE50F4" w:rsidRDefault="00CE50F4" w:rsidP="00B16FA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CE50F4">
              <w:rPr>
                <w:rFonts w:cs="Arial"/>
                <w:b/>
                <w:sz w:val="20"/>
                <w:szCs w:val="20"/>
              </w:rPr>
              <w:t>Cíl: Snížení administrativní zátěže</w:t>
            </w:r>
          </w:p>
          <w:p w:rsidR="001E775F" w:rsidRPr="00F52260" w:rsidRDefault="001E775F" w:rsidP="00B16FAD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Při implementaci předpisů EU z</w:t>
            </w:r>
            <w:r w:rsidR="00B16FAD" w:rsidRPr="00F52260">
              <w:rPr>
                <w:rFonts w:cs="Arial"/>
                <w:sz w:val="20"/>
                <w:szCs w:val="20"/>
              </w:rPr>
              <w:t xml:space="preserve">amezit </w:t>
            </w:r>
            <w:r>
              <w:rPr>
                <w:rFonts w:cs="Arial"/>
                <w:sz w:val="20"/>
                <w:szCs w:val="20"/>
              </w:rPr>
              <w:t xml:space="preserve">neodůvodněnému uplatňování </w:t>
            </w:r>
            <w:r w:rsidRPr="001E775F">
              <w:rPr>
                <w:rFonts w:cs="Arial"/>
                <w:sz w:val="20"/>
                <w:szCs w:val="20"/>
              </w:rPr>
              <w:t>požadavků nad rámec stanovených předpisem EU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77246">
              <w:rPr>
                <w:rFonts w:cs="Arial"/>
                <w:sz w:val="20"/>
                <w:szCs w:val="20"/>
              </w:rPr>
              <w:t>prováděním</w:t>
            </w:r>
            <w:r>
              <w:rPr>
                <w:rFonts w:cs="Arial"/>
                <w:sz w:val="20"/>
                <w:szCs w:val="20"/>
              </w:rPr>
              <w:t xml:space="preserve"> hodnocení dopadů regulace (RIA).</w:t>
            </w:r>
            <w:r w:rsidR="00C77246" w:rsidRPr="00C77246">
              <w:rPr>
                <w:rFonts w:cs="Arial"/>
                <w:sz w:val="20"/>
                <w:szCs w:val="20"/>
              </w:rPr>
              <w:t xml:space="preserve"> Zpracování RIA je nutné provádět u transpozičních norem s možností diskrece jako prevence proti přidávání </w:t>
            </w:r>
            <w:r w:rsidR="00A05E08">
              <w:rPr>
                <w:rFonts w:cs="Arial"/>
                <w:sz w:val="20"/>
                <w:szCs w:val="20"/>
              </w:rPr>
              <w:t>neodůvodněných</w:t>
            </w:r>
            <w:r w:rsidR="00C77246" w:rsidRPr="00C77246">
              <w:rPr>
                <w:rFonts w:cs="Arial"/>
                <w:sz w:val="20"/>
                <w:szCs w:val="20"/>
              </w:rPr>
              <w:t xml:space="preserve"> ustanovení nad rámec požadavků legislativy EU</w:t>
            </w:r>
          </w:p>
          <w:p w:rsidR="00B16FAD" w:rsidRDefault="00B16FAD" w:rsidP="00B30407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52260">
              <w:rPr>
                <w:rFonts w:cs="Arial"/>
                <w:sz w:val="20"/>
                <w:szCs w:val="20"/>
              </w:rPr>
              <w:t xml:space="preserve"> </w:t>
            </w: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 w:rsidR="00C77246">
              <w:rPr>
                <w:rFonts w:cs="Arial"/>
                <w:b/>
                <w:color w:val="000000"/>
                <w:sz w:val="20"/>
                <w:szCs w:val="20"/>
              </w:rPr>
              <w:t xml:space="preserve">Podíl </w:t>
            </w:r>
            <w:r w:rsidR="00B30407">
              <w:rPr>
                <w:rFonts w:cs="Arial"/>
                <w:b/>
                <w:color w:val="000000"/>
                <w:sz w:val="20"/>
                <w:szCs w:val="20"/>
              </w:rPr>
              <w:t>projednaných</w:t>
            </w:r>
            <w:r w:rsidR="00C77246">
              <w:rPr>
                <w:rFonts w:cs="Arial"/>
                <w:b/>
                <w:color w:val="000000"/>
                <w:sz w:val="20"/>
                <w:szCs w:val="20"/>
              </w:rPr>
              <w:t xml:space="preserve"> Závěrečných zpráv RIA</w:t>
            </w:r>
            <w:r w:rsidR="008C605F">
              <w:rPr>
                <w:rFonts w:cs="Arial"/>
                <w:b/>
                <w:color w:val="000000"/>
                <w:sz w:val="20"/>
                <w:szCs w:val="20"/>
              </w:rPr>
              <w:t xml:space="preserve"> pracovní komisí RIA</w:t>
            </w:r>
            <w:r w:rsidR="00C77246">
              <w:rPr>
                <w:rFonts w:cs="Arial"/>
                <w:b/>
                <w:color w:val="000000"/>
                <w:sz w:val="20"/>
                <w:szCs w:val="20"/>
              </w:rPr>
              <w:t xml:space="preserve"> k počtu předložených</w:t>
            </w:r>
            <w:r w:rsidR="008C605F">
              <w:rPr>
                <w:rFonts w:cs="Arial"/>
                <w:b/>
                <w:color w:val="000000"/>
                <w:sz w:val="20"/>
                <w:szCs w:val="20"/>
              </w:rPr>
              <w:t xml:space="preserve"> vládě</w:t>
            </w:r>
            <w:r w:rsidR="00B30407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  <w:r w:rsidR="00C77246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CE50F4" w:rsidRPr="00FD6E1F" w:rsidRDefault="00CE50F4" w:rsidP="00B30407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16FAD" w:rsidRPr="00FD6E1F" w:rsidRDefault="00B16FAD" w:rsidP="00B16F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6FAD" w:rsidRPr="00FD6E1F" w:rsidRDefault="00B16FAD" w:rsidP="00B16FAD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B121F6" w:rsidRPr="00FD6E1F" w:rsidTr="00B16FAD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B121F6" w:rsidRPr="00DA1176" w:rsidRDefault="00B121F6" w:rsidP="004947FD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A1176">
              <w:rPr>
                <w:rFonts w:cs="Arial"/>
                <w:color w:val="auto"/>
                <w:sz w:val="20"/>
                <w:szCs w:val="20"/>
              </w:rPr>
              <w:t>MŽP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B121F6" w:rsidRPr="00DA1176" w:rsidRDefault="00B121F6" w:rsidP="004947FD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A1176">
              <w:rPr>
                <w:rFonts w:cs="Arial"/>
                <w:color w:val="auto"/>
                <w:sz w:val="20"/>
                <w:szCs w:val="20"/>
              </w:rPr>
              <w:t>MPO, MZE, MMR, MV, MPSV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121F6" w:rsidRPr="00DA1176" w:rsidRDefault="00B121F6" w:rsidP="004947FD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DA1176">
              <w:rPr>
                <w:rFonts w:cs="Arial"/>
                <w:b/>
                <w:color w:val="auto"/>
                <w:sz w:val="20"/>
                <w:szCs w:val="20"/>
              </w:rPr>
              <w:t xml:space="preserve">Cíl: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EKOAUDIT</w:t>
            </w:r>
          </w:p>
          <w:p w:rsidR="00B121F6" w:rsidRDefault="00B121F6" w:rsidP="004947FD">
            <w:pPr>
              <w:spacing w:before="120"/>
              <w:rPr>
                <w:rFonts w:cs="Arial"/>
                <w:sz w:val="20"/>
                <w:szCs w:val="20"/>
              </w:rPr>
            </w:pPr>
            <w:r w:rsidRPr="00DA1176">
              <w:rPr>
                <w:rFonts w:cs="Arial"/>
                <w:sz w:val="20"/>
                <w:szCs w:val="20"/>
              </w:rPr>
              <w:t xml:space="preserve">V Programovém prohlášení vlády se vláda zavázala provést revizi standardů vyplývajících z členství ČR v EU s cílem optimalizovat míru regulace. V návaznosti na tento úkol probíhá proces tzv. </w:t>
            </w:r>
            <w:proofErr w:type="spellStart"/>
            <w:r w:rsidRPr="00DA1176">
              <w:rPr>
                <w:rFonts w:cs="Arial"/>
                <w:sz w:val="20"/>
                <w:szCs w:val="20"/>
              </w:rPr>
              <w:t>ekoauditu</w:t>
            </w:r>
            <w:proofErr w:type="spellEnd"/>
            <w:r w:rsidRPr="00DA1176">
              <w:rPr>
                <w:rFonts w:cs="Arial"/>
                <w:sz w:val="20"/>
                <w:szCs w:val="20"/>
              </w:rPr>
              <w:t xml:space="preserve"> s cílem snížit finanční a administrativní zatížení občanů a podnikatelské sféry s tím, že zjednodušování nepovede ke snižování standardů ochrany životního prostředí.</w:t>
            </w:r>
            <w:r w:rsidRPr="00DA1176">
              <w:t xml:space="preserve"> </w:t>
            </w:r>
            <w:r w:rsidRPr="00DA1176">
              <w:br/>
            </w:r>
            <w:r w:rsidRPr="00DA1176">
              <w:rPr>
                <w:rFonts w:cs="Arial"/>
                <w:sz w:val="20"/>
                <w:szCs w:val="20"/>
              </w:rPr>
              <w:t xml:space="preserve">Na základě nových podnětů z podnikatelské sféry bude do konce roku 2016 předložen vládě </w:t>
            </w:r>
            <w:r>
              <w:rPr>
                <w:rFonts w:cs="Arial"/>
                <w:sz w:val="20"/>
                <w:szCs w:val="20"/>
              </w:rPr>
              <w:t xml:space="preserve">soubor </w:t>
            </w:r>
            <w:r w:rsidRPr="00DA1176">
              <w:rPr>
                <w:rFonts w:cs="Arial"/>
                <w:sz w:val="20"/>
                <w:szCs w:val="20"/>
              </w:rPr>
              <w:t>opatření legislativního i nelegislativního charakteru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B121F6" w:rsidRDefault="00B121F6" w:rsidP="004947F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B121F6">
              <w:rPr>
                <w:rFonts w:cs="Arial"/>
                <w:b/>
                <w:sz w:val="20"/>
                <w:szCs w:val="20"/>
              </w:rPr>
              <w:t xml:space="preserve">Indikátor: </w:t>
            </w:r>
            <w:r>
              <w:rPr>
                <w:rFonts w:cs="Arial"/>
                <w:b/>
                <w:sz w:val="20"/>
                <w:szCs w:val="20"/>
              </w:rPr>
              <w:t>P</w:t>
            </w:r>
            <w:r w:rsidRPr="00B121F6">
              <w:rPr>
                <w:rFonts w:cs="Arial"/>
                <w:b/>
                <w:sz w:val="20"/>
                <w:szCs w:val="20"/>
              </w:rPr>
              <w:t>ředložení souboru opatření</w:t>
            </w:r>
            <w:r>
              <w:rPr>
                <w:rFonts w:cs="Arial"/>
                <w:b/>
                <w:sz w:val="20"/>
                <w:szCs w:val="20"/>
              </w:rPr>
              <w:t xml:space="preserve"> k dalšímu snižování zátěže.</w:t>
            </w:r>
          </w:p>
          <w:p w:rsidR="00B121F6" w:rsidRPr="00B121F6" w:rsidRDefault="00B121F6" w:rsidP="004947FD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121F6" w:rsidRPr="00DA1176" w:rsidRDefault="00B121F6" w:rsidP="004947FD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A1176">
              <w:rPr>
                <w:rFonts w:cs="Arial"/>
                <w:color w:val="auto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21F6" w:rsidRPr="00DA1176" w:rsidRDefault="00B121F6" w:rsidP="004947FD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A1176"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B121F6" w:rsidRPr="00FD6E1F" w:rsidTr="00B16FAD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B121F6" w:rsidRPr="00FD6E1F" w:rsidRDefault="00B121F6" w:rsidP="00B16FAD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FD6E1F">
              <w:rPr>
                <w:rFonts w:cs="Arial"/>
                <w:sz w:val="20"/>
                <w:szCs w:val="20"/>
              </w:rPr>
              <w:lastRenderedPageBreak/>
              <w:t>MSpr</w:t>
            </w:r>
            <w:proofErr w:type="spellEnd"/>
          </w:p>
        </w:tc>
        <w:tc>
          <w:tcPr>
            <w:tcW w:w="1655" w:type="dxa"/>
            <w:shd w:val="clear" w:color="auto" w:fill="auto"/>
            <w:vAlign w:val="center"/>
          </w:tcPr>
          <w:p w:rsidR="00B121F6" w:rsidRPr="00FD6E1F" w:rsidRDefault="00B121F6" w:rsidP="00B16FAD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B121F6" w:rsidRPr="00FD6E1F" w:rsidRDefault="00B121F6" w:rsidP="00B16FAD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>Cíl: Snížení nákladů nutných k založení podniku na 100 EUR a zkrácení lhůty k zalo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žení podniku na maximálně 3 dny</w:t>
            </w:r>
          </w:p>
          <w:p w:rsidR="00B121F6" w:rsidRPr="00FD6E1F" w:rsidRDefault="00B121F6" w:rsidP="00B16FAD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Příprava návrhu legislativního řešení snížení odměny notáře za zakládání podniků (společností), vytvoření vzoru formuláře zakladatelského právního jednání s.r.o., a to s cílem snížení nákladů nutných k založení podniků na 100 EUR a umožnění založení podniku v požadované lhůtě.</w:t>
            </w:r>
          </w:p>
          <w:p w:rsidR="00B121F6" w:rsidRDefault="00B121F6" w:rsidP="00B16FAD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>Indikátor: Schválení návrhu legislativy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  <w:p w:rsidR="00B121F6" w:rsidRPr="00FD6E1F" w:rsidRDefault="00B121F6" w:rsidP="00B16FAD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121F6" w:rsidRPr="00FD6E1F" w:rsidRDefault="00B121F6" w:rsidP="00B16FA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21F6" w:rsidRPr="00FD6E1F" w:rsidRDefault="00B121F6" w:rsidP="00B16FAD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sz w:val="20"/>
                <w:szCs w:val="20"/>
              </w:rPr>
              <w:t>2015, účinnost od 01/2016</w:t>
            </w:r>
          </w:p>
        </w:tc>
      </w:tr>
      <w:tr w:rsidR="00B121F6" w:rsidRPr="00FD6E1F" w:rsidTr="004C44F8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B121F6" w:rsidRDefault="00B121F6" w:rsidP="004C44F8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MSPr</w:t>
            </w:r>
            <w:proofErr w:type="spellEnd"/>
          </w:p>
        </w:tc>
        <w:tc>
          <w:tcPr>
            <w:tcW w:w="1655" w:type="dxa"/>
            <w:shd w:val="clear" w:color="auto" w:fill="auto"/>
            <w:vAlign w:val="center"/>
          </w:tcPr>
          <w:p w:rsidR="00B121F6" w:rsidRDefault="00B121F6" w:rsidP="004C44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121F6" w:rsidRPr="00D84E4B" w:rsidRDefault="00B121F6" w:rsidP="00377A76">
            <w:pPr>
              <w:spacing w:before="120"/>
              <w:rPr>
                <w:rFonts w:cs="Arial"/>
                <w:b/>
                <w:color w:val="262626"/>
                <w:sz w:val="20"/>
                <w:szCs w:val="20"/>
              </w:rPr>
            </w:pPr>
            <w:r w:rsidRPr="00D84E4B">
              <w:rPr>
                <w:rFonts w:cs="Arial"/>
                <w:b/>
                <w:color w:val="262626"/>
                <w:sz w:val="20"/>
                <w:szCs w:val="20"/>
              </w:rPr>
              <w:t xml:space="preserve">Cíl: Fungující </w:t>
            </w:r>
            <w:proofErr w:type="spellStart"/>
            <w:r w:rsidRPr="00D84E4B">
              <w:rPr>
                <w:rFonts w:cs="Arial"/>
                <w:b/>
                <w:color w:val="262626"/>
                <w:sz w:val="20"/>
                <w:szCs w:val="20"/>
              </w:rPr>
              <w:t>insolvenční</w:t>
            </w:r>
            <w:proofErr w:type="spellEnd"/>
            <w:r w:rsidRPr="00D84E4B">
              <w:rPr>
                <w:rFonts w:cs="Arial"/>
                <w:b/>
                <w:color w:val="262626"/>
                <w:sz w:val="20"/>
                <w:szCs w:val="20"/>
              </w:rPr>
              <w:t xml:space="preserve"> řízení</w:t>
            </w:r>
          </w:p>
          <w:p w:rsidR="00B121F6" w:rsidRPr="00377A76" w:rsidRDefault="00B121F6" w:rsidP="00377A76">
            <w:pPr>
              <w:rPr>
                <w:color w:val="262626"/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 xml:space="preserve">Novelizace </w:t>
            </w:r>
            <w:r w:rsidRPr="00D84E4B">
              <w:rPr>
                <w:color w:val="262626"/>
                <w:sz w:val="20"/>
                <w:szCs w:val="20"/>
              </w:rPr>
              <w:t>zákona č. 182/2006 Sb., o úpadku a způsobech jeho řešení (</w:t>
            </w:r>
            <w:proofErr w:type="spellStart"/>
            <w:r w:rsidRPr="00D84E4B">
              <w:rPr>
                <w:color w:val="262626"/>
                <w:sz w:val="20"/>
                <w:szCs w:val="20"/>
              </w:rPr>
              <w:t>insolvenční</w:t>
            </w:r>
            <w:proofErr w:type="spellEnd"/>
            <w:r w:rsidRPr="00D84E4B">
              <w:rPr>
                <w:color w:val="262626"/>
                <w:sz w:val="20"/>
                <w:szCs w:val="20"/>
              </w:rPr>
              <w:t xml:space="preserve"> zákon), ve znění pozdějších předpisů</w:t>
            </w:r>
            <w:r>
              <w:rPr>
                <w:color w:val="262626"/>
                <w:sz w:val="20"/>
                <w:szCs w:val="20"/>
              </w:rPr>
              <w:t xml:space="preserve">. Fungování koordinované analytické složky při </w:t>
            </w:r>
            <w:proofErr w:type="spellStart"/>
            <w:r>
              <w:rPr>
                <w:color w:val="262626"/>
                <w:sz w:val="20"/>
                <w:szCs w:val="20"/>
              </w:rPr>
              <w:t>MSPr</w:t>
            </w:r>
            <w:proofErr w:type="spellEnd"/>
            <w:r>
              <w:rPr>
                <w:color w:val="262626"/>
                <w:sz w:val="20"/>
                <w:szCs w:val="20"/>
              </w:rPr>
              <w:t>.</w:t>
            </w:r>
          </w:p>
          <w:p w:rsidR="00B121F6" w:rsidRPr="00D84E4B" w:rsidRDefault="00B121F6" w:rsidP="00377A76">
            <w:pPr>
              <w:spacing w:before="120"/>
              <w:rPr>
                <w:rFonts w:cs="Arial"/>
                <w:b/>
                <w:color w:val="262626"/>
                <w:sz w:val="20"/>
                <w:szCs w:val="20"/>
              </w:rPr>
            </w:pPr>
            <w:r w:rsidRPr="00D84E4B">
              <w:rPr>
                <w:rFonts w:cs="Arial"/>
                <w:b/>
                <w:color w:val="262626"/>
                <w:sz w:val="20"/>
                <w:szCs w:val="20"/>
              </w:rPr>
              <w:t>Indikátor: Schválení novely zákona. Roční vyhodnocení účinků změny.</w:t>
            </w:r>
          </w:p>
          <w:p w:rsidR="00B121F6" w:rsidRPr="00FD6E1F" w:rsidRDefault="00B121F6" w:rsidP="004C44F8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121F6" w:rsidRDefault="00B121F6" w:rsidP="004C44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21F6" w:rsidRDefault="00B121F6" w:rsidP="004C44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B121F6" w:rsidRPr="00FD6E1F" w:rsidTr="003A11FB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B121F6" w:rsidRPr="00FD6E1F" w:rsidRDefault="00B121F6" w:rsidP="003A11F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B121F6" w:rsidRPr="00FD6E1F" w:rsidRDefault="00B121F6" w:rsidP="003A11F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B121F6" w:rsidRDefault="00B121F6" w:rsidP="003A11FB">
            <w:pPr>
              <w:rPr>
                <w:rFonts w:cs="Arial"/>
                <w:color w:val="000000"/>
                <w:sz w:val="20"/>
                <w:szCs w:val="20"/>
              </w:rPr>
            </w:pPr>
            <w:r w:rsidRPr="0024397E">
              <w:rPr>
                <w:rFonts w:cs="Arial"/>
                <w:b/>
                <w:color w:val="000000"/>
                <w:sz w:val="20"/>
                <w:szCs w:val="20"/>
              </w:rPr>
              <w:t>Cíl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: </w:t>
            </w:r>
            <w:r w:rsidRPr="0024397E">
              <w:rPr>
                <w:rFonts w:cs="Arial"/>
                <w:b/>
                <w:color w:val="000000"/>
                <w:sz w:val="20"/>
                <w:szCs w:val="20"/>
              </w:rPr>
              <w:t xml:space="preserve">Potlačování </w:t>
            </w:r>
            <w:proofErr w:type="spellStart"/>
            <w:r w:rsidRPr="0024397E">
              <w:rPr>
                <w:rFonts w:cs="Arial"/>
                <w:b/>
                <w:color w:val="000000"/>
                <w:sz w:val="20"/>
                <w:szCs w:val="20"/>
              </w:rPr>
              <w:t>nekalých</w:t>
            </w:r>
            <w:proofErr w:type="spellEnd"/>
            <w:r w:rsidRPr="0024397E">
              <w:rPr>
                <w:rFonts w:cs="Arial"/>
                <w:b/>
                <w:color w:val="000000"/>
                <w:sz w:val="20"/>
                <w:szCs w:val="20"/>
              </w:rPr>
              <w:t xml:space="preserve"> obchodních praktik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 </w:t>
            </w:r>
          </w:p>
          <w:p w:rsidR="00B121F6" w:rsidRPr="00FD6E1F" w:rsidRDefault="00B121F6" w:rsidP="003A11FB">
            <w:pPr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 xml:space="preserve">Navýšení počtu kontrol ČOI, které se důsledně zaměří na postih užívání </w:t>
            </w:r>
            <w:proofErr w:type="spellStart"/>
            <w:r w:rsidRPr="00FD6E1F">
              <w:rPr>
                <w:rFonts w:cs="Arial"/>
                <w:color w:val="000000"/>
                <w:sz w:val="20"/>
                <w:szCs w:val="20"/>
              </w:rPr>
              <w:t>nekalých</w:t>
            </w:r>
            <w:proofErr w:type="spellEnd"/>
            <w:r w:rsidRPr="00FD6E1F">
              <w:rPr>
                <w:rFonts w:cs="Arial"/>
                <w:color w:val="000000"/>
                <w:sz w:val="20"/>
                <w:szCs w:val="20"/>
              </w:rPr>
              <w:t xml:space="preserve"> obchodních praktik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B121F6" w:rsidRDefault="00B121F6" w:rsidP="003A11FB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 xml:space="preserve">Indikátor: Navýšení podílu kontrol, které se zaměří na postih užívání </w:t>
            </w:r>
            <w:proofErr w:type="spellStart"/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>nekalých</w:t>
            </w:r>
            <w:proofErr w:type="spellEnd"/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 xml:space="preserve"> obchodních praktik, na celkovém počtu kontrol o 10 % oproti roku 201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5</w:t>
            </w: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  <w:p w:rsidR="00B121F6" w:rsidRPr="00BD32D0" w:rsidRDefault="00B121F6" w:rsidP="003A11FB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32" w:type="dxa"/>
            <w:vAlign w:val="center"/>
          </w:tcPr>
          <w:p w:rsidR="00B121F6" w:rsidRPr="00FD6E1F" w:rsidRDefault="00B121F6" w:rsidP="003A11F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21F6" w:rsidRPr="00FD6E1F" w:rsidRDefault="00B121F6" w:rsidP="003A11F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B121F6" w:rsidRPr="00FD6E1F" w:rsidTr="003A11FB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B121F6" w:rsidRPr="00FD6E1F" w:rsidRDefault="00B121F6" w:rsidP="003A11F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MPSV/ÚP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B121F6" w:rsidRPr="00FD6E1F" w:rsidRDefault="00B121F6" w:rsidP="003A11F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MPO, HK ČR, KZPS ČR, SPČR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121F6" w:rsidRPr="0068371F" w:rsidRDefault="00B121F6" w:rsidP="003A11FB">
            <w:pPr>
              <w:rPr>
                <w:rFonts w:cs="Arial"/>
                <w:color w:val="000000"/>
                <w:sz w:val="20"/>
                <w:szCs w:val="20"/>
              </w:rPr>
            </w:pPr>
            <w:r w:rsidRPr="0068371F">
              <w:rPr>
                <w:rFonts w:cs="Arial"/>
                <w:b/>
                <w:color w:val="000000"/>
                <w:sz w:val="20"/>
                <w:szCs w:val="20"/>
              </w:rPr>
              <w:t xml:space="preserve">Cíl: Podpora začínajícím podnikatelům </w:t>
            </w:r>
          </w:p>
          <w:p w:rsidR="00B121F6" w:rsidRPr="0068371F" w:rsidRDefault="00B121F6" w:rsidP="00CE50F4">
            <w:pPr>
              <w:rPr>
                <w:rFonts w:cs="Arial"/>
                <w:color w:val="000000"/>
                <w:sz w:val="20"/>
                <w:szCs w:val="20"/>
              </w:rPr>
            </w:pPr>
            <w:r w:rsidRPr="0068371F">
              <w:rPr>
                <w:rFonts w:cs="Arial"/>
                <w:color w:val="000000"/>
                <w:sz w:val="20"/>
                <w:szCs w:val="20"/>
              </w:rPr>
              <w:t xml:space="preserve">Vytvoření programu (implementace do stávajících programů) zaměřeného na poskytování </w:t>
            </w:r>
            <w:r w:rsidRPr="0068371F">
              <w:rPr>
                <w:rFonts w:cs="Arial"/>
                <w:color w:val="000000"/>
                <w:sz w:val="20"/>
                <w:szCs w:val="20"/>
              </w:rPr>
              <w:lastRenderedPageBreak/>
              <w:t>poradenství začínajícím OSVČ ve spolupráci s HK, MPO.</w:t>
            </w:r>
          </w:p>
          <w:p w:rsidR="00B121F6" w:rsidRPr="00EF42D4" w:rsidRDefault="00B121F6" w:rsidP="00CE50F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CE50F4">
              <w:rPr>
                <w:rFonts w:cs="Arial"/>
                <w:b/>
                <w:color w:val="000000"/>
                <w:sz w:val="20"/>
                <w:szCs w:val="20"/>
              </w:rPr>
              <w:t>Indikátor: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EF42D4">
              <w:rPr>
                <w:rFonts w:cs="Arial"/>
                <w:b/>
                <w:color w:val="000000"/>
                <w:sz w:val="20"/>
                <w:szCs w:val="20"/>
              </w:rPr>
              <w:t>Vytvořený program podpory</w:t>
            </w:r>
          </w:p>
          <w:p w:rsidR="00B121F6" w:rsidRPr="0068371F" w:rsidRDefault="00B121F6" w:rsidP="0068371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121F6" w:rsidRPr="00FD6E1F" w:rsidRDefault="00B121F6" w:rsidP="003A11F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OP LZZ, 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21F6" w:rsidRPr="00FD6E1F" w:rsidRDefault="00B121F6" w:rsidP="003A11FB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B121F6" w:rsidTr="000C1974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B121F6" w:rsidRPr="0024397E" w:rsidRDefault="00B121F6" w:rsidP="000C1974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color w:val="auto"/>
                <w:sz w:val="20"/>
                <w:szCs w:val="20"/>
              </w:rPr>
              <w:lastRenderedPageBreak/>
              <w:t>MPO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B121F6" w:rsidRPr="0024397E" w:rsidRDefault="00B121F6" w:rsidP="000C1974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MF, </w:t>
            </w:r>
            <w:r w:rsidRPr="0024397E">
              <w:rPr>
                <w:rFonts w:cs="Arial"/>
                <w:color w:val="auto"/>
                <w:sz w:val="20"/>
                <w:szCs w:val="20"/>
              </w:rPr>
              <w:t>ČMZRB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121F6" w:rsidRPr="0024397E" w:rsidRDefault="00B121F6" w:rsidP="002B2E0F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 xml:space="preserve">Cíl: Podpora malých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 xml:space="preserve">a </w:t>
            </w: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>středních podniků</w:t>
            </w:r>
          </w:p>
          <w:p w:rsidR="00B121F6" w:rsidRDefault="00B121F6" w:rsidP="002B2E0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color w:val="auto"/>
                <w:sz w:val="20"/>
                <w:szCs w:val="20"/>
              </w:rPr>
              <w:t>Cílem programu je usnadňovat malým a středním podnikatelům přístup k bankovním úvěrům na realizaci jejich podnikatelských projektů pro zahájení a/nebo další rozvoj podnikání, zvyšovat podnikatelskou aktivitu ve státem podporovaných regionech a přispívat k rozvoji sociálního podnikání.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AD0EC6">
              <w:rPr>
                <w:rFonts w:cs="Arial"/>
                <w:color w:val="auto"/>
                <w:sz w:val="20"/>
                <w:szCs w:val="20"/>
              </w:rPr>
              <w:t>Dojde k navýšení prostředků v ČMZRB na financování úvěrů pro malé a střední podniky a schválí speciální zákon o činnosti ČMZRB jako státní investiční banky.</w:t>
            </w:r>
          </w:p>
          <w:p w:rsidR="00B121F6" w:rsidRDefault="00B121F6" w:rsidP="002B2E0F">
            <w:pPr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  <w:p w:rsidR="00B121F6" w:rsidRPr="0024397E" w:rsidRDefault="00B121F6" w:rsidP="00DA1176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>Indikátor: Roční vyhodnocení        realizace programu.</w:t>
            </w:r>
          </w:p>
        </w:tc>
        <w:tc>
          <w:tcPr>
            <w:tcW w:w="1732" w:type="dxa"/>
            <w:vAlign w:val="center"/>
          </w:tcPr>
          <w:p w:rsidR="00B121F6" w:rsidRPr="0024397E" w:rsidRDefault="00B121F6" w:rsidP="000C1974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color w:val="auto"/>
                <w:sz w:val="20"/>
                <w:szCs w:val="20"/>
              </w:rPr>
              <w:t>OP PIK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21F6" w:rsidRPr="0024397E" w:rsidRDefault="00B121F6" w:rsidP="002B2E0F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color w:val="auto"/>
                <w:sz w:val="20"/>
                <w:szCs w:val="20"/>
              </w:rPr>
              <w:t>2016/2023</w:t>
            </w:r>
          </w:p>
        </w:tc>
      </w:tr>
      <w:tr w:rsidR="00B121F6" w:rsidTr="000C1974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B121F6" w:rsidRPr="0024397E" w:rsidRDefault="00B121F6" w:rsidP="000C1974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MPO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B121F6" w:rsidRDefault="00B121F6" w:rsidP="000C1974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B121F6" w:rsidRDefault="00B121F6" w:rsidP="002B2E0F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Naplňování Akčního plánu na podporu malých a středních podniků a jeho aktualizace.</w:t>
            </w:r>
          </w:p>
          <w:p w:rsidR="00B121F6" w:rsidRPr="00B121F6" w:rsidRDefault="00B121F6" w:rsidP="002B2E0F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B121F6">
              <w:rPr>
                <w:rFonts w:cs="Arial"/>
                <w:b/>
                <w:color w:val="auto"/>
                <w:sz w:val="20"/>
                <w:szCs w:val="20"/>
              </w:rPr>
              <w:t>Indikátor: Zpráva o plnění AP</w:t>
            </w:r>
          </w:p>
        </w:tc>
        <w:tc>
          <w:tcPr>
            <w:tcW w:w="1732" w:type="dxa"/>
            <w:vAlign w:val="center"/>
          </w:tcPr>
          <w:p w:rsidR="00B121F6" w:rsidRPr="0024397E" w:rsidRDefault="00B121F6" w:rsidP="000C1974"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21F6" w:rsidRPr="0024397E" w:rsidRDefault="00B121F6" w:rsidP="002B2E0F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B121F6" w:rsidTr="000C1974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B121F6" w:rsidRDefault="00B121F6" w:rsidP="004947FD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B121F6" w:rsidRDefault="00B121F6" w:rsidP="004947FD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SP ČR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B121F6" w:rsidRDefault="00B121F6" w:rsidP="004947FD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Cíl: Iniciativa Průmysl 4.0</w:t>
            </w:r>
          </w:p>
          <w:p w:rsidR="00B121F6" w:rsidRDefault="00B121F6" w:rsidP="004947FD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13E0F">
              <w:rPr>
                <w:rFonts w:cs="Arial"/>
                <w:color w:val="000000"/>
                <w:sz w:val="20"/>
                <w:szCs w:val="20"/>
              </w:rPr>
              <w:t xml:space="preserve">MPO zpracuje ve spolupráci se SP ČR „Iniciativu Průmysl 4.0“ včetně návrhu opatření k jeho rozvoji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E13E0F">
              <w:rPr>
                <w:rFonts w:cs="Arial"/>
                <w:color w:val="000000"/>
                <w:sz w:val="20"/>
                <w:szCs w:val="20"/>
              </w:rPr>
              <w:t>a propagaci.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Iniciativa navazuje na Akční plán pro digitální ekonomiku a související opatření v oblasti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eCommerce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 dopadů na digitální ekonomiku.</w:t>
            </w:r>
          </w:p>
          <w:p w:rsidR="00B121F6" w:rsidRPr="00E13E0F" w:rsidRDefault="00B121F6" w:rsidP="004947F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E13E0F">
              <w:rPr>
                <w:rFonts w:cs="Arial"/>
                <w:b/>
                <w:color w:val="000000"/>
                <w:sz w:val="20"/>
                <w:szCs w:val="20"/>
              </w:rPr>
              <w:t xml:space="preserve">Indikátor: Vytvoření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i</w:t>
            </w:r>
            <w:r w:rsidRPr="00E13E0F">
              <w:rPr>
                <w:rFonts w:cs="Arial"/>
                <w:b/>
                <w:color w:val="000000"/>
                <w:sz w:val="20"/>
                <w:szCs w:val="20"/>
              </w:rPr>
              <w:t xml:space="preserve">niciativy,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včetně návrhu </w:t>
            </w:r>
            <w:r w:rsidRPr="00E13E0F">
              <w:rPr>
                <w:rFonts w:cs="Arial"/>
                <w:b/>
                <w:color w:val="000000"/>
                <w:sz w:val="20"/>
                <w:szCs w:val="20"/>
              </w:rPr>
              <w:t>propagace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br/>
              <w:t>a podrobného akčního plánu</w:t>
            </w:r>
          </w:p>
          <w:p w:rsidR="00B121F6" w:rsidRPr="0068371F" w:rsidRDefault="00B121F6" w:rsidP="004947FD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121F6" w:rsidRDefault="00B121F6" w:rsidP="004947F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21F6" w:rsidRDefault="00B121F6" w:rsidP="004947FD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2015/2016</w:t>
            </w:r>
          </w:p>
        </w:tc>
      </w:tr>
    </w:tbl>
    <w:p w:rsidR="008B5A30" w:rsidRDefault="008B5A30" w:rsidP="008B5A30">
      <w:pPr>
        <w:pStyle w:val="Nadpis2"/>
        <w:spacing w:before="360" w:after="240"/>
        <w:jc w:val="both"/>
        <w:sectPr w:rsidR="008B5A30" w:rsidSect="00BD32D0">
          <w:footerReference w:type="default" r:id="rId16"/>
          <w:footerReference w:type="first" r:id="rId17"/>
          <w:pgSz w:w="11900" w:h="16840"/>
          <w:pgMar w:top="1588" w:right="1588" w:bottom="1418" w:left="3175" w:header="708" w:footer="708" w:gutter="0"/>
          <w:cols w:space="708"/>
          <w:titlePg/>
          <w:docGrid w:linePitch="299"/>
        </w:sectPr>
      </w:pPr>
      <w:bookmarkStart w:id="17" w:name="_Toc393186716"/>
      <w:bookmarkStart w:id="18" w:name="_Toc389751456"/>
    </w:p>
    <w:p w:rsidR="004339F8" w:rsidRPr="008B5A30" w:rsidRDefault="00BB4BC7" w:rsidP="007011CA">
      <w:pPr>
        <w:pStyle w:val="Nadpis2"/>
        <w:spacing w:before="360" w:after="240"/>
      </w:pPr>
      <w:bookmarkStart w:id="19" w:name="_Toc435423990"/>
      <w:r>
        <w:lastRenderedPageBreak/>
        <w:t>Podpora exportu a cestovního ruch</w:t>
      </w:r>
      <w:bookmarkEnd w:id="17"/>
      <w:r w:rsidR="008B5A30">
        <w:t>u</w:t>
      </w:r>
      <w:bookmarkEnd w:id="19"/>
    </w:p>
    <w:tbl>
      <w:tblPr>
        <w:tblW w:w="9249" w:type="dxa"/>
        <w:jc w:val="right"/>
        <w:tblLayout w:type="fixed"/>
        <w:tblLook w:val="01E0"/>
      </w:tblPr>
      <w:tblGrid>
        <w:gridCol w:w="1176"/>
        <w:gridCol w:w="1572"/>
        <w:gridCol w:w="3509"/>
        <w:gridCol w:w="1732"/>
        <w:gridCol w:w="1260"/>
      </w:tblGrid>
      <w:tr w:rsidR="004339F8" w:rsidRPr="00FD6E1F" w:rsidTr="004339F8">
        <w:trPr>
          <w:tblHeader/>
          <w:jc w:val="right"/>
        </w:trPr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Gestor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proofErr w:type="spellStart"/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Spolugestor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Opatření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Možnosti financování cíle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Termín</w:t>
            </w:r>
          </w:p>
        </w:tc>
      </w:tr>
      <w:tr w:rsidR="004339F8" w:rsidRPr="00FD6E1F" w:rsidTr="004339F8">
        <w:trPr>
          <w:jc w:val="right"/>
        </w:trPr>
        <w:tc>
          <w:tcPr>
            <w:tcW w:w="1176" w:type="dxa"/>
            <w:shd w:val="clear" w:color="auto" w:fill="auto"/>
            <w:vAlign w:val="center"/>
          </w:tcPr>
          <w:p w:rsidR="004339F8" w:rsidRPr="00FD6E1F" w:rsidRDefault="004339F8" w:rsidP="004339F8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MZV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4339F8" w:rsidRPr="006940C1" w:rsidRDefault="004339F8" w:rsidP="004339F8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6940C1">
              <w:rPr>
                <w:rFonts w:cs="Arial"/>
                <w:b/>
                <w:color w:val="auto"/>
                <w:sz w:val="20"/>
                <w:szCs w:val="20"/>
              </w:rPr>
              <w:t>Cíl: Zefektivnění ekonomické diplomacie</w:t>
            </w:r>
            <w:r w:rsidRPr="006940C1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:rsidR="004947FD" w:rsidRPr="006940C1" w:rsidRDefault="004947FD" w:rsidP="004339F8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6940C1">
              <w:rPr>
                <w:rFonts w:cs="Arial"/>
                <w:color w:val="auto"/>
                <w:sz w:val="20"/>
                <w:szCs w:val="20"/>
              </w:rPr>
              <w:t xml:space="preserve">Posílení obchodních oddělení zastupitelských úřadů, a to s důrazem na mimoevropské země, zejména v oblasti Blízkého i Dálného východu, Jižní Ameriky, Afriky. </w:t>
            </w:r>
          </w:p>
          <w:p w:rsidR="004339F8" w:rsidRPr="006940C1" w:rsidRDefault="004339F8" w:rsidP="004339F8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6940C1">
              <w:rPr>
                <w:rFonts w:cs="Arial"/>
                <w:b/>
                <w:color w:val="auto"/>
                <w:sz w:val="20"/>
                <w:szCs w:val="20"/>
              </w:rPr>
              <w:t xml:space="preserve">Indikátor: </w:t>
            </w:r>
            <w:r w:rsidR="00C00FC5" w:rsidRPr="006940C1">
              <w:rPr>
                <w:rFonts w:cs="Arial"/>
                <w:b/>
                <w:color w:val="auto"/>
                <w:sz w:val="20"/>
                <w:szCs w:val="20"/>
              </w:rPr>
              <w:t>Navýšení financí pro ekonomickou diplomacii a počtu pracovníků v klíčových oblastech.  Nárůst počtu obchodních případů za asistence ZÚ. Zpětná vazba podnikatelů.</w:t>
            </w:r>
          </w:p>
          <w:p w:rsidR="00C00FC5" w:rsidRDefault="00C00FC5" w:rsidP="004339F8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6940C1" w:rsidRPr="00FD6E1F" w:rsidRDefault="006940C1" w:rsidP="004339F8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4339F8" w:rsidRPr="00FD6E1F" w:rsidRDefault="004339F8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2015</w:t>
            </w:r>
            <w:r w:rsidR="00AE5935">
              <w:rPr>
                <w:rFonts w:cs="Arial"/>
                <w:color w:val="000000"/>
                <w:sz w:val="20"/>
                <w:szCs w:val="20"/>
              </w:rPr>
              <w:t>/2016</w:t>
            </w:r>
          </w:p>
        </w:tc>
      </w:tr>
      <w:tr w:rsidR="004339F8" w:rsidRPr="00FD6E1F" w:rsidTr="004339F8">
        <w:trPr>
          <w:jc w:val="right"/>
        </w:trPr>
        <w:tc>
          <w:tcPr>
            <w:tcW w:w="1176" w:type="dxa"/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4339F8" w:rsidRPr="00FD6E1F" w:rsidRDefault="004339F8" w:rsidP="004339F8">
            <w:pPr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>Cíl: Posílení financování a pojištění exportu</w:t>
            </w:r>
            <w:r w:rsidRPr="00FD6E1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4339F8" w:rsidRPr="00FD6E1F" w:rsidRDefault="004339F8" w:rsidP="004339F8">
            <w:pPr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Navýšení prostředků a </w:t>
            </w:r>
            <w:proofErr w:type="spellStart"/>
            <w:r w:rsidRPr="00FD6E1F">
              <w:rPr>
                <w:rFonts w:cs="Arial"/>
                <w:color w:val="000000"/>
                <w:sz w:val="20"/>
                <w:szCs w:val="20"/>
              </w:rPr>
              <w:t>zefektiv</w:t>
            </w:r>
            <w:proofErr w:type="spellEnd"/>
            <w:r w:rsidRPr="00FD6E1F">
              <w:rPr>
                <w:rFonts w:cs="Arial"/>
                <w:color w:val="000000"/>
                <w:sz w:val="20"/>
                <w:szCs w:val="20"/>
              </w:rPr>
              <w:t>-</w:t>
            </w:r>
            <w:proofErr w:type="spellStart"/>
            <w:r w:rsidRPr="00FD6E1F">
              <w:rPr>
                <w:rFonts w:cs="Arial"/>
                <w:color w:val="000000"/>
                <w:sz w:val="20"/>
                <w:szCs w:val="20"/>
              </w:rPr>
              <w:t>nění</w:t>
            </w:r>
            <w:proofErr w:type="spellEnd"/>
            <w:r w:rsidRPr="00FD6E1F">
              <w:rPr>
                <w:rFonts w:cs="Arial"/>
                <w:color w:val="000000"/>
                <w:sz w:val="20"/>
                <w:szCs w:val="20"/>
              </w:rPr>
              <w:t xml:space="preserve">  podpory proexportního financování a pojišťování v rámci ČEB a EGAP.</w:t>
            </w:r>
          </w:p>
          <w:p w:rsidR="004339F8" w:rsidRPr="0024397E" w:rsidRDefault="004339F8" w:rsidP="004339F8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>Indikátor: Zvýšit podíl MSP v klientech EGAP o 5 % v r. 2015. Při stejném objemu prostředků, o 5 % vyšší počet obchodních případů.</w:t>
            </w:r>
            <w:r w:rsidR="001E119A" w:rsidRPr="0024397E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</w:p>
          <w:p w:rsidR="004339F8" w:rsidRDefault="004339F8" w:rsidP="004339F8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6940C1" w:rsidRPr="00FD6E1F" w:rsidRDefault="006940C1" w:rsidP="004339F8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4339F8" w:rsidRPr="00FD6E1F" w:rsidRDefault="004339F8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2015</w:t>
            </w:r>
            <w:r>
              <w:rPr>
                <w:rFonts w:cs="Arial"/>
                <w:color w:val="000000"/>
                <w:sz w:val="20"/>
                <w:szCs w:val="20"/>
              </w:rPr>
              <w:t>/</w:t>
            </w:r>
            <w:r w:rsidR="00C27B7B"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9717B0" w:rsidRPr="00FD6E1F" w:rsidTr="004339F8">
        <w:trPr>
          <w:jc w:val="right"/>
        </w:trPr>
        <w:tc>
          <w:tcPr>
            <w:tcW w:w="1176" w:type="dxa"/>
            <w:shd w:val="clear" w:color="auto" w:fill="auto"/>
            <w:vAlign w:val="center"/>
          </w:tcPr>
          <w:p w:rsidR="009717B0" w:rsidRDefault="009717B0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MPO, ČEB, EGAP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9717B0" w:rsidRPr="00FD6E1F" w:rsidRDefault="009717B0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9717B0" w:rsidRDefault="009717B0" w:rsidP="009717B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Zavedení resp. rozšíření vhodných forem exportního financování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a pojištění pro MSP.</w:t>
            </w:r>
          </w:p>
          <w:p w:rsidR="009717B0" w:rsidRPr="009717B0" w:rsidRDefault="009717B0" w:rsidP="009717B0">
            <w:pPr>
              <w:rPr>
                <w:rFonts w:cs="Arial"/>
                <w:b/>
                <w:sz w:val="20"/>
                <w:szCs w:val="20"/>
              </w:rPr>
            </w:pPr>
            <w:r w:rsidRPr="009717B0">
              <w:rPr>
                <w:rFonts w:cs="Arial"/>
                <w:b/>
                <w:sz w:val="20"/>
                <w:szCs w:val="20"/>
              </w:rPr>
              <w:t>Indikátor: Portfolio nových forem exportního financování a pojištění</w:t>
            </w:r>
          </w:p>
          <w:p w:rsidR="00B121F6" w:rsidRDefault="00B121F6" w:rsidP="009717B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B121F6" w:rsidRDefault="00B121F6" w:rsidP="009717B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6940C1" w:rsidRDefault="006940C1" w:rsidP="009717B0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6940C1" w:rsidRPr="009717B0" w:rsidRDefault="006940C1" w:rsidP="009717B0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9717B0" w:rsidRDefault="008B5A30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17B0" w:rsidRDefault="008B5A30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4339F8" w:rsidRPr="00FD6E1F" w:rsidTr="004339F8">
        <w:trPr>
          <w:jc w:val="right"/>
        </w:trPr>
        <w:tc>
          <w:tcPr>
            <w:tcW w:w="1176" w:type="dxa"/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MPO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4339F8" w:rsidRDefault="004339F8" w:rsidP="004339F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Cíl: Podpora internacionalizace MSP</w:t>
            </w:r>
          </w:p>
          <w:p w:rsidR="004339F8" w:rsidRDefault="004339F8" w:rsidP="004339F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Zapojení MSP do mezinárodních programů jako např. v oblasti výzkumné spolupráce (Horizont 2020, COSME)</w:t>
            </w:r>
          </w:p>
          <w:p w:rsidR="004339F8" w:rsidRDefault="004339F8" w:rsidP="004339F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4339F8">
              <w:rPr>
                <w:rFonts w:cs="Arial"/>
                <w:b/>
                <w:color w:val="000000"/>
                <w:sz w:val="20"/>
                <w:szCs w:val="20"/>
              </w:rPr>
              <w:t>Indikátor: Vypsání výzev, Počet podpořených podniků.</w:t>
            </w:r>
          </w:p>
          <w:p w:rsidR="004339F8" w:rsidRDefault="004339F8" w:rsidP="004339F8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B121F6" w:rsidRPr="004339F8" w:rsidRDefault="00B121F6" w:rsidP="004339F8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4339F8" w:rsidRPr="00FD6E1F" w:rsidRDefault="004339F8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OP PIK, 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39F8" w:rsidRDefault="001E119A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2015/2016</w:t>
            </w:r>
          </w:p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Průběžně</w:t>
            </w:r>
          </w:p>
        </w:tc>
      </w:tr>
      <w:tr w:rsidR="004339F8" w:rsidRPr="00FD6E1F" w:rsidTr="004339F8">
        <w:trPr>
          <w:jc w:val="right"/>
        </w:trPr>
        <w:tc>
          <w:tcPr>
            <w:tcW w:w="1176" w:type="dxa"/>
            <w:shd w:val="clear" w:color="auto" w:fill="auto"/>
            <w:vAlign w:val="center"/>
          </w:tcPr>
          <w:p w:rsidR="004339F8" w:rsidRDefault="004339F8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339F8" w:rsidRPr="00FD6E1F" w:rsidRDefault="004339F8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4339F8" w:rsidRDefault="004339F8" w:rsidP="004339F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Příprava a vyhlášení výzev programů podpory směřující k internacionalizaci MSP</w:t>
            </w:r>
          </w:p>
          <w:p w:rsidR="009717B0" w:rsidRDefault="009717B0" w:rsidP="004339F8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9717B0">
              <w:rPr>
                <w:rFonts w:cs="Arial"/>
                <w:b/>
                <w:color w:val="000000"/>
                <w:sz w:val="20"/>
                <w:szCs w:val="20"/>
              </w:rPr>
              <w:t>Indikátor: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Vypsání výzev</w:t>
            </w:r>
            <w:r w:rsidR="00ED2172">
              <w:rPr>
                <w:rFonts w:cs="Arial"/>
                <w:b/>
                <w:color w:val="000000"/>
                <w:sz w:val="20"/>
                <w:szCs w:val="20"/>
              </w:rPr>
              <w:t xml:space="preserve"> z PO 2 OP PIK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, Počet podpořených podniků</w:t>
            </w:r>
          </w:p>
          <w:p w:rsidR="00BF0AD0" w:rsidRDefault="00BF0AD0" w:rsidP="004339F8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B121F6" w:rsidRPr="009717B0" w:rsidRDefault="00B121F6" w:rsidP="004339F8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4339F8" w:rsidRDefault="004339F8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OP PIK,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39F8" w:rsidRDefault="009717B0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2015</w:t>
            </w:r>
            <w:r w:rsidR="001E119A">
              <w:rPr>
                <w:rFonts w:cs="Arial"/>
                <w:color w:val="000000"/>
                <w:sz w:val="20"/>
                <w:szCs w:val="20"/>
              </w:rPr>
              <w:t>/2016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Průběžně</w:t>
            </w:r>
          </w:p>
        </w:tc>
      </w:tr>
      <w:tr w:rsidR="00BF0AD0" w:rsidRPr="00FD6E1F" w:rsidTr="004339F8">
        <w:trPr>
          <w:jc w:val="right"/>
        </w:trPr>
        <w:tc>
          <w:tcPr>
            <w:tcW w:w="1176" w:type="dxa"/>
            <w:shd w:val="clear" w:color="auto" w:fill="auto"/>
            <w:vAlign w:val="center"/>
          </w:tcPr>
          <w:p w:rsidR="00BF0AD0" w:rsidRDefault="00BF0AD0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MPO</w:t>
            </w:r>
          </w:p>
          <w:p w:rsidR="00BF0AD0" w:rsidRDefault="00BF0AD0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BF0AD0" w:rsidRPr="00FD6E1F" w:rsidRDefault="00BF0AD0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BF0AD0" w:rsidRPr="00BF0AD0" w:rsidRDefault="00BF0AD0" w:rsidP="00BF0AD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BF0AD0">
              <w:rPr>
                <w:rFonts w:cs="Arial"/>
                <w:b/>
                <w:color w:val="000000"/>
                <w:sz w:val="20"/>
                <w:szCs w:val="20"/>
              </w:rPr>
              <w:t xml:space="preserve">Cíl: Sdružování MSP do klastrů a konsorcií </w:t>
            </w:r>
          </w:p>
          <w:p w:rsidR="00BF0AD0" w:rsidRDefault="00ED2172" w:rsidP="00BF0AD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Podpora</w:t>
            </w:r>
            <w:r w:rsidR="00BF0AD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rozvoje stávajících  klastrů.</w:t>
            </w:r>
          </w:p>
          <w:p w:rsidR="00BF0AD0" w:rsidRDefault="00BF0AD0" w:rsidP="00BF0AD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BF0AD0">
              <w:rPr>
                <w:rFonts w:cs="Arial"/>
                <w:b/>
                <w:color w:val="000000"/>
                <w:sz w:val="20"/>
                <w:szCs w:val="20"/>
              </w:rPr>
              <w:t>Indikátor: Vypsání výzev OP PIK, Počet podpořených podniků</w:t>
            </w:r>
          </w:p>
          <w:p w:rsidR="00ED2172" w:rsidRPr="00BF0AD0" w:rsidRDefault="00ED2172" w:rsidP="00BF0AD0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BF0AD0" w:rsidRDefault="00ED2172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OP PIK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0AD0" w:rsidRDefault="00ED2172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2015</w:t>
            </w:r>
            <w:r w:rsidR="001E119A">
              <w:rPr>
                <w:rFonts w:cs="Arial"/>
                <w:color w:val="000000"/>
                <w:sz w:val="20"/>
                <w:szCs w:val="20"/>
              </w:rPr>
              <w:t>/2016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Průběžně</w:t>
            </w:r>
          </w:p>
        </w:tc>
      </w:tr>
      <w:tr w:rsidR="00ED2172" w:rsidRPr="00FD6E1F" w:rsidTr="004339F8">
        <w:trPr>
          <w:jc w:val="right"/>
        </w:trPr>
        <w:tc>
          <w:tcPr>
            <w:tcW w:w="1176" w:type="dxa"/>
            <w:shd w:val="clear" w:color="auto" w:fill="auto"/>
            <w:vAlign w:val="center"/>
          </w:tcPr>
          <w:p w:rsidR="00ED2172" w:rsidRDefault="00ED2172" w:rsidP="00ED217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ČEB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D2172" w:rsidRPr="00FD6E1F" w:rsidRDefault="00ED2172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ED2172" w:rsidRDefault="00ED2172" w:rsidP="00BF0AD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Poskytování záruky za veřejné zakázky v zahraničí.</w:t>
            </w:r>
          </w:p>
          <w:p w:rsidR="00ED2172" w:rsidRDefault="00ED2172" w:rsidP="00BF0AD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ED2172">
              <w:rPr>
                <w:rFonts w:cs="Arial"/>
                <w:b/>
                <w:color w:val="000000"/>
                <w:sz w:val="20"/>
                <w:szCs w:val="20"/>
              </w:rPr>
              <w:t>Indikátor: Počet poskytnutých záruk</w:t>
            </w:r>
          </w:p>
          <w:p w:rsidR="00ED2172" w:rsidRDefault="00ED2172" w:rsidP="00BF0AD0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B121F6" w:rsidRPr="00ED2172" w:rsidRDefault="00B121F6" w:rsidP="00BF0AD0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ED2172" w:rsidRDefault="00ED2172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2172" w:rsidRDefault="00ED2172" w:rsidP="00ED217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Průběžně</w:t>
            </w:r>
          </w:p>
        </w:tc>
      </w:tr>
      <w:tr w:rsidR="00ED2172" w:rsidRPr="00FD6E1F" w:rsidTr="004339F8">
        <w:trPr>
          <w:jc w:val="right"/>
        </w:trPr>
        <w:tc>
          <w:tcPr>
            <w:tcW w:w="1176" w:type="dxa"/>
            <w:shd w:val="clear" w:color="auto" w:fill="auto"/>
            <w:vAlign w:val="center"/>
          </w:tcPr>
          <w:p w:rsidR="00ED2172" w:rsidRPr="00C27B7B" w:rsidRDefault="00ED2172" w:rsidP="00ED217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C27B7B">
              <w:rPr>
                <w:rFonts w:cs="Arial"/>
                <w:color w:val="000000"/>
                <w:sz w:val="20"/>
                <w:szCs w:val="20"/>
              </w:rPr>
              <w:t>Czech</w:t>
            </w:r>
            <w:proofErr w:type="spellEnd"/>
            <w:r w:rsidR="00C27B7B">
              <w:rPr>
                <w:rFonts w:cs="Arial"/>
                <w:color w:val="000000"/>
                <w:sz w:val="20"/>
                <w:szCs w:val="20"/>
              </w:rPr>
              <w:t>-</w:t>
            </w:r>
            <w:proofErr w:type="spellStart"/>
            <w:r w:rsidRPr="00C27B7B">
              <w:rPr>
                <w:rFonts w:cs="Arial"/>
                <w:color w:val="000000"/>
                <w:sz w:val="20"/>
                <w:szCs w:val="20"/>
              </w:rPr>
              <w:t>Invest</w:t>
            </w:r>
            <w:proofErr w:type="spellEnd"/>
          </w:p>
          <w:p w:rsidR="00ED2172" w:rsidRPr="00ED2172" w:rsidRDefault="00ED2172" w:rsidP="00ED217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EEN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ED2172" w:rsidRDefault="00ED2172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ED2172" w:rsidRPr="00FD6E1F" w:rsidRDefault="00ED2172" w:rsidP="00ED2172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ED2172" w:rsidRPr="0024397E" w:rsidRDefault="00ED2172" w:rsidP="00BF0AD0">
            <w:pPr>
              <w:rPr>
                <w:rFonts w:cs="Arial"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color w:val="auto"/>
                <w:sz w:val="20"/>
                <w:szCs w:val="20"/>
              </w:rPr>
              <w:t xml:space="preserve">Podpora MSP při získávání zakázek od národních společností </w:t>
            </w:r>
            <w:r w:rsidRPr="0024397E">
              <w:rPr>
                <w:rFonts w:cs="Arial"/>
                <w:color w:val="auto"/>
                <w:sz w:val="20"/>
                <w:szCs w:val="20"/>
              </w:rPr>
              <w:br/>
              <w:t>a přicházejících investorů</w:t>
            </w:r>
            <w:r w:rsidR="00C27B7B" w:rsidRPr="0024397E">
              <w:rPr>
                <w:rFonts w:cs="Arial"/>
                <w:color w:val="auto"/>
                <w:sz w:val="20"/>
                <w:szCs w:val="20"/>
              </w:rPr>
              <w:t>.</w:t>
            </w:r>
          </w:p>
          <w:p w:rsidR="00ED2172" w:rsidRPr="001E119A" w:rsidRDefault="001E119A" w:rsidP="007011CA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 xml:space="preserve">Indikátor: </w:t>
            </w: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br/>
            </w:r>
            <w:r w:rsidR="00ED2172" w:rsidRPr="0024397E">
              <w:rPr>
                <w:rFonts w:cs="Arial"/>
                <w:b/>
                <w:color w:val="auto"/>
                <w:sz w:val="20"/>
                <w:szCs w:val="20"/>
              </w:rPr>
              <w:t xml:space="preserve">Pořádání dodavatelských fór, </w:t>
            </w:r>
            <w:r w:rsidR="007011CA" w:rsidRPr="0024397E">
              <w:rPr>
                <w:rFonts w:cs="Arial"/>
                <w:b/>
                <w:color w:val="auto"/>
                <w:sz w:val="20"/>
                <w:szCs w:val="20"/>
              </w:rPr>
              <w:br/>
            </w:r>
            <w:r w:rsidR="00AE5935" w:rsidRPr="0024397E">
              <w:rPr>
                <w:rFonts w:cs="Arial"/>
                <w:b/>
                <w:color w:val="auto"/>
                <w:sz w:val="20"/>
                <w:szCs w:val="20"/>
              </w:rPr>
              <w:t>d</w:t>
            </w:r>
            <w:r w:rsidR="00ED2172" w:rsidRPr="0024397E">
              <w:rPr>
                <w:rFonts w:cs="Arial"/>
                <w:b/>
                <w:color w:val="auto"/>
                <w:sz w:val="20"/>
                <w:szCs w:val="20"/>
              </w:rPr>
              <w:t>atabáze dodavatelů a analytické interpretace tržních informací</w:t>
            </w: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br/>
            </w:r>
          </w:p>
          <w:p w:rsidR="00C27B7B" w:rsidRPr="00E470D4" w:rsidRDefault="00C27B7B" w:rsidP="00E470D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ED2172" w:rsidRDefault="00ED2172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D2172" w:rsidRDefault="00ED2172" w:rsidP="00ED217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  <w:r>
              <w:rPr>
                <w:rFonts w:cs="Arial"/>
                <w:color w:val="000000"/>
                <w:sz w:val="20"/>
                <w:szCs w:val="20"/>
              </w:rPr>
              <w:br/>
              <w:t>Průběžně</w:t>
            </w:r>
          </w:p>
        </w:tc>
      </w:tr>
      <w:tr w:rsidR="00C27B7B" w:rsidRPr="00FD6E1F" w:rsidTr="004339F8">
        <w:trPr>
          <w:jc w:val="right"/>
        </w:trPr>
        <w:tc>
          <w:tcPr>
            <w:tcW w:w="1176" w:type="dxa"/>
            <w:shd w:val="clear" w:color="auto" w:fill="auto"/>
            <w:vAlign w:val="center"/>
          </w:tcPr>
          <w:p w:rsidR="004B5AEF" w:rsidRPr="00C27B7B" w:rsidRDefault="00115B75" w:rsidP="004B5A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MMR, </w:t>
            </w:r>
            <w:proofErr w:type="spellStart"/>
            <w:r w:rsidR="00C27B7B">
              <w:rPr>
                <w:rFonts w:cs="Arial"/>
                <w:color w:val="000000"/>
                <w:sz w:val="20"/>
                <w:szCs w:val="20"/>
              </w:rPr>
              <w:t>Czech</w:t>
            </w:r>
            <w:proofErr w:type="spellEnd"/>
            <w:r w:rsidR="00C27B7B">
              <w:rPr>
                <w:rFonts w:cs="Arial"/>
                <w:color w:val="000000"/>
                <w:sz w:val="20"/>
                <w:szCs w:val="20"/>
              </w:rPr>
              <w:t>-</w:t>
            </w:r>
            <w:proofErr w:type="spellStart"/>
            <w:r w:rsidR="00C27B7B">
              <w:rPr>
                <w:rFonts w:cs="Arial"/>
                <w:color w:val="000000"/>
                <w:sz w:val="20"/>
                <w:szCs w:val="20"/>
              </w:rPr>
              <w:t>Tourism</w:t>
            </w:r>
            <w:proofErr w:type="spellEnd"/>
          </w:p>
        </w:tc>
        <w:tc>
          <w:tcPr>
            <w:tcW w:w="1572" w:type="dxa"/>
            <w:shd w:val="clear" w:color="auto" w:fill="auto"/>
            <w:vAlign w:val="center"/>
          </w:tcPr>
          <w:p w:rsidR="00C27B7B" w:rsidRDefault="00C27B7B" w:rsidP="004339F8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C27B7B" w:rsidRPr="00C27B7B" w:rsidRDefault="00C27B7B" w:rsidP="00BF0AD0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C27B7B">
              <w:rPr>
                <w:rFonts w:cs="Arial"/>
                <w:b/>
                <w:color w:val="000000"/>
                <w:sz w:val="20"/>
                <w:szCs w:val="20"/>
              </w:rPr>
              <w:t>Cíl: Podpora cestovního ruchu</w:t>
            </w:r>
          </w:p>
          <w:p w:rsidR="004B5AEF" w:rsidRPr="004D7DF4" w:rsidRDefault="00DA1176" w:rsidP="004B5AEF">
            <w:pPr>
              <w:tabs>
                <w:tab w:val="num" w:pos="108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Koncepční přístup k podpoře cestovního ruchu, včetně vytvoření nových produktů.</w:t>
            </w:r>
          </w:p>
          <w:p w:rsidR="00152C07" w:rsidRPr="00C27B7B" w:rsidRDefault="00C27B7B" w:rsidP="00DA1176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C27B7B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 w:rsidR="004B5AEF" w:rsidRPr="004D7DF4">
              <w:rPr>
                <w:rFonts w:cs="Arial"/>
                <w:b/>
                <w:sz w:val="20"/>
                <w:szCs w:val="20"/>
              </w:rPr>
              <w:t>Národní program podpory cestovního ruchu 2016</w:t>
            </w:r>
            <w:r w:rsidR="004B5AE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4B5AEF">
              <w:rPr>
                <w:rFonts w:cs="Arial"/>
                <w:b/>
                <w:color w:val="000000"/>
                <w:sz w:val="20"/>
                <w:szCs w:val="20"/>
              </w:rPr>
              <w:t>Akční plán pro cestovní ruch na  rok 2016–2017</w:t>
            </w:r>
          </w:p>
        </w:tc>
        <w:tc>
          <w:tcPr>
            <w:tcW w:w="1732" w:type="dxa"/>
            <w:vAlign w:val="center"/>
          </w:tcPr>
          <w:p w:rsidR="00C27B7B" w:rsidRDefault="00C27B7B" w:rsidP="004339F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7B7B" w:rsidRDefault="00C27B7B" w:rsidP="00ED2172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</w:tbl>
    <w:p w:rsidR="00152C07" w:rsidRDefault="00152C07" w:rsidP="002F33BC"/>
    <w:p w:rsidR="00152C07" w:rsidRDefault="00152C07" w:rsidP="002F33BC"/>
    <w:p w:rsidR="00152C07" w:rsidRDefault="001E119A" w:rsidP="002F33BC">
      <w:r>
        <w:br/>
      </w:r>
    </w:p>
    <w:p w:rsidR="001E119A" w:rsidRDefault="001E119A" w:rsidP="002F33BC"/>
    <w:p w:rsidR="001E119A" w:rsidRDefault="001E119A" w:rsidP="002F33BC"/>
    <w:p w:rsidR="001E119A" w:rsidRDefault="001E119A" w:rsidP="002F33BC"/>
    <w:p w:rsidR="00926CDE" w:rsidRDefault="001E119A" w:rsidP="008B5A30">
      <w:pPr>
        <w:pStyle w:val="Nadpis2"/>
        <w:spacing w:before="120" w:after="240"/>
        <w:jc w:val="both"/>
      </w:pPr>
      <w:r>
        <w:br w:type="column"/>
      </w:r>
      <w:bookmarkStart w:id="20" w:name="_Toc435423991"/>
      <w:r w:rsidR="00232FDB">
        <w:lastRenderedPageBreak/>
        <w:t>Podpora zahraničních</w:t>
      </w:r>
      <w:r w:rsidR="00AA2731">
        <w:t xml:space="preserve"> a </w:t>
      </w:r>
      <w:r w:rsidR="00232FDB">
        <w:t>domácích soukromých investic</w:t>
      </w:r>
      <w:bookmarkEnd w:id="18"/>
      <w:bookmarkEnd w:id="20"/>
    </w:p>
    <w:p w:rsidR="00232FDB" w:rsidRPr="001A6B4A" w:rsidRDefault="00232FDB" w:rsidP="00C85589">
      <w:pPr>
        <w:pStyle w:val="MarginTable"/>
      </w:pPr>
    </w:p>
    <w:tbl>
      <w:tblPr>
        <w:tblW w:w="9286" w:type="dxa"/>
        <w:jc w:val="right"/>
        <w:tblLayout w:type="fixed"/>
        <w:tblLook w:val="01E0"/>
      </w:tblPr>
      <w:tblGrid>
        <w:gridCol w:w="1130"/>
        <w:gridCol w:w="1655"/>
        <w:gridCol w:w="3509"/>
        <w:gridCol w:w="1732"/>
        <w:gridCol w:w="1260"/>
      </w:tblGrid>
      <w:tr w:rsidR="00D10808" w:rsidRPr="00FD6E1F" w:rsidTr="00FD6E1F">
        <w:trPr>
          <w:tblHeader/>
          <w:jc w:val="right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808" w:rsidRPr="00FD6E1F" w:rsidRDefault="00D10808" w:rsidP="00FD6E1F">
            <w:pPr>
              <w:spacing w:after="0"/>
              <w:jc w:val="center"/>
              <w:rPr>
                <w:rFonts w:cs="Calibri"/>
                <w:b/>
                <w:smallCaps/>
                <w:color w:val="000080"/>
              </w:rPr>
            </w:pPr>
            <w:r w:rsidRPr="00FD6E1F">
              <w:rPr>
                <w:rFonts w:cs="Calibri"/>
                <w:b/>
                <w:smallCaps/>
                <w:color w:val="000080"/>
              </w:rPr>
              <w:t>Gestor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808" w:rsidRPr="00FD6E1F" w:rsidRDefault="00D10808" w:rsidP="00FD6E1F">
            <w:pPr>
              <w:spacing w:after="0"/>
              <w:jc w:val="center"/>
              <w:rPr>
                <w:rFonts w:cs="Calibri"/>
                <w:b/>
                <w:smallCaps/>
                <w:color w:val="000080"/>
              </w:rPr>
            </w:pPr>
            <w:proofErr w:type="spellStart"/>
            <w:r w:rsidRPr="00FD6E1F">
              <w:rPr>
                <w:rFonts w:cs="Calibri"/>
                <w:b/>
                <w:smallCaps/>
                <w:color w:val="000080"/>
              </w:rPr>
              <w:t>Spolugestor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808" w:rsidRPr="00FD6E1F" w:rsidRDefault="00D10808" w:rsidP="00FD6E1F">
            <w:pPr>
              <w:spacing w:after="0"/>
              <w:jc w:val="center"/>
              <w:rPr>
                <w:rFonts w:cs="Calibri"/>
                <w:b/>
                <w:smallCaps/>
                <w:color w:val="000080"/>
              </w:rPr>
            </w:pPr>
            <w:r w:rsidRPr="00FD6E1F">
              <w:rPr>
                <w:rFonts w:cs="Calibri"/>
                <w:b/>
                <w:smallCaps/>
                <w:color w:val="000080"/>
              </w:rPr>
              <w:t>Opatření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D10808" w:rsidRPr="00FD6E1F" w:rsidRDefault="00C63D7C" w:rsidP="00FD6E1F">
            <w:pPr>
              <w:spacing w:after="0"/>
              <w:jc w:val="center"/>
              <w:rPr>
                <w:rFonts w:cs="Calibri"/>
                <w:b/>
                <w:smallCaps/>
                <w:color w:val="000080"/>
              </w:rPr>
            </w:pPr>
            <w:r w:rsidRPr="00FD6E1F">
              <w:rPr>
                <w:rFonts w:cs="Calibri"/>
                <w:b/>
                <w:smallCaps/>
                <w:color w:val="000080"/>
              </w:rPr>
              <w:t>Možnosti financování</w:t>
            </w:r>
            <w:r w:rsidR="00955B4C" w:rsidRPr="00FD6E1F">
              <w:rPr>
                <w:rFonts w:cs="Calibri"/>
                <w:b/>
                <w:smallCaps/>
                <w:color w:val="000080"/>
              </w:rPr>
              <w:t xml:space="preserve"> cíle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808" w:rsidRPr="00FD6E1F" w:rsidRDefault="00D10808" w:rsidP="00FD6E1F">
            <w:pPr>
              <w:spacing w:after="0"/>
              <w:jc w:val="center"/>
              <w:rPr>
                <w:rFonts w:cs="Calibri"/>
                <w:b/>
                <w:smallCaps/>
                <w:color w:val="000080"/>
              </w:rPr>
            </w:pPr>
            <w:r w:rsidRPr="00FD6E1F">
              <w:rPr>
                <w:rFonts w:cs="Calibri"/>
                <w:b/>
                <w:smallCaps/>
                <w:color w:val="000080"/>
              </w:rPr>
              <w:t>Termín</w:t>
            </w:r>
          </w:p>
        </w:tc>
      </w:tr>
      <w:tr w:rsidR="00106E80" w:rsidRPr="00075D88" w:rsidTr="00FD6E1F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106E80" w:rsidRPr="008B5A30" w:rsidRDefault="00535DFF" w:rsidP="006F0B05">
            <w:pPr>
              <w:spacing w:after="0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8B5A30">
              <w:rPr>
                <w:rFonts w:cs="Calibri"/>
                <w:color w:val="auto"/>
                <w:sz w:val="20"/>
                <w:szCs w:val="20"/>
              </w:rPr>
              <w:t>MMR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106E80" w:rsidRPr="008B5A30" w:rsidRDefault="00106E80" w:rsidP="00535DFF">
            <w:pPr>
              <w:spacing w:after="0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8B5A30">
              <w:rPr>
                <w:rFonts w:cs="Calibri"/>
                <w:color w:val="auto"/>
                <w:sz w:val="20"/>
                <w:szCs w:val="20"/>
              </w:rPr>
              <w:t>M</w:t>
            </w:r>
            <w:r w:rsidR="00535DFF" w:rsidRPr="008B5A30">
              <w:rPr>
                <w:rFonts w:cs="Calibri"/>
                <w:color w:val="auto"/>
                <w:sz w:val="20"/>
                <w:szCs w:val="20"/>
              </w:rPr>
              <w:t>ŽP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35DFF" w:rsidRPr="008B5A30" w:rsidRDefault="00535DFF" w:rsidP="00535DFF">
            <w:pPr>
              <w:spacing w:before="120"/>
              <w:rPr>
                <w:rFonts w:cs="Calibri"/>
                <w:color w:val="auto"/>
                <w:sz w:val="20"/>
                <w:szCs w:val="20"/>
              </w:rPr>
            </w:pPr>
            <w:r w:rsidRPr="008B5A30">
              <w:rPr>
                <w:rFonts w:cs="Calibri"/>
                <w:b/>
                <w:color w:val="auto"/>
                <w:sz w:val="20"/>
                <w:szCs w:val="20"/>
              </w:rPr>
              <w:t>Cíl: Vytvoření administrativně a časově co nejméně náročné podmínky pro realizaci výstavby</w:t>
            </w:r>
            <w:r w:rsidRPr="008B5A30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</w:p>
          <w:p w:rsidR="00E21D37" w:rsidRPr="00E21D37" w:rsidRDefault="00E21D37" w:rsidP="00E21D37">
            <w:pPr>
              <w:spacing w:before="120"/>
              <w:rPr>
                <w:rFonts w:cs="Calibri"/>
                <w:color w:val="auto"/>
                <w:sz w:val="20"/>
                <w:szCs w:val="20"/>
              </w:rPr>
            </w:pPr>
            <w:r w:rsidRPr="00E21D37">
              <w:rPr>
                <w:rFonts w:cs="Calibri"/>
                <w:color w:val="auto"/>
                <w:sz w:val="20"/>
                <w:szCs w:val="20"/>
              </w:rPr>
              <w:t>V rámci novely stavebního zákona dojde k integraci posuzování vlivů na životní prostředí do územního řízení a do koordinovaného řízení. Lhůty pro vydání územního rozhodnutí s posouzením vlivů na životní prostředí jsou stanoveny jako pro samostatné územní řízení (rozhodnutí musí být vydáno do 60 nejdéle do 90 dnů).</w:t>
            </w:r>
          </w:p>
          <w:p w:rsidR="00E21D37" w:rsidRDefault="00E21D37" w:rsidP="00E21D37">
            <w:pPr>
              <w:spacing w:before="120"/>
              <w:rPr>
                <w:rFonts w:cs="Calibri"/>
                <w:color w:val="auto"/>
                <w:sz w:val="20"/>
                <w:szCs w:val="20"/>
              </w:rPr>
            </w:pPr>
            <w:r w:rsidRPr="00E21D37">
              <w:rPr>
                <w:rFonts w:cs="Calibri"/>
                <w:color w:val="auto"/>
                <w:sz w:val="20"/>
                <w:szCs w:val="20"/>
              </w:rPr>
              <w:t>Lhůty pro vydání koordinovaného povolení s posouzením vlivů na životní prostředí jsou stanoveny tak, že koordinované povolení musí být vydáno ve lhůtě do 90 dnů, nejdéle do 120 dnů ode dne zahájení řízení.</w:t>
            </w:r>
          </w:p>
          <w:p w:rsidR="00C85589" w:rsidRDefault="00535DFF" w:rsidP="00E21D37">
            <w:pPr>
              <w:spacing w:before="120"/>
              <w:rPr>
                <w:rFonts w:cs="Calibri"/>
                <w:b/>
                <w:color w:val="auto"/>
                <w:sz w:val="20"/>
                <w:szCs w:val="20"/>
              </w:rPr>
            </w:pPr>
            <w:r w:rsidRPr="008B5A30">
              <w:rPr>
                <w:rFonts w:cs="Calibri"/>
                <w:b/>
                <w:color w:val="auto"/>
                <w:sz w:val="20"/>
                <w:szCs w:val="20"/>
              </w:rPr>
              <w:t xml:space="preserve">Indikátor: Schválení </w:t>
            </w:r>
            <w:r w:rsidR="001E119A">
              <w:rPr>
                <w:rFonts w:cs="Calibri"/>
                <w:b/>
                <w:color w:val="auto"/>
                <w:sz w:val="20"/>
                <w:szCs w:val="20"/>
              </w:rPr>
              <w:t>a příprava na i</w:t>
            </w:r>
            <w:r w:rsidR="00892510">
              <w:rPr>
                <w:rFonts w:cs="Calibri"/>
                <w:b/>
                <w:color w:val="auto"/>
                <w:sz w:val="20"/>
                <w:szCs w:val="20"/>
              </w:rPr>
              <w:t>mplementac</w:t>
            </w:r>
            <w:r w:rsidR="002D7BA7">
              <w:rPr>
                <w:rFonts w:cs="Calibri"/>
                <w:b/>
                <w:color w:val="auto"/>
                <w:sz w:val="20"/>
                <w:szCs w:val="20"/>
              </w:rPr>
              <w:t>i</w:t>
            </w:r>
            <w:r w:rsidR="0089251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8B5A30">
              <w:rPr>
                <w:rFonts w:cs="Calibri"/>
                <w:b/>
                <w:color w:val="auto"/>
                <w:sz w:val="20"/>
                <w:szCs w:val="20"/>
              </w:rPr>
              <w:t>novely zákona</w:t>
            </w:r>
            <w:r w:rsidR="00FD6E1F" w:rsidRPr="008B5A30">
              <w:rPr>
                <w:rFonts w:cs="Calibri"/>
                <w:b/>
                <w:color w:val="auto"/>
                <w:sz w:val="20"/>
                <w:szCs w:val="20"/>
              </w:rPr>
              <w:t>.</w:t>
            </w:r>
            <w:r w:rsidR="001E119A">
              <w:rPr>
                <w:rFonts w:cs="Calibri"/>
                <w:b/>
                <w:color w:val="auto"/>
                <w:sz w:val="20"/>
                <w:szCs w:val="20"/>
              </w:rPr>
              <w:t xml:space="preserve"> Zkrácení lhůt</w:t>
            </w:r>
            <w:r w:rsidR="00E21D37">
              <w:rPr>
                <w:rFonts w:cs="Calibri"/>
                <w:b/>
                <w:color w:val="auto"/>
                <w:sz w:val="20"/>
                <w:szCs w:val="20"/>
              </w:rPr>
              <w:t>.</w:t>
            </w:r>
          </w:p>
          <w:p w:rsidR="00A3312B" w:rsidRPr="008B5A30" w:rsidRDefault="00A3312B" w:rsidP="006F0B05">
            <w:pPr>
              <w:spacing w:before="120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106E80" w:rsidRPr="008B5A30" w:rsidRDefault="00106E80" w:rsidP="006F0B05">
            <w:pPr>
              <w:spacing w:before="120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8B5A30">
              <w:rPr>
                <w:rFonts w:cs="Calibri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06E80" w:rsidRPr="008B5A30" w:rsidRDefault="00106E80" w:rsidP="006F0B05">
            <w:pPr>
              <w:spacing w:before="120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8B5A30">
              <w:rPr>
                <w:rFonts w:cs="Calibri"/>
                <w:color w:val="auto"/>
                <w:sz w:val="20"/>
                <w:szCs w:val="20"/>
              </w:rPr>
              <w:t>2016</w:t>
            </w:r>
          </w:p>
        </w:tc>
      </w:tr>
      <w:tr w:rsidR="008B5A30" w:rsidRPr="00075D88" w:rsidTr="0024397E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8B5A30" w:rsidRPr="00A3312B" w:rsidRDefault="0060005E" w:rsidP="006F0B05">
            <w:pPr>
              <w:spacing w:after="0"/>
              <w:jc w:val="center"/>
              <w:rPr>
                <w:rFonts w:cs="Calibri"/>
                <w:color w:val="auto"/>
                <w:sz w:val="16"/>
                <w:szCs w:val="16"/>
              </w:rPr>
            </w:pPr>
            <w:r w:rsidRPr="00A3312B">
              <w:rPr>
                <w:rFonts w:cs="Calibri"/>
                <w:color w:val="auto"/>
                <w:sz w:val="20"/>
                <w:szCs w:val="20"/>
              </w:rPr>
              <w:t xml:space="preserve">MPO, </w:t>
            </w:r>
            <w:proofErr w:type="spellStart"/>
            <w:r w:rsidRPr="00A3312B">
              <w:rPr>
                <w:rFonts w:cs="Calibri"/>
                <w:color w:val="auto"/>
                <w:sz w:val="16"/>
                <w:szCs w:val="16"/>
              </w:rPr>
              <w:t>CzechInvest</w:t>
            </w:r>
            <w:proofErr w:type="spellEnd"/>
          </w:p>
          <w:p w:rsidR="0060005E" w:rsidRPr="00A3312B" w:rsidRDefault="0060005E" w:rsidP="006F0B05">
            <w:pPr>
              <w:spacing w:after="0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8B5A30" w:rsidRPr="00A3312B" w:rsidRDefault="0060005E" w:rsidP="00535DFF">
            <w:pPr>
              <w:spacing w:after="0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A3312B">
              <w:rPr>
                <w:rFonts w:cs="Calibri"/>
                <w:color w:val="auto"/>
                <w:sz w:val="20"/>
                <w:szCs w:val="20"/>
              </w:rPr>
              <w:t>SMO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8B5A30" w:rsidRPr="00A3312B" w:rsidRDefault="0060005E" w:rsidP="00535DFF">
            <w:pPr>
              <w:spacing w:before="120"/>
              <w:rPr>
                <w:rFonts w:cs="Calibri"/>
                <w:b/>
                <w:color w:val="auto"/>
                <w:sz w:val="20"/>
                <w:szCs w:val="20"/>
              </w:rPr>
            </w:pPr>
            <w:r w:rsidRPr="00A3312B">
              <w:rPr>
                <w:rFonts w:cs="Calibri"/>
                <w:b/>
                <w:color w:val="auto"/>
                <w:sz w:val="20"/>
                <w:szCs w:val="20"/>
              </w:rPr>
              <w:t>Cíl: Rozšíření průmyslových zón</w:t>
            </w:r>
          </w:p>
          <w:p w:rsidR="00A3312B" w:rsidRDefault="00A3312B" w:rsidP="00A3312B">
            <w:pPr>
              <w:spacing w:before="120"/>
              <w:rPr>
                <w:rFonts w:cs="Arial"/>
                <w:sz w:val="20"/>
                <w:szCs w:val="20"/>
              </w:rPr>
            </w:pPr>
            <w:r w:rsidRPr="00A3312B">
              <w:rPr>
                <w:rFonts w:cs="Arial"/>
                <w:sz w:val="20"/>
                <w:szCs w:val="20"/>
              </w:rPr>
              <w:t xml:space="preserve">Agentura </w:t>
            </w:r>
            <w:proofErr w:type="spellStart"/>
            <w:r w:rsidRPr="00A3312B">
              <w:rPr>
                <w:rFonts w:cs="Arial"/>
                <w:sz w:val="20"/>
                <w:szCs w:val="20"/>
              </w:rPr>
              <w:t>CzechInvest</w:t>
            </w:r>
            <w:proofErr w:type="spellEnd"/>
            <w:r w:rsidRPr="00A3312B">
              <w:rPr>
                <w:rFonts w:cs="Arial"/>
                <w:sz w:val="20"/>
                <w:szCs w:val="20"/>
              </w:rPr>
              <w:t xml:space="preserve"> a MPO ve spolupráci s</w:t>
            </w:r>
            <w:r w:rsidR="00AD0EC6">
              <w:rPr>
                <w:rFonts w:cs="Arial"/>
                <w:sz w:val="20"/>
                <w:szCs w:val="20"/>
              </w:rPr>
              <w:t>e samosprávou na úrovni obcí a krajů</w:t>
            </w:r>
            <w:r w:rsidRPr="00A3312B">
              <w:rPr>
                <w:rFonts w:cs="Arial"/>
                <w:sz w:val="20"/>
                <w:szCs w:val="20"/>
              </w:rPr>
              <w:t xml:space="preserve"> vytipuje lokality pro nové průmyslové zóny, s jejichž přípravou by bylo možné začít v průběhu roku</w:t>
            </w:r>
            <w:r>
              <w:rPr>
                <w:rFonts w:cs="Arial"/>
                <w:sz w:val="20"/>
                <w:szCs w:val="20"/>
              </w:rPr>
              <w:t>.</w:t>
            </w:r>
            <w:r w:rsidR="00093145">
              <w:rPr>
                <w:rFonts w:cs="Arial"/>
                <w:sz w:val="20"/>
                <w:szCs w:val="20"/>
              </w:rPr>
              <w:t xml:space="preserve"> Bude předložena nová koncepční úprava nakládání s průmyslovými zónami.</w:t>
            </w:r>
          </w:p>
          <w:p w:rsidR="002062DC" w:rsidRDefault="00A3312B" w:rsidP="002D7BA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A3312B">
              <w:rPr>
                <w:rFonts w:cs="Arial"/>
                <w:b/>
                <w:sz w:val="20"/>
                <w:szCs w:val="20"/>
              </w:rPr>
              <w:t xml:space="preserve">Indikátor: </w:t>
            </w:r>
            <w:r w:rsidR="00093145">
              <w:rPr>
                <w:rFonts w:cs="Arial"/>
                <w:b/>
                <w:sz w:val="20"/>
                <w:szCs w:val="20"/>
              </w:rPr>
              <w:t>Předložení koncepce, vznik nových</w:t>
            </w:r>
            <w:r w:rsidRPr="00A3312B">
              <w:rPr>
                <w:rFonts w:cs="Arial"/>
                <w:b/>
                <w:sz w:val="20"/>
                <w:szCs w:val="20"/>
              </w:rPr>
              <w:t xml:space="preserve"> průmyslov</w:t>
            </w:r>
            <w:r w:rsidR="00093145">
              <w:rPr>
                <w:rFonts w:cs="Arial"/>
                <w:b/>
                <w:sz w:val="20"/>
                <w:szCs w:val="20"/>
              </w:rPr>
              <w:t>ých</w:t>
            </w:r>
            <w:r w:rsidRPr="00A3312B">
              <w:rPr>
                <w:rFonts w:cs="Arial"/>
                <w:b/>
                <w:sz w:val="20"/>
                <w:szCs w:val="20"/>
              </w:rPr>
              <w:t xml:space="preserve"> zón</w:t>
            </w:r>
            <w:r w:rsidR="00AD0EC6">
              <w:rPr>
                <w:rFonts w:cs="Arial"/>
                <w:b/>
                <w:sz w:val="20"/>
                <w:szCs w:val="20"/>
              </w:rPr>
              <w:t>.</w:t>
            </w:r>
          </w:p>
          <w:p w:rsidR="00DC349F" w:rsidRDefault="00DC349F" w:rsidP="002D7BA7">
            <w:pPr>
              <w:spacing w:before="120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DD0183" w:rsidRDefault="00DD0183" w:rsidP="002D7BA7">
            <w:pPr>
              <w:spacing w:before="120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:rsidR="00F10907" w:rsidRPr="002062DC" w:rsidRDefault="00F10907" w:rsidP="002D7BA7">
            <w:pPr>
              <w:spacing w:before="120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8B5A30" w:rsidRPr="00A3312B" w:rsidRDefault="00A3312B" w:rsidP="006F0B05">
            <w:pPr>
              <w:spacing w:before="120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A3312B">
              <w:rPr>
                <w:rFonts w:cs="Calibri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B5A30" w:rsidRPr="00106E80" w:rsidRDefault="00A3312B" w:rsidP="006F0B05">
            <w:pPr>
              <w:spacing w:before="120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A3312B">
              <w:rPr>
                <w:rFonts w:cs="Calibri"/>
                <w:color w:val="auto"/>
                <w:sz w:val="20"/>
                <w:szCs w:val="20"/>
              </w:rPr>
              <w:t>2016</w:t>
            </w:r>
          </w:p>
        </w:tc>
      </w:tr>
      <w:tr w:rsidR="00E21D37" w:rsidRPr="00075D88" w:rsidTr="0024397E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E21D37" w:rsidRPr="00A3312B" w:rsidRDefault="00E21D37" w:rsidP="006F0B05">
            <w:pPr>
              <w:spacing w:after="0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lastRenderedPageBreak/>
              <w:t>MPO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E21D37" w:rsidRPr="00A3312B" w:rsidRDefault="00E21D37" w:rsidP="00535DFF">
            <w:pPr>
              <w:spacing w:after="0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E21D37" w:rsidRDefault="00E21D37" w:rsidP="00E21D3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13E0F">
              <w:rPr>
                <w:rFonts w:cs="Arial"/>
                <w:b/>
                <w:sz w:val="20"/>
                <w:szCs w:val="20"/>
              </w:rPr>
              <w:t xml:space="preserve">Cíl: </w:t>
            </w:r>
            <w:r>
              <w:rPr>
                <w:rFonts w:cs="Arial"/>
                <w:b/>
                <w:sz w:val="20"/>
                <w:szCs w:val="20"/>
              </w:rPr>
              <w:t>Investice do digitalizace</w:t>
            </w:r>
          </w:p>
          <w:p w:rsidR="00E21D37" w:rsidRPr="00E13E0F" w:rsidRDefault="00E21D37" w:rsidP="00E21D3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E21D37" w:rsidRPr="006A79E8" w:rsidRDefault="00E21D37" w:rsidP="00E21D3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Vypsání výzev na podporu výstavby infrastruktury pro vysokorychlostní internet v rámci OP PIK. Identifikace bílých míst a snižování jejich počtu, ve spolupráci s ČTÚ a MV v rozsahu jejich gescí.</w:t>
            </w:r>
          </w:p>
          <w:p w:rsidR="00E21D37" w:rsidRDefault="00E21D37" w:rsidP="00E21D3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E21D37" w:rsidRDefault="00E21D37" w:rsidP="00E21D3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13E0F">
              <w:rPr>
                <w:rFonts w:cs="Arial"/>
                <w:b/>
                <w:sz w:val="20"/>
                <w:szCs w:val="20"/>
              </w:rPr>
              <w:t xml:space="preserve">Indikátor: </w:t>
            </w:r>
            <w:r>
              <w:rPr>
                <w:rFonts w:cs="Arial"/>
                <w:b/>
                <w:sz w:val="20"/>
                <w:szCs w:val="20"/>
              </w:rPr>
              <w:t>Vypsané výzvy, jejich objem, počet podpořených subjektů, snížení počtu bílých míst.</w:t>
            </w:r>
          </w:p>
          <w:p w:rsidR="00E21D37" w:rsidRPr="00A3312B" w:rsidRDefault="00E21D37" w:rsidP="00535DFF">
            <w:pPr>
              <w:spacing w:before="120"/>
              <w:rPr>
                <w:rFonts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E21D37" w:rsidRPr="00A3312B" w:rsidRDefault="00E21D37" w:rsidP="006F0B05">
            <w:pPr>
              <w:spacing w:before="120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OP PIK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1D37" w:rsidRPr="00A3312B" w:rsidRDefault="00E21D37" w:rsidP="006F0B05">
            <w:pPr>
              <w:spacing w:before="120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2016</w:t>
            </w:r>
          </w:p>
        </w:tc>
      </w:tr>
      <w:tr w:rsidR="00807DEA" w:rsidRPr="00075D88" w:rsidTr="00E21D37">
        <w:trPr>
          <w:trHeight w:val="2836"/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D342FD" w:rsidRPr="0024397E" w:rsidRDefault="00807DEA" w:rsidP="004947F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MPO</w:t>
            </w:r>
          </w:p>
        </w:tc>
        <w:tc>
          <w:tcPr>
            <w:tcW w:w="1655" w:type="dxa"/>
            <w:tcBorders>
              <w:left w:val="nil"/>
            </w:tcBorders>
            <w:shd w:val="clear" w:color="auto" w:fill="auto"/>
            <w:vAlign w:val="center"/>
          </w:tcPr>
          <w:p w:rsidR="00F3204E" w:rsidRPr="00A3312B" w:rsidRDefault="00F10907" w:rsidP="00F10907">
            <w:pPr>
              <w:spacing w:after="0"/>
              <w:jc w:val="center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ČTÚ, MMR</w:t>
            </w:r>
          </w:p>
        </w:tc>
        <w:tc>
          <w:tcPr>
            <w:tcW w:w="3509" w:type="dxa"/>
            <w:shd w:val="clear" w:color="auto" w:fill="auto"/>
          </w:tcPr>
          <w:p w:rsidR="00DC349F" w:rsidRPr="00E13E0F" w:rsidRDefault="00DC349F" w:rsidP="00AE593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807DEA" w:rsidRPr="0024397E" w:rsidRDefault="002D7BA7" w:rsidP="0024397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397E">
              <w:rPr>
                <w:rFonts w:cs="Arial"/>
                <w:sz w:val="20"/>
                <w:szCs w:val="20"/>
              </w:rPr>
              <w:t>Usnadnění výstavby vysokorychlostních internetových sítí.</w:t>
            </w:r>
            <w:r w:rsidR="00F10907">
              <w:rPr>
                <w:rFonts w:cs="Arial"/>
                <w:sz w:val="20"/>
                <w:szCs w:val="20"/>
              </w:rPr>
              <w:t xml:space="preserve"> Implementace směrnice 2014/61/EU.</w:t>
            </w:r>
          </w:p>
          <w:p w:rsidR="002D7BA7" w:rsidRDefault="002D7BA7" w:rsidP="00F5537A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24397E">
              <w:rPr>
                <w:rFonts w:cs="Arial"/>
                <w:b/>
                <w:sz w:val="20"/>
                <w:szCs w:val="20"/>
              </w:rPr>
              <w:t>Indikátor: Schválení zá</w:t>
            </w:r>
            <w:r w:rsidR="00F10907">
              <w:rPr>
                <w:rFonts w:cs="Arial"/>
                <w:b/>
                <w:sz w:val="20"/>
                <w:szCs w:val="20"/>
              </w:rPr>
              <w:t xml:space="preserve">kona, kterým bude implementována směrnice </w:t>
            </w:r>
            <w:r w:rsidR="00F10907" w:rsidRPr="00F10907">
              <w:rPr>
                <w:rFonts w:cs="Arial"/>
                <w:b/>
                <w:sz w:val="20"/>
                <w:szCs w:val="20"/>
              </w:rPr>
              <w:t>o opatřeních ke snížení nákladů na budování vysokorychlostních sít</w:t>
            </w:r>
            <w:r w:rsidR="00F10907">
              <w:rPr>
                <w:rFonts w:cs="Arial"/>
                <w:b/>
                <w:sz w:val="20"/>
                <w:szCs w:val="20"/>
              </w:rPr>
              <w:t>í</w:t>
            </w:r>
          </w:p>
          <w:p w:rsidR="00F10907" w:rsidRPr="00E21D37" w:rsidRDefault="00F10907" w:rsidP="00F5537A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732" w:type="dxa"/>
            <w:tcBorders>
              <w:left w:val="nil"/>
            </w:tcBorders>
            <w:vAlign w:val="center"/>
          </w:tcPr>
          <w:p w:rsidR="00F3204E" w:rsidRPr="0024397E" w:rsidRDefault="00E21D37" w:rsidP="00E21D3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42FD" w:rsidRPr="0024397E" w:rsidRDefault="00E21D37" w:rsidP="00F1090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</w:t>
            </w:r>
          </w:p>
        </w:tc>
      </w:tr>
      <w:tr w:rsidR="00F10907" w:rsidRPr="00075D88" w:rsidTr="00E21D37">
        <w:trPr>
          <w:trHeight w:val="2836"/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F10907" w:rsidRDefault="00F10907" w:rsidP="00E21D3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MPO, MV</w:t>
            </w:r>
          </w:p>
        </w:tc>
        <w:tc>
          <w:tcPr>
            <w:tcW w:w="1655" w:type="dxa"/>
            <w:tcBorders>
              <w:left w:val="nil"/>
            </w:tcBorders>
            <w:shd w:val="clear" w:color="auto" w:fill="auto"/>
            <w:vAlign w:val="center"/>
          </w:tcPr>
          <w:p w:rsidR="00F10907" w:rsidRDefault="00F10907" w:rsidP="00F10907">
            <w:pPr>
              <w:spacing w:after="0"/>
              <w:jc w:val="center"/>
              <w:rPr>
                <w:rFonts w:cs="Calibri"/>
                <w:color w:val="auto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auto"/>
                <w:sz w:val="20"/>
                <w:szCs w:val="20"/>
              </w:rPr>
              <w:t>CzechInvest</w:t>
            </w:r>
            <w:proofErr w:type="spellEnd"/>
          </w:p>
        </w:tc>
        <w:tc>
          <w:tcPr>
            <w:tcW w:w="3509" w:type="dxa"/>
            <w:shd w:val="clear" w:color="auto" w:fill="auto"/>
          </w:tcPr>
          <w:p w:rsidR="00F10907" w:rsidRDefault="00F10907" w:rsidP="00AE593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F10907" w:rsidRDefault="00F10907" w:rsidP="00F1090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10907">
              <w:rPr>
                <w:rFonts w:cs="Arial"/>
                <w:sz w:val="20"/>
                <w:szCs w:val="20"/>
              </w:rPr>
              <w:t xml:space="preserve">Ve spolupráci s agenturou </w:t>
            </w:r>
            <w:proofErr w:type="spellStart"/>
            <w:r w:rsidRPr="00F10907">
              <w:rPr>
                <w:rFonts w:cs="Arial"/>
                <w:sz w:val="20"/>
                <w:szCs w:val="20"/>
              </w:rPr>
              <w:t>CzechInvest</w:t>
            </w:r>
            <w:proofErr w:type="spellEnd"/>
            <w:r w:rsidRPr="00F10907">
              <w:rPr>
                <w:rFonts w:cs="Arial"/>
                <w:sz w:val="20"/>
                <w:szCs w:val="20"/>
              </w:rPr>
              <w:t xml:space="preserve"> bude zpracována analýza, která vyhodnotí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10907">
              <w:rPr>
                <w:rFonts w:cs="Arial"/>
                <w:sz w:val="20"/>
                <w:szCs w:val="20"/>
              </w:rPr>
              <w:t>sílu českého e-</w:t>
            </w:r>
            <w:proofErr w:type="spellStart"/>
            <w:r w:rsidRPr="00F10907">
              <w:rPr>
                <w:rFonts w:cs="Arial"/>
                <w:sz w:val="20"/>
                <w:szCs w:val="20"/>
              </w:rPr>
              <w:t>commerce</w:t>
            </w:r>
            <w:proofErr w:type="spellEnd"/>
            <w:r w:rsidRPr="00F10907">
              <w:rPr>
                <w:rFonts w:cs="Arial"/>
                <w:sz w:val="20"/>
                <w:szCs w:val="20"/>
              </w:rPr>
              <w:t xml:space="preserve"> a případně doporučí nástroje podpory, zejména s</w:t>
            </w:r>
            <w:r>
              <w:rPr>
                <w:rFonts w:cs="Arial"/>
                <w:sz w:val="20"/>
                <w:szCs w:val="20"/>
              </w:rPr>
              <w:t> </w:t>
            </w:r>
            <w:r w:rsidRPr="00F10907">
              <w:rPr>
                <w:rFonts w:cs="Arial"/>
                <w:sz w:val="20"/>
                <w:szCs w:val="20"/>
              </w:rPr>
              <w:t>ohledem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10907">
              <w:rPr>
                <w:rFonts w:cs="Arial"/>
                <w:sz w:val="20"/>
                <w:szCs w:val="20"/>
              </w:rPr>
              <w:t>na velké podniky, malé a střední podniky, start-</w:t>
            </w:r>
            <w:proofErr w:type="spellStart"/>
            <w:r w:rsidRPr="00F10907">
              <w:rPr>
                <w:rFonts w:cs="Arial"/>
                <w:sz w:val="20"/>
                <w:szCs w:val="20"/>
              </w:rPr>
              <w:t>upy</w:t>
            </w:r>
            <w:proofErr w:type="spellEnd"/>
            <w:r w:rsidRPr="00F10907">
              <w:rPr>
                <w:rFonts w:cs="Arial"/>
                <w:sz w:val="20"/>
                <w:szCs w:val="20"/>
              </w:rPr>
              <w:t>, a na možnosti využití financování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10907">
              <w:rPr>
                <w:rFonts w:cs="Arial"/>
                <w:sz w:val="20"/>
                <w:szCs w:val="20"/>
              </w:rPr>
              <w:t>z ESI fondů.</w:t>
            </w:r>
          </w:p>
          <w:p w:rsidR="00F10907" w:rsidRDefault="00F10907" w:rsidP="00F1090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F10907" w:rsidRDefault="00F10907" w:rsidP="00F1090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10907">
              <w:rPr>
                <w:rFonts w:cs="Arial"/>
                <w:b/>
                <w:sz w:val="20"/>
                <w:szCs w:val="20"/>
              </w:rPr>
              <w:t>Indikátor: Předložená analýza podpory e-</w:t>
            </w:r>
            <w:proofErr w:type="spellStart"/>
            <w:r w:rsidRPr="00F10907">
              <w:rPr>
                <w:rFonts w:cs="Arial"/>
                <w:b/>
                <w:sz w:val="20"/>
                <w:szCs w:val="20"/>
              </w:rPr>
              <w:t>commerce</w:t>
            </w:r>
            <w:proofErr w:type="spellEnd"/>
            <w:r w:rsidRPr="00F10907">
              <w:rPr>
                <w:rFonts w:cs="Arial"/>
                <w:b/>
                <w:sz w:val="20"/>
                <w:szCs w:val="20"/>
              </w:rPr>
              <w:t xml:space="preserve"> na národní úrovni.</w:t>
            </w:r>
          </w:p>
          <w:p w:rsidR="00782994" w:rsidRPr="00F10907" w:rsidRDefault="00782994" w:rsidP="00F1090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left w:val="nil"/>
            </w:tcBorders>
            <w:vAlign w:val="center"/>
          </w:tcPr>
          <w:p w:rsidR="00F10907" w:rsidRPr="00F10907" w:rsidRDefault="00F10907" w:rsidP="00F10907">
            <w:pPr>
              <w:pStyle w:val="Odstavecseseznamem"/>
              <w:numPr>
                <w:ilvl w:val="0"/>
                <w:numId w:val="44"/>
              </w:numPr>
              <w:spacing w:before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0907" w:rsidRDefault="00F10907" w:rsidP="00F10907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</w:t>
            </w:r>
          </w:p>
        </w:tc>
      </w:tr>
      <w:tr w:rsidR="00E21D37" w:rsidRPr="00075D88" w:rsidTr="0024397E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E21D37" w:rsidRPr="0024397E" w:rsidRDefault="00E21D37" w:rsidP="004947F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MPO</w:t>
            </w:r>
          </w:p>
        </w:tc>
        <w:tc>
          <w:tcPr>
            <w:tcW w:w="1655" w:type="dxa"/>
            <w:tcBorders>
              <w:left w:val="nil"/>
            </w:tcBorders>
            <w:shd w:val="clear" w:color="auto" w:fill="auto"/>
            <w:vAlign w:val="center"/>
          </w:tcPr>
          <w:p w:rsidR="00E21D37" w:rsidRPr="00A3312B" w:rsidRDefault="00E21D37" w:rsidP="004947FD">
            <w:pPr>
              <w:spacing w:after="0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E21D37" w:rsidRPr="0024397E" w:rsidRDefault="00E21D37" w:rsidP="00E21D37">
            <w:pPr>
              <w:spacing w:after="0" w:line="240" w:lineRule="auto"/>
              <w:rPr>
                <w:rFonts w:cs="Arial"/>
              </w:rPr>
            </w:pPr>
            <w:r w:rsidRPr="0024397E">
              <w:rPr>
                <w:rFonts w:cs="Arial"/>
                <w:sz w:val="20"/>
                <w:szCs w:val="20"/>
              </w:rPr>
              <w:t>Přijetí národní a evropské legislativy v oblasti ochrany dat, která podpoří investice do digitálních řešení a prospěje tak rozvoji digitální ekonomiky</w:t>
            </w:r>
          </w:p>
          <w:p w:rsidR="00E21D37" w:rsidRDefault="00E21D37" w:rsidP="00E21D37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0439F4">
              <w:rPr>
                <w:rFonts w:cs="Arial"/>
                <w:b/>
                <w:sz w:val="20"/>
                <w:szCs w:val="20"/>
              </w:rPr>
              <w:t xml:space="preserve">Indikátor: Schválení </w:t>
            </w:r>
            <w:r>
              <w:rPr>
                <w:rFonts w:cs="Arial"/>
                <w:b/>
                <w:sz w:val="20"/>
                <w:szCs w:val="20"/>
              </w:rPr>
              <w:t>nařízení na úrovni EU, které podpoří jak investice, tak ochranu osobních dat na přiměřené úrovni.</w:t>
            </w:r>
          </w:p>
          <w:p w:rsidR="00E21D37" w:rsidRPr="00E13E0F" w:rsidRDefault="00E21D37" w:rsidP="00AE593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left w:val="nil"/>
            </w:tcBorders>
            <w:vAlign w:val="center"/>
          </w:tcPr>
          <w:p w:rsidR="00E21D37" w:rsidRDefault="00E21D37" w:rsidP="00F3204E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21D37" w:rsidRDefault="00E21D37" w:rsidP="00D342FD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</w:t>
            </w:r>
          </w:p>
        </w:tc>
      </w:tr>
    </w:tbl>
    <w:p w:rsidR="003647AE" w:rsidRDefault="008B5A30" w:rsidP="008B5A30">
      <w:pPr>
        <w:pStyle w:val="Nadpis2"/>
      </w:pPr>
      <w:bookmarkStart w:id="21" w:name="_Toc389751457"/>
      <w:r>
        <w:br w:type="column"/>
      </w:r>
      <w:bookmarkStart w:id="22" w:name="_Toc435423992"/>
      <w:r w:rsidR="00F25F53">
        <w:lastRenderedPageBreak/>
        <w:t xml:space="preserve">Transfer výsledků </w:t>
      </w:r>
      <w:proofErr w:type="spellStart"/>
      <w:r w:rsidR="00F25F53">
        <w:t>VaV</w:t>
      </w:r>
      <w:proofErr w:type="spellEnd"/>
      <w:r w:rsidR="003647AE" w:rsidRPr="00BD6036">
        <w:t xml:space="preserve"> </w:t>
      </w:r>
      <w:r w:rsidR="003647AE" w:rsidRPr="008B5A30">
        <w:t>do</w:t>
      </w:r>
      <w:r w:rsidR="003647AE" w:rsidRPr="00BD6036">
        <w:t xml:space="preserve"> aplikační sféry</w:t>
      </w:r>
      <w:bookmarkEnd w:id="21"/>
      <w:bookmarkEnd w:id="22"/>
    </w:p>
    <w:p w:rsidR="00BA0AAA" w:rsidRPr="00BA0AAA" w:rsidRDefault="00BA0AAA" w:rsidP="00BA0AAA"/>
    <w:tbl>
      <w:tblPr>
        <w:tblW w:w="9032" w:type="dxa"/>
        <w:jc w:val="right"/>
        <w:tblLook w:val="04A0"/>
      </w:tblPr>
      <w:tblGrid>
        <w:gridCol w:w="996"/>
        <w:gridCol w:w="1470"/>
        <w:gridCol w:w="3457"/>
        <w:gridCol w:w="1669"/>
        <w:gridCol w:w="1440"/>
      </w:tblGrid>
      <w:tr w:rsidR="00BA0AAA" w:rsidRPr="00A73F2A" w:rsidTr="0024397E">
        <w:trPr>
          <w:tblHeader/>
          <w:jc w:val="right"/>
        </w:trPr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AAA" w:rsidRPr="00A73F2A" w:rsidRDefault="00BA0AAA" w:rsidP="001713C5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A73F2A">
              <w:rPr>
                <w:rFonts w:cs="Arial"/>
                <w:b/>
                <w:smallCaps/>
                <w:color w:val="000080"/>
                <w:sz w:val="20"/>
                <w:szCs w:val="20"/>
              </w:rPr>
              <w:t>Gestor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AAA" w:rsidRPr="00A73F2A" w:rsidRDefault="00BA0AAA" w:rsidP="001713C5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proofErr w:type="spellStart"/>
            <w:r w:rsidRPr="00A73F2A">
              <w:rPr>
                <w:rFonts w:cs="Arial"/>
                <w:b/>
                <w:smallCaps/>
                <w:color w:val="000080"/>
                <w:sz w:val="20"/>
                <w:szCs w:val="20"/>
              </w:rPr>
              <w:t>Spolugestor</w:t>
            </w:r>
            <w:proofErr w:type="spellEnd"/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AAA" w:rsidRPr="00A73F2A" w:rsidRDefault="00BA0AAA" w:rsidP="001713C5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A73F2A">
              <w:rPr>
                <w:rFonts w:cs="Arial"/>
                <w:b/>
                <w:smallCaps/>
                <w:color w:val="000080"/>
                <w:sz w:val="20"/>
                <w:szCs w:val="20"/>
              </w:rPr>
              <w:t>Opatření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AAA" w:rsidRPr="00A73F2A" w:rsidRDefault="00BA0AAA" w:rsidP="001713C5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A73F2A">
              <w:rPr>
                <w:rFonts w:cs="Arial"/>
                <w:b/>
                <w:smallCaps/>
                <w:color w:val="000080"/>
                <w:sz w:val="20"/>
                <w:szCs w:val="20"/>
              </w:rPr>
              <w:t>Možnosti financování cíle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AAA" w:rsidRPr="00A73F2A" w:rsidRDefault="00BA0AAA" w:rsidP="001713C5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A73F2A">
              <w:rPr>
                <w:rFonts w:cs="Arial"/>
                <w:b/>
                <w:smallCaps/>
                <w:color w:val="000080"/>
                <w:sz w:val="20"/>
                <w:szCs w:val="20"/>
              </w:rPr>
              <w:t>Termín</w:t>
            </w:r>
          </w:p>
        </w:tc>
      </w:tr>
      <w:tr w:rsidR="00BA0AAA" w:rsidRPr="00A73F2A" w:rsidTr="0024397E">
        <w:trPr>
          <w:jc w:val="right"/>
        </w:trPr>
        <w:tc>
          <w:tcPr>
            <w:tcW w:w="996" w:type="dxa"/>
            <w:shd w:val="clear" w:color="auto" w:fill="auto"/>
            <w:vAlign w:val="center"/>
          </w:tcPr>
          <w:p w:rsidR="001C433E" w:rsidRDefault="001C433E" w:rsidP="0024397E">
            <w:pPr>
              <w:rPr>
                <w:rFonts w:cs="Arial"/>
                <w:sz w:val="20"/>
                <w:szCs w:val="20"/>
              </w:rPr>
            </w:pPr>
          </w:p>
          <w:p w:rsidR="001C433E" w:rsidRDefault="001C433E" w:rsidP="0024397E">
            <w:pPr>
              <w:rPr>
                <w:rFonts w:cs="Arial"/>
                <w:sz w:val="20"/>
                <w:szCs w:val="20"/>
              </w:rPr>
            </w:pPr>
          </w:p>
          <w:p w:rsidR="00BA0AAA" w:rsidRDefault="00BA0AAA" w:rsidP="004947FD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MVVI</w:t>
            </w:r>
          </w:p>
          <w:p w:rsidR="001C433E" w:rsidRDefault="001C433E" w:rsidP="004947FD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C433E" w:rsidRDefault="001C433E" w:rsidP="004947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MVVI</w:t>
            </w:r>
          </w:p>
          <w:p w:rsidR="001C433E" w:rsidRDefault="001C433E" w:rsidP="004947FD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C433E" w:rsidRDefault="001C433E" w:rsidP="004947FD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C433E" w:rsidRPr="00A73F2A" w:rsidRDefault="001C433E" w:rsidP="002439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:rsidR="001C433E" w:rsidRDefault="001C433E" w:rsidP="001713C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BA0AAA" w:rsidRDefault="00BA0AAA" w:rsidP="0024397E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MPO, MŠMT, MŽP, RHSD</w:t>
            </w:r>
          </w:p>
          <w:p w:rsidR="001C433E" w:rsidRDefault="001C433E" w:rsidP="0024397E">
            <w:pPr>
              <w:rPr>
                <w:rFonts w:cs="Arial"/>
                <w:sz w:val="20"/>
                <w:szCs w:val="20"/>
              </w:rPr>
            </w:pPr>
          </w:p>
          <w:p w:rsidR="001C433E" w:rsidRPr="00A73F2A" w:rsidRDefault="001C433E" w:rsidP="002439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</w:tcPr>
          <w:p w:rsidR="002062DC" w:rsidRPr="002062DC" w:rsidRDefault="002062DC" w:rsidP="001713C5">
            <w:pPr>
              <w:rPr>
                <w:rFonts w:cs="Arial"/>
                <w:b/>
                <w:sz w:val="20"/>
                <w:szCs w:val="20"/>
              </w:rPr>
            </w:pPr>
            <w:r w:rsidRPr="002062DC">
              <w:rPr>
                <w:rFonts w:cs="Arial"/>
                <w:b/>
                <w:sz w:val="20"/>
                <w:szCs w:val="20"/>
              </w:rPr>
              <w:t xml:space="preserve">Cíl: Koordinace řízení systému </w:t>
            </w:r>
            <w:proofErr w:type="spellStart"/>
            <w:r w:rsidRPr="002062DC">
              <w:rPr>
                <w:rFonts w:cs="Arial"/>
                <w:b/>
                <w:sz w:val="20"/>
                <w:szCs w:val="20"/>
              </w:rPr>
              <w:t>VaVaI</w:t>
            </w:r>
            <w:proofErr w:type="spellEnd"/>
          </w:p>
          <w:p w:rsidR="00BA0AAA" w:rsidRPr="00A73F2A" w:rsidRDefault="00BA0AAA" w:rsidP="001713C5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 xml:space="preserve">Zmapování sektorových potřeb pro dlouhodobé plánování aktivit </w:t>
            </w:r>
            <w:proofErr w:type="spellStart"/>
            <w:r w:rsidRPr="00A73F2A">
              <w:rPr>
                <w:rFonts w:cs="Arial"/>
                <w:sz w:val="20"/>
                <w:szCs w:val="20"/>
              </w:rPr>
              <w:t>VaVaI</w:t>
            </w:r>
            <w:proofErr w:type="spellEnd"/>
            <w:r w:rsidRPr="00A73F2A">
              <w:rPr>
                <w:rFonts w:cs="Arial"/>
                <w:sz w:val="20"/>
                <w:szCs w:val="20"/>
              </w:rPr>
              <w:t>.</w:t>
            </w:r>
          </w:p>
          <w:p w:rsidR="001C433E" w:rsidRDefault="00BA0AAA" w:rsidP="001713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A73F2A">
              <w:rPr>
                <w:rFonts w:cs="Arial"/>
                <w:b/>
                <w:sz w:val="20"/>
                <w:szCs w:val="20"/>
              </w:rPr>
              <w:t>Indikátor: Závěrečná zpráva.</w:t>
            </w:r>
          </w:p>
          <w:p w:rsidR="001C433E" w:rsidRPr="00DD0183" w:rsidRDefault="00281843" w:rsidP="001C433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ja-JP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ja-JP"/>
              </w:rPr>
              <w:t xml:space="preserve">Analýza výstupů dosavadní podpory </w:t>
            </w:r>
            <w:proofErr w:type="spellStart"/>
            <w:r>
              <w:rPr>
                <w:rFonts w:eastAsia="Times New Roman" w:cs="Arial"/>
                <w:color w:val="auto"/>
                <w:sz w:val="20"/>
                <w:szCs w:val="20"/>
                <w:lang w:eastAsia="ja-JP"/>
              </w:rPr>
              <w:t>VaVaI</w:t>
            </w:r>
            <w:proofErr w:type="spellEnd"/>
            <w:r>
              <w:rPr>
                <w:rFonts w:eastAsia="Times New Roman" w:cs="Arial"/>
                <w:color w:val="auto"/>
                <w:sz w:val="20"/>
                <w:szCs w:val="20"/>
                <w:lang w:eastAsia="ja-JP"/>
              </w:rPr>
              <w:t xml:space="preserve"> z hlediska beneficientů.</w:t>
            </w:r>
          </w:p>
          <w:p w:rsidR="00BA0AAA" w:rsidRPr="00A73F2A" w:rsidRDefault="001C433E" w:rsidP="001713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24397E">
              <w:rPr>
                <w:rFonts w:cs="Arial"/>
                <w:b/>
                <w:sz w:val="20"/>
                <w:szCs w:val="20"/>
              </w:rPr>
              <w:t>Indikátor: Předložení analýz</w:t>
            </w:r>
            <w:r w:rsidR="00DD0183">
              <w:rPr>
                <w:rFonts w:cs="Arial"/>
                <w:b/>
                <w:sz w:val="20"/>
                <w:szCs w:val="20"/>
              </w:rPr>
              <w:t>y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BA0AA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-</w:t>
            </w:r>
          </w:p>
          <w:p w:rsidR="001C433E" w:rsidRDefault="001C433E" w:rsidP="001713C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C433E" w:rsidRDefault="001C433E" w:rsidP="001713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  <w:p w:rsidR="001C433E" w:rsidRPr="00A73F2A" w:rsidRDefault="001C433E" w:rsidP="0024397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A0AA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2015</w:t>
            </w:r>
            <w:r w:rsidR="00AE5935">
              <w:rPr>
                <w:rFonts w:cs="Arial"/>
                <w:sz w:val="20"/>
                <w:szCs w:val="20"/>
              </w:rPr>
              <w:t>/2016</w:t>
            </w:r>
          </w:p>
          <w:p w:rsidR="001C433E" w:rsidRDefault="001C433E" w:rsidP="001713C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C433E" w:rsidRDefault="001C433E" w:rsidP="001713C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</w:t>
            </w:r>
          </w:p>
          <w:p w:rsidR="001C433E" w:rsidRDefault="001C433E" w:rsidP="001713C5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C433E" w:rsidRPr="00A73F2A" w:rsidRDefault="001C433E" w:rsidP="001713C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A0AAA" w:rsidRPr="00A73F2A" w:rsidTr="0024397E">
        <w:trPr>
          <w:jc w:val="right"/>
        </w:trPr>
        <w:tc>
          <w:tcPr>
            <w:tcW w:w="996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MVVI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</w:tcPr>
          <w:p w:rsidR="00BA0AAA" w:rsidRPr="00A73F2A" w:rsidRDefault="00BA0AAA" w:rsidP="00BA0AAA">
            <w:pPr>
              <w:rPr>
                <w:rFonts w:cs="Arial"/>
                <w:sz w:val="20"/>
                <w:szCs w:val="20"/>
              </w:rPr>
            </w:pPr>
            <w:r w:rsidRPr="00E06A32">
              <w:rPr>
                <w:rFonts w:cs="Arial"/>
                <w:sz w:val="20"/>
                <w:szCs w:val="20"/>
              </w:rPr>
              <w:t>Zpracování</w:t>
            </w:r>
            <w:r w:rsidRPr="00A73F2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0792A">
              <w:rPr>
                <w:rFonts w:cs="Arial"/>
                <w:sz w:val="20"/>
                <w:szCs w:val="20"/>
              </w:rPr>
              <w:t>Koncepce informačního systému</w:t>
            </w:r>
            <w:r w:rsidRPr="00A73F2A">
              <w:rPr>
                <w:rFonts w:cs="Arial"/>
                <w:sz w:val="20"/>
                <w:szCs w:val="20"/>
              </w:rPr>
              <w:t xml:space="preserve"> výzkumu, </w:t>
            </w:r>
            <w:r w:rsidRPr="0080792A">
              <w:rPr>
                <w:rFonts w:cs="Arial"/>
                <w:sz w:val="20"/>
                <w:szCs w:val="20"/>
              </w:rPr>
              <w:t>experimentálního vývoje a inovací na období 2016 až 2019</w:t>
            </w:r>
            <w:r w:rsidR="00281843">
              <w:rPr>
                <w:rFonts w:cs="Arial"/>
                <w:sz w:val="20"/>
                <w:szCs w:val="20"/>
              </w:rPr>
              <w:t>, která bude více zaměřena na podporu hospodářského potenciálu ČR a nové výzvy</w:t>
            </w:r>
          </w:p>
          <w:p w:rsidR="00BA0AAA" w:rsidRPr="0024397E" w:rsidRDefault="00281843" w:rsidP="00BA0AAA">
            <w:pPr>
              <w:rPr>
                <w:rFonts w:cs="Arial"/>
                <w:b/>
                <w:sz w:val="20"/>
                <w:szCs w:val="20"/>
              </w:rPr>
            </w:pPr>
            <w:r w:rsidRPr="0024397E">
              <w:rPr>
                <w:rFonts w:cs="Arial"/>
                <w:b/>
                <w:sz w:val="20"/>
                <w:szCs w:val="20"/>
              </w:rPr>
              <w:t xml:space="preserve">Indikátor: </w:t>
            </w:r>
            <w:r w:rsidR="00BA73B1" w:rsidRPr="0024397E">
              <w:rPr>
                <w:rFonts w:cs="Arial"/>
                <w:b/>
                <w:sz w:val="20"/>
                <w:szCs w:val="20"/>
              </w:rPr>
              <w:t>Vytvoření</w:t>
            </w:r>
            <w:r w:rsidR="00BA0AAA" w:rsidRPr="0024397E">
              <w:rPr>
                <w:rFonts w:cs="Arial"/>
                <w:b/>
                <w:sz w:val="20"/>
                <w:szCs w:val="20"/>
              </w:rPr>
              <w:t xml:space="preserve"> národní politiky výzkumu, vývoje a </w:t>
            </w:r>
            <w:r w:rsidR="00BA73B1" w:rsidRPr="0024397E">
              <w:rPr>
                <w:rFonts w:cs="Arial"/>
                <w:b/>
                <w:sz w:val="20"/>
                <w:szCs w:val="20"/>
              </w:rPr>
              <w:t xml:space="preserve">inovací České republiky na léta </w:t>
            </w:r>
            <w:r w:rsidR="00BA0AAA" w:rsidRPr="0024397E">
              <w:rPr>
                <w:rFonts w:cs="Arial"/>
                <w:b/>
                <w:sz w:val="20"/>
                <w:szCs w:val="20"/>
              </w:rPr>
              <w:t>201</w:t>
            </w:r>
            <w:r w:rsidR="00BA73B1" w:rsidRPr="0024397E">
              <w:rPr>
                <w:rFonts w:cs="Arial"/>
                <w:b/>
                <w:sz w:val="20"/>
                <w:szCs w:val="20"/>
              </w:rPr>
              <w:t>6 a dále</w:t>
            </w:r>
            <w:r w:rsidR="00BA0AAA" w:rsidRPr="0024397E">
              <w:rPr>
                <w:rFonts w:cs="Arial"/>
                <w:b/>
                <w:sz w:val="20"/>
                <w:szCs w:val="20"/>
              </w:rPr>
              <w:t xml:space="preserve"> s výhledem do roku 2020</w:t>
            </w:r>
          </w:p>
          <w:p w:rsidR="00BA0AAA" w:rsidRPr="00A73F2A" w:rsidRDefault="00BA0AAA" w:rsidP="00BA0AA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0AAA" w:rsidRPr="00A73F2A" w:rsidRDefault="00BA0AAA" w:rsidP="00BD0D5D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2015</w:t>
            </w:r>
            <w:r w:rsidR="00AE5935">
              <w:rPr>
                <w:rFonts w:cs="Arial"/>
                <w:sz w:val="20"/>
                <w:szCs w:val="20"/>
              </w:rPr>
              <w:t>/2016</w:t>
            </w:r>
          </w:p>
        </w:tc>
      </w:tr>
      <w:tr w:rsidR="00BA0AAA" w:rsidRPr="00A73F2A" w:rsidTr="0024397E">
        <w:trPr>
          <w:jc w:val="right"/>
        </w:trPr>
        <w:tc>
          <w:tcPr>
            <w:tcW w:w="996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MVVI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MŠMT, MPO</w:t>
            </w:r>
          </w:p>
        </w:tc>
        <w:tc>
          <w:tcPr>
            <w:tcW w:w="3457" w:type="dxa"/>
            <w:shd w:val="clear" w:color="auto" w:fill="auto"/>
          </w:tcPr>
          <w:p w:rsidR="00E06A32" w:rsidRDefault="00BA0AAA" w:rsidP="001713C5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b/>
                <w:sz w:val="20"/>
                <w:szCs w:val="20"/>
              </w:rPr>
              <w:t>Cíl: Zefektivnění podpory financování</w:t>
            </w:r>
            <w:r w:rsidRPr="00A73F2A">
              <w:rPr>
                <w:rFonts w:cs="Arial"/>
                <w:sz w:val="20"/>
                <w:szCs w:val="20"/>
              </w:rPr>
              <w:t xml:space="preserve"> </w:t>
            </w:r>
          </w:p>
          <w:p w:rsidR="00BA0AAA" w:rsidRDefault="00BA0AAA" w:rsidP="001713C5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 xml:space="preserve">Implementovat a řídit realizaci Národní RIS3 strategie s ohledem na přínosy </w:t>
            </w:r>
            <w:proofErr w:type="spellStart"/>
            <w:r w:rsidRPr="00A73F2A">
              <w:rPr>
                <w:rFonts w:cs="Arial"/>
                <w:sz w:val="20"/>
                <w:szCs w:val="20"/>
              </w:rPr>
              <w:t>VaVaI</w:t>
            </w:r>
            <w:proofErr w:type="spellEnd"/>
            <w:r w:rsidR="002062DC">
              <w:rPr>
                <w:rFonts w:cs="Arial"/>
                <w:sz w:val="20"/>
                <w:szCs w:val="20"/>
              </w:rPr>
              <w:t xml:space="preserve"> s provázáním na OP VVV a OP PIK</w:t>
            </w:r>
            <w:r w:rsidRPr="00A73F2A">
              <w:rPr>
                <w:rFonts w:cs="Arial"/>
                <w:sz w:val="20"/>
                <w:szCs w:val="20"/>
              </w:rPr>
              <w:t xml:space="preserve"> pro zvýšení konkurenceschopnosti ČR – </w:t>
            </w:r>
            <w:proofErr w:type="spellStart"/>
            <w:r w:rsidRPr="00A73F2A">
              <w:rPr>
                <w:rFonts w:cs="Arial"/>
                <w:sz w:val="20"/>
                <w:szCs w:val="20"/>
              </w:rPr>
              <w:t>vícezdrojové</w:t>
            </w:r>
            <w:proofErr w:type="spellEnd"/>
            <w:r w:rsidRPr="00A73F2A">
              <w:rPr>
                <w:rFonts w:cs="Arial"/>
                <w:sz w:val="20"/>
                <w:szCs w:val="20"/>
              </w:rPr>
              <w:t xml:space="preserve"> financování.</w:t>
            </w:r>
          </w:p>
          <w:p w:rsidR="00281843" w:rsidRPr="0024397E" w:rsidRDefault="00281843" w:rsidP="001713C5">
            <w:pPr>
              <w:rPr>
                <w:rFonts w:cs="Arial"/>
                <w:b/>
                <w:sz w:val="20"/>
                <w:szCs w:val="20"/>
              </w:rPr>
            </w:pPr>
            <w:r w:rsidRPr="0024397E">
              <w:rPr>
                <w:rFonts w:cs="Arial"/>
                <w:b/>
                <w:sz w:val="20"/>
                <w:szCs w:val="20"/>
              </w:rPr>
              <w:t>Indikátor: Vyhodnocení funkčnosti RIS3 strategie jako řídícího nástroje.</w:t>
            </w:r>
          </w:p>
          <w:p w:rsidR="00BA0AAA" w:rsidRPr="00A73F2A" w:rsidRDefault="00BA0AAA" w:rsidP="001713C5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OP VVV, OP PIK, Státní rozpočet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průběžně</w:t>
            </w:r>
          </w:p>
        </w:tc>
      </w:tr>
      <w:tr w:rsidR="00BA0AAA" w:rsidRPr="00A73F2A" w:rsidTr="0024397E">
        <w:trPr>
          <w:jc w:val="right"/>
        </w:trPr>
        <w:tc>
          <w:tcPr>
            <w:tcW w:w="996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MPO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MŠMT, TA ČR</w:t>
            </w:r>
          </w:p>
        </w:tc>
        <w:tc>
          <w:tcPr>
            <w:tcW w:w="3457" w:type="dxa"/>
            <w:shd w:val="clear" w:color="auto" w:fill="auto"/>
          </w:tcPr>
          <w:p w:rsidR="00BA0AAA" w:rsidRPr="00A73F2A" w:rsidRDefault="00BA0AAA" w:rsidP="001713C5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b/>
                <w:sz w:val="20"/>
                <w:szCs w:val="20"/>
              </w:rPr>
              <w:t xml:space="preserve">Cíl: Transfer výsledků </w:t>
            </w:r>
            <w:proofErr w:type="spellStart"/>
            <w:r w:rsidRPr="00A73F2A">
              <w:rPr>
                <w:rFonts w:cs="Arial"/>
                <w:b/>
                <w:sz w:val="20"/>
                <w:szCs w:val="20"/>
              </w:rPr>
              <w:t>VaV</w:t>
            </w:r>
            <w:proofErr w:type="spellEnd"/>
            <w:r w:rsidRPr="00A73F2A">
              <w:rPr>
                <w:rFonts w:cs="Arial"/>
                <w:b/>
                <w:sz w:val="20"/>
                <w:szCs w:val="20"/>
              </w:rPr>
              <w:t xml:space="preserve"> do aplikační sféry</w:t>
            </w:r>
            <w:r w:rsidRPr="00A73F2A">
              <w:rPr>
                <w:rFonts w:cs="Arial"/>
                <w:sz w:val="20"/>
                <w:szCs w:val="20"/>
              </w:rPr>
              <w:t xml:space="preserve"> </w:t>
            </w:r>
          </w:p>
          <w:p w:rsidR="00BA0AAA" w:rsidRPr="00A73F2A" w:rsidRDefault="00BA0AAA" w:rsidP="001713C5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 xml:space="preserve">Rozvoj sítí spolupráce, vč. klastrů a technologických platforem, zejména kolektivního výzkumu, </w:t>
            </w:r>
            <w:r w:rsidRPr="00A73F2A">
              <w:rPr>
                <w:rFonts w:cs="Arial"/>
                <w:sz w:val="20"/>
                <w:szCs w:val="20"/>
              </w:rPr>
              <w:lastRenderedPageBreak/>
              <w:t>založeného na potřebách většího počtu MSP.</w:t>
            </w:r>
          </w:p>
          <w:p w:rsidR="00BA0AAA" w:rsidRPr="0024397E" w:rsidRDefault="00BA0AAA" w:rsidP="001713C5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>Indikátor: Počet případů za rok.</w:t>
            </w:r>
          </w:p>
          <w:p w:rsidR="00BA0AAA" w:rsidRPr="00A73F2A" w:rsidRDefault="00BA0AAA" w:rsidP="001713C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BA0AAA" w:rsidRPr="00A73F2A" w:rsidRDefault="00BA0AAA" w:rsidP="001713C5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lastRenderedPageBreak/>
              <w:t>OP PIK, Státní rozpočet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průběžně</w:t>
            </w:r>
          </w:p>
        </w:tc>
      </w:tr>
      <w:tr w:rsidR="00BA0AAA" w:rsidRPr="00A73F2A" w:rsidTr="0024397E">
        <w:trPr>
          <w:jc w:val="right"/>
        </w:trPr>
        <w:tc>
          <w:tcPr>
            <w:tcW w:w="996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color w:val="auto"/>
                <w:sz w:val="20"/>
                <w:szCs w:val="20"/>
              </w:rPr>
              <w:lastRenderedPageBreak/>
              <w:t>TA ČR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MPO, MŠMT</w:t>
            </w:r>
          </w:p>
        </w:tc>
        <w:tc>
          <w:tcPr>
            <w:tcW w:w="3457" w:type="dxa"/>
            <w:shd w:val="clear" w:color="auto" w:fill="auto"/>
          </w:tcPr>
          <w:p w:rsidR="00BA0AAA" w:rsidRPr="00DD0183" w:rsidRDefault="00BA0AAA" w:rsidP="001713C5">
            <w:pPr>
              <w:rPr>
                <w:rFonts w:cs="Arial"/>
                <w:color w:val="4F81BD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 xml:space="preserve">Podpora společných projektů </w:t>
            </w:r>
            <w:proofErr w:type="spellStart"/>
            <w:r w:rsidRPr="00A73F2A">
              <w:rPr>
                <w:rFonts w:cs="Arial"/>
                <w:sz w:val="20"/>
                <w:szCs w:val="20"/>
              </w:rPr>
              <w:t>kolaborativního</w:t>
            </w:r>
            <w:proofErr w:type="spellEnd"/>
            <w:r w:rsidRPr="00A73F2A">
              <w:rPr>
                <w:rFonts w:cs="Arial"/>
                <w:sz w:val="20"/>
                <w:szCs w:val="20"/>
              </w:rPr>
              <w:t xml:space="preserve"> výzkumu (národní programy).</w:t>
            </w:r>
            <w:r w:rsidR="00F3204E" w:rsidRPr="00F7629F">
              <w:rPr>
                <w:rFonts w:cs="Arial"/>
                <w:color w:val="4F81BD"/>
                <w:sz w:val="20"/>
                <w:szCs w:val="20"/>
              </w:rPr>
              <w:t xml:space="preserve"> </w:t>
            </w:r>
            <w:r w:rsidR="00F3204E" w:rsidRPr="0024397E">
              <w:rPr>
                <w:rFonts w:cs="Arial"/>
                <w:sz w:val="20"/>
                <w:szCs w:val="20"/>
              </w:rPr>
              <w:t>Zajistit rovněž financování projektů mezinárodní spolupráce v gesci MŠMT. Podpořit účast ČR v aplikovaném výzkumu projektů Horizont 2020</w:t>
            </w:r>
            <w:r w:rsidR="00F3204E">
              <w:rPr>
                <w:rFonts w:cs="Arial"/>
                <w:sz w:val="20"/>
                <w:szCs w:val="20"/>
              </w:rPr>
              <w:t>.</w:t>
            </w:r>
          </w:p>
          <w:p w:rsidR="00BA0AAA" w:rsidRPr="00A73F2A" w:rsidRDefault="00BA0AAA" w:rsidP="001713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A73F2A">
              <w:rPr>
                <w:rFonts w:cs="Arial"/>
                <w:b/>
                <w:sz w:val="20"/>
                <w:szCs w:val="20"/>
              </w:rPr>
              <w:t>Indikátor: Počet zahájených projektů.</w:t>
            </w:r>
          </w:p>
          <w:p w:rsidR="00BA0AAA" w:rsidRPr="00A73F2A" w:rsidRDefault="00BA0AAA" w:rsidP="001713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Státní rozpočet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průběžně</w:t>
            </w:r>
          </w:p>
        </w:tc>
      </w:tr>
      <w:tr w:rsidR="00BA0AAA" w:rsidRPr="00A73F2A" w:rsidTr="0024397E">
        <w:trPr>
          <w:jc w:val="right"/>
        </w:trPr>
        <w:tc>
          <w:tcPr>
            <w:tcW w:w="996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MPO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MVVI, MŠMT</w:t>
            </w:r>
          </w:p>
        </w:tc>
        <w:tc>
          <w:tcPr>
            <w:tcW w:w="3457" w:type="dxa"/>
            <w:shd w:val="clear" w:color="auto" w:fill="auto"/>
          </w:tcPr>
          <w:p w:rsidR="00BA0AAA" w:rsidRPr="00A73F2A" w:rsidRDefault="00BA0AAA" w:rsidP="001713C5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 xml:space="preserve">Realizace pobídek pro zahraniční investory, které je budou stimulovat k investicím a lokalizaci aktivit </w:t>
            </w:r>
            <w:proofErr w:type="spellStart"/>
            <w:r w:rsidRPr="00A73F2A">
              <w:rPr>
                <w:rFonts w:cs="Arial"/>
                <w:sz w:val="20"/>
                <w:szCs w:val="20"/>
              </w:rPr>
              <w:t>VaV</w:t>
            </w:r>
            <w:proofErr w:type="spellEnd"/>
            <w:r w:rsidRPr="00A73F2A">
              <w:rPr>
                <w:rFonts w:cs="Arial"/>
                <w:sz w:val="20"/>
                <w:szCs w:val="20"/>
              </w:rPr>
              <w:t xml:space="preserve"> v ČR.</w:t>
            </w:r>
          </w:p>
          <w:p w:rsidR="00BA0AAA" w:rsidRPr="00A73F2A" w:rsidRDefault="00BA0AAA" w:rsidP="001713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A73F2A">
              <w:rPr>
                <w:rFonts w:cs="Arial"/>
                <w:b/>
                <w:sz w:val="20"/>
                <w:szCs w:val="20"/>
              </w:rPr>
              <w:t>Indikátor: Počet pobídek, finanční rozsah akce, počet nově vzniklých míst.</w:t>
            </w:r>
          </w:p>
          <w:p w:rsidR="00BA0AAA" w:rsidRPr="00A73F2A" w:rsidRDefault="00BA0AAA" w:rsidP="001713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Státní rozpočet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průběžně</w:t>
            </w:r>
          </w:p>
        </w:tc>
      </w:tr>
      <w:tr w:rsidR="00BA0AAA" w:rsidRPr="00A73F2A" w:rsidTr="0024397E">
        <w:trPr>
          <w:jc w:val="right"/>
        </w:trPr>
        <w:tc>
          <w:tcPr>
            <w:tcW w:w="996" w:type="dxa"/>
            <w:shd w:val="clear" w:color="auto" w:fill="auto"/>
            <w:vAlign w:val="center"/>
          </w:tcPr>
          <w:p w:rsidR="00BA0AAA" w:rsidRPr="00A73F2A" w:rsidRDefault="00BA0AAA" w:rsidP="004947FD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MVVI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A0AAA" w:rsidRPr="00A73F2A" w:rsidRDefault="00BA0AAA" w:rsidP="001713C5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 xml:space="preserve">MŠMT, MPO, </w:t>
            </w:r>
            <w:proofErr w:type="spellStart"/>
            <w:r w:rsidRPr="00A73F2A">
              <w:rPr>
                <w:rFonts w:cs="Arial"/>
                <w:sz w:val="20"/>
                <w:szCs w:val="20"/>
              </w:rPr>
              <w:t>MZd</w:t>
            </w:r>
            <w:proofErr w:type="spellEnd"/>
          </w:p>
        </w:tc>
        <w:tc>
          <w:tcPr>
            <w:tcW w:w="3457" w:type="dxa"/>
            <w:shd w:val="clear" w:color="auto" w:fill="auto"/>
          </w:tcPr>
          <w:p w:rsidR="00BA0AAA" w:rsidRDefault="00BA0AAA" w:rsidP="001713C5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b/>
                <w:sz w:val="20"/>
                <w:szCs w:val="20"/>
              </w:rPr>
              <w:t>Cíl: Zefektivnění podpory financování</w:t>
            </w:r>
            <w:r w:rsidRPr="00A73F2A">
              <w:rPr>
                <w:rFonts w:cs="Arial"/>
                <w:sz w:val="20"/>
                <w:szCs w:val="20"/>
              </w:rPr>
              <w:t xml:space="preserve"> </w:t>
            </w:r>
          </w:p>
          <w:p w:rsidR="00BA0AAA" w:rsidRPr="00A73F2A" w:rsidRDefault="00BA0AAA" w:rsidP="001713C5">
            <w:pPr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Analýza udržitelnosti a využitelnosti vybudovaných výzkumných center z prostředků EU, včetně strategie internacionalizace a získávání zahraničních zdrojů.</w:t>
            </w:r>
          </w:p>
          <w:p w:rsidR="00BA0AAA" w:rsidRPr="0024397E" w:rsidRDefault="00BA0AAA" w:rsidP="001713C5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 xml:space="preserve">Indikátor: </w:t>
            </w:r>
            <w:r w:rsidR="00AE5935" w:rsidRPr="0024397E">
              <w:rPr>
                <w:rFonts w:cs="Arial"/>
                <w:b/>
                <w:color w:val="auto"/>
                <w:sz w:val="20"/>
                <w:szCs w:val="20"/>
              </w:rPr>
              <w:t xml:space="preserve">Implementace závěrů </w:t>
            </w: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>analýz</w:t>
            </w:r>
            <w:r w:rsidR="00AE5935" w:rsidRPr="0024397E">
              <w:rPr>
                <w:rFonts w:cs="Arial"/>
                <w:b/>
                <w:color w:val="auto"/>
                <w:sz w:val="20"/>
                <w:szCs w:val="20"/>
              </w:rPr>
              <w:t>y</w:t>
            </w: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 xml:space="preserve"> udržitelnosti a využitelnosti výzkumných center budovaných z ESI fondů.</w:t>
            </w:r>
            <w:r w:rsidR="002062DC" w:rsidRPr="0024397E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</w:p>
          <w:p w:rsidR="001713C5" w:rsidRPr="00A73F2A" w:rsidRDefault="001713C5" w:rsidP="001713C5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:rsidR="00BA0AAA" w:rsidRPr="00A73F2A" w:rsidRDefault="00BA0AAA" w:rsidP="001713C5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OP VVV, OP PIK, Státní rozpočet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A0AAA" w:rsidRPr="00A73F2A" w:rsidRDefault="00BA0AAA" w:rsidP="00BA0AAA">
            <w:pPr>
              <w:jc w:val="center"/>
              <w:rPr>
                <w:rFonts w:cs="Arial"/>
                <w:sz w:val="20"/>
                <w:szCs w:val="20"/>
              </w:rPr>
            </w:pPr>
            <w:r w:rsidRPr="00A73F2A">
              <w:rPr>
                <w:rFonts w:cs="Arial"/>
                <w:sz w:val="20"/>
                <w:szCs w:val="20"/>
              </w:rPr>
              <w:t>201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E13E0F" w:rsidRPr="00A73F2A" w:rsidTr="00DD0183">
        <w:trPr>
          <w:jc w:val="right"/>
        </w:trPr>
        <w:tc>
          <w:tcPr>
            <w:tcW w:w="996" w:type="dxa"/>
            <w:shd w:val="clear" w:color="auto" w:fill="auto"/>
            <w:vAlign w:val="center"/>
          </w:tcPr>
          <w:p w:rsidR="00F5537A" w:rsidRDefault="00E13E0F" w:rsidP="004947F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MVVI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F5537A" w:rsidRPr="00A73F2A" w:rsidRDefault="00DD0183" w:rsidP="00E13E0F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E13E0F">
              <w:rPr>
                <w:rFonts w:cs="Arial"/>
                <w:sz w:val="20"/>
                <w:szCs w:val="20"/>
              </w:rPr>
              <w:t>PO, MV, MŠMT</w:t>
            </w:r>
          </w:p>
        </w:tc>
        <w:tc>
          <w:tcPr>
            <w:tcW w:w="3457" w:type="dxa"/>
            <w:shd w:val="clear" w:color="auto" w:fill="auto"/>
          </w:tcPr>
          <w:p w:rsidR="00E13E0F" w:rsidRDefault="00E13E0F" w:rsidP="00E13E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13E0F">
              <w:rPr>
                <w:rFonts w:cs="Arial"/>
                <w:b/>
                <w:sz w:val="20"/>
                <w:szCs w:val="20"/>
              </w:rPr>
              <w:t>Cíl: Rozvoj digitálního trhu</w:t>
            </w:r>
          </w:p>
          <w:p w:rsidR="00E13E0F" w:rsidRPr="00E13E0F" w:rsidRDefault="00E13E0F" w:rsidP="00E13E0F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6A79E8" w:rsidRDefault="00E13E0F" w:rsidP="00E13E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13E0F">
              <w:rPr>
                <w:rFonts w:cs="Arial"/>
                <w:sz w:val="20"/>
                <w:szCs w:val="20"/>
              </w:rPr>
              <w:t>Ve spolupráci se všemi dotčenými subjekty vytvoření plánu podpory vývoje a výzkumu, inovací a vzdělávání v oblasti práce s velkými objemy dat.</w:t>
            </w:r>
          </w:p>
          <w:p w:rsidR="00281843" w:rsidRPr="006A79E8" w:rsidRDefault="00281843" w:rsidP="00E13E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A79E8" w:rsidRPr="00DD0183" w:rsidRDefault="00E13E0F" w:rsidP="00DD018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13E0F">
              <w:rPr>
                <w:rFonts w:cs="Arial"/>
                <w:b/>
                <w:sz w:val="20"/>
                <w:szCs w:val="20"/>
              </w:rPr>
              <w:t>Indikátor: Schválený plán podpor</w:t>
            </w:r>
            <w:r w:rsidR="00DD0183">
              <w:rPr>
                <w:rFonts w:cs="Arial"/>
                <w:b/>
                <w:sz w:val="20"/>
                <w:szCs w:val="20"/>
              </w:rPr>
              <w:t>y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F5537A" w:rsidRDefault="00E13E0F" w:rsidP="00DD018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D0183" w:rsidRDefault="00DD0183" w:rsidP="00DD0183">
            <w:pPr>
              <w:rPr>
                <w:rFonts w:cs="Arial"/>
                <w:sz w:val="20"/>
                <w:szCs w:val="20"/>
              </w:rPr>
            </w:pPr>
          </w:p>
          <w:p w:rsidR="00DD0183" w:rsidRDefault="00DD0183" w:rsidP="00DD0183">
            <w:pPr>
              <w:rPr>
                <w:rFonts w:cs="Arial"/>
                <w:sz w:val="20"/>
                <w:szCs w:val="20"/>
              </w:rPr>
            </w:pPr>
          </w:p>
          <w:p w:rsidR="00E13E0F" w:rsidRDefault="00E13E0F" w:rsidP="00DD018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</w:t>
            </w:r>
          </w:p>
          <w:p w:rsidR="00F5537A" w:rsidRDefault="00F5537A" w:rsidP="00DD018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F5537A" w:rsidRDefault="00F5537A" w:rsidP="00DD018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71765F" w:rsidRDefault="006F0B05" w:rsidP="000B5C59">
      <w:pPr>
        <w:pStyle w:val="Nadpis2"/>
        <w:spacing w:before="360"/>
      </w:pPr>
      <w:bookmarkStart w:id="23" w:name="_Toc389751458"/>
      <w:bookmarkStart w:id="24" w:name="_Toc435423993"/>
      <w:r>
        <w:lastRenderedPageBreak/>
        <w:t xml:space="preserve">Rozvoj </w:t>
      </w:r>
      <w:r w:rsidR="008B1612">
        <w:t>i</w:t>
      </w:r>
      <w:r w:rsidR="00A87A6F">
        <w:t>nvestiční výstavby</w:t>
      </w:r>
      <w:bookmarkEnd w:id="23"/>
      <w:bookmarkEnd w:id="24"/>
    </w:p>
    <w:p w:rsidR="00A87EE2" w:rsidRPr="005B5CF5" w:rsidRDefault="00A87EE2" w:rsidP="00A87A6F">
      <w:pPr>
        <w:rPr>
          <w:sz w:val="16"/>
          <w:szCs w:val="16"/>
        </w:rPr>
      </w:pPr>
    </w:p>
    <w:tbl>
      <w:tblPr>
        <w:tblW w:w="9649" w:type="dxa"/>
        <w:tblInd w:w="-850" w:type="dxa"/>
        <w:tblLayout w:type="fixed"/>
        <w:tblLook w:val="01E0"/>
      </w:tblPr>
      <w:tblGrid>
        <w:gridCol w:w="1412"/>
        <w:gridCol w:w="1736"/>
        <w:gridCol w:w="3509"/>
        <w:gridCol w:w="1732"/>
        <w:gridCol w:w="1260"/>
      </w:tblGrid>
      <w:tr w:rsidR="005B5CF5" w:rsidRPr="00FD6E1F" w:rsidTr="0028571A">
        <w:trPr>
          <w:tblHeader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CF5" w:rsidRPr="00FD6E1F" w:rsidRDefault="005B5CF5" w:rsidP="00FD6E1F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Gestor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CF5" w:rsidRPr="00FD6E1F" w:rsidRDefault="005B5CF5" w:rsidP="00FD6E1F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proofErr w:type="spellStart"/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Spolugestor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CF5" w:rsidRPr="00FD6E1F" w:rsidRDefault="005B5CF5" w:rsidP="00FD6E1F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Opatření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5B5CF5" w:rsidRPr="00FD6E1F" w:rsidRDefault="00C63D7C" w:rsidP="00FD6E1F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Možnosti financování</w:t>
            </w:r>
            <w:r w:rsidR="006D6E14"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 xml:space="preserve"> cíle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CF5" w:rsidRPr="00FD6E1F" w:rsidRDefault="005B5CF5" w:rsidP="00FD6E1F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FD6E1F">
              <w:rPr>
                <w:rFonts w:cs="Arial"/>
                <w:b/>
                <w:smallCaps/>
                <w:color w:val="000080"/>
                <w:sz w:val="20"/>
                <w:szCs w:val="20"/>
              </w:rPr>
              <w:t>Termín</w:t>
            </w:r>
          </w:p>
        </w:tc>
      </w:tr>
      <w:tr w:rsidR="00C81AF6" w:rsidRPr="00FD6E1F" w:rsidTr="0028571A"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AF6" w:rsidRPr="00FD6E1F" w:rsidRDefault="00C81AF6" w:rsidP="004947FD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MMR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AF6" w:rsidRPr="00FD6E1F" w:rsidRDefault="00C81AF6" w:rsidP="004947FD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FD6E1F">
              <w:rPr>
                <w:rFonts w:cs="Arial"/>
                <w:color w:val="auto"/>
                <w:sz w:val="20"/>
                <w:szCs w:val="20"/>
              </w:rPr>
              <w:t>ÚOHS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AF6" w:rsidRPr="00FD6E1F" w:rsidRDefault="00C81AF6" w:rsidP="004947FD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FD6E1F">
              <w:rPr>
                <w:rFonts w:cs="Arial"/>
                <w:b/>
                <w:color w:val="auto"/>
                <w:sz w:val="20"/>
                <w:szCs w:val="20"/>
              </w:rPr>
              <w:t>Cíl: Vytvoření administrativně a časově co nejméně náročné podmínky pro realizaci investičních projektů</w:t>
            </w:r>
          </w:p>
          <w:p w:rsidR="00C81AF6" w:rsidRDefault="00C81AF6" w:rsidP="004947FD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Pro včasnou a efektivní aplikaci schváleného zákona o veřejných zakázkách je třeba příprava kvalitního metodického pokynu pro zadavatele. </w:t>
            </w:r>
          </w:p>
          <w:p w:rsidR="00C81AF6" w:rsidRPr="00FD6E1F" w:rsidRDefault="00C81AF6" w:rsidP="004947FD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FD6E1F">
              <w:rPr>
                <w:rFonts w:cs="Arial"/>
                <w:b/>
                <w:color w:val="auto"/>
                <w:sz w:val="20"/>
                <w:szCs w:val="20"/>
              </w:rPr>
              <w:t xml:space="preserve">Indikátor: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Příprava na implementaci zákona o zadávání veřejných</w:t>
            </w:r>
            <w:r w:rsidRPr="00FD6E1F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z</w:t>
            </w:r>
            <w:r w:rsidRPr="00FD6E1F">
              <w:rPr>
                <w:rFonts w:cs="Arial"/>
                <w:b/>
                <w:color w:val="auto"/>
                <w:sz w:val="20"/>
                <w:szCs w:val="20"/>
              </w:rPr>
              <w:t>a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kázek</w:t>
            </w:r>
            <w:r w:rsidRPr="00FD6E1F">
              <w:rPr>
                <w:rFonts w:cs="Arial"/>
                <w:b/>
                <w:color w:val="auto"/>
                <w:sz w:val="20"/>
                <w:szCs w:val="20"/>
              </w:rPr>
              <w:t>.</w:t>
            </w:r>
          </w:p>
          <w:p w:rsidR="00C81AF6" w:rsidRPr="00FD6E1F" w:rsidRDefault="00C81AF6" w:rsidP="004947FD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C81AF6" w:rsidRPr="00FD6E1F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1AF6" w:rsidRPr="00FD6E1F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C81AF6" w:rsidRPr="00FD6E1F" w:rsidTr="0028571A">
        <w:tc>
          <w:tcPr>
            <w:tcW w:w="1412" w:type="dxa"/>
            <w:shd w:val="clear" w:color="auto" w:fill="auto"/>
            <w:vAlign w:val="center"/>
          </w:tcPr>
          <w:p w:rsidR="00C81AF6" w:rsidRPr="00FD6E1F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MD</w:t>
            </w:r>
            <w:r w:rsidRPr="00FD6E1F">
              <w:rPr>
                <w:rFonts w:cs="Arial"/>
                <w:color w:val="auto"/>
                <w:sz w:val="20"/>
                <w:szCs w:val="20"/>
              </w:rPr>
              <w:t xml:space="preserve">, MF, MPO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81AF6" w:rsidRPr="00FD6E1F" w:rsidRDefault="00C81AF6" w:rsidP="004947FD">
            <w:pPr>
              <w:spacing w:before="12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C81AF6" w:rsidRPr="00FD6E1F" w:rsidRDefault="00C81AF6" w:rsidP="004947FD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 xml:space="preserve">Cíl: Investice do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infrastruktury</w:t>
            </w:r>
            <w:r w:rsidRPr="00FD6E1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C81AF6" w:rsidRPr="00FD6E1F" w:rsidRDefault="00C81AF6" w:rsidP="004947FD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 xml:space="preserve">Směřování investic veřejného sektoru zejména na infrastrukturní stavby s cílem dobudování páteřní dopravní infrastruktury a napojení zbývajících regionů a průmyslových center na hlavní české i evropské trasy, dále na dobudování transevropské energetické sítě a </w:t>
            </w:r>
            <w:r>
              <w:rPr>
                <w:rFonts w:cs="Arial"/>
                <w:color w:val="000000"/>
                <w:sz w:val="20"/>
                <w:szCs w:val="20"/>
              </w:rPr>
              <w:t>digitální</w:t>
            </w:r>
            <w:r w:rsidRPr="00FD6E1F">
              <w:rPr>
                <w:rFonts w:cs="Arial"/>
                <w:color w:val="000000"/>
                <w:sz w:val="20"/>
                <w:szCs w:val="20"/>
              </w:rPr>
              <w:t xml:space="preserve"> sítě a na ostatní stavby veřejné infrastruktury.</w:t>
            </w:r>
          </w:p>
          <w:p w:rsidR="00C81AF6" w:rsidRPr="00FD6E1F" w:rsidRDefault="00C81AF6" w:rsidP="004947FD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>Indikátor: Objem prostředků, počet a kilometráž dokončených a zahájených staveb.</w:t>
            </w:r>
          </w:p>
          <w:p w:rsidR="00C81AF6" w:rsidRPr="00FD6E1F" w:rsidRDefault="00C81AF6" w:rsidP="004947FD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C81AF6" w:rsidRPr="00FD6E1F" w:rsidRDefault="00C81AF6" w:rsidP="004947FD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 xml:space="preserve">OP D (14–20), OP PIK (14-20), IROP,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FD6E1F"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1AF6" w:rsidRPr="00FD6E1F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  <w:p w:rsidR="00C81AF6" w:rsidRPr="00FD6E1F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Průběžně</w:t>
            </w:r>
          </w:p>
        </w:tc>
      </w:tr>
      <w:tr w:rsidR="00C81AF6" w:rsidRPr="00FD6E1F" w:rsidTr="0028571A">
        <w:tc>
          <w:tcPr>
            <w:tcW w:w="1412" w:type="dxa"/>
            <w:shd w:val="clear" w:color="auto" w:fill="auto"/>
            <w:vAlign w:val="center"/>
          </w:tcPr>
          <w:p w:rsidR="00C81AF6" w:rsidRPr="00FD6E1F" w:rsidRDefault="00C81AF6" w:rsidP="005B5CF5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81AF6" w:rsidRPr="00FD6E1F" w:rsidRDefault="00C81AF6" w:rsidP="005B5CF5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MŽP,</w:t>
            </w:r>
          </w:p>
          <w:p w:rsidR="00C81AF6" w:rsidRPr="00FD6E1F" w:rsidRDefault="00C81AF6" w:rsidP="005B5CF5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auto"/>
                <w:sz w:val="20"/>
                <w:szCs w:val="20"/>
              </w:rPr>
              <w:t>MMR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C81AF6" w:rsidRPr="00FD6E1F" w:rsidRDefault="00C81AF6" w:rsidP="00955B4C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Snížení energetické náročnosti veřejných a soukromých budov (vč. jejich zateplování) jejich účelnými rekonstrukcemi, koordinace mezirezortní spolupráce při realizaci potřebných programů podpor.</w:t>
            </w:r>
          </w:p>
          <w:p w:rsidR="00C81AF6" w:rsidRPr="00FD6E1F" w:rsidRDefault="00C81AF6" w:rsidP="00955B4C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>Indikátor: Vyčíslení úspor. Počet  zahájených a dokončených akcí. Zastavěná plocha v dokončených objektech.</w:t>
            </w:r>
          </w:p>
          <w:p w:rsidR="00C81AF6" w:rsidRPr="00FD6E1F" w:rsidRDefault="00C81AF6" w:rsidP="00955B4C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C81AF6" w:rsidRPr="00FD6E1F" w:rsidRDefault="00C81AF6" w:rsidP="008B5A30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OP ŽP (14–20), OP Praha – pól růstu, Nová zelená úsporám, OP PIK, PRV, IROP, SFRB, 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1AF6" w:rsidRPr="00FD6E1F" w:rsidRDefault="00C81AF6" w:rsidP="005B5CF5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  <w:p w:rsidR="00C81AF6" w:rsidRPr="00FD6E1F" w:rsidRDefault="00C81AF6" w:rsidP="005B5CF5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Průběžně</w:t>
            </w:r>
          </w:p>
        </w:tc>
      </w:tr>
      <w:tr w:rsidR="00C81AF6" w:rsidRPr="00FD6E1F" w:rsidTr="0028571A">
        <w:tc>
          <w:tcPr>
            <w:tcW w:w="1412" w:type="dxa"/>
            <w:shd w:val="clear" w:color="auto" w:fill="auto"/>
            <w:vAlign w:val="center"/>
          </w:tcPr>
          <w:p w:rsidR="00C81AF6" w:rsidRPr="008B5A30" w:rsidRDefault="00C81AF6" w:rsidP="00767392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B5A30">
              <w:rPr>
                <w:rFonts w:cs="Arial"/>
                <w:color w:val="000000"/>
                <w:sz w:val="20"/>
                <w:szCs w:val="20"/>
              </w:rPr>
              <w:lastRenderedPageBreak/>
              <w:t>MPSV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81AF6" w:rsidRPr="008B5A30" w:rsidRDefault="00C81AF6" w:rsidP="00BE38AA">
            <w:pPr>
              <w:spacing w:before="12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B5A30">
              <w:rPr>
                <w:rFonts w:cs="Arial"/>
                <w:color w:val="000000"/>
                <w:sz w:val="20"/>
                <w:szCs w:val="20"/>
              </w:rPr>
              <w:t>MLR</w:t>
            </w:r>
            <w:r>
              <w:rPr>
                <w:rFonts w:cs="Arial"/>
                <w:color w:val="000000"/>
                <w:sz w:val="20"/>
                <w:szCs w:val="20"/>
              </w:rPr>
              <w:t>, MMR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C81AF6" w:rsidRPr="008B5A30" w:rsidRDefault="00C81AF6" w:rsidP="00BE38AA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8B5A30">
              <w:rPr>
                <w:rFonts w:cs="Arial"/>
                <w:b/>
                <w:color w:val="000000"/>
                <w:sz w:val="20"/>
                <w:szCs w:val="20"/>
              </w:rPr>
              <w:t>Cíl: Výstavba sociálních bytů</w:t>
            </w:r>
          </w:p>
          <w:p w:rsidR="00C81AF6" w:rsidRPr="008B5A30" w:rsidRDefault="00C81AF6" w:rsidP="00BE38AA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8B5A30">
              <w:rPr>
                <w:rFonts w:cs="Arial"/>
                <w:color w:val="000000"/>
                <w:sz w:val="20"/>
                <w:szCs w:val="20"/>
              </w:rPr>
              <w:t xml:space="preserve">Předložení zákona o sociálním bydlení. </w:t>
            </w:r>
            <w:r>
              <w:rPr>
                <w:rFonts w:cs="Arial"/>
                <w:color w:val="000000"/>
                <w:sz w:val="20"/>
                <w:szCs w:val="20"/>
              </w:rPr>
              <w:t>Podpora výstavby dostupného bydlení.</w:t>
            </w:r>
          </w:p>
          <w:p w:rsidR="00C81AF6" w:rsidRPr="008B5A30" w:rsidRDefault="00C81AF6" w:rsidP="00040551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8B5A30">
              <w:rPr>
                <w:rFonts w:cs="Arial"/>
                <w:b/>
                <w:color w:val="000000"/>
                <w:sz w:val="20"/>
                <w:szCs w:val="20"/>
              </w:rPr>
              <w:t>Indikátor: Schválení zákona. Počet podpořených bytů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a umístěných osob.</w:t>
            </w:r>
          </w:p>
          <w:p w:rsidR="00C81AF6" w:rsidRPr="008B5A30" w:rsidRDefault="00C81AF6" w:rsidP="00BE38AA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C81AF6" w:rsidRPr="008B5A30" w:rsidRDefault="00C81AF6" w:rsidP="00BE38AA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B5A30">
              <w:rPr>
                <w:rFonts w:cs="Arial"/>
                <w:color w:val="000000"/>
                <w:sz w:val="20"/>
                <w:szCs w:val="20"/>
              </w:rPr>
              <w:t>OP Praha – pól růstu, IROP, SFRB, 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1AF6" w:rsidRPr="00FD6E1F" w:rsidRDefault="00C81AF6" w:rsidP="00C20B82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B5A30"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C81AF6" w:rsidRPr="00FD6E1F" w:rsidTr="0028571A">
        <w:tc>
          <w:tcPr>
            <w:tcW w:w="1412" w:type="dxa"/>
            <w:shd w:val="clear" w:color="auto" w:fill="auto"/>
            <w:vAlign w:val="center"/>
          </w:tcPr>
          <w:p w:rsidR="00C81AF6" w:rsidRPr="00FD6E1F" w:rsidRDefault="00C81AF6" w:rsidP="002E0557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MŠMT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C81AF6" w:rsidRPr="00FD6E1F" w:rsidRDefault="00C81AF6" w:rsidP="002E0557">
            <w:pPr>
              <w:spacing w:before="12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MMR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C81AF6" w:rsidRPr="00FD6E1F" w:rsidRDefault="00C81AF6" w:rsidP="002E0557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 xml:space="preserve">Cíl: Podpora rozšíření kapacit základních a mateřských škol </w:t>
            </w:r>
          </w:p>
          <w:p w:rsidR="00C81AF6" w:rsidRPr="00FD6E1F" w:rsidRDefault="00C81AF6" w:rsidP="00D42350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Investice do</w:t>
            </w:r>
            <w:r w:rsidRPr="00FD6E1F">
              <w:rPr>
                <w:rFonts w:cs="Arial"/>
                <w:color w:val="000000"/>
                <w:sz w:val="20"/>
                <w:szCs w:val="20"/>
              </w:rPr>
              <w:t xml:space="preserve"> rozvoje výukových kapacit mateřských a základních škol.</w:t>
            </w:r>
          </w:p>
          <w:p w:rsidR="00C81AF6" w:rsidRPr="00FD6E1F" w:rsidRDefault="00C81AF6" w:rsidP="00D42350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b/>
                <w:color w:val="000000"/>
                <w:sz w:val="20"/>
                <w:szCs w:val="20"/>
              </w:rPr>
              <w:t>Indikátor: Počet podpořených projektů, počet příjemců.</w:t>
            </w:r>
          </w:p>
        </w:tc>
        <w:tc>
          <w:tcPr>
            <w:tcW w:w="1732" w:type="dxa"/>
            <w:vAlign w:val="center"/>
          </w:tcPr>
          <w:p w:rsidR="00C81AF6" w:rsidRPr="00FD6E1F" w:rsidRDefault="00C81AF6" w:rsidP="00C165A9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IROP, OP VVV, 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1AF6" w:rsidRPr="00FD6E1F" w:rsidRDefault="00C81AF6" w:rsidP="00CC6804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D6E1F">
              <w:rPr>
                <w:rFonts w:cs="Arial"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</w:tbl>
    <w:p w:rsidR="0072114F" w:rsidRDefault="0072114F">
      <w:pPr>
        <w:spacing w:after="0" w:line="240" w:lineRule="auto"/>
        <w:jc w:val="left"/>
        <w:rPr>
          <w:rFonts w:eastAsiaTheme="majorEastAsia" w:cstheme="majorBidi"/>
          <w:b/>
          <w:bCs/>
          <w:iCs/>
          <w:color w:val="1F497D" w:themeColor="text2"/>
          <w:sz w:val="28"/>
          <w:szCs w:val="28"/>
        </w:rPr>
      </w:pPr>
      <w:bookmarkStart w:id="25" w:name="_Toc390099470"/>
    </w:p>
    <w:p w:rsidR="001B0C27" w:rsidRDefault="0072114F" w:rsidP="0072114F">
      <w:pPr>
        <w:pStyle w:val="Nadpis2"/>
      </w:pPr>
      <w:r>
        <w:br w:type="column"/>
      </w:r>
      <w:bookmarkStart w:id="26" w:name="_Toc435423994"/>
      <w:r w:rsidR="001B0C27">
        <w:lastRenderedPageBreak/>
        <w:t>Efektivní výkon fungující veřejné správy</w:t>
      </w:r>
      <w:bookmarkEnd w:id="25"/>
      <w:bookmarkEnd w:id="26"/>
    </w:p>
    <w:p w:rsidR="003A15DD" w:rsidRDefault="003A15DD" w:rsidP="006E7F93"/>
    <w:tbl>
      <w:tblPr>
        <w:tblW w:w="9013" w:type="dxa"/>
        <w:jc w:val="right"/>
        <w:tblLayout w:type="fixed"/>
        <w:tblLook w:val="01E0"/>
      </w:tblPr>
      <w:tblGrid>
        <w:gridCol w:w="940"/>
        <w:gridCol w:w="1572"/>
        <w:gridCol w:w="3509"/>
        <w:gridCol w:w="1732"/>
        <w:gridCol w:w="1260"/>
      </w:tblGrid>
      <w:tr w:rsidR="003A15DD" w:rsidRPr="001D3680" w:rsidTr="001D3680">
        <w:trPr>
          <w:tblHeader/>
          <w:jc w:val="right"/>
        </w:trPr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5DD" w:rsidRPr="001D3680" w:rsidRDefault="003A15DD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Gestor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5DD" w:rsidRPr="001D3680" w:rsidRDefault="003A15DD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proofErr w:type="spellStart"/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Spolugestor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5DD" w:rsidRPr="001D3680" w:rsidRDefault="003A15DD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Opatření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3A15DD" w:rsidRPr="001D3680" w:rsidRDefault="003A15DD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Možnosti financování cíle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5DD" w:rsidRPr="001D3680" w:rsidRDefault="003A15DD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Termín</w:t>
            </w:r>
          </w:p>
        </w:tc>
      </w:tr>
      <w:tr w:rsidR="003A15DD" w:rsidRPr="001D3680" w:rsidTr="001D3680">
        <w:trPr>
          <w:jc w:val="right"/>
        </w:trPr>
        <w:tc>
          <w:tcPr>
            <w:tcW w:w="940" w:type="dxa"/>
            <w:shd w:val="clear" w:color="auto" w:fill="auto"/>
            <w:vAlign w:val="center"/>
          </w:tcPr>
          <w:p w:rsidR="003A15DD" w:rsidRPr="00CC6804" w:rsidRDefault="003A15DD" w:rsidP="003A15DD">
            <w:pPr>
              <w:spacing w:before="12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6804">
              <w:rPr>
                <w:rFonts w:cs="Arial"/>
                <w:color w:val="000000"/>
                <w:sz w:val="18"/>
                <w:szCs w:val="18"/>
              </w:rPr>
              <w:t>Všechny resorty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A15DD" w:rsidRPr="00CC6804" w:rsidRDefault="003A15DD" w:rsidP="003A15DD">
            <w:pPr>
              <w:spacing w:before="12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C81AF6" w:rsidRPr="00C81AF6" w:rsidRDefault="00C81AF6" w:rsidP="003A15DD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C81AF6">
              <w:rPr>
                <w:rFonts w:cs="Arial"/>
                <w:b/>
                <w:color w:val="000000"/>
                <w:sz w:val="20"/>
                <w:szCs w:val="20"/>
              </w:rPr>
              <w:t xml:space="preserve">Cíl: Zefektivnění výdajů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veřejné správy</w:t>
            </w:r>
          </w:p>
          <w:p w:rsidR="003A15DD" w:rsidRPr="00CC6804" w:rsidRDefault="003A15DD" w:rsidP="003A15DD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CC6804">
              <w:rPr>
                <w:rFonts w:cs="Arial"/>
                <w:color w:val="000000"/>
                <w:sz w:val="20"/>
                <w:szCs w:val="20"/>
              </w:rPr>
              <w:t>Zamezení nadužívání externích služeb na zajištění základních úkolů veřejné správy.</w:t>
            </w:r>
          </w:p>
          <w:p w:rsidR="003A15DD" w:rsidRDefault="003A15DD" w:rsidP="003A15DD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CC6804">
              <w:rPr>
                <w:rFonts w:cs="Arial"/>
                <w:b/>
                <w:color w:val="000000"/>
                <w:sz w:val="20"/>
                <w:szCs w:val="20"/>
              </w:rPr>
              <w:t xml:space="preserve">Indikátor: Snížení užívání externích služeb na zajištění základních úkolů veřejné správy o </w:t>
            </w:r>
            <w:r w:rsidR="00753E0A">
              <w:rPr>
                <w:rFonts w:cs="Arial"/>
                <w:b/>
                <w:color w:val="000000"/>
                <w:sz w:val="20"/>
                <w:szCs w:val="20"/>
              </w:rPr>
              <w:t>10</w:t>
            </w:r>
            <w:r w:rsidRPr="00CC6804">
              <w:rPr>
                <w:rFonts w:cs="Arial"/>
                <w:b/>
                <w:color w:val="000000"/>
                <w:sz w:val="20"/>
                <w:szCs w:val="20"/>
              </w:rPr>
              <w:t xml:space="preserve"> % </w:t>
            </w:r>
            <w:r w:rsidR="00721135" w:rsidRPr="00CC6804">
              <w:rPr>
                <w:rFonts w:cs="Arial"/>
                <w:b/>
                <w:color w:val="000000"/>
                <w:sz w:val="20"/>
                <w:szCs w:val="20"/>
              </w:rPr>
              <w:t xml:space="preserve">objemu prostředků </w:t>
            </w:r>
            <w:r w:rsidRPr="00CC6804">
              <w:rPr>
                <w:rFonts w:cs="Arial"/>
                <w:b/>
                <w:color w:val="000000"/>
                <w:sz w:val="20"/>
                <w:szCs w:val="20"/>
              </w:rPr>
              <w:t>oproti roku 201</w:t>
            </w:r>
            <w:r w:rsidR="00CC6804">
              <w:rPr>
                <w:rFonts w:cs="Arial"/>
                <w:b/>
                <w:color w:val="000000"/>
                <w:sz w:val="20"/>
                <w:szCs w:val="20"/>
              </w:rPr>
              <w:t>5</w:t>
            </w:r>
            <w:r w:rsidR="000E3FF9" w:rsidRPr="00CC6804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  <w:p w:rsidR="00C81AF6" w:rsidRPr="00CC6804" w:rsidRDefault="00C81AF6" w:rsidP="003A15DD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3A15DD" w:rsidRPr="00CC6804" w:rsidRDefault="003A15DD" w:rsidP="003A15DD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3A15DD" w:rsidRPr="00CC6804" w:rsidRDefault="00FF755B" w:rsidP="00FF755B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15DD" w:rsidRPr="001D3680" w:rsidRDefault="003A15DD" w:rsidP="00CC6804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C6804">
              <w:rPr>
                <w:rFonts w:cs="Arial"/>
                <w:color w:val="000000"/>
                <w:sz w:val="20"/>
                <w:szCs w:val="20"/>
              </w:rPr>
              <w:t>201</w:t>
            </w:r>
            <w:r w:rsidR="00CC6804">
              <w:rPr>
                <w:rFonts w:cs="Arial"/>
                <w:color w:val="000000"/>
                <w:sz w:val="20"/>
                <w:szCs w:val="20"/>
              </w:rPr>
              <w:t>6</w:t>
            </w:r>
            <w:r w:rsidRPr="00CC6804">
              <w:rPr>
                <w:rFonts w:cs="Arial"/>
                <w:color w:val="000000"/>
                <w:sz w:val="20"/>
                <w:szCs w:val="20"/>
              </w:rPr>
              <w:t>, Průběžně</w:t>
            </w:r>
          </w:p>
        </w:tc>
      </w:tr>
      <w:tr w:rsidR="00C81AF6" w:rsidRPr="001D3680" w:rsidTr="001D3680">
        <w:trPr>
          <w:jc w:val="right"/>
        </w:trPr>
        <w:tc>
          <w:tcPr>
            <w:tcW w:w="940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MF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C81AF6" w:rsidRPr="001D3680" w:rsidRDefault="00C81AF6" w:rsidP="004947FD">
            <w:pPr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Vybudovat integrovaný rámec systémů vnitřního řízení a kontroly ve veřejné správě.</w:t>
            </w:r>
          </w:p>
          <w:p w:rsidR="00C81AF6" w:rsidRDefault="00C81AF6" w:rsidP="004947FD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>Indikátor: Schválený zákon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  <w:p w:rsidR="00C81AF6" w:rsidRPr="001D3680" w:rsidRDefault="00C81AF6" w:rsidP="004947FD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1732" w:type="dxa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2015</w:t>
            </w:r>
            <w:r>
              <w:rPr>
                <w:rFonts w:cs="Arial"/>
                <w:color w:val="000000"/>
                <w:sz w:val="20"/>
                <w:szCs w:val="20"/>
              </w:rPr>
              <w:t>/2016</w:t>
            </w:r>
          </w:p>
        </w:tc>
      </w:tr>
      <w:tr w:rsidR="00C81AF6" w:rsidRPr="001D3680" w:rsidTr="001D3680">
        <w:trPr>
          <w:jc w:val="right"/>
        </w:trPr>
        <w:tc>
          <w:tcPr>
            <w:tcW w:w="940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MF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MV, MPO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Zavedení elektronizace daňových dokladů a elektronizace fakturace pro orgány státní správy a jejich dodavatele.</w:t>
            </w:r>
          </w:p>
          <w:p w:rsidR="00C81AF6" w:rsidRDefault="00C81AF6" w:rsidP="004947FD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>Indikátor: Zavedení systému elektronizace.</w:t>
            </w:r>
          </w:p>
          <w:p w:rsidR="00C81AF6" w:rsidRPr="001D3680" w:rsidRDefault="00C81AF6" w:rsidP="004947FD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IROP, 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C81AF6" w:rsidRPr="001D3680" w:rsidTr="001D3680">
        <w:trPr>
          <w:jc w:val="right"/>
        </w:trPr>
        <w:tc>
          <w:tcPr>
            <w:tcW w:w="940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M</w:t>
            </w:r>
            <w:r>
              <w:rPr>
                <w:rFonts w:cs="Arial"/>
                <w:color w:val="000000"/>
                <w:sz w:val="20"/>
                <w:szCs w:val="20"/>
              </w:rPr>
              <w:t>PO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C81AF6" w:rsidRPr="00CC6804" w:rsidRDefault="00C81AF6" w:rsidP="004947FD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CC6804">
              <w:rPr>
                <w:rFonts w:cs="Arial"/>
                <w:b/>
                <w:color w:val="auto"/>
                <w:sz w:val="20"/>
                <w:szCs w:val="20"/>
              </w:rPr>
              <w:t xml:space="preserve">Cíl: Zvýšení dostupnosti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br/>
            </w:r>
            <w:r w:rsidRPr="00CC6804">
              <w:rPr>
                <w:rFonts w:cs="Arial"/>
                <w:b/>
                <w:color w:val="auto"/>
                <w:sz w:val="20"/>
                <w:szCs w:val="20"/>
              </w:rPr>
              <w:t xml:space="preserve">a transparentnosti veřejné správy prostřednictvím nástrojů </w:t>
            </w:r>
            <w:proofErr w:type="spellStart"/>
            <w:r w:rsidRPr="00CC6804">
              <w:rPr>
                <w:rFonts w:cs="Arial"/>
                <w:b/>
                <w:color w:val="auto"/>
                <w:sz w:val="20"/>
                <w:szCs w:val="20"/>
              </w:rPr>
              <w:t>eGovernment</w:t>
            </w:r>
            <w:proofErr w:type="spellEnd"/>
          </w:p>
          <w:p w:rsidR="00C81AF6" w:rsidRDefault="00C81AF6" w:rsidP="004947F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 w:rsidRPr="00BD0D5D">
              <w:rPr>
                <w:rFonts w:cs="Arial"/>
                <w:b/>
                <w:sz w:val="20"/>
                <w:szCs w:val="20"/>
              </w:rPr>
              <w:t>Další opatření v rámci pokračující elektronizace veřejné správy (</w:t>
            </w:r>
            <w:proofErr w:type="spellStart"/>
            <w:r w:rsidRPr="00BD0D5D">
              <w:rPr>
                <w:rFonts w:cs="Arial"/>
                <w:b/>
                <w:sz w:val="20"/>
                <w:szCs w:val="20"/>
              </w:rPr>
              <w:t>eGovernment</w:t>
            </w:r>
            <w:proofErr w:type="spellEnd"/>
            <w:r w:rsidRPr="00BD0D5D">
              <w:rPr>
                <w:rFonts w:cs="Arial"/>
                <w:b/>
                <w:sz w:val="20"/>
                <w:szCs w:val="20"/>
              </w:rPr>
              <w:t>). Bude dále pokračovat v rámci Strategického rámce rozvoje veřejné správy České republiky pro období 2014-2020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:rsidR="00C81AF6" w:rsidRPr="001D3680" w:rsidRDefault="00C81AF6" w:rsidP="004947FD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IROP, 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C81AF6" w:rsidRPr="001D3680" w:rsidTr="001D3680">
        <w:trPr>
          <w:jc w:val="right"/>
        </w:trPr>
        <w:tc>
          <w:tcPr>
            <w:tcW w:w="940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MSPr</w:t>
            </w:r>
            <w:proofErr w:type="spellEnd"/>
          </w:p>
        </w:tc>
        <w:tc>
          <w:tcPr>
            <w:tcW w:w="1572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C81AF6" w:rsidRPr="00C81AF6" w:rsidRDefault="00C81AF6" w:rsidP="004947FD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C81AF6">
              <w:rPr>
                <w:rFonts w:cs="Arial"/>
                <w:b/>
                <w:color w:val="auto"/>
                <w:sz w:val="20"/>
                <w:szCs w:val="20"/>
              </w:rPr>
              <w:t>Cíl: Zlepšení právního prostředí v České republice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 xml:space="preserve">, </w:t>
            </w:r>
            <w:r w:rsidRPr="00C81AF6">
              <w:rPr>
                <w:rFonts w:cs="Arial"/>
                <w:b/>
                <w:color w:val="auto"/>
                <w:sz w:val="20"/>
                <w:szCs w:val="20"/>
              </w:rPr>
              <w:t>zvýšení důvěry občanů v rozhodovací a legislativní procesy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, snížení míry korupce</w:t>
            </w:r>
          </w:p>
          <w:p w:rsidR="00C81AF6" w:rsidRDefault="00C81AF6" w:rsidP="004947FD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7011CA">
              <w:rPr>
                <w:rFonts w:cs="Arial"/>
                <w:color w:val="auto"/>
                <w:sz w:val="20"/>
                <w:szCs w:val="20"/>
              </w:rPr>
              <w:t xml:space="preserve">Novelizace zákona č. 283/1993 Sb. </w:t>
            </w:r>
            <w:r>
              <w:rPr>
                <w:rFonts w:cs="Arial"/>
                <w:color w:val="auto"/>
                <w:sz w:val="20"/>
                <w:szCs w:val="20"/>
              </w:rPr>
              <w:t>o</w:t>
            </w:r>
            <w:r w:rsidRPr="007011CA">
              <w:rPr>
                <w:rFonts w:cs="Arial"/>
                <w:color w:val="auto"/>
                <w:sz w:val="20"/>
                <w:szCs w:val="20"/>
              </w:rPr>
              <w:t xml:space="preserve"> státn</w:t>
            </w:r>
            <w:r>
              <w:rPr>
                <w:rFonts w:cs="Arial"/>
                <w:color w:val="auto"/>
                <w:sz w:val="20"/>
                <w:szCs w:val="20"/>
              </w:rPr>
              <w:t>ím zastupitelství, v.z.</w:t>
            </w:r>
            <w:proofErr w:type="spellStart"/>
            <w:r>
              <w:rPr>
                <w:rFonts w:cs="Arial"/>
                <w:color w:val="auto"/>
                <w:sz w:val="20"/>
                <w:szCs w:val="20"/>
              </w:rPr>
              <w:t>p.p</w:t>
            </w:r>
            <w:proofErr w:type="spellEnd"/>
            <w:r>
              <w:rPr>
                <w:rFonts w:cs="Arial"/>
                <w:color w:val="auto"/>
                <w:sz w:val="20"/>
                <w:szCs w:val="20"/>
              </w:rPr>
              <w:t>; resp</w:t>
            </w:r>
            <w:r w:rsidRPr="007011CA">
              <w:rPr>
                <w:rFonts w:cs="Arial"/>
                <w:color w:val="auto"/>
                <w:sz w:val="20"/>
                <w:szCs w:val="20"/>
              </w:rPr>
              <w:t>. předložení nového zákona.</w:t>
            </w:r>
          </w:p>
          <w:p w:rsidR="00C81AF6" w:rsidRPr="00660E3F" w:rsidRDefault="00C81AF6" w:rsidP="004947FD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660E3F">
              <w:rPr>
                <w:rFonts w:cs="Arial"/>
                <w:b/>
                <w:color w:val="auto"/>
                <w:sz w:val="20"/>
                <w:szCs w:val="20"/>
              </w:rPr>
              <w:t>Indikátor: Schválení novely zákona, případně kompletně nové právní úpravy</w:t>
            </w:r>
          </w:p>
          <w:p w:rsidR="00C81AF6" w:rsidRPr="007011CA" w:rsidRDefault="00C81AF6" w:rsidP="004947FD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81AF6" w:rsidRPr="001D3680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C81AF6" w:rsidRPr="00753E0A" w:rsidTr="00E03AFB">
        <w:trPr>
          <w:jc w:val="right"/>
        </w:trPr>
        <w:tc>
          <w:tcPr>
            <w:tcW w:w="940" w:type="dxa"/>
            <w:shd w:val="clear" w:color="auto" w:fill="auto"/>
            <w:vAlign w:val="center"/>
          </w:tcPr>
          <w:p w:rsidR="00C81AF6" w:rsidRPr="00753E0A" w:rsidRDefault="00C81AF6" w:rsidP="00E03AFB">
            <w:pPr>
              <w:spacing w:before="120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24397E">
              <w:rPr>
                <w:rFonts w:cs="Arial"/>
                <w:color w:val="auto"/>
                <w:sz w:val="20"/>
                <w:szCs w:val="20"/>
              </w:rPr>
              <w:t>MLR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81AF6" w:rsidRPr="00753E0A" w:rsidRDefault="00C81AF6" w:rsidP="00E03AFB">
            <w:pPr>
              <w:spacing w:before="120"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C81AF6" w:rsidRPr="0024397E" w:rsidRDefault="00C81AF6" w:rsidP="00E03AFB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color w:val="auto"/>
                <w:sz w:val="20"/>
                <w:szCs w:val="20"/>
              </w:rPr>
              <w:t>Jednoleté akční plány jsou vedle hodnocení korupčních rizik v rámci legislativního procesu (preventivně-legislativní institut zakotvený v Legislativních pravidlech vlády) hlavním nástrojem boje s korupcí.</w:t>
            </w:r>
          </w:p>
          <w:p w:rsidR="00C81AF6" w:rsidRPr="0024397E" w:rsidRDefault="00C81AF6" w:rsidP="00E03AFB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>Indikátor: Detailní vyhodnocení Akčního plánu boje s korupcí na rok 2015</w:t>
            </w:r>
          </w:p>
          <w:p w:rsidR="00C81AF6" w:rsidRPr="00753E0A" w:rsidRDefault="00C81AF6" w:rsidP="0024397E">
            <w:pPr>
              <w:spacing w:before="120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C81AF6" w:rsidRPr="00753E0A" w:rsidRDefault="00C81AF6" w:rsidP="00E03AFB">
            <w:pPr>
              <w:spacing w:before="120"/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81AF6" w:rsidRPr="00753E0A" w:rsidRDefault="00C81AF6" w:rsidP="00BD0D5D">
            <w:pPr>
              <w:spacing w:before="120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24397E"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</w:tbl>
    <w:p w:rsidR="00D5142D" w:rsidRDefault="00D5142D">
      <w:pPr>
        <w:spacing w:after="0" w:line="240" w:lineRule="auto"/>
        <w:jc w:val="left"/>
        <w:rPr>
          <w:rFonts w:eastAsiaTheme="majorEastAsia" w:cstheme="majorBidi"/>
          <w:b/>
          <w:bCs/>
          <w:iCs/>
          <w:color w:val="1F497D" w:themeColor="text2"/>
          <w:sz w:val="28"/>
          <w:szCs w:val="28"/>
        </w:rPr>
      </w:pPr>
      <w:r>
        <w:br w:type="page"/>
      </w:r>
    </w:p>
    <w:p w:rsidR="003E61CB" w:rsidRDefault="003E61CB" w:rsidP="00FF755B">
      <w:pPr>
        <w:pStyle w:val="Nadpis2"/>
        <w:spacing w:before="360"/>
        <w:ind w:left="0" w:hanging="426"/>
      </w:pPr>
      <w:bookmarkStart w:id="27" w:name="_Toc435423995"/>
      <w:r>
        <w:lastRenderedPageBreak/>
        <w:t>Energetika</w:t>
      </w:r>
      <w:bookmarkEnd w:id="27"/>
    </w:p>
    <w:p w:rsidR="000C6DD1" w:rsidRPr="006F0B05" w:rsidRDefault="000C6DD1" w:rsidP="000C6DD1">
      <w:pPr>
        <w:spacing w:line="240" w:lineRule="auto"/>
        <w:rPr>
          <w:sz w:val="16"/>
          <w:szCs w:val="16"/>
        </w:rPr>
      </w:pPr>
    </w:p>
    <w:tbl>
      <w:tblPr>
        <w:tblW w:w="9422" w:type="dxa"/>
        <w:jc w:val="right"/>
        <w:tblInd w:w="557" w:type="dxa"/>
        <w:tblLayout w:type="fixed"/>
        <w:tblLook w:val="01E0"/>
      </w:tblPr>
      <w:tblGrid>
        <w:gridCol w:w="916"/>
        <w:gridCol w:w="19"/>
        <w:gridCol w:w="1541"/>
        <w:gridCol w:w="10"/>
        <w:gridCol w:w="4095"/>
        <w:gridCol w:w="1565"/>
        <w:gridCol w:w="16"/>
        <w:gridCol w:w="1260"/>
      </w:tblGrid>
      <w:tr w:rsidR="000C6DD1" w:rsidRPr="001D3680" w:rsidTr="00BD0D5D">
        <w:trPr>
          <w:tblHeader/>
          <w:jc w:val="right"/>
        </w:trPr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D1" w:rsidRPr="001D3680" w:rsidRDefault="000C6DD1" w:rsidP="00BA73B1">
            <w:pPr>
              <w:tabs>
                <w:tab w:val="left" w:pos="383"/>
              </w:tabs>
              <w:spacing w:after="0"/>
              <w:ind w:left="-42" w:firstLine="42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Gestor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D1" w:rsidRPr="001D3680" w:rsidRDefault="000C6DD1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proofErr w:type="spellStart"/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Spolugestor</w:t>
            </w:r>
            <w:proofErr w:type="spellEnd"/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D1" w:rsidRPr="001D3680" w:rsidRDefault="000C6DD1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Opatření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p w:rsidR="000C6DD1" w:rsidRPr="001D3680" w:rsidRDefault="000C6DD1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Možnosti financování cíle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DD1" w:rsidRPr="001D3680" w:rsidRDefault="000C6DD1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Termín</w:t>
            </w:r>
          </w:p>
        </w:tc>
      </w:tr>
      <w:tr w:rsidR="00945B1E" w:rsidRPr="001D3680" w:rsidTr="00BD0D5D">
        <w:trPr>
          <w:jc w:val="right"/>
        </w:trPr>
        <w:tc>
          <w:tcPr>
            <w:tcW w:w="916" w:type="dxa"/>
            <w:shd w:val="clear" w:color="auto" w:fill="auto"/>
            <w:vAlign w:val="center"/>
          </w:tcPr>
          <w:p w:rsidR="00945B1E" w:rsidRPr="001D3680" w:rsidRDefault="00945B1E" w:rsidP="00BA73B1">
            <w:pPr>
              <w:spacing w:after="0"/>
              <w:ind w:left="-42" w:firstLine="42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45B1E" w:rsidRPr="001D3680" w:rsidRDefault="00945B1E" w:rsidP="00BA73B1">
            <w:pPr>
              <w:spacing w:after="0"/>
              <w:ind w:left="-42" w:firstLine="42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945B1E" w:rsidRPr="001D3680" w:rsidRDefault="00945B1E" w:rsidP="00BA73B1">
            <w:pPr>
              <w:spacing w:before="120"/>
              <w:ind w:left="-42" w:firstLine="42"/>
              <w:rPr>
                <w:rFonts w:cs="Arial"/>
                <w:b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 xml:space="preserve">Cíl: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Obnovitelné zdroje</w:t>
            </w:r>
          </w:p>
          <w:p w:rsidR="00945B1E" w:rsidRPr="009F4A02" w:rsidRDefault="00945B1E" w:rsidP="00BA73B1">
            <w:pPr>
              <w:spacing w:before="120"/>
              <w:ind w:left="-42" w:firstLine="42"/>
              <w:rPr>
                <w:rFonts w:cs="Arial"/>
                <w:color w:val="000000"/>
                <w:sz w:val="20"/>
                <w:szCs w:val="20"/>
              </w:rPr>
            </w:pPr>
            <w:r w:rsidRPr="00945B1E">
              <w:rPr>
                <w:rFonts w:cs="Arial"/>
                <w:sz w:val="20"/>
                <w:szCs w:val="20"/>
              </w:rPr>
              <w:t>Aktualizace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52260">
              <w:rPr>
                <w:rFonts w:cs="Arial"/>
                <w:sz w:val="20"/>
                <w:szCs w:val="20"/>
              </w:rPr>
              <w:t>Národního akčního plánu pro obnovitelné zdroje</w:t>
            </w:r>
            <w:r w:rsidR="009F4A02">
              <w:rPr>
                <w:rFonts w:cs="Arial"/>
                <w:b/>
                <w:color w:val="000000"/>
                <w:sz w:val="20"/>
                <w:szCs w:val="20"/>
              </w:rPr>
              <w:t xml:space="preserve">, </w:t>
            </w:r>
            <w:r w:rsidR="009F4A02">
              <w:rPr>
                <w:rFonts w:cs="Arial"/>
                <w:color w:val="000000"/>
                <w:sz w:val="20"/>
                <w:szCs w:val="20"/>
              </w:rPr>
              <w:t>včetně stanovení reálných cílů.</w:t>
            </w:r>
          </w:p>
          <w:p w:rsidR="00FF755B" w:rsidRPr="00FF755B" w:rsidRDefault="00FF755B" w:rsidP="00BA73B1">
            <w:pPr>
              <w:spacing w:before="120"/>
              <w:ind w:left="-42" w:firstLine="42"/>
              <w:rPr>
                <w:rFonts w:cs="Arial"/>
                <w:b/>
                <w:color w:val="000000"/>
                <w:sz w:val="20"/>
                <w:szCs w:val="20"/>
              </w:rPr>
            </w:pPr>
            <w:r w:rsidRPr="00FF755B">
              <w:rPr>
                <w:rFonts w:cs="Arial"/>
                <w:b/>
                <w:sz w:val="20"/>
                <w:szCs w:val="20"/>
              </w:rPr>
              <w:t>Indikátor</w:t>
            </w:r>
            <w:r w:rsidRPr="00FF755B">
              <w:rPr>
                <w:rFonts w:cs="Arial"/>
                <w:b/>
                <w:color w:val="000000"/>
                <w:sz w:val="20"/>
                <w:szCs w:val="20"/>
              </w:rPr>
              <w:t xml:space="preserve">: </w:t>
            </w:r>
            <w:r w:rsidR="004C79DD">
              <w:rPr>
                <w:rFonts w:cs="Arial"/>
                <w:b/>
                <w:color w:val="000000"/>
                <w:sz w:val="20"/>
                <w:szCs w:val="20"/>
              </w:rPr>
              <w:t xml:space="preserve">Schválená aktualizace </w:t>
            </w:r>
            <w:r w:rsidRPr="00FF755B">
              <w:rPr>
                <w:rFonts w:cs="Arial"/>
                <w:b/>
                <w:color w:val="000000"/>
                <w:sz w:val="20"/>
                <w:szCs w:val="20"/>
              </w:rPr>
              <w:t>NAP</w:t>
            </w:r>
            <w:r w:rsidR="002B7EBE">
              <w:rPr>
                <w:rFonts w:cs="Arial"/>
                <w:b/>
                <w:color w:val="000000"/>
                <w:sz w:val="20"/>
                <w:szCs w:val="20"/>
              </w:rPr>
              <w:t xml:space="preserve"> OZ</w:t>
            </w:r>
            <w:r w:rsidR="009F4A02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945B1E" w:rsidRPr="001D3680" w:rsidRDefault="00945B1E" w:rsidP="00BA73B1">
            <w:pPr>
              <w:spacing w:before="120"/>
              <w:ind w:left="-42" w:firstLine="42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45B1E" w:rsidRPr="001D3680" w:rsidRDefault="00945B1E" w:rsidP="00E03AFB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5B1E" w:rsidRPr="001D3680" w:rsidRDefault="00945B1E" w:rsidP="00BD0D5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2015</w:t>
            </w:r>
          </w:p>
        </w:tc>
      </w:tr>
      <w:tr w:rsidR="00E170A4" w:rsidRPr="00FD6E1F" w:rsidTr="002C3E89">
        <w:trPr>
          <w:jc w:val="right"/>
        </w:trPr>
        <w:tc>
          <w:tcPr>
            <w:tcW w:w="916" w:type="dxa"/>
            <w:shd w:val="clear" w:color="auto" w:fill="auto"/>
            <w:vAlign w:val="center"/>
          </w:tcPr>
          <w:p w:rsidR="0072341C" w:rsidRPr="00FD6E1F" w:rsidRDefault="00753E0A" w:rsidP="0072341C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MPO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341C" w:rsidRPr="00FD6E1F" w:rsidRDefault="0072341C" w:rsidP="0072341C">
            <w:pPr>
              <w:spacing w:before="120"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72341C" w:rsidRDefault="0072341C" w:rsidP="0072341C">
            <w:pPr>
              <w:tabs>
                <w:tab w:val="left" w:pos="1309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Cíl: Podpora rozvoje jaderné energetiky</w:t>
            </w:r>
          </w:p>
          <w:p w:rsidR="0072341C" w:rsidRDefault="0072341C" w:rsidP="0072341C">
            <w:pPr>
              <w:tabs>
                <w:tab w:val="left" w:pos="1309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Pří</w:t>
            </w:r>
            <w:r w:rsidRPr="00C75DBC">
              <w:rPr>
                <w:rFonts w:cs="Arial"/>
                <w:color w:val="000000"/>
                <w:sz w:val="20"/>
                <w:szCs w:val="20"/>
              </w:rPr>
              <w:t>p</w:t>
            </w:r>
            <w:r>
              <w:rPr>
                <w:rFonts w:cs="Arial"/>
                <w:color w:val="000000"/>
                <w:sz w:val="20"/>
                <w:szCs w:val="20"/>
              </w:rPr>
              <w:t>rava</w:t>
            </w:r>
            <w:r w:rsidRPr="00C75DBC">
              <w:rPr>
                <w:rFonts w:cs="Arial"/>
                <w:color w:val="000000"/>
                <w:sz w:val="20"/>
                <w:szCs w:val="20"/>
              </w:rPr>
              <w:t xml:space="preserve"> analýz</w:t>
            </w:r>
            <w:r>
              <w:rPr>
                <w:rFonts w:cs="Arial"/>
                <w:color w:val="000000"/>
                <w:sz w:val="20"/>
                <w:szCs w:val="20"/>
              </w:rPr>
              <w:t>y</w:t>
            </w:r>
            <w:r w:rsidRPr="00C75DBC">
              <w:rPr>
                <w:rFonts w:cs="Arial"/>
                <w:color w:val="000000"/>
                <w:sz w:val="20"/>
                <w:szCs w:val="20"/>
              </w:rPr>
              <w:t xml:space="preserve"> možností řešení problematiky strategických staveb stavebním zákonem, který by obsahoval možnost výběru mezi jednostupňovým a dvoustupňovým jednotným povolovacím řízením v souladu s principy definovanými </w:t>
            </w:r>
            <w:r>
              <w:rPr>
                <w:rFonts w:cs="Arial"/>
                <w:color w:val="000000"/>
                <w:sz w:val="20"/>
                <w:szCs w:val="20"/>
              </w:rPr>
              <w:t>NAP</w:t>
            </w:r>
            <w:r w:rsidRPr="00C75DBC">
              <w:rPr>
                <w:rFonts w:cs="Arial"/>
                <w:color w:val="000000"/>
                <w:sz w:val="20"/>
                <w:szCs w:val="20"/>
              </w:rPr>
              <w:t xml:space="preserve"> rozvoje jaderné energetiky v České republice</w:t>
            </w:r>
            <w:r w:rsidR="004C79DD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72341C" w:rsidRPr="00BD0D5D" w:rsidRDefault="0072341C" w:rsidP="0072341C">
            <w:pPr>
              <w:tabs>
                <w:tab w:val="left" w:pos="1309"/>
              </w:tabs>
              <w:rPr>
                <w:rFonts w:ascii="Times" w:eastAsia="Times New Roman" w:hAnsi="Times"/>
                <w:b/>
                <w:color w:val="auto"/>
                <w:sz w:val="20"/>
                <w:szCs w:val="20"/>
              </w:rPr>
            </w:pPr>
            <w:r w:rsidRPr="00BD0D5D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 w:rsidR="004C79DD" w:rsidRPr="00BD0D5D">
              <w:rPr>
                <w:rFonts w:cs="Arial"/>
                <w:b/>
                <w:color w:val="000000"/>
                <w:sz w:val="20"/>
                <w:szCs w:val="20"/>
              </w:rPr>
              <w:t>Předložení analýzy.</w:t>
            </w:r>
          </w:p>
          <w:p w:rsidR="0072341C" w:rsidRPr="0072341C" w:rsidRDefault="0072341C" w:rsidP="0072341C">
            <w:pPr>
              <w:tabs>
                <w:tab w:val="left" w:pos="1309"/>
              </w:tabs>
              <w:rPr>
                <w:rFonts w:ascii="Times" w:eastAsia="Times New Roman" w:hAnsi="Times"/>
                <w:color w:val="auto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72341C" w:rsidRPr="00FD6E1F" w:rsidRDefault="0072341C" w:rsidP="0072341C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341C" w:rsidRPr="00FD6E1F" w:rsidRDefault="0072341C" w:rsidP="0072341C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2015/2016</w:t>
            </w:r>
          </w:p>
        </w:tc>
      </w:tr>
      <w:tr w:rsidR="00E170A4" w:rsidRPr="00FD6E1F" w:rsidTr="00BD0D5D">
        <w:trPr>
          <w:jc w:val="right"/>
        </w:trPr>
        <w:tc>
          <w:tcPr>
            <w:tcW w:w="916" w:type="dxa"/>
            <w:shd w:val="clear" w:color="auto" w:fill="auto"/>
            <w:vAlign w:val="center"/>
          </w:tcPr>
          <w:p w:rsidR="0072341C" w:rsidRDefault="0072341C" w:rsidP="0072341C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MPO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2341C" w:rsidRDefault="0072341C" w:rsidP="0072341C">
            <w:pPr>
              <w:spacing w:before="120"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MF</w:t>
            </w:r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:rsidR="00947B99" w:rsidRDefault="00947B99" w:rsidP="0024397E">
            <w:pPr>
              <w:keepNext/>
              <w:tabs>
                <w:tab w:val="left" w:pos="-413"/>
              </w:tabs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Pr="00947B99">
              <w:rPr>
                <w:rFonts w:cs="Arial"/>
                <w:color w:val="000000"/>
                <w:sz w:val="20"/>
                <w:szCs w:val="20"/>
              </w:rPr>
              <w:t xml:space="preserve">řipravit k projednání na Vládě ČR materiál, který bude konkretizovat další postup především </w:t>
            </w:r>
            <w:r>
              <w:rPr>
                <w:rFonts w:cs="Arial"/>
                <w:color w:val="000000"/>
                <w:sz w:val="20"/>
                <w:szCs w:val="20"/>
              </w:rPr>
              <w:t>p</w:t>
            </w:r>
            <w:r w:rsidRPr="00947B99">
              <w:rPr>
                <w:rFonts w:cs="Arial"/>
                <w:color w:val="000000"/>
                <w:sz w:val="20"/>
                <w:szCs w:val="20"/>
              </w:rPr>
              <w:t>referovaný model investorsko-o</w:t>
            </w:r>
            <w:r>
              <w:rPr>
                <w:rFonts w:cs="Arial"/>
                <w:color w:val="000000"/>
                <w:sz w:val="20"/>
                <w:szCs w:val="20"/>
              </w:rPr>
              <w:t>bchodního zajištění výstavby nových jaderných zdrojů.</w:t>
            </w:r>
          </w:p>
          <w:p w:rsidR="0072341C" w:rsidRDefault="00947B99" w:rsidP="0024397E">
            <w:pPr>
              <w:keepNext/>
              <w:tabs>
                <w:tab w:val="left" w:pos="-413"/>
              </w:tabs>
              <w:rPr>
                <w:rFonts w:cs="Arial"/>
                <w:b/>
                <w:color w:val="000000"/>
                <w:sz w:val="20"/>
                <w:szCs w:val="20"/>
              </w:rPr>
            </w:pPr>
            <w:r w:rsidRPr="0024397E">
              <w:rPr>
                <w:rFonts w:cs="Arial"/>
                <w:b/>
                <w:color w:val="000000"/>
                <w:sz w:val="20"/>
                <w:szCs w:val="20"/>
              </w:rPr>
              <w:t>Indikátor: Předložení materiálu.</w:t>
            </w:r>
          </w:p>
          <w:p w:rsidR="00DD0183" w:rsidRPr="0072114F" w:rsidRDefault="00DD0183" w:rsidP="0024397E">
            <w:pPr>
              <w:keepNext/>
              <w:tabs>
                <w:tab w:val="left" w:pos="-413"/>
              </w:tabs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72341C" w:rsidRDefault="00BA73B1" w:rsidP="0072341C">
            <w:pPr>
              <w:tabs>
                <w:tab w:val="left" w:pos="-413"/>
              </w:tabs>
              <w:spacing w:before="120"/>
              <w:ind w:left="-22" w:firstLine="176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2341C" w:rsidRDefault="0072341C" w:rsidP="00BD0D5D">
            <w:pPr>
              <w:spacing w:before="120"/>
              <w:ind w:left="-22" w:firstLine="176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2C3E89" w:rsidRPr="001D3680" w:rsidTr="00BD0D5D">
        <w:trPr>
          <w:jc w:val="right"/>
        </w:trPr>
        <w:tc>
          <w:tcPr>
            <w:tcW w:w="935" w:type="dxa"/>
            <w:gridSpan w:val="2"/>
            <w:shd w:val="clear" w:color="auto" w:fill="auto"/>
            <w:vAlign w:val="center"/>
          </w:tcPr>
          <w:p w:rsidR="002C3E89" w:rsidRPr="001D3680" w:rsidRDefault="002C3E89" w:rsidP="0078270C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auto"/>
                <w:sz w:val="20"/>
                <w:szCs w:val="20"/>
              </w:rPr>
              <w:t>MZe</w:t>
            </w:r>
            <w:proofErr w:type="spellEnd"/>
            <w:r>
              <w:rPr>
                <w:rFonts w:cs="Arial"/>
                <w:color w:val="auto"/>
                <w:sz w:val="20"/>
                <w:szCs w:val="20"/>
              </w:rPr>
              <w:t xml:space="preserve">, MŽP, 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2C3E89" w:rsidRPr="001D3680" w:rsidRDefault="002C3E89" w:rsidP="006A06F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2C3E89" w:rsidRDefault="002C3E89" w:rsidP="00AE593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Cíl: Zmírnění negativních dopadů sucha a nedostatku vody</w:t>
            </w:r>
          </w:p>
          <w:p w:rsidR="002C3E89" w:rsidRDefault="002C3E89" w:rsidP="00AE5935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Příprava podrobného akčního plánu</w:t>
            </w:r>
            <w:r w:rsidR="009F4A02">
              <w:rPr>
                <w:rFonts w:cs="Arial"/>
                <w:sz w:val="20"/>
                <w:szCs w:val="20"/>
              </w:rPr>
              <w:t xml:space="preserve"> adaptace na změnu klimatu</w:t>
            </w:r>
            <w:r>
              <w:rPr>
                <w:rFonts w:cs="Arial"/>
                <w:sz w:val="20"/>
                <w:szCs w:val="20"/>
              </w:rPr>
              <w:t>, který rozpracuje jednotlivá opatření a jejich gestory, vzájemnou provázanost i časový sled.</w:t>
            </w:r>
          </w:p>
          <w:p w:rsidR="002C3E89" w:rsidRPr="001D3680" w:rsidRDefault="002C3E89" w:rsidP="00BD0D5D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D24D74">
              <w:rPr>
                <w:rFonts w:cs="Arial"/>
                <w:b/>
                <w:sz w:val="20"/>
                <w:szCs w:val="20"/>
              </w:rPr>
              <w:t xml:space="preserve">Indikátor: Schválený </w:t>
            </w:r>
            <w:r>
              <w:rPr>
                <w:rFonts w:cs="Arial"/>
                <w:b/>
                <w:sz w:val="20"/>
                <w:szCs w:val="20"/>
              </w:rPr>
              <w:t>Akční plán</w:t>
            </w:r>
            <w:r w:rsidR="0016124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581" w:type="dxa"/>
            <w:gridSpan w:val="2"/>
            <w:vAlign w:val="center"/>
          </w:tcPr>
          <w:p w:rsidR="002C3E89" w:rsidRPr="001D3680" w:rsidRDefault="002C3E89" w:rsidP="0072341C">
            <w:pPr>
              <w:tabs>
                <w:tab w:val="left" w:pos="-413"/>
              </w:tabs>
              <w:spacing w:before="120"/>
              <w:ind w:left="154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3E89" w:rsidRPr="001D3680" w:rsidRDefault="002C3E89" w:rsidP="006A06F6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</w:t>
            </w:r>
            <w:r w:rsidR="009F4A02">
              <w:rPr>
                <w:rFonts w:cs="Arial"/>
                <w:color w:val="auto"/>
                <w:sz w:val="20"/>
                <w:szCs w:val="20"/>
              </w:rPr>
              <w:t>6</w:t>
            </w:r>
          </w:p>
        </w:tc>
      </w:tr>
    </w:tbl>
    <w:p w:rsidR="00CE21BC" w:rsidRDefault="00CE21BC" w:rsidP="00CE21BC">
      <w:pPr>
        <w:pStyle w:val="Nadpis2"/>
        <w:numPr>
          <w:ilvl w:val="0"/>
          <w:numId w:val="0"/>
        </w:numPr>
        <w:spacing w:before="360"/>
        <w:ind w:left="720"/>
        <w:jc w:val="both"/>
      </w:pPr>
    </w:p>
    <w:p w:rsidR="004A1C1F" w:rsidRDefault="00CE21BC" w:rsidP="000B5C59">
      <w:pPr>
        <w:pStyle w:val="Nadpis2"/>
        <w:spacing w:before="360"/>
      </w:pPr>
      <w:r>
        <w:br w:type="column"/>
      </w:r>
      <w:bookmarkStart w:id="28" w:name="_Toc435423996"/>
      <w:r w:rsidR="004A1C1F">
        <w:lastRenderedPageBreak/>
        <w:t>Podpora zaměstnanosti a trhu práce</w:t>
      </w:r>
      <w:bookmarkEnd w:id="28"/>
    </w:p>
    <w:p w:rsidR="00A87EE2" w:rsidRPr="006F0B05" w:rsidRDefault="00A87EE2" w:rsidP="004A1C1F">
      <w:pPr>
        <w:spacing w:line="240" w:lineRule="auto"/>
        <w:rPr>
          <w:sz w:val="16"/>
          <w:szCs w:val="16"/>
        </w:rPr>
      </w:pPr>
    </w:p>
    <w:tbl>
      <w:tblPr>
        <w:tblW w:w="9259" w:type="dxa"/>
        <w:jc w:val="right"/>
        <w:tblLayout w:type="fixed"/>
        <w:tblLook w:val="01E0"/>
      </w:tblPr>
      <w:tblGrid>
        <w:gridCol w:w="1130"/>
        <w:gridCol w:w="1628"/>
        <w:gridCol w:w="3509"/>
        <w:gridCol w:w="1732"/>
        <w:gridCol w:w="1260"/>
      </w:tblGrid>
      <w:tr w:rsidR="004A1C1F" w:rsidRPr="001D3680" w:rsidTr="00532456">
        <w:trPr>
          <w:tblHeader/>
          <w:jc w:val="right"/>
        </w:trPr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C1F" w:rsidRPr="001D3680" w:rsidRDefault="004A1C1F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Gestor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C1F" w:rsidRPr="001D3680" w:rsidRDefault="004A1C1F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proofErr w:type="spellStart"/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Spolugestor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C1F" w:rsidRPr="001D3680" w:rsidRDefault="004A1C1F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Opatření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4A1C1F" w:rsidRPr="001D3680" w:rsidRDefault="004A1C1F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Možnosti financování cíle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C1F" w:rsidRPr="001D3680" w:rsidRDefault="004A1C1F" w:rsidP="001D3680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1D3680">
              <w:rPr>
                <w:rFonts w:cs="Arial"/>
                <w:b/>
                <w:smallCaps/>
                <w:color w:val="000080"/>
                <w:sz w:val="20"/>
                <w:szCs w:val="20"/>
              </w:rPr>
              <w:t>Termín</w:t>
            </w:r>
          </w:p>
        </w:tc>
      </w:tr>
      <w:tr w:rsidR="004A1C1F" w:rsidRPr="001D3680" w:rsidTr="00532456">
        <w:trPr>
          <w:jc w:val="right"/>
        </w:trPr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C1F" w:rsidRPr="001D3680" w:rsidRDefault="004A1C1F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MF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C1F" w:rsidRPr="001D3680" w:rsidRDefault="004A1C1F" w:rsidP="000C6DD1">
            <w:pPr>
              <w:spacing w:before="120"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MPSV, ÚP ČR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C1F" w:rsidRPr="001D3680" w:rsidRDefault="004A1C1F" w:rsidP="00FF5C7E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>Cíl: Minimalizace nezaměstnanosti</w:t>
            </w:r>
          </w:p>
          <w:p w:rsidR="004A1C1F" w:rsidRPr="001D3680" w:rsidRDefault="004A1C1F" w:rsidP="00FF5C7E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Zajištění průběžného navyšování rozpočtu na APZ do roku 2018</w:t>
            </w:r>
            <w:r w:rsidR="00532456">
              <w:rPr>
                <w:rFonts w:cs="Arial"/>
                <w:color w:val="000000"/>
                <w:sz w:val="20"/>
                <w:szCs w:val="20"/>
              </w:rPr>
              <w:t>. Zacílení APZ s využitím poznatků analýzy nabídky a poptávky na českém trhu práce.</w:t>
            </w:r>
          </w:p>
          <w:p w:rsidR="0074403B" w:rsidRDefault="004A1C1F" w:rsidP="00A177B9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 w:rsidR="00A177B9" w:rsidRPr="001D3680">
              <w:rPr>
                <w:rFonts w:cs="Arial"/>
                <w:b/>
                <w:color w:val="auto"/>
                <w:sz w:val="20"/>
                <w:szCs w:val="20"/>
              </w:rPr>
              <w:t xml:space="preserve">Podíl </w:t>
            </w:r>
            <w:r w:rsidR="00753E0A">
              <w:rPr>
                <w:rFonts w:cs="Arial"/>
                <w:b/>
                <w:color w:val="auto"/>
                <w:sz w:val="20"/>
                <w:szCs w:val="20"/>
              </w:rPr>
              <w:t xml:space="preserve">celkových výdajů </w:t>
            </w:r>
            <w:r w:rsidR="00A177B9" w:rsidRPr="001D3680">
              <w:rPr>
                <w:rFonts w:cs="Arial"/>
                <w:b/>
                <w:color w:val="auto"/>
                <w:sz w:val="20"/>
                <w:szCs w:val="20"/>
              </w:rPr>
              <w:t xml:space="preserve">APZ na HDP – v roce 2013: 0,11 % do roku 2018 dosáhnout 0,3 %. </w:t>
            </w:r>
          </w:p>
          <w:p w:rsidR="00591B67" w:rsidRDefault="0074403B" w:rsidP="00770816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P</w:t>
            </w:r>
            <w:r w:rsidR="00A177B9" w:rsidRPr="001D3680">
              <w:rPr>
                <w:rFonts w:cs="Arial"/>
                <w:b/>
                <w:color w:val="auto"/>
                <w:sz w:val="20"/>
                <w:szCs w:val="20"/>
              </w:rPr>
              <w:t>odpořit ročně minimálně 100 000 uchazečů.</w:t>
            </w:r>
          </w:p>
          <w:p w:rsidR="00770816" w:rsidRPr="001D3680" w:rsidRDefault="00770816" w:rsidP="00770816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4A1C1F" w:rsidRPr="001D3680" w:rsidRDefault="004A1C1F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OP Z, Státní rozpočet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C1F" w:rsidRPr="001D3680" w:rsidRDefault="004A1C1F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2014–2018</w:t>
            </w:r>
          </w:p>
        </w:tc>
      </w:tr>
      <w:tr w:rsidR="00532456" w:rsidRPr="001D3680" w:rsidTr="00532456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Pr="001D3680" w:rsidRDefault="00532456" w:rsidP="0053245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MPSV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Pr="001D3680" w:rsidRDefault="00532456" w:rsidP="00532456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532456" w:rsidRPr="001D3680" w:rsidRDefault="00532456" w:rsidP="00532456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</w:t>
            </w:r>
            <w:r w:rsidRPr="001D3680">
              <w:rPr>
                <w:rFonts w:cs="Arial"/>
                <w:color w:val="000000"/>
                <w:sz w:val="20"/>
                <w:szCs w:val="20"/>
              </w:rPr>
              <w:t>ealizace programu Záruka pro mladé zapojení i opatření a projektů financovaných v rámci investiční priority 1.1 nového OP Zaměstnanost.</w:t>
            </w:r>
          </w:p>
          <w:p w:rsidR="00770816" w:rsidRDefault="00532456" w:rsidP="00532456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 w:rsidRPr="001D3680">
              <w:rPr>
                <w:rFonts w:cs="Arial"/>
                <w:b/>
                <w:color w:val="auto"/>
                <w:sz w:val="20"/>
                <w:szCs w:val="20"/>
              </w:rPr>
              <w:t>Hodnota indikátoru na rok 201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6</w:t>
            </w:r>
            <w:r w:rsidRPr="001D3680">
              <w:rPr>
                <w:rFonts w:cs="Arial"/>
                <w:b/>
                <w:color w:val="auto"/>
                <w:sz w:val="20"/>
                <w:szCs w:val="20"/>
              </w:rPr>
              <w:t>: 1</w:t>
            </w:r>
          </w:p>
          <w:p w:rsidR="00770816" w:rsidRPr="001D3680" w:rsidRDefault="00770816" w:rsidP="00532456">
            <w:pPr>
              <w:spacing w:before="120"/>
              <w:rPr>
                <w:rFonts w:cs="Arial"/>
                <w:b/>
                <w:color w:val="000000"/>
              </w:rPr>
            </w:pPr>
          </w:p>
        </w:tc>
        <w:tc>
          <w:tcPr>
            <w:tcW w:w="1732" w:type="dxa"/>
            <w:vAlign w:val="center"/>
          </w:tcPr>
          <w:p w:rsidR="00532456" w:rsidRPr="001D3680" w:rsidRDefault="00532456" w:rsidP="00532456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OP Z, 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Pr="001D3680" w:rsidRDefault="00532456" w:rsidP="00532456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532456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MMR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Pr="001D3680" w:rsidRDefault="00532456" w:rsidP="000C6DD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32456" w:rsidRPr="00BD0D5D" w:rsidRDefault="00532456" w:rsidP="00FF5C7E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BD0D5D">
              <w:rPr>
                <w:rFonts w:cs="Arial"/>
                <w:b/>
                <w:color w:val="000000"/>
                <w:sz w:val="20"/>
                <w:szCs w:val="20"/>
              </w:rPr>
              <w:t>Cíl: Účinný restrukturalizační plán pro strukturálně znevýhodněné regiony</w:t>
            </w:r>
          </w:p>
          <w:p w:rsidR="00532456" w:rsidRDefault="00532456" w:rsidP="00867747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MMR ve spolupráci se zmocněncem vlády pro </w:t>
            </w:r>
            <w:r w:rsidRPr="002C3E89">
              <w:rPr>
                <w:rFonts w:cs="Arial"/>
                <w:color w:val="000000"/>
                <w:sz w:val="20"/>
                <w:szCs w:val="20"/>
              </w:rPr>
              <w:t>řešení problémů spojených s</w:t>
            </w:r>
            <w:r>
              <w:rPr>
                <w:rFonts w:cs="Arial"/>
                <w:color w:val="000000"/>
                <w:sz w:val="20"/>
                <w:szCs w:val="20"/>
              </w:rPr>
              <w:t> </w:t>
            </w:r>
            <w:r w:rsidRPr="002C3E89">
              <w:rPr>
                <w:rFonts w:cs="Arial"/>
                <w:color w:val="000000"/>
                <w:sz w:val="20"/>
                <w:szCs w:val="20"/>
              </w:rPr>
              <w:t>revitalizací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strukturálně znevýhodněných regionů zpracuje </w:t>
            </w:r>
            <w:r w:rsidRPr="002C3E89">
              <w:rPr>
                <w:rFonts w:cs="Arial"/>
                <w:color w:val="000000"/>
                <w:sz w:val="20"/>
                <w:szCs w:val="20"/>
              </w:rPr>
              <w:t xml:space="preserve">analýzu klíčových problémů a predikci vývoje dotčených krajů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a strategii jejich </w:t>
            </w:r>
            <w:r w:rsidRPr="002C3E89">
              <w:rPr>
                <w:rFonts w:cs="Arial"/>
                <w:color w:val="000000"/>
                <w:sz w:val="20"/>
                <w:szCs w:val="20"/>
              </w:rPr>
              <w:t>hospodářské restrukturalizace včetně akčního plánu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532456" w:rsidRDefault="00532456" w:rsidP="00532456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BD0D5D">
              <w:rPr>
                <w:rFonts w:cs="Arial"/>
                <w:b/>
                <w:color w:val="000000"/>
                <w:sz w:val="20"/>
                <w:szCs w:val="20"/>
              </w:rPr>
              <w:t>Indikátor: Předložení strategie a akčního plánu</w:t>
            </w:r>
          </w:p>
          <w:p w:rsidR="008818D7" w:rsidRDefault="008818D7" w:rsidP="00532456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770816" w:rsidRPr="00BD0D5D" w:rsidRDefault="00770816" w:rsidP="00532456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532456" w:rsidRPr="001D3680" w:rsidRDefault="00532456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Pr="001D3680" w:rsidRDefault="00532456" w:rsidP="0074403B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532456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Default="00532456" w:rsidP="00FF5C7E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MPSV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Default="00532456" w:rsidP="000C6DD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MMR, MPO, MF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32456" w:rsidRPr="00770816" w:rsidRDefault="00532456" w:rsidP="00770816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770816">
              <w:rPr>
                <w:rFonts w:cs="Arial"/>
                <w:color w:val="000000"/>
                <w:sz w:val="20"/>
                <w:szCs w:val="20"/>
              </w:rPr>
              <w:t>Př</w:t>
            </w:r>
            <w:r w:rsidR="00770816" w:rsidRPr="00770816">
              <w:rPr>
                <w:rFonts w:cs="Arial"/>
                <w:color w:val="000000"/>
                <w:sz w:val="20"/>
                <w:szCs w:val="20"/>
              </w:rPr>
              <w:t>edložení programu kompenzujícího ztráty pracovních míst v souvislosti s možným ukončením těžby na lomu ČSA.</w:t>
            </w:r>
          </w:p>
          <w:p w:rsidR="00770816" w:rsidRDefault="00770816" w:rsidP="00770816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770816">
              <w:rPr>
                <w:rFonts w:cs="Arial"/>
                <w:b/>
                <w:color w:val="000000"/>
                <w:sz w:val="20"/>
                <w:szCs w:val="20"/>
              </w:rPr>
              <w:t>Indikátor: návrh programu předložený RHSD</w:t>
            </w:r>
          </w:p>
          <w:p w:rsidR="00F1706F" w:rsidRPr="00532456" w:rsidRDefault="00F1706F" w:rsidP="00770816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532456" w:rsidRDefault="00770816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Státní rozpočet, ESF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Default="00770816" w:rsidP="0074403B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532456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MPSV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Pr="003A6798" w:rsidRDefault="00532456" w:rsidP="000C6DD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532456" w:rsidRPr="003A6798" w:rsidRDefault="00532456" w:rsidP="00FF5C7E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3A6798">
              <w:rPr>
                <w:rFonts w:cs="Arial"/>
                <w:b/>
                <w:color w:val="000000"/>
                <w:sz w:val="20"/>
                <w:szCs w:val="20"/>
              </w:rPr>
              <w:t>Cíl: Podpora mobility pracovní síly</w:t>
            </w:r>
          </w:p>
          <w:p w:rsidR="00532456" w:rsidRPr="003A6798" w:rsidRDefault="00532456" w:rsidP="003A6798">
            <w:pPr>
              <w:rPr>
                <w:sz w:val="20"/>
                <w:szCs w:val="20"/>
              </w:rPr>
            </w:pPr>
            <w:r w:rsidRPr="0060005E">
              <w:rPr>
                <w:sz w:val="20"/>
                <w:szCs w:val="20"/>
              </w:rPr>
              <w:t xml:space="preserve">Uchazeči o zaměstnání bude poskytován finanční příspěvek na geografickou mobilitu v případě, kdy nalezne pracovní uplatnění v jiném regionu, </w:t>
            </w:r>
            <w:r w:rsidRPr="003A6798">
              <w:rPr>
                <w:sz w:val="20"/>
                <w:szCs w:val="20"/>
              </w:rPr>
              <w:t>než je region jeho bydliště, přičemž bude přihlíženo k vývoji na trhu práce ve vyjížďkovém regionu (podíl nezaměstnaných, struktura pracovních míst, počet uchazečů o zaměstnání na volné pracovní místo) a jeho dopravní obslužnosti.</w:t>
            </w:r>
          </w:p>
          <w:p w:rsidR="00532456" w:rsidRPr="0060005E" w:rsidRDefault="00532456" w:rsidP="0060005E">
            <w:pPr>
              <w:spacing w:before="120"/>
              <w:rPr>
                <w:sz w:val="20"/>
                <w:szCs w:val="20"/>
              </w:rPr>
            </w:pPr>
            <w:r w:rsidRPr="0060005E">
              <w:rPr>
                <w:sz w:val="20"/>
                <w:szCs w:val="20"/>
              </w:rPr>
              <w:t>Výše příspěvku bude vymezena pásmy vzdálenosti místa výkonu práce (dojížďky) od místa pobytu podpořené osoby.</w:t>
            </w:r>
          </w:p>
          <w:p w:rsidR="00532456" w:rsidRDefault="00532456" w:rsidP="0060005E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Indikátor: Objem poskytnutých prostředků.</w:t>
            </w:r>
          </w:p>
          <w:p w:rsidR="00532456" w:rsidRPr="0060005E" w:rsidRDefault="00532456" w:rsidP="0060005E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532456" w:rsidRPr="001D3680" w:rsidRDefault="00532456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Státní rozpočet, ESF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Pr="001D3680" w:rsidRDefault="00532456" w:rsidP="0074403B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782994" w:rsidRPr="00782994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782994" w:rsidRPr="006940C1" w:rsidRDefault="00782994" w:rsidP="00FF5C7E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6940C1">
              <w:rPr>
                <w:rFonts w:cs="Arial"/>
                <w:color w:val="auto"/>
                <w:sz w:val="20"/>
                <w:szCs w:val="20"/>
              </w:rPr>
              <w:t>MZV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782994" w:rsidRPr="006940C1" w:rsidRDefault="00782994" w:rsidP="000C6DD1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782994" w:rsidRPr="006940C1" w:rsidRDefault="00782994" w:rsidP="00782994">
            <w:pPr>
              <w:spacing w:before="120"/>
              <w:rPr>
                <w:color w:val="auto"/>
                <w:sz w:val="20"/>
                <w:szCs w:val="20"/>
              </w:rPr>
            </w:pPr>
            <w:r w:rsidRPr="006940C1">
              <w:rPr>
                <w:color w:val="auto"/>
                <w:sz w:val="20"/>
                <w:szCs w:val="20"/>
              </w:rPr>
              <w:t>Zkrácení lhůty pro vydání dlouhodobého víza. Zrychlení procesu vydávání víz pro žádanou pracovní sílu ze zemí mimo EU. Prioritou je mimo jiné posílení zastupitelského úřadu v Kyjevě.</w:t>
            </w:r>
          </w:p>
          <w:p w:rsidR="00782994" w:rsidRPr="006940C1" w:rsidRDefault="00782994" w:rsidP="00782994">
            <w:pPr>
              <w:spacing w:before="120"/>
              <w:rPr>
                <w:b/>
                <w:color w:val="auto"/>
                <w:sz w:val="20"/>
                <w:szCs w:val="20"/>
              </w:rPr>
            </w:pPr>
            <w:r w:rsidRPr="006940C1">
              <w:rPr>
                <w:b/>
                <w:color w:val="auto"/>
                <w:sz w:val="20"/>
                <w:szCs w:val="20"/>
              </w:rPr>
              <w:t>Indikátor:</w:t>
            </w:r>
            <w:r w:rsidRPr="006940C1">
              <w:rPr>
                <w:b/>
                <w:color w:val="auto"/>
              </w:rPr>
              <w:t xml:space="preserve"> </w:t>
            </w:r>
            <w:r w:rsidRPr="006940C1">
              <w:rPr>
                <w:b/>
                <w:color w:val="auto"/>
                <w:sz w:val="20"/>
                <w:szCs w:val="20"/>
              </w:rPr>
              <w:t>Průměrná doba od podání žádosti do vydání víza. Vyhodnocení Pilotního projektu: Zvláštní postupy pro vysoce kvalifikované zaměstnance z Ukrajiny</w:t>
            </w:r>
          </w:p>
          <w:p w:rsidR="00782994" w:rsidRDefault="00782994" w:rsidP="00782994">
            <w:pPr>
              <w:spacing w:before="120"/>
              <w:rPr>
                <w:b/>
                <w:color w:val="auto"/>
                <w:sz w:val="20"/>
                <w:szCs w:val="20"/>
              </w:rPr>
            </w:pPr>
          </w:p>
          <w:p w:rsidR="006940C1" w:rsidRPr="006940C1" w:rsidRDefault="006940C1" w:rsidP="00782994">
            <w:pPr>
              <w:spacing w:before="12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782994" w:rsidRPr="006940C1" w:rsidRDefault="006940C1" w:rsidP="00FF5C7E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6940C1">
              <w:rPr>
                <w:rFonts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82994" w:rsidRPr="006940C1" w:rsidRDefault="00782994" w:rsidP="0074403B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6940C1"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532456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lastRenderedPageBreak/>
              <w:t>MPSV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Pr="001D3680" w:rsidRDefault="00532456" w:rsidP="000C6DD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>Cíl: Zlepšení oblasti odměňování</w:t>
            </w:r>
            <w:r w:rsidRPr="001D368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532456" w:rsidRPr="001D3680" w:rsidRDefault="00532456" w:rsidP="00FF5C7E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 xml:space="preserve">Předložení návrhu nařízení vlády, kterým se mění nařízení vlády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1D3680">
              <w:rPr>
                <w:rFonts w:cs="Arial"/>
                <w:color w:val="000000"/>
                <w:sz w:val="20"/>
                <w:szCs w:val="20"/>
              </w:rPr>
              <w:t>č. 567/2006 Sb., o minimální mzdě, o nejnižších úrovních zaručené mzdy, o vymezení ztíženého pracovního prostředí a o výši příplatku ke mzdě za práci ve ztíženém pracovním prostředí, v.z.</w:t>
            </w:r>
            <w:proofErr w:type="spellStart"/>
            <w:r w:rsidRPr="001D3680">
              <w:rPr>
                <w:rFonts w:cs="Arial"/>
                <w:color w:val="000000"/>
                <w:sz w:val="20"/>
                <w:szCs w:val="20"/>
              </w:rPr>
              <w:t>p.p</w:t>
            </w:r>
            <w:proofErr w:type="spellEnd"/>
            <w:r w:rsidRPr="001D3680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S cílem postupně se přiblížit 40 % průměrné mzdy.</w:t>
            </w:r>
          </w:p>
          <w:p w:rsidR="00532456" w:rsidRPr="001D3680" w:rsidRDefault="00532456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Předložený návrh</w:t>
            </w:r>
          </w:p>
          <w:p w:rsidR="00F1706F" w:rsidRPr="001D3680" w:rsidRDefault="00F1706F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532456" w:rsidRPr="001D3680" w:rsidRDefault="00532456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Pr="001D3680" w:rsidRDefault="00532456" w:rsidP="0074403B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  <w:r w:rsidRPr="001D368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74403B">
              <w:rPr>
                <w:rFonts w:cs="Arial"/>
                <w:color w:val="000000"/>
                <w:sz w:val="18"/>
                <w:szCs w:val="18"/>
              </w:rPr>
              <w:t>Každoročně</w:t>
            </w:r>
          </w:p>
        </w:tc>
      </w:tr>
      <w:tr w:rsidR="00F1706F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F1706F" w:rsidRPr="001D3680" w:rsidRDefault="00F1706F" w:rsidP="00FF5C7E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MPSV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1706F" w:rsidRPr="001D3680" w:rsidRDefault="00F1706F" w:rsidP="000C6DD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MF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F1706F" w:rsidRDefault="00F1706F" w:rsidP="00F1706F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Předložení návrhu </w:t>
            </w:r>
            <w:r w:rsidRPr="00F1706F">
              <w:rPr>
                <w:rFonts w:cs="Arial"/>
                <w:color w:val="000000"/>
                <w:sz w:val="20"/>
                <w:szCs w:val="20"/>
              </w:rPr>
              <w:t>v systému odměňování státních zaměstnanců od 1. ledna 2017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F1706F" w:rsidRDefault="00F1706F" w:rsidP="00F1706F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706F">
              <w:rPr>
                <w:rFonts w:cs="Arial"/>
                <w:b/>
                <w:color w:val="000000"/>
                <w:sz w:val="20"/>
                <w:szCs w:val="20"/>
              </w:rPr>
              <w:t>Indikátor: Předložený návrh</w:t>
            </w:r>
          </w:p>
          <w:p w:rsidR="00F1706F" w:rsidRDefault="00F1706F" w:rsidP="00F1706F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6940C1" w:rsidRPr="00F1706F" w:rsidRDefault="006940C1" w:rsidP="00F1706F">
            <w:pPr>
              <w:spacing w:before="120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F1706F" w:rsidRPr="001D3680" w:rsidRDefault="00F1706F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706F" w:rsidRPr="001D3680" w:rsidRDefault="00F1706F" w:rsidP="0074403B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532456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MPSV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Pr="001D3680" w:rsidRDefault="00532456" w:rsidP="000C6DD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SÚIP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32456" w:rsidRPr="001D3680" w:rsidRDefault="00532456" w:rsidP="00FF5C7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 xml:space="preserve">Cíl: Potírání diskriminace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br/>
            </w: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>a nelegální práce</w:t>
            </w:r>
          </w:p>
          <w:p w:rsidR="00532456" w:rsidRPr="001D3680" w:rsidRDefault="00532456" w:rsidP="00FF5C7E">
            <w:pPr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Realizace kontrol zaměřených na nelegální práci, diskriminaci při uplatňování práva na zaměstnání a agenturního zaměstnávání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532456" w:rsidRDefault="00532456" w:rsidP="000B5C5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>Indikátor: 15 000 kontrol ročně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  <w:p w:rsidR="00532456" w:rsidRDefault="00532456" w:rsidP="000B5C59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:rsidR="006940C1" w:rsidRPr="001D3680" w:rsidRDefault="006940C1" w:rsidP="000B5C59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532456" w:rsidRPr="001D3680" w:rsidRDefault="00532456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2015/2016</w:t>
            </w:r>
          </w:p>
        </w:tc>
      </w:tr>
      <w:tr w:rsidR="00532456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MPSV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Pr="001D3680" w:rsidRDefault="00532456" w:rsidP="000C6DD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SÚIP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32456" w:rsidRDefault="00532456" w:rsidP="00FF5C7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Analýza kontrol zaměřených na nelegální práci a diskriminaci při uplatňování práva na zaměstnání a agenturní zaměstnávání s cílem navrhnout účinná opatření</w:t>
            </w:r>
          </w:p>
          <w:p w:rsidR="00532456" w:rsidRPr="00CD7FBC" w:rsidRDefault="00532456" w:rsidP="00FF5C7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CD7FBC">
              <w:rPr>
                <w:rFonts w:cs="Arial"/>
                <w:b/>
                <w:color w:val="000000"/>
                <w:sz w:val="20"/>
                <w:szCs w:val="20"/>
              </w:rPr>
              <w:t>Indikátor: Vytvořená analýza s návrhem opatření.</w:t>
            </w:r>
          </w:p>
          <w:p w:rsidR="00532456" w:rsidRDefault="00532456" w:rsidP="00FF5C7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6940C1" w:rsidRDefault="006940C1" w:rsidP="00FF5C7E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6940C1" w:rsidRPr="00CD7FBC" w:rsidRDefault="006940C1" w:rsidP="00FF5C7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532456" w:rsidRPr="001D3680" w:rsidRDefault="00532456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Pr="001D3680" w:rsidRDefault="00532456" w:rsidP="001879A0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532456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lastRenderedPageBreak/>
              <w:t>MPSV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Pr="001D3680" w:rsidRDefault="00532456" w:rsidP="000C6DD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F1706F" w:rsidRPr="001D3680" w:rsidRDefault="00F1706F" w:rsidP="00F1706F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 xml:space="preserve">Cíl: Boj proti </w:t>
            </w: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</w:rPr>
              <w:t>nekalým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praktikám v </w:t>
            </w: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>agenturním zaměstnávání</w:t>
            </w:r>
          </w:p>
          <w:p w:rsidR="00F1706F" w:rsidRPr="001D3680" w:rsidRDefault="00F1706F" w:rsidP="00F1706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Komplexní legislativní úprava v oblasti agenturního zaměstnávání, zahrnující i povinnost složení kauce.</w:t>
            </w:r>
          </w:p>
          <w:p w:rsidR="006940C1" w:rsidRPr="001D3680" w:rsidRDefault="00F1706F" w:rsidP="006940C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novelizace zákona č. 435/2004 Sb., o zaměstnanosti účinnost legislativy</w:t>
            </w:r>
          </w:p>
        </w:tc>
        <w:tc>
          <w:tcPr>
            <w:tcW w:w="1732" w:type="dxa"/>
            <w:vAlign w:val="center"/>
          </w:tcPr>
          <w:p w:rsidR="00532456" w:rsidRPr="001D3680" w:rsidRDefault="00532456" w:rsidP="00FF5C7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Pr="001D3680" w:rsidRDefault="00532456" w:rsidP="001879A0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D3680">
              <w:rPr>
                <w:rFonts w:cs="Arial"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532456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MŠMT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Pr="001D3680" w:rsidRDefault="00532456" w:rsidP="000C6DD1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b/>
                <w:color w:val="auto"/>
                <w:sz w:val="20"/>
                <w:szCs w:val="20"/>
              </w:rPr>
              <w:t xml:space="preserve">Cíl: Slaďování rodinného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br/>
            </w:r>
            <w:r w:rsidRPr="001D3680">
              <w:rPr>
                <w:rFonts w:cs="Arial"/>
                <w:b/>
                <w:color w:val="auto"/>
                <w:sz w:val="20"/>
                <w:szCs w:val="20"/>
              </w:rPr>
              <w:t xml:space="preserve">a pracovního života </w:t>
            </w:r>
          </w:p>
          <w:p w:rsidR="00532456" w:rsidRPr="001D3680" w:rsidRDefault="00532456" w:rsidP="00FF5C7E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Podpora rozvoje výukových kapacit mateřských a základních škol.</w:t>
            </w:r>
          </w:p>
          <w:p w:rsidR="006940C1" w:rsidRPr="006940C1" w:rsidRDefault="00532456" w:rsidP="006940C1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b/>
                <w:color w:val="auto"/>
                <w:sz w:val="20"/>
                <w:szCs w:val="20"/>
              </w:rPr>
              <w:t>Indikátor: Počet míst v základních a mateřských školách</w:t>
            </w:r>
          </w:p>
        </w:tc>
        <w:tc>
          <w:tcPr>
            <w:tcW w:w="1732" w:type="dxa"/>
            <w:vAlign w:val="center"/>
          </w:tcPr>
          <w:p w:rsidR="00532456" w:rsidRPr="001D3680" w:rsidRDefault="00532456" w:rsidP="00FF5C7E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IROP, OP VVV, 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Pr="001D3680" w:rsidRDefault="00532456" w:rsidP="001879A0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201</w:t>
            </w:r>
            <w:r>
              <w:rPr>
                <w:rFonts w:cs="Arial"/>
                <w:color w:val="auto"/>
                <w:sz w:val="20"/>
                <w:szCs w:val="20"/>
              </w:rPr>
              <w:t>6</w:t>
            </w:r>
          </w:p>
        </w:tc>
      </w:tr>
      <w:tr w:rsidR="00532456" w:rsidRPr="001D3680" w:rsidTr="00E03AFB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Default="00532456" w:rsidP="00E03AFB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MPSV</w:t>
            </w:r>
          </w:p>
          <w:p w:rsidR="00BE4BB3" w:rsidRPr="001D3680" w:rsidRDefault="00BE4BB3" w:rsidP="00E03AFB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MLR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BE4BB3" w:rsidRDefault="00532456" w:rsidP="00E03AFB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ÚP ČR</w:t>
            </w:r>
            <w:r w:rsidR="00BE4BB3">
              <w:rPr>
                <w:rFonts w:cs="Arial"/>
                <w:color w:val="auto"/>
                <w:sz w:val="20"/>
                <w:szCs w:val="20"/>
              </w:rPr>
              <w:t xml:space="preserve">, </w:t>
            </w:r>
          </w:p>
          <w:p w:rsidR="00532456" w:rsidRPr="001D3680" w:rsidRDefault="00BE4BB3" w:rsidP="00E03AFB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MPO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32456" w:rsidRDefault="00532456" w:rsidP="00E03AFB">
            <w:pPr>
              <w:spacing w:before="120"/>
              <w:rPr>
                <w:b/>
                <w:sz w:val="20"/>
                <w:szCs w:val="20"/>
              </w:rPr>
            </w:pPr>
            <w:r w:rsidRPr="001D3680">
              <w:rPr>
                <w:rFonts w:cs="Arial"/>
                <w:b/>
                <w:color w:val="auto"/>
                <w:sz w:val="20"/>
                <w:szCs w:val="20"/>
              </w:rPr>
              <w:t xml:space="preserve">Cíl: </w:t>
            </w:r>
            <w:r w:rsidRPr="00F52260">
              <w:rPr>
                <w:b/>
                <w:sz w:val="20"/>
                <w:szCs w:val="20"/>
              </w:rPr>
              <w:t xml:space="preserve">Koncepční a </w:t>
            </w:r>
            <w:proofErr w:type="spellStart"/>
            <w:r w:rsidRPr="00F52260">
              <w:rPr>
                <w:b/>
                <w:sz w:val="20"/>
                <w:szCs w:val="20"/>
              </w:rPr>
              <w:t>multiresortní</w:t>
            </w:r>
            <w:proofErr w:type="spellEnd"/>
            <w:r w:rsidRPr="00F52260">
              <w:rPr>
                <w:b/>
                <w:sz w:val="20"/>
                <w:szCs w:val="20"/>
              </w:rPr>
              <w:t xml:space="preserve"> přístup k podpoře principů sociální ekonomiky</w:t>
            </w:r>
          </w:p>
          <w:p w:rsidR="00532456" w:rsidRPr="00DF3914" w:rsidRDefault="00532456" w:rsidP="00E03AFB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F52260">
              <w:rPr>
                <w:sz w:val="20"/>
                <w:szCs w:val="20"/>
              </w:rPr>
              <w:t>Pokračovat v podpoře vzniku sociálních firem a s tím spojených pracovních příležitostí v rámci sociálního podnikání. V této souvislosti se počítá například s podporou dlouhodobě nezaměstnaných (déle než 12 měsíců v evidenci).</w:t>
            </w:r>
          </w:p>
          <w:p w:rsidR="00532456" w:rsidRDefault="00532456" w:rsidP="006940C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I</w:t>
            </w:r>
            <w:r w:rsidRPr="001D3680">
              <w:rPr>
                <w:rFonts w:cs="Arial"/>
                <w:b/>
                <w:color w:val="auto"/>
                <w:sz w:val="20"/>
                <w:szCs w:val="20"/>
              </w:rPr>
              <w:t xml:space="preserve">ndikátor: </w:t>
            </w:r>
            <w:r w:rsidR="00BE4BB3">
              <w:rPr>
                <w:rFonts w:cs="Arial"/>
                <w:b/>
                <w:color w:val="auto"/>
                <w:sz w:val="20"/>
                <w:szCs w:val="20"/>
              </w:rPr>
              <w:t>Předložení v</w:t>
            </w:r>
            <w:r w:rsidRPr="00F52260">
              <w:rPr>
                <w:b/>
                <w:sz w:val="20"/>
                <w:szCs w:val="20"/>
              </w:rPr>
              <w:t>ěcn</w:t>
            </w:r>
            <w:r w:rsidR="00BE4BB3">
              <w:rPr>
                <w:b/>
                <w:sz w:val="20"/>
                <w:szCs w:val="20"/>
              </w:rPr>
              <w:t>ého</w:t>
            </w:r>
            <w:r w:rsidRPr="00F52260">
              <w:rPr>
                <w:b/>
                <w:sz w:val="20"/>
                <w:szCs w:val="20"/>
              </w:rPr>
              <w:t xml:space="preserve"> záměr</w:t>
            </w:r>
            <w:r w:rsidR="00BE4BB3">
              <w:rPr>
                <w:b/>
                <w:sz w:val="20"/>
                <w:szCs w:val="20"/>
              </w:rPr>
              <w:t>u</w:t>
            </w:r>
            <w:r w:rsidRPr="00F52260">
              <w:rPr>
                <w:b/>
                <w:sz w:val="20"/>
                <w:szCs w:val="20"/>
              </w:rPr>
              <w:t xml:space="preserve"> zákona o sociálním podnikání. </w:t>
            </w:r>
            <w:r>
              <w:rPr>
                <w:b/>
                <w:sz w:val="20"/>
                <w:szCs w:val="20"/>
              </w:rPr>
              <w:t>Počet projektů na podporu sociálního podnikání v rámci OPZ.</w:t>
            </w:r>
          </w:p>
          <w:p w:rsidR="006940C1" w:rsidRPr="001879A0" w:rsidRDefault="006940C1" w:rsidP="006940C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532456" w:rsidRPr="001D3680" w:rsidRDefault="00532456" w:rsidP="00E03AFB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F52260">
              <w:rPr>
                <w:sz w:val="20"/>
                <w:szCs w:val="20"/>
              </w:rPr>
              <w:t>OP LZZ, OP Z</w:t>
            </w:r>
            <w:r w:rsidRPr="001D3680">
              <w:rPr>
                <w:rFonts w:cs="Arial"/>
                <w:color w:val="auto"/>
                <w:sz w:val="20"/>
                <w:szCs w:val="20"/>
              </w:rPr>
              <w:t xml:space="preserve"> 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Default="00532456" w:rsidP="00BD0D5D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2015</w:t>
            </w:r>
          </w:p>
          <w:p w:rsidR="00532456" w:rsidRPr="001D3680" w:rsidRDefault="00532456" w:rsidP="00BD0D5D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Průběžně</w:t>
            </w:r>
          </w:p>
        </w:tc>
      </w:tr>
      <w:tr w:rsidR="00532456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MŠMT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Pr="001D3680" w:rsidRDefault="00532456" w:rsidP="000C6DD1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8818D7" w:rsidRDefault="00532456" w:rsidP="00FF5C7E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b/>
                <w:color w:val="auto"/>
                <w:sz w:val="20"/>
                <w:szCs w:val="20"/>
              </w:rPr>
              <w:t xml:space="preserve">Cíl: </w:t>
            </w:r>
            <w:r w:rsidR="008818D7">
              <w:rPr>
                <w:rFonts w:cs="Arial"/>
                <w:b/>
                <w:color w:val="auto"/>
                <w:sz w:val="20"/>
                <w:szCs w:val="20"/>
              </w:rPr>
              <w:t>Zkvalitnění výuky technických a odborných předmětů</w:t>
            </w:r>
          </w:p>
          <w:p w:rsidR="00532456" w:rsidRPr="008818D7" w:rsidRDefault="00532456" w:rsidP="00C27966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8818D7">
              <w:rPr>
                <w:rFonts w:cs="Arial"/>
                <w:color w:val="auto"/>
                <w:sz w:val="20"/>
                <w:szCs w:val="20"/>
              </w:rPr>
              <w:t>Zvyšování kvalifikace učitelů odborných předmětů</w:t>
            </w:r>
            <w:r w:rsidR="008818D7" w:rsidRPr="008818D7">
              <w:rPr>
                <w:rFonts w:cs="Arial"/>
                <w:color w:val="auto"/>
                <w:sz w:val="20"/>
                <w:szCs w:val="20"/>
              </w:rPr>
              <w:t xml:space="preserve">. </w:t>
            </w:r>
            <w:r w:rsidRPr="001D3680">
              <w:rPr>
                <w:rFonts w:cs="Arial"/>
                <w:color w:val="auto"/>
                <w:sz w:val="20"/>
                <w:szCs w:val="20"/>
              </w:rPr>
              <w:t>Zlepšení podmínek pro průběžné osvojování nových trendů a technologií učiteli odborných předmětů v reálné praxi u zaměstnavatelů.</w:t>
            </w:r>
          </w:p>
          <w:p w:rsidR="006940C1" w:rsidRPr="001D3680" w:rsidRDefault="00532456" w:rsidP="006940C1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b/>
                <w:color w:val="auto"/>
                <w:sz w:val="20"/>
                <w:szCs w:val="20"/>
              </w:rPr>
              <w:t>Indikátor: Zapojení učitelů odborných předmětů do systému.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r w:rsidRPr="00AC59AC">
              <w:rPr>
                <w:rFonts w:cs="Arial"/>
                <w:b/>
                <w:color w:val="auto"/>
                <w:sz w:val="20"/>
                <w:szCs w:val="20"/>
              </w:rPr>
              <w:t>Počet zapojených učitelů/celkový počet učitelů</w:t>
            </w:r>
          </w:p>
        </w:tc>
        <w:tc>
          <w:tcPr>
            <w:tcW w:w="1732" w:type="dxa"/>
            <w:vAlign w:val="center"/>
          </w:tcPr>
          <w:p w:rsidR="00532456" w:rsidRPr="001D3680" w:rsidRDefault="00532456" w:rsidP="00FF5C7E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ESF, 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532456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532456" w:rsidRPr="001D3680" w:rsidRDefault="00532456" w:rsidP="00FF5C7E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lastRenderedPageBreak/>
              <w:t>MŠMT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32456" w:rsidRPr="001D3680" w:rsidRDefault="00532456" w:rsidP="000C6DD1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MPO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32456" w:rsidRDefault="00532456" w:rsidP="00C27966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8818D7">
              <w:rPr>
                <w:rFonts w:cs="Arial"/>
                <w:color w:val="auto"/>
                <w:sz w:val="20"/>
                <w:szCs w:val="20"/>
              </w:rPr>
              <w:t>Modernizace výuky přírodovědných a technických předmětů</w:t>
            </w:r>
            <w:r w:rsidR="008818D7" w:rsidRPr="008818D7">
              <w:rPr>
                <w:rFonts w:cs="Arial"/>
                <w:color w:val="auto"/>
                <w:sz w:val="20"/>
                <w:szCs w:val="20"/>
              </w:rPr>
              <w:t>.</w:t>
            </w:r>
            <w:r w:rsidR="008818D7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r w:rsidRPr="001D3680">
              <w:rPr>
                <w:rFonts w:cs="Arial"/>
                <w:color w:val="auto"/>
                <w:sz w:val="20"/>
                <w:szCs w:val="20"/>
              </w:rPr>
              <w:t>Podpora investic z evropských fondů do moderního vybavení základních a středních škol, především jejich laboratoří a dílen, a školicích středisek partnerských firem středních a vysokých škol.</w:t>
            </w:r>
          </w:p>
          <w:p w:rsidR="00DC2364" w:rsidRPr="001D3680" w:rsidRDefault="00DC2364" w:rsidP="00C27966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</w:p>
          <w:p w:rsidR="006940C1" w:rsidRPr="001D3680" w:rsidRDefault="00532456" w:rsidP="006940C1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b/>
                <w:color w:val="auto"/>
                <w:sz w:val="20"/>
                <w:szCs w:val="20"/>
              </w:rPr>
              <w:t>Indikátor: Výše investic do vybavení učeben, dílen a laboratoří základních a středních škol a školicích středisek.</w:t>
            </w:r>
          </w:p>
        </w:tc>
        <w:tc>
          <w:tcPr>
            <w:tcW w:w="1732" w:type="dxa"/>
            <w:vAlign w:val="center"/>
          </w:tcPr>
          <w:p w:rsidR="00532456" w:rsidRPr="001D3680" w:rsidRDefault="00532456" w:rsidP="00CD7FBC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E</w:t>
            </w:r>
            <w:r>
              <w:rPr>
                <w:rFonts w:cs="Arial"/>
                <w:color w:val="auto"/>
                <w:sz w:val="20"/>
                <w:szCs w:val="20"/>
              </w:rPr>
              <w:t>RDF (IROP, OP PIK)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32456" w:rsidRPr="001D3680" w:rsidRDefault="00532456" w:rsidP="001879A0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1D3680">
              <w:rPr>
                <w:rFonts w:cs="Arial"/>
                <w:color w:val="auto"/>
                <w:sz w:val="20"/>
                <w:szCs w:val="20"/>
              </w:rPr>
              <w:t>201</w:t>
            </w:r>
            <w:r>
              <w:rPr>
                <w:rFonts w:cs="Arial"/>
                <w:color w:val="auto"/>
                <w:sz w:val="20"/>
                <w:szCs w:val="20"/>
              </w:rPr>
              <w:t>6</w:t>
            </w:r>
          </w:p>
        </w:tc>
      </w:tr>
      <w:tr w:rsidR="00DC2364" w:rsidRPr="001D3680" w:rsidTr="001D3680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DC2364" w:rsidRPr="00DC2364" w:rsidRDefault="00DC2364" w:rsidP="00855A4A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t>MŠMT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C2364" w:rsidRPr="00DC2364" w:rsidRDefault="00DC2364" w:rsidP="00855A4A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DC2364" w:rsidRDefault="00DC2364" w:rsidP="00855A4A">
            <w:pPr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t xml:space="preserve">S ohledem na zlepšení uplatnitelnosti absolventů na trhu práce je třeba systematicky podporovat znalost odborného cizího jazyka nejen u prvního cizího jazyka, ale i u dalších cizích jazyků, zejména pak německého jazyka.  </w:t>
            </w:r>
          </w:p>
          <w:p w:rsidR="00DC2364" w:rsidRPr="00DC2364" w:rsidRDefault="00DC2364" w:rsidP="00855A4A">
            <w:pPr>
              <w:spacing w:after="0"/>
              <w:rPr>
                <w:rFonts w:cs="Arial"/>
                <w:color w:val="auto"/>
                <w:sz w:val="20"/>
                <w:szCs w:val="20"/>
              </w:rPr>
            </w:pPr>
          </w:p>
          <w:p w:rsidR="00DC2364" w:rsidRPr="00DC2364" w:rsidRDefault="00DC2364" w:rsidP="00855A4A">
            <w:pPr>
              <w:spacing w:after="0"/>
              <w:rPr>
                <w:rFonts w:cs="Arial"/>
                <w:b/>
                <w:color w:val="auto"/>
                <w:sz w:val="20"/>
                <w:szCs w:val="20"/>
              </w:rPr>
            </w:pPr>
          </w:p>
          <w:p w:rsidR="00DC2364" w:rsidRPr="00DC2364" w:rsidRDefault="00DC2364" w:rsidP="00DC2364">
            <w:pPr>
              <w:spacing w:after="0"/>
              <w:rPr>
                <w:rFonts w:cs="Arial"/>
                <w:b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b/>
                <w:color w:val="auto"/>
                <w:sz w:val="20"/>
                <w:szCs w:val="20"/>
              </w:rPr>
              <w:t>Indikátor: Počet vyškolených učitelů pro výuku odborného cizího jazyka, vytvoření základních standardů pro výuku odborného cizího jazyka, které zohlední specifika příslušných oborů.</w:t>
            </w:r>
          </w:p>
        </w:tc>
        <w:tc>
          <w:tcPr>
            <w:tcW w:w="1732" w:type="dxa"/>
            <w:vAlign w:val="center"/>
          </w:tcPr>
          <w:p w:rsidR="00DC2364" w:rsidRPr="00DC2364" w:rsidRDefault="00DC2364" w:rsidP="00855A4A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t>Státní rozpočet, ESF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2364" w:rsidRPr="00DC2364" w:rsidRDefault="00DC2364" w:rsidP="00855A4A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DC2364" w:rsidRPr="001D3680" w:rsidTr="00E03AFB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DC2364" w:rsidRDefault="00DC2364" w:rsidP="00E03AFB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MPSV</w:t>
            </w:r>
          </w:p>
          <w:p w:rsidR="00DC2364" w:rsidRPr="001D3680" w:rsidRDefault="00DC2364" w:rsidP="00E03AFB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MŠMT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C2364" w:rsidRPr="001D3680" w:rsidRDefault="00DC2364" w:rsidP="00E03AFB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DC2364" w:rsidRPr="00BE4BB3" w:rsidRDefault="00DC2364" w:rsidP="00BE4BB3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Cíl: Posílení souladu vzdělávacího systému a trhu práce</w:t>
            </w:r>
          </w:p>
          <w:p w:rsidR="00DC2364" w:rsidRDefault="00DC2364" w:rsidP="00BE4BB3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Vytvoření</w:t>
            </w:r>
            <w:r w:rsidRPr="00BE4BB3">
              <w:rPr>
                <w:rFonts w:cs="Arial"/>
                <w:color w:val="auto"/>
                <w:sz w:val="20"/>
                <w:szCs w:val="20"/>
              </w:rPr>
              <w:t xml:space="preserve"> systém</w:t>
            </w:r>
            <w:r>
              <w:rPr>
                <w:rFonts w:cs="Arial"/>
                <w:color w:val="auto"/>
                <w:sz w:val="20"/>
                <w:szCs w:val="20"/>
              </w:rPr>
              <w:t>u</w:t>
            </w:r>
            <w:r w:rsidRPr="00BE4BB3">
              <w:rPr>
                <w:rFonts w:cs="Arial"/>
                <w:color w:val="auto"/>
                <w:sz w:val="20"/>
                <w:szCs w:val="20"/>
              </w:rPr>
              <w:t xml:space="preserve"> krátkodobých predikcí potřeb regionálního trhu práce založený na datech ÚP ČR (nezaměstnaní absolventi) a ČSSZ (odchody do důchodu) a provázat je s krajskou </w:t>
            </w:r>
            <w:r>
              <w:rPr>
                <w:rFonts w:cs="Arial"/>
                <w:color w:val="auto"/>
                <w:sz w:val="20"/>
                <w:szCs w:val="20"/>
              </w:rPr>
              <w:t>strukturou poptávky co do</w:t>
            </w:r>
            <w:r w:rsidRPr="00BE4BB3">
              <w:rPr>
                <w:rFonts w:cs="Arial"/>
                <w:color w:val="auto"/>
                <w:sz w:val="20"/>
                <w:szCs w:val="20"/>
              </w:rPr>
              <w:t xml:space="preserve"> počtu a 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kvalifikací. </w:t>
            </w:r>
          </w:p>
          <w:p w:rsidR="00DC2364" w:rsidRDefault="00DC2364" w:rsidP="00BE4BB3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</w:p>
          <w:p w:rsidR="00DC2364" w:rsidRPr="00BE4BB3" w:rsidRDefault="00DC2364" w:rsidP="00BE4BB3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Posilování</w:t>
            </w:r>
            <w:r w:rsidRPr="00BE4BB3">
              <w:rPr>
                <w:rFonts w:cs="Arial"/>
                <w:color w:val="auto"/>
                <w:sz w:val="20"/>
                <w:szCs w:val="20"/>
              </w:rPr>
              <w:t xml:space="preserve"> komplexního systému vytváření predikcí v oblasti vývoje trhu práce (kvalifikační, nabídky a poptávky, znevýhodněných skupin) s využitím analýz zahraničních </w:t>
            </w:r>
            <w:r w:rsidRPr="00BE4BB3">
              <w:rPr>
                <w:rFonts w:cs="Arial"/>
                <w:color w:val="auto"/>
                <w:sz w:val="20"/>
                <w:szCs w:val="20"/>
              </w:rPr>
              <w:lastRenderedPageBreak/>
              <w:t>modelů. Opatření bude v pilotní fázi realizováno prostřednictvím projektu OP Z.</w:t>
            </w:r>
          </w:p>
          <w:p w:rsidR="00DC2364" w:rsidRPr="003A6798" w:rsidRDefault="00DC2364" w:rsidP="006940C1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color w:val="auto"/>
                <w:sz w:val="20"/>
                <w:szCs w:val="20"/>
              </w:rPr>
              <w:t>Indikátor: Z</w:t>
            </w:r>
            <w:r w:rsidRPr="00BE4BB3">
              <w:rPr>
                <w:rFonts w:cs="Arial"/>
                <w:b/>
                <w:color w:val="auto"/>
                <w:sz w:val="20"/>
                <w:szCs w:val="20"/>
              </w:rPr>
              <w:t>ahájení realizace projektu</w:t>
            </w:r>
          </w:p>
        </w:tc>
        <w:tc>
          <w:tcPr>
            <w:tcW w:w="1732" w:type="dxa"/>
            <w:vAlign w:val="center"/>
          </w:tcPr>
          <w:p w:rsidR="00DC2364" w:rsidRDefault="00DC2364" w:rsidP="00E03AFB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lastRenderedPageBreak/>
              <w:t>OP LZZ,</w:t>
            </w:r>
          </w:p>
          <w:p w:rsidR="00DC2364" w:rsidRPr="001D3680" w:rsidRDefault="00DC2364" w:rsidP="00E03AFB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2364" w:rsidRPr="001D3680" w:rsidRDefault="00DC2364" w:rsidP="00E03AFB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2016/2017</w:t>
            </w:r>
          </w:p>
        </w:tc>
      </w:tr>
      <w:tr w:rsidR="00DC2364" w:rsidRPr="001D3680" w:rsidTr="00E03AFB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DC2364" w:rsidRPr="00DC2364" w:rsidRDefault="00DC2364" w:rsidP="00855A4A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lastRenderedPageBreak/>
              <w:t>MŠMT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C2364" w:rsidRPr="00DC2364" w:rsidRDefault="00DC2364" w:rsidP="00855A4A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DC2364" w:rsidRDefault="00DC2364" w:rsidP="00855A4A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t>Připravit ve spolupráci se zástupci resortů a zaměstnavatelů analýzu a vyhodnocení struktury oborové soustavy ve středním vzdělávání.</w:t>
            </w:r>
          </w:p>
          <w:p w:rsidR="00DC2364" w:rsidRPr="00DC2364" w:rsidRDefault="00DC2364" w:rsidP="00855A4A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</w:p>
          <w:p w:rsidR="00DC2364" w:rsidRPr="00DC2364" w:rsidRDefault="00DC2364" w:rsidP="00855A4A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b/>
                <w:color w:val="auto"/>
                <w:sz w:val="20"/>
                <w:szCs w:val="20"/>
              </w:rPr>
              <w:t>Indikátor: Analýza vyhodnocení struktury oborové soustavy ve středním vzdělávání</w:t>
            </w:r>
          </w:p>
        </w:tc>
        <w:tc>
          <w:tcPr>
            <w:tcW w:w="1732" w:type="dxa"/>
            <w:vAlign w:val="center"/>
          </w:tcPr>
          <w:p w:rsidR="00DC2364" w:rsidRPr="00DC2364" w:rsidRDefault="00DC2364" w:rsidP="00855A4A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2364" w:rsidRPr="00DC2364" w:rsidRDefault="00DC2364" w:rsidP="00855A4A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DC2364" w:rsidRPr="001D3680" w:rsidTr="00E03AFB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DC2364" w:rsidRDefault="00DC2364" w:rsidP="00E03AFB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MŠMT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C2364" w:rsidRDefault="00DC2364" w:rsidP="00E03AFB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MPSV</w:t>
            </w:r>
          </w:p>
          <w:p w:rsidR="00DC2364" w:rsidRPr="001D3680" w:rsidRDefault="00DC2364" w:rsidP="00E03AFB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ÚP ČR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DC2364" w:rsidRDefault="00DC2364" w:rsidP="00DD0183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8818D7">
              <w:rPr>
                <w:rFonts w:cs="Arial"/>
                <w:color w:val="auto"/>
                <w:sz w:val="20"/>
                <w:szCs w:val="20"/>
              </w:rPr>
              <w:t xml:space="preserve">Podpoření odborného vzdělávání a rozvoje spolupráce škol a firem. </w:t>
            </w:r>
            <w:r w:rsidRPr="00DD0183">
              <w:rPr>
                <w:rFonts w:cs="Arial"/>
                <w:color w:val="auto"/>
                <w:sz w:val="20"/>
                <w:szCs w:val="20"/>
              </w:rPr>
              <w:t xml:space="preserve">Navrhnout systém kariérového poradenství tak, aby kariérové poradenství bylo jedinci přístupné po období celého života a posílit roli kariérového poradenství vytvořením profesní kvalifikace pro realizaci kariérového poradenství v rámci NSK </w:t>
            </w:r>
            <w:r w:rsidRPr="0024397E">
              <w:rPr>
                <w:rFonts w:cs="Arial"/>
                <w:color w:val="auto"/>
                <w:sz w:val="20"/>
                <w:szCs w:val="20"/>
              </w:rPr>
              <w:t xml:space="preserve">a pro počáteční (školy) i celoživotní vzdělávání (ÚP ČR). 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Rozvoj spolupráce mezi Informačními a poradenskými středisky (IPS) ÚP ČR s dalšími prvky kariérového poradenství.</w:t>
            </w:r>
          </w:p>
          <w:p w:rsidR="00DC2364" w:rsidRPr="00DD0183" w:rsidRDefault="00DC2364" w:rsidP="00DD0183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</w:p>
          <w:p w:rsidR="00DC2364" w:rsidRDefault="00DC2364" w:rsidP="006940C1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DD0183">
              <w:rPr>
                <w:rFonts w:cs="Arial"/>
                <w:b/>
                <w:color w:val="auto"/>
                <w:sz w:val="20"/>
                <w:szCs w:val="20"/>
              </w:rPr>
              <w:t>Indikátor: Nový</w:t>
            </w:r>
            <w:r w:rsidRPr="00A3312B">
              <w:rPr>
                <w:rFonts w:cs="Arial"/>
                <w:b/>
                <w:sz w:val="20"/>
                <w:szCs w:val="20"/>
              </w:rPr>
              <w:t xml:space="preserve"> systém poradenství</w:t>
            </w:r>
            <w:r>
              <w:rPr>
                <w:rFonts w:cs="Arial"/>
                <w:b/>
                <w:sz w:val="20"/>
                <w:szCs w:val="20"/>
              </w:rPr>
              <w:t xml:space="preserve">, vytvořená profesní </w:t>
            </w:r>
            <w:r w:rsidRPr="0024397E">
              <w:rPr>
                <w:rFonts w:cs="Arial"/>
                <w:b/>
                <w:color w:val="auto"/>
                <w:sz w:val="20"/>
                <w:szCs w:val="20"/>
              </w:rPr>
              <w:t xml:space="preserve">kvalifikace „kariérový poradce“ </w:t>
            </w:r>
          </w:p>
          <w:p w:rsidR="00DC2364" w:rsidRPr="006940C1" w:rsidRDefault="00DC2364" w:rsidP="006940C1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C2364" w:rsidRDefault="00DC2364" w:rsidP="00E03AFB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Státní rozpočet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2364" w:rsidRDefault="00DC2364" w:rsidP="00E03AFB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DC2364" w:rsidRPr="001D3680" w:rsidTr="00E03AFB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DC2364" w:rsidRPr="00DC2364" w:rsidRDefault="00DC2364" w:rsidP="00855A4A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t>MŠMT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C2364" w:rsidRPr="00DC2364" w:rsidRDefault="00DC2364" w:rsidP="00855A4A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DC2364" w:rsidRPr="00DC2364" w:rsidRDefault="00DC2364" w:rsidP="00855A4A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t>Praktické vyučování v oborech odborného vzdělávání zajišťovat v rámci možností v příslušných regionech na pracovištích zaměstnavatelů a dalších zařízeních.</w:t>
            </w:r>
          </w:p>
          <w:p w:rsidR="00DC2364" w:rsidRDefault="00DC2364" w:rsidP="00DC2364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b/>
                <w:color w:val="auto"/>
                <w:sz w:val="20"/>
                <w:szCs w:val="20"/>
              </w:rPr>
              <w:t>Indikátor: Počet zapojených zaměstnavatelů v jednotlivých regionech.</w:t>
            </w:r>
          </w:p>
          <w:p w:rsidR="00DC2364" w:rsidRPr="00DC2364" w:rsidRDefault="00DC2364" w:rsidP="00DC2364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C2364" w:rsidRPr="00DC2364" w:rsidRDefault="00DC2364" w:rsidP="00855A4A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lastRenderedPageBreak/>
              <w:t>Státní rozpočet, ESF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2364" w:rsidRPr="00DC2364" w:rsidRDefault="00DC2364" w:rsidP="00855A4A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DC2364"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DC2364" w:rsidRPr="001D3680" w:rsidTr="00E03AFB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DC2364" w:rsidRPr="0004089B" w:rsidRDefault="00DC2364" w:rsidP="00DC2364">
            <w:pPr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color w:val="auto"/>
                <w:sz w:val="20"/>
                <w:szCs w:val="20"/>
              </w:rPr>
              <w:lastRenderedPageBreak/>
              <w:t>MŠMT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C2364" w:rsidRPr="0004089B" w:rsidRDefault="00DC2364" w:rsidP="00855A4A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DC2364" w:rsidRDefault="00DC2364" w:rsidP="00855A4A">
            <w:pPr>
              <w:spacing w:after="0"/>
              <w:rPr>
                <w:rFonts w:cs="Arial"/>
                <w:b/>
                <w:color w:val="auto"/>
                <w:sz w:val="20"/>
                <w:szCs w:val="20"/>
              </w:rPr>
            </w:pPr>
          </w:p>
          <w:p w:rsidR="00DC2364" w:rsidRPr="0004089B" w:rsidRDefault="00DC2364" w:rsidP="00855A4A">
            <w:pPr>
              <w:spacing w:after="0"/>
              <w:rPr>
                <w:rFonts w:cs="Arial"/>
                <w:b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b/>
                <w:color w:val="auto"/>
                <w:sz w:val="20"/>
                <w:szCs w:val="20"/>
              </w:rPr>
              <w:t>Cíl: Modernizace výuky informačních a komunikačních technologií</w:t>
            </w:r>
          </w:p>
          <w:p w:rsidR="00DC2364" w:rsidRPr="0004089B" w:rsidRDefault="00DC2364" w:rsidP="00855A4A">
            <w:pPr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color w:val="auto"/>
                <w:sz w:val="20"/>
                <w:szCs w:val="20"/>
              </w:rPr>
              <w:t>Podpora investic z evropských fondů do budování kapacit pro rozvoj digitálních kompetencí a informatického myšlení žáků.</w:t>
            </w:r>
          </w:p>
          <w:p w:rsidR="00DC2364" w:rsidRPr="0004089B" w:rsidRDefault="00DC2364" w:rsidP="00855A4A">
            <w:pPr>
              <w:spacing w:after="0"/>
              <w:rPr>
                <w:rFonts w:cs="Arial"/>
                <w:b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b/>
                <w:color w:val="auto"/>
                <w:sz w:val="20"/>
                <w:szCs w:val="20"/>
              </w:rPr>
              <w:t>Indikátor: počet zahájených projektů</w:t>
            </w:r>
          </w:p>
          <w:p w:rsidR="00DC2364" w:rsidRPr="0004089B" w:rsidRDefault="00DC2364" w:rsidP="00855A4A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DC2364" w:rsidRPr="0004089B" w:rsidRDefault="00DC2364" w:rsidP="00855A4A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color w:val="auto"/>
                <w:sz w:val="20"/>
                <w:szCs w:val="20"/>
              </w:rPr>
              <w:t>OP VVV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2364" w:rsidRPr="0004089B" w:rsidRDefault="00DC2364" w:rsidP="00855A4A">
            <w:pPr>
              <w:spacing w:after="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DC2364" w:rsidRPr="00DD0183" w:rsidTr="00AD0EC6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DC2364" w:rsidRDefault="00DC2364" w:rsidP="00AD0EC6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</w:p>
          <w:p w:rsidR="00DC2364" w:rsidRDefault="00DC2364" w:rsidP="0016167F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MPSV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C2364" w:rsidRPr="001D3680" w:rsidRDefault="00DC2364" w:rsidP="00AD0EC6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DC2364" w:rsidRPr="00DD0183" w:rsidRDefault="00DC2364" w:rsidP="00AD0EC6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DD0183">
              <w:rPr>
                <w:rFonts w:cs="Arial"/>
                <w:b/>
                <w:color w:val="auto"/>
                <w:sz w:val="20"/>
                <w:szCs w:val="20"/>
              </w:rPr>
              <w:t xml:space="preserve">Cíl: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Adaptace na Průmysl</w:t>
            </w:r>
            <w:r w:rsidRPr="00DD0183">
              <w:rPr>
                <w:rFonts w:cs="Arial"/>
                <w:b/>
                <w:color w:val="auto"/>
                <w:sz w:val="20"/>
                <w:szCs w:val="20"/>
              </w:rPr>
              <w:t xml:space="preserve"> 4.0</w:t>
            </w:r>
          </w:p>
          <w:p w:rsidR="00DC2364" w:rsidRPr="00DD0183" w:rsidRDefault="00DC2364" w:rsidP="00AD0EC6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Předložení iniciativy MPSV „Práce 4.0“, včetně rozvahy</w:t>
            </w:r>
            <w:r w:rsidRPr="00DD0183">
              <w:rPr>
                <w:rFonts w:cs="Arial"/>
                <w:color w:val="auto"/>
                <w:sz w:val="20"/>
                <w:szCs w:val="20"/>
              </w:rPr>
              <w:t xml:space="preserve"> sociálních dopadů 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související </w:t>
            </w:r>
            <w:r w:rsidRPr="00DD0183">
              <w:rPr>
                <w:rFonts w:cs="Arial"/>
                <w:color w:val="auto"/>
                <w:sz w:val="20"/>
                <w:szCs w:val="20"/>
              </w:rPr>
              <w:t>iniciativy Průmysl 4.0 na trh práce</w:t>
            </w:r>
            <w:r>
              <w:rPr>
                <w:rFonts w:cs="Arial"/>
                <w:color w:val="auto"/>
                <w:sz w:val="20"/>
                <w:szCs w:val="20"/>
              </w:rPr>
              <w:t>.</w:t>
            </w:r>
          </w:p>
          <w:p w:rsidR="00DC2364" w:rsidRPr="00DD0183" w:rsidRDefault="00DC2364" w:rsidP="008818D7">
            <w:pPr>
              <w:spacing w:before="120"/>
              <w:rPr>
                <w:rFonts w:cs="Arial"/>
                <w:b/>
                <w:color w:val="auto"/>
                <w:sz w:val="20"/>
                <w:szCs w:val="20"/>
              </w:rPr>
            </w:pPr>
            <w:r w:rsidRPr="00DD0183">
              <w:rPr>
                <w:rFonts w:cs="Arial"/>
                <w:b/>
                <w:color w:val="auto"/>
                <w:sz w:val="20"/>
                <w:szCs w:val="20"/>
              </w:rPr>
              <w:t xml:space="preserve">Indikátor: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Předložení iniciativy</w:t>
            </w:r>
          </w:p>
        </w:tc>
        <w:tc>
          <w:tcPr>
            <w:tcW w:w="1732" w:type="dxa"/>
            <w:vAlign w:val="center"/>
          </w:tcPr>
          <w:p w:rsidR="00DC2364" w:rsidRDefault="00DC2364" w:rsidP="00AD0EC6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2364" w:rsidRDefault="00DC2364" w:rsidP="00AD0EC6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  <w:tr w:rsidR="00DC2364" w:rsidRPr="00DD0183" w:rsidTr="00AD0EC6">
        <w:trPr>
          <w:jc w:val="right"/>
        </w:trPr>
        <w:tc>
          <w:tcPr>
            <w:tcW w:w="1130" w:type="dxa"/>
            <w:shd w:val="clear" w:color="auto" w:fill="auto"/>
            <w:vAlign w:val="center"/>
          </w:tcPr>
          <w:p w:rsidR="00DC2364" w:rsidRPr="0004089B" w:rsidRDefault="00DC2364" w:rsidP="008818D7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color w:val="auto"/>
                <w:sz w:val="20"/>
                <w:szCs w:val="20"/>
              </w:rPr>
              <w:t>MŠMT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C2364" w:rsidRPr="0004089B" w:rsidRDefault="00DC2364" w:rsidP="00AD0EC6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  <w:vAlign w:val="center"/>
          </w:tcPr>
          <w:p w:rsidR="00DC2364" w:rsidRPr="0004089B" w:rsidRDefault="00DC2364" w:rsidP="0004089B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color w:val="auto"/>
                <w:sz w:val="20"/>
                <w:szCs w:val="20"/>
              </w:rPr>
              <w:t>Předložení iniciativy MŠMT „Vzdělávání 4.0“, zaměřené na modernizaci vzdělávání v návaznosti na iniciativy MPO „Průmysl 4.0“ a MPSV „Práce 4.0“</w:t>
            </w:r>
          </w:p>
          <w:p w:rsidR="00DC2364" w:rsidRPr="0004089B" w:rsidRDefault="00DC2364" w:rsidP="00AD0EC6">
            <w:pPr>
              <w:spacing w:before="120"/>
              <w:rPr>
                <w:rFonts w:cs="Arial"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b/>
                <w:color w:val="auto"/>
                <w:sz w:val="20"/>
                <w:szCs w:val="20"/>
              </w:rPr>
              <w:t>Indikátor: Předložení iniciativy</w:t>
            </w:r>
          </w:p>
        </w:tc>
        <w:tc>
          <w:tcPr>
            <w:tcW w:w="1732" w:type="dxa"/>
            <w:vAlign w:val="center"/>
          </w:tcPr>
          <w:p w:rsidR="00DC2364" w:rsidRPr="0004089B" w:rsidRDefault="00DC2364" w:rsidP="00AD0EC6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2364" w:rsidRPr="0004089B" w:rsidRDefault="00DC2364" w:rsidP="00AD0EC6">
            <w:pPr>
              <w:spacing w:before="120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04089B">
              <w:rPr>
                <w:rFonts w:cs="Arial"/>
                <w:color w:val="auto"/>
                <w:sz w:val="20"/>
                <w:szCs w:val="20"/>
              </w:rPr>
              <w:t>2016</w:t>
            </w:r>
          </w:p>
        </w:tc>
      </w:tr>
    </w:tbl>
    <w:p w:rsidR="00DC2364" w:rsidRDefault="00DC2364" w:rsidP="002B7A3D">
      <w:pPr>
        <w:pStyle w:val="Nadpis1"/>
      </w:pPr>
      <w:bookmarkStart w:id="29" w:name="_Toc390099472"/>
      <w:bookmarkStart w:id="30" w:name="_Toc435423997"/>
    </w:p>
    <w:p w:rsidR="00DC2364" w:rsidRDefault="00DC2364">
      <w:pPr>
        <w:spacing w:after="0" w:line="240" w:lineRule="auto"/>
        <w:jc w:val="left"/>
        <w:rPr>
          <w:rFonts w:eastAsiaTheme="majorEastAsia" w:cstheme="majorBidi"/>
          <w:b/>
          <w:bCs/>
          <w:color w:val="1F497D" w:themeColor="text2"/>
          <w:kern w:val="32"/>
          <w:sz w:val="32"/>
          <w:szCs w:val="32"/>
        </w:rPr>
      </w:pPr>
      <w:r>
        <w:br w:type="page"/>
      </w:r>
    </w:p>
    <w:p w:rsidR="00AA6DC2" w:rsidRDefault="00AA6DC2" w:rsidP="002B7A3D">
      <w:pPr>
        <w:pStyle w:val="Nadpis1"/>
      </w:pPr>
      <w:bookmarkStart w:id="31" w:name="_GoBack"/>
      <w:bookmarkEnd w:id="31"/>
      <w:r>
        <w:lastRenderedPageBreak/>
        <w:t>Opatření na posílení příjmů státního rozpočtu</w:t>
      </w:r>
      <w:bookmarkEnd w:id="29"/>
      <w:bookmarkEnd w:id="30"/>
    </w:p>
    <w:p w:rsidR="005262B5" w:rsidRDefault="005262B5" w:rsidP="00AA6DC2"/>
    <w:tbl>
      <w:tblPr>
        <w:tblW w:w="9513" w:type="dxa"/>
        <w:jc w:val="right"/>
        <w:tblInd w:w="294" w:type="dxa"/>
        <w:tblLayout w:type="fixed"/>
        <w:tblLook w:val="01E0"/>
      </w:tblPr>
      <w:tblGrid>
        <w:gridCol w:w="1326"/>
        <w:gridCol w:w="1736"/>
        <w:gridCol w:w="5369"/>
        <w:gridCol w:w="1082"/>
      </w:tblGrid>
      <w:tr w:rsidR="0048657B" w:rsidRPr="008906F2" w:rsidTr="002C694E">
        <w:trPr>
          <w:tblHeader/>
          <w:jc w:val="right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48657B" w:rsidRPr="008906F2" w:rsidRDefault="0048657B" w:rsidP="0016039E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8906F2">
              <w:rPr>
                <w:rFonts w:cs="Arial"/>
                <w:b/>
                <w:smallCaps/>
                <w:color w:val="000080"/>
                <w:sz w:val="20"/>
                <w:szCs w:val="20"/>
              </w:rPr>
              <w:t>Gestor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48657B" w:rsidRPr="008906F2" w:rsidRDefault="0048657B" w:rsidP="0048657B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proofErr w:type="spellStart"/>
            <w:r w:rsidRPr="008906F2">
              <w:rPr>
                <w:rFonts w:cs="Arial"/>
                <w:b/>
                <w:smallCaps/>
                <w:color w:val="000080"/>
                <w:sz w:val="20"/>
                <w:szCs w:val="20"/>
              </w:rPr>
              <w:t>Spolugestor</w:t>
            </w:r>
            <w:proofErr w:type="spellEnd"/>
          </w:p>
        </w:tc>
        <w:tc>
          <w:tcPr>
            <w:tcW w:w="5369" w:type="dxa"/>
            <w:tcBorders>
              <w:bottom w:val="single" w:sz="4" w:space="0" w:color="auto"/>
            </w:tcBorders>
            <w:shd w:val="clear" w:color="auto" w:fill="auto"/>
          </w:tcPr>
          <w:p w:rsidR="0048657B" w:rsidRPr="008906F2" w:rsidRDefault="0048657B" w:rsidP="0016039E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8906F2">
              <w:rPr>
                <w:rFonts w:cs="Arial"/>
                <w:b/>
                <w:smallCaps/>
                <w:color w:val="000080"/>
                <w:sz w:val="20"/>
                <w:szCs w:val="20"/>
              </w:rPr>
              <w:t>Opatření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48657B" w:rsidRPr="008906F2" w:rsidRDefault="0048657B" w:rsidP="0016039E">
            <w:pPr>
              <w:spacing w:after="0"/>
              <w:jc w:val="center"/>
              <w:rPr>
                <w:rFonts w:cs="Arial"/>
                <w:b/>
                <w:smallCaps/>
                <w:color w:val="000080"/>
                <w:sz w:val="20"/>
                <w:szCs w:val="20"/>
              </w:rPr>
            </w:pPr>
            <w:r w:rsidRPr="008906F2">
              <w:rPr>
                <w:rFonts w:cs="Arial"/>
                <w:b/>
                <w:smallCaps/>
                <w:color w:val="000080"/>
                <w:sz w:val="20"/>
                <w:szCs w:val="20"/>
              </w:rPr>
              <w:t>Termín</w:t>
            </w:r>
          </w:p>
        </w:tc>
      </w:tr>
      <w:tr w:rsidR="0048657B" w:rsidRPr="008906F2" w:rsidTr="002C694E">
        <w:trPr>
          <w:jc w:val="right"/>
        </w:trPr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57B" w:rsidRPr="008906F2" w:rsidRDefault="0048657B" w:rsidP="0048657B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MF</w:t>
            </w:r>
          </w:p>
          <w:p w:rsidR="0048657B" w:rsidRPr="008906F2" w:rsidRDefault="0048657B" w:rsidP="0016039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48657B" w:rsidRPr="008906F2" w:rsidRDefault="0048657B" w:rsidP="0048657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57B" w:rsidRPr="008906F2" w:rsidRDefault="0048657B" w:rsidP="0016039E">
            <w:pPr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b/>
                <w:color w:val="000000"/>
                <w:sz w:val="20"/>
                <w:szCs w:val="20"/>
              </w:rPr>
              <w:t>Cíl:  Posílení příjmů státního rozpočtu</w:t>
            </w:r>
            <w:r w:rsidRPr="008906F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48657B" w:rsidRPr="008906F2" w:rsidRDefault="00386B91" w:rsidP="0016039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 základě analýzy</w:t>
            </w:r>
            <w:r w:rsidR="0048657B" w:rsidRPr="008906F2">
              <w:rPr>
                <w:rFonts w:cs="Arial"/>
                <w:color w:val="000000"/>
                <w:sz w:val="20"/>
                <w:szCs w:val="20"/>
              </w:rPr>
              <w:t xml:space="preserve"> odvodů zaměstnanců a OSVČ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do veřejných rozpočtů, kterou MF zpracovalo, </w:t>
            </w:r>
            <w:r w:rsidR="0048657B" w:rsidRPr="008906F2">
              <w:rPr>
                <w:rFonts w:cs="Arial"/>
                <w:color w:val="000000"/>
                <w:sz w:val="20"/>
                <w:szCs w:val="20"/>
              </w:rPr>
              <w:t xml:space="preserve">navrhnout opatření na spravedlivější rozložení nákladů mezi jednotlivé skupiny obyvatel. </w:t>
            </w:r>
          </w:p>
          <w:p w:rsidR="0048657B" w:rsidRPr="008906F2" w:rsidRDefault="0048657B" w:rsidP="0016039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 w:rsidR="00386B91">
              <w:rPr>
                <w:rFonts w:cs="Arial"/>
                <w:b/>
                <w:color w:val="000000"/>
                <w:sz w:val="20"/>
                <w:szCs w:val="20"/>
              </w:rPr>
              <w:t>Návrh opatření</w:t>
            </w:r>
            <w:r w:rsidR="008906F2"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657B" w:rsidRPr="008906F2" w:rsidRDefault="0048657B" w:rsidP="00386B9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201</w:t>
            </w:r>
            <w:r w:rsidR="00386B91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C81AF6" w:rsidRPr="008906F2" w:rsidTr="002C694E">
        <w:trPr>
          <w:jc w:val="right"/>
        </w:trPr>
        <w:tc>
          <w:tcPr>
            <w:tcW w:w="1326" w:type="dxa"/>
            <w:shd w:val="clear" w:color="auto" w:fill="auto"/>
            <w:vAlign w:val="center"/>
          </w:tcPr>
          <w:p w:rsidR="00C81AF6" w:rsidRPr="008906F2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MF</w:t>
            </w:r>
          </w:p>
        </w:tc>
        <w:tc>
          <w:tcPr>
            <w:tcW w:w="1736" w:type="dxa"/>
            <w:vAlign w:val="center"/>
          </w:tcPr>
          <w:p w:rsidR="00C81AF6" w:rsidRPr="008906F2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940C1" w:rsidRDefault="006940C1" w:rsidP="004947FD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C81AF6" w:rsidRPr="008906F2" w:rsidRDefault="00C81AF6" w:rsidP="004947FD">
            <w:pPr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Zavedení kontrolního výkazu DPH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C81AF6" w:rsidRPr="008906F2" w:rsidRDefault="00C81AF6" w:rsidP="006940C1">
            <w:pPr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b/>
                <w:color w:val="000000"/>
                <w:sz w:val="20"/>
                <w:szCs w:val="20"/>
              </w:rPr>
              <w:t>Indikátor: Zvýšení výnosu DPH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.</w:t>
            </w:r>
            <w:r w:rsidRPr="008906F2">
              <w:rPr>
                <w:rFonts w:cs="Arial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81AF6" w:rsidRPr="008906F2" w:rsidRDefault="00C81AF6" w:rsidP="004947F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  <w:tr w:rsidR="00C81AF6" w:rsidRPr="008906F2" w:rsidTr="002C694E">
        <w:trPr>
          <w:jc w:val="right"/>
        </w:trPr>
        <w:tc>
          <w:tcPr>
            <w:tcW w:w="1326" w:type="dxa"/>
            <w:shd w:val="clear" w:color="auto" w:fill="auto"/>
            <w:vAlign w:val="center"/>
          </w:tcPr>
          <w:p w:rsidR="00C81AF6" w:rsidRPr="008906F2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MF</w:t>
            </w:r>
          </w:p>
          <w:p w:rsidR="00C81AF6" w:rsidRPr="008906F2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81AF6" w:rsidRPr="008906F2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C81AF6" w:rsidRPr="008906F2" w:rsidRDefault="00C81AF6" w:rsidP="004947F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Legislativní</w:t>
            </w:r>
            <w:r w:rsidRPr="008906F2">
              <w:rPr>
                <w:rFonts w:cs="Arial"/>
                <w:color w:val="000000"/>
                <w:sz w:val="20"/>
                <w:szCs w:val="20"/>
              </w:rPr>
              <w:t xml:space="preserve"> opatření vedoucího k maximální digitalizaci správy daní. Specificky k efektivní kontrole vykazovaných tržeb z maloobchodního prodeje zboží a služeb. Tato opatření zahrnou u vybraných subjektů online hlášení tržeb, povinnost vystavovat doklady s unikátním číslem a „</w:t>
            </w:r>
            <w:proofErr w:type="spellStart"/>
            <w:r w:rsidRPr="008906F2">
              <w:rPr>
                <w:rFonts w:cs="Arial"/>
                <w:color w:val="000000"/>
                <w:sz w:val="20"/>
                <w:szCs w:val="20"/>
              </w:rPr>
              <w:t>účtenkovou</w:t>
            </w:r>
            <w:proofErr w:type="spellEnd"/>
            <w:r w:rsidRPr="008906F2">
              <w:rPr>
                <w:rFonts w:cs="Arial"/>
                <w:color w:val="000000"/>
                <w:sz w:val="20"/>
                <w:szCs w:val="20"/>
              </w:rPr>
              <w:t xml:space="preserve"> loterii“. </w:t>
            </w:r>
          </w:p>
          <w:p w:rsidR="00C81AF6" w:rsidRPr="008906F2" w:rsidRDefault="00C81AF6" w:rsidP="006940C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b/>
                <w:color w:val="000000"/>
                <w:sz w:val="20"/>
                <w:szCs w:val="20"/>
              </w:rPr>
              <w:t>Indikátor:  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Spuštění systému, zvýšení příjmů státního rozpočtu v důsledku zavedení tohoto opatření.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81AF6" w:rsidRPr="008906F2" w:rsidRDefault="00C81AF6" w:rsidP="004947F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2015</w:t>
            </w:r>
          </w:p>
        </w:tc>
      </w:tr>
      <w:tr w:rsidR="00C81AF6" w:rsidRPr="008906F2" w:rsidTr="002C694E">
        <w:trPr>
          <w:jc w:val="right"/>
        </w:trPr>
        <w:tc>
          <w:tcPr>
            <w:tcW w:w="1326" w:type="dxa"/>
            <w:shd w:val="clear" w:color="auto" w:fill="auto"/>
            <w:vAlign w:val="center"/>
          </w:tcPr>
          <w:p w:rsidR="00C81AF6" w:rsidRPr="008906F2" w:rsidRDefault="00C81AF6" w:rsidP="006940C1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MF</w:t>
            </w:r>
          </w:p>
        </w:tc>
        <w:tc>
          <w:tcPr>
            <w:tcW w:w="1736" w:type="dxa"/>
            <w:vAlign w:val="center"/>
          </w:tcPr>
          <w:p w:rsidR="00C81AF6" w:rsidRPr="008906F2" w:rsidRDefault="00C81AF6" w:rsidP="004947FD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5369" w:type="dxa"/>
            <w:shd w:val="clear" w:color="auto" w:fill="auto"/>
            <w:vAlign w:val="center"/>
          </w:tcPr>
          <w:p w:rsidR="00C81AF6" w:rsidRPr="00DD0183" w:rsidRDefault="00C81AF6" w:rsidP="004947FD">
            <w:pPr>
              <w:spacing w:after="40"/>
              <w:rPr>
                <w:color w:val="1F497D"/>
                <w:sz w:val="20"/>
                <w:szCs w:val="20"/>
              </w:rPr>
            </w:pPr>
            <w:r w:rsidRPr="0024397E">
              <w:rPr>
                <w:rFonts w:cs="Arial"/>
                <w:color w:val="000000"/>
                <w:sz w:val="20"/>
                <w:szCs w:val="20"/>
              </w:rPr>
              <w:t>Snížení nákladů na výběr daní pro daňové poplatníky i státní správu při zachování daňového výnosu – např. rozšíření institutu závazného posouzení a možnosti omezit rizika poplatníků vyplývající z nejasností při uplatňování daňových předpisů nahlášením jejich daňové pozice správci daně, elektronické podání.</w:t>
            </w:r>
            <w:r w:rsidRPr="0024397E">
              <w:rPr>
                <w:color w:val="1F497D"/>
                <w:sz w:val="20"/>
                <w:szCs w:val="20"/>
              </w:rPr>
              <w:t xml:space="preserve"> </w:t>
            </w:r>
            <w:r w:rsidRPr="0024397E">
              <w:rPr>
                <w:color w:val="auto"/>
                <w:sz w:val="20"/>
                <w:szCs w:val="20"/>
              </w:rPr>
              <w:t>Včas avizovat změny formátů a struktur formulářových podání, u datových zpráv umožnit sledování změn oproti předchozí verzi a dostupnost archivu verzí.</w:t>
            </w:r>
          </w:p>
          <w:p w:rsidR="00C81AF6" w:rsidRPr="008906F2" w:rsidRDefault="00C81AF6" w:rsidP="006940C1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Návrhy</w:t>
            </w:r>
            <w:r w:rsidRPr="008906F2">
              <w:rPr>
                <w:rFonts w:cs="Arial"/>
                <w:b/>
                <w:color w:val="000000"/>
                <w:sz w:val="20"/>
                <w:szCs w:val="20"/>
              </w:rPr>
              <w:t xml:space="preserve"> dílčích legislativních změn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upravujících postupy správce daně .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81AF6" w:rsidRDefault="00C81AF6" w:rsidP="004947F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C81AF6" w:rsidRDefault="00C81AF6" w:rsidP="004947F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C81AF6" w:rsidRDefault="00C81AF6" w:rsidP="004947F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C81AF6" w:rsidRDefault="00C81AF6" w:rsidP="004947F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C81AF6" w:rsidRDefault="00C81AF6" w:rsidP="004947F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C81AF6" w:rsidRDefault="00C81AF6" w:rsidP="004947F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Průběžně</w:t>
            </w:r>
          </w:p>
          <w:p w:rsidR="00C81AF6" w:rsidRPr="008906F2" w:rsidRDefault="00C81AF6" w:rsidP="006940C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81AF6" w:rsidRPr="008906F2" w:rsidTr="002C694E">
        <w:trPr>
          <w:jc w:val="right"/>
        </w:trPr>
        <w:tc>
          <w:tcPr>
            <w:tcW w:w="1326" w:type="dxa"/>
            <w:shd w:val="clear" w:color="auto" w:fill="auto"/>
            <w:vAlign w:val="center"/>
          </w:tcPr>
          <w:p w:rsidR="00C81AF6" w:rsidRPr="008906F2" w:rsidRDefault="00C81AF6" w:rsidP="0016039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MF</w:t>
            </w:r>
          </w:p>
          <w:p w:rsidR="00C81AF6" w:rsidRPr="008906F2" w:rsidRDefault="00C81AF6" w:rsidP="0016039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C81AF6" w:rsidRPr="008906F2" w:rsidRDefault="00C81AF6" w:rsidP="0048657B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6940C1" w:rsidRDefault="006940C1" w:rsidP="0016039E">
            <w:pPr>
              <w:rPr>
                <w:rFonts w:cs="Arial"/>
                <w:b/>
                <w:color w:val="auto"/>
                <w:sz w:val="20"/>
                <w:szCs w:val="20"/>
              </w:rPr>
            </w:pPr>
          </w:p>
          <w:p w:rsidR="00C81AF6" w:rsidRPr="00386B91" w:rsidRDefault="00C81AF6" w:rsidP="0016039E">
            <w:pPr>
              <w:rPr>
                <w:rFonts w:cs="Arial"/>
                <w:b/>
                <w:color w:val="auto"/>
                <w:sz w:val="20"/>
                <w:szCs w:val="20"/>
              </w:rPr>
            </w:pPr>
            <w:r w:rsidRPr="00386B91">
              <w:rPr>
                <w:rFonts w:cs="Arial"/>
                <w:b/>
                <w:color w:val="auto"/>
                <w:sz w:val="20"/>
                <w:szCs w:val="20"/>
              </w:rPr>
              <w:t xml:space="preserve">Cíl: Zrušení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 xml:space="preserve">konceptu </w:t>
            </w:r>
            <w:proofErr w:type="spellStart"/>
            <w:r w:rsidRPr="00386B91">
              <w:rPr>
                <w:rFonts w:cs="Arial"/>
                <w:b/>
                <w:color w:val="auto"/>
                <w:sz w:val="20"/>
                <w:szCs w:val="20"/>
              </w:rPr>
              <w:t>superhrubé</w:t>
            </w:r>
            <w:proofErr w:type="spellEnd"/>
            <w:r w:rsidRPr="00386B91">
              <w:rPr>
                <w:rFonts w:cs="Arial"/>
                <w:b/>
                <w:color w:val="auto"/>
                <w:sz w:val="20"/>
                <w:szCs w:val="20"/>
              </w:rPr>
              <w:t xml:space="preserve"> mzdy</w:t>
            </w:r>
          </w:p>
          <w:p w:rsidR="00C81AF6" w:rsidRPr="008906F2" w:rsidRDefault="00C81AF6" w:rsidP="0016039E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Zrušení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superhrubé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mzdy je třeba vnímat komplexně, nikoliv izolovaně, což vyžaduje i analýzu daňových povinností a vlivu změn vyplývajících ze zrušení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superhrubé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mzdy na podnikatele, příjmy z pronájmu, kapitálové a ostatní příjmy. Z tohoto důvodu je potřeba vytvořit pracovní skupinu na úrovni koaličních partnerů, která se danou problematikou bude zabývat a navrhne vhodná opatření</w:t>
            </w:r>
          </w:p>
          <w:p w:rsidR="00C81AF6" w:rsidRPr="008906F2" w:rsidRDefault="00C81AF6" w:rsidP="0016039E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b/>
                <w:color w:val="000000"/>
                <w:sz w:val="20"/>
                <w:szCs w:val="20"/>
              </w:rPr>
              <w:t xml:space="preserve">Indikátor: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Vytvoření pracovní skupiny, Návrh opatření</w:t>
            </w:r>
          </w:p>
          <w:p w:rsidR="00C81AF6" w:rsidRPr="008906F2" w:rsidRDefault="00C81AF6" w:rsidP="0016039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81AF6" w:rsidRPr="008906F2" w:rsidRDefault="00C81AF6" w:rsidP="00386B9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906F2">
              <w:rPr>
                <w:rFonts w:cs="Arial"/>
                <w:color w:val="000000"/>
                <w:sz w:val="20"/>
                <w:szCs w:val="20"/>
              </w:rPr>
              <w:t>201</w:t>
            </w: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</w:tr>
      <w:tr w:rsidR="00C81AF6" w:rsidRPr="008906F2" w:rsidTr="002C694E">
        <w:trPr>
          <w:jc w:val="right"/>
        </w:trPr>
        <w:tc>
          <w:tcPr>
            <w:tcW w:w="1326" w:type="dxa"/>
            <w:shd w:val="clear" w:color="auto" w:fill="auto"/>
            <w:vAlign w:val="center"/>
          </w:tcPr>
          <w:p w:rsidR="00C81AF6" w:rsidRPr="008906F2" w:rsidRDefault="00C81AF6" w:rsidP="0016039E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ÚV</w:t>
            </w:r>
          </w:p>
        </w:tc>
        <w:tc>
          <w:tcPr>
            <w:tcW w:w="1736" w:type="dxa"/>
            <w:vAlign w:val="center"/>
          </w:tcPr>
          <w:p w:rsidR="00C81AF6" w:rsidRPr="008906F2" w:rsidRDefault="00C81AF6" w:rsidP="0048657B">
            <w:pPr>
              <w:spacing w:before="12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:rsidR="00C81AF6" w:rsidRPr="0015598B" w:rsidRDefault="00C81AF6" w:rsidP="0015598B">
            <w:pPr>
              <w:spacing w:before="100" w:beforeAutospacing="1" w:after="100" w:afterAutospacing="1" w:line="240" w:lineRule="auto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15598B">
              <w:rPr>
                <w:rFonts w:cs="Arial"/>
                <w:b/>
                <w:color w:val="000000"/>
                <w:sz w:val="20"/>
                <w:szCs w:val="20"/>
              </w:rPr>
              <w:t>Cíl: Snížení odlivu zisků ze země</w:t>
            </w:r>
          </w:p>
          <w:p w:rsidR="00C81AF6" w:rsidRPr="0015598B" w:rsidRDefault="00C81AF6" w:rsidP="0015598B">
            <w:pPr>
              <w:spacing w:before="100" w:beforeAutospacing="1" w:after="100" w:afterAutospacing="1" w:line="24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15598B">
              <w:rPr>
                <w:rFonts w:cs="Arial"/>
                <w:color w:val="000000"/>
                <w:sz w:val="20"/>
                <w:szCs w:val="20"/>
              </w:rPr>
              <w:t>Vytvoření dobrých podmínek pro reinvestování zisků, podpora dlouhodobých investičních projektů, podpora malých a středních podniků, boj proti daňovým rájům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C81AF6" w:rsidRPr="0015598B" w:rsidRDefault="00C81AF6" w:rsidP="0015598B">
            <w:pPr>
              <w:spacing w:before="100" w:beforeAutospacing="1" w:after="100" w:afterAutospacing="1" w:line="240" w:lineRule="auto"/>
              <w:jc w:val="left"/>
              <w:rPr>
                <w:rFonts w:cs="Arial"/>
                <w:b/>
                <w:color w:val="000000"/>
                <w:sz w:val="20"/>
                <w:szCs w:val="20"/>
              </w:rPr>
            </w:pPr>
            <w:r w:rsidRPr="0015598B">
              <w:rPr>
                <w:rFonts w:cs="Arial"/>
                <w:b/>
                <w:color w:val="000000"/>
                <w:sz w:val="20"/>
                <w:szCs w:val="20"/>
              </w:rPr>
              <w:t>Indikátor: Vytvoření analýzy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odlivu zisků ze země s návrhy opatření</w:t>
            </w:r>
          </w:p>
          <w:p w:rsidR="00C81AF6" w:rsidRDefault="00C81AF6" w:rsidP="0016039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81AF6" w:rsidRPr="008906F2" w:rsidRDefault="00C81AF6" w:rsidP="0016039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2016</w:t>
            </w:r>
          </w:p>
        </w:tc>
      </w:tr>
    </w:tbl>
    <w:p w:rsidR="00A22B53" w:rsidRDefault="00A22B53">
      <w:pPr>
        <w:spacing w:after="0" w:line="240" w:lineRule="auto"/>
        <w:jc w:val="left"/>
        <w:rPr>
          <w:rFonts w:eastAsiaTheme="majorEastAsia" w:cstheme="majorBidi"/>
          <w:b/>
          <w:bCs/>
          <w:color w:val="1F497D" w:themeColor="text2"/>
          <w:kern w:val="32"/>
          <w:sz w:val="32"/>
          <w:szCs w:val="32"/>
        </w:rPr>
      </w:pPr>
      <w:r>
        <w:br w:type="page"/>
      </w:r>
    </w:p>
    <w:p w:rsidR="005D5090" w:rsidRDefault="005D5090" w:rsidP="002B7A3D">
      <w:pPr>
        <w:pStyle w:val="Nadpis1"/>
      </w:pPr>
      <w:bookmarkStart w:id="32" w:name="_Toc435423998"/>
      <w:r>
        <w:lastRenderedPageBreak/>
        <w:t>Použité strategie a koncepční materiály</w:t>
      </w:r>
      <w:bookmarkEnd w:id="32"/>
    </w:p>
    <w:p w:rsidR="007B46EC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Aktivizační opatření k řešení nepříznivé situace na trhu práce</w:t>
      </w:r>
    </w:p>
    <w:p w:rsidR="00CE50B7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Akční plán České republiky k podpoře přílivu investic 2014–2017</w:t>
      </w:r>
    </w:p>
    <w:p w:rsidR="007B46EC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CE50B7">
        <w:rPr>
          <w:b/>
          <w:color w:val="17365D"/>
        </w:rPr>
        <w:t>Akční plán boje s korupcí na rok 2015</w:t>
      </w:r>
    </w:p>
    <w:p w:rsidR="007B46EC" w:rsidRPr="007B46EC" w:rsidRDefault="007B46EC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>
        <w:rPr>
          <w:b/>
          <w:color w:val="17365D"/>
        </w:rPr>
        <w:t>Akční plán pro rozvoj digitálního trhu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Analýza nákladů veřejných rozpočtů na středního nezaměstnaného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Dohoda o partnerství pro programové období 2014</w:t>
      </w:r>
      <w:r>
        <w:rPr>
          <w:b/>
          <w:color w:val="17365D"/>
        </w:rPr>
        <w:t>–</w:t>
      </w:r>
      <w:r w:rsidRPr="002C694E">
        <w:rPr>
          <w:b/>
          <w:color w:val="17365D"/>
        </w:rPr>
        <w:t xml:space="preserve">2020 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Dopravní politika ČR pro období 2014-2020 s výhledem do roku 2050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Dopravní sektorové strategie, 2. fáze</w:t>
      </w:r>
    </w:p>
    <w:p w:rsidR="00CE50B7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Exportní strategie České republiky pro období 2012–2020</w:t>
      </w:r>
    </w:p>
    <w:p w:rsidR="00E54E38" w:rsidRPr="00E54E38" w:rsidRDefault="00E54E38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E54E38">
        <w:rPr>
          <w:b/>
          <w:color w:val="17365D"/>
        </w:rPr>
        <w:t>Informace o dosavadních a plánovaných krocích vlády v oblasti podpory exportu a posílení ekonomické diplomacie</w:t>
      </w:r>
    </w:p>
    <w:p w:rsidR="00E54E38" w:rsidRDefault="007B46EC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7B46EC">
        <w:rPr>
          <w:b/>
          <w:color w:val="17365D"/>
        </w:rPr>
        <w:t xml:space="preserve">Informace o stávající a připravované podpoře průmyslu v rámci operačních programů řízených MPO a o dosavadních a plánovaných krocích MPO </w:t>
      </w:r>
      <w:r w:rsidR="00E54E38">
        <w:rPr>
          <w:b/>
          <w:color w:val="17365D"/>
        </w:rPr>
        <w:br/>
      </w:r>
      <w:r w:rsidRPr="007B46EC">
        <w:rPr>
          <w:b/>
          <w:color w:val="17365D"/>
        </w:rPr>
        <w:t xml:space="preserve">a Agentury </w:t>
      </w:r>
      <w:proofErr w:type="spellStart"/>
      <w:r w:rsidRPr="007B46EC">
        <w:rPr>
          <w:b/>
          <w:color w:val="17365D"/>
        </w:rPr>
        <w:t>CzechInvest</w:t>
      </w:r>
      <w:proofErr w:type="spellEnd"/>
      <w:r w:rsidRPr="007B46EC">
        <w:rPr>
          <w:b/>
          <w:color w:val="17365D"/>
        </w:rPr>
        <w:t xml:space="preserve"> v oblasti podpory investičních aktivit v</w:t>
      </w:r>
      <w:r w:rsidR="00E54E38">
        <w:rPr>
          <w:b/>
          <w:color w:val="17365D"/>
        </w:rPr>
        <w:t> Č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Koncepce bydlení ČR do roku 2020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Koncepce podpory malých a středních podnikatelů na období let 2014–2020</w:t>
      </w:r>
    </w:p>
    <w:p w:rsidR="00CE50B7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 xml:space="preserve">Koncepce státní politiky cestovního ruchu v České republice na období </w:t>
      </w:r>
      <w:r>
        <w:rPr>
          <w:b/>
          <w:color w:val="17365D"/>
        </w:rPr>
        <w:br/>
      </w:r>
      <w:r w:rsidRPr="002C694E">
        <w:rPr>
          <w:b/>
          <w:color w:val="17365D"/>
        </w:rPr>
        <w:t>2014–2020</w:t>
      </w:r>
    </w:p>
    <w:p w:rsidR="007B46EC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CE50B7">
        <w:rPr>
          <w:b/>
          <w:color w:val="17365D"/>
        </w:rPr>
        <w:t>Koncepce  zemědělského aplikovaného výzkumu do roku 2022</w:t>
      </w:r>
    </w:p>
    <w:p w:rsidR="007B46EC" w:rsidRDefault="007B46EC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7B46EC">
        <w:rPr>
          <w:b/>
          <w:color w:val="17365D"/>
        </w:rPr>
        <w:t>Národní akční plán České republiky pro energii z obnovitelných zdrojů</w:t>
      </w:r>
    </w:p>
    <w:p w:rsidR="007B46EC" w:rsidRPr="007B46EC" w:rsidRDefault="007B46EC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>
        <w:rPr>
          <w:b/>
          <w:color w:val="17365D"/>
        </w:rPr>
        <w:t>Národní akční plán rozvoje jaderné energetiky ČR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Národní inovační strategie 2012–2020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Národní program reforem České republiky 201</w:t>
      </w:r>
      <w:r w:rsidR="007B46EC">
        <w:rPr>
          <w:b/>
          <w:color w:val="17365D"/>
        </w:rPr>
        <w:t>5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Národní politika výzkumu, vývoje a inovací ČR na léta 2009 až 2015 s výhledem do roku 2020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 xml:space="preserve">Národní politika výzkumu, vývoje a inovací na léta 2009 až 2015 s výhledem </w:t>
      </w:r>
      <w:r>
        <w:rPr>
          <w:b/>
          <w:color w:val="17365D"/>
        </w:rPr>
        <w:br/>
      </w:r>
      <w:r w:rsidRPr="002C694E">
        <w:rPr>
          <w:b/>
          <w:color w:val="17365D"/>
        </w:rPr>
        <w:t xml:space="preserve">do roku 2020 – Aktualizace </w:t>
      </w:r>
    </w:p>
    <w:p w:rsidR="00CE50B7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Národní Strategie inteligentní specializace (Národní RIS 3)</w:t>
      </w:r>
    </w:p>
    <w:p w:rsidR="00CE50B7" w:rsidRPr="00CE50B7" w:rsidRDefault="00CE50B7" w:rsidP="00521533">
      <w:pPr>
        <w:pStyle w:val="Odstavecseseznamem"/>
        <w:spacing w:line="360" w:lineRule="auto"/>
        <w:ind w:left="426"/>
        <w:rPr>
          <w:b/>
          <w:color w:val="17365D"/>
        </w:rPr>
      </w:pPr>
      <w:r w:rsidRPr="00CE50B7">
        <w:rPr>
          <w:b/>
          <w:color w:val="17365D"/>
        </w:rPr>
        <w:t xml:space="preserve">Národní akční plán ČR pro energii z obnovitelných zdrojů 2010-2020 </w:t>
      </w:r>
    </w:p>
    <w:p w:rsidR="00E54E38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Opatření MPO na podporu hospodářského růstu ČR</w:t>
      </w:r>
    </w:p>
    <w:p w:rsidR="00E54E38" w:rsidRPr="00E54E38" w:rsidRDefault="00E54E38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E54E38">
        <w:rPr>
          <w:b/>
          <w:color w:val="17365D"/>
        </w:rPr>
        <w:t xml:space="preserve">Opatření Ministerstva </w:t>
      </w:r>
      <w:r>
        <w:rPr>
          <w:b/>
          <w:color w:val="17365D"/>
        </w:rPr>
        <w:t xml:space="preserve">školství, mládeže a tělovýchovy </w:t>
      </w:r>
      <w:r w:rsidRPr="00E54E38">
        <w:rPr>
          <w:b/>
          <w:color w:val="17365D"/>
        </w:rPr>
        <w:t xml:space="preserve">na podporu technického vzdělávání  </w:t>
      </w:r>
    </w:p>
    <w:p w:rsidR="007B46EC" w:rsidRPr="007B46EC" w:rsidRDefault="007B46EC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7B46EC">
        <w:rPr>
          <w:b/>
          <w:color w:val="17365D"/>
        </w:rPr>
        <w:lastRenderedPageBreak/>
        <w:t>Opatření v oblasti podpory zaměstnanosti a v oblasti nepojistných sociálních dávek v Ústeckém kraji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>
        <w:rPr>
          <w:b/>
          <w:color w:val="17365D"/>
        </w:rPr>
        <w:t>Plán nelegislativních prací vlády České republiky</w:t>
      </w:r>
    </w:p>
    <w:p w:rsidR="00CE50B7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Programové prohlášení Vlády ČR (schváleno 12. února 2014)</w:t>
      </w:r>
    </w:p>
    <w:p w:rsidR="007B46EC" w:rsidRDefault="007B46EC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>
        <w:rPr>
          <w:b/>
          <w:color w:val="17365D"/>
        </w:rPr>
        <w:t>Průmysl 4.0 lide, stroje, systé</w:t>
      </w:r>
      <w:r w:rsidRPr="007B46EC">
        <w:rPr>
          <w:b/>
          <w:color w:val="17365D"/>
        </w:rPr>
        <w:t>my</w:t>
      </w:r>
    </w:p>
    <w:p w:rsidR="00E54E38" w:rsidRPr="00E54E38" w:rsidRDefault="00E54E38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E54E38">
        <w:rPr>
          <w:b/>
          <w:color w:val="17365D"/>
        </w:rPr>
        <w:t xml:space="preserve">Příprava realizace opatření pro zmírnění negativních dopadů sucha </w:t>
      </w:r>
      <w:r>
        <w:rPr>
          <w:b/>
          <w:color w:val="17365D"/>
        </w:rPr>
        <w:br/>
      </w:r>
      <w:r w:rsidRPr="00E54E38">
        <w:rPr>
          <w:b/>
          <w:color w:val="17365D"/>
        </w:rPr>
        <w:t>a nedostatku vody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Státní politika v elektronických komunikacích - Digitální Česko v. 2.0 - Cesta k digitální ekonomice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Strategický rámec rozvoje veřejné správy ČR pro období 2014</w:t>
      </w:r>
      <w:r>
        <w:rPr>
          <w:b/>
          <w:color w:val="17365D"/>
        </w:rPr>
        <w:t>–</w:t>
      </w:r>
      <w:r w:rsidRPr="002C694E">
        <w:rPr>
          <w:b/>
          <w:color w:val="17365D"/>
        </w:rPr>
        <w:t>2020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Strategie mezinárodní konkurenceschopnosti ČR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Strategie politiky zaměstnanosti do roku 2020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Strategie regionálního rozvoje 2014–2020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Strategie sociálního začleňování 2014–2020</w:t>
      </w:r>
    </w:p>
    <w:p w:rsidR="00CE50B7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Strategie vzdělávací politiky ČR do roku 2020</w:t>
      </w:r>
    </w:p>
    <w:p w:rsidR="00CE50B7" w:rsidRPr="002C694E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Vize ČMKOS pro Českou republiku</w:t>
      </w:r>
    </w:p>
    <w:p w:rsidR="00CE50B7" w:rsidRPr="00605BA4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CE50B7">
        <w:rPr>
          <w:b/>
          <w:color w:val="17365D"/>
        </w:rPr>
        <w:t>Vládní koncepce boje s korupcí na léta 2015 až 2017</w:t>
      </w:r>
    </w:p>
    <w:p w:rsidR="00CE50B7" w:rsidRPr="00CE50B7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bookmarkStart w:id="33" w:name="_Toc408236531"/>
      <w:bookmarkStart w:id="34" w:name="_Toc408237036"/>
      <w:bookmarkStart w:id="35" w:name="_Toc408320901"/>
      <w:bookmarkStart w:id="36" w:name="_Toc414629201"/>
      <w:bookmarkStart w:id="37" w:name="_Toc415143610"/>
      <w:bookmarkStart w:id="38" w:name="_Toc415640961"/>
      <w:bookmarkStart w:id="39" w:name="_Toc415741396"/>
      <w:bookmarkStart w:id="40" w:name="_Toc415741487"/>
      <w:bookmarkStart w:id="41" w:name="_Toc415743762"/>
      <w:bookmarkStart w:id="42" w:name="_Toc419798571"/>
      <w:r w:rsidRPr="00CE50B7">
        <w:rPr>
          <w:b/>
          <w:color w:val="17365D"/>
        </w:rPr>
        <w:t>Zpráva o pokroku ve snižování administrativní zátěže podnikatelů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CE50B7">
        <w:rPr>
          <w:b/>
          <w:color w:val="17365D"/>
        </w:rPr>
        <w:t xml:space="preserve"> </w:t>
      </w:r>
      <w:bookmarkStart w:id="43" w:name="_Toc408236532"/>
      <w:bookmarkStart w:id="44" w:name="_Toc408237037"/>
      <w:bookmarkStart w:id="45" w:name="_Toc408320902"/>
      <w:bookmarkStart w:id="46" w:name="_Toc414629202"/>
      <w:bookmarkStart w:id="47" w:name="_Toc415143611"/>
      <w:bookmarkStart w:id="48" w:name="_Toc415640962"/>
      <w:bookmarkStart w:id="49" w:name="_Toc415741397"/>
      <w:bookmarkStart w:id="50" w:name="_Toc415741488"/>
      <w:bookmarkStart w:id="51" w:name="_Toc415743763"/>
      <w:bookmarkStart w:id="52" w:name="_Toc419798572"/>
      <w:r w:rsidRPr="00CE50B7">
        <w:rPr>
          <w:b/>
          <w:color w:val="17365D"/>
        </w:rPr>
        <w:t>za rok 2014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CE50B7">
        <w:rPr>
          <w:b/>
          <w:color w:val="17365D"/>
        </w:rPr>
        <w:t xml:space="preserve"> </w:t>
      </w:r>
    </w:p>
    <w:p w:rsidR="00CE50B7" w:rsidRDefault="00CE50B7" w:rsidP="00521533">
      <w:pPr>
        <w:pStyle w:val="Odstavecseseznamem"/>
        <w:numPr>
          <w:ilvl w:val="0"/>
          <w:numId w:val="33"/>
        </w:numPr>
        <w:spacing w:line="360" w:lineRule="auto"/>
        <w:ind w:left="426"/>
        <w:rPr>
          <w:b/>
          <w:color w:val="17365D"/>
        </w:rPr>
      </w:pPr>
      <w:r w:rsidRPr="002C694E">
        <w:rPr>
          <w:b/>
          <w:color w:val="17365D"/>
        </w:rPr>
        <w:t>60 opatření ke snížení administrativní zátěže podnikatelů do konce roku 2015 resortu MPO</w:t>
      </w:r>
    </w:p>
    <w:p w:rsidR="007B46EC" w:rsidRDefault="007B46EC" w:rsidP="00E54E38">
      <w:pPr>
        <w:pStyle w:val="Odstavecseseznamem"/>
        <w:numPr>
          <w:ilvl w:val="0"/>
          <w:numId w:val="0"/>
        </w:numPr>
        <w:spacing w:line="360" w:lineRule="auto"/>
        <w:ind w:left="426"/>
        <w:rPr>
          <w:b/>
          <w:color w:val="17365D"/>
        </w:rPr>
      </w:pPr>
    </w:p>
    <w:p w:rsidR="00E626E3" w:rsidRPr="00F601E4" w:rsidRDefault="00E626E3" w:rsidP="00CE50B7">
      <w:pPr>
        <w:ind w:left="426"/>
        <w:rPr>
          <w:b/>
          <w:color w:val="FF0000"/>
        </w:rPr>
      </w:pPr>
    </w:p>
    <w:sectPr w:rsidR="00E626E3" w:rsidRPr="00F601E4" w:rsidSect="00BA73B1">
      <w:pgSz w:w="11900" w:h="16840"/>
      <w:pgMar w:top="1588" w:right="1588" w:bottom="1588" w:left="1985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59" w:rsidRDefault="00214B59" w:rsidP="00160620">
      <w:pPr>
        <w:spacing w:after="0" w:line="240" w:lineRule="auto"/>
      </w:pPr>
      <w:r>
        <w:separator/>
      </w:r>
    </w:p>
  </w:endnote>
  <w:endnote w:type="continuationSeparator" w:id="0">
    <w:p w:rsidR="00214B59" w:rsidRDefault="00214B59" w:rsidP="00160620">
      <w:pPr>
        <w:spacing w:after="0" w:line="240" w:lineRule="auto"/>
      </w:pPr>
      <w:r>
        <w:continuationSeparator/>
      </w:r>
    </w:p>
  </w:endnote>
  <w:endnote w:type="continuationNotice" w:id="1">
    <w:p w:rsidR="00214B59" w:rsidRDefault="00214B5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9B" w:rsidRPr="00E2581E" w:rsidRDefault="00A1229B" w:rsidP="00E873E5">
    <w:pPr>
      <w:pStyle w:val="Zpat"/>
      <w:jc w:val="left"/>
      <w:rPr>
        <w:b/>
        <w:color w:val="000080"/>
      </w:rPr>
    </w:pPr>
    <w:r w:rsidRPr="00E2581E">
      <w:rPr>
        <w:rStyle w:val="slostrnky"/>
        <w:color w:val="000080"/>
      </w:rPr>
      <w:fldChar w:fldCharType="begin"/>
    </w:r>
    <w:r w:rsidR="0004089B" w:rsidRPr="00E2581E">
      <w:rPr>
        <w:rStyle w:val="slostrnky"/>
        <w:color w:val="000080"/>
      </w:rPr>
      <w:instrText xml:space="preserve"> PAGE </w:instrText>
    </w:r>
    <w:r w:rsidRPr="00E2581E">
      <w:rPr>
        <w:rStyle w:val="slostrnky"/>
        <w:color w:val="000080"/>
      </w:rPr>
      <w:fldChar w:fldCharType="separate"/>
    </w:r>
    <w:r w:rsidR="0004089B">
      <w:rPr>
        <w:rStyle w:val="slostrnky"/>
        <w:noProof/>
        <w:color w:val="000080"/>
      </w:rPr>
      <w:t>6</w:t>
    </w:r>
    <w:r w:rsidRPr="00E2581E">
      <w:rPr>
        <w:rStyle w:val="slostrnky"/>
        <w:color w:val="000080"/>
      </w:rPr>
      <w:fldChar w:fldCharType="end"/>
    </w:r>
    <w:r w:rsidR="0004089B" w:rsidRPr="00E2581E">
      <w:rPr>
        <w:rStyle w:val="slostrnky"/>
        <w:color w:val="000080"/>
      </w:rPr>
      <w:tab/>
    </w:r>
    <w:r w:rsidR="0004089B" w:rsidRPr="005D1102">
      <w:rPr>
        <w:rStyle w:val="slostrnky"/>
        <w:smallCaps/>
        <w:color w:val="000080"/>
      </w:rPr>
      <w:t>Akční plán vlády</w:t>
    </w:r>
    <w:r w:rsidR="0004089B">
      <w:rPr>
        <w:rStyle w:val="slostrnky"/>
        <w:smallCaps/>
        <w:color w:val="000080"/>
      </w:rPr>
      <w:t xml:space="preserve"> na  </w:t>
    </w:r>
    <w:r w:rsidR="0004089B" w:rsidRPr="005D1102">
      <w:rPr>
        <w:rStyle w:val="slostrnky"/>
        <w:smallCaps/>
        <w:color w:val="000080"/>
      </w:rPr>
      <w:t>podporu hospodářského růstu</w:t>
    </w:r>
    <w:r w:rsidR="0004089B">
      <w:rPr>
        <w:rStyle w:val="slostrnky"/>
        <w:smallCaps/>
        <w:color w:val="000080"/>
      </w:rPr>
      <w:t xml:space="preserve"> a  zaměstnanosti v </w:t>
    </w:r>
    <w:r w:rsidR="0004089B" w:rsidRPr="005D1102">
      <w:rPr>
        <w:rStyle w:val="slostrnky"/>
        <w:smallCaps/>
        <w:color w:val="000080"/>
      </w:rPr>
      <w:t>ČR</w:t>
    </w:r>
  </w:p>
  <w:p w:rsidR="0004089B" w:rsidRDefault="0004089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9B" w:rsidRPr="004350D3" w:rsidRDefault="00A1229B" w:rsidP="004350D3">
    <w:pPr>
      <w:pStyle w:val="Zpat"/>
      <w:tabs>
        <w:tab w:val="left" w:pos="851"/>
      </w:tabs>
      <w:ind w:left="-2268"/>
      <w:jc w:val="left"/>
      <w:rPr>
        <w:b/>
        <w:color w:val="000080"/>
        <w:sz w:val="18"/>
        <w:szCs w:val="18"/>
      </w:rPr>
    </w:pPr>
    <w:r w:rsidRPr="004350D3">
      <w:rPr>
        <w:rStyle w:val="slostrnky"/>
        <w:color w:val="000080"/>
        <w:sz w:val="18"/>
        <w:szCs w:val="18"/>
      </w:rPr>
      <w:fldChar w:fldCharType="begin"/>
    </w:r>
    <w:r w:rsidR="0004089B" w:rsidRPr="004350D3">
      <w:rPr>
        <w:rStyle w:val="slostrnky"/>
        <w:color w:val="000080"/>
        <w:sz w:val="18"/>
        <w:szCs w:val="18"/>
      </w:rPr>
      <w:instrText xml:space="preserve"> PAGE </w:instrText>
    </w:r>
    <w:r w:rsidRPr="004350D3">
      <w:rPr>
        <w:rStyle w:val="slostrnky"/>
        <w:color w:val="000080"/>
        <w:sz w:val="18"/>
        <w:szCs w:val="18"/>
      </w:rPr>
      <w:fldChar w:fldCharType="separate"/>
    </w:r>
    <w:r w:rsidR="0004089B">
      <w:rPr>
        <w:rStyle w:val="slostrnky"/>
        <w:noProof/>
        <w:color w:val="000080"/>
        <w:sz w:val="18"/>
        <w:szCs w:val="18"/>
      </w:rPr>
      <w:t>4</w:t>
    </w:r>
    <w:r w:rsidRPr="004350D3">
      <w:rPr>
        <w:rStyle w:val="slostrnky"/>
        <w:color w:val="000080"/>
        <w:sz w:val="18"/>
        <w:szCs w:val="18"/>
      </w:rPr>
      <w:fldChar w:fldCharType="end"/>
    </w:r>
    <w:r w:rsidR="0004089B" w:rsidRPr="004350D3">
      <w:rPr>
        <w:rStyle w:val="slostrnky"/>
        <w:color w:val="000080"/>
        <w:sz w:val="18"/>
        <w:szCs w:val="18"/>
      </w:rPr>
      <w:tab/>
      <w:t xml:space="preserve">             </w:t>
    </w:r>
    <w:r w:rsidR="0004089B">
      <w:rPr>
        <w:rStyle w:val="slostrnky"/>
        <w:color w:val="000080"/>
        <w:sz w:val="18"/>
        <w:szCs w:val="18"/>
      </w:rPr>
      <w:t xml:space="preserve"> </w:t>
    </w:r>
    <w:r w:rsidR="0004089B" w:rsidRPr="004350D3">
      <w:rPr>
        <w:rStyle w:val="slostrnky"/>
        <w:color w:val="000080"/>
        <w:sz w:val="18"/>
        <w:szCs w:val="18"/>
      </w:rPr>
      <w:t xml:space="preserve"> </w:t>
    </w:r>
    <w:r w:rsidR="0004089B" w:rsidRPr="004350D3">
      <w:rPr>
        <w:rStyle w:val="slostrnky"/>
        <w:color w:val="000080"/>
        <w:sz w:val="18"/>
        <w:szCs w:val="18"/>
      </w:rPr>
      <w:tab/>
    </w:r>
    <w:r w:rsidR="0004089B" w:rsidRPr="004350D3">
      <w:rPr>
        <w:rStyle w:val="slostrnky"/>
        <w:smallCaps/>
        <w:color w:val="000080"/>
        <w:sz w:val="18"/>
        <w:szCs w:val="18"/>
      </w:rPr>
      <w:t>Akční plán na  podporu hospodářského růstu a  zaměstnanosti ČR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9B" w:rsidRPr="0043203C" w:rsidRDefault="0004089B" w:rsidP="005D68EA">
    <w:pPr>
      <w:pStyle w:val="Zpat"/>
      <w:jc w:val="center"/>
      <w:rPr>
        <w:b/>
        <w:color w:val="000080"/>
        <w:sz w:val="18"/>
        <w:szCs w:val="18"/>
      </w:rPr>
    </w:pPr>
    <w:r w:rsidRPr="0043203C">
      <w:rPr>
        <w:b/>
        <w:color w:val="000080"/>
        <w:sz w:val="18"/>
        <w:szCs w:val="18"/>
      </w:rPr>
      <w:t>Úřad vlády České republiky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9B" w:rsidRPr="0043203C" w:rsidRDefault="00A1229B" w:rsidP="004350D3">
    <w:pPr>
      <w:pStyle w:val="Zpat"/>
      <w:tabs>
        <w:tab w:val="clear" w:pos="4320"/>
        <w:tab w:val="clear" w:pos="8640"/>
        <w:tab w:val="right" w:pos="9072"/>
      </w:tabs>
      <w:jc w:val="left"/>
      <w:rPr>
        <w:b/>
        <w:smallCaps/>
        <w:color w:val="000080"/>
        <w:sz w:val="18"/>
        <w:szCs w:val="18"/>
      </w:rPr>
    </w:pPr>
    <w:r w:rsidRPr="0043203C">
      <w:rPr>
        <w:rStyle w:val="slostrnky"/>
        <w:color w:val="000080"/>
        <w:sz w:val="18"/>
        <w:szCs w:val="18"/>
      </w:rPr>
      <w:fldChar w:fldCharType="begin"/>
    </w:r>
    <w:r w:rsidR="0004089B" w:rsidRPr="0043203C">
      <w:rPr>
        <w:rStyle w:val="slostrnky"/>
        <w:color w:val="000080"/>
        <w:sz w:val="18"/>
        <w:szCs w:val="18"/>
      </w:rPr>
      <w:instrText xml:space="preserve"> PAGE </w:instrText>
    </w:r>
    <w:r w:rsidRPr="0043203C">
      <w:rPr>
        <w:rStyle w:val="slostrnky"/>
        <w:color w:val="000080"/>
        <w:sz w:val="18"/>
        <w:szCs w:val="18"/>
      </w:rPr>
      <w:fldChar w:fldCharType="separate"/>
    </w:r>
    <w:r w:rsidR="003841A9">
      <w:rPr>
        <w:rStyle w:val="slostrnky"/>
        <w:noProof/>
        <w:color w:val="000080"/>
        <w:sz w:val="18"/>
        <w:szCs w:val="18"/>
      </w:rPr>
      <w:t>2</w:t>
    </w:r>
    <w:r w:rsidRPr="0043203C">
      <w:rPr>
        <w:rStyle w:val="slostrnky"/>
        <w:color w:val="000080"/>
        <w:sz w:val="18"/>
        <w:szCs w:val="18"/>
      </w:rPr>
      <w:fldChar w:fldCharType="end"/>
    </w:r>
    <w:r w:rsidR="0004089B" w:rsidRPr="0043203C">
      <w:rPr>
        <w:rStyle w:val="slostrnky"/>
        <w:color w:val="000080"/>
        <w:sz w:val="18"/>
        <w:szCs w:val="18"/>
      </w:rPr>
      <w:t xml:space="preserve">                                                 </w:t>
    </w:r>
    <w:r w:rsidR="0004089B" w:rsidRPr="0043203C">
      <w:rPr>
        <w:rStyle w:val="slostrnky"/>
        <w:color w:val="000080"/>
        <w:sz w:val="18"/>
        <w:szCs w:val="18"/>
      </w:rPr>
      <w:tab/>
    </w:r>
    <w:r w:rsidR="0004089B" w:rsidRPr="0043203C">
      <w:rPr>
        <w:rStyle w:val="slostrnky"/>
        <w:smallCaps/>
        <w:color w:val="000080"/>
        <w:sz w:val="18"/>
        <w:szCs w:val="18"/>
      </w:rPr>
      <w:t>Akční plán na  podporu hospodářského růstu a  zaměstnanosti ČR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9B" w:rsidRPr="004350D3" w:rsidRDefault="00A1229B" w:rsidP="003C6DB2">
    <w:pPr>
      <w:pStyle w:val="Zpat"/>
      <w:tabs>
        <w:tab w:val="left" w:pos="851"/>
      </w:tabs>
      <w:ind w:left="-1134"/>
      <w:jc w:val="left"/>
      <w:rPr>
        <w:b/>
        <w:color w:val="000080"/>
        <w:sz w:val="18"/>
        <w:szCs w:val="18"/>
      </w:rPr>
    </w:pPr>
    <w:r w:rsidRPr="004350D3">
      <w:rPr>
        <w:rStyle w:val="slostrnky"/>
        <w:color w:val="000080"/>
        <w:sz w:val="18"/>
        <w:szCs w:val="18"/>
      </w:rPr>
      <w:fldChar w:fldCharType="begin"/>
    </w:r>
    <w:r w:rsidR="0004089B" w:rsidRPr="004350D3">
      <w:rPr>
        <w:rStyle w:val="slostrnky"/>
        <w:color w:val="000080"/>
        <w:sz w:val="18"/>
        <w:szCs w:val="18"/>
      </w:rPr>
      <w:instrText xml:space="preserve"> PAGE </w:instrText>
    </w:r>
    <w:r w:rsidRPr="004350D3">
      <w:rPr>
        <w:rStyle w:val="slostrnky"/>
        <w:color w:val="000080"/>
        <w:sz w:val="18"/>
        <w:szCs w:val="18"/>
      </w:rPr>
      <w:fldChar w:fldCharType="separate"/>
    </w:r>
    <w:r w:rsidR="003841A9">
      <w:rPr>
        <w:rStyle w:val="slostrnky"/>
        <w:noProof/>
        <w:color w:val="000080"/>
        <w:sz w:val="18"/>
        <w:szCs w:val="18"/>
      </w:rPr>
      <w:t>35</w:t>
    </w:r>
    <w:r w:rsidRPr="004350D3">
      <w:rPr>
        <w:rStyle w:val="slostrnky"/>
        <w:color w:val="000080"/>
        <w:sz w:val="18"/>
        <w:szCs w:val="18"/>
      </w:rPr>
      <w:fldChar w:fldCharType="end"/>
    </w:r>
    <w:r w:rsidR="0004089B" w:rsidRPr="004350D3">
      <w:rPr>
        <w:rStyle w:val="slostrnky"/>
        <w:color w:val="000080"/>
        <w:sz w:val="18"/>
        <w:szCs w:val="18"/>
      </w:rPr>
      <w:tab/>
      <w:t xml:space="preserve">     </w:t>
    </w:r>
    <w:r w:rsidR="0004089B">
      <w:rPr>
        <w:rStyle w:val="slostrnky"/>
        <w:color w:val="000080"/>
        <w:sz w:val="18"/>
        <w:szCs w:val="18"/>
      </w:rPr>
      <w:t xml:space="preserve">         </w:t>
    </w:r>
    <w:r w:rsidR="0004089B" w:rsidRPr="004350D3">
      <w:rPr>
        <w:rStyle w:val="slostrnky"/>
        <w:color w:val="000080"/>
        <w:sz w:val="18"/>
        <w:szCs w:val="18"/>
      </w:rPr>
      <w:t xml:space="preserve"> </w:t>
    </w:r>
    <w:r w:rsidR="0004089B" w:rsidRPr="004350D3">
      <w:rPr>
        <w:rStyle w:val="slostrnky"/>
        <w:smallCaps/>
        <w:color w:val="000080"/>
        <w:sz w:val="18"/>
        <w:szCs w:val="18"/>
      </w:rPr>
      <w:t>Akční plán na  podporu hospodářského růstu a  zaměstnanosti ČR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9B" w:rsidRPr="0043203C" w:rsidRDefault="00A1229B" w:rsidP="00D16A88">
    <w:pPr>
      <w:pStyle w:val="Zpat"/>
      <w:ind w:left="-709"/>
      <w:jc w:val="left"/>
      <w:rPr>
        <w:b/>
        <w:smallCaps/>
        <w:color w:val="000080"/>
        <w:sz w:val="18"/>
        <w:szCs w:val="18"/>
      </w:rPr>
    </w:pPr>
    <w:r w:rsidRPr="0043203C">
      <w:rPr>
        <w:rStyle w:val="slostrnky"/>
        <w:color w:val="000080"/>
        <w:sz w:val="18"/>
        <w:szCs w:val="18"/>
      </w:rPr>
      <w:fldChar w:fldCharType="begin"/>
    </w:r>
    <w:r w:rsidR="0004089B" w:rsidRPr="0043203C">
      <w:rPr>
        <w:rStyle w:val="slostrnky"/>
        <w:color w:val="000080"/>
        <w:sz w:val="18"/>
        <w:szCs w:val="18"/>
      </w:rPr>
      <w:instrText xml:space="preserve"> PAGE </w:instrText>
    </w:r>
    <w:r w:rsidRPr="0043203C">
      <w:rPr>
        <w:rStyle w:val="slostrnky"/>
        <w:color w:val="000080"/>
        <w:sz w:val="18"/>
        <w:szCs w:val="18"/>
      </w:rPr>
      <w:fldChar w:fldCharType="separate"/>
    </w:r>
    <w:r w:rsidR="003841A9">
      <w:rPr>
        <w:rStyle w:val="slostrnky"/>
        <w:noProof/>
        <w:color w:val="000080"/>
        <w:sz w:val="18"/>
        <w:szCs w:val="18"/>
      </w:rPr>
      <w:t>13</w:t>
    </w:r>
    <w:r w:rsidRPr="0043203C">
      <w:rPr>
        <w:rStyle w:val="slostrnky"/>
        <w:color w:val="000080"/>
        <w:sz w:val="18"/>
        <w:szCs w:val="18"/>
      </w:rPr>
      <w:fldChar w:fldCharType="end"/>
    </w:r>
    <w:r w:rsidR="0004089B" w:rsidRPr="0043203C">
      <w:rPr>
        <w:rStyle w:val="slostrnky"/>
        <w:color w:val="000080"/>
        <w:sz w:val="18"/>
        <w:szCs w:val="18"/>
      </w:rPr>
      <w:tab/>
    </w:r>
    <w:r w:rsidR="0004089B">
      <w:rPr>
        <w:rStyle w:val="slostrnky"/>
        <w:color w:val="000080"/>
        <w:sz w:val="18"/>
        <w:szCs w:val="18"/>
      </w:rPr>
      <w:t xml:space="preserve">                              </w:t>
    </w:r>
    <w:r w:rsidR="0004089B" w:rsidRPr="0043203C">
      <w:rPr>
        <w:rStyle w:val="slostrnky"/>
        <w:smallCaps/>
        <w:color w:val="000080"/>
        <w:sz w:val="18"/>
        <w:szCs w:val="18"/>
      </w:rPr>
      <w:t>Akční plán vlády na  podporu hospodářského růstu a  zaměstnanosti v ČR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59" w:rsidRDefault="00214B59" w:rsidP="00160620">
      <w:pPr>
        <w:spacing w:after="0" w:line="240" w:lineRule="auto"/>
      </w:pPr>
      <w:r>
        <w:separator/>
      </w:r>
    </w:p>
  </w:footnote>
  <w:footnote w:type="continuationSeparator" w:id="0">
    <w:p w:rsidR="00214B59" w:rsidRDefault="00214B59" w:rsidP="00160620">
      <w:pPr>
        <w:spacing w:after="0" w:line="240" w:lineRule="auto"/>
      </w:pPr>
      <w:r>
        <w:continuationSeparator/>
      </w:r>
    </w:p>
  </w:footnote>
  <w:footnote w:type="continuationNotice" w:id="1">
    <w:p w:rsidR="00214B59" w:rsidRDefault="00214B59">
      <w:pPr>
        <w:spacing w:after="0" w:line="240" w:lineRule="auto"/>
      </w:pPr>
    </w:p>
  </w:footnote>
  <w:footnote w:id="2">
    <w:p w:rsidR="0004089B" w:rsidRPr="00B363DA" w:rsidRDefault="0004089B">
      <w:pPr>
        <w:pStyle w:val="Textpoznpodarou"/>
        <w:rPr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363DA">
        <w:rPr>
          <w:bCs/>
          <w:sz w:val="16"/>
          <w:szCs w:val="16"/>
        </w:rPr>
        <w:t>Podle posledních dostupných údajů sezónně neočištěná míra nezaměstnanosti zpracovávaná EUROSTATEM pro mezinárodní srovnání byla v srpnu 2015 v ČR 5,1 %, v EU28 9,0 %.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BD9"/>
    <w:multiLevelType w:val="hybridMultilevel"/>
    <w:tmpl w:val="22BAC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2088"/>
    <w:multiLevelType w:val="multilevel"/>
    <w:tmpl w:val="21B6B6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9D97BFD"/>
    <w:multiLevelType w:val="hybridMultilevel"/>
    <w:tmpl w:val="E06E7314"/>
    <w:lvl w:ilvl="0" w:tplc="9452A88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3114"/>
    <w:multiLevelType w:val="hybridMultilevel"/>
    <w:tmpl w:val="84C4E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15DA"/>
    <w:multiLevelType w:val="hybridMultilevel"/>
    <w:tmpl w:val="E9226E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04272"/>
    <w:multiLevelType w:val="multilevel"/>
    <w:tmpl w:val="FBC45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1FE37B54"/>
    <w:multiLevelType w:val="hybridMultilevel"/>
    <w:tmpl w:val="0D1A1B10"/>
    <w:lvl w:ilvl="0" w:tplc="04050011">
      <w:start w:val="1"/>
      <w:numFmt w:val="decimal"/>
      <w:lvlText w:val="%1)"/>
      <w:lvlJc w:val="left"/>
      <w:pPr>
        <w:ind w:left="-1341" w:hanging="360"/>
      </w:pPr>
      <w:rPr>
        <w:rFonts w:hint="default"/>
      </w:rPr>
    </w:lvl>
    <w:lvl w:ilvl="1" w:tplc="B0588D18">
      <w:start w:val="1"/>
      <w:numFmt w:val="decimal"/>
      <w:lvlText w:val="%2."/>
      <w:lvlJc w:val="left"/>
      <w:pPr>
        <w:ind w:left="-621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7">
    <w:nsid w:val="280F7BA9"/>
    <w:multiLevelType w:val="hybridMultilevel"/>
    <w:tmpl w:val="8C948418"/>
    <w:lvl w:ilvl="0" w:tplc="0409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8">
    <w:nsid w:val="2AB05918"/>
    <w:multiLevelType w:val="hybridMultilevel"/>
    <w:tmpl w:val="3BB27D4A"/>
    <w:lvl w:ilvl="0" w:tplc="38A0AB9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05AD1"/>
    <w:multiLevelType w:val="hybridMultilevel"/>
    <w:tmpl w:val="7620063E"/>
    <w:lvl w:ilvl="0" w:tplc="AF5022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84E7E"/>
    <w:multiLevelType w:val="hybridMultilevel"/>
    <w:tmpl w:val="F092D134"/>
    <w:lvl w:ilvl="0" w:tplc="D32022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733DA"/>
    <w:multiLevelType w:val="hybridMultilevel"/>
    <w:tmpl w:val="EE9A0AB0"/>
    <w:lvl w:ilvl="0" w:tplc="52B2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71097"/>
    <w:multiLevelType w:val="hybridMultilevel"/>
    <w:tmpl w:val="4DDA1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B23D9"/>
    <w:multiLevelType w:val="hybridMultilevel"/>
    <w:tmpl w:val="D7BCE2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A16FB0"/>
    <w:multiLevelType w:val="hybridMultilevel"/>
    <w:tmpl w:val="0E4846C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2FA208E"/>
    <w:multiLevelType w:val="hybridMultilevel"/>
    <w:tmpl w:val="348AD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2B0B85"/>
    <w:multiLevelType w:val="hybridMultilevel"/>
    <w:tmpl w:val="1BFA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84697"/>
    <w:multiLevelType w:val="multilevel"/>
    <w:tmpl w:val="8FE0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173B9"/>
    <w:multiLevelType w:val="multilevel"/>
    <w:tmpl w:val="8314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EC7D9B"/>
    <w:multiLevelType w:val="hybridMultilevel"/>
    <w:tmpl w:val="CC5A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A1CD4"/>
    <w:multiLevelType w:val="hybridMultilevel"/>
    <w:tmpl w:val="59D48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7E33DA"/>
    <w:multiLevelType w:val="hybridMultilevel"/>
    <w:tmpl w:val="E118F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B127B"/>
    <w:multiLevelType w:val="hybridMultilevel"/>
    <w:tmpl w:val="EBA48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911D5"/>
    <w:multiLevelType w:val="hybridMultilevel"/>
    <w:tmpl w:val="79FEA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082FB5"/>
    <w:multiLevelType w:val="hybridMultilevel"/>
    <w:tmpl w:val="27ECDB4C"/>
    <w:lvl w:ilvl="0" w:tplc="023C18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CB0688"/>
    <w:multiLevelType w:val="multilevel"/>
    <w:tmpl w:val="FBC45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6">
    <w:nsid w:val="673A7409"/>
    <w:multiLevelType w:val="hybridMultilevel"/>
    <w:tmpl w:val="BF0604AE"/>
    <w:lvl w:ilvl="0" w:tplc="C27A34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36C90"/>
    <w:multiLevelType w:val="hybridMultilevel"/>
    <w:tmpl w:val="C4E2B930"/>
    <w:lvl w:ilvl="0" w:tplc="FF144F6A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14356"/>
    <w:multiLevelType w:val="hybridMultilevel"/>
    <w:tmpl w:val="6C52F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6489F"/>
    <w:multiLevelType w:val="hybridMultilevel"/>
    <w:tmpl w:val="8C8C4F9A"/>
    <w:lvl w:ilvl="0" w:tplc="498601D4">
      <w:start w:val="1"/>
      <w:numFmt w:val="decimal"/>
      <w:lvlText w:val="%1)"/>
      <w:lvlJc w:val="left"/>
      <w:pPr>
        <w:ind w:left="-1625" w:hanging="360"/>
      </w:pPr>
      <w:rPr>
        <w:rFonts w:hint="default"/>
        <w:b/>
        <w:color w:val="40404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-905" w:hanging="360"/>
      </w:pPr>
    </w:lvl>
    <w:lvl w:ilvl="2" w:tplc="0405001B" w:tentative="1">
      <w:start w:val="1"/>
      <w:numFmt w:val="lowerRoman"/>
      <w:lvlText w:val="%3."/>
      <w:lvlJc w:val="right"/>
      <w:pPr>
        <w:ind w:left="-185" w:hanging="180"/>
      </w:pPr>
    </w:lvl>
    <w:lvl w:ilvl="3" w:tplc="0405000F" w:tentative="1">
      <w:start w:val="1"/>
      <w:numFmt w:val="decimal"/>
      <w:lvlText w:val="%4."/>
      <w:lvlJc w:val="left"/>
      <w:pPr>
        <w:ind w:left="535" w:hanging="360"/>
      </w:pPr>
    </w:lvl>
    <w:lvl w:ilvl="4" w:tplc="04050019" w:tentative="1">
      <w:start w:val="1"/>
      <w:numFmt w:val="lowerLetter"/>
      <w:lvlText w:val="%5."/>
      <w:lvlJc w:val="left"/>
      <w:pPr>
        <w:ind w:left="1255" w:hanging="360"/>
      </w:pPr>
    </w:lvl>
    <w:lvl w:ilvl="5" w:tplc="0405001B" w:tentative="1">
      <w:start w:val="1"/>
      <w:numFmt w:val="lowerRoman"/>
      <w:lvlText w:val="%6."/>
      <w:lvlJc w:val="right"/>
      <w:pPr>
        <w:ind w:left="1975" w:hanging="180"/>
      </w:pPr>
    </w:lvl>
    <w:lvl w:ilvl="6" w:tplc="0405000F" w:tentative="1">
      <w:start w:val="1"/>
      <w:numFmt w:val="decimal"/>
      <w:lvlText w:val="%7."/>
      <w:lvlJc w:val="left"/>
      <w:pPr>
        <w:ind w:left="2695" w:hanging="360"/>
      </w:pPr>
    </w:lvl>
    <w:lvl w:ilvl="7" w:tplc="04050019" w:tentative="1">
      <w:start w:val="1"/>
      <w:numFmt w:val="lowerLetter"/>
      <w:lvlText w:val="%8."/>
      <w:lvlJc w:val="left"/>
      <w:pPr>
        <w:ind w:left="3415" w:hanging="360"/>
      </w:pPr>
    </w:lvl>
    <w:lvl w:ilvl="8" w:tplc="0405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0">
    <w:nsid w:val="7012305A"/>
    <w:multiLevelType w:val="hybridMultilevel"/>
    <w:tmpl w:val="A0EABB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62B38"/>
    <w:multiLevelType w:val="hybridMultilevel"/>
    <w:tmpl w:val="69D6C0AA"/>
    <w:lvl w:ilvl="0" w:tplc="04090001">
      <w:start w:val="1"/>
      <w:numFmt w:val="bullet"/>
      <w:lvlText w:val=""/>
      <w:lvlJc w:val="left"/>
      <w:pPr>
        <w:ind w:left="-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2">
    <w:nsid w:val="72D944E5"/>
    <w:multiLevelType w:val="hybridMultilevel"/>
    <w:tmpl w:val="A0766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4778E"/>
    <w:multiLevelType w:val="hybridMultilevel"/>
    <w:tmpl w:val="96D0452C"/>
    <w:lvl w:ilvl="0" w:tplc="108E5D04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26EE4"/>
    <w:multiLevelType w:val="hybridMultilevel"/>
    <w:tmpl w:val="D1926C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52A55"/>
    <w:multiLevelType w:val="hybridMultilevel"/>
    <w:tmpl w:val="23B6780C"/>
    <w:lvl w:ilvl="0" w:tplc="24C891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501167"/>
    <w:multiLevelType w:val="hybridMultilevel"/>
    <w:tmpl w:val="B9B83D5C"/>
    <w:lvl w:ilvl="0" w:tplc="040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7">
    <w:nsid w:val="7F762481"/>
    <w:multiLevelType w:val="hybridMultilevel"/>
    <w:tmpl w:val="4E3E0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8"/>
  </w:num>
  <w:num w:numId="4">
    <w:abstractNumId w:val="32"/>
  </w:num>
  <w:num w:numId="5">
    <w:abstractNumId w:val="37"/>
  </w:num>
  <w:num w:numId="6">
    <w:abstractNumId w:val="1"/>
  </w:num>
  <w:num w:numId="7">
    <w:abstractNumId w:val="18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4"/>
  </w:num>
  <w:num w:numId="13">
    <w:abstractNumId w:val="31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23"/>
  </w:num>
  <w:num w:numId="20">
    <w:abstractNumId w:val="19"/>
  </w:num>
  <w:num w:numId="21">
    <w:abstractNumId w:val="26"/>
  </w:num>
  <w:num w:numId="22">
    <w:abstractNumId w:val="2"/>
  </w:num>
  <w:num w:numId="23">
    <w:abstractNumId w:val="5"/>
  </w:num>
  <w:num w:numId="24">
    <w:abstractNumId w:val="25"/>
  </w:num>
  <w:num w:numId="25">
    <w:abstractNumId w:val="29"/>
  </w:num>
  <w:num w:numId="26">
    <w:abstractNumId w:val="15"/>
  </w:num>
  <w:num w:numId="27">
    <w:abstractNumId w:val="12"/>
  </w:num>
  <w:num w:numId="28">
    <w:abstractNumId w:val="4"/>
  </w:num>
  <w:num w:numId="29">
    <w:abstractNumId w:val="28"/>
  </w:num>
  <w:num w:numId="30">
    <w:abstractNumId w:val="16"/>
  </w:num>
  <w:num w:numId="31">
    <w:abstractNumId w:val="10"/>
  </w:num>
  <w:num w:numId="32">
    <w:abstractNumId w:val="11"/>
  </w:num>
  <w:num w:numId="33">
    <w:abstractNumId w:val="0"/>
  </w:num>
  <w:num w:numId="34">
    <w:abstractNumId w:val="22"/>
  </w:num>
  <w:num w:numId="35">
    <w:abstractNumId w:val="33"/>
  </w:num>
  <w:num w:numId="36">
    <w:abstractNumId w:val="24"/>
  </w:num>
  <w:num w:numId="37">
    <w:abstractNumId w:val="30"/>
  </w:num>
  <w:num w:numId="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4"/>
  </w:num>
  <w:num w:numId="41">
    <w:abstractNumId w:val="13"/>
  </w:num>
  <w:num w:numId="42">
    <w:abstractNumId w:val="27"/>
  </w:num>
  <w:num w:numId="43">
    <w:abstractNumId w:val="36"/>
  </w:num>
  <w:num w:numId="44">
    <w:abstractNumId w:val="3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proofState w:spelling="clean"/>
  <w:stylePaneFormatFilter w:val="1F08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FE77E0"/>
    <w:rsid w:val="00000394"/>
    <w:rsid w:val="00000D4D"/>
    <w:rsid w:val="000010EB"/>
    <w:rsid w:val="0000193F"/>
    <w:rsid w:val="00002149"/>
    <w:rsid w:val="00002170"/>
    <w:rsid w:val="00002981"/>
    <w:rsid w:val="00003174"/>
    <w:rsid w:val="00005B5A"/>
    <w:rsid w:val="00006605"/>
    <w:rsid w:val="00006A43"/>
    <w:rsid w:val="0001042E"/>
    <w:rsid w:val="000106F1"/>
    <w:rsid w:val="00011254"/>
    <w:rsid w:val="000114CE"/>
    <w:rsid w:val="000117C0"/>
    <w:rsid w:val="0001218A"/>
    <w:rsid w:val="00012371"/>
    <w:rsid w:val="00012A30"/>
    <w:rsid w:val="000132BF"/>
    <w:rsid w:val="000136F4"/>
    <w:rsid w:val="00015557"/>
    <w:rsid w:val="00015FB2"/>
    <w:rsid w:val="0001642C"/>
    <w:rsid w:val="00017101"/>
    <w:rsid w:val="000174AF"/>
    <w:rsid w:val="000177EA"/>
    <w:rsid w:val="00017C53"/>
    <w:rsid w:val="000209A3"/>
    <w:rsid w:val="00020DCA"/>
    <w:rsid w:val="00021397"/>
    <w:rsid w:val="00022CB5"/>
    <w:rsid w:val="0002468C"/>
    <w:rsid w:val="00024AFC"/>
    <w:rsid w:val="000256FE"/>
    <w:rsid w:val="00026638"/>
    <w:rsid w:val="0002699D"/>
    <w:rsid w:val="00026A0C"/>
    <w:rsid w:val="00027183"/>
    <w:rsid w:val="00027A31"/>
    <w:rsid w:val="00027F3A"/>
    <w:rsid w:val="0003058A"/>
    <w:rsid w:val="000309C3"/>
    <w:rsid w:val="00030E81"/>
    <w:rsid w:val="0003170E"/>
    <w:rsid w:val="000320CD"/>
    <w:rsid w:val="000327ED"/>
    <w:rsid w:val="0003392B"/>
    <w:rsid w:val="00033A24"/>
    <w:rsid w:val="00033D7A"/>
    <w:rsid w:val="00033F9F"/>
    <w:rsid w:val="000378C2"/>
    <w:rsid w:val="00037DF2"/>
    <w:rsid w:val="000402BD"/>
    <w:rsid w:val="00040551"/>
    <w:rsid w:val="0004089B"/>
    <w:rsid w:val="0004166B"/>
    <w:rsid w:val="00042932"/>
    <w:rsid w:val="00044DA9"/>
    <w:rsid w:val="00045F9D"/>
    <w:rsid w:val="000462CD"/>
    <w:rsid w:val="00046BC6"/>
    <w:rsid w:val="00046DBA"/>
    <w:rsid w:val="00047182"/>
    <w:rsid w:val="00050369"/>
    <w:rsid w:val="00050510"/>
    <w:rsid w:val="00050C4F"/>
    <w:rsid w:val="00051321"/>
    <w:rsid w:val="00051D73"/>
    <w:rsid w:val="00051E1C"/>
    <w:rsid w:val="00051EDA"/>
    <w:rsid w:val="0005284A"/>
    <w:rsid w:val="00053511"/>
    <w:rsid w:val="00053EE5"/>
    <w:rsid w:val="000545C0"/>
    <w:rsid w:val="00054627"/>
    <w:rsid w:val="00055028"/>
    <w:rsid w:val="00055B5C"/>
    <w:rsid w:val="00057BBC"/>
    <w:rsid w:val="00061696"/>
    <w:rsid w:val="00063057"/>
    <w:rsid w:val="000632C4"/>
    <w:rsid w:val="000634F4"/>
    <w:rsid w:val="0006357F"/>
    <w:rsid w:val="0006378E"/>
    <w:rsid w:val="000655CE"/>
    <w:rsid w:val="00066200"/>
    <w:rsid w:val="000665CD"/>
    <w:rsid w:val="00066AA6"/>
    <w:rsid w:val="00066E9F"/>
    <w:rsid w:val="0006724A"/>
    <w:rsid w:val="0006769D"/>
    <w:rsid w:val="00067E29"/>
    <w:rsid w:val="00067F65"/>
    <w:rsid w:val="00070533"/>
    <w:rsid w:val="00070FEA"/>
    <w:rsid w:val="000719C2"/>
    <w:rsid w:val="00072128"/>
    <w:rsid w:val="000722E9"/>
    <w:rsid w:val="00073850"/>
    <w:rsid w:val="000744C9"/>
    <w:rsid w:val="000749B8"/>
    <w:rsid w:val="00075FED"/>
    <w:rsid w:val="00076339"/>
    <w:rsid w:val="0007735E"/>
    <w:rsid w:val="000816F2"/>
    <w:rsid w:val="00081B8E"/>
    <w:rsid w:val="000820E0"/>
    <w:rsid w:val="000822F2"/>
    <w:rsid w:val="00082961"/>
    <w:rsid w:val="00083078"/>
    <w:rsid w:val="0008343C"/>
    <w:rsid w:val="000840AD"/>
    <w:rsid w:val="0008457A"/>
    <w:rsid w:val="0008630A"/>
    <w:rsid w:val="00086395"/>
    <w:rsid w:val="00086DAF"/>
    <w:rsid w:val="00090818"/>
    <w:rsid w:val="00090920"/>
    <w:rsid w:val="00090A79"/>
    <w:rsid w:val="00090DE7"/>
    <w:rsid w:val="000919DC"/>
    <w:rsid w:val="00091D0B"/>
    <w:rsid w:val="00092498"/>
    <w:rsid w:val="000924A9"/>
    <w:rsid w:val="00092A2C"/>
    <w:rsid w:val="00093145"/>
    <w:rsid w:val="00093EFD"/>
    <w:rsid w:val="00094008"/>
    <w:rsid w:val="0009419A"/>
    <w:rsid w:val="0009420C"/>
    <w:rsid w:val="00096438"/>
    <w:rsid w:val="0009788A"/>
    <w:rsid w:val="000A03F1"/>
    <w:rsid w:val="000A0601"/>
    <w:rsid w:val="000A0727"/>
    <w:rsid w:val="000A0B44"/>
    <w:rsid w:val="000A14F5"/>
    <w:rsid w:val="000A25B4"/>
    <w:rsid w:val="000A3435"/>
    <w:rsid w:val="000A3473"/>
    <w:rsid w:val="000A3574"/>
    <w:rsid w:val="000A3753"/>
    <w:rsid w:val="000A428B"/>
    <w:rsid w:val="000A4B5C"/>
    <w:rsid w:val="000A6510"/>
    <w:rsid w:val="000A65E4"/>
    <w:rsid w:val="000A7334"/>
    <w:rsid w:val="000A73E0"/>
    <w:rsid w:val="000B0E11"/>
    <w:rsid w:val="000B1180"/>
    <w:rsid w:val="000B1DF5"/>
    <w:rsid w:val="000B289D"/>
    <w:rsid w:val="000B2BAC"/>
    <w:rsid w:val="000B34C5"/>
    <w:rsid w:val="000B3C17"/>
    <w:rsid w:val="000B3FC7"/>
    <w:rsid w:val="000B432E"/>
    <w:rsid w:val="000B536E"/>
    <w:rsid w:val="000B5C59"/>
    <w:rsid w:val="000B6127"/>
    <w:rsid w:val="000B6AED"/>
    <w:rsid w:val="000C08EE"/>
    <w:rsid w:val="000C1974"/>
    <w:rsid w:val="000C1975"/>
    <w:rsid w:val="000C1BD4"/>
    <w:rsid w:val="000C2E91"/>
    <w:rsid w:val="000C2FFF"/>
    <w:rsid w:val="000C33FA"/>
    <w:rsid w:val="000C38E7"/>
    <w:rsid w:val="000C3D08"/>
    <w:rsid w:val="000C4E4C"/>
    <w:rsid w:val="000C51EB"/>
    <w:rsid w:val="000C5ADD"/>
    <w:rsid w:val="000C5C5B"/>
    <w:rsid w:val="000C633A"/>
    <w:rsid w:val="000C6B9D"/>
    <w:rsid w:val="000C6CDD"/>
    <w:rsid w:val="000C6DD1"/>
    <w:rsid w:val="000C75DB"/>
    <w:rsid w:val="000D037A"/>
    <w:rsid w:val="000D0713"/>
    <w:rsid w:val="000D10E5"/>
    <w:rsid w:val="000D1142"/>
    <w:rsid w:val="000D2103"/>
    <w:rsid w:val="000D23CC"/>
    <w:rsid w:val="000D3409"/>
    <w:rsid w:val="000D3EB5"/>
    <w:rsid w:val="000D4C5F"/>
    <w:rsid w:val="000D4D04"/>
    <w:rsid w:val="000D5659"/>
    <w:rsid w:val="000D59BF"/>
    <w:rsid w:val="000D5D54"/>
    <w:rsid w:val="000D5E66"/>
    <w:rsid w:val="000D6D8F"/>
    <w:rsid w:val="000D721E"/>
    <w:rsid w:val="000D7F19"/>
    <w:rsid w:val="000E0460"/>
    <w:rsid w:val="000E09DA"/>
    <w:rsid w:val="000E29F6"/>
    <w:rsid w:val="000E3DC0"/>
    <w:rsid w:val="000E3FF9"/>
    <w:rsid w:val="000E537B"/>
    <w:rsid w:val="000E56EC"/>
    <w:rsid w:val="000E5738"/>
    <w:rsid w:val="000E5CA1"/>
    <w:rsid w:val="000E63E8"/>
    <w:rsid w:val="000E641E"/>
    <w:rsid w:val="000E6EBD"/>
    <w:rsid w:val="000E7F67"/>
    <w:rsid w:val="000F07D2"/>
    <w:rsid w:val="000F0E94"/>
    <w:rsid w:val="000F11D9"/>
    <w:rsid w:val="000F1416"/>
    <w:rsid w:val="000F199E"/>
    <w:rsid w:val="000F1AA0"/>
    <w:rsid w:val="000F23EA"/>
    <w:rsid w:val="000F2727"/>
    <w:rsid w:val="000F3530"/>
    <w:rsid w:val="000F4330"/>
    <w:rsid w:val="000F5D9D"/>
    <w:rsid w:val="000F6323"/>
    <w:rsid w:val="000F74ED"/>
    <w:rsid w:val="000F7C76"/>
    <w:rsid w:val="001001A4"/>
    <w:rsid w:val="00100378"/>
    <w:rsid w:val="001003A7"/>
    <w:rsid w:val="00100A74"/>
    <w:rsid w:val="00100B3C"/>
    <w:rsid w:val="00100F16"/>
    <w:rsid w:val="001012C2"/>
    <w:rsid w:val="001019F1"/>
    <w:rsid w:val="00101E71"/>
    <w:rsid w:val="00102D1E"/>
    <w:rsid w:val="00104850"/>
    <w:rsid w:val="00104AD6"/>
    <w:rsid w:val="00104D31"/>
    <w:rsid w:val="00105E02"/>
    <w:rsid w:val="00106E80"/>
    <w:rsid w:val="00107005"/>
    <w:rsid w:val="00107402"/>
    <w:rsid w:val="00107614"/>
    <w:rsid w:val="00107813"/>
    <w:rsid w:val="00107953"/>
    <w:rsid w:val="0011015B"/>
    <w:rsid w:val="00110406"/>
    <w:rsid w:val="00110C05"/>
    <w:rsid w:val="00112E2C"/>
    <w:rsid w:val="00112EA5"/>
    <w:rsid w:val="00113200"/>
    <w:rsid w:val="00113225"/>
    <w:rsid w:val="00113C89"/>
    <w:rsid w:val="00113CEB"/>
    <w:rsid w:val="00114EC4"/>
    <w:rsid w:val="00115B75"/>
    <w:rsid w:val="00115C7D"/>
    <w:rsid w:val="00116219"/>
    <w:rsid w:val="00117406"/>
    <w:rsid w:val="00120188"/>
    <w:rsid w:val="00120C6A"/>
    <w:rsid w:val="00120DE8"/>
    <w:rsid w:val="00121024"/>
    <w:rsid w:val="00121166"/>
    <w:rsid w:val="00121D60"/>
    <w:rsid w:val="00122155"/>
    <w:rsid w:val="001224B7"/>
    <w:rsid w:val="00122D21"/>
    <w:rsid w:val="00123B17"/>
    <w:rsid w:val="00123CBD"/>
    <w:rsid w:val="00124E3B"/>
    <w:rsid w:val="00125DB2"/>
    <w:rsid w:val="0012624F"/>
    <w:rsid w:val="00126C9C"/>
    <w:rsid w:val="00126C9D"/>
    <w:rsid w:val="00126D77"/>
    <w:rsid w:val="00126DC9"/>
    <w:rsid w:val="001277FC"/>
    <w:rsid w:val="001278F1"/>
    <w:rsid w:val="00127FEA"/>
    <w:rsid w:val="00131347"/>
    <w:rsid w:val="001319F1"/>
    <w:rsid w:val="00131C41"/>
    <w:rsid w:val="001327F5"/>
    <w:rsid w:val="001328A3"/>
    <w:rsid w:val="001328E6"/>
    <w:rsid w:val="00133C84"/>
    <w:rsid w:val="00134D40"/>
    <w:rsid w:val="00135CB3"/>
    <w:rsid w:val="00135FC5"/>
    <w:rsid w:val="00136393"/>
    <w:rsid w:val="00136EE0"/>
    <w:rsid w:val="00137574"/>
    <w:rsid w:val="00137896"/>
    <w:rsid w:val="00140892"/>
    <w:rsid w:val="00141818"/>
    <w:rsid w:val="001430CA"/>
    <w:rsid w:val="0014325F"/>
    <w:rsid w:val="00143D7B"/>
    <w:rsid w:val="00145BA6"/>
    <w:rsid w:val="001460B8"/>
    <w:rsid w:val="0014626F"/>
    <w:rsid w:val="0014674C"/>
    <w:rsid w:val="001511BD"/>
    <w:rsid w:val="00151BB4"/>
    <w:rsid w:val="00151FC3"/>
    <w:rsid w:val="001529C1"/>
    <w:rsid w:val="00152C07"/>
    <w:rsid w:val="0015412B"/>
    <w:rsid w:val="0015598B"/>
    <w:rsid w:val="00155B8A"/>
    <w:rsid w:val="001570F3"/>
    <w:rsid w:val="00157960"/>
    <w:rsid w:val="0016039E"/>
    <w:rsid w:val="00160620"/>
    <w:rsid w:val="001606D3"/>
    <w:rsid w:val="001609BF"/>
    <w:rsid w:val="0016124B"/>
    <w:rsid w:val="0016167F"/>
    <w:rsid w:val="001619B1"/>
    <w:rsid w:val="00161D17"/>
    <w:rsid w:val="00161D39"/>
    <w:rsid w:val="0016309F"/>
    <w:rsid w:val="0016339E"/>
    <w:rsid w:val="00164311"/>
    <w:rsid w:val="001643F9"/>
    <w:rsid w:val="001659CB"/>
    <w:rsid w:val="001670A0"/>
    <w:rsid w:val="00167869"/>
    <w:rsid w:val="00167DD3"/>
    <w:rsid w:val="00170ED4"/>
    <w:rsid w:val="001713C5"/>
    <w:rsid w:val="00171D08"/>
    <w:rsid w:val="00172455"/>
    <w:rsid w:val="00172512"/>
    <w:rsid w:val="001726CE"/>
    <w:rsid w:val="00172D19"/>
    <w:rsid w:val="00173565"/>
    <w:rsid w:val="00175CA2"/>
    <w:rsid w:val="00175CF2"/>
    <w:rsid w:val="00175CF7"/>
    <w:rsid w:val="00175F0E"/>
    <w:rsid w:val="001761F3"/>
    <w:rsid w:val="001769A7"/>
    <w:rsid w:val="00177A9A"/>
    <w:rsid w:val="0018143D"/>
    <w:rsid w:val="0018275C"/>
    <w:rsid w:val="00182C17"/>
    <w:rsid w:val="00182C78"/>
    <w:rsid w:val="00184805"/>
    <w:rsid w:val="00184E75"/>
    <w:rsid w:val="00184F44"/>
    <w:rsid w:val="00184F71"/>
    <w:rsid w:val="001853BF"/>
    <w:rsid w:val="001879A0"/>
    <w:rsid w:val="00190F06"/>
    <w:rsid w:val="00193091"/>
    <w:rsid w:val="001931D9"/>
    <w:rsid w:val="00193AF6"/>
    <w:rsid w:val="00193D86"/>
    <w:rsid w:val="00195491"/>
    <w:rsid w:val="0019581F"/>
    <w:rsid w:val="00195857"/>
    <w:rsid w:val="00195DE8"/>
    <w:rsid w:val="00196011"/>
    <w:rsid w:val="001961F0"/>
    <w:rsid w:val="00197629"/>
    <w:rsid w:val="00197BD8"/>
    <w:rsid w:val="00197FCF"/>
    <w:rsid w:val="001A1002"/>
    <w:rsid w:val="001A138C"/>
    <w:rsid w:val="001A152D"/>
    <w:rsid w:val="001A1733"/>
    <w:rsid w:val="001A1782"/>
    <w:rsid w:val="001A242B"/>
    <w:rsid w:val="001A25E3"/>
    <w:rsid w:val="001A271C"/>
    <w:rsid w:val="001A27E1"/>
    <w:rsid w:val="001A2A6A"/>
    <w:rsid w:val="001A3B3B"/>
    <w:rsid w:val="001A5F18"/>
    <w:rsid w:val="001A6513"/>
    <w:rsid w:val="001A6B4A"/>
    <w:rsid w:val="001A716F"/>
    <w:rsid w:val="001A71CA"/>
    <w:rsid w:val="001A7855"/>
    <w:rsid w:val="001B0C27"/>
    <w:rsid w:val="001B3D77"/>
    <w:rsid w:val="001B4093"/>
    <w:rsid w:val="001B471C"/>
    <w:rsid w:val="001B4A85"/>
    <w:rsid w:val="001B51E4"/>
    <w:rsid w:val="001B5565"/>
    <w:rsid w:val="001B5AFD"/>
    <w:rsid w:val="001B6E1A"/>
    <w:rsid w:val="001B75A7"/>
    <w:rsid w:val="001B7AB6"/>
    <w:rsid w:val="001C019F"/>
    <w:rsid w:val="001C0C53"/>
    <w:rsid w:val="001C0DAE"/>
    <w:rsid w:val="001C1CC9"/>
    <w:rsid w:val="001C2619"/>
    <w:rsid w:val="001C29C4"/>
    <w:rsid w:val="001C2D69"/>
    <w:rsid w:val="001C308B"/>
    <w:rsid w:val="001C433E"/>
    <w:rsid w:val="001C5822"/>
    <w:rsid w:val="001C5EF5"/>
    <w:rsid w:val="001C603F"/>
    <w:rsid w:val="001C7007"/>
    <w:rsid w:val="001D0217"/>
    <w:rsid w:val="001D024A"/>
    <w:rsid w:val="001D0E2B"/>
    <w:rsid w:val="001D17CD"/>
    <w:rsid w:val="001D261F"/>
    <w:rsid w:val="001D2A1A"/>
    <w:rsid w:val="001D2D6E"/>
    <w:rsid w:val="001D3680"/>
    <w:rsid w:val="001D4E15"/>
    <w:rsid w:val="001D52EC"/>
    <w:rsid w:val="001D5371"/>
    <w:rsid w:val="001E008B"/>
    <w:rsid w:val="001E0157"/>
    <w:rsid w:val="001E0635"/>
    <w:rsid w:val="001E119A"/>
    <w:rsid w:val="001E12B3"/>
    <w:rsid w:val="001E14B3"/>
    <w:rsid w:val="001E25D9"/>
    <w:rsid w:val="001E6083"/>
    <w:rsid w:val="001E6781"/>
    <w:rsid w:val="001E70A0"/>
    <w:rsid w:val="001E775F"/>
    <w:rsid w:val="001E793A"/>
    <w:rsid w:val="001F0326"/>
    <w:rsid w:val="001F0395"/>
    <w:rsid w:val="001F106E"/>
    <w:rsid w:val="001F1584"/>
    <w:rsid w:val="001F26F2"/>
    <w:rsid w:val="001F2A91"/>
    <w:rsid w:val="001F3BA8"/>
    <w:rsid w:val="001F3C92"/>
    <w:rsid w:val="001F4162"/>
    <w:rsid w:val="001F4472"/>
    <w:rsid w:val="001F44F4"/>
    <w:rsid w:val="001F4C42"/>
    <w:rsid w:val="001F5678"/>
    <w:rsid w:val="001F5CBC"/>
    <w:rsid w:val="001F6696"/>
    <w:rsid w:val="00200542"/>
    <w:rsid w:val="0020061C"/>
    <w:rsid w:val="00200DCD"/>
    <w:rsid w:val="00200F49"/>
    <w:rsid w:val="00201233"/>
    <w:rsid w:val="00201472"/>
    <w:rsid w:val="00201EF1"/>
    <w:rsid w:val="002020B9"/>
    <w:rsid w:val="0020321A"/>
    <w:rsid w:val="002032DE"/>
    <w:rsid w:val="00203B96"/>
    <w:rsid w:val="0020481B"/>
    <w:rsid w:val="0020483D"/>
    <w:rsid w:val="00205822"/>
    <w:rsid w:val="00205987"/>
    <w:rsid w:val="0020608B"/>
    <w:rsid w:val="0020618C"/>
    <w:rsid w:val="002062DC"/>
    <w:rsid w:val="00206368"/>
    <w:rsid w:val="00207D3A"/>
    <w:rsid w:val="00211147"/>
    <w:rsid w:val="00211BFE"/>
    <w:rsid w:val="00213BDD"/>
    <w:rsid w:val="00213DC6"/>
    <w:rsid w:val="00213F31"/>
    <w:rsid w:val="00214B59"/>
    <w:rsid w:val="00214D13"/>
    <w:rsid w:val="0021510C"/>
    <w:rsid w:val="00215EF5"/>
    <w:rsid w:val="00216FB6"/>
    <w:rsid w:val="00217A98"/>
    <w:rsid w:val="00220000"/>
    <w:rsid w:val="00220448"/>
    <w:rsid w:val="00220458"/>
    <w:rsid w:val="0022072E"/>
    <w:rsid w:val="00220EC7"/>
    <w:rsid w:val="00222332"/>
    <w:rsid w:val="0022303A"/>
    <w:rsid w:val="0022339C"/>
    <w:rsid w:val="00224B6E"/>
    <w:rsid w:val="002257B1"/>
    <w:rsid w:val="00226AA6"/>
    <w:rsid w:val="00226E01"/>
    <w:rsid w:val="00226E80"/>
    <w:rsid w:val="002272D7"/>
    <w:rsid w:val="00227BE3"/>
    <w:rsid w:val="0023071A"/>
    <w:rsid w:val="00230B51"/>
    <w:rsid w:val="00230F48"/>
    <w:rsid w:val="00231622"/>
    <w:rsid w:val="00232A11"/>
    <w:rsid w:val="00232FDB"/>
    <w:rsid w:val="00233324"/>
    <w:rsid w:val="00233D94"/>
    <w:rsid w:val="00234009"/>
    <w:rsid w:val="002345BF"/>
    <w:rsid w:val="002355F8"/>
    <w:rsid w:val="002377A3"/>
    <w:rsid w:val="00242EF1"/>
    <w:rsid w:val="0024397E"/>
    <w:rsid w:val="00244B55"/>
    <w:rsid w:val="00244E62"/>
    <w:rsid w:val="00245BEE"/>
    <w:rsid w:val="00245E03"/>
    <w:rsid w:val="0024740A"/>
    <w:rsid w:val="00247572"/>
    <w:rsid w:val="002508CC"/>
    <w:rsid w:val="00250B71"/>
    <w:rsid w:val="00250EFD"/>
    <w:rsid w:val="002516FE"/>
    <w:rsid w:val="002534A4"/>
    <w:rsid w:val="00253BB8"/>
    <w:rsid w:val="00253C0B"/>
    <w:rsid w:val="00254562"/>
    <w:rsid w:val="00256633"/>
    <w:rsid w:val="002568A6"/>
    <w:rsid w:val="002570F6"/>
    <w:rsid w:val="00260509"/>
    <w:rsid w:val="00260C5F"/>
    <w:rsid w:val="0026124D"/>
    <w:rsid w:val="0026196A"/>
    <w:rsid w:val="00261A80"/>
    <w:rsid w:val="00262358"/>
    <w:rsid w:val="002623CD"/>
    <w:rsid w:val="00263601"/>
    <w:rsid w:val="0026382D"/>
    <w:rsid w:val="00263EA0"/>
    <w:rsid w:val="00264663"/>
    <w:rsid w:val="00266B4E"/>
    <w:rsid w:val="00267C8F"/>
    <w:rsid w:val="00270603"/>
    <w:rsid w:val="00270A47"/>
    <w:rsid w:val="00270B3B"/>
    <w:rsid w:val="0027195B"/>
    <w:rsid w:val="0027253F"/>
    <w:rsid w:val="00272BA7"/>
    <w:rsid w:val="00272F1D"/>
    <w:rsid w:val="00273DF8"/>
    <w:rsid w:val="002743F4"/>
    <w:rsid w:val="00274FCC"/>
    <w:rsid w:val="002768CD"/>
    <w:rsid w:val="00277F37"/>
    <w:rsid w:val="002802EA"/>
    <w:rsid w:val="0028055F"/>
    <w:rsid w:val="00281843"/>
    <w:rsid w:val="002831A5"/>
    <w:rsid w:val="00283BDB"/>
    <w:rsid w:val="00283C35"/>
    <w:rsid w:val="00284906"/>
    <w:rsid w:val="00284E39"/>
    <w:rsid w:val="0028571A"/>
    <w:rsid w:val="0028590F"/>
    <w:rsid w:val="00285F24"/>
    <w:rsid w:val="00285FAB"/>
    <w:rsid w:val="002862FC"/>
    <w:rsid w:val="002863F2"/>
    <w:rsid w:val="002867D9"/>
    <w:rsid w:val="002871E1"/>
    <w:rsid w:val="00287513"/>
    <w:rsid w:val="00287A0A"/>
    <w:rsid w:val="00287D8B"/>
    <w:rsid w:val="00287E0F"/>
    <w:rsid w:val="002909E2"/>
    <w:rsid w:val="0029159F"/>
    <w:rsid w:val="00293391"/>
    <w:rsid w:val="0029385B"/>
    <w:rsid w:val="00293A11"/>
    <w:rsid w:val="002944A7"/>
    <w:rsid w:val="002950EE"/>
    <w:rsid w:val="00296523"/>
    <w:rsid w:val="002975C4"/>
    <w:rsid w:val="002A0105"/>
    <w:rsid w:val="002A053F"/>
    <w:rsid w:val="002A14BD"/>
    <w:rsid w:val="002A347D"/>
    <w:rsid w:val="002A3D1C"/>
    <w:rsid w:val="002A3E73"/>
    <w:rsid w:val="002A444C"/>
    <w:rsid w:val="002A4CC8"/>
    <w:rsid w:val="002A4F60"/>
    <w:rsid w:val="002A5583"/>
    <w:rsid w:val="002A7035"/>
    <w:rsid w:val="002A714E"/>
    <w:rsid w:val="002B0163"/>
    <w:rsid w:val="002B0BCF"/>
    <w:rsid w:val="002B0DCF"/>
    <w:rsid w:val="002B156D"/>
    <w:rsid w:val="002B1B60"/>
    <w:rsid w:val="002B287C"/>
    <w:rsid w:val="002B2E0F"/>
    <w:rsid w:val="002B309B"/>
    <w:rsid w:val="002B3D69"/>
    <w:rsid w:val="002B4EB0"/>
    <w:rsid w:val="002B5B5D"/>
    <w:rsid w:val="002B67AB"/>
    <w:rsid w:val="002B6FE9"/>
    <w:rsid w:val="002B7834"/>
    <w:rsid w:val="002B7A3D"/>
    <w:rsid w:val="002B7EBE"/>
    <w:rsid w:val="002C0124"/>
    <w:rsid w:val="002C0CAE"/>
    <w:rsid w:val="002C157D"/>
    <w:rsid w:val="002C1BE0"/>
    <w:rsid w:val="002C1E55"/>
    <w:rsid w:val="002C1E92"/>
    <w:rsid w:val="002C1FD5"/>
    <w:rsid w:val="002C2074"/>
    <w:rsid w:val="002C2AFA"/>
    <w:rsid w:val="002C3CA5"/>
    <w:rsid w:val="002C3E89"/>
    <w:rsid w:val="002C42C9"/>
    <w:rsid w:val="002C438A"/>
    <w:rsid w:val="002C47A9"/>
    <w:rsid w:val="002C4BBD"/>
    <w:rsid w:val="002C5BCF"/>
    <w:rsid w:val="002C611D"/>
    <w:rsid w:val="002C694E"/>
    <w:rsid w:val="002C6C25"/>
    <w:rsid w:val="002D138A"/>
    <w:rsid w:val="002D14D5"/>
    <w:rsid w:val="002D3629"/>
    <w:rsid w:val="002D38BB"/>
    <w:rsid w:val="002D4261"/>
    <w:rsid w:val="002D4827"/>
    <w:rsid w:val="002D4D95"/>
    <w:rsid w:val="002D52DA"/>
    <w:rsid w:val="002D5953"/>
    <w:rsid w:val="002D6499"/>
    <w:rsid w:val="002D79C5"/>
    <w:rsid w:val="002D7BA7"/>
    <w:rsid w:val="002D7C86"/>
    <w:rsid w:val="002E00D9"/>
    <w:rsid w:val="002E03FB"/>
    <w:rsid w:val="002E0557"/>
    <w:rsid w:val="002E1049"/>
    <w:rsid w:val="002E1B6E"/>
    <w:rsid w:val="002E2D8F"/>
    <w:rsid w:val="002E2E17"/>
    <w:rsid w:val="002E34E0"/>
    <w:rsid w:val="002E5130"/>
    <w:rsid w:val="002E622A"/>
    <w:rsid w:val="002E67B9"/>
    <w:rsid w:val="002E750A"/>
    <w:rsid w:val="002F011B"/>
    <w:rsid w:val="002F0AF7"/>
    <w:rsid w:val="002F0BEA"/>
    <w:rsid w:val="002F1E38"/>
    <w:rsid w:val="002F29DC"/>
    <w:rsid w:val="002F3203"/>
    <w:rsid w:val="002F33BC"/>
    <w:rsid w:val="002F36F5"/>
    <w:rsid w:val="002F399D"/>
    <w:rsid w:val="002F3F91"/>
    <w:rsid w:val="002F4148"/>
    <w:rsid w:val="002F415B"/>
    <w:rsid w:val="002F454F"/>
    <w:rsid w:val="002F4B71"/>
    <w:rsid w:val="002F5AD0"/>
    <w:rsid w:val="002F6E7A"/>
    <w:rsid w:val="002F6E93"/>
    <w:rsid w:val="002F71BD"/>
    <w:rsid w:val="002F7928"/>
    <w:rsid w:val="002F7C9C"/>
    <w:rsid w:val="002F7F05"/>
    <w:rsid w:val="0030014F"/>
    <w:rsid w:val="0030020A"/>
    <w:rsid w:val="003011E0"/>
    <w:rsid w:val="0030189B"/>
    <w:rsid w:val="00302153"/>
    <w:rsid w:val="003024AF"/>
    <w:rsid w:val="0030274F"/>
    <w:rsid w:val="00302BE8"/>
    <w:rsid w:val="00304AED"/>
    <w:rsid w:val="0030563E"/>
    <w:rsid w:val="00305894"/>
    <w:rsid w:val="00307E94"/>
    <w:rsid w:val="00311729"/>
    <w:rsid w:val="00312A41"/>
    <w:rsid w:val="003131EB"/>
    <w:rsid w:val="00313A22"/>
    <w:rsid w:val="003142CB"/>
    <w:rsid w:val="0031436A"/>
    <w:rsid w:val="0031547F"/>
    <w:rsid w:val="003157E8"/>
    <w:rsid w:val="00315C6A"/>
    <w:rsid w:val="00315C7D"/>
    <w:rsid w:val="00315D59"/>
    <w:rsid w:val="00316B75"/>
    <w:rsid w:val="00317601"/>
    <w:rsid w:val="003176F5"/>
    <w:rsid w:val="00317C8E"/>
    <w:rsid w:val="00317ED3"/>
    <w:rsid w:val="00320610"/>
    <w:rsid w:val="00320D74"/>
    <w:rsid w:val="00321F63"/>
    <w:rsid w:val="00323BDC"/>
    <w:rsid w:val="00323F69"/>
    <w:rsid w:val="00324515"/>
    <w:rsid w:val="003245A4"/>
    <w:rsid w:val="00324E29"/>
    <w:rsid w:val="0032533E"/>
    <w:rsid w:val="003254CD"/>
    <w:rsid w:val="003254FC"/>
    <w:rsid w:val="00325A91"/>
    <w:rsid w:val="00325C56"/>
    <w:rsid w:val="00325F8C"/>
    <w:rsid w:val="003269C8"/>
    <w:rsid w:val="00326D7C"/>
    <w:rsid w:val="00326FD0"/>
    <w:rsid w:val="00330101"/>
    <w:rsid w:val="0033015E"/>
    <w:rsid w:val="003301A0"/>
    <w:rsid w:val="00330D40"/>
    <w:rsid w:val="00331528"/>
    <w:rsid w:val="00333047"/>
    <w:rsid w:val="00333486"/>
    <w:rsid w:val="003335A6"/>
    <w:rsid w:val="003337DA"/>
    <w:rsid w:val="00333A93"/>
    <w:rsid w:val="00333C6F"/>
    <w:rsid w:val="00333DDD"/>
    <w:rsid w:val="003344DC"/>
    <w:rsid w:val="003357E3"/>
    <w:rsid w:val="00336BA1"/>
    <w:rsid w:val="003373FF"/>
    <w:rsid w:val="003376E1"/>
    <w:rsid w:val="00337B41"/>
    <w:rsid w:val="003404D4"/>
    <w:rsid w:val="00340E0A"/>
    <w:rsid w:val="00340F5D"/>
    <w:rsid w:val="00341D9B"/>
    <w:rsid w:val="00341DA2"/>
    <w:rsid w:val="00341EC6"/>
    <w:rsid w:val="00342F24"/>
    <w:rsid w:val="00345028"/>
    <w:rsid w:val="00345277"/>
    <w:rsid w:val="003507BF"/>
    <w:rsid w:val="00351CDA"/>
    <w:rsid w:val="00351E01"/>
    <w:rsid w:val="00352CA3"/>
    <w:rsid w:val="00352E1A"/>
    <w:rsid w:val="003560D2"/>
    <w:rsid w:val="00356C00"/>
    <w:rsid w:val="00356E79"/>
    <w:rsid w:val="0035712D"/>
    <w:rsid w:val="0035714C"/>
    <w:rsid w:val="003574D5"/>
    <w:rsid w:val="00357B4A"/>
    <w:rsid w:val="00357C83"/>
    <w:rsid w:val="00357F50"/>
    <w:rsid w:val="0036043E"/>
    <w:rsid w:val="0036103F"/>
    <w:rsid w:val="00361F61"/>
    <w:rsid w:val="00363224"/>
    <w:rsid w:val="003642CC"/>
    <w:rsid w:val="003647AE"/>
    <w:rsid w:val="00364926"/>
    <w:rsid w:val="00364E6B"/>
    <w:rsid w:val="0036643C"/>
    <w:rsid w:val="00367C18"/>
    <w:rsid w:val="00371264"/>
    <w:rsid w:val="00371FD9"/>
    <w:rsid w:val="0037286B"/>
    <w:rsid w:val="00372A90"/>
    <w:rsid w:val="00372ACA"/>
    <w:rsid w:val="00373D76"/>
    <w:rsid w:val="003753B3"/>
    <w:rsid w:val="003759E9"/>
    <w:rsid w:val="00376182"/>
    <w:rsid w:val="003779FD"/>
    <w:rsid w:val="00377A76"/>
    <w:rsid w:val="0038062F"/>
    <w:rsid w:val="003806AB"/>
    <w:rsid w:val="00380904"/>
    <w:rsid w:val="00381578"/>
    <w:rsid w:val="00382E9D"/>
    <w:rsid w:val="0038308D"/>
    <w:rsid w:val="003832F3"/>
    <w:rsid w:val="00383A52"/>
    <w:rsid w:val="003841A9"/>
    <w:rsid w:val="00386B91"/>
    <w:rsid w:val="00390DE6"/>
    <w:rsid w:val="003916FA"/>
    <w:rsid w:val="00391A16"/>
    <w:rsid w:val="00392BB6"/>
    <w:rsid w:val="003930BE"/>
    <w:rsid w:val="00393406"/>
    <w:rsid w:val="00393FB2"/>
    <w:rsid w:val="00395018"/>
    <w:rsid w:val="00395630"/>
    <w:rsid w:val="00396061"/>
    <w:rsid w:val="003977F1"/>
    <w:rsid w:val="00397954"/>
    <w:rsid w:val="003A0796"/>
    <w:rsid w:val="003A11FB"/>
    <w:rsid w:val="003A15DD"/>
    <w:rsid w:val="003A2521"/>
    <w:rsid w:val="003A38F3"/>
    <w:rsid w:val="003A4349"/>
    <w:rsid w:val="003A4A13"/>
    <w:rsid w:val="003A55BD"/>
    <w:rsid w:val="003A6437"/>
    <w:rsid w:val="003A6798"/>
    <w:rsid w:val="003B09BC"/>
    <w:rsid w:val="003B0F9F"/>
    <w:rsid w:val="003B124C"/>
    <w:rsid w:val="003B1390"/>
    <w:rsid w:val="003B19B3"/>
    <w:rsid w:val="003B2668"/>
    <w:rsid w:val="003B357B"/>
    <w:rsid w:val="003B3877"/>
    <w:rsid w:val="003B5807"/>
    <w:rsid w:val="003B5D24"/>
    <w:rsid w:val="003B6871"/>
    <w:rsid w:val="003B6B1C"/>
    <w:rsid w:val="003C102A"/>
    <w:rsid w:val="003C1AD3"/>
    <w:rsid w:val="003C20B5"/>
    <w:rsid w:val="003C260A"/>
    <w:rsid w:val="003C26D8"/>
    <w:rsid w:val="003C3051"/>
    <w:rsid w:val="003C39CC"/>
    <w:rsid w:val="003C3A71"/>
    <w:rsid w:val="003C3FFF"/>
    <w:rsid w:val="003C4C74"/>
    <w:rsid w:val="003C510E"/>
    <w:rsid w:val="003C558B"/>
    <w:rsid w:val="003C5882"/>
    <w:rsid w:val="003C630A"/>
    <w:rsid w:val="003C644D"/>
    <w:rsid w:val="003C68A4"/>
    <w:rsid w:val="003C6DB2"/>
    <w:rsid w:val="003C7810"/>
    <w:rsid w:val="003C7A38"/>
    <w:rsid w:val="003C7C78"/>
    <w:rsid w:val="003D0640"/>
    <w:rsid w:val="003D0661"/>
    <w:rsid w:val="003D18DE"/>
    <w:rsid w:val="003D21C1"/>
    <w:rsid w:val="003D2A11"/>
    <w:rsid w:val="003D4D2A"/>
    <w:rsid w:val="003D5692"/>
    <w:rsid w:val="003D6D80"/>
    <w:rsid w:val="003D6EF1"/>
    <w:rsid w:val="003D6F2F"/>
    <w:rsid w:val="003D6F5B"/>
    <w:rsid w:val="003D742A"/>
    <w:rsid w:val="003E0039"/>
    <w:rsid w:val="003E046F"/>
    <w:rsid w:val="003E1044"/>
    <w:rsid w:val="003E2390"/>
    <w:rsid w:val="003E2403"/>
    <w:rsid w:val="003E29FF"/>
    <w:rsid w:val="003E3217"/>
    <w:rsid w:val="003E33E8"/>
    <w:rsid w:val="003E34C0"/>
    <w:rsid w:val="003E36BA"/>
    <w:rsid w:val="003E397D"/>
    <w:rsid w:val="003E526F"/>
    <w:rsid w:val="003E5A87"/>
    <w:rsid w:val="003E61CB"/>
    <w:rsid w:val="003E6796"/>
    <w:rsid w:val="003E6A5E"/>
    <w:rsid w:val="003E7C05"/>
    <w:rsid w:val="003F0D7B"/>
    <w:rsid w:val="003F2F93"/>
    <w:rsid w:val="003F3EA5"/>
    <w:rsid w:val="003F4B3F"/>
    <w:rsid w:val="003F4C65"/>
    <w:rsid w:val="003F6119"/>
    <w:rsid w:val="003F6DED"/>
    <w:rsid w:val="004006BD"/>
    <w:rsid w:val="0040271B"/>
    <w:rsid w:val="00402836"/>
    <w:rsid w:val="00403591"/>
    <w:rsid w:val="0040427B"/>
    <w:rsid w:val="00405DCD"/>
    <w:rsid w:val="004060FF"/>
    <w:rsid w:val="00406B39"/>
    <w:rsid w:val="00406D0D"/>
    <w:rsid w:val="00406F63"/>
    <w:rsid w:val="004072D8"/>
    <w:rsid w:val="0040775D"/>
    <w:rsid w:val="00410F84"/>
    <w:rsid w:val="0041124F"/>
    <w:rsid w:val="00411847"/>
    <w:rsid w:val="00411F83"/>
    <w:rsid w:val="004121AA"/>
    <w:rsid w:val="00412552"/>
    <w:rsid w:val="00412C60"/>
    <w:rsid w:val="004134BA"/>
    <w:rsid w:val="00413599"/>
    <w:rsid w:val="00413A77"/>
    <w:rsid w:val="0041448C"/>
    <w:rsid w:val="00414BCC"/>
    <w:rsid w:val="00415F89"/>
    <w:rsid w:val="004175BE"/>
    <w:rsid w:val="00420DC9"/>
    <w:rsid w:val="004218FD"/>
    <w:rsid w:val="00422478"/>
    <w:rsid w:val="00422CD2"/>
    <w:rsid w:val="00423C61"/>
    <w:rsid w:val="00425F14"/>
    <w:rsid w:val="0042625A"/>
    <w:rsid w:val="004265EC"/>
    <w:rsid w:val="00427954"/>
    <w:rsid w:val="00427CED"/>
    <w:rsid w:val="00430A86"/>
    <w:rsid w:val="004312BD"/>
    <w:rsid w:val="00431CA8"/>
    <w:rsid w:val="0043203C"/>
    <w:rsid w:val="00432D89"/>
    <w:rsid w:val="004336F5"/>
    <w:rsid w:val="004339F8"/>
    <w:rsid w:val="00434979"/>
    <w:rsid w:val="004350D3"/>
    <w:rsid w:val="004351BA"/>
    <w:rsid w:val="004357BA"/>
    <w:rsid w:val="004362A8"/>
    <w:rsid w:val="004369C2"/>
    <w:rsid w:val="00437DEE"/>
    <w:rsid w:val="00437E60"/>
    <w:rsid w:val="004423C7"/>
    <w:rsid w:val="0044248F"/>
    <w:rsid w:val="004432DE"/>
    <w:rsid w:val="00444E2E"/>
    <w:rsid w:val="00445187"/>
    <w:rsid w:val="004475FE"/>
    <w:rsid w:val="00447ACD"/>
    <w:rsid w:val="00450627"/>
    <w:rsid w:val="00451084"/>
    <w:rsid w:val="00451374"/>
    <w:rsid w:val="00451556"/>
    <w:rsid w:val="004528D3"/>
    <w:rsid w:val="004539F8"/>
    <w:rsid w:val="00453E58"/>
    <w:rsid w:val="00454234"/>
    <w:rsid w:val="0045455D"/>
    <w:rsid w:val="004548D3"/>
    <w:rsid w:val="0045545C"/>
    <w:rsid w:val="00455705"/>
    <w:rsid w:val="004606C0"/>
    <w:rsid w:val="004607D3"/>
    <w:rsid w:val="00460F65"/>
    <w:rsid w:val="00461C3D"/>
    <w:rsid w:val="00461D9A"/>
    <w:rsid w:val="0046221D"/>
    <w:rsid w:val="004629A7"/>
    <w:rsid w:val="00462EFD"/>
    <w:rsid w:val="00464A2E"/>
    <w:rsid w:val="0046581B"/>
    <w:rsid w:val="00465936"/>
    <w:rsid w:val="00465A2C"/>
    <w:rsid w:val="00465D6C"/>
    <w:rsid w:val="0046604F"/>
    <w:rsid w:val="0046669E"/>
    <w:rsid w:val="00466E75"/>
    <w:rsid w:val="00466F5E"/>
    <w:rsid w:val="00467E71"/>
    <w:rsid w:val="004700B0"/>
    <w:rsid w:val="00470E7D"/>
    <w:rsid w:val="004712BE"/>
    <w:rsid w:val="00472089"/>
    <w:rsid w:val="004729FC"/>
    <w:rsid w:val="00472EA8"/>
    <w:rsid w:val="00473494"/>
    <w:rsid w:val="00473F35"/>
    <w:rsid w:val="0047445F"/>
    <w:rsid w:val="00474897"/>
    <w:rsid w:val="00474AB8"/>
    <w:rsid w:val="00474C4E"/>
    <w:rsid w:val="004753A9"/>
    <w:rsid w:val="004758AF"/>
    <w:rsid w:val="0047590B"/>
    <w:rsid w:val="00477602"/>
    <w:rsid w:val="004777DF"/>
    <w:rsid w:val="00477D85"/>
    <w:rsid w:val="00480167"/>
    <w:rsid w:val="00480C78"/>
    <w:rsid w:val="00480EC3"/>
    <w:rsid w:val="004820AD"/>
    <w:rsid w:val="00483DCB"/>
    <w:rsid w:val="00484203"/>
    <w:rsid w:val="00484776"/>
    <w:rsid w:val="00484FA3"/>
    <w:rsid w:val="00485728"/>
    <w:rsid w:val="00485FFC"/>
    <w:rsid w:val="0048657B"/>
    <w:rsid w:val="00487369"/>
    <w:rsid w:val="00487A7C"/>
    <w:rsid w:val="0049022C"/>
    <w:rsid w:val="00490569"/>
    <w:rsid w:val="00491392"/>
    <w:rsid w:val="00491717"/>
    <w:rsid w:val="00491C4C"/>
    <w:rsid w:val="00492111"/>
    <w:rsid w:val="004929C7"/>
    <w:rsid w:val="004935FB"/>
    <w:rsid w:val="004947FD"/>
    <w:rsid w:val="00496162"/>
    <w:rsid w:val="004962D7"/>
    <w:rsid w:val="00497744"/>
    <w:rsid w:val="004A06B6"/>
    <w:rsid w:val="004A09B0"/>
    <w:rsid w:val="004A1886"/>
    <w:rsid w:val="004A1C1F"/>
    <w:rsid w:val="004A26D5"/>
    <w:rsid w:val="004A2C69"/>
    <w:rsid w:val="004A2DCC"/>
    <w:rsid w:val="004A378D"/>
    <w:rsid w:val="004A3C6D"/>
    <w:rsid w:val="004A3F5B"/>
    <w:rsid w:val="004A3FEB"/>
    <w:rsid w:val="004A4626"/>
    <w:rsid w:val="004A48B6"/>
    <w:rsid w:val="004A6095"/>
    <w:rsid w:val="004A71DB"/>
    <w:rsid w:val="004A776D"/>
    <w:rsid w:val="004B0052"/>
    <w:rsid w:val="004B0770"/>
    <w:rsid w:val="004B17B7"/>
    <w:rsid w:val="004B308C"/>
    <w:rsid w:val="004B3DA6"/>
    <w:rsid w:val="004B4A29"/>
    <w:rsid w:val="004B4FA7"/>
    <w:rsid w:val="004B57E8"/>
    <w:rsid w:val="004B5867"/>
    <w:rsid w:val="004B5A92"/>
    <w:rsid w:val="004B5AEF"/>
    <w:rsid w:val="004B5B03"/>
    <w:rsid w:val="004B6696"/>
    <w:rsid w:val="004B7CFE"/>
    <w:rsid w:val="004C005C"/>
    <w:rsid w:val="004C02D4"/>
    <w:rsid w:val="004C0438"/>
    <w:rsid w:val="004C0A98"/>
    <w:rsid w:val="004C1973"/>
    <w:rsid w:val="004C1D4E"/>
    <w:rsid w:val="004C26A8"/>
    <w:rsid w:val="004C2C5E"/>
    <w:rsid w:val="004C3023"/>
    <w:rsid w:val="004C38C3"/>
    <w:rsid w:val="004C3FAD"/>
    <w:rsid w:val="004C44F8"/>
    <w:rsid w:val="004C5B4D"/>
    <w:rsid w:val="004C61DB"/>
    <w:rsid w:val="004C73AC"/>
    <w:rsid w:val="004C757F"/>
    <w:rsid w:val="004C7962"/>
    <w:rsid w:val="004C79DD"/>
    <w:rsid w:val="004D072B"/>
    <w:rsid w:val="004D0F31"/>
    <w:rsid w:val="004D1A54"/>
    <w:rsid w:val="004D1DAB"/>
    <w:rsid w:val="004D1EFA"/>
    <w:rsid w:val="004D2626"/>
    <w:rsid w:val="004D3C2D"/>
    <w:rsid w:val="004D40E4"/>
    <w:rsid w:val="004D4BFC"/>
    <w:rsid w:val="004D5289"/>
    <w:rsid w:val="004D582C"/>
    <w:rsid w:val="004D5E1D"/>
    <w:rsid w:val="004D6293"/>
    <w:rsid w:val="004D6615"/>
    <w:rsid w:val="004D7AB3"/>
    <w:rsid w:val="004E0331"/>
    <w:rsid w:val="004E0743"/>
    <w:rsid w:val="004E10BE"/>
    <w:rsid w:val="004E1A88"/>
    <w:rsid w:val="004E2026"/>
    <w:rsid w:val="004E2CB2"/>
    <w:rsid w:val="004E3545"/>
    <w:rsid w:val="004E3B28"/>
    <w:rsid w:val="004E48CC"/>
    <w:rsid w:val="004E578E"/>
    <w:rsid w:val="004E5949"/>
    <w:rsid w:val="004E5A91"/>
    <w:rsid w:val="004E69AA"/>
    <w:rsid w:val="004E7717"/>
    <w:rsid w:val="004F0150"/>
    <w:rsid w:val="004F044F"/>
    <w:rsid w:val="004F1294"/>
    <w:rsid w:val="004F1305"/>
    <w:rsid w:val="004F1487"/>
    <w:rsid w:val="004F17C7"/>
    <w:rsid w:val="004F238D"/>
    <w:rsid w:val="004F3B8C"/>
    <w:rsid w:val="004F64A7"/>
    <w:rsid w:val="004F6584"/>
    <w:rsid w:val="004F7A32"/>
    <w:rsid w:val="0050187B"/>
    <w:rsid w:val="00501FC0"/>
    <w:rsid w:val="0050236D"/>
    <w:rsid w:val="00502B0E"/>
    <w:rsid w:val="00503B1B"/>
    <w:rsid w:val="0050412C"/>
    <w:rsid w:val="00504D3F"/>
    <w:rsid w:val="00505C69"/>
    <w:rsid w:val="005062AB"/>
    <w:rsid w:val="00506595"/>
    <w:rsid w:val="00507375"/>
    <w:rsid w:val="0050755A"/>
    <w:rsid w:val="00510616"/>
    <w:rsid w:val="00511FC6"/>
    <w:rsid w:val="00512266"/>
    <w:rsid w:val="005129ED"/>
    <w:rsid w:val="00513403"/>
    <w:rsid w:val="00513E8B"/>
    <w:rsid w:val="00513EC0"/>
    <w:rsid w:val="00514464"/>
    <w:rsid w:val="00515A03"/>
    <w:rsid w:val="00516099"/>
    <w:rsid w:val="005207AA"/>
    <w:rsid w:val="005207BB"/>
    <w:rsid w:val="00521533"/>
    <w:rsid w:val="00521707"/>
    <w:rsid w:val="00521CD7"/>
    <w:rsid w:val="00522C7F"/>
    <w:rsid w:val="00522FB3"/>
    <w:rsid w:val="0052320E"/>
    <w:rsid w:val="0052360A"/>
    <w:rsid w:val="0052367B"/>
    <w:rsid w:val="00523820"/>
    <w:rsid w:val="00523905"/>
    <w:rsid w:val="0052466D"/>
    <w:rsid w:val="005248A5"/>
    <w:rsid w:val="0052495D"/>
    <w:rsid w:val="00524E35"/>
    <w:rsid w:val="00524FA3"/>
    <w:rsid w:val="00525166"/>
    <w:rsid w:val="0052538C"/>
    <w:rsid w:val="005262B5"/>
    <w:rsid w:val="00527258"/>
    <w:rsid w:val="00527EA3"/>
    <w:rsid w:val="00531601"/>
    <w:rsid w:val="00532348"/>
    <w:rsid w:val="00532456"/>
    <w:rsid w:val="0053276F"/>
    <w:rsid w:val="005331F0"/>
    <w:rsid w:val="00533322"/>
    <w:rsid w:val="00533FC1"/>
    <w:rsid w:val="005344E8"/>
    <w:rsid w:val="0053473F"/>
    <w:rsid w:val="0053475E"/>
    <w:rsid w:val="00535058"/>
    <w:rsid w:val="0053591F"/>
    <w:rsid w:val="00535DFF"/>
    <w:rsid w:val="00535EE6"/>
    <w:rsid w:val="00536413"/>
    <w:rsid w:val="00536CBB"/>
    <w:rsid w:val="005379B1"/>
    <w:rsid w:val="00537C10"/>
    <w:rsid w:val="00540269"/>
    <w:rsid w:val="0054192D"/>
    <w:rsid w:val="00542CBD"/>
    <w:rsid w:val="00543094"/>
    <w:rsid w:val="00543690"/>
    <w:rsid w:val="00544592"/>
    <w:rsid w:val="0054461C"/>
    <w:rsid w:val="0054473D"/>
    <w:rsid w:val="00544B76"/>
    <w:rsid w:val="00544BAE"/>
    <w:rsid w:val="00544C71"/>
    <w:rsid w:val="005453B3"/>
    <w:rsid w:val="0054653D"/>
    <w:rsid w:val="00546761"/>
    <w:rsid w:val="00546903"/>
    <w:rsid w:val="00546958"/>
    <w:rsid w:val="00547CC6"/>
    <w:rsid w:val="00550E58"/>
    <w:rsid w:val="0055105E"/>
    <w:rsid w:val="005514A9"/>
    <w:rsid w:val="00551F12"/>
    <w:rsid w:val="005523FD"/>
    <w:rsid w:val="0055388F"/>
    <w:rsid w:val="005538C9"/>
    <w:rsid w:val="00554874"/>
    <w:rsid w:val="005549D3"/>
    <w:rsid w:val="005578F6"/>
    <w:rsid w:val="00560823"/>
    <w:rsid w:val="00562472"/>
    <w:rsid w:val="0056340B"/>
    <w:rsid w:val="00563A0C"/>
    <w:rsid w:val="005647F6"/>
    <w:rsid w:val="005648F6"/>
    <w:rsid w:val="00564AC8"/>
    <w:rsid w:val="00564B12"/>
    <w:rsid w:val="00564FCC"/>
    <w:rsid w:val="00565FD2"/>
    <w:rsid w:val="00566E52"/>
    <w:rsid w:val="00567557"/>
    <w:rsid w:val="00567642"/>
    <w:rsid w:val="005677EE"/>
    <w:rsid w:val="005713DD"/>
    <w:rsid w:val="00572BD1"/>
    <w:rsid w:val="00573DF8"/>
    <w:rsid w:val="00575758"/>
    <w:rsid w:val="00575DA5"/>
    <w:rsid w:val="005761CF"/>
    <w:rsid w:val="005764A5"/>
    <w:rsid w:val="005771AD"/>
    <w:rsid w:val="0057791A"/>
    <w:rsid w:val="00577F51"/>
    <w:rsid w:val="005807C5"/>
    <w:rsid w:val="00580C86"/>
    <w:rsid w:val="00581549"/>
    <w:rsid w:val="00581611"/>
    <w:rsid w:val="005824BC"/>
    <w:rsid w:val="00582833"/>
    <w:rsid w:val="00582A10"/>
    <w:rsid w:val="00582A41"/>
    <w:rsid w:val="005837F5"/>
    <w:rsid w:val="005847E9"/>
    <w:rsid w:val="0058491F"/>
    <w:rsid w:val="00585C18"/>
    <w:rsid w:val="0058612C"/>
    <w:rsid w:val="0058651B"/>
    <w:rsid w:val="00586F68"/>
    <w:rsid w:val="00586FEF"/>
    <w:rsid w:val="0058780D"/>
    <w:rsid w:val="00587A79"/>
    <w:rsid w:val="00591B67"/>
    <w:rsid w:val="00593A2D"/>
    <w:rsid w:val="00594AA2"/>
    <w:rsid w:val="00594AD3"/>
    <w:rsid w:val="00594FD9"/>
    <w:rsid w:val="00595276"/>
    <w:rsid w:val="00595346"/>
    <w:rsid w:val="005A04D2"/>
    <w:rsid w:val="005A191A"/>
    <w:rsid w:val="005A1A6D"/>
    <w:rsid w:val="005A1D18"/>
    <w:rsid w:val="005A1F7E"/>
    <w:rsid w:val="005A2739"/>
    <w:rsid w:val="005A27B7"/>
    <w:rsid w:val="005A2B80"/>
    <w:rsid w:val="005A2C96"/>
    <w:rsid w:val="005A3C94"/>
    <w:rsid w:val="005A4068"/>
    <w:rsid w:val="005A439F"/>
    <w:rsid w:val="005A4F8D"/>
    <w:rsid w:val="005A5F04"/>
    <w:rsid w:val="005A612E"/>
    <w:rsid w:val="005A71DE"/>
    <w:rsid w:val="005A74A9"/>
    <w:rsid w:val="005A752D"/>
    <w:rsid w:val="005A7FDB"/>
    <w:rsid w:val="005B0086"/>
    <w:rsid w:val="005B1606"/>
    <w:rsid w:val="005B1875"/>
    <w:rsid w:val="005B19D3"/>
    <w:rsid w:val="005B2423"/>
    <w:rsid w:val="005B2D3C"/>
    <w:rsid w:val="005B51DD"/>
    <w:rsid w:val="005B52E6"/>
    <w:rsid w:val="005B52EF"/>
    <w:rsid w:val="005B548D"/>
    <w:rsid w:val="005B57F9"/>
    <w:rsid w:val="005B5AAA"/>
    <w:rsid w:val="005B5B15"/>
    <w:rsid w:val="005B5CF5"/>
    <w:rsid w:val="005B5DF9"/>
    <w:rsid w:val="005B6B16"/>
    <w:rsid w:val="005B6BCE"/>
    <w:rsid w:val="005B6C8C"/>
    <w:rsid w:val="005B7456"/>
    <w:rsid w:val="005B7784"/>
    <w:rsid w:val="005B7B35"/>
    <w:rsid w:val="005C06A8"/>
    <w:rsid w:val="005C2757"/>
    <w:rsid w:val="005C459B"/>
    <w:rsid w:val="005C4CE0"/>
    <w:rsid w:val="005C4FEC"/>
    <w:rsid w:val="005C50C0"/>
    <w:rsid w:val="005C52A0"/>
    <w:rsid w:val="005C6084"/>
    <w:rsid w:val="005C6492"/>
    <w:rsid w:val="005C66F1"/>
    <w:rsid w:val="005C769D"/>
    <w:rsid w:val="005C773C"/>
    <w:rsid w:val="005D0CDB"/>
    <w:rsid w:val="005D0F9E"/>
    <w:rsid w:val="005D1127"/>
    <w:rsid w:val="005D212C"/>
    <w:rsid w:val="005D3186"/>
    <w:rsid w:val="005D4B7D"/>
    <w:rsid w:val="005D5090"/>
    <w:rsid w:val="005D57F8"/>
    <w:rsid w:val="005D65B4"/>
    <w:rsid w:val="005D65F6"/>
    <w:rsid w:val="005D68EA"/>
    <w:rsid w:val="005D6DBE"/>
    <w:rsid w:val="005D765D"/>
    <w:rsid w:val="005D7976"/>
    <w:rsid w:val="005D7A74"/>
    <w:rsid w:val="005D7AB0"/>
    <w:rsid w:val="005E0390"/>
    <w:rsid w:val="005E10F4"/>
    <w:rsid w:val="005E213C"/>
    <w:rsid w:val="005E2FF6"/>
    <w:rsid w:val="005E3EC0"/>
    <w:rsid w:val="005E42DB"/>
    <w:rsid w:val="005E4327"/>
    <w:rsid w:val="005E4B12"/>
    <w:rsid w:val="005E4B2F"/>
    <w:rsid w:val="005E4FE5"/>
    <w:rsid w:val="005E5C59"/>
    <w:rsid w:val="005E681E"/>
    <w:rsid w:val="005E6B50"/>
    <w:rsid w:val="005E6B63"/>
    <w:rsid w:val="005E7069"/>
    <w:rsid w:val="005E75DA"/>
    <w:rsid w:val="005E7647"/>
    <w:rsid w:val="005F13BA"/>
    <w:rsid w:val="005F16AF"/>
    <w:rsid w:val="005F18C9"/>
    <w:rsid w:val="005F2822"/>
    <w:rsid w:val="005F2876"/>
    <w:rsid w:val="005F37BA"/>
    <w:rsid w:val="005F577A"/>
    <w:rsid w:val="005F5FA1"/>
    <w:rsid w:val="005F6264"/>
    <w:rsid w:val="005F6546"/>
    <w:rsid w:val="005F6CD8"/>
    <w:rsid w:val="005F7703"/>
    <w:rsid w:val="0060005E"/>
    <w:rsid w:val="00601BD6"/>
    <w:rsid w:val="00601F9B"/>
    <w:rsid w:val="0060208B"/>
    <w:rsid w:val="00602614"/>
    <w:rsid w:val="006029B4"/>
    <w:rsid w:val="00602B05"/>
    <w:rsid w:val="00602F09"/>
    <w:rsid w:val="006032DB"/>
    <w:rsid w:val="00603D18"/>
    <w:rsid w:val="00603E8E"/>
    <w:rsid w:val="00604C61"/>
    <w:rsid w:val="00604D51"/>
    <w:rsid w:val="0060526E"/>
    <w:rsid w:val="006053AA"/>
    <w:rsid w:val="00605597"/>
    <w:rsid w:val="00605BA4"/>
    <w:rsid w:val="0060719E"/>
    <w:rsid w:val="006076EA"/>
    <w:rsid w:val="00607725"/>
    <w:rsid w:val="006105EE"/>
    <w:rsid w:val="006106B7"/>
    <w:rsid w:val="00610FD5"/>
    <w:rsid w:val="0061115B"/>
    <w:rsid w:val="00611493"/>
    <w:rsid w:val="00612866"/>
    <w:rsid w:val="006132AD"/>
    <w:rsid w:val="00614DF7"/>
    <w:rsid w:val="0061515B"/>
    <w:rsid w:val="00615F45"/>
    <w:rsid w:val="00617616"/>
    <w:rsid w:val="0061785F"/>
    <w:rsid w:val="00617AB1"/>
    <w:rsid w:val="006202D3"/>
    <w:rsid w:val="00620698"/>
    <w:rsid w:val="006214A6"/>
    <w:rsid w:val="0062215D"/>
    <w:rsid w:val="006239EE"/>
    <w:rsid w:val="00624814"/>
    <w:rsid w:val="00624B9F"/>
    <w:rsid w:val="00625B20"/>
    <w:rsid w:val="00625BDB"/>
    <w:rsid w:val="00626DCA"/>
    <w:rsid w:val="00627100"/>
    <w:rsid w:val="00630018"/>
    <w:rsid w:val="0063097C"/>
    <w:rsid w:val="00630EC8"/>
    <w:rsid w:val="006312CD"/>
    <w:rsid w:val="00631EBD"/>
    <w:rsid w:val="00633057"/>
    <w:rsid w:val="00633682"/>
    <w:rsid w:val="00634ACB"/>
    <w:rsid w:val="00634FCA"/>
    <w:rsid w:val="00635DD4"/>
    <w:rsid w:val="0063652C"/>
    <w:rsid w:val="006371BA"/>
    <w:rsid w:val="00637629"/>
    <w:rsid w:val="006377F4"/>
    <w:rsid w:val="00641409"/>
    <w:rsid w:val="006418B3"/>
    <w:rsid w:val="00642531"/>
    <w:rsid w:val="00642E83"/>
    <w:rsid w:val="006430D4"/>
    <w:rsid w:val="00643414"/>
    <w:rsid w:val="00643730"/>
    <w:rsid w:val="00644404"/>
    <w:rsid w:val="00644A20"/>
    <w:rsid w:val="00645156"/>
    <w:rsid w:val="0064684F"/>
    <w:rsid w:val="0064685E"/>
    <w:rsid w:val="00646E8C"/>
    <w:rsid w:val="00650AE4"/>
    <w:rsid w:val="00650DA2"/>
    <w:rsid w:val="00650DFA"/>
    <w:rsid w:val="00651EE5"/>
    <w:rsid w:val="006536FB"/>
    <w:rsid w:val="00653E60"/>
    <w:rsid w:val="006547AA"/>
    <w:rsid w:val="00654857"/>
    <w:rsid w:val="00654F52"/>
    <w:rsid w:val="00655FA1"/>
    <w:rsid w:val="00656808"/>
    <w:rsid w:val="0065686F"/>
    <w:rsid w:val="00656E99"/>
    <w:rsid w:val="00657486"/>
    <w:rsid w:val="00657A1F"/>
    <w:rsid w:val="00657CCE"/>
    <w:rsid w:val="006601D9"/>
    <w:rsid w:val="00660D74"/>
    <w:rsid w:val="00660E3F"/>
    <w:rsid w:val="0066133F"/>
    <w:rsid w:val="00661D29"/>
    <w:rsid w:val="00661D43"/>
    <w:rsid w:val="006620E1"/>
    <w:rsid w:val="00662768"/>
    <w:rsid w:val="006634A0"/>
    <w:rsid w:val="00663A61"/>
    <w:rsid w:val="00663C29"/>
    <w:rsid w:val="00664254"/>
    <w:rsid w:val="00665640"/>
    <w:rsid w:val="00665774"/>
    <w:rsid w:val="00665CD1"/>
    <w:rsid w:val="00666BE4"/>
    <w:rsid w:val="00666DF8"/>
    <w:rsid w:val="006676A1"/>
    <w:rsid w:val="006705B9"/>
    <w:rsid w:val="006705F9"/>
    <w:rsid w:val="0067099E"/>
    <w:rsid w:val="006724DB"/>
    <w:rsid w:val="006731E9"/>
    <w:rsid w:val="006751CE"/>
    <w:rsid w:val="0067557A"/>
    <w:rsid w:val="006756C9"/>
    <w:rsid w:val="0067605C"/>
    <w:rsid w:val="006761FE"/>
    <w:rsid w:val="0067684B"/>
    <w:rsid w:val="00677947"/>
    <w:rsid w:val="00677CFD"/>
    <w:rsid w:val="00680233"/>
    <w:rsid w:val="006813E4"/>
    <w:rsid w:val="006823C8"/>
    <w:rsid w:val="00682888"/>
    <w:rsid w:val="00682946"/>
    <w:rsid w:val="00682ECC"/>
    <w:rsid w:val="0068371F"/>
    <w:rsid w:val="006844B7"/>
    <w:rsid w:val="00685E18"/>
    <w:rsid w:val="00686397"/>
    <w:rsid w:val="00687B43"/>
    <w:rsid w:val="00690942"/>
    <w:rsid w:val="00691410"/>
    <w:rsid w:val="00692355"/>
    <w:rsid w:val="00692398"/>
    <w:rsid w:val="00692DA2"/>
    <w:rsid w:val="006932C9"/>
    <w:rsid w:val="006940C1"/>
    <w:rsid w:val="006945EA"/>
    <w:rsid w:val="00695243"/>
    <w:rsid w:val="006956B0"/>
    <w:rsid w:val="00695B89"/>
    <w:rsid w:val="006969F8"/>
    <w:rsid w:val="006A00FB"/>
    <w:rsid w:val="006A0109"/>
    <w:rsid w:val="006A06F6"/>
    <w:rsid w:val="006A1504"/>
    <w:rsid w:val="006A1942"/>
    <w:rsid w:val="006A22EF"/>
    <w:rsid w:val="006A2300"/>
    <w:rsid w:val="006A2886"/>
    <w:rsid w:val="006A2E5B"/>
    <w:rsid w:val="006A3253"/>
    <w:rsid w:val="006A3A1F"/>
    <w:rsid w:val="006A3E14"/>
    <w:rsid w:val="006A43F6"/>
    <w:rsid w:val="006A6AFF"/>
    <w:rsid w:val="006A79E8"/>
    <w:rsid w:val="006B0546"/>
    <w:rsid w:val="006B0769"/>
    <w:rsid w:val="006B1449"/>
    <w:rsid w:val="006B15A9"/>
    <w:rsid w:val="006B1D25"/>
    <w:rsid w:val="006B246C"/>
    <w:rsid w:val="006B2BCE"/>
    <w:rsid w:val="006B3875"/>
    <w:rsid w:val="006B43DF"/>
    <w:rsid w:val="006B4E2E"/>
    <w:rsid w:val="006B53E6"/>
    <w:rsid w:val="006B544F"/>
    <w:rsid w:val="006B5BA4"/>
    <w:rsid w:val="006B62C9"/>
    <w:rsid w:val="006B6559"/>
    <w:rsid w:val="006B66FA"/>
    <w:rsid w:val="006B6C03"/>
    <w:rsid w:val="006B6D2A"/>
    <w:rsid w:val="006B706A"/>
    <w:rsid w:val="006B73AC"/>
    <w:rsid w:val="006B7BF8"/>
    <w:rsid w:val="006B7D62"/>
    <w:rsid w:val="006C00D9"/>
    <w:rsid w:val="006C14B1"/>
    <w:rsid w:val="006C15D4"/>
    <w:rsid w:val="006C253D"/>
    <w:rsid w:val="006C25DF"/>
    <w:rsid w:val="006C50D2"/>
    <w:rsid w:val="006C51C2"/>
    <w:rsid w:val="006C6BDD"/>
    <w:rsid w:val="006C6E89"/>
    <w:rsid w:val="006C6FD8"/>
    <w:rsid w:val="006C777B"/>
    <w:rsid w:val="006C7ABC"/>
    <w:rsid w:val="006D0A15"/>
    <w:rsid w:val="006D10BA"/>
    <w:rsid w:val="006D30F0"/>
    <w:rsid w:val="006D3DF0"/>
    <w:rsid w:val="006D4BD6"/>
    <w:rsid w:val="006D5DF7"/>
    <w:rsid w:val="006D68F7"/>
    <w:rsid w:val="006D6E14"/>
    <w:rsid w:val="006D7B20"/>
    <w:rsid w:val="006E0932"/>
    <w:rsid w:val="006E135F"/>
    <w:rsid w:val="006E3CBF"/>
    <w:rsid w:val="006E45CF"/>
    <w:rsid w:val="006E4A50"/>
    <w:rsid w:val="006E522E"/>
    <w:rsid w:val="006E57CD"/>
    <w:rsid w:val="006E5A7F"/>
    <w:rsid w:val="006E6B6F"/>
    <w:rsid w:val="006E6BA3"/>
    <w:rsid w:val="006E7665"/>
    <w:rsid w:val="006E7F93"/>
    <w:rsid w:val="006F0B05"/>
    <w:rsid w:val="006F0ED0"/>
    <w:rsid w:val="006F1C57"/>
    <w:rsid w:val="006F23A2"/>
    <w:rsid w:val="006F25C6"/>
    <w:rsid w:val="006F3FA9"/>
    <w:rsid w:val="006F55B5"/>
    <w:rsid w:val="006F5847"/>
    <w:rsid w:val="006F6D31"/>
    <w:rsid w:val="006F6FC3"/>
    <w:rsid w:val="006F7220"/>
    <w:rsid w:val="006F7424"/>
    <w:rsid w:val="006F77D4"/>
    <w:rsid w:val="006F7C7B"/>
    <w:rsid w:val="00700AB3"/>
    <w:rsid w:val="007011CA"/>
    <w:rsid w:val="0070181D"/>
    <w:rsid w:val="007031F5"/>
    <w:rsid w:val="0070377A"/>
    <w:rsid w:val="00703B93"/>
    <w:rsid w:val="00703C23"/>
    <w:rsid w:val="00703DD5"/>
    <w:rsid w:val="007047D0"/>
    <w:rsid w:val="00704F9E"/>
    <w:rsid w:val="00705FCD"/>
    <w:rsid w:val="0070640E"/>
    <w:rsid w:val="00706482"/>
    <w:rsid w:val="00706AEC"/>
    <w:rsid w:val="00707F5E"/>
    <w:rsid w:val="00710E47"/>
    <w:rsid w:val="00711B45"/>
    <w:rsid w:val="0071246C"/>
    <w:rsid w:val="00712889"/>
    <w:rsid w:val="00712A16"/>
    <w:rsid w:val="00713DD2"/>
    <w:rsid w:val="00715462"/>
    <w:rsid w:val="00715F8A"/>
    <w:rsid w:val="0071765F"/>
    <w:rsid w:val="00720141"/>
    <w:rsid w:val="00720C9B"/>
    <w:rsid w:val="00720DDB"/>
    <w:rsid w:val="00721135"/>
    <w:rsid w:val="0072114F"/>
    <w:rsid w:val="00721BB0"/>
    <w:rsid w:val="007223BC"/>
    <w:rsid w:val="00722A4D"/>
    <w:rsid w:val="0072341C"/>
    <w:rsid w:val="00724371"/>
    <w:rsid w:val="007245F6"/>
    <w:rsid w:val="0072485E"/>
    <w:rsid w:val="0072594B"/>
    <w:rsid w:val="00725CA4"/>
    <w:rsid w:val="00726E5D"/>
    <w:rsid w:val="007272AF"/>
    <w:rsid w:val="0072749C"/>
    <w:rsid w:val="00727AF5"/>
    <w:rsid w:val="007300FE"/>
    <w:rsid w:val="007302C6"/>
    <w:rsid w:val="00730686"/>
    <w:rsid w:val="00730B41"/>
    <w:rsid w:val="00730D92"/>
    <w:rsid w:val="00731268"/>
    <w:rsid w:val="00731645"/>
    <w:rsid w:val="00733247"/>
    <w:rsid w:val="00733657"/>
    <w:rsid w:val="00733ACF"/>
    <w:rsid w:val="00733B3E"/>
    <w:rsid w:val="00733C4A"/>
    <w:rsid w:val="00734205"/>
    <w:rsid w:val="00734DC2"/>
    <w:rsid w:val="007351F1"/>
    <w:rsid w:val="00735A52"/>
    <w:rsid w:val="00735E95"/>
    <w:rsid w:val="00736CDF"/>
    <w:rsid w:val="0073740C"/>
    <w:rsid w:val="00740B0A"/>
    <w:rsid w:val="00741A98"/>
    <w:rsid w:val="007425F0"/>
    <w:rsid w:val="0074403B"/>
    <w:rsid w:val="007442E6"/>
    <w:rsid w:val="00744395"/>
    <w:rsid w:val="00744BF5"/>
    <w:rsid w:val="00744D1B"/>
    <w:rsid w:val="0074574F"/>
    <w:rsid w:val="00746280"/>
    <w:rsid w:val="00746D3F"/>
    <w:rsid w:val="00746FA7"/>
    <w:rsid w:val="00746FD4"/>
    <w:rsid w:val="007472E8"/>
    <w:rsid w:val="00747739"/>
    <w:rsid w:val="0074799F"/>
    <w:rsid w:val="00747CF9"/>
    <w:rsid w:val="00747ED0"/>
    <w:rsid w:val="00750768"/>
    <w:rsid w:val="00750E6C"/>
    <w:rsid w:val="0075122E"/>
    <w:rsid w:val="007517F6"/>
    <w:rsid w:val="00751B80"/>
    <w:rsid w:val="007527CF"/>
    <w:rsid w:val="00753823"/>
    <w:rsid w:val="00753C58"/>
    <w:rsid w:val="00753E0A"/>
    <w:rsid w:val="00754DB1"/>
    <w:rsid w:val="0075580F"/>
    <w:rsid w:val="007559C9"/>
    <w:rsid w:val="0075646A"/>
    <w:rsid w:val="00756A16"/>
    <w:rsid w:val="00760621"/>
    <w:rsid w:val="00760806"/>
    <w:rsid w:val="00762298"/>
    <w:rsid w:val="007625C5"/>
    <w:rsid w:val="007632AF"/>
    <w:rsid w:val="00764775"/>
    <w:rsid w:val="00765F52"/>
    <w:rsid w:val="007664EC"/>
    <w:rsid w:val="00767235"/>
    <w:rsid w:val="0076726E"/>
    <w:rsid w:val="00767392"/>
    <w:rsid w:val="00767C15"/>
    <w:rsid w:val="007706C8"/>
    <w:rsid w:val="00770816"/>
    <w:rsid w:val="00770B24"/>
    <w:rsid w:val="00770E0C"/>
    <w:rsid w:val="00770FDA"/>
    <w:rsid w:val="007725D3"/>
    <w:rsid w:val="00772914"/>
    <w:rsid w:val="00772B20"/>
    <w:rsid w:val="00773E0B"/>
    <w:rsid w:val="00773FA4"/>
    <w:rsid w:val="0077486C"/>
    <w:rsid w:val="00774D5F"/>
    <w:rsid w:val="00775118"/>
    <w:rsid w:val="0077663E"/>
    <w:rsid w:val="007771AE"/>
    <w:rsid w:val="007771F2"/>
    <w:rsid w:val="007775F0"/>
    <w:rsid w:val="00780169"/>
    <w:rsid w:val="00780D3F"/>
    <w:rsid w:val="007811D6"/>
    <w:rsid w:val="007812BF"/>
    <w:rsid w:val="00781D31"/>
    <w:rsid w:val="0078270C"/>
    <w:rsid w:val="00782994"/>
    <w:rsid w:val="0078391F"/>
    <w:rsid w:val="0078459F"/>
    <w:rsid w:val="007847CA"/>
    <w:rsid w:val="00784E5A"/>
    <w:rsid w:val="007852F0"/>
    <w:rsid w:val="00785A70"/>
    <w:rsid w:val="0078625F"/>
    <w:rsid w:val="00786477"/>
    <w:rsid w:val="0078678F"/>
    <w:rsid w:val="00786C21"/>
    <w:rsid w:val="007879A0"/>
    <w:rsid w:val="007907BC"/>
    <w:rsid w:val="00790F48"/>
    <w:rsid w:val="00791523"/>
    <w:rsid w:val="007916E9"/>
    <w:rsid w:val="00792618"/>
    <w:rsid w:val="007928F9"/>
    <w:rsid w:val="007938C0"/>
    <w:rsid w:val="00793990"/>
    <w:rsid w:val="00793C76"/>
    <w:rsid w:val="00793EDD"/>
    <w:rsid w:val="007941B8"/>
    <w:rsid w:val="0079439A"/>
    <w:rsid w:val="00794DC7"/>
    <w:rsid w:val="00794E1A"/>
    <w:rsid w:val="0079625D"/>
    <w:rsid w:val="007963EA"/>
    <w:rsid w:val="00797151"/>
    <w:rsid w:val="007974D3"/>
    <w:rsid w:val="007A0669"/>
    <w:rsid w:val="007A0832"/>
    <w:rsid w:val="007A1627"/>
    <w:rsid w:val="007A1CBD"/>
    <w:rsid w:val="007A2915"/>
    <w:rsid w:val="007A3BA2"/>
    <w:rsid w:val="007A413B"/>
    <w:rsid w:val="007A6017"/>
    <w:rsid w:val="007A61D0"/>
    <w:rsid w:val="007A6A9B"/>
    <w:rsid w:val="007A6FA6"/>
    <w:rsid w:val="007A713A"/>
    <w:rsid w:val="007A714C"/>
    <w:rsid w:val="007A7C65"/>
    <w:rsid w:val="007A7F80"/>
    <w:rsid w:val="007B01BD"/>
    <w:rsid w:val="007B1717"/>
    <w:rsid w:val="007B229C"/>
    <w:rsid w:val="007B2CE1"/>
    <w:rsid w:val="007B2DB9"/>
    <w:rsid w:val="007B3321"/>
    <w:rsid w:val="007B3BF7"/>
    <w:rsid w:val="007B3FCF"/>
    <w:rsid w:val="007B424A"/>
    <w:rsid w:val="007B43EA"/>
    <w:rsid w:val="007B46EC"/>
    <w:rsid w:val="007B6228"/>
    <w:rsid w:val="007B69F1"/>
    <w:rsid w:val="007B6BFA"/>
    <w:rsid w:val="007B6D9C"/>
    <w:rsid w:val="007B74DA"/>
    <w:rsid w:val="007B7927"/>
    <w:rsid w:val="007B7DF6"/>
    <w:rsid w:val="007C054F"/>
    <w:rsid w:val="007C0581"/>
    <w:rsid w:val="007C31C5"/>
    <w:rsid w:val="007C33B1"/>
    <w:rsid w:val="007C3A6D"/>
    <w:rsid w:val="007C3DB6"/>
    <w:rsid w:val="007C436A"/>
    <w:rsid w:val="007C4421"/>
    <w:rsid w:val="007C47D4"/>
    <w:rsid w:val="007C5C09"/>
    <w:rsid w:val="007C7822"/>
    <w:rsid w:val="007D0335"/>
    <w:rsid w:val="007D0818"/>
    <w:rsid w:val="007D247B"/>
    <w:rsid w:val="007D29E8"/>
    <w:rsid w:val="007D3037"/>
    <w:rsid w:val="007D3A37"/>
    <w:rsid w:val="007D4376"/>
    <w:rsid w:val="007D439D"/>
    <w:rsid w:val="007D4931"/>
    <w:rsid w:val="007D4BE1"/>
    <w:rsid w:val="007D592F"/>
    <w:rsid w:val="007D5950"/>
    <w:rsid w:val="007D6491"/>
    <w:rsid w:val="007D7119"/>
    <w:rsid w:val="007D7E88"/>
    <w:rsid w:val="007D7F59"/>
    <w:rsid w:val="007E029C"/>
    <w:rsid w:val="007E0C79"/>
    <w:rsid w:val="007E1382"/>
    <w:rsid w:val="007E2304"/>
    <w:rsid w:val="007E23CB"/>
    <w:rsid w:val="007E27A0"/>
    <w:rsid w:val="007E3514"/>
    <w:rsid w:val="007E3B7E"/>
    <w:rsid w:val="007E3E3B"/>
    <w:rsid w:val="007E44D5"/>
    <w:rsid w:val="007E463A"/>
    <w:rsid w:val="007E479D"/>
    <w:rsid w:val="007E52EA"/>
    <w:rsid w:val="007E5E82"/>
    <w:rsid w:val="007E666B"/>
    <w:rsid w:val="007E6B14"/>
    <w:rsid w:val="007E7044"/>
    <w:rsid w:val="007E72EA"/>
    <w:rsid w:val="007E7BA1"/>
    <w:rsid w:val="007F0D6B"/>
    <w:rsid w:val="007F10B1"/>
    <w:rsid w:val="007F18A7"/>
    <w:rsid w:val="007F1F09"/>
    <w:rsid w:val="007F2632"/>
    <w:rsid w:val="007F4547"/>
    <w:rsid w:val="007F5976"/>
    <w:rsid w:val="007F5D38"/>
    <w:rsid w:val="007F66FC"/>
    <w:rsid w:val="007F6EE1"/>
    <w:rsid w:val="007F7D68"/>
    <w:rsid w:val="00800518"/>
    <w:rsid w:val="008010BE"/>
    <w:rsid w:val="00801A76"/>
    <w:rsid w:val="00801AF4"/>
    <w:rsid w:val="00801D0A"/>
    <w:rsid w:val="00801F2E"/>
    <w:rsid w:val="00802CCC"/>
    <w:rsid w:val="00802D78"/>
    <w:rsid w:val="00802F2C"/>
    <w:rsid w:val="00803173"/>
    <w:rsid w:val="008037EF"/>
    <w:rsid w:val="00803A5A"/>
    <w:rsid w:val="00804315"/>
    <w:rsid w:val="008043AA"/>
    <w:rsid w:val="0080593E"/>
    <w:rsid w:val="00805A1C"/>
    <w:rsid w:val="00805B90"/>
    <w:rsid w:val="00805F4C"/>
    <w:rsid w:val="0080607D"/>
    <w:rsid w:val="008076AC"/>
    <w:rsid w:val="00807DEA"/>
    <w:rsid w:val="00810516"/>
    <w:rsid w:val="00810548"/>
    <w:rsid w:val="008106CA"/>
    <w:rsid w:val="00811231"/>
    <w:rsid w:val="00811A2A"/>
    <w:rsid w:val="008122CF"/>
    <w:rsid w:val="00812DB9"/>
    <w:rsid w:val="00813414"/>
    <w:rsid w:val="00814737"/>
    <w:rsid w:val="0081523B"/>
    <w:rsid w:val="00815619"/>
    <w:rsid w:val="0081605B"/>
    <w:rsid w:val="00816863"/>
    <w:rsid w:val="00816F69"/>
    <w:rsid w:val="00820A60"/>
    <w:rsid w:val="00820CEA"/>
    <w:rsid w:val="00822167"/>
    <w:rsid w:val="00822C41"/>
    <w:rsid w:val="0082377C"/>
    <w:rsid w:val="00823BAD"/>
    <w:rsid w:val="00824072"/>
    <w:rsid w:val="00824725"/>
    <w:rsid w:val="00824DF6"/>
    <w:rsid w:val="008259BB"/>
    <w:rsid w:val="00826132"/>
    <w:rsid w:val="00826352"/>
    <w:rsid w:val="00827611"/>
    <w:rsid w:val="008304B6"/>
    <w:rsid w:val="008327A1"/>
    <w:rsid w:val="00832E89"/>
    <w:rsid w:val="0083336F"/>
    <w:rsid w:val="00833D0C"/>
    <w:rsid w:val="00833D92"/>
    <w:rsid w:val="00833F79"/>
    <w:rsid w:val="00834E13"/>
    <w:rsid w:val="00835C0F"/>
    <w:rsid w:val="00835E64"/>
    <w:rsid w:val="00836227"/>
    <w:rsid w:val="0083644A"/>
    <w:rsid w:val="00836847"/>
    <w:rsid w:val="00836C41"/>
    <w:rsid w:val="00836D93"/>
    <w:rsid w:val="008376ED"/>
    <w:rsid w:val="0083773E"/>
    <w:rsid w:val="00837DE5"/>
    <w:rsid w:val="00840638"/>
    <w:rsid w:val="00840ABE"/>
    <w:rsid w:val="00840F1A"/>
    <w:rsid w:val="00841B9C"/>
    <w:rsid w:val="00842BE4"/>
    <w:rsid w:val="00843AA5"/>
    <w:rsid w:val="00843AFE"/>
    <w:rsid w:val="0084408D"/>
    <w:rsid w:val="0084530D"/>
    <w:rsid w:val="008454B4"/>
    <w:rsid w:val="00845842"/>
    <w:rsid w:val="00846361"/>
    <w:rsid w:val="00846947"/>
    <w:rsid w:val="00846BEC"/>
    <w:rsid w:val="008471EC"/>
    <w:rsid w:val="0085016E"/>
    <w:rsid w:val="008502A3"/>
    <w:rsid w:val="008504A4"/>
    <w:rsid w:val="00850FA6"/>
    <w:rsid w:val="008516A0"/>
    <w:rsid w:val="00852119"/>
    <w:rsid w:val="008526E9"/>
    <w:rsid w:val="0085299A"/>
    <w:rsid w:val="00852B3B"/>
    <w:rsid w:val="008535E4"/>
    <w:rsid w:val="008538F3"/>
    <w:rsid w:val="00853E5F"/>
    <w:rsid w:val="00853E68"/>
    <w:rsid w:val="00854FE5"/>
    <w:rsid w:val="00855710"/>
    <w:rsid w:val="0085605C"/>
    <w:rsid w:val="00856703"/>
    <w:rsid w:val="00856F92"/>
    <w:rsid w:val="008572EB"/>
    <w:rsid w:val="0085744C"/>
    <w:rsid w:val="00860FA9"/>
    <w:rsid w:val="00861189"/>
    <w:rsid w:val="008611C0"/>
    <w:rsid w:val="008631FB"/>
    <w:rsid w:val="0086380A"/>
    <w:rsid w:val="00866392"/>
    <w:rsid w:val="00866F35"/>
    <w:rsid w:val="00866F9B"/>
    <w:rsid w:val="00867747"/>
    <w:rsid w:val="00867942"/>
    <w:rsid w:val="00867A74"/>
    <w:rsid w:val="00871CAB"/>
    <w:rsid w:val="00871FFD"/>
    <w:rsid w:val="00873203"/>
    <w:rsid w:val="00873319"/>
    <w:rsid w:val="008733F8"/>
    <w:rsid w:val="00873547"/>
    <w:rsid w:val="008755A8"/>
    <w:rsid w:val="00877991"/>
    <w:rsid w:val="00877D79"/>
    <w:rsid w:val="00877E61"/>
    <w:rsid w:val="00880030"/>
    <w:rsid w:val="00880397"/>
    <w:rsid w:val="00880D07"/>
    <w:rsid w:val="008817F9"/>
    <w:rsid w:val="008818D7"/>
    <w:rsid w:val="008821C2"/>
    <w:rsid w:val="008824C4"/>
    <w:rsid w:val="00883D11"/>
    <w:rsid w:val="008840CF"/>
    <w:rsid w:val="008847E9"/>
    <w:rsid w:val="00884EDD"/>
    <w:rsid w:val="008851A4"/>
    <w:rsid w:val="00885223"/>
    <w:rsid w:val="008876A5"/>
    <w:rsid w:val="00887FAC"/>
    <w:rsid w:val="008906F2"/>
    <w:rsid w:val="00890C24"/>
    <w:rsid w:val="00891676"/>
    <w:rsid w:val="00892510"/>
    <w:rsid w:val="00892702"/>
    <w:rsid w:val="00892B63"/>
    <w:rsid w:val="008933E2"/>
    <w:rsid w:val="008943F7"/>
    <w:rsid w:val="00894A33"/>
    <w:rsid w:val="00894A98"/>
    <w:rsid w:val="008951B2"/>
    <w:rsid w:val="0089544D"/>
    <w:rsid w:val="00895E24"/>
    <w:rsid w:val="00896171"/>
    <w:rsid w:val="00896D68"/>
    <w:rsid w:val="0089751A"/>
    <w:rsid w:val="00897998"/>
    <w:rsid w:val="00897FF1"/>
    <w:rsid w:val="008A02AF"/>
    <w:rsid w:val="008A0505"/>
    <w:rsid w:val="008A2321"/>
    <w:rsid w:val="008A24EF"/>
    <w:rsid w:val="008A2E12"/>
    <w:rsid w:val="008A31CB"/>
    <w:rsid w:val="008A4E60"/>
    <w:rsid w:val="008A4F8A"/>
    <w:rsid w:val="008A55AA"/>
    <w:rsid w:val="008B0A3E"/>
    <w:rsid w:val="008B0E77"/>
    <w:rsid w:val="008B1612"/>
    <w:rsid w:val="008B1F5A"/>
    <w:rsid w:val="008B2A95"/>
    <w:rsid w:val="008B3E10"/>
    <w:rsid w:val="008B4160"/>
    <w:rsid w:val="008B47C6"/>
    <w:rsid w:val="008B519D"/>
    <w:rsid w:val="008B5A30"/>
    <w:rsid w:val="008B5DDB"/>
    <w:rsid w:val="008B6359"/>
    <w:rsid w:val="008B641D"/>
    <w:rsid w:val="008B6B16"/>
    <w:rsid w:val="008B6C45"/>
    <w:rsid w:val="008B6C67"/>
    <w:rsid w:val="008B7EDB"/>
    <w:rsid w:val="008C01B5"/>
    <w:rsid w:val="008C0695"/>
    <w:rsid w:val="008C06D3"/>
    <w:rsid w:val="008C0F9E"/>
    <w:rsid w:val="008C1AA2"/>
    <w:rsid w:val="008C1ABE"/>
    <w:rsid w:val="008C1D40"/>
    <w:rsid w:val="008C21AE"/>
    <w:rsid w:val="008C2CF1"/>
    <w:rsid w:val="008C2E50"/>
    <w:rsid w:val="008C3B11"/>
    <w:rsid w:val="008C3D74"/>
    <w:rsid w:val="008C413B"/>
    <w:rsid w:val="008C523A"/>
    <w:rsid w:val="008C5C30"/>
    <w:rsid w:val="008C5DD5"/>
    <w:rsid w:val="008C605F"/>
    <w:rsid w:val="008C6B3F"/>
    <w:rsid w:val="008C75FA"/>
    <w:rsid w:val="008C77F3"/>
    <w:rsid w:val="008C7E72"/>
    <w:rsid w:val="008D15A1"/>
    <w:rsid w:val="008D1DAC"/>
    <w:rsid w:val="008D1E16"/>
    <w:rsid w:val="008D27F7"/>
    <w:rsid w:val="008D2910"/>
    <w:rsid w:val="008D3CA0"/>
    <w:rsid w:val="008D4FA1"/>
    <w:rsid w:val="008D520A"/>
    <w:rsid w:val="008D5DF1"/>
    <w:rsid w:val="008D62AE"/>
    <w:rsid w:val="008D632B"/>
    <w:rsid w:val="008D646D"/>
    <w:rsid w:val="008D65E1"/>
    <w:rsid w:val="008D6DF0"/>
    <w:rsid w:val="008D6DF6"/>
    <w:rsid w:val="008E0D5B"/>
    <w:rsid w:val="008E0FD6"/>
    <w:rsid w:val="008E1104"/>
    <w:rsid w:val="008E28DE"/>
    <w:rsid w:val="008E28EF"/>
    <w:rsid w:val="008E2C99"/>
    <w:rsid w:val="008E36B3"/>
    <w:rsid w:val="008E4377"/>
    <w:rsid w:val="008E4391"/>
    <w:rsid w:val="008E53D3"/>
    <w:rsid w:val="008E5F4B"/>
    <w:rsid w:val="008E6245"/>
    <w:rsid w:val="008E7F4A"/>
    <w:rsid w:val="008F133B"/>
    <w:rsid w:val="008F142B"/>
    <w:rsid w:val="008F2052"/>
    <w:rsid w:val="008F20F3"/>
    <w:rsid w:val="008F3965"/>
    <w:rsid w:val="008F3D85"/>
    <w:rsid w:val="008F4DBD"/>
    <w:rsid w:val="008F5FC3"/>
    <w:rsid w:val="008F6122"/>
    <w:rsid w:val="008F61C1"/>
    <w:rsid w:val="008F6E49"/>
    <w:rsid w:val="008F7BFE"/>
    <w:rsid w:val="009007AA"/>
    <w:rsid w:val="00900ABF"/>
    <w:rsid w:val="00901554"/>
    <w:rsid w:val="0090166A"/>
    <w:rsid w:val="00902766"/>
    <w:rsid w:val="00902C8E"/>
    <w:rsid w:val="0090366D"/>
    <w:rsid w:val="00903C2D"/>
    <w:rsid w:val="009051A7"/>
    <w:rsid w:val="00905813"/>
    <w:rsid w:val="00906684"/>
    <w:rsid w:val="0090698D"/>
    <w:rsid w:val="00907A87"/>
    <w:rsid w:val="00907F9F"/>
    <w:rsid w:val="00910136"/>
    <w:rsid w:val="00910DD2"/>
    <w:rsid w:val="00911302"/>
    <w:rsid w:val="00911C1E"/>
    <w:rsid w:val="00912422"/>
    <w:rsid w:val="009154DA"/>
    <w:rsid w:val="0091583C"/>
    <w:rsid w:val="00915C68"/>
    <w:rsid w:val="00915D3B"/>
    <w:rsid w:val="0091657A"/>
    <w:rsid w:val="00916D17"/>
    <w:rsid w:val="009172E7"/>
    <w:rsid w:val="00917336"/>
    <w:rsid w:val="009203AD"/>
    <w:rsid w:val="0092243B"/>
    <w:rsid w:val="009226B6"/>
    <w:rsid w:val="00922BCC"/>
    <w:rsid w:val="009230EE"/>
    <w:rsid w:val="00923529"/>
    <w:rsid w:val="00923CA7"/>
    <w:rsid w:val="00923CD2"/>
    <w:rsid w:val="00924B0E"/>
    <w:rsid w:val="00925144"/>
    <w:rsid w:val="009260F0"/>
    <w:rsid w:val="00926CDE"/>
    <w:rsid w:val="0092719A"/>
    <w:rsid w:val="0092738C"/>
    <w:rsid w:val="00927AA9"/>
    <w:rsid w:val="0093098C"/>
    <w:rsid w:val="00930BE2"/>
    <w:rsid w:val="00930E27"/>
    <w:rsid w:val="009313EF"/>
    <w:rsid w:val="009320EB"/>
    <w:rsid w:val="009334FA"/>
    <w:rsid w:val="0093354F"/>
    <w:rsid w:val="00933CBB"/>
    <w:rsid w:val="00933EC1"/>
    <w:rsid w:val="009347AF"/>
    <w:rsid w:val="00935154"/>
    <w:rsid w:val="009354C5"/>
    <w:rsid w:val="00935BB7"/>
    <w:rsid w:val="009363AE"/>
    <w:rsid w:val="0093681A"/>
    <w:rsid w:val="009369A5"/>
    <w:rsid w:val="00940BC6"/>
    <w:rsid w:val="0094112A"/>
    <w:rsid w:val="0094133E"/>
    <w:rsid w:val="00942555"/>
    <w:rsid w:val="00942AA9"/>
    <w:rsid w:val="00942D58"/>
    <w:rsid w:val="00943066"/>
    <w:rsid w:val="0094317B"/>
    <w:rsid w:val="009440F6"/>
    <w:rsid w:val="009447D0"/>
    <w:rsid w:val="00945B1E"/>
    <w:rsid w:val="0094724F"/>
    <w:rsid w:val="009473AF"/>
    <w:rsid w:val="00947B99"/>
    <w:rsid w:val="00947E01"/>
    <w:rsid w:val="00950B13"/>
    <w:rsid w:val="00950C3B"/>
    <w:rsid w:val="0095101B"/>
    <w:rsid w:val="00951453"/>
    <w:rsid w:val="0095332E"/>
    <w:rsid w:val="00953585"/>
    <w:rsid w:val="00954CD3"/>
    <w:rsid w:val="00955073"/>
    <w:rsid w:val="00955209"/>
    <w:rsid w:val="0095540F"/>
    <w:rsid w:val="00955787"/>
    <w:rsid w:val="00955B1E"/>
    <w:rsid w:val="00955B4C"/>
    <w:rsid w:val="00955CC0"/>
    <w:rsid w:val="00956157"/>
    <w:rsid w:val="00956BCB"/>
    <w:rsid w:val="00957332"/>
    <w:rsid w:val="00957429"/>
    <w:rsid w:val="009600B5"/>
    <w:rsid w:val="00960399"/>
    <w:rsid w:val="009609BB"/>
    <w:rsid w:val="00961E79"/>
    <w:rsid w:val="009623FE"/>
    <w:rsid w:val="00963B55"/>
    <w:rsid w:val="00964579"/>
    <w:rsid w:val="00965B74"/>
    <w:rsid w:val="00965BF5"/>
    <w:rsid w:val="0096659B"/>
    <w:rsid w:val="00967175"/>
    <w:rsid w:val="0097028A"/>
    <w:rsid w:val="00970AD5"/>
    <w:rsid w:val="00970FAA"/>
    <w:rsid w:val="009717B0"/>
    <w:rsid w:val="00971A50"/>
    <w:rsid w:val="00971B6F"/>
    <w:rsid w:val="009725AB"/>
    <w:rsid w:val="009726EA"/>
    <w:rsid w:val="0097289A"/>
    <w:rsid w:val="009730B3"/>
    <w:rsid w:val="00973744"/>
    <w:rsid w:val="009750D8"/>
    <w:rsid w:val="009753E4"/>
    <w:rsid w:val="00977349"/>
    <w:rsid w:val="009800CC"/>
    <w:rsid w:val="009802C5"/>
    <w:rsid w:val="00980A11"/>
    <w:rsid w:val="009827E5"/>
    <w:rsid w:val="00984D3F"/>
    <w:rsid w:val="009850E0"/>
    <w:rsid w:val="0098528A"/>
    <w:rsid w:val="009857E6"/>
    <w:rsid w:val="00985C28"/>
    <w:rsid w:val="0098735F"/>
    <w:rsid w:val="0098738D"/>
    <w:rsid w:val="009901E8"/>
    <w:rsid w:val="00990342"/>
    <w:rsid w:val="009910A4"/>
    <w:rsid w:val="009913C2"/>
    <w:rsid w:val="00993016"/>
    <w:rsid w:val="00995142"/>
    <w:rsid w:val="00996157"/>
    <w:rsid w:val="0099663D"/>
    <w:rsid w:val="009A0DC8"/>
    <w:rsid w:val="009A0FA9"/>
    <w:rsid w:val="009A1367"/>
    <w:rsid w:val="009A1F61"/>
    <w:rsid w:val="009A26DB"/>
    <w:rsid w:val="009A3591"/>
    <w:rsid w:val="009A3700"/>
    <w:rsid w:val="009A46EF"/>
    <w:rsid w:val="009A485E"/>
    <w:rsid w:val="009A501D"/>
    <w:rsid w:val="009A5055"/>
    <w:rsid w:val="009A56A4"/>
    <w:rsid w:val="009A6903"/>
    <w:rsid w:val="009A7358"/>
    <w:rsid w:val="009A7A0A"/>
    <w:rsid w:val="009B0AF9"/>
    <w:rsid w:val="009B126C"/>
    <w:rsid w:val="009B1B86"/>
    <w:rsid w:val="009B1DD0"/>
    <w:rsid w:val="009B268B"/>
    <w:rsid w:val="009B2989"/>
    <w:rsid w:val="009B355F"/>
    <w:rsid w:val="009B3807"/>
    <w:rsid w:val="009B3A11"/>
    <w:rsid w:val="009B442E"/>
    <w:rsid w:val="009B445D"/>
    <w:rsid w:val="009B46D1"/>
    <w:rsid w:val="009B4EAB"/>
    <w:rsid w:val="009C0183"/>
    <w:rsid w:val="009C0FAD"/>
    <w:rsid w:val="009C0FE4"/>
    <w:rsid w:val="009C159A"/>
    <w:rsid w:val="009C1DDC"/>
    <w:rsid w:val="009C2BCD"/>
    <w:rsid w:val="009C2D92"/>
    <w:rsid w:val="009C2E2F"/>
    <w:rsid w:val="009C366B"/>
    <w:rsid w:val="009C420D"/>
    <w:rsid w:val="009C4437"/>
    <w:rsid w:val="009C4873"/>
    <w:rsid w:val="009C56C3"/>
    <w:rsid w:val="009C618B"/>
    <w:rsid w:val="009C7189"/>
    <w:rsid w:val="009C75CF"/>
    <w:rsid w:val="009C78ED"/>
    <w:rsid w:val="009D0A98"/>
    <w:rsid w:val="009D1556"/>
    <w:rsid w:val="009D17A3"/>
    <w:rsid w:val="009D2318"/>
    <w:rsid w:val="009D2379"/>
    <w:rsid w:val="009D238F"/>
    <w:rsid w:val="009D2B65"/>
    <w:rsid w:val="009D3D68"/>
    <w:rsid w:val="009D3DFC"/>
    <w:rsid w:val="009D3E51"/>
    <w:rsid w:val="009D5C89"/>
    <w:rsid w:val="009D5D97"/>
    <w:rsid w:val="009D5E0E"/>
    <w:rsid w:val="009E1236"/>
    <w:rsid w:val="009E1266"/>
    <w:rsid w:val="009E13BE"/>
    <w:rsid w:val="009E1AAC"/>
    <w:rsid w:val="009E34D8"/>
    <w:rsid w:val="009E3BDB"/>
    <w:rsid w:val="009E3EC5"/>
    <w:rsid w:val="009E4AFE"/>
    <w:rsid w:val="009E576A"/>
    <w:rsid w:val="009E5940"/>
    <w:rsid w:val="009E5C48"/>
    <w:rsid w:val="009E5F3F"/>
    <w:rsid w:val="009E603E"/>
    <w:rsid w:val="009E69DA"/>
    <w:rsid w:val="009E6B94"/>
    <w:rsid w:val="009E6D19"/>
    <w:rsid w:val="009E73BD"/>
    <w:rsid w:val="009E796A"/>
    <w:rsid w:val="009E7A5D"/>
    <w:rsid w:val="009F079B"/>
    <w:rsid w:val="009F0F24"/>
    <w:rsid w:val="009F14CB"/>
    <w:rsid w:val="009F1812"/>
    <w:rsid w:val="009F1C26"/>
    <w:rsid w:val="009F21D3"/>
    <w:rsid w:val="009F2406"/>
    <w:rsid w:val="009F2593"/>
    <w:rsid w:val="009F2D73"/>
    <w:rsid w:val="009F2DE9"/>
    <w:rsid w:val="009F39DF"/>
    <w:rsid w:val="009F41CF"/>
    <w:rsid w:val="009F44B2"/>
    <w:rsid w:val="009F45F0"/>
    <w:rsid w:val="009F4A02"/>
    <w:rsid w:val="009F4F38"/>
    <w:rsid w:val="009F558C"/>
    <w:rsid w:val="009F5C2F"/>
    <w:rsid w:val="009F5C86"/>
    <w:rsid w:val="009F63D9"/>
    <w:rsid w:val="009F6A5D"/>
    <w:rsid w:val="009F75BB"/>
    <w:rsid w:val="009F798A"/>
    <w:rsid w:val="009F7E7E"/>
    <w:rsid w:val="00A0117E"/>
    <w:rsid w:val="00A0141E"/>
    <w:rsid w:val="00A01C61"/>
    <w:rsid w:val="00A02444"/>
    <w:rsid w:val="00A0257A"/>
    <w:rsid w:val="00A02C5E"/>
    <w:rsid w:val="00A02DCF"/>
    <w:rsid w:val="00A034F1"/>
    <w:rsid w:val="00A04DF5"/>
    <w:rsid w:val="00A05178"/>
    <w:rsid w:val="00A05E08"/>
    <w:rsid w:val="00A05E53"/>
    <w:rsid w:val="00A06A69"/>
    <w:rsid w:val="00A06B22"/>
    <w:rsid w:val="00A06DCF"/>
    <w:rsid w:val="00A06EB5"/>
    <w:rsid w:val="00A07641"/>
    <w:rsid w:val="00A07E18"/>
    <w:rsid w:val="00A1022E"/>
    <w:rsid w:val="00A1128D"/>
    <w:rsid w:val="00A11F8C"/>
    <w:rsid w:val="00A1229B"/>
    <w:rsid w:val="00A123C7"/>
    <w:rsid w:val="00A12B06"/>
    <w:rsid w:val="00A12C3F"/>
    <w:rsid w:val="00A131AE"/>
    <w:rsid w:val="00A1377E"/>
    <w:rsid w:val="00A14E88"/>
    <w:rsid w:val="00A154BE"/>
    <w:rsid w:val="00A1550D"/>
    <w:rsid w:val="00A15B52"/>
    <w:rsid w:val="00A16362"/>
    <w:rsid w:val="00A165EA"/>
    <w:rsid w:val="00A16617"/>
    <w:rsid w:val="00A16686"/>
    <w:rsid w:val="00A16B14"/>
    <w:rsid w:val="00A177B9"/>
    <w:rsid w:val="00A203E9"/>
    <w:rsid w:val="00A2074A"/>
    <w:rsid w:val="00A21EEB"/>
    <w:rsid w:val="00A22B53"/>
    <w:rsid w:val="00A230F4"/>
    <w:rsid w:val="00A235EA"/>
    <w:rsid w:val="00A238FC"/>
    <w:rsid w:val="00A24390"/>
    <w:rsid w:val="00A24EA8"/>
    <w:rsid w:val="00A2532F"/>
    <w:rsid w:val="00A257D9"/>
    <w:rsid w:val="00A25859"/>
    <w:rsid w:val="00A2587F"/>
    <w:rsid w:val="00A309D4"/>
    <w:rsid w:val="00A32409"/>
    <w:rsid w:val="00A3288B"/>
    <w:rsid w:val="00A3302D"/>
    <w:rsid w:val="00A3312B"/>
    <w:rsid w:val="00A33BA1"/>
    <w:rsid w:val="00A344D8"/>
    <w:rsid w:val="00A347F0"/>
    <w:rsid w:val="00A353DF"/>
    <w:rsid w:val="00A35E81"/>
    <w:rsid w:val="00A36616"/>
    <w:rsid w:val="00A37191"/>
    <w:rsid w:val="00A40E59"/>
    <w:rsid w:val="00A40F3C"/>
    <w:rsid w:val="00A41F4F"/>
    <w:rsid w:val="00A42404"/>
    <w:rsid w:val="00A42C8D"/>
    <w:rsid w:val="00A43728"/>
    <w:rsid w:val="00A43E7A"/>
    <w:rsid w:val="00A4468C"/>
    <w:rsid w:val="00A44AF1"/>
    <w:rsid w:val="00A44E6B"/>
    <w:rsid w:val="00A46CFC"/>
    <w:rsid w:val="00A46F1E"/>
    <w:rsid w:val="00A474FE"/>
    <w:rsid w:val="00A4776D"/>
    <w:rsid w:val="00A50FE1"/>
    <w:rsid w:val="00A51029"/>
    <w:rsid w:val="00A51409"/>
    <w:rsid w:val="00A52D50"/>
    <w:rsid w:val="00A5330A"/>
    <w:rsid w:val="00A5363F"/>
    <w:rsid w:val="00A53EE9"/>
    <w:rsid w:val="00A540DC"/>
    <w:rsid w:val="00A54905"/>
    <w:rsid w:val="00A54AB2"/>
    <w:rsid w:val="00A54D33"/>
    <w:rsid w:val="00A551ED"/>
    <w:rsid w:val="00A55653"/>
    <w:rsid w:val="00A56BDE"/>
    <w:rsid w:val="00A57974"/>
    <w:rsid w:val="00A579AB"/>
    <w:rsid w:val="00A60AAD"/>
    <w:rsid w:val="00A60AE1"/>
    <w:rsid w:val="00A60D9C"/>
    <w:rsid w:val="00A6189A"/>
    <w:rsid w:val="00A61CE2"/>
    <w:rsid w:val="00A61DAA"/>
    <w:rsid w:val="00A62E3D"/>
    <w:rsid w:val="00A63773"/>
    <w:rsid w:val="00A6429F"/>
    <w:rsid w:val="00A647D4"/>
    <w:rsid w:val="00A6491D"/>
    <w:rsid w:val="00A64927"/>
    <w:rsid w:val="00A656DA"/>
    <w:rsid w:val="00A65C32"/>
    <w:rsid w:val="00A6660B"/>
    <w:rsid w:val="00A66D4B"/>
    <w:rsid w:val="00A7051E"/>
    <w:rsid w:val="00A70E17"/>
    <w:rsid w:val="00A71506"/>
    <w:rsid w:val="00A71C2F"/>
    <w:rsid w:val="00A7235D"/>
    <w:rsid w:val="00A731B9"/>
    <w:rsid w:val="00A73361"/>
    <w:rsid w:val="00A73944"/>
    <w:rsid w:val="00A73D45"/>
    <w:rsid w:val="00A7428B"/>
    <w:rsid w:val="00A744FF"/>
    <w:rsid w:val="00A745CC"/>
    <w:rsid w:val="00A75DE4"/>
    <w:rsid w:val="00A76592"/>
    <w:rsid w:val="00A766C3"/>
    <w:rsid w:val="00A7672A"/>
    <w:rsid w:val="00A76FA3"/>
    <w:rsid w:val="00A807EE"/>
    <w:rsid w:val="00A80848"/>
    <w:rsid w:val="00A80AA4"/>
    <w:rsid w:val="00A8159C"/>
    <w:rsid w:val="00A81666"/>
    <w:rsid w:val="00A81724"/>
    <w:rsid w:val="00A819A5"/>
    <w:rsid w:val="00A81DAE"/>
    <w:rsid w:val="00A8207C"/>
    <w:rsid w:val="00A8210A"/>
    <w:rsid w:val="00A82595"/>
    <w:rsid w:val="00A8263E"/>
    <w:rsid w:val="00A82687"/>
    <w:rsid w:val="00A82F9F"/>
    <w:rsid w:val="00A83E0E"/>
    <w:rsid w:val="00A865C7"/>
    <w:rsid w:val="00A86967"/>
    <w:rsid w:val="00A86AB8"/>
    <w:rsid w:val="00A87A6F"/>
    <w:rsid w:val="00A87EE2"/>
    <w:rsid w:val="00A90A67"/>
    <w:rsid w:val="00A90BA2"/>
    <w:rsid w:val="00A90CC0"/>
    <w:rsid w:val="00A914A0"/>
    <w:rsid w:val="00A91EF1"/>
    <w:rsid w:val="00A91F77"/>
    <w:rsid w:val="00A93126"/>
    <w:rsid w:val="00A93419"/>
    <w:rsid w:val="00A93A5C"/>
    <w:rsid w:val="00A9450B"/>
    <w:rsid w:val="00A94711"/>
    <w:rsid w:val="00A94C63"/>
    <w:rsid w:val="00A95846"/>
    <w:rsid w:val="00A959B9"/>
    <w:rsid w:val="00A96463"/>
    <w:rsid w:val="00A968A1"/>
    <w:rsid w:val="00AA0907"/>
    <w:rsid w:val="00AA10A1"/>
    <w:rsid w:val="00AA216F"/>
    <w:rsid w:val="00AA2731"/>
    <w:rsid w:val="00AA34B2"/>
    <w:rsid w:val="00AA3CD9"/>
    <w:rsid w:val="00AA417A"/>
    <w:rsid w:val="00AA45D8"/>
    <w:rsid w:val="00AA4AD5"/>
    <w:rsid w:val="00AA5E6D"/>
    <w:rsid w:val="00AA6630"/>
    <w:rsid w:val="00AA6DC2"/>
    <w:rsid w:val="00AA72B0"/>
    <w:rsid w:val="00AB00FF"/>
    <w:rsid w:val="00AB01CC"/>
    <w:rsid w:val="00AB14C3"/>
    <w:rsid w:val="00AB1C07"/>
    <w:rsid w:val="00AB22D6"/>
    <w:rsid w:val="00AB23F8"/>
    <w:rsid w:val="00AB366B"/>
    <w:rsid w:val="00AB4617"/>
    <w:rsid w:val="00AB5AD0"/>
    <w:rsid w:val="00AB5B55"/>
    <w:rsid w:val="00AB621F"/>
    <w:rsid w:val="00AB78FD"/>
    <w:rsid w:val="00AB7A8D"/>
    <w:rsid w:val="00AC0253"/>
    <w:rsid w:val="00AC09EF"/>
    <w:rsid w:val="00AC1156"/>
    <w:rsid w:val="00AC199D"/>
    <w:rsid w:val="00AC1DA3"/>
    <w:rsid w:val="00AC22EB"/>
    <w:rsid w:val="00AC30F5"/>
    <w:rsid w:val="00AC43B4"/>
    <w:rsid w:val="00AC458E"/>
    <w:rsid w:val="00AC4C4F"/>
    <w:rsid w:val="00AC5552"/>
    <w:rsid w:val="00AC55FC"/>
    <w:rsid w:val="00AC59AC"/>
    <w:rsid w:val="00AC5B40"/>
    <w:rsid w:val="00AC6EEF"/>
    <w:rsid w:val="00AC6F34"/>
    <w:rsid w:val="00AC73CF"/>
    <w:rsid w:val="00AC74FB"/>
    <w:rsid w:val="00AC7FD7"/>
    <w:rsid w:val="00AD0006"/>
    <w:rsid w:val="00AD0EC6"/>
    <w:rsid w:val="00AD1351"/>
    <w:rsid w:val="00AD1770"/>
    <w:rsid w:val="00AD19EE"/>
    <w:rsid w:val="00AD1C76"/>
    <w:rsid w:val="00AD23D9"/>
    <w:rsid w:val="00AD25A8"/>
    <w:rsid w:val="00AD3346"/>
    <w:rsid w:val="00AD35D7"/>
    <w:rsid w:val="00AD397C"/>
    <w:rsid w:val="00AD5295"/>
    <w:rsid w:val="00AD573A"/>
    <w:rsid w:val="00AD6B47"/>
    <w:rsid w:val="00AD7CEF"/>
    <w:rsid w:val="00AE10D8"/>
    <w:rsid w:val="00AE273A"/>
    <w:rsid w:val="00AE339A"/>
    <w:rsid w:val="00AE3BB1"/>
    <w:rsid w:val="00AE4372"/>
    <w:rsid w:val="00AE455F"/>
    <w:rsid w:val="00AE501F"/>
    <w:rsid w:val="00AE5935"/>
    <w:rsid w:val="00AE5B60"/>
    <w:rsid w:val="00AE66B5"/>
    <w:rsid w:val="00AE697E"/>
    <w:rsid w:val="00AE6EF6"/>
    <w:rsid w:val="00AE7552"/>
    <w:rsid w:val="00AE7615"/>
    <w:rsid w:val="00AE796C"/>
    <w:rsid w:val="00AE7DC7"/>
    <w:rsid w:val="00AF03CD"/>
    <w:rsid w:val="00AF091D"/>
    <w:rsid w:val="00AF1CCB"/>
    <w:rsid w:val="00AF329C"/>
    <w:rsid w:val="00AF3457"/>
    <w:rsid w:val="00AF3BAA"/>
    <w:rsid w:val="00AF4BBE"/>
    <w:rsid w:val="00AF4FFA"/>
    <w:rsid w:val="00AF593D"/>
    <w:rsid w:val="00AF5AAA"/>
    <w:rsid w:val="00AF615A"/>
    <w:rsid w:val="00AF6238"/>
    <w:rsid w:val="00B050A7"/>
    <w:rsid w:val="00B05612"/>
    <w:rsid w:val="00B05740"/>
    <w:rsid w:val="00B05B79"/>
    <w:rsid w:val="00B05BCC"/>
    <w:rsid w:val="00B07E69"/>
    <w:rsid w:val="00B07FD2"/>
    <w:rsid w:val="00B10885"/>
    <w:rsid w:val="00B10B83"/>
    <w:rsid w:val="00B10DDB"/>
    <w:rsid w:val="00B113DE"/>
    <w:rsid w:val="00B11F75"/>
    <w:rsid w:val="00B121F6"/>
    <w:rsid w:val="00B12ABB"/>
    <w:rsid w:val="00B135C5"/>
    <w:rsid w:val="00B13D7B"/>
    <w:rsid w:val="00B14592"/>
    <w:rsid w:val="00B14E1A"/>
    <w:rsid w:val="00B14FA0"/>
    <w:rsid w:val="00B1512F"/>
    <w:rsid w:val="00B164F7"/>
    <w:rsid w:val="00B16FAD"/>
    <w:rsid w:val="00B172D2"/>
    <w:rsid w:val="00B22099"/>
    <w:rsid w:val="00B22798"/>
    <w:rsid w:val="00B22899"/>
    <w:rsid w:val="00B2345D"/>
    <w:rsid w:val="00B23813"/>
    <w:rsid w:val="00B23DDD"/>
    <w:rsid w:val="00B24F84"/>
    <w:rsid w:val="00B25785"/>
    <w:rsid w:val="00B258EA"/>
    <w:rsid w:val="00B25E96"/>
    <w:rsid w:val="00B26265"/>
    <w:rsid w:val="00B26583"/>
    <w:rsid w:val="00B26A9F"/>
    <w:rsid w:val="00B27128"/>
    <w:rsid w:val="00B27B3C"/>
    <w:rsid w:val="00B30407"/>
    <w:rsid w:val="00B30F19"/>
    <w:rsid w:val="00B310FF"/>
    <w:rsid w:val="00B31146"/>
    <w:rsid w:val="00B313FF"/>
    <w:rsid w:val="00B314DF"/>
    <w:rsid w:val="00B31A20"/>
    <w:rsid w:val="00B31F6A"/>
    <w:rsid w:val="00B32B9C"/>
    <w:rsid w:val="00B33326"/>
    <w:rsid w:val="00B33B29"/>
    <w:rsid w:val="00B3430A"/>
    <w:rsid w:val="00B34C50"/>
    <w:rsid w:val="00B34C7E"/>
    <w:rsid w:val="00B35806"/>
    <w:rsid w:val="00B363DA"/>
    <w:rsid w:val="00B369E9"/>
    <w:rsid w:val="00B36A20"/>
    <w:rsid w:val="00B36ACE"/>
    <w:rsid w:val="00B378F4"/>
    <w:rsid w:val="00B37EF8"/>
    <w:rsid w:val="00B4128B"/>
    <w:rsid w:val="00B41647"/>
    <w:rsid w:val="00B42B7F"/>
    <w:rsid w:val="00B43FEB"/>
    <w:rsid w:val="00B4491D"/>
    <w:rsid w:val="00B44956"/>
    <w:rsid w:val="00B45517"/>
    <w:rsid w:val="00B46545"/>
    <w:rsid w:val="00B46C30"/>
    <w:rsid w:val="00B46EBF"/>
    <w:rsid w:val="00B47042"/>
    <w:rsid w:val="00B470E1"/>
    <w:rsid w:val="00B4753C"/>
    <w:rsid w:val="00B47A39"/>
    <w:rsid w:val="00B47C0B"/>
    <w:rsid w:val="00B50021"/>
    <w:rsid w:val="00B511EE"/>
    <w:rsid w:val="00B5125F"/>
    <w:rsid w:val="00B51EFE"/>
    <w:rsid w:val="00B541E6"/>
    <w:rsid w:val="00B543D0"/>
    <w:rsid w:val="00B54827"/>
    <w:rsid w:val="00B54A5F"/>
    <w:rsid w:val="00B55011"/>
    <w:rsid w:val="00B55713"/>
    <w:rsid w:val="00B558CA"/>
    <w:rsid w:val="00B55C08"/>
    <w:rsid w:val="00B55D11"/>
    <w:rsid w:val="00B55D55"/>
    <w:rsid w:val="00B5607E"/>
    <w:rsid w:val="00B56BE9"/>
    <w:rsid w:val="00B57042"/>
    <w:rsid w:val="00B60A53"/>
    <w:rsid w:val="00B60C5A"/>
    <w:rsid w:val="00B60FDF"/>
    <w:rsid w:val="00B614E9"/>
    <w:rsid w:val="00B61969"/>
    <w:rsid w:val="00B6196E"/>
    <w:rsid w:val="00B62395"/>
    <w:rsid w:val="00B62C04"/>
    <w:rsid w:val="00B62CD0"/>
    <w:rsid w:val="00B62F0B"/>
    <w:rsid w:val="00B63631"/>
    <w:rsid w:val="00B63907"/>
    <w:rsid w:val="00B6410A"/>
    <w:rsid w:val="00B64366"/>
    <w:rsid w:val="00B6591C"/>
    <w:rsid w:val="00B65A4F"/>
    <w:rsid w:val="00B65D77"/>
    <w:rsid w:val="00B6630C"/>
    <w:rsid w:val="00B66924"/>
    <w:rsid w:val="00B700F6"/>
    <w:rsid w:val="00B70642"/>
    <w:rsid w:val="00B70CC7"/>
    <w:rsid w:val="00B71085"/>
    <w:rsid w:val="00B712B4"/>
    <w:rsid w:val="00B718EB"/>
    <w:rsid w:val="00B71B86"/>
    <w:rsid w:val="00B72415"/>
    <w:rsid w:val="00B73558"/>
    <w:rsid w:val="00B74569"/>
    <w:rsid w:val="00B74641"/>
    <w:rsid w:val="00B7465B"/>
    <w:rsid w:val="00B747FB"/>
    <w:rsid w:val="00B7494F"/>
    <w:rsid w:val="00B75629"/>
    <w:rsid w:val="00B75A6D"/>
    <w:rsid w:val="00B75D06"/>
    <w:rsid w:val="00B76A06"/>
    <w:rsid w:val="00B774CE"/>
    <w:rsid w:val="00B77A98"/>
    <w:rsid w:val="00B80A54"/>
    <w:rsid w:val="00B81292"/>
    <w:rsid w:val="00B81A2D"/>
    <w:rsid w:val="00B825D1"/>
    <w:rsid w:val="00B84205"/>
    <w:rsid w:val="00B84AD2"/>
    <w:rsid w:val="00B85464"/>
    <w:rsid w:val="00B8547F"/>
    <w:rsid w:val="00B856E2"/>
    <w:rsid w:val="00B85E17"/>
    <w:rsid w:val="00B85E25"/>
    <w:rsid w:val="00B862E3"/>
    <w:rsid w:val="00B86A3B"/>
    <w:rsid w:val="00B8763C"/>
    <w:rsid w:val="00B87DCA"/>
    <w:rsid w:val="00B9229D"/>
    <w:rsid w:val="00B93FE2"/>
    <w:rsid w:val="00B941DB"/>
    <w:rsid w:val="00B96EE4"/>
    <w:rsid w:val="00B972D5"/>
    <w:rsid w:val="00B97CE7"/>
    <w:rsid w:val="00BA075D"/>
    <w:rsid w:val="00BA0AAA"/>
    <w:rsid w:val="00BA1256"/>
    <w:rsid w:val="00BA20AF"/>
    <w:rsid w:val="00BA22A7"/>
    <w:rsid w:val="00BA307F"/>
    <w:rsid w:val="00BA44A0"/>
    <w:rsid w:val="00BA45F5"/>
    <w:rsid w:val="00BA4A4D"/>
    <w:rsid w:val="00BA4D24"/>
    <w:rsid w:val="00BA539D"/>
    <w:rsid w:val="00BA578A"/>
    <w:rsid w:val="00BA5E9B"/>
    <w:rsid w:val="00BA6046"/>
    <w:rsid w:val="00BA65F4"/>
    <w:rsid w:val="00BA6649"/>
    <w:rsid w:val="00BA6DAE"/>
    <w:rsid w:val="00BA73B1"/>
    <w:rsid w:val="00BB0451"/>
    <w:rsid w:val="00BB1A39"/>
    <w:rsid w:val="00BB1EF0"/>
    <w:rsid w:val="00BB2BAB"/>
    <w:rsid w:val="00BB2E81"/>
    <w:rsid w:val="00BB316C"/>
    <w:rsid w:val="00BB34D9"/>
    <w:rsid w:val="00BB4BC7"/>
    <w:rsid w:val="00BB5C03"/>
    <w:rsid w:val="00BB5F20"/>
    <w:rsid w:val="00BB787B"/>
    <w:rsid w:val="00BC0F58"/>
    <w:rsid w:val="00BC339D"/>
    <w:rsid w:val="00BC42D1"/>
    <w:rsid w:val="00BC45C0"/>
    <w:rsid w:val="00BC605B"/>
    <w:rsid w:val="00BC6A73"/>
    <w:rsid w:val="00BC7289"/>
    <w:rsid w:val="00BC7D24"/>
    <w:rsid w:val="00BC7E1E"/>
    <w:rsid w:val="00BD056F"/>
    <w:rsid w:val="00BD0A56"/>
    <w:rsid w:val="00BD0C2A"/>
    <w:rsid w:val="00BD0D5D"/>
    <w:rsid w:val="00BD1381"/>
    <w:rsid w:val="00BD1460"/>
    <w:rsid w:val="00BD14B4"/>
    <w:rsid w:val="00BD209D"/>
    <w:rsid w:val="00BD2B69"/>
    <w:rsid w:val="00BD305D"/>
    <w:rsid w:val="00BD32D0"/>
    <w:rsid w:val="00BD3BBC"/>
    <w:rsid w:val="00BD571D"/>
    <w:rsid w:val="00BD5E69"/>
    <w:rsid w:val="00BD6036"/>
    <w:rsid w:val="00BD6B42"/>
    <w:rsid w:val="00BD70CB"/>
    <w:rsid w:val="00BE07B4"/>
    <w:rsid w:val="00BE0955"/>
    <w:rsid w:val="00BE0984"/>
    <w:rsid w:val="00BE16CB"/>
    <w:rsid w:val="00BE1AE5"/>
    <w:rsid w:val="00BE2519"/>
    <w:rsid w:val="00BE28AF"/>
    <w:rsid w:val="00BE2B9C"/>
    <w:rsid w:val="00BE349B"/>
    <w:rsid w:val="00BE38AA"/>
    <w:rsid w:val="00BE3E56"/>
    <w:rsid w:val="00BE3FCF"/>
    <w:rsid w:val="00BE4849"/>
    <w:rsid w:val="00BE4BB3"/>
    <w:rsid w:val="00BE51F3"/>
    <w:rsid w:val="00BE5CBA"/>
    <w:rsid w:val="00BE69F0"/>
    <w:rsid w:val="00BE7B58"/>
    <w:rsid w:val="00BF0AD0"/>
    <w:rsid w:val="00BF23D4"/>
    <w:rsid w:val="00BF2611"/>
    <w:rsid w:val="00BF337C"/>
    <w:rsid w:val="00BF55D8"/>
    <w:rsid w:val="00BF5614"/>
    <w:rsid w:val="00BF75BA"/>
    <w:rsid w:val="00C00095"/>
    <w:rsid w:val="00C00FC5"/>
    <w:rsid w:val="00C0155B"/>
    <w:rsid w:val="00C01C2A"/>
    <w:rsid w:val="00C01E6A"/>
    <w:rsid w:val="00C01F87"/>
    <w:rsid w:val="00C02C60"/>
    <w:rsid w:val="00C03657"/>
    <w:rsid w:val="00C03CB5"/>
    <w:rsid w:val="00C04F58"/>
    <w:rsid w:val="00C054CF"/>
    <w:rsid w:val="00C06561"/>
    <w:rsid w:val="00C071DD"/>
    <w:rsid w:val="00C072F5"/>
    <w:rsid w:val="00C07360"/>
    <w:rsid w:val="00C07A32"/>
    <w:rsid w:val="00C07F28"/>
    <w:rsid w:val="00C1095D"/>
    <w:rsid w:val="00C10C1C"/>
    <w:rsid w:val="00C10DE3"/>
    <w:rsid w:val="00C1196A"/>
    <w:rsid w:val="00C11B6B"/>
    <w:rsid w:val="00C121D1"/>
    <w:rsid w:val="00C1265F"/>
    <w:rsid w:val="00C12BA1"/>
    <w:rsid w:val="00C12C40"/>
    <w:rsid w:val="00C149C9"/>
    <w:rsid w:val="00C15B91"/>
    <w:rsid w:val="00C15D5C"/>
    <w:rsid w:val="00C165A9"/>
    <w:rsid w:val="00C165D2"/>
    <w:rsid w:val="00C1678F"/>
    <w:rsid w:val="00C16A36"/>
    <w:rsid w:val="00C16AEE"/>
    <w:rsid w:val="00C173A7"/>
    <w:rsid w:val="00C17DE8"/>
    <w:rsid w:val="00C20B82"/>
    <w:rsid w:val="00C20F4C"/>
    <w:rsid w:val="00C21980"/>
    <w:rsid w:val="00C2219D"/>
    <w:rsid w:val="00C2284F"/>
    <w:rsid w:val="00C22F43"/>
    <w:rsid w:val="00C22FB4"/>
    <w:rsid w:val="00C2376B"/>
    <w:rsid w:val="00C246F6"/>
    <w:rsid w:val="00C25860"/>
    <w:rsid w:val="00C2691D"/>
    <w:rsid w:val="00C26F4B"/>
    <w:rsid w:val="00C27179"/>
    <w:rsid w:val="00C27966"/>
    <w:rsid w:val="00C27A46"/>
    <w:rsid w:val="00C27B7B"/>
    <w:rsid w:val="00C3083D"/>
    <w:rsid w:val="00C31FE1"/>
    <w:rsid w:val="00C32372"/>
    <w:rsid w:val="00C32FA7"/>
    <w:rsid w:val="00C33D1F"/>
    <w:rsid w:val="00C358AD"/>
    <w:rsid w:val="00C366F2"/>
    <w:rsid w:val="00C36880"/>
    <w:rsid w:val="00C36996"/>
    <w:rsid w:val="00C36E4F"/>
    <w:rsid w:val="00C373F5"/>
    <w:rsid w:val="00C37F76"/>
    <w:rsid w:val="00C37FFB"/>
    <w:rsid w:val="00C4076B"/>
    <w:rsid w:val="00C40A40"/>
    <w:rsid w:val="00C4317D"/>
    <w:rsid w:val="00C43E45"/>
    <w:rsid w:val="00C44746"/>
    <w:rsid w:val="00C44943"/>
    <w:rsid w:val="00C44BF1"/>
    <w:rsid w:val="00C450FD"/>
    <w:rsid w:val="00C451FA"/>
    <w:rsid w:val="00C4680E"/>
    <w:rsid w:val="00C475DD"/>
    <w:rsid w:val="00C47E92"/>
    <w:rsid w:val="00C501D5"/>
    <w:rsid w:val="00C504BF"/>
    <w:rsid w:val="00C51A00"/>
    <w:rsid w:val="00C52213"/>
    <w:rsid w:val="00C529C2"/>
    <w:rsid w:val="00C53141"/>
    <w:rsid w:val="00C540D2"/>
    <w:rsid w:val="00C5413A"/>
    <w:rsid w:val="00C541CF"/>
    <w:rsid w:val="00C54D50"/>
    <w:rsid w:val="00C54ECE"/>
    <w:rsid w:val="00C55533"/>
    <w:rsid w:val="00C556D3"/>
    <w:rsid w:val="00C55933"/>
    <w:rsid w:val="00C55DE9"/>
    <w:rsid w:val="00C5621B"/>
    <w:rsid w:val="00C57434"/>
    <w:rsid w:val="00C57DFC"/>
    <w:rsid w:val="00C60F46"/>
    <w:rsid w:val="00C612D1"/>
    <w:rsid w:val="00C6222C"/>
    <w:rsid w:val="00C62830"/>
    <w:rsid w:val="00C62BFA"/>
    <w:rsid w:val="00C63D7C"/>
    <w:rsid w:val="00C64053"/>
    <w:rsid w:val="00C6439A"/>
    <w:rsid w:val="00C6461E"/>
    <w:rsid w:val="00C64F6D"/>
    <w:rsid w:val="00C65675"/>
    <w:rsid w:val="00C669D5"/>
    <w:rsid w:val="00C71D49"/>
    <w:rsid w:val="00C726E8"/>
    <w:rsid w:val="00C72FA9"/>
    <w:rsid w:val="00C73184"/>
    <w:rsid w:val="00C743A9"/>
    <w:rsid w:val="00C74637"/>
    <w:rsid w:val="00C746E2"/>
    <w:rsid w:val="00C7483B"/>
    <w:rsid w:val="00C74E4F"/>
    <w:rsid w:val="00C75DBC"/>
    <w:rsid w:val="00C76987"/>
    <w:rsid w:val="00C76DC6"/>
    <w:rsid w:val="00C76EF1"/>
    <w:rsid w:val="00C76F96"/>
    <w:rsid w:val="00C771AC"/>
    <w:rsid w:val="00C77246"/>
    <w:rsid w:val="00C77C97"/>
    <w:rsid w:val="00C81831"/>
    <w:rsid w:val="00C81AF6"/>
    <w:rsid w:val="00C820C0"/>
    <w:rsid w:val="00C82F1E"/>
    <w:rsid w:val="00C84075"/>
    <w:rsid w:val="00C84786"/>
    <w:rsid w:val="00C84AC2"/>
    <w:rsid w:val="00C84B0F"/>
    <w:rsid w:val="00C84DD5"/>
    <w:rsid w:val="00C84F69"/>
    <w:rsid w:val="00C851EC"/>
    <w:rsid w:val="00C85589"/>
    <w:rsid w:val="00C86555"/>
    <w:rsid w:val="00C86A76"/>
    <w:rsid w:val="00C8740D"/>
    <w:rsid w:val="00C90049"/>
    <w:rsid w:val="00C9147D"/>
    <w:rsid w:val="00C917B2"/>
    <w:rsid w:val="00C91F4F"/>
    <w:rsid w:val="00C9243D"/>
    <w:rsid w:val="00C9282B"/>
    <w:rsid w:val="00C93A21"/>
    <w:rsid w:val="00C94AA5"/>
    <w:rsid w:val="00C94BDF"/>
    <w:rsid w:val="00C95BB1"/>
    <w:rsid w:val="00C9646B"/>
    <w:rsid w:val="00C96795"/>
    <w:rsid w:val="00C96B3C"/>
    <w:rsid w:val="00C97F58"/>
    <w:rsid w:val="00CA0204"/>
    <w:rsid w:val="00CA0AA4"/>
    <w:rsid w:val="00CA0D19"/>
    <w:rsid w:val="00CA15FB"/>
    <w:rsid w:val="00CA1BEC"/>
    <w:rsid w:val="00CA21C3"/>
    <w:rsid w:val="00CA25D6"/>
    <w:rsid w:val="00CA2603"/>
    <w:rsid w:val="00CA3470"/>
    <w:rsid w:val="00CA4E0C"/>
    <w:rsid w:val="00CA4FC2"/>
    <w:rsid w:val="00CA500B"/>
    <w:rsid w:val="00CA52D8"/>
    <w:rsid w:val="00CA6265"/>
    <w:rsid w:val="00CA687A"/>
    <w:rsid w:val="00CA6C39"/>
    <w:rsid w:val="00CA76BF"/>
    <w:rsid w:val="00CA7B26"/>
    <w:rsid w:val="00CB0F56"/>
    <w:rsid w:val="00CB123B"/>
    <w:rsid w:val="00CB138F"/>
    <w:rsid w:val="00CB16EB"/>
    <w:rsid w:val="00CB1701"/>
    <w:rsid w:val="00CB2C68"/>
    <w:rsid w:val="00CB2EFA"/>
    <w:rsid w:val="00CB50AD"/>
    <w:rsid w:val="00CB5BD0"/>
    <w:rsid w:val="00CB799D"/>
    <w:rsid w:val="00CC01D2"/>
    <w:rsid w:val="00CC07D1"/>
    <w:rsid w:val="00CC0B51"/>
    <w:rsid w:val="00CC0BC4"/>
    <w:rsid w:val="00CC101E"/>
    <w:rsid w:val="00CC23E2"/>
    <w:rsid w:val="00CC2679"/>
    <w:rsid w:val="00CC344F"/>
    <w:rsid w:val="00CC3A3D"/>
    <w:rsid w:val="00CC3DF5"/>
    <w:rsid w:val="00CC3E30"/>
    <w:rsid w:val="00CC5DDC"/>
    <w:rsid w:val="00CC66ED"/>
    <w:rsid w:val="00CC6804"/>
    <w:rsid w:val="00CC7823"/>
    <w:rsid w:val="00CC7BFF"/>
    <w:rsid w:val="00CC7C33"/>
    <w:rsid w:val="00CD1365"/>
    <w:rsid w:val="00CD191F"/>
    <w:rsid w:val="00CD1A12"/>
    <w:rsid w:val="00CD1D60"/>
    <w:rsid w:val="00CD2F39"/>
    <w:rsid w:val="00CD329D"/>
    <w:rsid w:val="00CD3490"/>
    <w:rsid w:val="00CD3E31"/>
    <w:rsid w:val="00CD468E"/>
    <w:rsid w:val="00CD4BFC"/>
    <w:rsid w:val="00CD4DA0"/>
    <w:rsid w:val="00CD511C"/>
    <w:rsid w:val="00CD56B8"/>
    <w:rsid w:val="00CD5735"/>
    <w:rsid w:val="00CD6E6C"/>
    <w:rsid w:val="00CD6FBF"/>
    <w:rsid w:val="00CD7705"/>
    <w:rsid w:val="00CD79FA"/>
    <w:rsid w:val="00CD7A20"/>
    <w:rsid w:val="00CD7BD2"/>
    <w:rsid w:val="00CD7C41"/>
    <w:rsid w:val="00CD7FBC"/>
    <w:rsid w:val="00CE012A"/>
    <w:rsid w:val="00CE0453"/>
    <w:rsid w:val="00CE07AB"/>
    <w:rsid w:val="00CE09C5"/>
    <w:rsid w:val="00CE21BC"/>
    <w:rsid w:val="00CE23E0"/>
    <w:rsid w:val="00CE26A6"/>
    <w:rsid w:val="00CE35E6"/>
    <w:rsid w:val="00CE388D"/>
    <w:rsid w:val="00CE3E0E"/>
    <w:rsid w:val="00CE50B7"/>
    <w:rsid w:val="00CE50F4"/>
    <w:rsid w:val="00CE51B1"/>
    <w:rsid w:val="00CE54D2"/>
    <w:rsid w:val="00CE54EA"/>
    <w:rsid w:val="00CE6A93"/>
    <w:rsid w:val="00CE7FE9"/>
    <w:rsid w:val="00CF0205"/>
    <w:rsid w:val="00CF0DD8"/>
    <w:rsid w:val="00CF0E52"/>
    <w:rsid w:val="00CF0F7F"/>
    <w:rsid w:val="00CF1334"/>
    <w:rsid w:val="00CF135A"/>
    <w:rsid w:val="00CF17AA"/>
    <w:rsid w:val="00CF24E5"/>
    <w:rsid w:val="00CF2B03"/>
    <w:rsid w:val="00CF30A9"/>
    <w:rsid w:val="00CF3DCE"/>
    <w:rsid w:val="00CF4296"/>
    <w:rsid w:val="00CF5BCD"/>
    <w:rsid w:val="00CF6386"/>
    <w:rsid w:val="00CF668F"/>
    <w:rsid w:val="00CF6FDD"/>
    <w:rsid w:val="00CF72DA"/>
    <w:rsid w:val="00CF74F3"/>
    <w:rsid w:val="00CF7EF0"/>
    <w:rsid w:val="00D02B77"/>
    <w:rsid w:val="00D0312D"/>
    <w:rsid w:val="00D03714"/>
    <w:rsid w:val="00D042FA"/>
    <w:rsid w:val="00D06282"/>
    <w:rsid w:val="00D063BA"/>
    <w:rsid w:val="00D06C01"/>
    <w:rsid w:val="00D06EAA"/>
    <w:rsid w:val="00D07005"/>
    <w:rsid w:val="00D07F72"/>
    <w:rsid w:val="00D10226"/>
    <w:rsid w:val="00D10808"/>
    <w:rsid w:val="00D108BE"/>
    <w:rsid w:val="00D10AD4"/>
    <w:rsid w:val="00D10EB0"/>
    <w:rsid w:val="00D1223F"/>
    <w:rsid w:val="00D12C43"/>
    <w:rsid w:val="00D130EC"/>
    <w:rsid w:val="00D1373B"/>
    <w:rsid w:val="00D1467A"/>
    <w:rsid w:val="00D14C85"/>
    <w:rsid w:val="00D1614D"/>
    <w:rsid w:val="00D16933"/>
    <w:rsid w:val="00D16A88"/>
    <w:rsid w:val="00D16D4D"/>
    <w:rsid w:val="00D16D68"/>
    <w:rsid w:val="00D16EC6"/>
    <w:rsid w:val="00D174D9"/>
    <w:rsid w:val="00D17EA0"/>
    <w:rsid w:val="00D20465"/>
    <w:rsid w:val="00D20827"/>
    <w:rsid w:val="00D20D29"/>
    <w:rsid w:val="00D20F3C"/>
    <w:rsid w:val="00D21F29"/>
    <w:rsid w:val="00D2226A"/>
    <w:rsid w:val="00D2276F"/>
    <w:rsid w:val="00D22C2D"/>
    <w:rsid w:val="00D2313B"/>
    <w:rsid w:val="00D2329F"/>
    <w:rsid w:val="00D232B1"/>
    <w:rsid w:val="00D235BE"/>
    <w:rsid w:val="00D23A5F"/>
    <w:rsid w:val="00D23B9E"/>
    <w:rsid w:val="00D23BE1"/>
    <w:rsid w:val="00D24D74"/>
    <w:rsid w:val="00D256CF"/>
    <w:rsid w:val="00D2586D"/>
    <w:rsid w:val="00D260C2"/>
    <w:rsid w:val="00D27493"/>
    <w:rsid w:val="00D27F3B"/>
    <w:rsid w:val="00D30DF9"/>
    <w:rsid w:val="00D330AE"/>
    <w:rsid w:val="00D33C34"/>
    <w:rsid w:val="00D33EB9"/>
    <w:rsid w:val="00D342FD"/>
    <w:rsid w:val="00D34A09"/>
    <w:rsid w:val="00D34E0D"/>
    <w:rsid w:val="00D351EF"/>
    <w:rsid w:val="00D35C02"/>
    <w:rsid w:val="00D360BD"/>
    <w:rsid w:val="00D36DE1"/>
    <w:rsid w:val="00D412CC"/>
    <w:rsid w:val="00D41F74"/>
    <w:rsid w:val="00D42350"/>
    <w:rsid w:val="00D42C99"/>
    <w:rsid w:val="00D42F15"/>
    <w:rsid w:val="00D43128"/>
    <w:rsid w:val="00D4445E"/>
    <w:rsid w:val="00D4470F"/>
    <w:rsid w:val="00D44AE0"/>
    <w:rsid w:val="00D45209"/>
    <w:rsid w:val="00D45A81"/>
    <w:rsid w:val="00D45EDE"/>
    <w:rsid w:val="00D4664C"/>
    <w:rsid w:val="00D46877"/>
    <w:rsid w:val="00D46BC4"/>
    <w:rsid w:val="00D46F46"/>
    <w:rsid w:val="00D47B50"/>
    <w:rsid w:val="00D504CA"/>
    <w:rsid w:val="00D5055E"/>
    <w:rsid w:val="00D50731"/>
    <w:rsid w:val="00D507CD"/>
    <w:rsid w:val="00D508BB"/>
    <w:rsid w:val="00D508BF"/>
    <w:rsid w:val="00D511F0"/>
    <w:rsid w:val="00D5137C"/>
    <w:rsid w:val="00D5142D"/>
    <w:rsid w:val="00D51DE7"/>
    <w:rsid w:val="00D53F28"/>
    <w:rsid w:val="00D54251"/>
    <w:rsid w:val="00D553F0"/>
    <w:rsid w:val="00D56021"/>
    <w:rsid w:val="00D56A38"/>
    <w:rsid w:val="00D56A6A"/>
    <w:rsid w:val="00D57480"/>
    <w:rsid w:val="00D578AC"/>
    <w:rsid w:val="00D578B2"/>
    <w:rsid w:val="00D61931"/>
    <w:rsid w:val="00D6199F"/>
    <w:rsid w:val="00D61AAA"/>
    <w:rsid w:val="00D625ED"/>
    <w:rsid w:val="00D62906"/>
    <w:rsid w:val="00D62987"/>
    <w:rsid w:val="00D62BFE"/>
    <w:rsid w:val="00D63EE2"/>
    <w:rsid w:val="00D64308"/>
    <w:rsid w:val="00D6454F"/>
    <w:rsid w:val="00D64B40"/>
    <w:rsid w:val="00D6683E"/>
    <w:rsid w:val="00D668CD"/>
    <w:rsid w:val="00D7011F"/>
    <w:rsid w:val="00D70196"/>
    <w:rsid w:val="00D7021E"/>
    <w:rsid w:val="00D71506"/>
    <w:rsid w:val="00D725EB"/>
    <w:rsid w:val="00D72B44"/>
    <w:rsid w:val="00D72F99"/>
    <w:rsid w:val="00D73824"/>
    <w:rsid w:val="00D73907"/>
    <w:rsid w:val="00D7487D"/>
    <w:rsid w:val="00D74950"/>
    <w:rsid w:val="00D7530B"/>
    <w:rsid w:val="00D7584D"/>
    <w:rsid w:val="00D76AFB"/>
    <w:rsid w:val="00D76C6E"/>
    <w:rsid w:val="00D77203"/>
    <w:rsid w:val="00D817F7"/>
    <w:rsid w:val="00D83143"/>
    <w:rsid w:val="00D84946"/>
    <w:rsid w:val="00D849FF"/>
    <w:rsid w:val="00D852AD"/>
    <w:rsid w:val="00D856B4"/>
    <w:rsid w:val="00D86094"/>
    <w:rsid w:val="00D86278"/>
    <w:rsid w:val="00D869DB"/>
    <w:rsid w:val="00D86A17"/>
    <w:rsid w:val="00D873C9"/>
    <w:rsid w:val="00D87630"/>
    <w:rsid w:val="00D87C29"/>
    <w:rsid w:val="00D87C91"/>
    <w:rsid w:val="00D90780"/>
    <w:rsid w:val="00D9117B"/>
    <w:rsid w:val="00D91199"/>
    <w:rsid w:val="00D911AF"/>
    <w:rsid w:val="00D912CD"/>
    <w:rsid w:val="00D91F53"/>
    <w:rsid w:val="00D93986"/>
    <w:rsid w:val="00D93BBF"/>
    <w:rsid w:val="00D93C3B"/>
    <w:rsid w:val="00D94D5C"/>
    <w:rsid w:val="00D94E54"/>
    <w:rsid w:val="00D958C6"/>
    <w:rsid w:val="00D96BDE"/>
    <w:rsid w:val="00D96F32"/>
    <w:rsid w:val="00D9716A"/>
    <w:rsid w:val="00D97269"/>
    <w:rsid w:val="00D97A78"/>
    <w:rsid w:val="00D97AA0"/>
    <w:rsid w:val="00DA01A9"/>
    <w:rsid w:val="00DA1176"/>
    <w:rsid w:val="00DA195B"/>
    <w:rsid w:val="00DA19E0"/>
    <w:rsid w:val="00DA235F"/>
    <w:rsid w:val="00DA2572"/>
    <w:rsid w:val="00DA2EF0"/>
    <w:rsid w:val="00DA3A52"/>
    <w:rsid w:val="00DA3D10"/>
    <w:rsid w:val="00DA3F71"/>
    <w:rsid w:val="00DA43DA"/>
    <w:rsid w:val="00DA556B"/>
    <w:rsid w:val="00DA6A47"/>
    <w:rsid w:val="00DA6F12"/>
    <w:rsid w:val="00DA7376"/>
    <w:rsid w:val="00DB01FA"/>
    <w:rsid w:val="00DB1B77"/>
    <w:rsid w:val="00DB1CCE"/>
    <w:rsid w:val="00DB2329"/>
    <w:rsid w:val="00DB2611"/>
    <w:rsid w:val="00DB28AE"/>
    <w:rsid w:val="00DB2B7B"/>
    <w:rsid w:val="00DB2D95"/>
    <w:rsid w:val="00DB3A29"/>
    <w:rsid w:val="00DB3B9B"/>
    <w:rsid w:val="00DB3EDD"/>
    <w:rsid w:val="00DB454A"/>
    <w:rsid w:val="00DB4760"/>
    <w:rsid w:val="00DB5301"/>
    <w:rsid w:val="00DB6184"/>
    <w:rsid w:val="00DB683E"/>
    <w:rsid w:val="00DC01CE"/>
    <w:rsid w:val="00DC0292"/>
    <w:rsid w:val="00DC1818"/>
    <w:rsid w:val="00DC1F8E"/>
    <w:rsid w:val="00DC2364"/>
    <w:rsid w:val="00DC349F"/>
    <w:rsid w:val="00DC3F50"/>
    <w:rsid w:val="00DC4749"/>
    <w:rsid w:val="00DC5822"/>
    <w:rsid w:val="00DC5FDE"/>
    <w:rsid w:val="00DC6C28"/>
    <w:rsid w:val="00DC6D82"/>
    <w:rsid w:val="00DC7111"/>
    <w:rsid w:val="00DC771A"/>
    <w:rsid w:val="00DC7A35"/>
    <w:rsid w:val="00DD00FA"/>
    <w:rsid w:val="00DD0183"/>
    <w:rsid w:val="00DD0357"/>
    <w:rsid w:val="00DD34FD"/>
    <w:rsid w:val="00DD4347"/>
    <w:rsid w:val="00DD461B"/>
    <w:rsid w:val="00DD4A35"/>
    <w:rsid w:val="00DD5377"/>
    <w:rsid w:val="00DE0358"/>
    <w:rsid w:val="00DE055F"/>
    <w:rsid w:val="00DE0D84"/>
    <w:rsid w:val="00DE1604"/>
    <w:rsid w:val="00DE1DBD"/>
    <w:rsid w:val="00DE2DFB"/>
    <w:rsid w:val="00DE37D3"/>
    <w:rsid w:val="00DE3B94"/>
    <w:rsid w:val="00DE3CE5"/>
    <w:rsid w:val="00DE4E64"/>
    <w:rsid w:val="00DE6521"/>
    <w:rsid w:val="00DE6798"/>
    <w:rsid w:val="00DE6E6C"/>
    <w:rsid w:val="00DE707F"/>
    <w:rsid w:val="00DE7809"/>
    <w:rsid w:val="00DF057E"/>
    <w:rsid w:val="00DF0BCB"/>
    <w:rsid w:val="00DF12FC"/>
    <w:rsid w:val="00DF16D2"/>
    <w:rsid w:val="00DF1BE0"/>
    <w:rsid w:val="00DF1ECE"/>
    <w:rsid w:val="00DF1F05"/>
    <w:rsid w:val="00DF3833"/>
    <w:rsid w:val="00DF38EE"/>
    <w:rsid w:val="00DF3914"/>
    <w:rsid w:val="00DF3E79"/>
    <w:rsid w:val="00DF51B5"/>
    <w:rsid w:val="00DF5363"/>
    <w:rsid w:val="00DF6842"/>
    <w:rsid w:val="00DF6D58"/>
    <w:rsid w:val="00DF7A3F"/>
    <w:rsid w:val="00E0060F"/>
    <w:rsid w:val="00E00889"/>
    <w:rsid w:val="00E02577"/>
    <w:rsid w:val="00E02659"/>
    <w:rsid w:val="00E02F9C"/>
    <w:rsid w:val="00E032D1"/>
    <w:rsid w:val="00E0348E"/>
    <w:rsid w:val="00E0370A"/>
    <w:rsid w:val="00E038F9"/>
    <w:rsid w:val="00E03AFB"/>
    <w:rsid w:val="00E0506A"/>
    <w:rsid w:val="00E05D82"/>
    <w:rsid w:val="00E0625C"/>
    <w:rsid w:val="00E066D4"/>
    <w:rsid w:val="00E06A32"/>
    <w:rsid w:val="00E07419"/>
    <w:rsid w:val="00E10292"/>
    <w:rsid w:val="00E11475"/>
    <w:rsid w:val="00E11796"/>
    <w:rsid w:val="00E119FF"/>
    <w:rsid w:val="00E1279B"/>
    <w:rsid w:val="00E12E79"/>
    <w:rsid w:val="00E13044"/>
    <w:rsid w:val="00E13E0F"/>
    <w:rsid w:val="00E142A7"/>
    <w:rsid w:val="00E1449E"/>
    <w:rsid w:val="00E15621"/>
    <w:rsid w:val="00E16253"/>
    <w:rsid w:val="00E16FCD"/>
    <w:rsid w:val="00E170A4"/>
    <w:rsid w:val="00E170C8"/>
    <w:rsid w:val="00E17363"/>
    <w:rsid w:val="00E1761D"/>
    <w:rsid w:val="00E17DD8"/>
    <w:rsid w:val="00E211B5"/>
    <w:rsid w:val="00E21961"/>
    <w:rsid w:val="00E21D37"/>
    <w:rsid w:val="00E2332C"/>
    <w:rsid w:val="00E24181"/>
    <w:rsid w:val="00E257F7"/>
    <w:rsid w:val="00E25863"/>
    <w:rsid w:val="00E260F7"/>
    <w:rsid w:val="00E26A78"/>
    <w:rsid w:val="00E274BA"/>
    <w:rsid w:val="00E27CA8"/>
    <w:rsid w:val="00E30495"/>
    <w:rsid w:val="00E31261"/>
    <w:rsid w:val="00E32101"/>
    <w:rsid w:val="00E323DC"/>
    <w:rsid w:val="00E32436"/>
    <w:rsid w:val="00E32EF2"/>
    <w:rsid w:val="00E33151"/>
    <w:rsid w:val="00E33210"/>
    <w:rsid w:val="00E3381B"/>
    <w:rsid w:val="00E33926"/>
    <w:rsid w:val="00E33B77"/>
    <w:rsid w:val="00E3433D"/>
    <w:rsid w:val="00E3607B"/>
    <w:rsid w:val="00E36D8C"/>
    <w:rsid w:val="00E3738D"/>
    <w:rsid w:val="00E37B9B"/>
    <w:rsid w:val="00E40B5E"/>
    <w:rsid w:val="00E4126A"/>
    <w:rsid w:val="00E41364"/>
    <w:rsid w:val="00E4136D"/>
    <w:rsid w:val="00E41D67"/>
    <w:rsid w:val="00E42E60"/>
    <w:rsid w:val="00E4310B"/>
    <w:rsid w:val="00E431BF"/>
    <w:rsid w:val="00E433FB"/>
    <w:rsid w:val="00E43494"/>
    <w:rsid w:val="00E43DF8"/>
    <w:rsid w:val="00E44219"/>
    <w:rsid w:val="00E44475"/>
    <w:rsid w:val="00E44850"/>
    <w:rsid w:val="00E4579B"/>
    <w:rsid w:val="00E466D9"/>
    <w:rsid w:val="00E46DB2"/>
    <w:rsid w:val="00E470D4"/>
    <w:rsid w:val="00E50DFC"/>
    <w:rsid w:val="00E50EBC"/>
    <w:rsid w:val="00E513B8"/>
    <w:rsid w:val="00E51546"/>
    <w:rsid w:val="00E518A7"/>
    <w:rsid w:val="00E518AB"/>
    <w:rsid w:val="00E51A50"/>
    <w:rsid w:val="00E51CB7"/>
    <w:rsid w:val="00E51EC0"/>
    <w:rsid w:val="00E51FA3"/>
    <w:rsid w:val="00E5212D"/>
    <w:rsid w:val="00E5229F"/>
    <w:rsid w:val="00E52F8C"/>
    <w:rsid w:val="00E531EC"/>
    <w:rsid w:val="00E54D9C"/>
    <w:rsid w:val="00E54E38"/>
    <w:rsid w:val="00E556FE"/>
    <w:rsid w:val="00E56092"/>
    <w:rsid w:val="00E56268"/>
    <w:rsid w:val="00E60662"/>
    <w:rsid w:val="00E60E12"/>
    <w:rsid w:val="00E61112"/>
    <w:rsid w:val="00E61149"/>
    <w:rsid w:val="00E626E3"/>
    <w:rsid w:val="00E62D2E"/>
    <w:rsid w:val="00E62D88"/>
    <w:rsid w:val="00E63305"/>
    <w:rsid w:val="00E63A0F"/>
    <w:rsid w:val="00E64F3D"/>
    <w:rsid w:val="00E65045"/>
    <w:rsid w:val="00E65375"/>
    <w:rsid w:val="00E660CF"/>
    <w:rsid w:val="00E660F4"/>
    <w:rsid w:val="00E6694F"/>
    <w:rsid w:val="00E67876"/>
    <w:rsid w:val="00E701C3"/>
    <w:rsid w:val="00E70BE1"/>
    <w:rsid w:val="00E71B11"/>
    <w:rsid w:val="00E733C5"/>
    <w:rsid w:val="00E734C1"/>
    <w:rsid w:val="00E738CC"/>
    <w:rsid w:val="00E739C8"/>
    <w:rsid w:val="00E7402F"/>
    <w:rsid w:val="00E74895"/>
    <w:rsid w:val="00E76C10"/>
    <w:rsid w:val="00E77872"/>
    <w:rsid w:val="00E8069B"/>
    <w:rsid w:val="00E81688"/>
    <w:rsid w:val="00E817F3"/>
    <w:rsid w:val="00E81CFC"/>
    <w:rsid w:val="00E83C4D"/>
    <w:rsid w:val="00E8406C"/>
    <w:rsid w:val="00E8491A"/>
    <w:rsid w:val="00E85B44"/>
    <w:rsid w:val="00E85C95"/>
    <w:rsid w:val="00E85E66"/>
    <w:rsid w:val="00E862FA"/>
    <w:rsid w:val="00E8676B"/>
    <w:rsid w:val="00E873E5"/>
    <w:rsid w:val="00E87E03"/>
    <w:rsid w:val="00E90E29"/>
    <w:rsid w:val="00E91E8C"/>
    <w:rsid w:val="00E91F00"/>
    <w:rsid w:val="00E9212F"/>
    <w:rsid w:val="00E923B8"/>
    <w:rsid w:val="00E936D8"/>
    <w:rsid w:val="00E93F42"/>
    <w:rsid w:val="00E9459C"/>
    <w:rsid w:val="00E94843"/>
    <w:rsid w:val="00E94B15"/>
    <w:rsid w:val="00E956AB"/>
    <w:rsid w:val="00E963F5"/>
    <w:rsid w:val="00E96713"/>
    <w:rsid w:val="00E96B39"/>
    <w:rsid w:val="00E97690"/>
    <w:rsid w:val="00E976BA"/>
    <w:rsid w:val="00E97720"/>
    <w:rsid w:val="00EA05A6"/>
    <w:rsid w:val="00EA0631"/>
    <w:rsid w:val="00EA148A"/>
    <w:rsid w:val="00EA18F0"/>
    <w:rsid w:val="00EA1928"/>
    <w:rsid w:val="00EA225F"/>
    <w:rsid w:val="00EA277A"/>
    <w:rsid w:val="00EA33F3"/>
    <w:rsid w:val="00EA3A74"/>
    <w:rsid w:val="00EA3ED3"/>
    <w:rsid w:val="00EA3F0B"/>
    <w:rsid w:val="00EA46BE"/>
    <w:rsid w:val="00EA47D9"/>
    <w:rsid w:val="00EA4C80"/>
    <w:rsid w:val="00EA54B8"/>
    <w:rsid w:val="00EA6276"/>
    <w:rsid w:val="00EA6A75"/>
    <w:rsid w:val="00EA6C5B"/>
    <w:rsid w:val="00EA6CCC"/>
    <w:rsid w:val="00EA6FA7"/>
    <w:rsid w:val="00EA721F"/>
    <w:rsid w:val="00EA7A7B"/>
    <w:rsid w:val="00EB00F6"/>
    <w:rsid w:val="00EB0103"/>
    <w:rsid w:val="00EB0553"/>
    <w:rsid w:val="00EB08D1"/>
    <w:rsid w:val="00EB0CD1"/>
    <w:rsid w:val="00EB111D"/>
    <w:rsid w:val="00EB1138"/>
    <w:rsid w:val="00EB184F"/>
    <w:rsid w:val="00EB4582"/>
    <w:rsid w:val="00EB53BF"/>
    <w:rsid w:val="00EB5431"/>
    <w:rsid w:val="00EB6762"/>
    <w:rsid w:val="00EB6F90"/>
    <w:rsid w:val="00EB75EF"/>
    <w:rsid w:val="00EB7BAD"/>
    <w:rsid w:val="00EC0DDC"/>
    <w:rsid w:val="00EC14FE"/>
    <w:rsid w:val="00EC171A"/>
    <w:rsid w:val="00EC2A2D"/>
    <w:rsid w:val="00EC3845"/>
    <w:rsid w:val="00EC4A0B"/>
    <w:rsid w:val="00EC4B9B"/>
    <w:rsid w:val="00EC4FC3"/>
    <w:rsid w:val="00EC6476"/>
    <w:rsid w:val="00EC68E3"/>
    <w:rsid w:val="00EC6A26"/>
    <w:rsid w:val="00EC6FF7"/>
    <w:rsid w:val="00EC7389"/>
    <w:rsid w:val="00EC7637"/>
    <w:rsid w:val="00EC7D42"/>
    <w:rsid w:val="00ED0768"/>
    <w:rsid w:val="00ED08E5"/>
    <w:rsid w:val="00ED12B7"/>
    <w:rsid w:val="00ED134E"/>
    <w:rsid w:val="00ED1592"/>
    <w:rsid w:val="00ED2172"/>
    <w:rsid w:val="00ED21A4"/>
    <w:rsid w:val="00ED2865"/>
    <w:rsid w:val="00ED3D61"/>
    <w:rsid w:val="00ED4C57"/>
    <w:rsid w:val="00ED4DE7"/>
    <w:rsid w:val="00ED5216"/>
    <w:rsid w:val="00ED52F9"/>
    <w:rsid w:val="00ED5710"/>
    <w:rsid w:val="00ED62F6"/>
    <w:rsid w:val="00ED6441"/>
    <w:rsid w:val="00ED687C"/>
    <w:rsid w:val="00ED69D9"/>
    <w:rsid w:val="00ED713B"/>
    <w:rsid w:val="00ED74EC"/>
    <w:rsid w:val="00ED7F3F"/>
    <w:rsid w:val="00EE0185"/>
    <w:rsid w:val="00EE033E"/>
    <w:rsid w:val="00EE07B8"/>
    <w:rsid w:val="00EE2E83"/>
    <w:rsid w:val="00EE309A"/>
    <w:rsid w:val="00EE3774"/>
    <w:rsid w:val="00EE4B08"/>
    <w:rsid w:val="00EE5267"/>
    <w:rsid w:val="00EE6583"/>
    <w:rsid w:val="00EE7313"/>
    <w:rsid w:val="00EE74E7"/>
    <w:rsid w:val="00EE7817"/>
    <w:rsid w:val="00EF29FF"/>
    <w:rsid w:val="00EF34CD"/>
    <w:rsid w:val="00EF3FA3"/>
    <w:rsid w:val="00EF42D4"/>
    <w:rsid w:val="00EF4340"/>
    <w:rsid w:val="00EF4D4F"/>
    <w:rsid w:val="00EF7284"/>
    <w:rsid w:val="00EF7E89"/>
    <w:rsid w:val="00F004FA"/>
    <w:rsid w:val="00F00D80"/>
    <w:rsid w:val="00F01071"/>
    <w:rsid w:val="00F013E8"/>
    <w:rsid w:val="00F014DC"/>
    <w:rsid w:val="00F02188"/>
    <w:rsid w:val="00F0252F"/>
    <w:rsid w:val="00F02A64"/>
    <w:rsid w:val="00F02DB2"/>
    <w:rsid w:val="00F02E1C"/>
    <w:rsid w:val="00F03313"/>
    <w:rsid w:val="00F042CD"/>
    <w:rsid w:val="00F04437"/>
    <w:rsid w:val="00F04D84"/>
    <w:rsid w:val="00F052AA"/>
    <w:rsid w:val="00F0564A"/>
    <w:rsid w:val="00F06726"/>
    <w:rsid w:val="00F068D8"/>
    <w:rsid w:val="00F07185"/>
    <w:rsid w:val="00F077B6"/>
    <w:rsid w:val="00F07BCB"/>
    <w:rsid w:val="00F10907"/>
    <w:rsid w:val="00F10979"/>
    <w:rsid w:val="00F112C4"/>
    <w:rsid w:val="00F11BEA"/>
    <w:rsid w:val="00F11F7B"/>
    <w:rsid w:val="00F1275F"/>
    <w:rsid w:val="00F1347D"/>
    <w:rsid w:val="00F13CE2"/>
    <w:rsid w:val="00F148E3"/>
    <w:rsid w:val="00F149D1"/>
    <w:rsid w:val="00F14C27"/>
    <w:rsid w:val="00F15B3F"/>
    <w:rsid w:val="00F15CB8"/>
    <w:rsid w:val="00F16068"/>
    <w:rsid w:val="00F16558"/>
    <w:rsid w:val="00F166A7"/>
    <w:rsid w:val="00F16E16"/>
    <w:rsid w:val="00F1706F"/>
    <w:rsid w:val="00F1739C"/>
    <w:rsid w:val="00F17930"/>
    <w:rsid w:val="00F2093F"/>
    <w:rsid w:val="00F20D13"/>
    <w:rsid w:val="00F20F8C"/>
    <w:rsid w:val="00F214B4"/>
    <w:rsid w:val="00F21C55"/>
    <w:rsid w:val="00F21F1D"/>
    <w:rsid w:val="00F22866"/>
    <w:rsid w:val="00F230F8"/>
    <w:rsid w:val="00F233F0"/>
    <w:rsid w:val="00F23D85"/>
    <w:rsid w:val="00F244A9"/>
    <w:rsid w:val="00F25160"/>
    <w:rsid w:val="00F25DE6"/>
    <w:rsid w:val="00F25F53"/>
    <w:rsid w:val="00F26FB5"/>
    <w:rsid w:val="00F27B26"/>
    <w:rsid w:val="00F3072E"/>
    <w:rsid w:val="00F310F2"/>
    <w:rsid w:val="00F318E2"/>
    <w:rsid w:val="00F3204E"/>
    <w:rsid w:val="00F33248"/>
    <w:rsid w:val="00F334EE"/>
    <w:rsid w:val="00F33DCC"/>
    <w:rsid w:val="00F33FE8"/>
    <w:rsid w:val="00F34960"/>
    <w:rsid w:val="00F34ADD"/>
    <w:rsid w:val="00F34CD8"/>
    <w:rsid w:val="00F352A2"/>
    <w:rsid w:val="00F3542D"/>
    <w:rsid w:val="00F35666"/>
    <w:rsid w:val="00F3597E"/>
    <w:rsid w:val="00F36A43"/>
    <w:rsid w:val="00F36CF3"/>
    <w:rsid w:val="00F408E0"/>
    <w:rsid w:val="00F40C88"/>
    <w:rsid w:val="00F40CDC"/>
    <w:rsid w:val="00F41491"/>
    <w:rsid w:val="00F41D94"/>
    <w:rsid w:val="00F425BA"/>
    <w:rsid w:val="00F438DB"/>
    <w:rsid w:val="00F446D8"/>
    <w:rsid w:val="00F44810"/>
    <w:rsid w:val="00F448F4"/>
    <w:rsid w:val="00F44982"/>
    <w:rsid w:val="00F44C5C"/>
    <w:rsid w:val="00F44FF3"/>
    <w:rsid w:val="00F45362"/>
    <w:rsid w:val="00F457E8"/>
    <w:rsid w:val="00F45919"/>
    <w:rsid w:val="00F4632B"/>
    <w:rsid w:val="00F4742C"/>
    <w:rsid w:val="00F4751C"/>
    <w:rsid w:val="00F47746"/>
    <w:rsid w:val="00F47D82"/>
    <w:rsid w:val="00F47F8C"/>
    <w:rsid w:val="00F502CD"/>
    <w:rsid w:val="00F50633"/>
    <w:rsid w:val="00F50A6B"/>
    <w:rsid w:val="00F5157D"/>
    <w:rsid w:val="00F518EC"/>
    <w:rsid w:val="00F51B71"/>
    <w:rsid w:val="00F52260"/>
    <w:rsid w:val="00F52609"/>
    <w:rsid w:val="00F527A1"/>
    <w:rsid w:val="00F52D9E"/>
    <w:rsid w:val="00F53296"/>
    <w:rsid w:val="00F5470E"/>
    <w:rsid w:val="00F5479C"/>
    <w:rsid w:val="00F5482D"/>
    <w:rsid w:val="00F54A44"/>
    <w:rsid w:val="00F54BBE"/>
    <w:rsid w:val="00F5537A"/>
    <w:rsid w:val="00F56E4D"/>
    <w:rsid w:val="00F56F6A"/>
    <w:rsid w:val="00F5702F"/>
    <w:rsid w:val="00F57FAF"/>
    <w:rsid w:val="00F60152"/>
    <w:rsid w:val="00F601E4"/>
    <w:rsid w:val="00F60D72"/>
    <w:rsid w:val="00F60DF9"/>
    <w:rsid w:val="00F625EC"/>
    <w:rsid w:val="00F63007"/>
    <w:rsid w:val="00F63229"/>
    <w:rsid w:val="00F63826"/>
    <w:rsid w:val="00F63E6B"/>
    <w:rsid w:val="00F64101"/>
    <w:rsid w:val="00F64B1E"/>
    <w:rsid w:val="00F65573"/>
    <w:rsid w:val="00F656FA"/>
    <w:rsid w:val="00F66E57"/>
    <w:rsid w:val="00F67256"/>
    <w:rsid w:val="00F67838"/>
    <w:rsid w:val="00F67D88"/>
    <w:rsid w:val="00F70045"/>
    <w:rsid w:val="00F70843"/>
    <w:rsid w:val="00F70CF6"/>
    <w:rsid w:val="00F70F6D"/>
    <w:rsid w:val="00F71143"/>
    <w:rsid w:val="00F7155B"/>
    <w:rsid w:val="00F723F5"/>
    <w:rsid w:val="00F72802"/>
    <w:rsid w:val="00F72A46"/>
    <w:rsid w:val="00F732C5"/>
    <w:rsid w:val="00F73BC0"/>
    <w:rsid w:val="00F743D5"/>
    <w:rsid w:val="00F74AF9"/>
    <w:rsid w:val="00F74F19"/>
    <w:rsid w:val="00F75427"/>
    <w:rsid w:val="00F75A20"/>
    <w:rsid w:val="00F7631E"/>
    <w:rsid w:val="00F7676E"/>
    <w:rsid w:val="00F76A83"/>
    <w:rsid w:val="00F77246"/>
    <w:rsid w:val="00F77509"/>
    <w:rsid w:val="00F80407"/>
    <w:rsid w:val="00F80736"/>
    <w:rsid w:val="00F80853"/>
    <w:rsid w:val="00F81174"/>
    <w:rsid w:val="00F811B5"/>
    <w:rsid w:val="00F81311"/>
    <w:rsid w:val="00F81813"/>
    <w:rsid w:val="00F829A1"/>
    <w:rsid w:val="00F8320A"/>
    <w:rsid w:val="00F83BF3"/>
    <w:rsid w:val="00F85555"/>
    <w:rsid w:val="00F864CA"/>
    <w:rsid w:val="00F90892"/>
    <w:rsid w:val="00F91291"/>
    <w:rsid w:val="00F9134F"/>
    <w:rsid w:val="00F91D9D"/>
    <w:rsid w:val="00F92FFE"/>
    <w:rsid w:val="00F93055"/>
    <w:rsid w:val="00F93C70"/>
    <w:rsid w:val="00F94EC3"/>
    <w:rsid w:val="00F95050"/>
    <w:rsid w:val="00F95501"/>
    <w:rsid w:val="00F9589C"/>
    <w:rsid w:val="00F96450"/>
    <w:rsid w:val="00F96FE4"/>
    <w:rsid w:val="00F97F1A"/>
    <w:rsid w:val="00FA07BA"/>
    <w:rsid w:val="00FA0C96"/>
    <w:rsid w:val="00FA166A"/>
    <w:rsid w:val="00FA180A"/>
    <w:rsid w:val="00FA1C5C"/>
    <w:rsid w:val="00FA223C"/>
    <w:rsid w:val="00FA22E0"/>
    <w:rsid w:val="00FA25A0"/>
    <w:rsid w:val="00FA27BF"/>
    <w:rsid w:val="00FA3BFA"/>
    <w:rsid w:val="00FA3CEF"/>
    <w:rsid w:val="00FA3F1C"/>
    <w:rsid w:val="00FA41D4"/>
    <w:rsid w:val="00FA48F1"/>
    <w:rsid w:val="00FA4C6F"/>
    <w:rsid w:val="00FA53F3"/>
    <w:rsid w:val="00FA5681"/>
    <w:rsid w:val="00FA574D"/>
    <w:rsid w:val="00FA63E2"/>
    <w:rsid w:val="00FB0FBA"/>
    <w:rsid w:val="00FB41D5"/>
    <w:rsid w:val="00FB5E86"/>
    <w:rsid w:val="00FB62F4"/>
    <w:rsid w:val="00FB77D8"/>
    <w:rsid w:val="00FB7BE0"/>
    <w:rsid w:val="00FB7D84"/>
    <w:rsid w:val="00FC0477"/>
    <w:rsid w:val="00FC0B2F"/>
    <w:rsid w:val="00FC0DF5"/>
    <w:rsid w:val="00FC2639"/>
    <w:rsid w:val="00FC2EC3"/>
    <w:rsid w:val="00FC3F94"/>
    <w:rsid w:val="00FC4653"/>
    <w:rsid w:val="00FC49EA"/>
    <w:rsid w:val="00FC4F0F"/>
    <w:rsid w:val="00FC50DA"/>
    <w:rsid w:val="00FC595F"/>
    <w:rsid w:val="00FC647B"/>
    <w:rsid w:val="00FC685C"/>
    <w:rsid w:val="00FC6AAC"/>
    <w:rsid w:val="00FC6B5F"/>
    <w:rsid w:val="00FC6D48"/>
    <w:rsid w:val="00FC7301"/>
    <w:rsid w:val="00FD0660"/>
    <w:rsid w:val="00FD07CB"/>
    <w:rsid w:val="00FD0B57"/>
    <w:rsid w:val="00FD1151"/>
    <w:rsid w:val="00FD1330"/>
    <w:rsid w:val="00FD1653"/>
    <w:rsid w:val="00FD1A60"/>
    <w:rsid w:val="00FD1D31"/>
    <w:rsid w:val="00FD23B1"/>
    <w:rsid w:val="00FD28F5"/>
    <w:rsid w:val="00FD360E"/>
    <w:rsid w:val="00FD5FA2"/>
    <w:rsid w:val="00FD6A9E"/>
    <w:rsid w:val="00FD6E1F"/>
    <w:rsid w:val="00FD6F53"/>
    <w:rsid w:val="00FD7046"/>
    <w:rsid w:val="00FD7279"/>
    <w:rsid w:val="00FD7480"/>
    <w:rsid w:val="00FD75DF"/>
    <w:rsid w:val="00FE0022"/>
    <w:rsid w:val="00FE040A"/>
    <w:rsid w:val="00FE18C3"/>
    <w:rsid w:val="00FE1F1A"/>
    <w:rsid w:val="00FE229A"/>
    <w:rsid w:val="00FE2871"/>
    <w:rsid w:val="00FE3201"/>
    <w:rsid w:val="00FE4345"/>
    <w:rsid w:val="00FE5470"/>
    <w:rsid w:val="00FE5DA7"/>
    <w:rsid w:val="00FE60CD"/>
    <w:rsid w:val="00FE612E"/>
    <w:rsid w:val="00FE63A8"/>
    <w:rsid w:val="00FE6D89"/>
    <w:rsid w:val="00FE74E4"/>
    <w:rsid w:val="00FE77E0"/>
    <w:rsid w:val="00FE7A3E"/>
    <w:rsid w:val="00FE7F38"/>
    <w:rsid w:val="00FE7FDF"/>
    <w:rsid w:val="00FF038B"/>
    <w:rsid w:val="00FF20D5"/>
    <w:rsid w:val="00FF2CBE"/>
    <w:rsid w:val="00FF2DBF"/>
    <w:rsid w:val="00FF4880"/>
    <w:rsid w:val="00FF5C7E"/>
    <w:rsid w:val="00FF5EEB"/>
    <w:rsid w:val="00FF657F"/>
    <w:rsid w:val="00FF6FAE"/>
    <w:rsid w:val="00FF7150"/>
    <w:rsid w:val="00FF755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0F"/>
    <w:pPr>
      <w:spacing w:after="120" w:line="276" w:lineRule="auto"/>
      <w:jc w:val="both"/>
    </w:pPr>
    <w:rPr>
      <w:rFonts w:ascii="Arial" w:eastAsia="Calibri" w:hAnsi="Arial" w:cs="Times New Roman"/>
      <w:color w:val="000000" w:themeColor="text1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2B7A3D"/>
    <w:pPr>
      <w:keepNext/>
      <w:tabs>
        <w:tab w:val="left" w:pos="1985"/>
      </w:tabs>
      <w:jc w:val="center"/>
      <w:outlineLvl w:val="0"/>
    </w:pPr>
    <w:rPr>
      <w:rFonts w:eastAsiaTheme="majorEastAsia" w:cstheme="majorBidi"/>
      <w:b/>
      <w:bCs/>
      <w:color w:val="1F497D" w:themeColor="text2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B5A30"/>
    <w:pPr>
      <w:keepNext/>
      <w:numPr>
        <w:numId w:val="35"/>
      </w:numPr>
      <w:spacing w:before="240" w:after="60"/>
      <w:jc w:val="center"/>
      <w:outlineLvl w:val="1"/>
    </w:pPr>
    <w:rPr>
      <w:rFonts w:eastAsiaTheme="majorEastAsia" w:cstheme="majorBidi"/>
      <w:b/>
      <w:bCs/>
      <w:iCs/>
      <w:color w:val="1F497D" w:themeColor="text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0DF5"/>
    <w:pPr>
      <w:keepNext/>
      <w:keepLines/>
      <w:numPr>
        <w:ilvl w:val="2"/>
        <w:numId w:val="6"/>
      </w:numPr>
      <w:spacing w:before="200" w:after="0"/>
      <w:jc w:val="left"/>
      <w:outlineLvl w:val="2"/>
    </w:pPr>
    <w:rPr>
      <w:rFonts w:eastAsiaTheme="majorEastAsia" w:cstheme="majorBidi"/>
      <w:bCs/>
      <w:iCs/>
      <w:color w:val="1F497D" w:themeColor="text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0DF5"/>
    <w:pPr>
      <w:keepNext/>
      <w:keepLines/>
      <w:numPr>
        <w:ilvl w:val="3"/>
        <w:numId w:val="6"/>
      </w:numPr>
      <w:spacing w:before="200" w:after="0"/>
      <w:outlineLvl w:val="3"/>
    </w:pPr>
    <w:rPr>
      <w:rFonts w:eastAsiaTheme="majorEastAsia" w:cstheme="majorBidi"/>
      <w:bCs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C0DF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0DF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0DF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0DF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0DF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21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2B7A3D"/>
    <w:rPr>
      <w:rFonts w:ascii="Arial" w:eastAsiaTheme="majorEastAsia" w:hAnsi="Arial" w:cstheme="majorBidi"/>
      <w:b/>
      <w:bCs/>
      <w:color w:val="1F497D" w:themeColor="text2"/>
      <w:kern w:val="32"/>
      <w:sz w:val="32"/>
      <w:szCs w:val="32"/>
      <w:lang w:val="cs-CZ" w:eastAsia="en-US"/>
    </w:rPr>
  </w:style>
  <w:style w:type="character" w:customStyle="1" w:styleId="Nadpis2Char">
    <w:name w:val="Nadpis 2 Char"/>
    <w:basedOn w:val="Standardnpsmoodstavce"/>
    <w:link w:val="Nadpis2"/>
    <w:rsid w:val="008B5A30"/>
    <w:rPr>
      <w:rFonts w:ascii="Arial" w:eastAsiaTheme="majorEastAsia" w:hAnsi="Arial" w:cstheme="majorBidi"/>
      <w:b/>
      <w:bCs/>
      <w:iCs/>
      <w:color w:val="1F497D" w:themeColor="text2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4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404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customStyle="1" w:styleId="MarginNote">
    <w:name w:val="Margin Note"/>
    <w:basedOn w:val="Normln"/>
    <w:autoRedefine/>
    <w:uiPriority w:val="99"/>
    <w:qFormat/>
    <w:rsid w:val="00C85589"/>
    <w:pPr>
      <w:keepNext/>
      <w:framePr w:w="1928" w:hSpace="340" w:vSpace="181" w:wrap="around" w:vAnchor="text" w:hAnchor="page" w:y="1"/>
      <w:jc w:val="right"/>
    </w:pPr>
    <w:rPr>
      <w:b/>
      <w:color w:val="17365D"/>
      <w:sz w:val="18"/>
    </w:rPr>
  </w:style>
  <w:style w:type="paragraph" w:styleId="Zhlav">
    <w:name w:val="header"/>
    <w:basedOn w:val="Normln"/>
    <w:link w:val="ZhlavChar"/>
    <w:unhideWhenUsed/>
    <w:rsid w:val="001606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620"/>
    <w:rPr>
      <w:rFonts w:ascii="Calibri" w:eastAsia="Calibri" w:hAnsi="Calibri" w:cs="Times New Roman"/>
      <w:color w:val="404040"/>
      <w:sz w:val="22"/>
      <w:szCs w:val="22"/>
      <w:lang w:val="cs-CZ" w:eastAsia="en-US"/>
    </w:rPr>
  </w:style>
  <w:style w:type="paragraph" w:styleId="Zpat">
    <w:name w:val="footer"/>
    <w:basedOn w:val="Normln"/>
    <w:link w:val="ZpatChar"/>
    <w:unhideWhenUsed/>
    <w:rsid w:val="001606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620"/>
    <w:rPr>
      <w:rFonts w:ascii="Calibri" w:eastAsia="Calibri" w:hAnsi="Calibri" w:cs="Times New Roman"/>
      <w:color w:val="404040"/>
      <w:sz w:val="22"/>
      <w:szCs w:val="22"/>
      <w:lang w:val="cs-CZ" w:eastAsia="en-US"/>
    </w:rPr>
  </w:style>
  <w:style w:type="character" w:styleId="slostrnky">
    <w:name w:val="page number"/>
    <w:basedOn w:val="Standardnpsmoodstavce"/>
    <w:unhideWhenUsed/>
    <w:rsid w:val="00A73944"/>
  </w:style>
  <w:style w:type="paragraph" w:styleId="Obsah1">
    <w:name w:val="toc 1"/>
    <w:basedOn w:val="Normln"/>
    <w:next w:val="Normln"/>
    <w:autoRedefine/>
    <w:uiPriority w:val="39"/>
    <w:unhideWhenUsed/>
    <w:rsid w:val="007011CA"/>
    <w:pPr>
      <w:tabs>
        <w:tab w:val="left" w:pos="440"/>
        <w:tab w:val="right" w:leader="dot" w:pos="8789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A87EE2"/>
    <w:pPr>
      <w:tabs>
        <w:tab w:val="left" w:pos="880"/>
        <w:tab w:val="right" w:leader="dot" w:pos="8789"/>
      </w:tabs>
      <w:ind w:left="220" w:right="706"/>
    </w:pPr>
  </w:style>
  <w:style w:type="paragraph" w:styleId="Obsah3">
    <w:name w:val="toc 3"/>
    <w:basedOn w:val="Normln"/>
    <w:next w:val="Normln"/>
    <w:autoRedefine/>
    <w:uiPriority w:val="39"/>
    <w:unhideWhenUsed/>
    <w:rsid w:val="003C630A"/>
    <w:pPr>
      <w:tabs>
        <w:tab w:val="right" w:leader="dot" w:pos="8789"/>
      </w:tabs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93C3B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93C3B"/>
    <w:pPr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93C3B"/>
    <w:pPr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93C3B"/>
    <w:pPr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93C3B"/>
    <w:pPr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93C3B"/>
    <w:pPr>
      <w:ind w:left="1760"/>
    </w:pPr>
  </w:style>
  <w:style w:type="paragraph" w:styleId="Odstavecseseznamem">
    <w:name w:val="List Paragraph"/>
    <w:aliases w:val="Conclusion de partie,nad 1"/>
    <w:basedOn w:val="Normln"/>
    <w:link w:val="OdstavecseseznamemChar"/>
    <w:uiPriority w:val="34"/>
    <w:qFormat/>
    <w:rsid w:val="003E33E8"/>
    <w:pPr>
      <w:numPr>
        <w:numId w:val="1"/>
      </w:numPr>
      <w:contextualSpacing/>
    </w:pPr>
  </w:style>
  <w:style w:type="paragraph" w:customStyle="1" w:styleId="Box">
    <w:name w:val="Box"/>
    <w:basedOn w:val="Normln"/>
    <w:link w:val="BoxChar"/>
    <w:rsid w:val="00C72FA9"/>
    <w:pPr>
      <w:pBdr>
        <w:top w:val="single" w:sz="12" w:space="1" w:color="4F81BD" w:themeColor="accent1"/>
        <w:left w:val="single" w:sz="12" w:space="4" w:color="4F81BD" w:themeColor="accent1"/>
        <w:bottom w:val="single" w:sz="12" w:space="1" w:color="4F81BD" w:themeColor="accent1"/>
        <w:right w:val="single" w:sz="12" w:space="4" w:color="4F81BD" w:themeColor="accent1"/>
      </w:pBdr>
      <w:shd w:val="clear" w:color="auto" w:fill="DBE5F1" w:themeFill="accent1" w:themeFillTint="33"/>
      <w:ind w:left="-1701" w:right="-93"/>
    </w:pPr>
  </w:style>
  <w:style w:type="paragraph" w:styleId="Titulek">
    <w:name w:val="caption"/>
    <w:basedOn w:val="Normln"/>
    <w:next w:val="Normln"/>
    <w:uiPriority w:val="35"/>
    <w:unhideWhenUsed/>
    <w:qFormat/>
    <w:rsid w:val="007812B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xChar">
    <w:name w:val="Box Char"/>
    <w:basedOn w:val="Standardnpsmoodstavce"/>
    <w:link w:val="Box"/>
    <w:rsid w:val="00C72FA9"/>
    <w:rPr>
      <w:rFonts w:ascii="Calibri" w:eastAsia="Calibri" w:hAnsi="Calibri" w:cs="Times New Roman"/>
      <w:color w:val="404040"/>
      <w:sz w:val="22"/>
      <w:szCs w:val="22"/>
      <w:shd w:val="clear" w:color="auto" w:fill="DBE5F1" w:themeFill="accent1" w:themeFillTint="33"/>
      <w:lang w:val="cs-CZ" w:eastAsia="en-US"/>
    </w:rPr>
  </w:style>
  <w:style w:type="paragraph" w:customStyle="1" w:styleId="Boxtitle">
    <w:name w:val="Box title"/>
    <w:basedOn w:val="Box"/>
    <w:link w:val="BoxtitleChar"/>
    <w:rsid w:val="00C72FA9"/>
    <w:rPr>
      <w:b/>
      <w:color w:val="1F497D" w:themeColor="text2"/>
      <w:sz w:val="24"/>
    </w:rPr>
  </w:style>
  <w:style w:type="character" w:customStyle="1" w:styleId="BoxtitleChar">
    <w:name w:val="Box title Char"/>
    <w:basedOn w:val="BoxChar"/>
    <w:link w:val="Boxtitle"/>
    <w:rsid w:val="00C72FA9"/>
    <w:rPr>
      <w:rFonts w:ascii="Calibri" w:eastAsia="Calibri" w:hAnsi="Calibri" w:cs="Times New Roman"/>
      <w:b/>
      <w:color w:val="1F497D" w:themeColor="text2"/>
      <w:sz w:val="22"/>
      <w:szCs w:val="22"/>
      <w:shd w:val="clear" w:color="auto" w:fill="DBE5F1" w:themeFill="accent1" w:themeFillTint="33"/>
      <w:lang w:val="cs-CZ" w:eastAsia="en-US"/>
    </w:rPr>
  </w:style>
  <w:style w:type="paragraph" w:customStyle="1" w:styleId="Figurenote">
    <w:name w:val="Figure note"/>
    <w:basedOn w:val="Normln"/>
    <w:link w:val="FigurenoteChar"/>
    <w:qFormat/>
    <w:rsid w:val="00C86555"/>
    <w:pPr>
      <w:spacing w:after="220" w:line="240" w:lineRule="auto"/>
      <w:ind w:left="567" w:right="49"/>
      <w:jc w:val="right"/>
    </w:pPr>
    <w:rPr>
      <w:color w:val="7F7F7F" w:themeColor="text1" w:themeTint="80"/>
      <w:sz w:val="16"/>
    </w:rPr>
  </w:style>
  <w:style w:type="character" w:customStyle="1" w:styleId="FigurenoteChar">
    <w:name w:val="Figure note Char"/>
    <w:basedOn w:val="Standardnpsmoodstavce"/>
    <w:link w:val="Figurenote"/>
    <w:rsid w:val="00C86555"/>
    <w:rPr>
      <w:rFonts w:ascii="Calibri" w:eastAsia="Calibri" w:hAnsi="Calibri" w:cs="Times New Roman"/>
      <w:color w:val="7F7F7F" w:themeColor="text1" w:themeTint="80"/>
      <w:sz w:val="16"/>
      <w:szCs w:val="22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C0DF5"/>
    <w:rPr>
      <w:rFonts w:ascii="Calibri" w:eastAsiaTheme="majorEastAsia" w:hAnsi="Calibri" w:cstheme="majorBidi"/>
      <w:bCs/>
      <w:iCs/>
      <w:color w:val="1F497D" w:themeColor="text2"/>
      <w:sz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C0DF5"/>
    <w:rPr>
      <w:rFonts w:ascii="Calibri" w:eastAsiaTheme="majorEastAsia" w:hAnsi="Calibri" w:cstheme="majorBidi"/>
      <w:bCs/>
      <w:iCs/>
      <w:color w:val="4F81BD" w:themeColor="accent1"/>
      <w:sz w:val="22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C0DF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0D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0DF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0D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0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3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3D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3D0C"/>
    <w:rPr>
      <w:rFonts w:ascii="Calibri" w:eastAsia="Calibri" w:hAnsi="Calibri" w:cs="Times New Roman"/>
      <w:color w:val="404040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D0C"/>
    <w:rPr>
      <w:rFonts w:ascii="Calibri" w:eastAsia="Calibri" w:hAnsi="Calibri" w:cs="Times New Roman"/>
      <w:b/>
      <w:bCs/>
      <w:color w:val="404040"/>
      <w:sz w:val="20"/>
      <w:szCs w:val="20"/>
      <w:lang w:val="cs-CZ" w:eastAsia="en-US"/>
    </w:rPr>
  </w:style>
  <w:style w:type="paragraph" w:styleId="Seznamobrzk">
    <w:name w:val="table of figures"/>
    <w:basedOn w:val="Normln"/>
    <w:next w:val="Normln"/>
    <w:uiPriority w:val="99"/>
    <w:unhideWhenUsed/>
    <w:rsid w:val="001C2D69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1C2D6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27128"/>
    <w:rPr>
      <w:b/>
      <w:bCs/>
    </w:rPr>
  </w:style>
  <w:style w:type="paragraph" w:styleId="Textpoznpodarou">
    <w:name w:val="footnote text"/>
    <w:aliases w:val=" Char, Char Char Char"/>
    <w:basedOn w:val="Normln"/>
    <w:link w:val="TextpoznpodarouChar"/>
    <w:uiPriority w:val="99"/>
    <w:unhideWhenUsed/>
    <w:rsid w:val="007622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 Char Char, Char Char Char Char"/>
    <w:basedOn w:val="Standardnpsmoodstavce"/>
    <w:link w:val="Textpoznpodarou"/>
    <w:uiPriority w:val="99"/>
    <w:rsid w:val="00762298"/>
    <w:rPr>
      <w:rFonts w:ascii="Calibri" w:eastAsia="Calibri" w:hAnsi="Calibri" w:cs="Times New Roman"/>
      <w:color w:val="404040"/>
      <w:sz w:val="20"/>
      <w:szCs w:val="20"/>
      <w:lang w:val="cs-CZ" w:eastAsia="en-US"/>
    </w:rPr>
  </w:style>
  <w:style w:type="character" w:styleId="Znakapoznpodarou">
    <w:name w:val="footnote reference"/>
    <w:basedOn w:val="Standardnpsmoodstavce"/>
    <w:uiPriority w:val="99"/>
    <w:unhideWhenUsed/>
    <w:rsid w:val="00762298"/>
    <w:rPr>
      <w:vertAlign w:val="superscript"/>
    </w:rPr>
  </w:style>
  <w:style w:type="paragraph" w:customStyle="1" w:styleId="MarginTable">
    <w:name w:val="Margin Table"/>
    <w:basedOn w:val="MarginNote"/>
    <w:qFormat/>
    <w:rsid w:val="007E3E3B"/>
    <w:pPr>
      <w:framePr w:w="0" w:hSpace="0" w:vSpace="0" w:wrap="auto" w:vAnchor="margin" w:hAnchor="text" w:yAlign="inline"/>
      <w:ind w:left="-1985"/>
      <w:jc w:val="left"/>
    </w:pPr>
  </w:style>
  <w:style w:type="character" w:styleId="Sledovanodkaz">
    <w:name w:val="FollowedHyperlink"/>
    <w:basedOn w:val="Standardnpsmoodstavce"/>
    <w:uiPriority w:val="99"/>
    <w:semiHidden/>
    <w:unhideWhenUsed/>
    <w:rsid w:val="009347AF"/>
    <w:rPr>
      <w:color w:val="800080" w:themeColor="followed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2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227BE3"/>
    <w:rPr>
      <w:rFonts w:ascii="Tahoma" w:eastAsia="Calibri" w:hAnsi="Tahoma" w:cs="Tahoma"/>
      <w:color w:val="404040"/>
      <w:sz w:val="16"/>
      <w:szCs w:val="16"/>
      <w:lang w:val="cs-CZ" w:eastAsia="en-US"/>
    </w:rPr>
  </w:style>
  <w:style w:type="table" w:customStyle="1" w:styleId="LightShading-Accent11">
    <w:name w:val="Light Shading - Accent 11"/>
    <w:basedOn w:val="Normlntabulka"/>
    <w:uiPriority w:val="60"/>
    <w:rsid w:val="0009419A"/>
    <w:rPr>
      <w:rFonts w:ascii="Times New Roman" w:eastAsia="Helvetica" w:hAnsi="Times New Roman" w:cs="Times New Roman"/>
      <w:color w:val="365F91" w:themeColor="accent1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ighlight">
    <w:name w:val="Highlight"/>
    <w:basedOn w:val="Normln"/>
    <w:link w:val="HighlightChar"/>
    <w:qFormat/>
    <w:rsid w:val="0058491F"/>
    <w:pPr>
      <w:ind w:left="567" w:right="758"/>
      <w:jc w:val="center"/>
    </w:pPr>
    <w:rPr>
      <w:color w:val="1F497D" w:themeColor="text2"/>
      <w:sz w:val="28"/>
      <w:szCs w:val="28"/>
    </w:rPr>
  </w:style>
  <w:style w:type="character" w:customStyle="1" w:styleId="HighlightChar">
    <w:name w:val="Highlight Char"/>
    <w:basedOn w:val="Standardnpsmoodstavce"/>
    <w:link w:val="Highlight"/>
    <w:rsid w:val="0058491F"/>
    <w:rPr>
      <w:rFonts w:ascii="Calibri" w:eastAsia="Calibri" w:hAnsi="Calibri" w:cs="Times New Roman"/>
      <w:color w:val="1F497D" w:themeColor="text2"/>
      <w:sz w:val="28"/>
      <w:szCs w:val="28"/>
      <w:lang w:val="cs-CZ" w:eastAsia="en-US"/>
    </w:rPr>
  </w:style>
  <w:style w:type="character" w:styleId="Zvraznn">
    <w:name w:val="Emphasis"/>
    <w:basedOn w:val="Standardnpsmoodstavce"/>
    <w:uiPriority w:val="20"/>
    <w:qFormat/>
    <w:rsid w:val="00C55DE9"/>
    <w:rPr>
      <w:i/>
      <w:iCs/>
    </w:rPr>
  </w:style>
  <w:style w:type="paragraph" w:styleId="Normlnweb">
    <w:name w:val="Normal (Web)"/>
    <w:basedOn w:val="Normln"/>
    <w:uiPriority w:val="99"/>
    <w:unhideWhenUsed/>
    <w:rsid w:val="00000D4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color w:val="auto"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747739"/>
  </w:style>
  <w:style w:type="paragraph" w:customStyle="1" w:styleId="Margi">
    <w:name w:val="Margi"/>
    <w:basedOn w:val="Normln"/>
    <w:qFormat/>
    <w:rsid w:val="0071765F"/>
    <w:pPr>
      <w:spacing w:after="200"/>
    </w:pPr>
    <w:rPr>
      <w:rFonts w:asciiTheme="minorHAnsi" w:eastAsiaTheme="minorHAnsi" w:hAnsiTheme="minorHAnsi" w:cstheme="minorBidi"/>
      <w:color w:val="auto"/>
    </w:rPr>
  </w:style>
  <w:style w:type="paragraph" w:customStyle="1" w:styleId="CharChar1CharCharChar">
    <w:name w:val="Char Char1 Char Char Char"/>
    <w:basedOn w:val="Normln"/>
    <w:rsid w:val="00E90E29"/>
    <w:pPr>
      <w:spacing w:after="160" w:line="240" w:lineRule="exact"/>
      <w:jc w:val="left"/>
    </w:pPr>
    <w:rPr>
      <w:rFonts w:ascii="Times New Roman Bold" w:eastAsia="Times New Roman" w:hAnsi="Times New Roman Bold"/>
      <w:color w:val="auto"/>
      <w:szCs w:val="26"/>
      <w:lang w:val="sk-SK"/>
    </w:rPr>
  </w:style>
  <w:style w:type="character" w:customStyle="1" w:styleId="st">
    <w:name w:val="st"/>
    <w:basedOn w:val="Standardnpsmoodstavce"/>
    <w:rsid w:val="00A744FF"/>
  </w:style>
  <w:style w:type="paragraph" w:customStyle="1" w:styleId="Default">
    <w:name w:val="Default"/>
    <w:rsid w:val="006D6E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cs-CZ" w:eastAsia="en-US"/>
    </w:rPr>
  </w:style>
  <w:style w:type="paragraph" w:styleId="Revize">
    <w:name w:val="Revision"/>
    <w:hidden/>
    <w:uiPriority w:val="99"/>
    <w:semiHidden/>
    <w:rsid w:val="0001042E"/>
    <w:rPr>
      <w:rFonts w:ascii="Calibri" w:eastAsia="Calibri" w:hAnsi="Calibri" w:cs="Times New Roman"/>
      <w:color w:val="404040"/>
      <w:sz w:val="22"/>
      <w:szCs w:val="22"/>
      <w:lang w:val="cs-CZ" w:eastAsia="en-US"/>
    </w:rPr>
  </w:style>
  <w:style w:type="paragraph" w:customStyle="1" w:styleId="Zkladntextodsazen31">
    <w:name w:val="Základní text odsazený 31"/>
    <w:basedOn w:val="Normln"/>
    <w:rsid w:val="001B0C27"/>
    <w:pPr>
      <w:widowControl w:val="0"/>
      <w:overflowPunct w:val="0"/>
      <w:autoSpaceDE w:val="0"/>
      <w:autoSpaceDN w:val="0"/>
      <w:adjustRightInd w:val="0"/>
      <w:spacing w:after="0" w:line="360" w:lineRule="auto"/>
      <w:ind w:firstLine="708"/>
    </w:pPr>
    <w:rPr>
      <w:rFonts w:eastAsia="Times New Roman"/>
      <w:color w:val="auto"/>
      <w:sz w:val="24"/>
      <w:szCs w:val="20"/>
      <w:lang w:eastAsia="cs-CZ"/>
    </w:rPr>
  </w:style>
  <w:style w:type="table" w:styleId="Stednmka1zvraznn6">
    <w:name w:val="Medium Grid 1 Accent 6"/>
    <w:basedOn w:val="Normlntabulka"/>
    <w:uiPriority w:val="67"/>
    <w:rsid w:val="00167869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st1">
    <w:name w:val="st1"/>
    <w:basedOn w:val="Standardnpsmoodstavce"/>
    <w:rsid w:val="009F6A5D"/>
  </w:style>
  <w:style w:type="paragraph" w:customStyle="1" w:styleId="Modrnadpis">
    <w:name w:val="Modrý nadpis"/>
    <w:basedOn w:val="Nadpis4"/>
    <w:link w:val="ModrnadpisChar"/>
    <w:qFormat/>
    <w:rsid w:val="00D43128"/>
    <w:pPr>
      <w:numPr>
        <w:ilvl w:val="0"/>
        <w:numId w:val="0"/>
      </w:numPr>
      <w:spacing w:before="240" w:after="120"/>
      <w:ind w:left="862" w:hanging="862"/>
    </w:pPr>
    <w:rPr>
      <w:rFonts w:ascii="Times New Roman" w:eastAsia="Times New Roman" w:hAnsi="Times New Roman" w:cs="Times New Roman"/>
      <w:b/>
      <w:color w:val="548DD4"/>
      <w:sz w:val="24"/>
      <w:szCs w:val="20"/>
      <w:lang/>
    </w:rPr>
  </w:style>
  <w:style w:type="character" w:customStyle="1" w:styleId="ModrnadpisChar">
    <w:name w:val="Modrý nadpis Char"/>
    <w:link w:val="Modrnadpis"/>
    <w:rsid w:val="00D43128"/>
    <w:rPr>
      <w:rFonts w:ascii="Times New Roman" w:eastAsia="Times New Roman" w:hAnsi="Times New Roman" w:cs="Times New Roman"/>
      <w:b/>
      <w:bCs/>
      <w:iCs/>
      <w:color w:val="548DD4"/>
      <w:szCs w:val="20"/>
      <w:lang/>
    </w:rPr>
  </w:style>
  <w:style w:type="paragraph" w:customStyle="1" w:styleId="Standardntext">
    <w:name w:val="Standardní text"/>
    <w:basedOn w:val="Normln"/>
    <w:link w:val="StandardntextChar"/>
    <w:qFormat/>
    <w:rsid w:val="008D1DA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color w:val="auto"/>
      <w:sz w:val="24"/>
      <w:szCs w:val="24"/>
      <w:lang/>
    </w:rPr>
  </w:style>
  <w:style w:type="character" w:customStyle="1" w:styleId="StandardntextChar">
    <w:name w:val="Standardní text Char"/>
    <w:link w:val="Standardntext"/>
    <w:rsid w:val="008D1DAC"/>
    <w:rPr>
      <w:rFonts w:ascii="Times New Roman" w:eastAsia="Times New Roman" w:hAnsi="Times New Roman" w:cs="Times New Roman"/>
      <w:lang/>
    </w:rPr>
  </w:style>
  <w:style w:type="character" w:customStyle="1" w:styleId="highlight0">
    <w:name w:val="highlight"/>
    <w:basedOn w:val="Standardnpsmoodstavce"/>
    <w:rsid w:val="00EE6583"/>
  </w:style>
  <w:style w:type="character" w:customStyle="1" w:styleId="OdstavecseseznamemChar">
    <w:name w:val="Odstavec se seznamem Char"/>
    <w:aliases w:val="Conclusion de partie Char,nad 1 Char"/>
    <w:link w:val="Odstavecseseznamem"/>
    <w:uiPriority w:val="34"/>
    <w:rsid w:val="00C75DBC"/>
    <w:rPr>
      <w:rFonts w:ascii="Arial" w:eastAsia="Calibri" w:hAnsi="Arial" w:cs="Times New Roman"/>
      <w:color w:val="000000" w:themeColor="text1"/>
      <w:sz w:val="22"/>
      <w:szCs w:val="22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0F"/>
    <w:pPr>
      <w:spacing w:after="120" w:line="276" w:lineRule="auto"/>
      <w:jc w:val="both"/>
    </w:pPr>
    <w:rPr>
      <w:rFonts w:ascii="Arial" w:eastAsia="Calibri" w:hAnsi="Arial" w:cs="Times New Roman"/>
      <w:color w:val="000000" w:themeColor="text1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2B7A3D"/>
    <w:pPr>
      <w:keepNext/>
      <w:tabs>
        <w:tab w:val="left" w:pos="1985"/>
      </w:tabs>
      <w:jc w:val="center"/>
      <w:outlineLvl w:val="0"/>
    </w:pPr>
    <w:rPr>
      <w:rFonts w:eastAsiaTheme="majorEastAsia" w:cstheme="majorBidi"/>
      <w:b/>
      <w:bCs/>
      <w:color w:val="1F497D" w:themeColor="text2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B5A30"/>
    <w:pPr>
      <w:keepNext/>
      <w:numPr>
        <w:numId w:val="35"/>
      </w:numPr>
      <w:spacing w:before="240" w:after="60"/>
      <w:jc w:val="center"/>
      <w:outlineLvl w:val="1"/>
    </w:pPr>
    <w:rPr>
      <w:rFonts w:eastAsiaTheme="majorEastAsia" w:cstheme="majorBidi"/>
      <w:b/>
      <w:bCs/>
      <w:iCs/>
      <w:color w:val="1F497D" w:themeColor="text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0DF5"/>
    <w:pPr>
      <w:keepNext/>
      <w:keepLines/>
      <w:numPr>
        <w:ilvl w:val="2"/>
        <w:numId w:val="6"/>
      </w:numPr>
      <w:spacing w:before="200" w:after="0"/>
      <w:jc w:val="left"/>
      <w:outlineLvl w:val="2"/>
    </w:pPr>
    <w:rPr>
      <w:rFonts w:eastAsiaTheme="majorEastAsia" w:cstheme="majorBidi"/>
      <w:bCs/>
      <w:iCs/>
      <w:color w:val="1F497D" w:themeColor="text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C0DF5"/>
    <w:pPr>
      <w:keepNext/>
      <w:keepLines/>
      <w:numPr>
        <w:ilvl w:val="3"/>
        <w:numId w:val="6"/>
      </w:numPr>
      <w:spacing w:before="200" w:after="0"/>
      <w:outlineLvl w:val="3"/>
    </w:pPr>
    <w:rPr>
      <w:rFonts w:eastAsiaTheme="majorEastAsia" w:cstheme="majorBidi"/>
      <w:bCs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C0DF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0DF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0DF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0DF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0DF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21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2B7A3D"/>
    <w:rPr>
      <w:rFonts w:ascii="Arial" w:eastAsiaTheme="majorEastAsia" w:hAnsi="Arial" w:cstheme="majorBidi"/>
      <w:b/>
      <w:bCs/>
      <w:color w:val="1F497D" w:themeColor="text2"/>
      <w:kern w:val="32"/>
      <w:sz w:val="32"/>
      <w:szCs w:val="32"/>
      <w:lang w:val="cs-CZ" w:eastAsia="en-US"/>
    </w:rPr>
  </w:style>
  <w:style w:type="character" w:customStyle="1" w:styleId="Nadpis2Char">
    <w:name w:val="Nadpis 2 Char"/>
    <w:basedOn w:val="Standardnpsmoodstavce"/>
    <w:link w:val="Nadpis2"/>
    <w:rsid w:val="008B5A30"/>
    <w:rPr>
      <w:rFonts w:ascii="Arial" w:eastAsiaTheme="majorEastAsia" w:hAnsi="Arial" w:cstheme="majorBidi"/>
      <w:b/>
      <w:bCs/>
      <w:iCs/>
      <w:color w:val="1F497D" w:themeColor="text2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4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404"/>
    <w:rPr>
      <w:rFonts w:ascii="Lucida Grande" w:eastAsia="Times New Roman" w:hAnsi="Lucida Grande" w:cs="Lucida Grande"/>
      <w:sz w:val="18"/>
      <w:szCs w:val="18"/>
      <w:lang w:val="en-GB" w:eastAsia="en-GB"/>
    </w:rPr>
  </w:style>
  <w:style w:type="paragraph" w:customStyle="1" w:styleId="MarginNote">
    <w:name w:val="Margin Note"/>
    <w:basedOn w:val="Normln"/>
    <w:autoRedefine/>
    <w:uiPriority w:val="99"/>
    <w:qFormat/>
    <w:rsid w:val="00C85589"/>
    <w:pPr>
      <w:keepNext/>
      <w:framePr w:w="1928" w:hSpace="340" w:vSpace="181" w:wrap="around" w:vAnchor="text" w:hAnchor="page" w:y="1"/>
      <w:jc w:val="right"/>
    </w:pPr>
    <w:rPr>
      <w:b/>
      <w:color w:val="17365D"/>
      <w:sz w:val="18"/>
    </w:rPr>
  </w:style>
  <w:style w:type="paragraph" w:styleId="Zhlav">
    <w:name w:val="header"/>
    <w:basedOn w:val="Normln"/>
    <w:link w:val="ZhlavChar"/>
    <w:unhideWhenUsed/>
    <w:rsid w:val="001606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0620"/>
    <w:rPr>
      <w:rFonts w:ascii="Calibri" w:eastAsia="Calibri" w:hAnsi="Calibri" w:cs="Times New Roman"/>
      <w:color w:val="404040"/>
      <w:sz w:val="22"/>
      <w:szCs w:val="22"/>
      <w:lang w:val="cs-CZ" w:eastAsia="en-US"/>
    </w:rPr>
  </w:style>
  <w:style w:type="paragraph" w:styleId="Zpat">
    <w:name w:val="footer"/>
    <w:basedOn w:val="Normln"/>
    <w:link w:val="ZpatChar"/>
    <w:unhideWhenUsed/>
    <w:rsid w:val="001606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0620"/>
    <w:rPr>
      <w:rFonts w:ascii="Calibri" w:eastAsia="Calibri" w:hAnsi="Calibri" w:cs="Times New Roman"/>
      <w:color w:val="404040"/>
      <w:sz w:val="22"/>
      <w:szCs w:val="22"/>
      <w:lang w:val="cs-CZ" w:eastAsia="en-US"/>
    </w:rPr>
  </w:style>
  <w:style w:type="character" w:styleId="slostrnky">
    <w:name w:val="page number"/>
    <w:basedOn w:val="Standardnpsmoodstavce"/>
    <w:unhideWhenUsed/>
    <w:rsid w:val="00A73944"/>
  </w:style>
  <w:style w:type="paragraph" w:styleId="Obsah1">
    <w:name w:val="toc 1"/>
    <w:basedOn w:val="Normln"/>
    <w:next w:val="Normln"/>
    <w:autoRedefine/>
    <w:uiPriority w:val="39"/>
    <w:unhideWhenUsed/>
    <w:rsid w:val="007011CA"/>
    <w:pPr>
      <w:tabs>
        <w:tab w:val="left" w:pos="440"/>
        <w:tab w:val="right" w:leader="dot" w:pos="8789"/>
      </w:tabs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A87EE2"/>
    <w:pPr>
      <w:tabs>
        <w:tab w:val="left" w:pos="880"/>
        <w:tab w:val="right" w:leader="dot" w:pos="8789"/>
      </w:tabs>
      <w:ind w:left="220" w:right="706"/>
    </w:pPr>
  </w:style>
  <w:style w:type="paragraph" w:styleId="Obsah3">
    <w:name w:val="toc 3"/>
    <w:basedOn w:val="Normln"/>
    <w:next w:val="Normln"/>
    <w:autoRedefine/>
    <w:uiPriority w:val="39"/>
    <w:unhideWhenUsed/>
    <w:rsid w:val="003C630A"/>
    <w:pPr>
      <w:tabs>
        <w:tab w:val="right" w:leader="dot" w:pos="8789"/>
      </w:tabs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93C3B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93C3B"/>
    <w:pPr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93C3B"/>
    <w:pPr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93C3B"/>
    <w:pPr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93C3B"/>
    <w:pPr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93C3B"/>
    <w:pPr>
      <w:ind w:left="1760"/>
    </w:pPr>
  </w:style>
  <w:style w:type="paragraph" w:styleId="Odstavecseseznamem">
    <w:name w:val="List Paragraph"/>
    <w:aliases w:val="Conclusion de partie,nad 1"/>
    <w:basedOn w:val="Normln"/>
    <w:link w:val="OdstavecseseznamemChar"/>
    <w:uiPriority w:val="34"/>
    <w:qFormat/>
    <w:rsid w:val="003E33E8"/>
    <w:pPr>
      <w:numPr>
        <w:numId w:val="1"/>
      </w:numPr>
      <w:contextualSpacing/>
    </w:pPr>
  </w:style>
  <w:style w:type="paragraph" w:customStyle="1" w:styleId="Box">
    <w:name w:val="Box"/>
    <w:basedOn w:val="Normln"/>
    <w:link w:val="BoxChar"/>
    <w:rsid w:val="00C72FA9"/>
    <w:pPr>
      <w:pBdr>
        <w:top w:val="single" w:sz="12" w:space="1" w:color="4F81BD" w:themeColor="accent1"/>
        <w:left w:val="single" w:sz="12" w:space="4" w:color="4F81BD" w:themeColor="accent1"/>
        <w:bottom w:val="single" w:sz="12" w:space="1" w:color="4F81BD" w:themeColor="accent1"/>
        <w:right w:val="single" w:sz="12" w:space="4" w:color="4F81BD" w:themeColor="accent1"/>
      </w:pBdr>
      <w:shd w:val="clear" w:color="auto" w:fill="DBE5F1" w:themeFill="accent1" w:themeFillTint="33"/>
      <w:ind w:left="-1701" w:right="-93"/>
    </w:pPr>
  </w:style>
  <w:style w:type="paragraph" w:styleId="Titulek">
    <w:name w:val="caption"/>
    <w:basedOn w:val="Normln"/>
    <w:next w:val="Normln"/>
    <w:uiPriority w:val="35"/>
    <w:unhideWhenUsed/>
    <w:qFormat/>
    <w:rsid w:val="007812B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oxChar">
    <w:name w:val="Box Char"/>
    <w:basedOn w:val="Standardnpsmoodstavce"/>
    <w:link w:val="Box"/>
    <w:rsid w:val="00C72FA9"/>
    <w:rPr>
      <w:rFonts w:ascii="Calibri" w:eastAsia="Calibri" w:hAnsi="Calibri" w:cs="Times New Roman"/>
      <w:color w:val="404040"/>
      <w:sz w:val="22"/>
      <w:szCs w:val="22"/>
      <w:shd w:val="clear" w:color="auto" w:fill="DBE5F1" w:themeFill="accent1" w:themeFillTint="33"/>
      <w:lang w:val="cs-CZ" w:eastAsia="en-US"/>
    </w:rPr>
  </w:style>
  <w:style w:type="paragraph" w:customStyle="1" w:styleId="Boxtitle">
    <w:name w:val="Box title"/>
    <w:basedOn w:val="Box"/>
    <w:link w:val="BoxtitleChar"/>
    <w:rsid w:val="00C72FA9"/>
    <w:rPr>
      <w:b/>
      <w:color w:val="1F497D" w:themeColor="text2"/>
      <w:sz w:val="24"/>
    </w:rPr>
  </w:style>
  <w:style w:type="character" w:customStyle="1" w:styleId="BoxtitleChar">
    <w:name w:val="Box title Char"/>
    <w:basedOn w:val="BoxChar"/>
    <w:link w:val="Boxtitle"/>
    <w:rsid w:val="00C72FA9"/>
    <w:rPr>
      <w:rFonts w:ascii="Calibri" w:eastAsia="Calibri" w:hAnsi="Calibri" w:cs="Times New Roman"/>
      <w:b/>
      <w:color w:val="1F497D" w:themeColor="text2"/>
      <w:sz w:val="22"/>
      <w:szCs w:val="22"/>
      <w:shd w:val="clear" w:color="auto" w:fill="DBE5F1" w:themeFill="accent1" w:themeFillTint="33"/>
      <w:lang w:val="cs-CZ" w:eastAsia="en-US"/>
    </w:rPr>
  </w:style>
  <w:style w:type="paragraph" w:customStyle="1" w:styleId="Figurenote">
    <w:name w:val="Figure note"/>
    <w:basedOn w:val="Normln"/>
    <w:link w:val="FigurenoteChar"/>
    <w:qFormat/>
    <w:rsid w:val="00C86555"/>
    <w:pPr>
      <w:spacing w:after="220" w:line="240" w:lineRule="auto"/>
      <w:ind w:left="567" w:right="49"/>
      <w:jc w:val="right"/>
    </w:pPr>
    <w:rPr>
      <w:color w:val="7F7F7F" w:themeColor="text1" w:themeTint="80"/>
      <w:sz w:val="16"/>
    </w:rPr>
  </w:style>
  <w:style w:type="character" w:customStyle="1" w:styleId="FigurenoteChar">
    <w:name w:val="Figure note Char"/>
    <w:basedOn w:val="Standardnpsmoodstavce"/>
    <w:link w:val="Figurenote"/>
    <w:rsid w:val="00C86555"/>
    <w:rPr>
      <w:rFonts w:ascii="Calibri" w:eastAsia="Calibri" w:hAnsi="Calibri" w:cs="Times New Roman"/>
      <w:color w:val="7F7F7F" w:themeColor="text1" w:themeTint="80"/>
      <w:sz w:val="16"/>
      <w:szCs w:val="22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C0DF5"/>
    <w:rPr>
      <w:rFonts w:ascii="Calibri" w:eastAsiaTheme="majorEastAsia" w:hAnsi="Calibri" w:cstheme="majorBidi"/>
      <w:bCs/>
      <w:iCs/>
      <w:color w:val="1F497D" w:themeColor="text2"/>
      <w:sz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C0DF5"/>
    <w:rPr>
      <w:rFonts w:ascii="Calibri" w:eastAsiaTheme="majorEastAsia" w:hAnsi="Calibri" w:cstheme="majorBidi"/>
      <w:bCs/>
      <w:iCs/>
      <w:color w:val="4F81BD" w:themeColor="accent1"/>
      <w:sz w:val="22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C0DF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0D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0DF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0D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0D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33D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3D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3D0C"/>
    <w:rPr>
      <w:rFonts w:ascii="Calibri" w:eastAsia="Calibri" w:hAnsi="Calibri" w:cs="Times New Roman"/>
      <w:color w:val="404040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3D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3D0C"/>
    <w:rPr>
      <w:rFonts w:ascii="Calibri" w:eastAsia="Calibri" w:hAnsi="Calibri" w:cs="Times New Roman"/>
      <w:b/>
      <w:bCs/>
      <w:color w:val="404040"/>
      <w:sz w:val="20"/>
      <w:szCs w:val="20"/>
      <w:lang w:val="cs-CZ" w:eastAsia="en-US"/>
    </w:rPr>
  </w:style>
  <w:style w:type="paragraph" w:styleId="Seznamobrzk">
    <w:name w:val="table of figures"/>
    <w:basedOn w:val="Normln"/>
    <w:next w:val="Normln"/>
    <w:uiPriority w:val="99"/>
    <w:unhideWhenUsed/>
    <w:rsid w:val="001C2D69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1C2D6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27128"/>
    <w:rPr>
      <w:b/>
      <w:bCs/>
    </w:rPr>
  </w:style>
  <w:style w:type="paragraph" w:styleId="Textpoznpodarou">
    <w:name w:val="footnote text"/>
    <w:aliases w:val=" Char, Char Char Char"/>
    <w:basedOn w:val="Normln"/>
    <w:link w:val="TextpoznpodarouChar"/>
    <w:uiPriority w:val="99"/>
    <w:unhideWhenUsed/>
    <w:rsid w:val="007622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 Char Char, Char Char Char Char"/>
    <w:basedOn w:val="Standardnpsmoodstavce"/>
    <w:link w:val="Textpoznpodarou"/>
    <w:uiPriority w:val="99"/>
    <w:rsid w:val="00762298"/>
    <w:rPr>
      <w:rFonts w:ascii="Calibri" w:eastAsia="Calibri" w:hAnsi="Calibri" w:cs="Times New Roman"/>
      <w:color w:val="404040"/>
      <w:sz w:val="20"/>
      <w:szCs w:val="20"/>
      <w:lang w:val="cs-CZ" w:eastAsia="en-US"/>
    </w:rPr>
  </w:style>
  <w:style w:type="character" w:styleId="Znakapoznpodarou">
    <w:name w:val="footnote reference"/>
    <w:basedOn w:val="Standardnpsmoodstavce"/>
    <w:uiPriority w:val="99"/>
    <w:unhideWhenUsed/>
    <w:rsid w:val="00762298"/>
    <w:rPr>
      <w:vertAlign w:val="superscript"/>
    </w:rPr>
  </w:style>
  <w:style w:type="paragraph" w:customStyle="1" w:styleId="MarginTable">
    <w:name w:val="Margin Table"/>
    <w:basedOn w:val="MarginNote"/>
    <w:qFormat/>
    <w:rsid w:val="007E3E3B"/>
    <w:pPr>
      <w:framePr w:w="0" w:hSpace="0" w:vSpace="0" w:wrap="auto" w:vAnchor="margin" w:hAnchor="text" w:yAlign="inline"/>
      <w:ind w:left="-1985"/>
      <w:jc w:val="left"/>
    </w:pPr>
  </w:style>
  <w:style w:type="character" w:styleId="Sledovanodkaz">
    <w:name w:val="FollowedHyperlink"/>
    <w:basedOn w:val="Standardnpsmoodstavce"/>
    <w:uiPriority w:val="99"/>
    <w:semiHidden/>
    <w:unhideWhenUsed/>
    <w:rsid w:val="009347AF"/>
    <w:rPr>
      <w:color w:val="800080" w:themeColor="followedHyperlink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27BE3"/>
    <w:rPr>
      <w:rFonts w:ascii="Tahoma" w:eastAsia="Calibri" w:hAnsi="Tahoma" w:cs="Tahoma"/>
      <w:color w:val="404040"/>
      <w:sz w:val="16"/>
      <w:szCs w:val="16"/>
      <w:lang w:val="cs-CZ" w:eastAsia="en-US"/>
    </w:rPr>
  </w:style>
  <w:style w:type="table" w:customStyle="1" w:styleId="LightShading-Accent11">
    <w:name w:val="Light Shading - Accent 11"/>
    <w:basedOn w:val="Normlntabulka"/>
    <w:uiPriority w:val="60"/>
    <w:rsid w:val="0009419A"/>
    <w:rPr>
      <w:rFonts w:ascii="Times New Roman" w:eastAsia="Helvetica" w:hAnsi="Times New Roman" w:cs="Times New Roman"/>
      <w:color w:val="365F91" w:themeColor="accent1" w:themeShade="BF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Highlight">
    <w:name w:val="Highlight"/>
    <w:basedOn w:val="Normln"/>
    <w:link w:val="HighlightChar"/>
    <w:qFormat/>
    <w:rsid w:val="0058491F"/>
    <w:pPr>
      <w:ind w:left="567" w:right="758"/>
      <w:jc w:val="center"/>
    </w:pPr>
    <w:rPr>
      <w:color w:val="1F497D" w:themeColor="text2"/>
      <w:sz w:val="28"/>
      <w:szCs w:val="28"/>
    </w:rPr>
  </w:style>
  <w:style w:type="character" w:customStyle="1" w:styleId="HighlightChar">
    <w:name w:val="Highlight Char"/>
    <w:basedOn w:val="Standardnpsmoodstavce"/>
    <w:link w:val="Highlight"/>
    <w:rsid w:val="0058491F"/>
    <w:rPr>
      <w:rFonts w:ascii="Calibri" w:eastAsia="Calibri" w:hAnsi="Calibri" w:cs="Times New Roman"/>
      <w:color w:val="1F497D" w:themeColor="text2"/>
      <w:sz w:val="28"/>
      <w:szCs w:val="28"/>
      <w:lang w:val="cs-CZ" w:eastAsia="en-US"/>
    </w:rPr>
  </w:style>
  <w:style w:type="character" w:styleId="Zvraznn">
    <w:name w:val="Emphasis"/>
    <w:basedOn w:val="Standardnpsmoodstavce"/>
    <w:uiPriority w:val="20"/>
    <w:qFormat/>
    <w:rsid w:val="00C55DE9"/>
    <w:rPr>
      <w:i/>
      <w:iCs/>
    </w:rPr>
  </w:style>
  <w:style w:type="paragraph" w:styleId="Normlnweb">
    <w:name w:val="Normal (Web)"/>
    <w:basedOn w:val="Normln"/>
    <w:uiPriority w:val="99"/>
    <w:unhideWhenUsed/>
    <w:rsid w:val="00000D4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color w:val="auto"/>
      <w:sz w:val="24"/>
      <w:szCs w:val="24"/>
      <w:lang w:val="en-US"/>
    </w:rPr>
  </w:style>
  <w:style w:type="character" w:customStyle="1" w:styleId="apple-converted-space">
    <w:name w:val="apple-converted-space"/>
    <w:basedOn w:val="Standardnpsmoodstavce"/>
    <w:rsid w:val="00747739"/>
  </w:style>
  <w:style w:type="paragraph" w:customStyle="1" w:styleId="Margi">
    <w:name w:val="Margi"/>
    <w:basedOn w:val="Normln"/>
    <w:qFormat/>
    <w:rsid w:val="0071765F"/>
    <w:pPr>
      <w:spacing w:after="200"/>
    </w:pPr>
    <w:rPr>
      <w:rFonts w:asciiTheme="minorHAnsi" w:eastAsiaTheme="minorHAnsi" w:hAnsiTheme="minorHAnsi" w:cstheme="minorBidi"/>
      <w:color w:val="auto"/>
    </w:rPr>
  </w:style>
  <w:style w:type="paragraph" w:customStyle="1" w:styleId="CharChar1CharCharChar">
    <w:name w:val="Char Char1 Char Char Char"/>
    <w:basedOn w:val="Normln"/>
    <w:rsid w:val="00E90E29"/>
    <w:pPr>
      <w:spacing w:after="160" w:line="240" w:lineRule="exact"/>
      <w:jc w:val="left"/>
    </w:pPr>
    <w:rPr>
      <w:rFonts w:ascii="Times New Roman Bold" w:eastAsia="Times New Roman" w:hAnsi="Times New Roman Bold"/>
      <w:color w:val="auto"/>
      <w:szCs w:val="26"/>
      <w:lang w:val="sk-SK"/>
    </w:rPr>
  </w:style>
  <w:style w:type="character" w:customStyle="1" w:styleId="st">
    <w:name w:val="st"/>
    <w:basedOn w:val="Standardnpsmoodstavce"/>
    <w:rsid w:val="00A744FF"/>
  </w:style>
  <w:style w:type="paragraph" w:customStyle="1" w:styleId="Default">
    <w:name w:val="Default"/>
    <w:rsid w:val="006D6E1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cs-CZ" w:eastAsia="en-US"/>
    </w:rPr>
  </w:style>
  <w:style w:type="paragraph" w:styleId="Revize">
    <w:name w:val="Revision"/>
    <w:hidden/>
    <w:uiPriority w:val="99"/>
    <w:semiHidden/>
    <w:rsid w:val="0001042E"/>
    <w:rPr>
      <w:rFonts w:ascii="Calibri" w:eastAsia="Calibri" w:hAnsi="Calibri" w:cs="Times New Roman"/>
      <w:color w:val="404040"/>
      <w:sz w:val="22"/>
      <w:szCs w:val="22"/>
      <w:lang w:val="cs-CZ" w:eastAsia="en-US"/>
    </w:rPr>
  </w:style>
  <w:style w:type="paragraph" w:customStyle="1" w:styleId="Zkladntextodsazen31">
    <w:name w:val="Základní text odsazený 31"/>
    <w:basedOn w:val="Normln"/>
    <w:rsid w:val="001B0C27"/>
    <w:pPr>
      <w:widowControl w:val="0"/>
      <w:overflowPunct w:val="0"/>
      <w:autoSpaceDE w:val="0"/>
      <w:autoSpaceDN w:val="0"/>
      <w:adjustRightInd w:val="0"/>
      <w:spacing w:after="0" w:line="360" w:lineRule="auto"/>
      <w:ind w:firstLine="708"/>
    </w:pPr>
    <w:rPr>
      <w:rFonts w:eastAsia="Times New Roman"/>
      <w:color w:val="auto"/>
      <w:sz w:val="24"/>
      <w:szCs w:val="20"/>
      <w:lang w:eastAsia="cs-CZ"/>
    </w:rPr>
  </w:style>
  <w:style w:type="table" w:styleId="Stednmka1zvraznn6">
    <w:name w:val="Medium Grid 1 Accent 6"/>
    <w:basedOn w:val="Normlntabulka"/>
    <w:uiPriority w:val="67"/>
    <w:rsid w:val="0016786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st1">
    <w:name w:val="st1"/>
    <w:basedOn w:val="Standardnpsmoodstavce"/>
    <w:rsid w:val="009F6A5D"/>
  </w:style>
  <w:style w:type="paragraph" w:customStyle="1" w:styleId="Modrnadpis">
    <w:name w:val="Modrý nadpis"/>
    <w:basedOn w:val="Nadpis4"/>
    <w:link w:val="ModrnadpisChar"/>
    <w:qFormat/>
    <w:rsid w:val="00D43128"/>
    <w:pPr>
      <w:numPr>
        <w:ilvl w:val="0"/>
        <w:numId w:val="0"/>
      </w:numPr>
      <w:spacing w:before="240" w:after="120"/>
      <w:ind w:left="862" w:hanging="862"/>
    </w:pPr>
    <w:rPr>
      <w:rFonts w:ascii="Times New Roman" w:eastAsia="Times New Roman" w:hAnsi="Times New Roman" w:cs="Times New Roman"/>
      <w:b/>
      <w:color w:val="548DD4"/>
      <w:sz w:val="24"/>
      <w:szCs w:val="20"/>
      <w:lang w:val="x-none" w:eastAsia="x-none"/>
    </w:rPr>
  </w:style>
  <w:style w:type="character" w:customStyle="1" w:styleId="ModrnadpisChar">
    <w:name w:val="Modrý nadpis Char"/>
    <w:link w:val="Modrnadpis"/>
    <w:rsid w:val="00D43128"/>
    <w:rPr>
      <w:rFonts w:ascii="Times New Roman" w:eastAsia="Times New Roman" w:hAnsi="Times New Roman" w:cs="Times New Roman"/>
      <w:b/>
      <w:bCs/>
      <w:iCs/>
      <w:color w:val="548DD4"/>
      <w:szCs w:val="20"/>
      <w:lang w:val="x-none" w:eastAsia="x-none"/>
    </w:rPr>
  </w:style>
  <w:style w:type="paragraph" w:customStyle="1" w:styleId="Standardntext">
    <w:name w:val="Standardní text"/>
    <w:basedOn w:val="Normln"/>
    <w:link w:val="StandardntextChar"/>
    <w:qFormat/>
    <w:rsid w:val="008D1DAC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8D1DAC"/>
    <w:rPr>
      <w:rFonts w:ascii="Times New Roman" w:eastAsia="Times New Roman" w:hAnsi="Times New Roman" w:cs="Times New Roman"/>
      <w:lang w:val="x-none" w:eastAsia="x-none"/>
    </w:rPr>
  </w:style>
  <w:style w:type="character" w:customStyle="1" w:styleId="highlight0">
    <w:name w:val="highlight"/>
    <w:basedOn w:val="Standardnpsmoodstavce"/>
    <w:rsid w:val="00EE6583"/>
  </w:style>
  <w:style w:type="character" w:customStyle="1" w:styleId="OdstavecseseznamemChar">
    <w:name w:val="Odstavec se seznamem Char"/>
    <w:aliases w:val="Conclusion de partie Char,nad 1 Char"/>
    <w:link w:val="Odstavecseseznamem"/>
    <w:uiPriority w:val="34"/>
    <w:rsid w:val="00C75DBC"/>
    <w:rPr>
      <w:rFonts w:ascii="Arial" w:eastAsia="Calibri" w:hAnsi="Arial" w:cs="Times New Roman"/>
      <w:color w:val="000000" w:themeColor="text1"/>
      <w:sz w:val="22"/>
      <w:szCs w:val="22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77C63-F41D-4C99-A11A-B9751BC65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C1427-0DCB-4E43-B312-CF7038765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E929FB-4FE7-47F6-B139-8C5D6521C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09E010-8351-4744-8407-6F715D0D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6911</Words>
  <Characters>40775</Characters>
  <Application>Microsoft Office Word</Application>
  <DocSecurity>0</DocSecurity>
  <Lines>339</Lines>
  <Paragraphs>95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2015-12-07T11:56:00Z</dcterms:created>
  <dcterms:modified xsi:type="dcterms:W3CDTF">2015-12-07T11:56:00Z</dcterms:modified>
</cp:coreProperties>
</file>