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B82" w:rsidRPr="00D97AD9" w:rsidRDefault="00054B82" w:rsidP="008C1143">
      <w:pPr>
        <w:spacing w:before="3000"/>
        <w:jc w:val="center"/>
        <w:rPr>
          <w:rFonts w:eastAsia="Arial"/>
          <w:sz w:val="52"/>
        </w:rPr>
      </w:pPr>
      <w:r w:rsidRPr="00D97AD9">
        <w:rPr>
          <w:rFonts w:eastAsia="Arial"/>
          <w:sz w:val="52"/>
        </w:rPr>
        <w:t>Akční plán pro Společnost 4.0</w:t>
      </w:r>
    </w:p>
    <w:p w:rsidR="00054B82" w:rsidRPr="00D97AD9" w:rsidRDefault="00054B82" w:rsidP="008C1143">
      <w:pPr>
        <w:spacing w:before="240" w:after="0"/>
        <w:jc w:val="center"/>
      </w:pPr>
      <w:bookmarkStart w:id="0" w:name="page2"/>
      <w:bookmarkStart w:id="1" w:name="page4"/>
      <w:bookmarkEnd w:id="0"/>
      <w:bookmarkEnd w:id="1"/>
      <w:r w:rsidRPr="00D97AD9">
        <w:rPr>
          <w:noProof/>
        </w:rPr>
        <w:drawing>
          <wp:anchor distT="0" distB="0" distL="114300" distR="114300" simplePos="0" relativeHeight="251660288" behindDoc="1" locked="0" layoutInCell="0" allowOverlap="1">
            <wp:simplePos x="0" y="0"/>
            <wp:positionH relativeFrom="column">
              <wp:posOffset>1805305</wp:posOffset>
            </wp:positionH>
            <wp:positionV relativeFrom="paragraph">
              <wp:posOffset>5353050</wp:posOffset>
            </wp:positionV>
            <wp:extent cx="1733550" cy="533400"/>
            <wp:effectExtent l="19050" t="0" r="0" b="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733550" cy="533400"/>
                    </a:xfrm>
                    <a:prstGeom prst="rect">
                      <a:avLst/>
                    </a:prstGeom>
                    <a:noFill/>
                  </pic:spPr>
                </pic:pic>
              </a:graphicData>
            </a:graphic>
          </wp:anchor>
        </w:drawing>
      </w:r>
      <w:r w:rsidRPr="00D97AD9">
        <w:rPr>
          <w:noProof/>
        </w:rPr>
        <w:drawing>
          <wp:anchor distT="0" distB="0" distL="114300" distR="114300" simplePos="0" relativeHeight="251659264" behindDoc="1" locked="0" layoutInCell="0" allowOverlap="1">
            <wp:simplePos x="0" y="0"/>
            <wp:positionH relativeFrom="column">
              <wp:posOffset>1205230</wp:posOffset>
            </wp:positionH>
            <wp:positionV relativeFrom="paragraph">
              <wp:posOffset>1247775</wp:posOffset>
            </wp:positionV>
            <wp:extent cx="2933700" cy="3067050"/>
            <wp:effectExtent l="19050" t="0" r="0"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2933700" cy="3067050"/>
                    </a:xfrm>
                    <a:prstGeom prst="rect">
                      <a:avLst/>
                    </a:prstGeom>
                    <a:noFill/>
                  </pic:spPr>
                </pic:pic>
              </a:graphicData>
            </a:graphic>
          </wp:anchor>
        </w:drawing>
      </w:r>
      <w:r w:rsidRPr="00D97AD9">
        <w:t>(</w:t>
      </w:r>
      <w:r w:rsidR="00B62BA1">
        <w:t>srpen</w:t>
      </w:r>
      <w:r w:rsidR="00B62BA1" w:rsidRPr="00D97AD9">
        <w:t xml:space="preserve"> </w:t>
      </w:r>
      <w:r w:rsidRPr="00D97AD9">
        <w:t>2017)</w:t>
      </w:r>
    </w:p>
    <w:p w:rsidR="00791CB4" w:rsidRPr="00D97AD9" w:rsidRDefault="00791CB4" w:rsidP="008C1143">
      <w:pPr>
        <w:spacing w:before="240" w:after="0"/>
        <w:jc w:val="center"/>
        <w:sectPr w:rsidR="00791CB4" w:rsidRPr="00D97AD9" w:rsidSect="00054B82">
          <w:footerReference w:type="default" r:id="rId10"/>
          <w:pgSz w:w="11900" w:h="16834"/>
          <w:pgMar w:top="1417" w:right="1417" w:bottom="1417" w:left="1417" w:header="0" w:footer="0" w:gutter="0"/>
          <w:cols w:space="0" w:equalWidth="0">
            <w:col w:w="9065"/>
          </w:cols>
          <w:titlePg/>
          <w:docGrid w:linePitch="360"/>
        </w:sectPr>
      </w:pPr>
    </w:p>
    <w:sdt>
      <w:sdtPr>
        <w:rPr>
          <w:rFonts w:eastAsia="Calibri"/>
          <w:bCs w:val="0"/>
          <w:sz w:val="22"/>
          <w:szCs w:val="20"/>
        </w:rPr>
        <w:id w:val="329872882"/>
        <w:docPartObj>
          <w:docPartGallery w:val="Table of Contents"/>
          <w:docPartUnique/>
        </w:docPartObj>
      </w:sdtPr>
      <w:sdtEndPr>
        <w:rPr>
          <w:sz w:val="24"/>
        </w:rPr>
      </w:sdtEndPr>
      <w:sdtContent>
        <w:p w:rsidR="0040234E" w:rsidRPr="0040234E" w:rsidRDefault="00753DF3" w:rsidP="00721BAF">
          <w:pPr>
            <w:pStyle w:val="Nadpisobsahu"/>
          </w:pPr>
          <w:r w:rsidRPr="00D97AD9">
            <w:t>Obsah</w:t>
          </w:r>
        </w:p>
        <w:p w:rsidR="00566A88" w:rsidRDefault="00836CA6">
          <w:pPr>
            <w:pStyle w:val="Obsah1"/>
            <w:rPr>
              <w:rFonts w:asciiTheme="minorHAnsi" w:eastAsiaTheme="minorEastAsia" w:hAnsiTheme="minorHAnsi" w:cstheme="minorBidi"/>
              <w:b w:val="0"/>
              <w:noProof/>
              <w:sz w:val="22"/>
              <w:szCs w:val="22"/>
            </w:rPr>
          </w:pPr>
          <w:r w:rsidRPr="00D97AD9">
            <w:fldChar w:fldCharType="begin"/>
          </w:r>
          <w:r w:rsidR="003D2999" w:rsidRPr="00D97AD9">
            <w:instrText xml:space="preserve"> TOC \o "1-3" \h \z \u </w:instrText>
          </w:r>
          <w:r w:rsidRPr="00D97AD9">
            <w:fldChar w:fldCharType="separate"/>
          </w:r>
          <w:hyperlink w:anchor="_Toc491355936" w:history="1">
            <w:r w:rsidR="00566A88" w:rsidRPr="00C01521">
              <w:rPr>
                <w:rStyle w:val="Hypertextovodkaz"/>
                <w:noProof/>
              </w:rPr>
              <w:t>ÚVOD</w:t>
            </w:r>
            <w:r w:rsidR="00566A88">
              <w:rPr>
                <w:noProof/>
                <w:webHidden/>
              </w:rPr>
              <w:tab/>
            </w:r>
            <w:r>
              <w:rPr>
                <w:noProof/>
                <w:webHidden/>
              </w:rPr>
              <w:fldChar w:fldCharType="begin"/>
            </w:r>
            <w:r w:rsidR="00566A88">
              <w:rPr>
                <w:noProof/>
                <w:webHidden/>
              </w:rPr>
              <w:instrText xml:space="preserve"> PAGEREF _Toc491355936 \h </w:instrText>
            </w:r>
            <w:r>
              <w:rPr>
                <w:noProof/>
                <w:webHidden/>
              </w:rPr>
            </w:r>
            <w:r>
              <w:rPr>
                <w:noProof/>
                <w:webHidden/>
              </w:rPr>
              <w:fldChar w:fldCharType="separate"/>
            </w:r>
            <w:r w:rsidR="00AE682B">
              <w:rPr>
                <w:noProof/>
                <w:webHidden/>
              </w:rPr>
              <w:t>4</w:t>
            </w:r>
            <w:r>
              <w:rPr>
                <w:noProof/>
                <w:webHidden/>
              </w:rPr>
              <w:fldChar w:fldCharType="end"/>
            </w:r>
          </w:hyperlink>
        </w:p>
        <w:p w:rsidR="00566A88" w:rsidRDefault="00836CA6">
          <w:pPr>
            <w:pStyle w:val="Obsah1"/>
            <w:rPr>
              <w:rFonts w:asciiTheme="minorHAnsi" w:eastAsiaTheme="minorEastAsia" w:hAnsiTheme="minorHAnsi" w:cstheme="minorBidi"/>
              <w:b w:val="0"/>
              <w:noProof/>
              <w:sz w:val="22"/>
              <w:szCs w:val="22"/>
            </w:rPr>
          </w:pPr>
          <w:hyperlink w:anchor="_Toc491355944" w:history="1">
            <w:r w:rsidR="00566A88" w:rsidRPr="00C01521">
              <w:rPr>
                <w:rStyle w:val="Hypertextovodkaz"/>
                <w:noProof/>
              </w:rPr>
              <w:t>MĚŘENÍ VÝVOJE DIGITÁLNÍ EKONOMIKY</w:t>
            </w:r>
            <w:r w:rsidR="00566A88">
              <w:rPr>
                <w:noProof/>
                <w:webHidden/>
              </w:rPr>
              <w:tab/>
            </w:r>
            <w:r>
              <w:rPr>
                <w:noProof/>
                <w:webHidden/>
              </w:rPr>
              <w:fldChar w:fldCharType="begin"/>
            </w:r>
            <w:r w:rsidR="00566A88">
              <w:rPr>
                <w:noProof/>
                <w:webHidden/>
              </w:rPr>
              <w:instrText xml:space="preserve"> PAGEREF _Toc491355944 \h </w:instrText>
            </w:r>
            <w:r>
              <w:rPr>
                <w:noProof/>
                <w:webHidden/>
              </w:rPr>
            </w:r>
            <w:r>
              <w:rPr>
                <w:noProof/>
                <w:webHidden/>
              </w:rPr>
              <w:fldChar w:fldCharType="separate"/>
            </w:r>
            <w:r w:rsidR="00AE682B">
              <w:rPr>
                <w:noProof/>
                <w:webHidden/>
              </w:rPr>
              <w:t>8</w:t>
            </w:r>
            <w:r>
              <w:rPr>
                <w:noProof/>
                <w:webHidden/>
              </w:rPr>
              <w:fldChar w:fldCharType="end"/>
            </w:r>
          </w:hyperlink>
        </w:p>
        <w:p w:rsidR="00566A88" w:rsidRDefault="00836CA6">
          <w:pPr>
            <w:pStyle w:val="Obsah1"/>
            <w:rPr>
              <w:rFonts w:asciiTheme="minorHAnsi" w:eastAsiaTheme="minorEastAsia" w:hAnsiTheme="minorHAnsi" w:cstheme="minorBidi"/>
              <w:b w:val="0"/>
              <w:noProof/>
              <w:sz w:val="22"/>
              <w:szCs w:val="22"/>
            </w:rPr>
          </w:pPr>
          <w:hyperlink w:anchor="_Toc491355946" w:history="1">
            <w:r w:rsidR="00566A88" w:rsidRPr="00C01521">
              <w:rPr>
                <w:rStyle w:val="Hypertextovodkaz"/>
                <w:noProof/>
              </w:rPr>
              <w:t>ZASTŘEŠUJÍCÍ PRINCIPY A PRŮŘEZOVÉ PRIORITY</w:t>
            </w:r>
            <w:r w:rsidR="00566A88">
              <w:rPr>
                <w:noProof/>
                <w:webHidden/>
              </w:rPr>
              <w:tab/>
            </w:r>
            <w:r>
              <w:rPr>
                <w:noProof/>
                <w:webHidden/>
              </w:rPr>
              <w:fldChar w:fldCharType="begin"/>
            </w:r>
            <w:r w:rsidR="00566A88">
              <w:rPr>
                <w:noProof/>
                <w:webHidden/>
              </w:rPr>
              <w:instrText xml:space="preserve"> PAGEREF _Toc491355946 \h </w:instrText>
            </w:r>
            <w:r>
              <w:rPr>
                <w:noProof/>
                <w:webHidden/>
              </w:rPr>
            </w:r>
            <w:r>
              <w:rPr>
                <w:noProof/>
                <w:webHidden/>
              </w:rPr>
              <w:fldChar w:fldCharType="separate"/>
            </w:r>
            <w:r w:rsidR="00AE682B">
              <w:rPr>
                <w:noProof/>
                <w:webHidden/>
              </w:rPr>
              <w:t>11</w:t>
            </w:r>
            <w:r>
              <w:rPr>
                <w:noProof/>
                <w:webHidden/>
              </w:rPr>
              <w:fldChar w:fldCharType="end"/>
            </w:r>
          </w:hyperlink>
        </w:p>
        <w:p w:rsidR="00566A88" w:rsidRDefault="00836CA6">
          <w:pPr>
            <w:pStyle w:val="Obsah3"/>
            <w:tabs>
              <w:tab w:val="right" w:leader="dot" w:pos="9062"/>
            </w:tabs>
            <w:rPr>
              <w:rFonts w:asciiTheme="minorHAnsi" w:eastAsiaTheme="minorEastAsia" w:hAnsiTheme="minorHAnsi" w:cstheme="minorBidi"/>
              <w:noProof/>
              <w:szCs w:val="22"/>
            </w:rPr>
          </w:pPr>
          <w:hyperlink w:anchor="_Toc491355947" w:history="1">
            <w:r w:rsidR="00566A88" w:rsidRPr="00C01521">
              <w:rPr>
                <w:rStyle w:val="Hypertextovodkaz"/>
                <w:noProof/>
              </w:rPr>
              <w:t>Podpora politiky jednotného digitálního trhu v Evropě</w:t>
            </w:r>
            <w:r w:rsidR="00566A88">
              <w:rPr>
                <w:noProof/>
                <w:webHidden/>
              </w:rPr>
              <w:tab/>
            </w:r>
            <w:r>
              <w:rPr>
                <w:noProof/>
                <w:webHidden/>
              </w:rPr>
              <w:fldChar w:fldCharType="begin"/>
            </w:r>
            <w:r w:rsidR="00566A88">
              <w:rPr>
                <w:noProof/>
                <w:webHidden/>
              </w:rPr>
              <w:instrText xml:space="preserve"> PAGEREF _Toc491355947 \h </w:instrText>
            </w:r>
            <w:r>
              <w:rPr>
                <w:noProof/>
                <w:webHidden/>
              </w:rPr>
            </w:r>
            <w:r>
              <w:rPr>
                <w:noProof/>
                <w:webHidden/>
              </w:rPr>
              <w:fldChar w:fldCharType="separate"/>
            </w:r>
            <w:r w:rsidR="00AE682B">
              <w:rPr>
                <w:noProof/>
                <w:webHidden/>
              </w:rPr>
              <w:t>11</w:t>
            </w:r>
            <w:r>
              <w:rPr>
                <w:noProof/>
                <w:webHidden/>
              </w:rPr>
              <w:fldChar w:fldCharType="end"/>
            </w:r>
          </w:hyperlink>
        </w:p>
        <w:p w:rsidR="00566A88" w:rsidRDefault="00836CA6">
          <w:pPr>
            <w:pStyle w:val="Obsah3"/>
            <w:tabs>
              <w:tab w:val="right" w:leader="dot" w:pos="9062"/>
            </w:tabs>
            <w:rPr>
              <w:rFonts w:asciiTheme="minorHAnsi" w:eastAsiaTheme="minorEastAsia" w:hAnsiTheme="minorHAnsi" w:cstheme="minorBidi"/>
              <w:noProof/>
              <w:szCs w:val="22"/>
            </w:rPr>
          </w:pPr>
          <w:hyperlink w:anchor="_Toc491355948" w:history="1">
            <w:r w:rsidR="00566A88" w:rsidRPr="00C01521">
              <w:rPr>
                <w:rStyle w:val="Hypertextovodkaz"/>
                <w:noProof/>
              </w:rPr>
              <w:t>Digitálně přívětivé právní a legislativní prostředí</w:t>
            </w:r>
            <w:r w:rsidR="00566A88">
              <w:rPr>
                <w:noProof/>
                <w:webHidden/>
              </w:rPr>
              <w:tab/>
            </w:r>
            <w:r>
              <w:rPr>
                <w:noProof/>
                <w:webHidden/>
              </w:rPr>
              <w:fldChar w:fldCharType="begin"/>
            </w:r>
            <w:r w:rsidR="00566A88">
              <w:rPr>
                <w:noProof/>
                <w:webHidden/>
              </w:rPr>
              <w:instrText xml:space="preserve"> PAGEREF _Toc491355948 \h </w:instrText>
            </w:r>
            <w:r>
              <w:rPr>
                <w:noProof/>
                <w:webHidden/>
              </w:rPr>
            </w:r>
            <w:r>
              <w:rPr>
                <w:noProof/>
                <w:webHidden/>
              </w:rPr>
              <w:fldChar w:fldCharType="separate"/>
            </w:r>
            <w:r w:rsidR="00AE682B">
              <w:rPr>
                <w:noProof/>
                <w:webHidden/>
              </w:rPr>
              <w:t>13</w:t>
            </w:r>
            <w:r>
              <w:rPr>
                <w:noProof/>
                <w:webHidden/>
              </w:rPr>
              <w:fldChar w:fldCharType="end"/>
            </w:r>
          </w:hyperlink>
        </w:p>
        <w:p w:rsidR="00566A88" w:rsidRDefault="00836CA6">
          <w:pPr>
            <w:pStyle w:val="Obsah1"/>
            <w:rPr>
              <w:rFonts w:asciiTheme="minorHAnsi" w:eastAsiaTheme="minorEastAsia" w:hAnsiTheme="minorHAnsi" w:cstheme="minorBidi"/>
              <w:b w:val="0"/>
              <w:noProof/>
              <w:sz w:val="22"/>
              <w:szCs w:val="22"/>
            </w:rPr>
          </w:pPr>
          <w:hyperlink w:anchor="_Toc491355949" w:history="1">
            <w:r w:rsidR="00566A88" w:rsidRPr="00C01521">
              <w:rPr>
                <w:rStyle w:val="Hypertextovodkaz"/>
                <w:noProof/>
              </w:rPr>
              <w:t>PILÍŘE AGENDY SPOLEČNOSTI 4.0</w:t>
            </w:r>
            <w:r w:rsidR="00566A88">
              <w:rPr>
                <w:noProof/>
                <w:webHidden/>
              </w:rPr>
              <w:tab/>
            </w:r>
            <w:r>
              <w:rPr>
                <w:noProof/>
                <w:webHidden/>
              </w:rPr>
              <w:fldChar w:fldCharType="begin"/>
            </w:r>
            <w:r w:rsidR="00566A88">
              <w:rPr>
                <w:noProof/>
                <w:webHidden/>
              </w:rPr>
              <w:instrText xml:space="preserve"> PAGEREF _Toc491355949 \h </w:instrText>
            </w:r>
            <w:r>
              <w:rPr>
                <w:noProof/>
                <w:webHidden/>
              </w:rPr>
            </w:r>
            <w:r>
              <w:rPr>
                <w:noProof/>
                <w:webHidden/>
              </w:rPr>
              <w:fldChar w:fldCharType="separate"/>
            </w:r>
            <w:r w:rsidR="00AE682B">
              <w:rPr>
                <w:noProof/>
                <w:webHidden/>
              </w:rPr>
              <w:t>15</w:t>
            </w:r>
            <w:r>
              <w:rPr>
                <w:noProof/>
                <w:webHidden/>
              </w:rPr>
              <w:fldChar w:fldCharType="end"/>
            </w:r>
          </w:hyperlink>
        </w:p>
        <w:p w:rsidR="00566A88" w:rsidRDefault="00836CA6">
          <w:pPr>
            <w:pStyle w:val="Obsah1"/>
            <w:rPr>
              <w:rFonts w:asciiTheme="minorHAnsi" w:eastAsiaTheme="minorEastAsia" w:hAnsiTheme="minorHAnsi" w:cstheme="minorBidi"/>
              <w:b w:val="0"/>
              <w:noProof/>
              <w:sz w:val="22"/>
              <w:szCs w:val="22"/>
            </w:rPr>
          </w:pPr>
          <w:hyperlink w:anchor="_Toc491355950" w:history="1">
            <w:r w:rsidR="00566A88" w:rsidRPr="00C01521">
              <w:rPr>
                <w:rStyle w:val="Hypertextovodkaz"/>
                <w:noProof/>
              </w:rPr>
              <w:t>1 Konektivita a mobilita</w:t>
            </w:r>
            <w:r w:rsidR="00566A88">
              <w:rPr>
                <w:noProof/>
                <w:webHidden/>
              </w:rPr>
              <w:tab/>
            </w:r>
            <w:r>
              <w:rPr>
                <w:noProof/>
                <w:webHidden/>
              </w:rPr>
              <w:fldChar w:fldCharType="begin"/>
            </w:r>
            <w:r w:rsidR="00566A88">
              <w:rPr>
                <w:noProof/>
                <w:webHidden/>
              </w:rPr>
              <w:instrText xml:space="preserve"> PAGEREF _Toc491355950 \h </w:instrText>
            </w:r>
            <w:r>
              <w:rPr>
                <w:noProof/>
                <w:webHidden/>
              </w:rPr>
            </w:r>
            <w:r>
              <w:rPr>
                <w:noProof/>
                <w:webHidden/>
              </w:rPr>
              <w:fldChar w:fldCharType="separate"/>
            </w:r>
            <w:r w:rsidR="00AE682B">
              <w:rPr>
                <w:noProof/>
                <w:webHidden/>
              </w:rPr>
              <w:t>17</w:t>
            </w:r>
            <w:r>
              <w:rPr>
                <w:noProof/>
                <w:webHidden/>
              </w:rPr>
              <w:fldChar w:fldCharType="end"/>
            </w:r>
          </w:hyperlink>
        </w:p>
        <w:p w:rsidR="00566A88" w:rsidRDefault="00836CA6">
          <w:pPr>
            <w:pStyle w:val="Obsah3"/>
            <w:tabs>
              <w:tab w:val="right" w:leader="dot" w:pos="9062"/>
            </w:tabs>
            <w:rPr>
              <w:rFonts w:asciiTheme="minorHAnsi" w:eastAsiaTheme="minorEastAsia" w:hAnsiTheme="minorHAnsi" w:cstheme="minorBidi"/>
              <w:noProof/>
              <w:szCs w:val="22"/>
            </w:rPr>
          </w:pPr>
          <w:hyperlink w:anchor="_Toc491355951" w:history="1">
            <w:r w:rsidR="00566A88" w:rsidRPr="00C01521">
              <w:rPr>
                <w:rStyle w:val="Hypertextovodkaz"/>
                <w:noProof/>
              </w:rPr>
              <w:t>Budování internetových sítí</w:t>
            </w:r>
            <w:r w:rsidR="00566A88">
              <w:rPr>
                <w:noProof/>
                <w:webHidden/>
              </w:rPr>
              <w:tab/>
            </w:r>
            <w:r>
              <w:rPr>
                <w:noProof/>
                <w:webHidden/>
              </w:rPr>
              <w:fldChar w:fldCharType="begin"/>
            </w:r>
            <w:r w:rsidR="00566A88">
              <w:rPr>
                <w:noProof/>
                <w:webHidden/>
              </w:rPr>
              <w:instrText xml:space="preserve"> PAGEREF _Toc491355951 \h </w:instrText>
            </w:r>
            <w:r>
              <w:rPr>
                <w:noProof/>
                <w:webHidden/>
              </w:rPr>
            </w:r>
            <w:r>
              <w:rPr>
                <w:noProof/>
                <w:webHidden/>
              </w:rPr>
              <w:fldChar w:fldCharType="separate"/>
            </w:r>
            <w:r w:rsidR="00AE682B">
              <w:rPr>
                <w:noProof/>
                <w:webHidden/>
              </w:rPr>
              <w:t>18</w:t>
            </w:r>
            <w:r>
              <w:rPr>
                <w:noProof/>
                <w:webHidden/>
              </w:rPr>
              <w:fldChar w:fldCharType="end"/>
            </w:r>
          </w:hyperlink>
        </w:p>
        <w:p w:rsidR="00566A88" w:rsidRDefault="00836CA6">
          <w:pPr>
            <w:pStyle w:val="Obsah3"/>
            <w:tabs>
              <w:tab w:val="right" w:leader="dot" w:pos="9062"/>
            </w:tabs>
            <w:rPr>
              <w:rFonts w:asciiTheme="minorHAnsi" w:eastAsiaTheme="minorEastAsia" w:hAnsiTheme="minorHAnsi" w:cstheme="minorBidi"/>
              <w:noProof/>
              <w:szCs w:val="22"/>
            </w:rPr>
          </w:pPr>
          <w:hyperlink w:anchor="_Toc491355952" w:history="1">
            <w:r w:rsidR="00566A88" w:rsidRPr="00C01521">
              <w:rPr>
                <w:rStyle w:val="Hypertextovodkaz"/>
                <w:noProof/>
              </w:rPr>
              <w:t>Budování komunikačního prostředí veřejné správy</w:t>
            </w:r>
            <w:r w:rsidR="00566A88">
              <w:rPr>
                <w:noProof/>
                <w:webHidden/>
              </w:rPr>
              <w:tab/>
            </w:r>
            <w:r>
              <w:rPr>
                <w:noProof/>
                <w:webHidden/>
              </w:rPr>
              <w:fldChar w:fldCharType="begin"/>
            </w:r>
            <w:r w:rsidR="00566A88">
              <w:rPr>
                <w:noProof/>
                <w:webHidden/>
              </w:rPr>
              <w:instrText xml:space="preserve"> PAGEREF _Toc491355952 \h </w:instrText>
            </w:r>
            <w:r>
              <w:rPr>
                <w:noProof/>
                <w:webHidden/>
              </w:rPr>
            </w:r>
            <w:r>
              <w:rPr>
                <w:noProof/>
                <w:webHidden/>
              </w:rPr>
              <w:fldChar w:fldCharType="separate"/>
            </w:r>
            <w:r w:rsidR="00AE682B">
              <w:rPr>
                <w:noProof/>
                <w:webHidden/>
              </w:rPr>
              <w:t>19</w:t>
            </w:r>
            <w:r>
              <w:rPr>
                <w:noProof/>
                <w:webHidden/>
              </w:rPr>
              <w:fldChar w:fldCharType="end"/>
            </w:r>
          </w:hyperlink>
        </w:p>
        <w:p w:rsidR="00566A88" w:rsidRDefault="00836CA6">
          <w:pPr>
            <w:pStyle w:val="Obsah3"/>
            <w:tabs>
              <w:tab w:val="right" w:leader="dot" w:pos="9062"/>
            </w:tabs>
            <w:rPr>
              <w:rFonts w:asciiTheme="minorHAnsi" w:eastAsiaTheme="minorEastAsia" w:hAnsiTheme="minorHAnsi" w:cstheme="minorBidi"/>
              <w:noProof/>
              <w:szCs w:val="22"/>
            </w:rPr>
          </w:pPr>
          <w:hyperlink w:anchor="_Toc491355953" w:history="1">
            <w:r w:rsidR="00566A88" w:rsidRPr="00C01521">
              <w:rPr>
                <w:rStyle w:val="Hypertextovodkaz"/>
                <w:noProof/>
              </w:rPr>
              <w:t>Revize regulačního rámce EU pro sítě a služby elektronických komunikací</w:t>
            </w:r>
            <w:r w:rsidR="00566A88">
              <w:rPr>
                <w:noProof/>
                <w:webHidden/>
              </w:rPr>
              <w:tab/>
            </w:r>
            <w:r>
              <w:rPr>
                <w:noProof/>
                <w:webHidden/>
              </w:rPr>
              <w:fldChar w:fldCharType="begin"/>
            </w:r>
            <w:r w:rsidR="00566A88">
              <w:rPr>
                <w:noProof/>
                <w:webHidden/>
              </w:rPr>
              <w:instrText xml:space="preserve"> PAGEREF _Toc491355953 \h </w:instrText>
            </w:r>
            <w:r>
              <w:rPr>
                <w:noProof/>
                <w:webHidden/>
              </w:rPr>
            </w:r>
            <w:r>
              <w:rPr>
                <w:noProof/>
                <w:webHidden/>
              </w:rPr>
              <w:fldChar w:fldCharType="separate"/>
            </w:r>
            <w:r w:rsidR="00AE682B">
              <w:rPr>
                <w:noProof/>
                <w:webHidden/>
              </w:rPr>
              <w:t>19</w:t>
            </w:r>
            <w:r>
              <w:rPr>
                <w:noProof/>
                <w:webHidden/>
              </w:rPr>
              <w:fldChar w:fldCharType="end"/>
            </w:r>
          </w:hyperlink>
        </w:p>
        <w:p w:rsidR="00566A88" w:rsidRDefault="00836CA6">
          <w:pPr>
            <w:pStyle w:val="Obsah3"/>
            <w:tabs>
              <w:tab w:val="right" w:leader="dot" w:pos="9062"/>
            </w:tabs>
            <w:rPr>
              <w:rFonts w:asciiTheme="minorHAnsi" w:eastAsiaTheme="minorEastAsia" w:hAnsiTheme="minorHAnsi" w:cstheme="minorBidi"/>
              <w:noProof/>
              <w:szCs w:val="22"/>
            </w:rPr>
          </w:pPr>
          <w:hyperlink w:anchor="_Toc491355954" w:history="1">
            <w:r w:rsidR="00566A88" w:rsidRPr="00C01521">
              <w:rPr>
                <w:rStyle w:val="Hypertextovodkaz"/>
                <w:noProof/>
              </w:rPr>
              <w:t>Doprava a rozvoj kosmických technologií</w:t>
            </w:r>
            <w:r w:rsidR="00566A88">
              <w:rPr>
                <w:noProof/>
                <w:webHidden/>
              </w:rPr>
              <w:tab/>
            </w:r>
            <w:r>
              <w:rPr>
                <w:noProof/>
                <w:webHidden/>
              </w:rPr>
              <w:fldChar w:fldCharType="begin"/>
            </w:r>
            <w:r w:rsidR="00566A88">
              <w:rPr>
                <w:noProof/>
                <w:webHidden/>
              </w:rPr>
              <w:instrText xml:space="preserve"> PAGEREF _Toc491355954 \h </w:instrText>
            </w:r>
            <w:r>
              <w:rPr>
                <w:noProof/>
                <w:webHidden/>
              </w:rPr>
            </w:r>
            <w:r>
              <w:rPr>
                <w:noProof/>
                <w:webHidden/>
              </w:rPr>
              <w:fldChar w:fldCharType="separate"/>
            </w:r>
            <w:r w:rsidR="00AE682B">
              <w:rPr>
                <w:noProof/>
                <w:webHidden/>
              </w:rPr>
              <w:t>20</w:t>
            </w:r>
            <w:r>
              <w:rPr>
                <w:noProof/>
                <w:webHidden/>
              </w:rPr>
              <w:fldChar w:fldCharType="end"/>
            </w:r>
          </w:hyperlink>
        </w:p>
        <w:p w:rsidR="00566A88" w:rsidRDefault="00836CA6">
          <w:pPr>
            <w:pStyle w:val="Obsah3"/>
            <w:tabs>
              <w:tab w:val="right" w:leader="dot" w:pos="9062"/>
            </w:tabs>
            <w:rPr>
              <w:rFonts w:asciiTheme="minorHAnsi" w:eastAsiaTheme="minorEastAsia" w:hAnsiTheme="minorHAnsi" w:cstheme="minorBidi"/>
              <w:noProof/>
              <w:szCs w:val="22"/>
            </w:rPr>
          </w:pPr>
          <w:hyperlink w:anchor="_Toc491355955" w:history="1">
            <w:r w:rsidR="00566A88" w:rsidRPr="00C01521">
              <w:rPr>
                <w:rStyle w:val="Hypertextovodkaz"/>
                <w:noProof/>
              </w:rPr>
              <w:t>Rozvoj infrastruktury</w:t>
            </w:r>
            <w:r w:rsidR="00566A88">
              <w:rPr>
                <w:noProof/>
                <w:webHidden/>
              </w:rPr>
              <w:tab/>
            </w:r>
            <w:r>
              <w:rPr>
                <w:noProof/>
                <w:webHidden/>
              </w:rPr>
              <w:fldChar w:fldCharType="begin"/>
            </w:r>
            <w:r w:rsidR="00566A88">
              <w:rPr>
                <w:noProof/>
                <w:webHidden/>
              </w:rPr>
              <w:instrText xml:space="preserve"> PAGEREF _Toc491355955 \h </w:instrText>
            </w:r>
            <w:r>
              <w:rPr>
                <w:noProof/>
                <w:webHidden/>
              </w:rPr>
            </w:r>
            <w:r>
              <w:rPr>
                <w:noProof/>
                <w:webHidden/>
              </w:rPr>
              <w:fldChar w:fldCharType="separate"/>
            </w:r>
            <w:r w:rsidR="00AE682B">
              <w:rPr>
                <w:noProof/>
                <w:webHidden/>
              </w:rPr>
              <w:t>23</w:t>
            </w:r>
            <w:r>
              <w:rPr>
                <w:noProof/>
                <w:webHidden/>
              </w:rPr>
              <w:fldChar w:fldCharType="end"/>
            </w:r>
          </w:hyperlink>
        </w:p>
        <w:p w:rsidR="00566A88" w:rsidRDefault="00836CA6">
          <w:pPr>
            <w:pStyle w:val="Obsah3"/>
            <w:tabs>
              <w:tab w:val="right" w:leader="dot" w:pos="9062"/>
            </w:tabs>
            <w:rPr>
              <w:rFonts w:asciiTheme="minorHAnsi" w:eastAsiaTheme="minorEastAsia" w:hAnsiTheme="minorHAnsi" w:cstheme="minorBidi"/>
              <w:noProof/>
              <w:szCs w:val="22"/>
            </w:rPr>
          </w:pPr>
          <w:hyperlink w:anchor="_Toc491355956" w:history="1">
            <w:r w:rsidR="00566A88" w:rsidRPr="00C01521">
              <w:rPr>
                <w:rStyle w:val="Hypertextovodkaz"/>
                <w:noProof/>
              </w:rPr>
              <w:t>Digitalizace televizního vysílání</w:t>
            </w:r>
            <w:r w:rsidR="00566A88">
              <w:rPr>
                <w:noProof/>
                <w:webHidden/>
              </w:rPr>
              <w:tab/>
            </w:r>
            <w:r>
              <w:rPr>
                <w:noProof/>
                <w:webHidden/>
              </w:rPr>
              <w:fldChar w:fldCharType="begin"/>
            </w:r>
            <w:r w:rsidR="00566A88">
              <w:rPr>
                <w:noProof/>
                <w:webHidden/>
              </w:rPr>
              <w:instrText xml:space="preserve"> PAGEREF _Toc491355956 \h </w:instrText>
            </w:r>
            <w:r>
              <w:rPr>
                <w:noProof/>
                <w:webHidden/>
              </w:rPr>
            </w:r>
            <w:r>
              <w:rPr>
                <w:noProof/>
                <w:webHidden/>
              </w:rPr>
              <w:fldChar w:fldCharType="separate"/>
            </w:r>
            <w:r w:rsidR="00AE682B">
              <w:rPr>
                <w:noProof/>
                <w:webHidden/>
              </w:rPr>
              <w:t>23</w:t>
            </w:r>
            <w:r>
              <w:rPr>
                <w:noProof/>
                <w:webHidden/>
              </w:rPr>
              <w:fldChar w:fldCharType="end"/>
            </w:r>
          </w:hyperlink>
        </w:p>
        <w:p w:rsidR="00566A88" w:rsidRDefault="00836CA6">
          <w:pPr>
            <w:pStyle w:val="Obsah3"/>
            <w:tabs>
              <w:tab w:val="right" w:leader="dot" w:pos="9062"/>
            </w:tabs>
            <w:rPr>
              <w:rFonts w:asciiTheme="minorHAnsi" w:eastAsiaTheme="minorEastAsia" w:hAnsiTheme="minorHAnsi" w:cstheme="minorBidi"/>
              <w:noProof/>
              <w:szCs w:val="22"/>
            </w:rPr>
          </w:pPr>
          <w:hyperlink w:anchor="_Toc491355957" w:history="1">
            <w:r w:rsidR="00566A88" w:rsidRPr="00C01521">
              <w:rPr>
                <w:rStyle w:val="Hypertextovodkaz"/>
                <w:noProof/>
              </w:rPr>
              <w:t>Rozvoj zemského digitálního vysílání Českého rozhlasu</w:t>
            </w:r>
            <w:r w:rsidR="00566A88">
              <w:rPr>
                <w:noProof/>
                <w:webHidden/>
              </w:rPr>
              <w:tab/>
            </w:r>
            <w:r>
              <w:rPr>
                <w:noProof/>
                <w:webHidden/>
              </w:rPr>
              <w:fldChar w:fldCharType="begin"/>
            </w:r>
            <w:r w:rsidR="00566A88">
              <w:rPr>
                <w:noProof/>
                <w:webHidden/>
              </w:rPr>
              <w:instrText xml:space="preserve"> PAGEREF _Toc491355957 \h </w:instrText>
            </w:r>
            <w:r>
              <w:rPr>
                <w:noProof/>
                <w:webHidden/>
              </w:rPr>
            </w:r>
            <w:r>
              <w:rPr>
                <w:noProof/>
                <w:webHidden/>
              </w:rPr>
              <w:fldChar w:fldCharType="separate"/>
            </w:r>
            <w:r w:rsidR="00AE682B">
              <w:rPr>
                <w:noProof/>
                <w:webHidden/>
              </w:rPr>
              <w:t>24</w:t>
            </w:r>
            <w:r>
              <w:rPr>
                <w:noProof/>
                <w:webHidden/>
              </w:rPr>
              <w:fldChar w:fldCharType="end"/>
            </w:r>
          </w:hyperlink>
        </w:p>
        <w:p w:rsidR="00566A88" w:rsidRDefault="00836CA6">
          <w:pPr>
            <w:pStyle w:val="Obsah3"/>
            <w:tabs>
              <w:tab w:val="right" w:leader="dot" w:pos="9062"/>
            </w:tabs>
            <w:rPr>
              <w:rFonts w:asciiTheme="minorHAnsi" w:eastAsiaTheme="minorEastAsia" w:hAnsiTheme="minorHAnsi" w:cstheme="minorBidi"/>
              <w:noProof/>
              <w:szCs w:val="22"/>
            </w:rPr>
          </w:pPr>
          <w:hyperlink w:anchor="_Toc491355958" w:history="1">
            <w:r w:rsidR="00566A88" w:rsidRPr="00C01521">
              <w:rPr>
                <w:rStyle w:val="Hypertextovodkaz"/>
                <w:noProof/>
              </w:rPr>
              <w:t>E-Privacy</w:t>
            </w:r>
            <w:r w:rsidR="00566A88">
              <w:rPr>
                <w:noProof/>
                <w:webHidden/>
              </w:rPr>
              <w:tab/>
            </w:r>
            <w:r>
              <w:rPr>
                <w:noProof/>
                <w:webHidden/>
              </w:rPr>
              <w:fldChar w:fldCharType="begin"/>
            </w:r>
            <w:r w:rsidR="00566A88">
              <w:rPr>
                <w:noProof/>
                <w:webHidden/>
              </w:rPr>
              <w:instrText xml:space="preserve"> PAGEREF _Toc491355958 \h </w:instrText>
            </w:r>
            <w:r>
              <w:rPr>
                <w:noProof/>
                <w:webHidden/>
              </w:rPr>
            </w:r>
            <w:r>
              <w:rPr>
                <w:noProof/>
                <w:webHidden/>
              </w:rPr>
              <w:fldChar w:fldCharType="separate"/>
            </w:r>
            <w:r w:rsidR="00AE682B">
              <w:rPr>
                <w:noProof/>
                <w:webHidden/>
              </w:rPr>
              <w:t>25</w:t>
            </w:r>
            <w:r>
              <w:rPr>
                <w:noProof/>
                <w:webHidden/>
              </w:rPr>
              <w:fldChar w:fldCharType="end"/>
            </w:r>
          </w:hyperlink>
        </w:p>
        <w:p w:rsidR="00566A88" w:rsidRDefault="00836CA6">
          <w:pPr>
            <w:pStyle w:val="Obsah1"/>
            <w:rPr>
              <w:rFonts w:asciiTheme="minorHAnsi" w:eastAsiaTheme="minorEastAsia" w:hAnsiTheme="minorHAnsi" w:cstheme="minorBidi"/>
              <w:b w:val="0"/>
              <w:noProof/>
              <w:sz w:val="22"/>
              <w:szCs w:val="22"/>
            </w:rPr>
          </w:pPr>
          <w:hyperlink w:anchor="_Toc491355959" w:history="1">
            <w:r w:rsidR="00566A88" w:rsidRPr="00C01521">
              <w:rPr>
                <w:rStyle w:val="Hypertextovodkaz"/>
                <w:noProof/>
              </w:rPr>
              <w:t>2 Vzdělávání a trh práce</w:t>
            </w:r>
            <w:r w:rsidR="00566A88">
              <w:rPr>
                <w:noProof/>
                <w:webHidden/>
              </w:rPr>
              <w:tab/>
            </w:r>
            <w:r>
              <w:rPr>
                <w:noProof/>
                <w:webHidden/>
              </w:rPr>
              <w:fldChar w:fldCharType="begin"/>
            </w:r>
            <w:r w:rsidR="00566A88">
              <w:rPr>
                <w:noProof/>
                <w:webHidden/>
              </w:rPr>
              <w:instrText xml:space="preserve"> PAGEREF _Toc491355959 \h </w:instrText>
            </w:r>
            <w:r>
              <w:rPr>
                <w:noProof/>
                <w:webHidden/>
              </w:rPr>
            </w:r>
            <w:r>
              <w:rPr>
                <w:noProof/>
                <w:webHidden/>
              </w:rPr>
              <w:fldChar w:fldCharType="separate"/>
            </w:r>
            <w:r w:rsidR="00AE682B">
              <w:rPr>
                <w:noProof/>
                <w:webHidden/>
              </w:rPr>
              <w:t>26</w:t>
            </w:r>
            <w:r>
              <w:rPr>
                <w:noProof/>
                <w:webHidden/>
              </w:rPr>
              <w:fldChar w:fldCharType="end"/>
            </w:r>
          </w:hyperlink>
        </w:p>
        <w:p w:rsidR="00566A88" w:rsidRDefault="00836CA6">
          <w:pPr>
            <w:pStyle w:val="Obsah3"/>
            <w:tabs>
              <w:tab w:val="right" w:leader="dot" w:pos="9062"/>
            </w:tabs>
            <w:rPr>
              <w:rFonts w:asciiTheme="minorHAnsi" w:eastAsiaTheme="minorEastAsia" w:hAnsiTheme="minorHAnsi" w:cstheme="minorBidi"/>
              <w:noProof/>
              <w:szCs w:val="22"/>
            </w:rPr>
          </w:pPr>
          <w:hyperlink w:anchor="_Toc491355960" w:history="1">
            <w:r w:rsidR="00566A88" w:rsidRPr="00C01521">
              <w:rPr>
                <w:rStyle w:val="Hypertextovodkaz"/>
                <w:noProof/>
              </w:rPr>
              <w:t>Počáteční vzdělávání</w:t>
            </w:r>
            <w:r w:rsidR="00566A88">
              <w:rPr>
                <w:noProof/>
                <w:webHidden/>
              </w:rPr>
              <w:tab/>
            </w:r>
            <w:r>
              <w:rPr>
                <w:noProof/>
                <w:webHidden/>
              </w:rPr>
              <w:fldChar w:fldCharType="begin"/>
            </w:r>
            <w:r w:rsidR="00566A88">
              <w:rPr>
                <w:noProof/>
                <w:webHidden/>
              </w:rPr>
              <w:instrText xml:space="preserve"> PAGEREF _Toc491355960 \h </w:instrText>
            </w:r>
            <w:r>
              <w:rPr>
                <w:noProof/>
                <w:webHidden/>
              </w:rPr>
            </w:r>
            <w:r>
              <w:rPr>
                <w:noProof/>
                <w:webHidden/>
              </w:rPr>
              <w:fldChar w:fldCharType="separate"/>
            </w:r>
            <w:r w:rsidR="00AE682B">
              <w:rPr>
                <w:noProof/>
                <w:webHidden/>
              </w:rPr>
              <w:t>27</w:t>
            </w:r>
            <w:r>
              <w:rPr>
                <w:noProof/>
                <w:webHidden/>
              </w:rPr>
              <w:fldChar w:fldCharType="end"/>
            </w:r>
          </w:hyperlink>
        </w:p>
        <w:p w:rsidR="00566A88" w:rsidRDefault="00836CA6">
          <w:pPr>
            <w:pStyle w:val="Obsah3"/>
            <w:tabs>
              <w:tab w:val="right" w:leader="dot" w:pos="9062"/>
            </w:tabs>
            <w:rPr>
              <w:rFonts w:asciiTheme="minorHAnsi" w:eastAsiaTheme="minorEastAsia" w:hAnsiTheme="minorHAnsi" w:cstheme="minorBidi"/>
              <w:noProof/>
              <w:szCs w:val="22"/>
            </w:rPr>
          </w:pPr>
          <w:hyperlink w:anchor="_Toc491355961" w:history="1">
            <w:r w:rsidR="00566A88" w:rsidRPr="00C01521">
              <w:rPr>
                <w:rStyle w:val="Hypertextovodkaz"/>
                <w:noProof/>
              </w:rPr>
              <w:t>Podpora dalšího vzdělávání</w:t>
            </w:r>
            <w:r w:rsidR="00566A88">
              <w:rPr>
                <w:noProof/>
                <w:webHidden/>
              </w:rPr>
              <w:tab/>
            </w:r>
            <w:r>
              <w:rPr>
                <w:noProof/>
                <w:webHidden/>
              </w:rPr>
              <w:fldChar w:fldCharType="begin"/>
            </w:r>
            <w:r w:rsidR="00566A88">
              <w:rPr>
                <w:noProof/>
                <w:webHidden/>
              </w:rPr>
              <w:instrText xml:space="preserve"> PAGEREF _Toc491355961 \h </w:instrText>
            </w:r>
            <w:r>
              <w:rPr>
                <w:noProof/>
                <w:webHidden/>
              </w:rPr>
            </w:r>
            <w:r>
              <w:rPr>
                <w:noProof/>
                <w:webHidden/>
              </w:rPr>
              <w:fldChar w:fldCharType="separate"/>
            </w:r>
            <w:r w:rsidR="00AE682B">
              <w:rPr>
                <w:noProof/>
                <w:webHidden/>
              </w:rPr>
              <w:t>29</w:t>
            </w:r>
            <w:r>
              <w:rPr>
                <w:noProof/>
                <w:webHidden/>
              </w:rPr>
              <w:fldChar w:fldCharType="end"/>
            </w:r>
          </w:hyperlink>
        </w:p>
        <w:p w:rsidR="00566A88" w:rsidRDefault="00836CA6">
          <w:pPr>
            <w:pStyle w:val="Obsah3"/>
            <w:tabs>
              <w:tab w:val="right" w:leader="dot" w:pos="9062"/>
            </w:tabs>
            <w:rPr>
              <w:rFonts w:asciiTheme="minorHAnsi" w:eastAsiaTheme="minorEastAsia" w:hAnsiTheme="minorHAnsi" w:cstheme="minorBidi"/>
              <w:noProof/>
              <w:szCs w:val="22"/>
            </w:rPr>
          </w:pPr>
          <w:hyperlink w:anchor="_Toc491355966" w:history="1">
            <w:r w:rsidR="00566A88" w:rsidRPr="00C01521">
              <w:rPr>
                <w:rStyle w:val="Hypertextovodkaz"/>
                <w:noProof/>
              </w:rPr>
              <w:t>Nastavení podmínek na trhu práce v souvislosti s technologickými změnami</w:t>
            </w:r>
            <w:r w:rsidR="00566A88">
              <w:rPr>
                <w:noProof/>
                <w:webHidden/>
              </w:rPr>
              <w:tab/>
            </w:r>
            <w:r>
              <w:rPr>
                <w:noProof/>
                <w:webHidden/>
              </w:rPr>
              <w:fldChar w:fldCharType="begin"/>
            </w:r>
            <w:r w:rsidR="00566A88">
              <w:rPr>
                <w:noProof/>
                <w:webHidden/>
              </w:rPr>
              <w:instrText xml:space="preserve"> PAGEREF _Toc491355966 \h </w:instrText>
            </w:r>
            <w:r>
              <w:rPr>
                <w:noProof/>
                <w:webHidden/>
              </w:rPr>
            </w:r>
            <w:r>
              <w:rPr>
                <w:noProof/>
                <w:webHidden/>
              </w:rPr>
              <w:fldChar w:fldCharType="separate"/>
            </w:r>
            <w:r w:rsidR="00AE682B">
              <w:rPr>
                <w:noProof/>
                <w:webHidden/>
              </w:rPr>
              <w:t>33</w:t>
            </w:r>
            <w:r>
              <w:rPr>
                <w:noProof/>
                <w:webHidden/>
              </w:rPr>
              <w:fldChar w:fldCharType="end"/>
            </w:r>
          </w:hyperlink>
        </w:p>
        <w:p w:rsidR="00566A88" w:rsidRDefault="00836CA6">
          <w:pPr>
            <w:pStyle w:val="Obsah3"/>
            <w:tabs>
              <w:tab w:val="right" w:leader="dot" w:pos="9062"/>
            </w:tabs>
            <w:rPr>
              <w:rFonts w:asciiTheme="minorHAnsi" w:eastAsiaTheme="minorEastAsia" w:hAnsiTheme="minorHAnsi" w:cstheme="minorBidi"/>
              <w:noProof/>
              <w:szCs w:val="22"/>
            </w:rPr>
          </w:pPr>
          <w:hyperlink w:anchor="_Toc491355970" w:history="1">
            <w:r w:rsidR="00566A88" w:rsidRPr="00C01521">
              <w:rPr>
                <w:rStyle w:val="Hypertextovodkaz"/>
                <w:noProof/>
              </w:rPr>
              <w:t>Regulace dopadů technologických změn na vybrané sociální aspekty</w:t>
            </w:r>
            <w:r w:rsidR="00566A88">
              <w:rPr>
                <w:noProof/>
                <w:webHidden/>
              </w:rPr>
              <w:tab/>
            </w:r>
            <w:r>
              <w:rPr>
                <w:noProof/>
                <w:webHidden/>
              </w:rPr>
              <w:fldChar w:fldCharType="begin"/>
            </w:r>
            <w:r w:rsidR="00566A88">
              <w:rPr>
                <w:noProof/>
                <w:webHidden/>
              </w:rPr>
              <w:instrText xml:space="preserve"> PAGEREF _Toc491355970 \h </w:instrText>
            </w:r>
            <w:r>
              <w:rPr>
                <w:noProof/>
                <w:webHidden/>
              </w:rPr>
            </w:r>
            <w:r>
              <w:rPr>
                <w:noProof/>
                <w:webHidden/>
              </w:rPr>
              <w:fldChar w:fldCharType="separate"/>
            </w:r>
            <w:r w:rsidR="00AE682B">
              <w:rPr>
                <w:noProof/>
                <w:webHidden/>
              </w:rPr>
              <w:t>35</w:t>
            </w:r>
            <w:r>
              <w:rPr>
                <w:noProof/>
                <w:webHidden/>
              </w:rPr>
              <w:fldChar w:fldCharType="end"/>
            </w:r>
          </w:hyperlink>
        </w:p>
        <w:p w:rsidR="00566A88" w:rsidRDefault="00836CA6">
          <w:pPr>
            <w:pStyle w:val="Obsah1"/>
            <w:rPr>
              <w:rFonts w:asciiTheme="minorHAnsi" w:eastAsiaTheme="minorEastAsia" w:hAnsiTheme="minorHAnsi" w:cstheme="minorBidi"/>
              <w:b w:val="0"/>
              <w:noProof/>
              <w:sz w:val="22"/>
              <w:szCs w:val="22"/>
            </w:rPr>
          </w:pPr>
          <w:hyperlink w:anchor="_Toc491355971" w:history="1">
            <w:r w:rsidR="00566A88" w:rsidRPr="00C01521">
              <w:rPr>
                <w:rStyle w:val="Hypertextovodkaz"/>
                <w:noProof/>
              </w:rPr>
              <w:t>3 Elektronizace veřejné správy</w:t>
            </w:r>
            <w:r w:rsidR="00566A88">
              <w:rPr>
                <w:noProof/>
                <w:webHidden/>
              </w:rPr>
              <w:tab/>
            </w:r>
            <w:r>
              <w:rPr>
                <w:noProof/>
                <w:webHidden/>
              </w:rPr>
              <w:fldChar w:fldCharType="begin"/>
            </w:r>
            <w:r w:rsidR="00566A88">
              <w:rPr>
                <w:noProof/>
                <w:webHidden/>
              </w:rPr>
              <w:instrText xml:space="preserve"> PAGEREF _Toc491355971 \h </w:instrText>
            </w:r>
            <w:r>
              <w:rPr>
                <w:noProof/>
                <w:webHidden/>
              </w:rPr>
            </w:r>
            <w:r>
              <w:rPr>
                <w:noProof/>
                <w:webHidden/>
              </w:rPr>
              <w:fldChar w:fldCharType="separate"/>
            </w:r>
            <w:r w:rsidR="00AE682B">
              <w:rPr>
                <w:noProof/>
                <w:webHidden/>
              </w:rPr>
              <w:t>36</w:t>
            </w:r>
            <w:r>
              <w:rPr>
                <w:noProof/>
                <w:webHidden/>
              </w:rPr>
              <w:fldChar w:fldCharType="end"/>
            </w:r>
          </w:hyperlink>
        </w:p>
        <w:p w:rsidR="00566A88" w:rsidRDefault="00836CA6">
          <w:pPr>
            <w:pStyle w:val="Obsah3"/>
            <w:tabs>
              <w:tab w:val="right" w:leader="dot" w:pos="9062"/>
            </w:tabs>
            <w:rPr>
              <w:rFonts w:asciiTheme="minorHAnsi" w:eastAsiaTheme="minorEastAsia" w:hAnsiTheme="minorHAnsi" w:cstheme="minorBidi"/>
              <w:noProof/>
              <w:szCs w:val="22"/>
            </w:rPr>
          </w:pPr>
          <w:hyperlink w:anchor="_Toc491355972" w:history="1">
            <w:r w:rsidR="00566A88" w:rsidRPr="00C01521">
              <w:rPr>
                <w:rStyle w:val="Hypertextovodkaz"/>
                <w:noProof/>
              </w:rPr>
              <w:t>Standardizace, hodnocení a zvyšování dostupnosti a transparentnosti veřejné správy prostřednictvím nástrojů eGovernmentu</w:t>
            </w:r>
            <w:r w:rsidR="00566A88">
              <w:rPr>
                <w:noProof/>
                <w:webHidden/>
              </w:rPr>
              <w:tab/>
            </w:r>
            <w:r>
              <w:rPr>
                <w:noProof/>
                <w:webHidden/>
              </w:rPr>
              <w:fldChar w:fldCharType="begin"/>
            </w:r>
            <w:r w:rsidR="00566A88">
              <w:rPr>
                <w:noProof/>
                <w:webHidden/>
              </w:rPr>
              <w:instrText xml:space="preserve"> PAGEREF _Toc491355972 \h </w:instrText>
            </w:r>
            <w:r>
              <w:rPr>
                <w:noProof/>
                <w:webHidden/>
              </w:rPr>
            </w:r>
            <w:r>
              <w:rPr>
                <w:noProof/>
                <w:webHidden/>
              </w:rPr>
              <w:fldChar w:fldCharType="separate"/>
            </w:r>
            <w:r w:rsidR="00AE682B">
              <w:rPr>
                <w:noProof/>
                <w:webHidden/>
              </w:rPr>
              <w:t>37</w:t>
            </w:r>
            <w:r>
              <w:rPr>
                <w:noProof/>
                <w:webHidden/>
              </w:rPr>
              <w:fldChar w:fldCharType="end"/>
            </w:r>
          </w:hyperlink>
        </w:p>
        <w:p w:rsidR="00566A88" w:rsidRDefault="00836CA6">
          <w:pPr>
            <w:pStyle w:val="Obsah3"/>
            <w:tabs>
              <w:tab w:val="right" w:leader="dot" w:pos="9062"/>
            </w:tabs>
            <w:rPr>
              <w:rFonts w:asciiTheme="minorHAnsi" w:eastAsiaTheme="minorEastAsia" w:hAnsiTheme="minorHAnsi" w:cstheme="minorBidi"/>
              <w:noProof/>
              <w:szCs w:val="22"/>
            </w:rPr>
          </w:pPr>
          <w:hyperlink w:anchor="_Toc491355976" w:history="1">
            <w:r w:rsidR="00566A88" w:rsidRPr="00C01521">
              <w:rPr>
                <w:rStyle w:val="Hypertextovodkaz"/>
                <w:noProof/>
              </w:rPr>
              <w:t>Prosazování principu Open Data</w:t>
            </w:r>
            <w:r w:rsidR="00566A88">
              <w:rPr>
                <w:noProof/>
                <w:webHidden/>
              </w:rPr>
              <w:tab/>
            </w:r>
            <w:r>
              <w:rPr>
                <w:noProof/>
                <w:webHidden/>
              </w:rPr>
              <w:fldChar w:fldCharType="begin"/>
            </w:r>
            <w:r w:rsidR="00566A88">
              <w:rPr>
                <w:noProof/>
                <w:webHidden/>
              </w:rPr>
              <w:instrText xml:space="preserve"> PAGEREF _Toc491355976 \h </w:instrText>
            </w:r>
            <w:r>
              <w:rPr>
                <w:noProof/>
                <w:webHidden/>
              </w:rPr>
            </w:r>
            <w:r>
              <w:rPr>
                <w:noProof/>
                <w:webHidden/>
              </w:rPr>
              <w:fldChar w:fldCharType="separate"/>
            </w:r>
            <w:r w:rsidR="00AE682B">
              <w:rPr>
                <w:noProof/>
                <w:webHidden/>
              </w:rPr>
              <w:t>44</w:t>
            </w:r>
            <w:r>
              <w:rPr>
                <w:noProof/>
                <w:webHidden/>
              </w:rPr>
              <w:fldChar w:fldCharType="end"/>
            </w:r>
          </w:hyperlink>
        </w:p>
        <w:p w:rsidR="00566A88" w:rsidRDefault="00836CA6">
          <w:pPr>
            <w:pStyle w:val="Obsah3"/>
            <w:tabs>
              <w:tab w:val="right" w:leader="dot" w:pos="9062"/>
            </w:tabs>
            <w:rPr>
              <w:rFonts w:asciiTheme="minorHAnsi" w:eastAsiaTheme="minorEastAsia" w:hAnsiTheme="minorHAnsi" w:cstheme="minorBidi"/>
              <w:noProof/>
              <w:szCs w:val="22"/>
            </w:rPr>
          </w:pPr>
          <w:hyperlink w:anchor="_Toc491355977" w:history="1">
            <w:r w:rsidR="00566A88" w:rsidRPr="00C01521">
              <w:rPr>
                <w:rStyle w:val="Hypertextovodkaz"/>
                <w:noProof/>
              </w:rPr>
              <w:t>Elektronické zdravotnictví</w:t>
            </w:r>
            <w:r w:rsidR="00566A88">
              <w:rPr>
                <w:noProof/>
                <w:webHidden/>
              </w:rPr>
              <w:tab/>
            </w:r>
            <w:r>
              <w:rPr>
                <w:noProof/>
                <w:webHidden/>
              </w:rPr>
              <w:fldChar w:fldCharType="begin"/>
            </w:r>
            <w:r w:rsidR="00566A88">
              <w:rPr>
                <w:noProof/>
                <w:webHidden/>
              </w:rPr>
              <w:instrText xml:space="preserve"> PAGEREF _Toc491355977 \h </w:instrText>
            </w:r>
            <w:r>
              <w:rPr>
                <w:noProof/>
                <w:webHidden/>
              </w:rPr>
            </w:r>
            <w:r>
              <w:rPr>
                <w:noProof/>
                <w:webHidden/>
              </w:rPr>
              <w:fldChar w:fldCharType="separate"/>
            </w:r>
            <w:r w:rsidR="00AE682B">
              <w:rPr>
                <w:noProof/>
                <w:webHidden/>
              </w:rPr>
              <w:t>45</w:t>
            </w:r>
            <w:r>
              <w:rPr>
                <w:noProof/>
                <w:webHidden/>
              </w:rPr>
              <w:fldChar w:fldCharType="end"/>
            </w:r>
          </w:hyperlink>
        </w:p>
        <w:p w:rsidR="00566A88" w:rsidRDefault="00836CA6">
          <w:pPr>
            <w:pStyle w:val="Obsah3"/>
            <w:tabs>
              <w:tab w:val="right" w:leader="dot" w:pos="9062"/>
            </w:tabs>
            <w:rPr>
              <w:rFonts w:asciiTheme="minorHAnsi" w:eastAsiaTheme="minorEastAsia" w:hAnsiTheme="minorHAnsi" w:cstheme="minorBidi"/>
              <w:noProof/>
              <w:szCs w:val="22"/>
            </w:rPr>
          </w:pPr>
          <w:hyperlink w:anchor="_Toc491355978" w:history="1">
            <w:r w:rsidR="00566A88" w:rsidRPr="00C01521">
              <w:rPr>
                <w:rStyle w:val="Hypertextovodkaz"/>
                <w:noProof/>
              </w:rPr>
              <w:t>Elektronická neschopenka</w:t>
            </w:r>
            <w:r w:rsidR="00566A88">
              <w:rPr>
                <w:noProof/>
                <w:webHidden/>
              </w:rPr>
              <w:tab/>
            </w:r>
            <w:r>
              <w:rPr>
                <w:noProof/>
                <w:webHidden/>
              </w:rPr>
              <w:fldChar w:fldCharType="begin"/>
            </w:r>
            <w:r w:rsidR="00566A88">
              <w:rPr>
                <w:noProof/>
                <w:webHidden/>
              </w:rPr>
              <w:instrText xml:space="preserve"> PAGEREF _Toc491355978 \h </w:instrText>
            </w:r>
            <w:r>
              <w:rPr>
                <w:noProof/>
                <w:webHidden/>
              </w:rPr>
            </w:r>
            <w:r>
              <w:rPr>
                <w:noProof/>
                <w:webHidden/>
              </w:rPr>
              <w:fldChar w:fldCharType="separate"/>
            </w:r>
            <w:r w:rsidR="00AE682B">
              <w:rPr>
                <w:noProof/>
                <w:webHidden/>
              </w:rPr>
              <w:t>46</w:t>
            </w:r>
            <w:r>
              <w:rPr>
                <w:noProof/>
                <w:webHidden/>
              </w:rPr>
              <w:fldChar w:fldCharType="end"/>
            </w:r>
          </w:hyperlink>
        </w:p>
        <w:p w:rsidR="00566A88" w:rsidRDefault="00836CA6">
          <w:pPr>
            <w:pStyle w:val="Obsah3"/>
            <w:tabs>
              <w:tab w:val="right" w:leader="dot" w:pos="9062"/>
            </w:tabs>
            <w:rPr>
              <w:rFonts w:asciiTheme="minorHAnsi" w:eastAsiaTheme="minorEastAsia" w:hAnsiTheme="minorHAnsi" w:cstheme="minorBidi"/>
              <w:noProof/>
              <w:szCs w:val="22"/>
            </w:rPr>
          </w:pPr>
          <w:hyperlink w:anchor="_Toc491355979" w:history="1">
            <w:r w:rsidR="00566A88" w:rsidRPr="00C01521">
              <w:rPr>
                <w:rStyle w:val="Hypertextovodkaz"/>
                <w:rFonts w:eastAsia="Arial"/>
                <w:noProof/>
              </w:rPr>
              <w:t>Elektronizace sociálních služeb</w:t>
            </w:r>
            <w:r w:rsidR="00566A88">
              <w:rPr>
                <w:noProof/>
                <w:webHidden/>
              </w:rPr>
              <w:tab/>
            </w:r>
            <w:r>
              <w:rPr>
                <w:noProof/>
                <w:webHidden/>
              </w:rPr>
              <w:fldChar w:fldCharType="begin"/>
            </w:r>
            <w:r w:rsidR="00566A88">
              <w:rPr>
                <w:noProof/>
                <w:webHidden/>
              </w:rPr>
              <w:instrText xml:space="preserve"> PAGEREF _Toc491355979 \h </w:instrText>
            </w:r>
            <w:r>
              <w:rPr>
                <w:noProof/>
                <w:webHidden/>
              </w:rPr>
            </w:r>
            <w:r>
              <w:rPr>
                <w:noProof/>
                <w:webHidden/>
              </w:rPr>
              <w:fldChar w:fldCharType="separate"/>
            </w:r>
            <w:r w:rsidR="00AE682B">
              <w:rPr>
                <w:noProof/>
                <w:webHidden/>
              </w:rPr>
              <w:t>47</w:t>
            </w:r>
            <w:r>
              <w:rPr>
                <w:noProof/>
                <w:webHidden/>
              </w:rPr>
              <w:fldChar w:fldCharType="end"/>
            </w:r>
          </w:hyperlink>
        </w:p>
        <w:p w:rsidR="00566A88" w:rsidRDefault="00836CA6">
          <w:pPr>
            <w:pStyle w:val="Obsah3"/>
            <w:tabs>
              <w:tab w:val="right" w:leader="dot" w:pos="9062"/>
            </w:tabs>
            <w:rPr>
              <w:rFonts w:asciiTheme="minorHAnsi" w:eastAsiaTheme="minorEastAsia" w:hAnsiTheme="minorHAnsi" w:cstheme="minorBidi"/>
              <w:noProof/>
              <w:szCs w:val="22"/>
            </w:rPr>
          </w:pPr>
          <w:hyperlink w:anchor="_Toc491355980" w:history="1">
            <w:r w:rsidR="00566A88" w:rsidRPr="00C01521">
              <w:rPr>
                <w:rStyle w:val="Hypertextovodkaz"/>
                <w:rFonts w:eastAsia="Arial"/>
                <w:noProof/>
              </w:rPr>
              <w:t>Elektronizace justice</w:t>
            </w:r>
            <w:r w:rsidR="00566A88">
              <w:rPr>
                <w:noProof/>
                <w:webHidden/>
              </w:rPr>
              <w:tab/>
            </w:r>
            <w:r>
              <w:rPr>
                <w:noProof/>
                <w:webHidden/>
              </w:rPr>
              <w:fldChar w:fldCharType="begin"/>
            </w:r>
            <w:r w:rsidR="00566A88">
              <w:rPr>
                <w:noProof/>
                <w:webHidden/>
              </w:rPr>
              <w:instrText xml:space="preserve"> PAGEREF _Toc491355980 \h </w:instrText>
            </w:r>
            <w:r>
              <w:rPr>
                <w:noProof/>
                <w:webHidden/>
              </w:rPr>
            </w:r>
            <w:r>
              <w:rPr>
                <w:noProof/>
                <w:webHidden/>
              </w:rPr>
              <w:fldChar w:fldCharType="separate"/>
            </w:r>
            <w:r w:rsidR="00AE682B">
              <w:rPr>
                <w:noProof/>
                <w:webHidden/>
              </w:rPr>
              <w:t>49</w:t>
            </w:r>
            <w:r>
              <w:rPr>
                <w:noProof/>
                <w:webHidden/>
              </w:rPr>
              <w:fldChar w:fldCharType="end"/>
            </w:r>
          </w:hyperlink>
        </w:p>
        <w:p w:rsidR="00566A88" w:rsidRDefault="00836CA6">
          <w:pPr>
            <w:pStyle w:val="Obsah3"/>
            <w:tabs>
              <w:tab w:val="right" w:leader="dot" w:pos="9062"/>
            </w:tabs>
            <w:rPr>
              <w:rFonts w:asciiTheme="minorHAnsi" w:eastAsiaTheme="minorEastAsia" w:hAnsiTheme="minorHAnsi" w:cstheme="minorBidi"/>
              <w:noProof/>
              <w:szCs w:val="22"/>
            </w:rPr>
          </w:pPr>
          <w:hyperlink w:anchor="_Toc491355981" w:history="1">
            <w:r w:rsidR="00566A88" w:rsidRPr="00C01521">
              <w:rPr>
                <w:rStyle w:val="Hypertextovodkaz"/>
                <w:noProof/>
              </w:rPr>
              <w:t>Elektronizace správy daní: aktivity v gesci Ministerstva financí (MF)</w:t>
            </w:r>
            <w:r w:rsidR="00566A88">
              <w:rPr>
                <w:noProof/>
                <w:webHidden/>
              </w:rPr>
              <w:tab/>
            </w:r>
            <w:r>
              <w:rPr>
                <w:noProof/>
                <w:webHidden/>
              </w:rPr>
              <w:fldChar w:fldCharType="begin"/>
            </w:r>
            <w:r w:rsidR="00566A88">
              <w:rPr>
                <w:noProof/>
                <w:webHidden/>
              </w:rPr>
              <w:instrText xml:space="preserve"> PAGEREF _Toc491355981 \h </w:instrText>
            </w:r>
            <w:r>
              <w:rPr>
                <w:noProof/>
                <w:webHidden/>
              </w:rPr>
            </w:r>
            <w:r>
              <w:rPr>
                <w:noProof/>
                <w:webHidden/>
              </w:rPr>
              <w:fldChar w:fldCharType="separate"/>
            </w:r>
            <w:r w:rsidR="00AE682B">
              <w:rPr>
                <w:noProof/>
                <w:webHidden/>
              </w:rPr>
              <w:t>50</w:t>
            </w:r>
            <w:r>
              <w:rPr>
                <w:noProof/>
                <w:webHidden/>
              </w:rPr>
              <w:fldChar w:fldCharType="end"/>
            </w:r>
          </w:hyperlink>
        </w:p>
        <w:p w:rsidR="00566A88" w:rsidRDefault="00836CA6">
          <w:pPr>
            <w:pStyle w:val="Obsah3"/>
            <w:tabs>
              <w:tab w:val="right" w:leader="dot" w:pos="9062"/>
            </w:tabs>
            <w:rPr>
              <w:rFonts w:asciiTheme="minorHAnsi" w:eastAsiaTheme="minorEastAsia" w:hAnsiTheme="minorHAnsi" w:cstheme="minorBidi"/>
              <w:noProof/>
              <w:szCs w:val="22"/>
            </w:rPr>
          </w:pPr>
          <w:hyperlink w:anchor="_Toc491355982" w:history="1">
            <w:r w:rsidR="00566A88" w:rsidRPr="00C01521">
              <w:rPr>
                <w:rStyle w:val="Hypertextovodkaz"/>
                <w:noProof/>
              </w:rPr>
              <w:t>Smart Cities</w:t>
            </w:r>
            <w:r w:rsidR="00566A88">
              <w:rPr>
                <w:noProof/>
                <w:webHidden/>
              </w:rPr>
              <w:tab/>
            </w:r>
            <w:r>
              <w:rPr>
                <w:noProof/>
                <w:webHidden/>
              </w:rPr>
              <w:fldChar w:fldCharType="begin"/>
            </w:r>
            <w:r w:rsidR="00566A88">
              <w:rPr>
                <w:noProof/>
                <w:webHidden/>
              </w:rPr>
              <w:instrText xml:space="preserve"> PAGEREF _Toc491355982 \h </w:instrText>
            </w:r>
            <w:r>
              <w:rPr>
                <w:noProof/>
                <w:webHidden/>
              </w:rPr>
            </w:r>
            <w:r>
              <w:rPr>
                <w:noProof/>
                <w:webHidden/>
              </w:rPr>
              <w:fldChar w:fldCharType="separate"/>
            </w:r>
            <w:r w:rsidR="00AE682B">
              <w:rPr>
                <w:noProof/>
                <w:webHidden/>
              </w:rPr>
              <w:t>51</w:t>
            </w:r>
            <w:r>
              <w:rPr>
                <w:noProof/>
                <w:webHidden/>
              </w:rPr>
              <w:fldChar w:fldCharType="end"/>
            </w:r>
          </w:hyperlink>
        </w:p>
        <w:p w:rsidR="00566A88" w:rsidRDefault="00836CA6">
          <w:pPr>
            <w:pStyle w:val="Obsah3"/>
            <w:tabs>
              <w:tab w:val="right" w:leader="dot" w:pos="9062"/>
            </w:tabs>
            <w:rPr>
              <w:rStyle w:val="Hypertextovodkaz"/>
              <w:noProof/>
            </w:rPr>
          </w:pPr>
          <w:hyperlink w:anchor="_Toc491355983" w:history="1">
            <w:r w:rsidR="00566A88" w:rsidRPr="00C01521">
              <w:rPr>
                <w:rStyle w:val="Hypertextovodkaz"/>
                <w:noProof/>
              </w:rPr>
              <w:t>Podpora strategického řízení a plánování</w:t>
            </w:r>
            <w:r w:rsidR="00566A88">
              <w:rPr>
                <w:noProof/>
                <w:webHidden/>
              </w:rPr>
              <w:tab/>
            </w:r>
            <w:r>
              <w:rPr>
                <w:noProof/>
                <w:webHidden/>
              </w:rPr>
              <w:fldChar w:fldCharType="begin"/>
            </w:r>
            <w:r w:rsidR="00566A88">
              <w:rPr>
                <w:noProof/>
                <w:webHidden/>
              </w:rPr>
              <w:instrText xml:space="preserve"> PAGEREF _Toc491355983 \h </w:instrText>
            </w:r>
            <w:r>
              <w:rPr>
                <w:noProof/>
                <w:webHidden/>
              </w:rPr>
            </w:r>
            <w:r>
              <w:rPr>
                <w:noProof/>
                <w:webHidden/>
              </w:rPr>
              <w:fldChar w:fldCharType="separate"/>
            </w:r>
            <w:r w:rsidR="00AE682B">
              <w:rPr>
                <w:noProof/>
                <w:webHidden/>
              </w:rPr>
              <w:t>52</w:t>
            </w:r>
            <w:r>
              <w:rPr>
                <w:noProof/>
                <w:webHidden/>
              </w:rPr>
              <w:fldChar w:fldCharType="end"/>
            </w:r>
          </w:hyperlink>
        </w:p>
        <w:p w:rsidR="00CE231F" w:rsidRPr="00CE231F" w:rsidRDefault="00CE231F" w:rsidP="00CE231F">
          <w:pPr>
            <w:rPr>
              <w:noProof/>
            </w:rPr>
          </w:pPr>
        </w:p>
        <w:p w:rsidR="00566A88" w:rsidRDefault="00836CA6">
          <w:pPr>
            <w:pStyle w:val="Obsah1"/>
            <w:rPr>
              <w:rFonts w:asciiTheme="minorHAnsi" w:eastAsiaTheme="minorEastAsia" w:hAnsiTheme="minorHAnsi" w:cstheme="minorBidi"/>
              <w:b w:val="0"/>
              <w:noProof/>
              <w:sz w:val="22"/>
              <w:szCs w:val="22"/>
            </w:rPr>
          </w:pPr>
          <w:hyperlink w:anchor="_Toc491355984" w:history="1">
            <w:r w:rsidR="00566A88" w:rsidRPr="00C01521">
              <w:rPr>
                <w:rStyle w:val="Hypertextovodkaz"/>
                <w:noProof/>
              </w:rPr>
              <w:t>4 Bezpečnost</w:t>
            </w:r>
            <w:r w:rsidR="00566A88">
              <w:rPr>
                <w:noProof/>
                <w:webHidden/>
              </w:rPr>
              <w:tab/>
            </w:r>
            <w:r>
              <w:rPr>
                <w:noProof/>
                <w:webHidden/>
              </w:rPr>
              <w:fldChar w:fldCharType="begin"/>
            </w:r>
            <w:r w:rsidR="00566A88">
              <w:rPr>
                <w:noProof/>
                <w:webHidden/>
              </w:rPr>
              <w:instrText xml:space="preserve"> PAGEREF _Toc491355984 \h </w:instrText>
            </w:r>
            <w:r>
              <w:rPr>
                <w:noProof/>
                <w:webHidden/>
              </w:rPr>
            </w:r>
            <w:r>
              <w:rPr>
                <w:noProof/>
                <w:webHidden/>
              </w:rPr>
              <w:fldChar w:fldCharType="separate"/>
            </w:r>
            <w:r w:rsidR="00AE682B">
              <w:rPr>
                <w:noProof/>
                <w:webHidden/>
              </w:rPr>
              <w:t>53</w:t>
            </w:r>
            <w:r>
              <w:rPr>
                <w:noProof/>
                <w:webHidden/>
              </w:rPr>
              <w:fldChar w:fldCharType="end"/>
            </w:r>
          </w:hyperlink>
        </w:p>
        <w:p w:rsidR="00566A88" w:rsidRDefault="00836CA6">
          <w:pPr>
            <w:pStyle w:val="Obsah3"/>
            <w:tabs>
              <w:tab w:val="right" w:leader="dot" w:pos="9062"/>
            </w:tabs>
            <w:rPr>
              <w:rFonts w:asciiTheme="minorHAnsi" w:eastAsiaTheme="minorEastAsia" w:hAnsiTheme="minorHAnsi" w:cstheme="minorBidi"/>
              <w:noProof/>
              <w:szCs w:val="22"/>
            </w:rPr>
          </w:pPr>
          <w:hyperlink w:anchor="_Toc491355985" w:history="1">
            <w:r w:rsidR="00566A88" w:rsidRPr="00C01521">
              <w:rPr>
                <w:rStyle w:val="Hypertextovodkaz"/>
                <w:noProof/>
              </w:rPr>
              <w:t>Kybernetická bezpečnost</w:t>
            </w:r>
            <w:r w:rsidR="00566A88">
              <w:rPr>
                <w:noProof/>
                <w:webHidden/>
              </w:rPr>
              <w:tab/>
            </w:r>
            <w:r>
              <w:rPr>
                <w:noProof/>
                <w:webHidden/>
              </w:rPr>
              <w:fldChar w:fldCharType="begin"/>
            </w:r>
            <w:r w:rsidR="00566A88">
              <w:rPr>
                <w:noProof/>
                <w:webHidden/>
              </w:rPr>
              <w:instrText xml:space="preserve"> PAGEREF _Toc491355985 \h </w:instrText>
            </w:r>
            <w:r>
              <w:rPr>
                <w:noProof/>
                <w:webHidden/>
              </w:rPr>
            </w:r>
            <w:r>
              <w:rPr>
                <w:noProof/>
                <w:webHidden/>
              </w:rPr>
              <w:fldChar w:fldCharType="separate"/>
            </w:r>
            <w:r w:rsidR="00AE682B">
              <w:rPr>
                <w:noProof/>
                <w:webHidden/>
              </w:rPr>
              <w:t>53</w:t>
            </w:r>
            <w:r>
              <w:rPr>
                <w:noProof/>
                <w:webHidden/>
              </w:rPr>
              <w:fldChar w:fldCharType="end"/>
            </w:r>
          </w:hyperlink>
        </w:p>
        <w:p w:rsidR="00566A88" w:rsidRDefault="00836CA6">
          <w:pPr>
            <w:pStyle w:val="Obsah3"/>
            <w:tabs>
              <w:tab w:val="right" w:leader="dot" w:pos="9062"/>
            </w:tabs>
            <w:rPr>
              <w:rFonts w:asciiTheme="minorHAnsi" w:eastAsiaTheme="minorEastAsia" w:hAnsiTheme="minorHAnsi" w:cstheme="minorBidi"/>
              <w:noProof/>
              <w:szCs w:val="22"/>
            </w:rPr>
          </w:pPr>
          <w:hyperlink w:anchor="_Toc491355986" w:history="1">
            <w:r w:rsidR="00566A88" w:rsidRPr="00C01521">
              <w:rPr>
                <w:rStyle w:val="Hypertextovodkaz"/>
                <w:noProof/>
              </w:rPr>
              <w:t>Ochrana osobních údajů</w:t>
            </w:r>
            <w:r w:rsidR="00566A88">
              <w:rPr>
                <w:noProof/>
                <w:webHidden/>
              </w:rPr>
              <w:tab/>
            </w:r>
            <w:r>
              <w:rPr>
                <w:noProof/>
                <w:webHidden/>
              </w:rPr>
              <w:fldChar w:fldCharType="begin"/>
            </w:r>
            <w:r w:rsidR="00566A88">
              <w:rPr>
                <w:noProof/>
                <w:webHidden/>
              </w:rPr>
              <w:instrText xml:space="preserve"> PAGEREF _Toc491355986 \h </w:instrText>
            </w:r>
            <w:r>
              <w:rPr>
                <w:noProof/>
                <w:webHidden/>
              </w:rPr>
            </w:r>
            <w:r>
              <w:rPr>
                <w:noProof/>
                <w:webHidden/>
              </w:rPr>
              <w:fldChar w:fldCharType="separate"/>
            </w:r>
            <w:r w:rsidR="00AE682B">
              <w:rPr>
                <w:noProof/>
                <w:webHidden/>
              </w:rPr>
              <w:t>55</w:t>
            </w:r>
            <w:r>
              <w:rPr>
                <w:noProof/>
                <w:webHidden/>
              </w:rPr>
              <w:fldChar w:fldCharType="end"/>
            </w:r>
          </w:hyperlink>
        </w:p>
        <w:p w:rsidR="00566A88" w:rsidRDefault="00836CA6">
          <w:pPr>
            <w:pStyle w:val="Obsah1"/>
            <w:rPr>
              <w:rFonts w:asciiTheme="minorHAnsi" w:eastAsiaTheme="minorEastAsia" w:hAnsiTheme="minorHAnsi" w:cstheme="minorBidi"/>
              <w:b w:val="0"/>
              <w:noProof/>
              <w:sz w:val="22"/>
              <w:szCs w:val="22"/>
            </w:rPr>
          </w:pPr>
          <w:hyperlink w:anchor="_Toc491355987" w:history="1">
            <w:r w:rsidR="00566A88" w:rsidRPr="00C01521">
              <w:rPr>
                <w:rStyle w:val="Hypertextovodkaz"/>
                <w:noProof/>
              </w:rPr>
              <w:t>5 Průmysl, podnikání a konkurenceschopnost</w:t>
            </w:r>
            <w:r w:rsidR="00566A88">
              <w:rPr>
                <w:noProof/>
                <w:webHidden/>
              </w:rPr>
              <w:tab/>
            </w:r>
            <w:r>
              <w:rPr>
                <w:noProof/>
                <w:webHidden/>
              </w:rPr>
              <w:fldChar w:fldCharType="begin"/>
            </w:r>
            <w:r w:rsidR="00566A88">
              <w:rPr>
                <w:noProof/>
                <w:webHidden/>
              </w:rPr>
              <w:instrText xml:space="preserve"> PAGEREF _Toc491355987 \h </w:instrText>
            </w:r>
            <w:r>
              <w:rPr>
                <w:noProof/>
                <w:webHidden/>
              </w:rPr>
            </w:r>
            <w:r>
              <w:rPr>
                <w:noProof/>
                <w:webHidden/>
              </w:rPr>
              <w:fldChar w:fldCharType="separate"/>
            </w:r>
            <w:r w:rsidR="00AE682B">
              <w:rPr>
                <w:noProof/>
                <w:webHidden/>
              </w:rPr>
              <w:t>58</w:t>
            </w:r>
            <w:r>
              <w:rPr>
                <w:noProof/>
                <w:webHidden/>
              </w:rPr>
              <w:fldChar w:fldCharType="end"/>
            </w:r>
          </w:hyperlink>
        </w:p>
        <w:p w:rsidR="00566A88" w:rsidRDefault="00836CA6">
          <w:pPr>
            <w:pStyle w:val="Obsah3"/>
            <w:tabs>
              <w:tab w:val="right" w:leader="dot" w:pos="9062"/>
            </w:tabs>
            <w:rPr>
              <w:rFonts w:asciiTheme="minorHAnsi" w:eastAsiaTheme="minorEastAsia" w:hAnsiTheme="minorHAnsi" w:cstheme="minorBidi"/>
              <w:noProof/>
              <w:szCs w:val="22"/>
            </w:rPr>
          </w:pPr>
          <w:hyperlink w:anchor="_Toc491355988" w:history="1">
            <w:r w:rsidR="00566A88" w:rsidRPr="00C01521">
              <w:rPr>
                <w:rStyle w:val="Hypertextovodkaz"/>
                <w:noProof/>
              </w:rPr>
              <w:t>Průmysl 4.0</w:t>
            </w:r>
            <w:r w:rsidR="00566A88">
              <w:rPr>
                <w:noProof/>
                <w:webHidden/>
              </w:rPr>
              <w:tab/>
            </w:r>
            <w:r>
              <w:rPr>
                <w:noProof/>
                <w:webHidden/>
              </w:rPr>
              <w:fldChar w:fldCharType="begin"/>
            </w:r>
            <w:r w:rsidR="00566A88">
              <w:rPr>
                <w:noProof/>
                <w:webHidden/>
              </w:rPr>
              <w:instrText xml:space="preserve"> PAGEREF _Toc491355988 \h </w:instrText>
            </w:r>
            <w:r>
              <w:rPr>
                <w:noProof/>
                <w:webHidden/>
              </w:rPr>
            </w:r>
            <w:r>
              <w:rPr>
                <w:noProof/>
                <w:webHidden/>
              </w:rPr>
              <w:fldChar w:fldCharType="separate"/>
            </w:r>
            <w:r w:rsidR="00AE682B">
              <w:rPr>
                <w:noProof/>
                <w:webHidden/>
              </w:rPr>
              <w:t>58</w:t>
            </w:r>
            <w:r>
              <w:rPr>
                <w:noProof/>
                <w:webHidden/>
              </w:rPr>
              <w:fldChar w:fldCharType="end"/>
            </w:r>
          </w:hyperlink>
        </w:p>
        <w:p w:rsidR="00566A88" w:rsidRDefault="00836CA6">
          <w:pPr>
            <w:pStyle w:val="Obsah3"/>
            <w:tabs>
              <w:tab w:val="right" w:leader="dot" w:pos="9062"/>
            </w:tabs>
            <w:rPr>
              <w:rFonts w:asciiTheme="minorHAnsi" w:eastAsiaTheme="minorEastAsia" w:hAnsiTheme="minorHAnsi" w:cstheme="minorBidi"/>
              <w:noProof/>
              <w:szCs w:val="22"/>
            </w:rPr>
          </w:pPr>
          <w:hyperlink w:anchor="_Toc491355989" w:history="1">
            <w:r w:rsidR="00566A88" w:rsidRPr="00C01521">
              <w:rPr>
                <w:rStyle w:val="Hypertextovodkaz"/>
                <w:noProof/>
              </w:rPr>
              <w:t>Podpora investic</w:t>
            </w:r>
            <w:r w:rsidR="00566A88">
              <w:rPr>
                <w:noProof/>
                <w:webHidden/>
              </w:rPr>
              <w:tab/>
            </w:r>
            <w:r>
              <w:rPr>
                <w:noProof/>
                <w:webHidden/>
              </w:rPr>
              <w:fldChar w:fldCharType="begin"/>
            </w:r>
            <w:r w:rsidR="00566A88">
              <w:rPr>
                <w:noProof/>
                <w:webHidden/>
              </w:rPr>
              <w:instrText xml:space="preserve"> PAGEREF _Toc491355989 \h </w:instrText>
            </w:r>
            <w:r>
              <w:rPr>
                <w:noProof/>
                <w:webHidden/>
              </w:rPr>
            </w:r>
            <w:r>
              <w:rPr>
                <w:noProof/>
                <w:webHidden/>
              </w:rPr>
              <w:fldChar w:fldCharType="separate"/>
            </w:r>
            <w:r w:rsidR="00AE682B">
              <w:rPr>
                <w:noProof/>
                <w:webHidden/>
              </w:rPr>
              <w:t>59</w:t>
            </w:r>
            <w:r>
              <w:rPr>
                <w:noProof/>
                <w:webHidden/>
              </w:rPr>
              <w:fldChar w:fldCharType="end"/>
            </w:r>
          </w:hyperlink>
        </w:p>
        <w:p w:rsidR="00566A88" w:rsidRDefault="00836CA6">
          <w:pPr>
            <w:pStyle w:val="Obsah3"/>
            <w:tabs>
              <w:tab w:val="right" w:leader="dot" w:pos="9062"/>
            </w:tabs>
            <w:rPr>
              <w:rFonts w:asciiTheme="minorHAnsi" w:eastAsiaTheme="minorEastAsia" w:hAnsiTheme="minorHAnsi" w:cstheme="minorBidi"/>
              <w:noProof/>
              <w:szCs w:val="22"/>
            </w:rPr>
          </w:pPr>
          <w:hyperlink w:anchor="_Toc491355990" w:history="1">
            <w:r w:rsidR="00566A88" w:rsidRPr="00C01521">
              <w:rPr>
                <w:rStyle w:val="Hypertextovodkaz"/>
                <w:noProof/>
              </w:rPr>
              <w:t>Energetika</w:t>
            </w:r>
            <w:r w:rsidR="00566A88">
              <w:rPr>
                <w:noProof/>
                <w:webHidden/>
              </w:rPr>
              <w:tab/>
            </w:r>
            <w:r>
              <w:rPr>
                <w:noProof/>
                <w:webHidden/>
              </w:rPr>
              <w:fldChar w:fldCharType="begin"/>
            </w:r>
            <w:r w:rsidR="00566A88">
              <w:rPr>
                <w:noProof/>
                <w:webHidden/>
              </w:rPr>
              <w:instrText xml:space="preserve"> PAGEREF _Toc491355990 \h </w:instrText>
            </w:r>
            <w:r>
              <w:rPr>
                <w:noProof/>
                <w:webHidden/>
              </w:rPr>
            </w:r>
            <w:r>
              <w:rPr>
                <w:noProof/>
                <w:webHidden/>
              </w:rPr>
              <w:fldChar w:fldCharType="separate"/>
            </w:r>
            <w:r w:rsidR="00AE682B">
              <w:rPr>
                <w:noProof/>
                <w:webHidden/>
              </w:rPr>
              <w:t>61</w:t>
            </w:r>
            <w:r>
              <w:rPr>
                <w:noProof/>
                <w:webHidden/>
              </w:rPr>
              <w:fldChar w:fldCharType="end"/>
            </w:r>
          </w:hyperlink>
        </w:p>
        <w:p w:rsidR="00566A88" w:rsidRDefault="00836CA6">
          <w:pPr>
            <w:pStyle w:val="Obsah3"/>
            <w:tabs>
              <w:tab w:val="right" w:leader="dot" w:pos="9062"/>
            </w:tabs>
            <w:rPr>
              <w:rFonts w:asciiTheme="minorHAnsi" w:eastAsiaTheme="minorEastAsia" w:hAnsiTheme="minorHAnsi" w:cstheme="minorBidi"/>
              <w:noProof/>
              <w:szCs w:val="22"/>
            </w:rPr>
          </w:pPr>
          <w:hyperlink w:anchor="_Toc491355991" w:history="1">
            <w:r w:rsidR="00566A88" w:rsidRPr="00C01521">
              <w:rPr>
                <w:rStyle w:val="Hypertextovodkaz"/>
                <w:noProof/>
              </w:rPr>
              <w:t>Výzkum, vývoj a inovace</w:t>
            </w:r>
            <w:r w:rsidR="00566A88">
              <w:rPr>
                <w:noProof/>
                <w:webHidden/>
              </w:rPr>
              <w:tab/>
            </w:r>
            <w:r>
              <w:rPr>
                <w:noProof/>
                <w:webHidden/>
              </w:rPr>
              <w:fldChar w:fldCharType="begin"/>
            </w:r>
            <w:r w:rsidR="00566A88">
              <w:rPr>
                <w:noProof/>
                <w:webHidden/>
              </w:rPr>
              <w:instrText xml:space="preserve"> PAGEREF _Toc491355991 \h </w:instrText>
            </w:r>
            <w:r>
              <w:rPr>
                <w:noProof/>
                <w:webHidden/>
              </w:rPr>
            </w:r>
            <w:r>
              <w:rPr>
                <w:noProof/>
                <w:webHidden/>
              </w:rPr>
              <w:fldChar w:fldCharType="separate"/>
            </w:r>
            <w:r w:rsidR="00AE682B">
              <w:rPr>
                <w:noProof/>
                <w:webHidden/>
              </w:rPr>
              <w:t>61</w:t>
            </w:r>
            <w:r>
              <w:rPr>
                <w:noProof/>
                <w:webHidden/>
              </w:rPr>
              <w:fldChar w:fldCharType="end"/>
            </w:r>
          </w:hyperlink>
        </w:p>
        <w:p w:rsidR="00566A88" w:rsidRDefault="00836CA6">
          <w:pPr>
            <w:pStyle w:val="Obsah3"/>
            <w:tabs>
              <w:tab w:val="right" w:leader="dot" w:pos="9062"/>
            </w:tabs>
            <w:rPr>
              <w:rFonts w:asciiTheme="minorHAnsi" w:eastAsiaTheme="minorEastAsia" w:hAnsiTheme="minorHAnsi" w:cstheme="minorBidi"/>
              <w:noProof/>
              <w:szCs w:val="22"/>
            </w:rPr>
          </w:pPr>
          <w:hyperlink w:anchor="_Toc491355992" w:history="1">
            <w:r w:rsidR="00566A88" w:rsidRPr="00C01521">
              <w:rPr>
                <w:rStyle w:val="Hypertextovodkaz"/>
                <w:noProof/>
              </w:rPr>
              <w:t>Automobilový průmysl</w:t>
            </w:r>
            <w:r w:rsidR="00566A88">
              <w:rPr>
                <w:noProof/>
                <w:webHidden/>
              </w:rPr>
              <w:tab/>
            </w:r>
            <w:r>
              <w:rPr>
                <w:noProof/>
                <w:webHidden/>
              </w:rPr>
              <w:fldChar w:fldCharType="begin"/>
            </w:r>
            <w:r w:rsidR="00566A88">
              <w:rPr>
                <w:noProof/>
                <w:webHidden/>
              </w:rPr>
              <w:instrText xml:space="preserve"> PAGEREF _Toc491355992 \h </w:instrText>
            </w:r>
            <w:r>
              <w:rPr>
                <w:noProof/>
                <w:webHidden/>
              </w:rPr>
            </w:r>
            <w:r>
              <w:rPr>
                <w:noProof/>
                <w:webHidden/>
              </w:rPr>
              <w:fldChar w:fldCharType="separate"/>
            </w:r>
            <w:r w:rsidR="00AE682B">
              <w:rPr>
                <w:noProof/>
                <w:webHidden/>
              </w:rPr>
              <w:t>62</w:t>
            </w:r>
            <w:r>
              <w:rPr>
                <w:noProof/>
                <w:webHidden/>
              </w:rPr>
              <w:fldChar w:fldCharType="end"/>
            </w:r>
          </w:hyperlink>
        </w:p>
        <w:p w:rsidR="00566A88" w:rsidRDefault="00836CA6">
          <w:pPr>
            <w:pStyle w:val="Obsah3"/>
            <w:tabs>
              <w:tab w:val="right" w:leader="dot" w:pos="9062"/>
            </w:tabs>
            <w:rPr>
              <w:rFonts w:asciiTheme="minorHAnsi" w:eastAsiaTheme="minorEastAsia" w:hAnsiTheme="minorHAnsi" w:cstheme="minorBidi"/>
              <w:noProof/>
              <w:szCs w:val="22"/>
            </w:rPr>
          </w:pPr>
          <w:hyperlink w:anchor="_Toc491355993" w:history="1">
            <w:r w:rsidR="00566A88" w:rsidRPr="00C01521">
              <w:rPr>
                <w:rStyle w:val="Hypertextovodkaz"/>
                <w:noProof/>
              </w:rPr>
              <w:t>Standardizace</w:t>
            </w:r>
            <w:r w:rsidR="00566A88">
              <w:rPr>
                <w:noProof/>
                <w:webHidden/>
              </w:rPr>
              <w:tab/>
            </w:r>
            <w:r>
              <w:rPr>
                <w:noProof/>
                <w:webHidden/>
              </w:rPr>
              <w:fldChar w:fldCharType="begin"/>
            </w:r>
            <w:r w:rsidR="00566A88">
              <w:rPr>
                <w:noProof/>
                <w:webHidden/>
              </w:rPr>
              <w:instrText xml:space="preserve"> PAGEREF _Toc491355993 \h </w:instrText>
            </w:r>
            <w:r>
              <w:rPr>
                <w:noProof/>
                <w:webHidden/>
              </w:rPr>
            </w:r>
            <w:r>
              <w:rPr>
                <w:noProof/>
                <w:webHidden/>
              </w:rPr>
              <w:fldChar w:fldCharType="separate"/>
            </w:r>
            <w:r w:rsidR="00AE682B">
              <w:rPr>
                <w:noProof/>
                <w:webHidden/>
              </w:rPr>
              <w:t>62</w:t>
            </w:r>
            <w:r>
              <w:rPr>
                <w:noProof/>
                <w:webHidden/>
              </w:rPr>
              <w:fldChar w:fldCharType="end"/>
            </w:r>
          </w:hyperlink>
        </w:p>
        <w:p w:rsidR="00566A88" w:rsidRDefault="00836CA6">
          <w:pPr>
            <w:pStyle w:val="Obsah3"/>
            <w:tabs>
              <w:tab w:val="right" w:leader="dot" w:pos="9062"/>
            </w:tabs>
            <w:rPr>
              <w:rFonts w:asciiTheme="minorHAnsi" w:eastAsiaTheme="minorEastAsia" w:hAnsiTheme="minorHAnsi" w:cstheme="minorBidi"/>
              <w:noProof/>
              <w:szCs w:val="22"/>
            </w:rPr>
          </w:pPr>
          <w:hyperlink w:anchor="_Toc491355994" w:history="1">
            <w:r w:rsidR="00566A88" w:rsidRPr="00C01521">
              <w:rPr>
                <w:rStyle w:val="Hypertextovodkaz"/>
                <w:noProof/>
              </w:rPr>
              <w:t>Sdílená ekonomika</w:t>
            </w:r>
            <w:r w:rsidR="00566A88">
              <w:rPr>
                <w:noProof/>
                <w:webHidden/>
              </w:rPr>
              <w:tab/>
            </w:r>
            <w:r>
              <w:rPr>
                <w:noProof/>
                <w:webHidden/>
              </w:rPr>
              <w:fldChar w:fldCharType="begin"/>
            </w:r>
            <w:r w:rsidR="00566A88">
              <w:rPr>
                <w:noProof/>
                <w:webHidden/>
              </w:rPr>
              <w:instrText xml:space="preserve"> PAGEREF _Toc491355994 \h </w:instrText>
            </w:r>
            <w:r>
              <w:rPr>
                <w:noProof/>
                <w:webHidden/>
              </w:rPr>
            </w:r>
            <w:r>
              <w:rPr>
                <w:noProof/>
                <w:webHidden/>
              </w:rPr>
              <w:fldChar w:fldCharType="separate"/>
            </w:r>
            <w:r w:rsidR="00AE682B">
              <w:rPr>
                <w:noProof/>
                <w:webHidden/>
              </w:rPr>
              <w:t>63</w:t>
            </w:r>
            <w:r>
              <w:rPr>
                <w:noProof/>
                <w:webHidden/>
              </w:rPr>
              <w:fldChar w:fldCharType="end"/>
            </w:r>
          </w:hyperlink>
        </w:p>
        <w:p w:rsidR="00566A88" w:rsidRDefault="00836CA6">
          <w:pPr>
            <w:pStyle w:val="Obsah3"/>
            <w:tabs>
              <w:tab w:val="right" w:leader="dot" w:pos="9062"/>
            </w:tabs>
            <w:rPr>
              <w:rFonts w:asciiTheme="minorHAnsi" w:eastAsiaTheme="minorEastAsia" w:hAnsiTheme="minorHAnsi" w:cstheme="minorBidi"/>
              <w:noProof/>
              <w:szCs w:val="22"/>
            </w:rPr>
          </w:pPr>
          <w:hyperlink w:anchor="_Toc491355995" w:history="1">
            <w:r w:rsidR="00566A88" w:rsidRPr="00C01521">
              <w:rPr>
                <w:rStyle w:val="Hypertextovodkaz"/>
                <w:noProof/>
              </w:rPr>
              <w:t>Online platformy</w:t>
            </w:r>
            <w:r w:rsidR="00566A88">
              <w:rPr>
                <w:noProof/>
                <w:webHidden/>
              </w:rPr>
              <w:tab/>
            </w:r>
            <w:r>
              <w:rPr>
                <w:noProof/>
                <w:webHidden/>
              </w:rPr>
              <w:fldChar w:fldCharType="begin"/>
            </w:r>
            <w:r w:rsidR="00566A88">
              <w:rPr>
                <w:noProof/>
                <w:webHidden/>
              </w:rPr>
              <w:instrText xml:space="preserve"> PAGEREF _Toc491355995 \h </w:instrText>
            </w:r>
            <w:r>
              <w:rPr>
                <w:noProof/>
                <w:webHidden/>
              </w:rPr>
            </w:r>
            <w:r>
              <w:rPr>
                <w:noProof/>
                <w:webHidden/>
              </w:rPr>
              <w:fldChar w:fldCharType="separate"/>
            </w:r>
            <w:r w:rsidR="00AE682B">
              <w:rPr>
                <w:noProof/>
                <w:webHidden/>
              </w:rPr>
              <w:t>64</w:t>
            </w:r>
            <w:r>
              <w:rPr>
                <w:noProof/>
                <w:webHidden/>
              </w:rPr>
              <w:fldChar w:fldCharType="end"/>
            </w:r>
          </w:hyperlink>
        </w:p>
        <w:p w:rsidR="00566A88" w:rsidRDefault="00836CA6">
          <w:pPr>
            <w:pStyle w:val="Obsah3"/>
            <w:tabs>
              <w:tab w:val="right" w:leader="dot" w:pos="9062"/>
            </w:tabs>
            <w:rPr>
              <w:rFonts w:asciiTheme="minorHAnsi" w:eastAsiaTheme="minorEastAsia" w:hAnsiTheme="minorHAnsi" w:cstheme="minorBidi"/>
              <w:noProof/>
              <w:szCs w:val="22"/>
            </w:rPr>
          </w:pPr>
          <w:hyperlink w:anchor="_Toc491355996" w:history="1">
            <w:r w:rsidR="00566A88" w:rsidRPr="00C01521">
              <w:rPr>
                <w:rStyle w:val="Hypertextovodkaz"/>
                <w:noProof/>
              </w:rPr>
              <w:t>ECommerce</w:t>
            </w:r>
            <w:r w:rsidR="00566A88">
              <w:rPr>
                <w:noProof/>
                <w:webHidden/>
              </w:rPr>
              <w:tab/>
            </w:r>
            <w:r>
              <w:rPr>
                <w:noProof/>
                <w:webHidden/>
              </w:rPr>
              <w:fldChar w:fldCharType="begin"/>
            </w:r>
            <w:r w:rsidR="00566A88">
              <w:rPr>
                <w:noProof/>
                <w:webHidden/>
              </w:rPr>
              <w:instrText xml:space="preserve"> PAGEREF _Toc491355996 \h </w:instrText>
            </w:r>
            <w:r>
              <w:rPr>
                <w:noProof/>
                <w:webHidden/>
              </w:rPr>
            </w:r>
            <w:r>
              <w:rPr>
                <w:noProof/>
                <w:webHidden/>
              </w:rPr>
              <w:fldChar w:fldCharType="separate"/>
            </w:r>
            <w:r w:rsidR="00AE682B">
              <w:rPr>
                <w:noProof/>
                <w:webHidden/>
              </w:rPr>
              <w:t>65</w:t>
            </w:r>
            <w:r>
              <w:rPr>
                <w:noProof/>
                <w:webHidden/>
              </w:rPr>
              <w:fldChar w:fldCharType="end"/>
            </w:r>
          </w:hyperlink>
        </w:p>
        <w:p w:rsidR="00566A88" w:rsidRDefault="00836CA6">
          <w:pPr>
            <w:pStyle w:val="Obsah3"/>
            <w:tabs>
              <w:tab w:val="right" w:leader="dot" w:pos="9062"/>
            </w:tabs>
            <w:rPr>
              <w:rFonts w:asciiTheme="minorHAnsi" w:eastAsiaTheme="minorEastAsia" w:hAnsiTheme="minorHAnsi" w:cstheme="minorBidi"/>
              <w:noProof/>
              <w:szCs w:val="22"/>
            </w:rPr>
          </w:pPr>
          <w:hyperlink w:anchor="_Toc491355997" w:history="1">
            <w:r w:rsidR="00566A88" w:rsidRPr="00C01521">
              <w:rPr>
                <w:rStyle w:val="Hypertextovodkaz"/>
                <w:noProof/>
              </w:rPr>
              <w:t>Stavebnictví 4.0</w:t>
            </w:r>
            <w:r w:rsidR="00566A88">
              <w:rPr>
                <w:noProof/>
                <w:webHidden/>
              </w:rPr>
              <w:tab/>
            </w:r>
            <w:r>
              <w:rPr>
                <w:noProof/>
                <w:webHidden/>
              </w:rPr>
              <w:fldChar w:fldCharType="begin"/>
            </w:r>
            <w:r w:rsidR="00566A88">
              <w:rPr>
                <w:noProof/>
                <w:webHidden/>
              </w:rPr>
              <w:instrText xml:space="preserve"> PAGEREF _Toc491355997 \h </w:instrText>
            </w:r>
            <w:r>
              <w:rPr>
                <w:noProof/>
                <w:webHidden/>
              </w:rPr>
            </w:r>
            <w:r>
              <w:rPr>
                <w:noProof/>
                <w:webHidden/>
              </w:rPr>
              <w:fldChar w:fldCharType="separate"/>
            </w:r>
            <w:r w:rsidR="00AE682B">
              <w:rPr>
                <w:noProof/>
                <w:webHidden/>
              </w:rPr>
              <w:t>66</w:t>
            </w:r>
            <w:r>
              <w:rPr>
                <w:noProof/>
                <w:webHidden/>
              </w:rPr>
              <w:fldChar w:fldCharType="end"/>
            </w:r>
          </w:hyperlink>
        </w:p>
        <w:p w:rsidR="00566A88" w:rsidRDefault="00836CA6">
          <w:pPr>
            <w:pStyle w:val="Obsah1"/>
            <w:rPr>
              <w:rFonts w:asciiTheme="minorHAnsi" w:eastAsiaTheme="minorEastAsia" w:hAnsiTheme="minorHAnsi" w:cstheme="minorBidi"/>
              <w:b w:val="0"/>
              <w:noProof/>
              <w:sz w:val="22"/>
              <w:szCs w:val="22"/>
            </w:rPr>
          </w:pPr>
          <w:hyperlink w:anchor="_Toc491355998" w:history="1">
            <w:r w:rsidR="00566A88" w:rsidRPr="00C01521">
              <w:rPr>
                <w:rStyle w:val="Hypertextovodkaz"/>
                <w:noProof/>
              </w:rPr>
              <w:t>PODROBNÝ PŘEHLED OKRUHŮ A GESCÍ</w:t>
            </w:r>
            <w:r w:rsidR="00566A88">
              <w:rPr>
                <w:noProof/>
                <w:webHidden/>
              </w:rPr>
              <w:tab/>
            </w:r>
            <w:r>
              <w:rPr>
                <w:noProof/>
                <w:webHidden/>
              </w:rPr>
              <w:fldChar w:fldCharType="begin"/>
            </w:r>
            <w:r w:rsidR="00566A88">
              <w:rPr>
                <w:noProof/>
                <w:webHidden/>
              </w:rPr>
              <w:instrText xml:space="preserve"> PAGEREF _Toc491355998 \h </w:instrText>
            </w:r>
            <w:r>
              <w:rPr>
                <w:noProof/>
                <w:webHidden/>
              </w:rPr>
            </w:r>
            <w:r>
              <w:rPr>
                <w:noProof/>
                <w:webHidden/>
              </w:rPr>
              <w:fldChar w:fldCharType="separate"/>
            </w:r>
            <w:r w:rsidR="00AE682B">
              <w:rPr>
                <w:noProof/>
                <w:webHidden/>
              </w:rPr>
              <w:t>68</w:t>
            </w:r>
            <w:r>
              <w:rPr>
                <w:noProof/>
                <w:webHidden/>
              </w:rPr>
              <w:fldChar w:fldCharType="end"/>
            </w:r>
          </w:hyperlink>
        </w:p>
        <w:p w:rsidR="00566A88" w:rsidRDefault="00836CA6">
          <w:pPr>
            <w:pStyle w:val="Obsah1"/>
            <w:rPr>
              <w:rFonts w:asciiTheme="minorHAnsi" w:eastAsiaTheme="minorEastAsia" w:hAnsiTheme="minorHAnsi" w:cstheme="minorBidi"/>
              <w:b w:val="0"/>
              <w:noProof/>
              <w:sz w:val="22"/>
              <w:szCs w:val="22"/>
            </w:rPr>
          </w:pPr>
          <w:hyperlink w:anchor="_Toc491355999" w:history="1">
            <w:r w:rsidR="00566A88" w:rsidRPr="00C01521">
              <w:rPr>
                <w:rStyle w:val="Hypertextovodkaz"/>
                <w:noProof/>
              </w:rPr>
              <w:t>SEZNAM ZKRATEK</w:t>
            </w:r>
            <w:r w:rsidR="00566A88">
              <w:rPr>
                <w:noProof/>
                <w:webHidden/>
              </w:rPr>
              <w:tab/>
            </w:r>
            <w:r>
              <w:rPr>
                <w:noProof/>
                <w:webHidden/>
              </w:rPr>
              <w:fldChar w:fldCharType="begin"/>
            </w:r>
            <w:r w:rsidR="00566A88">
              <w:rPr>
                <w:noProof/>
                <w:webHidden/>
              </w:rPr>
              <w:instrText xml:space="preserve"> PAGEREF _Toc491355999 \h </w:instrText>
            </w:r>
            <w:r>
              <w:rPr>
                <w:noProof/>
                <w:webHidden/>
              </w:rPr>
            </w:r>
            <w:r>
              <w:rPr>
                <w:noProof/>
                <w:webHidden/>
              </w:rPr>
              <w:fldChar w:fldCharType="separate"/>
            </w:r>
            <w:r w:rsidR="00AE682B">
              <w:rPr>
                <w:noProof/>
                <w:webHidden/>
              </w:rPr>
              <w:t>78</w:t>
            </w:r>
            <w:r>
              <w:rPr>
                <w:noProof/>
                <w:webHidden/>
              </w:rPr>
              <w:fldChar w:fldCharType="end"/>
            </w:r>
          </w:hyperlink>
        </w:p>
        <w:p w:rsidR="00566A88" w:rsidRDefault="00836CA6">
          <w:pPr>
            <w:pStyle w:val="Obsah1"/>
            <w:rPr>
              <w:rFonts w:asciiTheme="minorHAnsi" w:eastAsiaTheme="minorEastAsia" w:hAnsiTheme="minorHAnsi" w:cstheme="minorBidi"/>
              <w:b w:val="0"/>
              <w:noProof/>
              <w:sz w:val="22"/>
              <w:szCs w:val="22"/>
            </w:rPr>
          </w:pPr>
          <w:hyperlink w:anchor="_Toc491356000" w:history="1">
            <w:r w:rsidR="00566A88">
              <w:rPr>
                <w:rStyle w:val="Hypertextovodkaz"/>
                <w:noProof/>
              </w:rPr>
              <w:t xml:space="preserve">PŘÍLOHA </w:t>
            </w:r>
            <w:r w:rsidR="00566A88" w:rsidRPr="00C01521">
              <w:rPr>
                <w:rStyle w:val="Hypertextovodkaz"/>
                <w:noProof/>
              </w:rPr>
              <w:t>1: PŘEHLED STRATEGICKÝCH DOKUMENTŮ</w:t>
            </w:r>
            <w:r w:rsidR="00566A88">
              <w:rPr>
                <w:noProof/>
                <w:webHidden/>
              </w:rPr>
              <w:tab/>
            </w:r>
            <w:r>
              <w:rPr>
                <w:noProof/>
                <w:webHidden/>
              </w:rPr>
              <w:fldChar w:fldCharType="begin"/>
            </w:r>
            <w:r w:rsidR="00566A88">
              <w:rPr>
                <w:noProof/>
                <w:webHidden/>
              </w:rPr>
              <w:instrText xml:space="preserve"> PAGEREF _Toc491356000 \h </w:instrText>
            </w:r>
            <w:r>
              <w:rPr>
                <w:noProof/>
                <w:webHidden/>
              </w:rPr>
            </w:r>
            <w:r>
              <w:rPr>
                <w:noProof/>
                <w:webHidden/>
              </w:rPr>
              <w:fldChar w:fldCharType="separate"/>
            </w:r>
            <w:r w:rsidR="00AE682B">
              <w:rPr>
                <w:noProof/>
                <w:webHidden/>
              </w:rPr>
              <w:t>82</w:t>
            </w:r>
            <w:r>
              <w:rPr>
                <w:noProof/>
                <w:webHidden/>
              </w:rPr>
              <w:fldChar w:fldCharType="end"/>
            </w:r>
          </w:hyperlink>
        </w:p>
        <w:p w:rsidR="00566A88" w:rsidRDefault="00836CA6">
          <w:pPr>
            <w:pStyle w:val="Obsah1"/>
            <w:rPr>
              <w:rFonts w:asciiTheme="minorHAnsi" w:eastAsiaTheme="minorEastAsia" w:hAnsiTheme="minorHAnsi" w:cstheme="minorBidi"/>
              <w:b w:val="0"/>
              <w:noProof/>
              <w:sz w:val="22"/>
              <w:szCs w:val="22"/>
            </w:rPr>
          </w:pPr>
          <w:hyperlink w:anchor="_Toc491356001" w:history="1">
            <w:r w:rsidR="00566A88">
              <w:rPr>
                <w:rStyle w:val="Hypertextovodkaz"/>
                <w:noProof/>
              </w:rPr>
              <w:t xml:space="preserve">PŘÍLOHA </w:t>
            </w:r>
            <w:r w:rsidR="00566A88" w:rsidRPr="00C01521">
              <w:rPr>
                <w:rStyle w:val="Hypertextovodkaz"/>
                <w:noProof/>
              </w:rPr>
              <w:t>2: PŘEHLED AKTUÁLNÍCH EVROPSKÝCH INICIATIV S CÍLEM BUDOVAT JEDNOTNÝ DIGITÁLNÍ TRH V EU</w:t>
            </w:r>
            <w:r w:rsidR="00566A88">
              <w:rPr>
                <w:noProof/>
                <w:webHidden/>
              </w:rPr>
              <w:tab/>
            </w:r>
            <w:r>
              <w:rPr>
                <w:noProof/>
                <w:webHidden/>
              </w:rPr>
              <w:fldChar w:fldCharType="begin"/>
            </w:r>
            <w:r w:rsidR="00566A88">
              <w:rPr>
                <w:noProof/>
                <w:webHidden/>
              </w:rPr>
              <w:instrText xml:space="preserve"> PAGEREF _Toc491356001 \h </w:instrText>
            </w:r>
            <w:r>
              <w:rPr>
                <w:noProof/>
                <w:webHidden/>
              </w:rPr>
            </w:r>
            <w:r>
              <w:rPr>
                <w:noProof/>
                <w:webHidden/>
              </w:rPr>
              <w:fldChar w:fldCharType="separate"/>
            </w:r>
            <w:r w:rsidR="00AE682B">
              <w:rPr>
                <w:noProof/>
                <w:webHidden/>
              </w:rPr>
              <w:t>85</w:t>
            </w:r>
            <w:r>
              <w:rPr>
                <w:noProof/>
                <w:webHidden/>
              </w:rPr>
              <w:fldChar w:fldCharType="end"/>
            </w:r>
          </w:hyperlink>
        </w:p>
        <w:p w:rsidR="007D4B0E" w:rsidRPr="003B05E8" w:rsidRDefault="00836CA6" w:rsidP="003B05E8">
          <w:pPr>
            <w:pStyle w:val="Obsah1"/>
            <w:rPr>
              <w:rFonts w:asciiTheme="minorHAnsi" w:eastAsiaTheme="minorEastAsia" w:hAnsiTheme="minorHAnsi" w:cstheme="minorBidi"/>
              <w:b w:val="0"/>
              <w:noProof/>
              <w:sz w:val="22"/>
              <w:szCs w:val="22"/>
            </w:rPr>
          </w:pPr>
          <w:r w:rsidRPr="00D97AD9">
            <w:fldChar w:fldCharType="end"/>
          </w:r>
        </w:p>
      </w:sdtContent>
    </w:sdt>
    <w:p w:rsidR="006A06DE" w:rsidRDefault="006A06DE">
      <w:pPr>
        <w:spacing w:after="200"/>
        <w:jc w:val="left"/>
        <w:rPr>
          <w:rFonts w:eastAsiaTheme="majorEastAsia"/>
          <w:b/>
          <w:bCs/>
          <w:sz w:val="28"/>
          <w:szCs w:val="28"/>
        </w:rPr>
      </w:pPr>
      <w:r>
        <w:br w:type="page"/>
      </w:r>
    </w:p>
    <w:p w:rsidR="007D4B0E" w:rsidRPr="00C95F71" w:rsidRDefault="003D2999" w:rsidP="00C95F71">
      <w:pPr>
        <w:pStyle w:val="Nadpis1"/>
      </w:pPr>
      <w:bookmarkStart w:id="2" w:name="_Toc491355936"/>
      <w:r w:rsidRPr="00D97AD9">
        <w:lastRenderedPageBreak/>
        <w:t>ÚVOD</w:t>
      </w:r>
      <w:bookmarkEnd w:id="2"/>
    </w:p>
    <w:p w:rsidR="00B33328" w:rsidRPr="00E96D7E" w:rsidRDefault="003D2999" w:rsidP="00B33328">
      <w:pPr>
        <w:rPr>
          <w:szCs w:val="22"/>
        </w:rPr>
      </w:pPr>
      <w:bookmarkStart w:id="3" w:name="_Toc490228365"/>
      <w:bookmarkStart w:id="4" w:name="_Toc490228432"/>
      <w:bookmarkStart w:id="5" w:name="_Toc491355937"/>
      <w:r w:rsidRPr="005D7386">
        <w:rPr>
          <w:rStyle w:val="Nadpis2Char"/>
        </w:rPr>
        <w:t>Akční plán pro Společnost 4.0</w:t>
      </w:r>
      <w:bookmarkEnd w:id="3"/>
      <w:bookmarkEnd w:id="4"/>
      <w:bookmarkEnd w:id="5"/>
      <w:r w:rsidRPr="00E96D7E">
        <w:rPr>
          <w:szCs w:val="22"/>
        </w:rPr>
        <w:t xml:space="preserve"> (dále „Akční plán“) je zastřešujícím dokumentem vlády pro oblast digitální agendy a tzv. Společnosti 4.0</w:t>
      </w:r>
      <w:r w:rsidR="001369E1">
        <w:rPr>
          <w:rStyle w:val="Znakapoznpodarou"/>
          <w:szCs w:val="22"/>
        </w:rPr>
        <w:footnoteReference w:id="1"/>
      </w:r>
      <w:r w:rsidRPr="00E96D7E">
        <w:rPr>
          <w:szCs w:val="22"/>
        </w:rPr>
        <w:t>. Materiál shrnuje směřování vládní politiky a klíčová opatření vlády</w:t>
      </w:r>
      <w:r w:rsidR="006B5544" w:rsidRPr="00E96D7E">
        <w:rPr>
          <w:szCs w:val="22"/>
        </w:rPr>
        <w:t xml:space="preserve"> </w:t>
      </w:r>
      <w:r w:rsidRPr="00E96D7E">
        <w:rPr>
          <w:szCs w:val="22"/>
        </w:rPr>
        <w:t xml:space="preserve">na podporu rozvoje digitálního trhu České republiky, čímž </w:t>
      </w:r>
      <w:r w:rsidR="00CA7EB1">
        <w:rPr>
          <w:szCs w:val="22"/>
        </w:rPr>
        <w:t xml:space="preserve">obsahově </w:t>
      </w:r>
      <w:r w:rsidRPr="00E96D7E">
        <w:rPr>
          <w:szCs w:val="22"/>
        </w:rPr>
        <w:t>navazuje na dosavadní Akční plán pro rozvoj digitálního trhu</w:t>
      </w:r>
      <w:r w:rsidR="006B5544" w:rsidRPr="00E96D7E">
        <w:rPr>
          <w:szCs w:val="22"/>
        </w:rPr>
        <w:t xml:space="preserve"> a jeho aktualizace</w:t>
      </w:r>
      <w:r w:rsidR="001369E1">
        <w:rPr>
          <w:rStyle w:val="Znakapoznpodarou"/>
          <w:szCs w:val="22"/>
        </w:rPr>
        <w:footnoteReference w:id="2"/>
      </w:r>
      <w:r w:rsidR="00CA7EB1">
        <w:rPr>
          <w:szCs w:val="22"/>
        </w:rPr>
        <w:t xml:space="preserve"> a nahrazuje ho</w:t>
      </w:r>
      <w:r w:rsidRPr="00E96D7E">
        <w:rPr>
          <w:szCs w:val="22"/>
        </w:rPr>
        <w:t xml:space="preserve">. Zároveň však formuluje další prioritní úkoly, které si vláda stanovuje v kontextu celospolečenských výzev spojených </w:t>
      </w:r>
      <w:r w:rsidR="0031720E" w:rsidRPr="00E96D7E">
        <w:rPr>
          <w:szCs w:val="22"/>
        </w:rPr>
        <w:t>s</w:t>
      </w:r>
      <w:r w:rsidRPr="00E96D7E">
        <w:rPr>
          <w:szCs w:val="22"/>
        </w:rPr>
        <w:t xml:space="preserve"> dopady zavádění digitálních technologií na ekonomiku i společnost – tzv. čtvrtá průmyslová revoluce.</w:t>
      </w:r>
      <w:r w:rsidR="006B5544" w:rsidRPr="00E96D7E">
        <w:rPr>
          <w:szCs w:val="22"/>
        </w:rPr>
        <w:t xml:space="preserve"> </w:t>
      </w:r>
      <w:r w:rsidRPr="00E96D7E">
        <w:rPr>
          <w:szCs w:val="22"/>
        </w:rPr>
        <w:t>Ambicí Akčního plánu není nahradit existující a schválené koncepční dokumenty, nýbrž je zastřešit a stanovit konkrétní harmonogram provádění prioritních úkolů, včetně zajištění jednotného odečtu jejich plnění.</w:t>
      </w:r>
    </w:p>
    <w:p w:rsidR="0031720E" w:rsidRPr="00E96D7E" w:rsidRDefault="0031720E" w:rsidP="0031720E">
      <w:pPr>
        <w:rPr>
          <w:szCs w:val="22"/>
        </w:rPr>
      </w:pPr>
      <w:r w:rsidRPr="00E96D7E">
        <w:rPr>
          <w:szCs w:val="22"/>
        </w:rPr>
        <w:t xml:space="preserve">Ve srovnání s dosavadním Akčním plánem pro rozvoj digitálního trhu cílí materiál na širší okruh problémů a výzev, uznává jejich vzájemnou propojenost a vymezení své působnosti staví na konceptu Společnosti 4.0, kterou vláda vnímá jako rozsáhlou a postupně probíhající společenskou změnu, která je důsledkem zvyšující se digitalizace včetně využívání internetu věcí či prvků umělé inteligence v mnoha oblastech hospodářského a společenského života. Jedná se zejména o oblasti průmyslu, stavebnictví, podnikání ve výrobě a službách, energetiky, surovin, trhu práce, vzdělávání, výzkumu a vývoje, ochrany životního prostředí, zemědělství, zdravotnictví, dopravy, </w:t>
      </w:r>
      <w:r w:rsidR="00255C03">
        <w:rPr>
          <w:szCs w:val="22"/>
        </w:rPr>
        <w:t xml:space="preserve">finančního sektoru, </w:t>
      </w:r>
      <w:r w:rsidRPr="00E96D7E">
        <w:rPr>
          <w:szCs w:val="22"/>
        </w:rPr>
        <w:t xml:space="preserve">bezpečnosti a </w:t>
      </w:r>
      <w:proofErr w:type="spellStart"/>
      <w:r w:rsidRPr="00E96D7E">
        <w:rPr>
          <w:szCs w:val="22"/>
        </w:rPr>
        <w:t>kyberbezpečnosti</w:t>
      </w:r>
      <w:proofErr w:type="spellEnd"/>
      <w:r w:rsidRPr="00E96D7E">
        <w:rPr>
          <w:szCs w:val="22"/>
        </w:rPr>
        <w:t>, veřejné správy, standardizace, ale i legislativy či fiskální a hospodářské politiky.</w:t>
      </w:r>
    </w:p>
    <w:p w:rsidR="008E65C9" w:rsidRDefault="008E65C9" w:rsidP="005D7386">
      <w:pPr>
        <w:pStyle w:val="Nadpis2"/>
      </w:pPr>
      <w:bookmarkStart w:id="6" w:name="_Toc490228366"/>
      <w:bookmarkStart w:id="7" w:name="_Toc490228433"/>
      <w:bookmarkStart w:id="8" w:name="_Toc491355938"/>
      <w:r>
        <w:t>Aliance Společnost 4.0</w:t>
      </w:r>
      <w:bookmarkEnd w:id="6"/>
      <w:bookmarkEnd w:id="7"/>
      <w:bookmarkEnd w:id="8"/>
    </w:p>
    <w:p w:rsidR="00B33328" w:rsidRPr="00E96D7E" w:rsidRDefault="003D2999" w:rsidP="006D368B">
      <w:r w:rsidRPr="00E96D7E">
        <w:t xml:space="preserve">Za účelem komplexního pojetí problematiky Společnosti 4.0 a koordinace digitální agendy na národní úrovni byla v únoru letošního roku ustavena </w:t>
      </w:r>
      <w:r w:rsidRPr="008E65C9">
        <w:rPr>
          <w:b/>
        </w:rPr>
        <w:t>Aliance Společnost 4.0</w:t>
      </w:r>
      <w:r w:rsidRPr="00E96D7E">
        <w:t xml:space="preserve"> (dále „Aliance“)</w:t>
      </w:r>
      <w:r w:rsidR="001369E1">
        <w:rPr>
          <w:rStyle w:val="Znakapoznpodarou"/>
          <w:szCs w:val="22"/>
        </w:rPr>
        <w:footnoteReference w:id="3"/>
      </w:r>
      <w:r w:rsidRPr="00E96D7E">
        <w:t>. Jejím cílem je diskuse, formulace a koordinace provádění všech opatření souvisejících s agendami Společnosti 4.0. Aliance představuje platformu pro spolupráci státní správy, hospodářských a sociálních partnerů a akademické sféry. Aliance je iniciativou vlády, její ambicí je však zahrnutí všech relevantních subjektů za účelem využití vzájemných synergií a potenciálu čtvrté průmyslové revoluce ke zvýšení konkurenceschopnosti české ekonomiky a pozitivní celospolečenské změně.</w:t>
      </w:r>
    </w:p>
    <w:p w:rsidR="005D7386" w:rsidRPr="00AB4ACB" w:rsidRDefault="0031720E" w:rsidP="0031720E">
      <w:r w:rsidRPr="00E96D7E">
        <w:t xml:space="preserve">Aliance Společnost 4.0 je formálně strukturována do tří úrovní – </w:t>
      </w:r>
      <w:r w:rsidRPr="008E6336">
        <w:rPr>
          <w:b/>
        </w:rPr>
        <w:t>strategické</w:t>
      </w:r>
      <w:r w:rsidRPr="00E96D7E">
        <w:t xml:space="preserve">, </w:t>
      </w:r>
      <w:r w:rsidRPr="008E6336">
        <w:rPr>
          <w:b/>
        </w:rPr>
        <w:t>řídící</w:t>
      </w:r>
      <w:r w:rsidRPr="00E96D7E">
        <w:t xml:space="preserve"> a </w:t>
      </w:r>
      <w:r w:rsidRPr="008E6336">
        <w:rPr>
          <w:b/>
        </w:rPr>
        <w:t>pracovně-koordinační</w:t>
      </w:r>
      <w:r w:rsidRPr="00E96D7E">
        <w:t xml:space="preserve">. </w:t>
      </w:r>
      <w:r w:rsidRPr="008E6336">
        <w:rPr>
          <w:b/>
        </w:rPr>
        <w:t>Strategickou úroveň</w:t>
      </w:r>
      <w:r w:rsidRPr="00E96D7E">
        <w:t xml:space="preserve"> ztělesňují zejména političtí představitelé z řad vybraných členů vlády. Ostatní dvě úrovně mají zastoupení úřednické. Konkrétně strategickou úroveň Aliance zajišťuje Porada ekonomických ministrů rozšířená o zástupce hospodářských a sociálních partnerů (PEM+). Tato formace je vedena předsedou vlády. </w:t>
      </w:r>
      <w:r w:rsidRPr="008E6336">
        <w:rPr>
          <w:b/>
        </w:rPr>
        <w:t>Řídící úroveň</w:t>
      </w:r>
      <w:r w:rsidRPr="00E96D7E">
        <w:t xml:space="preserve"> je reprezentována Řídícím výborem Aliance, jehož roli plní již fungující Výbor pro digitální ekonomiku Rady vlády pro konkurenceschopnost a hospodářský růst (RVKHR) pod vedením koordinátora digitální agendy. </w:t>
      </w:r>
      <w:r w:rsidR="00C653D1" w:rsidRPr="00C653D1">
        <w:t>Pracovně-koordinační úroveň Aliance zajišťuje Výbor Průmysl 4.0</w:t>
      </w:r>
      <w:r w:rsidR="00EB7CF1">
        <w:t xml:space="preserve"> a další </w:t>
      </w:r>
      <w:r w:rsidR="002132E5">
        <w:t>v</w:t>
      </w:r>
      <w:r w:rsidR="00EB7CF1">
        <w:t>ýbory pro ostatní agendy Společnosti 4.0</w:t>
      </w:r>
      <w:r w:rsidR="00C653D1" w:rsidRPr="00C653D1">
        <w:t xml:space="preserve">. </w:t>
      </w:r>
      <w:r w:rsidR="00EB7CF1">
        <w:t xml:space="preserve">Zvažuje se například </w:t>
      </w:r>
      <w:r w:rsidR="00C653D1" w:rsidRPr="00C653D1">
        <w:t>ustav</w:t>
      </w:r>
      <w:r w:rsidR="00EB7CF1">
        <w:t>it samostatný výbor</w:t>
      </w:r>
      <w:r w:rsidR="00C653D1" w:rsidRPr="00C653D1">
        <w:t xml:space="preserve"> k tématu dopadů čtvrté průmyslové revol</w:t>
      </w:r>
      <w:r w:rsidR="00C653D1">
        <w:t xml:space="preserve">uce na trh práce a vzdělávání. </w:t>
      </w:r>
      <w:r w:rsidRPr="00C653D1">
        <w:t>Propojení</w:t>
      </w:r>
      <w:r w:rsidRPr="00E96D7E">
        <w:t xml:space="preserve"> s činností a expertízou akademické sféry zajišťuje v rámci Aliance Akademický poradní výbor, který je jejím konzultačním tělesem.</w:t>
      </w:r>
    </w:p>
    <w:p w:rsidR="005D7386" w:rsidRDefault="005D7386" w:rsidP="005D7386">
      <w:pPr>
        <w:pStyle w:val="Nadpis2"/>
      </w:pPr>
      <w:bookmarkStart w:id="9" w:name="_Toc490228367"/>
      <w:bookmarkStart w:id="10" w:name="_Toc490228434"/>
      <w:bookmarkStart w:id="11" w:name="_Toc491355939"/>
      <w:r>
        <w:lastRenderedPageBreak/>
        <w:t>Společnost 4.0</w:t>
      </w:r>
      <w:bookmarkEnd w:id="9"/>
      <w:bookmarkEnd w:id="10"/>
      <w:bookmarkEnd w:id="11"/>
    </w:p>
    <w:p w:rsidR="0031720E" w:rsidRPr="00E96D7E" w:rsidRDefault="0031720E" w:rsidP="0031720E">
      <w:pPr>
        <w:rPr>
          <w:szCs w:val="22"/>
        </w:rPr>
      </w:pPr>
      <w:r w:rsidRPr="00E96D7E">
        <w:rPr>
          <w:szCs w:val="22"/>
        </w:rPr>
        <w:t xml:space="preserve">Cesta ke </w:t>
      </w:r>
      <w:proofErr w:type="spellStart"/>
      <w:r w:rsidRPr="00E15192">
        <w:rPr>
          <w:szCs w:val="22"/>
        </w:rPr>
        <w:t>Spolec</w:t>
      </w:r>
      <w:proofErr w:type="spellEnd"/>
      <w:r w:rsidRPr="00E15192">
        <w:rPr>
          <w:szCs w:val="22"/>
        </w:rPr>
        <w:t>̌</w:t>
      </w:r>
      <w:proofErr w:type="spellStart"/>
      <w:r w:rsidRPr="00E15192">
        <w:rPr>
          <w:szCs w:val="22"/>
        </w:rPr>
        <w:t>nosti</w:t>
      </w:r>
      <w:proofErr w:type="spellEnd"/>
      <w:r w:rsidRPr="00E15192">
        <w:rPr>
          <w:szCs w:val="22"/>
        </w:rPr>
        <w:t xml:space="preserve"> 4.0 představuje</w:t>
      </w:r>
      <w:r w:rsidRPr="00E96D7E">
        <w:rPr>
          <w:szCs w:val="22"/>
        </w:rPr>
        <w:t xml:space="preserve"> rozsáhlou a postupnou celospolečenskou změnu, která je v principu spojena s internetem věcí a s využitím digitalizace a internetu. Internet věcí, služeb a lidí, a s ním související značný objem generovaných a zpracovávaných dat, je fenoménem dnešní doby. Ve stále větší míře bude třeba brát do úvahy vazby mezi výrobními průmyslovými systémy, dopravními sítěmi, energetickými systémy či systémy zásobování surovinami, ale také systémy sociálními. Mezi těmito systémy v posledním období vzrůstá dynamická interakce, která je stimulována integrací na informatické úrovni. Nástup nových technologií mění celé hodnotové ř</w:t>
      </w:r>
      <w:proofErr w:type="spellStart"/>
      <w:r w:rsidRPr="00E96D7E">
        <w:rPr>
          <w:szCs w:val="22"/>
        </w:rPr>
        <w:t>ete</w:t>
      </w:r>
      <w:proofErr w:type="spellEnd"/>
      <w:r w:rsidRPr="00E96D7E">
        <w:rPr>
          <w:szCs w:val="22"/>
        </w:rPr>
        <w:t>̌</w:t>
      </w:r>
      <w:proofErr w:type="spellStart"/>
      <w:r w:rsidRPr="00E96D7E">
        <w:rPr>
          <w:szCs w:val="22"/>
        </w:rPr>
        <w:t>zce</w:t>
      </w:r>
      <w:proofErr w:type="spellEnd"/>
      <w:r w:rsidRPr="00E96D7E">
        <w:rPr>
          <w:szCs w:val="22"/>
        </w:rPr>
        <w:t xml:space="preserve">, vytváří příležitosti pro nové obchodní modely, ale i tlak na flexibilitu moderní průmyslové výroby nebo zvýšené nároky na kybernetickou bezpečnost a interdisciplinaritu přístupu. </w:t>
      </w:r>
    </w:p>
    <w:p w:rsidR="0031720E" w:rsidRPr="00E96D7E" w:rsidRDefault="0031720E" w:rsidP="0031720E">
      <w:pPr>
        <w:rPr>
          <w:szCs w:val="22"/>
        </w:rPr>
      </w:pPr>
      <w:r w:rsidRPr="00E96D7E">
        <w:rPr>
          <w:szCs w:val="22"/>
        </w:rPr>
        <w:t xml:space="preserve">Problematika Společnosti 4.0 zahrnuje rovněž agendu uvedenou v </w:t>
      </w:r>
      <w:r w:rsidRPr="008E65C9">
        <w:rPr>
          <w:b/>
          <w:szCs w:val="22"/>
        </w:rPr>
        <w:t>Iniciativě Průmysl 4.0</w:t>
      </w:r>
      <w:r w:rsidRPr="00E96D7E">
        <w:rPr>
          <w:szCs w:val="22"/>
        </w:rPr>
        <w:t>, ke které vláda v usnesení č. 729/2016 uložila úkoly členům vlády a vyzvala ke spolupráci hospodářské a sociální partnery, zejména Svaz průmyslu a dopravy ČR (SP ČR), Hospodářskou komoru ČR (HK ČR) a Českomoravskou konfederaci odborových svazů (ČMKOS). Právě změny probíhající v průmyslové výrobě skrze její vzrůstající digitalizaci a automatizaci leží v jádru procesu směřujícího ke Společnosti 4.0. Společenské dopady Průmyslu 4.0 je poté třeba řádně a včas podchytit a vyhnout se tak rizikům, která mohou ze čtvrté průmyslové revoluce pro ekonomiku a společnost vyplynout. To se týká zejména trhu práce (</w:t>
      </w:r>
      <w:r w:rsidRPr="00EA09FD">
        <w:rPr>
          <w:b/>
          <w:szCs w:val="22"/>
        </w:rPr>
        <w:t>Iniciativa MPSV Práce 4.0</w:t>
      </w:r>
      <w:r w:rsidRPr="00E96D7E">
        <w:rPr>
          <w:szCs w:val="22"/>
        </w:rPr>
        <w:t>) a vzdělávání (</w:t>
      </w:r>
      <w:r w:rsidRPr="00EA09FD">
        <w:rPr>
          <w:b/>
          <w:szCs w:val="22"/>
        </w:rPr>
        <w:t>Iniciativa MŠMT Vzdělávání 4.0</w:t>
      </w:r>
      <w:r w:rsidRPr="00E96D7E">
        <w:rPr>
          <w:szCs w:val="22"/>
        </w:rPr>
        <w:t>).</w:t>
      </w:r>
    </w:p>
    <w:p w:rsidR="0031720E" w:rsidRPr="00E96D7E" w:rsidRDefault="0031720E" w:rsidP="001E4837">
      <w:pPr>
        <w:rPr>
          <w:szCs w:val="22"/>
        </w:rPr>
      </w:pPr>
      <w:r w:rsidRPr="00E96D7E">
        <w:rPr>
          <w:szCs w:val="22"/>
        </w:rPr>
        <w:t xml:space="preserve">Je evidentní, že problematika Společnosti 4.0 je striktně meziresortní </w:t>
      </w:r>
      <w:r w:rsidR="00E41027">
        <w:rPr>
          <w:szCs w:val="22"/>
        </w:rPr>
        <w:t xml:space="preserve">a mezioborovou </w:t>
      </w:r>
      <w:r w:rsidRPr="00E96D7E">
        <w:rPr>
          <w:szCs w:val="22"/>
        </w:rPr>
        <w:t xml:space="preserve">agendou. Právě tato její charakteristika byla hlavní motivací k založení Aliance jako platformy, na které dochází ke směřování a koordinaci aktivit všech partnerů spolupracujících na vytvoření podmínek pro Společnost 4.0, a to jak z veřejné správy, tak ve spolupráci s hospodářskými a sociálními partnery a akademickou sférou. Jedním z cílů Aliance je rovněž vytvořit co nejširší znalostní zázemí pro Společnost 4.0 a systém informování a zpětných vazeb ve veřejné správě, podpořit šíření informací o této problematice široké veřejnosti </w:t>
      </w:r>
      <w:r w:rsidR="008E65C9">
        <w:rPr>
          <w:szCs w:val="22"/>
        </w:rPr>
        <w:t>a vzdělat v ní veřejnou správu.</w:t>
      </w:r>
    </w:p>
    <w:p w:rsidR="00E15192" w:rsidRDefault="00E15192" w:rsidP="00E15192">
      <w:pPr>
        <w:pStyle w:val="Nadpis2"/>
      </w:pPr>
      <w:bookmarkStart w:id="12" w:name="_Toc490228368"/>
      <w:bookmarkStart w:id="13" w:name="_Toc490228435"/>
      <w:bookmarkStart w:id="14" w:name="_Toc491355940"/>
      <w:r>
        <w:t>Jednotný digitální trh v Evropě</w:t>
      </w:r>
      <w:bookmarkEnd w:id="12"/>
      <w:bookmarkEnd w:id="13"/>
      <w:bookmarkEnd w:id="14"/>
    </w:p>
    <w:p w:rsidR="00862A92" w:rsidRPr="00BD1408" w:rsidRDefault="0031720E" w:rsidP="00BD1408">
      <w:pPr>
        <w:rPr>
          <w:szCs w:val="22"/>
        </w:rPr>
      </w:pPr>
      <w:r w:rsidRPr="00E96D7E">
        <w:rPr>
          <w:szCs w:val="22"/>
        </w:rPr>
        <w:t xml:space="preserve">Silný podnět k digitalizaci evropské společnosti byl dán zveřejněním </w:t>
      </w:r>
      <w:r w:rsidRPr="008E65C9">
        <w:rPr>
          <w:b/>
          <w:szCs w:val="22"/>
        </w:rPr>
        <w:t xml:space="preserve">Strategie </w:t>
      </w:r>
      <w:r w:rsidR="002132E5">
        <w:rPr>
          <w:b/>
          <w:szCs w:val="22"/>
        </w:rPr>
        <w:t xml:space="preserve">jednotného </w:t>
      </w:r>
      <w:r w:rsidRPr="008E65C9">
        <w:rPr>
          <w:b/>
          <w:szCs w:val="22"/>
        </w:rPr>
        <w:t>digitálního trhu</w:t>
      </w:r>
      <w:r w:rsidR="00F92A47">
        <w:rPr>
          <w:szCs w:val="22"/>
        </w:rPr>
        <w:t xml:space="preserve"> (dále</w:t>
      </w:r>
      <w:r w:rsidR="008E6336">
        <w:rPr>
          <w:szCs w:val="22"/>
        </w:rPr>
        <w:t xml:space="preserve"> „Strategie“)</w:t>
      </w:r>
      <w:r w:rsidRPr="00E96D7E">
        <w:rPr>
          <w:szCs w:val="22"/>
        </w:rPr>
        <w:t xml:space="preserve"> vydané Komisí v květnu roku 2015</w:t>
      </w:r>
      <w:r w:rsidR="002D58AB">
        <w:rPr>
          <w:rStyle w:val="Znakapoznpodarou"/>
          <w:szCs w:val="22"/>
        </w:rPr>
        <w:footnoteReference w:id="4"/>
      </w:r>
      <w:r w:rsidRPr="00E96D7E">
        <w:rPr>
          <w:szCs w:val="22"/>
        </w:rPr>
        <w:t xml:space="preserve">. Strategie se zaměřila na to, aby Evropa byla světovým lídrem digitální ekonomiky a zlepšila konkurenceschopnost Evropy v globálním kontextu. </w:t>
      </w:r>
      <w:r w:rsidR="00F92A47">
        <w:rPr>
          <w:szCs w:val="22"/>
        </w:rPr>
        <w:t>Strategie s</w:t>
      </w:r>
      <w:r w:rsidRPr="00E96D7E">
        <w:rPr>
          <w:szCs w:val="22"/>
        </w:rPr>
        <w:t xml:space="preserve">tanovila 16 prioritních akcí, které měly členské státy EU řešit prostřednictvím legislativních nebo nelegislativních opatření. </w:t>
      </w:r>
      <w:r w:rsidR="002132E5">
        <w:rPr>
          <w:szCs w:val="22"/>
        </w:rPr>
        <w:t>Unijní</w:t>
      </w:r>
      <w:r w:rsidRPr="00E96D7E">
        <w:rPr>
          <w:szCs w:val="22"/>
        </w:rPr>
        <w:t xml:space="preserve"> instituce i</w:t>
      </w:r>
      <w:r w:rsidR="00F92A47">
        <w:rPr>
          <w:szCs w:val="22"/>
        </w:rPr>
        <w:t xml:space="preserve"> členské státy </w:t>
      </w:r>
      <w:r w:rsidR="002132E5">
        <w:rPr>
          <w:szCs w:val="22"/>
        </w:rPr>
        <w:t xml:space="preserve">vyjádřily </w:t>
      </w:r>
      <w:r w:rsidR="00F92A47">
        <w:rPr>
          <w:szCs w:val="22"/>
        </w:rPr>
        <w:t>svůj souhlas se S</w:t>
      </w:r>
      <w:r w:rsidRPr="00E96D7E">
        <w:rPr>
          <w:szCs w:val="22"/>
        </w:rPr>
        <w:t>trategií, uvedly specifické priority pro rozvoj digitálního trhu a přijaly konkrétní prováděcí kroky</w:t>
      </w:r>
      <w:r w:rsidR="002D58AB">
        <w:rPr>
          <w:rStyle w:val="Znakapoznpodarou"/>
          <w:szCs w:val="22"/>
        </w:rPr>
        <w:footnoteReference w:id="5"/>
      </w:r>
      <w:r w:rsidR="00BD1408">
        <w:rPr>
          <w:szCs w:val="22"/>
        </w:rPr>
        <w:t>.</w:t>
      </w:r>
    </w:p>
    <w:p w:rsidR="00862A92" w:rsidRDefault="003D2999" w:rsidP="00862A92">
      <w:pPr>
        <w:rPr>
          <w:szCs w:val="22"/>
        </w:rPr>
      </w:pPr>
      <w:r w:rsidRPr="00EA5623">
        <w:rPr>
          <w:szCs w:val="22"/>
        </w:rPr>
        <w:t>Prohloubení jednotného trhu pomocí digi</w:t>
      </w:r>
      <w:r w:rsidR="00A709CC" w:rsidRPr="00EA5623">
        <w:rPr>
          <w:szCs w:val="22"/>
        </w:rPr>
        <w:t>talizace</w:t>
      </w:r>
      <w:r w:rsidRPr="00EA5623">
        <w:rPr>
          <w:szCs w:val="22"/>
        </w:rPr>
        <w:t xml:space="preserve"> otevírá nové příležitosti pro firmy, občany </w:t>
      </w:r>
      <w:r w:rsidR="002132E5">
        <w:rPr>
          <w:szCs w:val="22"/>
        </w:rPr>
        <w:t>i</w:t>
      </w:r>
      <w:r w:rsidRPr="00EA5623">
        <w:rPr>
          <w:szCs w:val="22"/>
        </w:rPr>
        <w:t xml:space="preserve"> státy. Přístup k větší škále digitálních produktů a služeb pomoci </w:t>
      </w:r>
      <w:proofErr w:type="spellStart"/>
      <w:r w:rsidR="00196B06">
        <w:rPr>
          <w:szCs w:val="22"/>
        </w:rPr>
        <w:t>eCommerce</w:t>
      </w:r>
      <w:proofErr w:type="spellEnd"/>
      <w:r w:rsidRPr="00EA5623">
        <w:rPr>
          <w:szCs w:val="22"/>
        </w:rPr>
        <w:t xml:space="preserve"> zvyšuje růstový potenciál firem, podporuje vznik nových start-</w:t>
      </w:r>
      <w:proofErr w:type="spellStart"/>
      <w:r w:rsidRPr="00EA5623">
        <w:rPr>
          <w:szCs w:val="22"/>
        </w:rPr>
        <w:t>upů</w:t>
      </w:r>
      <w:proofErr w:type="spellEnd"/>
      <w:r w:rsidRPr="00EA5623">
        <w:rPr>
          <w:szCs w:val="22"/>
        </w:rPr>
        <w:t xml:space="preserve"> a je silný</w:t>
      </w:r>
      <w:r w:rsidR="002132E5">
        <w:rPr>
          <w:szCs w:val="22"/>
        </w:rPr>
        <w:t>m</w:t>
      </w:r>
      <w:r w:rsidRPr="00EA5623">
        <w:rPr>
          <w:szCs w:val="22"/>
        </w:rPr>
        <w:t xml:space="preserve"> nástroj</w:t>
      </w:r>
      <w:r w:rsidR="002132E5">
        <w:rPr>
          <w:szCs w:val="22"/>
        </w:rPr>
        <w:t>em</w:t>
      </w:r>
      <w:r w:rsidRPr="00EA5623">
        <w:rPr>
          <w:szCs w:val="22"/>
        </w:rPr>
        <w:t xml:space="preserve"> pro vznik nových pracovních příležitostí. ČR si klade za cíl sdílet značný růstový potenciál digitální ekonomiky </w:t>
      </w:r>
      <w:r w:rsidRPr="00EA5623">
        <w:rPr>
          <w:szCs w:val="22"/>
        </w:rPr>
        <w:lastRenderedPageBreak/>
        <w:t>v Evropě. Nicméně to s sebou přináší významné výzvy: nutnost investovat do pokročilých digitálních infrastruktur, optimaliz</w:t>
      </w:r>
      <w:r w:rsidR="002132E5">
        <w:rPr>
          <w:szCs w:val="22"/>
        </w:rPr>
        <w:t>ovat</w:t>
      </w:r>
      <w:r w:rsidRPr="00EA5623">
        <w:rPr>
          <w:szCs w:val="22"/>
        </w:rPr>
        <w:t xml:space="preserve"> regulačního prostředí a zdokonal</w:t>
      </w:r>
      <w:r w:rsidR="002132E5">
        <w:rPr>
          <w:szCs w:val="22"/>
        </w:rPr>
        <w:t>it</w:t>
      </w:r>
      <w:r w:rsidRPr="00EA5623">
        <w:rPr>
          <w:szCs w:val="22"/>
        </w:rPr>
        <w:t xml:space="preserve"> digitální dovednost</w:t>
      </w:r>
      <w:r w:rsidR="002132E5">
        <w:rPr>
          <w:szCs w:val="22"/>
        </w:rPr>
        <w:t>i</w:t>
      </w:r>
      <w:r w:rsidRPr="00EA5623">
        <w:rPr>
          <w:szCs w:val="22"/>
        </w:rPr>
        <w:t xml:space="preserve"> obyvatelstva. Budování jednotného digitálního trhu ČR velmi podporuje a při vyjednáváních tvoří koalice s tzv. skupinou stejně smýšlejících zemí, mezi </w:t>
      </w:r>
      <w:r w:rsidR="002132E5">
        <w:rPr>
          <w:szCs w:val="22"/>
        </w:rPr>
        <w:t xml:space="preserve">jejíž </w:t>
      </w:r>
      <w:r w:rsidRPr="00EA5623">
        <w:rPr>
          <w:szCs w:val="22"/>
        </w:rPr>
        <w:t xml:space="preserve">hlavní hráče patří skandinávské a pobaltské země. Koordinátor digitální agendy zajišťuje jednotný postup ČR při naplňování strategie jednotného digitálního trhu v EU. </w:t>
      </w:r>
    </w:p>
    <w:p w:rsidR="005D7386" w:rsidRPr="005D7386" w:rsidRDefault="005D7386" w:rsidP="005D7386">
      <w:pPr>
        <w:pStyle w:val="Nadpis2"/>
        <w:rPr>
          <w:rFonts w:eastAsia="Times New Roman"/>
        </w:rPr>
      </w:pPr>
      <w:bookmarkStart w:id="15" w:name="_Toc490228369"/>
      <w:bookmarkStart w:id="16" w:name="_Toc490228436"/>
      <w:bookmarkStart w:id="17" w:name="_Toc491355941"/>
      <w:r w:rsidRPr="005D7386">
        <w:rPr>
          <w:rFonts w:eastAsia="Times New Roman"/>
        </w:rPr>
        <w:t>Koordinátor digitální agendy</w:t>
      </w:r>
      <w:r>
        <w:rPr>
          <w:rFonts w:eastAsia="Times New Roman"/>
        </w:rPr>
        <w:t xml:space="preserve"> ČR</w:t>
      </w:r>
      <w:bookmarkEnd w:id="15"/>
      <w:bookmarkEnd w:id="16"/>
      <w:bookmarkEnd w:id="17"/>
    </w:p>
    <w:p w:rsidR="00080F66" w:rsidRPr="00BE5A98" w:rsidRDefault="00080F66" w:rsidP="00376464">
      <w:pPr>
        <w:rPr>
          <w:rFonts w:eastAsia="Times New Roman"/>
          <w:szCs w:val="22"/>
        </w:rPr>
      </w:pPr>
      <w:r w:rsidRPr="00D97AD9">
        <w:rPr>
          <w:rFonts w:eastAsia="Times New Roman"/>
          <w:szCs w:val="22"/>
        </w:rPr>
        <w:t xml:space="preserve">V reakci na dlouhodobou společenskou debatu o nutnosti komplexního uchopení digitální agendy na národní úrovni a její koordinace z jednoho místa zřídila vláda ČR institut </w:t>
      </w:r>
      <w:r w:rsidRPr="00E15192">
        <w:rPr>
          <w:rFonts w:eastAsia="Times New Roman"/>
          <w:szCs w:val="22"/>
        </w:rPr>
        <w:t>koordinátora digitální agendy</w:t>
      </w:r>
      <w:r w:rsidRPr="00D97AD9">
        <w:rPr>
          <w:rFonts w:eastAsia="Times New Roman"/>
          <w:szCs w:val="22"/>
        </w:rPr>
        <w:t xml:space="preserve"> (dále „koordinátor“)</w:t>
      </w:r>
      <w:r w:rsidR="002D58AB">
        <w:rPr>
          <w:rStyle w:val="Znakapoznpodarou"/>
          <w:rFonts w:eastAsia="Times New Roman"/>
          <w:szCs w:val="22"/>
        </w:rPr>
        <w:footnoteReference w:id="6"/>
      </w:r>
      <w:r w:rsidRPr="00D97AD9">
        <w:rPr>
          <w:rFonts w:eastAsia="Times New Roman"/>
          <w:szCs w:val="22"/>
        </w:rPr>
        <w:t xml:space="preserve">. Vzhledem k průřezovému charakteru této agendy, jež se dotýká kompetencí řady ministerstev a dalších ústředních orgánů státní správy, byla koordinační role zakotvena na Úřadu vlády ČR s přímou vazbou na předsedu vlády. Tím je garantován horizontální přístup ke koordinační aktivitě. Smyslem koordinace digitální agendy je zejména zprostředkovat intenzivní spolupráci jak relevantních gestorů </w:t>
      </w:r>
      <w:r w:rsidR="002132E5">
        <w:rPr>
          <w:rFonts w:eastAsia="Times New Roman"/>
          <w:szCs w:val="22"/>
        </w:rPr>
        <w:t xml:space="preserve">k </w:t>
      </w:r>
      <w:r w:rsidRPr="00D97AD9">
        <w:rPr>
          <w:rFonts w:eastAsia="Times New Roman"/>
          <w:szCs w:val="22"/>
        </w:rPr>
        <w:t>různý</w:t>
      </w:r>
      <w:r w:rsidR="002132E5">
        <w:rPr>
          <w:rFonts w:eastAsia="Times New Roman"/>
          <w:szCs w:val="22"/>
        </w:rPr>
        <w:t>m</w:t>
      </w:r>
      <w:r w:rsidRPr="00D97AD9">
        <w:rPr>
          <w:rFonts w:eastAsia="Times New Roman"/>
          <w:szCs w:val="22"/>
        </w:rPr>
        <w:t xml:space="preserve"> aspektů</w:t>
      </w:r>
      <w:r w:rsidR="002132E5">
        <w:rPr>
          <w:rFonts w:eastAsia="Times New Roman"/>
          <w:szCs w:val="22"/>
        </w:rPr>
        <w:t>m</w:t>
      </w:r>
      <w:r w:rsidRPr="00D97AD9">
        <w:rPr>
          <w:rFonts w:eastAsia="Times New Roman"/>
          <w:szCs w:val="22"/>
        </w:rPr>
        <w:t xml:space="preserve"> digitální agendy ve státní správě, zajištění vzájemné provázanosti resortních politik a přístupů, tak podpořit pravidelný dialog veřejné správy se sociálními a hospodářskými partnery. Významná část činnosti koordinátora směřuje také k propagaci aktivit vládních i nevládních subjektů v oblasti digitální ekonomiky, šíření osvěty o tomto tématu a podněcování veřejné debaty o významu a dopadech digitalizace na společnost. Koordinátor intenzivně komunikuje s Evropskou komisí o návrzích týkajících se jednotného digitálního trhu a navazuje vztahy s dalšími členskými státy EU za účelem prosazování společných pozic k jednotlivým návrhům Komise a výměny zkušeností při tvorbě národních opatření na podporu digitální ekonomiky a digitalizace veřejné správy. Co se mezinárodní spolupráce týče, oblast digitální agendy je také důležitou součástí dohod o volném obchodu, které uzavírá EU s třetími zeměmi.</w:t>
      </w:r>
    </w:p>
    <w:p w:rsidR="0043329F" w:rsidRDefault="009A5324" w:rsidP="0043329F">
      <w:pPr>
        <w:pStyle w:val="Nadpis2"/>
      </w:pPr>
      <w:bookmarkStart w:id="18" w:name="_Toc490228370"/>
      <w:bookmarkStart w:id="19" w:name="_Toc490228437"/>
      <w:bookmarkStart w:id="20" w:name="_Toc491355942"/>
      <w:r>
        <w:t>Koordinace</w:t>
      </w:r>
      <w:r w:rsidR="0043329F">
        <w:t xml:space="preserve"> digitální agendy</w:t>
      </w:r>
      <w:r>
        <w:t xml:space="preserve"> a její vývoj</w:t>
      </w:r>
      <w:bookmarkEnd w:id="18"/>
      <w:bookmarkEnd w:id="19"/>
      <w:bookmarkEnd w:id="20"/>
    </w:p>
    <w:p w:rsidR="00862A92" w:rsidRPr="00EA5623" w:rsidRDefault="003D2999" w:rsidP="00AF2CD3">
      <w:pPr>
        <w:rPr>
          <w:szCs w:val="22"/>
        </w:rPr>
      </w:pPr>
      <w:r w:rsidRPr="00EA5623">
        <w:rPr>
          <w:szCs w:val="22"/>
        </w:rPr>
        <w:t xml:space="preserve">V oblasti </w:t>
      </w:r>
      <w:proofErr w:type="spellStart"/>
      <w:r w:rsidR="00196B06" w:rsidRPr="008E65C9">
        <w:rPr>
          <w:szCs w:val="22"/>
        </w:rPr>
        <w:t>eSkills</w:t>
      </w:r>
      <w:proofErr w:type="spellEnd"/>
      <w:r w:rsidRPr="00EA5623">
        <w:rPr>
          <w:szCs w:val="22"/>
        </w:rPr>
        <w:t xml:space="preserve"> pokračovala spolupráce v rámci </w:t>
      </w:r>
      <w:r w:rsidR="008E65C9">
        <w:rPr>
          <w:bCs/>
          <w:szCs w:val="22"/>
        </w:rPr>
        <w:t>Č</w:t>
      </w:r>
      <w:r w:rsidRPr="00EA5623">
        <w:rPr>
          <w:bCs/>
          <w:szCs w:val="22"/>
        </w:rPr>
        <w:t>eské národní koalice pro digitální pracovní místa</w:t>
      </w:r>
      <w:r w:rsidR="002D58AB">
        <w:rPr>
          <w:rStyle w:val="Znakapoznpodarou"/>
          <w:bCs/>
          <w:szCs w:val="22"/>
        </w:rPr>
        <w:footnoteReference w:id="7"/>
      </w:r>
      <w:r w:rsidRPr="00EA5623">
        <w:rPr>
          <w:szCs w:val="22"/>
        </w:rPr>
        <w:t xml:space="preserve">. V oblasti </w:t>
      </w:r>
      <w:proofErr w:type="spellStart"/>
      <w:r w:rsidR="00196B06" w:rsidRPr="008E65C9">
        <w:rPr>
          <w:szCs w:val="22"/>
        </w:rPr>
        <w:t>eCommerce</w:t>
      </w:r>
      <w:proofErr w:type="spellEnd"/>
      <w:r w:rsidR="00DC0375" w:rsidRPr="00EA5623">
        <w:rPr>
          <w:szCs w:val="22"/>
        </w:rPr>
        <w:t xml:space="preserve"> </w:t>
      </w:r>
      <w:r w:rsidR="00F92A47">
        <w:rPr>
          <w:szCs w:val="22"/>
        </w:rPr>
        <w:t>koordinátor zahájil</w:t>
      </w:r>
      <w:r w:rsidRPr="00EA5623">
        <w:rPr>
          <w:szCs w:val="22"/>
        </w:rPr>
        <w:t xml:space="preserve"> dial</w:t>
      </w:r>
      <w:r w:rsidR="00F92A47">
        <w:rPr>
          <w:szCs w:val="22"/>
        </w:rPr>
        <w:t>og se zástupci českých e-</w:t>
      </w:r>
      <w:proofErr w:type="spellStart"/>
      <w:r w:rsidR="00F92A47">
        <w:rPr>
          <w:szCs w:val="22"/>
        </w:rPr>
        <w:t>shopů</w:t>
      </w:r>
      <w:proofErr w:type="spellEnd"/>
      <w:r w:rsidR="00F92A47">
        <w:rPr>
          <w:szCs w:val="22"/>
        </w:rPr>
        <w:t xml:space="preserve"> s cílem prodiskutovat</w:t>
      </w:r>
      <w:r w:rsidRPr="00EA5623">
        <w:rPr>
          <w:szCs w:val="22"/>
        </w:rPr>
        <w:t xml:space="preserve">, jak zlepšit regulatorní prostředí na národní úrovni a identifikovat případné bariéry rozvoje </w:t>
      </w:r>
      <w:proofErr w:type="spellStart"/>
      <w:r w:rsidR="00196B06">
        <w:rPr>
          <w:szCs w:val="22"/>
        </w:rPr>
        <w:t>eCommerce</w:t>
      </w:r>
      <w:proofErr w:type="spellEnd"/>
      <w:r w:rsidRPr="00EA5623">
        <w:rPr>
          <w:szCs w:val="22"/>
        </w:rPr>
        <w:t xml:space="preserve"> v</w:t>
      </w:r>
      <w:r w:rsidR="00DC0375" w:rsidRPr="00EA5623">
        <w:rPr>
          <w:szCs w:val="22"/>
        </w:rPr>
        <w:t> </w:t>
      </w:r>
      <w:r w:rsidRPr="00EA5623">
        <w:rPr>
          <w:szCs w:val="22"/>
        </w:rPr>
        <w:t>ČR</w:t>
      </w:r>
      <w:r w:rsidR="002D58AB">
        <w:rPr>
          <w:rStyle w:val="Znakapoznpodarou"/>
          <w:szCs w:val="22"/>
        </w:rPr>
        <w:footnoteReference w:id="8"/>
      </w:r>
      <w:r w:rsidRPr="00EA5623">
        <w:rPr>
          <w:szCs w:val="22"/>
        </w:rPr>
        <w:t>. V dubnu proběhlo první setkání, které se zaměřil</w:t>
      </w:r>
      <w:r w:rsidR="00CC5DFD">
        <w:rPr>
          <w:szCs w:val="22"/>
        </w:rPr>
        <w:t>o</w:t>
      </w:r>
      <w:r w:rsidRPr="00EA5623">
        <w:rPr>
          <w:szCs w:val="22"/>
        </w:rPr>
        <w:t xml:space="preserve"> na téma zahraniční expanze českých e-</w:t>
      </w:r>
      <w:proofErr w:type="spellStart"/>
      <w:r w:rsidRPr="00EA5623">
        <w:rPr>
          <w:szCs w:val="22"/>
        </w:rPr>
        <w:t>shopů</w:t>
      </w:r>
      <w:proofErr w:type="spellEnd"/>
      <w:r w:rsidRPr="00EA5623">
        <w:rPr>
          <w:szCs w:val="22"/>
        </w:rPr>
        <w:t xml:space="preserve">. </w:t>
      </w:r>
    </w:p>
    <w:p w:rsidR="007424E1" w:rsidRPr="00EA5623" w:rsidRDefault="00715E01" w:rsidP="00AF2CD3">
      <w:pPr>
        <w:rPr>
          <w:szCs w:val="22"/>
        </w:rPr>
      </w:pPr>
      <w:r w:rsidRPr="00EA5623">
        <w:rPr>
          <w:szCs w:val="22"/>
        </w:rPr>
        <w:t xml:space="preserve">V oblasti </w:t>
      </w:r>
      <w:proofErr w:type="spellStart"/>
      <w:r w:rsidR="00196B06">
        <w:rPr>
          <w:szCs w:val="22"/>
        </w:rPr>
        <w:t>eGovernment</w:t>
      </w:r>
      <w:r w:rsidRPr="00EA5623">
        <w:rPr>
          <w:szCs w:val="22"/>
        </w:rPr>
        <w:t>u</w:t>
      </w:r>
      <w:proofErr w:type="spellEnd"/>
      <w:r w:rsidRPr="00EA5623">
        <w:rPr>
          <w:szCs w:val="22"/>
        </w:rPr>
        <w:t xml:space="preserve"> byla </w:t>
      </w:r>
      <w:r w:rsidRPr="008E65C9">
        <w:rPr>
          <w:szCs w:val="22"/>
        </w:rPr>
        <w:t xml:space="preserve">spuštěna </w:t>
      </w:r>
      <w:r w:rsidRPr="008E65C9">
        <w:rPr>
          <w:bCs/>
          <w:szCs w:val="22"/>
        </w:rPr>
        <w:t>Iniciativa 202020</w:t>
      </w:r>
      <w:r w:rsidRPr="008E65C9">
        <w:rPr>
          <w:szCs w:val="22"/>
        </w:rPr>
        <w:t>. Díky ní se podařilo zmapovat online služby poskytované státem občanům (již funkční i ty plánované) a stejné mapování proběhlo na úrovni krajů</w:t>
      </w:r>
      <w:r w:rsidR="002132E5">
        <w:rPr>
          <w:szCs w:val="22"/>
        </w:rPr>
        <w:t>.</w:t>
      </w:r>
      <w:r w:rsidRPr="008E65C9">
        <w:rPr>
          <w:szCs w:val="22"/>
        </w:rPr>
        <w:t xml:space="preserve"> </w:t>
      </w:r>
      <w:r w:rsidR="002132E5">
        <w:rPr>
          <w:szCs w:val="22"/>
        </w:rPr>
        <w:t>N</w:t>
      </w:r>
      <w:r w:rsidRPr="008E65C9">
        <w:rPr>
          <w:szCs w:val="22"/>
        </w:rPr>
        <w:t xml:space="preserve">yní </w:t>
      </w:r>
      <w:r w:rsidR="00CC5DFD">
        <w:rPr>
          <w:szCs w:val="22"/>
        </w:rPr>
        <w:t xml:space="preserve">se </w:t>
      </w:r>
      <w:r w:rsidRPr="008E65C9">
        <w:rPr>
          <w:szCs w:val="22"/>
        </w:rPr>
        <w:t xml:space="preserve">plánuje tento model rozšířit na úroveň měst a obcí. Zároveň započala na evropské úrovni jednání o zřízení Jednotné digitální brány, která povede k modernizaci a funkčnímu rozšíření nedávno reformovaných elektronických Jednotných kontaktních míst. Její implementace povede k celoevropsky koordinované digitalizaci informačních a asistenčních služeb nebo prioritních administrativních procedur pro snadnější orientaci a efektivnější přeshraniční pohyb obyvatel a podnikatelů nejen v ČR, ale i </w:t>
      </w:r>
      <w:r w:rsidR="007C2BC9">
        <w:rPr>
          <w:szCs w:val="22"/>
        </w:rPr>
        <w:t xml:space="preserve">v </w:t>
      </w:r>
      <w:r w:rsidRPr="008E65C9">
        <w:rPr>
          <w:szCs w:val="22"/>
        </w:rPr>
        <w:t xml:space="preserve">celé EU. </w:t>
      </w:r>
      <w:r w:rsidR="00AF2CD3" w:rsidRPr="008E65C9">
        <w:rPr>
          <w:szCs w:val="22"/>
        </w:rPr>
        <w:t xml:space="preserve"> </w:t>
      </w:r>
      <w:r w:rsidR="00E41027" w:rsidRPr="008E65C9">
        <w:rPr>
          <w:szCs w:val="22"/>
        </w:rPr>
        <w:t>Schváleno také bylo</w:t>
      </w:r>
      <w:r w:rsidR="00AF2CD3" w:rsidRPr="008E65C9">
        <w:rPr>
          <w:szCs w:val="22"/>
        </w:rPr>
        <w:t xml:space="preserve"> několik důležitých legislativních návrhů, které umožní rozšíření služeb </w:t>
      </w:r>
      <w:proofErr w:type="spellStart"/>
      <w:r w:rsidR="00AF2CD3" w:rsidRPr="008E65C9">
        <w:rPr>
          <w:szCs w:val="22"/>
        </w:rPr>
        <w:t>eGovernmentu</w:t>
      </w:r>
      <w:proofErr w:type="spellEnd"/>
      <w:r w:rsidR="00AF2CD3" w:rsidRPr="008E65C9">
        <w:rPr>
          <w:szCs w:val="22"/>
        </w:rPr>
        <w:t xml:space="preserve">, jako je zavedení </w:t>
      </w:r>
      <w:r w:rsidR="00AF2CD3" w:rsidRPr="008E65C9">
        <w:rPr>
          <w:bCs/>
          <w:szCs w:val="22"/>
        </w:rPr>
        <w:t xml:space="preserve">občanského průkazu s čipem </w:t>
      </w:r>
      <w:r w:rsidR="00AF2CD3" w:rsidRPr="008E65C9">
        <w:rPr>
          <w:szCs w:val="22"/>
        </w:rPr>
        <w:t xml:space="preserve">a spuštění </w:t>
      </w:r>
      <w:r w:rsidR="00AF2CD3" w:rsidRPr="008E65C9">
        <w:rPr>
          <w:bCs/>
          <w:szCs w:val="22"/>
        </w:rPr>
        <w:lastRenderedPageBreak/>
        <w:t>elektronické identity</w:t>
      </w:r>
      <w:r w:rsidR="00D57F76" w:rsidRPr="008E65C9">
        <w:rPr>
          <w:szCs w:val="22"/>
        </w:rPr>
        <w:t>.</w:t>
      </w:r>
      <w:r w:rsidRPr="008E65C9">
        <w:rPr>
          <w:szCs w:val="22"/>
        </w:rPr>
        <w:t xml:space="preserve"> V květnu 2017 přijala vláda usnesení, na základě kterého musí resorty a další ústřední orgány státní správy připravit své interní systémy na přijímání úplných elektronických podání a elektronických faktur</w:t>
      </w:r>
      <w:r w:rsidR="002D58AB">
        <w:rPr>
          <w:rStyle w:val="Znakapoznpodarou"/>
          <w:szCs w:val="22"/>
        </w:rPr>
        <w:footnoteReference w:id="9"/>
      </w:r>
      <w:r w:rsidRPr="0053461A">
        <w:rPr>
          <w:szCs w:val="22"/>
        </w:rPr>
        <w:t>.</w:t>
      </w:r>
      <w:r w:rsidR="0053461A">
        <w:rPr>
          <w:szCs w:val="22"/>
        </w:rPr>
        <w:t xml:space="preserve"> </w:t>
      </w:r>
      <w:r w:rsidR="0053461A" w:rsidRPr="0053461A">
        <w:rPr>
          <w:szCs w:val="22"/>
        </w:rPr>
        <w:t>Další práce, které budou směřovat ke zvýšení přívětivosti online služeb, budou pokračovat v dalším období.</w:t>
      </w:r>
    </w:p>
    <w:p w:rsidR="0069243C" w:rsidRPr="00EA5623" w:rsidRDefault="003D2999" w:rsidP="00EE6CF2">
      <w:pPr>
        <w:rPr>
          <w:szCs w:val="22"/>
        </w:rPr>
      </w:pPr>
      <w:r w:rsidRPr="00EA5623">
        <w:rPr>
          <w:szCs w:val="22"/>
        </w:rPr>
        <w:t xml:space="preserve">Vláda podpořila </w:t>
      </w:r>
      <w:r w:rsidRPr="00EA5623">
        <w:rPr>
          <w:bCs/>
          <w:szCs w:val="22"/>
        </w:rPr>
        <w:t>schválení novely zákona o kybernetické bezpečnosti a zákona o svobodném přístupu k informacím</w:t>
      </w:r>
      <w:r w:rsidRPr="00EA5623">
        <w:rPr>
          <w:szCs w:val="22"/>
        </w:rPr>
        <w:t xml:space="preserve">, čímž deklarovala, že ochrana kritických systémů před hackerskými útoky patří k jejím dlouhodobým prioritám. </w:t>
      </w:r>
      <w:r w:rsidR="001362B0">
        <w:rPr>
          <w:szCs w:val="22"/>
        </w:rPr>
        <w:t>Koordinátor pokračuje</w:t>
      </w:r>
      <w:r w:rsidRPr="00EA5623">
        <w:rPr>
          <w:szCs w:val="22"/>
        </w:rPr>
        <w:t xml:space="preserve"> v činnosti pracovní skupiny k legislativě v oblasti ochrany osobních údajů a v květnu 2017 byla uspořád</w:t>
      </w:r>
      <w:r w:rsidR="007C2BC9">
        <w:rPr>
          <w:szCs w:val="22"/>
        </w:rPr>
        <w:t>á</w:t>
      </w:r>
      <w:r w:rsidRPr="00EA5623">
        <w:rPr>
          <w:szCs w:val="22"/>
        </w:rPr>
        <w:t>n</w:t>
      </w:r>
      <w:r w:rsidR="007C2BC9">
        <w:rPr>
          <w:szCs w:val="22"/>
        </w:rPr>
        <w:t>a</w:t>
      </w:r>
      <w:r w:rsidRPr="00EA5623">
        <w:rPr>
          <w:szCs w:val="22"/>
        </w:rPr>
        <w:t xml:space="preserve"> konference k tématu ochrany osobních </w:t>
      </w:r>
      <w:r w:rsidR="00074BCF">
        <w:rPr>
          <w:szCs w:val="22"/>
        </w:rPr>
        <w:t>údajů</w:t>
      </w:r>
      <w:r w:rsidRPr="00EA5623">
        <w:rPr>
          <w:szCs w:val="22"/>
        </w:rPr>
        <w:t xml:space="preserve">, která se zaměřila na malé a střední podniky. </w:t>
      </w:r>
    </w:p>
    <w:p w:rsidR="00BD1408" w:rsidRPr="00BD1408" w:rsidRDefault="00EE6CF2" w:rsidP="00376464">
      <w:pPr>
        <w:pStyle w:val="Default"/>
        <w:spacing w:after="120" w:line="276" w:lineRule="auto"/>
        <w:jc w:val="both"/>
        <w:rPr>
          <w:color w:val="auto"/>
          <w:sz w:val="22"/>
          <w:szCs w:val="22"/>
        </w:rPr>
      </w:pPr>
      <w:r w:rsidRPr="00EA5623">
        <w:rPr>
          <w:color w:val="auto"/>
          <w:sz w:val="22"/>
          <w:szCs w:val="22"/>
        </w:rPr>
        <w:t xml:space="preserve">Koordinátor velmi úzce spolupracuje také s národním koordinátorem otevřených dat a akademickou a soukromou sférou, které se o tuto oblast zajímají. V rámci spolupráce s Fondem Otakara </w:t>
      </w:r>
      <w:proofErr w:type="spellStart"/>
      <w:r w:rsidRPr="00EA5623">
        <w:rPr>
          <w:color w:val="auto"/>
          <w:sz w:val="22"/>
          <w:szCs w:val="22"/>
        </w:rPr>
        <w:t>Motejla</w:t>
      </w:r>
      <w:proofErr w:type="spellEnd"/>
      <w:r w:rsidRPr="00EA5623">
        <w:rPr>
          <w:color w:val="auto"/>
          <w:sz w:val="22"/>
          <w:szCs w:val="22"/>
        </w:rPr>
        <w:t xml:space="preserve"> a Ministerstvem vnitra ČR byl připraven dotazník </w:t>
      </w:r>
      <w:r w:rsidRPr="008E65C9">
        <w:rPr>
          <w:color w:val="auto"/>
          <w:sz w:val="22"/>
          <w:szCs w:val="22"/>
        </w:rPr>
        <w:t>„</w:t>
      </w:r>
      <w:proofErr w:type="spellStart"/>
      <w:r w:rsidRPr="008E65C9">
        <w:rPr>
          <w:color w:val="auto"/>
          <w:sz w:val="22"/>
          <w:szCs w:val="22"/>
        </w:rPr>
        <w:t>Wishlist</w:t>
      </w:r>
      <w:proofErr w:type="spellEnd"/>
      <w:r w:rsidRPr="008E65C9">
        <w:rPr>
          <w:color w:val="auto"/>
          <w:sz w:val="22"/>
          <w:szCs w:val="22"/>
        </w:rPr>
        <w:t>“ nejžádanějších</w:t>
      </w:r>
      <w:r w:rsidRPr="00EA5623">
        <w:rPr>
          <w:color w:val="auto"/>
          <w:sz w:val="22"/>
          <w:szCs w:val="22"/>
        </w:rPr>
        <w:t xml:space="preserve"> dat k otevření. V otevřených datech </w:t>
      </w:r>
      <w:r w:rsidR="00CC5DFD">
        <w:rPr>
          <w:color w:val="auto"/>
          <w:sz w:val="22"/>
          <w:szCs w:val="22"/>
        </w:rPr>
        <w:t xml:space="preserve">se </w:t>
      </w:r>
      <w:r w:rsidRPr="00EA5623">
        <w:rPr>
          <w:color w:val="auto"/>
          <w:sz w:val="22"/>
          <w:szCs w:val="22"/>
        </w:rPr>
        <w:t xml:space="preserve">pokračuje v identifikaci a vyhodnocování největších příležitostí (nejžádanějších dat k otevření) pro podnikatelskou sféru. V uplynulém období </w:t>
      </w:r>
      <w:r w:rsidR="00CC5DFD">
        <w:rPr>
          <w:color w:val="auto"/>
          <w:sz w:val="22"/>
          <w:szCs w:val="22"/>
        </w:rPr>
        <w:t>se</w:t>
      </w:r>
      <w:r w:rsidR="00CC5DFD" w:rsidRPr="00EA5623">
        <w:rPr>
          <w:color w:val="auto"/>
          <w:sz w:val="22"/>
          <w:szCs w:val="22"/>
        </w:rPr>
        <w:t xml:space="preserve"> </w:t>
      </w:r>
      <w:r w:rsidRPr="00EA5623">
        <w:rPr>
          <w:color w:val="auto"/>
          <w:sz w:val="22"/>
          <w:szCs w:val="22"/>
        </w:rPr>
        <w:t>také otevřel</w:t>
      </w:r>
      <w:r w:rsidR="00CC5DFD">
        <w:rPr>
          <w:color w:val="auto"/>
          <w:sz w:val="22"/>
          <w:szCs w:val="22"/>
        </w:rPr>
        <w:t>a</w:t>
      </w:r>
      <w:r w:rsidRPr="00EA5623">
        <w:rPr>
          <w:color w:val="auto"/>
          <w:sz w:val="22"/>
          <w:szCs w:val="22"/>
        </w:rPr>
        <w:t xml:space="preserve"> velmi podstatn</w:t>
      </w:r>
      <w:r w:rsidR="00CC5DFD">
        <w:rPr>
          <w:color w:val="auto"/>
          <w:sz w:val="22"/>
          <w:szCs w:val="22"/>
        </w:rPr>
        <w:t>á</w:t>
      </w:r>
      <w:r w:rsidRPr="00EA5623">
        <w:rPr>
          <w:color w:val="auto"/>
          <w:sz w:val="22"/>
          <w:szCs w:val="22"/>
        </w:rPr>
        <w:t xml:space="preserve"> debat</w:t>
      </w:r>
      <w:r w:rsidR="00CC5DFD">
        <w:rPr>
          <w:color w:val="auto"/>
          <w:sz w:val="22"/>
          <w:szCs w:val="22"/>
        </w:rPr>
        <w:t>a</w:t>
      </w:r>
      <w:r w:rsidRPr="00EA5623">
        <w:rPr>
          <w:color w:val="auto"/>
          <w:sz w:val="22"/>
          <w:szCs w:val="22"/>
        </w:rPr>
        <w:t xml:space="preserve"> k novým trendům, jako je sdíle</w:t>
      </w:r>
      <w:r w:rsidR="008F4D79">
        <w:rPr>
          <w:color w:val="auto"/>
          <w:sz w:val="22"/>
          <w:szCs w:val="22"/>
        </w:rPr>
        <w:t xml:space="preserve">ná ekonomika a </w:t>
      </w:r>
      <w:proofErr w:type="spellStart"/>
      <w:r w:rsidR="00AE36FF">
        <w:rPr>
          <w:color w:val="auto"/>
          <w:sz w:val="22"/>
          <w:szCs w:val="22"/>
        </w:rPr>
        <w:t>Smart</w:t>
      </w:r>
      <w:proofErr w:type="spellEnd"/>
      <w:r w:rsidR="00AE36FF">
        <w:rPr>
          <w:color w:val="auto"/>
          <w:sz w:val="22"/>
          <w:szCs w:val="22"/>
        </w:rPr>
        <w:t xml:space="preserve"> </w:t>
      </w:r>
      <w:proofErr w:type="spellStart"/>
      <w:r w:rsidR="00AE36FF">
        <w:rPr>
          <w:color w:val="auto"/>
          <w:sz w:val="22"/>
          <w:szCs w:val="22"/>
        </w:rPr>
        <w:t>Cities</w:t>
      </w:r>
      <w:proofErr w:type="spellEnd"/>
      <w:r w:rsidRPr="00EA5623">
        <w:rPr>
          <w:color w:val="auto"/>
          <w:sz w:val="22"/>
          <w:szCs w:val="22"/>
        </w:rPr>
        <w:t xml:space="preserve">. Na pracovní skupině ke sdílené ekonomice jsme představili </w:t>
      </w:r>
      <w:r>
        <w:rPr>
          <w:color w:val="auto"/>
          <w:sz w:val="22"/>
          <w:szCs w:val="22"/>
        </w:rPr>
        <w:t>nejdříve</w:t>
      </w:r>
      <w:r w:rsidRPr="00EA5623">
        <w:rPr>
          <w:color w:val="auto"/>
          <w:sz w:val="22"/>
          <w:szCs w:val="22"/>
        </w:rPr>
        <w:t xml:space="preserve"> obecnou</w:t>
      </w:r>
      <w:r>
        <w:rPr>
          <w:color w:val="auto"/>
          <w:sz w:val="22"/>
          <w:szCs w:val="22"/>
        </w:rPr>
        <w:t xml:space="preserve"> </w:t>
      </w:r>
      <w:r w:rsidRPr="00EA5623">
        <w:rPr>
          <w:color w:val="auto"/>
          <w:sz w:val="22"/>
          <w:szCs w:val="22"/>
        </w:rPr>
        <w:t>právní</w:t>
      </w:r>
      <w:r>
        <w:rPr>
          <w:color w:val="auto"/>
          <w:sz w:val="22"/>
          <w:szCs w:val="22"/>
        </w:rPr>
        <w:t xml:space="preserve"> </w:t>
      </w:r>
      <w:r w:rsidRPr="00EA5623">
        <w:rPr>
          <w:color w:val="auto"/>
          <w:sz w:val="22"/>
          <w:szCs w:val="22"/>
        </w:rPr>
        <w:t xml:space="preserve">analýzu k tomuto tématu. </w:t>
      </w:r>
      <w:r>
        <w:rPr>
          <w:color w:val="auto"/>
          <w:sz w:val="22"/>
          <w:szCs w:val="22"/>
        </w:rPr>
        <w:t xml:space="preserve">Na konci června </w:t>
      </w:r>
      <w:r w:rsidRPr="00EE6CF2">
        <w:rPr>
          <w:color w:val="auto"/>
          <w:sz w:val="22"/>
          <w:szCs w:val="22"/>
        </w:rPr>
        <w:t>byly rovněž dokončeny práce na ekonomické a věcné analýze</w:t>
      </w:r>
      <w:r w:rsidRPr="00EA5623">
        <w:rPr>
          <w:color w:val="auto"/>
          <w:sz w:val="22"/>
          <w:szCs w:val="22"/>
        </w:rPr>
        <w:t xml:space="preserve"> tohoto fenoménu. Souhrnný materiál b</w:t>
      </w:r>
      <w:r>
        <w:rPr>
          <w:color w:val="auto"/>
          <w:sz w:val="22"/>
          <w:szCs w:val="22"/>
        </w:rPr>
        <w:t xml:space="preserve">yl postupně diskutován na pracovních týmech a plenární schůzi Rady hospodářské a sociální dohody. </w:t>
      </w:r>
      <w:r w:rsidRPr="006C4752">
        <w:rPr>
          <w:color w:val="auto"/>
          <w:sz w:val="22"/>
          <w:szCs w:val="22"/>
        </w:rPr>
        <w:t>Finální analýza upravená o výstupy předcházejících diskuzí bude v srpnu 2017 předložena vládě ČR</w:t>
      </w:r>
      <w:r w:rsidR="00AB6F0D" w:rsidRPr="006C4752">
        <w:rPr>
          <w:color w:val="auto"/>
          <w:sz w:val="22"/>
          <w:szCs w:val="22"/>
        </w:rPr>
        <w:t xml:space="preserve"> spolu s</w:t>
      </w:r>
      <w:r w:rsidRPr="006C4752">
        <w:rPr>
          <w:color w:val="auto"/>
          <w:sz w:val="22"/>
          <w:szCs w:val="22"/>
        </w:rPr>
        <w:t xml:space="preserve"> </w:t>
      </w:r>
      <w:r w:rsidR="00AB6F0D" w:rsidRPr="006C4752">
        <w:rPr>
          <w:color w:val="auto"/>
          <w:sz w:val="22"/>
          <w:szCs w:val="22"/>
        </w:rPr>
        <w:t xml:space="preserve">návrhem usnesení vlády, které </w:t>
      </w:r>
      <w:r w:rsidRPr="006C4752">
        <w:rPr>
          <w:color w:val="auto"/>
          <w:sz w:val="22"/>
          <w:szCs w:val="22"/>
        </w:rPr>
        <w:t>zadá</w:t>
      </w:r>
      <w:r w:rsidR="00AB6F0D" w:rsidRPr="006C4752">
        <w:rPr>
          <w:color w:val="auto"/>
          <w:sz w:val="22"/>
          <w:szCs w:val="22"/>
        </w:rPr>
        <w:t>vá</w:t>
      </w:r>
      <w:r w:rsidRPr="006C4752">
        <w:rPr>
          <w:color w:val="auto"/>
          <w:sz w:val="22"/>
          <w:szCs w:val="22"/>
        </w:rPr>
        <w:t xml:space="preserve"> další krok</w:t>
      </w:r>
      <w:r w:rsidR="00AB6F0D" w:rsidRPr="006C4752">
        <w:rPr>
          <w:color w:val="auto"/>
          <w:sz w:val="22"/>
          <w:szCs w:val="22"/>
        </w:rPr>
        <w:t>y</w:t>
      </w:r>
      <w:r w:rsidRPr="006C4752">
        <w:rPr>
          <w:color w:val="auto"/>
          <w:sz w:val="22"/>
          <w:szCs w:val="22"/>
        </w:rPr>
        <w:t xml:space="preserve"> v dané oblasti příslušným </w:t>
      </w:r>
      <w:r w:rsidR="00142F2E">
        <w:rPr>
          <w:color w:val="auto"/>
          <w:sz w:val="22"/>
          <w:szCs w:val="22"/>
        </w:rPr>
        <w:t>resort</w:t>
      </w:r>
      <w:r w:rsidRPr="006C4752">
        <w:rPr>
          <w:color w:val="auto"/>
          <w:sz w:val="22"/>
          <w:szCs w:val="22"/>
        </w:rPr>
        <w:t xml:space="preserve">ům. </w:t>
      </w:r>
      <w:r w:rsidR="008F4D79" w:rsidRPr="006C4752">
        <w:rPr>
          <w:color w:val="auto"/>
          <w:sz w:val="22"/>
          <w:szCs w:val="22"/>
        </w:rPr>
        <w:t>Co se</w:t>
      </w:r>
      <w:r w:rsidR="008F4D79">
        <w:rPr>
          <w:color w:val="auto"/>
          <w:sz w:val="22"/>
          <w:szCs w:val="22"/>
        </w:rPr>
        <w:t xml:space="preserve"> oblasti </w:t>
      </w:r>
      <w:proofErr w:type="spellStart"/>
      <w:r w:rsidR="00AE36FF">
        <w:rPr>
          <w:color w:val="auto"/>
          <w:sz w:val="22"/>
          <w:szCs w:val="22"/>
        </w:rPr>
        <w:t>Smart</w:t>
      </w:r>
      <w:proofErr w:type="spellEnd"/>
      <w:r w:rsidR="00AE36FF">
        <w:rPr>
          <w:color w:val="auto"/>
          <w:sz w:val="22"/>
          <w:szCs w:val="22"/>
        </w:rPr>
        <w:t xml:space="preserve"> </w:t>
      </w:r>
      <w:proofErr w:type="spellStart"/>
      <w:r w:rsidR="00AE36FF">
        <w:rPr>
          <w:color w:val="auto"/>
          <w:sz w:val="22"/>
          <w:szCs w:val="22"/>
        </w:rPr>
        <w:t>Cities</w:t>
      </w:r>
      <w:proofErr w:type="spellEnd"/>
      <w:r w:rsidRPr="00EA5623">
        <w:rPr>
          <w:color w:val="auto"/>
          <w:sz w:val="22"/>
          <w:szCs w:val="22"/>
        </w:rPr>
        <w:t xml:space="preserve"> týče, </w:t>
      </w:r>
      <w:r w:rsidR="00CC5DFD">
        <w:rPr>
          <w:color w:val="auto"/>
          <w:sz w:val="22"/>
          <w:szCs w:val="22"/>
        </w:rPr>
        <w:t>byla vyhlášen</w:t>
      </w:r>
      <w:r w:rsidR="00482DBE">
        <w:rPr>
          <w:color w:val="auto"/>
          <w:sz w:val="22"/>
          <w:szCs w:val="22"/>
        </w:rPr>
        <w:t>a</w:t>
      </w:r>
      <w:r w:rsidRPr="00EA5623">
        <w:rPr>
          <w:color w:val="auto"/>
          <w:sz w:val="22"/>
          <w:szCs w:val="22"/>
        </w:rPr>
        <w:t xml:space="preserve"> společně s partnery ze soukromé sféry soutěž s názvem Chytrá radnice.</w:t>
      </w:r>
      <w:r>
        <w:rPr>
          <w:color w:val="auto"/>
          <w:sz w:val="22"/>
          <w:szCs w:val="22"/>
        </w:rPr>
        <w:t xml:space="preserve"> </w:t>
      </w:r>
    </w:p>
    <w:p w:rsidR="00E15192" w:rsidRDefault="00E15192" w:rsidP="00E15192">
      <w:pPr>
        <w:pStyle w:val="Nadpis2"/>
      </w:pPr>
      <w:bookmarkStart w:id="21" w:name="_Toc490228371"/>
      <w:bookmarkStart w:id="22" w:name="_Toc490228438"/>
      <w:bookmarkStart w:id="23" w:name="_Toc491355943"/>
      <w:r>
        <w:t>Struktura Akčního plánu pro Společnost 4.0</w:t>
      </w:r>
      <w:bookmarkEnd w:id="21"/>
      <w:bookmarkEnd w:id="22"/>
      <w:bookmarkEnd w:id="23"/>
    </w:p>
    <w:p w:rsidR="001B0541" w:rsidRPr="00EA5623" w:rsidRDefault="003D2999" w:rsidP="001B0541">
      <w:pPr>
        <w:rPr>
          <w:szCs w:val="22"/>
        </w:rPr>
      </w:pPr>
      <w:r w:rsidRPr="001362B0">
        <w:rPr>
          <w:b/>
          <w:szCs w:val="22"/>
        </w:rPr>
        <w:t>První část</w:t>
      </w:r>
      <w:r w:rsidRPr="00EA5623">
        <w:rPr>
          <w:szCs w:val="22"/>
        </w:rPr>
        <w:t xml:space="preserve"> </w:t>
      </w:r>
      <w:r w:rsidRPr="008E65C9">
        <w:rPr>
          <w:szCs w:val="22"/>
        </w:rPr>
        <w:t>Akčního plánu</w:t>
      </w:r>
      <w:r w:rsidRPr="00EA5623">
        <w:rPr>
          <w:szCs w:val="22"/>
        </w:rPr>
        <w:t xml:space="preserve"> se věnuje měření vývoje digitální ekonomiky. Pro komplexní sledování stavu a vývoje digitální ekonomiky v ČR (včetně mezinárodního srovnání) neexistuje jeden konkrétní ukazatel nebo index, a proto je potřeba přistoupit k využití kombinace několika ukazatelů. Využito je zejména indexu DESI Evropské komise.</w:t>
      </w:r>
    </w:p>
    <w:p w:rsidR="001B0541" w:rsidRPr="00EA5623" w:rsidRDefault="003D2999" w:rsidP="001B0541">
      <w:pPr>
        <w:rPr>
          <w:szCs w:val="22"/>
        </w:rPr>
      </w:pPr>
      <w:r w:rsidRPr="001362B0">
        <w:rPr>
          <w:b/>
          <w:szCs w:val="22"/>
        </w:rPr>
        <w:t>Druhá část</w:t>
      </w:r>
      <w:r w:rsidRPr="00EA5623">
        <w:rPr>
          <w:szCs w:val="22"/>
        </w:rPr>
        <w:t xml:space="preserve"> představuje </w:t>
      </w:r>
      <w:r w:rsidR="0091005A">
        <w:rPr>
          <w:szCs w:val="22"/>
        </w:rPr>
        <w:t>zastřešující principy a průřezové priority koordinace digitální agendy. Konkrétně se jedná o tvorbu digitálně přívětivého právního a legislativního prostředí v ČR a o podporu budování Jednotného digitálního trhu v EU.</w:t>
      </w:r>
    </w:p>
    <w:p w:rsidR="001B0541" w:rsidRPr="00EA5623" w:rsidRDefault="003D2999" w:rsidP="001B0541">
      <w:pPr>
        <w:rPr>
          <w:szCs w:val="22"/>
        </w:rPr>
      </w:pPr>
      <w:r w:rsidRPr="001362B0">
        <w:rPr>
          <w:b/>
          <w:szCs w:val="22"/>
        </w:rPr>
        <w:t>Třetí</w:t>
      </w:r>
      <w:r w:rsidRPr="00EA5623">
        <w:rPr>
          <w:szCs w:val="22"/>
        </w:rPr>
        <w:t xml:space="preserve"> a nejobsáhlejší </w:t>
      </w:r>
      <w:r w:rsidRPr="001362B0">
        <w:rPr>
          <w:b/>
          <w:szCs w:val="22"/>
        </w:rPr>
        <w:t>čás</w:t>
      </w:r>
      <w:r w:rsidRPr="00EA5623">
        <w:rPr>
          <w:szCs w:val="22"/>
        </w:rPr>
        <w:t xml:space="preserve">t materiálu se věnuje prioritním aktivitám a konkrétním opatřením, které provádějí jednotlivé resorty státní správy samy nebo ve spolupráci s koordinátorem. Tento blok je rozdělen do pěti tematických pilířů: konektivita a mobilita, bezpečnost, elektronizace veřejné správy, vzdělávání a trh práce a průmysl a </w:t>
      </w:r>
      <w:r w:rsidR="00215309">
        <w:rPr>
          <w:szCs w:val="22"/>
        </w:rPr>
        <w:t>podnikání</w:t>
      </w:r>
      <w:r w:rsidRPr="00EA5623">
        <w:rPr>
          <w:szCs w:val="22"/>
        </w:rPr>
        <w:t xml:space="preserve">. </w:t>
      </w:r>
    </w:p>
    <w:p w:rsidR="00054B82" w:rsidRPr="008E65C9" w:rsidRDefault="003D2999" w:rsidP="008C1143">
      <w:pPr>
        <w:rPr>
          <w:rFonts w:eastAsia="Times New Roman"/>
          <w:szCs w:val="22"/>
        </w:rPr>
      </w:pPr>
      <w:r w:rsidRPr="00EA5623">
        <w:rPr>
          <w:szCs w:val="22"/>
        </w:rPr>
        <w:t xml:space="preserve">V </w:t>
      </w:r>
      <w:r w:rsidRPr="001362B0">
        <w:rPr>
          <w:b/>
          <w:szCs w:val="22"/>
        </w:rPr>
        <w:t>závěru</w:t>
      </w:r>
      <w:r w:rsidRPr="00EA5623">
        <w:rPr>
          <w:szCs w:val="22"/>
        </w:rPr>
        <w:t xml:space="preserve"> Akčního plánu jsou priority a jednotlivá opatření spolu s odpovědnou institucí shrnuty do tabulky. V příloze dokumentu je seznam strategických a koncepčních materiálů vlády, které mají vazbu na digitální agendu, a harmonogram předkládání návrh</w:t>
      </w:r>
      <w:r w:rsidR="00074BCF">
        <w:rPr>
          <w:szCs w:val="22"/>
        </w:rPr>
        <w:t>ů</w:t>
      </w:r>
      <w:r w:rsidRPr="00EA5623">
        <w:rPr>
          <w:szCs w:val="22"/>
        </w:rPr>
        <w:t xml:space="preserve"> relevantních k digitální agendě ze strany Evropské komise.</w:t>
      </w:r>
    </w:p>
    <w:p w:rsidR="00955A56" w:rsidRPr="007E4D24" w:rsidRDefault="003D2999" w:rsidP="007E4D24">
      <w:pPr>
        <w:pStyle w:val="Nadpis1"/>
      </w:pPr>
      <w:bookmarkStart w:id="24" w:name="_Toc491355944"/>
      <w:r w:rsidRPr="007E4D24">
        <w:lastRenderedPageBreak/>
        <w:t>MĚŘENÍ VÝVOJE DIGITÁLNÍ EKONOMIKY</w:t>
      </w:r>
      <w:bookmarkEnd w:id="24"/>
    </w:p>
    <w:p w:rsidR="000E7FFC" w:rsidRDefault="003D2999" w:rsidP="007E4D24">
      <w:r w:rsidRPr="00D97AD9">
        <w:t>Pro komplexní sledování stavu a vývoje digitální ekonomiky v ČR (včetně mezinárodního srovnání) neexistuje jeden konkrétní ukazatel nebo index, a proto je potřeba přistoupit k využití kombinace několika ukazatelů. Základem pro Akční plán pro Společnost 4.0 bude šíře zaměřený index DESI</w:t>
      </w:r>
      <w:r w:rsidR="00CF6F18">
        <w:t xml:space="preserve"> (</w:t>
      </w:r>
      <w:proofErr w:type="spellStart"/>
      <w:r w:rsidR="00CF6F18" w:rsidRPr="00D97AD9">
        <w:t>The</w:t>
      </w:r>
      <w:proofErr w:type="spellEnd"/>
      <w:r w:rsidR="00CF6F18" w:rsidRPr="00D97AD9">
        <w:t xml:space="preserve"> Digital </w:t>
      </w:r>
      <w:proofErr w:type="spellStart"/>
      <w:r w:rsidR="00CF6F18" w:rsidRPr="00D97AD9">
        <w:t>Economy</w:t>
      </w:r>
      <w:proofErr w:type="spellEnd"/>
      <w:r w:rsidR="00CF6F18" w:rsidRPr="00D97AD9">
        <w:t xml:space="preserve"> </w:t>
      </w:r>
      <w:proofErr w:type="spellStart"/>
      <w:r w:rsidR="00CF6F18" w:rsidRPr="00D97AD9">
        <w:t>and</w:t>
      </w:r>
      <w:proofErr w:type="spellEnd"/>
      <w:r w:rsidR="00CF6F18" w:rsidRPr="00D97AD9">
        <w:t xml:space="preserve"> Society Index</w:t>
      </w:r>
      <w:r w:rsidR="00CF6F18">
        <w:t>)</w:t>
      </w:r>
      <w:r w:rsidRPr="00D97AD9">
        <w:t>, který navíc umožňuje srovnávat realitu a vývoj digitální ekonomiky ČR a ostatních členských států EU mezi lety 2013 až 2016</w:t>
      </w:r>
      <w:r w:rsidRPr="00D44181">
        <w:rPr>
          <w:vertAlign w:val="superscript"/>
        </w:rPr>
        <w:footnoteReference w:id="10"/>
      </w:r>
      <w:r w:rsidRPr="00D97AD9">
        <w:t xml:space="preserve"> (a dále do budoucna). Index DESI je vyvíjen a spravován Evropskou komisí, konkrétně </w:t>
      </w:r>
      <w:r w:rsidR="00CF6F18" w:rsidRPr="00CF6F18">
        <w:t>Generální</w:t>
      </w:r>
      <w:r w:rsidR="00CF6F18">
        <w:t>m</w:t>
      </w:r>
      <w:r w:rsidR="00CF6F18" w:rsidRPr="00CF6F18">
        <w:t xml:space="preserve"> ředitelství</w:t>
      </w:r>
      <w:r w:rsidR="00CF6F18">
        <w:t>m pro k</w:t>
      </w:r>
      <w:r w:rsidR="00CF6F18" w:rsidRPr="00CF6F18">
        <w:t>omunikační sítě, obsah a technologie</w:t>
      </w:r>
      <w:r w:rsidR="00CF6F18">
        <w:t xml:space="preserve"> (</w:t>
      </w:r>
      <w:r w:rsidRPr="00D97AD9">
        <w:t xml:space="preserve">DG </w:t>
      </w:r>
      <w:proofErr w:type="spellStart"/>
      <w:r w:rsidRPr="00D97AD9">
        <w:t>Connect</w:t>
      </w:r>
      <w:proofErr w:type="spellEnd"/>
      <w:r w:rsidR="00CF6F18">
        <w:t>). V</w:t>
      </w:r>
      <w:r w:rsidRPr="00D97AD9">
        <w:t>ětšina dat</w:t>
      </w:r>
      <w:r w:rsidR="00CF6F18">
        <w:t xml:space="preserve"> pak</w:t>
      </w:r>
      <w:r w:rsidRPr="00D97AD9">
        <w:t xml:space="preserve"> pochází z databáze </w:t>
      </w:r>
      <w:proofErr w:type="spellStart"/>
      <w:r w:rsidRPr="00D97AD9">
        <w:t>Eurostatu</w:t>
      </w:r>
      <w:proofErr w:type="spellEnd"/>
      <w:r w:rsidRPr="00D97AD9">
        <w:t xml:space="preserve">. Pět základních dimenzí, které index DESI sleduje, ale bohužel nejsou všeobjímající, proto bude doplněn o některé další údaje v oblasti </w:t>
      </w:r>
      <w:proofErr w:type="spellStart"/>
      <w:r w:rsidRPr="00D97AD9">
        <w:t>kyberbezpečnosti</w:t>
      </w:r>
      <w:proofErr w:type="spellEnd"/>
      <w:r w:rsidRPr="00D97AD9">
        <w:t xml:space="preserve"> (data </w:t>
      </w:r>
      <w:r w:rsidR="00C75487">
        <w:t>NÚKIB</w:t>
      </w:r>
      <w:r w:rsidRPr="00D97AD9">
        <w:t xml:space="preserve"> z každoroční Zprávy o stavu </w:t>
      </w:r>
      <w:proofErr w:type="spellStart"/>
      <w:r w:rsidRPr="00D97AD9">
        <w:t>kyberbezpečnosti</w:t>
      </w:r>
      <w:proofErr w:type="spellEnd"/>
      <w:r w:rsidRPr="00D97AD9">
        <w:t xml:space="preserve"> České republiky – poslední za r</w:t>
      </w:r>
      <w:r w:rsidR="00451C3E">
        <w:t>ok</w:t>
      </w:r>
      <w:r w:rsidRPr="00D97AD9">
        <w:t xml:space="preserve"> 2016), </w:t>
      </w:r>
      <w:r w:rsidR="0041284D" w:rsidRPr="00D97AD9">
        <w:t>data o čerpání vybraných Operačních programů ESI fondů na podporu rozvoje digitální ekonomiky (OP Z, OP VVV, IROP</w:t>
      </w:r>
      <w:r w:rsidR="0041284D" w:rsidRPr="00D97AD9">
        <w:footnoteReference w:id="11"/>
      </w:r>
      <w:r w:rsidR="0041284D" w:rsidRPr="00D97AD9">
        <w:t xml:space="preserve"> – </w:t>
      </w:r>
      <w:proofErr w:type="spellStart"/>
      <w:r w:rsidR="00AE36FF">
        <w:t>Smart</w:t>
      </w:r>
      <w:proofErr w:type="spellEnd"/>
      <w:r w:rsidR="00AE36FF">
        <w:t xml:space="preserve"> </w:t>
      </w:r>
      <w:proofErr w:type="spellStart"/>
      <w:r w:rsidR="00AE36FF">
        <w:t>Cities</w:t>
      </w:r>
      <w:proofErr w:type="spellEnd"/>
      <w:r w:rsidR="0041284D" w:rsidRPr="00D97AD9">
        <w:t xml:space="preserve">). </w:t>
      </w:r>
      <w:r w:rsidRPr="00D97AD9">
        <w:t xml:space="preserve">V případě potřeby mohou být v budoucnu zařazeny další ukazatele. </w:t>
      </w:r>
      <w:r w:rsidR="00550727">
        <w:t xml:space="preserve">Ve spolupráci MMR a MV bylo realizováno dotazníkové šetření s městy na téma Open Data, a to v návaznosti na opatření Akčního plánu pro rozvoj digitálního trhu 5.12 </w:t>
      </w:r>
      <w:r w:rsidR="00550727" w:rsidRPr="00802641">
        <w:t>Mapovat situaci ve městech ve věci uplatňování otevřených dat</w:t>
      </w:r>
      <w:r w:rsidR="00802641">
        <w:t>.</w:t>
      </w:r>
    </w:p>
    <w:p w:rsidR="003D2999" w:rsidRPr="00D97AD9" w:rsidRDefault="00CF6F18" w:rsidP="003D2999">
      <w:r>
        <w:t xml:space="preserve">Tento index </w:t>
      </w:r>
      <w:r w:rsidR="003D2999" w:rsidRPr="00D97AD9">
        <w:t>je kompozitní</w:t>
      </w:r>
      <w:r>
        <w:t xml:space="preserve"> a</w:t>
      </w:r>
      <w:r w:rsidR="003D2999" w:rsidRPr="00D97AD9">
        <w:t xml:space="preserve"> snaží</w:t>
      </w:r>
      <w:r>
        <w:t xml:space="preserve"> se</w:t>
      </w:r>
      <w:r w:rsidR="003D2999" w:rsidRPr="00D97AD9">
        <w:t xml:space="preserve"> sumarizovat relevantní ukazatele digitální výkonosti zemí v Evropě, a tím sledovat vývoj</w:t>
      </w:r>
      <w:r>
        <w:t xml:space="preserve"> </w:t>
      </w:r>
      <w:r w:rsidR="003D2999" w:rsidRPr="00D97AD9">
        <w:t xml:space="preserve">digitální konkurenceschopnosti v rámci členských států EU. Jedná se o jeden z hlavních vstupů pro vyhodnocování situace a pokroku členských států EU v rámci Evropského semestru a Evropskou zprávu o digitálním pokroku. </w:t>
      </w:r>
    </w:p>
    <w:p w:rsidR="008B781C" w:rsidRPr="00D97AD9" w:rsidRDefault="008B781C" w:rsidP="00376464">
      <w:pPr>
        <w:spacing w:after="240"/>
      </w:pPr>
      <w:r w:rsidRPr="008544CD">
        <w:t>Index je sledován od roku 20</w:t>
      </w:r>
      <w:r w:rsidRPr="008544CD">
        <w:footnoteReference w:id="12"/>
      </w:r>
      <w:r w:rsidRPr="008544CD">
        <w:t xml:space="preserve"> do současnosti. Jedná se o metodologicky nejschůdnější možnost mezinárodního srovnání mezi zeměmi EU v dané oblasti a v čase. Základní hodnocení celého složeného indexu se pohybuje v rámci intervalu mezi 0 a 1 (dosažení vyšší hodnoty znamená lepší výsledek sledované země). Pro naše účely lepšího zobrazení a pochopení je dále využita škále mezi 0 až 100 bodů, která poskytuje lepší představu o dosažených výsledcích. Nejlépe hodnocené Dánsko dosáhlo dle nejnovějších dat za rok 2016 celkové hodnoty indexu ve výši necelých 71 bodů ze 100. Nejhůře hodnocenou zemí bylo Rumunsko s 33 body.</w:t>
      </w:r>
      <w:r w:rsidRPr="00D97AD9">
        <w:t xml:space="preserve"> </w:t>
      </w:r>
    </w:p>
    <w:p w:rsidR="00C92308" w:rsidRPr="00D97AD9" w:rsidRDefault="00C92308" w:rsidP="007E4D24">
      <w:pPr>
        <w:pStyle w:val="Nadpis2"/>
        <w:rPr>
          <w:rFonts w:eastAsia="Times New Roman"/>
        </w:rPr>
      </w:pPr>
      <w:bookmarkStart w:id="25" w:name="_Toc490228373"/>
      <w:bookmarkStart w:id="26" w:name="_Toc490228440"/>
      <w:bookmarkStart w:id="27" w:name="_Toc491355945"/>
      <w:r w:rsidRPr="00D97AD9">
        <w:t xml:space="preserve">Výsledky DESI </w:t>
      </w:r>
      <w:r>
        <w:t>2017</w:t>
      </w:r>
      <w:bookmarkEnd w:id="25"/>
      <w:bookmarkEnd w:id="26"/>
      <w:bookmarkEnd w:id="27"/>
    </w:p>
    <w:p w:rsidR="003D2999" w:rsidRDefault="003D2999" w:rsidP="003D2999">
      <w:r w:rsidRPr="00D97AD9">
        <w:t>Při pohledu na nejnovější celkové výsledky normalizovaného indexu z letošního roku (květen 2017 za rok 2016) je možno vidět v</w:t>
      </w:r>
      <w:r w:rsidR="00A97C2F">
        <w:t> </w:t>
      </w:r>
      <w:r w:rsidRPr="00D97AD9">
        <w:t>Evropě</w:t>
      </w:r>
      <w:r w:rsidR="00A97C2F">
        <w:t xml:space="preserve"> </w:t>
      </w:r>
      <w:r w:rsidRPr="00D97AD9">
        <w:t xml:space="preserve">čtyři výrazné </w:t>
      </w:r>
      <w:r w:rsidR="00A97C2F">
        <w:t>leadery</w:t>
      </w:r>
      <w:r w:rsidR="00A97C2F" w:rsidRPr="00D97AD9">
        <w:t xml:space="preserve"> </w:t>
      </w:r>
      <w:r w:rsidRPr="00D97AD9">
        <w:t>digitální ekonomiky a společnosti, kterými jsou zejména severské země</w:t>
      </w:r>
      <w:r w:rsidR="00A97C2F">
        <w:t xml:space="preserve"> </w:t>
      </w:r>
      <w:r w:rsidRPr="00D97AD9">
        <w:t>(D</w:t>
      </w:r>
      <w:r w:rsidR="00A97C2F">
        <w:t>ánsko</w:t>
      </w:r>
      <w:r w:rsidRPr="00D97AD9">
        <w:t>, F</w:t>
      </w:r>
      <w:r w:rsidR="00A97C2F">
        <w:t>insko</w:t>
      </w:r>
      <w:r w:rsidRPr="00D97AD9">
        <w:t xml:space="preserve">, </w:t>
      </w:r>
      <w:r w:rsidR="00A97C2F">
        <w:t>Švédsko</w:t>
      </w:r>
      <w:r w:rsidR="00A97C2F" w:rsidRPr="00D97AD9">
        <w:t xml:space="preserve"> </w:t>
      </w:r>
      <w:r w:rsidRPr="00D97AD9">
        <w:t>a N</w:t>
      </w:r>
      <w:r w:rsidR="00A97C2F">
        <w:t>izozemí</w:t>
      </w:r>
      <w:r w:rsidRPr="00D97AD9">
        <w:t xml:space="preserve">). Na druhé straně indexu se nachází země </w:t>
      </w:r>
      <w:r w:rsidR="002132E5">
        <w:t xml:space="preserve">v </w:t>
      </w:r>
      <w:r w:rsidRPr="00D97AD9">
        <w:t xml:space="preserve">jihovýchodní </w:t>
      </w:r>
      <w:r w:rsidR="002132E5">
        <w:t xml:space="preserve">části </w:t>
      </w:r>
      <w:r w:rsidRPr="00D97AD9">
        <w:t>EU (R</w:t>
      </w:r>
      <w:r w:rsidR="00A97C2F">
        <w:t>umunsko</w:t>
      </w:r>
      <w:r w:rsidRPr="00D97AD9">
        <w:t xml:space="preserve">, </w:t>
      </w:r>
      <w:r w:rsidR="00A97C2F" w:rsidRPr="00D97AD9">
        <w:t>B</w:t>
      </w:r>
      <w:r w:rsidR="00A97C2F">
        <w:t>ulharsko</w:t>
      </w:r>
      <w:r w:rsidR="00A97C2F" w:rsidRPr="00D97AD9">
        <w:t xml:space="preserve"> </w:t>
      </w:r>
      <w:r w:rsidRPr="00D97AD9">
        <w:t>a </w:t>
      </w:r>
      <w:r w:rsidR="00A97C2F">
        <w:t>Řecko</w:t>
      </w:r>
      <w:r w:rsidRPr="00D97AD9">
        <w:t xml:space="preserve">), které dle indexu naopak výrazně zaostávají za ostatními </w:t>
      </w:r>
      <w:r w:rsidR="00A97C2F">
        <w:t>členskými státy</w:t>
      </w:r>
      <w:r w:rsidRPr="00D97AD9">
        <w:t xml:space="preserve">. </w:t>
      </w:r>
    </w:p>
    <w:p w:rsidR="0091005A" w:rsidRDefault="0091005A" w:rsidP="0091005A">
      <w:r w:rsidRPr="00D97AD9">
        <w:t>Při posledním hodnocení indexu DESI 2017</w:t>
      </w:r>
      <w:r>
        <w:t xml:space="preserve"> </w:t>
      </w:r>
      <w:r w:rsidRPr="00D97AD9">
        <w:t xml:space="preserve">dosáhla ČR na 18. místo z 28 členských států EU. </w:t>
      </w:r>
    </w:p>
    <w:p w:rsidR="0091005A" w:rsidRPr="00D97AD9" w:rsidRDefault="0091005A" w:rsidP="0091005A"/>
    <w:p w:rsidR="0091005A" w:rsidRPr="00402FF3" w:rsidRDefault="0091005A" w:rsidP="00D46D21">
      <w:pPr>
        <w:jc w:val="center"/>
        <w:rPr>
          <w:b/>
          <w:szCs w:val="22"/>
        </w:rPr>
      </w:pPr>
      <w:r w:rsidRPr="00402FF3">
        <w:rPr>
          <w:b/>
          <w:szCs w:val="22"/>
        </w:rPr>
        <w:t>Hodnocení stavu digitální ekonomiky podle Indexu DESI 2017 (z výsledků z roku 2016)</w:t>
      </w:r>
    </w:p>
    <w:p w:rsidR="0091005A" w:rsidRPr="00D97AD9" w:rsidRDefault="00836CA6" w:rsidP="0091005A">
      <w:pPr>
        <w:rPr>
          <w:szCs w:val="22"/>
        </w:rPr>
      </w:pPr>
      <w:r w:rsidRPr="00836CA6">
        <w:rPr>
          <w:noProof/>
        </w:rPr>
      </w:r>
      <w:r w:rsidRPr="00836CA6">
        <w:rPr>
          <w:noProof/>
        </w:rPr>
        <w:pict>
          <v:group id="Skupina 5" o:spid="_x0000_s1026" style="width:471.75pt;height:208.3pt;mso-position-horizontal-relative:char;mso-position-vertical-relative:line" coordsize="90106,45815">
            <v:group id="Skupina 9" o:spid="_x0000_s1027" style="position:absolute;width:90106;height:45815" coordsize="90106,458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 10" o:spid="_x0000_s1028" type="#_x0000_t75" style="position:absolute;width:90123;height:4581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I3wC7CAAAA2gAAAA8AAABkcnMvZG93bnJldi54bWxEj09rwkAQxe+FfodlCl6KbqpUanSVoghe&#10;a0PpcciOm2B2NmRHTfrpu0Khx8f78+OtNr1v1JW6WAc28DLJQBGXwdbsDBSf+/EbqCjIFpvAZGCg&#10;CJv148MKcxtu/EHXoziVRjjmaKASaXOtY1mRxzgJLXHyTqHzKEl2TtsOb2ncN3qaZXPtseZEqLCl&#10;bUXl+XjxCTLIt5t9HS7DPCuK591p4X52YszoqX9fghLq5T/81z5YA69wv5JugF7/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iN8AuwgAAANoAAAAPAAAAAAAAAAAAAAAAAJ8C&#10;AABkcnMvZG93bnJldi54bWxQSwUGAAAAAAQABAD3AAAAjgMAAAAA&#10;">
                <v:imagedata r:id="rId11" o:title=""/>
                <o:lock v:ext="edit" aspectratio="f"/>
              </v:shape>
              <v:shapetype id="_x0000_t202" coordsize="21600,21600" o:spt="202" path="m,l,21600r21600,l21600,xe">
                <v:stroke joinstyle="miter"/>
                <v:path gradientshapeok="t" o:connecttype="rect"/>
              </v:shapetype>
              <v:shape id="TextovéPole 2" o:spid="_x0000_s1029" type="#_x0000_t202" style="position:absolute;left:48222;top:12683;width:2316;height:217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HyfMIA&#10;AADaAAAADwAAAGRycy9kb3ducmV2LnhtbESPQWvCQBSE7wX/w/IKvdVdLUibZiNFFISe1NDza/aZ&#10;RLNv4+5q0n/vFgo9DjPzDZMvR9uJG/nQOtYwmyoQxJUzLdcaysPm+RVEiMgGO8ek4YcCLIvJQ46Z&#10;cQPv6LaPtUgQDhlqaGLsMylD1ZDFMHU9cfKOzluMSfpaGo9DgttOzpVaSIstp4UGe1o1VJ33V6vh&#10;MLivkdVlW76sy7eTmn1/Hlde66fH8eMdRKQx/of/2lujYQG/V9INk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wfJ8wgAAANoAAAAPAAAAAAAAAAAAAAAAAJgCAABkcnMvZG93&#10;bnJldi54bWxQSwUGAAAAAAQABAD1AAAAhwMAAAAA&#10;" filled="f" strokecolor="#548dd4 [1951]"/>
            </v:group>
            <v:shape id="TextovéPole 3" o:spid="_x0000_s1030" type="#_x0000_t202" style="position:absolute;left:56759;top:13484;width:2344;height:209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DJrsUA&#10;AADaAAAADwAAAGRycy9kb3ducmV2LnhtbESPT2vCQBTE7wW/w/KE3pqNhVaNriLSlkIV/x709sg+&#10;k5Ds2zS7xvTbd4VCj8PM/IaZzjtTiZYaV1hWMIhiEMSp1QVnCo6H96cRCOeRNVaWScEPOZjPeg9T&#10;TLS98Y7avc9EgLBLUEHufZ1I6dKcDLrI1sTBu9jGoA+yyaRu8BbgppLPcfwqDRYcFnKsaZlTWu6v&#10;RsF1U57aLi6H65fxtvp4+159nTlV6rHfLSYgPHX+P/zX/tQKhnC/Em6An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wMmuxQAAANoAAAAPAAAAAAAAAAAAAAAAAJgCAABkcnMv&#10;ZG93bnJldi54bWxQSwUGAAAAAAQABAD1AAAAigMAAAAA&#10;" filled="f" strokecolor="#c0504d [3205]"/>
            <w10:wrap type="none"/>
            <w10:anchorlock/>
          </v:group>
        </w:pict>
      </w:r>
    </w:p>
    <w:p w:rsidR="0091005A" w:rsidRDefault="0091005A" w:rsidP="007E4D24">
      <w:pPr>
        <w:spacing w:line="240" w:lineRule="auto"/>
        <w:jc w:val="right"/>
        <w:rPr>
          <w:i/>
          <w:sz w:val="18"/>
        </w:rPr>
      </w:pPr>
      <w:r w:rsidRPr="00D97AD9">
        <w:rPr>
          <w:i/>
          <w:sz w:val="18"/>
        </w:rPr>
        <w:t>Zdroj: Index DESI</w:t>
      </w:r>
      <w:r w:rsidR="007E4D24">
        <w:rPr>
          <w:i/>
          <w:sz w:val="18"/>
        </w:rPr>
        <w:t xml:space="preserve"> (2017) – DG </w:t>
      </w:r>
      <w:proofErr w:type="spellStart"/>
      <w:r w:rsidR="007E4D24">
        <w:rPr>
          <w:i/>
          <w:sz w:val="18"/>
        </w:rPr>
        <w:t>Connect</w:t>
      </w:r>
      <w:proofErr w:type="spellEnd"/>
      <w:r w:rsidR="007E4D24">
        <w:rPr>
          <w:i/>
          <w:sz w:val="18"/>
        </w:rPr>
        <w:t>, úprava ÚV</w:t>
      </w:r>
    </w:p>
    <w:p w:rsidR="007E4D24" w:rsidRPr="007E4D24" w:rsidRDefault="007E4D24" w:rsidP="007E4D24">
      <w:pPr>
        <w:spacing w:line="240" w:lineRule="auto"/>
        <w:jc w:val="right"/>
        <w:rPr>
          <w:i/>
          <w:sz w:val="18"/>
        </w:rPr>
      </w:pPr>
    </w:p>
    <w:p w:rsidR="0091005A" w:rsidRPr="00EA5623" w:rsidRDefault="0091005A" w:rsidP="0091005A">
      <w:pPr>
        <w:rPr>
          <w:szCs w:val="22"/>
        </w:rPr>
      </w:pPr>
      <w:r w:rsidRPr="00EA5623">
        <w:rPr>
          <w:szCs w:val="22"/>
        </w:rPr>
        <w:t>Česká republika dosáhla v roce 2016 velmi dobrých výsledků v oblastech integrace digitálních technologií podniků a rozvoje elektronického obchodování malých a středních podniků. Určitý pokrok byl dosažen i v implementaci digitálních veřejných služeb. Z hlediska lidského kapitálu dodržela Česká republika úroveň dosaženou v minulých letech, což odpovídá nadprůměru EU v některých oblastech digitalizace ve vzdělávání a na trhu práce. V souvislosti s infrastrukturou je pozoruhodně dobré umístění České republiky v pokrytí mobilními sítěmi 4G, ale výsledky v oblasti konektivity stagnují a vykazují malý objem přenesených dat, které jsou známkou širokého využití těchto sítí pro účely efektivnějšího a masovějšího využití digitální ekonomiky. I proto byla konektivita vybr</w:t>
      </w:r>
      <w:r w:rsidR="002132E5">
        <w:rPr>
          <w:szCs w:val="22"/>
        </w:rPr>
        <w:t>á</w:t>
      </w:r>
      <w:r w:rsidRPr="00EA5623">
        <w:rPr>
          <w:szCs w:val="22"/>
        </w:rPr>
        <w:t>n</w:t>
      </w:r>
      <w:r w:rsidR="002132E5">
        <w:rPr>
          <w:szCs w:val="22"/>
        </w:rPr>
        <w:t>a</w:t>
      </w:r>
      <w:r w:rsidRPr="00EA5623">
        <w:rPr>
          <w:szCs w:val="22"/>
        </w:rPr>
        <w:t xml:space="preserve"> jako jedna z priorit koordinátora do budoucna. </w:t>
      </w:r>
    </w:p>
    <w:p w:rsidR="003D2999" w:rsidRPr="00D97AD9" w:rsidRDefault="003D2999" w:rsidP="003D2999">
      <w:r w:rsidRPr="00D97AD9">
        <w:t>Při bližším pohledu na hodnoty, kterých dosahovala ČR během let sledování indexu DESI</w:t>
      </w:r>
      <w:r w:rsidR="002132E5">
        <w:t>,</w:t>
      </w:r>
      <w:r w:rsidRPr="00D97AD9">
        <w:t xml:space="preserve"> je možno tvrdit, že vývoj digitální ekonomiky se pohybuje blízko průměrným hodnotám EU. V rámci pořadí dle bodového ohodnocení celkového DESI indexu ČR bylo na 17. a 18. místě, což </w:t>
      </w:r>
      <w:r w:rsidR="00A97C2F">
        <w:t xml:space="preserve">nemusí být hodnoceno jako </w:t>
      </w:r>
      <w:r w:rsidRPr="00D97AD9">
        <w:t xml:space="preserve">špatný výsledek, protože patří mezi dynamičtěji se rozvíjející nové členské státy a lídra států V4. </w:t>
      </w:r>
    </w:p>
    <w:p w:rsidR="00955A56" w:rsidRPr="00D97AD9" w:rsidRDefault="003D2999" w:rsidP="00B33328">
      <w:r w:rsidRPr="00D97AD9">
        <w:t>Mezi nejrychleji se rozvíjející země mezi lety 2015 a 2016 patřily S</w:t>
      </w:r>
      <w:r w:rsidR="00A97C2F">
        <w:t>lovensko</w:t>
      </w:r>
      <w:r w:rsidRPr="00D97AD9">
        <w:t xml:space="preserve"> a S</w:t>
      </w:r>
      <w:r w:rsidR="00A97C2F">
        <w:t>lovinsko</w:t>
      </w:r>
      <w:r w:rsidRPr="00D97AD9">
        <w:t xml:space="preserve"> (při růstu o 4 body indexu oproti p</w:t>
      </w:r>
      <w:r w:rsidR="0010098F">
        <w:t>růměru EU na úrovni o 2,8 bodu)</w:t>
      </w:r>
      <w:r w:rsidRPr="00D44181">
        <w:rPr>
          <w:vertAlign w:val="superscript"/>
        </w:rPr>
        <w:footnoteReference w:id="13"/>
      </w:r>
      <w:r w:rsidR="0010098F">
        <w:t>.</w:t>
      </w:r>
      <w:r w:rsidRPr="00D97AD9">
        <w:t xml:space="preserve"> Pomalé změny oproti roku 2016 pak zaznamenaly P</w:t>
      </w:r>
      <w:r w:rsidR="00A97C2F">
        <w:t>ortugalsko</w:t>
      </w:r>
      <w:r w:rsidRPr="00D97AD9">
        <w:t xml:space="preserve">, </w:t>
      </w:r>
      <w:r w:rsidR="00A97C2F">
        <w:t>Lotyšsko</w:t>
      </w:r>
      <w:r w:rsidR="00A97C2F" w:rsidRPr="00D97AD9">
        <w:t xml:space="preserve"> </w:t>
      </w:r>
      <w:r w:rsidRPr="00D97AD9">
        <w:t>a </w:t>
      </w:r>
      <w:r w:rsidR="00A97C2F">
        <w:t>Německo</w:t>
      </w:r>
      <w:r w:rsidRPr="00D97AD9">
        <w:t>.</w:t>
      </w:r>
    </w:p>
    <w:p w:rsidR="003D2999" w:rsidRPr="00D97AD9" w:rsidRDefault="003D2999" w:rsidP="003D2999">
      <w:r w:rsidRPr="00D97AD9">
        <w:t xml:space="preserve">ČR svou dynamiku rozvoje digitální ekonomiky potvrzuje také meziročními tempy růstu bodů v indexu DESI. Mezi lety 2015 a 2016 (poslední sledované období) to byl pátý nejvyšší růst mezi zeměmi EU, konkrétně o 3,7 bodu. </w:t>
      </w:r>
    </w:p>
    <w:p w:rsidR="00DF2455" w:rsidRDefault="00DF2455" w:rsidP="00DF2455">
      <w:r w:rsidRPr="000758CA">
        <w:t xml:space="preserve">Zajímavý pohled nabízí srovnání celkového růstu </w:t>
      </w:r>
      <w:r w:rsidR="00794836">
        <w:t>členských států</w:t>
      </w:r>
      <w:r w:rsidRPr="000758CA">
        <w:t xml:space="preserve"> EU28 v rámci DESI indexu za jeho existenci, tzn. mezi lety 2013 až 2016. ČR si nevede špatně s celkově 7. nejvyšším nárůstem, když ji zejména předčili </w:t>
      </w:r>
      <w:r w:rsidR="008012FE">
        <w:t>spíše jen tzv. „digitální tygři</w:t>
      </w:r>
      <w:r w:rsidRPr="000758CA">
        <w:t xml:space="preserve">“ jako jsou Irsko, Estonsko, </w:t>
      </w:r>
      <w:r w:rsidRPr="000758CA">
        <w:lastRenderedPageBreak/>
        <w:t>Španělsko a další (od nejvyššího nárůstu IE 12,13 bodů; EE 11,95; CY 11,43; AT 10,95; ES 10,73; SI 10,22). Digitální tygři se v žebříčku běžně pos</w:t>
      </w:r>
      <w:r w:rsidR="002132E5">
        <w:t>ouva</w:t>
      </w:r>
      <w:r w:rsidRPr="000758CA">
        <w:t>li o 1 až 3 místa dopředu (právě Estonsko a Rakousko se se svou digitální výkoností posouvají mezi ČS nejrychleji, tedy o 3 místa v žebříčku). Tento výsledek ČR je mírně nad průměrem EU28.</w:t>
      </w:r>
    </w:p>
    <w:p w:rsidR="00DF2455" w:rsidRPr="00D97AD9" w:rsidRDefault="00DF2455" w:rsidP="00DF2455">
      <w:r>
        <w:t xml:space="preserve">Celkově by se tak pozice ČR v indexu DESI dala zhodnotit s tím, že sice ČR začínala a stále se pohybuje pod nebo kolem průměru EU, dohání to však relativně dynamickým růstem, který pokud by se ukázal jako stabilní, by mohl pomoci ČR k umístění v první polovině zemí EU. Rozdílné je také hodnocení napříč oblastmi sledovanými DESI indexem, kdy konektivita a lidský kapitál jsou pro ČR hodnoceny </w:t>
      </w:r>
      <w:r w:rsidR="00210922">
        <w:t xml:space="preserve">pozitivně, avšak v oblastech </w:t>
      </w:r>
      <w:proofErr w:type="spellStart"/>
      <w:r w:rsidR="00210922">
        <w:t>eG</w:t>
      </w:r>
      <w:r>
        <w:t>overnment</w:t>
      </w:r>
      <w:proofErr w:type="spellEnd"/>
      <w:r>
        <w:t xml:space="preserve"> či využívání internetu ČR ztrácí oproti většině zemí. </w:t>
      </w:r>
    </w:p>
    <w:p w:rsidR="00DF2455" w:rsidRPr="00D97AD9" w:rsidRDefault="00DF2455" w:rsidP="00DF2455">
      <w:r w:rsidRPr="007A0B0F">
        <w:t>Podrobnější analýza výše zmíněných indikátorů z hlediska jejich vývoje je součástí 4. Zprávy o implementaci Akčního plánu pro rozvoj digitálního trhu.</w:t>
      </w:r>
    </w:p>
    <w:p w:rsidR="007378E1" w:rsidRPr="000D09C6" w:rsidRDefault="003D2999" w:rsidP="000D09C6">
      <w:pPr>
        <w:spacing w:after="200"/>
        <w:jc w:val="left"/>
        <w:rPr>
          <w:rFonts w:eastAsiaTheme="majorEastAsia"/>
          <w:b/>
          <w:bCs/>
          <w:sz w:val="28"/>
          <w:szCs w:val="28"/>
        </w:rPr>
      </w:pPr>
      <w:r w:rsidRPr="00D97AD9">
        <w:br w:type="page"/>
      </w:r>
    </w:p>
    <w:p w:rsidR="008F5D5F" w:rsidRPr="007E4D24" w:rsidRDefault="00D06B79" w:rsidP="007E4D24">
      <w:pPr>
        <w:pStyle w:val="Nadpis1"/>
      </w:pPr>
      <w:bookmarkStart w:id="28" w:name="_Toc491355946"/>
      <w:r w:rsidRPr="007E4D24">
        <w:lastRenderedPageBreak/>
        <w:t xml:space="preserve">ZASTŘEŠUJÍCÍ PRINCIPY A </w:t>
      </w:r>
      <w:r w:rsidR="00077D6F" w:rsidRPr="007E4D24">
        <w:t>PRŮŘEZOVÉ PRIORITY</w:t>
      </w:r>
      <w:bookmarkEnd w:id="28"/>
    </w:p>
    <w:p w:rsidR="00642557" w:rsidRPr="00D97AD9" w:rsidRDefault="00D06B79" w:rsidP="00C95F71">
      <w:r w:rsidRPr="00E87CDB">
        <w:t>Existuje několik</w:t>
      </w:r>
      <w:r w:rsidR="00210922">
        <w:t xml:space="preserve"> </w:t>
      </w:r>
      <w:r w:rsidR="003D2999" w:rsidRPr="00E87CDB">
        <w:t>zastřešující</w:t>
      </w:r>
      <w:r w:rsidRPr="00E87CDB">
        <w:t>ch</w:t>
      </w:r>
      <w:r w:rsidR="003D2999" w:rsidRPr="00E87CDB">
        <w:t xml:space="preserve"> princip</w:t>
      </w:r>
      <w:r w:rsidRPr="00E87CDB">
        <w:t>ů</w:t>
      </w:r>
      <w:r w:rsidR="003D2999" w:rsidRPr="00E87CDB">
        <w:t>, které jsou provázány se všemi aktivitami koordinátora a stojí v jádru celé koordinační činnosti</w:t>
      </w:r>
      <w:r w:rsidRPr="00E87CDB">
        <w:t>. Mezi ně patří</w:t>
      </w:r>
      <w:r w:rsidR="003D2999" w:rsidRPr="00E87CDB">
        <w:t xml:space="preserve">: </w:t>
      </w:r>
      <w:r w:rsidR="00C92308" w:rsidRPr="00E87CDB">
        <w:t>1) Digital by Default, tedy podpora moderní veřejné správy, která prioritně využívá digitálních prostředků komunikace, jak uvnitř mezi jednotlivými úřady, tak navenek při jednání s občany, 2) podpora digitální ekonomiky nastavením takového legislativního prostředí, které podporuje dynamický rozvoj tohoto sektor</w:t>
      </w:r>
      <w:r w:rsidR="001A38A1">
        <w:t>u</w:t>
      </w:r>
      <w:r w:rsidR="00C92308" w:rsidRPr="00E87CDB">
        <w:t xml:space="preserve"> a zároveň nastoluje rovné a spravedlivé podmínky na trhu a chrání práva spotřebitele, 3) snižování administrativní zátěže pro občany a podnikatele, 4) otevřenost veřejné správy, kterou digitální doba dobře umožňuje – zpřístupnění dat veřejnosti nejen napomáhá zvyšování transparentnosti státního aparátu, ale rovněž podporuje rozvoj inovací, které staví na otevřených datech státu.</w:t>
      </w:r>
      <w:r w:rsidR="007470D6" w:rsidRPr="00E87CDB">
        <w:t xml:space="preserve"> Další</w:t>
      </w:r>
      <w:r w:rsidR="00074BCF">
        <w:t>m</w:t>
      </w:r>
      <w:r w:rsidR="007470D6" w:rsidRPr="00E87CDB">
        <w:t xml:space="preserve"> důležitý</w:t>
      </w:r>
      <w:r w:rsidRPr="00E87CDB">
        <w:t>m</w:t>
      </w:r>
      <w:r w:rsidR="007470D6" w:rsidRPr="00E87CDB">
        <w:t xml:space="preserve"> princip</w:t>
      </w:r>
      <w:r w:rsidRPr="00E87CDB">
        <w:t>em</w:t>
      </w:r>
      <w:r w:rsidR="007470D6" w:rsidRPr="00E87CDB">
        <w:t xml:space="preserve"> je </w:t>
      </w:r>
      <w:r w:rsidRPr="00E87CDB">
        <w:t xml:space="preserve">5) </w:t>
      </w:r>
      <w:r w:rsidR="007470D6" w:rsidRPr="00E87CDB">
        <w:t xml:space="preserve">zajišťování souladu mezi národní implementací digitální agendy a tvorbou </w:t>
      </w:r>
      <w:r w:rsidR="006071F4" w:rsidRPr="00E87CDB">
        <w:t>a prosazování</w:t>
      </w:r>
      <w:r w:rsidR="00074BCF">
        <w:t>m</w:t>
      </w:r>
      <w:r w:rsidR="006071F4" w:rsidRPr="00E87CDB">
        <w:t xml:space="preserve"> </w:t>
      </w:r>
      <w:r w:rsidR="001362B0">
        <w:t>pozic České republiky v rámci</w:t>
      </w:r>
      <w:r w:rsidR="007470D6" w:rsidRPr="00E87CDB">
        <w:t xml:space="preserve"> relevantních jednání na úrovni</w:t>
      </w:r>
      <w:r w:rsidR="000A5106" w:rsidRPr="00E87CDB">
        <w:t xml:space="preserve"> EU</w:t>
      </w:r>
      <w:r w:rsidR="007470D6" w:rsidRPr="00E87CDB">
        <w:t>.</w:t>
      </w:r>
    </w:p>
    <w:p w:rsidR="00376464" w:rsidRPr="00AD2BE4" w:rsidRDefault="00EB7FB7" w:rsidP="00C95F71">
      <w:r>
        <w:t xml:space="preserve">Vedle obecných zastřešujících principů koordinace stojí také průřezové priority, které se prolínají všemi pilíři Společnosti 4.0. </w:t>
      </w:r>
      <w:r w:rsidR="00402127">
        <w:t xml:space="preserve">Právě tyto priority spolu s koordinací digitální agendy jako takové stojí v centru aktivit koordinátora. </w:t>
      </w:r>
      <w:r>
        <w:t xml:space="preserve">Konkrétně se jedná o podporu politiky jednotného digitálního trhu v Evropě </w:t>
      </w:r>
      <w:r w:rsidR="008327BA">
        <w:t xml:space="preserve">a koordinaci prosazování zájmů České republiky v této oblasti na evropské úrovni </w:t>
      </w:r>
      <w:r>
        <w:t xml:space="preserve">a </w:t>
      </w:r>
      <w:r w:rsidR="00402127">
        <w:t xml:space="preserve">tvorbu </w:t>
      </w:r>
      <w:r>
        <w:t>přívětivého legislativního prostředí</w:t>
      </w:r>
      <w:r w:rsidR="00402127">
        <w:t xml:space="preserve"> pro rozvoj digitální ekonomiky.</w:t>
      </w:r>
    </w:p>
    <w:p w:rsidR="00AD2BE4" w:rsidRPr="007E4D24" w:rsidRDefault="008F5D5F" w:rsidP="007B1E57">
      <w:pPr>
        <w:pStyle w:val="Nadpis3"/>
      </w:pPr>
      <w:bookmarkStart w:id="29" w:name="_Toc491355947"/>
      <w:r w:rsidRPr="007E4D24">
        <w:t>Podpora politiky jednotného digitálního trhu v Evropě</w:t>
      </w:r>
      <w:bookmarkEnd w:id="29"/>
    </w:p>
    <w:p w:rsidR="008F5D5F" w:rsidRPr="00E96D7E" w:rsidRDefault="008F5D5F" w:rsidP="008F5D5F">
      <w:pPr>
        <w:spacing w:after="200"/>
        <w:rPr>
          <w:rFonts w:eastAsia="Times New Roman"/>
          <w:szCs w:val="22"/>
        </w:rPr>
      </w:pPr>
      <w:r w:rsidRPr="00E96D7E">
        <w:rPr>
          <w:rFonts w:eastAsia="Times New Roman"/>
          <w:szCs w:val="22"/>
        </w:rPr>
        <w:t>První z průřezových priorit</w:t>
      </w:r>
      <w:r w:rsidR="00402127" w:rsidRPr="00E96D7E">
        <w:rPr>
          <w:rFonts w:eastAsia="Times New Roman"/>
          <w:szCs w:val="22"/>
        </w:rPr>
        <w:t xml:space="preserve"> </w:t>
      </w:r>
      <w:r w:rsidRPr="00E96D7E">
        <w:rPr>
          <w:rFonts w:eastAsia="Times New Roman"/>
          <w:szCs w:val="22"/>
        </w:rPr>
        <w:t>je koordinace pozic ČR k průřezovým tématům jednotného digitálního trhu v EU. Tímto je zajištěn jednotný postup České republiky k digitální agendě na národní i evropské úrovni. Koordinátor digitální agendy je přímo odpovědný za koordinac</w:t>
      </w:r>
      <w:r w:rsidR="00074BCF">
        <w:rPr>
          <w:rFonts w:eastAsia="Times New Roman"/>
          <w:szCs w:val="22"/>
        </w:rPr>
        <w:t>i</w:t>
      </w:r>
      <w:r w:rsidRPr="00E96D7E">
        <w:rPr>
          <w:rFonts w:eastAsia="Times New Roman"/>
          <w:szCs w:val="22"/>
        </w:rPr>
        <w:t xml:space="preserve"> pozice ČR </w:t>
      </w:r>
      <w:r w:rsidR="009D3796" w:rsidRPr="00E96D7E">
        <w:rPr>
          <w:rFonts w:eastAsia="Times New Roman"/>
          <w:szCs w:val="22"/>
        </w:rPr>
        <w:t xml:space="preserve">k tématům jednotného digitálního trhu, které nespadají do kompetence žádného z ministerstev. Konkrétně se jedná například o </w:t>
      </w:r>
      <w:r w:rsidRPr="00E96D7E">
        <w:rPr>
          <w:rFonts w:eastAsia="Times New Roman"/>
          <w:szCs w:val="22"/>
        </w:rPr>
        <w:t>vydávan</w:t>
      </w:r>
      <w:r w:rsidR="009D3796" w:rsidRPr="00E96D7E">
        <w:rPr>
          <w:rFonts w:eastAsia="Times New Roman"/>
          <w:szCs w:val="22"/>
        </w:rPr>
        <w:t>é</w:t>
      </w:r>
      <w:r w:rsidRPr="00E96D7E">
        <w:rPr>
          <w:rFonts w:eastAsia="Times New Roman"/>
          <w:szCs w:val="22"/>
        </w:rPr>
        <w:t xml:space="preserve"> přezkum</w:t>
      </w:r>
      <w:r w:rsidR="009D3796" w:rsidRPr="00E96D7E">
        <w:rPr>
          <w:rFonts w:eastAsia="Times New Roman"/>
          <w:szCs w:val="22"/>
        </w:rPr>
        <w:t>y</w:t>
      </w:r>
      <w:r w:rsidRPr="00E96D7E">
        <w:rPr>
          <w:rFonts w:eastAsia="Times New Roman"/>
          <w:szCs w:val="22"/>
        </w:rPr>
        <w:t xml:space="preserve"> a vyhodnocování naplňování Strategie pro jednotný digitální trh v Evropě. Vzhledem ke komplexnosti a horizontálnímu charakteru tématu je také </w:t>
      </w:r>
      <w:r w:rsidR="009D3796" w:rsidRPr="00E96D7E">
        <w:rPr>
          <w:rFonts w:eastAsia="Times New Roman"/>
          <w:szCs w:val="22"/>
        </w:rPr>
        <w:t xml:space="preserve">obecně </w:t>
      </w:r>
      <w:r w:rsidRPr="00E96D7E">
        <w:rPr>
          <w:rFonts w:eastAsia="Times New Roman"/>
          <w:szCs w:val="22"/>
        </w:rPr>
        <w:t xml:space="preserve">odpovědný za </w:t>
      </w:r>
      <w:r w:rsidR="009D3796" w:rsidRPr="00E96D7E">
        <w:rPr>
          <w:rFonts w:eastAsia="Times New Roman"/>
          <w:szCs w:val="22"/>
        </w:rPr>
        <w:t xml:space="preserve">koordinaci vzhledem k oblasti </w:t>
      </w:r>
      <w:r w:rsidRPr="00E96D7E">
        <w:rPr>
          <w:rFonts w:eastAsia="Times New Roman"/>
          <w:szCs w:val="22"/>
        </w:rPr>
        <w:t xml:space="preserve">datové ekonomiky a volného toku dat. I díky jeho úsilí a tlaku se Komise v rámci vydaného přezkumu Strategie pro jednotný digitální trh v květnu 2017 </w:t>
      </w:r>
      <w:r w:rsidR="009D3796" w:rsidRPr="00E96D7E">
        <w:rPr>
          <w:rFonts w:eastAsia="Times New Roman"/>
          <w:szCs w:val="22"/>
        </w:rPr>
        <w:t xml:space="preserve">například </w:t>
      </w:r>
      <w:r w:rsidRPr="00E96D7E">
        <w:rPr>
          <w:rFonts w:eastAsia="Times New Roman"/>
          <w:szCs w:val="22"/>
        </w:rPr>
        <w:t xml:space="preserve">zavázala, že k tématu volného toku dat a lokalizace dat vydá během podzimu 2017 legislativní návrh. Ten by měl zabránit vytváření digitálních hranic mezi státy a podpořit rozvoj evropské datové ekonomiky, inovativního prostředí a moderní státní správy. Vyjednávání nové evropské legislativy k tomuto tématu </w:t>
      </w:r>
      <w:r w:rsidR="009D3796" w:rsidRPr="00E96D7E">
        <w:rPr>
          <w:rFonts w:eastAsia="Times New Roman"/>
          <w:szCs w:val="22"/>
        </w:rPr>
        <w:t xml:space="preserve">ve spolupráci s jednotlivými resorty státní správy </w:t>
      </w:r>
      <w:r w:rsidRPr="00E96D7E">
        <w:rPr>
          <w:rFonts w:eastAsia="Times New Roman"/>
          <w:szCs w:val="22"/>
        </w:rPr>
        <w:t>tak bude jednou z důležitých činností koordinátora do budoucna.</w:t>
      </w:r>
    </w:p>
    <w:p w:rsidR="008F5D5F" w:rsidRPr="00E96D7E" w:rsidRDefault="00376464" w:rsidP="007E4D24">
      <w:pPr>
        <w:pStyle w:val="Plnovanopaten"/>
      </w:pPr>
      <w:r>
        <w:t>Plánovaná opatření</w:t>
      </w:r>
    </w:p>
    <w:p w:rsidR="008F5D5F" w:rsidRPr="00C95F71" w:rsidRDefault="008F5D5F" w:rsidP="00C95F71">
      <w:pPr>
        <w:pStyle w:val="NOPrezovpriority"/>
        <w:rPr>
          <w:b w:val="0"/>
          <w:i/>
        </w:rPr>
      </w:pPr>
      <w:r w:rsidRPr="006A2ACC">
        <w:t>Podporovat politiku jednotného digitálního trhu</w:t>
      </w:r>
      <w:r w:rsidR="0057440B" w:rsidRPr="006A2ACC">
        <w:t>.</w:t>
      </w:r>
      <w:r w:rsidRPr="006A2ACC">
        <w:t xml:space="preserve"> </w:t>
      </w:r>
      <w:r w:rsidRPr="00C95F71">
        <w:rPr>
          <w:b w:val="0"/>
          <w:i/>
        </w:rPr>
        <w:t>Termín: průběžně, gestor: koordinátor ve spolupráci s ÚV a resorty</w:t>
      </w:r>
      <w:r w:rsidR="007E4D24" w:rsidRPr="00C95F71">
        <w:rPr>
          <w:b w:val="0"/>
          <w:i/>
        </w:rPr>
        <w:t>.</w:t>
      </w:r>
    </w:p>
    <w:p w:rsidR="00317749" w:rsidRDefault="008F5D5F" w:rsidP="008F5D5F">
      <w:pPr>
        <w:rPr>
          <w:szCs w:val="22"/>
        </w:rPr>
      </w:pPr>
      <w:r w:rsidRPr="00E96D7E">
        <w:rPr>
          <w:szCs w:val="22"/>
        </w:rPr>
        <w:t xml:space="preserve">ČR dlouhodobě podporuje budování funkčního jednotného digitálního trhu, který je předpokladem rozvoje digitální ekonomiky v EU. Oblast digitální agendy je prioritou také v rámci skupiny stejně smýšlejících států (LMG), </w:t>
      </w:r>
      <w:r w:rsidR="00AA0235">
        <w:rPr>
          <w:szCs w:val="22"/>
        </w:rPr>
        <w:t>jíž</w:t>
      </w:r>
      <w:r w:rsidRPr="00E96D7E">
        <w:rPr>
          <w:szCs w:val="22"/>
        </w:rPr>
        <w:t xml:space="preserve"> je ČR členem. Role koordinátora digitální agendy je koordinovat pozice ČR k průřezovým tématům DSM</w:t>
      </w:r>
      <w:r w:rsidR="00040DE3" w:rsidRPr="00E96D7E">
        <w:rPr>
          <w:szCs w:val="22"/>
        </w:rPr>
        <w:t xml:space="preserve"> a DSM obecně</w:t>
      </w:r>
      <w:r w:rsidRPr="00E96D7E">
        <w:rPr>
          <w:szCs w:val="22"/>
        </w:rPr>
        <w:t xml:space="preserve">. </w:t>
      </w:r>
      <w:r w:rsidR="00040DE3" w:rsidRPr="00E96D7E">
        <w:rPr>
          <w:szCs w:val="22"/>
        </w:rPr>
        <w:t xml:space="preserve">Průřezových </w:t>
      </w:r>
      <w:r w:rsidRPr="00E96D7E">
        <w:rPr>
          <w:szCs w:val="22"/>
        </w:rPr>
        <w:t xml:space="preserve">témat </w:t>
      </w:r>
      <w:r w:rsidR="00040DE3" w:rsidRPr="00E96D7E">
        <w:rPr>
          <w:szCs w:val="22"/>
        </w:rPr>
        <w:t xml:space="preserve">DSM </w:t>
      </w:r>
      <w:r w:rsidRPr="00E96D7E">
        <w:rPr>
          <w:szCs w:val="22"/>
        </w:rPr>
        <w:t xml:space="preserve">se vyskytuje v prostředí digitální ekonomiky čím dál víc, patří mezi ně například </w:t>
      </w:r>
      <w:r w:rsidRPr="00E96D7E">
        <w:rPr>
          <w:szCs w:val="22"/>
        </w:rPr>
        <w:lastRenderedPageBreak/>
        <w:t>Strategie pro jednotný digitální trh v Evropě a její průběžná vyhodnocování či oblast datové ekonomiky. Koordinátor má v gesci strategické debaty k politice DSM</w:t>
      </w:r>
      <w:r w:rsidR="00AA0235">
        <w:rPr>
          <w:szCs w:val="22"/>
        </w:rPr>
        <w:t xml:space="preserve"> obecně</w:t>
      </w:r>
      <w:r w:rsidRPr="00E96D7E">
        <w:rPr>
          <w:szCs w:val="22"/>
        </w:rPr>
        <w:t>. Další evropské legislativní i nelegislativní iniciativy jsou v gesci jednotlivých resortů a koordinátor se zapojuje do přípravy</w:t>
      </w:r>
      <w:r w:rsidR="00040DE3" w:rsidRPr="00E96D7E">
        <w:rPr>
          <w:szCs w:val="22"/>
        </w:rPr>
        <w:t>,</w:t>
      </w:r>
      <w:r w:rsidRPr="00E96D7E">
        <w:rPr>
          <w:szCs w:val="22"/>
        </w:rPr>
        <w:t xml:space="preserve"> konzultace </w:t>
      </w:r>
      <w:r w:rsidR="00040DE3" w:rsidRPr="00E96D7E">
        <w:rPr>
          <w:szCs w:val="22"/>
        </w:rPr>
        <w:t xml:space="preserve">a koordinace </w:t>
      </w:r>
      <w:r w:rsidRPr="00E96D7E">
        <w:rPr>
          <w:szCs w:val="22"/>
        </w:rPr>
        <w:t>příslušných pozic České republiky. Mezi takové iniciativy patří například návrhy k revizi autorskoprávního rámce</w:t>
      </w:r>
      <w:r w:rsidR="00440572">
        <w:rPr>
          <w:rStyle w:val="Znakapoznpodarou"/>
          <w:szCs w:val="22"/>
        </w:rPr>
        <w:footnoteReference w:id="14"/>
      </w:r>
      <w:r w:rsidR="00040DE3" w:rsidRPr="00E96D7E">
        <w:rPr>
          <w:szCs w:val="22"/>
        </w:rPr>
        <w:t xml:space="preserve"> (gesce MK)</w:t>
      </w:r>
      <w:r w:rsidRPr="00E96D7E">
        <w:rPr>
          <w:szCs w:val="22"/>
        </w:rPr>
        <w:t>, telekomunikačního rámce</w:t>
      </w:r>
      <w:r w:rsidR="00440572">
        <w:rPr>
          <w:rStyle w:val="Znakapoznpodarou"/>
          <w:szCs w:val="22"/>
        </w:rPr>
        <w:footnoteReference w:id="15"/>
      </w:r>
      <w:r w:rsidR="00040DE3" w:rsidRPr="00E96D7E">
        <w:rPr>
          <w:szCs w:val="22"/>
        </w:rPr>
        <w:t xml:space="preserve"> (gesce MPO)</w:t>
      </w:r>
      <w:r w:rsidRPr="00E96D7E">
        <w:rPr>
          <w:szCs w:val="22"/>
        </w:rPr>
        <w:t>, směrnice o audiovizuálních mediálních službách</w:t>
      </w:r>
      <w:r w:rsidR="009D66E6">
        <w:rPr>
          <w:rStyle w:val="Znakapoznpodarou"/>
          <w:szCs w:val="22"/>
        </w:rPr>
        <w:footnoteReference w:id="16"/>
      </w:r>
      <w:r w:rsidR="00040DE3" w:rsidRPr="00E96D7E">
        <w:rPr>
          <w:szCs w:val="22"/>
        </w:rPr>
        <w:t xml:space="preserve"> (gesce MK)</w:t>
      </w:r>
      <w:r w:rsidRPr="00E96D7E">
        <w:rPr>
          <w:szCs w:val="22"/>
        </w:rPr>
        <w:t xml:space="preserve">, </w:t>
      </w:r>
      <w:r w:rsidR="00D96014">
        <w:rPr>
          <w:szCs w:val="22"/>
        </w:rPr>
        <w:t>nařízení</w:t>
      </w:r>
      <w:r w:rsidR="00D96014" w:rsidRPr="00E96D7E">
        <w:rPr>
          <w:szCs w:val="22"/>
        </w:rPr>
        <w:t xml:space="preserve"> </w:t>
      </w:r>
      <w:r w:rsidRPr="00E96D7E">
        <w:rPr>
          <w:szCs w:val="22"/>
        </w:rPr>
        <w:t xml:space="preserve">o soukromí </w:t>
      </w:r>
      <w:r w:rsidR="00074BCF">
        <w:rPr>
          <w:szCs w:val="22"/>
        </w:rPr>
        <w:t>a</w:t>
      </w:r>
      <w:r w:rsidRPr="00E96D7E">
        <w:rPr>
          <w:szCs w:val="22"/>
        </w:rPr>
        <w:t xml:space="preserve"> elektronických komunikacích</w:t>
      </w:r>
      <w:r w:rsidR="009D66E6">
        <w:rPr>
          <w:rStyle w:val="Znakapoznpodarou"/>
          <w:szCs w:val="22"/>
        </w:rPr>
        <w:footnoteReference w:id="17"/>
      </w:r>
      <w:r w:rsidR="00040DE3" w:rsidRPr="00E96D7E">
        <w:rPr>
          <w:szCs w:val="22"/>
        </w:rPr>
        <w:t xml:space="preserve"> (gesce MPO)</w:t>
      </w:r>
      <w:r w:rsidRPr="00E96D7E">
        <w:rPr>
          <w:szCs w:val="22"/>
        </w:rPr>
        <w:t>,</w:t>
      </w:r>
      <w:r w:rsidR="00040DE3" w:rsidRPr="00E96D7E">
        <w:rPr>
          <w:szCs w:val="22"/>
        </w:rPr>
        <w:t xml:space="preserve"> projekt Jednotné digitální brány (gesce MPO)</w:t>
      </w:r>
      <w:r w:rsidR="00440572">
        <w:rPr>
          <w:rStyle w:val="Znakapoznpodarou"/>
          <w:szCs w:val="22"/>
        </w:rPr>
        <w:footnoteReference w:id="18"/>
      </w:r>
      <w:r w:rsidR="00040DE3" w:rsidRPr="00E96D7E">
        <w:rPr>
          <w:szCs w:val="22"/>
        </w:rPr>
        <w:t>,</w:t>
      </w:r>
      <w:r w:rsidRPr="00E96D7E">
        <w:rPr>
          <w:szCs w:val="22"/>
        </w:rPr>
        <w:t xml:space="preserve"> </w:t>
      </w:r>
      <w:r w:rsidR="00040DE3" w:rsidRPr="00E96D7E">
        <w:rPr>
          <w:szCs w:val="22"/>
        </w:rPr>
        <w:t>evropské iniciativy v souvislosti s </w:t>
      </w:r>
      <w:proofErr w:type="spellStart"/>
      <w:r w:rsidR="00210922">
        <w:rPr>
          <w:szCs w:val="22"/>
        </w:rPr>
        <w:t>e</w:t>
      </w:r>
      <w:r w:rsidR="00196B06">
        <w:rPr>
          <w:szCs w:val="22"/>
        </w:rPr>
        <w:t>Government</w:t>
      </w:r>
      <w:r w:rsidR="00040DE3" w:rsidRPr="00E96D7E">
        <w:rPr>
          <w:szCs w:val="22"/>
        </w:rPr>
        <w:t>em</w:t>
      </w:r>
      <w:proofErr w:type="spellEnd"/>
      <w:r w:rsidR="00440572">
        <w:rPr>
          <w:rStyle w:val="Znakapoznpodarou"/>
          <w:szCs w:val="22"/>
        </w:rPr>
        <w:footnoteReference w:id="19"/>
      </w:r>
      <w:r w:rsidR="00040DE3" w:rsidRPr="00E96D7E">
        <w:rPr>
          <w:szCs w:val="22"/>
        </w:rPr>
        <w:t xml:space="preserve"> (gesce MV), </w:t>
      </w:r>
      <w:r w:rsidR="00D927F0" w:rsidRPr="00E96D7E">
        <w:rPr>
          <w:szCs w:val="22"/>
        </w:rPr>
        <w:t>návrhy týkající se určitých aspektů elektronického obchodování</w:t>
      </w:r>
      <w:r w:rsidR="00440572">
        <w:rPr>
          <w:rStyle w:val="Znakapoznpodarou"/>
          <w:szCs w:val="22"/>
        </w:rPr>
        <w:footnoteReference w:id="20"/>
      </w:r>
      <w:r w:rsidR="00D927F0" w:rsidRPr="00E96D7E">
        <w:rPr>
          <w:szCs w:val="22"/>
        </w:rPr>
        <w:t xml:space="preserve"> (gesce MPO a MF), aktivity v oblasti kybernetické bez</w:t>
      </w:r>
      <w:r w:rsidR="00210922">
        <w:rPr>
          <w:szCs w:val="22"/>
        </w:rPr>
        <w:t>p</w:t>
      </w:r>
      <w:r w:rsidR="00D927F0" w:rsidRPr="00E96D7E">
        <w:rPr>
          <w:szCs w:val="22"/>
        </w:rPr>
        <w:t>ečnosti</w:t>
      </w:r>
      <w:r w:rsidR="00440572">
        <w:rPr>
          <w:rStyle w:val="Znakapoznpodarou"/>
          <w:szCs w:val="22"/>
        </w:rPr>
        <w:footnoteReference w:id="21"/>
      </w:r>
      <w:r w:rsidR="00D927F0" w:rsidRPr="00E96D7E">
        <w:rPr>
          <w:szCs w:val="22"/>
        </w:rPr>
        <w:t xml:space="preserve"> (gesce MV a </w:t>
      </w:r>
      <w:r w:rsidR="00C75487">
        <w:rPr>
          <w:szCs w:val="22"/>
        </w:rPr>
        <w:t>NÚKIB</w:t>
      </w:r>
      <w:r w:rsidR="00D927F0" w:rsidRPr="00E96D7E">
        <w:rPr>
          <w:szCs w:val="22"/>
        </w:rPr>
        <w:t xml:space="preserve">), </w:t>
      </w:r>
      <w:r w:rsidRPr="00E96D7E">
        <w:rPr>
          <w:szCs w:val="22"/>
        </w:rPr>
        <w:t>apod. Snahou ČR obecně v souvislosti s výše zmíněnými oblastmi bude zajištění bezpečnosti a ochrany práv spotřebitelů a tvůrců obsahu, a zároveň nastavením tržního prostředí, které bude podporovat inovace.</w:t>
      </w:r>
      <w:r w:rsidR="005778AC" w:rsidRPr="00E96D7E">
        <w:rPr>
          <w:szCs w:val="22"/>
        </w:rPr>
        <w:t xml:space="preserve"> </w:t>
      </w:r>
    </w:p>
    <w:p w:rsidR="00B904BD" w:rsidRDefault="00317749" w:rsidP="00402FF3">
      <w:pPr>
        <w:pStyle w:val="NOPrezovpriority"/>
        <w:rPr>
          <w:i/>
        </w:rPr>
      </w:pPr>
      <w:r w:rsidRPr="00317749">
        <w:t>Koordinovat vyjednávací pozice České republiky k oblasti evropské datové ekonomiky</w:t>
      </w:r>
      <w:r w:rsidR="005346C1">
        <w:t>.</w:t>
      </w:r>
      <w:r w:rsidRPr="00317749">
        <w:t xml:space="preserve"> </w:t>
      </w:r>
      <w:r w:rsidRPr="00C95F71">
        <w:rPr>
          <w:b w:val="0"/>
          <w:i/>
        </w:rPr>
        <w:t>Termín: průběžně, gestor: koordinátor, resorty</w:t>
      </w:r>
      <w:r w:rsidR="005346C1" w:rsidRPr="00C95F71">
        <w:rPr>
          <w:b w:val="0"/>
          <w:i/>
        </w:rPr>
        <w:t>.</w:t>
      </w:r>
    </w:p>
    <w:p w:rsidR="0063737F" w:rsidRPr="00E96D7E" w:rsidRDefault="00B13EF6" w:rsidP="0063737F">
      <w:pPr>
        <w:rPr>
          <w:i/>
          <w:szCs w:val="22"/>
        </w:rPr>
      </w:pPr>
      <w:r w:rsidRPr="00E96D7E">
        <w:rPr>
          <w:szCs w:val="22"/>
        </w:rPr>
        <w:t xml:space="preserve">Co se týče výše zmíněné oblasti datové ekonomiky, </w:t>
      </w:r>
      <w:r w:rsidR="005778AC" w:rsidRPr="00E96D7E">
        <w:rPr>
          <w:szCs w:val="22"/>
        </w:rPr>
        <w:t>Evropská komise v lednu 2017 vydala sdělení „Budování evropské ekonomiky založené na datech</w:t>
      </w:r>
      <w:r w:rsidR="005A24E3">
        <w:rPr>
          <w:szCs w:val="22"/>
        </w:rPr>
        <w:t>“</w:t>
      </w:r>
      <w:r w:rsidR="00CD1E70" w:rsidRPr="00E96D7E">
        <w:rPr>
          <w:szCs w:val="22"/>
        </w:rPr>
        <w:t xml:space="preserve">. </w:t>
      </w:r>
      <w:r w:rsidR="008F5D5F" w:rsidRPr="00E96D7E">
        <w:rPr>
          <w:szCs w:val="22"/>
        </w:rPr>
        <w:t>V rámci tohoto sdělení představila iniciativu k volnému toku dat. Iniciativa se zabývá především bezdůvodnými omezeními v souvislosti s požadavky na lokalizaci dat</w:t>
      </w:r>
      <w:r w:rsidR="00440572">
        <w:rPr>
          <w:rStyle w:val="Znakapoznpodarou"/>
          <w:szCs w:val="22"/>
        </w:rPr>
        <w:footnoteReference w:id="22"/>
      </w:r>
      <w:r w:rsidR="008F5D5F" w:rsidRPr="00E96D7E">
        <w:rPr>
          <w:szCs w:val="22"/>
        </w:rPr>
        <w:t xml:space="preserve">. Tato oblast je také diskutována v rámci skupiny stejně smýšlejících států, která ji považuje za klíčovou podmínku pro rozvoj digitální ekonomiky v EU.  Koordinátor vyjednával tvorbu rámcové pozice ČR k tématům sdělení a konzultoval téma volného toku dat s hospodářskými a sociálními partnery. Vyjednával také přípravu pozičních dokumentů v rámci skupiny stejně smýšlejících států. Po boku partnerských zemí a v souladu se schválenou pozicí přispěl k tomu, že se Komise zavázala do podzimu 2017 připravit legislativní návrh k volnému toku dat. Příslušné resorty ve spolupráci s koordinátorem připraví oficiální pozici k avizovanému legislativnímu </w:t>
      </w:r>
      <w:r w:rsidR="00D61D74">
        <w:rPr>
          <w:szCs w:val="22"/>
        </w:rPr>
        <w:t>návrhu, jakmile ho Komise vydá.</w:t>
      </w:r>
      <w:r w:rsidR="00D61D74" w:rsidRPr="00E96D7E">
        <w:rPr>
          <w:szCs w:val="22"/>
        </w:rPr>
        <w:t xml:space="preserve"> V souladu se svou dlouhodobou pozicí ČR obecně podpoří princip volného toku dat v rámci EU a opatření, která by efektivně zamezila neoprávněným a nepřiměřeným lokalizačním požadavkům. </w:t>
      </w:r>
      <w:r w:rsidR="00617A4E">
        <w:rPr>
          <w:szCs w:val="22"/>
        </w:rPr>
        <w:t xml:space="preserve">Lokalizace je z pohledu ČR oprávněna pouze z důvodu obrany a národní bezpečnosti či v případě dat spravovaných orgány činnými v trestním řízení. </w:t>
      </w:r>
      <w:r w:rsidR="00D61D74" w:rsidRPr="00E96D7E">
        <w:rPr>
          <w:szCs w:val="22"/>
        </w:rPr>
        <w:t>Konkrétní pozice se nicméně bude odvíjet o</w:t>
      </w:r>
      <w:r w:rsidR="005A24E3">
        <w:rPr>
          <w:szCs w:val="22"/>
        </w:rPr>
        <w:t xml:space="preserve">d obsahu legislativního návrhu. </w:t>
      </w:r>
      <w:r w:rsidR="008F5D5F" w:rsidRPr="00E96D7E">
        <w:rPr>
          <w:szCs w:val="22"/>
        </w:rPr>
        <w:t xml:space="preserve">ČR bude také i nadále aktivně vyjednávat společné pozice v rámci skupiny stejně smýšlejících států. </w:t>
      </w:r>
      <w:r w:rsidR="00617A4E" w:rsidRPr="00E96D7E">
        <w:rPr>
          <w:szCs w:val="22"/>
        </w:rPr>
        <w:t>ČR bude rovněž podporovat zahrnutí problematiky volného toku dat do mezinárodních smluv, které vyjednává EU se třetími zeměmi</w:t>
      </w:r>
      <w:r w:rsidR="00617A4E">
        <w:rPr>
          <w:szCs w:val="22"/>
        </w:rPr>
        <w:t>, bude-li to v zájmu ČR</w:t>
      </w:r>
      <w:r w:rsidR="00617A4E" w:rsidRPr="00E96D7E">
        <w:rPr>
          <w:szCs w:val="22"/>
        </w:rPr>
        <w:t xml:space="preserve">. </w:t>
      </w:r>
    </w:p>
    <w:p w:rsidR="0030692B" w:rsidRDefault="008F5D5F" w:rsidP="00164B7E">
      <w:r w:rsidRPr="00E96D7E">
        <w:lastRenderedPageBreak/>
        <w:t xml:space="preserve">Kromě výše zmíněné iniciativy k volnému toku dat obsahuje další politické a právní kroky, které mají nastartovat evropskou datovou ekonomiku. Datový potenciál vnitřního trhu totiž v současnosti podle Komise není plně využit. Má-li se to změnit, musí se odstranit neodůvodněná omezení volného pohybu dat přes hranice a právní nejistota v několika oblastech. Sdělení se s tímto cílem soustředí na témata přístupu a předávání v souvislosti s daty generovanými stroji; odpovědnost a bezpečnost v kontextu vznikajících technologií; a přenositelnost jiných než osobních údajů, interoperabilitu a normy. Pozice ČR bude podporovat vyváženost mezi zajištěním bezpečnosti a ochrany práv spotřebitelů a zároveň nastavením tržního prostředí, které bude podporovat inovace. </w:t>
      </w:r>
      <w:r w:rsidR="00E1078B">
        <w:rPr>
          <w:szCs w:val="22"/>
        </w:rPr>
        <w:t>Pozice bude i nadále konzultována s hospodářskými a sociálními partnery.</w:t>
      </w:r>
    </w:p>
    <w:p w:rsidR="00E91E8E" w:rsidRPr="00376464" w:rsidRDefault="0099289D" w:rsidP="007B1E57">
      <w:pPr>
        <w:pStyle w:val="Nadpis3"/>
      </w:pPr>
      <w:bookmarkStart w:id="30" w:name="_Toc491355948"/>
      <w:r w:rsidRPr="00E91E8E">
        <w:t xml:space="preserve">Digitálně přívětivé právní </w:t>
      </w:r>
      <w:r w:rsidR="0065778C" w:rsidRPr="00E91E8E">
        <w:t xml:space="preserve">a legislativní </w:t>
      </w:r>
      <w:r w:rsidRPr="00E91E8E">
        <w:t>prostředí</w:t>
      </w:r>
      <w:bookmarkEnd w:id="30"/>
    </w:p>
    <w:p w:rsidR="00AE0896" w:rsidRPr="00AE0896" w:rsidRDefault="00AE0896" w:rsidP="00AE0896">
      <w:r w:rsidRPr="00603513">
        <w:t>Digitální doba zanechává svou stopu snad ve všech sférách dnešní společnosti, a proto je nutné zohledňovat narůstající vliv digitálních technologií na náš život i při legislativním procesu</w:t>
      </w:r>
      <w:r w:rsidR="0065778C">
        <w:t xml:space="preserve"> a obecně v nastavení právního prostředí</w:t>
      </w:r>
      <w:r>
        <w:t>.</w:t>
      </w:r>
      <w:r w:rsidR="006C057D">
        <w:t xml:space="preserve"> Druhou průřezovou prioritou </w:t>
      </w:r>
      <w:r w:rsidRPr="00603513">
        <w:t xml:space="preserve">je </w:t>
      </w:r>
      <w:r>
        <w:t>tak</w:t>
      </w:r>
      <w:r w:rsidR="0065778C">
        <w:t xml:space="preserve"> právě</w:t>
      </w:r>
      <w:r>
        <w:t xml:space="preserve"> dosažení digitálně přívětivého právního </w:t>
      </w:r>
      <w:r w:rsidR="0065778C">
        <w:t xml:space="preserve">a legislativního </w:t>
      </w:r>
      <w:r>
        <w:t xml:space="preserve">prostředí. Obecným cílem je </w:t>
      </w:r>
      <w:r w:rsidRPr="00603513">
        <w:t>vytvoř</w:t>
      </w:r>
      <w:r>
        <w:t>it</w:t>
      </w:r>
      <w:r w:rsidRPr="00603513">
        <w:t xml:space="preserve"> vhodné podmínky pro rozvoj digitální agendy a šířeji budování Společnosti 4.0</w:t>
      </w:r>
      <w:r>
        <w:t xml:space="preserve"> v naší zemi.</w:t>
      </w:r>
      <w:r w:rsidRPr="00603513">
        <w:t xml:space="preserve"> </w:t>
      </w:r>
    </w:p>
    <w:p w:rsidR="0065778C" w:rsidRDefault="003D2999" w:rsidP="00376464">
      <w:pPr>
        <w:rPr>
          <w:rFonts w:eastAsia="Times New Roman"/>
          <w:szCs w:val="22"/>
        </w:rPr>
      </w:pPr>
      <w:r w:rsidRPr="00603513">
        <w:rPr>
          <w:rFonts w:eastAsia="Times New Roman"/>
          <w:szCs w:val="22"/>
        </w:rPr>
        <w:t>Ve spolupráci</w:t>
      </w:r>
      <w:r w:rsidRPr="00D97AD9">
        <w:rPr>
          <w:rFonts w:eastAsia="Times New Roman"/>
          <w:szCs w:val="22"/>
        </w:rPr>
        <w:t xml:space="preserve"> s partnery </w:t>
      </w:r>
      <w:r w:rsidR="00D44181">
        <w:rPr>
          <w:rFonts w:eastAsia="Times New Roman"/>
          <w:szCs w:val="22"/>
        </w:rPr>
        <w:t>Ú</w:t>
      </w:r>
      <w:r w:rsidR="00A97C2F">
        <w:rPr>
          <w:rFonts w:eastAsia="Times New Roman"/>
          <w:szCs w:val="22"/>
        </w:rPr>
        <w:t xml:space="preserve">V ČR </w:t>
      </w:r>
      <w:r w:rsidRPr="00D97AD9">
        <w:rPr>
          <w:rFonts w:eastAsia="Times New Roman"/>
          <w:szCs w:val="22"/>
        </w:rPr>
        <w:t>vypracoval pracovní verzi</w:t>
      </w:r>
      <w:r w:rsidR="00F96D46" w:rsidRPr="00D97AD9">
        <w:rPr>
          <w:rFonts w:eastAsia="Times New Roman"/>
          <w:szCs w:val="22"/>
        </w:rPr>
        <w:t xml:space="preserve"> </w:t>
      </w:r>
      <w:r w:rsidR="002918AA">
        <w:rPr>
          <w:rFonts w:eastAsia="Times New Roman"/>
          <w:b/>
          <w:szCs w:val="22"/>
        </w:rPr>
        <w:t>Z</w:t>
      </w:r>
      <w:r w:rsidR="002624CD">
        <w:rPr>
          <w:rFonts w:eastAsia="Times New Roman"/>
          <w:b/>
          <w:szCs w:val="22"/>
        </w:rPr>
        <w:t>ásad</w:t>
      </w:r>
      <w:r w:rsidR="002624CD" w:rsidRPr="00D97AD9">
        <w:rPr>
          <w:rFonts w:eastAsia="Times New Roman"/>
          <w:b/>
          <w:szCs w:val="22"/>
        </w:rPr>
        <w:t xml:space="preserve"> </w:t>
      </w:r>
      <w:r w:rsidRPr="00D97AD9">
        <w:rPr>
          <w:rFonts w:eastAsia="Times New Roman"/>
          <w:b/>
          <w:szCs w:val="22"/>
        </w:rPr>
        <w:t xml:space="preserve">pro tvorbu </w:t>
      </w:r>
      <w:r w:rsidR="000E6E66">
        <w:rPr>
          <w:rFonts w:eastAsia="Times New Roman"/>
          <w:b/>
          <w:szCs w:val="22"/>
        </w:rPr>
        <w:t>digitálně přívětivé legislativy</w:t>
      </w:r>
      <w:r w:rsidRPr="00D97AD9">
        <w:rPr>
          <w:rFonts w:eastAsia="Times New Roman"/>
          <w:b/>
          <w:szCs w:val="22"/>
        </w:rPr>
        <w:t xml:space="preserve"> </w:t>
      </w:r>
      <w:r w:rsidR="000E6E66" w:rsidRPr="000E6E66">
        <w:rPr>
          <w:rFonts w:eastAsia="Times New Roman"/>
          <w:szCs w:val="22"/>
        </w:rPr>
        <w:t>(</w:t>
      </w:r>
      <w:r w:rsidRPr="000E6E66">
        <w:rPr>
          <w:rFonts w:eastAsia="Times New Roman"/>
          <w:szCs w:val="22"/>
        </w:rPr>
        <w:t xml:space="preserve">z pohledu digitální ekonomiky, elektronické komunikace a </w:t>
      </w:r>
      <w:proofErr w:type="spellStart"/>
      <w:r w:rsidR="006C057D" w:rsidRPr="000E6E66">
        <w:rPr>
          <w:rFonts w:eastAsia="Times New Roman"/>
          <w:szCs w:val="22"/>
        </w:rPr>
        <w:t>e</w:t>
      </w:r>
      <w:r w:rsidR="00196B06" w:rsidRPr="000E6E66">
        <w:rPr>
          <w:rFonts w:eastAsia="Times New Roman"/>
          <w:szCs w:val="22"/>
        </w:rPr>
        <w:t>Government</w:t>
      </w:r>
      <w:r w:rsidRPr="000E6E66">
        <w:rPr>
          <w:rFonts w:eastAsia="Times New Roman"/>
          <w:szCs w:val="22"/>
        </w:rPr>
        <w:t>u</w:t>
      </w:r>
      <w:proofErr w:type="spellEnd"/>
      <w:r w:rsidR="000E6E66" w:rsidRPr="000E6E66">
        <w:rPr>
          <w:rFonts w:eastAsia="Times New Roman"/>
          <w:szCs w:val="22"/>
        </w:rPr>
        <w:t>)</w:t>
      </w:r>
      <w:r w:rsidRPr="000E6E66">
        <w:rPr>
          <w:rFonts w:eastAsia="Times New Roman"/>
          <w:szCs w:val="22"/>
        </w:rPr>
        <w:t xml:space="preserve">. </w:t>
      </w:r>
      <w:r w:rsidRPr="00D97AD9">
        <w:rPr>
          <w:rFonts w:eastAsia="Times New Roman"/>
          <w:szCs w:val="22"/>
        </w:rPr>
        <w:t xml:space="preserve">Cílem materiálu je vytvořit rámec pro postup jednotlivých </w:t>
      </w:r>
      <w:r w:rsidR="00142F2E">
        <w:rPr>
          <w:rFonts w:eastAsia="Times New Roman"/>
          <w:szCs w:val="22"/>
        </w:rPr>
        <w:t>resort</w:t>
      </w:r>
      <w:r w:rsidRPr="00D97AD9">
        <w:rPr>
          <w:rFonts w:eastAsia="Times New Roman"/>
          <w:szCs w:val="22"/>
        </w:rPr>
        <w:t>ů</w:t>
      </w:r>
      <w:r w:rsidR="002624CD">
        <w:rPr>
          <w:rFonts w:eastAsia="Times New Roman"/>
          <w:szCs w:val="22"/>
        </w:rPr>
        <w:t xml:space="preserve"> (předkladatelů)</w:t>
      </w:r>
      <w:r w:rsidRPr="00D97AD9">
        <w:rPr>
          <w:rFonts w:eastAsia="Times New Roman"/>
          <w:szCs w:val="22"/>
        </w:rPr>
        <w:t xml:space="preserve"> tak, aby již v existujícím </w:t>
      </w:r>
      <w:r w:rsidR="002624CD">
        <w:rPr>
          <w:rFonts w:eastAsia="Times New Roman"/>
          <w:szCs w:val="22"/>
        </w:rPr>
        <w:t xml:space="preserve">tvorby právních předpisů </w:t>
      </w:r>
      <w:r w:rsidRPr="00D97AD9">
        <w:rPr>
          <w:rFonts w:eastAsia="Times New Roman"/>
          <w:szCs w:val="22"/>
        </w:rPr>
        <w:t>byly zohledněny digitální aspekty legislativy a došlo tak ke tvorbě digitálně přívětivé a přínosné legislativy. Ze zahrnutých principů lze zmínit například:princip standardní digitalizace (</w:t>
      </w:r>
      <w:proofErr w:type="spellStart"/>
      <w:r w:rsidRPr="00D97AD9">
        <w:rPr>
          <w:rFonts w:eastAsia="Times New Roman"/>
          <w:szCs w:val="22"/>
        </w:rPr>
        <w:t>digital</w:t>
      </w:r>
      <w:proofErr w:type="spellEnd"/>
      <w:r w:rsidRPr="00D97AD9">
        <w:rPr>
          <w:rFonts w:eastAsia="Times New Roman"/>
          <w:szCs w:val="22"/>
        </w:rPr>
        <w:t xml:space="preserve"> by default), technologické neutrality</w:t>
      </w:r>
      <w:r w:rsidR="002624CD">
        <w:rPr>
          <w:rFonts w:eastAsia="Times New Roman"/>
          <w:szCs w:val="22"/>
        </w:rPr>
        <w:t xml:space="preserve">, </w:t>
      </w:r>
      <w:r w:rsidRPr="00D97AD9">
        <w:rPr>
          <w:rFonts w:eastAsia="Times New Roman"/>
          <w:szCs w:val="22"/>
        </w:rPr>
        <w:t>uživatelské přívětivosti zaváděných služeb</w:t>
      </w:r>
      <w:r w:rsidR="002624CD">
        <w:rPr>
          <w:rFonts w:eastAsia="Times New Roman"/>
          <w:szCs w:val="22"/>
        </w:rPr>
        <w:t xml:space="preserve"> či zachování jednotnosti právního řádu</w:t>
      </w:r>
      <w:r w:rsidRPr="00D97AD9">
        <w:rPr>
          <w:rFonts w:eastAsia="Times New Roman"/>
          <w:szCs w:val="22"/>
        </w:rPr>
        <w:t>.</w:t>
      </w:r>
    </w:p>
    <w:p w:rsidR="00376464" w:rsidRPr="00D97AD9" w:rsidRDefault="0065778C" w:rsidP="005B3D0B">
      <w:pPr>
        <w:spacing w:after="200"/>
        <w:rPr>
          <w:rFonts w:eastAsia="Times New Roman"/>
          <w:szCs w:val="22"/>
        </w:rPr>
      </w:pPr>
      <w:r>
        <w:rPr>
          <w:rFonts w:eastAsia="Times New Roman"/>
          <w:szCs w:val="22"/>
        </w:rPr>
        <w:t xml:space="preserve">Koordinátor také inicioval zpracování </w:t>
      </w:r>
      <w:r w:rsidRPr="0030692B">
        <w:rPr>
          <w:rFonts w:eastAsia="Times New Roman"/>
          <w:b/>
          <w:szCs w:val="22"/>
        </w:rPr>
        <w:t>analýzy procesních právních předpisů</w:t>
      </w:r>
      <w:r>
        <w:rPr>
          <w:rFonts w:eastAsia="Times New Roman"/>
          <w:szCs w:val="22"/>
        </w:rPr>
        <w:t>,</w:t>
      </w:r>
      <w:r w:rsidR="003D2999" w:rsidRPr="00D97AD9">
        <w:rPr>
          <w:rFonts w:eastAsia="Times New Roman"/>
          <w:szCs w:val="22"/>
        </w:rPr>
        <w:t xml:space="preserve"> </w:t>
      </w:r>
      <w:r w:rsidRPr="0065778C">
        <w:rPr>
          <w:rFonts w:eastAsia="Times New Roman"/>
          <w:szCs w:val="22"/>
        </w:rPr>
        <w:t xml:space="preserve">jejímž účelem bude zjistit, zdali a v jaké míře se při tvorbě legislativy dodržují základní principy vytyčené Plánem EU pro </w:t>
      </w:r>
      <w:proofErr w:type="spellStart"/>
      <w:r w:rsidRPr="0065778C">
        <w:rPr>
          <w:rFonts w:eastAsia="Times New Roman"/>
          <w:szCs w:val="22"/>
        </w:rPr>
        <w:t>eGovernment</w:t>
      </w:r>
      <w:proofErr w:type="spellEnd"/>
      <w:r w:rsidRPr="0065778C">
        <w:rPr>
          <w:rFonts w:eastAsia="Times New Roman"/>
          <w:szCs w:val="22"/>
        </w:rPr>
        <w:t>, tedy principy digitalizace jako standard, registrace „pouze jednou“, důvěryhodnost a bezpečnost, podpora začlenění a dostupnost, otevřenost a transparentnost, mezioborový přístup jako standard a interoperabilita</w:t>
      </w:r>
      <w:r w:rsidR="00074BCF">
        <w:rPr>
          <w:rFonts w:eastAsia="Times New Roman"/>
          <w:szCs w:val="22"/>
        </w:rPr>
        <w:t>.</w:t>
      </w:r>
      <w:r w:rsidR="00313077">
        <w:rPr>
          <w:rFonts w:eastAsia="Times New Roman"/>
          <w:szCs w:val="22"/>
        </w:rPr>
        <w:t xml:space="preserve"> </w:t>
      </w:r>
      <w:r w:rsidR="00A834F9">
        <w:rPr>
          <w:rFonts w:eastAsia="Times New Roman"/>
          <w:szCs w:val="22"/>
        </w:rPr>
        <w:t xml:space="preserve">Projekt byl spuštěn </w:t>
      </w:r>
      <w:r w:rsidR="001A38A1">
        <w:rPr>
          <w:rFonts w:eastAsia="Times New Roman"/>
          <w:szCs w:val="22"/>
        </w:rPr>
        <w:br/>
      </w:r>
      <w:r w:rsidR="00A834F9">
        <w:rPr>
          <w:rFonts w:eastAsia="Times New Roman"/>
          <w:szCs w:val="22"/>
        </w:rPr>
        <w:t xml:space="preserve">12. dubna na společném jednání s Evropskou komisí, která financování analýzy </w:t>
      </w:r>
      <w:r w:rsidR="001A38A1">
        <w:rPr>
          <w:rFonts w:eastAsia="Times New Roman"/>
          <w:szCs w:val="22"/>
        </w:rPr>
        <w:t>podporuje</w:t>
      </w:r>
      <w:r w:rsidR="00A834F9">
        <w:rPr>
          <w:rFonts w:eastAsia="Times New Roman"/>
          <w:szCs w:val="22"/>
        </w:rPr>
        <w:t>, a s</w:t>
      </w:r>
      <w:r w:rsidR="0010098F">
        <w:rPr>
          <w:rFonts w:eastAsia="Times New Roman"/>
          <w:szCs w:val="22"/>
        </w:rPr>
        <w:t> advokátní kanceláří</w:t>
      </w:r>
      <w:r w:rsidR="00A834F9">
        <w:rPr>
          <w:rFonts w:eastAsia="Times New Roman"/>
          <w:szCs w:val="22"/>
        </w:rPr>
        <w:t xml:space="preserve"> </w:t>
      </w:r>
      <w:proofErr w:type="spellStart"/>
      <w:r w:rsidR="00A834F9">
        <w:rPr>
          <w:rFonts w:eastAsia="Times New Roman"/>
          <w:szCs w:val="22"/>
        </w:rPr>
        <w:t>Rowan</w:t>
      </w:r>
      <w:proofErr w:type="spellEnd"/>
      <w:r w:rsidR="00A834F9">
        <w:rPr>
          <w:rFonts w:eastAsia="Times New Roman"/>
          <w:szCs w:val="22"/>
        </w:rPr>
        <w:t xml:space="preserve"> </w:t>
      </w:r>
      <w:proofErr w:type="spellStart"/>
      <w:r w:rsidR="00A834F9">
        <w:rPr>
          <w:rFonts w:eastAsia="Times New Roman"/>
          <w:szCs w:val="22"/>
        </w:rPr>
        <w:t>Legal</w:t>
      </w:r>
      <w:proofErr w:type="spellEnd"/>
      <w:r w:rsidR="00A834F9">
        <w:rPr>
          <w:rFonts w:eastAsia="Times New Roman"/>
          <w:szCs w:val="22"/>
        </w:rPr>
        <w:t>, která vyhrála výběrové řízení Evropské komise na zpracovatele analýzy.</w:t>
      </w:r>
      <w:r w:rsidR="0010098F">
        <w:rPr>
          <w:rFonts w:eastAsia="Times New Roman"/>
          <w:szCs w:val="22"/>
        </w:rPr>
        <w:t xml:space="preserve"> Se zástupci </w:t>
      </w:r>
      <w:proofErr w:type="spellStart"/>
      <w:r w:rsidR="0010098F">
        <w:rPr>
          <w:rFonts w:eastAsia="Times New Roman"/>
          <w:szCs w:val="22"/>
        </w:rPr>
        <w:t>Rowan</w:t>
      </w:r>
      <w:proofErr w:type="spellEnd"/>
      <w:r w:rsidR="0010098F">
        <w:rPr>
          <w:rFonts w:eastAsia="Times New Roman"/>
          <w:szCs w:val="22"/>
        </w:rPr>
        <w:t xml:space="preserve"> </w:t>
      </w:r>
      <w:proofErr w:type="spellStart"/>
      <w:r w:rsidR="0010098F">
        <w:rPr>
          <w:rFonts w:eastAsia="Times New Roman"/>
          <w:szCs w:val="22"/>
        </w:rPr>
        <w:t>Legal</w:t>
      </w:r>
      <w:proofErr w:type="spellEnd"/>
      <w:r w:rsidR="0010098F">
        <w:rPr>
          <w:rFonts w:eastAsia="Times New Roman"/>
          <w:szCs w:val="22"/>
        </w:rPr>
        <w:t xml:space="preserve"> se koordinátor v mezidobí pravidelně setkává a diskutuje metodu zpracování analýzy a její </w:t>
      </w:r>
      <w:r w:rsidR="001A38A1">
        <w:rPr>
          <w:rFonts w:eastAsia="Times New Roman"/>
          <w:szCs w:val="22"/>
        </w:rPr>
        <w:t>průběžné</w:t>
      </w:r>
      <w:r w:rsidR="00074BCF">
        <w:rPr>
          <w:rFonts w:eastAsia="Times New Roman"/>
          <w:szCs w:val="22"/>
        </w:rPr>
        <w:t xml:space="preserve"> </w:t>
      </w:r>
      <w:r w:rsidR="0010098F">
        <w:rPr>
          <w:rFonts w:eastAsia="Times New Roman"/>
          <w:szCs w:val="22"/>
        </w:rPr>
        <w:t>výstupy.</w:t>
      </w:r>
      <w:r w:rsidR="00A834F9">
        <w:rPr>
          <w:rFonts w:eastAsia="Times New Roman"/>
          <w:szCs w:val="22"/>
        </w:rPr>
        <w:t xml:space="preserve"> </w:t>
      </w:r>
      <w:r w:rsidR="00313077">
        <w:rPr>
          <w:rFonts w:eastAsia="Times New Roman"/>
          <w:szCs w:val="22"/>
        </w:rPr>
        <w:t xml:space="preserve">Analýza bude </w:t>
      </w:r>
      <w:r w:rsidR="0010098F">
        <w:rPr>
          <w:rFonts w:eastAsia="Times New Roman"/>
          <w:szCs w:val="22"/>
        </w:rPr>
        <w:t xml:space="preserve">vyhotovena </w:t>
      </w:r>
      <w:r w:rsidR="00313077">
        <w:rPr>
          <w:rFonts w:eastAsia="Times New Roman"/>
          <w:szCs w:val="22"/>
        </w:rPr>
        <w:t>do konce roku 2017.</w:t>
      </w:r>
    </w:p>
    <w:p w:rsidR="00507E63" w:rsidRPr="00E96D7E" w:rsidRDefault="003D2999" w:rsidP="00492529">
      <w:pPr>
        <w:pStyle w:val="Plnovanopaten"/>
      </w:pPr>
      <w:r w:rsidRPr="00D97AD9">
        <w:t>Plánovaná opatření</w:t>
      </w:r>
    </w:p>
    <w:p w:rsidR="00030281" w:rsidRPr="005346C1" w:rsidRDefault="00030281" w:rsidP="00402FF3">
      <w:pPr>
        <w:pStyle w:val="NOPrezovpriority"/>
        <w:rPr>
          <w:i/>
        </w:rPr>
      </w:pPr>
      <w:r w:rsidRPr="00621964">
        <w:t xml:space="preserve">Předložit </w:t>
      </w:r>
      <w:r w:rsidR="002918AA">
        <w:t>Z</w:t>
      </w:r>
      <w:r w:rsidR="002624CD">
        <w:t>ásady</w:t>
      </w:r>
      <w:r w:rsidR="002624CD" w:rsidRPr="00621964">
        <w:t xml:space="preserve"> </w:t>
      </w:r>
      <w:r w:rsidRPr="00621964">
        <w:t xml:space="preserve">pro tvorbu </w:t>
      </w:r>
      <w:r>
        <w:t xml:space="preserve">digitálně přívětivé </w:t>
      </w:r>
      <w:r w:rsidRPr="00621964">
        <w:t>legislat</w:t>
      </w:r>
      <w:r>
        <w:t>ivy</w:t>
      </w:r>
      <w:r w:rsidRPr="00621964">
        <w:t xml:space="preserve"> vládě</w:t>
      </w:r>
      <w:r w:rsidR="005346C1">
        <w:t>.</w:t>
      </w:r>
      <w:r w:rsidRPr="00621964">
        <w:t xml:space="preserve"> </w:t>
      </w:r>
      <w:r w:rsidRPr="00C95F71">
        <w:rPr>
          <w:b w:val="0"/>
          <w:i/>
        </w:rPr>
        <w:t>Termín: 3Q 2017, gestor: koordinátor, LRV.</w:t>
      </w:r>
    </w:p>
    <w:p w:rsidR="00030281" w:rsidRDefault="00030281" w:rsidP="00030281">
      <w:pPr>
        <w:spacing w:after="0"/>
        <w:rPr>
          <w:rFonts w:eastAsia="Times New Roman"/>
          <w:szCs w:val="22"/>
        </w:rPr>
      </w:pPr>
      <w:r w:rsidRPr="00D97AD9">
        <w:rPr>
          <w:rFonts w:eastAsia="Times New Roman"/>
          <w:szCs w:val="22"/>
        </w:rPr>
        <w:t xml:space="preserve">Koordinátor </w:t>
      </w:r>
      <w:r w:rsidR="00103C4B">
        <w:rPr>
          <w:rFonts w:eastAsia="Times New Roman"/>
          <w:szCs w:val="22"/>
        </w:rPr>
        <w:t xml:space="preserve">ve spolupráci se Sekcí LRV ÚV ČR </w:t>
      </w:r>
      <w:r w:rsidRPr="00D97AD9">
        <w:rPr>
          <w:rFonts w:eastAsia="Times New Roman"/>
          <w:szCs w:val="22"/>
        </w:rPr>
        <w:t xml:space="preserve">předloží do konce třetího čtvrtletí vládě </w:t>
      </w:r>
      <w:r w:rsidR="002918AA">
        <w:rPr>
          <w:rFonts w:eastAsia="Times New Roman"/>
          <w:szCs w:val="22"/>
        </w:rPr>
        <w:t>Z</w:t>
      </w:r>
      <w:r w:rsidR="002624CD">
        <w:rPr>
          <w:rFonts w:eastAsia="Times New Roman"/>
          <w:szCs w:val="22"/>
        </w:rPr>
        <w:t>ásady</w:t>
      </w:r>
      <w:r w:rsidR="002624CD" w:rsidRPr="00D97AD9">
        <w:rPr>
          <w:rFonts w:eastAsia="Times New Roman"/>
          <w:szCs w:val="22"/>
        </w:rPr>
        <w:t xml:space="preserve"> </w:t>
      </w:r>
      <w:r w:rsidRPr="00D97AD9">
        <w:rPr>
          <w:rFonts w:eastAsia="Times New Roman"/>
          <w:szCs w:val="22"/>
        </w:rPr>
        <w:t xml:space="preserve">pro tvorbu </w:t>
      </w:r>
      <w:r>
        <w:rPr>
          <w:rFonts w:eastAsia="Times New Roman"/>
          <w:szCs w:val="22"/>
        </w:rPr>
        <w:t>digitálně přívětiv</w:t>
      </w:r>
      <w:r w:rsidR="00103C4B">
        <w:rPr>
          <w:rFonts w:eastAsia="Times New Roman"/>
          <w:szCs w:val="22"/>
        </w:rPr>
        <w:t>é</w:t>
      </w:r>
      <w:r>
        <w:rPr>
          <w:rFonts w:eastAsia="Times New Roman"/>
          <w:szCs w:val="22"/>
        </w:rPr>
        <w:t xml:space="preserve"> </w:t>
      </w:r>
      <w:r w:rsidRPr="00D97AD9">
        <w:rPr>
          <w:rFonts w:eastAsia="Times New Roman"/>
          <w:szCs w:val="22"/>
        </w:rPr>
        <w:t>legislativ</w:t>
      </w:r>
      <w:r w:rsidR="00103C4B">
        <w:rPr>
          <w:rFonts w:eastAsia="Times New Roman"/>
          <w:szCs w:val="22"/>
        </w:rPr>
        <w:t>y</w:t>
      </w:r>
      <w:r w:rsidRPr="00D97AD9">
        <w:rPr>
          <w:rFonts w:eastAsia="Times New Roman"/>
          <w:szCs w:val="22"/>
        </w:rPr>
        <w:t xml:space="preserve"> </w:t>
      </w:r>
      <w:r>
        <w:rPr>
          <w:rFonts w:eastAsia="Times New Roman"/>
          <w:szCs w:val="22"/>
        </w:rPr>
        <w:t>(</w:t>
      </w:r>
      <w:r w:rsidRPr="00D97AD9">
        <w:rPr>
          <w:rFonts w:eastAsia="Times New Roman"/>
          <w:szCs w:val="22"/>
        </w:rPr>
        <w:t xml:space="preserve">z pohledu digitální ekonomiky, elektronické komunikace a </w:t>
      </w:r>
      <w:proofErr w:type="spellStart"/>
      <w:r>
        <w:rPr>
          <w:rFonts w:eastAsia="Times New Roman"/>
          <w:szCs w:val="22"/>
        </w:rPr>
        <w:t>eGovernment</w:t>
      </w:r>
      <w:r w:rsidRPr="00D97AD9">
        <w:rPr>
          <w:rFonts w:eastAsia="Times New Roman"/>
          <w:szCs w:val="22"/>
        </w:rPr>
        <w:t>u</w:t>
      </w:r>
      <w:proofErr w:type="spellEnd"/>
      <w:r>
        <w:rPr>
          <w:rFonts w:eastAsia="Times New Roman"/>
          <w:szCs w:val="22"/>
        </w:rPr>
        <w:t>).</w:t>
      </w:r>
      <w:r w:rsidRPr="00D97AD9">
        <w:rPr>
          <w:rFonts w:eastAsia="Times New Roman"/>
          <w:szCs w:val="22"/>
        </w:rPr>
        <w:t xml:space="preserve"> </w:t>
      </w:r>
      <w:r>
        <w:rPr>
          <w:rFonts w:eastAsia="Times New Roman"/>
          <w:szCs w:val="22"/>
        </w:rPr>
        <w:t>C</w:t>
      </w:r>
      <w:r w:rsidRPr="00D97AD9">
        <w:rPr>
          <w:rFonts w:eastAsia="Times New Roman"/>
          <w:szCs w:val="22"/>
        </w:rPr>
        <w:t>ílem</w:t>
      </w:r>
      <w:r>
        <w:rPr>
          <w:rFonts w:eastAsia="Times New Roman"/>
          <w:szCs w:val="22"/>
        </w:rPr>
        <w:t xml:space="preserve"> je</w:t>
      </w:r>
      <w:r w:rsidRPr="00D97AD9">
        <w:rPr>
          <w:rFonts w:eastAsia="Times New Roman"/>
          <w:szCs w:val="22"/>
        </w:rPr>
        <w:t xml:space="preserve"> </w:t>
      </w:r>
      <w:r>
        <w:rPr>
          <w:rFonts w:eastAsia="Times New Roman"/>
          <w:szCs w:val="22"/>
        </w:rPr>
        <w:t>vyzvat</w:t>
      </w:r>
      <w:r w:rsidRPr="00D97AD9">
        <w:rPr>
          <w:rFonts w:eastAsia="Times New Roman"/>
          <w:szCs w:val="22"/>
        </w:rPr>
        <w:t xml:space="preserve"> příslušné resorty k dodržování </w:t>
      </w:r>
      <w:r w:rsidR="002624CD">
        <w:rPr>
          <w:rFonts w:eastAsia="Times New Roman"/>
          <w:szCs w:val="22"/>
        </w:rPr>
        <w:t>zásad</w:t>
      </w:r>
      <w:r w:rsidR="002624CD" w:rsidRPr="00D97AD9">
        <w:rPr>
          <w:rFonts w:eastAsia="Times New Roman"/>
          <w:szCs w:val="22"/>
        </w:rPr>
        <w:t xml:space="preserve"> </w:t>
      </w:r>
      <w:r w:rsidRPr="00D97AD9">
        <w:rPr>
          <w:rFonts w:eastAsia="Times New Roman"/>
          <w:szCs w:val="22"/>
        </w:rPr>
        <w:t xml:space="preserve">a </w:t>
      </w:r>
      <w:r w:rsidR="00103C4B">
        <w:rPr>
          <w:rFonts w:eastAsia="Times New Roman"/>
          <w:szCs w:val="22"/>
        </w:rPr>
        <w:t>principů v ní obsažených</w:t>
      </w:r>
      <w:r w:rsidR="00074BCF">
        <w:rPr>
          <w:rFonts w:eastAsia="Times New Roman"/>
          <w:szCs w:val="22"/>
        </w:rPr>
        <w:t xml:space="preserve"> a</w:t>
      </w:r>
      <w:r w:rsidR="00103C4B">
        <w:rPr>
          <w:rFonts w:eastAsia="Times New Roman"/>
          <w:szCs w:val="22"/>
        </w:rPr>
        <w:t xml:space="preserve"> </w:t>
      </w:r>
      <w:r w:rsidRPr="00D97AD9">
        <w:rPr>
          <w:rFonts w:eastAsia="Times New Roman"/>
          <w:szCs w:val="22"/>
        </w:rPr>
        <w:t>tím přispět k</w:t>
      </w:r>
      <w:r w:rsidR="00103C4B">
        <w:rPr>
          <w:rFonts w:eastAsia="Times New Roman"/>
          <w:szCs w:val="22"/>
        </w:rPr>
        <w:t> </w:t>
      </w:r>
      <w:r w:rsidRPr="00D97AD9">
        <w:rPr>
          <w:rFonts w:eastAsia="Times New Roman"/>
          <w:szCs w:val="22"/>
        </w:rPr>
        <w:t>tvorbě</w:t>
      </w:r>
      <w:r w:rsidR="00103C4B">
        <w:rPr>
          <w:rFonts w:eastAsia="Times New Roman"/>
          <w:szCs w:val="22"/>
        </w:rPr>
        <w:t xml:space="preserve"> právních předpisů</w:t>
      </w:r>
      <w:r w:rsidRPr="00D97AD9">
        <w:rPr>
          <w:rFonts w:eastAsia="Times New Roman"/>
          <w:szCs w:val="22"/>
        </w:rPr>
        <w:t xml:space="preserve">, které odpovídají </w:t>
      </w:r>
      <w:r w:rsidRPr="00D97AD9">
        <w:rPr>
          <w:rFonts w:eastAsia="Times New Roman"/>
          <w:szCs w:val="22"/>
        </w:rPr>
        <w:lastRenderedPageBreak/>
        <w:t>podmínkám a realitě 21. století.</w:t>
      </w:r>
      <w:r>
        <w:rPr>
          <w:rFonts w:eastAsia="Times New Roman"/>
          <w:szCs w:val="22"/>
        </w:rPr>
        <w:t xml:space="preserve"> Materiál je průběžně</w:t>
      </w:r>
      <w:r w:rsidRPr="00B65071">
        <w:rPr>
          <w:rFonts w:eastAsia="Times New Roman"/>
          <w:szCs w:val="22"/>
        </w:rPr>
        <w:t xml:space="preserve"> konzultován s hospodářskými a sociálními partnery</w:t>
      </w:r>
      <w:r w:rsidR="00492529">
        <w:rPr>
          <w:rFonts w:eastAsia="Times New Roman"/>
          <w:szCs w:val="22"/>
        </w:rPr>
        <w:t>.</w:t>
      </w:r>
    </w:p>
    <w:p w:rsidR="00030281" w:rsidRPr="005346C1" w:rsidRDefault="00030281" w:rsidP="00402FF3">
      <w:pPr>
        <w:pStyle w:val="NOPrezovpriority"/>
        <w:rPr>
          <w:i/>
        </w:rPr>
      </w:pPr>
      <w:r w:rsidRPr="005B44B6">
        <w:t xml:space="preserve">Aktivity směřující k seznámení veřejné správy a širší odborné veřejnosti s obsahem a smyslem </w:t>
      </w:r>
      <w:r w:rsidR="00432796">
        <w:t>zásad</w:t>
      </w:r>
      <w:r w:rsidR="006A2ACC">
        <w:rPr>
          <w:i/>
        </w:rPr>
        <w:t>.</w:t>
      </w:r>
      <w:r>
        <w:rPr>
          <w:i/>
        </w:rPr>
        <w:t xml:space="preserve"> </w:t>
      </w:r>
      <w:r w:rsidRPr="00C95F71">
        <w:rPr>
          <w:b w:val="0"/>
          <w:i/>
        </w:rPr>
        <w:t>Termín: 4Q 2017, gestor: koordinátor, LRV.</w:t>
      </w:r>
    </w:p>
    <w:p w:rsidR="00030281" w:rsidRPr="00D97AD9" w:rsidRDefault="00030281" w:rsidP="00030281">
      <w:pPr>
        <w:spacing w:after="0"/>
        <w:rPr>
          <w:rFonts w:eastAsia="Times New Roman"/>
          <w:szCs w:val="22"/>
        </w:rPr>
      </w:pPr>
      <w:r>
        <w:rPr>
          <w:rFonts w:eastAsia="Times New Roman"/>
          <w:szCs w:val="22"/>
        </w:rPr>
        <w:t xml:space="preserve">Během druhého pololetí 2017 </w:t>
      </w:r>
      <w:r w:rsidR="002624CD">
        <w:rPr>
          <w:rFonts w:eastAsia="Times New Roman"/>
          <w:szCs w:val="22"/>
        </w:rPr>
        <w:t xml:space="preserve">budou zásady </w:t>
      </w:r>
      <w:r>
        <w:rPr>
          <w:rFonts w:eastAsia="Times New Roman"/>
          <w:szCs w:val="22"/>
        </w:rPr>
        <w:t xml:space="preserve">cíleně </w:t>
      </w:r>
      <w:r w:rsidR="002624CD">
        <w:rPr>
          <w:rFonts w:eastAsia="Times New Roman"/>
          <w:szCs w:val="22"/>
        </w:rPr>
        <w:t xml:space="preserve">představovány </w:t>
      </w:r>
      <w:r>
        <w:rPr>
          <w:rFonts w:eastAsia="Times New Roman"/>
          <w:szCs w:val="22"/>
        </w:rPr>
        <w:t xml:space="preserve">a </w:t>
      </w:r>
      <w:r w:rsidR="002624CD">
        <w:rPr>
          <w:rFonts w:eastAsia="Times New Roman"/>
          <w:szCs w:val="22"/>
        </w:rPr>
        <w:t xml:space="preserve">diskutovány </w:t>
      </w:r>
      <w:r>
        <w:rPr>
          <w:rFonts w:eastAsia="Times New Roman"/>
          <w:szCs w:val="22"/>
        </w:rPr>
        <w:t xml:space="preserve">s jednotlivými resorty tak, aby se dosáhlo jejího co nejefektivnějšího a nejširšího uplatnění. </w:t>
      </w:r>
      <w:r w:rsidR="002624CD">
        <w:rPr>
          <w:rFonts w:eastAsia="Times New Roman"/>
          <w:szCs w:val="22"/>
        </w:rPr>
        <w:t xml:space="preserve">Zásady budou </w:t>
      </w:r>
      <w:r>
        <w:rPr>
          <w:rFonts w:eastAsia="Times New Roman"/>
          <w:szCs w:val="22"/>
        </w:rPr>
        <w:t xml:space="preserve">také </w:t>
      </w:r>
      <w:r w:rsidR="002624CD">
        <w:rPr>
          <w:rFonts w:eastAsia="Times New Roman"/>
          <w:szCs w:val="22"/>
        </w:rPr>
        <w:t xml:space="preserve">zohledňovány </w:t>
      </w:r>
      <w:r>
        <w:rPr>
          <w:rFonts w:eastAsia="Times New Roman"/>
          <w:szCs w:val="22"/>
        </w:rPr>
        <w:t xml:space="preserve">v rámci činnosti LRV. </w:t>
      </w:r>
    </w:p>
    <w:p w:rsidR="00030281" w:rsidRPr="005346C1" w:rsidRDefault="00030281" w:rsidP="00402FF3">
      <w:pPr>
        <w:pStyle w:val="NOPrezovpriority"/>
        <w:rPr>
          <w:i/>
        </w:rPr>
      </w:pPr>
      <w:r w:rsidRPr="00556BBF">
        <w:t>Vyhodnotit</w:t>
      </w:r>
      <w:r w:rsidRPr="00621964">
        <w:t xml:space="preserve"> </w:t>
      </w:r>
      <w:r w:rsidR="002918AA">
        <w:t>Z</w:t>
      </w:r>
      <w:r w:rsidR="002624CD">
        <w:t>ásady</w:t>
      </w:r>
      <w:r w:rsidR="002624CD" w:rsidRPr="00621964">
        <w:t xml:space="preserve"> </w:t>
      </w:r>
      <w:r w:rsidRPr="00621964">
        <w:t xml:space="preserve">pro tvorbu </w:t>
      </w:r>
      <w:r>
        <w:t xml:space="preserve">digitálně přívětivé </w:t>
      </w:r>
      <w:r w:rsidRPr="00621964">
        <w:t>legislat</w:t>
      </w:r>
      <w:r>
        <w:t>ivy</w:t>
      </w:r>
      <w:r w:rsidRPr="00621964">
        <w:t xml:space="preserve"> </w:t>
      </w:r>
      <w:r>
        <w:t>a zvážit další kroky</w:t>
      </w:r>
      <w:r w:rsidR="005346C1">
        <w:t>.</w:t>
      </w:r>
      <w:r w:rsidRPr="00621964">
        <w:t xml:space="preserve"> </w:t>
      </w:r>
      <w:r w:rsidRPr="00C95F71">
        <w:rPr>
          <w:b w:val="0"/>
          <w:i/>
        </w:rPr>
        <w:t xml:space="preserve">Termín: </w:t>
      </w:r>
      <w:r w:rsidR="00095BE1">
        <w:rPr>
          <w:b w:val="0"/>
          <w:i/>
        </w:rPr>
        <w:t>3</w:t>
      </w:r>
      <w:r w:rsidRPr="00C95F71">
        <w:rPr>
          <w:b w:val="0"/>
          <w:i/>
        </w:rPr>
        <w:t>Q 2018, gestor: koordinátor, LRV.</w:t>
      </w:r>
    </w:p>
    <w:p w:rsidR="008F3901" w:rsidRPr="00492529" w:rsidRDefault="00030281" w:rsidP="00492529">
      <w:pPr>
        <w:spacing w:after="0"/>
        <w:rPr>
          <w:rFonts w:eastAsia="Times New Roman"/>
          <w:szCs w:val="22"/>
        </w:rPr>
      </w:pPr>
      <w:r>
        <w:rPr>
          <w:rFonts w:eastAsia="Times New Roman"/>
          <w:szCs w:val="22"/>
        </w:rPr>
        <w:t xml:space="preserve">Používání </w:t>
      </w:r>
      <w:r w:rsidR="002624CD">
        <w:rPr>
          <w:rFonts w:eastAsia="Times New Roman"/>
          <w:szCs w:val="22"/>
        </w:rPr>
        <w:t xml:space="preserve">zásad </w:t>
      </w:r>
      <w:r w:rsidR="00237FBE">
        <w:rPr>
          <w:rFonts w:eastAsia="Times New Roman"/>
          <w:szCs w:val="22"/>
        </w:rPr>
        <w:t xml:space="preserve">bude </w:t>
      </w:r>
      <w:r>
        <w:rPr>
          <w:rFonts w:eastAsia="Times New Roman"/>
          <w:szCs w:val="22"/>
        </w:rPr>
        <w:t>vyhodnoceno a bude rozhodnuto o dalších krocích (</w:t>
      </w:r>
      <w:r w:rsidR="00AE36FF">
        <w:rPr>
          <w:rFonts w:eastAsia="Times New Roman"/>
          <w:szCs w:val="22"/>
        </w:rPr>
        <w:t>například</w:t>
      </w:r>
      <w:r>
        <w:rPr>
          <w:rFonts w:eastAsia="Times New Roman"/>
          <w:szCs w:val="22"/>
        </w:rPr>
        <w:t xml:space="preserve"> bude zvážena případná závaznost jejího dodržování pro všechny ústřední orgány státní správy). </w:t>
      </w:r>
    </w:p>
    <w:p w:rsidR="0099289D" w:rsidRPr="00C95F71" w:rsidRDefault="0099289D" w:rsidP="00402FF3">
      <w:pPr>
        <w:pStyle w:val="NOPrezovpriority"/>
        <w:rPr>
          <w:i/>
        </w:rPr>
      </w:pPr>
      <w:r w:rsidRPr="00621964">
        <w:t>Vypracov</w:t>
      </w:r>
      <w:r w:rsidR="00FC65E0" w:rsidRPr="00621964">
        <w:t>at</w:t>
      </w:r>
      <w:r w:rsidRPr="00621964">
        <w:t xml:space="preserve"> analýz</w:t>
      </w:r>
      <w:r w:rsidR="00FC65E0" w:rsidRPr="00621964">
        <w:t>u</w:t>
      </w:r>
      <w:r w:rsidRPr="00621964">
        <w:t xml:space="preserve"> procesn</w:t>
      </w:r>
      <w:r w:rsidR="005B5696" w:rsidRPr="00621964">
        <w:t xml:space="preserve">ě </w:t>
      </w:r>
      <w:r w:rsidRPr="00621964">
        <w:t>právních předpisů</w:t>
      </w:r>
      <w:r w:rsidR="005346C1">
        <w:t>.</w:t>
      </w:r>
      <w:r w:rsidRPr="00621964">
        <w:t xml:space="preserve"> </w:t>
      </w:r>
      <w:r w:rsidRPr="00C95F71">
        <w:rPr>
          <w:b w:val="0"/>
          <w:i/>
        </w:rPr>
        <w:t>Termín: 4Q 2017, gestor: koordinátor</w:t>
      </w:r>
      <w:r w:rsidR="00FC4B34" w:rsidRPr="00C95F71">
        <w:rPr>
          <w:b w:val="0"/>
          <w:i/>
        </w:rPr>
        <w:t xml:space="preserve">, </w:t>
      </w:r>
      <w:proofErr w:type="spellStart"/>
      <w:r w:rsidR="00FC4B34" w:rsidRPr="00C95F71">
        <w:rPr>
          <w:b w:val="0"/>
          <w:i/>
        </w:rPr>
        <w:t>spolugestor</w:t>
      </w:r>
      <w:proofErr w:type="spellEnd"/>
      <w:r w:rsidR="00FC4B34" w:rsidRPr="00C95F71">
        <w:rPr>
          <w:b w:val="0"/>
          <w:i/>
        </w:rPr>
        <w:t>: MV</w:t>
      </w:r>
      <w:r w:rsidR="005346C1" w:rsidRPr="00C95F71">
        <w:rPr>
          <w:b w:val="0"/>
          <w:i/>
        </w:rPr>
        <w:t>.</w:t>
      </w:r>
    </w:p>
    <w:p w:rsidR="00376464" w:rsidRPr="00556BBF" w:rsidRDefault="0099289D" w:rsidP="00556BBF">
      <w:pPr>
        <w:spacing w:after="0"/>
        <w:rPr>
          <w:rFonts w:eastAsia="Times New Roman"/>
          <w:szCs w:val="22"/>
        </w:rPr>
      </w:pPr>
      <w:r w:rsidRPr="0065778C">
        <w:rPr>
          <w:rFonts w:eastAsia="Times New Roman"/>
          <w:szCs w:val="22"/>
        </w:rPr>
        <w:t xml:space="preserve">Bude zpracována analýza platných procesních předpisů ČR. </w:t>
      </w:r>
      <w:r w:rsidR="008F3901">
        <w:rPr>
          <w:rFonts w:eastAsia="Times New Roman"/>
          <w:szCs w:val="22"/>
        </w:rPr>
        <w:t xml:space="preserve">Analýza se bude </w:t>
      </w:r>
      <w:r w:rsidRPr="0065778C">
        <w:rPr>
          <w:rFonts w:eastAsia="Times New Roman"/>
          <w:szCs w:val="22"/>
        </w:rPr>
        <w:t>týkat</w:t>
      </w:r>
      <w:r w:rsidR="008F3901">
        <w:rPr>
          <w:rFonts w:eastAsia="Times New Roman"/>
          <w:szCs w:val="22"/>
        </w:rPr>
        <w:t xml:space="preserve"> jak platných</w:t>
      </w:r>
      <w:r w:rsidRPr="0065778C">
        <w:rPr>
          <w:rFonts w:eastAsia="Times New Roman"/>
          <w:szCs w:val="22"/>
        </w:rPr>
        <w:t xml:space="preserve"> </w:t>
      </w:r>
      <w:r w:rsidR="008F3901">
        <w:rPr>
          <w:rFonts w:eastAsia="Times New Roman"/>
          <w:szCs w:val="22"/>
        </w:rPr>
        <w:t>horizontálních předpisů, zejména správního řádu, tak kl</w:t>
      </w:r>
      <w:r w:rsidRPr="0065778C">
        <w:rPr>
          <w:rFonts w:eastAsia="Times New Roman"/>
          <w:szCs w:val="22"/>
        </w:rPr>
        <w:t xml:space="preserve">íčových resortních předpisů v souvislosti se zásadními životními událostmi, kterými je </w:t>
      </w:r>
      <w:r w:rsidR="00AE36FF">
        <w:rPr>
          <w:rFonts w:eastAsia="Times New Roman"/>
          <w:szCs w:val="22"/>
        </w:rPr>
        <w:t>například</w:t>
      </w:r>
      <w:r w:rsidRPr="0065778C">
        <w:rPr>
          <w:rFonts w:eastAsia="Times New Roman"/>
          <w:szCs w:val="22"/>
        </w:rPr>
        <w:t xml:space="preserve"> založení společnosti a její běžný chod, ztráta či získání zaměstnání, studium, rodinný život </w:t>
      </w:r>
      <w:r w:rsidR="008F3901">
        <w:rPr>
          <w:rFonts w:eastAsia="Times New Roman"/>
          <w:szCs w:val="22"/>
        </w:rPr>
        <w:t>nebo</w:t>
      </w:r>
      <w:r w:rsidRPr="0065778C">
        <w:rPr>
          <w:rFonts w:eastAsia="Times New Roman"/>
          <w:szCs w:val="22"/>
        </w:rPr>
        <w:t xml:space="preserve"> stěho</w:t>
      </w:r>
      <w:r w:rsidR="008F3901">
        <w:rPr>
          <w:rFonts w:eastAsia="Times New Roman"/>
          <w:szCs w:val="22"/>
        </w:rPr>
        <w:t>vání. N</w:t>
      </w:r>
      <w:r w:rsidRPr="0065778C">
        <w:rPr>
          <w:rFonts w:eastAsia="Times New Roman"/>
          <w:szCs w:val="22"/>
        </w:rPr>
        <w:t>ásledně budou navržena řešení s doporučeními, jak zlepšit právní rámec</w:t>
      </w:r>
      <w:r w:rsidR="005B5696">
        <w:rPr>
          <w:rFonts w:eastAsia="Times New Roman"/>
          <w:szCs w:val="22"/>
        </w:rPr>
        <w:t xml:space="preserve"> upravující styk s úřady v těchto životních situacích </w:t>
      </w:r>
      <w:r w:rsidR="008F3901">
        <w:rPr>
          <w:rFonts w:eastAsia="Times New Roman"/>
          <w:szCs w:val="22"/>
        </w:rPr>
        <w:t xml:space="preserve">tak, aby splňoval všechny </w:t>
      </w:r>
      <w:r w:rsidR="008F3901" w:rsidRPr="008F3901">
        <w:rPr>
          <w:rFonts w:eastAsia="Times New Roman"/>
          <w:szCs w:val="22"/>
        </w:rPr>
        <w:t xml:space="preserve">základní zásady vytyčené Plánem EU pro </w:t>
      </w:r>
      <w:proofErr w:type="spellStart"/>
      <w:r w:rsidR="008F3901" w:rsidRPr="008F3901">
        <w:rPr>
          <w:rFonts w:eastAsia="Times New Roman"/>
          <w:szCs w:val="22"/>
        </w:rPr>
        <w:t>eGovernment</w:t>
      </w:r>
      <w:proofErr w:type="spellEnd"/>
      <w:r w:rsidR="008F3901" w:rsidRPr="008F3901">
        <w:rPr>
          <w:rFonts w:eastAsia="Times New Roman"/>
          <w:szCs w:val="22"/>
        </w:rPr>
        <w:t xml:space="preserve"> pro </w:t>
      </w:r>
      <w:r w:rsidR="005B5696">
        <w:rPr>
          <w:rFonts w:eastAsia="Times New Roman"/>
          <w:szCs w:val="22"/>
        </w:rPr>
        <w:t xml:space="preserve">roky </w:t>
      </w:r>
      <w:r w:rsidR="008F3901" w:rsidRPr="008F3901">
        <w:rPr>
          <w:rFonts w:eastAsia="Times New Roman"/>
          <w:szCs w:val="22"/>
        </w:rPr>
        <w:t>2016 – 2020</w:t>
      </w:r>
      <w:r w:rsidR="008F3901">
        <w:rPr>
          <w:rStyle w:val="Znakapoznpodarou"/>
          <w:rFonts w:eastAsia="Times New Roman"/>
          <w:szCs w:val="22"/>
        </w:rPr>
        <w:footnoteReference w:id="23"/>
      </w:r>
      <w:r w:rsidR="005B5696">
        <w:rPr>
          <w:rFonts w:eastAsia="Times New Roman"/>
          <w:szCs w:val="22"/>
        </w:rPr>
        <w:t xml:space="preserve">. Cílem je navrhnout jak obecná doporučení, tak konkrétní textové úpravy jednotlivých zákonů. </w:t>
      </w:r>
    </w:p>
    <w:p w:rsidR="00184281" w:rsidRDefault="00184281">
      <w:pPr>
        <w:spacing w:after="200"/>
        <w:jc w:val="left"/>
        <w:rPr>
          <w:rFonts w:eastAsiaTheme="majorEastAsia"/>
          <w:b/>
          <w:bCs/>
          <w:sz w:val="28"/>
          <w:szCs w:val="28"/>
        </w:rPr>
      </w:pPr>
      <w:r>
        <w:br w:type="page"/>
      </w:r>
    </w:p>
    <w:p w:rsidR="00054B82" w:rsidRPr="003F0F42" w:rsidRDefault="00031DC2" w:rsidP="003F0F42">
      <w:pPr>
        <w:pStyle w:val="Nadpis1"/>
      </w:pPr>
      <w:bookmarkStart w:id="31" w:name="_Toc491355949"/>
      <w:r w:rsidRPr="003F0F42">
        <w:lastRenderedPageBreak/>
        <w:t>PILÍŘE AGENDY SPOLEČNOSTI 4.0</w:t>
      </w:r>
      <w:bookmarkEnd w:id="31"/>
    </w:p>
    <w:p w:rsidR="00491952" w:rsidRPr="00E96D7E" w:rsidRDefault="003D2999" w:rsidP="00491952">
      <w:pPr>
        <w:rPr>
          <w:rFonts w:eastAsiaTheme="minorHAnsi"/>
          <w:szCs w:val="22"/>
          <w:lang w:eastAsia="en-US"/>
        </w:rPr>
      </w:pPr>
      <w:r w:rsidRPr="00E96D7E">
        <w:rPr>
          <w:rFonts w:eastAsiaTheme="minorHAnsi"/>
          <w:szCs w:val="22"/>
          <w:lang w:eastAsia="en-US"/>
        </w:rPr>
        <w:t xml:space="preserve">Vybudování </w:t>
      </w:r>
      <w:r w:rsidR="001A38A1">
        <w:rPr>
          <w:rFonts w:eastAsiaTheme="minorHAnsi"/>
          <w:szCs w:val="22"/>
          <w:lang w:eastAsia="en-US"/>
        </w:rPr>
        <w:t>S</w:t>
      </w:r>
      <w:r w:rsidRPr="00E96D7E">
        <w:rPr>
          <w:rFonts w:eastAsiaTheme="minorHAnsi"/>
          <w:szCs w:val="22"/>
          <w:lang w:eastAsia="en-US"/>
        </w:rPr>
        <w:t>polečnosti</w:t>
      </w:r>
      <w:r w:rsidR="00086441" w:rsidRPr="00E96D7E">
        <w:rPr>
          <w:rFonts w:eastAsiaTheme="minorHAnsi"/>
          <w:szCs w:val="22"/>
          <w:lang w:eastAsia="en-US"/>
        </w:rPr>
        <w:t xml:space="preserve"> 4.0</w:t>
      </w:r>
      <w:r w:rsidRPr="00E96D7E">
        <w:rPr>
          <w:rFonts w:eastAsiaTheme="minorHAnsi"/>
          <w:szCs w:val="22"/>
          <w:lang w:eastAsia="en-US"/>
        </w:rPr>
        <w:t xml:space="preserve"> a její fungování tak, aby byl maximálně využit synergický efekt všech aktérů</w:t>
      </w:r>
      <w:r w:rsidR="00086441" w:rsidRPr="00E96D7E">
        <w:rPr>
          <w:rFonts w:eastAsiaTheme="minorHAnsi"/>
          <w:szCs w:val="22"/>
          <w:lang w:eastAsia="en-US"/>
        </w:rPr>
        <w:t xml:space="preserve"> a eliminována rizika spojená s přechodem společnosti na tento nový způsob fungování</w:t>
      </w:r>
      <w:r w:rsidRPr="00E96D7E">
        <w:rPr>
          <w:rFonts w:eastAsiaTheme="minorHAnsi"/>
          <w:szCs w:val="22"/>
          <w:lang w:eastAsia="en-US"/>
        </w:rPr>
        <w:t xml:space="preserve">, znamená nutnost sladění </w:t>
      </w:r>
      <w:r w:rsidR="00086441" w:rsidRPr="00E96D7E">
        <w:rPr>
          <w:rFonts w:eastAsiaTheme="minorHAnsi"/>
          <w:szCs w:val="22"/>
          <w:lang w:eastAsia="en-US"/>
        </w:rPr>
        <w:t xml:space="preserve">této </w:t>
      </w:r>
      <w:r w:rsidRPr="00E96D7E">
        <w:rPr>
          <w:rFonts w:eastAsiaTheme="minorHAnsi"/>
          <w:szCs w:val="22"/>
          <w:lang w:eastAsia="en-US"/>
        </w:rPr>
        <w:t>agendy napříč společnost</w:t>
      </w:r>
      <w:r w:rsidR="00771E66" w:rsidRPr="00E96D7E">
        <w:rPr>
          <w:rFonts w:eastAsiaTheme="minorHAnsi"/>
          <w:szCs w:val="22"/>
          <w:lang w:eastAsia="en-US"/>
        </w:rPr>
        <w:t>í</w:t>
      </w:r>
      <w:r w:rsidRPr="00E96D7E">
        <w:rPr>
          <w:rFonts w:eastAsiaTheme="minorHAnsi"/>
          <w:szCs w:val="22"/>
          <w:lang w:eastAsia="en-US"/>
        </w:rPr>
        <w:t>. Bylo proto vymezeno pět pilířů, které určí směr koordinace do budoucna. Konkrétně se jedná o</w:t>
      </w:r>
      <w:r w:rsidR="00771E66" w:rsidRPr="00E96D7E">
        <w:rPr>
          <w:rFonts w:eastAsiaTheme="minorHAnsi"/>
          <w:szCs w:val="22"/>
          <w:lang w:eastAsia="en-US"/>
        </w:rPr>
        <w:t xml:space="preserve"> </w:t>
      </w:r>
      <w:r w:rsidRPr="00E96D7E">
        <w:rPr>
          <w:rFonts w:eastAsiaTheme="minorHAnsi"/>
          <w:szCs w:val="22"/>
          <w:lang w:eastAsia="en-US"/>
        </w:rPr>
        <w:t>pilíř</w:t>
      </w:r>
      <w:r w:rsidR="00771E66" w:rsidRPr="00E96D7E">
        <w:rPr>
          <w:rFonts w:eastAsiaTheme="minorHAnsi"/>
          <w:szCs w:val="22"/>
          <w:lang w:eastAsia="en-US"/>
        </w:rPr>
        <w:t>e:</w:t>
      </w:r>
      <w:r w:rsidRPr="00E96D7E">
        <w:rPr>
          <w:rFonts w:eastAsiaTheme="minorHAnsi"/>
          <w:szCs w:val="22"/>
          <w:lang w:eastAsia="en-US"/>
        </w:rPr>
        <w:t xml:space="preserve"> </w:t>
      </w:r>
      <w:r w:rsidR="0031091D" w:rsidRPr="00E96D7E">
        <w:rPr>
          <w:rFonts w:eastAsiaTheme="minorHAnsi"/>
          <w:szCs w:val="22"/>
          <w:lang w:eastAsia="en-US"/>
        </w:rPr>
        <w:t>(</w:t>
      </w:r>
      <w:r w:rsidR="00ED3089">
        <w:rPr>
          <w:rFonts w:eastAsiaTheme="minorHAnsi"/>
          <w:szCs w:val="22"/>
          <w:lang w:eastAsia="en-US"/>
        </w:rPr>
        <w:t>1</w:t>
      </w:r>
      <w:r w:rsidR="0031091D" w:rsidRPr="00E96D7E">
        <w:rPr>
          <w:rFonts w:eastAsiaTheme="minorHAnsi"/>
          <w:szCs w:val="22"/>
          <w:lang w:eastAsia="en-US"/>
        </w:rPr>
        <w:t xml:space="preserve">) </w:t>
      </w:r>
      <w:r w:rsidRPr="00E96D7E">
        <w:rPr>
          <w:rFonts w:eastAsiaTheme="minorHAnsi"/>
          <w:b/>
          <w:szCs w:val="22"/>
          <w:lang w:eastAsia="en-US"/>
        </w:rPr>
        <w:t>konektivit</w:t>
      </w:r>
      <w:r w:rsidR="00771E66" w:rsidRPr="00E96D7E">
        <w:rPr>
          <w:rFonts w:eastAsiaTheme="minorHAnsi"/>
          <w:b/>
          <w:szCs w:val="22"/>
          <w:lang w:eastAsia="en-US"/>
        </w:rPr>
        <w:t>a</w:t>
      </w:r>
      <w:r w:rsidRPr="00E96D7E">
        <w:rPr>
          <w:rFonts w:eastAsiaTheme="minorHAnsi"/>
          <w:b/>
          <w:szCs w:val="22"/>
          <w:lang w:eastAsia="en-US"/>
        </w:rPr>
        <w:t xml:space="preserve"> a mobilit</w:t>
      </w:r>
      <w:r w:rsidR="00771E66" w:rsidRPr="00E96D7E">
        <w:rPr>
          <w:rFonts w:eastAsiaTheme="minorHAnsi"/>
          <w:b/>
          <w:szCs w:val="22"/>
          <w:lang w:eastAsia="en-US"/>
        </w:rPr>
        <w:t>a</w:t>
      </w:r>
      <w:r w:rsidRPr="00E96D7E">
        <w:rPr>
          <w:rFonts w:eastAsiaTheme="minorHAnsi"/>
          <w:szCs w:val="22"/>
          <w:lang w:eastAsia="en-US"/>
        </w:rPr>
        <w:t xml:space="preserve">, </w:t>
      </w:r>
      <w:r w:rsidR="0031091D" w:rsidRPr="00E96D7E">
        <w:rPr>
          <w:rFonts w:eastAsiaTheme="minorHAnsi"/>
          <w:szCs w:val="22"/>
          <w:lang w:eastAsia="en-US"/>
        </w:rPr>
        <w:t>(</w:t>
      </w:r>
      <w:r w:rsidR="00ED3089">
        <w:rPr>
          <w:rFonts w:eastAsiaTheme="minorHAnsi"/>
          <w:szCs w:val="22"/>
          <w:lang w:eastAsia="en-US"/>
        </w:rPr>
        <w:t>2</w:t>
      </w:r>
      <w:r w:rsidR="0031091D" w:rsidRPr="00E96D7E">
        <w:rPr>
          <w:rFonts w:eastAsiaTheme="minorHAnsi"/>
          <w:szCs w:val="22"/>
          <w:lang w:eastAsia="en-US"/>
        </w:rPr>
        <w:t>)</w:t>
      </w:r>
      <w:r w:rsidR="0031091D" w:rsidRPr="00E96D7E">
        <w:rPr>
          <w:rFonts w:eastAsiaTheme="minorHAnsi"/>
          <w:b/>
          <w:szCs w:val="22"/>
          <w:lang w:eastAsia="en-US"/>
        </w:rPr>
        <w:t xml:space="preserve"> </w:t>
      </w:r>
      <w:r w:rsidRPr="00E96D7E">
        <w:rPr>
          <w:rFonts w:eastAsiaTheme="minorHAnsi"/>
          <w:b/>
          <w:szCs w:val="22"/>
          <w:lang w:eastAsia="en-US"/>
        </w:rPr>
        <w:t xml:space="preserve">vzdělávání a trh práce, </w:t>
      </w:r>
      <w:r w:rsidR="0031091D" w:rsidRPr="00E96D7E">
        <w:rPr>
          <w:rFonts w:eastAsiaTheme="minorHAnsi"/>
          <w:szCs w:val="22"/>
          <w:lang w:eastAsia="en-US"/>
        </w:rPr>
        <w:t>(</w:t>
      </w:r>
      <w:r w:rsidR="00ED3089">
        <w:rPr>
          <w:rFonts w:eastAsiaTheme="minorHAnsi"/>
          <w:szCs w:val="22"/>
          <w:lang w:eastAsia="en-US"/>
        </w:rPr>
        <w:t>3</w:t>
      </w:r>
      <w:r w:rsidR="0031091D" w:rsidRPr="00E96D7E">
        <w:rPr>
          <w:rFonts w:eastAsiaTheme="minorHAnsi"/>
          <w:szCs w:val="22"/>
          <w:lang w:eastAsia="en-US"/>
        </w:rPr>
        <w:t xml:space="preserve">) </w:t>
      </w:r>
      <w:r w:rsidRPr="00E96D7E">
        <w:rPr>
          <w:rFonts w:eastAsiaTheme="minorHAnsi"/>
          <w:b/>
          <w:szCs w:val="22"/>
          <w:lang w:eastAsia="en-US"/>
        </w:rPr>
        <w:t xml:space="preserve">elektronizace veřejné správy, </w:t>
      </w:r>
      <w:r w:rsidR="0031091D" w:rsidRPr="00E96D7E">
        <w:rPr>
          <w:rFonts w:eastAsiaTheme="minorHAnsi"/>
          <w:szCs w:val="22"/>
          <w:lang w:eastAsia="en-US"/>
        </w:rPr>
        <w:t>(</w:t>
      </w:r>
      <w:r w:rsidR="00ED3089">
        <w:rPr>
          <w:rFonts w:eastAsiaTheme="minorHAnsi"/>
          <w:szCs w:val="22"/>
          <w:lang w:eastAsia="en-US"/>
        </w:rPr>
        <w:t>4</w:t>
      </w:r>
      <w:r w:rsidR="0031091D" w:rsidRPr="00E96D7E">
        <w:rPr>
          <w:rFonts w:eastAsiaTheme="minorHAnsi"/>
          <w:szCs w:val="22"/>
          <w:lang w:eastAsia="en-US"/>
        </w:rPr>
        <w:t>)</w:t>
      </w:r>
      <w:r w:rsidR="0031091D" w:rsidRPr="00E96D7E">
        <w:rPr>
          <w:rFonts w:eastAsiaTheme="minorHAnsi"/>
          <w:b/>
          <w:szCs w:val="22"/>
          <w:lang w:eastAsia="en-US"/>
        </w:rPr>
        <w:t xml:space="preserve"> </w:t>
      </w:r>
      <w:r w:rsidRPr="00E96D7E">
        <w:rPr>
          <w:rFonts w:eastAsiaTheme="minorHAnsi"/>
          <w:b/>
          <w:szCs w:val="22"/>
          <w:lang w:eastAsia="en-US"/>
        </w:rPr>
        <w:t xml:space="preserve">bezpečnost </w:t>
      </w:r>
      <w:r w:rsidRPr="00E96D7E">
        <w:rPr>
          <w:rFonts w:eastAsiaTheme="minorHAnsi"/>
          <w:szCs w:val="22"/>
          <w:lang w:eastAsia="en-US"/>
        </w:rPr>
        <w:t xml:space="preserve">a </w:t>
      </w:r>
      <w:r w:rsidR="0031091D" w:rsidRPr="00E96D7E">
        <w:rPr>
          <w:rFonts w:eastAsiaTheme="minorHAnsi"/>
          <w:szCs w:val="22"/>
          <w:lang w:eastAsia="en-US"/>
        </w:rPr>
        <w:t>(</w:t>
      </w:r>
      <w:r w:rsidR="00ED3089">
        <w:rPr>
          <w:rFonts w:eastAsiaTheme="minorHAnsi"/>
          <w:szCs w:val="22"/>
          <w:lang w:eastAsia="en-US"/>
        </w:rPr>
        <w:t>5</w:t>
      </w:r>
      <w:r w:rsidR="0031091D" w:rsidRPr="00E96D7E">
        <w:rPr>
          <w:rFonts w:eastAsiaTheme="minorHAnsi"/>
          <w:szCs w:val="22"/>
          <w:lang w:eastAsia="en-US"/>
        </w:rPr>
        <w:t xml:space="preserve">) </w:t>
      </w:r>
      <w:r w:rsidR="00B74264" w:rsidRPr="00B710CF">
        <w:rPr>
          <w:rFonts w:eastAsiaTheme="minorHAnsi"/>
          <w:b/>
          <w:szCs w:val="22"/>
          <w:lang w:eastAsia="en-US"/>
        </w:rPr>
        <w:t xml:space="preserve">průmysl, </w:t>
      </w:r>
      <w:r w:rsidR="0064793F" w:rsidRPr="00B710CF">
        <w:rPr>
          <w:rFonts w:eastAsiaTheme="minorHAnsi"/>
          <w:b/>
          <w:szCs w:val="22"/>
          <w:lang w:eastAsia="en-US"/>
        </w:rPr>
        <w:t>podnikání</w:t>
      </w:r>
      <w:r w:rsidR="0064793F">
        <w:rPr>
          <w:rFonts w:eastAsiaTheme="minorHAnsi"/>
          <w:b/>
          <w:szCs w:val="22"/>
          <w:lang w:eastAsia="en-US"/>
        </w:rPr>
        <w:t xml:space="preserve"> a konkurenceschopnost</w:t>
      </w:r>
      <w:r w:rsidR="00491952" w:rsidRPr="00E96D7E">
        <w:rPr>
          <w:rFonts w:eastAsiaTheme="minorHAnsi"/>
          <w:szCs w:val="22"/>
          <w:lang w:eastAsia="en-US"/>
        </w:rPr>
        <w:t>.</w:t>
      </w:r>
    </w:p>
    <w:p w:rsidR="00A53D8C" w:rsidRPr="00E96D7E" w:rsidRDefault="00A53D8C" w:rsidP="00C63282">
      <w:pPr>
        <w:rPr>
          <w:rFonts w:eastAsiaTheme="minorHAnsi"/>
          <w:szCs w:val="22"/>
          <w:lang w:eastAsia="en-US"/>
        </w:rPr>
      </w:pPr>
      <w:r w:rsidRPr="00E96D7E">
        <w:rPr>
          <w:rFonts w:eastAsiaTheme="minorHAnsi"/>
          <w:szCs w:val="22"/>
          <w:lang w:eastAsia="en-US"/>
        </w:rPr>
        <w:t>Zároveň se snaží pojmout veškeré oblasti aktivit a změn, které nastanou a nastávají ve společnosti, ekonomice i chodu státních institucí způsobem, který umožňuje kromě jednoduše tematického členění i jasnější identifikaci zainteresovaných stran a různé důrazy či komunikaci s konkrétními gestory.</w:t>
      </w:r>
    </w:p>
    <w:p w:rsidR="00C77335" w:rsidRPr="00E96D7E" w:rsidRDefault="00C77335" w:rsidP="00C77335">
      <w:pPr>
        <w:rPr>
          <w:rFonts w:eastAsiaTheme="minorHAnsi"/>
          <w:szCs w:val="22"/>
          <w:lang w:eastAsia="en-US"/>
        </w:rPr>
      </w:pPr>
      <w:r w:rsidRPr="00E96D7E">
        <w:rPr>
          <w:rFonts w:eastAsiaTheme="minorHAnsi"/>
          <w:szCs w:val="22"/>
          <w:lang w:eastAsia="en-US"/>
        </w:rPr>
        <w:t xml:space="preserve">Pilíře, oblasti a aktivity, které obsahují, spolu úzce vzájemně souvisí a není možné je vytvářet jedno bez druhého. </w:t>
      </w:r>
      <w:r w:rsidR="00B74264">
        <w:rPr>
          <w:rFonts w:eastAsiaTheme="minorHAnsi"/>
          <w:b/>
          <w:szCs w:val="22"/>
          <w:lang w:eastAsia="en-US"/>
        </w:rPr>
        <w:t>Modernizace průmyslu, r</w:t>
      </w:r>
      <w:r w:rsidR="00F1747F" w:rsidRPr="00E96D7E">
        <w:rPr>
          <w:rFonts w:eastAsiaTheme="minorHAnsi"/>
          <w:b/>
          <w:szCs w:val="22"/>
          <w:lang w:eastAsia="en-US"/>
        </w:rPr>
        <w:t xml:space="preserve">ozvoj </w:t>
      </w:r>
      <w:r w:rsidR="0008321E">
        <w:rPr>
          <w:rFonts w:eastAsiaTheme="minorHAnsi"/>
          <w:b/>
          <w:szCs w:val="22"/>
          <w:lang w:eastAsia="en-US"/>
        </w:rPr>
        <w:t>podnikání a konkurenceschopnosti</w:t>
      </w:r>
      <w:r w:rsidR="00F1747F" w:rsidRPr="00E96D7E">
        <w:rPr>
          <w:rFonts w:eastAsiaTheme="minorHAnsi"/>
          <w:szCs w:val="22"/>
          <w:lang w:eastAsia="en-US"/>
        </w:rPr>
        <w:t xml:space="preserve"> </w:t>
      </w:r>
      <w:r w:rsidRPr="00E96D7E">
        <w:rPr>
          <w:rFonts w:eastAsiaTheme="minorHAnsi"/>
          <w:szCs w:val="22"/>
          <w:lang w:eastAsia="en-US"/>
        </w:rPr>
        <w:t xml:space="preserve">by měl ve svém důsledku přispět k růstu životní úrovně a blahobytu společnosti. K tomu, abychom výhod digitální doby, nových technologií a toho, co přinášejí, dokázali jako společnost plně využít, potřebujeme však </w:t>
      </w:r>
      <w:r w:rsidRPr="00E96D7E">
        <w:rPr>
          <w:rFonts w:eastAsiaTheme="minorHAnsi"/>
          <w:b/>
          <w:szCs w:val="22"/>
          <w:lang w:eastAsia="en-US"/>
        </w:rPr>
        <w:t>rozvíjet relevantní schopnosti a vědomosti členů společnosti a vytvářet moderní trh práce s vysokými standardy</w:t>
      </w:r>
      <w:r w:rsidRPr="00E96D7E">
        <w:rPr>
          <w:rFonts w:eastAsiaTheme="minorHAnsi"/>
          <w:szCs w:val="22"/>
          <w:lang w:eastAsia="en-US"/>
        </w:rPr>
        <w:t>. Potřebujeme také „digitálně chytré“ spotřebitele, jejichž práva jsou platná a aktuální i v digitální době a kteří o svých právech vědí a jsou motivováni jejich dodržování vymáhat. Jedině tak zajistíme, aby rozvoj a ekonomický růst v této oblasti byl inkluzivní a zajistil vyšší stabilitu společnosti.</w:t>
      </w:r>
    </w:p>
    <w:p w:rsidR="00891C63" w:rsidRPr="00E96D7E" w:rsidRDefault="00CD117A" w:rsidP="00C63282">
      <w:pPr>
        <w:rPr>
          <w:rFonts w:eastAsiaTheme="minorHAnsi"/>
          <w:szCs w:val="22"/>
          <w:lang w:eastAsia="en-US"/>
        </w:rPr>
      </w:pPr>
      <w:r w:rsidRPr="00E96D7E">
        <w:rPr>
          <w:rFonts w:eastAsiaTheme="minorHAnsi"/>
          <w:szCs w:val="22"/>
          <w:lang w:eastAsia="en-US"/>
        </w:rPr>
        <w:t xml:space="preserve">Kromě </w:t>
      </w:r>
      <w:r w:rsidR="00B91294" w:rsidRPr="00E96D7E">
        <w:rPr>
          <w:rFonts w:eastAsiaTheme="minorHAnsi"/>
          <w:szCs w:val="22"/>
          <w:lang w:eastAsia="en-US"/>
        </w:rPr>
        <w:t>pozornosti věnované těmto dvěma základním</w:t>
      </w:r>
      <w:r w:rsidR="008433A4" w:rsidRPr="00E96D7E">
        <w:rPr>
          <w:rFonts w:eastAsiaTheme="minorHAnsi"/>
          <w:szCs w:val="22"/>
          <w:lang w:eastAsia="en-US"/>
        </w:rPr>
        <w:t xml:space="preserve"> </w:t>
      </w:r>
      <w:r w:rsidR="00B91294" w:rsidRPr="00E96D7E">
        <w:rPr>
          <w:rFonts w:eastAsiaTheme="minorHAnsi"/>
          <w:szCs w:val="22"/>
          <w:lang w:eastAsia="en-US"/>
        </w:rPr>
        <w:t>ekonomickým a celospolečenským</w:t>
      </w:r>
      <w:r w:rsidR="008433A4" w:rsidRPr="00E96D7E">
        <w:rPr>
          <w:rFonts w:eastAsiaTheme="minorHAnsi"/>
          <w:szCs w:val="22"/>
          <w:lang w:eastAsia="en-US"/>
        </w:rPr>
        <w:t xml:space="preserve"> </w:t>
      </w:r>
      <w:r w:rsidR="00B91294" w:rsidRPr="00E96D7E">
        <w:rPr>
          <w:rFonts w:eastAsiaTheme="minorHAnsi"/>
          <w:szCs w:val="22"/>
          <w:lang w:eastAsia="en-US"/>
        </w:rPr>
        <w:t xml:space="preserve">otázkám změny naši společnosti </w:t>
      </w:r>
      <w:r w:rsidR="008433A4" w:rsidRPr="00E96D7E">
        <w:rPr>
          <w:rFonts w:eastAsiaTheme="minorHAnsi"/>
          <w:szCs w:val="22"/>
          <w:lang w:eastAsia="en-US"/>
        </w:rPr>
        <w:t xml:space="preserve">je pak nutné zajistit kvalitní rámec pro modernizaci a digitalizaci, na kterém je možné Společnost 4.0 rozvíjet. </w:t>
      </w:r>
      <w:r w:rsidR="003D2999" w:rsidRPr="00E96D7E">
        <w:rPr>
          <w:rFonts w:eastAsiaTheme="minorHAnsi"/>
          <w:szCs w:val="22"/>
          <w:lang w:eastAsia="en-US"/>
        </w:rPr>
        <w:t>K tomu, aby online sféra dobře fungovala</w:t>
      </w:r>
      <w:r w:rsidR="001A38A1">
        <w:rPr>
          <w:rFonts w:eastAsiaTheme="minorHAnsi"/>
          <w:szCs w:val="22"/>
          <w:lang w:eastAsia="en-US"/>
        </w:rPr>
        <w:t xml:space="preserve">, </w:t>
      </w:r>
      <w:r w:rsidR="003D2999" w:rsidRPr="00E96D7E">
        <w:rPr>
          <w:rFonts w:eastAsiaTheme="minorHAnsi"/>
          <w:szCs w:val="22"/>
          <w:lang w:eastAsia="en-US"/>
        </w:rPr>
        <w:t xml:space="preserve">a aby v ní občané měli důvěru, je klíčové </w:t>
      </w:r>
      <w:r w:rsidR="003D2999" w:rsidRPr="00E96D7E">
        <w:rPr>
          <w:rFonts w:eastAsiaTheme="minorHAnsi"/>
          <w:b/>
          <w:szCs w:val="22"/>
          <w:lang w:eastAsia="en-US"/>
        </w:rPr>
        <w:t>zajistit bezpečnost v</w:t>
      </w:r>
      <w:r w:rsidR="002E76F3" w:rsidRPr="00E96D7E">
        <w:rPr>
          <w:rFonts w:eastAsiaTheme="minorHAnsi"/>
          <w:b/>
          <w:szCs w:val="22"/>
          <w:lang w:eastAsia="en-US"/>
        </w:rPr>
        <w:t xml:space="preserve"> internetovém</w:t>
      </w:r>
      <w:r w:rsidR="003D2999" w:rsidRPr="00E96D7E">
        <w:rPr>
          <w:rFonts w:eastAsiaTheme="minorHAnsi"/>
          <w:b/>
          <w:szCs w:val="22"/>
          <w:lang w:eastAsia="en-US"/>
        </w:rPr>
        <w:t> prostředí</w:t>
      </w:r>
      <w:r w:rsidR="003D2999" w:rsidRPr="00E96D7E">
        <w:rPr>
          <w:rFonts w:eastAsiaTheme="minorHAnsi"/>
          <w:szCs w:val="22"/>
          <w:lang w:eastAsia="en-US"/>
        </w:rPr>
        <w:t>. Jedná se jak o obranu proti kybernetickým útokům a zajištění efektivní a kvalitní kybernetické infrastruktury, tak o ochranu soukromí a osobních údajů uživatelů. Na moderní dobu se musí adaptovat i stát</w:t>
      </w:r>
      <w:r w:rsidR="008433A4" w:rsidRPr="00E96D7E">
        <w:rPr>
          <w:rFonts w:eastAsiaTheme="minorHAnsi"/>
          <w:szCs w:val="22"/>
          <w:lang w:eastAsia="en-US"/>
        </w:rPr>
        <w:t>. Musí s ní komunikovat a počítat s ní ve svém fungování i vývoji</w:t>
      </w:r>
      <w:r w:rsidR="003D2999" w:rsidRPr="00E96D7E">
        <w:rPr>
          <w:rFonts w:eastAsiaTheme="minorHAnsi"/>
          <w:szCs w:val="22"/>
          <w:lang w:eastAsia="en-US"/>
        </w:rPr>
        <w:t xml:space="preserve">. </w:t>
      </w:r>
      <w:r w:rsidR="003D2999" w:rsidRPr="00E96D7E">
        <w:rPr>
          <w:rFonts w:eastAsiaTheme="minorHAnsi"/>
          <w:b/>
          <w:szCs w:val="22"/>
          <w:lang w:eastAsia="en-US"/>
        </w:rPr>
        <w:t>Elektronizace a uživatelská přívětivost veřejné správy</w:t>
      </w:r>
      <w:r w:rsidR="003D2999" w:rsidRPr="00E96D7E">
        <w:rPr>
          <w:rFonts w:eastAsiaTheme="minorHAnsi"/>
          <w:szCs w:val="22"/>
          <w:lang w:eastAsia="en-US"/>
        </w:rPr>
        <w:t xml:space="preserve"> je v tomto klíčová. V</w:t>
      </w:r>
      <w:r w:rsidR="002E76F3" w:rsidRPr="00E96D7E">
        <w:rPr>
          <w:rFonts w:eastAsiaTheme="minorHAnsi"/>
          <w:szCs w:val="22"/>
          <w:lang w:eastAsia="en-US"/>
        </w:rPr>
        <w:t> </w:t>
      </w:r>
      <w:r w:rsidR="003D2999" w:rsidRPr="00E96D7E">
        <w:rPr>
          <w:rFonts w:eastAsiaTheme="minorHAnsi"/>
          <w:szCs w:val="22"/>
          <w:lang w:eastAsia="en-US"/>
        </w:rPr>
        <w:t>neposlední</w:t>
      </w:r>
      <w:r w:rsidR="002E76F3" w:rsidRPr="00E96D7E">
        <w:rPr>
          <w:rFonts w:eastAsiaTheme="minorHAnsi"/>
          <w:szCs w:val="22"/>
          <w:lang w:eastAsia="en-US"/>
        </w:rPr>
        <w:t xml:space="preserve"> </w:t>
      </w:r>
      <w:r w:rsidR="003D2999" w:rsidRPr="00E96D7E">
        <w:rPr>
          <w:rFonts w:eastAsiaTheme="minorHAnsi"/>
          <w:szCs w:val="22"/>
          <w:lang w:eastAsia="en-US"/>
        </w:rPr>
        <w:t>řadě</w:t>
      </w:r>
      <w:r w:rsidR="002E76F3" w:rsidRPr="00E96D7E">
        <w:rPr>
          <w:rFonts w:eastAsiaTheme="minorHAnsi"/>
          <w:szCs w:val="22"/>
          <w:lang w:eastAsia="en-US"/>
        </w:rPr>
        <w:t xml:space="preserve"> je </w:t>
      </w:r>
      <w:r w:rsidR="003D2999" w:rsidRPr="00E96D7E">
        <w:rPr>
          <w:rFonts w:eastAsiaTheme="minorHAnsi"/>
          <w:szCs w:val="22"/>
          <w:lang w:eastAsia="en-US"/>
        </w:rPr>
        <w:t xml:space="preserve">nezbytnou podmínkou rychlého rozvoje digitální ekonomiky propojenost. </w:t>
      </w:r>
      <w:r w:rsidR="003D2999" w:rsidRPr="00E96D7E">
        <w:rPr>
          <w:rFonts w:eastAsiaTheme="minorHAnsi"/>
          <w:b/>
          <w:szCs w:val="22"/>
          <w:lang w:eastAsia="en-US"/>
        </w:rPr>
        <w:t>Kvalitní internetová infrastruktura a rozvíjení digitální mobility</w:t>
      </w:r>
      <w:r w:rsidR="003D2999" w:rsidRPr="00E96D7E">
        <w:rPr>
          <w:rFonts w:eastAsiaTheme="minorHAnsi"/>
          <w:szCs w:val="22"/>
          <w:lang w:eastAsia="en-US"/>
        </w:rPr>
        <w:t xml:space="preserve"> tak tvoří další z pilířů digitální agendy.</w:t>
      </w:r>
    </w:p>
    <w:p w:rsidR="00CF3676" w:rsidRDefault="00C77335" w:rsidP="00CF3676">
      <w:pPr>
        <w:rPr>
          <w:rFonts w:eastAsiaTheme="minorHAnsi"/>
          <w:szCs w:val="22"/>
          <w:lang w:eastAsia="en-US"/>
        </w:rPr>
      </w:pPr>
      <w:r w:rsidRPr="00E96D7E">
        <w:rPr>
          <w:rFonts w:eastAsiaTheme="minorHAnsi"/>
          <w:szCs w:val="22"/>
          <w:lang w:eastAsia="en-US"/>
        </w:rPr>
        <w:t xml:space="preserve">V rámci pilíře </w:t>
      </w:r>
      <w:r w:rsidRPr="00E96D7E">
        <w:rPr>
          <w:rFonts w:eastAsiaTheme="minorHAnsi"/>
          <w:b/>
          <w:szCs w:val="22"/>
          <w:lang w:eastAsia="en-US"/>
        </w:rPr>
        <w:t>č. 1. Konektivita a mobilita</w:t>
      </w:r>
      <w:r w:rsidRPr="00E96D7E">
        <w:rPr>
          <w:rFonts w:eastAsiaTheme="minorHAnsi"/>
          <w:szCs w:val="22"/>
          <w:lang w:eastAsia="en-US"/>
        </w:rPr>
        <w:t xml:space="preserve"> se jedná především o úkoly související s rozvojem infrastruktury, budováním internetových sítí, digitalizací dopravy, rozvojem kosmických technologií </w:t>
      </w:r>
      <w:r w:rsidR="001A3EFF">
        <w:rPr>
          <w:rFonts w:eastAsiaTheme="minorHAnsi"/>
          <w:szCs w:val="22"/>
          <w:lang w:eastAsia="en-US"/>
        </w:rPr>
        <w:t xml:space="preserve">a aplikací </w:t>
      </w:r>
      <w:r w:rsidRPr="00E96D7E">
        <w:rPr>
          <w:rFonts w:eastAsiaTheme="minorHAnsi"/>
          <w:szCs w:val="22"/>
          <w:lang w:eastAsia="en-US"/>
        </w:rPr>
        <w:t xml:space="preserve">nebo digitalizací televizního vysílání. </w:t>
      </w:r>
      <w:r w:rsidR="0092404B" w:rsidRPr="00E96D7E">
        <w:rPr>
          <w:rFonts w:eastAsiaTheme="minorHAnsi"/>
          <w:szCs w:val="22"/>
          <w:lang w:eastAsia="en-US"/>
        </w:rPr>
        <w:t>Z hlediska pilíře</w:t>
      </w:r>
      <w:r w:rsidR="0092404B" w:rsidRPr="00E96D7E">
        <w:rPr>
          <w:rFonts w:eastAsiaTheme="minorHAnsi"/>
          <w:b/>
          <w:szCs w:val="22"/>
          <w:lang w:eastAsia="en-US"/>
        </w:rPr>
        <w:t xml:space="preserve"> č. 2. Vzdělávání a trh práce</w:t>
      </w:r>
      <w:r w:rsidR="0092404B" w:rsidRPr="00E96D7E">
        <w:rPr>
          <w:rFonts w:eastAsiaTheme="minorHAnsi"/>
          <w:szCs w:val="22"/>
          <w:lang w:eastAsia="en-US"/>
        </w:rPr>
        <w:t xml:space="preserve"> se budeme převážně věnovat </w:t>
      </w:r>
      <w:r w:rsidR="00C9729D">
        <w:rPr>
          <w:rFonts w:eastAsiaTheme="minorHAnsi"/>
          <w:szCs w:val="22"/>
          <w:lang w:eastAsia="en-US"/>
        </w:rPr>
        <w:t xml:space="preserve">modernizaci počátečního vzdělávání, </w:t>
      </w:r>
      <w:r w:rsidR="0092404B" w:rsidRPr="00E96D7E">
        <w:rPr>
          <w:rFonts w:eastAsiaTheme="minorHAnsi"/>
          <w:szCs w:val="22"/>
          <w:lang w:eastAsia="en-US"/>
        </w:rPr>
        <w:t xml:space="preserve">podpoře dalšího vzdělávání, nastavení podmínek na trhu práce v souvislosti s technologickými změnami a </w:t>
      </w:r>
      <w:r w:rsidR="00195D17" w:rsidRPr="00E96D7E">
        <w:rPr>
          <w:szCs w:val="22"/>
        </w:rPr>
        <w:t xml:space="preserve">případnému nastavení </w:t>
      </w:r>
      <w:r w:rsidR="0092404B" w:rsidRPr="00E96D7E">
        <w:rPr>
          <w:rFonts w:eastAsiaTheme="minorHAnsi"/>
          <w:szCs w:val="22"/>
          <w:lang w:eastAsia="en-US"/>
        </w:rPr>
        <w:t xml:space="preserve">regulačního rámce pro dopady technologických změn na trhu práce. </w:t>
      </w:r>
      <w:r w:rsidRPr="00E96D7E">
        <w:rPr>
          <w:rFonts w:eastAsiaTheme="minorHAnsi"/>
          <w:szCs w:val="22"/>
          <w:lang w:eastAsia="en-US"/>
        </w:rPr>
        <w:t xml:space="preserve">Pilíř </w:t>
      </w:r>
      <w:r w:rsidRPr="00E96D7E">
        <w:rPr>
          <w:rFonts w:eastAsiaTheme="minorHAnsi"/>
          <w:b/>
          <w:szCs w:val="22"/>
          <w:lang w:eastAsia="en-US"/>
        </w:rPr>
        <w:t>č. 3 Elektronizace veřejné správy</w:t>
      </w:r>
      <w:r w:rsidRPr="00E96D7E">
        <w:rPr>
          <w:rFonts w:eastAsiaTheme="minorHAnsi"/>
          <w:szCs w:val="22"/>
          <w:lang w:eastAsia="en-US"/>
        </w:rPr>
        <w:t xml:space="preserve"> míří k zrychlení procesu digitalizace v některých oblastech veřejné správy jako je správa daní, zdravotnictví nebo celní správa a k prosazování některých principů a hodnot digitalizace veřejné správy (dostupnost a transparentnost, open data, systém hodnocení veřejné správy). Pilíř </w:t>
      </w:r>
      <w:r w:rsidRPr="00E96D7E">
        <w:rPr>
          <w:rFonts w:eastAsiaTheme="minorHAnsi"/>
          <w:b/>
          <w:szCs w:val="22"/>
          <w:lang w:eastAsia="en-US"/>
        </w:rPr>
        <w:t>č. 4</w:t>
      </w:r>
      <w:r w:rsidR="00D1793E" w:rsidRPr="00E96D7E">
        <w:rPr>
          <w:rFonts w:eastAsiaTheme="minorHAnsi"/>
          <w:b/>
          <w:szCs w:val="22"/>
          <w:lang w:eastAsia="en-US"/>
        </w:rPr>
        <w:t>.</w:t>
      </w:r>
      <w:r w:rsidRPr="00E96D7E">
        <w:rPr>
          <w:rFonts w:eastAsiaTheme="minorHAnsi"/>
          <w:b/>
          <w:szCs w:val="22"/>
          <w:lang w:eastAsia="en-US"/>
        </w:rPr>
        <w:t xml:space="preserve"> Bezpečnost</w:t>
      </w:r>
      <w:r w:rsidRPr="00E96D7E">
        <w:rPr>
          <w:rFonts w:eastAsiaTheme="minorHAnsi"/>
          <w:szCs w:val="22"/>
          <w:lang w:eastAsia="en-US"/>
        </w:rPr>
        <w:t xml:space="preserve"> obsahuje aktivity vedoucí k zajištění kybernetické bezpečnosti a ochranu soukromí a osobních údajů. </w:t>
      </w:r>
      <w:r w:rsidR="00CF3676" w:rsidRPr="00E96D7E">
        <w:rPr>
          <w:rFonts w:eastAsiaTheme="minorHAnsi"/>
          <w:szCs w:val="22"/>
          <w:lang w:eastAsia="en-US"/>
        </w:rPr>
        <w:t>Pilíř č</w:t>
      </w:r>
      <w:r w:rsidR="00CF3676" w:rsidRPr="00E96D7E">
        <w:rPr>
          <w:rFonts w:eastAsiaTheme="minorHAnsi"/>
          <w:b/>
          <w:szCs w:val="22"/>
          <w:lang w:eastAsia="en-US"/>
        </w:rPr>
        <w:t>. 5.</w:t>
      </w:r>
      <w:r w:rsidR="00CF3676" w:rsidRPr="00E96D7E">
        <w:rPr>
          <w:b/>
          <w:szCs w:val="22"/>
        </w:rPr>
        <w:t xml:space="preserve"> </w:t>
      </w:r>
      <w:r w:rsidR="0008321E">
        <w:rPr>
          <w:b/>
          <w:szCs w:val="22"/>
        </w:rPr>
        <w:t>P</w:t>
      </w:r>
      <w:r w:rsidR="00B74264">
        <w:rPr>
          <w:b/>
          <w:szCs w:val="22"/>
        </w:rPr>
        <w:t>růmysl, p</w:t>
      </w:r>
      <w:r w:rsidR="0008321E">
        <w:rPr>
          <w:b/>
          <w:szCs w:val="22"/>
        </w:rPr>
        <w:t>odnikání a konkurenceschopnost</w:t>
      </w:r>
      <w:r w:rsidR="00CF3676" w:rsidRPr="004E399E">
        <w:rPr>
          <w:rFonts w:eastAsiaTheme="minorHAnsi"/>
          <w:szCs w:val="22"/>
          <w:lang w:eastAsia="en-US"/>
        </w:rPr>
        <w:t xml:space="preserve"> se bude zabývat důležitými tématy</w:t>
      </w:r>
      <w:r w:rsidR="00CF3676">
        <w:rPr>
          <w:rFonts w:eastAsiaTheme="minorHAnsi"/>
          <w:szCs w:val="22"/>
          <w:lang w:eastAsia="en-US"/>
        </w:rPr>
        <w:t xml:space="preserve"> souvisejícími nejen s Průmyslem 4.0, ale i s dalšími aspekty digitální </w:t>
      </w:r>
      <w:r w:rsidR="00CF3676">
        <w:rPr>
          <w:rFonts w:eastAsiaTheme="minorHAnsi"/>
          <w:szCs w:val="22"/>
          <w:lang w:eastAsia="en-US"/>
        </w:rPr>
        <w:lastRenderedPageBreak/>
        <w:t>ekonomiky</w:t>
      </w:r>
      <w:r w:rsidR="00CF3676" w:rsidRPr="004E399E">
        <w:rPr>
          <w:rFonts w:eastAsiaTheme="minorHAnsi"/>
          <w:szCs w:val="22"/>
          <w:lang w:eastAsia="en-US"/>
        </w:rPr>
        <w:t>, jako jsou start-</w:t>
      </w:r>
      <w:proofErr w:type="spellStart"/>
      <w:r w:rsidR="00CF3676" w:rsidRPr="004E399E">
        <w:rPr>
          <w:rFonts w:eastAsiaTheme="minorHAnsi"/>
          <w:szCs w:val="22"/>
          <w:lang w:eastAsia="en-US"/>
        </w:rPr>
        <w:t>upy</w:t>
      </w:r>
      <w:proofErr w:type="spellEnd"/>
      <w:r w:rsidR="00CF3676" w:rsidRPr="004E399E">
        <w:rPr>
          <w:rFonts w:eastAsiaTheme="minorHAnsi"/>
          <w:szCs w:val="22"/>
          <w:lang w:eastAsia="en-US"/>
        </w:rPr>
        <w:t>, online platformy</w:t>
      </w:r>
      <w:r w:rsidR="0008321E">
        <w:rPr>
          <w:rFonts w:eastAsiaTheme="minorHAnsi"/>
          <w:szCs w:val="22"/>
          <w:lang w:eastAsia="en-US"/>
        </w:rPr>
        <w:t>,</w:t>
      </w:r>
      <w:r w:rsidR="00CF3676">
        <w:rPr>
          <w:rFonts w:eastAsiaTheme="minorHAnsi"/>
          <w:szCs w:val="22"/>
          <w:lang w:eastAsia="en-US"/>
        </w:rPr>
        <w:t xml:space="preserve"> </w:t>
      </w:r>
      <w:r w:rsidR="00CF3676" w:rsidRPr="004E399E">
        <w:rPr>
          <w:rFonts w:eastAsiaTheme="minorHAnsi"/>
          <w:szCs w:val="22"/>
          <w:lang w:eastAsia="en-US"/>
        </w:rPr>
        <w:t>sdílená ekonomika</w:t>
      </w:r>
      <w:r w:rsidR="0008321E">
        <w:rPr>
          <w:rFonts w:eastAsiaTheme="minorHAnsi"/>
          <w:szCs w:val="22"/>
          <w:lang w:eastAsia="en-US"/>
        </w:rPr>
        <w:t xml:space="preserve"> či digitalizace stavebnictví</w:t>
      </w:r>
      <w:r w:rsidR="00CF3676">
        <w:rPr>
          <w:rFonts w:eastAsiaTheme="minorHAnsi"/>
          <w:szCs w:val="22"/>
          <w:lang w:eastAsia="en-US"/>
        </w:rPr>
        <w:t xml:space="preserve">. </w:t>
      </w:r>
    </w:p>
    <w:p w:rsidR="00402FF3" w:rsidRDefault="00402FF3" w:rsidP="00CF3676">
      <w:pPr>
        <w:rPr>
          <w:rFonts w:eastAsiaTheme="minorHAnsi"/>
          <w:szCs w:val="22"/>
          <w:lang w:eastAsia="en-US"/>
        </w:rPr>
      </w:pPr>
    </w:p>
    <w:p w:rsidR="00CF3676" w:rsidRPr="00402FF3" w:rsidRDefault="00CF3676" w:rsidP="00402FF3">
      <w:pPr>
        <w:rPr>
          <w:b/>
          <w:lang w:eastAsia="en-US"/>
        </w:rPr>
      </w:pPr>
      <w:r w:rsidRPr="00402FF3">
        <w:rPr>
          <w:b/>
          <w:lang w:eastAsia="en-US"/>
        </w:rPr>
        <w:t>Základní schéma pilířů Společnosti 4.0</w:t>
      </w:r>
    </w:p>
    <w:p w:rsidR="002A7EFB" w:rsidRDefault="002A7EFB" w:rsidP="00CF3676">
      <w:pPr>
        <w:rPr>
          <w:rFonts w:eastAsiaTheme="minorHAnsi"/>
          <w:noProof/>
          <w:szCs w:val="22"/>
        </w:rPr>
      </w:pPr>
    </w:p>
    <w:p w:rsidR="00402FF3" w:rsidRDefault="00836CA6" w:rsidP="00184281">
      <w:pPr>
        <w:rPr>
          <w:rFonts w:eastAsiaTheme="minorHAnsi"/>
          <w:szCs w:val="22"/>
          <w:lang w:eastAsia="en-US"/>
        </w:rPr>
      </w:pPr>
      <w:r>
        <w:rPr>
          <w:rFonts w:eastAsiaTheme="minorHAnsi"/>
          <w:noProof/>
          <w:szCs w:val="22"/>
        </w:rPr>
      </w:r>
      <w:r>
        <w:rPr>
          <w:rFonts w:eastAsiaTheme="minorHAnsi"/>
          <w:noProof/>
          <w:szCs w:val="22"/>
        </w:rPr>
        <w:pict>
          <v:group id="Skupina 36" o:spid="_x0000_s1049" style="width:382.25pt;height:336.75pt;mso-position-horizontal-relative:char;mso-position-vertical-relative:line" coordsize="46085,38013">
            <v:shape id="TextovéPole 10" o:spid="_x0000_s1053" type="#_x0000_t202" style="position:absolute;left:7843;top:9275;width:11356;height:5256;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2PBcQA&#10;AADbAAAADwAAAGRycy9kb3ducmV2LnhtbESPX2vCMBTF3wd+h3CFvc3UwWRUo4ggjg1hU0F8uzbX&#10;ptjclCRq66dfBgMfD+fPjzOZtbYWV/KhcqxgOMhAEBdOV1wq2G2XL+8gQkTWWDsmBR0FmE17TxPM&#10;tbvxD103sRRphEOOCkyMTS5lKAxZDAPXECfv5LzFmKQvpfZ4S+O2lq9ZNpIWK04Egw0tDBXnzcUm&#10;yOF7/2WatZd6d1+sLsdu/5l1Sj332/kYRKQ2PsL/7Q+tYPQGf1/SD5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NjwXEAAAA2wAAAA8AAAAAAAAAAAAAAAAAmAIAAGRycy9k&#10;b3ducmV2LnhtbFBLBQYAAAAABAAEAPUAAACJAwAAAAA=&#10;" fillcolor="white [3212]" strokecolor="white [3212]">
              <v:textbox style="mso-fit-shape-to-text:t">
                <w:txbxContent>
                  <w:p w:rsidR="006B75E3" w:rsidRDefault="006B75E3" w:rsidP="003B7110">
                    <w:pPr>
                      <w:pStyle w:val="Normlnweb"/>
                      <w:spacing w:before="0" w:beforeAutospacing="0" w:after="0" w:afterAutospacing="0"/>
                      <w:jc w:val="center"/>
                    </w:pPr>
                    <w:r>
                      <w:rPr>
                        <w:rFonts w:ascii="Calibri Light" w:hAnsi="Calibri Light" w:cs="Arial"/>
                        <w:color w:val="000000" w:themeColor="text1"/>
                        <w:kern w:val="24"/>
                        <w:sz w:val="20"/>
                        <w:szCs w:val="20"/>
                      </w:rPr>
                      <w:t xml:space="preserve">Průmysl, podnikání </w:t>
                    </w:r>
                  </w:p>
                  <w:p w:rsidR="006B75E3" w:rsidRDefault="006B75E3" w:rsidP="003B7110">
                    <w:pPr>
                      <w:pStyle w:val="Normlnweb"/>
                      <w:spacing w:before="0" w:beforeAutospacing="0" w:after="0" w:afterAutospacing="0"/>
                      <w:jc w:val="center"/>
                    </w:pPr>
                    <w:r>
                      <w:rPr>
                        <w:rFonts w:ascii="Calibri Light" w:hAnsi="Calibri Light" w:cs="Arial"/>
                        <w:color w:val="000000" w:themeColor="text1"/>
                        <w:kern w:val="24"/>
                        <w:sz w:val="20"/>
                        <w:szCs w:val="20"/>
                      </w:rPr>
                      <w:t xml:space="preserve">a </w:t>
                    </w:r>
                  </w:p>
                  <w:p w:rsidR="006B75E3" w:rsidRDefault="006B75E3" w:rsidP="003B7110">
                    <w:pPr>
                      <w:pStyle w:val="Normlnweb"/>
                      <w:spacing w:before="0" w:beforeAutospacing="0" w:after="0" w:afterAutospacing="0"/>
                      <w:jc w:val="center"/>
                    </w:pPr>
                    <w:r>
                      <w:rPr>
                        <w:rFonts w:ascii="Calibri Light" w:hAnsi="Calibri Light" w:cs="Arial"/>
                        <w:color w:val="000000" w:themeColor="text1"/>
                        <w:kern w:val="24"/>
                        <w:sz w:val="20"/>
                        <w:szCs w:val="20"/>
                      </w:rPr>
                      <w:t>konkurenceschopnost</w:t>
                    </w:r>
                  </w:p>
                </w:txbxContent>
              </v:textbox>
            </v:shape>
            <v:rect id="Obdélník 66" o:spid="_x0000_s1052" style="position:absolute;top:22612;width:46085;height:1177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YrD8QA&#10;AADbAAAADwAAAGRycy9kb3ducmV2LnhtbESPQWvCQBSE74L/YXlCb7qxh1Ciq1hBKFgLMVro7bH7&#10;mqTNvg3ZVaO/3i0UPA4z8w0zX/a2EWfqfO1YwXSSgCDWztRcKjgUm/ELCB+QDTaOScGVPCwXw8Ec&#10;M+MunNN5H0oRIewzVFCF0GZSel2RRT9xLXH0vl1nMUTZldJ0eIlw28jnJEmlxZrjQoUtrSvSv/uT&#10;VUDHz5/89rXVH+965XJeh+K12Cn1NOpXMxCB+vAI/7ffjII0hb8v8Qf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2Kw/EAAAA2wAAAA8AAAAAAAAAAAAAAAAAmAIAAGRycy9k&#10;b3ducmV2LnhtbFBLBQYAAAAABAAEAPUAAACJAwAAAAA=&#10;" filled="f" strokecolor="#243f60 [1604]" strokeweight="2pt"/>
            <v:rect id="Obdélník 67" o:spid="_x0000_s1051" style="position:absolute;top:34386;width:46085;height:362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qOlMUA&#10;AADbAAAADwAAAGRycy9kb3ducmV2LnhtbESPQWvCQBSE74X+h+UVems29aCSuooVCkJViGkFb4/d&#10;ZxKbfRuyq6b99a4g9DjMzDfMZNbbRpyp87VjBa9JCoJYO1NzqeCr+HgZg/AB2WDjmBT8kofZ9PFh&#10;gplxF87pvA2liBD2GSqoQmgzKb2uyKJPXEscvYPrLIYou1KaDi8Rbhs5SNOhtFhzXKiwpUVF+md7&#10;sgroe3fM//aferPSc5fzIhTvxVqp56d+/gYiUB/+w/f20igYjuD2Jf4AOb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Oo6UxQAAANsAAAAPAAAAAAAAAAAAAAAAAJgCAABkcnMv&#10;ZG93bnJldi54bWxQSwUGAAAAAAQABAD1AAAAigMAAAAA&#10;" filled="f" strokecolor="#243f60 [1604]" strokeweight="2pt"/>
            <v:rect id="Obdélník 68" o:spid="_x0000_s1050" style="position:absolute;top:18737;width:46085;height:387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Ua5sIA&#10;AADbAAAADwAAAGRycy9kb3ducmV2LnhtbERPz2vCMBS+C/sfwht4s+k8iHTG0gmDgXNQuw28PZJn&#10;2615KU2mnX+9OQgeP77fq3y0nTjR4FvHCp6SFASxdqblWsFn9TpbgvAB2WDnmBT8k4d8/TBZYWbc&#10;mUs67UMtYgj7DBU0IfSZlF43ZNEnrieO3NENFkOEQy3NgOcYbjs5T9OFtNhybGiwp01D+nf/ZxXQ&#10;1/dPeTls9ce7LlzJm1C9VDulpo9j8Qwi0Bju4pv7zShYxLHxS/wBcn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pRrmwgAAANsAAAAPAAAAAAAAAAAAAAAAAJgCAABkcnMvZG93&#10;bnJldi54bWxQSwUGAAAAAAQABAD1AAAAhwMAAAAA&#10;" filled="f" strokecolor="#243f60 [1604]" strokeweight="2pt"/>
            <v:group id="Skupina 69" o:spid="_x0000_s1031" style="position:absolute;left:8640;width:28804;height:18715" coordorigin="8640" coordsize="23762,149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rect id="Obdélník 70" o:spid="_x0000_s1032" style="position:absolute;left:8640;top:5618;width:23763;height:936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qAPcIA&#10;AADbAAAADwAAAGRycy9kb3ducmV2LnhtbERPz2vCMBS+D/wfwhN2m6k7uFGNooIwcBNqVfD2SJ5t&#10;tXkpTaadf/1yEDx+fL8ns87W4kqtrxwrGA4SEMTamYoLBbt89fYJwgdkg7VjUvBHHmbT3ssEU+Nu&#10;nNF1GwoRQ9inqKAMoUml9Loki37gGuLInVxrMUTYFtK0eIvhtpbvSTKSFiuODSU2tCxJX7a/VgHt&#10;D+fsflzrzbeeu4yXIV/kP0q99rv5GESgLjzFD/eXUfAR18cv8QfI6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CoA9wgAAANsAAAAPAAAAAAAAAAAAAAAAAJgCAABkcnMvZG93&#10;bnJldi54bWxQSwUGAAAAAAQABAD1AAAAhwMAAAAA&#10;" filled="f" strokecolor="#243f60 [1604]" strokeweight="2pt"/>
              <v:rect id="Obdélník 71" o:spid="_x0000_s1033" style="position:absolute;left:8640;width:23763;height:561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zw0MQA&#10;AADbAAAADwAAAGRycy9kb3ducmV2LnhtbESPQWvCQBSE74X+h+UVvJS6SQ/aplmlCFKhJ2Pp+WX3&#10;mYRk34bsNkZ/fVcQPA4z8w2TryfbiZEG3zhWkM4TEMTamYYrBT+H7csbCB+QDXaOScGZPKxXjw85&#10;ZsadeE9jESoRIewzVFCH0GdSel2TRT93PXH0jm6wGKIcKmkGPEW47eRrkiykxYbjQo09bWrSbfFn&#10;FbxvL23pxvJX03fzfPxK9aYYvVKzp+nzA0SgKdzDt/bOKFimcP0Sf4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88NDEAAAA2wAAAA8AAAAAAAAAAAAAAAAAmAIAAGRycy9k&#10;b3ducmV2LnhtbFBLBQYAAAAABAAEAPUAAACJAwAAAAA=&#10;" filled="f" strokecolor="#1f497d [3215]" strokeweight="2pt"/>
            </v:group>
            <v:shape id="TextovéPole 9" o:spid="_x0000_s1034" type="#_x0000_t202" style="position:absolute;left:14660;top:1772;width:16921;height:31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m5CcQA&#10;AADbAAAADwAAAGRycy9kb3ducmV2LnhtbESPQWsCMRSE7wX/Q3gFbzXbVWxZjSKC0kN7UNuDt8fm&#10;uRvcvKxJ1PXfm4LgcZiZb5jpvLONuJAPxrGC90EGgrh02nCl4He3evsEESKyxsYxKbhRgPms9zLF&#10;Qrsrb+iyjZVIEA4FKqhjbAspQ1mTxTBwLXHyDs5bjEn6SmqP1wS3jcyzbCwtGk4LNba0rKk8bs9W&#10;wWJo2vFpn69P2d/he+St+Vntb0r1X7vFBESkLj7Dj/aXVvCRw/+X9APk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2JuQnEAAAA2wAAAA8AAAAAAAAAAAAAAAAAmAIAAGRycy9k&#10;b3ducmV2LnhtbFBLBQYAAAAABAAEAPUAAACJAwAAAAA=&#10;" fillcolor="white [3212]" strokecolor="white [3212]">
              <v:textbox style="mso-fit-shape-to-text:t">
                <w:txbxContent>
                  <w:p w:rsidR="006B75E3" w:rsidRDefault="006B75E3" w:rsidP="003B7110">
                    <w:pPr>
                      <w:pStyle w:val="Normlnweb"/>
                      <w:spacing w:before="0" w:beforeAutospacing="0" w:after="0" w:afterAutospacing="0"/>
                      <w:jc w:val="center"/>
                    </w:pPr>
                    <w:r>
                      <w:rPr>
                        <w:rFonts w:ascii="Calibri Light" w:hAnsi="Calibri Light" w:cs="Arial"/>
                        <w:b/>
                        <w:bCs/>
                        <w:color w:val="000000" w:themeColor="text1"/>
                        <w:kern w:val="24"/>
                        <w:sz w:val="32"/>
                        <w:szCs w:val="32"/>
                      </w:rPr>
                      <w:t>Společnost 4.0</w:t>
                    </w:r>
                  </w:p>
                </w:txbxContent>
              </v:textbox>
            </v:shape>
            <v:shape id="TextovéPole 11" o:spid="_x0000_s1035" type="#_x0000_t202" style="position:absolute;left:28118;top:10244;width:9290;height:569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EkN8UA&#10;AADbAAAADwAAAGRycy9kb3ducmV2LnhtbESPW2sCMRCF3wv9D2EKvtWsCm1ZjSKCtLQI9QLi27gZ&#10;N4ubyZJE3e2vN4VCHw/n8nEms9bW4ko+VI4VDPoZCOLC6YpLBbvt8vkNRIjIGmvHpKCjALPp48ME&#10;c+1uvKbrJpYijXDIUYGJscmlDIUhi6HvGuLknZy3GJP0pdQeb2nc1nKYZS/SYsWJYLChhaHivLnY&#10;BDl8779Ms/JS734W75djt//MOqV6T+18DCJSG//Df+0PreB1BL9f0g+Q0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cSQ3xQAAANsAAAAPAAAAAAAAAAAAAAAAAJgCAABkcnMv&#10;ZG93bnJldi54bWxQSwUGAAAAAAQABAD1AAAAigMAAAAA&#10;" fillcolor="white [3212]" strokecolor="white [3212]">
              <v:textbox style="mso-fit-shape-to-text:t">
                <w:txbxContent>
                  <w:p w:rsidR="006B75E3" w:rsidRDefault="006B75E3" w:rsidP="003B7110">
                    <w:pPr>
                      <w:pStyle w:val="Normlnweb"/>
                      <w:spacing w:before="0" w:beforeAutospacing="0" w:after="0" w:afterAutospacing="0"/>
                      <w:jc w:val="center"/>
                    </w:pPr>
                    <w:r>
                      <w:rPr>
                        <w:rFonts w:ascii="Calibri Light" w:hAnsi="Calibri Light" w:cstheme="minorBidi"/>
                        <w:color w:val="000000" w:themeColor="text1"/>
                        <w:kern w:val="24"/>
                        <w:sz w:val="22"/>
                        <w:szCs w:val="22"/>
                      </w:rPr>
                      <w:t xml:space="preserve">Vzdělávání </w:t>
                    </w:r>
                  </w:p>
                  <w:p w:rsidR="006B75E3" w:rsidRDefault="006B75E3" w:rsidP="003B7110">
                    <w:pPr>
                      <w:pStyle w:val="Normlnweb"/>
                      <w:spacing w:before="0" w:beforeAutospacing="0" w:after="0" w:afterAutospacing="0"/>
                      <w:jc w:val="center"/>
                    </w:pPr>
                    <w:r>
                      <w:rPr>
                        <w:rFonts w:ascii="Calibri Light" w:hAnsi="Calibri Light" w:cstheme="minorBidi"/>
                        <w:color w:val="000000" w:themeColor="text1"/>
                        <w:kern w:val="24"/>
                        <w:sz w:val="22"/>
                        <w:szCs w:val="22"/>
                      </w:rPr>
                      <w:t xml:space="preserve">a </w:t>
                    </w:r>
                  </w:p>
                  <w:p w:rsidR="006B75E3" w:rsidRDefault="006B75E3" w:rsidP="003B7110">
                    <w:pPr>
                      <w:pStyle w:val="Normlnweb"/>
                      <w:spacing w:before="0" w:beforeAutospacing="0" w:after="0" w:afterAutospacing="0"/>
                      <w:jc w:val="center"/>
                    </w:pPr>
                    <w:r>
                      <w:rPr>
                        <w:rFonts w:ascii="Calibri Light" w:hAnsi="Calibri Light" w:cstheme="minorBidi"/>
                        <w:color w:val="000000" w:themeColor="text1"/>
                        <w:kern w:val="24"/>
                        <w:sz w:val="22"/>
                        <w:szCs w:val="22"/>
                      </w:rPr>
                      <w:t>trh práce</w:t>
                    </w:r>
                  </w:p>
                </w:txbxContent>
              </v:textbox>
            </v:shape>
            <v:shape id="TextovéPole 13" o:spid="_x0000_s1036" type="#_x0000_t202" style="position:absolute;left:36419;top:27005;width:10718;height:431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NuEcQA&#10;AADbAAAADwAAAGRycy9kb3ducmV2LnhtbESPT2sCMRTE74V+h/AK3jSriJWtUVoXxVOL29JeH5u3&#10;f2rysmyiu357UxB6HGbmN8xqM1gjLtT5xrGC6SQBQVw43XCl4OtzN16C8AFZo3FMCq7kYbN+fFhh&#10;ql3PR7rkoRIRwj5FBXUIbSqlL2qy6CeuJY5e6TqLIcqukrrDPsKtkbMkWUiLDceFGlva1lSc8rNV&#10;sOdTVr5/ZNNr/x3KjM2vefvJlBo9Da8vIAIN4T98bx+0guc5/H2JP0C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DbhHEAAAA2wAAAA8AAAAAAAAAAAAAAAAAmAIAAGRycy9k&#10;b3ducmV2LnhtbFBLBQYAAAAABAAEAPUAAACJAwAAAAA=&#10;" fillcolor="white [3212]" stroked="f" strokeweight="1.5pt">
              <v:textbox style="mso-fit-shape-to-text:t">
                <w:txbxContent>
                  <w:p w:rsidR="006B75E3" w:rsidRDefault="006B75E3" w:rsidP="003B7110">
                    <w:pPr>
                      <w:pStyle w:val="Normlnweb"/>
                      <w:spacing w:before="0" w:beforeAutospacing="0" w:after="0" w:afterAutospacing="0"/>
                      <w:jc w:val="center"/>
                    </w:pPr>
                    <w:r>
                      <w:rPr>
                        <w:rFonts w:ascii="Calibri Light" w:hAnsi="Calibri Light" w:cstheme="minorBidi"/>
                        <w:color w:val="000000" w:themeColor="text1"/>
                        <w:kern w:val="24"/>
                        <w:sz w:val="22"/>
                        <w:szCs w:val="22"/>
                      </w:rPr>
                      <w:t>Elektronizace státní správy</w:t>
                    </w:r>
                  </w:p>
                </w:txbxContent>
              </v:textbox>
            </v:shape>
            <v:shape id="TextovéPole 14" o:spid="_x0000_s1037" type="#_x0000_t202" style="position:absolute;left:16966;top:27114;width:12321;height:5696;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QZ2MUA&#10;AADbAAAADwAAAGRycy9kb3ducmV2LnhtbESPW2sCMRCF3wv9D2EKvtWsgm1ZjSKCtLQI9QLi27gZ&#10;N4ubyZJE3e2vN4VCHw/n8nEms9bW4ko+VI4VDPoZCOLC6YpLBbvt8vkNRIjIGmvHpKCjALPp48ME&#10;c+1uvKbrJpYijXDIUYGJscmlDIUhi6HvGuLknZy3GJP0pdQeb2nc1nKYZS/SYsWJYLChhaHivLnY&#10;BDl8779Ms/JS734W75djt//MOqV6T+18DCJSG//Df+0PreB1BL9f0g+Q0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1BnYxQAAANsAAAAPAAAAAAAAAAAAAAAAAJgCAABkcnMv&#10;ZG93bnJldi54bWxQSwUGAAAAAAQABAD1AAAAigMAAAAA&#10;" fillcolor="white [3212]" strokecolor="white [3212]">
              <v:textbox style="mso-fit-shape-to-text:t">
                <w:txbxContent>
                  <w:p w:rsidR="006B75E3" w:rsidRDefault="006B75E3" w:rsidP="003B7110">
                    <w:pPr>
                      <w:pStyle w:val="Normlnweb"/>
                      <w:spacing w:before="0" w:beforeAutospacing="0" w:after="0" w:afterAutospacing="0"/>
                      <w:jc w:val="center"/>
                    </w:pPr>
                    <w:r>
                      <w:rPr>
                        <w:rFonts w:ascii="Calibri Light" w:hAnsi="Calibri Light" w:cstheme="minorBidi"/>
                        <w:color w:val="000000" w:themeColor="text1"/>
                        <w:kern w:val="24"/>
                        <w:sz w:val="22"/>
                        <w:szCs w:val="22"/>
                      </w:rPr>
                      <w:t xml:space="preserve">Bezpečnost </w:t>
                    </w:r>
                  </w:p>
                  <w:p w:rsidR="006B75E3" w:rsidRDefault="006B75E3" w:rsidP="003B7110">
                    <w:pPr>
                      <w:pStyle w:val="Normlnweb"/>
                      <w:spacing w:before="0" w:beforeAutospacing="0" w:after="0" w:afterAutospacing="0"/>
                      <w:jc w:val="center"/>
                    </w:pPr>
                    <w:r>
                      <w:rPr>
                        <w:rFonts w:ascii="Calibri Light" w:hAnsi="Calibri Light" w:cstheme="minorBidi"/>
                        <w:color w:val="000000" w:themeColor="text1"/>
                        <w:kern w:val="24"/>
                        <w:sz w:val="22"/>
                        <w:szCs w:val="22"/>
                      </w:rPr>
                      <w:t>v digitálním prostředí</w:t>
                    </w:r>
                  </w:p>
                </w:txbxContent>
              </v:textbox>
            </v:shape>
            <v:shape id="TextovéPole 15" o:spid="_x0000_s1038" type="#_x0000_t202" style="position:absolute;left:427;top:25138;width:7772;height:5696;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aHr8QA&#10;AADbAAAADwAAAGRycy9kb3ducmV2LnhtbESPzWoCMRSF9wXfIVyhu5qxC1tGo4gglorQqiDurpPr&#10;ZHByMyRRZ/r0TaHg8nB+Ps5k1tpa3MiHyrGC4SADQVw4XXGpYL9bvryDCBFZY+2YFHQUYDbtPU0w&#10;1+7O33TbxlKkEQ45KjAxNrmUoTBkMQxcQ5y8s/MWY5K+lNrjPY3bWr5m2UharDgRDDa0MFRctleb&#10;IMevw9o0Gy/1/mexup66w2fWKfXcb+djEJHa+Aj/tz+0grcR/H1JP0BO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Gh6/EAAAA2wAAAA8AAAAAAAAAAAAAAAAAmAIAAGRycy9k&#10;b3ducmV2LnhtbFBLBQYAAAAABAAEAPUAAACJAwAAAAA=&#10;" fillcolor="white [3212]" strokecolor="white [3212]">
              <v:textbox style="mso-fit-shape-to-text:t">
                <w:txbxContent>
                  <w:p w:rsidR="006B75E3" w:rsidRDefault="006B75E3" w:rsidP="003B7110">
                    <w:pPr>
                      <w:pStyle w:val="Normlnweb"/>
                      <w:spacing w:before="0" w:beforeAutospacing="0" w:after="0" w:afterAutospacing="0"/>
                      <w:jc w:val="center"/>
                    </w:pPr>
                    <w:r>
                      <w:rPr>
                        <w:rFonts w:ascii="Calibri Light" w:hAnsi="Calibri Light" w:cstheme="minorBidi"/>
                        <w:color w:val="000000" w:themeColor="text1"/>
                        <w:kern w:val="24"/>
                        <w:sz w:val="22"/>
                        <w:szCs w:val="22"/>
                      </w:rPr>
                      <w:t xml:space="preserve">Konektivita </w:t>
                    </w:r>
                  </w:p>
                  <w:p w:rsidR="006B75E3" w:rsidRDefault="006B75E3" w:rsidP="003B7110">
                    <w:pPr>
                      <w:pStyle w:val="Normlnweb"/>
                      <w:spacing w:before="0" w:beforeAutospacing="0" w:after="0" w:afterAutospacing="0"/>
                      <w:jc w:val="center"/>
                    </w:pPr>
                    <w:r>
                      <w:rPr>
                        <w:rFonts w:ascii="Calibri Light" w:hAnsi="Calibri Light" w:cstheme="minorBidi"/>
                        <w:color w:val="000000" w:themeColor="text1"/>
                        <w:kern w:val="24"/>
                        <w:sz w:val="22"/>
                        <w:szCs w:val="22"/>
                      </w:rPr>
                      <w:t xml:space="preserve">a  </w:t>
                    </w:r>
                  </w:p>
                  <w:p w:rsidR="006B75E3" w:rsidRDefault="006B75E3" w:rsidP="003B7110">
                    <w:pPr>
                      <w:pStyle w:val="Normlnweb"/>
                      <w:spacing w:before="0" w:beforeAutospacing="0" w:after="0" w:afterAutospacing="0"/>
                      <w:jc w:val="center"/>
                    </w:pPr>
                    <w:r>
                      <w:rPr>
                        <w:rFonts w:ascii="Calibri Light" w:hAnsi="Calibri Light" w:cstheme="minorBidi"/>
                        <w:color w:val="000000" w:themeColor="text1"/>
                        <w:kern w:val="24"/>
                        <w:sz w:val="22"/>
                        <w:szCs w:val="22"/>
                      </w:rPr>
                      <w:t>mobilita</w:t>
                    </w:r>
                  </w:p>
                </w:txbxContent>
              </v:textbox>
            </v:shape>
            <v:shape id="TextovéPole 16" o:spid="_x0000_s1039" type="#_x0000_t202" style="position:absolute;left:2158;top:19122;width:41769;height:25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4akcQA&#10;AADbAAAADwAAAGRycy9kb3ducmV2LnhtbESPT2sCMRTE74LfITyhN81qi8pqFBEsPdRD/XPw9tg8&#10;d4OblzVJdf32jVDwOMzMb5j5srW1uJEPxrGC4SADQVw4bbhUcNhv+lMQISJrrB2TggcFWC66nTnm&#10;2t35h267WIoE4ZCjgirGJpcyFBVZDAPXECfv7LzFmKQvpfZ4T3Bby1GWjaVFw2mhwobWFRWX3a9V&#10;sHo3zfh6Gn1es+P5+8Nbs92cHkq99drVDESkNr7C/+0vrWAygeeX9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3+GpHEAAAA2wAAAA8AAAAAAAAAAAAAAAAAmAIAAGRycy9k&#10;b3ducmV2LnhtbFBLBQYAAAAABAAEAPUAAACJAwAAAAA=&#10;" fillcolor="white [3212]" strokecolor="white [3212]">
              <v:textbox style="mso-fit-shape-to-text:t">
                <w:txbxContent>
                  <w:p w:rsidR="006B75E3" w:rsidRDefault="006B75E3" w:rsidP="003B7110">
                    <w:pPr>
                      <w:pStyle w:val="Normlnweb"/>
                      <w:spacing w:before="0" w:beforeAutospacing="0" w:after="0" w:afterAutospacing="0"/>
                      <w:jc w:val="center"/>
                    </w:pPr>
                    <w:r>
                      <w:rPr>
                        <w:rFonts w:ascii="Calibri Light" w:hAnsi="Calibri Light" w:cs="Arial"/>
                        <w:b/>
                        <w:bCs/>
                        <w:color w:val="000000" w:themeColor="text1"/>
                        <w:kern w:val="24"/>
                      </w:rPr>
                      <w:t>Základní rámec rozvoje digitální společnosti</w:t>
                    </w:r>
                  </w:p>
                </w:txbxContent>
              </v:textbox>
            </v:shape>
            <v:shape id="TextovéPole 17" o:spid="_x0000_s1040" type="#_x0000_t202" style="position:absolute;left:5920;top:34813;width:34402;height:25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GO48EA&#10;AADbAAAADwAAAGRycy9kb3ducmV2LnhtbERPu4oCMRTtBf8h3AU7zawuKrNGEUGx0GJ9FHaXyXUm&#10;7ORmTKKOf78phC0P5z1btLYWD/LBOFbwOchAEBdOGy4VnI7r/hREiMgaa8ek4EUBFvNuZ4a5dk/+&#10;occhliKFcMhRQRVjk0sZiooshoFriBN3dd5iTNCXUnt8pnBby2GWjaVFw6mhwoZWFRW/h7tVsByZ&#10;Zny7DDe37HzdfXlr9uvLS6neR7v8BhGpjf/it3urFUzS2PQl/QA5/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xhjuPBAAAA2wAAAA8AAAAAAAAAAAAAAAAAmAIAAGRycy9kb3du&#10;cmV2LnhtbFBLBQYAAAAABAAEAPUAAACGAwAAAAA=&#10;" fillcolor="white [3212]" strokecolor="white [3212]">
              <v:textbox style="mso-fit-shape-to-text:t">
                <w:txbxContent>
                  <w:p w:rsidR="006B75E3" w:rsidRDefault="006B75E3" w:rsidP="003B7110">
                    <w:pPr>
                      <w:pStyle w:val="Normlnweb"/>
                      <w:spacing w:before="0" w:beforeAutospacing="0" w:after="0" w:afterAutospacing="0"/>
                      <w:jc w:val="center"/>
                    </w:pPr>
                    <w:r>
                      <w:rPr>
                        <w:rFonts w:ascii="Calibri Light" w:hAnsi="Calibri Light" w:cs="Arial"/>
                        <w:b/>
                        <w:bCs/>
                        <w:color w:val="000000" w:themeColor="text1"/>
                        <w:kern w:val="24"/>
                      </w:rPr>
                      <w:t xml:space="preserve">Průřezové priority  </w:t>
                    </w:r>
                  </w:p>
                </w:txbxContent>
              </v:textbox>
            </v:shape>
            <v:shapetype id="_x0000_t32" coordsize="21600,21600" o:spt="32" o:oned="t" path="m,l21600,21600e" filled="f">
              <v:path arrowok="t" fillok="f" o:connecttype="none"/>
              <o:lock v:ext="edit" shapetype="t"/>
            </v:shapetype>
            <v:shape id="Přímá spojnice se šipkou 79" o:spid="_x0000_s1041" type="#_x0000_t32" style="position:absolute;left:10081;top:34815;width:0;height:277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q3FsQAAADbAAAADwAAAGRycy9kb3ducmV2LnhtbESPT0sDMRTE7wW/Q3gFb222HvyzbXYR&#10;QfAiaLXo8TV5Jqubl2UT291++qZQ6HGYmd8wq3rwrdhRH5vAChbzAgSxDqZhq+Dz43l2DyImZINt&#10;YFIwUoS6upqssDRhz++0WycrMoRjiQpcSl0pZdSOPMZ56Iiz9xN6jynL3krT4z7DfStviuJWemw4&#10;Lzjs6MmR/lv/ewVGR4mb0W7s4fv1172NX/qwZaWup8PjEkSiIV3C5/aLUXD3AKcv+QfI6gg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rcWxAAAANsAAAAPAAAAAAAAAAAA&#10;AAAAAKECAABkcnMvZG93bnJldi54bWxQSwUGAAAAAAQABAD5AAAAkgMAAAAA&#10;" strokecolor="#1f497d [3215]" strokeweight="2.25pt">
              <v:stroke endarrow="open"/>
            </v:shape>
            <v:shape id="Přímá spojnice se šipkou 80" o:spid="_x0000_s1042" type="#_x0000_t32" style="position:absolute;left:36004;top:34815;width:0;height:277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VurMAAAADbAAAADwAAAGRycy9kb3ducmV2LnhtbERPy2oCMRTdF/yHcAV3NWMXIlOjlELB&#10;TUGt0i5vk9tk2snNMInz8OvNouDycN7r7eBr0VEbq8AKFvMCBLEOpmKr4PTx9rgCEROywTowKRgp&#10;wnYzeVhjaULPB+qOyYocwrFEBS6lppQyakce4zw0xJn7Ca3HlGFrpWmxz+G+lk9FsZQeK84NDht6&#10;daT/jhevwOgo8Tzas71+vf+6/fipr9+s1Gw6vDyDSDSku/jfvTMKVnl9/pJ/gNz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T1bqzAAAAA2wAAAA8AAAAAAAAAAAAAAAAA&#10;oQIAAGRycy9kb3ducmV2LnhtbFBLBQYAAAAABAAEAPkAAACOAwAAAAA=&#10;" strokecolor="#1f497d [3215]" strokeweight="2.25pt">
              <v:stroke endarrow="open"/>
            </v:shape>
            <v:line id="Přímá spojnice 82" o:spid="_x0000_s1043" style="position:absolute;visibility:visible" from="18002,7019" to="18002,18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1clsQAAADbAAAADwAAAGRycy9kb3ducmV2LnhtbESPQWvCQBSE70L/w/IK3nTTHCSkrlLa&#10;CoJ4MLa03h7Z1yQ1+zZkV7P+e1cQPA4z8w0zXwbTijP1rrGs4GWagCAurW64UvC1X00yEM4ja2wt&#10;k4ILOVgunkZzzLUdeEfnwlciQtjlqKD2vsuldGVNBt3UdsTR+7O9QR9lX0nd4xDhppVpksykwYbj&#10;Qo0dvddUHouTUUBh+Nh8V6E4/KS/5jP9Px6ybaLU+Dm8vYLwFPwjfG+vtYIshduX+APk4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bVyWxAAAANsAAAAPAAAAAAAAAAAA&#10;AAAAAKECAABkcnMvZG93bnJldi54bWxQSwUGAAAAAAQABAD5AAAAkgMAAAAA&#10;" strokecolor="#1f497d [3215]" strokeweight="1.5pt"/>
            <v:line id="Přímá spojnice 83" o:spid="_x0000_s1044" style="position:absolute;visibility:visible" from="28083,7019" to="28083,18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H5DcUAAADbAAAADwAAAGRycy9kb3ducmV2LnhtbESPQWvCQBSE74X+h+UVvNWNEUqIriK2&#10;hYL00Kiot0f2mUSzb0N2Ndt/3y0Uehxm5htmvgymFXfqXWNZwWScgCAurW64UrDbvj9nIJxH1tha&#10;JgXf5GC5eHyYY67twF90L3wlIoRdjgpq77tcSlfWZNCNbUccvbPtDfoo+0rqHocIN61Mk+RFGmw4&#10;LtTY0bqm8lrcjAIKw+tmX4XidEiP5i29XE/ZZ6LU6CmsZiA8Bf8f/mt/aAXZFH6/xB8gF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SH5DcUAAADbAAAADwAAAAAAAAAA&#10;AAAAAAChAgAAZHJzL2Rvd25yZXYueG1sUEsFBgAAAAAEAAQA+QAAAJMDAAAAAA==&#10;" strokecolor="#1f497d [3215]" strokeweight="1.5pt"/>
            <v:line id="Přímá spojnice 84" o:spid="_x0000_s1045" style="position:absolute;visibility:visible" from="18002,22612" to="18002,343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shhecUAAADbAAAADwAAAGRycy9kb3ducmV2LnhtbESPQWvCQBSE74X+h+UVvNWNQUqIriK2&#10;hYL00Kiot0f2mUSzb0N2Ndt/3y0Uehxm5htmvgymFXfqXWNZwWScgCAurW64UrDbvj9nIJxH1tha&#10;JgXf5GC5eHyYY67twF90L3wlIoRdjgpq77tcSlfWZNCNbUccvbPtDfoo+0rqHocIN61Mk+RFGmw4&#10;LtTY0bqm8lrcjAIKw+tmX4XidEiP5i29XE/ZZ6LU6CmsZiA8Bf8f/mt/aAXZFH6/xB8gF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shhecUAAADbAAAADwAAAAAAAAAA&#10;AAAAAAChAgAAZHJzL2Rvd25yZXYueG1sUEsFBgAAAAAEAAQA+QAAAJMDAAAAAA==&#10;" strokecolor="#1f497d [3215]" strokeweight="1.5pt"/>
            <v:line id="Přímá spojnice 85" o:spid="_x0000_s1046" style="position:absolute;visibility:visible" from="8640,22612" to="8640,343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TE4sUAAADbAAAADwAAAGRycy9kb3ducmV2LnhtbESPQWvCQBSE74X+h+UVvNWNAUuIriK2&#10;hYL00Kiot0f2mUSzb0N2Ndt/3y0Uehxm5htmvgymFXfqXWNZwWScgCAurW64UrDbvj9nIJxH1tha&#10;JgXf5GC5eHyYY67twF90L3wlIoRdjgpq77tcSlfWZNCNbUccvbPtDfoo+0rqHocIN61Mk+RFGmw4&#10;LtTY0bqm8lrcjAIKw+tmX4XidEiP5i29XE/ZZ6LU6CmsZiA8Bf8f/mt/aAXZFH6/xB8gF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YTE4sUAAADbAAAADwAAAAAAAAAA&#10;AAAAAAChAgAAZHJzL2Rvd25yZXYueG1sUEsFBgAAAAAEAAQA+QAAAJMDAAAAAA==&#10;" strokecolor="#1f497d [3215]" strokeweight="1.5pt"/>
            <v:line id="Přímá spojnice 86" o:spid="_x0000_s1047" style="position:absolute;visibility:visible" from="28083,22612" to="28083,343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ZalcQAAADbAAAADwAAAGRycy9kb3ducmV2LnhtbESPQWvCQBSE7wX/w/IEb3XTHCREVxGr&#10;UBAPTZXW2yP7TKLZtyG7Neu/7xYKPQ4z8w2zWAXTijv1rrGs4GWagCAurW64UnD82D1nIJxH1tha&#10;JgUPcrBajp4WmGs78DvdC1+JCGGXo4La+y6X0pU1GXRT2xFH72J7gz7KvpK6xyHCTSvTJJlJgw3H&#10;hRo72tRU3opvo4DC8Lo/VaE4f6ZfZpteb+fskCg1GYf1HISn4P/Df+03rSCbwe+X+APk8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VlqVxAAAANsAAAAPAAAAAAAAAAAA&#10;AAAAAKECAABkcnMvZG93bnJldi54bWxQSwUGAAAAAAQABAD5AAAAkgMAAAAA&#10;" strokecolor="#1f497d [3215]" strokeweight="1.5pt"/>
            <v:line id="Přímá spojnice 87" o:spid="_x0000_s1048" style="position:absolute;visibility:visible" from="37444,22612" to="37444,343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r/DsUAAADbAAAADwAAAGRycy9kb3ducmV2LnhtbESPQWvCQBSE74X+h+UVvNWNOdgQXUVs&#10;CwXpoVFRb4/sM4lm34bsarb/vlso9DjMzDfMfBlMK+7Uu8aygsk4AUFcWt1wpWC3fX/OQDiPrLG1&#10;TAq+ycFy8fgwx1zbgb/oXvhKRAi7HBXU3ne5lK6syaAb2444emfbG/RR9pXUPQ4RblqZJslUGmw4&#10;LtTY0bqm8lrcjAIKw+tmX4XidEiP5i29XE/ZZ6LU6CmsZiA8Bf8f/mt/aAXZC/x+iT9AL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hr/DsUAAADbAAAADwAAAAAAAAAA&#10;AAAAAAChAgAAZHJzL2Rvd25yZXYueG1sUEsFBgAAAAAEAAQA+QAAAJMDAAAAAA==&#10;" strokecolor="#1f497d [3215]" strokeweight="1.5pt"/>
            <w10:wrap type="none"/>
            <w10:anchorlock/>
          </v:group>
        </w:pict>
      </w:r>
    </w:p>
    <w:p w:rsidR="00184281" w:rsidRPr="00184281" w:rsidRDefault="00402FF3" w:rsidP="00402FF3">
      <w:pPr>
        <w:spacing w:after="200"/>
        <w:jc w:val="left"/>
        <w:rPr>
          <w:rFonts w:eastAsiaTheme="minorHAnsi"/>
          <w:szCs w:val="22"/>
          <w:lang w:eastAsia="en-US"/>
        </w:rPr>
      </w:pPr>
      <w:r>
        <w:rPr>
          <w:rFonts w:eastAsiaTheme="minorHAnsi"/>
          <w:szCs w:val="22"/>
          <w:lang w:eastAsia="en-US"/>
        </w:rPr>
        <w:br w:type="page"/>
      </w:r>
    </w:p>
    <w:p w:rsidR="004E6270" w:rsidRPr="00D97AD9" w:rsidRDefault="003D2999" w:rsidP="00402FF3">
      <w:pPr>
        <w:pStyle w:val="Nadpis1"/>
      </w:pPr>
      <w:bookmarkStart w:id="32" w:name="_Toc491355950"/>
      <w:r w:rsidRPr="00D97AD9">
        <w:lastRenderedPageBreak/>
        <w:t xml:space="preserve">1 </w:t>
      </w:r>
      <w:r w:rsidRPr="00BC6A31">
        <w:t>Konektivita</w:t>
      </w:r>
      <w:r w:rsidRPr="00D97AD9">
        <w:t xml:space="preserve"> a mobilita</w:t>
      </w:r>
      <w:bookmarkEnd w:id="32"/>
    </w:p>
    <w:p w:rsidR="00B67A73" w:rsidRDefault="00D50BDD" w:rsidP="00B67A73">
      <w:pPr>
        <w:rPr>
          <w:szCs w:val="22"/>
        </w:rPr>
      </w:pPr>
      <w:r w:rsidRPr="00E96D7E">
        <w:rPr>
          <w:szCs w:val="22"/>
        </w:rPr>
        <w:t>Kvalitní sítě nové generace a nabídka moderních digitálních služeb jsou nosnými pilíři digitální ekonomiky. Kvalitní a dostatečné pokrytí vysokorychlostním přístupem k internetu je klíčový předpoklad ekonomického růstu ČR. Existence vyspělé internetové infrastruktury, která umožní rychlý rozvoj vysokorychlostního internetu do roku 2020 v souladu s cíli strategie Evropské komise „Digitální agenda pro Evropu</w:t>
      </w:r>
      <w:r w:rsidR="005D5C44">
        <w:rPr>
          <w:rStyle w:val="Znakapoznpodarou"/>
          <w:szCs w:val="22"/>
        </w:rPr>
        <w:footnoteReference w:id="24"/>
      </w:r>
      <w:r w:rsidRPr="00E96D7E">
        <w:rPr>
          <w:szCs w:val="22"/>
        </w:rPr>
        <w:t xml:space="preserve">“ (tedy dosažení přenosových rychlostí 30 </w:t>
      </w:r>
      <w:proofErr w:type="spellStart"/>
      <w:r w:rsidRPr="00E96D7E">
        <w:rPr>
          <w:szCs w:val="22"/>
        </w:rPr>
        <w:t>Mbit</w:t>
      </w:r>
      <w:proofErr w:type="spellEnd"/>
      <w:r w:rsidRPr="00E96D7E">
        <w:rPr>
          <w:szCs w:val="22"/>
        </w:rPr>
        <w:t xml:space="preserve">/s pro všechny obyvatele a 100 </w:t>
      </w:r>
      <w:proofErr w:type="spellStart"/>
      <w:r w:rsidRPr="00E96D7E">
        <w:rPr>
          <w:szCs w:val="22"/>
        </w:rPr>
        <w:t>Mbit</w:t>
      </w:r>
      <w:proofErr w:type="spellEnd"/>
      <w:r w:rsidRPr="00E96D7E">
        <w:rPr>
          <w:szCs w:val="22"/>
        </w:rPr>
        <w:t>/s pro alespoň polovinu domácností) je z tohoto pohledu naprosto zásadní.</w:t>
      </w:r>
      <w:r w:rsidR="005D500D">
        <w:rPr>
          <w:szCs w:val="22"/>
        </w:rPr>
        <w:t xml:space="preserve"> </w:t>
      </w:r>
      <w:r w:rsidR="00BE5F3F" w:rsidRPr="005D500D">
        <w:rPr>
          <w:szCs w:val="22"/>
        </w:rPr>
        <w:t>V současnosti probíhá diskuze k problematice nových techno</w:t>
      </w:r>
      <w:r w:rsidR="005D5C44">
        <w:rPr>
          <w:szCs w:val="22"/>
        </w:rPr>
        <w:t>logií zabývajících se sítěmi 5G</w:t>
      </w:r>
      <w:r w:rsidR="00BE5F3F" w:rsidRPr="005D500D">
        <w:rPr>
          <w:rStyle w:val="Znakapoznpodarou"/>
          <w:szCs w:val="22"/>
        </w:rPr>
        <w:footnoteReference w:id="25"/>
      </w:r>
      <w:r w:rsidR="005D5C44">
        <w:rPr>
          <w:szCs w:val="22"/>
        </w:rPr>
        <w:t>.</w:t>
      </w:r>
      <w:r w:rsidR="00BE5F3F" w:rsidRPr="00E96D7E">
        <w:rPr>
          <w:szCs w:val="22"/>
        </w:rPr>
        <w:t xml:space="preserve"> </w:t>
      </w:r>
      <w:r w:rsidR="00B67A73" w:rsidRPr="004F1578">
        <w:rPr>
          <w:szCs w:val="22"/>
        </w:rPr>
        <w:t xml:space="preserve">Pro rozvoj a provoz řady služeb veřejné správy jsou v České republice důležité </w:t>
      </w:r>
      <w:r w:rsidR="00B67A73" w:rsidRPr="00B67A73">
        <w:rPr>
          <w:szCs w:val="22"/>
        </w:rPr>
        <w:t xml:space="preserve">moderní veřejné i </w:t>
      </w:r>
      <w:r w:rsidR="00B67A73" w:rsidRPr="00472DBB">
        <w:rPr>
          <w:szCs w:val="22"/>
        </w:rPr>
        <w:t>neveřejné sítě</w:t>
      </w:r>
      <w:r w:rsidR="00B67A73" w:rsidRPr="004F1578">
        <w:rPr>
          <w:szCs w:val="22"/>
        </w:rPr>
        <w:t xml:space="preserve">. </w:t>
      </w:r>
      <w:r w:rsidR="00B67A73" w:rsidRPr="00B67A73">
        <w:rPr>
          <w:szCs w:val="22"/>
        </w:rPr>
        <w:t xml:space="preserve">Podpora výstavby veřejných </w:t>
      </w:r>
      <w:r w:rsidR="00B67A73" w:rsidRPr="00472DBB">
        <w:rPr>
          <w:szCs w:val="22"/>
        </w:rPr>
        <w:t>sítí nových generací, jejichž přínos se promítne do dalších odvětví a poskytovaných služeb,</w:t>
      </w:r>
      <w:r w:rsidR="00B67A73" w:rsidRPr="00FD7062">
        <w:rPr>
          <w:szCs w:val="22"/>
        </w:rPr>
        <w:t xml:space="preserve"> je proto jedním z prioritních úkolů vlády ČR.</w:t>
      </w:r>
    </w:p>
    <w:p w:rsidR="00C90745" w:rsidRPr="00E96D7E" w:rsidRDefault="00C90745" w:rsidP="00D50BDD">
      <w:pPr>
        <w:rPr>
          <w:szCs w:val="22"/>
        </w:rPr>
      </w:pPr>
      <w:r w:rsidRPr="00E96D7E">
        <w:rPr>
          <w:szCs w:val="22"/>
        </w:rPr>
        <w:t>Evropská komise přezkoumává v současné době i regulační rámec pro sítě a služby elektronických komunikací. Jde o jednu z klíčových iniciativ ob</w:t>
      </w:r>
      <w:r w:rsidR="003E4740" w:rsidRPr="00E96D7E">
        <w:rPr>
          <w:szCs w:val="22"/>
        </w:rPr>
        <w:t>s</w:t>
      </w:r>
      <w:r w:rsidRPr="00E96D7E">
        <w:rPr>
          <w:szCs w:val="22"/>
        </w:rPr>
        <w:t>ažených ve Strategii EU pro jednotný digitální trh z května 2015. Komise představila v září 2016 soubor návrhů v oblasti</w:t>
      </w:r>
      <w:r>
        <w:t xml:space="preserve"> </w:t>
      </w:r>
      <w:r w:rsidRPr="00E96D7E">
        <w:rPr>
          <w:szCs w:val="22"/>
        </w:rPr>
        <w:t>elektronických komunikací, který spojuje směrnice dosud tvořící regulační rámec do jednoho „Kodexu elektronických komunikací“.</w:t>
      </w:r>
      <w:r w:rsidR="006C6AD4">
        <w:rPr>
          <w:rStyle w:val="Znakapoznpodarou"/>
          <w:szCs w:val="22"/>
        </w:rPr>
        <w:footnoteReference w:id="26"/>
      </w:r>
      <w:r w:rsidRPr="00E96D7E">
        <w:rPr>
          <w:szCs w:val="22"/>
        </w:rPr>
        <w:t xml:space="preserve"> Dále představila Nařízení o sdružení BEREC</w:t>
      </w:r>
      <w:r w:rsidR="006C6AD4">
        <w:rPr>
          <w:rStyle w:val="Znakapoznpodarou"/>
          <w:szCs w:val="22"/>
        </w:rPr>
        <w:footnoteReference w:id="27"/>
      </w:r>
      <w:r w:rsidR="00472DBB">
        <w:rPr>
          <w:szCs w:val="22"/>
        </w:rPr>
        <w:t xml:space="preserve">, které se stále projednává. </w:t>
      </w:r>
      <w:r w:rsidRPr="00E96D7E">
        <w:rPr>
          <w:szCs w:val="22"/>
        </w:rPr>
        <w:t xml:space="preserve"> </w:t>
      </w:r>
      <w:r w:rsidR="00472DBB">
        <w:rPr>
          <w:szCs w:val="22"/>
        </w:rPr>
        <w:t>I</w:t>
      </w:r>
      <w:r w:rsidRPr="00E96D7E">
        <w:rPr>
          <w:szCs w:val="22"/>
        </w:rPr>
        <w:t>niciativ</w:t>
      </w:r>
      <w:r w:rsidR="00472DBB">
        <w:rPr>
          <w:szCs w:val="22"/>
        </w:rPr>
        <w:t>a</w:t>
      </w:r>
      <w:r w:rsidRPr="00E96D7E">
        <w:rPr>
          <w:szCs w:val="22"/>
        </w:rPr>
        <w:t xml:space="preserve"> „</w:t>
      </w:r>
      <w:proofErr w:type="spellStart"/>
      <w:r w:rsidRPr="00E96D7E">
        <w:rPr>
          <w:szCs w:val="22"/>
        </w:rPr>
        <w:t>Wi</w:t>
      </w:r>
      <w:r w:rsidR="003E4740" w:rsidRPr="00E96D7E">
        <w:rPr>
          <w:szCs w:val="22"/>
        </w:rPr>
        <w:t>f</w:t>
      </w:r>
      <w:r w:rsidRPr="00E96D7E">
        <w:rPr>
          <w:szCs w:val="22"/>
        </w:rPr>
        <w:t>i</w:t>
      </w:r>
      <w:proofErr w:type="spellEnd"/>
      <w:r w:rsidRPr="00E96D7E">
        <w:rPr>
          <w:szCs w:val="22"/>
        </w:rPr>
        <w:t xml:space="preserve"> pro Evropu“</w:t>
      </w:r>
      <w:r w:rsidR="00F057E4" w:rsidRPr="00E96D7E">
        <w:rPr>
          <w:szCs w:val="22"/>
        </w:rPr>
        <w:t xml:space="preserve"> (WiFi4EU)</w:t>
      </w:r>
      <w:r w:rsidR="006C6AD4">
        <w:rPr>
          <w:rStyle w:val="Znakapoznpodarou"/>
          <w:szCs w:val="22"/>
        </w:rPr>
        <w:footnoteReference w:id="28"/>
      </w:r>
      <w:r w:rsidR="00472DBB">
        <w:rPr>
          <w:szCs w:val="22"/>
        </w:rPr>
        <w:t xml:space="preserve"> byla již schválena.</w:t>
      </w:r>
    </w:p>
    <w:p w:rsidR="00476AA2" w:rsidRPr="00E96D7E" w:rsidRDefault="00476AA2" w:rsidP="00476AA2">
      <w:pPr>
        <w:rPr>
          <w:szCs w:val="22"/>
        </w:rPr>
      </w:pPr>
      <w:r w:rsidRPr="00E96D7E">
        <w:rPr>
          <w:szCs w:val="22"/>
        </w:rPr>
        <w:t xml:space="preserve">Sektor dopravy je jednou z důležitých oblastí národního hospodářství, která ovlivňuje prakticky všechny oblasti veřejného i soukromého života a podnikatelské sféry, a je nutnou podmínkou pro zvyšování konkurenceschopnosti České republiky. Pro rozvoj mobility v rámci Společnosti 4.0 je základem rozvoj inteligentních dopravních systémů (ITS). Tyto systémy umožňují sledovat technický stav dopravní cesty, předcházet vážným dopravním nehodám a mohou pomoci odhalovat také závažnou trestnou činnost v dopravě. Ve spojení s družicovými systémy mohou předvídat vlivy povětrnostní situace, sesuvy i poklesy půdy a sledovat také záplavy nebo povodně. Inteligentní dopravní systémy tak mají klíčový význam pro zlepšování bezpečnosti dopravy. </w:t>
      </w:r>
    </w:p>
    <w:p w:rsidR="00476AA2" w:rsidRDefault="00476AA2" w:rsidP="00476AA2">
      <w:pPr>
        <w:rPr>
          <w:szCs w:val="22"/>
        </w:rPr>
      </w:pPr>
      <w:r w:rsidRPr="00E96D7E">
        <w:rPr>
          <w:szCs w:val="22"/>
        </w:rPr>
        <w:t>Systémy ITS kromě řízení a předvídání vývoje umožňují vyhodnocovat i technický stav dopravní cesty a plánovat její opravu. Sledování meteorologických podmínek v místě provozu může informovat účastníky dopravního provozu o blížícím se nebezpečí (prostřednictvím zařízení pro provozní informace nebo mobilní aplikace) a nařídit snížení rychlosti, čímž je možné předcházet vážným dopravním nehodám. Dovybavení silniční sítě adekvátním zařízením umožní také sledování dopadů dopravy na životní prostředí (hluk, emise, smog), kdy aplikace ITS může následně odklonit dopravu mimo aktuálně nejvíce zasažené oblasti.</w:t>
      </w:r>
    </w:p>
    <w:p w:rsidR="00686197" w:rsidRPr="00E96D7E" w:rsidRDefault="00476AA2" w:rsidP="00675558">
      <w:pPr>
        <w:rPr>
          <w:szCs w:val="22"/>
        </w:rPr>
      </w:pPr>
      <w:r w:rsidRPr="005A73A7">
        <w:rPr>
          <w:szCs w:val="22"/>
        </w:rPr>
        <w:t>Silniční doprava v současné době prochází technologickou revolucí, ať už se jedná o postupné nasazování digitálních technologií do silničních vozidel nebo o trend automatizace.</w:t>
      </w:r>
      <w:r>
        <w:rPr>
          <w:szCs w:val="22"/>
        </w:rPr>
        <w:t xml:space="preserve"> K</w:t>
      </w:r>
      <w:r w:rsidRPr="001D37E8">
        <w:rPr>
          <w:rFonts w:cs="Calibri"/>
          <w:color w:val="000000"/>
          <w:shd w:val="clear" w:color="auto" w:fill="FFFFFF"/>
        </w:rPr>
        <w:t xml:space="preserve">opíruje </w:t>
      </w:r>
      <w:r>
        <w:rPr>
          <w:rFonts w:cs="Calibri"/>
          <w:color w:val="000000"/>
          <w:shd w:val="clear" w:color="auto" w:fill="FFFFFF"/>
        </w:rPr>
        <w:t xml:space="preserve">tak </w:t>
      </w:r>
      <w:r w:rsidRPr="001D37E8">
        <w:rPr>
          <w:rFonts w:cs="Calibri"/>
          <w:color w:val="000000"/>
          <w:shd w:val="clear" w:color="auto" w:fill="FFFFFF"/>
        </w:rPr>
        <w:t xml:space="preserve">do určité míry rozvoj železniční a letecké dopravy, které mají velmi dobře </w:t>
      </w:r>
      <w:r w:rsidRPr="001D37E8">
        <w:rPr>
          <w:rFonts w:cs="Calibri"/>
          <w:color w:val="000000"/>
          <w:shd w:val="clear" w:color="auto" w:fill="FFFFFF"/>
        </w:rPr>
        <w:lastRenderedPageBreak/>
        <w:t xml:space="preserve">propracované systémy zabezpečení provozu. V současné době jsou řidiči během jízdy podporováni řadou palubních systémů, které již využívají </w:t>
      </w:r>
      <w:r w:rsidRPr="001D37E8">
        <w:rPr>
          <w:rFonts w:cs="Frutiger LT Pro"/>
          <w:color w:val="000000"/>
        </w:rPr>
        <w:t xml:space="preserve">kooperativních </w:t>
      </w:r>
      <w:r>
        <w:rPr>
          <w:rFonts w:cs="Frutiger LT Pro"/>
          <w:color w:val="000000"/>
        </w:rPr>
        <w:t xml:space="preserve">inteligentních dopravních </w:t>
      </w:r>
      <w:r w:rsidRPr="001D37E8">
        <w:rPr>
          <w:rFonts w:cs="Frutiger LT Pro"/>
          <w:color w:val="000000"/>
        </w:rPr>
        <w:t xml:space="preserve">systémů </w:t>
      </w:r>
      <w:r>
        <w:rPr>
          <w:rFonts w:cs="Frutiger LT Pro"/>
          <w:color w:val="000000"/>
        </w:rPr>
        <w:t>(C-</w:t>
      </w:r>
      <w:r w:rsidRPr="001D37E8">
        <w:rPr>
          <w:rFonts w:cs="Calibri"/>
          <w:color w:val="000000"/>
          <w:shd w:val="clear" w:color="auto" w:fill="FFFFFF"/>
        </w:rPr>
        <w:t>ITS</w:t>
      </w:r>
      <w:r>
        <w:rPr>
          <w:rFonts w:cs="Calibri"/>
          <w:color w:val="000000"/>
          <w:shd w:val="clear" w:color="auto" w:fill="FFFFFF"/>
        </w:rPr>
        <w:t>)</w:t>
      </w:r>
      <w:r w:rsidRPr="001D37E8">
        <w:rPr>
          <w:rFonts w:cs="Calibri"/>
          <w:color w:val="000000"/>
          <w:shd w:val="clear" w:color="auto" w:fill="FFFFFF"/>
        </w:rPr>
        <w:t xml:space="preserve"> pro řešení ob</w:t>
      </w:r>
      <w:r w:rsidRPr="001D37E8">
        <w:rPr>
          <w:rFonts w:cs="Calibri"/>
          <w:color w:val="000000"/>
          <w:shd w:val="clear" w:color="auto" w:fill="FFFFFF"/>
        </w:rPr>
        <w:softHyphen/>
        <w:t>tížných dopravních</w:t>
      </w:r>
      <w:r w:rsidRPr="0041444C">
        <w:rPr>
          <w:rFonts w:cs="Calibri"/>
          <w:color w:val="000000"/>
          <w:shd w:val="clear" w:color="auto" w:fill="FFFFFF"/>
        </w:rPr>
        <w:t xml:space="preserve"> situací</w:t>
      </w:r>
      <w:r>
        <w:rPr>
          <w:rFonts w:cs="Calibri"/>
          <w:color w:val="000000"/>
          <w:shd w:val="clear" w:color="auto" w:fill="FFFFFF"/>
        </w:rPr>
        <w:t>, na křižovatkách a </w:t>
      </w:r>
      <w:r w:rsidRPr="0041444C">
        <w:rPr>
          <w:rFonts w:cs="Calibri"/>
          <w:color w:val="000000"/>
          <w:shd w:val="clear" w:color="auto" w:fill="FFFFFF"/>
        </w:rPr>
        <w:t>připojovacích pruzích a pomáhají jim vyhnout se dopravním nehodám, které vznikají za mimořádných situací.</w:t>
      </w:r>
      <w:r>
        <w:rPr>
          <w:rFonts w:cs="Calibri"/>
          <w:color w:val="000000"/>
          <w:shd w:val="clear" w:color="auto" w:fill="FFFFFF"/>
        </w:rPr>
        <w:t xml:space="preserve"> </w:t>
      </w:r>
      <w:r>
        <w:rPr>
          <w:szCs w:val="22"/>
        </w:rPr>
        <w:t xml:space="preserve"> </w:t>
      </w:r>
      <w:r w:rsidRPr="00E96D7E">
        <w:rPr>
          <w:szCs w:val="22"/>
        </w:rPr>
        <w:t xml:space="preserve">Budoucnost dopravy lze vidět v tom, že dopravní infrastruktura a vozidla budou například pomocí čidel vzájemně komunikovat. Můžeme očekávat, že za několik let bude datově připojeno téměř každé vozidlo. </w:t>
      </w:r>
      <w:r w:rsidRPr="00BC6EB2">
        <w:rPr>
          <w:rFonts w:cs="Calibri"/>
          <w:color w:val="000000"/>
          <w:shd w:val="clear" w:color="auto" w:fill="FFFFFF"/>
        </w:rPr>
        <w:t xml:space="preserve">Na provoz částečně i plně autonomních vozidel musí být uzpůsobena také silniční a uliční </w:t>
      </w:r>
      <w:r>
        <w:rPr>
          <w:rFonts w:cs="Calibri"/>
          <w:color w:val="000000"/>
          <w:shd w:val="clear" w:color="auto" w:fill="FFFFFF"/>
        </w:rPr>
        <w:t>síť, která umožní ko</w:t>
      </w:r>
      <w:r>
        <w:rPr>
          <w:rFonts w:cs="Calibri"/>
          <w:color w:val="000000"/>
          <w:shd w:val="clear" w:color="auto" w:fill="FFFFFF"/>
        </w:rPr>
        <w:softHyphen/>
        <w:t>munikaci a </w:t>
      </w:r>
      <w:r w:rsidRPr="00BC6EB2">
        <w:rPr>
          <w:rFonts w:cs="Calibri"/>
          <w:color w:val="000000"/>
          <w:shd w:val="clear" w:color="auto" w:fill="FFFFFF"/>
        </w:rPr>
        <w:t>interakci těchto vozidel nejen mezi sebou, ale i se zařízeními (stanicemi) na dopravní infrastruktuře.</w:t>
      </w:r>
      <w:r>
        <w:rPr>
          <w:rFonts w:cs="Calibri"/>
          <w:color w:val="000000"/>
          <w:shd w:val="clear" w:color="auto" w:fill="FFFFFF"/>
        </w:rPr>
        <w:t xml:space="preserve"> Vývoj v rámci autonomní mobility je silným motorem pro inovace, neboť se jedná o technologie s velmi vysokými požadavky na spolehlivost a odolnost. </w:t>
      </w:r>
      <w:r w:rsidRPr="00E96D7E">
        <w:rPr>
          <w:szCs w:val="22"/>
        </w:rPr>
        <w:t>V únoru 2017 se konalo v Mladé Boleslavi Kolokvium o budoucnosti automobilového průmyslu ČR. Hlavním tématem akce za účasti vládních špiček i koordinátora byla příprava automobilového prů</w:t>
      </w:r>
      <w:r w:rsidR="00402FF3">
        <w:rPr>
          <w:szCs w:val="22"/>
        </w:rPr>
        <w:t xml:space="preserve">myslu na příchod digitalizace. </w:t>
      </w:r>
    </w:p>
    <w:p w:rsidR="00686197" w:rsidRPr="000650D9" w:rsidRDefault="001B73ED" w:rsidP="007B1E57">
      <w:pPr>
        <w:pStyle w:val="Nadpis3"/>
      </w:pPr>
      <w:bookmarkStart w:id="33" w:name="_Toc491355951"/>
      <w:r w:rsidRPr="00B70237">
        <w:t>Budování internetových sítí</w:t>
      </w:r>
      <w:bookmarkEnd w:id="33"/>
    </w:p>
    <w:p w:rsidR="00686197" w:rsidRPr="00402FF3" w:rsidRDefault="00686197" w:rsidP="00402FF3">
      <w:pPr>
        <w:pStyle w:val="Plnovanopaten"/>
      </w:pPr>
      <w:r w:rsidRPr="00402FF3">
        <w:t>Plánovaná opatření</w:t>
      </w:r>
    </w:p>
    <w:p w:rsidR="00686197" w:rsidRPr="007D5EB5" w:rsidRDefault="00686197" w:rsidP="007D5EB5">
      <w:pPr>
        <w:pStyle w:val="NOPil1"/>
        <w:rPr>
          <w:b w:val="0"/>
          <w:i/>
        </w:rPr>
      </w:pPr>
      <w:r w:rsidRPr="007D5EB5">
        <w:t>Implementace Národního plánu rozvoje sítí nové generace</w:t>
      </w:r>
      <w:r w:rsidR="005346C1" w:rsidRPr="007D5EB5">
        <w:t>.</w:t>
      </w:r>
      <w:r w:rsidRPr="007D5EB5">
        <w:t xml:space="preserve"> </w:t>
      </w:r>
      <w:r w:rsidRPr="007D5EB5">
        <w:rPr>
          <w:b w:val="0"/>
          <w:i/>
        </w:rPr>
        <w:t>Termín: průběžně 2017 až 2023, gestor: MPO.</w:t>
      </w:r>
    </w:p>
    <w:p w:rsidR="00686197" w:rsidRPr="00E96D7E" w:rsidRDefault="007F23E0" w:rsidP="00376464">
      <w:pPr>
        <w:rPr>
          <w:szCs w:val="22"/>
        </w:rPr>
      </w:pPr>
      <w:r w:rsidRPr="007F23E0">
        <w:rPr>
          <w:szCs w:val="22"/>
        </w:rPr>
        <w:t>Národní plán rozvoje sítí nové generace (dále „Plán“) stanovuje dlouhodobý strategický rámec pro rozvoj sítí nových generací. Materiál byl projednán a schválen na schůzi vlády usnesením vlády ze dne 5. října 2016 č. 885 a v listopadu 2016 byl zaslán Evropské komisi k posouzení za účelem splnění předběžné podmínky pro umožnění čerpání z OP PIK. Na základě usnesení vlády se bude předkládat vládě vždy do 30. června každého kalendářního roku zpráva o aktivitách směřujících k naplnění Plán</w:t>
      </w:r>
      <w:r w:rsidRPr="006C4752">
        <w:rPr>
          <w:szCs w:val="22"/>
        </w:rPr>
        <w:t>u</w:t>
      </w:r>
      <w:r w:rsidR="00A71B05" w:rsidRPr="006C4752">
        <w:rPr>
          <w:szCs w:val="22"/>
        </w:rPr>
        <w:t xml:space="preserve">. </w:t>
      </w:r>
      <w:r w:rsidR="00A71B05" w:rsidRPr="006C4752">
        <w:t>V současné době probíhá vypořádání připomínek k první zprávě. Materiál bude obsahovat nové usnesení vlády stanovující úkol pro MPO předkládat zprávu každé 3 měsíce. Úkol předložit zprávu byl odložen s ohledem na vypořádání připomínek.</w:t>
      </w:r>
    </w:p>
    <w:p w:rsidR="00686197" w:rsidRPr="008E65C9" w:rsidRDefault="00686197" w:rsidP="00402FF3">
      <w:pPr>
        <w:pStyle w:val="NOPil1"/>
      </w:pPr>
      <w:r w:rsidRPr="008E65C9">
        <w:t>Implementace Akčního plánu k provedení nedotačních opatření pro podporu plánování a výstavby sítí elektronických komunikací</w:t>
      </w:r>
      <w:r w:rsidR="005346C1" w:rsidRPr="008E65C9">
        <w:t>.</w:t>
      </w:r>
      <w:r w:rsidRPr="008E65C9">
        <w:t xml:space="preserve"> </w:t>
      </w:r>
      <w:r w:rsidRPr="00402FF3">
        <w:rPr>
          <w:b w:val="0"/>
          <w:i/>
        </w:rPr>
        <w:t>Termín: průběžně 2017 až 2020, gestor: MPO, spolupráce: koordinátor</w:t>
      </w:r>
      <w:r w:rsidR="005346C1" w:rsidRPr="00402FF3">
        <w:rPr>
          <w:b w:val="0"/>
          <w:i/>
        </w:rPr>
        <w:t>.</w:t>
      </w:r>
    </w:p>
    <w:p w:rsidR="00402FF3" w:rsidRPr="00E96D7E" w:rsidRDefault="00686197" w:rsidP="00402FF3">
      <w:pPr>
        <w:rPr>
          <w:rFonts w:eastAsia="Times New Roman"/>
          <w:szCs w:val="22"/>
        </w:rPr>
      </w:pPr>
      <w:r w:rsidRPr="00E96D7E">
        <w:rPr>
          <w:szCs w:val="22"/>
        </w:rPr>
        <w:t xml:space="preserve">Součástí </w:t>
      </w:r>
      <w:r w:rsidR="00177245">
        <w:rPr>
          <w:szCs w:val="22"/>
        </w:rPr>
        <w:t>Akčního p</w:t>
      </w:r>
      <w:r w:rsidRPr="00E96D7E">
        <w:rPr>
          <w:szCs w:val="22"/>
        </w:rPr>
        <w:t xml:space="preserve">lánu </w:t>
      </w:r>
      <w:r w:rsidR="00177245">
        <w:rPr>
          <w:szCs w:val="22"/>
        </w:rPr>
        <w:t xml:space="preserve">k provedení nedotačních opatření pro podporu plánování a výstavby sítí elektronických komunikací </w:t>
      </w:r>
      <w:r w:rsidRPr="00E96D7E">
        <w:rPr>
          <w:szCs w:val="22"/>
        </w:rPr>
        <w:t>jsou návrhy opatření směřující k odstraňování legislativních a jiných překážek, které brání rozvoji sítí nové generace. Uvedená opatření jsou rozpracována v návrhu Akčního plánu k provedení nedotačních opatření pro podporu plánování a výstavby sítí elektronických komunikací, který vláda schválila 10. května 2017.</w:t>
      </w:r>
      <w:r w:rsidRPr="00E96D7E">
        <w:rPr>
          <w:rFonts w:eastAsia="Times New Roman"/>
          <w:szCs w:val="22"/>
        </w:rPr>
        <w:t xml:space="preserve"> Koordinátor vytvořil spolu s Ministerstvem průmyslu a obchodu v červnu 2017 Národní koordinační skupinu za účasti zástupců resortů, ČTÚ a odborné veřejnosti, která bude rozpracovávat konkrétní řešení tak, aby se problémy popsané v Akčním plánu k provedení nedotačních opatření podařilo vyřešit do konce roku 2018.</w:t>
      </w:r>
      <w:r w:rsidR="00402FF3">
        <w:rPr>
          <w:rFonts w:eastAsia="Times New Roman"/>
          <w:szCs w:val="22"/>
        </w:rPr>
        <w:br w:type="page"/>
      </w:r>
    </w:p>
    <w:p w:rsidR="000D09C6" w:rsidRPr="00402FF3" w:rsidRDefault="000D09C6" w:rsidP="00402FF3">
      <w:pPr>
        <w:pStyle w:val="NOPil1"/>
      </w:pPr>
      <w:r w:rsidRPr="00D97AD9">
        <w:lastRenderedPageBreak/>
        <w:t>Aktualizace Strategie správy rádiového spektra</w:t>
      </w:r>
      <w:r w:rsidR="005346C1">
        <w:t>.</w:t>
      </w:r>
      <w:r w:rsidRPr="00D97AD9">
        <w:t xml:space="preserve"> </w:t>
      </w:r>
      <w:r w:rsidRPr="00402FF3">
        <w:rPr>
          <w:b w:val="0"/>
          <w:i/>
        </w:rPr>
        <w:t>Termín: 2Q 2017, gestor: ČTÚ</w:t>
      </w:r>
      <w:r w:rsidR="005346C1" w:rsidRPr="00402FF3">
        <w:rPr>
          <w:b w:val="0"/>
          <w:i/>
        </w:rPr>
        <w:t>.</w:t>
      </w:r>
    </w:p>
    <w:p w:rsidR="00137067" w:rsidRPr="00D97AD9" w:rsidRDefault="000D09C6" w:rsidP="008C1143">
      <w:r w:rsidRPr="00D97AD9">
        <w:t>Rádiové spektrum a jeho využití bude i nadále hrát významnou roli při rozvoji infrastruktury vysokorychlostních sítí elektronických komunikací jak těch přístupových, tak i na úrovni kapacitních spojů přípojných sítí (</w:t>
      </w:r>
      <w:proofErr w:type="spellStart"/>
      <w:r w:rsidRPr="00D97AD9">
        <w:t>backhaul</w:t>
      </w:r>
      <w:proofErr w:type="spellEnd"/>
      <w:r w:rsidRPr="00D97AD9">
        <w:t>). Možnosti využití rádiového spektra při dalším rozvoji vysokorychlostních NGN sítí, stejně jako předpoklady autorizace kmitočtů z pásma 700 MHz, uvolňovaného v rámci migrace zemského digitálního TV vysílání na DVBT-2, a předpoklady pro rozvoj sítí 5</w:t>
      </w:r>
      <w:r w:rsidR="00074BCF">
        <w:t>.</w:t>
      </w:r>
      <w:r w:rsidRPr="00D97AD9">
        <w:t xml:space="preserve"> generace, budou zohledněny v rámci aktualizace </w:t>
      </w:r>
      <w:r w:rsidR="00E35D17">
        <w:t xml:space="preserve">opatření </w:t>
      </w:r>
      <w:r w:rsidRPr="00D97AD9">
        <w:t>Strategie správy spektra připravené podle usnesení vlády č. 421 ze dne 3. června 2015.</w:t>
      </w:r>
      <w:r w:rsidR="00E35D17">
        <w:t xml:space="preserve"> </w:t>
      </w:r>
      <w:r w:rsidR="00E35D17" w:rsidRPr="00E35D17">
        <w:t xml:space="preserve">Materiál byl předložen vládě k projednání, které </w:t>
      </w:r>
      <w:r w:rsidR="000321DA">
        <w:t>proběhne</w:t>
      </w:r>
      <w:r w:rsidR="00E35D17" w:rsidRPr="00E35D17">
        <w:t xml:space="preserve"> v </w:t>
      </w:r>
      <w:r w:rsidR="000321DA">
        <w:t>srpnu</w:t>
      </w:r>
      <w:r w:rsidR="000321DA" w:rsidRPr="00E35D17">
        <w:t xml:space="preserve"> </w:t>
      </w:r>
      <w:r w:rsidR="00E35D17" w:rsidRPr="00E35D17">
        <w:t>2017.</w:t>
      </w:r>
    </w:p>
    <w:p w:rsidR="00E75E25" w:rsidRPr="008E65C9" w:rsidRDefault="00E75E25" w:rsidP="007B1E57">
      <w:pPr>
        <w:pStyle w:val="Nadpis3"/>
      </w:pPr>
      <w:bookmarkStart w:id="34" w:name="_Toc491355952"/>
      <w:r w:rsidRPr="00B70237">
        <w:t>Budování komunikačního prostředí veřejné správy</w:t>
      </w:r>
      <w:bookmarkEnd w:id="34"/>
    </w:p>
    <w:p w:rsidR="00E75E25" w:rsidRPr="00137067" w:rsidRDefault="00137067" w:rsidP="00402FF3">
      <w:pPr>
        <w:pStyle w:val="Plnovanopaten"/>
      </w:pPr>
      <w:r>
        <w:t>Plánovaná opatření</w:t>
      </w:r>
    </w:p>
    <w:p w:rsidR="00E75E25" w:rsidRPr="004E399E" w:rsidRDefault="00E75E25" w:rsidP="00402FF3">
      <w:pPr>
        <w:pStyle w:val="NOPil1"/>
      </w:pPr>
      <w:r w:rsidRPr="004E399E">
        <w:t>Koncepce rozvoje komunikačního prostředí veřejné správy</w:t>
      </w:r>
      <w:r w:rsidR="005346C1">
        <w:t>.</w:t>
      </w:r>
      <w:r w:rsidRPr="004E399E">
        <w:t xml:space="preserve"> </w:t>
      </w:r>
      <w:r w:rsidRPr="00402FF3">
        <w:rPr>
          <w:b w:val="0"/>
          <w:i/>
        </w:rPr>
        <w:t>Termín: 1Q 2018, gestor: MV.</w:t>
      </w:r>
    </w:p>
    <w:p w:rsidR="00E75E25" w:rsidRPr="004E399E" w:rsidRDefault="00E75E25" w:rsidP="00E75E25">
      <w:pPr>
        <w:pStyle w:val="Default"/>
        <w:spacing w:line="276" w:lineRule="auto"/>
        <w:jc w:val="both"/>
        <w:rPr>
          <w:color w:val="auto"/>
          <w:sz w:val="22"/>
          <w:szCs w:val="22"/>
        </w:rPr>
      </w:pPr>
      <w:r w:rsidRPr="004E399E">
        <w:rPr>
          <w:color w:val="auto"/>
          <w:sz w:val="22"/>
          <w:szCs w:val="22"/>
        </w:rPr>
        <w:t xml:space="preserve">Komunikační prostředí veřejné správy je nástrojem umožňujícím dostupnou, spolehlivou a bezpečnou komunikaci mezi jednotlivými IT systémy a uživateli těchto systémů. Komunikačního prostředí veřejné správy je mimo jiné nutné pro využití při zajišťování vnitřního pořádku a bezpečnosti, bezpečnosti státu a řešení krizových situací. Bezpečná a dostatečně odolná cesta přenosu informací mezi dotčenými složkami veřejné správy, jejichž informační a rozhodovací potenciál je klíčový pro případ rychlé reakce, je nezbytným technickým předpokladem odolnosti státu vůči všem hrozbám bez rozdílu. Existence funkční infrastruktury parametricky odpovídající poskytovaným službám, s případnou rezervou pro další rozvoj těchto služeb, je také podmínkou dalšího rozvoje </w:t>
      </w:r>
      <w:proofErr w:type="spellStart"/>
      <w:r w:rsidRPr="004E399E">
        <w:rPr>
          <w:color w:val="auto"/>
          <w:sz w:val="22"/>
          <w:szCs w:val="22"/>
        </w:rPr>
        <w:t>eGovernmentu</w:t>
      </w:r>
      <w:proofErr w:type="spellEnd"/>
      <w:r w:rsidRPr="004E399E">
        <w:rPr>
          <w:color w:val="auto"/>
          <w:sz w:val="22"/>
          <w:szCs w:val="22"/>
        </w:rPr>
        <w:t xml:space="preserve"> a naplňování mnoha vládních strategií (</w:t>
      </w:r>
      <w:r w:rsidR="00AE36FF">
        <w:rPr>
          <w:color w:val="auto"/>
          <w:sz w:val="22"/>
          <w:szCs w:val="22"/>
        </w:rPr>
        <w:t>například</w:t>
      </w:r>
      <w:r w:rsidRPr="004E399E">
        <w:rPr>
          <w:color w:val="auto"/>
          <w:sz w:val="22"/>
          <w:szCs w:val="22"/>
        </w:rPr>
        <w:t xml:space="preserve"> Strategie digitálního vzdělávání do roku 2020, Strategie digitální gramotnosti). Aby se předešlo spontánním zásahům do tohoto prostředí, je potřeba rozvoj komunikačního prostředí veřejné správy korigovat. Koncepce rozvoje komunikačního prostředí veřejné správy bude sledovat dlouhodobé cíle a zajistí efektivní vynakládání prostředků v této oblasti.</w:t>
      </w:r>
    </w:p>
    <w:p w:rsidR="00137067" w:rsidRPr="00137067" w:rsidRDefault="00E75E25" w:rsidP="007B1E57">
      <w:pPr>
        <w:pStyle w:val="Nadpis3"/>
      </w:pPr>
      <w:bookmarkStart w:id="35" w:name="_Toc491355953"/>
      <w:r w:rsidRPr="00D97AD9">
        <w:t>Revize regulačního rámce EU pro sítě a služby elektronických komunikací</w:t>
      </w:r>
      <w:bookmarkEnd w:id="35"/>
    </w:p>
    <w:p w:rsidR="00E75E25" w:rsidRPr="00D97AD9" w:rsidRDefault="00E75E25" w:rsidP="00402FF3">
      <w:pPr>
        <w:pStyle w:val="Plnovanopaten"/>
      </w:pPr>
      <w:r w:rsidRPr="00D97AD9">
        <w:t>Plánovaná opatření</w:t>
      </w:r>
    </w:p>
    <w:p w:rsidR="00E75E25" w:rsidRPr="00402FF3" w:rsidRDefault="00E75E25" w:rsidP="00402FF3">
      <w:pPr>
        <w:pStyle w:val="NOPil1"/>
      </w:pPr>
      <w:r w:rsidRPr="00D97AD9">
        <w:t>Prosazování pozice ČR při projednávání návrhu revize telekomunikačního rámce</w:t>
      </w:r>
      <w:r w:rsidR="005346C1">
        <w:t>.</w:t>
      </w:r>
      <w:r w:rsidRPr="00D97AD9">
        <w:t xml:space="preserve"> </w:t>
      </w:r>
      <w:r w:rsidRPr="00DF0A17">
        <w:rPr>
          <w:b w:val="0"/>
          <w:i/>
        </w:rPr>
        <w:t>Termín: průběžně, gestor: MPO</w:t>
      </w:r>
      <w:r w:rsidR="005346C1" w:rsidRPr="00DF0A17">
        <w:rPr>
          <w:b w:val="0"/>
          <w:i/>
        </w:rPr>
        <w:t>.</w:t>
      </w:r>
    </w:p>
    <w:p w:rsidR="00E75E25" w:rsidRPr="00D97AD9" w:rsidRDefault="00E75E25" w:rsidP="00E75E25">
      <w:r w:rsidRPr="00D97AD9">
        <w:t xml:space="preserve">Za prioritu ČR obecně považuje to, aby se v rámci revize neměnily hlavní zásady stávajícího regulačního rámce. Podle ČR má být účelem regulace zejména podpora rozvoje konkurence a ochrana zákazníka. ČR se také domnívá, že je důležité zajistit, aby pravidla pro telekomunikační odvětví byla nejen správně nastavená, ale zejména shodně implementovaná napříč členskými zeměmi. To je dle ČR cesta k jednotnému evropskému digitálnímu trhu. V otázce přístupu ke srovnatelným službám je nutné zohledňovat různou technickou náročnost služeb. Nicméně obecně je nutné přijímat taková pravidla, která jsou </w:t>
      </w:r>
      <w:r w:rsidRPr="00D97AD9">
        <w:lastRenderedPageBreak/>
        <w:t>dostatečně flexibilní s ohledem na technologický vývoj v této oblasti. Důležitou součástí přípravy pozic je i konzultace relevantních sociálních a hospodářských partnerů.</w:t>
      </w:r>
    </w:p>
    <w:p w:rsidR="00147D72" w:rsidRPr="00D97AD9" w:rsidRDefault="003D2999" w:rsidP="007B1E57">
      <w:pPr>
        <w:pStyle w:val="Nadpis3"/>
      </w:pPr>
      <w:bookmarkStart w:id="36" w:name="_Toc491355954"/>
      <w:r w:rsidRPr="00B70237">
        <w:t>Doprava a rozvoj kosmických technologií</w:t>
      </w:r>
      <w:bookmarkEnd w:id="36"/>
    </w:p>
    <w:p w:rsidR="00D0610C" w:rsidRDefault="003D2999" w:rsidP="00402FF3">
      <w:pPr>
        <w:pStyle w:val="Plnovanopaten"/>
      </w:pPr>
      <w:r w:rsidRPr="00D97AD9">
        <w:t>Plánovaná opatření</w:t>
      </w:r>
    </w:p>
    <w:p w:rsidR="00D0610C" w:rsidRPr="00402FF3" w:rsidRDefault="00D0610C" w:rsidP="00402FF3">
      <w:pPr>
        <w:pStyle w:val="NOPil1"/>
      </w:pPr>
      <w:r w:rsidRPr="00402FF3">
        <w:t>Příprava projektu pokrytí hlavních</w:t>
      </w:r>
      <w:r w:rsidR="00402FF3">
        <w:t xml:space="preserve"> železničních a silničních cest </w:t>
      </w:r>
      <w:r w:rsidRPr="00402FF3">
        <w:t xml:space="preserve">vysokorychlostním internetem a datovými službami v dostatečné kvalitě a kapacitě. </w:t>
      </w:r>
      <w:r w:rsidRPr="00402FF3">
        <w:rPr>
          <w:b w:val="0"/>
          <w:i/>
        </w:rPr>
        <w:t>Termín: 2Q 2018</w:t>
      </w:r>
      <w:r w:rsidR="007C3C2D" w:rsidRPr="00402FF3">
        <w:rPr>
          <w:b w:val="0"/>
          <w:i/>
        </w:rPr>
        <w:t>, gestor: MD, MPO</w:t>
      </w:r>
      <w:r w:rsidR="00521C84" w:rsidRPr="00402FF3">
        <w:rPr>
          <w:b w:val="0"/>
          <w:i/>
        </w:rPr>
        <w:t xml:space="preserve">, </w:t>
      </w:r>
      <w:proofErr w:type="spellStart"/>
      <w:r w:rsidR="00521C84" w:rsidRPr="00402FF3">
        <w:rPr>
          <w:b w:val="0"/>
          <w:i/>
        </w:rPr>
        <w:t>spolugestor</w:t>
      </w:r>
      <w:proofErr w:type="spellEnd"/>
      <w:r w:rsidR="00521C84" w:rsidRPr="00402FF3">
        <w:rPr>
          <w:b w:val="0"/>
          <w:i/>
        </w:rPr>
        <w:t>: ČTÚ.</w:t>
      </w:r>
    </w:p>
    <w:p w:rsidR="00521C84" w:rsidRPr="00C27506" w:rsidRDefault="00521C84" w:rsidP="00521C84">
      <w:r w:rsidRPr="00776F63">
        <w:t xml:space="preserve">S ohledem na specifické potřeby systémů a služeb ITS budou navržena opatření týkající se dalšího rozvoje sítí elektronických komunikací podél hlavní dopravní sítě v ČR, zejména ve </w:t>
      </w:r>
      <w:r w:rsidRPr="00521C84">
        <w:t>spolupráci s provozovateli mobilních sítí 3G-4G (</w:t>
      </w:r>
      <w:r w:rsidR="00AE36FF">
        <w:t>včetně</w:t>
      </w:r>
      <w:r w:rsidRPr="00521C84">
        <w:t xml:space="preserve"> jejich technologických variant a v budoucnu také 5G). Cílem bude zajistit kvalitní prostředí pro vysokorychlostní datové přenosy na vysoké hladině spolehlivosti potřebné pro poskytování dopravních a cestovních informací v reálném čase všem řidičům a cestujícím a pro (datově) připojená vozidla či zboží pohybující se na dopravní síti. Současná míra pokrytí hlavních železničních a silničních cest byla změřena Českým telekomunikačním úřadem a výsledky jsou k dispozici na webových stránkách i ve formě open dat (</w:t>
      </w:r>
      <w:hyperlink r:id="rId12" w:history="1">
        <w:r w:rsidRPr="00521C84">
          <w:rPr>
            <w:rStyle w:val="Hypertextovodkaz"/>
          </w:rPr>
          <w:t>http://data.ctu.cz/dataset/pokryti-dalnic-mobilnim-signalem</w:t>
        </w:r>
      </w:hyperlink>
      <w:r w:rsidRPr="00521C84">
        <w:t xml:space="preserve"> a </w:t>
      </w:r>
      <w:hyperlink r:id="rId13" w:history="1">
        <w:r w:rsidR="00507621" w:rsidRPr="000666C8">
          <w:rPr>
            <w:rStyle w:val="Hypertextovodkaz"/>
          </w:rPr>
          <w:t>http://data.ctu.cz/dataset/pokryti-tranzitnich-zeleznicnich-koridoru-mobilnim-signalem</w:t>
        </w:r>
      </w:hyperlink>
      <w:r w:rsidRPr="00521C84">
        <w:t>).</w:t>
      </w:r>
      <w:r>
        <w:t xml:space="preserve"> </w:t>
      </w:r>
    </w:p>
    <w:p w:rsidR="00D0610C" w:rsidRPr="0057440B" w:rsidRDefault="00D0610C" w:rsidP="00DF0A17">
      <w:pPr>
        <w:pStyle w:val="NOPil1"/>
        <w:rPr>
          <w:i/>
          <w:u w:val="single"/>
        </w:rPr>
      </w:pPr>
      <w:r w:rsidRPr="00776F63">
        <w:t xml:space="preserve">Příprava projektu kvalitního </w:t>
      </w:r>
      <w:r w:rsidR="00DF0A17">
        <w:t xml:space="preserve">celoplošného pokrytí železniční </w:t>
      </w:r>
      <w:r w:rsidRPr="00776F63">
        <w:t xml:space="preserve">infrastruktury technologií bezdrátové komunikace. </w:t>
      </w:r>
      <w:r w:rsidRPr="00DF0A17">
        <w:rPr>
          <w:b w:val="0"/>
          <w:i/>
        </w:rPr>
        <w:t>Termín: 2Q 2018</w:t>
      </w:r>
      <w:r w:rsidR="007C3C2D" w:rsidRPr="00DF0A17">
        <w:rPr>
          <w:b w:val="0"/>
          <w:i/>
        </w:rPr>
        <w:t>, gestor: MD, MPO.</w:t>
      </w:r>
    </w:p>
    <w:p w:rsidR="00D0610C" w:rsidRPr="00776F63" w:rsidRDefault="00D0610C" w:rsidP="00D0610C">
      <w:r w:rsidRPr="00776F63">
        <w:t>Současné pojetí pokrytí území ČR signálem provozovatelů mobilních sítí je zaměřeno především na pokrytí obydlených území a páteřních silničních i železničních sítí (s technologií LTE). Na železniční síti se jedná o prioritní pokrytí páteřních sítí TEN-T, což spočívá v pokrytí asi 1/3 sítě tj. 1 350 km tratí. Pokrytí dalších celostátních a regionálních tratí, tj. asi 6 500 km dopravních cest, není dosud koncepčně rozvíjeno.</w:t>
      </w:r>
    </w:p>
    <w:p w:rsidR="00D0610C" w:rsidRPr="00776F63" w:rsidRDefault="00D0610C" w:rsidP="00D0610C">
      <w:r w:rsidRPr="00776F63">
        <w:t xml:space="preserve">Projekt by se měl zabývat vhodnou standardizací a stanovením základních požadavků jak na pokrytí infrastruktury, tak na vybavení kolejových vozidel, včetně definování rozhraní vůči jednotlivým účastníkům a uživatelům. </w:t>
      </w:r>
      <w:r>
        <w:t>Opatření je směřováno především na dostupnost hlasových služeb a vysokorychlostního internetu pro cestující a přepravce (odesílatel nebo příjemce zásilky). Nicméně je</w:t>
      </w:r>
      <w:r w:rsidRPr="00776F63">
        <w:t xml:space="preserve"> nutné zajistit vyváženost technických parametrů železniční infrastruktury (v souvislosti s dostupností hlasových služeb a vysokorychlostního internetu) a železničního vozidla tak, aby technické možnosti (moderních) vozidel nebyly omezovány stavem (nemodernizované) trati a na druhou stranu</w:t>
      </w:r>
      <w:r w:rsidR="0091399E">
        <w:t>,</w:t>
      </w:r>
      <w:r w:rsidRPr="00776F63">
        <w:t xml:space="preserve"> aby stav (původních) vozidel tak nemohl využít technické možnosti tratě vybavené moderními diagnostickými, řídícími a informačními systémy. Rozvoj moderní techniky včetně systémů ITS bude proto kromě železniční infrastruktury rozšířen také na železniční vozidla, aby železnice technicky nezaostávala za ostatními druhy dopravy.</w:t>
      </w:r>
    </w:p>
    <w:p w:rsidR="00D0610C" w:rsidRPr="00776F63" w:rsidRDefault="00D0610C" w:rsidP="00D0610C">
      <w:r w:rsidRPr="00776F63">
        <w:t xml:space="preserve">Realizace tohoto projektu umožní rozvoj a realizaci řady dalších služeb ITS (odbavování cestujících, informační systémy pro cestující, sledování zásilek, telemetrie a diagnostika vozidel atd.) a rovněž umožní výrazně zatraktivnit veřejnou osobní dopravu. Pokrytí celé sítě je důležité pro zajištění </w:t>
      </w:r>
      <w:proofErr w:type="spellStart"/>
      <w:r w:rsidRPr="00776F63">
        <w:t>ce</w:t>
      </w:r>
      <w:r w:rsidR="003C7D19">
        <w:t>losíťovosti</w:t>
      </w:r>
      <w:proofErr w:type="spellEnd"/>
      <w:r w:rsidR="003C7D19">
        <w:t xml:space="preserve"> železniční dopravy,</w:t>
      </w:r>
      <w:r w:rsidRPr="00776F63">
        <w:t xml:space="preserve"> její dostupnosti a atraktivity, a zároveň umožňuje řešit integrované dopravní systémy v území s využitím železniční dopravy jakožto rychlého, bezpečného, spolehlivého a atraktivního druhu dopravy.</w:t>
      </w:r>
    </w:p>
    <w:p w:rsidR="00D0610C" w:rsidRPr="00D24398" w:rsidRDefault="00D0610C" w:rsidP="00D0610C">
      <w:pPr>
        <w:rPr>
          <w:rFonts w:asciiTheme="minorHAnsi" w:eastAsia="Arial" w:hAnsiTheme="minorHAnsi"/>
        </w:rPr>
      </w:pPr>
      <w:r w:rsidRPr="00776F63">
        <w:lastRenderedPageBreak/>
        <w:t xml:space="preserve">Koordinátor se zapojí do pracovní skupiny pro přípravu realizace projektu realizace kvalitního celoplošného pokrytí železniční infrastruktury technologií bezdrátové komunikace „GSM“, kde GSM se </w:t>
      </w:r>
      <w:r w:rsidR="00AA0235">
        <w:t xml:space="preserve">chápe </w:t>
      </w:r>
      <w:r w:rsidRPr="00776F63">
        <w:t>v širším slova smyslu hlasové a datové služby provozovatelů mobilních sítí 3G a 4G</w:t>
      </w:r>
      <w:r w:rsidR="00507621">
        <w:t xml:space="preserve"> </w:t>
      </w:r>
      <w:r w:rsidRPr="00776F63">
        <w:t>(LTE), včetně prostředků distribuce GSM signálu v kolejových vozidlech za účelem dosažení potřebné kvality signálu GSM.</w:t>
      </w:r>
    </w:p>
    <w:p w:rsidR="00D0610C" w:rsidRPr="00626917" w:rsidRDefault="00D0610C" w:rsidP="00DF0A17">
      <w:pPr>
        <w:pStyle w:val="NOPil1"/>
      </w:pPr>
      <w:r w:rsidRPr="00776F63">
        <w:t xml:space="preserve">Prověření možnosti využití sítě veřejných mobilních operátorů pro přenos dat k zajištění provozuschopnosti dráhy, jejího provozování anebo provozování drážní dopravy. </w:t>
      </w:r>
      <w:r w:rsidRPr="00DF0A17">
        <w:rPr>
          <w:b w:val="0"/>
          <w:i/>
        </w:rPr>
        <w:t>Termín: 4Q 2017</w:t>
      </w:r>
      <w:r w:rsidR="007C3C2D" w:rsidRPr="00DF0A17">
        <w:rPr>
          <w:b w:val="0"/>
          <w:i/>
        </w:rPr>
        <w:t>, gestor: MD, MPO</w:t>
      </w:r>
      <w:r w:rsidR="003F41B0">
        <w:rPr>
          <w:b w:val="0"/>
          <w:i/>
        </w:rPr>
        <w:t xml:space="preserve">, </w:t>
      </w:r>
      <w:proofErr w:type="spellStart"/>
      <w:r w:rsidR="003F41B0">
        <w:rPr>
          <w:b w:val="0"/>
          <w:i/>
        </w:rPr>
        <w:t>spolugestor</w:t>
      </w:r>
      <w:proofErr w:type="spellEnd"/>
      <w:r w:rsidR="003F41B0">
        <w:rPr>
          <w:b w:val="0"/>
          <w:i/>
        </w:rPr>
        <w:t>: ČTÚ.</w:t>
      </w:r>
    </w:p>
    <w:p w:rsidR="006C057D" w:rsidRPr="00D0610C" w:rsidRDefault="00D0610C" w:rsidP="00D0610C">
      <w:r w:rsidRPr="00776F63">
        <w:t xml:space="preserve">MD ve spolupráci s MPO a ČTÚ bude analyzovat možnosti využití veřejných a neveřejných služeb provozovatelů </w:t>
      </w:r>
      <w:r w:rsidR="00F17752">
        <w:t xml:space="preserve">veřejných </w:t>
      </w:r>
      <w:r w:rsidRPr="00776F63">
        <w:t>sítí elektronických komunikací pro potřeby zajištění provozuschopnosti dráhy, jejího provozování anebo provozování drážní dopravy. Bude prověřena možnost vyhrazení priority pro přístup k požadovaným službám, tj. pro dosažení nezbytné spolehlivosti a dostupnosti služeb.</w:t>
      </w:r>
    </w:p>
    <w:p w:rsidR="00D0610C" w:rsidRPr="0057440B" w:rsidRDefault="00D0610C" w:rsidP="00DF0A17">
      <w:pPr>
        <w:pStyle w:val="NOPil1"/>
        <w:rPr>
          <w:i/>
          <w:u w:val="single"/>
        </w:rPr>
      </w:pPr>
      <w:r w:rsidRPr="00776F63">
        <w:t xml:space="preserve">Ověření funkčnosti služeb poskytovaných na stejných nebo přímo sousedních frekvencích pro potřeby silniční dopravy. </w:t>
      </w:r>
      <w:r w:rsidRPr="00DF0A17">
        <w:rPr>
          <w:b w:val="0"/>
          <w:i/>
        </w:rPr>
        <w:t>Termín: 4Q 2017</w:t>
      </w:r>
      <w:r w:rsidR="007C3C2D" w:rsidRPr="00DF0A17">
        <w:rPr>
          <w:b w:val="0"/>
          <w:i/>
        </w:rPr>
        <w:t>, gestor: MD, MPO</w:t>
      </w:r>
      <w:r w:rsidR="003F41B0">
        <w:rPr>
          <w:b w:val="0"/>
          <w:i/>
        </w:rPr>
        <w:t xml:space="preserve">, </w:t>
      </w:r>
      <w:proofErr w:type="spellStart"/>
      <w:r w:rsidR="003F41B0">
        <w:rPr>
          <w:b w:val="0"/>
          <w:i/>
        </w:rPr>
        <w:t>spolugestor</w:t>
      </w:r>
      <w:proofErr w:type="spellEnd"/>
      <w:r w:rsidR="003F41B0">
        <w:rPr>
          <w:b w:val="0"/>
          <w:i/>
        </w:rPr>
        <w:t>: ČTÚ</w:t>
      </w:r>
      <w:r w:rsidR="007C3C2D" w:rsidRPr="00DF0A17">
        <w:rPr>
          <w:b w:val="0"/>
          <w:i/>
        </w:rPr>
        <w:t>.</w:t>
      </w:r>
      <w:r w:rsidRPr="0057440B">
        <w:rPr>
          <w:i/>
          <w:u w:val="single"/>
        </w:rPr>
        <w:t xml:space="preserve">  </w:t>
      </w:r>
    </w:p>
    <w:p w:rsidR="00686197" w:rsidRPr="00F17752" w:rsidRDefault="00D0610C" w:rsidP="00F17752">
      <w:r w:rsidRPr="00776F63">
        <w:t>MD ve spolupráci s MPO a ČTÚ bude analyzovat možnosti využití veřejných a neveřejných služeb provozovatelů sítí elektronických komunikací operujících na frekvencích 5,8 a 5,9 GHz využívaných pro ITS systémy (</w:t>
      </w:r>
      <w:r w:rsidR="00AE36FF">
        <w:t>například</w:t>
      </w:r>
      <w:r w:rsidRPr="00776F63">
        <w:t xml:space="preserve"> elektronický mýtný systém, kooperativní ITS systémy atd.) za účelem zajištění plné a správné funkčnosti stávajících či nově budovaných ITS systémů na silniční infrastruktuře (geografický rozsah zahrnuje </w:t>
      </w:r>
      <w:proofErr w:type="spellStart"/>
      <w:r w:rsidRPr="00776F63">
        <w:t>extravilán</w:t>
      </w:r>
      <w:proofErr w:type="spellEnd"/>
      <w:r w:rsidRPr="00776F63">
        <w:t xml:space="preserve"> i </w:t>
      </w:r>
      <w:proofErr w:type="spellStart"/>
      <w:r w:rsidRPr="00776F63">
        <w:t>intravilán</w:t>
      </w:r>
      <w:proofErr w:type="spellEnd"/>
      <w:r w:rsidRPr="00776F63">
        <w:t>). Součástí těchto aktivit bude nezbytná spolupráce s národními a mezinárodními organizacemi (platformami či projekty) a zohlednění výstupů v rámci platných nebo připravovaných strategických dokumentů, zákonů (</w:t>
      </w:r>
      <w:r w:rsidR="00AE36FF">
        <w:t>včetně</w:t>
      </w:r>
      <w:r w:rsidRPr="00776F63">
        <w:t xml:space="preserve"> prováděcích vyhlášek) či technických norem / doporučení. Výstupy by měly zajistit vzájemnou kompatibilitu jednotlivých systémů a popř. zajistit dedikované frekvenční pásmo pro potřeby ITS systémů. </w:t>
      </w:r>
    </w:p>
    <w:p w:rsidR="00054B4D" w:rsidRPr="00D97AD9" w:rsidRDefault="00054B4D" w:rsidP="00DF0A17">
      <w:pPr>
        <w:pStyle w:val="NOPil1"/>
        <w:rPr>
          <w:i/>
          <w:u w:val="single"/>
        </w:rPr>
      </w:pPr>
      <w:r w:rsidRPr="00D97AD9">
        <w:t>Pokračovat ve vývoji a testování nových specializovaných komponent a technologií pro provoz bezpečných a plně autonomních vozidel, které budou představovat nový způsob dopravy</w:t>
      </w:r>
      <w:r w:rsidR="00D52AA3">
        <w:t>.</w:t>
      </w:r>
      <w:r w:rsidRPr="00D97AD9">
        <w:t xml:space="preserve"> </w:t>
      </w:r>
      <w:r w:rsidRPr="00DF0A17">
        <w:rPr>
          <w:b w:val="0"/>
          <w:i/>
        </w:rPr>
        <w:t xml:space="preserve">Termín: průběžně, gestor: MD </w:t>
      </w:r>
      <w:r w:rsidR="00BC6E92" w:rsidRPr="00DF0A17">
        <w:rPr>
          <w:b w:val="0"/>
          <w:i/>
        </w:rPr>
        <w:t>ve spolupráci s dalšími ústředními orgány státní správy</w:t>
      </w:r>
      <w:r w:rsidR="00DF0A17">
        <w:rPr>
          <w:b w:val="0"/>
          <w:i/>
        </w:rPr>
        <w:t>.</w:t>
      </w:r>
      <w:r w:rsidRPr="00D97AD9">
        <w:rPr>
          <w:i/>
          <w:u w:val="single"/>
        </w:rPr>
        <w:t xml:space="preserve"> </w:t>
      </w:r>
    </w:p>
    <w:p w:rsidR="00DF0A17" w:rsidRDefault="00054B4D" w:rsidP="00054B4D">
      <w:r w:rsidRPr="000108DA">
        <w:rPr>
          <w:rFonts w:cs="Calibri"/>
          <w:color w:val="000000"/>
          <w:shd w:val="clear" w:color="auto" w:fill="FFFFFF"/>
        </w:rPr>
        <w:t xml:space="preserve">Automatizace silničních vozidel se dělí do celkem šesti úrovní, od vozidla, které je vybaveno varovnými systémy a řídí jej pouze řidič, přes vozidla vybavená asistenčními systémy až po vozidlo, které je </w:t>
      </w:r>
      <w:r w:rsidRPr="008112B5">
        <w:t xml:space="preserve">automaticky </w:t>
      </w:r>
      <w:r w:rsidRPr="009B5B34">
        <w:t>řízeno do zvoleného cíle cesty, řidič přitom není potřeba - neexistuje.</w:t>
      </w:r>
      <w:r>
        <w:t xml:space="preserve"> </w:t>
      </w:r>
      <w:r w:rsidRPr="005028E5">
        <w:t>Autonomní vozidlo, obdobně jako člověk při řízení, musí shromažďovat informace, na základě nich se rozhodovat a provádět příslušný manévr.</w:t>
      </w:r>
      <w:r>
        <w:t xml:space="preserve"> </w:t>
      </w:r>
      <w:r w:rsidRPr="005028E5">
        <w:t>Autonomní vozidla musí být navržena a vyrobena takovým způsobem, aby byla zajištěna bezpečnost dopravního provozu. Nejde</w:t>
      </w:r>
      <w:r>
        <w:t xml:space="preserve"> přitom</w:t>
      </w:r>
      <w:r w:rsidRPr="005028E5">
        <w:t xml:space="preserve"> pouze o dodržování pravidel silničního provozu, ale také o to, jakým způsobem bude vozidlo vyhodnocovat dopravní situaci. Další důležitou otázkou je kybernetická bezpečnost, tedy ochrana proti záměrnému vniknutí do informačních systémů zvenčí a případnému narušení a zneužití.</w:t>
      </w:r>
      <w:r>
        <w:t xml:space="preserve"> Také musí být </w:t>
      </w:r>
      <w:r w:rsidRPr="0020151B">
        <w:t>zajištěna ochrana osobních údajů. Jednotlivé komunikační technologie různých výrobců by měly být interoperabilní, standardizované a zabezpečené.</w:t>
      </w:r>
      <w:r>
        <w:t xml:space="preserve"> </w:t>
      </w:r>
      <w:r w:rsidRPr="0020151B">
        <w:t>Nicméně aby byla zhodnocena bezpečnost a spolehlivost autonomního vozidla, musí nejprve během testovacích jízd najet tisíce až miliony kilometrů, na kterých budou testovány situace v reálném provozu.</w:t>
      </w:r>
      <w:r>
        <w:t xml:space="preserve"> </w:t>
      </w:r>
    </w:p>
    <w:p w:rsidR="00054B4D" w:rsidRDefault="00054B4D" w:rsidP="00054B4D">
      <w:r>
        <w:lastRenderedPageBreak/>
        <w:t>J</w:t>
      </w:r>
      <w:r w:rsidRPr="0020151B">
        <w:t xml:space="preserve">e třeba dořešit otázky postupů ověřování a testování </w:t>
      </w:r>
      <w:r>
        <w:t xml:space="preserve">automatických jízdních funkcí a stanovit </w:t>
      </w:r>
      <w:r w:rsidRPr="0020151B">
        <w:t>zásady, které budou uplatňovány při provozu vozidel - počínaje zkušebním provozem - a při schvalování technické způsobilosti automatizovaných vozidel.</w:t>
      </w:r>
    </w:p>
    <w:p w:rsidR="00054B4D" w:rsidRDefault="00054B4D" w:rsidP="00054B4D">
      <w:r w:rsidRPr="00CA56D9">
        <w:t>Je třeba podporovat testování a provoz autonomních vozidel</w:t>
      </w:r>
      <w:r w:rsidR="00507621">
        <w:t>,</w:t>
      </w:r>
      <w:r w:rsidR="00B74264">
        <w:t xml:space="preserve"> </w:t>
      </w:r>
      <w:r w:rsidRPr="00CA56D9">
        <w:t>jak na uzavřených testovacích tratích, tak na veřejných pozemních komunikacích v různých typech silničního provozu (ve městě, mimo město a na dálnici apod.) až do úrovně</w:t>
      </w:r>
      <w:r w:rsidRPr="001412C1">
        <w:t xml:space="preserve"> </w:t>
      </w:r>
      <w:r w:rsidRPr="00A02A0A">
        <w:t>vysoce automatizovaného vozidla</w:t>
      </w:r>
      <w:r w:rsidRPr="009C1416">
        <w:t xml:space="preserve"> </w:t>
      </w:r>
      <w:r w:rsidRPr="0020564C">
        <w:t>na dálnicích</w:t>
      </w:r>
      <w:r w:rsidRPr="00A02A0A">
        <w:t>, ve kterém nemusí řidič ve vymezených oblastech věnovat pozornost řízení s výjimkou nebezpečného prostředí (</w:t>
      </w:r>
      <w:r w:rsidR="00AE36FF">
        <w:t>například</w:t>
      </w:r>
      <w:r w:rsidRPr="00A02A0A">
        <w:t xml:space="preserve"> velmi špatné počasí)</w:t>
      </w:r>
      <w:r>
        <w:t xml:space="preserve"> a </w:t>
      </w:r>
      <w:r w:rsidRPr="0049346C">
        <w:t>plně automatizovaných</w:t>
      </w:r>
      <w:r>
        <w:t xml:space="preserve"> </w:t>
      </w:r>
      <w:r w:rsidRPr="0020564C">
        <w:t>vozidel ve městech</w:t>
      </w:r>
      <w:r>
        <w:t xml:space="preserve">, </w:t>
      </w:r>
      <w:r w:rsidRPr="00CA56D9">
        <w:t>a </w:t>
      </w:r>
      <w:r>
        <w:t xml:space="preserve">také </w:t>
      </w:r>
      <w:r w:rsidRPr="00CA56D9">
        <w:t>rozvoj potřebné infrastruktury (</w:t>
      </w:r>
      <w:r w:rsidR="00AE36FF">
        <w:t>například</w:t>
      </w:r>
      <w:r w:rsidRPr="00CA56D9">
        <w:t xml:space="preserve"> odpovídající síť mobilních komunikací apod.).</w:t>
      </w:r>
    </w:p>
    <w:p w:rsidR="00054B4D" w:rsidRPr="000108DA" w:rsidRDefault="00054B4D" w:rsidP="00054B4D">
      <w:pPr>
        <w:rPr>
          <w:b/>
        </w:rPr>
      </w:pPr>
      <w:r w:rsidRPr="0020564C">
        <w:t>Zavedení technologie autonomního řízení nemá dopad jen na řidiče autonomního vozidla, ale i na ostatní účastníky silničního provozu, kteří budou muset být na chování těchto vozidel připraveni.</w:t>
      </w:r>
      <w:r>
        <w:t xml:space="preserve"> Autonomní vozidlo se v silničním provozu chová jinak než vozidlo</w:t>
      </w:r>
      <w:r w:rsidRPr="00B02985">
        <w:t xml:space="preserve"> </w:t>
      </w:r>
      <w:r>
        <w:t>řízené</w:t>
      </w:r>
      <w:r w:rsidRPr="00B02985">
        <w:t xml:space="preserve"> </w:t>
      </w:r>
      <w:r>
        <w:t>manuálně.</w:t>
      </w:r>
    </w:p>
    <w:p w:rsidR="00054B4D" w:rsidRPr="00D97AD9" w:rsidRDefault="00054B4D" w:rsidP="00DF0A17">
      <w:pPr>
        <w:pStyle w:val="NOPil1"/>
        <w:rPr>
          <w:i/>
          <w:u w:val="single"/>
        </w:rPr>
      </w:pPr>
      <w:r w:rsidRPr="00D97AD9">
        <w:t>Zpracovat Akční plán autonomního řízení</w:t>
      </w:r>
      <w:r w:rsidR="00D52AA3">
        <w:t>.</w:t>
      </w:r>
      <w:r w:rsidRPr="00D97AD9">
        <w:t xml:space="preserve"> </w:t>
      </w:r>
      <w:r w:rsidRPr="00DF0A17">
        <w:rPr>
          <w:b w:val="0"/>
          <w:i/>
        </w:rPr>
        <w:t>Termín: 4Q 2017 / 1Q 2018, gestor: MD.</w:t>
      </w:r>
    </w:p>
    <w:p w:rsidR="00054B4D" w:rsidRPr="00D97AD9" w:rsidRDefault="00054B4D" w:rsidP="00054B4D">
      <w:r w:rsidRPr="0076613C">
        <w:t>Akční plán autonomního řízení bude definovat vizi a cíle ČR v oblasti autonomního řízení a návrhy opatření vedoucí k jejich naplnění. Dále bude obsahovat návrhy na případné změny příslušné legislativy a návrhy na regulaci spektra pro provoz elektronických komunikací, ochranu osobních údajů a bezpečnosti, tedy ochranu uživatelů datově propojených a autonomních vozidel před kybernetickou kriminalitou a teroristickými útoky. Zmíněný akční plán odhadne finanční náklady (a možné zdroje financování) potřebné k realizaci navržených cílů a opatření.</w:t>
      </w:r>
      <w:r w:rsidDel="0076613C">
        <w:t xml:space="preserve"> </w:t>
      </w:r>
    </w:p>
    <w:p w:rsidR="00D52AA3" w:rsidRPr="00D97AD9" w:rsidRDefault="00054B4D" w:rsidP="00DF0A17">
      <w:pPr>
        <w:pStyle w:val="NOPil1"/>
      </w:pPr>
      <w:r w:rsidRPr="00D97AD9">
        <w:t>Příprava Národního kosmického plánu na období 2020 – 2025</w:t>
      </w:r>
      <w:r w:rsidR="00D52AA3">
        <w:t>.</w:t>
      </w:r>
      <w:r w:rsidRPr="00D97AD9">
        <w:t xml:space="preserve"> </w:t>
      </w:r>
      <w:r w:rsidRPr="00DF0A17">
        <w:rPr>
          <w:b w:val="0"/>
          <w:i/>
        </w:rPr>
        <w:t>Termín: 2019, gestor: MD.</w:t>
      </w:r>
    </w:p>
    <w:p w:rsidR="00054B4D" w:rsidRPr="00D97AD9" w:rsidRDefault="00054B4D" w:rsidP="00DF0A17">
      <w:pPr>
        <w:pStyle w:val="Odstavecseseznamem"/>
        <w:spacing w:before="120" w:after="0"/>
        <w:ind w:left="0"/>
      </w:pPr>
      <w:r w:rsidRPr="00D97AD9">
        <w:t>V současné době se kosmické aktivity ČR odvíjejí dle Národního kosmického plánu (NKP) na období 2014 – 2019. Před koncem jeho platnosti bude třeba provést jeho vyhodnocení na základě v něm stanovených hodnotících kritérií a v dostatečném předstihu vypracovat NKP na navazující šestileté období. Součástí tohoto plánu budou nově nastavené cíle, kterých má být dosaženo</w:t>
      </w:r>
      <w:r w:rsidR="00074BCF">
        <w:t>,</w:t>
      </w:r>
      <w:r w:rsidRPr="00D97AD9">
        <w:t xml:space="preserve"> i identifikované tematické oblasti, jaké by se měly v ČR rozvíjet, jakým způsobe</w:t>
      </w:r>
      <w:r w:rsidR="00DF0A17">
        <w:t>m a za použití jakých nástrojů.</w:t>
      </w:r>
    </w:p>
    <w:p w:rsidR="00054B4D" w:rsidRPr="00D97AD9" w:rsidRDefault="00054B4D" w:rsidP="00DF0A17">
      <w:pPr>
        <w:pStyle w:val="NOPil1"/>
      </w:pPr>
      <w:r w:rsidRPr="00D97AD9">
        <w:t>Zajištění dlouhodobého financování kosmických aktivit v ČR a účasti ČR na volitelných programech ESA</w:t>
      </w:r>
      <w:r w:rsidR="00D52AA3">
        <w:t>.</w:t>
      </w:r>
      <w:r w:rsidRPr="00D97AD9">
        <w:t xml:space="preserve"> </w:t>
      </w:r>
      <w:r w:rsidRPr="00DF0A17">
        <w:rPr>
          <w:b w:val="0"/>
          <w:i/>
        </w:rPr>
        <w:t>Termín: 2018, gestor: MD</w:t>
      </w:r>
      <w:r w:rsidR="00D52AA3" w:rsidRPr="00DF0A17">
        <w:rPr>
          <w:b w:val="0"/>
          <w:i/>
        </w:rPr>
        <w:t>.</w:t>
      </w:r>
      <w:r w:rsidRPr="00DF0A17">
        <w:rPr>
          <w:b w:val="0"/>
        </w:rPr>
        <w:tab/>
      </w:r>
    </w:p>
    <w:p w:rsidR="00054B4D" w:rsidRDefault="00054B4D" w:rsidP="00054B4D">
      <w:pPr>
        <w:pStyle w:val="Odstavecseseznamem"/>
        <w:spacing w:after="0"/>
        <w:ind w:left="0"/>
      </w:pPr>
      <w:r w:rsidRPr="00D97AD9">
        <w:t xml:space="preserve">V tuto chvíli se většina kosmických aktivit odehrává v rámci programu ESA. </w:t>
      </w:r>
      <w:r>
        <w:t xml:space="preserve">Stávající způsob financování aktivit ESA je takový, že MŠMT financuje z prostředků mezinárodní spolupráce ve výzkumu a vývoji povinné aktivity ESA (v roce 2017 se jedná o částku cca </w:t>
      </w:r>
      <w:r w:rsidRPr="007D0B2B">
        <w:rPr>
          <w:rFonts w:eastAsia="MS Mincho"/>
          <w:szCs w:val="24"/>
          <w:lang w:eastAsia="ja-JP"/>
        </w:rPr>
        <w:t>220 mil. Kč</w:t>
      </w:r>
      <w:r>
        <w:rPr>
          <w:rFonts w:eastAsia="MS Mincho"/>
          <w:szCs w:val="24"/>
          <w:lang w:eastAsia="ja-JP"/>
        </w:rPr>
        <w:t xml:space="preserve">) a volitelné programy ESA z oblasti výzkumu a vývoje (v roce 2017 se jedná o částku cca 110 mil. Kč) a že MD mimo rozpočet na výzkum a vývoj financuje volitelné programy ESA blízké průmyslovým cílům částkou stanovenou vládou pro roky 2017 a následující ve výši 555 mil. Kč ročně a dále rámcový projekt ESA pro ČR (pro rok 2017 s příspěvkem 375 mil. Kč). Kosmické projekty jsou </w:t>
      </w:r>
      <w:r w:rsidRPr="00D97AD9">
        <w:t xml:space="preserve">obvykle o dlouhodobé projekty s mnohaletým řešením či řešením v rámci dílčích projektů, které na sebe navazují. Pro zajištění kontinuity těchto projektů je nezbytné mít k dispozici dlouhodobě dostupný finanční zdroj. Absence dostatečného financování kosmických programů ESA může mít výrazné negativní dopady na postavení a </w:t>
      </w:r>
      <w:r w:rsidRPr="00D97AD9">
        <w:lastRenderedPageBreak/>
        <w:t>konkurenceschopnost českého kosmického průmyslu v rámci Evropy, včetně nepříznivých dopadů na podnikání mimo kosmický sektor z důvodu provázanosti kosmických aktivit s běžným průmyslem i dodavatelskými řetězci.</w:t>
      </w:r>
      <w:r>
        <w:t xml:space="preserve"> Rámcový projekt ESA pro ČR směřuje k rychlejší přípravě český</w:t>
      </w:r>
      <w:r w:rsidR="00074BCF">
        <w:t>ch</w:t>
      </w:r>
      <w:r>
        <w:t xml:space="preserve"> schopností a kapacit a zvýšení jejich mezinárodní konkurenceschopnosti a je tedy třeba tento nástroj dále podpořit i za horizont jeho stávajícího financování (2</w:t>
      </w:r>
      <w:r w:rsidR="00B24748">
        <w:t>018) a udržet jeho financování jak v roce 2019, tak i v</w:t>
      </w:r>
      <w:r>
        <w:t xml:space="preserve"> následujících (aktuálně se jedná o částku 375 mil. Kč ročně).</w:t>
      </w:r>
      <w:r w:rsidR="0027454A">
        <w:t xml:space="preserve"> </w:t>
      </w:r>
      <w:r w:rsidR="0027454A" w:rsidRPr="0027454A">
        <w:t>Financování výše uvedených kosmických aktivit neprobíhá v režimu veřejné podpory výzkum, vývoj a inovace dle zákona č. 130/2002 Sb.</w:t>
      </w:r>
    </w:p>
    <w:p w:rsidR="00F514FA" w:rsidRDefault="00054B4D" w:rsidP="00054B4D">
      <w:pPr>
        <w:pStyle w:val="Odstavecseseznamem"/>
        <w:spacing w:after="0"/>
        <w:ind w:left="0"/>
      </w:pPr>
      <w:r>
        <w:t>Rovněž je třeba zajistit podporu aplikací založených na date</w:t>
      </w:r>
      <w:r w:rsidR="00B24748">
        <w:t xml:space="preserve">ch kosmických systémů, </w:t>
      </w:r>
      <w:r w:rsidR="00AE36FF">
        <w:t>například</w:t>
      </w:r>
      <w:r w:rsidR="00B24748">
        <w:t xml:space="preserve"> na datech</w:t>
      </w:r>
      <w:r>
        <w:t xml:space="preserve"> pozorování Země, </w:t>
      </w:r>
      <w:r w:rsidR="00AE36FF">
        <w:t>včetně</w:t>
      </w:r>
      <w:r>
        <w:t xml:space="preserve"> dlouhodobého provozu národního úložišt</w:t>
      </w:r>
      <w:r w:rsidR="00DF0A17">
        <w:t xml:space="preserve">ě těchto dat. </w:t>
      </w:r>
    </w:p>
    <w:p w:rsidR="00584D85" w:rsidRPr="00D97AD9" w:rsidRDefault="000C261E" w:rsidP="007B1E57">
      <w:pPr>
        <w:pStyle w:val="Nadpis3"/>
      </w:pPr>
      <w:bookmarkStart w:id="37" w:name="_Toc483901045"/>
      <w:bookmarkStart w:id="38" w:name="_Toc484094061"/>
      <w:bookmarkStart w:id="39" w:name="_Toc491355955"/>
      <w:r w:rsidRPr="00B70237">
        <w:t>Rozvoj infrastruktury</w:t>
      </w:r>
      <w:bookmarkEnd w:id="37"/>
      <w:bookmarkEnd w:id="38"/>
      <w:bookmarkEnd w:id="39"/>
    </w:p>
    <w:p w:rsidR="00C97747" w:rsidRPr="00137067" w:rsidRDefault="003D2999" w:rsidP="00DF0A17">
      <w:pPr>
        <w:pStyle w:val="Plnovanopaten"/>
      </w:pPr>
      <w:r w:rsidRPr="00D97AD9">
        <w:t>Plánovaná opatření</w:t>
      </w:r>
    </w:p>
    <w:p w:rsidR="007834E0" w:rsidRPr="004E399E" w:rsidRDefault="003D2999" w:rsidP="00DF0A17">
      <w:pPr>
        <w:pStyle w:val="NOPil1"/>
      </w:pPr>
      <w:r w:rsidRPr="004E399E">
        <w:t>Informační systém technické infrastruktury veřejné správy</w:t>
      </w:r>
      <w:r w:rsidR="00D52AA3">
        <w:t>.</w:t>
      </w:r>
      <w:r w:rsidRPr="004E399E">
        <w:t xml:space="preserve"> </w:t>
      </w:r>
      <w:r w:rsidRPr="00DF0A17">
        <w:rPr>
          <w:b w:val="0"/>
          <w:i/>
        </w:rPr>
        <w:t xml:space="preserve">Termín: 3Q 2017- zahájení </w:t>
      </w:r>
      <w:r w:rsidR="00B86FB7" w:rsidRPr="00DF0A17">
        <w:rPr>
          <w:b w:val="0"/>
          <w:i/>
        </w:rPr>
        <w:t xml:space="preserve">realizace </w:t>
      </w:r>
      <w:r w:rsidRPr="00DF0A17">
        <w:rPr>
          <w:b w:val="0"/>
          <w:i/>
        </w:rPr>
        <w:t>informačního systému, gestor: MV.</w:t>
      </w:r>
    </w:p>
    <w:p w:rsidR="00464980" w:rsidRPr="00137067" w:rsidRDefault="003D2999" w:rsidP="00137067">
      <w:pPr>
        <w:pStyle w:val="Default"/>
        <w:tabs>
          <w:tab w:val="left" w:pos="851"/>
        </w:tabs>
        <w:spacing w:after="240" w:line="276" w:lineRule="auto"/>
        <w:jc w:val="both"/>
        <w:rPr>
          <w:color w:val="auto"/>
          <w:sz w:val="22"/>
          <w:szCs w:val="22"/>
        </w:rPr>
      </w:pPr>
      <w:r w:rsidRPr="004E399E">
        <w:rPr>
          <w:color w:val="auto"/>
          <w:sz w:val="22"/>
          <w:szCs w:val="22"/>
        </w:rPr>
        <w:t xml:space="preserve">V rámci rozvoje sítí nových generací a v souladu se schválenou </w:t>
      </w:r>
      <w:proofErr w:type="spellStart"/>
      <w:r w:rsidRPr="004E399E">
        <w:rPr>
          <w:color w:val="auto"/>
          <w:sz w:val="22"/>
          <w:szCs w:val="22"/>
        </w:rPr>
        <w:t>Geoinfostrategií</w:t>
      </w:r>
      <w:proofErr w:type="spellEnd"/>
      <w:r w:rsidRPr="004E399E">
        <w:rPr>
          <w:color w:val="auto"/>
          <w:sz w:val="22"/>
          <w:szCs w:val="22"/>
        </w:rPr>
        <w:t xml:space="preserve"> ČR potřebuje veřejná správa disponovat objektivním monitorovacím a mapovacím nástrojem pro vyhodnocování existence stávající technické infrastruktury veřejné správy a plánování jejího budoucího rozvoje. Tento informační systém bude sloužit pro zprostředkování informací o existující technické infrastruktuře primárně pro potřeby veřejné správy. Součástí přípravy je rovněž vyhodnocení vazeb na stávající informační systémy prostorových informací. </w:t>
      </w:r>
      <w:r w:rsidR="004010C0">
        <w:rPr>
          <w:color w:val="auto"/>
          <w:sz w:val="22"/>
          <w:szCs w:val="22"/>
        </w:rPr>
        <w:t>I</w:t>
      </w:r>
      <w:r w:rsidRPr="004E399E">
        <w:rPr>
          <w:color w:val="auto"/>
          <w:sz w:val="22"/>
          <w:szCs w:val="22"/>
        </w:rPr>
        <w:t>nformační systém bude zároveň přispívat ke snížení nákladů na budování vysokorychlostních sítí elektronických komunikací.</w:t>
      </w:r>
      <w:bookmarkStart w:id="40" w:name="_Toc473114205"/>
    </w:p>
    <w:p w:rsidR="003C2F8B" w:rsidRPr="00137067" w:rsidRDefault="003D2999" w:rsidP="007B1E57">
      <w:pPr>
        <w:pStyle w:val="Nadpis3"/>
      </w:pPr>
      <w:bookmarkStart w:id="41" w:name="_Toc491355956"/>
      <w:r w:rsidRPr="00E53E45">
        <w:t>Digitalizace televizního vysílání</w:t>
      </w:r>
      <w:bookmarkEnd w:id="40"/>
      <w:bookmarkEnd w:id="41"/>
    </w:p>
    <w:p w:rsidR="00A236F7" w:rsidRPr="0077674E" w:rsidRDefault="003D2999" w:rsidP="00DF0A17">
      <w:r w:rsidRPr="0077674E">
        <w:t>Zemské digitální televizní vysílání (dále jen DTT) sehrává v podmínkách ČR jedinečnou a významnou roli. Jedná se totiž o jedinou bezplatnou platformu příjmu volně dostupného televizního vysílání a zároveň nejsilnější platformu pro příjem televizního vysílání v ČR (využívá jí více než 60 % českých domácností). V roce 2012 byl v ČR úspěšně dokončen přechod ze zemského analogového televizního vysílání na DTT (dále jen Přechod na DTT) který mj. vedl k uvolnění pásma 800 MHz pro využití mobilními vysokorychlostními sítěmi (LTE), jejichž rychlé budování přináší v současnosti pokrytí již pro více než 90</w:t>
      </w:r>
      <w:r w:rsidR="00B24748">
        <w:t xml:space="preserve"> </w:t>
      </w:r>
      <w:r w:rsidRPr="0077674E">
        <w:t>% obyvatel ČR. V rámci DTT v současné době vysílá 23 televizních stanic prostřednictvím 4 celoplošných sítí DVB-T s příděly rádiových kmitočtů platnými do roku 2021 – 2024. Dočasně je dostupné i pokrytí regionálním vysíláním prostřednictvím regionálních sítí s</w:t>
      </w:r>
      <w:bookmarkStart w:id="42" w:name="page25"/>
      <w:bookmarkEnd w:id="42"/>
      <w:r w:rsidRPr="0077674E">
        <w:t> </w:t>
      </w:r>
      <w:r w:rsidRPr="0077674E">
        <w:rPr>
          <w:rFonts w:eastAsia="Arial"/>
        </w:rPr>
        <w:t>příslušnými programy. Obyvatelé ČR mají ovšem k dispozici možnost svobodně volit mezi DTT, satelitní, kabelovou nebo IPTV platformou.</w:t>
      </w:r>
    </w:p>
    <w:p w:rsidR="00E53E45" w:rsidRPr="001655BE" w:rsidRDefault="003D2999" w:rsidP="00DF0A17">
      <w:r w:rsidRPr="0077674E">
        <w:t>Na základě potřeby včasného uvolnění kmitočtového pásma 694 – 790 MHz („Pásmo 700 MHz“) a závěrů evropských i národních politických i expertních diskusí je základní tezí požadavek na uvolnění Pásma 700 MHz prostřednictvím státem řízeného Přechodu na DVB-T2, tj. standard</w:t>
      </w:r>
      <w:r w:rsidR="00B24748">
        <w:t>,</w:t>
      </w:r>
      <w:r w:rsidRPr="0077674E">
        <w:t xml:space="preserve"> který umožní efektivnější využití kmitočtů DTT. Z pohledu potřeby </w:t>
      </w:r>
      <w:r w:rsidRPr="0077674E">
        <w:lastRenderedPageBreak/>
        <w:t>respektovat a zajistit dlouhodobý rozvoj DTT je nutno v součinnosti s ČTÚ v procesu Přechodu na DVB-T2 vytvořit základní podmínky pro možnost budoucího rozvoje DTT. Ten musí být realizován jak z hlediska technologického rozvoje (spektrálně efektivnější technologie šíření televizního signálu), tak z hlediska potřeby zvyšování kvality televizního obrazu a zvuku (televizní formáty – HDTV, UHDTV). Oba trendy souvisí s efektivním využitím disponibilního spektra.</w:t>
      </w:r>
    </w:p>
    <w:p w:rsidR="00A236F7" w:rsidRPr="00DF0A17" w:rsidRDefault="003D2999" w:rsidP="00DF0A17">
      <w:pPr>
        <w:pStyle w:val="Plnovanopaten"/>
      </w:pPr>
      <w:r w:rsidRPr="00DF0A17">
        <w:t>Plánovaná opatření</w:t>
      </w:r>
    </w:p>
    <w:p w:rsidR="00C76504" w:rsidRPr="00C76504" w:rsidRDefault="003D2999" w:rsidP="00DF0A17">
      <w:pPr>
        <w:pStyle w:val="NOPil1"/>
      </w:pPr>
      <w:r w:rsidRPr="00D97AD9">
        <w:t>Implementace Strategie rozvoje zemského digitálního televizního vysílání</w:t>
      </w:r>
      <w:r w:rsidR="00D52AA3">
        <w:t>.</w:t>
      </w:r>
      <w:r w:rsidRPr="00D97AD9">
        <w:t xml:space="preserve"> </w:t>
      </w:r>
      <w:r w:rsidRPr="00DF0A17">
        <w:rPr>
          <w:b w:val="0"/>
          <w:i/>
        </w:rPr>
        <w:t>Termín: do 1Q 2021, gestor MPO.</w:t>
      </w:r>
      <w:r w:rsidRPr="00D97AD9">
        <w:rPr>
          <w:i/>
          <w:u w:val="single"/>
        </w:rPr>
        <w:t xml:space="preserve"> </w:t>
      </w:r>
    </w:p>
    <w:p w:rsidR="004C60D9" w:rsidRPr="00C76504" w:rsidRDefault="004C60D9" w:rsidP="00DF0A17">
      <w:pPr>
        <w:rPr>
          <w:rFonts w:eastAsia="Arial"/>
          <w:b/>
        </w:rPr>
      </w:pPr>
      <w:r w:rsidRPr="00D97AD9">
        <w:t>Důvodem zpracování Strategie byly očekávané rozsáhlé a významné změny ve využívání rádiového spektra až dosud sloužícího výhradně pro DTT. Pásmo UHF, které bylo dosud užíváno výhradně pro účely DTT, je aktuálně současně jedno z frekvenčních pásem, které je harmonizováno pro nové technologie v rámci celé EU. Strategie si v souladu se zadáním vlády z června 2015 neklade za cíl stanovit budoucí využití Pásma 700 MHz v ČR, řeší však včas budoucnost nejsilnější a jediné bezplatné televizní platformy v ČR, kterou je DTT.</w:t>
      </w:r>
    </w:p>
    <w:p w:rsidR="001655BE" w:rsidRPr="00137067" w:rsidRDefault="004C60D9" w:rsidP="00DF0A17">
      <w:pPr>
        <w:rPr>
          <w:rFonts w:eastAsia="Arial"/>
          <w:b/>
        </w:rPr>
      </w:pPr>
      <w:r w:rsidRPr="00D97AD9">
        <w:t>Cílem Strategie je tedy zajištění trvalé dostupnosti široké volby nezpoplatněných volně dostupných televizních programů pro všechny skupiny obyvatel ve všech regionech ČR a možností pro kvalitativní i kvantitativní rozvoj platformy DTT, při současném úplném uvolnění Pásma 700 MHz ze strany DTT</w:t>
      </w:r>
      <w:r w:rsidR="00137067">
        <w:rPr>
          <w:rFonts w:eastAsia="Arial"/>
          <w:b/>
        </w:rPr>
        <w:t>.</w:t>
      </w:r>
    </w:p>
    <w:p w:rsidR="004C60D9" w:rsidRPr="00284F2D" w:rsidRDefault="004C60D9" w:rsidP="007B1E57">
      <w:pPr>
        <w:pStyle w:val="Nadpis3"/>
      </w:pPr>
      <w:bookmarkStart w:id="43" w:name="_Toc491355957"/>
      <w:r w:rsidRPr="00284F2D">
        <w:t>Rozvoj zemského digitálního vysílání Českého rozhlasu</w:t>
      </w:r>
      <w:bookmarkEnd w:id="43"/>
    </w:p>
    <w:p w:rsidR="004C60D9" w:rsidRPr="009848B9" w:rsidRDefault="004C60D9" w:rsidP="00DF0A17">
      <w:r w:rsidRPr="009848B9">
        <w:rPr>
          <w:rFonts w:eastAsia="Times New Roman"/>
        </w:rPr>
        <w:t>Usnesením č. 730 ze dne 24</w:t>
      </w:r>
      <w:r>
        <w:rPr>
          <w:rFonts w:eastAsia="Times New Roman"/>
        </w:rPr>
        <w:t>.</w:t>
      </w:r>
      <w:r w:rsidRPr="009848B9">
        <w:rPr>
          <w:rFonts w:eastAsia="Times New Roman"/>
        </w:rPr>
        <w:t xml:space="preserve"> srpna 2016 vláda schválila</w:t>
      </w:r>
      <w:r w:rsidRPr="009848B9">
        <w:rPr>
          <w:rFonts w:eastAsiaTheme="minorEastAsia"/>
        </w:rPr>
        <w:t xml:space="preserve"> návrh rozvoje zemského digitálního vysílání Českého rozhlasu, jehož z</w:t>
      </w:r>
      <w:r w:rsidRPr="009848B9">
        <w:t xml:space="preserve">áměrem je umožnit Českému rozhlasu navázat na probíhající experimentální zemské digitální vysílání a pokračovat v jeho rozvoji. </w:t>
      </w:r>
    </w:p>
    <w:p w:rsidR="004C60D9" w:rsidRPr="009848B9" w:rsidRDefault="004C60D9" w:rsidP="00DF0A17">
      <w:pPr>
        <w:rPr>
          <w:rFonts w:eastAsiaTheme="minorEastAsia"/>
        </w:rPr>
      </w:pPr>
      <w:r w:rsidRPr="009848B9">
        <w:t xml:space="preserve">Českému rozhlasu materiál </w:t>
      </w:r>
      <w:r w:rsidRPr="009848B9">
        <w:rPr>
          <w:rFonts w:eastAsia="Times New Roman"/>
          <w:bCs/>
        </w:rPr>
        <w:t>vyhrazuje rádiové kmitočty k řádnému, avšak časově omezenému vysílání v období 2016</w:t>
      </w:r>
      <w:r w:rsidR="00B24748">
        <w:rPr>
          <w:rFonts w:eastAsia="Times New Roman"/>
          <w:bCs/>
        </w:rPr>
        <w:t xml:space="preserve"> </w:t>
      </w:r>
      <w:r w:rsidR="00B24748" w:rsidRPr="0077674E">
        <w:t>–</w:t>
      </w:r>
      <w:r w:rsidR="00B24748">
        <w:t xml:space="preserve"> </w:t>
      </w:r>
      <w:r w:rsidRPr="009848B9">
        <w:rPr>
          <w:rFonts w:eastAsia="Times New Roman"/>
          <w:bCs/>
        </w:rPr>
        <w:t xml:space="preserve">2021. Vysílání bude zároveň územně omezeno zejména na velké aglomerace (popř. dálniční tahy) a Českému rozhlasu bude zajišťovat odpovídající kapacitu vysílacích sítí pouze pro ty rozhlasové programy, k jejichž šíření mu zákon č. 484/1991 Sb., o Českém rozhlasu, ve znění pozdějších předpisů, garantuje vyhrazení kmitočtů v pásmu velmi krátkých vln. Všechny ostatní programy bude Český rozhlas moci umístit do postupně koordinovaných sítí pro šíření digitálního vysílání na smluvním základě a za podmínky, že tyto programy budou náležitě vyhodnoceny z hlediska pravidel státní podpory pro veřejnoprávní vysílání. </w:t>
      </w:r>
    </w:p>
    <w:p w:rsidR="004C60D9" w:rsidRPr="009848B9" w:rsidRDefault="004C60D9" w:rsidP="00DF0A17">
      <w:r w:rsidRPr="009848B9">
        <w:t xml:space="preserve">MK zpracovalo uvedený materiál, který se vztahuje pouze k rozvoji zemského digitálního vysílání Českého rozhlasu, s ohledem na to, že v současné době není možné dospět ke konsensu v podobě ucelené koncepce a harmonogramu rozvoje digitálního rozhlasového vysílání v České republice. </w:t>
      </w:r>
    </w:p>
    <w:p w:rsidR="00DF0A17" w:rsidRDefault="004C60D9" w:rsidP="00DF0A17">
      <w:r w:rsidRPr="009848B9">
        <w:t>Materiál tedy umožní Českému rozhlasu být iniciátorem technických inovací v oblas</w:t>
      </w:r>
      <w:r w:rsidR="00B24748">
        <w:t>ti šíření rozhlasového vysílání</w:t>
      </w:r>
      <w:r w:rsidRPr="009848B9">
        <w:t xml:space="preserve"> a po ukončení časově a územně omezeného vysílání v roce 2021 a</w:t>
      </w:r>
      <w:r w:rsidR="00074BCF">
        <w:t xml:space="preserve"> na základě</w:t>
      </w:r>
      <w:r w:rsidRPr="009848B9">
        <w:t xml:space="preserve"> jeho vyhodnocení bude možné učinit další závěry ohledně možného pokračování rozvoje digitálního rozhlasového vysílání v České republice.</w:t>
      </w:r>
    </w:p>
    <w:p w:rsidR="00DF0A17" w:rsidRDefault="00DF0A17">
      <w:pPr>
        <w:spacing w:after="200"/>
        <w:jc w:val="left"/>
      </w:pPr>
      <w:r>
        <w:br w:type="page"/>
      </w:r>
    </w:p>
    <w:p w:rsidR="004C60D9" w:rsidRPr="00DF0A17" w:rsidRDefault="004C60D9" w:rsidP="00DF0A17">
      <w:pPr>
        <w:pStyle w:val="Plnovanopaten"/>
      </w:pPr>
      <w:r w:rsidRPr="00DF0A17">
        <w:lastRenderedPageBreak/>
        <w:t>Plánovaná opatření</w:t>
      </w:r>
    </w:p>
    <w:p w:rsidR="008C7C4E" w:rsidRPr="0057440B" w:rsidRDefault="008C7C4E" w:rsidP="00DF0A17">
      <w:pPr>
        <w:pStyle w:val="NOPil1"/>
        <w:rPr>
          <w:i/>
          <w:u w:val="single"/>
        </w:rPr>
      </w:pPr>
      <w:r w:rsidRPr="004C60D9">
        <w:t xml:space="preserve">Realizace opatření, která upravuje Návrh rozvoje zemského digitálního vysílání Českého rozhlasu. </w:t>
      </w:r>
      <w:r w:rsidRPr="00DF0A17">
        <w:rPr>
          <w:b w:val="0"/>
          <w:i/>
        </w:rPr>
        <w:t>Termín: 4Q 2021</w:t>
      </w:r>
      <w:r w:rsidR="00DF0A17" w:rsidRPr="00DF0A17">
        <w:rPr>
          <w:b w:val="0"/>
          <w:i/>
        </w:rPr>
        <w:t>, gestor: MK.</w:t>
      </w:r>
    </w:p>
    <w:p w:rsidR="00AF7CBC" w:rsidRPr="00DF0A17" w:rsidRDefault="00DF0A17" w:rsidP="00DF0A17">
      <w:r>
        <w:t xml:space="preserve">Prvním krokem je </w:t>
      </w:r>
      <w:r w:rsidR="00F17752" w:rsidRPr="00F17752">
        <w:t>probíhající aktivita Českého telekomunikačního úřadu, kdy vyhrazuje Českému rozhlasu rádiové kmitočty v souladu s postupy podle zákona č. 127/2005 Sb., o elektronickýc</w:t>
      </w:r>
      <w:r w:rsidR="00B24748">
        <w:t>h komunikacích, a to na dobu do roku 2021. Český rozhlas zahájil</w:t>
      </w:r>
      <w:r w:rsidR="00F17752" w:rsidRPr="00F17752">
        <w:t xml:space="preserve"> řádné zemské digitální vysílání.</w:t>
      </w:r>
      <w:r w:rsidR="00F17752">
        <w:t xml:space="preserve"> </w:t>
      </w:r>
      <w:r w:rsidR="008C7C4E" w:rsidRPr="009848B9">
        <w:t>Do 6 měsíců od zahájení řádného zemského digitálního vysílání Českého rozhlasu zřídí MK poradní koordinační orgán pro vyhodnocování postupu a přípravu dalších rozhodnutí v oblasti digi</w:t>
      </w:r>
      <w:r w:rsidR="008C7C4E">
        <w:t xml:space="preserve">talizace rozhlasového vysílání. </w:t>
      </w:r>
      <w:r w:rsidR="008C7C4E" w:rsidRPr="009848B9">
        <w:t>Etapa zahájení řádného zemského digitálního vysílání Českého rozhlasu a rozvoj digitálního rozhlasového vysílání obecně bude vyhodnocena v roce 2021. Teprve poté dojde ve spolupráci MK s MPO, Radou pro rozhlasové a televizní vysílání a Českým telekomunikačním úřadem ke zpracování Strategie rozvoje zemského rozhlasového vysílání včetně návrhu regu</w:t>
      </w:r>
      <w:r w:rsidR="00AF7CBC">
        <w:t>lačního a legislativního rámce.</w:t>
      </w:r>
    </w:p>
    <w:p w:rsidR="008C1143" w:rsidRPr="00957FEC" w:rsidRDefault="008012FE" w:rsidP="007B1E57">
      <w:pPr>
        <w:pStyle w:val="Nadpis3"/>
      </w:pPr>
      <w:bookmarkStart w:id="44" w:name="_Toc491355958"/>
      <w:r>
        <w:t>E</w:t>
      </w:r>
      <w:r w:rsidR="00AA0235">
        <w:t>-</w:t>
      </w:r>
      <w:proofErr w:type="spellStart"/>
      <w:r w:rsidR="003D2999" w:rsidRPr="00E53E45">
        <w:t>Privacy</w:t>
      </w:r>
      <w:bookmarkEnd w:id="44"/>
      <w:proofErr w:type="spellEnd"/>
    </w:p>
    <w:p w:rsidR="00A236F7" w:rsidRPr="00957FEC" w:rsidRDefault="003D2999" w:rsidP="00957FEC">
      <w:pPr>
        <w:pStyle w:val="NOPil1"/>
      </w:pPr>
      <w:r w:rsidRPr="00D97AD9">
        <w:t xml:space="preserve">Prosazování pozice ČR při projednávání návrhu nařízení </w:t>
      </w:r>
      <w:proofErr w:type="spellStart"/>
      <w:r w:rsidR="008012FE">
        <w:t>e</w:t>
      </w:r>
      <w:r w:rsidR="00C706D4">
        <w:t>Privacy</w:t>
      </w:r>
      <w:proofErr w:type="spellEnd"/>
      <w:r w:rsidR="006C6AD4">
        <w:rPr>
          <w:rStyle w:val="Znakapoznpodarou"/>
          <w:b w:val="0"/>
        </w:rPr>
        <w:footnoteReference w:id="29"/>
      </w:r>
      <w:r w:rsidR="00957FEC">
        <w:t xml:space="preserve">. </w:t>
      </w:r>
      <w:r w:rsidRPr="00957FEC">
        <w:rPr>
          <w:b w:val="0"/>
          <w:i/>
        </w:rPr>
        <w:t>Termín: průběžně, gestor: MPO</w:t>
      </w:r>
      <w:r w:rsidR="00D52AA3" w:rsidRPr="00957FEC">
        <w:rPr>
          <w:b w:val="0"/>
          <w:i/>
        </w:rPr>
        <w:t>.</w:t>
      </w:r>
    </w:p>
    <w:p w:rsidR="00E00649" w:rsidRDefault="003D2999" w:rsidP="00BA2970">
      <w:r w:rsidRPr="00D97AD9">
        <w:t>ČR uznává princip, že komunikace a její obsah mají být chráněny obecně a bez ohledu na to, kdo je poskytovatel</w:t>
      </w:r>
      <w:r w:rsidR="00AA0235">
        <w:t>em</w:t>
      </w:r>
      <w:r w:rsidRPr="00D97AD9">
        <w:t xml:space="preserve"> služby. Česká republika bude usilovat o to, aby tento návrh přinášel konkrétní a přiměřenou sektorovou regulaci a ve vztahu k ochraně osobních údajů stanovil případná odůvodněná zvláštní pravidla. Zároveň bude usilovat o právní jistotu, pokud jde o vztah jednotlivých práv a povinností k ustanovením Obecného nařízení o ochraně osobních údajů. ČR rovněž nepovažuje za reálné, aby návrh předložený v lednu 2017 byl účinný od května roku 2018. Při projednávání návrhu bude nezbytné zaměřit se na to, aby byly zohledněny zájmy všech dotčených stran tak, aby opatření plynoucí z tohoto nařízení byla </w:t>
      </w:r>
      <w:r w:rsidR="00BA2970" w:rsidRPr="00D97AD9">
        <w:t>přiměřená.</w:t>
      </w:r>
      <w:r w:rsidR="00493735">
        <w:t xml:space="preserve"> Pozice ČR bude dle potřeby konzultována s hospodářskými a sociálními partnery.</w:t>
      </w:r>
    </w:p>
    <w:p w:rsidR="00E00649" w:rsidRPr="00D97AD9" w:rsidRDefault="00E00649" w:rsidP="002E1986">
      <w:pPr>
        <w:pStyle w:val="NOPil1"/>
      </w:pPr>
      <w:r>
        <w:t xml:space="preserve">Iniciace zpracování dopadové studie návrhu </w:t>
      </w:r>
      <w:proofErr w:type="spellStart"/>
      <w:r>
        <w:t>ePrivacy</w:t>
      </w:r>
      <w:proofErr w:type="spellEnd"/>
      <w:r>
        <w:t xml:space="preserve"> nařízení</w:t>
      </w:r>
      <w:r w:rsidR="00D52AA3">
        <w:t>.</w:t>
      </w:r>
      <w:r>
        <w:t xml:space="preserve"> </w:t>
      </w:r>
      <w:r w:rsidRPr="002E1986">
        <w:rPr>
          <w:b w:val="0"/>
          <w:i/>
        </w:rPr>
        <w:t xml:space="preserve">Termín: 4Q 2017, gestor: koordinátor, </w:t>
      </w:r>
      <w:proofErr w:type="spellStart"/>
      <w:r w:rsidRPr="002E1986">
        <w:rPr>
          <w:b w:val="0"/>
          <w:i/>
        </w:rPr>
        <w:t>spolugestor</w:t>
      </w:r>
      <w:proofErr w:type="spellEnd"/>
      <w:r w:rsidRPr="002E1986">
        <w:rPr>
          <w:b w:val="0"/>
          <w:i/>
        </w:rPr>
        <w:t>: MPO</w:t>
      </w:r>
      <w:r w:rsidR="00D52AA3" w:rsidRPr="002E1986">
        <w:rPr>
          <w:b w:val="0"/>
          <w:i/>
        </w:rPr>
        <w:t>.</w:t>
      </w:r>
    </w:p>
    <w:p w:rsidR="00825D40" w:rsidRPr="00D97AD9" w:rsidRDefault="00E00649" w:rsidP="008C1143">
      <w:r>
        <w:t xml:space="preserve">Koordinátor inicioval přes TA ČR zpracování studie k odhadu dopadů návrhu </w:t>
      </w:r>
      <w:proofErr w:type="spellStart"/>
      <w:r>
        <w:t>ePrivacy</w:t>
      </w:r>
      <w:proofErr w:type="spellEnd"/>
      <w:r>
        <w:t xml:space="preserve"> nařízení na rozvoj digitální ekonomiky v ČR. Cílem je využít závěrů analýzy </w:t>
      </w:r>
      <w:r w:rsidR="00AA0235">
        <w:t>při</w:t>
      </w:r>
      <w:r>
        <w:t xml:space="preserve"> vyjednávání na národní i evropské úrovni.</w:t>
      </w:r>
    </w:p>
    <w:p w:rsidR="00457D42" w:rsidRDefault="00457D42">
      <w:pPr>
        <w:spacing w:after="200"/>
        <w:jc w:val="left"/>
        <w:rPr>
          <w:rFonts w:eastAsiaTheme="majorEastAsia"/>
          <w:b/>
          <w:bCs/>
          <w:sz w:val="28"/>
          <w:szCs w:val="28"/>
        </w:rPr>
      </w:pPr>
      <w:r>
        <w:br w:type="page"/>
      </w:r>
    </w:p>
    <w:p w:rsidR="00AA2A57" w:rsidRPr="00D97AD9" w:rsidRDefault="00AA2A57" w:rsidP="007167FB">
      <w:pPr>
        <w:pStyle w:val="Nadpis1"/>
      </w:pPr>
      <w:bookmarkStart w:id="45" w:name="_Toc491355959"/>
      <w:r w:rsidRPr="00D97AD9">
        <w:lastRenderedPageBreak/>
        <w:t>2 Vzdělávání a trh práce</w:t>
      </w:r>
      <w:bookmarkEnd w:id="45"/>
    </w:p>
    <w:p w:rsidR="007167FB" w:rsidRDefault="00316897" w:rsidP="007167FB">
      <w:r w:rsidRPr="00D97AD9">
        <w:t>Nástup čtvrté průmyslové revoluce přinese významné změny pro společnost, z nichž podstatné budou i dopady na trh práce. Dojde k významným strukturálním změnám, jak z hlediska vytvoř</w:t>
      </w:r>
      <w:r w:rsidR="00B24748">
        <w:t xml:space="preserve">ení nebo zániku různých profesí, </w:t>
      </w:r>
      <w:r w:rsidRPr="00D97AD9">
        <w:t xml:space="preserve">tak z hlediska způsobu, jak bude práce vykonávaná a organizovaná. Již dnes některé studie předpovídají rozměry dopadu na trh práce spojené s digitalizací, automatizací rutinních činností a robotikou. </w:t>
      </w:r>
    </w:p>
    <w:p w:rsidR="00316897" w:rsidRPr="00D97AD9" w:rsidRDefault="00316897" w:rsidP="007167FB">
      <w:r>
        <w:t>P</w:t>
      </w:r>
      <w:r w:rsidRPr="00D97AD9">
        <w:t>říprava na to, jak jim čelit by měla začít co nejdříve. To se týká hlavně vzdělávání, trhu práce a sociální politiky státu.</w:t>
      </w:r>
    </w:p>
    <w:p w:rsidR="00AA2A57" w:rsidRPr="00D97AD9" w:rsidRDefault="00AA2A57" w:rsidP="007167FB">
      <w:r w:rsidRPr="00D97AD9">
        <w:t>Česká republika přijala Strategii digitálního vzdělávání</w:t>
      </w:r>
      <w:r w:rsidR="00404351">
        <w:t xml:space="preserve"> do roku 2020</w:t>
      </w:r>
      <w:r w:rsidRPr="00D97AD9">
        <w:t xml:space="preserve"> (MŠMT, 2014) a Strategii digitální gramotnosti ČR na období 2015</w:t>
      </w:r>
      <w:r>
        <w:t xml:space="preserve"> až </w:t>
      </w:r>
      <w:r w:rsidRPr="00D97AD9">
        <w:t>2020</w:t>
      </w:r>
      <w:r>
        <w:t xml:space="preserve"> </w:t>
      </w:r>
      <w:r w:rsidRPr="00D97AD9">
        <w:t>(MPSV, 201</w:t>
      </w:r>
      <w:r>
        <w:t>5</w:t>
      </w:r>
      <w:r w:rsidRPr="00D97AD9">
        <w:t xml:space="preserve">). Z hlediska vzdělávání je cílem rozvíjet digitální gramotnost a informatické myšlení žáků, zlepšit jejích kompetenci pracovat s digitálními technologiemi a zavést nové metody učení a reformulovat rámcové vzdělávací programy tak, aby lépe odpovídaly </w:t>
      </w:r>
      <w:r w:rsidRPr="004E399E">
        <w:rPr>
          <w:rFonts w:eastAsiaTheme="minorHAnsi"/>
          <w:lang w:eastAsia="en-US"/>
        </w:rPr>
        <w:t>novým metodám a způsobům učení prostřednictvím digitálních technologií</w:t>
      </w:r>
      <w:r w:rsidRPr="00D97AD9">
        <w:t>. Hlavním cílem Strategie digitální gramotnosti ČR je podporovat a zajistit řešení na základě spolupráce relevantních gestorů, kter</w:t>
      </w:r>
      <w:r>
        <w:t>á</w:t>
      </w:r>
      <w:r w:rsidRPr="00D97AD9">
        <w:t xml:space="preserve"> vedou k </w:t>
      </w:r>
      <w:r w:rsidRPr="004E399E">
        <w:rPr>
          <w:rFonts w:eastAsiaTheme="minorHAnsi"/>
          <w:lang w:eastAsia="en-US"/>
        </w:rPr>
        <w:t>rozvoji digitálních dovedností všech občanů. Navržen</w:t>
      </w:r>
      <w:r>
        <w:rPr>
          <w:rFonts w:eastAsiaTheme="minorHAnsi"/>
          <w:lang w:eastAsia="en-US"/>
        </w:rPr>
        <w:t>á</w:t>
      </w:r>
      <w:r w:rsidRPr="004E399E">
        <w:rPr>
          <w:rFonts w:eastAsiaTheme="minorHAnsi"/>
          <w:lang w:eastAsia="en-US"/>
        </w:rPr>
        <w:t xml:space="preserve"> opatření míří </w:t>
      </w:r>
      <w:r>
        <w:rPr>
          <w:rFonts w:eastAsiaTheme="minorHAnsi"/>
          <w:lang w:eastAsia="en-US"/>
        </w:rPr>
        <w:t>prostřednictvím systémového nastavení rozvoje digitálních kompetencí</w:t>
      </w:r>
      <w:r w:rsidRPr="004E399E">
        <w:rPr>
          <w:rFonts w:eastAsiaTheme="minorHAnsi"/>
          <w:lang w:eastAsia="en-US"/>
        </w:rPr>
        <w:t xml:space="preserve"> k podpoře zaměstnanosti, konkurenceschopnosti, sociálního začleňování, podpoře rodiny či rozvoji elektronických služeb veřejného sektoru.</w:t>
      </w:r>
      <w:r w:rsidRPr="00D97AD9">
        <w:t xml:space="preserve"> </w:t>
      </w:r>
      <w:r w:rsidRPr="006A7707">
        <w:rPr>
          <w:rFonts w:eastAsiaTheme="minorHAnsi"/>
          <w:lang w:eastAsia="en-US"/>
        </w:rPr>
        <w:t xml:space="preserve">Rozvoj digitálních kompetencí je velmi důležitý nejen z hlediska připravenosti pracovní síly na důsledky </w:t>
      </w:r>
      <w:r w:rsidRPr="00D97AD9">
        <w:t>čtvrté</w:t>
      </w:r>
      <w:r w:rsidRPr="006A7707">
        <w:rPr>
          <w:rFonts w:eastAsiaTheme="minorHAnsi"/>
          <w:lang w:eastAsia="en-US"/>
        </w:rPr>
        <w:t xml:space="preserve"> průmyslové revoluce, ale také má celkově pozitivní dopad na zvýšení dovedností a kvalifikace občanů ČR, a to nejen z hlediska zvyšování konkurenceschopnosti ČR v mezinárodním kontextu, ale též </w:t>
      </w:r>
      <w:r w:rsidR="00AE36FF">
        <w:rPr>
          <w:rFonts w:eastAsiaTheme="minorHAnsi"/>
          <w:lang w:eastAsia="en-US"/>
        </w:rPr>
        <w:t>například</w:t>
      </w:r>
      <w:r w:rsidRPr="006A7707">
        <w:rPr>
          <w:rFonts w:eastAsiaTheme="minorHAnsi"/>
          <w:lang w:eastAsia="en-US"/>
        </w:rPr>
        <w:t xml:space="preserve"> z hlediska osobnostního rozvoje, zvyšování aktivního zapojení občanů do občanské společnosti či celkového zvyšování životního standardu občanů ČR.</w:t>
      </w:r>
      <w:r w:rsidR="00220FF6" w:rsidRPr="00220FF6">
        <w:t xml:space="preserve"> </w:t>
      </w:r>
      <w:r w:rsidR="00220FF6" w:rsidRPr="00D97AD9">
        <w:t xml:space="preserve">Mimo oblast </w:t>
      </w:r>
      <w:r w:rsidR="00220FF6">
        <w:t>počátečního</w:t>
      </w:r>
      <w:r w:rsidR="00220FF6" w:rsidRPr="00D97AD9">
        <w:t xml:space="preserve"> vzdělávání podporují tyto koncepční dokumenty</w:t>
      </w:r>
      <w:r w:rsidR="00220FF6">
        <w:t xml:space="preserve"> i další vzdělávání</w:t>
      </w:r>
      <w:r w:rsidR="00220FF6" w:rsidRPr="00D97AD9">
        <w:t xml:space="preserve"> formou školení zaměstnanců, rekvalifikačních kurzů nebo kurzů a práce na dálku.</w:t>
      </w:r>
    </w:p>
    <w:p w:rsidR="00AA2A57" w:rsidRPr="00D97AD9" w:rsidRDefault="00AA2A57" w:rsidP="007167FB">
      <w:r>
        <w:t xml:space="preserve">V důsledku </w:t>
      </w:r>
      <w:r w:rsidRPr="00D97AD9">
        <w:t>čtvrté průmyslové revoluce lze očekávat i významné změny v</w:t>
      </w:r>
      <w:r>
        <w:t xml:space="preserve"> oblasti zaměstnanosti a </w:t>
      </w:r>
      <w:r w:rsidRPr="00D97AD9">
        <w:t xml:space="preserve">sociální oblasti. Nové formy pracovních úvazků (práce na dálku, </w:t>
      </w:r>
      <w:proofErr w:type="spellStart"/>
      <w:r w:rsidRPr="00D97AD9">
        <w:t>homeoffice</w:t>
      </w:r>
      <w:proofErr w:type="spellEnd"/>
      <w:r w:rsidRPr="00D97AD9">
        <w:t xml:space="preserve">, </w:t>
      </w:r>
      <w:proofErr w:type="spellStart"/>
      <w:r w:rsidRPr="00D97AD9">
        <w:t>crowdemployment</w:t>
      </w:r>
      <w:proofErr w:type="spellEnd"/>
      <w:r w:rsidRPr="00D97AD9">
        <w:t>) nebo způsob</w:t>
      </w:r>
      <w:r>
        <w:t>y</w:t>
      </w:r>
      <w:r w:rsidRPr="00D97AD9">
        <w:t xml:space="preserve"> zprostředkování práce (online platformy v rámci sdílené ekonomiky) budou mít významný dopad z hlediska sociálního zabezpečení, zdanění, vztahů mezi zaměstnavateli a zaměstnanci, ochrany zdraví či souladu rodinného a pracovního života. I z tohoto pohledu je role státu jakožto aktéra zajištujícího soulad </w:t>
      </w:r>
      <w:r>
        <w:t xml:space="preserve">jednotlivých </w:t>
      </w:r>
      <w:r w:rsidRPr="00D97AD9">
        <w:t>politik důležit</w:t>
      </w:r>
      <w:r>
        <w:t>á</w:t>
      </w:r>
      <w:r w:rsidRPr="00D97AD9">
        <w:t xml:space="preserve">.   </w:t>
      </w:r>
    </w:p>
    <w:p w:rsidR="00BA0E96" w:rsidRDefault="00AA2A57" w:rsidP="007167FB">
      <w:r w:rsidRPr="00D97AD9">
        <w:t>Investice do vzdělá</w:t>
      </w:r>
      <w:r w:rsidR="002810BA">
        <w:t>vá</w:t>
      </w:r>
      <w:r w:rsidRPr="00D97AD9">
        <w:t>ní a zajištění potřebných dovedností obyvatelstva souvisejících s digitální transformací společnosti jsou jednou z našich hlavních priorit. Již dnes je na českém trhu práce nedostatek kvalifikovaných pracovníků a tento trend bude pokračovat. Měli bychom usilovat o výchovu generace, kter</w:t>
      </w:r>
      <w:r>
        <w:t>á</w:t>
      </w:r>
      <w:r w:rsidRPr="00D97AD9">
        <w:t xml:space="preserve"> ne</w:t>
      </w:r>
      <w:r>
        <w:t>ní</w:t>
      </w:r>
      <w:r w:rsidRPr="00D97AD9">
        <w:t xml:space="preserve"> jen pasivním konzument</w:t>
      </w:r>
      <w:r>
        <w:t>em</w:t>
      </w:r>
      <w:r w:rsidRPr="00D97AD9">
        <w:t xml:space="preserve"> IT zboží a služeb, ale</w:t>
      </w:r>
      <w:r>
        <w:t xml:space="preserve"> naopak jedinců, kteří jsou</w:t>
      </w:r>
      <w:r w:rsidRPr="00D97AD9">
        <w:t xml:space="preserve"> také inovátory, aktivními podnikateli a občany, kteří si jsou plně vědomi jak obrovských příležitostí</w:t>
      </w:r>
      <w:r w:rsidR="00C774B9">
        <w:t>,</w:t>
      </w:r>
      <w:r w:rsidRPr="00D97AD9">
        <w:t xml:space="preserve"> tak i </w:t>
      </w:r>
      <w:r>
        <w:t xml:space="preserve">možných </w:t>
      </w:r>
      <w:r w:rsidRPr="00D97AD9">
        <w:t>nebezpečí, které digitalizace přináší.</w:t>
      </w:r>
      <w:r w:rsidR="00BA0E96">
        <w:t xml:space="preserve"> ČR bude rovněž podporovat rozvoj podnikatelských dovedností a využívání online nástrojů pro podnikání.</w:t>
      </w:r>
    </w:p>
    <w:p w:rsidR="00457D42" w:rsidRDefault="00BF37AD" w:rsidP="00457D42">
      <w:pPr>
        <w:rPr>
          <w:szCs w:val="22"/>
        </w:rPr>
      </w:pPr>
      <w:r>
        <w:t xml:space="preserve">Některá z níže uvedených opatření </w:t>
      </w:r>
      <w:r w:rsidR="00C33B35">
        <w:t xml:space="preserve">tak v souvislosti se čtvrtou průmyslovou revolucí a </w:t>
      </w:r>
      <w:r>
        <w:t xml:space="preserve">v návaznosti na výše řečené navazují na Iniciativu Práce 4.0 </w:t>
      </w:r>
      <w:r w:rsidR="00C33B35">
        <w:t xml:space="preserve">(gesce MPSV) </w:t>
      </w:r>
      <w:r>
        <w:t>a Vzdělávání 4.0</w:t>
      </w:r>
      <w:r w:rsidR="00C33B35">
        <w:t xml:space="preserve"> (gesce MŠMT)</w:t>
      </w:r>
      <w:r>
        <w:t>.</w:t>
      </w:r>
    </w:p>
    <w:p w:rsidR="001134C2" w:rsidRPr="00457D42" w:rsidRDefault="001134C2" w:rsidP="007B1E57">
      <w:pPr>
        <w:pStyle w:val="Nadpis3"/>
        <w:rPr>
          <w:rFonts w:eastAsia="Calibri"/>
          <w:sz w:val="22"/>
          <w:szCs w:val="22"/>
          <w:u w:val="none"/>
        </w:rPr>
      </w:pPr>
      <w:bookmarkStart w:id="46" w:name="_Toc491355960"/>
      <w:r>
        <w:lastRenderedPageBreak/>
        <w:t>Počáteční vzdělávání</w:t>
      </w:r>
      <w:bookmarkEnd w:id="46"/>
    </w:p>
    <w:p w:rsidR="001134C2" w:rsidRPr="007F32AB" w:rsidRDefault="00900EF6" w:rsidP="007F32AB">
      <w:pPr>
        <w:pStyle w:val="Plnovanopaten"/>
      </w:pPr>
      <w:r w:rsidRPr="00D97AD9">
        <w:t>Plánovaná opatření</w:t>
      </w:r>
    </w:p>
    <w:p w:rsidR="00AA2A57" w:rsidRPr="007F32AB" w:rsidRDefault="00BC4BAC" w:rsidP="007F32AB">
      <w:pPr>
        <w:pStyle w:val="NOPil2"/>
      </w:pPr>
      <w:r w:rsidRPr="00D97AD9">
        <w:t>Veřejná osvěta vysvětlující klíčový vliv digitálních technologií na vzděláv</w:t>
      </w:r>
      <w:r w:rsidR="0057440B">
        <w:t>ání</w:t>
      </w:r>
      <w:r w:rsidR="00D52AA3">
        <w:t>.</w:t>
      </w:r>
      <w:r w:rsidR="007F32AB">
        <w:t xml:space="preserve"> </w:t>
      </w:r>
      <w:r w:rsidRPr="007F32AB">
        <w:rPr>
          <w:b w:val="0"/>
          <w:i/>
        </w:rPr>
        <w:t>Termín: průběžně, gestor: MŠMT</w:t>
      </w:r>
      <w:r w:rsidR="00D52AA3" w:rsidRPr="007F32AB">
        <w:rPr>
          <w:b w:val="0"/>
          <w:i/>
        </w:rPr>
        <w:t>.</w:t>
      </w:r>
    </w:p>
    <w:p w:rsidR="00AA2A57" w:rsidRPr="00D15421" w:rsidRDefault="00845E6C" w:rsidP="00D15421">
      <w:pPr>
        <w:rPr>
          <w:lang w:eastAsia="en-US"/>
        </w:rPr>
      </w:pPr>
      <w:r w:rsidRPr="00D97AD9">
        <w:rPr>
          <w:lang w:eastAsia="en-US"/>
        </w:rPr>
        <w:t>Cílem opatření je zvýšit porozumění cílům a procesům integrace digitálních technologií do vzdělávání u všech klíčových skupin (veřejnost, rodiče, učitelé, úředníci, politici), podpořit zájem o aktivní využívání digitálních technologií a komunikovat jak pozitiva nových technologických inovací, tak negativní dopady, které by mohly nastat, pokud by nebyly nastoleny změny v této oblasti. Konkrétní projekt</w:t>
      </w:r>
      <w:r>
        <w:rPr>
          <w:lang w:eastAsia="en-US"/>
        </w:rPr>
        <w:t>y</w:t>
      </w:r>
      <w:r w:rsidRPr="00D97AD9">
        <w:rPr>
          <w:lang w:eastAsia="en-US"/>
        </w:rPr>
        <w:t xml:space="preserve"> bud</w:t>
      </w:r>
      <w:r>
        <w:rPr>
          <w:lang w:eastAsia="en-US"/>
        </w:rPr>
        <w:t>ou</w:t>
      </w:r>
      <w:r w:rsidRPr="00D97AD9">
        <w:rPr>
          <w:lang w:eastAsia="en-US"/>
        </w:rPr>
        <w:t xml:space="preserve"> spolufinancován</w:t>
      </w:r>
      <w:r>
        <w:rPr>
          <w:lang w:eastAsia="en-US"/>
        </w:rPr>
        <w:t>y</w:t>
      </w:r>
      <w:r w:rsidRPr="00D97AD9">
        <w:rPr>
          <w:lang w:eastAsia="en-US"/>
        </w:rPr>
        <w:t xml:space="preserve"> z OP VVV, </w:t>
      </w:r>
      <w:r w:rsidRPr="007B567D">
        <w:rPr>
          <w:lang w:eastAsia="en-US"/>
        </w:rPr>
        <w:t>ve kterém jsou oprávněnými žadateli i vysoké školy připravující učitele. Projekt Implementace Strategie digitálního vzdělávání I (ISDV I) by se měl realizovat od ledna 2018, samotná aktivita by pak měla být prováděna také od tohoto roku. Výběr komunikačních prostředků bude záležet na řešiteli projektu</w:t>
      </w:r>
      <w:r w:rsidR="005A6CA3" w:rsidRPr="007B567D">
        <w:rPr>
          <w:lang w:eastAsia="en-US"/>
        </w:rPr>
        <w:t>, avšak měl by reflektovat již zpracovanou Komunikační strategii ke Strategii digitálního vzdělávání i výsledky výzkumu různých metod ovlivňování veřejného mínění v oblasti digitální</w:t>
      </w:r>
      <w:r w:rsidR="00B24748">
        <w:rPr>
          <w:lang w:eastAsia="en-US"/>
        </w:rPr>
        <w:t>ho</w:t>
      </w:r>
      <w:r w:rsidR="005A6CA3" w:rsidRPr="007B567D">
        <w:rPr>
          <w:lang w:eastAsia="en-US"/>
        </w:rPr>
        <w:t xml:space="preserve"> vzdělávání a zav</w:t>
      </w:r>
      <w:r w:rsidR="002810BA">
        <w:rPr>
          <w:lang w:eastAsia="en-US"/>
        </w:rPr>
        <w:t>á</w:t>
      </w:r>
      <w:r w:rsidR="005A6CA3" w:rsidRPr="007B567D">
        <w:rPr>
          <w:lang w:eastAsia="en-US"/>
        </w:rPr>
        <w:t>dění inovac</w:t>
      </w:r>
      <w:r w:rsidR="008012FE">
        <w:rPr>
          <w:lang w:eastAsia="en-US"/>
        </w:rPr>
        <w:t xml:space="preserve">í ve vzdělávání (zakázka </w:t>
      </w:r>
      <w:r w:rsidR="00AE36FF">
        <w:rPr>
          <w:lang w:eastAsia="en-US"/>
        </w:rPr>
        <w:t>TA ČR</w:t>
      </w:r>
      <w:r w:rsidR="008012FE">
        <w:rPr>
          <w:lang w:eastAsia="en-US"/>
        </w:rPr>
        <w:t xml:space="preserve"> „</w:t>
      </w:r>
      <w:r w:rsidR="005A6CA3" w:rsidRPr="007B567D">
        <w:rPr>
          <w:lang w:eastAsia="en-US"/>
        </w:rPr>
        <w:t>Návrh perspektiv tematických oblastí výzkumu, vývoje a inovací reagujících na kontext, obsah a rozsah tzv. čtvrté průmyslové revoluce (Průmysl 4.0)“).</w:t>
      </w:r>
      <w:r w:rsidR="00C21757" w:rsidRPr="007B567D">
        <w:rPr>
          <w:lang w:eastAsia="en-US"/>
        </w:rPr>
        <w:t xml:space="preserve"> </w:t>
      </w:r>
    </w:p>
    <w:p w:rsidR="00B46B02" w:rsidRPr="00D52AA3" w:rsidRDefault="00705ECB" w:rsidP="00D15421">
      <w:pPr>
        <w:pStyle w:val="NOPil2"/>
      </w:pPr>
      <w:r w:rsidRPr="007B567D">
        <w:t>Nastavení pri</w:t>
      </w:r>
      <w:r w:rsidR="0057440B">
        <w:t>ncipu otevřenosti ve vzdělávání</w:t>
      </w:r>
      <w:r w:rsidR="00D15421">
        <w:t xml:space="preserve">. </w:t>
      </w:r>
      <w:r w:rsidRPr="00D15421">
        <w:rPr>
          <w:b w:val="0"/>
          <w:i/>
        </w:rPr>
        <w:t>Termín: průběžně, gestor: MŠMT</w:t>
      </w:r>
      <w:r w:rsidR="00D15421">
        <w:rPr>
          <w:b w:val="0"/>
          <w:i/>
        </w:rPr>
        <w:t xml:space="preserve">, </w:t>
      </w:r>
      <w:r w:rsidR="00091143" w:rsidRPr="00D15421">
        <w:rPr>
          <w:b w:val="0"/>
          <w:i/>
        </w:rPr>
        <w:t>spolupráce: MK</w:t>
      </w:r>
      <w:r w:rsidR="00D52AA3" w:rsidRPr="00D15421">
        <w:rPr>
          <w:b w:val="0"/>
          <w:i/>
        </w:rPr>
        <w:t>.</w:t>
      </w:r>
    </w:p>
    <w:p w:rsidR="00497C29" w:rsidRPr="00D15421" w:rsidRDefault="00497C29" w:rsidP="00D15421">
      <w:pPr>
        <w:rPr>
          <w:lang w:eastAsia="en-US"/>
        </w:rPr>
      </w:pPr>
      <w:r w:rsidRPr="007B567D">
        <w:rPr>
          <w:lang w:eastAsia="en-US"/>
        </w:rPr>
        <w:t xml:space="preserve">Průběžně ve spolupráci s dalšími aktéry ve vzdělávání prosazovat uveřejnění vzdělávacích digitálních obsahů nejrůznějšího charakteru, které byly podpořeny z veřejných prostředků, pod otevřenou licencí </w:t>
      </w:r>
      <w:proofErr w:type="spellStart"/>
      <w:r w:rsidRPr="007B567D">
        <w:rPr>
          <w:lang w:eastAsia="en-US"/>
        </w:rPr>
        <w:t>CreativeCommons</w:t>
      </w:r>
      <w:proofErr w:type="spellEnd"/>
      <w:r w:rsidRPr="007B567D">
        <w:rPr>
          <w:lang w:eastAsia="en-US"/>
        </w:rPr>
        <w:t xml:space="preserve"> (</w:t>
      </w:r>
      <w:r w:rsidR="00AE36FF">
        <w:rPr>
          <w:lang w:eastAsia="en-US"/>
        </w:rPr>
        <w:t>případně</w:t>
      </w:r>
      <w:r w:rsidRPr="007B567D">
        <w:rPr>
          <w:lang w:eastAsia="en-US"/>
        </w:rPr>
        <w:t xml:space="preserve"> jinou otevřenou licencí), a tím k nim zjednodušit přístup a umožnit jejich sdílení všem aktérům ve vzdělávání. Zároveň podporovat zveřejňování otevřených dat, aby bylo možné s daty ve strojově čitelné podobě v otevřených formátech dále pracovat (respektování Standardů publikace a katalogizace otevřených dat veřejné správy ČR). </w:t>
      </w:r>
    </w:p>
    <w:p w:rsidR="008E49D1" w:rsidRPr="00D52AA3" w:rsidRDefault="008E49D1" w:rsidP="00D15421">
      <w:pPr>
        <w:pStyle w:val="NOPil2"/>
      </w:pPr>
      <w:r w:rsidRPr="007B567D">
        <w:t>Rozvoj digi</w:t>
      </w:r>
      <w:r w:rsidR="0057440B">
        <w:t>tální infrastruktury ve školách</w:t>
      </w:r>
      <w:r w:rsidR="00D52AA3">
        <w:t xml:space="preserve">. </w:t>
      </w:r>
      <w:r w:rsidRPr="00D15421">
        <w:rPr>
          <w:b w:val="0"/>
          <w:i/>
        </w:rPr>
        <w:t>Termín: 4Q,2018, gestor: MŠMT</w:t>
      </w:r>
      <w:r w:rsidR="00D52AA3" w:rsidRPr="00D15421">
        <w:rPr>
          <w:b w:val="0"/>
          <w:i/>
        </w:rPr>
        <w:t>.</w:t>
      </w:r>
    </w:p>
    <w:p w:rsidR="008E49D1" w:rsidRPr="007B567D" w:rsidRDefault="008E49D1" w:rsidP="00D15421">
      <w:pPr>
        <w:rPr>
          <w:lang w:eastAsia="en-US"/>
        </w:rPr>
      </w:pPr>
      <w:r w:rsidRPr="007B567D">
        <w:rPr>
          <w:lang w:eastAsia="en-US"/>
        </w:rPr>
        <w:t xml:space="preserve">Vytvoření analýzy a doporučení pro udržitelné financování škol a školských zařízení v oblasti rozvoje digitální infrastruktury škol. Příprava reálného plánu udržitelného způsobu financování digitální infrastruktury škol. </w:t>
      </w:r>
      <w:r w:rsidRPr="007B567D">
        <w:rPr>
          <w:b/>
          <w:bCs/>
          <w:lang w:eastAsia="en-US"/>
        </w:rPr>
        <w:t xml:space="preserve">Termín: 2019 </w:t>
      </w:r>
    </w:p>
    <w:p w:rsidR="008E49D1" w:rsidRPr="003C53EB" w:rsidRDefault="008E49D1" w:rsidP="003C53EB">
      <w:pPr>
        <w:rPr>
          <w:lang w:eastAsia="en-US"/>
        </w:rPr>
      </w:pPr>
      <w:r w:rsidRPr="007B567D">
        <w:rPr>
          <w:lang w:eastAsia="en-US"/>
        </w:rPr>
        <w:t xml:space="preserve">Rozvoj a aktualizace nástrojů, které na základě sledování více různých indikátorů pomáhají školám zjistit, do jaké míry se jim daří začlenit digitální technologie do práce učitele a do života celé školy a plánovat další rozvoj v těchto oblastech </w:t>
      </w:r>
      <w:r w:rsidR="003C53EB">
        <w:rPr>
          <w:lang w:eastAsia="en-US"/>
        </w:rPr>
        <w:t>(Profil Učitel a Profil Škola).</w:t>
      </w:r>
    </w:p>
    <w:p w:rsidR="009F5269" w:rsidRDefault="008E49D1" w:rsidP="007A7E47">
      <w:pPr>
        <w:pStyle w:val="NOPil2"/>
      </w:pPr>
      <w:r w:rsidRPr="007B567D">
        <w:t>Podpora inovací ve vzdělávání</w:t>
      </w:r>
      <w:r w:rsidR="00C32501">
        <w:t xml:space="preserve"> a činnost České národní koalice pro digitální pracovní místa</w:t>
      </w:r>
      <w:r w:rsidR="00D20D5A">
        <w:rPr>
          <w:rStyle w:val="Znakapoznpodarou"/>
          <w:rFonts w:eastAsiaTheme="minorHAnsi"/>
          <w:b w:val="0"/>
          <w:bCs/>
          <w:szCs w:val="22"/>
        </w:rPr>
        <w:footnoteReference w:id="30"/>
      </w:r>
      <w:r w:rsidR="00D52AA3">
        <w:t>.</w:t>
      </w:r>
      <w:r w:rsidRPr="007B567D">
        <w:t xml:space="preserve"> </w:t>
      </w:r>
      <w:r w:rsidRPr="007A7E47">
        <w:rPr>
          <w:b w:val="0"/>
          <w:i/>
        </w:rPr>
        <w:t>Termín: 4Q 2017, gestor: MŠMT</w:t>
      </w:r>
      <w:r w:rsidR="00970657" w:rsidRPr="007A7E47">
        <w:rPr>
          <w:b w:val="0"/>
          <w:i/>
        </w:rPr>
        <w:t>, NÚV</w:t>
      </w:r>
      <w:r w:rsidR="00D52AA3" w:rsidRPr="007A7E47">
        <w:rPr>
          <w:b w:val="0"/>
          <w:i/>
        </w:rPr>
        <w:t>.</w:t>
      </w:r>
    </w:p>
    <w:p w:rsidR="009F5269" w:rsidRDefault="008E49D1" w:rsidP="007A7E47">
      <w:pPr>
        <w:rPr>
          <w:lang w:eastAsia="en-US"/>
        </w:rPr>
      </w:pPr>
      <w:r w:rsidRPr="007B567D">
        <w:rPr>
          <w:lang w:eastAsia="en-US"/>
        </w:rPr>
        <w:t>Podpora spolupráce napříč resorty v rámci České národní koalice pro digitální pracovní místa (</w:t>
      </w:r>
      <w:proofErr w:type="spellStart"/>
      <w:r w:rsidRPr="007B567D">
        <w:rPr>
          <w:lang w:eastAsia="en-US"/>
        </w:rPr>
        <w:t>DigiKoalice</w:t>
      </w:r>
      <w:proofErr w:type="spellEnd"/>
      <w:r w:rsidRPr="007B567D">
        <w:rPr>
          <w:lang w:eastAsia="en-US"/>
        </w:rPr>
        <w:t>)</w:t>
      </w:r>
      <w:r w:rsidR="009F5269">
        <w:rPr>
          <w:lang w:eastAsia="en-US"/>
        </w:rPr>
        <w:t>.</w:t>
      </w:r>
    </w:p>
    <w:p w:rsidR="009F5269" w:rsidRPr="007A7E47" w:rsidRDefault="009F5269" w:rsidP="007A7E47">
      <w:pPr>
        <w:pStyle w:val="Odrka-Normln"/>
      </w:pPr>
      <w:r w:rsidRPr="007A7E47">
        <w:t>Dohoda o vzniku České národní koalice pro digitální pracovní místa (</w:t>
      </w:r>
      <w:proofErr w:type="spellStart"/>
      <w:r w:rsidRPr="007A7E47">
        <w:t>DigiKoalice</w:t>
      </w:r>
      <w:proofErr w:type="spellEnd"/>
      <w:r w:rsidRPr="007A7E47">
        <w:t xml:space="preserve">) byla podepsána na konci roku 2016. Koalice poskytuje vhodnou platformu pro </w:t>
      </w:r>
      <w:r w:rsidRPr="007A7E47">
        <w:lastRenderedPageBreak/>
        <w:t>setkávání zástupců státní správy se zástupci akademického sektoru, soukromých firem, samospráv</w:t>
      </w:r>
      <w:r w:rsidR="00B24748">
        <w:t>y, neziskového sektoru a rodičů</w:t>
      </w:r>
      <w:r w:rsidRPr="007A7E47">
        <w:t>.</w:t>
      </w:r>
    </w:p>
    <w:p w:rsidR="008E49D1" w:rsidRPr="007B567D" w:rsidRDefault="009F5269" w:rsidP="007A7E47">
      <w:pPr>
        <w:rPr>
          <w:lang w:eastAsia="en-US"/>
        </w:rPr>
      </w:pPr>
      <w:r>
        <w:rPr>
          <w:lang w:eastAsia="en-US"/>
        </w:rPr>
        <w:t xml:space="preserve">Podpora probíhá konkrétně </w:t>
      </w:r>
      <w:r w:rsidR="008E49D1" w:rsidRPr="007B567D">
        <w:rPr>
          <w:lang w:eastAsia="en-US"/>
        </w:rPr>
        <w:t xml:space="preserve">formou: </w:t>
      </w:r>
    </w:p>
    <w:p w:rsidR="008E49D1" w:rsidRPr="007B567D" w:rsidRDefault="008E49D1" w:rsidP="007A7E47">
      <w:pPr>
        <w:pStyle w:val="Odrka-Normln"/>
      </w:pPr>
      <w:r w:rsidRPr="007B567D">
        <w:t xml:space="preserve">Rozšiřování členské základny – získávání dalších signatářů Memoranda členů </w:t>
      </w:r>
      <w:proofErr w:type="spellStart"/>
      <w:r w:rsidRPr="007B567D">
        <w:t>DigiKoalice</w:t>
      </w:r>
      <w:proofErr w:type="spellEnd"/>
      <w:r w:rsidRPr="007B567D">
        <w:t xml:space="preserve">. </w:t>
      </w:r>
    </w:p>
    <w:p w:rsidR="009F5269" w:rsidRDefault="008E49D1" w:rsidP="007A7E47">
      <w:pPr>
        <w:pStyle w:val="Odrka-Normln"/>
      </w:pPr>
      <w:r w:rsidRPr="007B567D">
        <w:t xml:space="preserve">Realizace aktivit </w:t>
      </w:r>
      <w:proofErr w:type="spellStart"/>
      <w:r w:rsidRPr="007B567D">
        <w:t>DigiKoalice</w:t>
      </w:r>
      <w:proofErr w:type="spellEnd"/>
      <w:r w:rsidRPr="007B567D">
        <w:t xml:space="preserve"> podporujících setkávání zástupců vzdělávání a trhu práce, výměnu zkušeností mezi veřejným, soukromým a neziskovým sektorem v oblasti rozvoje digitální gramotnosti občanů, uveřejňování/prezentace inovativních řešení a výsledků projektů v oblasti digitálního vzdělávání a digitálních pracovních míst, šíření zkušeností zapojených subjektů s podporou digitálních pracovních míst.</w:t>
      </w:r>
    </w:p>
    <w:p w:rsidR="00AA2A57" w:rsidRPr="001655BE" w:rsidRDefault="009F5269" w:rsidP="007A7E47">
      <w:pPr>
        <w:pStyle w:val="Odrka-Normln"/>
      </w:pPr>
      <w:r w:rsidRPr="009F5269">
        <w:t>Podpora aktivit</w:t>
      </w:r>
      <w:r>
        <w:t xml:space="preserve"> ze strany koordinátora. </w:t>
      </w:r>
      <w:r w:rsidRPr="009F5269">
        <w:t xml:space="preserve">Zástupce koordinátora je členem koordinační skupiny České národní koalice pro digitální pracovní místa, což je spojeno s jeho aktivní účastí na setkáních této koordinační skupiny. V této fázi </w:t>
      </w:r>
      <w:r>
        <w:t>koordinátor aktivně podporuje činnost a propaguje</w:t>
      </w:r>
      <w:r w:rsidRPr="009F5269">
        <w:t xml:space="preserve"> </w:t>
      </w:r>
      <w:r>
        <w:t>ji navenek.</w:t>
      </w:r>
    </w:p>
    <w:p w:rsidR="00B46B02" w:rsidRPr="007A7E47" w:rsidRDefault="005D7628" w:rsidP="007A7E47">
      <w:pPr>
        <w:rPr>
          <w:lang w:eastAsia="en-US"/>
        </w:rPr>
      </w:pPr>
      <w:r w:rsidRPr="007B567D">
        <w:rPr>
          <w:lang w:eastAsia="en-US"/>
        </w:rPr>
        <w:t>Vytvoření datové základny z oblasti využívání digitálních technologií ve vzdělávání, rozvíjení digitální gramotnosti a informatického myšlení pro všechny aktéry ve vzdělávání i výzkumu</w:t>
      </w:r>
      <w:r w:rsidR="007D375F">
        <w:rPr>
          <w:lang w:eastAsia="en-US"/>
        </w:rPr>
        <w:t>.</w:t>
      </w:r>
      <w:r w:rsidR="007D375F" w:rsidRPr="007D375F">
        <w:t xml:space="preserve"> </w:t>
      </w:r>
      <w:r w:rsidR="007D375F">
        <w:rPr>
          <w:lang w:eastAsia="en-US"/>
        </w:rPr>
        <w:t>Některá</w:t>
      </w:r>
      <w:r w:rsidR="007D375F" w:rsidRPr="007D375F">
        <w:rPr>
          <w:lang w:eastAsia="en-US"/>
        </w:rPr>
        <w:t xml:space="preserve"> data bude možno </w:t>
      </w:r>
      <w:r w:rsidR="007D375F">
        <w:rPr>
          <w:lang w:eastAsia="en-US"/>
        </w:rPr>
        <w:t xml:space="preserve">například </w:t>
      </w:r>
      <w:r w:rsidR="007D375F" w:rsidRPr="007D375F">
        <w:rPr>
          <w:lang w:eastAsia="en-US"/>
        </w:rPr>
        <w:t>čerpat z RIS (</w:t>
      </w:r>
      <w:r w:rsidR="00142F2E">
        <w:rPr>
          <w:lang w:eastAsia="en-US"/>
        </w:rPr>
        <w:t>Resort</w:t>
      </w:r>
      <w:r w:rsidR="007D375F">
        <w:rPr>
          <w:lang w:eastAsia="en-US"/>
        </w:rPr>
        <w:t>ního informačního systému), a to pravděpodobně o</w:t>
      </w:r>
      <w:r w:rsidR="00E118FF">
        <w:rPr>
          <w:lang w:eastAsia="en-US"/>
        </w:rPr>
        <w:t>d</w:t>
      </w:r>
      <w:r w:rsidR="007D375F">
        <w:rPr>
          <w:lang w:eastAsia="en-US"/>
        </w:rPr>
        <w:t xml:space="preserve"> roku 2019</w:t>
      </w:r>
      <w:r w:rsidR="007A7E47">
        <w:rPr>
          <w:lang w:eastAsia="en-US"/>
        </w:rPr>
        <w:t>.</w:t>
      </w:r>
    </w:p>
    <w:p w:rsidR="00AA2A57" w:rsidRPr="007A7E47" w:rsidRDefault="00AA2A57" w:rsidP="007A7E47">
      <w:pPr>
        <w:pStyle w:val="NOPil2"/>
        <w:rPr>
          <w:b w:val="0"/>
        </w:rPr>
      </w:pPr>
      <w:r w:rsidRPr="00D97AD9">
        <w:t>Rozvoj digitálních kompetenc</w:t>
      </w:r>
      <w:r w:rsidR="0057440B">
        <w:t>í a informatického myšlení žáků</w:t>
      </w:r>
      <w:r w:rsidR="00D52AA3">
        <w:t>.</w:t>
      </w:r>
      <w:r w:rsidR="007A7E47">
        <w:t xml:space="preserve"> </w:t>
      </w:r>
      <w:r w:rsidRPr="007A7E47">
        <w:rPr>
          <w:b w:val="0"/>
          <w:i/>
        </w:rPr>
        <w:t>Termín: 4Q 2017, gestor: MŠMT</w:t>
      </w:r>
      <w:r w:rsidR="00D52AA3" w:rsidRPr="007A7E47">
        <w:rPr>
          <w:b w:val="0"/>
          <w:i/>
        </w:rPr>
        <w:t>.</w:t>
      </w:r>
    </w:p>
    <w:p w:rsidR="00AA2A57" w:rsidRPr="007A7E47" w:rsidRDefault="00AA2A57" w:rsidP="007A7E47">
      <w:pPr>
        <w:rPr>
          <w:lang w:eastAsia="en-US"/>
        </w:rPr>
      </w:pPr>
      <w:r w:rsidRPr="00D97AD9">
        <w:rPr>
          <w:lang w:eastAsia="en-US"/>
        </w:rPr>
        <w:t xml:space="preserve">Vytvoření analýzy včetně mezinárodních srovnání a návrhu modernizace vzdělávacích oblastí zejména vzdělávací oblasti ICT v rámcových vzdělávacích programech (včetně zdůraznění informatického myšlení). </w:t>
      </w:r>
      <w:r w:rsidRPr="00D97AD9">
        <w:rPr>
          <w:bCs/>
          <w:i/>
          <w:u w:val="single"/>
          <w:lang w:eastAsia="en-US"/>
        </w:rPr>
        <w:t xml:space="preserve">Termín: 4Q, 2017, </w:t>
      </w:r>
      <w:r w:rsidRPr="00D97AD9">
        <w:rPr>
          <w:i/>
          <w:u w:val="single"/>
        </w:rPr>
        <w:t>gestor: MŠMT</w:t>
      </w:r>
    </w:p>
    <w:p w:rsidR="00B46B02" w:rsidRPr="007A7E47" w:rsidRDefault="00B46B02" w:rsidP="007A7E47">
      <w:pPr>
        <w:rPr>
          <w:lang w:eastAsia="en-US"/>
        </w:rPr>
      </w:pPr>
      <w:r w:rsidRPr="00D97AD9">
        <w:rPr>
          <w:lang w:eastAsia="en-US"/>
        </w:rPr>
        <w:t>Aktualizace metodické podpory školám zaměřené na využití digitálních technologií ve výuce a pro učení žáků a doplnění didaktiky digitální gramotnosti a informatického myšlení žáků v rámci vzdělávání pedagogických pracovníků.</w:t>
      </w:r>
      <w:r>
        <w:rPr>
          <w:lang w:eastAsia="en-US"/>
        </w:rPr>
        <w:t xml:space="preserve"> Klíčovými nástroji v oblasti jsou </w:t>
      </w:r>
      <w:r w:rsidR="00AE36FF">
        <w:rPr>
          <w:lang w:eastAsia="en-US"/>
        </w:rPr>
        <w:t>například</w:t>
      </w:r>
      <w:r>
        <w:rPr>
          <w:lang w:eastAsia="en-US"/>
        </w:rPr>
        <w:t xml:space="preserve"> revize RVP, DVPP (rozšíření nabídky dalšího vzdělávání - viz 2.</w:t>
      </w:r>
      <w:r w:rsidR="004A5E91">
        <w:rPr>
          <w:lang w:eastAsia="en-US"/>
        </w:rPr>
        <w:t>7</w:t>
      </w:r>
      <w:r>
        <w:rPr>
          <w:lang w:eastAsia="en-US"/>
        </w:rPr>
        <w:t xml:space="preserve">, tvorba komplexních učebních zdrojů a metodických doporučení) </w:t>
      </w:r>
      <w:r w:rsidRPr="00D97AD9">
        <w:rPr>
          <w:bCs/>
          <w:i/>
          <w:u w:val="single"/>
          <w:lang w:eastAsia="en-US"/>
        </w:rPr>
        <w:t>Termín: průběžně</w:t>
      </w:r>
      <w:r w:rsidRPr="00D97AD9">
        <w:rPr>
          <w:b/>
          <w:bCs/>
          <w:lang w:eastAsia="en-US"/>
        </w:rPr>
        <w:t xml:space="preserve">, </w:t>
      </w:r>
      <w:r w:rsidRPr="00D97AD9">
        <w:rPr>
          <w:i/>
          <w:u w:val="single"/>
        </w:rPr>
        <w:t>gestor: MŠMT</w:t>
      </w:r>
    </w:p>
    <w:p w:rsidR="008E49D1" w:rsidRPr="00D52AA3" w:rsidRDefault="008E49D1" w:rsidP="007A7E47">
      <w:pPr>
        <w:pStyle w:val="NOPil2"/>
      </w:pPr>
      <w:r w:rsidRPr="00D97AD9">
        <w:t>Rozvoj digitálních kompetencí a</w:t>
      </w:r>
      <w:r w:rsidR="0057440B">
        <w:t xml:space="preserve"> informatického myšlení učitelů</w:t>
      </w:r>
      <w:r w:rsidR="007A7E47">
        <w:t xml:space="preserve">. </w:t>
      </w:r>
      <w:r w:rsidRPr="007D5EB5">
        <w:rPr>
          <w:b w:val="0"/>
          <w:i/>
        </w:rPr>
        <w:t>Termín: průběžně, gestor: MŠMT</w:t>
      </w:r>
      <w:r w:rsidR="00D52AA3" w:rsidRPr="007D5EB5">
        <w:rPr>
          <w:b w:val="0"/>
          <w:i/>
        </w:rPr>
        <w:t>.</w:t>
      </w:r>
    </w:p>
    <w:p w:rsidR="00716198" w:rsidRPr="00D97AD9" w:rsidRDefault="00716198" w:rsidP="007A7E47">
      <w:pPr>
        <w:rPr>
          <w:lang w:eastAsia="en-US"/>
        </w:rPr>
      </w:pPr>
      <w:r w:rsidRPr="00D97AD9">
        <w:rPr>
          <w:lang w:eastAsia="en-US"/>
        </w:rPr>
        <w:t xml:space="preserve">Opatření bude zahrnovat: </w:t>
      </w:r>
    </w:p>
    <w:p w:rsidR="00716198" w:rsidRPr="00D97AD9" w:rsidRDefault="00716198" w:rsidP="007A7E47">
      <w:pPr>
        <w:pStyle w:val="Odrka-Normln"/>
      </w:pPr>
      <w:r w:rsidRPr="00D97AD9">
        <w:t xml:space="preserve">přípravu standardu digitálních kompetencí učitele. </w:t>
      </w:r>
      <w:r w:rsidRPr="00D97AD9">
        <w:rPr>
          <w:bCs/>
          <w:i/>
          <w:u w:val="single"/>
        </w:rPr>
        <w:t xml:space="preserve">Termín: </w:t>
      </w:r>
      <w:r>
        <w:rPr>
          <w:bCs/>
          <w:i/>
          <w:u w:val="single"/>
        </w:rPr>
        <w:t>4</w:t>
      </w:r>
      <w:r w:rsidRPr="00D97AD9">
        <w:rPr>
          <w:bCs/>
          <w:i/>
          <w:u w:val="single"/>
        </w:rPr>
        <w:t>Q 2017</w:t>
      </w:r>
    </w:p>
    <w:p w:rsidR="00716198" w:rsidRPr="00D97AD9" w:rsidRDefault="00716198" w:rsidP="007A7E47">
      <w:pPr>
        <w:pStyle w:val="Odrka-Normln"/>
        <w:rPr>
          <w:i/>
          <w:u w:val="single"/>
        </w:rPr>
      </w:pPr>
      <w:r w:rsidRPr="00D97AD9">
        <w:t xml:space="preserve">integraci digitálních kompetencí učitele do pregraduálního vzdělávání učitelů, bude řešeno v rámci </w:t>
      </w:r>
      <w:r w:rsidR="002810BA" w:rsidRPr="00D97AD9">
        <w:t>projektov</w:t>
      </w:r>
      <w:r w:rsidR="002810BA">
        <w:t>ých</w:t>
      </w:r>
      <w:r w:rsidR="002810BA" w:rsidRPr="00D97AD9">
        <w:t xml:space="preserve"> </w:t>
      </w:r>
      <w:r w:rsidRPr="00D97AD9">
        <w:t>výz</w:t>
      </w:r>
      <w:r>
        <w:t>e</w:t>
      </w:r>
      <w:r w:rsidRPr="00D97AD9">
        <w:t xml:space="preserve">v OP VVV </w:t>
      </w:r>
      <w:r w:rsidR="008012FE">
        <w:t>„</w:t>
      </w:r>
      <w:r w:rsidRPr="00D97AD9">
        <w:t xml:space="preserve">Pregraduální vzdělávání". </w:t>
      </w:r>
      <w:r w:rsidRPr="00D97AD9">
        <w:rPr>
          <w:bCs/>
          <w:i/>
          <w:u w:val="single"/>
        </w:rPr>
        <w:t xml:space="preserve">Termín: předpokládané realizace: </w:t>
      </w:r>
      <w:r w:rsidR="001655BE">
        <w:rPr>
          <w:bCs/>
          <w:i/>
          <w:u w:val="single"/>
        </w:rPr>
        <w:t xml:space="preserve">4Q </w:t>
      </w:r>
      <w:r w:rsidRPr="00D97AD9">
        <w:rPr>
          <w:bCs/>
          <w:i/>
          <w:u w:val="single"/>
        </w:rPr>
        <w:t>201</w:t>
      </w:r>
      <w:r>
        <w:rPr>
          <w:bCs/>
          <w:i/>
          <w:u w:val="single"/>
        </w:rPr>
        <w:t>9</w:t>
      </w:r>
      <w:r w:rsidRPr="00D97AD9">
        <w:rPr>
          <w:bCs/>
          <w:i/>
          <w:u w:val="single"/>
        </w:rPr>
        <w:t xml:space="preserve"> </w:t>
      </w:r>
    </w:p>
    <w:p w:rsidR="00AA2A57" w:rsidRPr="007A7E47" w:rsidRDefault="008E49D1" w:rsidP="007A7E47">
      <w:pPr>
        <w:pStyle w:val="Odrka-Normln"/>
        <w:rPr>
          <w:i/>
        </w:rPr>
      </w:pPr>
      <w:r w:rsidRPr="00D97AD9">
        <w:t xml:space="preserve">vytvoření programů dalšího vzdělávání pedagogických pracovníků v oblasti digitálních kompetencí, bude řešeno v rámci </w:t>
      </w:r>
      <w:r w:rsidR="002810BA">
        <w:t xml:space="preserve">projektových </w:t>
      </w:r>
      <w:r w:rsidRPr="00D97AD9">
        <w:t xml:space="preserve">výzev OP VVV. </w:t>
      </w:r>
      <w:r w:rsidR="007A7E47">
        <w:rPr>
          <w:bCs/>
          <w:i/>
        </w:rPr>
        <w:t>Termín: 4Q 2019.</w:t>
      </w:r>
    </w:p>
    <w:p w:rsidR="007A7E47" w:rsidRDefault="007A7E47">
      <w:pPr>
        <w:spacing w:after="200"/>
        <w:jc w:val="left"/>
        <w:rPr>
          <w:rFonts w:eastAsia="Times New Roman"/>
          <w:b/>
          <w:bCs/>
          <w:sz w:val="24"/>
          <w:szCs w:val="24"/>
          <w:u w:val="single"/>
        </w:rPr>
      </w:pPr>
      <w:r>
        <w:br w:type="page"/>
      </w:r>
    </w:p>
    <w:p w:rsidR="00AA2A57" w:rsidRPr="007D5EB5" w:rsidRDefault="00AA2A57" w:rsidP="007B1E57">
      <w:pPr>
        <w:pStyle w:val="Nadpis3"/>
      </w:pPr>
      <w:bookmarkStart w:id="47" w:name="_Toc491355961"/>
      <w:r w:rsidRPr="007D5EB5">
        <w:lastRenderedPageBreak/>
        <w:t>Podpora dalšího vzděláván</w:t>
      </w:r>
      <w:r w:rsidR="007D5EB5">
        <w:t>í</w:t>
      </w:r>
      <w:bookmarkEnd w:id="47"/>
    </w:p>
    <w:p w:rsidR="008F713E" w:rsidRDefault="008F713E" w:rsidP="007D5EB5">
      <w:pPr>
        <w:pStyle w:val="Nadpis2"/>
      </w:pPr>
      <w:bookmarkStart w:id="48" w:name="_Toc490228390"/>
      <w:bookmarkStart w:id="49" w:name="_Toc490228457"/>
      <w:bookmarkStart w:id="50" w:name="_Toc491355962"/>
      <w:r w:rsidRPr="007D5EB5">
        <w:t>Zvyšování digitální gramotnosti občanů</w:t>
      </w:r>
      <w:bookmarkEnd w:id="48"/>
      <w:bookmarkEnd w:id="49"/>
      <w:bookmarkEnd w:id="50"/>
    </w:p>
    <w:p w:rsidR="001134C2" w:rsidRPr="00C76504" w:rsidRDefault="001134C2" w:rsidP="007D5EB5">
      <w:pPr>
        <w:pStyle w:val="NOPil2"/>
      </w:pPr>
      <w:r w:rsidRPr="00D97AD9">
        <w:t xml:space="preserve">Zmapování projektů, kurzů a seminářů v oblasti digitálního </w:t>
      </w:r>
      <w:r>
        <w:t>vzdělávání.</w:t>
      </w:r>
      <w:r w:rsidR="007D5EB5">
        <w:t xml:space="preserve"> </w:t>
      </w:r>
      <w:r w:rsidRPr="007D5EB5">
        <w:rPr>
          <w:b w:val="0"/>
          <w:i/>
        </w:rPr>
        <w:t xml:space="preserve">Termín: průběžně, gestor: MŠMT, </w:t>
      </w:r>
      <w:proofErr w:type="spellStart"/>
      <w:r w:rsidRPr="007D5EB5">
        <w:rPr>
          <w:b w:val="0"/>
          <w:i/>
        </w:rPr>
        <w:t>spolugestor</w:t>
      </w:r>
      <w:proofErr w:type="spellEnd"/>
      <w:r w:rsidRPr="007D5EB5">
        <w:rPr>
          <w:b w:val="0"/>
          <w:i/>
        </w:rPr>
        <w:t>: MPSV, spolupráce: koordinátor.</w:t>
      </w:r>
    </w:p>
    <w:p w:rsidR="001134C2" w:rsidRDefault="001134C2" w:rsidP="007D5EB5">
      <w:r>
        <w:t>Koordinátor shromáždil základní</w:t>
      </w:r>
      <w:r w:rsidRPr="00D97AD9">
        <w:t xml:space="preserve"> informace o probíhajících kurzech, projektech a podobných školicích činnostech, které</w:t>
      </w:r>
      <w:r w:rsidRPr="00732469">
        <w:t xml:space="preserve"> jsou veřejnosti v ČR </w:t>
      </w:r>
      <w:r w:rsidRPr="00261F33">
        <w:t>dostupné a</w:t>
      </w:r>
      <w:r w:rsidRPr="00732469">
        <w:t xml:space="preserve"> které prohlubují digitální gramotnost v nejrůznějších oblastech</w:t>
      </w:r>
      <w:r>
        <w:t xml:space="preserve"> informační technologie (</w:t>
      </w:r>
      <w:r w:rsidRPr="00D97AD9">
        <w:t>IT</w:t>
      </w:r>
      <w:r>
        <w:t>).</w:t>
      </w:r>
      <w:r w:rsidRPr="00D97AD9">
        <w:t xml:space="preserve"> Výsledkem bude databáze vzdělávacích projektů v oblasti IT</w:t>
      </w:r>
      <w:r w:rsidR="00B24748">
        <w:t xml:space="preserve"> organizovaných</w:t>
      </w:r>
      <w:r>
        <w:t xml:space="preserve"> různými institucemi na území ČR (veřejné, soukromé, NGO sektor, atd.)</w:t>
      </w:r>
      <w:r w:rsidRPr="00D97AD9">
        <w:t xml:space="preserve">, graficky zobrazená na </w:t>
      </w:r>
      <w:r>
        <w:t xml:space="preserve">online </w:t>
      </w:r>
      <w:r w:rsidRPr="00D97AD9">
        <w:t xml:space="preserve">mapě naší země a volně dostupná na </w:t>
      </w:r>
      <w:r>
        <w:t>internetu</w:t>
      </w:r>
      <w:r w:rsidRPr="00D97AD9">
        <w:t>. Zájemci budou moci specifikovat své požadavky a pomocí filtrů provést výběr, který jim nejlépe vyhovuje.</w:t>
      </w:r>
      <w:r>
        <w:t xml:space="preserve"> </w:t>
      </w:r>
      <w:r w:rsidRPr="00D97AD9">
        <w:t>Po jeho zveřejnění na webu bude průběžně aktualizov</w:t>
      </w:r>
      <w:r>
        <w:t>ána</w:t>
      </w:r>
      <w:r w:rsidRPr="00D97AD9">
        <w:t xml:space="preserve"> databáz</w:t>
      </w:r>
      <w:r>
        <w:t>e</w:t>
      </w:r>
      <w:r w:rsidRPr="00D97AD9">
        <w:t xml:space="preserve"> s novými projekty </w:t>
      </w:r>
      <w:r w:rsidRPr="00D97AD9">
        <w:rPr>
          <w:rFonts w:eastAsiaTheme="minorHAnsi"/>
          <w:szCs w:val="22"/>
          <w:lang w:eastAsia="en-US"/>
        </w:rPr>
        <w:t>doplňující portfolio stávajících aktivit</w:t>
      </w:r>
      <w:r>
        <w:t xml:space="preserve">. </w:t>
      </w:r>
      <w:r w:rsidRPr="00E82124">
        <w:t>Aktualizace databáze bude projednána jako průběžný úkol České národní koalice pro digitální pracovní místa.</w:t>
      </w:r>
    </w:p>
    <w:p w:rsidR="008F713E" w:rsidRPr="00CB0164" w:rsidRDefault="001134C2" w:rsidP="007D5EB5">
      <w:pPr>
        <w:pStyle w:val="NOPil2"/>
      </w:pPr>
      <w:r w:rsidRPr="009236C8">
        <w:t>Podpora</w:t>
      </w:r>
      <w:r w:rsidR="004F265B">
        <w:t xml:space="preserve"> vzdělávání státních úředníků v oblasti digitálních kompetencí, využívání e-kurzů. </w:t>
      </w:r>
      <w:r w:rsidRPr="007D5EB5">
        <w:rPr>
          <w:b w:val="0"/>
          <w:i/>
        </w:rPr>
        <w:t>Termín: 4Q 2020, gestor: MPSV.</w:t>
      </w:r>
    </w:p>
    <w:p w:rsidR="008F713E" w:rsidRDefault="008F713E" w:rsidP="007D5EB5">
      <w:pPr>
        <w:pStyle w:val="Odrka-Normln"/>
      </w:pPr>
      <w:r w:rsidRPr="003C4C49">
        <w:t>Realizace specifických vzdělávacích a výcvikových programů podporujících rozvoj specifických a nepřenositelných digitálních kompetencí, které obsahují aktivity pro identifikaci nedostatků v oblasti přenosi</w:t>
      </w:r>
      <w:r w:rsidR="00B24748">
        <w:t xml:space="preserve">telných digitálních kompetencí </w:t>
      </w:r>
      <w:r w:rsidRPr="003C4C49">
        <w:t xml:space="preserve">a motivaci pracovníků k jejich rozvoji. </w:t>
      </w:r>
    </w:p>
    <w:p w:rsidR="008F713E" w:rsidRPr="009236C8" w:rsidRDefault="008F713E" w:rsidP="007D5EB5">
      <w:pPr>
        <w:pStyle w:val="Odrka-Normln"/>
      </w:pPr>
      <w:r w:rsidRPr="003C4C49">
        <w:t xml:space="preserve">Zahrnutí digitální gramotnosti úředníků/zaměstnanců veřejné správy do procesu hodnocení pracovníků. </w:t>
      </w:r>
    </w:p>
    <w:p w:rsidR="008F713E" w:rsidRPr="003C4C49" w:rsidRDefault="008F713E" w:rsidP="007D5EB5">
      <w:pPr>
        <w:pStyle w:val="Odrka-Normln"/>
      </w:pPr>
      <w:r w:rsidRPr="003C4C49">
        <w:t>Zvýšení informovanosti personalistů veřejné správy o významu digitální gramotnosti pro výkon pracovních činností zaměstnanců, o vhodných formách rozvoje digitálních kompetencí, o možnostech dokládání a prokazování digitálních kompetencí u zájemců o zaměstnání a o existujících metodických a informačních podkladech pro cílené vzdělávání v oblasti digitálních kompetencí.</w:t>
      </w:r>
    </w:p>
    <w:p w:rsidR="008F713E" w:rsidRPr="009236C8" w:rsidRDefault="008F713E" w:rsidP="007D5EB5">
      <w:pPr>
        <w:pStyle w:val="NOPil2"/>
      </w:pPr>
      <w:r w:rsidRPr="009236C8">
        <w:t>Podpora fyzického přístupu k digitálním technologiím</w:t>
      </w:r>
      <w:r w:rsidR="00C9600A">
        <w:t>.</w:t>
      </w:r>
      <w:r w:rsidRPr="009236C8">
        <w:t xml:space="preserve"> </w:t>
      </w:r>
      <w:r w:rsidRPr="007D5EB5">
        <w:rPr>
          <w:b w:val="0"/>
          <w:i/>
        </w:rPr>
        <w:t>Termín: 4Q 2020</w:t>
      </w:r>
      <w:r w:rsidR="00BA06DB" w:rsidRPr="007D5EB5">
        <w:rPr>
          <w:b w:val="0"/>
          <w:i/>
        </w:rPr>
        <w:t>, gestor: MPSV</w:t>
      </w:r>
      <w:r w:rsidR="00C9600A" w:rsidRPr="007D5EB5">
        <w:rPr>
          <w:b w:val="0"/>
          <w:i/>
        </w:rPr>
        <w:t>.</w:t>
      </w:r>
    </w:p>
    <w:p w:rsidR="008F713E" w:rsidRPr="009236C8" w:rsidRDefault="008F713E" w:rsidP="007D5EB5">
      <w:pPr>
        <w:pStyle w:val="Odrka-Normln"/>
      </w:pPr>
      <w:r w:rsidRPr="009236C8">
        <w:t>Zapracování mechanismů podpory fyzického přístupu k digitálním technologiím pro osoby ohrožené digitálním vyloučením do postupů pro realizaci vzdělávacích kurzů v oblasti digitální gramotnosti.</w:t>
      </w:r>
    </w:p>
    <w:p w:rsidR="008F713E" w:rsidRPr="009236C8" w:rsidRDefault="008F713E" w:rsidP="007D5EB5">
      <w:pPr>
        <w:pStyle w:val="Odrka-Normln"/>
      </w:pPr>
      <w:r w:rsidRPr="009236C8">
        <w:t>Podpora základní znalosti pravidel kybernetické bezpečnosti a zapojení neziskových osvětových organizací působících v oblasti kybernetické bezpečnosti a prevence rizik souvisejících s užíváním prostředků ICT a internetu.</w:t>
      </w:r>
    </w:p>
    <w:p w:rsidR="008F713E" w:rsidRPr="009236C8" w:rsidRDefault="008F713E" w:rsidP="007D5EB5">
      <w:pPr>
        <w:pStyle w:val="NOPil2"/>
      </w:pPr>
      <w:r w:rsidRPr="009236C8">
        <w:t>Podpora účasti osob ohrožených nezaměstnaností na praxích a odborných</w:t>
      </w:r>
      <w:r w:rsidR="00C9600A">
        <w:t xml:space="preserve"> </w:t>
      </w:r>
      <w:r w:rsidRPr="009236C8">
        <w:t>stážích</w:t>
      </w:r>
      <w:r w:rsidR="00C9600A">
        <w:t>.</w:t>
      </w:r>
      <w:r w:rsidRPr="009236C8">
        <w:t xml:space="preserve"> </w:t>
      </w:r>
      <w:r w:rsidRPr="007D5EB5">
        <w:rPr>
          <w:b w:val="0"/>
          <w:i/>
        </w:rPr>
        <w:t>Termín: 4Q 2020</w:t>
      </w:r>
      <w:r w:rsidR="00BA06DB" w:rsidRPr="007D5EB5">
        <w:rPr>
          <w:b w:val="0"/>
          <w:i/>
        </w:rPr>
        <w:t>, gestor: MPSV</w:t>
      </w:r>
      <w:r w:rsidR="00C9600A" w:rsidRPr="007D5EB5">
        <w:rPr>
          <w:b w:val="0"/>
          <w:i/>
        </w:rPr>
        <w:t>.</w:t>
      </w:r>
    </w:p>
    <w:p w:rsidR="008F713E" w:rsidRPr="007D5EB5" w:rsidRDefault="008F713E" w:rsidP="007D5EB5">
      <w:pPr>
        <w:pStyle w:val="Odrka-Normln"/>
      </w:pPr>
      <w:r w:rsidRPr="009236C8">
        <w:t>V oblasti týkající se digitálních technologií je vytvořena, trvale rozšiřována a zveřejněna nabídka stáží a praxí pro nezaměstnané a osoby ohrožené nezaměstnaností.</w:t>
      </w:r>
    </w:p>
    <w:p w:rsidR="008F713E" w:rsidRPr="00172E2C" w:rsidRDefault="008F713E" w:rsidP="00172E2C">
      <w:pPr>
        <w:pStyle w:val="NOPil2"/>
        <w:rPr>
          <w:b w:val="0"/>
        </w:rPr>
      </w:pPr>
      <w:r w:rsidRPr="00172E2C">
        <w:lastRenderedPageBreak/>
        <w:t>Podpora vzdělávání zaměstnanců malých a středních podniků a OSVČ v oblasti specifických a nepřenositelných digitálních kompetencí</w:t>
      </w:r>
      <w:r w:rsidR="00C9600A" w:rsidRPr="00172E2C">
        <w:t>.</w:t>
      </w:r>
      <w:r w:rsidRPr="00172E2C">
        <w:t xml:space="preserve"> </w:t>
      </w:r>
      <w:r w:rsidRPr="00172E2C">
        <w:rPr>
          <w:b w:val="0"/>
          <w:i/>
        </w:rPr>
        <w:t>Termín: 4Q 2020</w:t>
      </w:r>
      <w:r w:rsidR="00BA06DB" w:rsidRPr="00172E2C">
        <w:rPr>
          <w:b w:val="0"/>
          <w:i/>
        </w:rPr>
        <w:t>, gestor: MPSV</w:t>
      </w:r>
      <w:r w:rsidR="00C9600A" w:rsidRPr="00172E2C">
        <w:rPr>
          <w:b w:val="0"/>
          <w:i/>
        </w:rPr>
        <w:t>.</w:t>
      </w:r>
    </w:p>
    <w:p w:rsidR="008F713E" w:rsidRPr="009236C8" w:rsidRDefault="008F713E" w:rsidP="00172E2C">
      <w:pPr>
        <w:pStyle w:val="Odrka-Normln"/>
      </w:pPr>
      <w:r w:rsidRPr="009236C8">
        <w:t>Zavedení poradenského servisu pro zaměstnavatele v oblasti rozvoje specifických a nepřenositelných digitálních kompetencí ve vazbě na strategické využívání digitálních technologií pro rozvoj podnikání zaměstnavatelů.</w:t>
      </w:r>
    </w:p>
    <w:p w:rsidR="008F713E" w:rsidRPr="009236C8" w:rsidRDefault="008F713E" w:rsidP="00172E2C">
      <w:pPr>
        <w:pStyle w:val="Odrka-Normln"/>
      </w:pPr>
      <w:r w:rsidRPr="009236C8">
        <w:t>Vytvoření nástroje vícezdrojového financování pro poskytování finanční podpory na vzdělávací aktivity zaměstnavatelů v oblasti specifických a nepřenositelných digitálních kompetencí, která bude založená na zjednodušeném vykazování finančních prostředků, ale která bude vyžadovat vazbu vzdělávání v těchto digitálních kompetencích na rozvoj podnikání.</w:t>
      </w:r>
    </w:p>
    <w:p w:rsidR="008F713E" w:rsidRPr="009236C8" w:rsidRDefault="008F713E" w:rsidP="00172E2C">
      <w:pPr>
        <w:pStyle w:val="NOPil2"/>
      </w:pPr>
      <w:r w:rsidRPr="009236C8">
        <w:t>Zavedení mezigeneračních programů a komunitního učení pro zlepšení dostupnosti digitálního vzdělávání</w:t>
      </w:r>
      <w:r w:rsidR="00C9600A">
        <w:t>.</w:t>
      </w:r>
      <w:r w:rsidRPr="009236C8">
        <w:t xml:space="preserve"> </w:t>
      </w:r>
      <w:r w:rsidRPr="00172E2C">
        <w:rPr>
          <w:b w:val="0"/>
          <w:i/>
        </w:rPr>
        <w:t>Termín: 4Q 2020</w:t>
      </w:r>
      <w:r w:rsidR="00BA06DB" w:rsidRPr="00172E2C">
        <w:rPr>
          <w:b w:val="0"/>
          <w:i/>
        </w:rPr>
        <w:t>, gestor: MPSV</w:t>
      </w:r>
      <w:r w:rsidR="00C9600A" w:rsidRPr="00172E2C">
        <w:rPr>
          <w:b w:val="0"/>
          <w:i/>
        </w:rPr>
        <w:t>.</w:t>
      </w:r>
    </w:p>
    <w:p w:rsidR="008F713E" w:rsidRPr="009236C8" w:rsidRDefault="008F713E" w:rsidP="00172E2C">
      <w:pPr>
        <w:pStyle w:val="Odrka-Normln"/>
      </w:pPr>
      <w:r w:rsidRPr="009236C8">
        <w:t>Zavedení mezigeneračních vzdělávacích programů, mobilních učeben, vytváření učebních středisek pro digitální vzdělávání v místech, kde se lidé každodenně shromažďují (školy, knihovny, muzea, areály pro trávení volného času).</w:t>
      </w:r>
    </w:p>
    <w:p w:rsidR="008F713E" w:rsidRPr="00172E2C" w:rsidRDefault="008F713E" w:rsidP="00172E2C">
      <w:pPr>
        <w:pStyle w:val="NOPil2"/>
        <w:rPr>
          <w:b w:val="0"/>
          <w:i/>
        </w:rPr>
      </w:pPr>
      <w:r w:rsidRPr="009236C8">
        <w:t>Podpora individuálního vzdělávání zaměstnaných a nezaměstnaných osob v oblasti přenositelných a specifických digitálních kompetencí – pořádání doplňkových rekvalifikačních kurzů</w:t>
      </w:r>
      <w:r w:rsidR="00C9600A">
        <w:t>.</w:t>
      </w:r>
      <w:r w:rsidRPr="009236C8">
        <w:t xml:space="preserve"> </w:t>
      </w:r>
      <w:r w:rsidRPr="00172E2C">
        <w:rPr>
          <w:b w:val="0"/>
          <w:i/>
        </w:rPr>
        <w:t>Termín: 4Q 2020, průběžně</w:t>
      </w:r>
      <w:r w:rsidR="00BA06DB" w:rsidRPr="00172E2C">
        <w:rPr>
          <w:b w:val="0"/>
          <w:i/>
        </w:rPr>
        <w:t>, gestor: MPSV</w:t>
      </w:r>
      <w:r w:rsidR="00C9600A" w:rsidRPr="00172E2C">
        <w:rPr>
          <w:b w:val="0"/>
          <w:i/>
        </w:rPr>
        <w:t>.</w:t>
      </w:r>
    </w:p>
    <w:p w:rsidR="008F713E" w:rsidRPr="009236C8" w:rsidRDefault="008F713E" w:rsidP="00172E2C">
      <w:pPr>
        <w:pStyle w:val="Odrka-Normln"/>
      </w:pPr>
      <w:r w:rsidRPr="009236C8">
        <w:t>Finanční podpora individuálního vzdělávání zaměstnaných a nezaměstnaných osob v oblasti přenositelných digitálních kompetencí.</w:t>
      </w:r>
    </w:p>
    <w:p w:rsidR="008F713E" w:rsidRPr="009236C8" w:rsidRDefault="008F713E" w:rsidP="00172E2C">
      <w:pPr>
        <w:pStyle w:val="Odrka-Normln"/>
      </w:pPr>
      <w:r w:rsidRPr="009236C8">
        <w:t>Zapojení zaměstnavatelů do podpory individuálního vzdělávání zaměstnanců v oblasti přenositelných digitálních kompetencí.</w:t>
      </w:r>
    </w:p>
    <w:p w:rsidR="008F713E" w:rsidRPr="009236C8" w:rsidRDefault="008F713E" w:rsidP="00172E2C">
      <w:pPr>
        <w:pStyle w:val="Odrka-Normln"/>
      </w:pPr>
      <w:r w:rsidRPr="009236C8">
        <w:t>Realizace doplňkových rekvalifikačních kurzů v oblasti přenositelných digitálních kompetencí.</w:t>
      </w:r>
    </w:p>
    <w:p w:rsidR="008F713E" w:rsidRPr="009236C8" w:rsidRDefault="008F713E" w:rsidP="00172E2C">
      <w:pPr>
        <w:pStyle w:val="Odrka-Normln"/>
      </w:pPr>
      <w:r w:rsidRPr="009236C8">
        <w:t>Realizace rekvalifikačních kurzů v oblasti specifických digitálních kompetencí pro nezaměstnané.</w:t>
      </w:r>
    </w:p>
    <w:p w:rsidR="008F713E" w:rsidRPr="00172E2C" w:rsidRDefault="008F713E" w:rsidP="00172E2C">
      <w:pPr>
        <w:pStyle w:val="NOPil2"/>
        <w:rPr>
          <w:b w:val="0"/>
          <w:i/>
        </w:rPr>
      </w:pPr>
      <w:r w:rsidRPr="009236C8">
        <w:t>Zajištění ekonomických nástrojů na podporu fyzického přístupu osob s nízkým sociálním statusem k digitálním technologiím</w:t>
      </w:r>
      <w:r w:rsidR="00C9600A">
        <w:t>.</w:t>
      </w:r>
      <w:r w:rsidRPr="009236C8">
        <w:t xml:space="preserve"> </w:t>
      </w:r>
      <w:r w:rsidRPr="00172E2C">
        <w:rPr>
          <w:b w:val="0"/>
          <w:i/>
        </w:rPr>
        <w:t>Termín: 4Q 2020, průběžně</w:t>
      </w:r>
      <w:r w:rsidR="00BA06DB" w:rsidRPr="00172E2C">
        <w:rPr>
          <w:b w:val="0"/>
          <w:i/>
        </w:rPr>
        <w:t>, gestor: MPSV</w:t>
      </w:r>
      <w:r w:rsidR="00C9600A" w:rsidRPr="00172E2C">
        <w:rPr>
          <w:b w:val="0"/>
          <w:i/>
        </w:rPr>
        <w:t>.</w:t>
      </w:r>
    </w:p>
    <w:p w:rsidR="008F713E" w:rsidRPr="009236C8" w:rsidRDefault="008F713E" w:rsidP="00172E2C">
      <w:pPr>
        <w:pStyle w:val="Odrka-Normln"/>
      </w:pPr>
      <w:r w:rsidRPr="009236C8">
        <w:t xml:space="preserve">Podpora přístupu nízkopříjmových skupin k dostupným bezplatným veřejným sítím v digitálních centrech (knihovny, Centra celoživotního učení, DDM, SVČ atd.). </w:t>
      </w:r>
    </w:p>
    <w:p w:rsidR="008F713E" w:rsidRPr="009236C8" w:rsidRDefault="008F713E" w:rsidP="00172E2C">
      <w:pPr>
        <w:pStyle w:val="Odrka-Normln"/>
      </w:pPr>
      <w:r w:rsidRPr="009236C8">
        <w:t>Podpora lokálních poskytovatelů připojení k internetu (komunitní sítě, sítě obcí a měst, popř. městských částí) směřovaná tak, aby mohli nízkopříjmovým skupinám obyvatel poskytovat své služby s výraznou slevou.</w:t>
      </w:r>
    </w:p>
    <w:p w:rsidR="008F713E" w:rsidRDefault="008F713E" w:rsidP="00172E2C">
      <w:pPr>
        <w:pStyle w:val="Odrka-Normln"/>
      </w:pPr>
      <w:r w:rsidRPr="009236C8">
        <w:t xml:space="preserve">Zavedení ekonomických pobídek, podmíněných předchozím vzděláváním, určených na vybavení počítačem (nebo obdobným digitálním zařízením vhodným pro přístup k internetu) pro nízkopříjmové skupiny. </w:t>
      </w:r>
    </w:p>
    <w:p w:rsidR="008F713E" w:rsidRPr="009236C8" w:rsidRDefault="008F713E" w:rsidP="008F713E">
      <w:pPr>
        <w:pStyle w:val="Odstavecseseznamem"/>
      </w:pPr>
    </w:p>
    <w:p w:rsidR="008F713E" w:rsidRPr="001F31D0" w:rsidRDefault="008F713E" w:rsidP="001F31D0">
      <w:pPr>
        <w:pStyle w:val="NOPil2"/>
        <w:rPr>
          <w:b w:val="0"/>
          <w:i/>
        </w:rPr>
      </w:pPr>
      <w:r w:rsidRPr="001F31D0">
        <w:lastRenderedPageBreak/>
        <w:t xml:space="preserve">Podpora využívání stávajících elektronických služeb veřejného sektoru s důrazem na zvyšování informovanosti veřejnosti. </w:t>
      </w:r>
      <w:r w:rsidRPr="001F31D0">
        <w:rPr>
          <w:b w:val="0"/>
          <w:i/>
        </w:rPr>
        <w:t>Termín: 4Q 2020, průběžně</w:t>
      </w:r>
      <w:r w:rsidR="00BA06DB" w:rsidRPr="001F31D0">
        <w:rPr>
          <w:b w:val="0"/>
          <w:i/>
        </w:rPr>
        <w:t>, gestor: MPSV.</w:t>
      </w:r>
    </w:p>
    <w:p w:rsidR="008F713E" w:rsidRPr="009236C8" w:rsidRDefault="008F713E" w:rsidP="001F31D0">
      <w:pPr>
        <w:pStyle w:val="Odrka-Normln"/>
      </w:pPr>
      <w:r w:rsidRPr="009236C8">
        <w:t>Komunikační aktivity pro veřejnost.</w:t>
      </w:r>
    </w:p>
    <w:p w:rsidR="008F713E" w:rsidRPr="009236C8" w:rsidRDefault="008F713E" w:rsidP="001F31D0">
      <w:pPr>
        <w:pStyle w:val="Odrka-Normln"/>
      </w:pPr>
      <w:r w:rsidRPr="009236C8">
        <w:t xml:space="preserve">Komunikační a vzdělávací aktivity pro úředníky/zaměstnance veřejné správy směřující ke znalosti nástrojů </w:t>
      </w:r>
      <w:proofErr w:type="spellStart"/>
      <w:r w:rsidRPr="009236C8">
        <w:t>eGovernmentu</w:t>
      </w:r>
      <w:proofErr w:type="spellEnd"/>
      <w:r w:rsidRPr="009236C8">
        <w:t xml:space="preserve"> a znalosti bezpečného používání prostředků</w:t>
      </w:r>
      <w:r w:rsidR="00B24748">
        <w:t xml:space="preserve"> ICT a i</w:t>
      </w:r>
      <w:r w:rsidRPr="009236C8">
        <w:t xml:space="preserve">nternetu včetně dopadů </w:t>
      </w:r>
      <w:r w:rsidR="002810BA">
        <w:t>z</w:t>
      </w:r>
      <w:r w:rsidR="002810BA" w:rsidRPr="009236C8">
        <w:t xml:space="preserve">ákona </w:t>
      </w:r>
      <w:r w:rsidRPr="009236C8">
        <w:t>o kybernetické bezpečnosti.</w:t>
      </w:r>
    </w:p>
    <w:p w:rsidR="008F713E" w:rsidRPr="009236C8" w:rsidRDefault="008F713E" w:rsidP="001F31D0">
      <w:pPr>
        <w:pStyle w:val="NOPil2"/>
      </w:pPr>
      <w:r w:rsidRPr="009236C8">
        <w:t xml:space="preserve">Podpora sběru dat, výzkumných šetření a evaluací v oblasti digitální gramotnosti. </w:t>
      </w:r>
      <w:r w:rsidRPr="001F31D0">
        <w:rPr>
          <w:b w:val="0"/>
          <w:i/>
        </w:rPr>
        <w:t>Termín: průběžně</w:t>
      </w:r>
      <w:r w:rsidR="00BA06DB" w:rsidRPr="001F31D0">
        <w:rPr>
          <w:b w:val="0"/>
          <w:i/>
        </w:rPr>
        <w:t>, gestor: MPSV</w:t>
      </w:r>
      <w:r w:rsidR="002810BA">
        <w:rPr>
          <w:i/>
          <w:u w:val="single"/>
        </w:rPr>
        <w:t>.</w:t>
      </w:r>
    </w:p>
    <w:p w:rsidR="008F713E" w:rsidRPr="009236C8" w:rsidRDefault="008F713E" w:rsidP="001F31D0">
      <w:pPr>
        <w:pStyle w:val="Odrka-Normln"/>
      </w:pPr>
      <w:r w:rsidRPr="009236C8">
        <w:t>Zmapování stávajících datových zdrojů, včetně doporučení na jejich využití, případně doplnění.</w:t>
      </w:r>
    </w:p>
    <w:p w:rsidR="008F713E" w:rsidRPr="009236C8" w:rsidRDefault="008F713E" w:rsidP="001F31D0">
      <w:pPr>
        <w:pStyle w:val="Odrka-Normln"/>
      </w:pPr>
      <w:r w:rsidRPr="009236C8">
        <w:t>Realizace kvalitativních a kvantitativních výzkumů v oblasti digitální gramotnosti.</w:t>
      </w:r>
    </w:p>
    <w:p w:rsidR="009236C8" w:rsidRPr="001F31D0" w:rsidRDefault="008F713E" w:rsidP="001F31D0">
      <w:pPr>
        <w:pStyle w:val="Odrka-Normln"/>
      </w:pPr>
      <w:r w:rsidRPr="009236C8">
        <w:t>Stanovení požadovaných evaluačních dat, povinnosti jejich sběru a zveřejňování v anonymizované podobě u projektů zaměřených n</w:t>
      </w:r>
      <w:r w:rsidR="001F31D0">
        <w:t>a rozvoj digitální gramotnosti.</w:t>
      </w:r>
    </w:p>
    <w:p w:rsidR="00AA2A57" w:rsidRPr="007B1E57" w:rsidRDefault="00AA2A57" w:rsidP="002352AC">
      <w:pPr>
        <w:pStyle w:val="Nadpis2"/>
      </w:pPr>
      <w:bookmarkStart w:id="51" w:name="_Toc490228391"/>
      <w:bookmarkStart w:id="52" w:name="_Toc490228458"/>
      <w:bookmarkStart w:id="53" w:name="_Toc491355963"/>
      <w:r w:rsidRPr="00154CB0">
        <w:t>Podpora nabídky dalšího vzdělávání,</w:t>
      </w:r>
      <w:r w:rsidR="001F31D0" w:rsidRPr="00154CB0">
        <w:t xml:space="preserve"> nových forem a individualizace</w:t>
      </w:r>
      <w:bookmarkEnd w:id="51"/>
      <w:bookmarkEnd w:id="52"/>
      <w:bookmarkEnd w:id="53"/>
    </w:p>
    <w:p w:rsidR="00AA2A57" w:rsidRDefault="00AA2A57" w:rsidP="001F31D0">
      <w:pPr>
        <w:pStyle w:val="Plnovanopaten"/>
      </w:pPr>
      <w:r w:rsidRPr="00D97AD9">
        <w:t>Plánovaná opatření</w:t>
      </w:r>
    </w:p>
    <w:p w:rsidR="00AA2A57" w:rsidRPr="001F31D0" w:rsidRDefault="00AA2A57" w:rsidP="001F31D0">
      <w:pPr>
        <w:pStyle w:val="NOPil2"/>
        <w:rPr>
          <w:b w:val="0"/>
          <w:i/>
        </w:rPr>
      </w:pPr>
      <w:r w:rsidRPr="00CB4CA5">
        <w:t>Rozšíření nabídky dalšího profesního vzdělávání a rekvalifikací</w:t>
      </w:r>
      <w:r w:rsidR="00C9600A">
        <w:t>.</w:t>
      </w:r>
      <w:r w:rsidRPr="00CB4CA5">
        <w:t xml:space="preserve"> </w:t>
      </w:r>
      <w:r w:rsidRPr="001F31D0">
        <w:rPr>
          <w:b w:val="0"/>
          <w:i/>
        </w:rPr>
        <w:t>Termín: 2017-</w:t>
      </w:r>
      <w:r w:rsidR="001F31D0" w:rsidRPr="001F31D0">
        <w:rPr>
          <w:b w:val="0"/>
          <w:i/>
        </w:rPr>
        <w:t xml:space="preserve"> </w:t>
      </w:r>
      <w:r w:rsidRPr="001F31D0">
        <w:rPr>
          <w:b w:val="0"/>
          <w:i/>
        </w:rPr>
        <w:t>2019, gestor</w:t>
      </w:r>
      <w:r w:rsidR="000406D1" w:rsidRPr="001F31D0">
        <w:rPr>
          <w:b w:val="0"/>
          <w:i/>
        </w:rPr>
        <w:t>:</w:t>
      </w:r>
      <w:r w:rsidRPr="001F31D0">
        <w:rPr>
          <w:b w:val="0"/>
          <w:i/>
        </w:rPr>
        <w:t xml:space="preserve"> MPSV, GŘ ÚP, </w:t>
      </w:r>
      <w:proofErr w:type="spellStart"/>
      <w:r w:rsidRPr="001F31D0">
        <w:rPr>
          <w:b w:val="0"/>
          <w:i/>
        </w:rPr>
        <w:t>spolugestor</w:t>
      </w:r>
      <w:proofErr w:type="spellEnd"/>
      <w:r w:rsidR="000406D1" w:rsidRPr="001F31D0">
        <w:rPr>
          <w:b w:val="0"/>
          <w:i/>
        </w:rPr>
        <w:t>:</w:t>
      </w:r>
      <w:r w:rsidRPr="001F31D0">
        <w:rPr>
          <w:b w:val="0"/>
          <w:i/>
        </w:rPr>
        <w:t xml:space="preserve"> MŠMT, TPZ.</w:t>
      </w:r>
    </w:p>
    <w:p w:rsidR="00AA2A57" w:rsidRPr="007D0536" w:rsidRDefault="001F31D0" w:rsidP="001F31D0">
      <w:pPr>
        <w:pStyle w:val="Odrka-Normln"/>
      </w:pPr>
      <w:r>
        <w:t>A</w:t>
      </w:r>
      <w:r w:rsidR="00AA2A57" w:rsidRPr="007D0536">
        <w:t>nalýza možností rozšiřování nabídky dalšího profesního vzdělávání o dovednosti obecné a měkké (</w:t>
      </w:r>
      <w:r w:rsidR="00AE36FF">
        <w:t>například</w:t>
      </w:r>
      <w:r w:rsidR="00AA2A57" w:rsidRPr="007D0536">
        <w:t xml:space="preserve"> schopnost improvizace, logického myšlení, komunikace, orientace v digitálním světě, cizí jazyky) ve spojení s důkladným porozuměním profesnímu základu oboru a jeho principům, které jsou neměnné; </w:t>
      </w:r>
    </w:p>
    <w:p w:rsidR="00AA2A57" w:rsidRDefault="001F31D0" w:rsidP="001F31D0">
      <w:pPr>
        <w:pStyle w:val="Odrka-Normln"/>
      </w:pPr>
      <w:r>
        <w:t>R</w:t>
      </w:r>
      <w:r w:rsidR="0006166C" w:rsidRPr="00D97AD9">
        <w:t xml:space="preserve">ozšiřování nabídky dalšího profesního vzdělávání o nové obsahy reflektující technologický vývoj či aktualizace již existujících kurzů v souladu s technologickým vývojem (zejména prostřednictvím Národní </w:t>
      </w:r>
      <w:r w:rsidR="00A568E1" w:rsidRPr="00D97AD9">
        <w:t>soustavy kvalifikací).</w:t>
      </w:r>
    </w:p>
    <w:p w:rsidR="0088404D" w:rsidRPr="001F31D0" w:rsidRDefault="00AA2A57" w:rsidP="00717BEA">
      <w:pPr>
        <w:pStyle w:val="NOPil2"/>
        <w:rPr>
          <w:b w:val="0"/>
        </w:rPr>
      </w:pPr>
      <w:r w:rsidRPr="00CB4CA5">
        <w:t>Zvyšování povědomí a propagace, příprava na změny, informační podpora</w:t>
      </w:r>
      <w:r w:rsidR="00C9600A">
        <w:t>.</w:t>
      </w:r>
      <w:r w:rsidR="001F31D0">
        <w:t xml:space="preserve"> </w:t>
      </w:r>
      <w:r w:rsidR="0088404D" w:rsidRPr="001F31D0">
        <w:rPr>
          <w:b w:val="0"/>
          <w:i/>
        </w:rPr>
        <w:t xml:space="preserve">Termín: 2017-2019, gestor MPSV/MŠMT, </w:t>
      </w:r>
      <w:proofErr w:type="spellStart"/>
      <w:r w:rsidR="0088404D" w:rsidRPr="001F31D0">
        <w:rPr>
          <w:b w:val="0"/>
          <w:i/>
        </w:rPr>
        <w:t>spolugestor</w:t>
      </w:r>
      <w:proofErr w:type="spellEnd"/>
      <w:r w:rsidR="0088404D" w:rsidRPr="001F31D0">
        <w:rPr>
          <w:b w:val="0"/>
          <w:i/>
        </w:rPr>
        <w:t xml:space="preserve"> NÚV, GŘ, ÚP, FDV, TPZ</w:t>
      </w:r>
      <w:r w:rsidR="00C9600A" w:rsidRPr="001F31D0">
        <w:rPr>
          <w:b w:val="0"/>
          <w:i/>
        </w:rPr>
        <w:t>.</w:t>
      </w:r>
    </w:p>
    <w:p w:rsidR="0088404D" w:rsidRPr="00D97AD9" w:rsidRDefault="001F31D0" w:rsidP="001F31D0">
      <w:pPr>
        <w:pStyle w:val="Odrka-Normln"/>
      </w:pPr>
      <w:r>
        <w:t>Z</w:t>
      </w:r>
      <w:r w:rsidR="0088404D" w:rsidRPr="00D97AD9">
        <w:t>ajištění důkladné informační podpory, jež by měla být jedním ze signifikantních faktorů zvýšení motivace účastnit se dalšího vzdělávání a její provázání se systémem kariérového poradenství;</w:t>
      </w:r>
    </w:p>
    <w:p w:rsidR="006F3538" w:rsidRDefault="001F31D0" w:rsidP="001F31D0">
      <w:pPr>
        <w:pStyle w:val="Odrka-Normln"/>
      </w:pPr>
      <w:r>
        <w:t>O</w:t>
      </w:r>
      <w:r w:rsidR="0088404D" w:rsidRPr="00D97AD9">
        <w:t xml:space="preserve">světa </w:t>
      </w:r>
      <w:r w:rsidR="008C322A" w:rsidRPr="00D97AD9">
        <w:t xml:space="preserve">a propagace </w:t>
      </w:r>
      <w:r w:rsidR="0088404D" w:rsidRPr="00D97AD9">
        <w:t>dalšího vzdělávání a nových možností, které nabízí (</w:t>
      </w:r>
      <w:r w:rsidR="00AE36FF">
        <w:t>například</w:t>
      </w:r>
      <w:r w:rsidR="0088404D" w:rsidRPr="00D97AD9">
        <w:t xml:space="preserve"> on-line vzdělávání a otevřené kurzy) mezi zaměstnavateli a širokou veřejností</w:t>
      </w:r>
      <w:r>
        <w:t>.</w:t>
      </w:r>
    </w:p>
    <w:p w:rsidR="00D062B2" w:rsidRPr="001F31D0" w:rsidRDefault="00D062B2" w:rsidP="00717BEA">
      <w:pPr>
        <w:pStyle w:val="NOPil2"/>
        <w:rPr>
          <w:i/>
          <w:u w:val="single"/>
        </w:rPr>
      </w:pPr>
      <w:r w:rsidRPr="00CB4CA5">
        <w:t>Rozvoj nových modelů a individualizace v dalším vzdělávání</w:t>
      </w:r>
      <w:r w:rsidR="00C9600A">
        <w:t>.</w:t>
      </w:r>
      <w:r w:rsidRPr="00CB4CA5">
        <w:t xml:space="preserve"> </w:t>
      </w:r>
      <w:r w:rsidRPr="001F31D0">
        <w:rPr>
          <w:b w:val="0"/>
          <w:i/>
        </w:rPr>
        <w:t>Termín: 2017-2019,</w:t>
      </w:r>
      <w:r w:rsidR="001F31D0" w:rsidRPr="001F31D0">
        <w:rPr>
          <w:b w:val="0"/>
          <w:i/>
        </w:rPr>
        <w:t xml:space="preserve"> </w:t>
      </w:r>
      <w:r w:rsidRPr="001F31D0">
        <w:rPr>
          <w:b w:val="0"/>
          <w:i/>
        </w:rPr>
        <w:t xml:space="preserve">gestor MŠMT, MPSV; </w:t>
      </w:r>
      <w:proofErr w:type="spellStart"/>
      <w:r w:rsidRPr="001F31D0">
        <w:rPr>
          <w:b w:val="0"/>
          <w:i/>
        </w:rPr>
        <w:t>s</w:t>
      </w:r>
      <w:r w:rsidR="00C9600A" w:rsidRPr="001F31D0">
        <w:rPr>
          <w:b w:val="0"/>
          <w:i/>
        </w:rPr>
        <w:t>polugestor</w:t>
      </w:r>
      <w:proofErr w:type="spellEnd"/>
      <w:r w:rsidR="00C9600A" w:rsidRPr="001F31D0">
        <w:rPr>
          <w:b w:val="0"/>
          <w:i/>
        </w:rPr>
        <w:t xml:space="preserve"> NÚV, GŘ ÚP, FDV, TPZ.</w:t>
      </w:r>
      <w:r w:rsidRPr="001F31D0">
        <w:rPr>
          <w:i/>
          <w:u w:val="single"/>
        </w:rPr>
        <w:t xml:space="preserve"> </w:t>
      </w:r>
    </w:p>
    <w:p w:rsidR="00D062B2" w:rsidRPr="00D97AD9" w:rsidRDefault="001F31D0" w:rsidP="001F31D0">
      <w:pPr>
        <w:pStyle w:val="Odrka-Normln"/>
      </w:pPr>
      <w:r>
        <w:t>P</w:t>
      </w:r>
      <w:r w:rsidR="00D062B2" w:rsidRPr="00D97AD9">
        <w:t>odpora rozvoje nových forem, metod či didaktických postupů v rámci dalšího vzdělávání, které prioritně reflektují potřeby Práce 4.0 („</w:t>
      </w:r>
      <w:proofErr w:type="spellStart"/>
      <w:r w:rsidR="00D062B2" w:rsidRPr="00D97AD9">
        <w:t>blende</w:t>
      </w:r>
      <w:r w:rsidR="008012FE">
        <w:t>dlearning</w:t>
      </w:r>
      <w:proofErr w:type="spellEnd"/>
      <w:r w:rsidR="008012FE">
        <w:t>", „</w:t>
      </w:r>
      <w:proofErr w:type="spellStart"/>
      <w:r w:rsidR="008012FE">
        <w:t>flippedclasroom</w:t>
      </w:r>
      <w:proofErr w:type="spellEnd"/>
      <w:r w:rsidR="008012FE">
        <w:t xml:space="preserve">“, </w:t>
      </w:r>
      <w:r w:rsidR="008012FE" w:rsidRPr="00D97AD9">
        <w:rPr>
          <w:rFonts w:eastAsia="Times New Roman"/>
          <w:szCs w:val="22"/>
        </w:rPr>
        <w:t>„</w:t>
      </w:r>
      <w:proofErr w:type="spellStart"/>
      <w:r w:rsidR="00D062B2" w:rsidRPr="00D97AD9">
        <w:t>gamifikace</w:t>
      </w:r>
      <w:proofErr w:type="spellEnd"/>
      <w:r w:rsidR="00D062B2" w:rsidRPr="00D97AD9">
        <w:t xml:space="preserve"> vzdělávání"</w:t>
      </w:r>
      <w:r w:rsidR="00F333A8">
        <w:t xml:space="preserve">, </w:t>
      </w:r>
      <w:r w:rsidR="00D062B2" w:rsidRPr="00D97AD9">
        <w:t>„</w:t>
      </w:r>
      <w:proofErr w:type="spellStart"/>
      <w:r w:rsidR="00D062B2" w:rsidRPr="00D97AD9">
        <w:t>codingbootcamps</w:t>
      </w:r>
      <w:proofErr w:type="spellEnd"/>
      <w:r w:rsidR="00D062B2" w:rsidRPr="00D97AD9">
        <w:t>“ apod.);</w:t>
      </w:r>
    </w:p>
    <w:p w:rsidR="00D062B2" w:rsidRPr="00D97AD9" w:rsidRDefault="002352AC" w:rsidP="007B1E57">
      <w:pPr>
        <w:pStyle w:val="Odrka-Normln"/>
      </w:pPr>
      <w:r>
        <w:lastRenderedPageBreak/>
        <w:t>Z</w:t>
      </w:r>
      <w:r w:rsidR="00D062B2" w:rsidRPr="00D97AD9">
        <w:t>výšení využívání MOOC kurzů jako jedné z důležitých a rychle se rozvíjejících forem distančního neformálního vzdělávání;</w:t>
      </w:r>
    </w:p>
    <w:p w:rsidR="007B567D" w:rsidRPr="007D0536" w:rsidRDefault="002352AC" w:rsidP="007B1E57">
      <w:pPr>
        <w:pStyle w:val="Odrka-Normln"/>
      </w:pPr>
      <w:r>
        <w:t>P</w:t>
      </w:r>
      <w:r w:rsidR="00D062B2" w:rsidRPr="00D97AD9">
        <w:t xml:space="preserve">odpora individualizace nabídky dalšího vzdělávání, aby odpovídala stále náročnější a diverzifikovanější poptávce, </w:t>
      </w:r>
      <w:r w:rsidR="00D062B2" w:rsidRPr="004E399E">
        <w:t xml:space="preserve">zanalyzování možnosti </w:t>
      </w:r>
      <w:r w:rsidR="00D062B2" w:rsidRPr="00D97AD9">
        <w:t>nastavení systému modularizace rekvalifikací v návaznosti na Národní soustav</w:t>
      </w:r>
      <w:r w:rsidR="008012FE">
        <w:t xml:space="preserve">u kvalifikací, případně i tzv. </w:t>
      </w:r>
      <w:r w:rsidR="008012FE" w:rsidRPr="00D97AD9">
        <w:rPr>
          <w:rFonts w:eastAsia="Times New Roman"/>
          <w:szCs w:val="22"/>
        </w:rPr>
        <w:t>„</w:t>
      </w:r>
      <w:r w:rsidR="00D062B2" w:rsidRPr="00D97AD9">
        <w:t>čisté" rekvalifikace.</w:t>
      </w:r>
    </w:p>
    <w:p w:rsidR="00AA2A57" w:rsidRPr="007D0536" w:rsidRDefault="00AA2A57" w:rsidP="002352AC">
      <w:pPr>
        <w:pStyle w:val="Nadpis2"/>
      </w:pPr>
      <w:bookmarkStart w:id="54" w:name="_Toc490228392"/>
      <w:bookmarkStart w:id="55" w:name="_Toc490228459"/>
      <w:bookmarkStart w:id="56" w:name="_Toc491355964"/>
      <w:r w:rsidRPr="00154CB0">
        <w:t xml:space="preserve">Podpora rozvoje dalších systémových prvků </w:t>
      </w:r>
      <w:r w:rsidR="00F478D6" w:rsidRPr="00154CB0">
        <w:t>dalšího vzdělávání</w:t>
      </w:r>
      <w:bookmarkEnd w:id="54"/>
      <w:bookmarkEnd w:id="55"/>
      <w:bookmarkEnd w:id="56"/>
    </w:p>
    <w:p w:rsidR="00411EFE" w:rsidRPr="007B1E57" w:rsidRDefault="00411EFE" w:rsidP="007B1E57">
      <w:pPr>
        <w:pStyle w:val="NOPil2"/>
        <w:rPr>
          <w:b w:val="0"/>
          <w:i/>
        </w:rPr>
      </w:pPr>
      <w:r w:rsidRPr="007D0536">
        <w:t>Návrh prvků nefinanční stimulace poptávky po DV</w:t>
      </w:r>
      <w:r w:rsidR="00C9600A">
        <w:t>.</w:t>
      </w:r>
      <w:r w:rsidRPr="007D0536">
        <w:t xml:space="preserve"> </w:t>
      </w:r>
      <w:r w:rsidRPr="007B1E57">
        <w:rPr>
          <w:b w:val="0"/>
          <w:i/>
        </w:rPr>
        <w:t>Termín</w:t>
      </w:r>
      <w:r w:rsidR="002352AC">
        <w:rPr>
          <w:b w:val="0"/>
          <w:i/>
        </w:rPr>
        <w:t>:</w:t>
      </w:r>
      <w:r w:rsidRPr="007B1E57">
        <w:rPr>
          <w:b w:val="0"/>
          <w:i/>
        </w:rPr>
        <w:t xml:space="preserve"> 2017-2018, gestor</w:t>
      </w:r>
      <w:r w:rsidR="008C1397" w:rsidRPr="007B1E57">
        <w:rPr>
          <w:b w:val="0"/>
          <w:i/>
        </w:rPr>
        <w:t>:</w:t>
      </w:r>
      <w:r w:rsidRPr="007B1E57">
        <w:rPr>
          <w:b w:val="0"/>
          <w:i/>
        </w:rPr>
        <w:t xml:space="preserve"> </w:t>
      </w:r>
      <w:r w:rsidR="00EA266D" w:rsidRPr="007B1E57">
        <w:rPr>
          <w:b w:val="0"/>
          <w:i/>
        </w:rPr>
        <w:t>MPSV/</w:t>
      </w:r>
      <w:r w:rsidRPr="007B1E57">
        <w:rPr>
          <w:b w:val="0"/>
          <w:i/>
        </w:rPr>
        <w:t xml:space="preserve">MŠMT, </w:t>
      </w:r>
      <w:proofErr w:type="spellStart"/>
      <w:r w:rsidRPr="007B1E57">
        <w:rPr>
          <w:b w:val="0"/>
          <w:i/>
        </w:rPr>
        <w:t>spolugestor</w:t>
      </w:r>
      <w:proofErr w:type="spellEnd"/>
      <w:r w:rsidR="008C1397" w:rsidRPr="007B1E57">
        <w:rPr>
          <w:b w:val="0"/>
          <w:i/>
        </w:rPr>
        <w:t>:</w:t>
      </w:r>
      <w:r w:rsidRPr="007B1E57">
        <w:rPr>
          <w:b w:val="0"/>
          <w:i/>
        </w:rPr>
        <w:t xml:space="preserve"> MF, TPZ. </w:t>
      </w:r>
    </w:p>
    <w:p w:rsidR="00411EFE" w:rsidRPr="007B1E57" w:rsidRDefault="00411EFE" w:rsidP="00411EFE">
      <w:r>
        <w:t>Z</w:t>
      </w:r>
      <w:r w:rsidRPr="007D0536">
        <w:t xml:space="preserve">pracování analýzy možností zvyšujících </w:t>
      </w:r>
      <w:r w:rsidRPr="00D97AD9">
        <w:t xml:space="preserve">individuální poptávku po dalším vzdělávání všech osob bez rozdílu typu pracovní aktivity, </w:t>
      </w:r>
      <w:r w:rsidR="00AE36FF">
        <w:t>zejména</w:t>
      </w:r>
      <w:r w:rsidRPr="00D97AD9">
        <w:t xml:space="preserve"> </w:t>
      </w:r>
      <w:proofErr w:type="spellStart"/>
      <w:r w:rsidRPr="00D97AD9">
        <w:t>sebezaměstnaných</w:t>
      </w:r>
      <w:proofErr w:type="spellEnd"/>
      <w:r w:rsidRPr="00D97AD9">
        <w:t xml:space="preserve"> (jako je </w:t>
      </w:r>
      <w:r w:rsidR="00AE36FF">
        <w:t>například</w:t>
      </w:r>
      <w:r w:rsidRPr="00D97AD9">
        <w:t xml:space="preserve"> využívání volna/dovolené na vzdělávání, vouchery na vzdělávání, daňové úlevy apod.).</w:t>
      </w:r>
    </w:p>
    <w:p w:rsidR="00411EFE" w:rsidRPr="00CB4CA5" w:rsidRDefault="00411EFE" w:rsidP="007B1E57">
      <w:pPr>
        <w:pStyle w:val="NOPil2"/>
      </w:pPr>
      <w:r w:rsidRPr="00CB4CA5">
        <w:t>Systémový přístup, partnerství</w:t>
      </w:r>
      <w:r w:rsidR="00C9600A">
        <w:t>.</w:t>
      </w:r>
      <w:r w:rsidRPr="00CB4CA5">
        <w:t xml:space="preserve"> </w:t>
      </w:r>
      <w:r w:rsidRPr="007B1E57">
        <w:rPr>
          <w:b w:val="0"/>
          <w:i/>
        </w:rPr>
        <w:t>Termín: 2017-201</w:t>
      </w:r>
      <w:r w:rsidR="008C1397" w:rsidRPr="007B1E57">
        <w:rPr>
          <w:b w:val="0"/>
          <w:i/>
        </w:rPr>
        <w:t xml:space="preserve">9, gestor: </w:t>
      </w:r>
      <w:r w:rsidR="00CF76DF" w:rsidRPr="007B1E57">
        <w:rPr>
          <w:b w:val="0"/>
          <w:i/>
        </w:rPr>
        <w:t>MŠMT,</w:t>
      </w:r>
      <w:r w:rsidR="008C1397" w:rsidRPr="007B1E57">
        <w:rPr>
          <w:b w:val="0"/>
          <w:i/>
        </w:rPr>
        <w:t xml:space="preserve"> </w:t>
      </w:r>
      <w:proofErr w:type="spellStart"/>
      <w:r w:rsidR="00CF76DF" w:rsidRPr="007B1E57">
        <w:rPr>
          <w:b w:val="0"/>
          <w:i/>
        </w:rPr>
        <w:t>spolugestor</w:t>
      </w:r>
      <w:proofErr w:type="spellEnd"/>
      <w:r w:rsidR="008C1397" w:rsidRPr="007B1E57">
        <w:rPr>
          <w:b w:val="0"/>
          <w:i/>
        </w:rPr>
        <w:t>:</w:t>
      </w:r>
      <w:r w:rsidR="00CF76DF" w:rsidRPr="007B1E57">
        <w:rPr>
          <w:b w:val="0"/>
          <w:i/>
        </w:rPr>
        <w:t xml:space="preserve"> MPSV, NÚV, </w:t>
      </w:r>
      <w:r w:rsidR="00C9600A" w:rsidRPr="007B1E57">
        <w:rPr>
          <w:b w:val="0"/>
          <w:i/>
        </w:rPr>
        <w:t xml:space="preserve"> FDV, GŘÚP, TPZ.</w:t>
      </w:r>
      <w:r w:rsidRPr="00CB4CA5">
        <w:t xml:space="preserve"> </w:t>
      </w:r>
    </w:p>
    <w:p w:rsidR="00411EFE" w:rsidRPr="00D97AD9" w:rsidRDefault="007B1E57" w:rsidP="007B1E57">
      <w:pPr>
        <w:pStyle w:val="Odrka-Normln"/>
      </w:pPr>
      <w:r>
        <w:t>K</w:t>
      </w:r>
      <w:r w:rsidR="00411EFE" w:rsidRPr="00D97AD9">
        <w:t>oordinace aktivit v rámci počátečního a dalšího vzdělávání z hlediska systémového nastavení, aby obě oblasti tvořily v rámci konceptu celoživotního učení provázané celky;</w:t>
      </w:r>
    </w:p>
    <w:p w:rsidR="00411EFE" w:rsidRPr="00D97AD9" w:rsidRDefault="007B1E57" w:rsidP="007B1E57">
      <w:pPr>
        <w:pStyle w:val="Odrka-Normln"/>
      </w:pPr>
      <w:r>
        <w:t>P</w:t>
      </w:r>
      <w:r w:rsidR="00411EFE" w:rsidRPr="00D97AD9">
        <w:t>odpora zvýšení atraktivity a zkvalitnění technického vzdělávání;</w:t>
      </w:r>
    </w:p>
    <w:p w:rsidR="00411EFE" w:rsidRPr="00D97AD9" w:rsidRDefault="007B1E57" w:rsidP="007B1E57">
      <w:pPr>
        <w:pStyle w:val="Odrka-Normln"/>
      </w:pPr>
      <w:r>
        <w:t>M</w:t>
      </w:r>
      <w:r w:rsidR="00411EFE" w:rsidRPr="00D97AD9">
        <w:t>eziresortní spolupráce v oblasti dalšího vzdělávání a zapojení sociálních partnerů;</w:t>
      </w:r>
    </w:p>
    <w:p w:rsidR="00411EFE" w:rsidRPr="00D97AD9" w:rsidRDefault="007B1E57" w:rsidP="007B1E57">
      <w:pPr>
        <w:pStyle w:val="Odrka-Normln"/>
      </w:pPr>
      <w:r>
        <w:t>O</w:t>
      </w:r>
      <w:r w:rsidR="00411EFE" w:rsidRPr="00D97AD9">
        <w:t>dstraňování administrativních a jiných bariér rozvoje dalšího vzdělávání; vytváření transparentního a stabilního prostředí, zajištění efektivní legislativy a procesů standardizace pro oblast dalšího vzdělávání;</w:t>
      </w:r>
    </w:p>
    <w:p w:rsidR="00411EFE" w:rsidRPr="00D97AD9" w:rsidRDefault="007B1E57" w:rsidP="007B1E57">
      <w:pPr>
        <w:pStyle w:val="Odrka-Normln"/>
      </w:pPr>
      <w:r>
        <w:t>D</w:t>
      </w:r>
      <w:r w:rsidR="00411EFE" w:rsidRPr="00D97AD9">
        <w:t>alší rozvoj systému uznávání výsledků předchozího učení;</w:t>
      </w:r>
    </w:p>
    <w:p w:rsidR="00AA2A57" w:rsidRPr="007B1E57" w:rsidRDefault="007B1E57" w:rsidP="007B1E57">
      <w:pPr>
        <w:pStyle w:val="Odrka-Normln"/>
      </w:pPr>
      <w:r>
        <w:t>N</w:t>
      </w:r>
      <w:r w:rsidR="00411EFE" w:rsidRPr="00D97AD9">
        <w:t>ávrh a realizace opatření zaměřených na zvýšení otevřenosti vzdělávacích cest a zajištění prostupnost</w:t>
      </w:r>
      <w:r w:rsidR="00B24748">
        <w:t>i</w:t>
      </w:r>
      <w:r w:rsidR="00411EFE" w:rsidRPr="00D97AD9">
        <w:t xml:space="preserve"> po</w:t>
      </w:r>
      <w:r>
        <w:t>čátečního a dalšího vzdělávání.</w:t>
      </w:r>
    </w:p>
    <w:p w:rsidR="00DF0189" w:rsidRPr="00F333A8" w:rsidRDefault="00AA2A57" w:rsidP="002352AC">
      <w:pPr>
        <w:pStyle w:val="Nadpis2"/>
      </w:pPr>
      <w:bookmarkStart w:id="57" w:name="_Toc490228393"/>
      <w:bookmarkStart w:id="58" w:name="_Toc490228460"/>
      <w:bookmarkStart w:id="59" w:name="_Toc491355965"/>
      <w:r w:rsidRPr="00154CB0">
        <w:t>Vytváření platforem – podpora pro tripartitní dialog o dalším vzděl</w:t>
      </w:r>
      <w:r w:rsidR="00BD1408" w:rsidRPr="00154CB0">
        <w:t>ávání na národní i regionální úrovni</w:t>
      </w:r>
      <w:bookmarkEnd w:id="57"/>
      <w:bookmarkEnd w:id="58"/>
      <w:bookmarkEnd w:id="59"/>
    </w:p>
    <w:p w:rsidR="00AA2A57" w:rsidRPr="007B1E57" w:rsidRDefault="00AA2A57" w:rsidP="007B1E57">
      <w:pPr>
        <w:pStyle w:val="NOPil2"/>
      </w:pPr>
      <w:r w:rsidRPr="007B1E57">
        <w:rPr>
          <w:rStyle w:val="NOPil2Char"/>
          <w:b/>
          <w:lang w:eastAsia="en-US"/>
        </w:rPr>
        <w:t>Tripartitní dialog o vhodné podpoře dalšího vzdělávání</w:t>
      </w:r>
      <w:r w:rsidR="00C9600A" w:rsidRPr="007B1E57">
        <w:rPr>
          <w:rStyle w:val="NOPil2Char"/>
          <w:b/>
          <w:lang w:eastAsia="en-US"/>
        </w:rPr>
        <w:t>.</w:t>
      </w:r>
      <w:r w:rsidRPr="007B1E57">
        <w:rPr>
          <w:rStyle w:val="NOPil2Char"/>
          <w:b/>
          <w:lang w:eastAsia="en-US"/>
        </w:rPr>
        <w:t xml:space="preserve"> </w:t>
      </w:r>
      <w:r w:rsidRPr="007B1E57">
        <w:rPr>
          <w:rStyle w:val="NOPil2Char"/>
          <w:i/>
          <w:lang w:eastAsia="en-US"/>
        </w:rPr>
        <w:t>Termín</w:t>
      </w:r>
      <w:r w:rsidR="007B1E57">
        <w:rPr>
          <w:rStyle w:val="NOPil2Char"/>
          <w:i/>
          <w:lang w:eastAsia="en-US"/>
        </w:rPr>
        <w:t>:</w:t>
      </w:r>
      <w:r w:rsidRPr="007B1E57">
        <w:rPr>
          <w:rStyle w:val="NOPil2Char"/>
          <w:i/>
          <w:lang w:eastAsia="en-US"/>
        </w:rPr>
        <w:t xml:space="preserve"> 2017-2018, gestor MPSV, </w:t>
      </w:r>
      <w:proofErr w:type="spellStart"/>
      <w:r w:rsidRPr="007B1E57">
        <w:rPr>
          <w:rStyle w:val="NOPil2Char"/>
          <w:i/>
          <w:lang w:eastAsia="en-US"/>
        </w:rPr>
        <w:t>spolugestor</w:t>
      </w:r>
      <w:proofErr w:type="spellEnd"/>
      <w:r w:rsidRPr="007B1E57">
        <w:rPr>
          <w:rStyle w:val="NOPil2Char"/>
          <w:i/>
          <w:lang w:eastAsia="en-US"/>
        </w:rPr>
        <w:t xml:space="preserve"> MŠMT, odbory, zaměstnavatelé, TPZ</w:t>
      </w:r>
      <w:r w:rsidR="00C9600A" w:rsidRPr="007B1E57">
        <w:rPr>
          <w:rStyle w:val="NOPil2Char"/>
          <w:i/>
          <w:lang w:eastAsia="en-US"/>
        </w:rPr>
        <w:t>.</w:t>
      </w:r>
    </w:p>
    <w:p w:rsidR="00AA2A57" w:rsidRPr="007D0536" w:rsidRDefault="007B1E57" w:rsidP="007B1E57">
      <w:pPr>
        <w:pStyle w:val="Odrka-Normln"/>
      </w:pPr>
      <w:r>
        <w:t>P</w:t>
      </w:r>
      <w:r w:rsidR="00AA2A57" w:rsidRPr="007D0536">
        <w:t>odpora rozvoje tripartitního dialogu k podpoře dalšího vzdělávání nejen na centrální, ale i na regionální úrovni a vytvoření příslušných platforem na tripartitní bázi;</w:t>
      </w:r>
    </w:p>
    <w:p w:rsidR="00AA2A57" w:rsidRPr="007D0536" w:rsidRDefault="007B1E57" w:rsidP="007B1E57">
      <w:pPr>
        <w:pStyle w:val="Odrka-Normln"/>
      </w:pPr>
      <w:r>
        <w:t>V</w:t>
      </w:r>
      <w:r w:rsidR="00AA2A57" w:rsidRPr="007D0536">
        <w:t xml:space="preserve"> úzké kooperaci se zástupci odborů a zaměstnavatelů formulovat vhodné postupy a pobídky k zavádění alternativních forem podnikového vzdělávání k zajištění udržitelné zaměstnanosti (</w:t>
      </w:r>
      <w:r w:rsidR="00AE36FF">
        <w:t>například</w:t>
      </w:r>
      <w:r w:rsidR="00AA2A57" w:rsidRPr="007D0536">
        <w:t xml:space="preserve"> rotace úkolů zaměstnanců, využívání IT podporovaného vzdělávání - e-</w:t>
      </w:r>
      <w:proofErr w:type="spellStart"/>
      <w:r w:rsidR="00AA2A57" w:rsidRPr="007D0536">
        <w:t>learning</w:t>
      </w:r>
      <w:proofErr w:type="spellEnd"/>
      <w:r w:rsidR="00AA2A57" w:rsidRPr="007D0536">
        <w:t>, MOOC, zavádění podnikových akademií, vytváření moderních programů dalšího vzdělávání ve spolupráci s univerzitami a institucemi dalšího vzdělávání, apod.);</w:t>
      </w:r>
    </w:p>
    <w:p w:rsidR="00CB4CA5" w:rsidRPr="007D0536" w:rsidRDefault="007B1E57" w:rsidP="007B1E57">
      <w:pPr>
        <w:pStyle w:val="Odrka-Normln"/>
      </w:pPr>
      <w:r>
        <w:t>P</w:t>
      </w:r>
      <w:r w:rsidR="00DA0682">
        <w:t>odpora a zavádění dalšího vzdělávání</w:t>
      </w:r>
      <w:r w:rsidR="00DA0682" w:rsidRPr="007D0536">
        <w:t xml:space="preserve"> do korporátní kultury (</w:t>
      </w:r>
      <w:r w:rsidR="00AE36FF">
        <w:t>například</w:t>
      </w:r>
      <w:r w:rsidR="00DA0682" w:rsidRPr="007D0536">
        <w:t xml:space="preserve"> zahrnutí konkrétních podmínek dalšího vzdělávání do kolektivních smluv apod.).</w:t>
      </w:r>
    </w:p>
    <w:p w:rsidR="00AA2A57" w:rsidRPr="00CB4CA5" w:rsidRDefault="00AA2A57" w:rsidP="007B1E57">
      <w:pPr>
        <w:pStyle w:val="NOPil2"/>
      </w:pPr>
      <w:r w:rsidRPr="00C46782">
        <w:lastRenderedPageBreak/>
        <w:t>Propojování regionálních aktérů v oblasti vzdělávání</w:t>
      </w:r>
      <w:r w:rsidR="00C9600A">
        <w:t>.</w:t>
      </w:r>
      <w:r w:rsidRPr="00C46782">
        <w:t xml:space="preserve"> </w:t>
      </w:r>
      <w:r w:rsidR="001E71AB" w:rsidRPr="007B1E57">
        <w:rPr>
          <w:b w:val="0"/>
          <w:i/>
        </w:rPr>
        <w:t>Termín: 2017-2018 gestor</w:t>
      </w:r>
      <w:r w:rsidR="007B1E57" w:rsidRPr="007B1E57">
        <w:rPr>
          <w:b w:val="0"/>
          <w:i/>
        </w:rPr>
        <w:t xml:space="preserve"> </w:t>
      </w:r>
      <w:r w:rsidR="001E71AB" w:rsidRPr="007B1E57">
        <w:rPr>
          <w:b w:val="0"/>
          <w:i/>
        </w:rPr>
        <w:t xml:space="preserve">MPSV, </w:t>
      </w:r>
      <w:proofErr w:type="spellStart"/>
      <w:r w:rsidR="001E71AB" w:rsidRPr="007B1E57">
        <w:rPr>
          <w:b w:val="0"/>
          <w:i/>
        </w:rPr>
        <w:t>spolugestor</w:t>
      </w:r>
      <w:proofErr w:type="spellEnd"/>
      <w:r w:rsidR="001E71AB" w:rsidRPr="007B1E57">
        <w:rPr>
          <w:b w:val="0"/>
          <w:i/>
        </w:rPr>
        <w:t xml:space="preserve"> MŠMT, GŘ ÚP, </w:t>
      </w:r>
      <w:r w:rsidR="00C9600A" w:rsidRPr="007B1E57">
        <w:rPr>
          <w:b w:val="0"/>
          <w:i/>
        </w:rPr>
        <w:t>TPZ, KÚ, odbory, zaměstnavatelé.</w:t>
      </w:r>
    </w:p>
    <w:p w:rsidR="00AA2A57" w:rsidRPr="007D0536" w:rsidRDefault="007B1E57" w:rsidP="007B1E57">
      <w:pPr>
        <w:pStyle w:val="Odrka-Normln"/>
      </w:pPr>
      <w:r>
        <w:t>P</w:t>
      </w:r>
      <w:r w:rsidR="00AA2A57" w:rsidRPr="007D0536">
        <w:t>ropojování škol se zaměstnavatelskou a podnikatelskou sférou v regionech;</w:t>
      </w:r>
    </w:p>
    <w:p w:rsidR="00AA2A57" w:rsidRPr="007D0536" w:rsidRDefault="007B1E57" w:rsidP="007B1E57">
      <w:pPr>
        <w:pStyle w:val="Odrka-Normln"/>
      </w:pPr>
      <w:r>
        <w:t>V</w:t>
      </w:r>
      <w:r w:rsidR="00AA2A57" w:rsidRPr="007D0536">
        <w:t>ytváření regionálních koncepčních materiálů o aktuálních potřebách zaměstnavatelů;</w:t>
      </w:r>
    </w:p>
    <w:p w:rsidR="001134C2" w:rsidRPr="001134C2" w:rsidRDefault="007B1E57" w:rsidP="007B1E57">
      <w:pPr>
        <w:pStyle w:val="Odrka-Normln"/>
      </w:pPr>
      <w:r>
        <w:t>R</w:t>
      </w:r>
      <w:r w:rsidR="00AA2A57" w:rsidRPr="007D0536">
        <w:t xml:space="preserve">ozvoj platforem spolupráce a setkávání absolventů rekvalifikací se zástupci podniků nebo experty v oboru, formou </w:t>
      </w:r>
      <w:r w:rsidR="00AE36FF">
        <w:t>například</w:t>
      </w:r>
      <w:r w:rsidR="00AA2A57" w:rsidRPr="007D0536">
        <w:t xml:space="preserve"> workshopů, exkurzí, stáží, a dalších pro obě strany výhodných akcí.</w:t>
      </w:r>
    </w:p>
    <w:p w:rsidR="00AA2A57" w:rsidRDefault="00AA2A57" w:rsidP="007B1E57">
      <w:pPr>
        <w:pStyle w:val="Nadpis3"/>
      </w:pPr>
      <w:bookmarkStart w:id="60" w:name="_Toc491355966"/>
      <w:r w:rsidRPr="00DF0189">
        <w:t>Nastavení podmínek na trhu práce v souvislosti s technologickými změnami</w:t>
      </w:r>
      <w:bookmarkEnd w:id="60"/>
    </w:p>
    <w:p w:rsidR="001134C2" w:rsidRPr="007B1E57" w:rsidRDefault="001134C2" w:rsidP="007B1E57">
      <w:pPr>
        <w:pStyle w:val="Nadpis2"/>
      </w:pPr>
      <w:bookmarkStart w:id="61" w:name="_Toc490228395"/>
      <w:bookmarkStart w:id="62" w:name="_Toc490228462"/>
      <w:bookmarkStart w:id="63" w:name="_Toc491355967"/>
      <w:r w:rsidRPr="00D97AD9">
        <w:t>Metodický přístup ke sledování dopadů technologických změn na trh práce</w:t>
      </w:r>
      <w:bookmarkEnd w:id="61"/>
      <w:bookmarkEnd w:id="62"/>
      <w:bookmarkEnd w:id="63"/>
    </w:p>
    <w:p w:rsidR="001134C2" w:rsidRDefault="001134C2" w:rsidP="007B1E57">
      <w:pPr>
        <w:pStyle w:val="Plnovanopaten"/>
      </w:pPr>
      <w:r w:rsidRPr="00D97AD9">
        <w:t>Plánovaná opatření</w:t>
      </w:r>
    </w:p>
    <w:p w:rsidR="001134C2" w:rsidRPr="00154CB0" w:rsidRDefault="001134C2" w:rsidP="00154CB0">
      <w:pPr>
        <w:pStyle w:val="NOPil2"/>
        <w:rPr>
          <w:b w:val="0"/>
          <w:i/>
        </w:rPr>
      </w:pPr>
      <w:r w:rsidRPr="00154CB0">
        <w:t>Pravidelné zpracování sektorových a tematických predikcí a jejich zpřesňování</w:t>
      </w:r>
      <w:r w:rsidR="00154CB0">
        <w:t xml:space="preserve"> s cílem </w:t>
      </w:r>
      <w:r w:rsidR="00154CB0" w:rsidRPr="00154CB0">
        <w:t xml:space="preserve">odhadovat možný vývoj přinášející ohrožení a příležitosti vzniku nových pracovních příležitostí. </w:t>
      </w:r>
      <w:r w:rsidR="00154CB0" w:rsidRPr="00154CB0">
        <w:rPr>
          <w:b w:val="0"/>
          <w:i/>
        </w:rPr>
        <w:t xml:space="preserve">Termín: 2017-2019, gestor: MPSV, </w:t>
      </w:r>
      <w:proofErr w:type="spellStart"/>
      <w:r w:rsidR="00154CB0" w:rsidRPr="00154CB0">
        <w:rPr>
          <w:b w:val="0"/>
          <w:i/>
        </w:rPr>
        <w:t>spolugestor</w:t>
      </w:r>
      <w:proofErr w:type="spellEnd"/>
      <w:r w:rsidR="00154CB0" w:rsidRPr="00154CB0">
        <w:rPr>
          <w:b w:val="0"/>
          <w:i/>
        </w:rPr>
        <w:t>: NVF, VÚPSV, Teritoriální pakty zaměstnanosti (TPZ).</w:t>
      </w:r>
    </w:p>
    <w:p w:rsidR="001134C2" w:rsidRPr="00D97AD9" w:rsidRDefault="00154CB0" w:rsidP="00154CB0">
      <w:pPr>
        <w:pStyle w:val="Odrka-Normln"/>
      </w:pPr>
      <w:r>
        <w:t>P</w:t>
      </w:r>
      <w:r w:rsidR="001134C2" w:rsidRPr="00D97AD9">
        <w:t>růběžné mapování probíhajících a očekávaných trendů na trhu práce v jednotlivých sektorech;</w:t>
      </w:r>
    </w:p>
    <w:p w:rsidR="001134C2" w:rsidRPr="00D97AD9" w:rsidRDefault="00154CB0" w:rsidP="00154CB0">
      <w:pPr>
        <w:pStyle w:val="Odrka-Normln"/>
      </w:pPr>
      <w:r>
        <w:t>Z</w:t>
      </w:r>
      <w:r w:rsidR="001134C2" w:rsidRPr="00D97AD9">
        <w:t>pracování predikcí ve vybraných prioritních sektorech či tematických oblastech;</w:t>
      </w:r>
    </w:p>
    <w:p w:rsidR="001134C2" w:rsidRPr="00D97AD9" w:rsidRDefault="00154CB0" w:rsidP="00154CB0">
      <w:pPr>
        <w:pStyle w:val="Odrka-Normln"/>
      </w:pPr>
      <w:r>
        <w:t>V</w:t>
      </w:r>
      <w:r w:rsidR="001134C2" w:rsidRPr="00D97AD9">
        <w:t>ytvoření metodiky pro ověřování a vyhodnocování podmínek realizace projekcí budoucích trendů v podmínkách české ekonomiky v jednotlivých sektorech;</w:t>
      </w:r>
    </w:p>
    <w:p w:rsidR="001134C2" w:rsidRPr="00154CB0" w:rsidRDefault="00154CB0" w:rsidP="001134C2">
      <w:pPr>
        <w:pStyle w:val="Odrka-Normln"/>
      </w:pPr>
      <w:r>
        <w:t>Z</w:t>
      </w:r>
      <w:r w:rsidR="001134C2" w:rsidRPr="00D97AD9">
        <w:t>pracování metodiky vytv</w:t>
      </w:r>
      <w:r>
        <w:t>áření predikcí trhu práce v ČR.</w:t>
      </w:r>
    </w:p>
    <w:p w:rsidR="00154CB0" w:rsidRPr="00154CB0" w:rsidRDefault="001134C2" w:rsidP="00154CB0">
      <w:pPr>
        <w:pStyle w:val="NOPil2"/>
        <w:rPr>
          <w:b w:val="0"/>
          <w:i/>
        </w:rPr>
      </w:pPr>
      <w:r w:rsidRPr="00154CB0">
        <w:t>Vytváření podmínek pro zapojení zástupců zaměstnavatelů a zaměstnanců do</w:t>
      </w:r>
      <w:r w:rsidR="00154CB0" w:rsidRPr="00154CB0">
        <w:t xml:space="preserve"> procesu posuzování dopadů technologických trendů na změny ve struktuře profesí a jejich obsahu. </w:t>
      </w:r>
      <w:r w:rsidR="00154CB0" w:rsidRPr="00154CB0">
        <w:rPr>
          <w:b w:val="0"/>
          <w:i/>
        </w:rPr>
        <w:t xml:space="preserve">Termín: 2017-2019, gestor: MPSV, </w:t>
      </w:r>
      <w:proofErr w:type="spellStart"/>
      <w:r w:rsidR="00154CB0" w:rsidRPr="00154CB0">
        <w:rPr>
          <w:b w:val="0"/>
          <w:i/>
        </w:rPr>
        <w:t>spolugestor</w:t>
      </w:r>
      <w:proofErr w:type="spellEnd"/>
      <w:r w:rsidR="00154CB0" w:rsidRPr="00154CB0">
        <w:rPr>
          <w:b w:val="0"/>
          <w:i/>
        </w:rPr>
        <w:t>: NVF, VÚPSV, TPZ.</w:t>
      </w:r>
    </w:p>
    <w:p w:rsidR="001134C2" w:rsidRPr="00D97AD9" w:rsidRDefault="00154CB0" w:rsidP="00154CB0">
      <w:pPr>
        <w:pStyle w:val="Odrka-Normln"/>
      </w:pPr>
      <w:r>
        <w:t>V</w:t>
      </w:r>
      <w:r w:rsidR="001134C2" w:rsidRPr="00D97AD9">
        <w:t xml:space="preserve">yužití kvalitativních a kvantitativních sociologických metod pro účely zjištění názorů a postojů aktérů trhu práce v otázce posuzování dopadů technologických trendů do změn ve struktuře profesí a jejich obsahu; </w:t>
      </w:r>
    </w:p>
    <w:p w:rsidR="001134C2" w:rsidRPr="00C76504" w:rsidRDefault="00154CB0" w:rsidP="00154CB0">
      <w:pPr>
        <w:pStyle w:val="Odrka-Normln"/>
      </w:pPr>
      <w:r>
        <w:t>O</w:t>
      </w:r>
      <w:r w:rsidR="001134C2" w:rsidRPr="00D97AD9">
        <w:t>rganizace kulatých stolů,</w:t>
      </w:r>
      <w:r w:rsidR="001134C2">
        <w:t xml:space="preserve"> </w:t>
      </w:r>
      <w:proofErr w:type="spellStart"/>
      <w:r w:rsidR="001134C2" w:rsidRPr="00D97AD9">
        <w:t>fokusních</w:t>
      </w:r>
      <w:proofErr w:type="spellEnd"/>
      <w:r w:rsidR="001134C2" w:rsidRPr="00D97AD9">
        <w:t xml:space="preserve"> skupin a workshopů se zástupci zaměstnavatelů a zaměstnanců.</w:t>
      </w:r>
    </w:p>
    <w:p w:rsidR="001134C2" w:rsidRPr="00154CB0" w:rsidRDefault="001134C2" w:rsidP="00154CB0">
      <w:pPr>
        <w:pStyle w:val="NOPil2"/>
        <w:rPr>
          <w:b w:val="0"/>
        </w:rPr>
      </w:pPr>
      <w:r w:rsidRPr="007424FB">
        <w:t>Zohlednění nových požadavků trhu práce spojených s rozvojem digitálních technologií v Národní soustavě povolání a Centrální databázi kompetencí</w:t>
      </w:r>
      <w:r>
        <w:t>.</w:t>
      </w:r>
      <w:r w:rsidRPr="007424FB">
        <w:t xml:space="preserve"> </w:t>
      </w:r>
      <w:r w:rsidRPr="00154CB0">
        <w:rPr>
          <w:b w:val="0"/>
          <w:i/>
        </w:rPr>
        <w:t xml:space="preserve">Termín: 2017-2019 gestor: MPSV, </w:t>
      </w:r>
      <w:proofErr w:type="spellStart"/>
      <w:r w:rsidRPr="00154CB0">
        <w:rPr>
          <w:b w:val="0"/>
          <w:i/>
        </w:rPr>
        <w:t>spolugestor</w:t>
      </w:r>
      <w:proofErr w:type="spellEnd"/>
      <w:r w:rsidRPr="00154CB0">
        <w:rPr>
          <w:b w:val="0"/>
          <w:i/>
        </w:rPr>
        <w:t>: FDV.</w:t>
      </w:r>
    </w:p>
    <w:p w:rsidR="001134C2" w:rsidRPr="002352AC" w:rsidRDefault="00154CB0" w:rsidP="002352AC">
      <w:pPr>
        <w:pStyle w:val="Odrka-Normln"/>
      </w:pPr>
      <w:r w:rsidRPr="002352AC">
        <w:t>R</w:t>
      </w:r>
      <w:r w:rsidR="001134C2" w:rsidRPr="002352AC">
        <w:t xml:space="preserve">ozšíření Národní soustavy povolání o nové jednotky práce odpovídající nově vzniklým povoláním;  </w:t>
      </w:r>
    </w:p>
    <w:p w:rsidR="001134C2" w:rsidRPr="002352AC" w:rsidRDefault="002352AC" w:rsidP="002352AC">
      <w:pPr>
        <w:pStyle w:val="Odrka-Normln"/>
      </w:pPr>
      <w:r w:rsidRPr="002352AC">
        <w:t>A</w:t>
      </w:r>
      <w:r w:rsidR="001134C2" w:rsidRPr="002352AC">
        <w:t>ktualizace a revize jednotek práce reflektující technologický vývoj</w:t>
      </w:r>
    </w:p>
    <w:p w:rsidR="001134C2" w:rsidRPr="002352AC" w:rsidRDefault="002352AC" w:rsidP="002352AC">
      <w:pPr>
        <w:pStyle w:val="Odrka-Normln"/>
      </w:pPr>
      <w:r w:rsidRPr="002352AC">
        <w:t>S</w:t>
      </w:r>
      <w:r w:rsidR="001134C2" w:rsidRPr="002352AC">
        <w:t>pecifikace nových kompetencí v Centrální databázi kompetencí.</w:t>
      </w:r>
    </w:p>
    <w:p w:rsidR="001134C2" w:rsidRPr="00D97AD9" w:rsidRDefault="001134C2" w:rsidP="002352AC">
      <w:pPr>
        <w:pStyle w:val="Nadpis2"/>
      </w:pPr>
      <w:bookmarkStart w:id="64" w:name="_Toc490228396"/>
      <w:bookmarkStart w:id="65" w:name="_Toc490228463"/>
      <w:bookmarkStart w:id="66" w:name="_Toc491355968"/>
      <w:r w:rsidRPr="00D97AD9">
        <w:lastRenderedPageBreak/>
        <w:t>Systematická podpora adaptace trhu práce na technologické změny</w:t>
      </w:r>
      <w:bookmarkEnd w:id="64"/>
      <w:bookmarkEnd w:id="65"/>
      <w:bookmarkEnd w:id="66"/>
    </w:p>
    <w:p w:rsidR="002352AC" w:rsidRPr="002352AC" w:rsidRDefault="001134C2" w:rsidP="002352AC">
      <w:pPr>
        <w:pStyle w:val="NOPil2"/>
        <w:rPr>
          <w:b w:val="0"/>
          <w:i/>
        </w:rPr>
      </w:pPr>
      <w:r w:rsidRPr="002352AC">
        <w:t>Zabránění vzniku dlouhodobé nezaměstnanosti a vytváření mostů k</w:t>
      </w:r>
      <w:r w:rsidR="002352AC" w:rsidRPr="002352AC">
        <w:t> </w:t>
      </w:r>
      <w:r w:rsidRPr="002352AC">
        <w:t>novému</w:t>
      </w:r>
      <w:r w:rsidR="002352AC" w:rsidRPr="002352AC">
        <w:t xml:space="preserve"> uplatnění na trhu práce pro znevýhodněné skupiny. </w:t>
      </w:r>
      <w:r w:rsidR="002352AC" w:rsidRPr="002352AC">
        <w:rPr>
          <w:b w:val="0"/>
          <w:i/>
        </w:rPr>
        <w:t xml:space="preserve">Termín: 2017-2019 gestor: GŘ ÚP, </w:t>
      </w:r>
      <w:proofErr w:type="spellStart"/>
      <w:r w:rsidR="002352AC" w:rsidRPr="002352AC">
        <w:rPr>
          <w:b w:val="0"/>
          <w:i/>
        </w:rPr>
        <w:t>spolugestor</w:t>
      </w:r>
      <w:proofErr w:type="spellEnd"/>
      <w:r w:rsidR="002352AC" w:rsidRPr="002352AC">
        <w:rPr>
          <w:b w:val="0"/>
          <w:i/>
        </w:rPr>
        <w:t>: MPSV, TPZ.</w:t>
      </w:r>
    </w:p>
    <w:p w:rsidR="001134C2" w:rsidRPr="00D97AD9" w:rsidRDefault="002352AC" w:rsidP="002352AC">
      <w:pPr>
        <w:pStyle w:val="Odrka-Normln"/>
      </w:pPr>
      <w:r>
        <w:t>V</w:t>
      </w:r>
      <w:r w:rsidR="001134C2" w:rsidRPr="00D97AD9">
        <w:t xml:space="preserve">ytváření cílených programů umožňujících efektivní mix opatření podle potřeb klientů, včetně zvyšování jejich digitální gramotnosti (včasná identifikace dlouhodobě nezaměstnaných osob; zkvalitnění činnosti v oblasti kariérového poradenství a zprostředkování a zefektivnění spolupráce s podniky, </w:t>
      </w:r>
      <w:r w:rsidR="00AE36FF">
        <w:t>včetně</w:t>
      </w:r>
      <w:r w:rsidR="001134C2" w:rsidRPr="00D97AD9">
        <w:t xml:space="preserve"> sociálních podniků);</w:t>
      </w:r>
    </w:p>
    <w:p w:rsidR="001134C2" w:rsidRDefault="002352AC" w:rsidP="002352AC">
      <w:pPr>
        <w:pStyle w:val="Odrka-Normln"/>
      </w:pPr>
      <w:r>
        <w:t>P</w:t>
      </w:r>
      <w:r w:rsidR="001134C2" w:rsidRPr="00D97AD9">
        <w:t>odpora vytváření nových pracovních příležitostí ve službách (především v oblasti pomáhajících profesí).</w:t>
      </w:r>
    </w:p>
    <w:p w:rsidR="001134C2" w:rsidRPr="002352AC" w:rsidRDefault="001134C2" w:rsidP="002352AC">
      <w:pPr>
        <w:pStyle w:val="NOPil2"/>
        <w:rPr>
          <w:b w:val="0"/>
        </w:rPr>
      </w:pPr>
      <w:r w:rsidRPr="00C46782">
        <w:t xml:space="preserve">Podpora </w:t>
      </w:r>
      <w:proofErr w:type="spellStart"/>
      <w:r w:rsidRPr="00C46782">
        <w:t>sebezaměstnání</w:t>
      </w:r>
      <w:proofErr w:type="spellEnd"/>
      <w:r w:rsidRPr="00C46782">
        <w:t xml:space="preserve"> a startu malého podnikání</w:t>
      </w:r>
      <w:r>
        <w:t>.</w:t>
      </w:r>
      <w:r w:rsidRPr="00C46782">
        <w:t xml:space="preserve"> </w:t>
      </w:r>
      <w:r w:rsidRPr="002352AC">
        <w:rPr>
          <w:b w:val="0"/>
          <w:i/>
        </w:rPr>
        <w:t>Termín: 2017-2018, gestor:</w:t>
      </w:r>
      <w:r w:rsidR="002352AC" w:rsidRPr="002352AC">
        <w:rPr>
          <w:b w:val="0"/>
          <w:i/>
        </w:rPr>
        <w:t xml:space="preserve"> MPSV/MPO, </w:t>
      </w:r>
      <w:proofErr w:type="spellStart"/>
      <w:r w:rsidR="002352AC" w:rsidRPr="002352AC">
        <w:rPr>
          <w:b w:val="0"/>
          <w:i/>
        </w:rPr>
        <w:t>spolugestor</w:t>
      </w:r>
      <w:proofErr w:type="spellEnd"/>
      <w:r w:rsidR="002352AC" w:rsidRPr="002352AC">
        <w:rPr>
          <w:b w:val="0"/>
          <w:i/>
        </w:rPr>
        <w:t>: GŘ ÚP, MF, TPZ.</w:t>
      </w:r>
    </w:p>
    <w:p w:rsidR="001134C2" w:rsidRPr="00D97AD9" w:rsidRDefault="002352AC" w:rsidP="002352AC">
      <w:pPr>
        <w:pStyle w:val="Odrka-Normln"/>
      </w:pPr>
      <w:r>
        <w:t>Z</w:t>
      </w:r>
      <w:r w:rsidR="001134C2" w:rsidRPr="00D97AD9">
        <w:t xml:space="preserve">výšení podpory startu malého podnikání a </w:t>
      </w:r>
      <w:proofErr w:type="spellStart"/>
      <w:r w:rsidR="001134C2" w:rsidRPr="00D97AD9">
        <w:t>sebezaměstnání</w:t>
      </w:r>
      <w:proofErr w:type="spellEnd"/>
      <w:r w:rsidR="001134C2" w:rsidRPr="00D97AD9">
        <w:t>;</w:t>
      </w:r>
    </w:p>
    <w:p w:rsidR="001134C2" w:rsidRPr="00D97AD9" w:rsidRDefault="002352AC" w:rsidP="002352AC">
      <w:pPr>
        <w:pStyle w:val="Odrka-Normln"/>
      </w:pPr>
      <w:r>
        <w:t>Z</w:t>
      </w:r>
      <w:r w:rsidR="001134C2" w:rsidRPr="00D97AD9">
        <w:t>ajištění podpory formou efektivního kariérového poradenství, koučování, vzdělávání, zacílených grantů zvýhodněných půjček či daňových odpisů.</w:t>
      </w:r>
    </w:p>
    <w:p w:rsidR="001134C2" w:rsidRPr="002352AC" w:rsidRDefault="001134C2" w:rsidP="00717BEA">
      <w:pPr>
        <w:pStyle w:val="NOPil2"/>
        <w:rPr>
          <w:b w:val="0"/>
          <w:i/>
        </w:rPr>
      </w:pPr>
      <w:r w:rsidRPr="005E084C">
        <w:t>Výzkum a příprava možných řešení v oblast</w:t>
      </w:r>
      <w:r w:rsidR="00D07530">
        <w:t>i daňového a pojistného systému</w:t>
      </w:r>
      <w:r w:rsidRPr="005E084C">
        <w:t xml:space="preserve"> a</w:t>
      </w:r>
      <w:r w:rsidR="002352AC">
        <w:t xml:space="preserve"> </w:t>
      </w:r>
      <w:r w:rsidR="002352AC" w:rsidRPr="005E084C">
        <w:t>podmínek, za jakých by se tyto systémy mohly vyrovnat jak se snížením fiskální zátěže pracovních příjmů, tak s požadavky na rozšíření pracovních příležitostí ve veřejných službách</w:t>
      </w:r>
      <w:r w:rsidR="002352AC">
        <w:t>.</w:t>
      </w:r>
      <w:r w:rsidR="002352AC" w:rsidRPr="005E084C">
        <w:t xml:space="preserve"> </w:t>
      </w:r>
      <w:r w:rsidR="002352AC" w:rsidRPr="002352AC">
        <w:rPr>
          <w:b w:val="0"/>
          <w:i/>
        </w:rPr>
        <w:t xml:space="preserve">Termín: 2017-2018, gestor: MPSV, </w:t>
      </w:r>
      <w:proofErr w:type="spellStart"/>
      <w:r w:rsidR="002352AC" w:rsidRPr="002352AC">
        <w:rPr>
          <w:b w:val="0"/>
          <w:i/>
        </w:rPr>
        <w:t>spolugestor</w:t>
      </w:r>
      <w:proofErr w:type="spellEnd"/>
      <w:r w:rsidR="002352AC" w:rsidRPr="002352AC">
        <w:rPr>
          <w:b w:val="0"/>
          <w:i/>
        </w:rPr>
        <w:t>: MF, zaměstnavatelé, odbory.</w:t>
      </w:r>
    </w:p>
    <w:p w:rsidR="001134C2" w:rsidRPr="00D97AD9" w:rsidRDefault="00454409" w:rsidP="00454409">
      <w:pPr>
        <w:pStyle w:val="Odrka-Normln"/>
      </w:pPr>
      <w:r>
        <w:t>A</w:t>
      </w:r>
      <w:r w:rsidR="001134C2" w:rsidRPr="00D97AD9">
        <w:t>nalýza možných náhrad výpadků rozpočtových a pojistných příjmů jinými zdroji;</w:t>
      </w:r>
    </w:p>
    <w:p w:rsidR="001134C2" w:rsidRPr="00D97AD9" w:rsidRDefault="00454409" w:rsidP="00454409">
      <w:pPr>
        <w:pStyle w:val="Odrka-Normln"/>
      </w:pPr>
      <w:r>
        <w:t>N</w:t>
      </w:r>
      <w:r w:rsidR="001134C2" w:rsidRPr="00D97AD9">
        <w:t xml:space="preserve">ávrh možných řešení ve změnách daňové legislativy a ve zlepšení výběru daní, včetně aplikace doporučení EU v oblasti kontroly </w:t>
      </w:r>
      <w:proofErr w:type="spellStart"/>
      <w:r w:rsidR="001134C2" w:rsidRPr="00D97AD9">
        <w:t>vnitrokorporátních</w:t>
      </w:r>
      <w:proofErr w:type="spellEnd"/>
      <w:r w:rsidR="001134C2" w:rsidRPr="00D97AD9">
        <w:t xml:space="preserve"> transferů a daňových optimalizací;</w:t>
      </w:r>
    </w:p>
    <w:p w:rsidR="001134C2" w:rsidRPr="00D97AD9" w:rsidRDefault="00454409" w:rsidP="00454409">
      <w:pPr>
        <w:pStyle w:val="Odrka-Normln"/>
      </w:pPr>
      <w:r>
        <w:t>P</w:t>
      </w:r>
      <w:r w:rsidR="001134C2" w:rsidRPr="00D97AD9">
        <w:t>odpora tvorby pracovních míst snížením daňové zátěže práce</w:t>
      </w:r>
      <w:r>
        <w:t>.</w:t>
      </w:r>
    </w:p>
    <w:p w:rsidR="007939FA" w:rsidRPr="001655BE" w:rsidRDefault="00AA2A57" w:rsidP="002352AC">
      <w:pPr>
        <w:pStyle w:val="Nadpis2"/>
      </w:pPr>
      <w:bookmarkStart w:id="67" w:name="_Toc490228397"/>
      <w:bookmarkStart w:id="68" w:name="_Toc490228464"/>
      <w:bookmarkStart w:id="69" w:name="_Toc491355969"/>
      <w:r w:rsidRPr="00D97AD9">
        <w:t>Změna podmínek na trhu práce v souvislosti s technologickými změnami</w:t>
      </w:r>
      <w:bookmarkEnd w:id="67"/>
      <w:bookmarkEnd w:id="68"/>
      <w:bookmarkEnd w:id="69"/>
    </w:p>
    <w:p w:rsidR="00D83756" w:rsidRPr="00454409" w:rsidRDefault="00D83756" w:rsidP="00454409">
      <w:pPr>
        <w:pStyle w:val="NOPil2"/>
      </w:pPr>
      <w:r w:rsidRPr="00454409">
        <w:t xml:space="preserve">Definice a regulace práce </w:t>
      </w:r>
      <w:r w:rsidR="005E59DA" w:rsidRPr="00454409">
        <w:t xml:space="preserve"> v </w:t>
      </w:r>
      <w:r w:rsidR="00471C92" w:rsidRPr="00454409">
        <w:t>souvislosti s</w:t>
      </w:r>
      <w:r w:rsidR="00194B36" w:rsidRPr="00454409">
        <w:t>e</w:t>
      </w:r>
      <w:r w:rsidR="00471C92" w:rsidRPr="00454409">
        <w:t xml:space="preserve"> </w:t>
      </w:r>
      <w:r w:rsidR="00194B36" w:rsidRPr="00454409">
        <w:t xml:space="preserve">sdílenou </w:t>
      </w:r>
      <w:r w:rsidR="00471C92" w:rsidRPr="00454409">
        <w:t>ekonomikou</w:t>
      </w:r>
      <w:r w:rsidR="00C9600A" w:rsidRPr="00454409">
        <w:t>.</w:t>
      </w:r>
      <w:r w:rsidR="00194B36" w:rsidRPr="00454409">
        <w:t xml:space="preserve"> </w:t>
      </w:r>
      <w:r w:rsidRPr="00454409">
        <w:rPr>
          <w:b w:val="0"/>
          <w:i/>
        </w:rPr>
        <w:t>Termín: 2017-2018, gestor</w:t>
      </w:r>
      <w:r w:rsidR="00471C92" w:rsidRPr="00454409">
        <w:rPr>
          <w:b w:val="0"/>
          <w:i/>
        </w:rPr>
        <w:t>:</w:t>
      </w:r>
      <w:r w:rsidRPr="00454409">
        <w:rPr>
          <w:b w:val="0"/>
          <w:i/>
        </w:rPr>
        <w:t xml:space="preserve"> MPSV, </w:t>
      </w:r>
      <w:proofErr w:type="spellStart"/>
      <w:r w:rsidRPr="00454409">
        <w:rPr>
          <w:b w:val="0"/>
          <w:i/>
        </w:rPr>
        <w:t>spolugestor</w:t>
      </w:r>
      <w:proofErr w:type="spellEnd"/>
      <w:r w:rsidR="00471C92" w:rsidRPr="00454409">
        <w:rPr>
          <w:b w:val="0"/>
          <w:i/>
        </w:rPr>
        <w:t>:</w:t>
      </w:r>
      <w:r w:rsidRPr="00454409">
        <w:rPr>
          <w:b w:val="0"/>
          <w:i/>
        </w:rPr>
        <w:t xml:space="preserve"> MPO, MF</w:t>
      </w:r>
      <w:r w:rsidR="00C9600A" w:rsidRPr="00454409">
        <w:rPr>
          <w:b w:val="0"/>
          <w:i/>
        </w:rPr>
        <w:t>.</w:t>
      </w:r>
    </w:p>
    <w:p w:rsidR="00D83756" w:rsidRDefault="00454409" w:rsidP="00454409">
      <w:pPr>
        <w:pStyle w:val="Odrka-Normln"/>
      </w:pPr>
      <w:r>
        <w:t>V</w:t>
      </w:r>
      <w:r w:rsidR="00D83756">
        <w:t xml:space="preserve">ymezení zprostředkovatelů služeb v rámci </w:t>
      </w:r>
      <w:r w:rsidR="00194B36">
        <w:t>sdílené</w:t>
      </w:r>
      <w:r w:rsidR="00D83756">
        <w:t xml:space="preserve"> ekonomiky</w:t>
      </w:r>
    </w:p>
    <w:p w:rsidR="00D83756" w:rsidRPr="00D97AD9" w:rsidRDefault="00454409" w:rsidP="00454409">
      <w:pPr>
        <w:pStyle w:val="Odrka-Normln"/>
      </w:pPr>
      <w:r>
        <w:t>Z</w:t>
      </w:r>
      <w:r w:rsidR="00D83756" w:rsidRPr="00D97AD9">
        <w:t xml:space="preserve">pracování definice pracovních vztahů v rámci platforem </w:t>
      </w:r>
      <w:r w:rsidR="00AE36FF">
        <w:t>například</w:t>
      </w:r>
      <w:r w:rsidR="00D83756" w:rsidRPr="00D97AD9">
        <w:t xml:space="preserve"> z hlediska prevence šíření prekérní práce a ohrožení pojistných systémů a zajištění její kompatibility s pracovněprávní legislativou ČR, pokrytí z hlediska zdanění a začlenění do systémů sociálního a zdravotního pojištění;</w:t>
      </w:r>
    </w:p>
    <w:p w:rsidR="006002E3" w:rsidRDefault="00454409" w:rsidP="00454409">
      <w:pPr>
        <w:pStyle w:val="Odrka-Normln"/>
      </w:pPr>
      <w:r>
        <w:t>N</w:t>
      </w:r>
      <w:r w:rsidR="00D83756" w:rsidRPr="00D97AD9">
        <w:t xml:space="preserve">ávrh změn v nastavení podmínek </w:t>
      </w:r>
      <w:proofErr w:type="spellStart"/>
      <w:r w:rsidR="00D83756" w:rsidRPr="00D97AD9">
        <w:t>sebezaměstnávání</w:t>
      </w:r>
      <w:proofErr w:type="spellEnd"/>
      <w:r w:rsidR="00D83756" w:rsidRPr="00D97AD9">
        <w:t>.</w:t>
      </w:r>
    </w:p>
    <w:p w:rsidR="00454409" w:rsidRDefault="00454409" w:rsidP="00454409">
      <w:pPr>
        <w:pStyle w:val="Odrka-Normln"/>
        <w:numPr>
          <w:ilvl w:val="0"/>
          <w:numId w:val="0"/>
        </w:numPr>
        <w:ind w:left="720"/>
      </w:pPr>
    </w:p>
    <w:p w:rsidR="00454409" w:rsidRDefault="00454409" w:rsidP="00454409">
      <w:pPr>
        <w:pStyle w:val="Odrka-Normln"/>
        <w:numPr>
          <w:ilvl w:val="0"/>
          <w:numId w:val="0"/>
        </w:numPr>
        <w:ind w:left="720"/>
      </w:pPr>
    </w:p>
    <w:p w:rsidR="00AA2A57" w:rsidRPr="00454409" w:rsidRDefault="00AA2A57" w:rsidP="00717BEA">
      <w:pPr>
        <w:pStyle w:val="NOPil2"/>
        <w:rPr>
          <w:b w:val="0"/>
        </w:rPr>
      </w:pPr>
      <w:r w:rsidRPr="00CB4CA5">
        <w:lastRenderedPageBreak/>
        <w:t>Podpora starších a nízko kvalifikovaných osob a omezení genderové segregace</w:t>
      </w:r>
      <w:r w:rsidR="00454409">
        <w:t xml:space="preserve"> </w:t>
      </w:r>
      <w:r w:rsidR="00454409" w:rsidRPr="00CB4CA5">
        <w:t>na trhu práce</w:t>
      </w:r>
      <w:r w:rsidR="00454409">
        <w:t>.</w:t>
      </w:r>
      <w:r w:rsidR="00454409" w:rsidRPr="00CB4CA5">
        <w:t xml:space="preserve"> </w:t>
      </w:r>
      <w:r w:rsidR="00454409" w:rsidRPr="00454409">
        <w:rPr>
          <w:b w:val="0"/>
          <w:i/>
        </w:rPr>
        <w:t xml:space="preserve">Termín: 2017-2019 gestor: MPSV, </w:t>
      </w:r>
      <w:proofErr w:type="spellStart"/>
      <w:r w:rsidR="00454409" w:rsidRPr="00454409">
        <w:rPr>
          <w:b w:val="0"/>
          <w:i/>
        </w:rPr>
        <w:t>spolugestor</w:t>
      </w:r>
      <w:proofErr w:type="spellEnd"/>
      <w:r w:rsidR="00454409" w:rsidRPr="00454409">
        <w:rPr>
          <w:b w:val="0"/>
          <w:i/>
        </w:rPr>
        <w:t>: GŘ ÚP.</w:t>
      </w:r>
    </w:p>
    <w:p w:rsidR="00AA2A57" w:rsidRPr="00454409" w:rsidRDefault="00454409" w:rsidP="00717BEA">
      <w:pPr>
        <w:pStyle w:val="Odstavecseseznamem"/>
        <w:numPr>
          <w:ilvl w:val="0"/>
          <w:numId w:val="1"/>
        </w:numPr>
      </w:pPr>
      <w:r>
        <w:t>Z</w:t>
      </w:r>
      <w:r w:rsidR="00AA2A57" w:rsidRPr="00D97AD9">
        <w:t>pracování metodik z oblasti systematické podpory široce koncipovaného digitálního vzdělávání zaměstnaných i nezaměstnaných, podpory zvyšování formálně i neformálně získané kvalifikace a dovedností ve vyšším věku a podpora možnosti flexibilní, avšak zároveň neprekérní práce pro ženy v reproduk</w:t>
      </w:r>
      <w:r w:rsidR="00D07530">
        <w:t>čním věku a snižování genderové</w:t>
      </w:r>
      <w:r w:rsidR="00AA2A57" w:rsidRPr="00D97AD9">
        <w:t xml:space="preserve"> výlučnost</w:t>
      </w:r>
      <w:r w:rsidR="00D07530">
        <w:t>i</w:t>
      </w:r>
      <w:r w:rsidR="00AA2A57" w:rsidRPr="00D97AD9">
        <w:t xml:space="preserve"> profesí i některých vzdělávacích oborů, zejména IT a pedagogiky.</w:t>
      </w:r>
    </w:p>
    <w:p w:rsidR="00AA2A57" w:rsidRPr="00454409" w:rsidRDefault="00AA2A57" w:rsidP="00454409">
      <w:pPr>
        <w:pStyle w:val="Nadpis3"/>
      </w:pPr>
      <w:bookmarkStart w:id="70" w:name="_Toc491355970"/>
      <w:r w:rsidRPr="00454409">
        <w:t>Regulace dopadů technologických změn na vybrané sociální aspekty</w:t>
      </w:r>
      <w:bookmarkEnd w:id="70"/>
    </w:p>
    <w:p w:rsidR="00AA2A57" w:rsidRPr="00454409" w:rsidRDefault="00AA2A57" w:rsidP="00454409">
      <w:pPr>
        <w:jc w:val="left"/>
        <w:rPr>
          <w:b/>
          <w:i/>
        </w:rPr>
      </w:pPr>
      <w:r w:rsidRPr="00D97AD9">
        <w:rPr>
          <w:b/>
          <w:i/>
        </w:rPr>
        <w:t>Socioekonomické dopady technologických z</w:t>
      </w:r>
      <w:r w:rsidR="00454409">
        <w:rPr>
          <w:b/>
          <w:i/>
        </w:rPr>
        <w:t>měn</w:t>
      </w:r>
    </w:p>
    <w:p w:rsidR="00AA2A57" w:rsidRPr="00454409" w:rsidRDefault="00AA2A57" w:rsidP="00454409">
      <w:pPr>
        <w:pStyle w:val="NOPil2"/>
        <w:rPr>
          <w:b w:val="0"/>
        </w:rPr>
      </w:pPr>
      <w:r w:rsidRPr="00D97AD9">
        <w:t>Analýza socioekonomických dopadů technologických změn</w:t>
      </w:r>
      <w:r w:rsidR="00C9600A">
        <w:t>.</w:t>
      </w:r>
      <w:r w:rsidRPr="00D97AD9">
        <w:t xml:space="preserve"> </w:t>
      </w:r>
      <w:r w:rsidRPr="00454409">
        <w:rPr>
          <w:b w:val="0"/>
          <w:i/>
        </w:rPr>
        <w:t>Termín: 2017-2018 gestor: MPSV</w:t>
      </w:r>
      <w:r w:rsidR="00C9600A" w:rsidRPr="00454409">
        <w:rPr>
          <w:b w:val="0"/>
          <w:i/>
        </w:rPr>
        <w:t>.</w:t>
      </w:r>
    </w:p>
    <w:p w:rsidR="00AA2A57" w:rsidRPr="00D97AD9" w:rsidRDefault="00454409" w:rsidP="00454409">
      <w:pPr>
        <w:pStyle w:val="Odrka-Normln"/>
      </w:pPr>
      <w:r>
        <w:t>Z</w:t>
      </w:r>
      <w:r w:rsidR="00AA2A57" w:rsidRPr="00D97AD9">
        <w:t>pracování analýzy, která by řešila nejen samotné přímé dopady rychlého technologického rozvoje v oblasti sociální a ekonomické, ale v širších souvislostech též konsekventní nepřímé důsledky změn a mapovala změny v očekávání a nárocích zaměstnanců z hlediska sociálních a ekonomických aspektů.</w:t>
      </w:r>
    </w:p>
    <w:p w:rsidR="00F17F95" w:rsidRPr="00454409" w:rsidRDefault="00AA2A57" w:rsidP="00454409">
      <w:pPr>
        <w:pStyle w:val="NOPil2"/>
        <w:rPr>
          <w:b w:val="0"/>
        </w:rPr>
      </w:pPr>
      <w:r w:rsidRPr="004F07BF">
        <w:t>Změny v systému sociálního a důchodového zabezpečení</w:t>
      </w:r>
      <w:r w:rsidR="00C9600A">
        <w:t>.</w:t>
      </w:r>
      <w:r w:rsidRPr="004F07BF">
        <w:t xml:space="preserve"> </w:t>
      </w:r>
      <w:r w:rsidRPr="00454409">
        <w:rPr>
          <w:b w:val="0"/>
          <w:i/>
        </w:rPr>
        <w:t xml:space="preserve">Termín: 2017-2019, gestor </w:t>
      </w:r>
      <w:r w:rsidR="00F17F95" w:rsidRPr="00454409">
        <w:rPr>
          <w:b w:val="0"/>
          <w:i/>
        </w:rPr>
        <w:t>MPSV</w:t>
      </w:r>
      <w:r w:rsidR="004F07BF" w:rsidRPr="00454409">
        <w:rPr>
          <w:b w:val="0"/>
          <w:i/>
        </w:rPr>
        <w:t xml:space="preserve">, </w:t>
      </w:r>
      <w:proofErr w:type="spellStart"/>
      <w:r w:rsidR="004F07BF" w:rsidRPr="00454409">
        <w:rPr>
          <w:b w:val="0"/>
          <w:i/>
        </w:rPr>
        <w:t>spolugestor</w:t>
      </w:r>
      <w:proofErr w:type="spellEnd"/>
      <w:r w:rsidR="004F07BF" w:rsidRPr="00454409">
        <w:rPr>
          <w:b w:val="0"/>
          <w:i/>
        </w:rPr>
        <w:t>: MF</w:t>
      </w:r>
      <w:r w:rsidR="00C9600A" w:rsidRPr="00454409">
        <w:rPr>
          <w:b w:val="0"/>
          <w:i/>
        </w:rPr>
        <w:t>.</w:t>
      </w:r>
    </w:p>
    <w:p w:rsidR="00AA2A57" w:rsidRPr="00D97AD9" w:rsidRDefault="00454409" w:rsidP="00454409">
      <w:pPr>
        <w:pStyle w:val="Odrka-Normln"/>
      </w:pPr>
      <w:r>
        <w:t>N</w:t>
      </w:r>
      <w:r w:rsidR="00AA2A57" w:rsidRPr="00D97AD9">
        <w:t>ávrh změn v systému sociálního a důchodového zabezpečení z hlediska budoucího demografického vývoje a změn spojených s rychlými technologickými změnami;</w:t>
      </w:r>
    </w:p>
    <w:p w:rsidR="00AA2A57" w:rsidRPr="00454409" w:rsidRDefault="00454409" w:rsidP="00454409">
      <w:pPr>
        <w:pStyle w:val="Odrka-Normln"/>
        <w:rPr>
          <w:bCs/>
        </w:rPr>
      </w:pPr>
      <w:r>
        <w:rPr>
          <w:bCs/>
        </w:rPr>
        <w:t>V</w:t>
      </w:r>
      <w:r w:rsidR="00AA2A57" w:rsidRPr="00D97AD9">
        <w:rPr>
          <w:bCs/>
        </w:rPr>
        <w:t>eřejná debata změny pojištění v nezaměstnanosti na pojištění práce jako preve</w:t>
      </w:r>
      <w:r>
        <w:rPr>
          <w:bCs/>
        </w:rPr>
        <w:t>ntivní podpory pro zaměstnance.</w:t>
      </w:r>
    </w:p>
    <w:p w:rsidR="00AA2A57" w:rsidRPr="00D97AD9" w:rsidRDefault="00AA2A57" w:rsidP="00AA2A57">
      <w:pPr>
        <w:jc w:val="left"/>
        <w:rPr>
          <w:b/>
          <w:bCs/>
          <w:i/>
        </w:rPr>
      </w:pPr>
      <w:r w:rsidRPr="00D97AD9">
        <w:rPr>
          <w:b/>
          <w:bCs/>
          <w:i/>
        </w:rPr>
        <w:t>Problematika soulad</w:t>
      </w:r>
      <w:r w:rsidR="00454409">
        <w:rPr>
          <w:b/>
          <w:bCs/>
          <w:i/>
        </w:rPr>
        <w:t>u rodinného a pracovního života</w:t>
      </w:r>
    </w:p>
    <w:p w:rsidR="00E47DAB" w:rsidRPr="00D97AD9" w:rsidRDefault="00E47DAB" w:rsidP="00454409">
      <w:pPr>
        <w:pStyle w:val="NOPil2"/>
      </w:pPr>
      <w:r w:rsidRPr="00D97AD9">
        <w:t>Vytvoření podmínek pro zvýšení flexibility trhu práce</w:t>
      </w:r>
      <w:r w:rsidR="00E86682">
        <w:t>.</w:t>
      </w:r>
      <w:r w:rsidRPr="00D97AD9">
        <w:t xml:space="preserve"> </w:t>
      </w:r>
      <w:r w:rsidRPr="00454409">
        <w:rPr>
          <w:b w:val="0"/>
          <w:i/>
        </w:rPr>
        <w:t xml:space="preserve">Termín: 2017-2019, gestor MPSV, </w:t>
      </w:r>
      <w:proofErr w:type="spellStart"/>
      <w:r w:rsidRPr="00454409">
        <w:rPr>
          <w:b w:val="0"/>
          <w:i/>
        </w:rPr>
        <w:t>spolugestor</w:t>
      </w:r>
      <w:proofErr w:type="spellEnd"/>
      <w:r w:rsidRPr="00454409">
        <w:rPr>
          <w:b w:val="0"/>
          <w:i/>
        </w:rPr>
        <w:t xml:space="preserve"> GŘ ÚP, FDV, zaměstnavatelé, odbory</w:t>
      </w:r>
      <w:r w:rsidR="00E86682">
        <w:t>.</w:t>
      </w:r>
    </w:p>
    <w:p w:rsidR="00E47DAB" w:rsidRPr="00D97AD9" w:rsidRDefault="00454409" w:rsidP="00454409">
      <w:pPr>
        <w:pStyle w:val="Odrka-Normln"/>
      </w:pPr>
      <w:r>
        <w:t>Z</w:t>
      </w:r>
      <w:r w:rsidR="00E47DAB" w:rsidRPr="00D97AD9">
        <w:t>pracování návrhu vhodné legislativní podpory a právního výkladu v oblasti flexibilních forem práce;</w:t>
      </w:r>
    </w:p>
    <w:p w:rsidR="00AA2A57" w:rsidRPr="00D97AD9" w:rsidRDefault="00454409" w:rsidP="00454409">
      <w:pPr>
        <w:pStyle w:val="Odrka-Normln"/>
      </w:pPr>
      <w:r>
        <w:t>P</w:t>
      </w:r>
      <w:r w:rsidR="00E47DAB" w:rsidRPr="00D97AD9">
        <w:t>oradenská a metodická podpora zaměstnavatelů v otázkách zav</w:t>
      </w:r>
      <w:r>
        <w:t>ádění flexibilních forem práce.</w:t>
      </w:r>
    </w:p>
    <w:p w:rsidR="00AA2A57" w:rsidRPr="00454409" w:rsidRDefault="00AA2A57" w:rsidP="00454409">
      <w:pPr>
        <w:pStyle w:val="NOPil2"/>
        <w:rPr>
          <w:b w:val="0"/>
        </w:rPr>
      </w:pPr>
      <w:r w:rsidRPr="00D97AD9">
        <w:t>Sledování a vyhodnocování vlivu práce na dálku na soulad rodinného a pracovního života</w:t>
      </w:r>
      <w:r w:rsidR="00E86682">
        <w:t>.</w:t>
      </w:r>
      <w:r w:rsidRPr="00D97AD9">
        <w:t xml:space="preserve"> </w:t>
      </w:r>
      <w:r w:rsidRPr="00454409">
        <w:rPr>
          <w:b w:val="0"/>
          <w:i/>
        </w:rPr>
        <w:t>Termín 2017,</w:t>
      </w:r>
      <w:r w:rsidR="00B46825" w:rsidRPr="00454409">
        <w:rPr>
          <w:b w:val="0"/>
          <w:i/>
        </w:rPr>
        <w:t xml:space="preserve"> </w:t>
      </w:r>
      <w:r w:rsidRPr="00454409">
        <w:rPr>
          <w:b w:val="0"/>
          <w:i/>
        </w:rPr>
        <w:t xml:space="preserve">gestor MPSV, </w:t>
      </w:r>
      <w:proofErr w:type="spellStart"/>
      <w:r w:rsidRPr="00454409">
        <w:rPr>
          <w:b w:val="0"/>
          <w:i/>
        </w:rPr>
        <w:t>spolugestor</w:t>
      </w:r>
      <w:proofErr w:type="spellEnd"/>
      <w:r w:rsidRPr="00454409">
        <w:rPr>
          <w:b w:val="0"/>
          <w:i/>
        </w:rPr>
        <w:t xml:space="preserve"> zaměstnavatelé, odbory, FDV</w:t>
      </w:r>
      <w:r w:rsidR="00E86682" w:rsidRPr="00454409">
        <w:rPr>
          <w:b w:val="0"/>
          <w:i/>
        </w:rPr>
        <w:t>.</w:t>
      </w:r>
    </w:p>
    <w:p w:rsidR="00AA2A57" w:rsidRPr="00D97AD9" w:rsidRDefault="00454409" w:rsidP="00454409">
      <w:pPr>
        <w:pStyle w:val="Odrka-Normln"/>
      </w:pPr>
      <w:r>
        <w:t>A</w:t>
      </w:r>
      <w:r w:rsidR="00AA2A57" w:rsidRPr="00D97AD9">
        <w:t>nalýza pozitivních a negativních důsledků vlivu práce na dálku na soulad rodinného a pracovního života;</w:t>
      </w:r>
    </w:p>
    <w:p w:rsidR="001134C2" w:rsidRPr="00D97AD9" w:rsidRDefault="00454409" w:rsidP="00454409">
      <w:pPr>
        <w:pStyle w:val="Odrka-Normln"/>
      </w:pPr>
      <w:r>
        <w:t>Z</w:t>
      </w:r>
      <w:r w:rsidR="00AA2A57" w:rsidRPr="00D97AD9">
        <w:t>pracování metodiky pro monitorování využívání práce na dálku.</w:t>
      </w:r>
    </w:p>
    <w:p w:rsidR="007D5EB5" w:rsidRDefault="007D5EB5">
      <w:pPr>
        <w:spacing w:after="200"/>
        <w:jc w:val="left"/>
        <w:rPr>
          <w:rFonts w:eastAsiaTheme="majorEastAsia"/>
          <w:b/>
          <w:bCs/>
          <w:sz w:val="28"/>
          <w:szCs w:val="28"/>
        </w:rPr>
      </w:pPr>
      <w:r>
        <w:br w:type="page"/>
      </w:r>
    </w:p>
    <w:p w:rsidR="00CA5940" w:rsidRPr="004E399E" w:rsidRDefault="003D2999" w:rsidP="007D5EB5">
      <w:pPr>
        <w:pStyle w:val="Nadpis1"/>
      </w:pPr>
      <w:bookmarkStart w:id="71" w:name="_Toc491355971"/>
      <w:r w:rsidRPr="00D97AD9">
        <w:lastRenderedPageBreak/>
        <w:t>3 Elektronizace veřejné správy</w:t>
      </w:r>
      <w:bookmarkEnd w:id="71"/>
    </w:p>
    <w:p w:rsidR="00DB627A" w:rsidRPr="00DB627A" w:rsidRDefault="006D4F5D" w:rsidP="004A4201">
      <w:pPr>
        <w:rPr>
          <w:rFonts w:eastAsia="Arial"/>
        </w:rPr>
      </w:pPr>
      <w:r w:rsidRPr="00207385">
        <w:t xml:space="preserve">Co se </w:t>
      </w:r>
      <w:r w:rsidRPr="00207385">
        <w:rPr>
          <w:b/>
        </w:rPr>
        <w:t>elektronizace veřejné správy týče,</w:t>
      </w:r>
      <w:r w:rsidRPr="00207385">
        <w:t xml:space="preserve"> je jednou z vládních priorit rychlejší a kvalitnější zavádění služeb </w:t>
      </w:r>
      <w:proofErr w:type="spellStart"/>
      <w:r w:rsidR="00196B06">
        <w:t>eGovernment</w:t>
      </w:r>
      <w:r w:rsidRPr="00207385">
        <w:t>u</w:t>
      </w:r>
      <w:proofErr w:type="spellEnd"/>
      <w:r w:rsidRPr="00207385">
        <w:t xml:space="preserve">. Koordinátor bude i nadále aktivně přispívat k nalezení shody v rámci veřejné správy i politické reprezentace. </w:t>
      </w:r>
      <w:r w:rsidR="00DB627A" w:rsidRPr="00DB627A">
        <w:rPr>
          <w:rFonts w:eastAsia="Arial"/>
        </w:rPr>
        <w:t xml:space="preserve">Gesčně odpovědné za elektronizaci veřejné správy je Ministerstvo vnitra. </w:t>
      </w:r>
    </w:p>
    <w:p w:rsidR="006D4F5D" w:rsidRDefault="006D4F5D" w:rsidP="004A4201">
      <w:r w:rsidRPr="00207385">
        <w:t xml:space="preserve">Velmi důležitou činností je osvěta veřejnosti zaměřující se na výhody, které elektronizace veřejné správy a funkční digitální služby státu přinášejí. Příkladem této aktivní participace jsou aktivity v rámci Iniciativy 202020, která byla spuštěna v září 2016, a to zejména v oblasti mapování online služeb, které stát poskytuje občanům. Dalším příkladem je dokončená modernizace elektronických Jednotných kontaktních míst v dubnu 2017, na kterou v závislosti na jednáních na unijní úrovni naváže implementace Jednotné digitální brány ve snaze zajistit plně digitalizované, srozumitelné a uživatelsky příjemné poskytování informací, asistenčních služeb a administrativních procedur pro všechny občany a podnikatele EU. V rámci aktivit v oblasti </w:t>
      </w:r>
      <w:proofErr w:type="spellStart"/>
      <w:r w:rsidR="00C52EDE">
        <w:t>e</w:t>
      </w:r>
      <w:r w:rsidR="00196B06">
        <w:t>Government</w:t>
      </w:r>
      <w:r w:rsidRPr="00207385">
        <w:t>u</w:t>
      </w:r>
      <w:proofErr w:type="spellEnd"/>
      <w:r w:rsidRPr="00207385">
        <w:t xml:space="preserve"> se bude koordinátor podílet také na osvětě k přístupnosti pro osoby se zdravotním postižením.</w:t>
      </w:r>
    </w:p>
    <w:p w:rsidR="00126B66" w:rsidRPr="00D97AD9" w:rsidRDefault="003D2999" w:rsidP="004A4201">
      <w:pPr>
        <w:rPr>
          <w:rFonts w:eastAsia="Arial"/>
        </w:rPr>
      </w:pPr>
      <w:r w:rsidRPr="00D97AD9">
        <w:t>Je nutné zajistit zefektivnění rozvoje a provozu digitálních agend veřejné správy. V současné době je významná většina agend ve státní a veřejné správě vyvíjena a následně</w:t>
      </w:r>
      <w:bookmarkStart w:id="72" w:name="page38"/>
      <w:bookmarkEnd w:id="72"/>
      <w:r w:rsidR="003E4740">
        <w:t xml:space="preserve"> </w:t>
      </w:r>
      <w:r w:rsidRPr="00D97AD9">
        <w:rPr>
          <w:rFonts w:eastAsia="Arial"/>
        </w:rPr>
        <w:t>provozována bez využití moderních postupů/principů, jež umožňují optimálně sdílet služby agend pro ostatní subjekty státní a veřejné správy, tam kde by to bylo možné a efektivní. Využití principů jednotných služeb v různých hierarchických úrovních (infrastruktura jako služba, platforma jako služba, analytika jako služba) by výrazně zefektivnilo jak rozvoj digitálních agend, tak jejich provoz. Úplné elektronické podání</w:t>
      </w:r>
      <w:r w:rsidR="00560C48">
        <w:rPr>
          <w:rFonts w:eastAsia="Arial"/>
        </w:rPr>
        <w:t>,</w:t>
      </w:r>
      <w:r w:rsidRPr="00D97AD9">
        <w:rPr>
          <w:rFonts w:eastAsia="Arial"/>
        </w:rPr>
        <w:t xml:space="preserve"> dostupné nejen pro občany ČR, ale i ostatních států EU, u vybraných agend a elektronizace agend</w:t>
      </w:r>
      <w:r w:rsidR="00B65E7B">
        <w:rPr>
          <w:rStyle w:val="Znakapoznpodarou"/>
          <w:rFonts w:eastAsia="Arial"/>
        </w:rPr>
        <w:footnoteReference w:id="31"/>
      </w:r>
      <w:r w:rsidRPr="00D97AD9">
        <w:rPr>
          <w:rFonts w:eastAsia="Arial"/>
        </w:rPr>
        <w:t xml:space="preserve"> budou zajištěny rozšířením, propojením a konsolidací datového fondu veřejné správy a jeho efektivním a bezpečným využíváním dle jednotlivých agend, a to včetně principu </w:t>
      </w:r>
      <w:r w:rsidR="003E4740">
        <w:rPr>
          <w:rFonts w:eastAsia="Arial"/>
        </w:rPr>
        <w:t>otevřených dat (</w:t>
      </w:r>
      <w:r w:rsidR="003E4740" w:rsidRPr="004E399E">
        <w:rPr>
          <w:rFonts w:eastAsia="Arial"/>
          <w:i/>
        </w:rPr>
        <w:t>open data</w:t>
      </w:r>
      <w:r w:rsidR="003E4740">
        <w:rPr>
          <w:rFonts w:eastAsia="Arial"/>
        </w:rPr>
        <w:t>)</w:t>
      </w:r>
      <w:r w:rsidRPr="00D97AD9">
        <w:rPr>
          <w:rFonts w:eastAsia="Arial"/>
        </w:rPr>
        <w:t>.</w:t>
      </w:r>
    </w:p>
    <w:p w:rsidR="003D2999" w:rsidRPr="00D97AD9" w:rsidRDefault="003D2999" w:rsidP="004A4201">
      <w:pPr>
        <w:rPr>
          <w:rFonts w:eastAsia="Arial"/>
        </w:rPr>
      </w:pPr>
      <w:r w:rsidRPr="00D97AD9">
        <w:rPr>
          <w:rFonts w:eastAsia="Arial"/>
        </w:rPr>
        <w:t xml:space="preserve">Elektronizace se dotýká i dalších již zmíněných oblastí. Například služby elektronického zdravotnictví se stávají stále více podmínkou pro udržitelnost zdravotního systému a podporují evropský trend podpory zájmu občana o vlastní zdraví. </w:t>
      </w:r>
    </w:p>
    <w:p w:rsidR="00E86682" w:rsidRPr="00D97AD9" w:rsidRDefault="00A9632E" w:rsidP="004A4201">
      <w:r w:rsidRPr="00D97AD9">
        <w:t>Prvním krokem k elektronizaci zdravotnictví</w:t>
      </w:r>
      <w:r w:rsidR="00770FA3" w:rsidRPr="00D97AD9">
        <w:t xml:space="preserve"> </w:t>
      </w:r>
      <w:r w:rsidR="003D2999" w:rsidRPr="00D97AD9">
        <w:t xml:space="preserve">je vybudování základních stavebních kamenů elektronického zdravotnictví, které vytvoří základ pro další rozvoj podle určitých standardů, pravidel a v souladu s promyšlenou </w:t>
      </w:r>
      <w:proofErr w:type="spellStart"/>
      <w:r w:rsidR="0001231C">
        <w:t>E</w:t>
      </w:r>
      <w:r w:rsidR="003D2999" w:rsidRPr="00D97AD9">
        <w:t>nterprise</w:t>
      </w:r>
      <w:proofErr w:type="spellEnd"/>
      <w:r w:rsidR="003D2999" w:rsidRPr="00D97AD9">
        <w:t xml:space="preserve"> architekturou. Připravované legislativní změny poskytnou právní a organizační jistotu uživatelům, dodavatelům a realizátorům služeb elektronického zdravotnictví. </w:t>
      </w:r>
      <w:r w:rsidRPr="00D97AD9">
        <w:t>Již b</w:t>
      </w:r>
      <w:r w:rsidR="003D2999" w:rsidRPr="00D97AD9">
        <w:t xml:space="preserve">yly zahájeny kroky s cílem připravit základní záměry věcných řešení a jejich harmonogramy. Byly definovány iniciační projekty k zajištění klíčové informační infrastruktury a vytvoření organizační podpory správy národního systému elektronického zdravotnictví. </w:t>
      </w:r>
    </w:p>
    <w:p w:rsidR="00B86BA8" w:rsidRPr="00D97AD9" w:rsidRDefault="003D2999" w:rsidP="004A4201">
      <w:r w:rsidRPr="00D97AD9">
        <w:t>Další důležitou oblastí, které se elektronizace dotýká, je správa daní, kterou vykonávají jak orgány resortu Ministerstva financí, tak orgány jiných resortů.</w:t>
      </w:r>
      <w:r w:rsidR="00770FA3" w:rsidRPr="00D97AD9">
        <w:t xml:space="preserve"> </w:t>
      </w:r>
      <w:r w:rsidRPr="00D97AD9">
        <w:t xml:space="preserve">Finanční správa v rámci resortního projektu Ministerstva financí „MOJE daně“ pracuje na vybudování nového daňového informačního systému. Vedle nutnosti soutěžit nový systém z důvodu </w:t>
      </w:r>
      <w:proofErr w:type="spellStart"/>
      <w:r w:rsidRPr="00D97AD9">
        <w:t>vendorlock</w:t>
      </w:r>
      <w:proofErr w:type="spellEnd"/>
      <w:r w:rsidRPr="00D97AD9">
        <w:t xml:space="preserve">-in stávajícího systému (snížení exkluzivity stávajícího dodavatele a závislosti na něm) je tuto </w:t>
      </w:r>
      <w:r w:rsidRPr="00D97AD9">
        <w:lastRenderedPageBreak/>
        <w:t xml:space="preserve">změnu nezbytné provést, aby byly vytvořeny podmínky k rozvoji služeb poskytovaných Finanční správou a byla zvyšována efektivita procesů v rámci správy daní a dalších působností, které jsou těmito orgány zabezpečovány. Projekty jsou řešeny v souladu s projekty </w:t>
      </w:r>
      <w:proofErr w:type="spellStart"/>
      <w:r w:rsidRPr="00D97AD9">
        <w:t>eGovernmentu</w:t>
      </w:r>
      <w:proofErr w:type="spellEnd"/>
      <w:r w:rsidRPr="00D97AD9">
        <w:t>. V rámci resortního projektu Ministerstva financí „MOJE daně“ je plánovaná podpora automatizace procesů s cílem zefektivnit činnost Finanční a Celní správy ČR. Cílem celého projektu je přinést zjednodušení procesu správy daní, posílení právní jistoty, snížení administrativní zátěže na straně správce i daňového subjektu.</w:t>
      </w:r>
    </w:p>
    <w:p w:rsidR="00B70C67" w:rsidRDefault="003D2999" w:rsidP="004A4201">
      <w:r w:rsidRPr="00D97AD9">
        <w:t xml:space="preserve">Specifickým způsobem integrovaného přístupu k využití digitalizace v běžném životě je pak koncept chytrého města - </w:t>
      </w:r>
      <w:proofErr w:type="spellStart"/>
      <w:r w:rsidRPr="00D97AD9">
        <w:t>smart</w:t>
      </w:r>
      <w:proofErr w:type="spellEnd"/>
      <w:r w:rsidRPr="00D97AD9">
        <w:t xml:space="preserve"> city. Ten je vyjádřením strategického přístupu k řízení, který staví na účinném propojení a vzájemné </w:t>
      </w:r>
      <w:r w:rsidR="00CD16BD" w:rsidRPr="00D97AD9">
        <w:t>podpo</w:t>
      </w:r>
      <w:r w:rsidR="00CD16BD">
        <w:t>ře</w:t>
      </w:r>
      <w:r w:rsidR="00CD16BD" w:rsidRPr="00D97AD9">
        <w:t xml:space="preserve"> </w:t>
      </w:r>
      <w:r w:rsidRPr="00D97AD9">
        <w:t>všech oblastí života města, mj. prostřednictvím internetu věcí, a na ekonomické a environmentální udržitelnosti.</w:t>
      </w:r>
      <w:r w:rsidR="008F4D79">
        <w:t xml:space="preserve"> Gestorem zavádění konceptu </w:t>
      </w:r>
      <w:proofErr w:type="spellStart"/>
      <w:r w:rsidR="00AE36FF">
        <w:t>Smart</w:t>
      </w:r>
      <w:proofErr w:type="spellEnd"/>
      <w:r w:rsidR="00AE36FF">
        <w:t xml:space="preserve"> </w:t>
      </w:r>
      <w:proofErr w:type="spellStart"/>
      <w:r w:rsidR="00AE36FF">
        <w:t>Cities</w:t>
      </w:r>
      <w:proofErr w:type="spellEnd"/>
      <w:r w:rsidR="00B70C67">
        <w:t xml:space="preserve"> je MMR. MMR podporuje spolupráci na národní úrovni skrze vedení Pracovní skupiny pro </w:t>
      </w:r>
      <w:proofErr w:type="spellStart"/>
      <w:r w:rsidR="00AE36FF">
        <w:t>Smart</w:t>
      </w:r>
      <w:proofErr w:type="spellEnd"/>
      <w:r w:rsidR="00AE36FF">
        <w:t xml:space="preserve"> </w:t>
      </w:r>
      <w:proofErr w:type="spellStart"/>
      <w:r w:rsidR="00AE36FF">
        <w:t>Cities</w:t>
      </w:r>
      <w:proofErr w:type="spellEnd"/>
      <w:r w:rsidR="00B70C67">
        <w:t xml:space="preserve"> pod Radou vlády pro udržitelný rozvoj. MMR poskytuje metodickou podporu městům při zavádění konceptu do správy měst, a to prostřednictvím certifikované Metodiky Konceptu inteligentních měst a na ní navazujících odborných seminářů, které pořádá pro zástupce měst. Dále podporuje informovanost o konceptu </w:t>
      </w:r>
      <w:r w:rsidR="00AE36FF">
        <w:t>například</w:t>
      </w:r>
      <w:r w:rsidR="00B70C67">
        <w:t xml:space="preserve"> pom</w:t>
      </w:r>
      <w:r w:rsidR="008F4D79">
        <w:t xml:space="preserve">ocí webových stránek k oblasti </w:t>
      </w:r>
      <w:proofErr w:type="spellStart"/>
      <w:r w:rsidR="00AE36FF">
        <w:t>Smart</w:t>
      </w:r>
      <w:proofErr w:type="spellEnd"/>
      <w:r w:rsidR="00AE36FF">
        <w:t xml:space="preserve"> </w:t>
      </w:r>
      <w:proofErr w:type="spellStart"/>
      <w:r w:rsidR="00AE36FF">
        <w:t>Cities</w:t>
      </w:r>
      <w:proofErr w:type="spellEnd"/>
      <w:r w:rsidR="00B70C67">
        <w:t xml:space="preserve"> </w:t>
      </w:r>
      <w:hyperlink r:id="rId14" w:history="1">
        <w:r w:rsidR="00B70C67" w:rsidRPr="003369BC">
          <w:rPr>
            <w:rStyle w:val="Hypertextovodkaz"/>
          </w:rPr>
          <w:t>www.smartcities.mmr.cz</w:t>
        </w:r>
      </w:hyperlink>
      <w:r w:rsidR="00B70C67">
        <w:t xml:space="preserve"> a organizací a účastí na odborných akcích.</w:t>
      </w:r>
    </w:p>
    <w:p w:rsidR="00AE7A65" w:rsidRPr="007D5EB5" w:rsidRDefault="00B70C67" w:rsidP="004A4201">
      <w:r>
        <w:t>Strategické řízení a plánování ve veřejné správě, resp. jeho podpora, je v gesci MMR. A</w:t>
      </w:r>
      <w:r w:rsidRPr="00FB4672">
        <w:t>ktivity MMR</w:t>
      </w:r>
      <w:r>
        <w:t xml:space="preserve"> </w:t>
      </w:r>
      <w:r w:rsidRPr="00FB4672">
        <w:t>cílí</w:t>
      </w:r>
      <w:r>
        <w:t xml:space="preserve"> na problematiku</w:t>
      </w:r>
      <w:r w:rsidRPr="00FB4672">
        <w:t xml:space="preserve"> nedostatečn</w:t>
      </w:r>
      <w:r>
        <w:t>é</w:t>
      </w:r>
      <w:r w:rsidRPr="00FB4672">
        <w:t xml:space="preserve"> kvalit</w:t>
      </w:r>
      <w:r>
        <w:t>y strategických dokumentů veřejné správy ČR</w:t>
      </w:r>
      <w:r w:rsidRPr="00FB4672">
        <w:t>, jejich velký počet, hierarchi</w:t>
      </w:r>
      <w:r>
        <w:t>zace</w:t>
      </w:r>
      <w:r w:rsidRPr="00FB4672">
        <w:t xml:space="preserve"> a s tím spojen</w:t>
      </w:r>
      <w:r>
        <w:t>ou</w:t>
      </w:r>
      <w:r w:rsidRPr="00FB4672">
        <w:t xml:space="preserve"> </w:t>
      </w:r>
      <w:proofErr w:type="spellStart"/>
      <w:r w:rsidRPr="00FB4672">
        <w:t>duplikov</w:t>
      </w:r>
      <w:r>
        <w:t>anost</w:t>
      </w:r>
      <w:proofErr w:type="spellEnd"/>
      <w:r w:rsidRPr="00FB4672">
        <w:t xml:space="preserve">. Hlavní příčinou </w:t>
      </w:r>
      <w:r>
        <w:t>tohoto stavu</w:t>
      </w:r>
      <w:r w:rsidRPr="00FB4672">
        <w:t xml:space="preserve"> jsou převážně přetrvávající nedostatky v přístupu ke strategické práci ve veřejné správě, a to jak na státní, tak na krajské i místní úrovni, </w:t>
      </w:r>
      <w:r w:rsidR="00AE36FF">
        <w:t>včetně</w:t>
      </w:r>
      <w:r w:rsidRPr="00FB4672">
        <w:t xml:space="preserve"> </w:t>
      </w:r>
      <w:r w:rsidR="00AE36FF">
        <w:t>například</w:t>
      </w:r>
      <w:r w:rsidRPr="00FB4672">
        <w:t xml:space="preserve"> vzájemné provázanosti chybějících nástrojů a/nebo možností takové nástroje využívat. Zkvalitnění strategického prostředí a využívání adekvátních nástrojů strategického řízení a plánování </w:t>
      </w:r>
      <w:r>
        <w:t xml:space="preserve">(zde </w:t>
      </w:r>
      <w:r w:rsidR="00AE36FF">
        <w:t>například</w:t>
      </w:r>
      <w:r>
        <w:t xml:space="preserve"> elektronického nástroje Databáze strategií) </w:t>
      </w:r>
      <w:r w:rsidRPr="00FB4672">
        <w:t xml:space="preserve">je přitom jedním ze základních předpokladů pro tvorbu kvalitních strategických dokumentů, jejich bezproblémovou implementaci, hodnocení, a tím i pro efektivní řízení průřezových, sektorových a územních politik a rozpočtování </w:t>
      </w:r>
      <w:r w:rsidR="00AE36FF">
        <w:t>včetně</w:t>
      </w:r>
      <w:r>
        <w:t xml:space="preserve"> případného</w:t>
      </w:r>
      <w:r w:rsidR="00D20D5A">
        <w:t xml:space="preserve"> zacíle</w:t>
      </w:r>
      <w:r w:rsidRPr="00FB4672">
        <w:t>ní programových a dotačních titulů.</w:t>
      </w:r>
    </w:p>
    <w:p w:rsidR="008C1143" w:rsidRPr="004A4201" w:rsidRDefault="00600574" w:rsidP="004A4201">
      <w:pPr>
        <w:pStyle w:val="Nadpis3"/>
      </w:pPr>
      <w:bookmarkStart w:id="73" w:name="_Toc491355972"/>
      <w:r w:rsidRPr="007D5EB5">
        <w:t xml:space="preserve">Standardizace, hodnocení a zvyšování dostupnosti a transparentnosti veřejné správy prostřednictvím nástrojů </w:t>
      </w:r>
      <w:proofErr w:type="spellStart"/>
      <w:r w:rsidRPr="007D5EB5">
        <w:t>eGovernmentu</w:t>
      </w:r>
      <w:bookmarkEnd w:id="73"/>
      <w:proofErr w:type="spellEnd"/>
    </w:p>
    <w:p w:rsidR="008C1143" w:rsidRPr="005D7386" w:rsidRDefault="003D2999" w:rsidP="004A4201">
      <w:pPr>
        <w:pStyle w:val="Plnovanopaten"/>
      </w:pPr>
      <w:r w:rsidRPr="00D97AD9">
        <w:t>Plánovaná opatření</w:t>
      </w:r>
    </w:p>
    <w:p w:rsidR="008C1143" w:rsidRPr="004E399E" w:rsidRDefault="003D2999" w:rsidP="005D7386">
      <w:pPr>
        <w:pStyle w:val="Nadpis2"/>
      </w:pPr>
      <w:bookmarkStart w:id="74" w:name="_Toc490228401"/>
      <w:bookmarkStart w:id="75" w:name="_Toc490228468"/>
      <w:bookmarkStart w:id="76" w:name="_Toc491355973"/>
      <w:r w:rsidRPr="005D7386">
        <w:t>Využívání prvků procesního řízení a zavedení standardů vybraných agend</w:t>
      </w:r>
      <w:bookmarkEnd w:id="74"/>
      <w:bookmarkEnd w:id="75"/>
      <w:bookmarkEnd w:id="76"/>
    </w:p>
    <w:p w:rsidR="00737313" w:rsidRPr="006D6603" w:rsidRDefault="00737313" w:rsidP="00AC2EBC">
      <w:pPr>
        <w:pStyle w:val="NOPil3"/>
        <w:rPr>
          <w:b w:val="0"/>
          <w:i/>
        </w:rPr>
      </w:pPr>
      <w:r w:rsidRPr="00AC2EBC">
        <w:t>Výběr agend k vypracování procesního popisu / modelu, tvorba modelu, zhodnocení přínosů a nákladů metody u modelovaných agend</w:t>
      </w:r>
      <w:r w:rsidR="00E86682" w:rsidRPr="00AC2EBC">
        <w:t>.</w:t>
      </w:r>
      <w:r w:rsidRPr="00AC2EBC">
        <w:t xml:space="preserve"> </w:t>
      </w:r>
      <w:r w:rsidRPr="006D6603">
        <w:rPr>
          <w:b w:val="0"/>
          <w:i/>
        </w:rPr>
        <w:t>Termín: 2020+, gestor MV.</w:t>
      </w:r>
    </w:p>
    <w:p w:rsidR="00737313" w:rsidRPr="004A4201" w:rsidRDefault="00737313" w:rsidP="004A4201">
      <w:r w:rsidRPr="004E399E">
        <w:t>V rámci projektu Podpora tvorby standardů pro výkon agend veřejné správy proběhl</w:t>
      </w:r>
      <w:r>
        <w:t>a</w:t>
      </w:r>
      <w:r w:rsidRPr="004E399E">
        <w:t xml:space="preserve"> </w:t>
      </w:r>
      <w:proofErr w:type="spellStart"/>
      <w:r>
        <w:t>prioritizace</w:t>
      </w:r>
      <w:proofErr w:type="spellEnd"/>
      <w:r w:rsidRPr="004E399E">
        <w:t xml:space="preserve"> agend</w:t>
      </w:r>
      <w:r>
        <w:t xml:space="preserve">, které byly navrženy na základě usnesení vlády ze dne 7. ledna 2015 č. 6 k optimalizaci, </w:t>
      </w:r>
      <w:r w:rsidR="00AE36FF">
        <w:t>případně</w:t>
      </w:r>
      <w:r>
        <w:t xml:space="preserve"> standardizaci</w:t>
      </w:r>
      <w:r w:rsidRPr="004E399E">
        <w:t xml:space="preserve">. </w:t>
      </w:r>
      <w:r>
        <w:t xml:space="preserve">Momentálně je rozpracována část agendy A1154, což je „státní sociální podpora“, dále pak jsou analyzovány procesy v rámci agendy A121 „živnostenské podnikání“. V usnesení vlády </w:t>
      </w:r>
      <w:r w:rsidR="002810BA">
        <w:t xml:space="preserve">č. </w:t>
      </w:r>
      <w:r>
        <w:t xml:space="preserve">565/2015 v příloze 1 je uveden seznam všech agend, které byly schváleny vládou. </w:t>
      </w:r>
      <w:r w:rsidRPr="004E399E">
        <w:t xml:space="preserve">Opatření bude nyní realizováno prostřednictvím projektu </w:t>
      </w:r>
      <w:r w:rsidRPr="004E399E">
        <w:lastRenderedPageBreak/>
        <w:t>„Využívání prvků procesního řízení a zavedení standardů pro výkon prioritních agend veřejné správy“, jehož cílem bude především optimalizace procesního řízení výkonu agend.</w:t>
      </w:r>
      <w:r>
        <w:t xml:space="preserve"> Sem lze zahrnout též postupnou digitalizaci procesních záležitostí souvisejících s přípravou a prováděním staveb </w:t>
      </w:r>
      <w:r w:rsidR="00AE36FF">
        <w:t>například</w:t>
      </w:r>
      <w:r>
        <w:t xml:space="preserve"> při územním plánování, umisťování a povolování staveb apod. Aktualizace postupu prací na projektu PMA III. je uvedena v usnesení vlády </w:t>
      </w:r>
      <w:r w:rsidR="002810BA">
        <w:t xml:space="preserve">č. </w:t>
      </w:r>
      <w:r>
        <w:t>14/2014.</w:t>
      </w:r>
    </w:p>
    <w:p w:rsidR="00737313" w:rsidRPr="00D97AD9" w:rsidRDefault="00737313" w:rsidP="004A4201">
      <w:pPr>
        <w:pStyle w:val="NOPil3"/>
      </w:pPr>
      <w:r w:rsidRPr="00D97AD9">
        <w:t>Standardizace vybraných agend</w:t>
      </w:r>
      <w:r w:rsidR="00E86682">
        <w:t>.</w:t>
      </w:r>
      <w:r>
        <w:t xml:space="preserve"> </w:t>
      </w:r>
      <w:r w:rsidRPr="004A4201">
        <w:rPr>
          <w:b w:val="0"/>
          <w:i/>
        </w:rPr>
        <w:t>Termín: 2020+, gestor MV.</w:t>
      </w:r>
    </w:p>
    <w:p w:rsidR="00890E96" w:rsidRPr="007D5EB5" w:rsidRDefault="00737313" w:rsidP="004A4201">
      <w:r>
        <w:t>Projekt bude mít mnoho různých přínosů, občanům a podnikatelům zásadně usnadní využívání služeb veřejné správy, obcím a krajům pomůže zvýšit kvalitu a efektivitu výkonu služeb, gestorům agend vytvoří transparentní nástroje pro řízení agend a vládě poskytn</w:t>
      </w:r>
      <w:r w:rsidR="00477679">
        <w:t>e</w:t>
      </w:r>
      <w:r>
        <w:t xml:space="preserve"> nástroj pro strategické řízení veřejné správy. </w:t>
      </w:r>
      <w:r w:rsidRPr="0025115E">
        <w:t xml:space="preserve">V návaznosti na výstupy projektu k pilotnímu ověření standardizace agend bude připravena metodika tvorby standardů agend veřejné správy, budou identifikovány agendy vhodné ke standardizaci a budou vytvořeny jejich procesní a nákladové </w:t>
      </w:r>
      <w:r>
        <w:t>modely</w:t>
      </w:r>
      <w:r w:rsidRPr="0025115E">
        <w:t xml:space="preserve">, včetně </w:t>
      </w:r>
      <w:r>
        <w:t>návrhů na</w:t>
      </w:r>
      <w:r w:rsidRPr="0025115E">
        <w:t xml:space="preserve"> zakotvení </w:t>
      </w:r>
      <w:r>
        <w:t xml:space="preserve">zmíněných </w:t>
      </w:r>
      <w:r w:rsidRPr="0025115E">
        <w:t xml:space="preserve">standardů v legislativě upravující výkon agend.  </w:t>
      </w:r>
      <w:r w:rsidR="00890E96" w:rsidRPr="0025115E">
        <w:t xml:space="preserve"> </w:t>
      </w:r>
    </w:p>
    <w:p w:rsidR="008C1143" w:rsidRPr="0025115E" w:rsidRDefault="003D2999" w:rsidP="007D5EB5">
      <w:pPr>
        <w:pStyle w:val="Nadpis2"/>
      </w:pPr>
      <w:bookmarkStart w:id="77" w:name="_Toc490228402"/>
      <w:bookmarkStart w:id="78" w:name="_Toc490228469"/>
      <w:bookmarkStart w:id="79" w:name="_Toc491355974"/>
      <w:r w:rsidRPr="009A31F5">
        <w:t>Zavedení systému hodnocení veřejné správy</w:t>
      </w:r>
      <w:bookmarkEnd w:id="77"/>
      <w:bookmarkEnd w:id="78"/>
      <w:bookmarkEnd w:id="79"/>
    </w:p>
    <w:p w:rsidR="008C1143" w:rsidRPr="004A4201" w:rsidRDefault="00A9632E" w:rsidP="00AC2EBC">
      <w:pPr>
        <w:pStyle w:val="NOPil3"/>
        <w:rPr>
          <w:b w:val="0"/>
          <w:i/>
        </w:rPr>
      </w:pPr>
      <w:r w:rsidRPr="0025115E">
        <w:t>Nastavení systému hodnocení a měření</w:t>
      </w:r>
      <w:r w:rsidR="00E86682">
        <w:t>.</w:t>
      </w:r>
      <w:r w:rsidR="00770FA3" w:rsidRPr="0025115E">
        <w:t xml:space="preserve"> </w:t>
      </w:r>
      <w:r w:rsidRPr="004A4201">
        <w:rPr>
          <w:b w:val="0"/>
          <w:i/>
        </w:rPr>
        <w:t>Termín:</w:t>
      </w:r>
      <w:r w:rsidR="00AA07CA" w:rsidRPr="004A4201">
        <w:rPr>
          <w:b w:val="0"/>
          <w:i/>
        </w:rPr>
        <w:t xml:space="preserve"> </w:t>
      </w:r>
      <w:r w:rsidRPr="004A4201">
        <w:rPr>
          <w:b w:val="0"/>
          <w:i/>
        </w:rPr>
        <w:t>2018, gestor MV</w:t>
      </w:r>
      <w:r w:rsidR="00AA07CA" w:rsidRPr="004A4201">
        <w:rPr>
          <w:b w:val="0"/>
          <w:i/>
        </w:rPr>
        <w:t>.</w:t>
      </w:r>
    </w:p>
    <w:p w:rsidR="004635CB" w:rsidRPr="004A4201" w:rsidRDefault="00A9632E" w:rsidP="004A4201">
      <w:r w:rsidRPr="0025115E">
        <w:t>Cílem je zavést účinný systém měření a hodnocení veřejné správy jako nástroje pro zvyšování její kvality v souladu s principy účinnosti, efektivnosti a hospodárnosti.</w:t>
      </w:r>
    </w:p>
    <w:p w:rsidR="008C1143" w:rsidRPr="0025115E" w:rsidRDefault="00A9632E" w:rsidP="004A4201">
      <w:pPr>
        <w:pStyle w:val="NOPil3"/>
      </w:pPr>
      <w:r w:rsidRPr="0025115E">
        <w:t>Metodika sběru dat</w:t>
      </w:r>
      <w:r w:rsidR="00E86682">
        <w:t>.</w:t>
      </w:r>
      <w:r w:rsidR="00770FA3" w:rsidRPr="0025115E">
        <w:t xml:space="preserve"> </w:t>
      </w:r>
      <w:r w:rsidRPr="004A4201">
        <w:rPr>
          <w:b w:val="0"/>
          <w:i/>
        </w:rPr>
        <w:t>Termín: 4Q 2017, gestor MV</w:t>
      </w:r>
      <w:r w:rsidR="008B24A0" w:rsidRPr="004A4201">
        <w:rPr>
          <w:b w:val="0"/>
          <w:i/>
        </w:rPr>
        <w:t>.</w:t>
      </w:r>
    </w:p>
    <w:p w:rsidR="004635CB" w:rsidRPr="004A4201" w:rsidRDefault="00A9632E" w:rsidP="004A4201">
      <w:r w:rsidRPr="0025115E">
        <w:t>Vytvořený systém měření a hodnocení umožní lépe hodnotit výkon veřejné správy. Dále umožní stanovit, jakých výsledků bylo v rozvoji veřejné správy dosaženo, a určí priority dalšího směřování rozvoje veřejné správy.</w:t>
      </w:r>
    </w:p>
    <w:p w:rsidR="008C1143" w:rsidRPr="004A4201" w:rsidRDefault="00A9632E" w:rsidP="004A4201">
      <w:pPr>
        <w:pStyle w:val="NOPil3"/>
        <w:rPr>
          <w:b w:val="0"/>
          <w:i/>
        </w:rPr>
      </w:pPr>
      <w:r w:rsidRPr="0025115E">
        <w:t>Implementace navrženého řešení</w:t>
      </w:r>
      <w:r w:rsidR="00E86682">
        <w:t>.</w:t>
      </w:r>
      <w:r w:rsidR="00770FA3" w:rsidRPr="0025115E">
        <w:t xml:space="preserve"> </w:t>
      </w:r>
      <w:r w:rsidRPr="004A4201">
        <w:rPr>
          <w:b w:val="0"/>
          <w:i/>
        </w:rPr>
        <w:t>Termín:</w:t>
      </w:r>
      <w:r w:rsidR="008B24A0" w:rsidRPr="004A4201">
        <w:rPr>
          <w:b w:val="0"/>
          <w:i/>
        </w:rPr>
        <w:t xml:space="preserve"> </w:t>
      </w:r>
      <w:r w:rsidRPr="004A4201">
        <w:rPr>
          <w:b w:val="0"/>
          <w:i/>
        </w:rPr>
        <w:t>2020, gestor</w:t>
      </w:r>
      <w:r w:rsidR="008B24A0" w:rsidRPr="004A4201">
        <w:rPr>
          <w:b w:val="0"/>
          <w:i/>
        </w:rPr>
        <w:t>:</w:t>
      </w:r>
      <w:r w:rsidRPr="004A4201">
        <w:rPr>
          <w:b w:val="0"/>
          <w:i/>
        </w:rPr>
        <w:t xml:space="preserve"> MV</w:t>
      </w:r>
      <w:r w:rsidR="008B24A0" w:rsidRPr="004A4201">
        <w:rPr>
          <w:b w:val="0"/>
          <w:i/>
        </w:rPr>
        <w:t>.</w:t>
      </w:r>
    </w:p>
    <w:p w:rsidR="00477679" w:rsidRPr="004A4201" w:rsidRDefault="00A9632E" w:rsidP="004A4201">
      <w:r w:rsidRPr="0025115E">
        <w:t>Cílem je implementovat systém měření a hodnocení výkonu veřejné správy a zpracování výročních zpráv o stavu veřejné správy ČR.</w:t>
      </w:r>
    </w:p>
    <w:p w:rsidR="004A7217" w:rsidRDefault="005320E0" w:rsidP="004A4201">
      <w:pPr>
        <w:pStyle w:val="NOPil3"/>
      </w:pPr>
      <w:r w:rsidRPr="004A7217">
        <w:t>Vyhodnocení využívání digitálních nástrojů v rámci ministerstev a dalších</w:t>
      </w:r>
      <w:r w:rsidR="004A4201">
        <w:t xml:space="preserve"> ústředních orgánů státní správy. </w:t>
      </w:r>
      <w:r w:rsidR="004A4201">
        <w:rPr>
          <w:b w:val="0"/>
          <w:i/>
        </w:rPr>
        <w:t>Termín: 4Q 2017, gestor: MV, koordinátor, resorty, ústřední orgány státní správy.</w:t>
      </w:r>
    </w:p>
    <w:p w:rsidR="005320E0" w:rsidRDefault="005320E0" w:rsidP="004A4201">
      <w:r w:rsidRPr="00D97AD9">
        <w:t>Koordinátor bude pokračovat v nastolené diskusi s resorty a dalšími ústředními orgány státní správy, která povede nejprve ke zmapování stávajícího stavu využívání digitálních nástrojů v rámci státní správy a dále, pokud bude shledána tato potřeba, k vytvoření interních metodických pokynů pro používání výhradně elektronické formy komunikace v těchto institucích a mezi nimi.</w:t>
      </w:r>
      <w:r>
        <w:t xml:space="preserve"> </w:t>
      </w:r>
      <w:r w:rsidRPr="00D97AD9">
        <w:t>Současně by tato diskuse měla vést i ke stanovení standardů vybraných informačních systémů (</w:t>
      </w:r>
      <w:r w:rsidR="00AE36FF">
        <w:t>například</w:t>
      </w:r>
      <w:r w:rsidRPr="00D97AD9">
        <w:t xml:space="preserve"> spisové služby, ekonomické systémy) tak, aby se maximálně využilo výhod tržního konkurenčního prostředí při jejich dodávce vůči orgánům veřejné moci a nedocházelo přímo nebo nepřímo k vytváření monopolního postavení jediného dodavatele (</w:t>
      </w:r>
      <w:proofErr w:type="spellStart"/>
      <w:r w:rsidRPr="00D97AD9">
        <w:t>vendor</w:t>
      </w:r>
      <w:proofErr w:type="spellEnd"/>
      <w:r>
        <w:t xml:space="preserve"> </w:t>
      </w:r>
      <w:proofErr w:type="spellStart"/>
      <w:r w:rsidRPr="00D97AD9">
        <w:t>lock</w:t>
      </w:r>
      <w:proofErr w:type="spellEnd"/>
      <w:r w:rsidRPr="00D97AD9">
        <w:t>-in) nebo k nedovolené veřejné podpoře.</w:t>
      </w:r>
    </w:p>
    <w:p w:rsidR="001655BE" w:rsidRDefault="001655BE" w:rsidP="00816E53"/>
    <w:p w:rsidR="00E42036" w:rsidRPr="004A4201" w:rsidRDefault="002A20AF" w:rsidP="004A4201">
      <w:pPr>
        <w:pStyle w:val="Nadpis2"/>
      </w:pPr>
      <w:bookmarkStart w:id="80" w:name="_Toc488148822"/>
      <w:bookmarkStart w:id="81" w:name="_Toc490228403"/>
      <w:bookmarkStart w:id="82" w:name="_Toc490228470"/>
      <w:bookmarkStart w:id="83" w:name="_Toc491355975"/>
      <w:r w:rsidRPr="00207385">
        <w:lastRenderedPageBreak/>
        <w:t xml:space="preserve">Zvýšení dostupnosti a transparentnosti veřejné </w:t>
      </w:r>
      <w:r w:rsidR="001655BE">
        <w:t xml:space="preserve">správy prostřednictvím nástrojů </w:t>
      </w:r>
      <w:proofErr w:type="spellStart"/>
      <w:r w:rsidRPr="00207385">
        <w:t>eGovernmentu</w:t>
      </w:r>
      <w:bookmarkEnd w:id="80"/>
      <w:bookmarkEnd w:id="81"/>
      <w:bookmarkEnd w:id="82"/>
      <w:bookmarkEnd w:id="83"/>
      <w:proofErr w:type="spellEnd"/>
    </w:p>
    <w:p w:rsidR="000E4AEB" w:rsidRPr="004A4201" w:rsidRDefault="000E4AEB" w:rsidP="004A4201">
      <w:pPr>
        <w:pStyle w:val="NOPil3"/>
        <w:rPr>
          <w:rFonts w:eastAsiaTheme="minorHAnsi"/>
          <w:b w:val="0"/>
          <w:color w:val="000000"/>
          <w:szCs w:val="22"/>
        </w:rPr>
      </w:pPr>
      <w:r w:rsidRPr="00E42036">
        <w:t>Vybudovat Portál občana, jakožto transakční část Portálu veřejné správy</w:t>
      </w:r>
      <w:r w:rsidR="00E86682">
        <w:t>.</w:t>
      </w:r>
      <w:r w:rsidRPr="00E42036">
        <w:t xml:space="preserve"> </w:t>
      </w:r>
      <w:r w:rsidR="00E42036" w:rsidRPr="004A4201">
        <w:rPr>
          <w:b w:val="0"/>
          <w:i/>
        </w:rPr>
        <w:t>T</w:t>
      </w:r>
      <w:r w:rsidRPr="004A4201">
        <w:rPr>
          <w:b w:val="0"/>
          <w:i/>
        </w:rPr>
        <w:t xml:space="preserve">ermín: </w:t>
      </w:r>
      <w:r w:rsidR="001041FD" w:rsidRPr="004A4201">
        <w:rPr>
          <w:b w:val="0"/>
          <w:i/>
        </w:rPr>
        <w:t>2Q</w:t>
      </w:r>
      <w:r w:rsidRPr="004A4201">
        <w:rPr>
          <w:b w:val="0"/>
          <w:i/>
        </w:rPr>
        <w:t xml:space="preserve"> 2018</w:t>
      </w:r>
      <w:r w:rsidR="00E42036" w:rsidRPr="004A4201">
        <w:rPr>
          <w:b w:val="0"/>
          <w:i/>
        </w:rPr>
        <w:t>, gestor: MV</w:t>
      </w:r>
      <w:r w:rsidR="00E86682" w:rsidRPr="004A4201">
        <w:rPr>
          <w:b w:val="0"/>
          <w:i/>
        </w:rPr>
        <w:t>.</w:t>
      </w:r>
    </w:p>
    <w:p w:rsidR="00AE7A65" w:rsidRPr="006860E2" w:rsidRDefault="000E4AEB" w:rsidP="001041FD">
      <w:pPr>
        <w:rPr>
          <w:lang w:eastAsia="en-US"/>
        </w:rPr>
      </w:pPr>
      <w:r w:rsidRPr="00E42036">
        <w:rPr>
          <w:lang w:eastAsia="en-US"/>
        </w:rPr>
        <w:t xml:space="preserve">Portál občana je dle zákona informační systém veřejné správy zajišťující publikaci informací pro klienty veřejné správy. Pro občana tento portál představuje jeho osobní prostor ve vztahu ke službám orgánů veřejné moci. Vedle rozšíření v současnosti fungujících služeb </w:t>
      </w:r>
      <w:proofErr w:type="spellStart"/>
      <w:r w:rsidRPr="00E42036">
        <w:rPr>
          <w:i/>
          <w:lang w:eastAsia="en-US"/>
        </w:rPr>
        <w:t>CzechPoint</w:t>
      </w:r>
      <w:proofErr w:type="spellEnd"/>
      <w:r w:rsidRPr="00E42036">
        <w:rPr>
          <w:i/>
          <w:lang w:eastAsia="en-US"/>
        </w:rPr>
        <w:t>@</w:t>
      </w:r>
      <w:proofErr w:type="spellStart"/>
      <w:r w:rsidRPr="00E42036">
        <w:rPr>
          <w:i/>
          <w:lang w:eastAsia="en-US"/>
        </w:rPr>
        <w:t>home</w:t>
      </w:r>
      <w:proofErr w:type="spellEnd"/>
      <w:r w:rsidRPr="00E42036">
        <w:rPr>
          <w:lang w:eastAsia="en-US"/>
        </w:rPr>
        <w:t xml:space="preserve"> bude nabízet občanovi zejména realizaci úplného elektronického podání, zajištění výstupů z informačních systémů veřejné správy, informace o stavu jednotlivých úkonů, které občan učinil vůči konkrétním orgánům veřejné moci, klienta pro držitele datových schránek a dále také </w:t>
      </w:r>
      <w:r w:rsidR="00AE36FF">
        <w:rPr>
          <w:lang w:eastAsia="en-US"/>
        </w:rPr>
        <w:t>například</w:t>
      </w:r>
      <w:r w:rsidRPr="00E42036">
        <w:rPr>
          <w:lang w:eastAsia="en-US"/>
        </w:rPr>
        <w:t xml:space="preserve"> osobní archiv dokumentů. Občané budou vstupovat do Portálu občana prostřednictvím přístupu se zaručenou elektronickou identitou, a to buď samoobslužně (pomocí počítače, tabletu a mobilu) nebo </w:t>
      </w:r>
      <w:r w:rsidR="0029235C">
        <w:rPr>
          <w:lang w:eastAsia="en-US"/>
        </w:rPr>
        <w:t>zprostředkovaně</w:t>
      </w:r>
      <w:r w:rsidRPr="00E42036">
        <w:rPr>
          <w:lang w:eastAsia="en-US"/>
        </w:rPr>
        <w:t xml:space="preserve"> z kontaktních míst veřejné správy.</w:t>
      </w:r>
    </w:p>
    <w:p w:rsidR="00A76398" w:rsidRPr="00A76398" w:rsidRDefault="00A76398" w:rsidP="00A76398">
      <w:pPr>
        <w:pStyle w:val="NOPil3"/>
        <w:rPr>
          <w:b w:val="0"/>
          <w:i/>
        </w:rPr>
      </w:pPr>
      <w:r w:rsidRPr="004A7217">
        <w:t>Další fáze klasifikace online služeb veřejné správy a následné rozšíření</w:t>
      </w:r>
      <w:r>
        <w:t xml:space="preserve"> </w:t>
      </w:r>
      <w:r w:rsidRPr="004A7217">
        <w:t>mapování online služeb na úroveň samospráv</w:t>
      </w:r>
      <w:r>
        <w:t xml:space="preserve">. </w:t>
      </w:r>
      <w:r w:rsidRPr="00A76398">
        <w:rPr>
          <w:b w:val="0"/>
          <w:i/>
        </w:rPr>
        <w:t xml:space="preserve">Termín: 3Q – 4Q 2017, gestor: MV, </w:t>
      </w:r>
      <w:proofErr w:type="spellStart"/>
      <w:r w:rsidRPr="00A76398">
        <w:rPr>
          <w:b w:val="0"/>
          <w:i/>
        </w:rPr>
        <w:t>spolugestor</w:t>
      </w:r>
      <w:proofErr w:type="spellEnd"/>
      <w:r w:rsidRPr="00A76398">
        <w:rPr>
          <w:b w:val="0"/>
          <w:i/>
        </w:rPr>
        <w:t>: koordinátor, resorty, orgány státní správy, spolupráce: partneři ze soukromé sféry.</w:t>
      </w:r>
    </w:p>
    <w:p w:rsidR="008C1143" w:rsidRPr="00A76398" w:rsidRDefault="00A655DE" w:rsidP="00A76398">
      <w:pPr>
        <w:rPr>
          <w:b/>
        </w:rPr>
      </w:pPr>
      <w:r>
        <w:t>V rámci plnění tohoto opatření jsme požádali jednotlivé resorty o seznam online služeb, které již poskytují občanům a které plánují v nejbližší době spustit. S tímto seznamem nyní pracují webové stránky Iniciativy 202020. Stejný postup byl využit při mapování online služeb poskytovaných jednotlivými kraji v ČR. Dalším krokem v této oblasti je zmapování služeb na úrovni samospráv. To se ale bude realiz</w:t>
      </w:r>
      <w:r w:rsidR="00721BAF">
        <w:t>ovat až po dokončení klasifikace</w:t>
      </w:r>
      <w:r>
        <w:t xml:space="preserve"> online služeb veřejné správy, kde v současnosti p</w:t>
      </w:r>
      <w:r w:rsidRPr="00E17097">
        <w:t xml:space="preserve">roběhl sběr dat od resortů a pokračuje spolupráce s ICT Unií na vytvoření standardizace online služeb, což bylo podpořeno realizací projektu přes Technologickou agenturu ČR v programu BETA 2. První krok projektu katalogizace služeb byl realizován v rámci programu BETA 2 pod </w:t>
      </w:r>
      <w:r w:rsidR="00AE36FF">
        <w:t>TA ČR</w:t>
      </w:r>
      <w:r w:rsidRPr="00E17097">
        <w:t xml:space="preserve"> s termínem 1Q 2017. Služby jsou </w:t>
      </w:r>
      <w:r>
        <w:t xml:space="preserve">již částečně vytříděny. </w:t>
      </w:r>
      <w:r w:rsidRPr="00E17097">
        <w:t>Nyn</w:t>
      </w:r>
      <w:r>
        <w:t xml:space="preserve">í budou navazovat další kroky </w:t>
      </w:r>
      <w:r w:rsidRPr="00E17097">
        <w:t>směrem k finalizaci projektu a zveřejně</w:t>
      </w:r>
      <w:r>
        <w:t>ní jeho výsledků. Po splnění tohoto opatření budou v budoucnu obdobně zmapovány online služby poskytované samosprávami.</w:t>
      </w:r>
    </w:p>
    <w:p w:rsidR="008C1143" w:rsidRPr="00A76398" w:rsidRDefault="00A9632E" w:rsidP="00A76398">
      <w:pPr>
        <w:pStyle w:val="NOPil3"/>
        <w:rPr>
          <w:b w:val="0"/>
        </w:rPr>
      </w:pPr>
      <w:r w:rsidRPr="0025115E">
        <w:t xml:space="preserve">Příprava </w:t>
      </w:r>
      <w:proofErr w:type="spellStart"/>
      <w:r w:rsidRPr="0025115E">
        <w:t>eGovernment</w:t>
      </w:r>
      <w:proofErr w:type="spellEnd"/>
      <w:r w:rsidR="00E976C7">
        <w:t xml:space="preserve"> </w:t>
      </w:r>
      <w:proofErr w:type="spellStart"/>
      <w:r w:rsidRPr="0025115E">
        <w:t>cloudu</w:t>
      </w:r>
      <w:proofErr w:type="spellEnd"/>
      <w:r w:rsidRPr="0025115E">
        <w:t xml:space="preserve"> ČR</w:t>
      </w:r>
      <w:r w:rsidR="00E86682">
        <w:t>.</w:t>
      </w:r>
      <w:r w:rsidRPr="0025115E">
        <w:t xml:space="preserve"> </w:t>
      </w:r>
      <w:r w:rsidRPr="00A76398">
        <w:rPr>
          <w:b w:val="0"/>
          <w:i/>
        </w:rPr>
        <w:t>Termín: 4Q 2017, gestor</w:t>
      </w:r>
      <w:r w:rsidR="00002276" w:rsidRPr="00A76398">
        <w:rPr>
          <w:b w:val="0"/>
          <w:i/>
        </w:rPr>
        <w:t>:</w:t>
      </w:r>
      <w:r w:rsidRPr="00A76398">
        <w:rPr>
          <w:b w:val="0"/>
          <w:i/>
        </w:rPr>
        <w:t xml:space="preserve"> MV</w:t>
      </w:r>
      <w:r w:rsidR="008B24A0" w:rsidRPr="00A76398">
        <w:rPr>
          <w:b w:val="0"/>
          <w:i/>
        </w:rPr>
        <w:t>.</w:t>
      </w:r>
    </w:p>
    <w:p w:rsidR="00A76398" w:rsidRDefault="00B00B3F" w:rsidP="00A76398">
      <w:r w:rsidRPr="0025115E">
        <w:t xml:space="preserve">Na základě usnesení vlády č. 1050 z listopadu 2016 byl schválen Strategický rámec Národního </w:t>
      </w:r>
      <w:proofErr w:type="spellStart"/>
      <w:r w:rsidRPr="0025115E">
        <w:t>cloud</w:t>
      </w:r>
      <w:proofErr w:type="spellEnd"/>
      <w:r>
        <w:t xml:space="preserve"> </w:t>
      </w:r>
      <w:proofErr w:type="spellStart"/>
      <w:r w:rsidRPr="0025115E">
        <w:t>computingu</w:t>
      </w:r>
      <w:proofErr w:type="spellEnd"/>
      <w:r w:rsidRPr="0025115E">
        <w:t xml:space="preserve"> – </w:t>
      </w:r>
      <w:proofErr w:type="spellStart"/>
      <w:r w:rsidRPr="0025115E">
        <w:t>eGovernment</w:t>
      </w:r>
      <w:proofErr w:type="spellEnd"/>
      <w:r>
        <w:t xml:space="preserve"> </w:t>
      </w:r>
      <w:proofErr w:type="spellStart"/>
      <w:r w:rsidRPr="0025115E">
        <w:t>cloud</w:t>
      </w:r>
      <w:proofErr w:type="spellEnd"/>
      <w:r w:rsidRPr="0025115E">
        <w:t xml:space="preserve"> ČR a byly zahájeny práce na I. fázi – přípravné, realizace projektu Příprava vybudování </w:t>
      </w:r>
      <w:proofErr w:type="spellStart"/>
      <w:r w:rsidRPr="0025115E">
        <w:t>eGovernment</w:t>
      </w:r>
      <w:proofErr w:type="spellEnd"/>
      <w:r>
        <w:t xml:space="preserve"> </w:t>
      </w:r>
      <w:proofErr w:type="spellStart"/>
      <w:r w:rsidRPr="0025115E">
        <w:t>cloudu</w:t>
      </w:r>
      <w:proofErr w:type="spellEnd"/>
      <w:r w:rsidRPr="0025115E">
        <w:t xml:space="preserve">. Za tímto účelem byla v rámci Rady vlády pro informační společnost zřízena pracovní skupina pro Přípravu vybudování </w:t>
      </w:r>
      <w:proofErr w:type="spellStart"/>
      <w:r w:rsidRPr="0025115E">
        <w:t>eGovernment</w:t>
      </w:r>
      <w:proofErr w:type="spellEnd"/>
      <w:r>
        <w:t xml:space="preserve"> </w:t>
      </w:r>
      <w:proofErr w:type="spellStart"/>
      <w:r w:rsidRPr="0025115E">
        <w:t>cloudu</w:t>
      </w:r>
      <w:proofErr w:type="spellEnd"/>
      <w:r w:rsidRPr="0025115E">
        <w:t>, která se podílí na realizaci tohoto projektu a která do konce roku 2017 předloží vládě komplexní analytickou zprávu</w:t>
      </w:r>
      <w:r>
        <w:t>, n</w:t>
      </w:r>
      <w:r w:rsidRPr="0025115E">
        <w:t>a jejím</w:t>
      </w:r>
      <w:r>
        <w:t>ž</w:t>
      </w:r>
      <w:r w:rsidRPr="0025115E">
        <w:t xml:space="preserve"> základě bude rozhodnuto o dalším postupu v oblasti implementace a vybudování </w:t>
      </w:r>
      <w:proofErr w:type="spellStart"/>
      <w:r w:rsidRPr="0025115E">
        <w:t>eGovernment</w:t>
      </w:r>
      <w:proofErr w:type="spellEnd"/>
      <w:r>
        <w:t xml:space="preserve"> </w:t>
      </w:r>
      <w:proofErr w:type="spellStart"/>
      <w:r w:rsidRPr="0025115E">
        <w:t>cloudu</w:t>
      </w:r>
      <w:proofErr w:type="spellEnd"/>
      <w:r w:rsidRPr="0025115E">
        <w:t xml:space="preserve"> v ČR.</w:t>
      </w:r>
    </w:p>
    <w:p w:rsidR="008C1143" w:rsidRPr="00A76398" w:rsidRDefault="00A76398" w:rsidP="006C4752">
      <w:pPr>
        <w:spacing w:after="200"/>
        <w:jc w:val="left"/>
      </w:pPr>
      <w:r>
        <w:br w:type="page"/>
      </w:r>
    </w:p>
    <w:p w:rsidR="008C1143" w:rsidRPr="00A76398" w:rsidRDefault="00A9632E" w:rsidP="00A76398">
      <w:pPr>
        <w:pStyle w:val="NOPil3"/>
        <w:rPr>
          <w:b w:val="0"/>
        </w:rPr>
      </w:pPr>
      <w:r w:rsidRPr="0025115E">
        <w:lastRenderedPageBreak/>
        <w:t xml:space="preserve">Národní architektonický plán </w:t>
      </w:r>
      <w:proofErr w:type="spellStart"/>
      <w:r w:rsidRPr="0025115E">
        <w:t>e</w:t>
      </w:r>
      <w:r w:rsidR="00E62549">
        <w:t>G</w:t>
      </w:r>
      <w:r w:rsidRPr="0025115E">
        <w:t>overnmentu</w:t>
      </w:r>
      <w:proofErr w:type="spellEnd"/>
      <w:r w:rsidR="00E86682">
        <w:t>.</w:t>
      </w:r>
      <w:r w:rsidR="00D96674">
        <w:t xml:space="preserve"> </w:t>
      </w:r>
      <w:r w:rsidRPr="00A76398">
        <w:rPr>
          <w:b w:val="0"/>
          <w:i/>
        </w:rPr>
        <w:t>Termín: průběžně, gestor</w:t>
      </w:r>
      <w:r w:rsidR="00002276" w:rsidRPr="00A76398">
        <w:rPr>
          <w:b w:val="0"/>
          <w:i/>
        </w:rPr>
        <w:t>:</w:t>
      </w:r>
      <w:r w:rsidRPr="00A76398">
        <w:rPr>
          <w:b w:val="0"/>
          <w:i/>
        </w:rPr>
        <w:t xml:space="preserve"> MV</w:t>
      </w:r>
      <w:r w:rsidR="00002276" w:rsidRPr="00A76398">
        <w:rPr>
          <w:b w:val="0"/>
          <w:i/>
        </w:rPr>
        <w:t>.</w:t>
      </w:r>
    </w:p>
    <w:p w:rsidR="00272A4E" w:rsidRPr="00A76398" w:rsidRDefault="00A9632E" w:rsidP="00A76398">
      <w:r w:rsidRPr="0025115E">
        <w:t xml:space="preserve">ČR průběžně aktualizuje koncept Národní architektury ICT ve veřejné správě ČR. Zpracovávaný Národní architektonický plán (NAP) má za cíl zavést jednotný strukturovaný popis služeb veřejné správy prostřednictvím architektonických nástrojů IT; popsat výsledky jednotlivých již realizovaných projektů ve státní správě a vytvořit tím informační základ pro správu sdílených služeb pomocí architektury; a vytvořit strukturovaný popis cílů jednotlivých strategií upravujících oblast </w:t>
      </w:r>
      <w:proofErr w:type="spellStart"/>
      <w:r w:rsidRPr="0025115E">
        <w:t>e</w:t>
      </w:r>
      <w:r w:rsidR="00E62549">
        <w:t>G</w:t>
      </w:r>
      <w:r w:rsidRPr="0025115E">
        <w:t>overnmentu</w:t>
      </w:r>
      <w:proofErr w:type="spellEnd"/>
      <w:r w:rsidRPr="0025115E">
        <w:t xml:space="preserve"> a veřejné správy tak, jak je popsáno ve Strategickém rámci rozvoje veřejné správy ČR pro období 2014–2020. </w:t>
      </w:r>
      <w:r w:rsidR="00E62549">
        <w:t>NAP poskytne orgánům veřejné správy metodické vedení pro řízení IT a výkonu působnosti na základě architektonického přístupu. Architektonické řízení přinese značné úspory a zefe</w:t>
      </w:r>
      <w:r w:rsidR="000264FF">
        <w:t>ktivnění, jakmile bude zasazeno</w:t>
      </w:r>
      <w:r w:rsidR="00E62549">
        <w:t xml:space="preserve"> do pozice strategického řízení a centrálního bodu pro koordinaci změn v organizaci. </w:t>
      </w:r>
      <w:r w:rsidRPr="0025115E">
        <w:t xml:space="preserve">Do této aktivity bude zapojena také samospráva. Odboru Hlavního architekta </w:t>
      </w:r>
      <w:proofErr w:type="spellStart"/>
      <w:r w:rsidRPr="0025115E">
        <w:t>e</w:t>
      </w:r>
      <w:r w:rsidR="00E62549">
        <w:t>G</w:t>
      </w:r>
      <w:r w:rsidRPr="0025115E">
        <w:t>overnmentu</w:t>
      </w:r>
      <w:proofErr w:type="spellEnd"/>
      <w:r w:rsidRPr="0025115E">
        <w:t xml:space="preserve"> (OHA) byly svěřeny pravomoci pro koordinaci a řízení rozvoje ICT ve státní správě ČR. Tyto pravomoci ukládají povinnost nechat si schválit každý záměr vynaložit prostředky na ICT, který přesáhne hranici 6 mil. Kč/rok nebo 30 mil. Kč/5 let, na soulad s principy a pravidly NAP. Významným dopadem posuzování projektů odborem Hlavního architekta </w:t>
      </w:r>
      <w:proofErr w:type="spellStart"/>
      <w:r w:rsidRPr="0025115E">
        <w:t>e</w:t>
      </w:r>
      <w:r w:rsidR="00E62549">
        <w:t>G</w:t>
      </w:r>
      <w:r w:rsidRPr="0025115E">
        <w:t>overnmentu</w:t>
      </w:r>
      <w:proofErr w:type="spellEnd"/>
      <w:r w:rsidRPr="0025115E">
        <w:t xml:space="preserve"> je </w:t>
      </w:r>
      <w:proofErr w:type="spellStart"/>
      <w:r w:rsidRPr="0025115E">
        <w:t>edukativní</w:t>
      </w:r>
      <w:proofErr w:type="spellEnd"/>
      <w:r w:rsidRPr="0025115E">
        <w:t xml:space="preserve"> působení na jednotlivé žadatele. Orgány státní správy s vědomím budoucí nutnosti podávání žádostí o stanovisko OHA postupně začínají zavádět architektonické řízení informačních a komunikačních technologií a jejich rozvoj z pohledu centrálního </w:t>
      </w:r>
      <w:proofErr w:type="spellStart"/>
      <w:r w:rsidRPr="0025115E">
        <w:t>e</w:t>
      </w:r>
      <w:r w:rsidR="00E62549">
        <w:t>G</w:t>
      </w:r>
      <w:r w:rsidRPr="0025115E">
        <w:t>overnmentu</w:t>
      </w:r>
      <w:proofErr w:type="spellEnd"/>
      <w:r w:rsidRPr="0025115E">
        <w:t>.</w:t>
      </w:r>
    </w:p>
    <w:p w:rsidR="008C1143" w:rsidRPr="00A76398" w:rsidRDefault="00A9632E" w:rsidP="00A76398">
      <w:pPr>
        <w:pStyle w:val="NOPil3"/>
        <w:rPr>
          <w:b w:val="0"/>
        </w:rPr>
      </w:pPr>
      <w:r w:rsidRPr="0025115E">
        <w:t>Příprava na Úplné elektronické podání</w:t>
      </w:r>
      <w:r w:rsidR="00E86682">
        <w:t>.</w:t>
      </w:r>
      <w:r w:rsidRPr="0025115E">
        <w:t xml:space="preserve"> </w:t>
      </w:r>
      <w:r w:rsidRPr="00A76398">
        <w:rPr>
          <w:b w:val="0"/>
          <w:i/>
        </w:rPr>
        <w:t xml:space="preserve">Termín: </w:t>
      </w:r>
      <w:r w:rsidR="0081347F" w:rsidRPr="00A76398">
        <w:rPr>
          <w:b w:val="0"/>
          <w:i/>
        </w:rPr>
        <w:t xml:space="preserve">4Q </w:t>
      </w:r>
      <w:r w:rsidRPr="00A76398">
        <w:rPr>
          <w:b w:val="0"/>
          <w:i/>
        </w:rPr>
        <w:t>201</w:t>
      </w:r>
      <w:r w:rsidR="0081347F" w:rsidRPr="00A76398">
        <w:rPr>
          <w:b w:val="0"/>
          <w:i/>
        </w:rPr>
        <w:t>8</w:t>
      </w:r>
      <w:r w:rsidRPr="00A76398">
        <w:rPr>
          <w:b w:val="0"/>
          <w:i/>
        </w:rPr>
        <w:t>, gestor</w:t>
      </w:r>
      <w:r w:rsidR="003F5675" w:rsidRPr="00A76398">
        <w:rPr>
          <w:b w:val="0"/>
          <w:i/>
        </w:rPr>
        <w:t>:</w:t>
      </w:r>
      <w:r w:rsidRPr="00A76398">
        <w:rPr>
          <w:b w:val="0"/>
          <w:i/>
        </w:rPr>
        <w:t xml:space="preserve"> MV</w:t>
      </w:r>
      <w:r w:rsidR="003F5675" w:rsidRPr="00A76398">
        <w:rPr>
          <w:b w:val="0"/>
          <w:i/>
        </w:rPr>
        <w:t>.</w:t>
      </w:r>
    </w:p>
    <w:p w:rsidR="008C1143" w:rsidRPr="00A76398" w:rsidRDefault="00A9632E" w:rsidP="00A76398">
      <w:r w:rsidRPr="0025115E">
        <w:t xml:space="preserve">MV se zaměří na podporu definování a tvorby služeb pro veřejnost, směřujícím k realizaci úplného elektronického podání. Úplné elektronické podání jednak zvýší uživatelský komfort a kvalitu služeb poskytovaných subjekty veřejné správy, ale povede také ke zvýšení využívání služeb </w:t>
      </w:r>
      <w:proofErr w:type="spellStart"/>
      <w:r w:rsidRPr="0025115E">
        <w:t>e</w:t>
      </w:r>
      <w:r w:rsidR="0001231C">
        <w:t>G</w:t>
      </w:r>
      <w:r w:rsidRPr="0025115E">
        <w:t>overnmentu</w:t>
      </w:r>
      <w:proofErr w:type="spellEnd"/>
      <w:r w:rsidRPr="0025115E">
        <w:t xml:space="preserve"> občany ČR. Současně bude provedena i analýza stavu připravenosti úřadů na úplné elektronické podání. V průběhu roku 201</w:t>
      </w:r>
      <w:r w:rsidR="0081347F">
        <w:t>8</w:t>
      </w:r>
      <w:r w:rsidRPr="0025115E">
        <w:t xml:space="preserve"> budou připraveny metodické dokumenty a doporučení k řešení úplného elektronického podání na legislativní, motivační, procesní i technické rovině. Tyto metodické dokumenty a doporučení pak budou sloužit pro realizaci opatření k nasazení úplného elektronického podání ve vybraných agendách veřejné správy.</w:t>
      </w:r>
    </w:p>
    <w:p w:rsidR="008C1143" w:rsidRPr="00A76398" w:rsidRDefault="00A9632E" w:rsidP="00A76398">
      <w:pPr>
        <w:pStyle w:val="NOPil3"/>
        <w:rPr>
          <w:b w:val="0"/>
        </w:rPr>
      </w:pPr>
      <w:r w:rsidRPr="0025115E">
        <w:t>Zakotvení elektronické identity</w:t>
      </w:r>
      <w:r w:rsidR="00E86682">
        <w:t>.</w:t>
      </w:r>
      <w:r w:rsidRPr="0025115E">
        <w:t xml:space="preserve"> </w:t>
      </w:r>
      <w:r w:rsidRPr="00A76398">
        <w:rPr>
          <w:b w:val="0"/>
          <w:i/>
        </w:rPr>
        <w:t>Termín: 3Q 2018, gestor</w:t>
      </w:r>
      <w:r w:rsidR="00267B9F" w:rsidRPr="00A76398">
        <w:rPr>
          <w:b w:val="0"/>
          <w:i/>
        </w:rPr>
        <w:t>:</w:t>
      </w:r>
      <w:r w:rsidRPr="00A76398">
        <w:rPr>
          <w:b w:val="0"/>
          <w:i/>
        </w:rPr>
        <w:t xml:space="preserve"> MV</w:t>
      </w:r>
      <w:r w:rsidR="00267B9F" w:rsidRPr="00A76398">
        <w:rPr>
          <w:b w:val="0"/>
          <w:i/>
        </w:rPr>
        <w:t>.</w:t>
      </w:r>
    </w:p>
    <w:p w:rsidR="004635CB" w:rsidRDefault="00A9632E" w:rsidP="00A76398">
      <w:r w:rsidRPr="0025115E">
        <w:t xml:space="preserve">Důvěryhodná a bezpečná elektronická identita je nezbytným předpokladem realizace úplného elektronického podání ve veřejné správě. Cílem je implementovat důvěryhodnou a bezpečnou elektronickou identitu </w:t>
      </w:r>
      <w:r w:rsidR="00E3751E">
        <w:t>fyzických osob</w:t>
      </w:r>
      <w:r w:rsidRPr="0025115E">
        <w:t xml:space="preserve"> pro on-line služby,</w:t>
      </w:r>
      <w:r w:rsidR="00D96674">
        <w:t xml:space="preserve"> </w:t>
      </w:r>
      <w:r w:rsidRPr="0025115E">
        <w:t xml:space="preserve">respektující zásady nařízení </w:t>
      </w:r>
      <w:proofErr w:type="spellStart"/>
      <w:r w:rsidRPr="0025115E">
        <w:t>eIDAS</w:t>
      </w:r>
      <w:proofErr w:type="spellEnd"/>
      <w:r w:rsidR="00457AA9">
        <w:t xml:space="preserve"> </w:t>
      </w:r>
      <w:r w:rsidRPr="0025115E">
        <w:t>v oblasti elektronické identifikace pro mezinárodní interoperabilitu.</w:t>
      </w:r>
      <w:r w:rsidR="00E86682">
        <w:t xml:space="preserve"> </w:t>
      </w:r>
      <w:r w:rsidRPr="0025115E">
        <w:t xml:space="preserve">Ustanovení nařízení </w:t>
      </w:r>
      <w:proofErr w:type="spellStart"/>
      <w:r w:rsidRPr="0025115E">
        <w:t>eIDAS</w:t>
      </w:r>
      <w:proofErr w:type="spellEnd"/>
      <w:r w:rsidRPr="0025115E">
        <w:t xml:space="preserve"> o využívání systémů elektronické identifikace budou aplikovatelná od září roku 2018, a proto je nezbytné přijmout i související vnitrostátní právní úpravu regulující tuto problematiku.</w:t>
      </w:r>
    </w:p>
    <w:p w:rsidR="00E86682" w:rsidRPr="0025115E" w:rsidRDefault="00E86682" w:rsidP="00554F88">
      <w:pPr>
        <w:pStyle w:val="Default"/>
        <w:tabs>
          <w:tab w:val="left" w:pos="709"/>
        </w:tabs>
        <w:spacing w:line="276" w:lineRule="auto"/>
        <w:jc w:val="both"/>
        <w:rPr>
          <w:color w:val="auto"/>
          <w:sz w:val="22"/>
          <w:szCs w:val="22"/>
        </w:rPr>
      </w:pPr>
    </w:p>
    <w:p w:rsidR="008C1143" w:rsidRPr="0025115E" w:rsidRDefault="00A9632E" w:rsidP="00A76398">
      <w:r w:rsidRPr="0025115E">
        <w:t xml:space="preserve">Ve finále je proces právního zakotvení elektronické identity a úpravy právního jednání osob využívajících prostředky elektronické identity včetně právních účinků takového jednání tak, aby bylo umožněno vedle elektronického občanského průkazu využít i jiných důvěryhodných </w:t>
      </w:r>
      <w:r w:rsidRPr="0025115E">
        <w:lastRenderedPageBreak/>
        <w:t xml:space="preserve">prostředků k ověření identity </w:t>
      </w:r>
      <w:r w:rsidR="00AE36FF">
        <w:t>například</w:t>
      </w:r>
      <w:r w:rsidRPr="0025115E">
        <w:t xml:space="preserve"> v systému internetového bankovnictví. Návrh zákona o elektronické identifikaci je navrhován jako obecný právní předpis pro prokazování totožnosti elektronickými prostředky, jiné zákony pak mohou pro konkrétní služby veřejného sektoru zvolit odlišnou právní úpravu a využívat jiná řešení. </w:t>
      </w:r>
    </w:p>
    <w:p w:rsidR="000C3127" w:rsidRPr="0025115E" w:rsidRDefault="001041FD" w:rsidP="00A76398">
      <w:r w:rsidRPr="00B76D4E">
        <w:t xml:space="preserve">Návrh tohoto zákona i související změnový zákon byl schválen vládou, Poslaneckou sněmovnou i Senátem. </w:t>
      </w:r>
      <w:r w:rsidR="00176B32">
        <w:t>Byl podepsán prezidentem republiky 31. července 2017.</w:t>
      </w:r>
      <w:r w:rsidRPr="00B76D4E">
        <w:t xml:space="preserve"> Termín účinnosti zákonů se předpokládá na 1. července 2018.</w:t>
      </w:r>
    </w:p>
    <w:p w:rsidR="00E86682" w:rsidRPr="0025115E" w:rsidRDefault="00A9632E" w:rsidP="00A76398">
      <w:r w:rsidRPr="0025115E">
        <w:t>Za účelem uskutečnění návrhu zákona o elektronické identifikaci, který vychází z</w:t>
      </w:r>
      <w:r w:rsidR="00A90AC6">
        <w:t xml:space="preserve"> </w:t>
      </w:r>
      <w:r w:rsidRPr="0025115E">
        <w:t xml:space="preserve">nařízení </w:t>
      </w:r>
      <w:proofErr w:type="spellStart"/>
      <w:r w:rsidRPr="0025115E">
        <w:t>eIDAS</w:t>
      </w:r>
      <w:proofErr w:type="spellEnd"/>
      <w:r w:rsidRPr="0025115E">
        <w:t xml:space="preserve">, nadále pokračuje práce na vybudování informačního systému, který bude sloužit pro potřeby elektronického podání a elektronické identifikace nejen na národní úrovni, ale bude kompatibilní i s přeshraničními systémy elektronické identifikace. Na základě Národního </w:t>
      </w:r>
      <w:proofErr w:type="spellStart"/>
      <w:r w:rsidRPr="0025115E">
        <w:t>identitního</w:t>
      </w:r>
      <w:proofErr w:type="spellEnd"/>
      <w:r w:rsidRPr="0025115E">
        <w:t xml:space="preserve"> schématu bude vytvořen informační systém Národního bodu pro identifikaci a autentizaci, který je v současnosti ve fázi výstavby a měl by být k dispozici před nabytím účinnosti zákona o elektronické identifikaci, tj. před 1. červencem 2018. </w:t>
      </w:r>
    </w:p>
    <w:p w:rsidR="00816E53" w:rsidRPr="00A76398" w:rsidRDefault="00A9632E" w:rsidP="00A76398">
      <w:r w:rsidRPr="0025115E">
        <w:t xml:space="preserve">MV bude kontrolovat plnění usnesení vlády ČR č. 265 ze dne 30. 3. 2016. </w:t>
      </w:r>
      <w:r w:rsidRPr="0025115E">
        <w:br/>
        <w:t xml:space="preserve">V případě prodlení některých resortů nebo ústředních správních orgánů zajistí koordinační kroky tak, aby termín usnesení vlády 28. 9. 2018 byl splněn. Tyto kroky a stav plnění budou pravidelně aktualizovány v Souhrnné zprávě o stavu připravenosti informačních systémů veřejné správy na vstup nařízení </w:t>
      </w:r>
      <w:proofErr w:type="spellStart"/>
      <w:r w:rsidRPr="0025115E">
        <w:t>eIDAS</w:t>
      </w:r>
      <w:proofErr w:type="spellEnd"/>
      <w:r w:rsidR="008A3A38">
        <w:t xml:space="preserve"> </w:t>
      </w:r>
      <w:r w:rsidRPr="0025115E">
        <w:t xml:space="preserve">v účinnost. </w:t>
      </w:r>
      <w:r w:rsidRPr="00606768">
        <w:rPr>
          <w:i/>
        </w:rPr>
        <w:t>Termín: 2017/2018 – čtvrtletní plnění.</w:t>
      </w:r>
    </w:p>
    <w:p w:rsidR="008C1143" w:rsidRPr="00A76398" w:rsidRDefault="00A9632E" w:rsidP="00A76398">
      <w:pPr>
        <w:pStyle w:val="NOPil3"/>
        <w:rPr>
          <w:b w:val="0"/>
          <w:i/>
        </w:rPr>
      </w:pPr>
      <w:r w:rsidRPr="0025115E">
        <w:t>Občanské průkazy s elektronickým čipem</w:t>
      </w:r>
      <w:r w:rsidR="00E86682">
        <w:t>.</w:t>
      </w:r>
      <w:r w:rsidRPr="0025115E">
        <w:t xml:space="preserve"> </w:t>
      </w:r>
      <w:r w:rsidRPr="00A76398">
        <w:rPr>
          <w:b w:val="0"/>
          <w:i/>
        </w:rPr>
        <w:t>Termín: 3Q 2018, gestor</w:t>
      </w:r>
      <w:r w:rsidR="003D1A53" w:rsidRPr="00A76398">
        <w:rPr>
          <w:b w:val="0"/>
          <w:i/>
        </w:rPr>
        <w:t>:</w:t>
      </w:r>
      <w:r w:rsidRPr="00A76398">
        <w:rPr>
          <w:b w:val="0"/>
          <w:i/>
        </w:rPr>
        <w:t xml:space="preserve"> MV</w:t>
      </w:r>
      <w:r w:rsidR="003D1A53" w:rsidRPr="00A76398">
        <w:rPr>
          <w:b w:val="0"/>
          <w:i/>
        </w:rPr>
        <w:t>.</w:t>
      </w:r>
    </w:p>
    <w:p w:rsidR="00EE5381" w:rsidRPr="0025115E" w:rsidRDefault="00A9632E" w:rsidP="00A76398">
      <w:r w:rsidRPr="0025115E">
        <w:t>Připravuje se vydávání „nového“ elektronického občanského průkazu, který bude vždy vybaven kontaktním elektronickým čipem, na kterém bude již při výrobě nahrán identifikační certifikát občanského průkazu. Nebude se již vybírat správní poplatek za umístění kontaktního elektronického čipu na občanském průkazu. Zmiňovaný „nový“ občanský průkaz se stane základním nástrojem sloužícím občanům pro prezenční i vzdálené prokázání totožnosti s nejvyšší úrovní důvěry zaštítěné ČR. S využitím elektronického občanského průkazu, se občanům například naskytne možnost získat své údaje z registru obyvatel, daňového portálu a dalších úředních systémů a zároveň vznikne jednodušší možnost elektronické komunikace se státem. Ověřování totožnosti by mělo být jednodušší a šlo by provést nejen na úřadě</w:t>
      </w:r>
      <w:r w:rsidR="002810BA">
        <w:t>,</w:t>
      </w:r>
      <w:r w:rsidRPr="0025115E">
        <w:t xml:space="preserve"> ale i na dálku (on-line). Občané by také mohli dokumenty podávat přímo z domova a nemuseli by se dostavovat osobně na úřad. Stát tím nabídne automaticky každému držiteli občanského průkazu možnost elektronické identifikace na nejvyšším stupni důvěry podle nařízení </w:t>
      </w:r>
      <w:proofErr w:type="spellStart"/>
      <w:r w:rsidRPr="0025115E">
        <w:t>eIDAS</w:t>
      </w:r>
      <w:proofErr w:type="spellEnd"/>
      <w:r w:rsidRPr="0025115E">
        <w:t xml:space="preserve">. </w:t>
      </w:r>
    </w:p>
    <w:p w:rsidR="00940B40" w:rsidRDefault="00EE5381" w:rsidP="00A76398">
      <w:r w:rsidRPr="0025115E">
        <w:t>Návrh zákona, kterým se mění zákon o občanských průkazech, byl schválen Poslaneckou sněmovnou</w:t>
      </w:r>
      <w:r>
        <w:t xml:space="preserve"> i </w:t>
      </w:r>
      <w:r w:rsidR="00A7636B">
        <w:t>ve</w:t>
      </w:r>
      <w:r>
        <w:t xml:space="preserve"> Výborech</w:t>
      </w:r>
      <w:r w:rsidRPr="0025115E">
        <w:t xml:space="preserve"> Senátu.</w:t>
      </w:r>
      <w:r>
        <w:t xml:space="preserve"> </w:t>
      </w:r>
      <w:r w:rsidR="001041FD" w:rsidRPr="00FD230B">
        <w:t>V červnu byl zákon podepsán prezidentem republiky a dne 10. července 2017 byl zákon vyhlášen ve Sbírce zákonů jako zákon č. 195/2017 Sb., kterým se mění zákon č. 328/1999 Sb., o občanských průkazech, ve znění pozdějších předpisů, a další související zákony. Účinnost tohoto zákona je stanovena prvním dnem dvanáctého kalendářního měsíce následujícího po jeho vyhlášení, tedy účinnost nastane 1. července 2018.</w:t>
      </w:r>
    </w:p>
    <w:p w:rsidR="008C1143" w:rsidRPr="00A76398" w:rsidRDefault="00940B40" w:rsidP="00940B40">
      <w:pPr>
        <w:spacing w:after="200"/>
        <w:jc w:val="left"/>
      </w:pPr>
      <w:r>
        <w:br w:type="page"/>
      </w:r>
    </w:p>
    <w:p w:rsidR="008C1143" w:rsidRPr="00A76398" w:rsidRDefault="00A9632E" w:rsidP="00A76398">
      <w:pPr>
        <w:pStyle w:val="NOPil3"/>
        <w:rPr>
          <w:b w:val="0"/>
        </w:rPr>
      </w:pPr>
      <w:r w:rsidRPr="0025115E">
        <w:lastRenderedPageBreak/>
        <w:t>Přeshraniční elektronická identifikace</w:t>
      </w:r>
      <w:r w:rsidR="00E86682">
        <w:t>.</w:t>
      </w:r>
      <w:r w:rsidRPr="0025115E">
        <w:t xml:space="preserve"> </w:t>
      </w:r>
      <w:r w:rsidRPr="00A76398">
        <w:rPr>
          <w:b w:val="0"/>
          <w:i/>
        </w:rPr>
        <w:t>Termín: 2016 - 2018, gestor</w:t>
      </w:r>
      <w:r w:rsidR="00E24E0A" w:rsidRPr="00A76398">
        <w:rPr>
          <w:b w:val="0"/>
          <w:i/>
        </w:rPr>
        <w:t>:</w:t>
      </w:r>
      <w:r w:rsidRPr="00A76398">
        <w:rPr>
          <w:b w:val="0"/>
          <w:i/>
        </w:rPr>
        <w:t xml:space="preserve"> MV</w:t>
      </w:r>
      <w:r w:rsidR="00E24E0A" w:rsidRPr="00A76398">
        <w:rPr>
          <w:b w:val="0"/>
          <w:i/>
        </w:rPr>
        <w:t>.</w:t>
      </w:r>
    </w:p>
    <w:p w:rsidR="007D088C" w:rsidRPr="0025115E" w:rsidRDefault="00A9632E" w:rsidP="00A76398">
      <w:r w:rsidRPr="0025115E">
        <w:t>Vzájemné uznávání oznámených prostředků pro elektronickou identifikaci řeší evropské nařízení o elektronické identifikaci a službách vytvářejících důvěru pro elektronické transakce na vnitřním trhu a o zrušení směrnice 1999/93/ES (</w:t>
      </w:r>
      <w:proofErr w:type="spellStart"/>
      <w:r w:rsidRPr="0025115E">
        <w:t>eIDAS</w:t>
      </w:r>
      <w:proofErr w:type="spellEnd"/>
      <w:r w:rsidRPr="0025115E">
        <w:t xml:space="preserve">), které se nyní implementuje do právních řádů členských států. Díky němu bude rozvoj </w:t>
      </w:r>
      <w:proofErr w:type="spellStart"/>
      <w:r w:rsidRPr="0025115E">
        <w:t>eGovernmentu</w:t>
      </w:r>
      <w:proofErr w:type="spellEnd"/>
      <w:r w:rsidRPr="0025115E">
        <w:t xml:space="preserve"> v ČR zaměřen i na možnost využití on-line služeb veřejné správy i přeshraničně. Nařízení </w:t>
      </w:r>
      <w:proofErr w:type="spellStart"/>
      <w:r w:rsidRPr="0025115E">
        <w:t>eIDAS</w:t>
      </w:r>
      <w:proofErr w:type="spellEnd"/>
      <w:r w:rsidRPr="0025115E">
        <w:t xml:space="preserve"> je nutné chápat jako další krok, který má vést k vytvoření jednotného digitálního trhu. Stanovuje povinnost za určitých podmínek uznávat prostředky pro elektronickou identifikaci pro přístup k on-line službám nebo jiným činnostem poskytovaných subjekty nejen veřejného sektoru, které byly vydány v rámci oznámeného systému elektronické identifikace. </w:t>
      </w:r>
    </w:p>
    <w:p w:rsidR="00E86682" w:rsidRDefault="00A9632E" w:rsidP="00A76398">
      <w:r w:rsidRPr="0025115E">
        <w:t xml:space="preserve">Aby mohlo být výše uvedené vzájemné uznávání elektronické identifikace technicky realizovatelné, je nutné zajistit interoperabilitu oznámených systémů elektronické identifikace, a to za pomoci tzv. uzlů. Z tohoto důvodu je navrhováno, že uzel bude samostatnou součástí národního bodu pro identifikaci a autentizaci.  </w:t>
      </w:r>
    </w:p>
    <w:p w:rsidR="008C1143" w:rsidRPr="00A76398" w:rsidRDefault="00A9632E" w:rsidP="00A76398">
      <w:r w:rsidRPr="0025115E">
        <w:t xml:space="preserve">Ustanovení nařízení </w:t>
      </w:r>
      <w:proofErr w:type="spellStart"/>
      <w:r w:rsidRPr="0025115E">
        <w:t>eIDAS</w:t>
      </w:r>
      <w:proofErr w:type="spellEnd"/>
      <w:r w:rsidRPr="0025115E">
        <w:t xml:space="preserve"> o využívání systémů elektronické identifikace budou aplikovatelná od září roku 2018, a proto je nezbytné přijmout</w:t>
      </w:r>
      <w:r w:rsidRPr="0025115E">
        <w:br/>
        <w:t>i související vnitrostátní právní úpravu regulující tuto problematiku. Tato problematika je řešena v rámci návrhu zákona o elektronické identifikaci, jehož účinnost se plánuje na 1. červenec 2018 (viz výše).</w:t>
      </w:r>
    </w:p>
    <w:p w:rsidR="0096527E" w:rsidRPr="0025115E" w:rsidRDefault="0096527E" w:rsidP="00A76398">
      <w:pPr>
        <w:pStyle w:val="NOPil3"/>
      </w:pPr>
      <w:r w:rsidRPr="0025115E">
        <w:t>Elektronická fakturace</w:t>
      </w:r>
      <w:r w:rsidR="00E86682">
        <w:t>.</w:t>
      </w:r>
      <w:r w:rsidRPr="0025115E">
        <w:t xml:space="preserve"> </w:t>
      </w:r>
      <w:r w:rsidRPr="00A76398">
        <w:rPr>
          <w:b w:val="0"/>
          <w:i/>
        </w:rPr>
        <w:t>Termín: 2016 - 2019, gestor: MV, MF</w:t>
      </w:r>
      <w:r w:rsidR="00E86682" w:rsidRPr="00A76398">
        <w:rPr>
          <w:b w:val="0"/>
          <w:i/>
        </w:rPr>
        <w:t>.</w:t>
      </w:r>
    </w:p>
    <w:p w:rsidR="00E86682" w:rsidRPr="0081347F" w:rsidRDefault="0096527E" w:rsidP="00A76398">
      <w:r w:rsidRPr="0081347F">
        <w:t>MF se ve spolupráci s MV, zaměř</w:t>
      </w:r>
      <w:r>
        <w:t>uje</w:t>
      </w:r>
      <w:r w:rsidRPr="0081347F">
        <w:t xml:space="preserve"> na naplnění směrnice Evropského parlamentu a Rady č. 2014/55/EU, o elektronické fakturaci při zadávání veřejných zakázek. Adaptace na Směrnici představuje zajištění připravenosti </w:t>
      </w:r>
      <w:r w:rsidRPr="005E418D">
        <w:t>všech zadavatelů veřejných zakázek na příjem e-faktur, kompatibilních s EU standardem pro e-fakturaci, jenž měl být vyhlášen v květnu 2017, ale dosud není k dispozici. Směrnice</w:t>
      </w:r>
      <w:r w:rsidRPr="0081347F">
        <w:t xml:space="preserve"> byla transponována do právního řádu ČR zákonem č. 134/2016 Sb., o zadávání veřejných zakázek.</w:t>
      </w:r>
    </w:p>
    <w:p w:rsidR="0096527E" w:rsidRPr="00207385" w:rsidRDefault="0096527E" w:rsidP="00A76398">
      <w:pPr>
        <w:rPr>
          <w:rFonts w:eastAsia="Times New Roman"/>
        </w:rPr>
      </w:pPr>
      <w:r w:rsidRPr="0081347F">
        <w:t xml:space="preserve">V rámci projektu „e-fakturace I.“ se MF společně s ÚNMZ </w:t>
      </w:r>
      <w:r w:rsidRPr="005E418D">
        <w:t>podílel</w:t>
      </w:r>
      <w:r w:rsidRPr="0081347F">
        <w:t xml:space="preserve"> na přípravě EU standardu pro e-fakturaci a </w:t>
      </w:r>
      <w:r w:rsidRPr="005E418D">
        <w:t>zpracoval</w:t>
      </w:r>
      <w:r w:rsidRPr="0081347F">
        <w:t xml:space="preserve"> návrh opatření pro naplnění Směrnice v ČR. V návaznosti na vyhlášení EU Standardu pro e-fakturaci </w:t>
      </w:r>
      <w:r>
        <w:t xml:space="preserve">a v souladu s Usnesením vlády č. 347 z 10. května 2017 </w:t>
      </w:r>
      <w:r w:rsidRPr="0081347F">
        <w:t xml:space="preserve">se započne s realizací výše uvedených opatření, a to nejprve v 1. fázi pro organizační složky státu. </w:t>
      </w:r>
      <w:r w:rsidRPr="00D97AD9">
        <w:rPr>
          <w:rFonts w:eastAsia="Times New Roman"/>
        </w:rPr>
        <w:t>Koordinátor na základě usnesení vlády č. 347 z 10. května 2017 zpracuje informace o stavu připravenosti jednotlivých orgánů státní správy a jejich systémů na přijímání úplného elektronického podání včetně elektronických faktur a o harmonogramu úprav jak interních směrnic a postupů, tak i informačních systémů nutných k zajištění požadovaného cíle. Informace budou koordinátorovi zaslány orgány státní správy do 31. srpna 2017. Koordinátor dále ve spolupráci s MV předloží do 30. září 2017 vládě souhrnnou zprávu o stavu připravenosti na povinné přijímání úplného elektronického podání a elektronických faktur, případně navrhne další kroky vedoucí k dosažení cílů uvedených v usnesení.</w:t>
      </w:r>
      <w:r w:rsidR="005E418D">
        <w:rPr>
          <w:rFonts w:eastAsia="Times New Roman"/>
        </w:rPr>
        <w:t xml:space="preserve"> </w:t>
      </w:r>
      <w:r w:rsidR="005E418D" w:rsidRPr="005E418D">
        <w:rPr>
          <w:rFonts w:eastAsia="Times New Roman"/>
        </w:rPr>
        <w:t>MF se svými partnery jedná o návrhu opatření a realizaci dalších kroků pro naplnění Směrnice 2014/55/EU a předloží implementační plán v září 2017. Ve 4Q</w:t>
      </w:r>
      <w:r w:rsidR="00EF150F">
        <w:rPr>
          <w:rFonts w:eastAsia="Times New Roman"/>
        </w:rPr>
        <w:t xml:space="preserve"> </w:t>
      </w:r>
      <w:r w:rsidR="005E418D" w:rsidRPr="005E418D">
        <w:rPr>
          <w:rFonts w:eastAsia="Times New Roman"/>
        </w:rPr>
        <w:t xml:space="preserve">2017 bude spuštěn navazující projekt „e-fakturace II.“, v jehož rámci budou zahájeny práce na vypracování metodik pro implementaci </w:t>
      </w:r>
      <w:proofErr w:type="spellStart"/>
      <w:r w:rsidR="005E418D" w:rsidRPr="005E418D">
        <w:rPr>
          <w:rFonts w:eastAsia="Times New Roman"/>
        </w:rPr>
        <w:t>eFakturace</w:t>
      </w:r>
      <w:proofErr w:type="spellEnd"/>
      <w:r w:rsidR="005E418D" w:rsidRPr="005E418D">
        <w:rPr>
          <w:rFonts w:eastAsia="Times New Roman"/>
        </w:rPr>
        <w:t xml:space="preserve">. </w:t>
      </w:r>
      <w:r w:rsidR="005E418D" w:rsidRPr="005E418D">
        <w:rPr>
          <w:rFonts w:eastAsia="Times New Roman"/>
          <w:i/>
        </w:rPr>
        <w:t>Termín: 4Q2018. Gesce: MV a MF</w:t>
      </w:r>
      <w:r w:rsidR="005E418D" w:rsidRPr="005E418D">
        <w:rPr>
          <w:rFonts w:eastAsia="Times New Roman"/>
        </w:rPr>
        <w:t>.</w:t>
      </w:r>
      <w:r w:rsidR="005E418D">
        <w:rPr>
          <w:rFonts w:eastAsia="Times New Roman"/>
        </w:rPr>
        <w:t xml:space="preserve"> </w:t>
      </w:r>
    </w:p>
    <w:p w:rsidR="0096527E" w:rsidRPr="001E61BE" w:rsidRDefault="0096527E" w:rsidP="00A76398">
      <w:r w:rsidRPr="0081347F">
        <w:lastRenderedPageBreak/>
        <w:t xml:space="preserve">O rok později dojde k naplnění Směrnice u ostatních </w:t>
      </w:r>
      <w:r w:rsidRPr="005E418D">
        <w:t xml:space="preserve">zadavatelů veřejných zakázek. </w:t>
      </w:r>
      <w:r w:rsidRPr="005E418D">
        <w:rPr>
          <w:i/>
        </w:rPr>
        <w:t>Termín: 4Q 2019</w:t>
      </w:r>
      <w:r w:rsidRPr="005E418D">
        <w:t>.</w:t>
      </w:r>
      <w:r w:rsidRPr="001E61BE">
        <w:t xml:space="preserve"> </w:t>
      </w:r>
    </w:p>
    <w:p w:rsidR="00C30767" w:rsidRPr="00A76398" w:rsidRDefault="0096527E" w:rsidP="00A76398">
      <w:r w:rsidRPr="0025115E">
        <w:t>Předpokládá se pozitivní dopad i do soukromého sektoru, tj. do oblasti B2B fakturace.</w:t>
      </w:r>
    </w:p>
    <w:p w:rsidR="008C1143" w:rsidRPr="00A76398" w:rsidRDefault="00A9632E" w:rsidP="00A76398">
      <w:pPr>
        <w:pStyle w:val="NOPil3"/>
        <w:rPr>
          <w:b w:val="0"/>
          <w:i/>
        </w:rPr>
      </w:pPr>
      <w:r w:rsidRPr="0025115E">
        <w:t>Legislativní rámec pro přístupnost</w:t>
      </w:r>
      <w:r w:rsidR="00E86682" w:rsidRPr="00A76398">
        <w:rPr>
          <w:b w:val="0"/>
          <w:i/>
        </w:rPr>
        <w:t>.</w:t>
      </w:r>
      <w:r w:rsidR="00452A5A" w:rsidRPr="00A76398">
        <w:rPr>
          <w:b w:val="0"/>
          <w:i/>
        </w:rPr>
        <w:t xml:space="preserve"> </w:t>
      </w:r>
      <w:r w:rsidRPr="00A76398">
        <w:rPr>
          <w:b w:val="0"/>
          <w:i/>
        </w:rPr>
        <w:t>Termín: 4Q 2018, gestor</w:t>
      </w:r>
      <w:r w:rsidR="0085296E" w:rsidRPr="00A76398">
        <w:rPr>
          <w:b w:val="0"/>
          <w:i/>
        </w:rPr>
        <w:t>:</w:t>
      </w:r>
      <w:r w:rsidRPr="00A76398">
        <w:rPr>
          <w:b w:val="0"/>
          <w:i/>
        </w:rPr>
        <w:t xml:space="preserve"> MV</w:t>
      </w:r>
      <w:r w:rsidR="0085296E" w:rsidRPr="00A76398">
        <w:rPr>
          <w:b w:val="0"/>
          <w:i/>
        </w:rPr>
        <w:t>.</w:t>
      </w:r>
    </w:p>
    <w:p w:rsidR="008C1143" w:rsidRPr="00A76398" w:rsidRDefault="00A9632E" w:rsidP="00A76398">
      <w:r w:rsidRPr="0025115E">
        <w:t xml:space="preserve">V rámci EU byla v říjnu </w:t>
      </w:r>
      <w:r w:rsidR="009725F9">
        <w:t xml:space="preserve">2016 </w:t>
      </w:r>
      <w:r w:rsidRPr="0025115E">
        <w:t>schválena Směrnice o přístupnosti internetových stránek a mobilních aplikací subjektů veřejného sektoru, jíž je třeba transponovat do právního řádu ČR. Této transpozice ČR využije i k úpravě legislativního rámce pro přístupnost. ČR je v oblasti přístupnosti internetových stránek úřadů na dost vysoké úrovni, nicméně legislativa je ze současného pohledu již technologicky zastaralá a je vhodné ji zmodernizovat a nastavit tak moderní rámec pro přístupnost informací i pro osoby se zdravotním postižením.</w:t>
      </w:r>
    </w:p>
    <w:p w:rsidR="008C1143" w:rsidRPr="00A76398" w:rsidRDefault="00A9632E" w:rsidP="00A76398">
      <w:pPr>
        <w:pStyle w:val="NOPil3"/>
        <w:rPr>
          <w:b w:val="0"/>
        </w:rPr>
      </w:pPr>
      <w:r w:rsidRPr="0025115E">
        <w:t>Analýza</w:t>
      </w:r>
      <w:r w:rsidR="00E757E6">
        <w:t xml:space="preserve"> </w:t>
      </w:r>
      <w:r w:rsidRPr="0025115E">
        <w:t>přístupnosti elektronických služeb veřejné správy i pro zdravotně</w:t>
      </w:r>
      <w:r w:rsidR="00E757E6">
        <w:t xml:space="preserve"> </w:t>
      </w:r>
      <w:r w:rsidRPr="0025115E">
        <w:t>postižené</w:t>
      </w:r>
      <w:r w:rsidR="00E86682">
        <w:t>.</w:t>
      </w:r>
      <w:r w:rsidRPr="0025115E">
        <w:t xml:space="preserve"> </w:t>
      </w:r>
      <w:r w:rsidRPr="00A76398">
        <w:rPr>
          <w:b w:val="0"/>
          <w:i/>
        </w:rPr>
        <w:t>Termín: 4Q 2017, gestor</w:t>
      </w:r>
      <w:r w:rsidR="00603201" w:rsidRPr="00A76398">
        <w:rPr>
          <w:b w:val="0"/>
          <w:i/>
        </w:rPr>
        <w:t>:</w:t>
      </w:r>
      <w:r w:rsidRPr="00A76398">
        <w:rPr>
          <w:b w:val="0"/>
          <w:i/>
        </w:rPr>
        <w:t xml:space="preserve"> MV</w:t>
      </w:r>
      <w:r w:rsidR="00603201" w:rsidRPr="00A76398">
        <w:rPr>
          <w:b w:val="0"/>
          <w:i/>
        </w:rPr>
        <w:t>.</w:t>
      </w:r>
    </w:p>
    <w:p w:rsidR="008C1143" w:rsidRPr="00A76398" w:rsidRDefault="00A9632E" w:rsidP="00A76398">
      <w:r w:rsidRPr="0025115E">
        <w:t>V rámci nově zřízené Odborné skupiny pro přístupnost veřejné správy a veřejných služeb založené při Vládním výboru pro zdravotně postižené občany se bude řešit i přístupnost elektronických služeb veřejné správy s cílem zajistit, a hlavně pomoci úřadům vytvářet elektronické služby již od počátku tak, aby jejich využívání ze strany zdravotně postižených nic nebránilo. Jedním z kroků bude typová analýza přístupnosti takových služeb, která bude vytvořena příslušnou odbornou skupinou. Po analýze budou následovat i konzultace pro zájemce z řad veřejné správy ke zlepšování přístupnosti jejich elektronických služeb.</w:t>
      </w:r>
    </w:p>
    <w:p w:rsidR="008C1143" w:rsidRPr="00A76398" w:rsidRDefault="00A9632E" w:rsidP="00A76398">
      <w:pPr>
        <w:pStyle w:val="NOPil3"/>
        <w:rPr>
          <w:b w:val="0"/>
        </w:rPr>
      </w:pPr>
      <w:r w:rsidRPr="0025115E">
        <w:t>Projekt e-Sbírka a e-Legislativa</w:t>
      </w:r>
      <w:r w:rsidR="00E86682">
        <w:t>.</w:t>
      </w:r>
      <w:r w:rsidRPr="0025115E">
        <w:t xml:space="preserve"> </w:t>
      </w:r>
      <w:r w:rsidRPr="00A76398">
        <w:rPr>
          <w:b w:val="0"/>
          <w:i/>
        </w:rPr>
        <w:t>Termín: 2020, gestor</w:t>
      </w:r>
      <w:r w:rsidR="00603201" w:rsidRPr="00A76398">
        <w:rPr>
          <w:b w:val="0"/>
          <w:i/>
        </w:rPr>
        <w:t>:</w:t>
      </w:r>
      <w:r w:rsidRPr="00A76398">
        <w:rPr>
          <w:b w:val="0"/>
          <w:i/>
        </w:rPr>
        <w:t xml:space="preserve"> MV</w:t>
      </w:r>
      <w:r w:rsidR="0029235C" w:rsidRPr="00A76398">
        <w:rPr>
          <w:b w:val="0"/>
          <w:i/>
        </w:rPr>
        <w:t xml:space="preserve">, </w:t>
      </w:r>
      <w:proofErr w:type="spellStart"/>
      <w:r w:rsidR="0029235C" w:rsidRPr="00A76398">
        <w:rPr>
          <w:b w:val="0"/>
          <w:i/>
        </w:rPr>
        <w:t>MSp</w:t>
      </w:r>
      <w:proofErr w:type="spellEnd"/>
      <w:r w:rsidR="00603201" w:rsidRPr="00A76398">
        <w:rPr>
          <w:b w:val="0"/>
          <w:i/>
        </w:rPr>
        <w:t>.</w:t>
      </w:r>
    </w:p>
    <w:p w:rsidR="00AA427D" w:rsidRPr="00A76398" w:rsidRDefault="00A9632E" w:rsidP="00A76398">
      <w:r w:rsidRPr="0025115E">
        <w:t xml:space="preserve">Pokračují přípravy na projektu e-Sbírka a e-Legislativa, který usiluje o dostupnou a srozumitelnou publikaci platného a účinného práva na území ČR v elektronické podobě, o vyšší dostupnost minulého práva v moderní podobě a o efektivnější a transparentnější tvorbu právních předpisů. Financování projektů z ESIF bylo schváleno 25. ledna 2017. Spuštění obou </w:t>
      </w:r>
      <w:r w:rsidR="00636FA7">
        <w:t>informačních</w:t>
      </w:r>
      <w:r w:rsidR="00636FA7" w:rsidRPr="0025115E">
        <w:t xml:space="preserve"> </w:t>
      </w:r>
      <w:r w:rsidRPr="0025115E">
        <w:t>systémů do ostrého provozu je plánováno k 1. lednu 2020, a to s ohledem na technologicky náročnou realizaci projektu, nutnost proškolení uživatelů systému e-Legislativa a provedení změn pro umožnění standardního užívání systému e-Legislativa v obou komorách Parlamentu ČR. Zahájení ostrého provozu projektu je navázáno na nabytí účinnosti zákona o Sbírce zákonů a mezinárodních smluv na počátku roku 2020.</w:t>
      </w:r>
    </w:p>
    <w:p w:rsidR="00AA427D" w:rsidRPr="00A76398" w:rsidRDefault="00AA427D" w:rsidP="00A76398">
      <w:pPr>
        <w:pStyle w:val="NOPil3"/>
        <w:rPr>
          <w:b w:val="0"/>
          <w:i/>
        </w:rPr>
      </w:pPr>
      <w:r>
        <w:t>Aktivity související s elektronizací veřejné správy v </w:t>
      </w:r>
      <w:r w:rsidR="003F20FB">
        <w:t>rámci resortu MF</w:t>
      </w:r>
      <w:r w:rsidR="00E86682">
        <w:t>.</w:t>
      </w:r>
      <w:r>
        <w:t xml:space="preserve"> </w:t>
      </w:r>
      <w:r w:rsidRPr="00A76398">
        <w:rPr>
          <w:b w:val="0"/>
          <w:i/>
        </w:rPr>
        <w:t>Termín: Průběžně do 4Q 2020, gestor</w:t>
      </w:r>
      <w:r w:rsidR="003F20FB" w:rsidRPr="00A76398">
        <w:rPr>
          <w:b w:val="0"/>
          <w:i/>
        </w:rPr>
        <w:t>:</w:t>
      </w:r>
      <w:r w:rsidRPr="00A76398">
        <w:rPr>
          <w:b w:val="0"/>
          <w:i/>
        </w:rPr>
        <w:t xml:space="preserve"> </w:t>
      </w:r>
      <w:r w:rsidR="003F20FB" w:rsidRPr="00A76398">
        <w:rPr>
          <w:b w:val="0"/>
          <w:i/>
        </w:rPr>
        <w:t>MF</w:t>
      </w:r>
      <w:r w:rsidR="00E86682" w:rsidRPr="00A76398">
        <w:rPr>
          <w:b w:val="0"/>
          <w:i/>
        </w:rPr>
        <w:t>.</w:t>
      </w:r>
      <w:r w:rsidR="003F20FB" w:rsidRPr="00A76398">
        <w:rPr>
          <w:b w:val="0"/>
          <w:i/>
        </w:rPr>
        <w:t xml:space="preserve"> </w:t>
      </w:r>
    </w:p>
    <w:p w:rsidR="00A76398" w:rsidRDefault="00AA427D" w:rsidP="00A76398">
      <w:r w:rsidRPr="00AA427D">
        <w:t xml:space="preserve">Odstraňování bariér v celním a daňovém řízení pomocí nástrojů digitálního trhu při plné akceptaci nařízení </w:t>
      </w:r>
      <w:proofErr w:type="spellStart"/>
      <w:r w:rsidRPr="00AA427D">
        <w:t>eIDAS</w:t>
      </w:r>
      <w:proofErr w:type="spellEnd"/>
      <w:r w:rsidRPr="00AA427D">
        <w:t>, GDPR a kybernetické bezpečnosti s důrazem na otevřenou a transparentní veřejnou správu.</w:t>
      </w:r>
    </w:p>
    <w:p w:rsidR="00A76398" w:rsidRDefault="00A76398">
      <w:pPr>
        <w:spacing w:after="200"/>
        <w:jc w:val="left"/>
      </w:pPr>
      <w:r>
        <w:br w:type="page"/>
      </w:r>
    </w:p>
    <w:p w:rsidR="008C1143" w:rsidRPr="0025115E" w:rsidRDefault="003D2999" w:rsidP="00A76398">
      <w:pPr>
        <w:pStyle w:val="Nadpis3"/>
      </w:pPr>
      <w:bookmarkStart w:id="84" w:name="_Toc491355976"/>
      <w:r w:rsidRPr="004D1B47">
        <w:lastRenderedPageBreak/>
        <w:t>Prosazování principu Open Data</w:t>
      </w:r>
      <w:bookmarkEnd w:id="84"/>
    </w:p>
    <w:p w:rsidR="008C1143" w:rsidRPr="00A76398" w:rsidRDefault="00A9632E" w:rsidP="00A76398">
      <w:pPr>
        <w:pStyle w:val="NOPil3"/>
        <w:rPr>
          <w:b w:val="0"/>
        </w:rPr>
      </w:pPr>
      <w:r w:rsidRPr="0025115E">
        <w:t>Národní katalog otevřených dat</w:t>
      </w:r>
      <w:r w:rsidR="00AA1912">
        <w:t>.</w:t>
      </w:r>
      <w:r w:rsidR="00344CC2">
        <w:t xml:space="preserve"> </w:t>
      </w:r>
      <w:r w:rsidRPr="00A76398">
        <w:rPr>
          <w:b w:val="0"/>
          <w:i/>
        </w:rPr>
        <w:t xml:space="preserve">Termín: </w:t>
      </w:r>
      <w:r w:rsidR="00676731" w:rsidRPr="00A76398">
        <w:rPr>
          <w:b w:val="0"/>
          <w:i/>
        </w:rPr>
        <w:t>3</w:t>
      </w:r>
      <w:r w:rsidRPr="00A76398">
        <w:rPr>
          <w:b w:val="0"/>
          <w:i/>
        </w:rPr>
        <w:t>Q 201</w:t>
      </w:r>
      <w:r w:rsidR="00676731" w:rsidRPr="00A76398">
        <w:rPr>
          <w:b w:val="0"/>
          <w:i/>
        </w:rPr>
        <w:t>8</w:t>
      </w:r>
      <w:r w:rsidRPr="00A76398">
        <w:rPr>
          <w:b w:val="0"/>
          <w:i/>
        </w:rPr>
        <w:t>, gestor</w:t>
      </w:r>
      <w:r w:rsidR="00603201" w:rsidRPr="00A76398">
        <w:rPr>
          <w:b w:val="0"/>
          <w:i/>
        </w:rPr>
        <w:t>:</w:t>
      </w:r>
      <w:r w:rsidRPr="00A76398">
        <w:rPr>
          <w:b w:val="0"/>
          <w:i/>
        </w:rPr>
        <w:t xml:space="preserve"> MV</w:t>
      </w:r>
      <w:r w:rsidR="00603201" w:rsidRPr="00A76398">
        <w:rPr>
          <w:b w:val="0"/>
          <w:i/>
        </w:rPr>
        <w:t>.</w:t>
      </w:r>
    </w:p>
    <w:p w:rsidR="008C1143" w:rsidRPr="00A76398" w:rsidRDefault="00A9632E" w:rsidP="00A76398">
      <w:r w:rsidRPr="0025115E">
        <w:t xml:space="preserve">Pro zlepšení přístupu k jednotlivým datovým sadám otevřených dat ve veřejné správě MV připravilo Národní katalog otevřených dat veřejné správy (NKOD, </w:t>
      </w:r>
      <w:hyperlink r:id="rId15" w:history="1">
        <w:r w:rsidRPr="0025115E">
          <w:rPr>
            <w:rStyle w:val="Hypertextovodkaz"/>
            <w:color w:val="auto"/>
            <w:szCs w:val="22"/>
          </w:rPr>
          <w:t>http://data.gov.cz</w:t>
        </w:r>
      </w:hyperlink>
      <w:r w:rsidR="003D2999" w:rsidRPr="0025115E">
        <w:t xml:space="preserve"> ) jako součást Portálu veřejné správy. Katalog mj. obsahuje informace o jednotlivých datových sadách včetně licenčních podmínek a souvisejících užívacích práv, dále odkaz na tyto datové sady, informace o možnostech využití datových sad, klasifikaci, původce a garanta datové sady, informace o jejich aktualizaci a </w:t>
      </w:r>
      <w:proofErr w:type="spellStart"/>
      <w:r w:rsidR="003D2999" w:rsidRPr="0025115E">
        <w:t>metadata</w:t>
      </w:r>
      <w:proofErr w:type="spellEnd"/>
      <w:r w:rsidR="003D2999" w:rsidRPr="0025115E">
        <w:t xml:space="preserve"> specifická pro konkrétní datovou sadu. Standardy vytvořené pro publikaci a katalogizaci otevřených dat budou upravovány podle aktuálního vývoje mezinárodních standardů pro oblast otevřených dat, především vydávaných EK. Za účelem zlepšení použitelnosti NKOD veřejností bude navrženo</w:t>
      </w:r>
      <w:r w:rsidR="003D2999" w:rsidRPr="0025115E">
        <w:br/>
        <w:t>a realizováno nové uživatelské rozhraní NKOD, které bude svojí uživatelskou přívětivostí odpovídat katalogům otevřených dat běžným v zahraničí, především v zemích, které jsou v oblasti otevřených dat nejdále (podle indexu DESI). Dále budou navrženy a realizovány mechanismy kontroly kvality katalogizovaných datových sad, které tak zajistí optimální využití těchto dat.</w:t>
      </w:r>
    </w:p>
    <w:p w:rsidR="008C1143" w:rsidRPr="0025115E" w:rsidRDefault="003D2999" w:rsidP="00A76398">
      <w:pPr>
        <w:pStyle w:val="NOPil3"/>
      </w:pPr>
      <w:r w:rsidRPr="0025115E">
        <w:t>Zasazení otevřených dat do kontextu Národního architektonického plánu</w:t>
      </w:r>
      <w:r w:rsidR="00AA1912">
        <w:t>.</w:t>
      </w:r>
      <w:r w:rsidRPr="0025115E">
        <w:t xml:space="preserve"> </w:t>
      </w:r>
      <w:r w:rsidRPr="00A76398">
        <w:rPr>
          <w:b w:val="0"/>
          <w:i/>
        </w:rPr>
        <w:t>Termín: 2Q 2018, gestor</w:t>
      </w:r>
      <w:r w:rsidR="00600C63" w:rsidRPr="00A76398">
        <w:rPr>
          <w:b w:val="0"/>
          <w:i/>
        </w:rPr>
        <w:t>:</w:t>
      </w:r>
      <w:r w:rsidRPr="00A76398">
        <w:rPr>
          <w:b w:val="0"/>
          <w:i/>
        </w:rPr>
        <w:t xml:space="preserve"> MV</w:t>
      </w:r>
      <w:r w:rsidR="00600C63" w:rsidRPr="00A76398">
        <w:rPr>
          <w:b w:val="0"/>
          <w:i/>
        </w:rPr>
        <w:t>.</w:t>
      </w:r>
    </w:p>
    <w:p w:rsidR="008C1143" w:rsidRPr="00A76398" w:rsidRDefault="003D2999" w:rsidP="00A76398">
      <w:r w:rsidRPr="0025115E">
        <w:t>Bude vypracována koncepce zasazení otevřených dat do Národního architektonického plánu. Odpovídajícím způsobem bude připraven návrh potřebných legislativních změn a budou rozvíjeny Standardy publikace a katalogizace otevřených dat.</w:t>
      </w:r>
    </w:p>
    <w:p w:rsidR="003D2999" w:rsidRPr="00A76398" w:rsidRDefault="003D2999" w:rsidP="00A76398">
      <w:pPr>
        <w:pStyle w:val="NOPil3"/>
        <w:rPr>
          <w:b w:val="0"/>
        </w:rPr>
      </w:pPr>
      <w:r w:rsidRPr="0025115E">
        <w:t>Sestavení a vedení pracovní skupiny poskytovatelů otevřených dat na úrovni ministerstev a ústředních orgánů státní správy</w:t>
      </w:r>
      <w:r w:rsidR="00AA1912">
        <w:t>.</w:t>
      </w:r>
      <w:r w:rsidR="00895A9A">
        <w:t xml:space="preserve"> </w:t>
      </w:r>
      <w:r w:rsidRPr="00A76398">
        <w:rPr>
          <w:b w:val="0"/>
          <w:i/>
        </w:rPr>
        <w:t>Termín: 2Q 2017, gestor</w:t>
      </w:r>
      <w:r w:rsidR="00600C63" w:rsidRPr="00A76398">
        <w:rPr>
          <w:b w:val="0"/>
          <w:i/>
        </w:rPr>
        <w:t>:</w:t>
      </w:r>
      <w:r w:rsidRPr="00A76398">
        <w:rPr>
          <w:b w:val="0"/>
          <w:i/>
        </w:rPr>
        <w:t xml:space="preserve"> MV</w:t>
      </w:r>
      <w:r w:rsidR="00600C63" w:rsidRPr="00A76398">
        <w:rPr>
          <w:b w:val="0"/>
          <w:i/>
        </w:rPr>
        <w:t>.</w:t>
      </w:r>
    </w:p>
    <w:p w:rsidR="008C1143" w:rsidRPr="0025115E" w:rsidRDefault="003D2999" w:rsidP="00492CD8">
      <w:r w:rsidRPr="0025115E">
        <w:t>Pro zlepšení komunikace a vzájemné sdílení zkušeností mezi subjekty veřejné správy ohledně publikace a katalogizace otevřených dat bude vytvořena pracovní skupina ze</w:t>
      </w:r>
      <w:bookmarkStart w:id="85" w:name="page47"/>
      <w:bookmarkEnd w:id="85"/>
      <w:r w:rsidRPr="0025115E">
        <w:t xml:space="preserve"> zástupců všech ministerských resortů a vybraných centrálních orgánů. Předsedat pracovní skupině bude národní koordinátor otevřených dat. Skupina se bude scházet min. 4krát ročně a bude vykonávat následující činnosti:</w:t>
      </w:r>
    </w:p>
    <w:p w:rsidR="008C1143" w:rsidRPr="00D97AD9" w:rsidRDefault="003D2999" w:rsidP="00492CD8">
      <w:pPr>
        <w:pStyle w:val="Odrka-Normln"/>
      </w:pPr>
      <w:r w:rsidRPr="00D97AD9">
        <w:t xml:space="preserve">Monitorování a koordinace příprav harmonogramů otevírání dat zastoupených ministerských resortů a centrálních orgánů dle Standardů publikace a katalogizace otevřených dat vydaných </w:t>
      </w:r>
      <w:r w:rsidR="00AE36FF">
        <w:t>MV</w:t>
      </w:r>
      <w:r w:rsidR="00492CD8">
        <w:t>;</w:t>
      </w:r>
    </w:p>
    <w:p w:rsidR="008C1143" w:rsidRPr="00D97AD9" w:rsidRDefault="003D2999" w:rsidP="00492CD8">
      <w:pPr>
        <w:pStyle w:val="Odrka-Normln"/>
      </w:pPr>
      <w:r w:rsidRPr="00D97AD9">
        <w:t xml:space="preserve">Monitorování a koordinace otevírání dat zastoupených ministerských resortů a centrálních orgánů dle připravených harmonogramů a Standardů publikace a katalogizace otevřených dat vydaných </w:t>
      </w:r>
      <w:r w:rsidR="00AE36FF">
        <w:t>MV</w:t>
      </w:r>
      <w:r w:rsidR="00492CD8">
        <w:t>;</w:t>
      </w:r>
    </w:p>
    <w:p w:rsidR="008C1143" w:rsidRPr="00D97AD9" w:rsidRDefault="003D2999" w:rsidP="00492CD8">
      <w:pPr>
        <w:pStyle w:val="Odrka-Normln"/>
      </w:pPr>
      <w:r w:rsidRPr="00D97AD9">
        <w:t xml:space="preserve">Navrhování nových datových sad k otevření na základě zpětné vazby z pracovní skupiny uživatelů otevřených dat a Open Data </w:t>
      </w:r>
      <w:proofErr w:type="spellStart"/>
      <w:r w:rsidR="00142F2E">
        <w:t>Wishlist</w:t>
      </w:r>
      <w:r w:rsidRPr="00D97AD9">
        <w:t>u</w:t>
      </w:r>
      <w:proofErr w:type="spellEnd"/>
      <w:r w:rsidR="00492CD8">
        <w:t>;</w:t>
      </w:r>
    </w:p>
    <w:p w:rsidR="008C1143" w:rsidRPr="00D97AD9" w:rsidRDefault="003D2999" w:rsidP="00492CD8">
      <w:pPr>
        <w:pStyle w:val="Odrka-Normln"/>
      </w:pPr>
      <w:r w:rsidRPr="00D97AD9">
        <w:t>Připomínkování Standardů pro publikaci a katalogizaci otevřených dat</w:t>
      </w:r>
      <w:r w:rsidRPr="00D97AD9">
        <w:br/>
        <w:t xml:space="preserve">a souvisejících materiálů vydávaných </w:t>
      </w:r>
      <w:r w:rsidR="00AE36FF">
        <w:t>MV</w:t>
      </w:r>
      <w:r w:rsidR="00492CD8">
        <w:t>;</w:t>
      </w:r>
    </w:p>
    <w:p w:rsidR="008C1143" w:rsidRPr="00D97AD9" w:rsidRDefault="003D2999" w:rsidP="00492CD8">
      <w:pPr>
        <w:pStyle w:val="Odrka-Normln"/>
      </w:pPr>
      <w:r w:rsidRPr="00D97AD9">
        <w:t>Příprava aktualizací nařízení vlády o informacích povinně zveřejňovaných jako otevřená data</w:t>
      </w:r>
      <w:r w:rsidR="00492CD8">
        <w:t>;</w:t>
      </w:r>
    </w:p>
    <w:p w:rsidR="008C1143" w:rsidRPr="00D97AD9" w:rsidRDefault="003D2999" w:rsidP="00492CD8">
      <w:pPr>
        <w:pStyle w:val="Odrka-Normln"/>
      </w:pPr>
      <w:r w:rsidRPr="00D97AD9">
        <w:lastRenderedPageBreak/>
        <w:t>Příprava podkladů pro tvorbu výročních zpráv o otevřených datech v</w:t>
      </w:r>
      <w:r w:rsidR="00492CD8">
        <w:t> </w:t>
      </w:r>
      <w:r w:rsidRPr="00D97AD9">
        <w:t>ČR</w:t>
      </w:r>
      <w:r w:rsidR="00492CD8">
        <w:t>;</w:t>
      </w:r>
    </w:p>
    <w:p w:rsidR="008C1143" w:rsidRPr="00492CD8" w:rsidRDefault="003D2999" w:rsidP="00492CD8">
      <w:pPr>
        <w:pStyle w:val="Odrka-Normln"/>
      </w:pPr>
      <w:r w:rsidRPr="00D97AD9">
        <w:t>Sdílení příkladů dobré prax</w:t>
      </w:r>
      <w:r w:rsidR="00676731">
        <w:t>e</w:t>
      </w:r>
      <w:r w:rsidRPr="00D97AD9">
        <w:t xml:space="preserve"> v oblasti otevřených dat</w:t>
      </w:r>
      <w:r w:rsidR="00492CD8">
        <w:t>.</w:t>
      </w:r>
    </w:p>
    <w:p w:rsidR="008C1143" w:rsidRPr="0025115E" w:rsidRDefault="003D2999" w:rsidP="00492CD8">
      <w:pPr>
        <w:pStyle w:val="NOPil3"/>
      </w:pPr>
      <w:r w:rsidRPr="0025115E">
        <w:t>Propojená data</w:t>
      </w:r>
      <w:r w:rsidR="00AA1912">
        <w:t>.</w:t>
      </w:r>
      <w:r w:rsidR="00895A9A">
        <w:t xml:space="preserve"> </w:t>
      </w:r>
      <w:r w:rsidRPr="00492CD8">
        <w:rPr>
          <w:b w:val="0"/>
          <w:i/>
        </w:rPr>
        <w:t>Termín: 2Q 2018, gestor</w:t>
      </w:r>
      <w:r w:rsidR="00600C63" w:rsidRPr="00492CD8">
        <w:rPr>
          <w:b w:val="0"/>
          <w:i/>
        </w:rPr>
        <w:t>:</w:t>
      </w:r>
      <w:r w:rsidRPr="00492CD8">
        <w:rPr>
          <w:b w:val="0"/>
          <w:i/>
        </w:rPr>
        <w:t xml:space="preserve"> MV</w:t>
      </w:r>
      <w:r w:rsidR="00600C63" w:rsidRPr="00492CD8">
        <w:rPr>
          <w:b w:val="0"/>
          <w:i/>
        </w:rPr>
        <w:t>.</w:t>
      </w:r>
    </w:p>
    <w:p w:rsidR="008C1143" w:rsidRPr="00492CD8" w:rsidRDefault="003D2999" w:rsidP="00AA1912">
      <w:r w:rsidRPr="0025115E">
        <w:t xml:space="preserve">Nejvyšším stupněm otevřených dat jsou tzv. propojená otevřená data. Poskytování otevřených dat formou propojených otevřených dat je podpořeno i v materiálech Evropské komise, </w:t>
      </w:r>
      <w:r w:rsidR="00AE36FF">
        <w:t>například</w:t>
      </w:r>
      <w:r w:rsidRPr="0025115E">
        <w:t xml:space="preserve"> </w:t>
      </w:r>
      <w:proofErr w:type="spellStart"/>
      <w:r w:rsidRPr="0025115E">
        <w:t>European</w:t>
      </w:r>
      <w:proofErr w:type="spellEnd"/>
      <w:r w:rsidRPr="0025115E">
        <w:t xml:space="preserve"> </w:t>
      </w:r>
      <w:proofErr w:type="spellStart"/>
      <w:r w:rsidRPr="0025115E">
        <w:t>Interoperability</w:t>
      </w:r>
      <w:proofErr w:type="spellEnd"/>
      <w:r w:rsidRPr="0025115E">
        <w:t xml:space="preserve"> Reference </w:t>
      </w:r>
      <w:proofErr w:type="spellStart"/>
      <w:r w:rsidRPr="0025115E">
        <w:t>Architecture</w:t>
      </w:r>
      <w:proofErr w:type="spellEnd"/>
      <w:r w:rsidR="00F05EDE">
        <w:t xml:space="preserve"> </w:t>
      </w:r>
      <w:r w:rsidRPr="0025115E">
        <w:t>(EIRA). Nejvyšší stupeň otevřenosti dává smysl především pro data, která mají velký potenciál propojitelnosti s jinými daty. V prvé řadě se jedná o základní geografická data (územně-správní celky, ulice a adresy), statistická data a data o institucích veřejné správy. Pro tato data budou navrženy a pilotně ověřeny konvence a způsoby jejich publikace formou propojených otevřených dat.</w:t>
      </w:r>
      <w:r w:rsidR="00C6095C">
        <w:t xml:space="preserve"> </w:t>
      </w:r>
      <w:r w:rsidR="00C6095C" w:rsidRPr="00C6095C">
        <w:t>Realizace proběhne ve spolupráci s Českým úřadem zeměměřickým a katastrálním (ČÚZK).</w:t>
      </w:r>
    </w:p>
    <w:p w:rsidR="00DB2EAE" w:rsidRPr="00492CD8" w:rsidRDefault="00DB2EAE" w:rsidP="00492CD8">
      <w:pPr>
        <w:pStyle w:val="NOPil3"/>
        <w:rPr>
          <w:b w:val="0"/>
          <w:bCs/>
          <w:i/>
          <w:szCs w:val="22"/>
        </w:rPr>
      </w:pPr>
      <w:r w:rsidRPr="005D4E55">
        <w:t>Osvěta k</w:t>
      </w:r>
      <w:r w:rsidR="00AA1912">
        <w:t> </w:t>
      </w:r>
      <w:r w:rsidRPr="005D4E55">
        <w:t>přístupnosti</w:t>
      </w:r>
      <w:r w:rsidR="00AA1912">
        <w:t>.</w:t>
      </w:r>
      <w:r w:rsidRPr="005D4E55">
        <w:t xml:space="preserve"> </w:t>
      </w:r>
      <w:r w:rsidRPr="00492CD8">
        <w:rPr>
          <w:b w:val="0"/>
          <w:i/>
        </w:rPr>
        <w:t xml:space="preserve">Termín: průběžně, gestor: </w:t>
      </w:r>
      <w:r w:rsidR="00097EE6" w:rsidRPr="00492CD8">
        <w:rPr>
          <w:b w:val="0"/>
          <w:i/>
        </w:rPr>
        <w:t>MV, spolupráce:</w:t>
      </w:r>
      <w:r w:rsidR="004A7217" w:rsidRPr="00492CD8">
        <w:rPr>
          <w:b w:val="0"/>
          <w:i/>
        </w:rPr>
        <w:t xml:space="preserve"> </w:t>
      </w:r>
      <w:r w:rsidR="00097EE6" w:rsidRPr="00492CD8">
        <w:rPr>
          <w:b w:val="0"/>
          <w:i/>
        </w:rPr>
        <w:t>koordinátor</w:t>
      </w:r>
      <w:r w:rsidR="00AA1912" w:rsidRPr="00492CD8">
        <w:rPr>
          <w:b w:val="0"/>
          <w:i/>
        </w:rPr>
        <w:t>.</w:t>
      </w:r>
      <w:r w:rsidRPr="00492CD8">
        <w:rPr>
          <w:b w:val="0"/>
          <w:i/>
        </w:rPr>
        <w:t xml:space="preserve"> </w:t>
      </w:r>
    </w:p>
    <w:p w:rsidR="00F05EDE" w:rsidRPr="00492CD8" w:rsidRDefault="00DB2EAE" w:rsidP="00492CD8">
      <w:r w:rsidRPr="00F05EDE">
        <w:t>Přístupnost (pro osoby se zdravotním postižením) se stává součástí evropské legislativy a svým způsobem patří mezi tradice z praxe v české veřejné správě. Přesto je stále co zlepšovat, a to nejen vůči veřejné správě, ale i například v oblasti přístupnosti dokumentů, mobilních aplikací, v neposlední řadě pak v přístupnosti informací a služeb komerčních poskytovatelů. Jednou z klíčových oblastí je pak osvěta, které se koordinátor ve spolupráci s Ministerstvem vnitra budou intenzivněji věnovat na všech úrovních, včetně diskuse s komerčními poskytovateli služeb.</w:t>
      </w:r>
    </w:p>
    <w:p w:rsidR="008C1143" w:rsidRPr="00492CD8" w:rsidRDefault="003D2999" w:rsidP="00492CD8">
      <w:pPr>
        <w:pStyle w:val="Nadpis3"/>
      </w:pPr>
      <w:bookmarkStart w:id="86" w:name="_Toc491355977"/>
      <w:r w:rsidRPr="004D1B47">
        <w:t>Elektronické zdravotnictví</w:t>
      </w:r>
      <w:bookmarkEnd w:id="86"/>
    </w:p>
    <w:p w:rsidR="00950DDD" w:rsidRDefault="00A9632E" w:rsidP="00492CD8">
      <w:pPr>
        <w:pStyle w:val="Plnovanopaten"/>
      </w:pPr>
      <w:r w:rsidRPr="00D97AD9">
        <w:t xml:space="preserve">Plánovaná opatření </w:t>
      </w:r>
    </w:p>
    <w:p w:rsidR="008C1143" w:rsidRPr="00492CD8" w:rsidRDefault="00A9632E" w:rsidP="00492CD8">
      <w:pPr>
        <w:pStyle w:val="NOPil3"/>
        <w:rPr>
          <w:b w:val="0"/>
        </w:rPr>
      </w:pPr>
      <w:r w:rsidRPr="00D97AD9">
        <w:t xml:space="preserve">Postupovat při implementaci Strategie podle Akčního plánu k Národní strategii elektronického zdravotnictví ČR na období 2016 – 2020. </w:t>
      </w:r>
      <w:r w:rsidRPr="00492CD8">
        <w:rPr>
          <w:b w:val="0"/>
          <w:i/>
        </w:rPr>
        <w:t>Termín: 2017– 2020, gestor</w:t>
      </w:r>
      <w:r w:rsidR="00171C53" w:rsidRPr="00492CD8">
        <w:rPr>
          <w:b w:val="0"/>
          <w:i/>
        </w:rPr>
        <w:t>:</w:t>
      </w:r>
      <w:r w:rsidRPr="00492CD8">
        <w:rPr>
          <w:b w:val="0"/>
          <w:i/>
        </w:rPr>
        <w:t xml:space="preserve"> </w:t>
      </w:r>
      <w:proofErr w:type="spellStart"/>
      <w:r w:rsidRPr="00492CD8">
        <w:rPr>
          <w:b w:val="0"/>
          <w:i/>
        </w:rPr>
        <w:t>MZd</w:t>
      </w:r>
      <w:proofErr w:type="spellEnd"/>
      <w:r w:rsidR="00171C53" w:rsidRPr="00492CD8">
        <w:rPr>
          <w:b w:val="0"/>
          <w:i/>
        </w:rPr>
        <w:t>.</w:t>
      </w:r>
    </w:p>
    <w:p w:rsidR="008C1143" w:rsidRPr="00D97AD9" w:rsidRDefault="00A9632E" w:rsidP="00492CD8">
      <w:pPr>
        <w:pStyle w:val="NOPil3"/>
      </w:pPr>
      <w:r w:rsidRPr="00D97AD9">
        <w:t xml:space="preserve">Zahájit činnost koordinačního centra pro řízení rozvoje elektronizace. </w:t>
      </w:r>
      <w:r w:rsidRPr="00492CD8">
        <w:rPr>
          <w:b w:val="0"/>
          <w:i/>
        </w:rPr>
        <w:t>Termín: 2017, gestor</w:t>
      </w:r>
      <w:r w:rsidR="00171C53" w:rsidRPr="00492CD8">
        <w:rPr>
          <w:b w:val="0"/>
          <w:i/>
        </w:rPr>
        <w:t>:</w:t>
      </w:r>
      <w:r w:rsidRPr="00492CD8">
        <w:rPr>
          <w:b w:val="0"/>
          <w:i/>
        </w:rPr>
        <w:t xml:space="preserve"> </w:t>
      </w:r>
      <w:proofErr w:type="spellStart"/>
      <w:r w:rsidRPr="00492CD8">
        <w:rPr>
          <w:b w:val="0"/>
          <w:i/>
        </w:rPr>
        <w:t>MZd</w:t>
      </w:r>
      <w:proofErr w:type="spellEnd"/>
      <w:r w:rsidR="00171C53" w:rsidRPr="00492CD8">
        <w:rPr>
          <w:b w:val="0"/>
          <w:i/>
        </w:rPr>
        <w:t>.</w:t>
      </w:r>
    </w:p>
    <w:p w:rsidR="008C1143" w:rsidRPr="00D97AD9" w:rsidRDefault="00A9632E" w:rsidP="00492CD8">
      <w:pPr>
        <w:pStyle w:val="Odrka-Normln"/>
      </w:pPr>
      <w:r w:rsidRPr="00D97AD9">
        <w:t>Záměr ustanovení koordinačního centra byl schválen nejprve Usnesením Výboru pro zdravotnictví PS PČR č.</w:t>
      </w:r>
      <w:r w:rsidR="002810BA">
        <w:t xml:space="preserve"> </w:t>
      </w:r>
      <w:r w:rsidRPr="00D97AD9">
        <w:t xml:space="preserve">123/2015, dále řídicím výborem Národní strategie elektronického zdravotnictví a posléze zakotven v této strategii jako nezbytný předpoklad implementace. </w:t>
      </w:r>
    </w:p>
    <w:p w:rsidR="008C1143" w:rsidRPr="00492CD8" w:rsidRDefault="00A9632E" w:rsidP="008C1143">
      <w:pPr>
        <w:pStyle w:val="Odrka-Normln"/>
      </w:pPr>
      <w:r w:rsidRPr="00D97AD9">
        <w:t xml:space="preserve">Koordinační centrum bude vybaveno odbornou kompetencí a příslušnou pravomocí prosazovat základní principy elektronizace v souladu s přijatou Národní strategií elektronického zdravotnictví. </w:t>
      </w:r>
    </w:p>
    <w:p w:rsidR="008C1143" w:rsidRPr="00D97AD9" w:rsidRDefault="00A9632E" w:rsidP="00492CD8">
      <w:pPr>
        <w:pStyle w:val="NOPil3"/>
      </w:pPr>
      <w:r w:rsidRPr="00D97AD9">
        <w:rPr>
          <w:bCs/>
        </w:rPr>
        <w:t xml:space="preserve">Vytvořit architekturu stávajícího a budoucího stavu klíčových projektů pro rozvoj elektronizace. </w:t>
      </w:r>
      <w:r w:rsidRPr="00492CD8">
        <w:rPr>
          <w:b w:val="0"/>
          <w:i/>
        </w:rPr>
        <w:t>Termín: 4Q 2017 – rozpracování architektur pro zadávací dokumentace dalších projektů, gestor</w:t>
      </w:r>
      <w:r w:rsidR="00171C53" w:rsidRPr="00492CD8">
        <w:rPr>
          <w:b w:val="0"/>
          <w:i/>
        </w:rPr>
        <w:t>:</w:t>
      </w:r>
      <w:r w:rsidRPr="00492CD8">
        <w:rPr>
          <w:b w:val="0"/>
          <w:i/>
        </w:rPr>
        <w:t xml:space="preserve"> </w:t>
      </w:r>
      <w:proofErr w:type="spellStart"/>
      <w:r w:rsidRPr="00492CD8">
        <w:rPr>
          <w:b w:val="0"/>
          <w:i/>
        </w:rPr>
        <w:t>MZd</w:t>
      </w:r>
      <w:proofErr w:type="spellEnd"/>
      <w:r w:rsidR="00171C53" w:rsidRPr="00492CD8">
        <w:rPr>
          <w:b w:val="0"/>
          <w:i/>
        </w:rPr>
        <w:t>.</w:t>
      </w:r>
    </w:p>
    <w:p w:rsidR="008C1143" w:rsidRPr="00492CD8" w:rsidRDefault="00A9632E" w:rsidP="008C1143">
      <w:pPr>
        <w:pStyle w:val="Odrka-Normln"/>
      </w:pPr>
      <w:r w:rsidRPr="00D97AD9">
        <w:lastRenderedPageBreak/>
        <w:t xml:space="preserve">Ustanovit systém řízení architektury resortu podle vzoru </w:t>
      </w:r>
      <w:proofErr w:type="spellStart"/>
      <w:r w:rsidRPr="00D97AD9">
        <w:t>eGovernmentu</w:t>
      </w:r>
      <w:proofErr w:type="spellEnd"/>
      <w:r w:rsidRPr="00D97AD9">
        <w:t xml:space="preserve"> a jmenovat hlavního architekta elektronizace zdravotnictví. </w:t>
      </w:r>
    </w:p>
    <w:p w:rsidR="008C1143" w:rsidRPr="00492CD8" w:rsidRDefault="00A9632E" w:rsidP="00492CD8">
      <w:pPr>
        <w:pStyle w:val="NOPil3"/>
        <w:rPr>
          <w:b w:val="0"/>
          <w:i/>
        </w:rPr>
      </w:pPr>
      <w:r w:rsidRPr="00D97AD9">
        <w:t xml:space="preserve">Realizovat klíčové projekty / stavební prvky elektronizace. </w:t>
      </w:r>
      <w:r w:rsidRPr="00492CD8">
        <w:rPr>
          <w:b w:val="0"/>
          <w:i/>
        </w:rPr>
        <w:t>Termín: průběžně 2016– 2020, gestor</w:t>
      </w:r>
      <w:r w:rsidR="00171C53" w:rsidRPr="00492CD8">
        <w:rPr>
          <w:b w:val="0"/>
          <w:i/>
        </w:rPr>
        <w:t>:</w:t>
      </w:r>
      <w:r w:rsidRPr="00492CD8">
        <w:rPr>
          <w:b w:val="0"/>
          <w:i/>
        </w:rPr>
        <w:t xml:space="preserve"> </w:t>
      </w:r>
      <w:proofErr w:type="spellStart"/>
      <w:r w:rsidRPr="00492CD8">
        <w:rPr>
          <w:b w:val="0"/>
          <w:i/>
        </w:rPr>
        <w:t>MZd</w:t>
      </w:r>
      <w:proofErr w:type="spellEnd"/>
      <w:r w:rsidR="00171C53" w:rsidRPr="00492CD8">
        <w:rPr>
          <w:b w:val="0"/>
          <w:i/>
        </w:rPr>
        <w:t>.</w:t>
      </w:r>
    </w:p>
    <w:p w:rsidR="008C1143" w:rsidRPr="00D97AD9" w:rsidRDefault="00A9632E" w:rsidP="00492CD8">
      <w:pPr>
        <w:pStyle w:val="Odrka-Normln"/>
      </w:pPr>
      <w:r w:rsidRPr="00D97AD9">
        <w:t xml:space="preserve">V rámci tvorby Národní strategie elektronického zdravotnictví identifikovat a blíže specifikovat klíčové projekty / stavební kameny elektronizace. </w:t>
      </w:r>
    </w:p>
    <w:p w:rsidR="008C1143" w:rsidRPr="00D97AD9" w:rsidRDefault="00A9632E" w:rsidP="00492CD8">
      <w:pPr>
        <w:pStyle w:val="Odrka-Normln"/>
      </w:pPr>
      <w:r w:rsidRPr="00D97AD9">
        <w:t xml:space="preserve">Zpracovat implementační plány a projektové záměry klíčových projektů. </w:t>
      </w:r>
    </w:p>
    <w:p w:rsidR="008C1143" w:rsidRPr="00492CD8" w:rsidRDefault="00A9632E" w:rsidP="00492CD8">
      <w:pPr>
        <w:pStyle w:val="Odrka-Normln"/>
      </w:pPr>
      <w:r w:rsidRPr="00D97AD9">
        <w:t xml:space="preserve">Realizovat projekty v souladu s implementačními plány. </w:t>
      </w:r>
    </w:p>
    <w:p w:rsidR="008C1143" w:rsidRPr="00492CD8" w:rsidRDefault="00A9632E" w:rsidP="00492CD8">
      <w:pPr>
        <w:pStyle w:val="NOPil3"/>
        <w:rPr>
          <w:b w:val="0"/>
        </w:rPr>
      </w:pPr>
      <w:r w:rsidRPr="00D97AD9">
        <w:t xml:space="preserve">Připravit opatření k eliminaci bariér realizace. </w:t>
      </w:r>
      <w:r w:rsidRPr="00492CD8">
        <w:rPr>
          <w:b w:val="0"/>
          <w:i/>
        </w:rPr>
        <w:t>Termín: průběžně 2016– 2020, gestor</w:t>
      </w:r>
      <w:r w:rsidR="00171C53" w:rsidRPr="00492CD8">
        <w:rPr>
          <w:b w:val="0"/>
          <w:i/>
        </w:rPr>
        <w:t>:</w:t>
      </w:r>
      <w:r w:rsidRPr="00492CD8">
        <w:rPr>
          <w:b w:val="0"/>
          <w:i/>
        </w:rPr>
        <w:t xml:space="preserve"> </w:t>
      </w:r>
      <w:proofErr w:type="spellStart"/>
      <w:r w:rsidRPr="00492CD8">
        <w:rPr>
          <w:b w:val="0"/>
          <w:i/>
        </w:rPr>
        <w:t>MZd</w:t>
      </w:r>
      <w:proofErr w:type="spellEnd"/>
      <w:r w:rsidR="00171C53" w:rsidRPr="00492CD8">
        <w:rPr>
          <w:b w:val="0"/>
          <w:i/>
        </w:rPr>
        <w:t>.</w:t>
      </w:r>
    </w:p>
    <w:p w:rsidR="008C1143" w:rsidRPr="00D97AD9" w:rsidRDefault="00A9632E" w:rsidP="008C1143">
      <w:pPr>
        <w:pStyle w:val="Odrka-Normln"/>
      </w:pPr>
      <w:r w:rsidRPr="00D97AD9">
        <w:t>Předkládat vládě v souladu s Usnesením vlády ČR ze dne 28.</w:t>
      </w:r>
      <w:r w:rsidR="00440D41">
        <w:t xml:space="preserve"> listopadu </w:t>
      </w:r>
      <w:r w:rsidRPr="00D97AD9">
        <w:t xml:space="preserve">2016 č. 1054 </w:t>
      </w:r>
      <w:r w:rsidR="007C6A6B" w:rsidRPr="00D97AD9">
        <w:t>k</w:t>
      </w:r>
      <w:r w:rsidRPr="00D97AD9">
        <w:t xml:space="preserve"> 30.</w:t>
      </w:r>
      <w:r w:rsidR="00440D41">
        <w:t xml:space="preserve"> červnu</w:t>
      </w:r>
      <w:r w:rsidRPr="00D97AD9">
        <w:t xml:space="preserve"> každého kalendářního roku, počínaje rokem 2017, informaci s průběžným vyhodnocením dosažení jednotlivých cílů Strategie. </w:t>
      </w:r>
    </w:p>
    <w:p w:rsidR="00097EE6" w:rsidRPr="00492CD8" w:rsidRDefault="00097EE6" w:rsidP="00492CD8">
      <w:pPr>
        <w:pStyle w:val="Nadpis3"/>
      </w:pPr>
      <w:bookmarkStart w:id="87" w:name="_Toc473114219"/>
      <w:bookmarkStart w:id="88" w:name="_Toc491355978"/>
      <w:r w:rsidRPr="00492CD8">
        <w:t>Elektronická neschopenka</w:t>
      </w:r>
      <w:bookmarkEnd w:id="87"/>
      <w:bookmarkEnd w:id="88"/>
    </w:p>
    <w:p w:rsidR="00097EE6" w:rsidRPr="00865134" w:rsidRDefault="00097EE6" w:rsidP="00492CD8">
      <w:pPr>
        <w:rPr>
          <w:color w:val="000000"/>
          <w:lang w:eastAsia="en-US"/>
        </w:rPr>
      </w:pPr>
      <w:r>
        <w:t>Ministerstvo práce a sociálních věcí v současné době intenzivně pracuje na přípravě systému, který by umožnil poskytovatelům zdravotních služeb vystavovat rozhodnutí o dočasné pracovní neschopnosti v elektronické formě a v této formě také komunikovat s orgány nemocenského pojištění. Budoucím cílem je</w:t>
      </w:r>
      <w:r w:rsidRPr="00865134">
        <w:rPr>
          <w:color w:val="000000"/>
          <w:lang w:eastAsia="en-US"/>
        </w:rPr>
        <w:t xml:space="preserve"> elektronizace</w:t>
      </w:r>
      <w:r>
        <w:rPr>
          <w:color w:val="000000"/>
          <w:lang w:eastAsia="en-US"/>
        </w:rPr>
        <w:t xml:space="preserve"> </w:t>
      </w:r>
      <w:r w:rsidRPr="00865134">
        <w:rPr>
          <w:color w:val="000000"/>
          <w:lang w:eastAsia="en-US"/>
        </w:rPr>
        <w:t xml:space="preserve">posuzování dočasné pracovní neschopnosti („DPN“), </w:t>
      </w:r>
      <w:r>
        <w:rPr>
          <w:color w:val="000000"/>
          <w:lang w:eastAsia="en-US"/>
        </w:rPr>
        <w:t xml:space="preserve">v takové míře, </w:t>
      </w:r>
      <w:r w:rsidRPr="00865134">
        <w:rPr>
          <w:color w:val="000000"/>
          <w:lang w:eastAsia="en-US"/>
        </w:rPr>
        <w:t xml:space="preserve">kdy všechny subjekty činí úkony, pro které je předepsán tiskopis (typicky </w:t>
      </w:r>
      <w:r w:rsidR="00AE36FF">
        <w:rPr>
          <w:color w:val="000000"/>
          <w:lang w:eastAsia="en-US"/>
        </w:rPr>
        <w:t>například</w:t>
      </w:r>
      <w:r w:rsidRPr="00865134">
        <w:rPr>
          <w:color w:val="000000"/>
          <w:lang w:eastAsia="en-US"/>
        </w:rPr>
        <w:t xml:space="preserve"> rozhodnutí o vzniku DPN) zásadně elektronicky, výjimkou bude pouze část tiskopisu „Rozhodnutí o DPN“ vydávaná ošetřujícím lékařem pojištěnci. I zde by</w:t>
      </w:r>
      <w:r>
        <w:rPr>
          <w:color w:val="000000"/>
          <w:lang w:eastAsia="en-US"/>
        </w:rPr>
        <w:t xml:space="preserve"> se dalo do budoucna uvažovat o </w:t>
      </w:r>
      <w:r w:rsidRPr="00865134">
        <w:rPr>
          <w:color w:val="000000"/>
          <w:lang w:eastAsia="en-US"/>
        </w:rPr>
        <w:t xml:space="preserve">náhradě tištěné formy jinou formou.   </w:t>
      </w:r>
    </w:p>
    <w:p w:rsidR="00097EE6" w:rsidRPr="00865134" w:rsidRDefault="00097EE6" w:rsidP="00492CD8">
      <w:r>
        <w:t xml:space="preserve">Cílové řešení bude založeno </w:t>
      </w:r>
      <w:r w:rsidR="00F333A8">
        <w:t xml:space="preserve">na principech </w:t>
      </w:r>
      <w:r w:rsidR="00F333A8" w:rsidRPr="00D97AD9">
        <w:rPr>
          <w:rFonts w:eastAsia="Times New Roman"/>
          <w:szCs w:val="22"/>
        </w:rPr>
        <w:t>„</w:t>
      </w:r>
      <w:r w:rsidRPr="00865134">
        <w:t>úplného elektronického podání</w:t>
      </w:r>
      <w:r w:rsidR="00F333A8">
        <w:t xml:space="preserve">", jak jsou definovány v rámci </w:t>
      </w:r>
      <w:r w:rsidR="00F333A8" w:rsidRPr="00D97AD9">
        <w:rPr>
          <w:rFonts w:eastAsia="Times New Roman"/>
          <w:szCs w:val="22"/>
        </w:rPr>
        <w:t>„</w:t>
      </w:r>
      <w:r w:rsidRPr="00865134">
        <w:t>Strategie rozvoj</w:t>
      </w:r>
      <w:r w:rsidR="00F333A8">
        <w:t xml:space="preserve">e ICT služeb veřejné správy" a </w:t>
      </w:r>
      <w:r w:rsidR="00F333A8" w:rsidRPr="00D97AD9">
        <w:rPr>
          <w:rFonts w:eastAsia="Times New Roman"/>
          <w:szCs w:val="22"/>
        </w:rPr>
        <w:t>„</w:t>
      </w:r>
      <w:r w:rsidRPr="00865134">
        <w:t xml:space="preserve">Strategického rámce pro rozvoj veřejné správy". </w:t>
      </w:r>
      <w:r>
        <w:t xml:space="preserve">Výsledkem bude </w:t>
      </w:r>
      <w:proofErr w:type="spellStart"/>
      <w:r w:rsidRPr="00865134">
        <w:t>efektivizace</w:t>
      </w:r>
      <w:proofErr w:type="spellEnd"/>
      <w:r w:rsidRPr="00865134">
        <w:t xml:space="preserve"> pořizování</w:t>
      </w:r>
      <w:r>
        <w:t xml:space="preserve">, </w:t>
      </w:r>
      <w:r w:rsidRPr="00865134">
        <w:t>využívání a předávání údajů v rámci agendy</w:t>
      </w:r>
      <w:r>
        <w:t xml:space="preserve"> </w:t>
      </w:r>
      <w:r w:rsidRPr="00865134">
        <w:t xml:space="preserve">dočasné pracovní neschopnosti, snížení administrativy elektronizací a automatizací, </w:t>
      </w:r>
      <w:r>
        <w:t>„</w:t>
      </w:r>
      <w:r w:rsidRPr="00865134">
        <w:t>vy</w:t>
      </w:r>
      <w:r>
        <w:t>čištění“ jak údajů, tak procesů a </w:t>
      </w:r>
      <w:r w:rsidRPr="00865134">
        <w:t xml:space="preserve">zrychlení předávání údajů zejména pro účely výplaty nemocenského. </w:t>
      </w:r>
    </w:p>
    <w:p w:rsidR="00097EE6" w:rsidRDefault="00097EE6" w:rsidP="00492CD8">
      <w:pPr>
        <w:rPr>
          <w:lang w:eastAsia="en-US"/>
        </w:rPr>
      </w:pPr>
      <w:r>
        <w:rPr>
          <w:lang w:eastAsia="en-US"/>
        </w:rPr>
        <w:t xml:space="preserve">Je samozřejmé, že při zpracování takto komplexní změny je nutno přihlédnout k celé řadě faktorů. Pro přehlednost se uvádí pouze dva zásadní: </w:t>
      </w:r>
    </w:p>
    <w:p w:rsidR="00097EE6" w:rsidRDefault="00097EE6" w:rsidP="00717BEA">
      <w:pPr>
        <w:pStyle w:val="Odstavecseseznamem"/>
        <w:numPr>
          <w:ilvl w:val="0"/>
          <w:numId w:val="9"/>
        </w:numPr>
        <w:rPr>
          <w:lang w:eastAsia="en-US"/>
        </w:rPr>
      </w:pPr>
      <w:r w:rsidRPr="007941BB">
        <w:rPr>
          <w:lang w:eastAsia="en-US"/>
        </w:rPr>
        <w:t xml:space="preserve">Zavedení elektronizace jako cílového stavu při posuzování DPN </w:t>
      </w:r>
      <w:r>
        <w:rPr>
          <w:lang w:eastAsia="en-US"/>
        </w:rPr>
        <w:t xml:space="preserve">bude provedeno </w:t>
      </w:r>
      <w:r w:rsidRPr="007941BB">
        <w:rPr>
          <w:lang w:eastAsia="en-US"/>
        </w:rPr>
        <w:t>v celém systému ne</w:t>
      </w:r>
      <w:r>
        <w:rPr>
          <w:lang w:eastAsia="en-US"/>
        </w:rPr>
        <w:t>mocenského pojištění, tj. i při </w:t>
      </w:r>
      <w:r w:rsidRPr="007941BB">
        <w:rPr>
          <w:lang w:eastAsia="en-US"/>
        </w:rPr>
        <w:t xml:space="preserve">posuzování DPN prováděného u příslušníků ozbrojených sil a sborů, jejichž nemocenské pojištění provádí příslušné služební orgány. </w:t>
      </w:r>
    </w:p>
    <w:p w:rsidR="008F08A6" w:rsidRDefault="00097EE6" w:rsidP="00717BEA">
      <w:pPr>
        <w:pStyle w:val="Odstavecseseznamem"/>
        <w:numPr>
          <w:ilvl w:val="0"/>
          <w:numId w:val="9"/>
        </w:numPr>
        <w:rPr>
          <w:lang w:eastAsia="en-US"/>
        </w:rPr>
      </w:pPr>
      <w:r w:rsidRPr="007941BB">
        <w:rPr>
          <w:lang w:eastAsia="en-US"/>
        </w:rPr>
        <w:t>Zaměstnavatelé zabezpečují zaměstnance po dobu prvých dvou týdnů trvání DPN formou náhrady mzdy při DPN</w:t>
      </w:r>
      <w:r>
        <w:rPr>
          <w:lang w:eastAsia="en-US"/>
        </w:rPr>
        <w:t xml:space="preserve"> </w:t>
      </w:r>
      <w:r w:rsidRPr="007941BB">
        <w:rPr>
          <w:lang w:eastAsia="en-US"/>
        </w:rPr>
        <w:t xml:space="preserve">ze svých prostředků. </w:t>
      </w:r>
      <w:r>
        <w:rPr>
          <w:lang w:eastAsia="en-US"/>
        </w:rPr>
        <w:t xml:space="preserve">Je proto nezbytné zajistit jejich informovanost. </w:t>
      </w:r>
    </w:p>
    <w:p w:rsidR="00097EE6" w:rsidRPr="007941BB" w:rsidRDefault="008F08A6" w:rsidP="008F08A6">
      <w:pPr>
        <w:spacing w:after="200"/>
        <w:jc w:val="left"/>
        <w:rPr>
          <w:lang w:eastAsia="en-US"/>
        </w:rPr>
      </w:pPr>
      <w:r>
        <w:rPr>
          <w:lang w:eastAsia="en-US"/>
        </w:rPr>
        <w:br w:type="page"/>
      </w:r>
    </w:p>
    <w:p w:rsidR="00097EE6" w:rsidRDefault="00097EE6" w:rsidP="00492CD8">
      <w:r>
        <w:lastRenderedPageBreak/>
        <w:t xml:space="preserve">Pro snazší přechod k plné elektronizaci procesu bude </w:t>
      </w:r>
      <w:r w:rsidRPr="007941BB">
        <w:t>pro první fázi zav</w:t>
      </w:r>
      <w:r>
        <w:t>edena</w:t>
      </w:r>
      <w:r w:rsidRPr="007941BB">
        <w:t xml:space="preserve"> elektronick</w:t>
      </w:r>
      <w:r>
        <w:t>á</w:t>
      </w:r>
      <w:r w:rsidRPr="007941BB">
        <w:t xml:space="preserve"> neschopenk</w:t>
      </w:r>
      <w:r>
        <w:t>a</w:t>
      </w:r>
      <w:r w:rsidRPr="007941BB">
        <w:t xml:space="preserve"> se všemi jejími výhodami, ale stále </w:t>
      </w:r>
      <w:r>
        <w:t>bude zachována</w:t>
      </w:r>
      <w:r w:rsidRPr="007941BB">
        <w:t xml:space="preserve"> možnost (byť </w:t>
      </w:r>
      <w:proofErr w:type="spellStart"/>
      <w:r w:rsidRPr="007941BB">
        <w:t>pozměněně</w:t>
      </w:r>
      <w:proofErr w:type="spellEnd"/>
      <w:r w:rsidRPr="007941BB">
        <w:t xml:space="preserve"> a zjednodušeně) vystavovat neschopenku i </w:t>
      </w:r>
      <w:r>
        <w:t>v papírové (listinné) podobě.</w:t>
      </w:r>
      <w:r w:rsidRPr="007941BB">
        <w:t xml:space="preserve"> </w:t>
      </w:r>
      <w:r>
        <w:t>Bude</w:t>
      </w:r>
      <w:r w:rsidRPr="007941BB">
        <w:t xml:space="preserve"> výhradně volbou jednotlivých lékařů, kterou formu zvolí a jak moc budou pro ně výhody elektronické a naopak zátěž a náklady papírové neschopenky důvodem k přechodu. </w:t>
      </w:r>
      <w:r>
        <w:t xml:space="preserve">Tomu bude muset napomoci i uživatelsky velmi vstřícná podoba elektronické formy. Pro snazší náběh systému a zachování (především psychologických) jistot pojištěnců se předpokládá, že v prvé fázi obdrží (obdobně jako nyní) rozhodnutí o vzniku DPN v písemné (listinné) podobě bez ohledu na to, jakou formu komunikace ošetřující lékař s orgánem nemocenského pojištění zvolí. </w:t>
      </w:r>
    </w:p>
    <w:p w:rsidR="00097EE6" w:rsidRPr="007941BB" w:rsidRDefault="00097EE6" w:rsidP="00492CD8">
      <w:r>
        <w:t>Rychlost náběhu procesu bude vázána na dobrou funkci Národního registru po</w:t>
      </w:r>
      <w:r w:rsidR="00492CD8">
        <w:t>skytovatelů zdravotních služeb.</w:t>
      </w:r>
    </w:p>
    <w:p w:rsidR="00097EE6" w:rsidRDefault="00097EE6" w:rsidP="00492CD8">
      <w:pPr>
        <w:pStyle w:val="Plnovanopaten"/>
      </w:pPr>
      <w:r w:rsidRPr="00E27DBD">
        <w:t>Plánovaná opatření</w:t>
      </w:r>
    </w:p>
    <w:p w:rsidR="00097EE6" w:rsidRPr="005D4E55" w:rsidRDefault="00097EE6" w:rsidP="00492CD8">
      <w:pPr>
        <w:pStyle w:val="NOPil3"/>
        <w:rPr>
          <w:u w:val="single"/>
        </w:rPr>
      </w:pPr>
      <w:r w:rsidRPr="005D4E55">
        <w:t>Spuštění elektronické neschopenky.</w:t>
      </w:r>
      <w:r w:rsidRPr="00492CD8">
        <w:rPr>
          <w:b w:val="0"/>
        </w:rPr>
        <w:t xml:space="preserve"> </w:t>
      </w:r>
      <w:r w:rsidRPr="00492CD8">
        <w:rPr>
          <w:b w:val="0"/>
          <w:i/>
        </w:rPr>
        <w:t>Termín: 4Q 2019</w:t>
      </w:r>
      <w:r w:rsidR="00AA1912" w:rsidRPr="00492CD8">
        <w:rPr>
          <w:b w:val="0"/>
          <w:i/>
        </w:rPr>
        <w:t>.</w:t>
      </w:r>
    </w:p>
    <w:p w:rsidR="00097EE6" w:rsidRDefault="00097EE6" w:rsidP="00492CD8">
      <w:r>
        <w:t>Ministerstvo práce a sociálních věcí spustí elektronickou podobu agendy dočasné pracovní neschopnosti, která lékařům vystavujícím neschopenku umožní vystavovat a měnit rozhodnutí o dočasné pracovní neschopnosti v elektronické podobě. V rámci optimalizace celé agendy se také podstatně zjednoduší úkony spojené s neschopenkou.</w:t>
      </w:r>
    </w:p>
    <w:p w:rsidR="00097EE6" w:rsidRPr="00B910FE" w:rsidRDefault="00097EE6" w:rsidP="00492CD8">
      <w:pPr>
        <w:pStyle w:val="NOPil3"/>
      </w:pPr>
      <w:bookmarkStart w:id="89" w:name="_7l9x3wiwuqza" w:colFirst="0" w:colLast="0"/>
      <w:bookmarkEnd w:id="89"/>
      <w:r w:rsidRPr="006A5A97">
        <w:t xml:space="preserve">Elektronické poskytování informací o dočasné pracovní neschopnosti. </w:t>
      </w:r>
      <w:r w:rsidRPr="00492CD8">
        <w:rPr>
          <w:b w:val="0"/>
          <w:i/>
        </w:rPr>
        <w:t>Termín: 4Q 2019</w:t>
      </w:r>
      <w:r w:rsidR="00AA1912" w:rsidRPr="00492CD8">
        <w:rPr>
          <w:b w:val="0"/>
          <w:i/>
        </w:rPr>
        <w:t>.</w:t>
      </w:r>
    </w:p>
    <w:p w:rsidR="00492CD8" w:rsidRDefault="00097EE6" w:rsidP="00492CD8">
      <w:r w:rsidRPr="003C5118">
        <w:t>V rámci elektronizace agend nemocenského pojištění a takzvané “elektronické neschopenky” budou moci zaměstnanci a zaměstnavatelé získat automaticky dle jejich žádosti informace o dočasné pracovní neschopnosti, a to prostřednictvím resortního portálu práce a sociálních věcí. Usnadní se tím povinnost hlásit zaměstnavateli svoji pracovní neschopnost a zaměstnavatelé dostanou garantované a důvěryhodné informace o dočasné pracovní neschopnosti svých zaměstnanců, pochopitelně jen v potřebném rozsahu.</w:t>
      </w:r>
      <w:bookmarkStart w:id="90" w:name="_Toc461313526"/>
      <w:bookmarkStart w:id="91" w:name="_Toc461390026"/>
      <w:bookmarkStart w:id="92" w:name="_Toc473114220"/>
    </w:p>
    <w:p w:rsidR="00097EE6" w:rsidRPr="004D1B47" w:rsidRDefault="00097EE6" w:rsidP="00492CD8">
      <w:pPr>
        <w:pStyle w:val="Nadpis3"/>
        <w:rPr>
          <w:rFonts w:eastAsia="Arial"/>
        </w:rPr>
      </w:pPr>
      <w:bookmarkStart w:id="93" w:name="_Toc491355979"/>
      <w:r w:rsidRPr="004D1B47">
        <w:rPr>
          <w:rFonts w:eastAsia="Arial"/>
        </w:rPr>
        <w:t>Elektronizace sociálních služeb</w:t>
      </w:r>
      <w:bookmarkEnd w:id="90"/>
      <w:bookmarkEnd w:id="91"/>
      <w:bookmarkEnd w:id="92"/>
      <w:bookmarkEnd w:id="93"/>
    </w:p>
    <w:p w:rsidR="00492CD8" w:rsidRDefault="00097EE6" w:rsidP="00492CD8">
      <w:r>
        <w:t xml:space="preserve">První oficiální dokument ohledně elektronizace sociálních služeb vznikl teprve v roce 2015. Jedná se o výstup projektu Podpora procesů v sociálních službách (www.podporaprocesu.cz) v části klíčové aktivity 13 (Podpora </w:t>
      </w:r>
      <w:proofErr w:type="spellStart"/>
      <w:r>
        <w:t>asistivních</w:t>
      </w:r>
      <w:proofErr w:type="spellEnd"/>
      <w:r>
        <w:t xml:space="preserve"> technologií), který měl za cíl zhodnotit současnou situaci v oblasti rozvoje a využívání </w:t>
      </w:r>
      <w:proofErr w:type="spellStart"/>
      <w:r>
        <w:t>asistivních</w:t>
      </w:r>
      <w:proofErr w:type="spellEnd"/>
      <w:r>
        <w:t xml:space="preserve"> technologií (nejen v prostředí sociálních služeb) a nastavit mechanismy pro jejich využití ve prospěch osob se zdravotním či sociálním znevýhodněním a jejich okolí. Co se týká využití </w:t>
      </w:r>
      <w:proofErr w:type="spellStart"/>
      <w:r>
        <w:t>asistivních</w:t>
      </w:r>
      <w:proofErr w:type="spellEnd"/>
      <w:r>
        <w:t xml:space="preserve"> technologií, je zřejmé, že sociální služby nebyly nikdy oficiálně podpořeny a využití moderních technologií je na velmi mizivé úrovni. Proto se vzniklý dokument zaměřuje i na porovnání nákladů a cen u sociálních služeb využívajících </w:t>
      </w:r>
      <w:proofErr w:type="spellStart"/>
      <w:r>
        <w:t>asistivní</w:t>
      </w:r>
      <w:proofErr w:type="spellEnd"/>
      <w:r>
        <w:t xml:space="preserve"> technologie, jejich ekonomické přínosy a předpoklady zvýšení efektivity při využití u neformální péče a sociálních služeb. V neposlední řadě využití </w:t>
      </w:r>
      <w:proofErr w:type="spellStart"/>
      <w:r>
        <w:t>asistivních</w:t>
      </w:r>
      <w:proofErr w:type="spellEnd"/>
      <w:r>
        <w:t xml:space="preserve"> technologií a také širší elektronizace sociálních služeb může přinést významné úspory v tomto sektoru.</w:t>
      </w:r>
    </w:p>
    <w:p w:rsidR="00097EE6" w:rsidRPr="00A26583" w:rsidRDefault="00492CD8" w:rsidP="00492CD8">
      <w:pPr>
        <w:spacing w:after="200"/>
        <w:jc w:val="left"/>
      </w:pPr>
      <w:r>
        <w:br w:type="page"/>
      </w:r>
    </w:p>
    <w:p w:rsidR="00097EE6" w:rsidRPr="00492CD8" w:rsidRDefault="00097EE6" w:rsidP="00492CD8">
      <w:pPr>
        <w:pStyle w:val="Plnovanopaten"/>
      </w:pPr>
      <w:r w:rsidRPr="00492CD8">
        <w:lastRenderedPageBreak/>
        <w:t>Plánovaná opatření</w:t>
      </w:r>
    </w:p>
    <w:p w:rsidR="00097EE6" w:rsidRPr="00492CD8" w:rsidRDefault="00097EE6" w:rsidP="00492CD8">
      <w:pPr>
        <w:pStyle w:val="NOPil3"/>
        <w:rPr>
          <w:b w:val="0"/>
          <w:i/>
        </w:rPr>
      </w:pPr>
      <w:r w:rsidRPr="0055281C">
        <w:t>Nastavení digitálního prostředí pro oblas</w:t>
      </w:r>
      <w:r w:rsidR="00AA1912">
        <w:t xml:space="preserve">t registrace sociálních služeb. </w:t>
      </w:r>
      <w:r w:rsidRPr="00492CD8">
        <w:rPr>
          <w:b w:val="0"/>
          <w:i/>
        </w:rPr>
        <w:t>Termín: 4Q 2018</w:t>
      </w:r>
      <w:r w:rsidR="00940B40">
        <w:rPr>
          <w:b w:val="0"/>
          <w:i/>
        </w:rPr>
        <w:t>, gestor: MPSV.</w:t>
      </w:r>
    </w:p>
    <w:p w:rsidR="00097EE6" w:rsidRPr="00776F63" w:rsidRDefault="00097EE6" w:rsidP="00492CD8">
      <w:r w:rsidRPr="00776F63">
        <w:t>Cílem je zvýšení uživatelského komfortu poskytovatelů sociálních služeb a registrujícího orgánu při aktivitách spojených s procesem registrace sociálních sužeb a snižování administrativní zátěže těchto subjektů. Jde o nové nastavení elektronického registru poskytovatelů sociálních služeb a způsobů komunikace zmíněných subjektů s využitím digitálních technologií</w:t>
      </w:r>
      <w:r>
        <w:t>.</w:t>
      </w:r>
    </w:p>
    <w:p w:rsidR="00097EE6" w:rsidRDefault="00097EE6" w:rsidP="00492CD8">
      <w:pPr>
        <w:pStyle w:val="NOPil3"/>
      </w:pPr>
      <w:r w:rsidRPr="0055281C">
        <w:t xml:space="preserve">Podpora při zavádění digitalizace procesů v sociálních službách, podpora bude jak metodická, tak formou přípravy výzev v rámci Evropských fondů. </w:t>
      </w:r>
      <w:r w:rsidRPr="00492CD8">
        <w:rPr>
          <w:b w:val="0"/>
          <w:i/>
        </w:rPr>
        <w:t>Termín: průběžně</w:t>
      </w:r>
      <w:r w:rsidR="00940B40">
        <w:rPr>
          <w:b w:val="0"/>
          <w:i/>
        </w:rPr>
        <w:t>, gestor: MPSV.</w:t>
      </w:r>
    </w:p>
    <w:p w:rsidR="00097EE6" w:rsidRPr="00D62D1E" w:rsidRDefault="00097EE6" w:rsidP="00492CD8">
      <w:r w:rsidRPr="00776F63">
        <w:t xml:space="preserve">Jedná se o podporu poskytovatelů sociálních služeb při využívání digitálních a </w:t>
      </w:r>
      <w:proofErr w:type="spellStart"/>
      <w:r w:rsidRPr="00776F63">
        <w:t>asistivních</w:t>
      </w:r>
      <w:proofErr w:type="spellEnd"/>
      <w:r w:rsidRPr="00776F63">
        <w:t xml:space="preserve"> </w:t>
      </w:r>
      <w:r w:rsidRPr="00D62D1E">
        <w:t xml:space="preserve">technologií v procesu poskytování sociálních služeb, </w:t>
      </w:r>
      <w:r w:rsidR="00AE36FF">
        <w:t>například</w:t>
      </w:r>
      <w:r w:rsidRPr="00D62D1E">
        <w:t xml:space="preserve"> v oblasti vedení dokumentace, komunikace s klienty apod.</w:t>
      </w:r>
    </w:p>
    <w:p w:rsidR="00097EE6" w:rsidRPr="00AA1912" w:rsidRDefault="00097EE6" w:rsidP="00492CD8">
      <w:pPr>
        <w:pStyle w:val="NOPil3"/>
        <w:rPr>
          <w:i/>
          <w:u w:val="single"/>
        </w:rPr>
      </w:pPr>
      <w:r w:rsidRPr="00D62D1E">
        <w:t xml:space="preserve">Rozvoj Informačního systému na sledování sociálních jevů. </w:t>
      </w:r>
      <w:r w:rsidRPr="00492CD8">
        <w:rPr>
          <w:b w:val="0"/>
          <w:i/>
        </w:rPr>
        <w:t>Termín: 4Q 2020</w:t>
      </w:r>
      <w:r w:rsidR="00940B40">
        <w:rPr>
          <w:b w:val="0"/>
          <w:i/>
        </w:rPr>
        <w:t>, gestor: MPSV.</w:t>
      </w:r>
    </w:p>
    <w:p w:rsidR="00097EE6" w:rsidRPr="00D62D1E" w:rsidRDefault="00097EE6" w:rsidP="00492CD8">
      <w:r w:rsidRPr="00D62D1E">
        <w:t xml:space="preserve">Informační systém na sledování sociálních jevů nabízí především shromáždění relevantních dat na jednom místě, jejich třídění do tematických oblastí a uživatelsky přívětivou formu jejich zobrazování. V projektu Rozvoj systému sociálních služeb bude informační systém dále rozvíjen, </w:t>
      </w:r>
      <w:r w:rsidR="00AE36FF">
        <w:t>například</w:t>
      </w:r>
      <w:r w:rsidRPr="00D62D1E">
        <w:t xml:space="preserve"> o možnost predikování možného vývoje sledovaných jevů. Dojde tak k usnadnění práce s daty především při plánování sociálních služeb, ale i v jiných oblastech. Dále se plánuje rozšíření o část pro veřejnost, která by měla umožnit lepší orientaci v systému sociálních služeb a dopomoci tak k rychlejšímu a efektivnějšímu řešení nepříznivých sociálních situací. </w:t>
      </w:r>
    </w:p>
    <w:p w:rsidR="00097EE6" w:rsidRDefault="00097EE6" w:rsidP="00492CD8">
      <w:pPr>
        <w:pStyle w:val="NOPil3"/>
      </w:pPr>
      <w:r w:rsidRPr="00D62D1E">
        <w:t>Resortní portál práce a sociálních</w:t>
      </w:r>
      <w:r>
        <w:t xml:space="preserve"> věcí s klientskými službami v sociální oblasti</w:t>
      </w:r>
      <w:r w:rsidRPr="00B910FE">
        <w:t xml:space="preserve">. </w:t>
      </w:r>
      <w:r w:rsidRPr="00492CD8">
        <w:rPr>
          <w:b w:val="0"/>
          <w:i/>
        </w:rPr>
        <w:t>Termín: 4Q 2019</w:t>
      </w:r>
      <w:r w:rsidR="00940B40">
        <w:rPr>
          <w:b w:val="0"/>
          <w:i/>
        </w:rPr>
        <w:t>, gestor: MPSV.</w:t>
      </w:r>
    </w:p>
    <w:p w:rsidR="00097EE6" w:rsidRDefault="00097EE6" w:rsidP="00492CD8">
      <w:r>
        <w:t>Ministerstvo práce a sociální věcí spustí s novými informačními systémy pro podporu agend také nový resortní portál práce a sociálních věcí, který bude již koncipován jako portál také pro služby úplného elektronického podání a elektronických klientských služeb pro klienty.  Portál bude obsahovat informace, životní situace a služby ve všech agendách sociální oblasti.</w:t>
      </w:r>
    </w:p>
    <w:p w:rsidR="00097EE6" w:rsidRDefault="00097EE6" w:rsidP="00492CD8">
      <w:pPr>
        <w:pStyle w:val="NOPil3"/>
      </w:pPr>
      <w:bookmarkStart w:id="94" w:name="_dlx5cfxxgueo" w:colFirst="0" w:colLast="0"/>
      <w:bookmarkEnd w:id="94"/>
      <w:r>
        <w:t>Spuštění elektronické výměny údajů v sociální oblasti v EU (</w:t>
      </w:r>
      <w:proofErr w:type="spellStart"/>
      <w:r>
        <w:t>AccessPoint</w:t>
      </w:r>
      <w:proofErr w:type="spellEnd"/>
      <w:r>
        <w:t xml:space="preserve">). </w:t>
      </w:r>
      <w:r w:rsidR="00940B40">
        <w:rPr>
          <w:b w:val="0"/>
          <w:i/>
        </w:rPr>
        <w:t>Termín: 4Q 2017, gestor: MPSV.</w:t>
      </w:r>
    </w:p>
    <w:p w:rsidR="00097EE6" w:rsidRDefault="00097EE6" w:rsidP="00097EE6">
      <w:r w:rsidRPr="00492CD8">
        <w:t>V rámci evropského projektu EESSI pro výměnu informací také v sociální oblasti se začnou předávat údaje ze sociálních agend v elektronické podobě mezi jednotlivými členskými státy Evropské unie. Realizací tohoto evropského projektu interoperability, v němž je ČR aktivně zapojena, nastane rychlejší a efektivnější předávání garantovaných informací ve zdravotní a sociální oblasti mezi příslušnými orgány ve členských státech, a tím dojde ke zrychlení příslušných řízení, jejichž účastníky jsou občané ji</w:t>
      </w:r>
      <w:r w:rsidR="00F333A8" w:rsidRPr="00492CD8">
        <w:t>ného členského státu. Takzvaný „</w:t>
      </w:r>
      <w:proofErr w:type="spellStart"/>
      <w:r w:rsidRPr="00492CD8">
        <w:t>AccessPoint</w:t>
      </w:r>
      <w:proofErr w:type="spellEnd"/>
      <w:r w:rsidRPr="00492CD8">
        <w:t xml:space="preserve">” v sociální oblasti bude technickým a procesním prostředkem pro výměnu </w:t>
      </w:r>
      <w:r w:rsidRPr="00492CD8">
        <w:lastRenderedPageBreak/>
        <w:t>údajů s orgány důchodového pojištění, sociálního zabezpečení a sociálního či zdravotního pojištění v ostatních členských státech</w:t>
      </w:r>
      <w:r>
        <w:t xml:space="preserve">. </w:t>
      </w:r>
    </w:p>
    <w:p w:rsidR="00097EE6" w:rsidRDefault="00097EE6" w:rsidP="00492CD8">
      <w:pPr>
        <w:pStyle w:val="NOPil3"/>
      </w:pPr>
      <w:bookmarkStart w:id="95" w:name="_e7mdctjfsbr7" w:colFirst="0" w:colLast="0"/>
      <w:bookmarkEnd w:id="95"/>
      <w:r>
        <w:t xml:space="preserve">Analýza možné podpory služeb </w:t>
      </w:r>
      <w:proofErr w:type="spellStart"/>
      <w:r>
        <w:t>asistivních</w:t>
      </w:r>
      <w:proofErr w:type="spellEnd"/>
      <w:r>
        <w:t xml:space="preserve"> technologií ze strany státu. </w:t>
      </w:r>
      <w:r w:rsidRPr="00492CD8">
        <w:rPr>
          <w:b w:val="0"/>
          <w:i/>
        </w:rPr>
        <w:t>Termín: 4Q 2017</w:t>
      </w:r>
      <w:r w:rsidR="00940B40">
        <w:rPr>
          <w:b w:val="0"/>
          <w:i/>
        </w:rPr>
        <w:t>, gestor: MPSV.</w:t>
      </w:r>
    </w:p>
    <w:p w:rsidR="00097EE6" w:rsidRPr="00776F63" w:rsidRDefault="00097EE6" w:rsidP="00492CD8">
      <w:r>
        <w:t xml:space="preserve">Na základě dosavadních aktivit v rámci podpory rozvoje </w:t>
      </w:r>
      <w:proofErr w:type="spellStart"/>
      <w:r>
        <w:t>asistivních</w:t>
      </w:r>
      <w:proofErr w:type="spellEnd"/>
      <w:r>
        <w:t xml:space="preserve"> technologií disponujeme řadou analytických materiálů v oblasti využití </w:t>
      </w:r>
      <w:proofErr w:type="spellStart"/>
      <w:r>
        <w:t>asistivních</w:t>
      </w:r>
      <w:proofErr w:type="spellEnd"/>
      <w:r>
        <w:t xml:space="preserve"> technologií pro pomoc osobám se zdravotním postižením, ale třeba i seniorům, a pochopitelně pro zlepšení kvality jejich života a soběstačnosti. MPSV v rámci projektů se svými partnery vytvoří a zahájí realizaci projektu ke zlepšení znalostní báze i praktického nasazení </w:t>
      </w:r>
      <w:proofErr w:type="spellStart"/>
      <w:r>
        <w:t>asistivních</w:t>
      </w:r>
      <w:proofErr w:type="spellEnd"/>
      <w:r>
        <w:t xml:space="preserve"> technologií do života, alespoň v rozsahu pilotního projektu podpory a znalostní báze AT.</w:t>
      </w:r>
    </w:p>
    <w:p w:rsidR="00097EE6" w:rsidRPr="004D1B47" w:rsidRDefault="00097EE6" w:rsidP="007B1E57">
      <w:pPr>
        <w:pStyle w:val="Nadpis3"/>
        <w:rPr>
          <w:rFonts w:eastAsia="Arial"/>
        </w:rPr>
      </w:pPr>
      <w:bookmarkStart w:id="96" w:name="page44"/>
      <w:bookmarkStart w:id="97" w:name="_Toc461313527"/>
      <w:bookmarkStart w:id="98" w:name="_Toc461390027"/>
      <w:bookmarkStart w:id="99" w:name="_Toc473114221"/>
      <w:bookmarkStart w:id="100" w:name="_Toc491355980"/>
      <w:bookmarkEnd w:id="96"/>
      <w:r w:rsidRPr="004D1B47">
        <w:rPr>
          <w:rFonts w:eastAsia="Arial"/>
        </w:rPr>
        <w:t>Elektronizace justice</w:t>
      </w:r>
      <w:bookmarkEnd w:id="97"/>
      <w:bookmarkEnd w:id="98"/>
      <w:bookmarkEnd w:id="99"/>
      <w:bookmarkEnd w:id="100"/>
    </w:p>
    <w:p w:rsidR="00097EE6" w:rsidRDefault="00097EE6" w:rsidP="00524035">
      <w:r>
        <w:t>Elektronizace justice vychází do velké míry ze své evropské roviny, neboť usnadnění přeshraniční justiční spolupráce je jedním z jejích vítaných důsledků.</w:t>
      </w:r>
    </w:p>
    <w:p w:rsidR="00097EE6" w:rsidRDefault="00097EE6" w:rsidP="00524035">
      <w:r>
        <w:t xml:space="preserve">Základní principy a cíle evropské </w:t>
      </w:r>
      <w:proofErr w:type="spellStart"/>
      <w:r w:rsidR="00D35439">
        <w:t>eJustice</w:t>
      </w:r>
      <w:proofErr w:type="spellEnd"/>
      <w:r>
        <w:t xml:space="preserve"> jsou nově definovány tzv. Strategií pro evropskou e-Justici pro období 2014-2018, která byla přijata na konci r. 2013 během litevského předsednictví, a Víceletým akčním plánem pro evropskou e-Justici na období 2014-2018, přijatým během řeckého předsednictví v červnu 2014. Akční plán zmiňuje oblasti rozvoje </w:t>
      </w:r>
      <w:proofErr w:type="spellStart"/>
      <w:r w:rsidR="00D35439">
        <w:t>eJustice</w:t>
      </w:r>
      <w:proofErr w:type="spellEnd"/>
      <w:r>
        <w:t xml:space="preserve"> na evropské úrovni (</w:t>
      </w:r>
      <w:r w:rsidR="00AE36FF">
        <w:t>zejména</w:t>
      </w:r>
      <w:r>
        <w:t xml:space="preserve"> Portál </w:t>
      </w:r>
      <w:proofErr w:type="spellStart"/>
      <w:r w:rsidR="00D35439">
        <w:t>eJustice</w:t>
      </w:r>
      <w:proofErr w:type="spellEnd"/>
      <w:r>
        <w:t>, propojování rejstříků, elektronická komunikace se soudy), stanovuje pravidla pro společné projekty a časový harmonogram jejich realizace (jak je uvedeno v příloze akčního plánu).</w:t>
      </w:r>
    </w:p>
    <w:p w:rsidR="00097EE6" w:rsidRDefault="00097EE6" w:rsidP="00524035">
      <w:r>
        <w:t xml:space="preserve">Nejviditelnějším praktickým nástrojem evropské </w:t>
      </w:r>
      <w:proofErr w:type="spellStart"/>
      <w:r w:rsidR="00D35439">
        <w:t>eJustice</w:t>
      </w:r>
      <w:proofErr w:type="spellEnd"/>
      <w:r>
        <w:t xml:space="preserve"> je Evropský portál </w:t>
      </w:r>
      <w:proofErr w:type="spellStart"/>
      <w:r w:rsidR="00D35439">
        <w:t>eJustice</w:t>
      </w:r>
      <w:proofErr w:type="spellEnd"/>
      <w:r>
        <w:t xml:space="preserve"> („Portál“), který byl oficiálně spuštěn 16. července 2010. Portál má představovat jednotný zdroj informací o právu EU („</w:t>
      </w:r>
      <w:proofErr w:type="spellStart"/>
      <w:r>
        <w:t>one</w:t>
      </w:r>
      <w:proofErr w:type="spellEnd"/>
      <w:r>
        <w:t>-stop-</w:t>
      </w:r>
      <w:proofErr w:type="spellStart"/>
      <w:r>
        <w:t>shop</w:t>
      </w:r>
      <w:proofErr w:type="spellEnd"/>
      <w:r>
        <w:t>“), postupně jsou přidávány také interaktivní funkce. ČR je dále v současnosti zapojena do projektu e-CODEX (který běží od 2011 a byl úspěšně ukončen v květnu 2016) do pilotního případu ke „</w:t>
      </w:r>
      <w:proofErr w:type="spellStart"/>
      <w:r>
        <w:t>small</w:t>
      </w:r>
      <w:proofErr w:type="spellEnd"/>
      <w:r>
        <w:t xml:space="preserve"> </w:t>
      </w:r>
      <w:proofErr w:type="spellStart"/>
      <w:r>
        <w:t>claims</w:t>
      </w:r>
      <w:proofErr w:type="spellEnd"/>
      <w:r>
        <w:t>“ (dle evropského nařízení o pohledávkách nízké hodnoty) jehož výsledkem bude možnost zasílat elektronické podání k tomuto řízení v přeshraničních případech z Portálu evropské e-Justice na soud v ČR.</w:t>
      </w:r>
    </w:p>
    <w:p w:rsidR="00097EE6" w:rsidRDefault="00097EE6" w:rsidP="00524035">
      <w:r>
        <w:t xml:space="preserve">ČR obecně podporuje iniciativy na evropské úrovni v této oblasti, v souladu s faktem, že zavádění </w:t>
      </w:r>
      <w:proofErr w:type="spellStart"/>
      <w:r w:rsidR="00D35439">
        <w:t>eJustice</w:t>
      </w:r>
      <w:proofErr w:type="spellEnd"/>
      <w:r>
        <w:t xml:space="preserve"> považuje také za jednu z priorit na vnitrostátní úrovni.</w:t>
      </w:r>
    </w:p>
    <w:p w:rsidR="00097EE6" w:rsidRDefault="00097EE6" w:rsidP="00524035">
      <w:r>
        <w:t xml:space="preserve">Byla schválena Resortní strategie pro rozvoj </w:t>
      </w:r>
      <w:proofErr w:type="spellStart"/>
      <w:r w:rsidR="00D35439">
        <w:t>eJustice</w:t>
      </w:r>
      <w:proofErr w:type="spellEnd"/>
      <w:r>
        <w:t xml:space="preserve"> na období let 2016 – 2020.</w:t>
      </w:r>
    </w:p>
    <w:p w:rsidR="00097EE6" w:rsidRPr="00524035" w:rsidRDefault="00097EE6" w:rsidP="00524035">
      <w:pPr>
        <w:pStyle w:val="Plnovanopaten"/>
      </w:pPr>
      <w:r w:rsidRPr="00524035">
        <w:t>Plánovaná opatření</w:t>
      </w:r>
    </w:p>
    <w:p w:rsidR="00097EE6" w:rsidRDefault="00097EE6" w:rsidP="00524035">
      <w:r>
        <w:t xml:space="preserve">Nástroje </w:t>
      </w:r>
      <w:proofErr w:type="spellStart"/>
      <w:r w:rsidR="00D35439">
        <w:t>eJustice</w:t>
      </w:r>
      <w:proofErr w:type="spellEnd"/>
      <w:r>
        <w:t xml:space="preserve"> budou pomáhat organizačním složkám resortu justice fungovat efektivně, rozhodovat bez zbytečných průtahů a být otevřené občanům. Informační technologie a systémy v justici budou centralizované, kompatibilní, vnitřně propojené a umožňují kvalitní a efektivní přenášení informací mezi organizačními složkami resortu justice a občany, ostatními orgány veřejné moci a mezi sebou navzájem. Bude vytvořeno fungující prostředí správy a rozvoje informačních systémů a technologií.</w:t>
      </w:r>
    </w:p>
    <w:p w:rsidR="00097EE6" w:rsidRDefault="00097EE6" w:rsidP="00097EE6"/>
    <w:p w:rsidR="00097EE6" w:rsidRPr="00524035" w:rsidRDefault="00097EE6" w:rsidP="00524035">
      <w:pPr>
        <w:pStyle w:val="NOPil3"/>
        <w:rPr>
          <w:b w:val="0"/>
          <w:i/>
          <w:u w:val="single"/>
        </w:rPr>
      </w:pPr>
      <w:r w:rsidRPr="0055281C">
        <w:lastRenderedPageBreak/>
        <w:t xml:space="preserve">Jednotlivé okruhy plánovaných opatření. </w:t>
      </w:r>
      <w:r w:rsidRPr="00524035">
        <w:rPr>
          <w:b w:val="0"/>
          <w:i/>
          <w:u w:val="single"/>
        </w:rPr>
        <w:t>Termín: Průběžně. Cílový stav 4Q 2020</w:t>
      </w:r>
      <w:r w:rsidR="00940B40">
        <w:rPr>
          <w:b w:val="0"/>
          <w:i/>
          <w:u w:val="single"/>
        </w:rPr>
        <w:t xml:space="preserve">, gestor: </w:t>
      </w:r>
      <w:proofErr w:type="spellStart"/>
      <w:r w:rsidR="00940B40">
        <w:rPr>
          <w:b w:val="0"/>
          <w:i/>
          <w:u w:val="single"/>
        </w:rPr>
        <w:t>MSp</w:t>
      </w:r>
      <w:proofErr w:type="spellEnd"/>
      <w:r w:rsidR="00940B40">
        <w:rPr>
          <w:b w:val="0"/>
          <w:i/>
          <w:u w:val="single"/>
        </w:rPr>
        <w:t>.</w:t>
      </w:r>
    </w:p>
    <w:p w:rsidR="00097EE6" w:rsidRPr="00653CF0" w:rsidRDefault="00097EE6" w:rsidP="00524035">
      <w:pPr>
        <w:rPr>
          <w:rFonts w:ascii="Symbol" w:eastAsia="Symbol" w:hAnsi="Symbol"/>
        </w:rPr>
      </w:pPr>
      <w:r>
        <w:t>Forma – zohlednit potřeby všech účastníků řízení - umožnit snadnou a přívětivou komunikaci s účastníky řízení, veřejností a jinými orgány veřejné moci včetně zkvalitnění a rozšíření rozsahu poskytovaných informací.</w:t>
      </w:r>
    </w:p>
    <w:p w:rsidR="00097EE6" w:rsidRPr="00653CF0" w:rsidRDefault="00097EE6" w:rsidP="00524035">
      <w:pPr>
        <w:rPr>
          <w:rFonts w:ascii="Symbol" w:eastAsia="Symbol" w:hAnsi="Symbol"/>
        </w:rPr>
      </w:pPr>
      <w:r>
        <w:t>Kvalita a efektivita - podpořit podmínky pro spravedlivé, zákonné a rychlé rozhodování organizačních složek resortu justice a jejich výkon.</w:t>
      </w:r>
    </w:p>
    <w:p w:rsidR="00464980" w:rsidRPr="00524035" w:rsidRDefault="00097EE6" w:rsidP="00524035">
      <w:pPr>
        <w:rPr>
          <w:rFonts w:ascii="Symbol" w:eastAsia="Symbol" w:hAnsi="Symbol"/>
        </w:rPr>
      </w:pPr>
      <w:r>
        <w:t>Technologie, finance a správa - úprava a optimalizace systému technické infrastruktury, financování a údržby informačních a systémů a technologií v justici.</w:t>
      </w:r>
    </w:p>
    <w:p w:rsidR="008C1143" w:rsidRPr="00D97AD9" w:rsidRDefault="00C36B0A" w:rsidP="00524035">
      <w:pPr>
        <w:pStyle w:val="Nadpis3"/>
      </w:pPr>
      <w:bookmarkStart w:id="101" w:name="_Toc491355981"/>
      <w:r w:rsidRPr="004D1B47">
        <w:t>Elektronizace správy daní: aktivity v gesci Ministerstva financí (MF)</w:t>
      </w:r>
      <w:bookmarkEnd w:id="101"/>
    </w:p>
    <w:p w:rsidR="008C1143" w:rsidRPr="00D97AD9" w:rsidRDefault="003D2999" w:rsidP="00524035">
      <w:pPr>
        <w:pStyle w:val="Plnovanopaten"/>
      </w:pPr>
      <w:r w:rsidRPr="00D97AD9">
        <w:t>Plánovaná opatření</w:t>
      </w:r>
    </w:p>
    <w:p w:rsidR="003D6183" w:rsidRPr="00D97AD9" w:rsidRDefault="003D6183" w:rsidP="00524035">
      <w:pPr>
        <w:pStyle w:val="NOPil3"/>
      </w:pPr>
      <w:r w:rsidRPr="00D97AD9">
        <w:t>Vybudovat informační systém, který bude vyhovovat budoucím podmínkám správy daní, a to jak z pohledu daňových subjektů (klientů), tak Finanční správy (jako poskytovatele služby) a dalších orgánů veřejné moci.</w:t>
      </w:r>
      <w:r>
        <w:t xml:space="preserve"> </w:t>
      </w:r>
      <w:r w:rsidR="00455F16">
        <w:rPr>
          <w:b w:val="0"/>
          <w:i/>
          <w:szCs w:val="22"/>
        </w:rPr>
        <w:t>Termín: 4Q 2021, gestor: MF</w:t>
      </w:r>
      <w:r w:rsidRPr="00524035">
        <w:rPr>
          <w:b w:val="0"/>
          <w:i/>
          <w:szCs w:val="22"/>
        </w:rPr>
        <w:t>.</w:t>
      </w:r>
    </w:p>
    <w:p w:rsidR="00950DDD" w:rsidRPr="00D97AD9" w:rsidRDefault="003D2999" w:rsidP="00F05EDE">
      <w:r w:rsidRPr="00D97AD9">
        <w:t xml:space="preserve">Finanční správa ČR shrnula základní myšlenky na směrování svého rozvoje do materiálu „Strategie rozvoje Finanční správy ČR“. Ve své strategii navazuje Finanční správa na vrcholové cíle stanovené ve Strategickém rámci rozvoje veřejné správy České republiky pro období 2014-2020. Základními cíli Finanční správy je pro horizont 5 – 7 let podpora správného a snadného placení daní, boj s daňovými úniky a podvody, optimální využití zdrojů a efektivní interní procesy, v neposlední řadě i atraktivnost Finanční správy jako zaměstnavatele. K dosažení těchto cílů je nezbytná efektivní podpora informačních technologií splňujících požadavky českého i evropského </w:t>
      </w:r>
      <w:proofErr w:type="spellStart"/>
      <w:r w:rsidRPr="00D97AD9">
        <w:t>eGovernmentu</w:t>
      </w:r>
      <w:proofErr w:type="spellEnd"/>
      <w:r w:rsidRPr="00D97AD9">
        <w:t>. Vzhledem k tomu, že současný informační systém pro podporu výkonu kompetencí Finanční správy již požadavky kladené na moderní informační systém nesplňuje, bylo nutné zahájit kroky k jeho změně. Před samotnou změnou informačního systému bude nutné provést řadu přípravných kroků, a to jak v návaznosti na cíle definované ve strategii Finanční správy, tak v návaznosti na plánované legislativní změny (</w:t>
      </w:r>
      <w:r w:rsidR="00AE36FF">
        <w:t>například</w:t>
      </w:r>
      <w:r w:rsidRPr="00D97AD9">
        <w:t xml:space="preserve"> samovyměření či individualizace) a požadavky </w:t>
      </w:r>
      <w:proofErr w:type="spellStart"/>
      <w:r w:rsidRPr="00D97AD9">
        <w:t>eGovernmentu</w:t>
      </w:r>
      <w:proofErr w:type="spellEnd"/>
      <w:r w:rsidRPr="00D97AD9">
        <w:t>. Chybějící kapacity Finanční správy v oblasti projektového řízení, optimalizace procesů apod. budou zajištěny ze strany externího dodavatele služeb, který mimo jiné zpracuje a vyhodnotí možné varianty řešení nového daňového informačního systému. Externí dodavatel požadovaných služeb bude vybrán v</w:t>
      </w:r>
      <w:r w:rsidR="007532F3">
        <w:t> </w:t>
      </w:r>
      <w:r w:rsidRPr="00D97AD9">
        <w:t>souladu se zákonem č. 134/2016 Sb., o zadávání veřejných zakázek. Kroky k vypsání zadávacího řízení již byly zahájeny.</w:t>
      </w:r>
    </w:p>
    <w:p w:rsidR="003D6183" w:rsidRPr="00524035" w:rsidRDefault="003D6183" w:rsidP="00524035">
      <w:pPr>
        <w:pStyle w:val="NOPil3"/>
        <w:rPr>
          <w:b w:val="0"/>
        </w:rPr>
      </w:pPr>
      <w:r w:rsidRPr="00D97AD9">
        <w:t xml:space="preserve">Zavádění principů úplného elektronického podání. </w:t>
      </w:r>
      <w:r w:rsidRPr="00524035">
        <w:rPr>
          <w:b w:val="0"/>
          <w:i/>
          <w:szCs w:val="22"/>
        </w:rPr>
        <w:t>Termín: 4Q 2018, gestor: MF.</w:t>
      </w:r>
    </w:p>
    <w:p w:rsidR="003F20FB" w:rsidRPr="00D97AD9" w:rsidRDefault="003F20FB" w:rsidP="00653CF0">
      <w:r w:rsidRPr="003F20FB">
        <w:t>V souladu s</w:t>
      </w:r>
      <w:r w:rsidR="00524035">
        <w:t>e</w:t>
      </w:r>
      <w:r w:rsidRPr="003F20FB">
        <w:t xml:space="preserve"> „Strategií rozvoje ICT služeb veřejné správy“ a „Strategického rámce pro rozvoj veřejné správy“ je MF, včetně organizačních složek, připraveno k realizaci principů úplného elektronického podání. V součinnosti s MV se MF připravuje na využívání služeb národní </w:t>
      </w:r>
      <w:proofErr w:type="spellStart"/>
      <w:r w:rsidRPr="003F20FB">
        <w:t>identitní</w:t>
      </w:r>
      <w:proofErr w:type="spellEnd"/>
      <w:r w:rsidRPr="003F20FB">
        <w:t xml:space="preserve"> autority (NIA), která zprostředkovává služby důvěryhodných poskytovatelů identit jednotlivým poskytovatelům elektronických služeb veřejné správy. Tato služba bude dále </w:t>
      </w:r>
      <w:r w:rsidRPr="003F20FB">
        <w:lastRenderedPageBreak/>
        <w:t xml:space="preserve">využívána v nových nástrojích umožňující s ohledem na garantovanou autentizaci určit identitu daňového subjektu a plně využít úplné elektronické podání, včetně dalších autentizovaných služeb finanční a celní správy, resp. oboustrannou komunikaci správce daně a daňového subjektu. V první fázi bude uvedená funkcionalita připravená pro fyzické osoby, které jsou daňovými subjekty, tj. identifikovanému uživateli portálu budou </w:t>
      </w:r>
      <w:proofErr w:type="spellStart"/>
      <w:r w:rsidRPr="003F20FB">
        <w:t>předvyplněna</w:t>
      </w:r>
      <w:proofErr w:type="spellEnd"/>
      <w:r w:rsidRPr="003F20FB">
        <w:t xml:space="preserve"> daňová tvrzení jeho osobními údaji, které má finanční a celní správa k dispozici. Zároveň bude analyzována funkcionalita umožňující </w:t>
      </w:r>
      <w:proofErr w:type="spellStart"/>
      <w:r w:rsidRPr="003F20FB">
        <w:t>předvyplňování</w:t>
      </w:r>
      <w:proofErr w:type="spellEnd"/>
      <w:r w:rsidRPr="003F20FB">
        <w:t xml:space="preserve"> osobních údajů všech daňových subjektů (fyzických i právnických osob) i pro identifikovaného uživatele, který je jejich zástupcem, </w:t>
      </w:r>
      <w:r w:rsidR="00AE36FF">
        <w:t>případně</w:t>
      </w:r>
      <w:r w:rsidRPr="003F20FB">
        <w:t xml:space="preserve"> je osobou oprávněnou za daňový subjekt jednat z jiného titulu. Správa daní se tak více přiblíží veřejnosti a četné povinnosti tak bude možné činit z domova pouze elektronicky.</w:t>
      </w:r>
    </w:p>
    <w:p w:rsidR="00CB5E12" w:rsidRPr="00524035" w:rsidRDefault="00CB5E12" w:rsidP="00524035">
      <w:pPr>
        <w:pStyle w:val="NOPil3"/>
        <w:rPr>
          <w:b w:val="0"/>
        </w:rPr>
      </w:pPr>
      <w:r w:rsidRPr="00D97AD9">
        <w:t xml:space="preserve">Samovyměření: Příprava konečného paragrafového znění v jednotlivých daňových zákonech. </w:t>
      </w:r>
      <w:r w:rsidRPr="00524035">
        <w:rPr>
          <w:b w:val="0"/>
          <w:i/>
          <w:szCs w:val="22"/>
        </w:rPr>
        <w:t>Termín: 3Q 2017, gestor: MF.</w:t>
      </w:r>
    </w:p>
    <w:p w:rsidR="00653CF0" w:rsidRDefault="00CB5E12" w:rsidP="00653CF0">
      <w:r w:rsidRPr="00653CF0">
        <w:t>V návaznosti na požadavky kladené na moderní správu Ministerstvo financí připravuje legislativní změny daňových zákonů, vedoucí k zefektivnění činnosti správců. Jedná se o samovyměření, kdy daň tvrzená daňovým subjektem je vyměřena bez vydání rozhodnutí. Podle harmonogramu budou na konci září roku 2017 připraveny podklady a to návrhy paragrafového znění daňových zákonů, návrh Důvodové zprávy a návrh Hodnocení dopadů regulace (RIA). Návrhy jsou vytvářeny v úzké spolupráci s finanční a celní správou, zároveň je ověřována technická realizovatelnost legislativních návrhů.</w:t>
      </w:r>
    </w:p>
    <w:p w:rsidR="008C1143" w:rsidRPr="00524035" w:rsidRDefault="003D2999" w:rsidP="00524035">
      <w:pPr>
        <w:pStyle w:val="NOPil3"/>
        <w:rPr>
          <w:b w:val="0"/>
          <w:i/>
        </w:rPr>
      </w:pPr>
      <w:r w:rsidRPr="00D97AD9">
        <w:t xml:space="preserve">Samovyměření: Implementace. </w:t>
      </w:r>
      <w:r w:rsidRPr="00524035">
        <w:rPr>
          <w:b w:val="0"/>
          <w:i/>
        </w:rPr>
        <w:t xml:space="preserve">Termín: průběžně, první efekty </w:t>
      </w:r>
      <w:r w:rsidR="005A054C" w:rsidRPr="00524035">
        <w:rPr>
          <w:b w:val="0"/>
          <w:i/>
        </w:rPr>
        <w:t>1Q 2019</w:t>
      </w:r>
      <w:r w:rsidRPr="00524035">
        <w:rPr>
          <w:b w:val="0"/>
          <w:i/>
        </w:rPr>
        <w:t>, gestor</w:t>
      </w:r>
      <w:r w:rsidR="00D6010F" w:rsidRPr="00524035">
        <w:rPr>
          <w:b w:val="0"/>
          <w:i/>
        </w:rPr>
        <w:t>:</w:t>
      </w:r>
      <w:r w:rsidRPr="00524035">
        <w:rPr>
          <w:b w:val="0"/>
          <w:i/>
        </w:rPr>
        <w:t xml:space="preserve"> MF</w:t>
      </w:r>
      <w:r w:rsidR="00D6010F" w:rsidRPr="00524035">
        <w:rPr>
          <w:b w:val="0"/>
          <w:i/>
        </w:rPr>
        <w:t>.</w:t>
      </w:r>
    </w:p>
    <w:p w:rsidR="009C4FB4" w:rsidRPr="00524035" w:rsidRDefault="003D2999" w:rsidP="008C1143">
      <w:r w:rsidRPr="00D97AD9">
        <w:t xml:space="preserve">Po implementaci navržené legislativní úpravy budou následovat kroky vedoucí k úpravě informačních systémů dotčených resortních organizací, organizace lidských zdrojů a zajištění informovanosti veřejnosti. S ohledem na rozsah a složitost plánovaných kroků lze předpokládat, že naplňování uvedených cílů bude probíhat ve více etapách. Konkrétní harmonogram určí výsledek přípravy navazujících projektů. </w:t>
      </w:r>
    </w:p>
    <w:p w:rsidR="00B106EF" w:rsidRPr="009C4FB4" w:rsidRDefault="00AE36FF" w:rsidP="00C025EE">
      <w:pPr>
        <w:pStyle w:val="Nadpis3"/>
      </w:pPr>
      <w:bookmarkStart w:id="102" w:name="_Toc491355982"/>
      <w:proofErr w:type="spellStart"/>
      <w:r>
        <w:t>Smart</w:t>
      </w:r>
      <w:proofErr w:type="spellEnd"/>
      <w:r>
        <w:t xml:space="preserve"> </w:t>
      </w:r>
      <w:proofErr w:type="spellStart"/>
      <w:r>
        <w:t>Cities</w:t>
      </w:r>
      <w:bookmarkEnd w:id="102"/>
      <w:proofErr w:type="spellEnd"/>
    </w:p>
    <w:p w:rsidR="003D2999" w:rsidRPr="00524035" w:rsidRDefault="003D2999" w:rsidP="00524035">
      <w:pPr>
        <w:pStyle w:val="NOPil3"/>
        <w:rPr>
          <w:b w:val="0"/>
        </w:rPr>
      </w:pPr>
      <w:r w:rsidRPr="00D97AD9">
        <w:t>Metodická p</w:t>
      </w:r>
      <w:r w:rsidR="00AB5DA8">
        <w:t xml:space="preserve">odpora pro usnadnění realizace </w:t>
      </w:r>
      <w:proofErr w:type="spellStart"/>
      <w:r w:rsidR="00AE36FF">
        <w:t>Smart</w:t>
      </w:r>
      <w:proofErr w:type="spellEnd"/>
      <w:r w:rsidR="00AE36FF">
        <w:t xml:space="preserve"> </w:t>
      </w:r>
      <w:proofErr w:type="spellStart"/>
      <w:r w:rsidR="00AE36FF">
        <w:t>Cities</w:t>
      </w:r>
      <w:proofErr w:type="spellEnd"/>
      <w:r w:rsidRPr="00D97AD9">
        <w:t>.</w:t>
      </w:r>
      <w:r w:rsidR="00681C97">
        <w:t xml:space="preserve"> </w:t>
      </w:r>
      <w:r w:rsidRPr="00524035">
        <w:rPr>
          <w:b w:val="0"/>
          <w:i/>
        </w:rPr>
        <w:t xml:space="preserve">Termín: průběžně, </w:t>
      </w:r>
      <w:r w:rsidR="004D7238" w:rsidRPr="00524035">
        <w:rPr>
          <w:b w:val="0"/>
          <w:i/>
        </w:rPr>
        <w:t xml:space="preserve">gestor: </w:t>
      </w:r>
      <w:r w:rsidRPr="00524035">
        <w:rPr>
          <w:b w:val="0"/>
          <w:i/>
        </w:rPr>
        <w:t>MMR, MV, MD</w:t>
      </w:r>
      <w:r w:rsidR="00BB26D4" w:rsidRPr="00524035">
        <w:rPr>
          <w:b w:val="0"/>
          <w:i/>
        </w:rPr>
        <w:t>.</w:t>
      </w:r>
    </w:p>
    <w:p w:rsidR="00D7278D" w:rsidRPr="00D97AD9" w:rsidRDefault="00D7278D" w:rsidP="00524035">
      <w:r w:rsidRPr="00D97AD9">
        <w:t>Bude vytvořen metodický průvodce pr</w:t>
      </w:r>
      <w:r w:rsidR="00AB5DA8">
        <w:t xml:space="preserve">o zájemce o realizaci konceptu </w:t>
      </w:r>
      <w:proofErr w:type="spellStart"/>
      <w:r w:rsidR="00AE36FF">
        <w:t>Smart</w:t>
      </w:r>
      <w:proofErr w:type="spellEnd"/>
      <w:r w:rsidR="00AE36FF">
        <w:t xml:space="preserve"> </w:t>
      </w:r>
      <w:proofErr w:type="spellStart"/>
      <w:r w:rsidR="00AE36FF">
        <w:t>Cities</w:t>
      </w:r>
      <w:proofErr w:type="spellEnd"/>
      <w:r w:rsidRPr="00D97AD9">
        <w:t xml:space="preserve"> z řad samospráv v oblasti bezpečnosti. Cílem je vytvoření souboru standardizovaných bezpečn</w:t>
      </w:r>
      <w:r w:rsidR="00AB5DA8">
        <w:t xml:space="preserve">ostních a technických pravidel </w:t>
      </w:r>
      <w:proofErr w:type="spellStart"/>
      <w:r w:rsidR="00AB5DA8">
        <w:t>smart</w:t>
      </w:r>
      <w:proofErr w:type="spellEnd"/>
      <w:r w:rsidR="00AB5DA8">
        <w:t xml:space="preserve"> c</w:t>
      </w:r>
      <w:r w:rsidRPr="00D97AD9">
        <w:t>ity, který by měl být v případě realizace projektů zohledňován. Termín 4Q 2017.</w:t>
      </w:r>
    </w:p>
    <w:p w:rsidR="0069243C" w:rsidRPr="00D97AD9" w:rsidRDefault="0069243C" w:rsidP="00524035">
      <w:r w:rsidRPr="00D97AD9">
        <w:t xml:space="preserve">Vedle této práce průběžně pokračuje </w:t>
      </w:r>
      <w:r>
        <w:t>rozšiřování</w:t>
      </w:r>
      <w:r w:rsidRPr="00D97AD9">
        <w:t xml:space="preserve"> Metodiky Konceptu inteligentních měst</w:t>
      </w:r>
      <w:r>
        <w:t xml:space="preserve"> o relevantní témata</w:t>
      </w:r>
      <w:r w:rsidRPr="00D97AD9">
        <w:t xml:space="preserve"> v návaznosti na zkušenosti z její dosavadní implementace. </w:t>
      </w:r>
    </w:p>
    <w:p w:rsidR="00524035" w:rsidRDefault="003D2999" w:rsidP="00524035">
      <w:r w:rsidRPr="00D97AD9">
        <w:t>Vypracován bude také strategický plán</w:t>
      </w:r>
      <w:r w:rsidR="00AB5DA8">
        <w:t xml:space="preserve"> na podporu dopravy v kontextu </w:t>
      </w:r>
      <w:proofErr w:type="spellStart"/>
      <w:r w:rsidR="00AE36FF">
        <w:t>Smart</w:t>
      </w:r>
      <w:proofErr w:type="spellEnd"/>
      <w:r w:rsidR="00AE36FF">
        <w:t xml:space="preserve"> </w:t>
      </w:r>
      <w:proofErr w:type="spellStart"/>
      <w:r w:rsidR="00AE36FF">
        <w:t>Cities</w:t>
      </w:r>
      <w:proofErr w:type="spellEnd"/>
      <w:r w:rsidR="0069243C">
        <w:t>.</w:t>
      </w:r>
    </w:p>
    <w:p w:rsidR="00B106EF" w:rsidRPr="00D97AD9" w:rsidRDefault="00524035" w:rsidP="00524035">
      <w:pPr>
        <w:spacing w:after="200"/>
        <w:jc w:val="left"/>
      </w:pPr>
      <w:r>
        <w:br w:type="page"/>
      </w:r>
    </w:p>
    <w:p w:rsidR="003D2999" w:rsidRDefault="003D2999" w:rsidP="00524035">
      <w:pPr>
        <w:pStyle w:val="NOPil3"/>
        <w:rPr>
          <w:b w:val="0"/>
          <w:i/>
        </w:rPr>
      </w:pPr>
      <w:r w:rsidRPr="00D97AD9">
        <w:lastRenderedPageBreak/>
        <w:t xml:space="preserve">Pracovní skupina pro </w:t>
      </w:r>
      <w:proofErr w:type="spellStart"/>
      <w:r w:rsidR="00AE36FF">
        <w:t>Smart</w:t>
      </w:r>
      <w:proofErr w:type="spellEnd"/>
      <w:r w:rsidR="00AE36FF">
        <w:t xml:space="preserve"> </w:t>
      </w:r>
      <w:proofErr w:type="spellStart"/>
      <w:r w:rsidR="00AE36FF">
        <w:t>Cities</w:t>
      </w:r>
      <w:proofErr w:type="spellEnd"/>
      <w:r w:rsidRPr="00D97AD9">
        <w:t>.</w:t>
      </w:r>
      <w:r w:rsidR="00DB7E64">
        <w:t xml:space="preserve"> </w:t>
      </w:r>
      <w:r w:rsidRPr="00524035">
        <w:rPr>
          <w:b w:val="0"/>
          <w:u w:val="single"/>
        </w:rPr>
        <w:t>Termín: průběžně, gestor</w:t>
      </w:r>
      <w:r w:rsidR="00BB26D4" w:rsidRPr="00524035">
        <w:rPr>
          <w:b w:val="0"/>
          <w:u w:val="single"/>
        </w:rPr>
        <w:t>:</w:t>
      </w:r>
      <w:r w:rsidRPr="00524035">
        <w:rPr>
          <w:b w:val="0"/>
          <w:u w:val="single"/>
        </w:rPr>
        <w:t xml:space="preserve"> MMR</w:t>
      </w:r>
    </w:p>
    <w:p w:rsidR="00C10E2E" w:rsidRPr="00C10E2E" w:rsidRDefault="00C10E2E" w:rsidP="00C10E2E">
      <w:pPr>
        <w:rPr>
          <w:lang w:eastAsia="en-US"/>
        </w:rPr>
      </w:pPr>
      <w:r w:rsidRPr="00524035">
        <w:t xml:space="preserve">Bude pokračovat práce Pracovní skupiny pro </w:t>
      </w:r>
      <w:proofErr w:type="spellStart"/>
      <w:r w:rsidR="00AE36FF">
        <w:t>Smart</w:t>
      </w:r>
      <w:proofErr w:type="spellEnd"/>
      <w:r w:rsidR="00AE36FF">
        <w:t xml:space="preserve"> </w:t>
      </w:r>
      <w:proofErr w:type="spellStart"/>
      <w:r w:rsidR="00AE36FF">
        <w:t>Cities</w:t>
      </w:r>
      <w:proofErr w:type="spellEnd"/>
      <w:r w:rsidRPr="00524035">
        <w:t xml:space="preserve"> fungující pod Radou vlády pro udržitelný rozvoj vedené MMR a v jejím rámci koordinace relevantních </w:t>
      </w:r>
      <w:r w:rsidR="00142F2E">
        <w:t>resort</w:t>
      </w:r>
      <w:r w:rsidRPr="00524035">
        <w:t>ů. Na této platformě se setkávají resorty (</w:t>
      </w:r>
      <w:r w:rsidR="00AE36FF">
        <w:t>například</w:t>
      </w:r>
      <w:r w:rsidRPr="00524035">
        <w:t xml:space="preserve"> MMR, MŽP, MD, MPO, MV, MPSV, </w:t>
      </w:r>
      <w:proofErr w:type="spellStart"/>
      <w:r w:rsidRPr="00524035">
        <w:t>MZd</w:t>
      </w:r>
      <w:proofErr w:type="spellEnd"/>
      <w:r w:rsidRPr="00524035">
        <w:t xml:space="preserve">, </w:t>
      </w:r>
      <w:proofErr w:type="spellStart"/>
      <w:r w:rsidRPr="00524035">
        <w:t>MZe</w:t>
      </w:r>
      <w:proofErr w:type="spellEnd"/>
      <w:r w:rsidRPr="00524035">
        <w:t>, MK), také se zástupci krajů, měst a obcí. V roli hostů jednání navštěvují zástupci soukromého a akademického sektoru v návaznosti na aktuálně projednávaná témata. Pro města a obce jsou setkání vhodnou příležitostí pro prezentaci vlastních zdařilých projektů, výměnu zkušeností a hledání inspirace</w:t>
      </w:r>
      <w:r w:rsidRPr="00D97AD9">
        <w:t>.</w:t>
      </w:r>
    </w:p>
    <w:p w:rsidR="00061CD2" w:rsidRPr="00524035" w:rsidRDefault="00061CD2" w:rsidP="00524035">
      <w:pPr>
        <w:pStyle w:val="NOPil3"/>
        <w:rPr>
          <w:b w:val="0"/>
          <w:i/>
          <w:szCs w:val="22"/>
        </w:rPr>
      </w:pPr>
      <w:r w:rsidRPr="00524035">
        <w:rPr>
          <w:szCs w:val="22"/>
        </w:rPr>
        <w:t xml:space="preserve">Pilotní projekt Smart City/Smart Region. </w:t>
      </w:r>
      <w:r w:rsidRPr="00524035">
        <w:rPr>
          <w:b w:val="0"/>
          <w:i/>
          <w:szCs w:val="22"/>
        </w:rPr>
        <w:t xml:space="preserve">Termín: </w:t>
      </w:r>
      <w:r w:rsidR="00811764" w:rsidRPr="00524035">
        <w:rPr>
          <w:b w:val="0"/>
          <w:i/>
          <w:szCs w:val="22"/>
        </w:rPr>
        <w:t>průběžně</w:t>
      </w:r>
      <w:r w:rsidRPr="00524035">
        <w:rPr>
          <w:b w:val="0"/>
          <w:i/>
          <w:szCs w:val="22"/>
        </w:rPr>
        <w:t>, gestor MMR</w:t>
      </w:r>
    </w:p>
    <w:p w:rsidR="00061CD2" w:rsidRPr="00524035" w:rsidRDefault="00061CD2" w:rsidP="00524035">
      <w:pPr>
        <w:pStyle w:val="Default"/>
        <w:spacing w:line="276" w:lineRule="auto"/>
        <w:jc w:val="both"/>
        <w:rPr>
          <w:color w:val="auto"/>
          <w:sz w:val="22"/>
          <w:szCs w:val="22"/>
        </w:rPr>
      </w:pPr>
      <w:r w:rsidRPr="00524035">
        <w:rPr>
          <w:sz w:val="22"/>
          <w:szCs w:val="22"/>
        </w:rPr>
        <w:t>Bude pokračovat podpora pilotního projektu Smart City/Smart Region, ve kterém bude navržena a prakticky vyzkoušena vzájemná komunikace mezi různými inteligentními prvky města/regionu včetně integrace informace z výrobních procesů do managementu města/regionu.</w:t>
      </w:r>
      <w:r w:rsidR="00424E47" w:rsidRPr="00524035">
        <w:rPr>
          <w:sz w:val="22"/>
          <w:szCs w:val="22"/>
        </w:rPr>
        <w:t xml:space="preserve"> </w:t>
      </w:r>
    </w:p>
    <w:p w:rsidR="00061CD2" w:rsidRPr="009C4FB4" w:rsidRDefault="00061CD2" w:rsidP="00C025EE">
      <w:pPr>
        <w:pStyle w:val="Nadpis3"/>
      </w:pPr>
      <w:bookmarkStart w:id="103" w:name="_Toc491355983"/>
      <w:r w:rsidRPr="009C4FB4">
        <w:t>Podpora strategického řízení a plánování</w:t>
      </w:r>
      <w:bookmarkEnd w:id="103"/>
    </w:p>
    <w:p w:rsidR="00061CD2" w:rsidRPr="00524035" w:rsidRDefault="00061CD2" w:rsidP="00524035">
      <w:pPr>
        <w:pStyle w:val="NOPil3"/>
        <w:rPr>
          <w:b w:val="0"/>
        </w:rPr>
      </w:pPr>
      <w:r>
        <w:t>Rozvoj a využití Databáze strategií</w:t>
      </w:r>
      <w:r w:rsidRPr="00D97AD9">
        <w:t>.</w:t>
      </w:r>
      <w:r>
        <w:t xml:space="preserve"> </w:t>
      </w:r>
      <w:r w:rsidRPr="00524035">
        <w:rPr>
          <w:b w:val="0"/>
          <w:i/>
        </w:rPr>
        <w:t>Termín: 4Q 2020, průběžně, MMR</w:t>
      </w:r>
      <w:r w:rsidR="00D713B7" w:rsidRPr="00524035">
        <w:rPr>
          <w:b w:val="0"/>
          <w:i/>
        </w:rPr>
        <w:t>.</w:t>
      </w:r>
    </w:p>
    <w:p w:rsidR="00524035" w:rsidRDefault="00061CD2" w:rsidP="00524035">
      <w:r>
        <w:t>Ve spolupráci s</w:t>
      </w:r>
      <w:r w:rsidRPr="00DC75E8">
        <w:t xml:space="preserve"> instituc</w:t>
      </w:r>
      <w:r>
        <w:t>emi</w:t>
      </w:r>
      <w:r w:rsidRPr="00DC75E8">
        <w:t xml:space="preserve"> veřejné správy (</w:t>
      </w:r>
      <w:r w:rsidR="00AE36FF">
        <w:t>zejména</w:t>
      </w:r>
      <w:r w:rsidRPr="00DC75E8">
        <w:t xml:space="preserve"> ministerstva a kraje) naplňovat Databázi relevantními dokumenty (strategické i programové); dle možností </w:t>
      </w:r>
      <w:r>
        <w:t>vytvářet</w:t>
      </w:r>
      <w:r w:rsidRPr="00DC75E8">
        <w:t xml:space="preserve"> nové </w:t>
      </w:r>
      <w:r>
        <w:t xml:space="preserve">(prostřednictvím modulu pro přípravu strategických dokumentů a </w:t>
      </w:r>
      <w:proofErr w:type="spellStart"/>
      <w:r>
        <w:t>eMetodiky</w:t>
      </w:r>
      <w:proofErr w:type="spellEnd"/>
      <w:r>
        <w:t xml:space="preserve">) či doplňovat stávající </w:t>
      </w:r>
      <w:r w:rsidRPr="00F309A5">
        <w:t>moduly</w:t>
      </w:r>
      <w:r>
        <w:t xml:space="preserve"> / funkcionality</w:t>
      </w:r>
      <w:r w:rsidRPr="00DC75E8">
        <w:t xml:space="preserve"> </w:t>
      </w:r>
      <w:r>
        <w:t xml:space="preserve">(dosáhnout </w:t>
      </w:r>
      <w:r w:rsidRPr="00F309A5">
        <w:t>zkvalit</w:t>
      </w:r>
      <w:r>
        <w:t>nění</w:t>
      </w:r>
      <w:r w:rsidRPr="00F309A5">
        <w:t xml:space="preserve"> a rozš</w:t>
      </w:r>
      <w:r>
        <w:t>íření</w:t>
      </w:r>
      <w:r w:rsidRPr="00DC75E8">
        <w:t xml:space="preserve"> možnost</w:t>
      </w:r>
      <w:r>
        <w:t>í</w:t>
      </w:r>
      <w:r w:rsidRPr="00DC75E8">
        <w:t xml:space="preserve"> strategické práce</w:t>
      </w:r>
      <w:r>
        <w:t xml:space="preserve"> v Databázi)</w:t>
      </w:r>
      <w:r w:rsidRPr="00DC75E8">
        <w:t>; u relevantních dokumentů využívat dle potřeby jednotlivé funkcionality Databáze; aktualizovat manuál a metodiku.</w:t>
      </w:r>
    </w:p>
    <w:p w:rsidR="003D2999" w:rsidRPr="00D97AD9" w:rsidRDefault="00524035" w:rsidP="007A4BEB">
      <w:pPr>
        <w:pStyle w:val="Nadpis1"/>
      </w:pPr>
      <w:r>
        <w:br w:type="page"/>
      </w:r>
      <w:r w:rsidR="007A4BEB" w:rsidRPr="00BC6A31">
        <w:lastRenderedPageBreak/>
        <w:t xml:space="preserve"> </w:t>
      </w:r>
      <w:bookmarkStart w:id="104" w:name="_Toc491355984"/>
      <w:r w:rsidR="003D2999" w:rsidRPr="00BC6A31">
        <w:t>4 Bezpečnost</w:t>
      </w:r>
      <w:bookmarkEnd w:id="104"/>
    </w:p>
    <w:p w:rsidR="003D2999" w:rsidRPr="00D97AD9" w:rsidRDefault="003D2999" w:rsidP="00E64166">
      <w:r w:rsidRPr="00D97AD9">
        <w:t>Ruku v ruce s rozvojem digitální ekonomiky a moderní veřejné správy jde bezpečnost na internetu. Pod ní si můžeme představit obranu a preventivní kroky proti kybernetickým útokům, ale i ochranu soukromí a osobních údajů</w:t>
      </w:r>
      <w:r w:rsidR="00903909">
        <w:t xml:space="preserve"> </w:t>
      </w:r>
      <w:r w:rsidRPr="00D97AD9">
        <w:t>fyzických i právnických osob.</w:t>
      </w:r>
    </w:p>
    <w:p w:rsidR="005D79B8" w:rsidRPr="00D97AD9" w:rsidRDefault="003D2999" w:rsidP="00E64166">
      <w:r w:rsidRPr="00D97AD9">
        <w:t xml:space="preserve">Bezpečná kybernetická infrastruktura tvoří nezbytnou podmínku pro rozvoj digitální ekonomiky. Vize ČR v oblasti kybernetické bezpečnosti jsou obsaženy v Národní strategii kybernetické bezpečnosti na období let 2015-2020 (NSKB) a v navazujícím Akčním plánu (AP KB). Mezi hlavní principy relevantní pro rozvoj digitální ekonomiky patří efektivní zajišťování kybernetické bezpečnosti prvků kritické informační infrastruktury (dále KII), rozšiřování expertní základny, spolupráce státu se soukromou a akademickou sférou, podpora výroby, výzkumu, vývoje a implementace technologií s cílem zvýšit konkurenceschopnost ČR a ochránit její digitální ekonomiku. Nedílnou součástí je i osvěta a zavádění minimálních bezpečnostních standardů. Oblast kybernetické bezpečnosti je také jedním z témat, která se intenzivně diskutují na evropské úrovni. </w:t>
      </w:r>
      <w:r w:rsidR="00865449" w:rsidRPr="00D97AD9">
        <w:t>Dokladem tomu je například schválení evropské směrnice o bezpečnosti sítí a informačních systémů</w:t>
      </w:r>
      <w:r w:rsidR="00865449">
        <w:t>, které povede k rozšíření působnosti zákona o kybernetické bezpečnosti na další subjekty s celospolečenským významem</w:t>
      </w:r>
      <w:r w:rsidR="00865449" w:rsidRPr="00D97AD9">
        <w:t>.</w:t>
      </w:r>
    </w:p>
    <w:p w:rsidR="00144AA3" w:rsidRPr="00D97AD9" w:rsidRDefault="003D2999" w:rsidP="003D2999">
      <w:r w:rsidRPr="00D97AD9">
        <w:t>Bezpečnost v prostředí internetu má i druhou stránku, ochranu soukromí a osobních údajů jeho uživatelů. Digitální ekonomika již dávno není pouze doménou odborníků nebo poučených laiků. Moderní informační a komunikační technologie umožnily využívat osobní údaje v dříve nebývalém rozsahu. Běžní uživatelé často netuší, že prostřednictvím digitálních technologií je velice snadné sledovat jejich chování coby spotřebitelů i občanů. Získané informace mohou být využity různými způsoby, například k zacílení reklamy, ale také zneužity ke kriminálním účelům. Právní úprava musí zajistit odpovídající ochranu osobních údajů, včetně informovanosti dotyčných osob o jejich zpracování, ale také jejich technické zabezpečení, aniž by tím však zásadně snižovala schopnost evropských firem inovovat a posilovat svoji konkurenceschopnost v rámci dynamického digitálního trhu. Na jaře 2016 bylo přijato evropské obecné nařízení o ochraně osobních údajů (GDPR). Jeho cílem je úprava stávajícího</w:t>
      </w:r>
      <w:r w:rsidR="0004044C">
        <w:t xml:space="preserve"> </w:t>
      </w:r>
      <w:r w:rsidRPr="00D97AD9">
        <w:t>evropského právního</w:t>
      </w:r>
      <w:r w:rsidR="0004044C">
        <w:t xml:space="preserve"> </w:t>
      </w:r>
      <w:r w:rsidRPr="00D97AD9">
        <w:t xml:space="preserve">rámce ochrany osobních údajů tak, aby lépe reagoval na výzvy, které s sebou přináší rychlý vývoj nových technologií, a to zejména technologií online a postupující globalizace. Nařízení bude vyžadovat novelizaci českého právního řádu, přinese nová práva pro subjekty údajů a nové povinnosti pro podniky i veřejné orgány. Je třeba se na něj včas a kvalitně připravit. V oblasti ochrany osobních údajů se aktuálně diskutují i další témata. Na stole je návrh </w:t>
      </w:r>
      <w:proofErr w:type="spellStart"/>
      <w:r w:rsidR="008012FE">
        <w:t>e</w:t>
      </w:r>
      <w:r w:rsidR="00C706D4">
        <w:t>Privacy</w:t>
      </w:r>
      <w:proofErr w:type="spellEnd"/>
      <w:r w:rsidRPr="00D97AD9">
        <w:t xml:space="preserve"> nařízení a v rámci EU se pracuje na sjednávání</w:t>
      </w:r>
      <w:r w:rsidR="0004044C">
        <w:t xml:space="preserve"> </w:t>
      </w:r>
      <w:r w:rsidRPr="00D97AD9">
        <w:t>právních rámců pro předávání osobních údajů se třetími zeměmi</w:t>
      </w:r>
      <w:r w:rsidR="00210366" w:rsidRPr="00D97AD9">
        <w:t>.</w:t>
      </w:r>
    </w:p>
    <w:p w:rsidR="00CB4D15" w:rsidRPr="00D97AD9" w:rsidRDefault="004E10C6" w:rsidP="00E64166">
      <w:pPr>
        <w:pStyle w:val="Nadpis3"/>
      </w:pPr>
      <w:bookmarkStart w:id="105" w:name="_Toc482986928"/>
      <w:bookmarkStart w:id="106" w:name="_Toc491355985"/>
      <w:r w:rsidRPr="00144AA3">
        <w:t>Kybernetická bezpečnost</w:t>
      </w:r>
      <w:bookmarkEnd w:id="105"/>
      <w:bookmarkEnd w:id="106"/>
    </w:p>
    <w:p w:rsidR="00947AEF" w:rsidRPr="007A4BEB" w:rsidRDefault="00947AEF" w:rsidP="007A4BEB">
      <w:pPr>
        <w:pStyle w:val="Plnovanopaten"/>
      </w:pPr>
      <w:r w:rsidRPr="00E64166">
        <w:t>Plánovaná opatření</w:t>
      </w:r>
    </w:p>
    <w:p w:rsidR="00EE1432" w:rsidRPr="00081538" w:rsidRDefault="00947AEF" w:rsidP="00081538">
      <w:pPr>
        <w:pStyle w:val="NOPil4"/>
      </w:pPr>
      <w:r w:rsidRPr="00E64166">
        <w:t>Vytvoření mechanismu spolupráce na národní úrovni mezi jednotlivými subjekty kybernetické bezpečnosti (pracoviště typu CERT a CSIRT) a posílení jejich stávajících struktur. Podpora vzniku dalších pracovišť typu CERT a CSIRT v</w:t>
      </w:r>
      <w:r w:rsidR="00D713B7" w:rsidRPr="00E64166">
        <w:t> </w:t>
      </w:r>
      <w:r w:rsidRPr="00E64166">
        <w:t>ČR</w:t>
      </w:r>
      <w:r w:rsidR="00D713B7" w:rsidRPr="00E64166">
        <w:t>.</w:t>
      </w:r>
      <w:r w:rsidRPr="00E64166">
        <w:t xml:space="preserve"> </w:t>
      </w:r>
      <w:r w:rsidRPr="007A4BEB">
        <w:rPr>
          <w:b w:val="0"/>
          <w:i/>
        </w:rPr>
        <w:t xml:space="preserve">Termín: průběžně, gestor </w:t>
      </w:r>
      <w:r w:rsidR="00C75487">
        <w:rPr>
          <w:b w:val="0"/>
          <w:i/>
        </w:rPr>
        <w:t>NÚKIB</w:t>
      </w:r>
      <w:r w:rsidR="00D713B7" w:rsidRPr="00BA7A38">
        <w:rPr>
          <w:i/>
        </w:rPr>
        <w:t>.</w:t>
      </w:r>
    </w:p>
    <w:p w:rsidR="00A655DE" w:rsidRPr="00BA7A38" w:rsidRDefault="0015672D" w:rsidP="007A4BEB">
      <w:pPr>
        <w:pStyle w:val="NOPil4"/>
      </w:pPr>
      <w:r w:rsidRPr="00BA7A38">
        <w:lastRenderedPageBreak/>
        <w:t>Š</w:t>
      </w:r>
      <w:r w:rsidR="00EE1432" w:rsidRPr="00BA7A38">
        <w:t xml:space="preserve">kolení zaměstnanců státní správy v oblasti kybernetické bezpečnosti a identifikování dalších kroků. </w:t>
      </w:r>
      <w:r w:rsidR="00EE1432" w:rsidRPr="00BA7A38">
        <w:rPr>
          <w:i/>
        </w:rPr>
        <w:t xml:space="preserve">Termín: 4Q 2017, gestor: MV, </w:t>
      </w:r>
      <w:r w:rsidR="00C75487">
        <w:rPr>
          <w:i/>
        </w:rPr>
        <w:t>NÚKIB</w:t>
      </w:r>
      <w:r w:rsidR="00EE1432" w:rsidRPr="00BA7A38">
        <w:rPr>
          <w:i/>
        </w:rPr>
        <w:t>.</w:t>
      </w:r>
    </w:p>
    <w:p w:rsidR="00947AEF" w:rsidRPr="00BA7A38" w:rsidRDefault="00EE1432" w:rsidP="00BA7A38">
      <w:r>
        <w:t xml:space="preserve">V návaznosti na realizované pilotního školení zaměstnanců Úřadu vlády ČR v oblasti kybernetické bezpečnosti, </w:t>
      </w:r>
      <w:r w:rsidR="0015672D">
        <w:t xml:space="preserve">které bylo realizováno ve spolupráci s koordinátorem, </w:t>
      </w:r>
      <w:r>
        <w:t xml:space="preserve">budou </w:t>
      </w:r>
      <w:r w:rsidR="0015672D">
        <w:t xml:space="preserve">ve spolupráci s IVS </w:t>
      </w:r>
      <w:r>
        <w:t xml:space="preserve">pokračovat práce </w:t>
      </w:r>
      <w:r w:rsidR="0015672D">
        <w:t xml:space="preserve">MV a </w:t>
      </w:r>
      <w:r w:rsidR="00C75487">
        <w:t>NÚKIB</w:t>
      </w:r>
      <w:r w:rsidR="0015672D">
        <w:t xml:space="preserve"> </w:t>
      </w:r>
      <w:r>
        <w:t xml:space="preserve">na </w:t>
      </w:r>
      <w:r w:rsidR="0015672D">
        <w:t xml:space="preserve">rozšíření a </w:t>
      </w:r>
      <w:r>
        <w:t>přípravě školení státních zaměstnanců</w:t>
      </w:r>
      <w:r w:rsidR="0015672D">
        <w:t xml:space="preserve"> i</w:t>
      </w:r>
      <w:r>
        <w:t xml:space="preserve"> na ostatních resortech státní správy</w:t>
      </w:r>
      <w:r w:rsidR="0015672D">
        <w:t xml:space="preserve">. </w:t>
      </w:r>
      <w:r w:rsidR="00334820">
        <w:t>Ukazatelem úspěšnosti plnění tohoto opatření</w:t>
      </w:r>
      <w:r w:rsidR="0015672D">
        <w:t xml:space="preserve"> je </w:t>
      </w:r>
      <w:r w:rsidR="00334820">
        <w:t>procento a celkový</w:t>
      </w:r>
      <w:r w:rsidR="0015672D">
        <w:t xml:space="preserve"> počet vyškolených </w:t>
      </w:r>
      <w:r w:rsidR="00DB4638">
        <w:t>zaměstnanců státní správy</w:t>
      </w:r>
      <w:r w:rsidR="0015672D">
        <w:t xml:space="preserve"> do konce roku 2017.</w:t>
      </w:r>
    </w:p>
    <w:p w:rsidR="006D793D" w:rsidRPr="00BA7A38" w:rsidRDefault="00947AEF" w:rsidP="007A4BEB">
      <w:pPr>
        <w:pStyle w:val="NOPil4"/>
      </w:pPr>
      <w:r w:rsidRPr="00D97AD9">
        <w:t xml:space="preserve">Poskytování služeb </w:t>
      </w:r>
      <w:proofErr w:type="spellStart"/>
      <w:r w:rsidRPr="00D97AD9">
        <w:t>GovCERT</w:t>
      </w:r>
      <w:proofErr w:type="spellEnd"/>
      <w:r w:rsidRPr="00D97AD9">
        <w:t xml:space="preserve"> veřejným institucím</w:t>
      </w:r>
      <w:r w:rsidR="0029235C">
        <w:t>,</w:t>
      </w:r>
      <w:r w:rsidRPr="00D97AD9">
        <w:t xml:space="preserve"> subjektům kritické informační infrastruktury</w:t>
      </w:r>
      <w:r w:rsidR="0029235C" w:rsidRPr="0029235C">
        <w:t xml:space="preserve"> </w:t>
      </w:r>
      <w:r w:rsidR="0029235C">
        <w:t>a subjektům systémů základní služby</w:t>
      </w:r>
      <w:r w:rsidRPr="00D97AD9">
        <w:t xml:space="preserve"> při předcházení a zvládání kybernetických incidentů včetně forenzní a síťové analýzy, monitorování skrytých změn obsahu webových stránek a externích penetračních testů</w:t>
      </w:r>
      <w:r w:rsidR="00D713B7">
        <w:t>.</w:t>
      </w:r>
      <w:r w:rsidRPr="00D97AD9">
        <w:t xml:space="preserve"> </w:t>
      </w:r>
      <w:r w:rsidRPr="007A4BEB">
        <w:rPr>
          <w:b w:val="0"/>
          <w:i/>
        </w:rPr>
        <w:t xml:space="preserve">Termín: průběžně, gestor </w:t>
      </w:r>
      <w:r w:rsidR="00C75487">
        <w:rPr>
          <w:b w:val="0"/>
          <w:i/>
        </w:rPr>
        <w:t>NÚKIB</w:t>
      </w:r>
      <w:r w:rsidR="00D713B7" w:rsidRPr="007A4BEB">
        <w:rPr>
          <w:b w:val="0"/>
          <w:i/>
        </w:rPr>
        <w:t>.</w:t>
      </w:r>
    </w:p>
    <w:p w:rsidR="00214C13" w:rsidRPr="00BA7A38" w:rsidRDefault="006D793D" w:rsidP="007A4BEB">
      <w:pPr>
        <w:pStyle w:val="NOPil4"/>
      </w:pPr>
      <w:r>
        <w:t>Nav</w:t>
      </w:r>
      <w:r w:rsidRPr="006D793D">
        <w:t>yšování integrity sítí kritické informační infrastruktury</w:t>
      </w:r>
      <w:r w:rsidR="00D713B7">
        <w:t>.</w:t>
      </w:r>
      <w:r w:rsidRPr="006D793D">
        <w:t xml:space="preserve"> </w:t>
      </w:r>
      <w:r w:rsidRPr="007A4BEB">
        <w:rPr>
          <w:b w:val="0"/>
          <w:i/>
        </w:rPr>
        <w:t xml:space="preserve">Termín: průběžně, gestor </w:t>
      </w:r>
      <w:r w:rsidR="00C75487">
        <w:rPr>
          <w:b w:val="0"/>
          <w:i/>
        </w:rPr>
        <w:t>NÚKIB</w:t>
      </w:r>
      <w:r w:rsidR="00D713B7" w:rsidRPr="007A4BEB">
        <w:rPr>
          <w:b w:val="0"/>
          <w:i/>
        </w:rPr>
        <w:t>.</w:t>
      </w:r>
    </w:p>
    <w:p w:rsidR="00947AEF" w:rsidRPr="008A4E50" w:rsidRDefault="00947AEF" w:rsidP="008A4E50">
      <w:pPr>
        <w:pStyle w:val="NOPil4"/>
      </w:pPr>
      <w:r w:rsidRPr="00D97AD9">
        <w:t>Spolupráce se soukromým sektorem</w:t>
      </w:r>
      <w:r w:rsidR="00D713B7">
        <w:t>.</w:t>
      </w:r>
      <w:r w:rsidRPr="00D97AD9">
        <w:t xml:space="preserve"> </w:t>
      </w:r>
      <w:r w:rsidRPr="008A4E50">
        <w:rPr>
          <w:b w:val="0"/>
          <w:i/>
        </w:rPr>
        <w:t>Termín: průběžně, gestor</w:t>
      </w:r>
      <w:r w:rsidRPr="008A4E50">
        <w:rPr>
          <w:i/>
        </w:rPr>
        <w:t xml:space="preserve"> </w:t>
      </w:r>
      <w:r w:rsidR="00C75487">
        <w:rPr>
          <w:b w:val="0"/>
          <w:i/>
        </w:rPr>
        <w:t>NÚKIB</w:t>
      </w:r>
      <w:r w:rsidR="00D713B7" w:rsidRPr="008A4E50">
        <w:rPr>
          <w:b w:val="0"/>
          <w:i/>
        </w:rPr>
        <w:t>.</w:t>
      </w:r>
    </w:p>
    <w:p w:rsidR="00947AEF" w:rsidRPr="00BA7A38" w:rsidRDefault="00BA7A38" w:rsidP="00BA7A38">
      <w:pPr>
        <w:pStyle w:val="Odrka-Normln"/>
      </w:pPr>
      <w:bookmarkStart w:id="107" w:name="page27"/>
      <w:bookmarkEnd w:id="107"/>
      <w:r w:rsidRPr="00BA7A38">
        <w:t>V</w:t>
      </w:r>
      <w:r w:rsidR="00947AEF" w:rsidRPr="00BA7A38">
        <w:t xml:space="preserve">ytvoření platformy pro sdílení informací o kybernetických hrozbách, incidentech a aktuálních zranitelnostech. </w:t>
      </w:r>
      <w:r w:rsidR="00947AEF" w:rsidRPr="00BA7A38">
        <w:rPr>
          <w:i/>
        </w:rPr>
        <w:t>Termín: 4Q 2017</w:t>
      </w:r>
      <w:r>
        <w:rPr>
          <w:i/>
        </w:rPr>
        <w:t>.</w:t>
      </w:r>
    </w:p>
    <w:p w:rsidR="00947AEF" w:rsidRPr="00BA7A38" w:rsidRDefault="00BA7A38" w:rsidP="00BA7A38">
      <w:pPr>
        <w:pStyle w:val="Odrka-Normln"/>
      </w:pPr>
      <w:r w:rsidRPr="00BA7A38">
        <w:t>V</w:t>
      </w:r>
      <w:r w:rsidR="00947AEF" w:rsidRPr="00BA7A38">
        <w:t xml:space="preserve">ytváření jednotných bezpečnostních norem. </w:t>
      </w:r>
      <w:r w:rsidR="00947AEF" w:rsidRPr="00BA7A38">
        <w:rPr>
          <w:i/>
        </w:rPr>
        <w:t>Termín: průběžně</w:t>
      </w:r>
      <w:r>
        <w:rPr>
          <w:i/>
        </w:rPr>
        <w:t>.</w:t>
      </w:r>
    </w:p>
    <w:p w:rsidR="00947AEF" w:rsidRPr="00BA7A38" w:rsidRDefault="00BA7A38" w:rsidP="00BA7A38">
      <w:pPr>
        <w:pStyle w:val="Odrka-Normln"/>
        <w:rPr>
          <w:i/>
        </w:rPr>
      </w:pPr>
      <w:r w:rsidRPr="00BA7A38">
        <w:t>R</w:t>
      </w:r>
      <w:r w:rsidR="00947AEF" w:rsidRPr="00BA7A38">
        <w:t xml:space="preserve">ozvíjení kontaktů a spolupráce se soukromým sektorem a zvyšování povědomí o činnosti a možnostech spolupráce s </w:t>
      </w:r>
      <w:r w:rsidR="00C75487">
        <w:t>NÚKIB</w:t>
      </w:r>
      <w:r w:rsidR="00947AEF" w:rsidRPr="00BA7A38">
        <w:t xml:space="preserve"> v oblasti kybernetické bezpečnosti prostřednictvím pravidelných jednání a vzájemného sdílení informací. </w:t>
      </w:r>
      <w:r w:rsidR="00947AEF" w:rsidRPr="00BA7A38">
        <w:rPr>
          <w:i/>
        </w:rPr>
        <w:t>Termín: průběžně</w:t>
      </w:r>
      <w:r>
        <w:rPr>
          <w:i/>
        </w:rPr>
        <w:t>.</w:t>
      </w:r>
    </w:p>
    <w:p w:rsidR="00947AEF" w:rsidRPr="00BA7A38" w:rsidRDefault="00BA7A38" w:rsidP="00BA7A38">
      <w:pPr>
        <w:pStyle w:val="Odrka-Normln"/>
      </w:pPr>
      <w:r w:rsidRPr="00BA7A38">
        <w:t>P</w:t>
      </w:r>
      <w:r w:rsidR="00947AEF" w:rsidRPr="00BA7A38">
        <w:t xml:space="preserve">odpora koordinace a podílení se na projektech výzkumu a vývoji v oblasti kybernetické bezpečnosti – stát jako zadavatel vývoje bezpečnostních technologií. </w:t>
      </w:r>
      <w:r w:rsidR="00947AEF" w:rsidRPr="00BA7A38">
        <w:rPr>
          <w:i/>
        </w:rPr>
        <w:t>Termín: průběžně</w:t>
      </w:r>
      <w:r>
        <w:rPr>
          <w:i/>
        </w:rPr>
        <w:t>.</w:t>
      </w:r>
    </w:p>
    <w:p w:rsidR="00F05EDE" w:rsidRPr="00BA7A38" w:rsidRDefault="00BA7A38" w:rsidP="00BA7A38">
      <w:pPr>
        <w:pStyle w:val="Odrka-Normln"/>
      </w:pPr>
      <w:r w:rsidRPr="00BA7A38">
        <w:t>O</w:t>
      </w:r>
      <w:r w:rsidR="00947AEF" w:rsidRPr="00BA7A38">
        <w:t xml:space="preserve">světa, metodika a sdílení příkladů dobré praxe. </w:t>
      </w:r>
      <w:r w:rsidR="00947AEF" w:rsidRPr="00BA7A38">
        <w:rPr>
          <w:i/>
        </w:rPr>
        <w:t>Termín: průběžně</w:t>
      </w:r>
      <w:r>
        <w:rPr>
          <w:i/>
        </w:rPr>
        <w:t>.</w:t>
      </w:r>
    </w:p>
    <w:p w:rsidR="00947AEF" w:rsidRPr="008A4E50" w:rsidRDefault="00947AEF" w:rsidP="008A4E50">
      <w:pPr>
        <w:pStyle w:val="NOPil4"/>
      </w:pPr>
      <w:r w:rsidRPr="00D97AD9">
        <w:t>Osvěta široké veřejnosti a rozvoj lidského kapitálu</w:t>
      </w:r>
      <w:r w:rsidR="00D713B7">
        <w:t>.</w:t>
      </w:r>
      <w:r w:rsidRPr="00D97AD9">
        <w:t xml:space="preserve"> </w:t>
      </w:r>
      <w:r w:rsidRPr="008A4E50">
        <w:rPr>
          <w:b w:val="0"/>
          <w:i/>
        </w:rPr>
        <w:t>Termín:</w:t>
      </w:r>
      <w:r w:rsidRPr="008A4E50">
        <w:rPr>
          <w:i/>
        </w:rPr>
        <w:t xml:space="preserve"> </w:t>
      </w:r>
      <w:r w:rsidRPr="008A4E50">
        <w:rPr>
          <w:b w:val="0"/>
          <w:i/>
        </w:rPr>
        <w:t xml:space="preserve">průběžně, gestor </w:t>
      </w:r>
      <w:r w:rsidR="00C75487">
        <w:rPr>
          <w:b w:val="0"/>
          <w:i/>
        </w:rPr>
        <w:t>NÚKIB</w:t>
      </w:r>
      <w:r w:rsidR="00D713B7" w:rsidRPr="008A4E50">
        <w:rPr>
          <w:b w:val="0"/>
          <w:i/>
        </w:rPr>
        <w:t>.</w:t>
      </w:r>
    </w:p>
    <w:p w:rsidR="00947AEF" w:rsidRPr="00D97AD9" w:rsidRDefault="00C75487" w:rsidP="00BA7A38">
      <w:r>
        <w:t>NÚKIB</w:t>
      </w:r>
      <w:r w:rsidR="00947AEF" w:rsidRPr="00D97AD9">
        <w:t xml:space="preserve"> ve spolupráci s institucionálními partnery a v souladu s úkoly uloženými vládou v AP KB bude pracovat na navyšování povědomí a gramotnosti v otázkách kybernetické bezpečnosti jak u dětí a pedagogů, tak u široké veřejnosti, resp. u všech koncových uživatelů. Opatření plánovaná za tímto účelem zahrnují mimo jiné:</w:t>
      </w:r>
    </w:p>
    <w:p w:rsidR="00947AEF" w:rsidRPr="008A4E50" w:rsidRDefault="00BA7A38" w:rsidP="008A4E50">
      <w:pPr>
        <w:pStyle w:val="Odrka-Normln"/>
      </w:pPr>
      <w:r w:rsidRPr="008A4E50">
        <w:t>V</w:t>
      </w:r>
      <w:r w:rsidR="00947AEF" w:rsidRPr="008A4E50">
        <w:t>ytvoření e-</w:t>
      </w:r>
      <w:proofErr w:type="spellStart"/>
      <w:r w:rsidR="00947AEF" w:rsidRPr="008A4E50">
        <w:t>learningové</w:t>
      </w:r>
      <w:proofErr w:type="spellEnd"/>
      <w:r w:rsidR="00947AEF" w:rsidRPr="008A4E50">
        <w:t xml:space="preserve"> platformy pro vzdělávání širší a odborné veřejnosti. Termín:</w:t>
      </w:r>
      <w:r w:rsidR="000E3FC6">
        <w:t xml:space="preserve"> </w:t>
      </w:r>
      <w:r w:rsidR="00947AEF" w:rsidRPr="008A4E50">
        <w:t>3Q 2017</w:t>
      </w:r>
      <w:r w:rsidRPr="008A4E50">
        <w:t>.</w:t>
      </w:r>
    </w:p>
    <w:p w:rsidR="00947AEF" w:rsidRPr="00D97AD9" w:rsidRDefault="00BA7A38" w:rsidP="00BA7A38">
      <w:pPr>
        <w:pStyle w:val="Odrka-Normln"/>
        <w:rPr>
          <w:b/>
        </w:rPr>
      </w:pPr>
      <w:r>
        <w:t>V</w:t>
      </w:r>
      <w:r w:rsidR="00947AEF" w:rsidRPr="00D97AD9">
        <w:t xml:space="preserve">ytvoření metodických materiálů a doporučení pro školy pro zapracování kybernetické bezpečnosti do školních vzdělávacích programů – ve spolupráci s MŠMT. </w:t>
      </w:r>
      <w:r w:rsidR="00947AEF" w:rsidRPr="00BA7A38">
        <w:rPr>
          <w:i/>
        </w:rPr>
        <w:t>Termín: 1Q 2017</w:t>
      </w:r>
      <w:r w:rsidRPr="00BA7A38">
        <w:rPr>
          <w:i/>
        </w:rPr>
        <w:t>.</w:t>
      </w:r>
    </w:p>
    <w:p w:rsidR="00947AEF" w:rsidRPr="00D97AD9" w:rsidRDefault="00BA7A38" w:rsidP="00BA7A38">
      <w:pPr>
        <w:pStyle w:val="Odrka-Normln"/>
        <w:rPr>
          <w:rFonts w:eastAsia="Symbol"/>
        </w:rPr>
      </w:pPr>
      <w:r>
        <w:lastRenderedPageBreak/>
        <w:t>P</w:t>
      </w:r>
      <w:r w:rsidR="00947AEF" w:rsidRPr="00D97AD9">
        <w:t xml:space="preserve">rvek kybernetické bezpečnosti jako nezbytné součásti digitálního vzdělávání a digitální gramotnosti – ve spolupráci s MŠMT a MPSV. </w:t>
      </w:r>
      <w:r w:rsidR="00947AEF" w:rsidRPr="00BA7A38">
        <w:rPr>
          <w:i/>
        </w:rPr>
        <w:t>Termín: průběžně</w:t>
      </w:r>
      <w:r>
        <w:rPr>
          <w:i/>
        </w:rPr>
        <w:t>.</w:t>
      </w:r>
    </w:p>
    <w:p w:rsidR="00947AEF" w:rsidRPr="00D97AD9" w:rsidRDefault="00BA7A38" w:rsidP="00BA7A38">
      <w:pPr>
        <w:pStyle w:val="Odrka-Normln"/>
        <w:rPr>
          <w:rFonts w:eastAsia="Symbol"/>
        </w:rPr>
      </w:pPr>
      <w:r>
        <w:t>P</w:t>
      </w:r>
      <w:r w:rsidR="00947AEF" w:rsidRPr="00D97AD9">
        <w:t xml:space="preserve">odporu iniciativ a osvětových kampaní, pořádání osvětových akcí pro veřejnost, resp. koncové uživatele – ve spolupráci s MPSV. </w:t>
      </w:r>
      <w:r w:rsidR="00947AEF" w:rsidRPr="00BA7A38">
        <w:rPr>
          <w:i/>
        </w:rPr>
        <w:t>Termín: průběžně</w:t>
      </w:r>
      <w:r>
        <w:rPr>
          <w:i/>
        </w:rPr>
        <w:t>.</w:t>
      </w:r>
    </w:p>
    <w:p w:rsidR="00947AEF" w:rsidRPr="00BA7A38" w:rsidRDefault="00BA7A38" w:rsidP="00BA7A38">
      <w:pPr>
        <w:pStyle w:val="Odrka-Normln"/>
        <w:rPr>
          <w:rFonts w:eastAsia="Symbol"/>
        </w:rPr>
      </w:pPr>
      <w:r>
        <w:t>P</w:t>
      </w:r>
      <w:r w:rsidR="00947AEF" w:rsidRPr="00D97AD9">
        <w:t xml:space="preserve">odporu studijních programů pro výchovu expertů na kybernetickou bezpečnost </w:t>
      </w:r>
      <w:r w:rsidR="00AE36FF">
        <w:t>včetně</w:t>
      </w:r>
      <w:r w:rsidR="00947AEF" w:rsidRPr="00D97AD9">
        <w:t xml:space="preserve"> vysokoškolských stáží v oblasti kybernetické bezpečnosti v ČR i zahraničí – ve spolupráci s vysokými školami. </w:t>
      </w:r>
      <w:r w:rsidR="00947AEF" w:rsidRPr="00BA7A38">
        <w:rPr>
          <w:i/>
        </w:rPr>
        <w:t>Termín: průběžně</w:t>
      </w:r>
      <w:r>
        <w:rPr>
          <w:i/>
        </w:rPr>
        <w:t>.</w:t>
      </w:r>
    </w:p>
    <w:p w:rsidR="00947AEF" w:rsidRPr="00D97AD9" w:rsidRDefault="00947AEF" w:rsidP="007A4BEB">
      <w:pPr>
        <w:pStyle w:val="NOPil4"/>
      </w:pPr>
      <w:r w:rsidRPr="00D97AD9">
        <w:t>Transpozice evropské směrnice o bezpečnosti sítí a informačních systémů (tzv. směrnice NIS)</w:t>
      </w:r>
      <w:r w:rsidR="00DD21A3">
        <w:t xml:space="preserve"> – vytvoření a novelizace příslušných prováděcích právních předpisů</w:t>
      </w:r>
      <w:r w:rsidR="00D713B7">
        <w:t>.</w:t>
      </w:r>
      <w:r w:rsidRPr="00D97AD9">
        <w:t xml:space="preserve"> </w:t>
      </w:r>
      <w:r w:rsidRPr="008A4E50">
        <w:rPr>
          <w:b w:val="0"/>
          <w:i/>
        </w:rPr>
        <w:t xml:space="preserve">Termín: 3Q 2017-1Q 2018, gestor </w:t>
      </w:r>
      <w:r w:rsidR="00C75487">
        <w:rPr>
          <w:b w:val="0"/>
          <w:i/>
        </w:rPr>
        <w:t>NÚKIB</w:t>
      </w:r>
      <w:r w:rsidR="00D713B7" w:rsidRPr="00BA7A38">
        <w:rPr>
          <w:i/>
        </w:rPr>
        <w:t>.</w:t>
      </w:r>
    </w:p>
    <w:p w:rsidR="00947AEF" w:rsidRPr="00D97AD9" w:rsidRDefault="00947AEF" w:rsidP="00BA7A38">
      <w:r w:rsidRPr="00D97AD9">
        <w:t xml:space="preserve">Novela zákona o kybernetické bezpečnosti transponující směrnici NIS </w:t>
      </w:r>
      <w:r w:rsidR="00444C9C">
        <w:t>prošla legislativním procesem a d</w:t>
      </w:r>
      <w:r w:rsidR="00444C9C" w:rsidRPr="00444C9C">
        <w:t>ne 14. 7. 2017 byla vyhlášena ve Sbírce zákonů</w:t>
      </w:r>
      <w:r w:rsidR="00444C9C">
        <w:t xml:space="preserve">. </w:t>
      </w:r>
      <w:r w:rsidR="00C75487">
        <w:t>NÚKIB</w:t>
      </w:r>
      <w:r w:rsidRPr="00D97AD9">
        <w:t xml:space="preserve"> současně začal připravovat prováděcí předpisy, jmenovitě vyhlášku o určujících kritériích pro provozovatele základních služeb. V té souvislosti ustavil pracovní skupinu sdružující představitele dotčených odvětví. </w:t>
      </w:r>
    </w:p>
    <w:p w:rsidR="00947AEF" w:rsidRPr="00D97AD9" w:rsidRDefault="00947AEF" w:rsidP="00BA7A38">
      <w:r w:rsidRPr="00D97AD9">
        <w:t xml:space="preserve">V návaznosti na dokončení projednávání této směrnice v EU je </w:t>
      </w:r>
      <w:r w:rsidR="00C75487">
        <w:t>NÚKIB</w:t>
      </w:r>
      <w:r w:rsidRPr="00D97AD9">
        <w:t xml:space="preserve"> gestorem její transpozice do českého právního řádu, v rámci které musí zejména:</w:t>
      </w:r>
    </w:p>
    <w:p w:rsidR="00D713B7" w:rsidRPr="00BA7A38" w:rsidRDefault="00BA7A38" w:rsidP="00BA7A38">
      <w:pPr>
        <w:pStyle w:val="Odrka-Normln"/>
        <w:rPr>
          <w:rFonts w:eastAsia="Symbol"/>
        </w:rPr>
      </w:pPr>
      <w:r>
        <w:t>V</w:t>
      </w:r>
      <w:r w:rsidR="00947AEF" w:rsidRPr="00D97AD9">
        <w:t xml:space="preserve">ytvořit a novelizovat příslušné prováděcí právní předpisy. </w:t>
      </w:r>
      <w:r w:rsidR="00947AEF" w:rsidRPr="00BA7A38">
        <w:rPr>
          <w:i/>
        </w:rPr>
        <w:t>Termín: 4Q 2017-1Q 2018</w:t>
      </w:r>
      <w:r w:rsidR="00947AEF" w:rsidRPr="00D97AD9">
        <w:t xml:space="preserve"> (lhůta pro dokončení projednávání legislativních materiálů).</w:t>
      </w:r>
    </w:p>
    <w:p w:rsidR="003D2999" w:rsidRPr="00BA7A38" w:rsidRDefault="003D2999" w:rsidP="00BA7A38">
      <w:pPr>
        <w:pStyle w:val="Nadpis3"/>
      </w:pPr>
      <w:bookmarkStart w:id="108" w:name="_Toc491355986"/>
      <w:r w:rsidRPr="00BA7A38">
        <w:t>Ochrana osobních údajů</w:t>
      </w:r>
      <w:bookmarkEnd w:id="108"/>
    </w:p>
    <w:p w:rsidR="003D2999" w:rsidRPr="00BA7A38" w:rsidRDefault="003D2999" w:rsidP="00BA7A38">
      <w:pPr>
        <w:pStyle w:val="Plnovanopaten"/>
      </w:pPr>
      <w:r w:rsidRPr="00BA7A38">
        <w:t>Plánovaná opatření</w:t>
      </w:r>
    </w:p>
    <w:p w:rsidR="00CB4D15" w:rsidRPr="00770189" w:rsidRDefault="003D2999" w:rsidP="007A4BEB">
      <w:pPr>
        <w:pStyle w:val="NOPil4"/>
        <w:rPr>
          <w:i/>
        </w:rPr>
      </w:pPr>
      <w:r w:rsidRPr="00D97AD9">
        <w:t>Příprava hlavních legislativních změn v souvislosti se vstupem obecného nařízení o ochraně osobních údajů v</w:t>
      </w:r>
      <w:r w:rsidR="00D713B7">
        <w:t> </w:t>
      </w:r>
      <w:r w:rsidRPr="00D97AD9">
        <w:t>účinnost</w:t>
      </w:r>
      <w:r w:rsidR="00D713B7">
        <w:t>.</w:t>
      </w:r>
      <w:r w:rsidRPr="00D97AD9">
        <w:t xml:space="preserve"> </w:t>
      </w:r>
      <w:r w:rsidRPr="008A4E50">
        <w:rPr>
          <w:b w:val="0"/>
          <w:i/>
        </w:rPr>
        <w:t xml:space="preserve">Termín: </w:t>
      </w:r>
      <w:r w:rsidR="00153DD8" w:rsidRPr="008A4E50">
        <w:rPr>
          <w:b w:val="0"/>
          <w:i/>
        </w:rPr>
        <w:t>srp</w:t>
      </w:r>
      <w:r w:rsidR="00382726">
        <w:rPr>
          <w:b w:val="0"/>
          <w:i/>
        </w:rPr>
        <w:t>e</w:t>
      </w:r>
      <w:r w:rsidR="00153DD8" w:rsidRPr="008A4E50">
        <w:rPr>
          <w:b w:val="0"/>
          <w:i/>
        </w:rPr>
        <w:t xml:space="preserve">n </w:t>
      </w:r>
      <w:r w:rsidRPr="008A4E50">
        <w:rPr>
          <w:b w:val="0"/>
          <w:i/>
        </w:rPr>
        <w:t xml:space="preserve">2017 pro </w:t>
      </w:r>
      <w:r w:rsidR="00382726">
        <w:rPr>
          <w:b w:val="0"/>
          <w:i/>
        </w:rPr>
        <w:t xml:space="preserve">zahájení </w:t>
      </w:r>
      <w:r w:rsidRPr="008A4E50">
        <w:rPr>
          <w:b w:val="0"/>
          <w:i/>
        </w:rPr>
        <w:t>meziresortní</w:t>
      </w:r>
      <w:r w:rsidR="00382726">
        <w:rPr>
          <w:b w:val="0"/>
          <w:i/>
        </w:rPr>
        <w:t>ho připomínkového řízení</w:t>
      </w:r>
      <w:r w:rsidRPr="008A4E50">
        <w:rPr>
          <w:b w:val="0"/>
          <w:i/>
        </w:rPr>
        <w:t>, 3Q 2017 pro předložení návrhu vládě, gestor: MV</w:t>
      </w:r>
      <w:r w:rsidR="005F72FA" w:rsidRPr="008A4E50">
        <w:rPr>
          <w:b w:val="0"/>
          <w:i/>
        </w:rPr>
        <w:t>.</w:t>
      </w:r>
    </w:p>
    <w:p w:rsidR="00CB4D15" w:rsidRPr="00D97AD9" w:rsidRDefault="00EB3141" w:rsidP="008A4E50">
      <w:r>
        <w:t>V reakci</w:t>
      </w:r>
      <w:r w:rsidRPr="00D97AD9">
        <w:t xml:space="preserve"> </w:t>
      </w:r>
      <w:r w:rsidR="003D2999" w:rsidRPr="00D97AD9">
        <w:t xml:space="preserve">přijetí nařízení musí navázat i úprava </w:t>
      </w:r>
      <w:r w:rsidR="009423C3">
        <w:t>národního právního rámce</w:t>
      </w:r>
      <w:r w:rsidR="003D2999" w:rsidRPr="00D97AD9">
        <w:t xml:space="preserve">, </w:t>
      </w:r>
      <w:r w:rsidR="009423C3">
        <w:t xml:space="preserve">zejména příprava nového zákona, který nahradí </w:t>
      </w:r>
      <w:r w:rsidR="003D2999" w:rsidRPr="00D97AD9">
        <w:t xml:space="preserve">zákon č. 101/2000 Sb., o ochraně osobních údajů, jakož i </w:t>
      </w:r>
      <w:r w:rsidR="009423C3">
        <w:t xml:space="preserve">úprava </w:t>
      </w:r>
      <w:r w:rsidR="003D2999" w:rsidRPr="00D97AD9">
        <w:t xml:space="preserve">dalších souvisejících předpisů s obecnou působností, a to jednak ohledně postavení a fungování vnitrostátního dozorového orgánu při respektování záruk jeho nezávislosti podle evropského práva, tak ohledně odpovídajícího využití prostoru, </w:t>
      </w:r>
      <w:r w:rsidR="003D2999" w:rsidRPr="00700359">
        <w:t>který národnímu zákonodárci v různých dílčích oblas</w:t>
      </w:r>
      <w:r w:rsidR="00700359" w:rsidRPr="00700359">
        <w:t>tech obecné nařízení ponechává.</w:t>
      </w:r>
      <w:r w:rsidR="00AD5737" w:rsidRPr="00700359">
        <w:t xml:space="preserve"> Součástí přípravy zákona je </w:t>
      </w:r>
      <w:r w:rsidR="00705DEB" w:rsidRPr="00700359">
        <w:t>analýza</w:t>
      </w:r>
      <w:r w:rsidR="00AD5737" w:rsidRPr="00700359">
        <w:t xml:space="preserve"> potřeby finančního a personálního posílení ÚOOÚ odůvodněné jeho novými povinnostmi.</w:t>
      </w:r>
      <w:r w:rsidR="00AD5737">
        <w:t xml:space="preserve"> </w:t>
      </w:r>
      <w:r w:rsidR="003D2999" w:rsidRPr="00D97AD9">
        <w:t>Zejména v</w:t>
      </w:r>
      <w:r w:rsidR="00700359">
        <w:t>e</w:t>
      </w:r>
      <w:r w:rsidR="003D2999" w:rsidRPr="00D97AD9">
        <w:t xml:space="preserve"> druhé fázi by se měla zohlednit stanoviska zainteresovaných stran vyjádřená mimo jiné na pracovní skupině k legislativě v oblasti ochrany osobních údajů koordinované Úřadem vlády. Ministerstvo vnitra bude předkládat hlavní systémovou úpravu adaptačních ustanovení a poskytovat podporu a koordinaci při dílčích změnách sektorových předpisů. K přípravě návrhu se přistupuje s cílem vyhnout se zvyšování administrativního břemene nebo zpřísňování či rozšiřování povinností správců a zpracovatelů nad rámec vyžadovaný obecným nařízením </w:t>
      </w:r>
      <w:r w:rsidR="001B5CD4" w:rsidRPr="00D97AD9">
        <w:t>stávající českou úpravou.</w:t>
      </w:r>
    </w:p>
    <w:p w:rsidR="00CB4D15" w:rsidRPr="00770189" w:rsidRDefault="003D2999" w:rsidP="008A4E50">
      <w:pPr>
        <w:pStyle w:val="NOPil4"/>
        <w:rPr>
          <w:i/>
        </w:rPr>
      </w:pPr>
      <w:r w:rsidRPr="00D97AD9">
        <w:lastRenderedPageBreak/>
        <w:t xml:space="preserve">Plán pro přípravu státní správy pro vstup Obecného nařízení v účinnost. </w:t>
      </w:r>
      <w:r w:rsidRPr="008A4E50">
        <w:rPr>
          <w:b w:val="0"/>
          <w:i/>
        </w:rPr>
        <w:t xml:space="preserve">Termín: </w:t>
      </w:r>
      <w:r w:rsidR="007767E4" w:rsidRPr="008A4E50">
        <w:rPr>
          <w:b w:val="0"/>
          <w:i/>
        </w:rPr>
        <w:t xml:space="preserve">3Q </w:t>
      </w:r>
      <w:r w:rsidRPr="008A4E50">
        <w:rPr>
          <w:b w:val="0"/>
          <w:i/>
        </w:rPr>
        <w:t>2017, gestor: MV</w:t>
      </w:r>
      <w:r w:rsidR="005F72FA" w:rsidRPr="008A4E50">
        <w:rPr>
          <w:b w:val="0"/>
          <w:i/>
        </w:rPr>
        <w:t>.</w:t>
      </w:r>
    </w:p>
    <w:p w:rsidR="00AD5737" w:rsidRPr="00D97AD9" w:rsidRDefault="00AD5737" w:rsidP="00770189">
      <w:r w:rsidRPr="005F431E">
        <w:t>Pro lepší přípravu státní správy bude připraven plán nelegislativních opatření, která budou mít za cíl jak zvýšení povědomí státní správy zejména o změnách a nových institutech v oblasti ochrany osobních údajů, jakož i zvýšení schopnosti státní správy obecné nařízení dodržovat. Plán také zohlední již probíhající aktivity v této oblasti.</w:t>
      </w:r>
    </w:p>
    <w:p w:rsidR="0045114B" w:rsidRPr="00D713B7" w:rsidRDefault="0045114B" w:rsidP="008A4E50">
      <w:pPr>
        <w:pStyle w:val="NOPil4"/>
        <w:rPr>
          <w:i/>
          <w:u w:val="single"/>
        </w:rPr>
      </w:pPr>
      <w:r w:rsidRPr="00D97AD9">
        <w:t xml:space="preserve">Spolupráce se soukromým sektorem </w:t>
      </w:r>
      <w:r>
        <w:t xml:space="preserve">a nevládním organizacemi </w:t>
      </w:r>
      <w:r w:rsidRPr="00D97AD9">
        <w:t xml:space="preserve">při zvyšování povědomí o obecném nařízení o ochraně osobních údajů. </w:t>
      </w:r>
      <w:r w:rsidRPr="008A4E50">
        <w:rPr>
          <w:b w:val="0"/>
          <w:i/>
        </w:rPr>
        <w:t>Termín: Průběžně, gestor: MV</w:t>
      </w:r>
      <w:r w:rsidR="00770189" w:rsidRPr="008A4E50">
        <w:rPr>
          <w:b w:val="0"/>
          <w:i/>
        </w:rPr>
        <w:t>.</w:t>
      </w:r>
    </w:p>
    <w:p w:rsidR="00C03706" w:rsidRDefault="0045114B" w:rsidP="0045114B">
      <w:pPr>
        <w:spacing w:after="0"/>
        <w:rPr>
          <w:rFonts w:eastAsia="Arial"/>
        </w:rPr>
      </w:pPr>
      <w:r w:rsidRPr="00D97AD9">
        <w:rPr>
          <w:rFonts w:eastAsia="Arial"/>
        </w:rPr>
        <w:t xml:space="preserve">Vzhledem k tomu, že obecné nařízení o ochraně osobních údajů se dotkne stejně významně i soukromého </w:t>
      </w:r>
      <w:r>
        <w:rPr>
          <w:rFonts w:eastAsia="Arial"/>
        </w:rPr>
        <w:t xml:space="preserve">a nevládního </w:t>
      </w:r>
      <w:r w:rsidRPr="00D97AD9">
        <w:rPr>
          <w:rFonts w:eastAsia="Arial"/>
        </w:rPr>
        <w:t>sektoru, bude ze strany hlavního gestora nadále, s ohledem na dostupnou kapacitu, poskytována podpora a spolupráce při různých akcích podnikatelských asociací a dalších subjektů s cílem zvýšit povědomí o nových institutech a povinnostech v oblasti ochrany osobních údajů. </w:t>
      </w:r>
      <w:r>
        <w:rPr>
          <w:rFonts w:eastAsia="Arial"/>
        </w:rPr>
        <w:t xml:space="preserve"> </w:t>
      </w:r>
    </w:p>
    <w:p w:rsidR="00C03706" w:rsidRPr="006B4301" w:rsidRDefault="00C03706" w:rsidP="008A4E50">
      <w:pPr>
        <w:pStyle w:val="NOPil4"/>
      </w:pPr>
      <w:r w:rsidRPr="006B4301">
        <w:t xml:space="preserve">Komunikační kampaň s cílem zvýšit osvětu o ochraně osobních údajů, GDPR a připravenosti na něj mezi firmami, </w:t>
      </w:r>
      <w:r w:rsidR="00576EF5">
        <w:t>veřejnou</w:t>
      </w:r>
      <w:r w:rsidR="00576EF5" w:rsidRPr="006B4301">
        <w:t xml:space="preserve"> </w:t>
      </w:r>
      <w:r w:rsidRPr="006B4301">
        <w:t>správou a občany</w:t>
      </w:r>
      <w:r w:rsidR="00D713B7">
        <w:t>.</w:t>
      </w:r>
      <w:r w:rsidRPr="006B4301">
        <w:t xml:space="preserve"> </w:t>
      </w:r>
      <w:r w:rsidRPr="008A4E50">
        <w:rPr>
          <w:b w:val="0"/>
          <w:i/>
        </w:rPr>
        <w:t>Termín: průběžně (dle potřeby do konce roku 2018), gestor: ÚOOÚ, spolupráce: koordinátor, MV</w:t>
      </w:r>
      <w:r w:rsidR="00D713B7" w:rsidRPr="008A4E50">
        <w:rPr>
          <w:b w:val="0"/>
          <w:i/>
        </w:rPr>
        <w:t>.</w:t>
      </w:r>
    </w:p>
    <w:p w:rsidR="00C03706" w:rsidRDefault="00C03706" w:rsidP="0045114B">
      <w:pPr>
        <w:spacing w:after="0"/>
        <w:rPr>
          <w:rFonts w:eastAsia="Arial"/>
        </w:rPr>
      </w:pPr>
      <w:r w:rsidRPr="006B4301">
        <w:rPr>
          <w:rFonts w:eastAsia="Times New Roman"/>
          <w:szCs w:val="22"/>
        </w:rPr>
        <w:t>ÚOOÚ</w:t>
      </w:r>
      <w:r>
        <w:rPr>
          <w:rFonts w:eastAsia="Times New Roman"/>
          <w:szCs w:val="22"/>
        </w:rPr>
        <w:t xml:space="preserve"> ve spolupráci s </w:t>
      </w:r>
      <w:r w:rsidRPr="006B4301">
        <w:rPr>
          <w:rFonts w:eastAsia="Times New Roman"/>
          <w:szCs w:val="22"/>
        </w:rPr>
        <w:t>hospodářskými a sociálními partnery</w:t>
      </w:r>
      <w:r>
        <w:rPr>
          <w:rFonts w:eastAsia="Times New Roman"/>
          <w:szCs w:val="22"/>
        </w:rPr>
        <w:t>, koordinátorem a MV</w:t>
      </w:r>
      <w:r w:rsidRPr="006B4301">
        <w:rPr>
          <w:rFonts w:eastAsia="Times New Roman"/>
          <w:szCs w:val="22"/>
        </w:rPr>
        <w:t xml:space="preserve"> </w:t>
      </w:r>
      <w:r>
        <w:rPr>
          <w:rFonts w:eastAsia="Times New Roman"/>
          <w:szCs w:val="22"/>
        </w:rPr>
        <w:t xml:space="preserve">budou přispívat ke komunikačním aktivitám </w:t>
      </w:r>
      <w:r w:rsidRPr="006B4301">
        <w:rPr>
          <w:rFonts w:eastAsia="Times New Roman"/>
          <w:szCs w:val="22"/>
        </w:rPr>
        <w:t xml:space="preserve">s cílem zvýšit osvětu obecně o ochraně osobních údajů a konkrétně o GDPR mezi firmami, podnikateli, </w:t>
      </w:r>
      <w:r w:rsidR="00576EF5">
        <w:rPr>
          <w:rFonts w:eastAsia="Times New Roman"/>
          <w:szCs w:val="22"/>
        </w:rPr>
        <w:t>veřejnou</w:t>
      </w:r>
      <w:r w:rsidR="00576EF5" w:rsidRPr="006B4301">
        <w:rPr>
          <w:rFonts w:eastAsia="Times New Roman"/>
          <w:szCs w:val="22"/>
        </w:rPr>
        <w:t xml:space="preserve"> </w:t>
      </w:r>
      <w:r w:rsidRPr="006B4301">
        <w:rPr>
          <w:rFonts w:eastAsia="Times New Roman"/>
          <w:szCs w:val="22"/>
        </w:rPr>
        <w:t xml:space="preserve">správou a občany. Za tímto účelem mimo jiné </w:t>
      </w:r>
      <w:r>
        <w:rPr>
          <w:rFonts w:eastAsia="Times New Roman"/>
          <w:szCs w:val="22"/>
        </w:rPr>
        <w:t>koordinátor</w:t>
      </w:r>
      <w:r w:rsidRPr="006B4301">
        <w:rPr>
          <w:rFonts w:eastAsia="Times New Roman"/>
          <w:szCs w:val="22"/>
        </w:rPr>
        <w:t xml:space="preserve"> získa</w:t>
      </w:r>
      <w:r>
        <w:rPr>
          <w:rFonts w:eastAsia="Times New Roman"/>
          <w:szCs w:val="22"/>
        </w:rPr>
        <w:t>l</w:t>
      </w:r>
      <w:r w:rsidRPr="006B4301">
        <w:rPr>
          <w:rFonts w:eastAsia="Times New Roman"/>
          <w:szCs w:val="22"/>
        </w:rPr>
        <w:t xml:space="preserve"> finanční podporu z EU. V druhé polovině roku v návaznosti na to proběhne několik na sebe navazujících akcí </w:t>
      </w:r>
      <w:r>
        <w:rPr>
          <w:rFonts w:eastAsia="Times New Roman"/>
          <w:szCs w:val="22"/>
        </w:rPr>
        <w:t xml:space="preserve">ve spolupráci s MV a ÚOOÚ </w:t>
      </w:r>
      <w:r w:rsidRPr="006B4301">
        <w:rPr>
          <w:rFonts w:eastAsia="Times New Roman"/>
          <w:szCs w:val="22"/>
        </w:rPr>
        <w:t>s cílem podpořit příprav</w:t>
      </w:r>
      <w:r>
        <w:rPr>
          <w:rFonts w:eastAsia="Times New Roman"/>
          <w:szCs w:val="22"/>
        </w:rPr>
        <w:t>u</w:t>
      </w:r>
      <w:r w:rsidRPr="006B4301">
        <w:rPr>
          <w:rFonts w:eastAsia="Times New Roman"/>
          <w:szCs w:val="22"/>
        </w:rPr>
        <w:t xml:space="preserve"> </w:t>
      </w:r>
      <w:r w:rsidR="00576EF5">
        <w:rPr>
          <w:rFonts w:eastAsia="Times New Roman"/>
          <w:szCs w:val="22"/>
        </w:rPr>
        <w:t>veřejné</w:t>
      </w:r>
      <w:r w:rsidR="00576EF5" w:rsidRPr="006B4301">
        <w:rPr>
          <w:rFonts w:eastAsia="Times New Roman"/>
          <w:szCs w:val="22"/>
        </w:rPr>
        <w:t xml:space="preserve"> </w:t>
      </w:r>
      <w:r w:rsidRPr="006B4301">
        <w:rPr>
          <w:rFonts w:eastAsia="Times New Roman"/>
          <w:szCs w:val="22"/>
        </w:rPr>
        <w:t xml:space="preserve">správy. Do doby vstupu GDPR v účinnost také </w:t>
      </w:r>
      <w:r>
        <w:rPr>
          <w:rFonts w:eastAsia="Times New Roman"/>
          <w:szCs w:val="22"/>
        </w:rPr>
        <w:t>proběhnou</w:t>
      </w:r>
      <w:r w:rsidRPr="006B4301">
        <w:rPr>
          <w:rFonts w:eastAsia="Times New Roman"/>
          <w:szCs w:val="22"/>
        </w:rPr>
        <w:t xml:space="preserve"> informační </w:t>
      </w:r>
      <w:r>
        <w:rPr>
          <w:rFonts w:eastAsia="Times New Roman"/>
          <w:szCs w:val="22"/>
        </w:rPr>
        <w:t>aktivity</w:t>
      </w:r>
      <w:r w:rsidRPr="006B4301">
        <w:rPr>
          <w:rFonts w:eastAsia="Times New Roman"/>
          <w:szCs w:val="22"/>
        </w:rPr>
        <w:t xml:space="preserve"> zaměřen</w:t>
      </w:r>
      <w:r>
        <w:rPr>
          <w:rFonts w:eastAsia="Times New Roman"/>
          <w:szCs w:val="22"/>
        </w:rPr>
        <w:t>é</w:t>
      </w:r>
      <w:r w:rsidRPr="006B4301">
        <w:rPr>
          <w:rFonts w:eastAsia="Times New Roman"/>
          <w:szCs w:val="22"/>
        </w:rPr>
        <w:t xml:space="preserve"> především na malé a střední firmy.</w:t>
      </w:r>
    </w:p>
    <w:p w:rsidR="00DB2EAE" w:rsidRDefault="00DB2EAE" w:rsidP="0045114B">
      <w:pPr>
        <w:spacing w:after="0"/>
        <w:rPr>
          <w:rFonts w:eastAsia="Arial"/>
        </w:rPr>
      </w:pPr>
    </w:p>
    <w:p w:rsidR="00DB2EAE" w:rsidRPr="006D793D" w:rsidRDefault="00CF2DD6" w:rsidP="008A4E50">
      <w:pPr>
        <w:pStyle w:val="NOPil4"/>
      </w:pPr>
      <w:r>
        <w:t>Koordinace pracovní skupiny k ochraně soukromí a osobních údajů</w:t>
      </w:r>
      <w:r w:rsidR="00D713B7">
        <w:t>.</w:t>
      </w:r>
      <w:r>
        <w:t xml:space="preserve"> </w:t>
      </w:r>
      <w:r w:rsidR="00DB2EAE" w:rsidRPr="008A4E50">
        <w:rPr>
          <w:b w:val="0"/>
          <w:i/>
        </w:rPr>
        <w:t>Termín: průběžně (dle potřeby do druhého čtvrtletí 2018), gestor:</w:t>
      </w:r>
      <w:r w:rsidR="00DB2EAE" w:rsidRPr="008A4E50">
        <w:rPr>
          <w:i/>
        </w:rPr>
        <w:t xml:space="preserve"> </w:t>
      </w:r>
      <w:r w:rsidR="00DB2EAE" w:rsidRPr="008A4E50">
        <w:rPr>
          <w:b w:val="0"/>
          <w:i/>
        </w:rPr>
        <w:t>koordinátor, ÚOOÚ, MPO</w:t>
      </w:r>
      <w:r w:rsidR="009352AA" w:rsidRPr="008A4E50">
        <w:rPr>
          <w:b w:val="0"/>
          <w:i/>
        </w:rPr>
        <w:t xml:space="preserve">, </w:t>
      </w:r>
      <w:proofErr w:type="spellStart"/>
      <w:r w:rsidR="009352AA" w:rsidRPr="008A4E50">
        <w:rPr>
          <w:b w:val="0"/>
          <w:i/>
        </w:rPr>
        <w:t>spolugestor</w:t>
      </w:r>
      <w:proofErr w:type="spellEnd"/>
      <w:r w:rsidR="009352AA" w:rsidRPr="008A4E50">
        <w:rPr>
          <w:b w:val="0"/>
          <w:i/>
        </w:rPr>
        <w:t>: MV</w:t>
      </w:r>
      <w:r w:rsidR="00D713B7" w:rsidRPr="008A4E50">
        <w:rPr>
          <w:b w:val="0"/>
        </w:rPr>
        <w:t>.</w:t>
      </w:r>
    </w:p>
    <w:p w:rsidR="00CF2DD6" w:rsidRDefault="00CF2DD6" w:rsidP="00DB2EAE">
      <w:pPr>
        <w:spacing w:after="200"/>
        <w:rPr>
          <w:rFonts w:eastAsia="Times New Roman"/>
          <w:szCs w:val="22"/>
        </w:rPr>
      </w:pPr>
      <w:r>
        <w:rPr>
          <w:rFonts w:eastAsia="Times New Roman"/>
          <w:szCs w:val="22"/>
        </w:rPr>
        <w:t xml:space="preserve">V září 2016 byla </w:t>
      </w:r>
      <w:r w:rsidRPr="006B4301">
        <w:rPr>
          <w:rFonts w:eastAsia="Times New Roman"/>
          <w:szCs w:val="22"/>
        </w:rPr>
        <w:t>Úřadem vlády ve spolupráci s Ministerstvem vnitra a Úřadem pro ochranu osobních údajů</w:t>
      </w:r>
      <w:r>
        <w:rPr>
          <w:rFonts w:eastAsia="Times New Roman"/>
          <w:szCs w:val="22"/>
        </w:rPr>
        <w:t xml:space="preserve"> zřízena „</w:t>
      </w:r>
      <w:r w:rsidR="00DB2EAE" w:rsidRPr="006B4301">
        <w:rPr>
          <w:rFonts w:eastAsia="Times New Roman"/>
          <w:szCs w:val="22"/>
        </w:rPr>
        <w:t xml:space="preserve">Pracovní skupina </w:t>
      </w:r>
      <w:r>
        <w:rPr>
          <w:rFonts w:eastAsia="Times New Roman"/>
          <w:szCs w:val="22"/>
        </w:rPr>
        <w:t>k legislativě v oblasti ochrany osobních údajů“</w:t>
      </w:r>
      <w:r w:rsidR="00DB2EAE" w:rsidRPr="006B4301">
        <w:rPr>
          <w:rFonts w:eastAsia="Times New Roman"/>
          <w:szCs w:val="22"/>
        </w:rPr>
        <w:t xml:space="preserve">. Byla zakotvena pod Výborem pro digitální ekonomiku a jejím cílem bylo umožnit dialog státní správy a sociálních a hospodářských partnerů na téma legislativy k ochraně osobních údajů a podpořit její úspěšnou implementaci v praxi. Pracovní skupina diskutovala především obecné nařízení o ochraně osobních údajů (GDPR), které bylo přijato EU na jaře 2016, stane se účinným v květnu 2018 a vyžádá si úpravy vnitrostátního právního rámce a větší či menší změny ve fungování subjektů, které nakládají s osobními údaji. Výstupy z činnosti pracovní skupiny byly předkládány ostatním resortům v rámci meziresortní koordinace, kterou k této problematice provádí MV, jsou využívány pro jednání na evropské úrovni, naši hospodářští partneři, svazy, asociace a sdružení o nich informují své členy a jsou celkově využívány jako vstupy do přípravy na úspěšnou implementaci GDPR.  Činnost této pracovní skupiny byla na základě projeveného zájmu dvakrát prodloužena a v červnu 2017 byla oficiálně ukončena </w:t>
      </w:r>
      <w:r w:rsidR="00DB2EAE" w:rsidRPr="006B4301">
        <w:rPr>
          <w:rFonts w:eastAsia="Times New Roman"/>
          <w:szCs w:val="22"/>
        </w:rPr>
        <w:lastRenderedPageBreak/>
        <w:t xml:space="preserve">finálním projednáním pracovní verze návrhu novelizovaného zákona o ochraně osobních údajů, který připravuje MV. </w:t>
      </w:r>
      <w:r>
        <w:rPr>
          <w:rFonts w:eastAsia="Times New Roman"/>
          <w:szCs w:val="22"/>
        </w:rPr>
        <w:t xml:space="preserve"> </w:t>
      </w:r>
    </w:p>
    <w:p w:rsidR="00DB2EAE" w:rsidRPr="006B4301" w:rsidRDefault="00CF2DD6" w:rsidP="00DB2EAE">
      <w:pPr>
        <w:spacing w:after="200"/>
        <w:rPr>
          <w:rFonts w:eastAsia="Times New Roman"/>
          <w:szCs w:val="22"/>
        </w:rPr>
      </w:pPr>
      <w:r>
        <w:rPr>
          <w:rFonts w:eastAsia="Times New Roman"/>
          <w:szCs w:val="22"/>
        </w:rPr>
        <w:t xml:space="preserve">V </w:t>
      </w:r>
      <w:r w:rsidR="00DB2EAE" w:rsidRPr="00CF2DD6">
        <w:rPr>
          <w:rFonts w:eastAsia="Times New Roman"/>
          <w:szCs w:val="22"/>
        </w:rPr>
        <w:t xml:space="preserve">září 2017 </w:t>
      </w:r>
      <w:r w:rsidRPr="00CF2DD6">
        <w:rPr>
          <w:rFonts w:eastAsia="Times New Roman"/>
          <w:szCs w:val="22"/>
        </w:rPr>
        <w:t>vznikne „Pracovní skupina k ochraně soukromí a osobních údajů“</w:t>
      </w:r>
      <w:r w:rsidR="00DB2EAE" w:rsidRPr="00CF2DD6">
        <w:rPr>
          <w:rFonts w:eastAsia="Times New Roman"/>
          <w:szCs w:val="22"/>
        </w:rPr>
        <w:t xml:space="preserve">. </w:t>
      </w:r>
      <w:r w:rsidRPr="00CF2DD6">
        <w:rPr>
          <w:rFonts w:eastAsia="Times New Roman"/>
          <w:szCs w:val="22"/>
        </w:rPr>
        <w:t>Hlavním tématem, kterému se pracovní skupina bude věnovat, bude</w:t>
      </w:r>
      <w:r w:rsidR="00DB2EAE" w:rsidRPr="00CF2DD6">
        <w:rPr>
          <w:rFonts w:eastAsia="Times New Roman"/>
          <w:szCs w:val="22"/>
        </w:rPr>
        <w:t xml:space="preserve"> </w:t>
      </w:r>
      <w:r w:rsidR="004277F5" w:rsidRPr="004277F5">
        <w:rPr>
          <w:rFonts w:eastAsia="Times New Roman"/>
          <w:szCs w:val="22"/>
        </w:rPr>
        <w:t xml:space="preserve">návrh nařízení o soukromí a elektronických komunikacích </w:t>
      </w:r>
      <w:r w:rsidR="004277F5">
        <w:rPr>
          <w:rFonts w:eastAsia="Times New Roman"/>
          <w:szCs w:val="22"/>
        </w:rPr>
        <w:t xml:space="preserve">(návrh </w:t>
      </w:r>
      <w:proofErr w:type="spellStart"/>
      <w:r w:rsidR="008012FE">
        <w:rPr>
          <w:rFonts w:eastAsia="Times New Roman"/>
          <w:szCs w:val="22"/>
        </w:rPr>
        <w:t>e</w:t>
      </w:r>
      <w:r w:rsidR="00C706D4" w:rsidRPr="00CF2DD6">
        <w:rPr>
          <w:rFonts w:eastAsia="Times New Roman"/>
          <w:szCs w:val="22"/>
        </w:rPr>
        <w:t>Privacy</w:t>
      </w:r>
      <w:proofErr w:type="spellEnd"/>
      <w:r w:rsidR="00DB2EAE" w:rsidRPr="00CF2DD6">
        <w:rPr>
          <w:rFonts w:eastAsia="Times New Roman"/>
          <w:szCs w:val="22"/>
        </w:rPr>
        <w:t xml:space="preserve"> nařízení</w:t>
      </w:r>
      <w:r w:rsidR="004277F5">
        <w:rPr>
          <w:rFonts w:eastAsia="Times New Roman"/>
          <w:szCs w:val="22"/>
        </w:rPr>
        <w:t>)</w:t>
      </w:r>
      <w:r w:rsidR="00DB2EAE" w:rsidRPr="00CF2DD6">
        <w:rPr>
          <w:rFonts w:eastAsia="Times New Roman"/>
          <w:szCs w:val="22"/>
        </w:rPr>
        <w:t xml:space="preserve">. </w:t>
      </w:r>
      <w:r w:rsidRPr="00CF2DD6">
        <w:rPr>
          <w:rFonts w:eastAsia="Times New Roman"/>
          <w:szCs w:val="22"/>
        </w:rPr>
        <w:t>Členskou základnu pracovní skupiny budou tvořit členové Výboru pro digitální ekonomiku</w:t>
      </w:r>
      <w:r>
        <w:rPr>
          <w:rFonts w:eastAsia="Times New Roman"/>
          <w:szCs w:val="22"/>
        </w:rPr>
        <w:t xml:space="preserve"> (případně přizvaní hosté na ad</w:t>
      </w:r>
      <w:r w:rsidR="002B0890">
        <w:rPr>
          <w:rFonts w:eastAsia="Times New Roman"/>
          <w:szCs w:val="22"/>
        </w:rPr>
        <w:t>-</w:t>
      </w:r>
      <w:r>
        <w:rPr>
          <w:rFonts w:eastAsia="Times New Roman"/>
          <w:szCs w:val="22"/>
        </w:rPr>
        <w:t>hoc bázi podle tematického zaměření daného jednání)</w:t>
      </w:r>
      <w:r w:rsidRPr="00CF2DD6">
        <w:rPr>
          <w:rFonts w:eastAsia="Times New Roman"/>
          <w:szCs w:val="22"/>
        </w:rPr>
        <w:t>.</w:t>
      </w:r>
    </w:p>
    <w:p w:rsidR="008A4E50" w:rsidRDefault="008A4E50">
      <w:pPr>
        <w:spacing w:after="200"/>
        <w:jc w:val="left"/>
        <w:rPr>
          <w:rFonts w:eastAsia="Symbol"/>
        </w:rPr>
      </w:pPr>
      <w:r>
        <w:rPr>
          <w:rFonts w:eastAsia="Symbol"/>
        </w:rPr>
        <w:br w:type="page"/>
      </w:r>
    </w:p>
    <w:p w:rsidR="00B47794" w:rsidRPr="00D97AD9" w:rsidRDefault="00A47A6A" w:rsidP="00593357">
      <w:pPr>
        <w:pStyle w:val="Nadpis1"/>
      </w:pPr>
      <w:bookmarkStart w:id="109" w:name="_Toc483901066"/>
      <w:bookmarkStart w:id="110" w:name="_Toc482986930"/>
      <w:bookmarkStart w:id="111" w:name="_Toc484094082"/>
      <w:bookmarkStart w:id="112" w:name="_Toc491355987"/>
      <w:r w:rsidRPr="00D97AD9">
        <w:lastRenderedPageBreak/>
        <w:t xml:space="preserve">5 </w:t>
      </w:r>
      <w:bookmarkEnd w:id="109"/>
      <w:bookmarkEnd w:id="110"/>
      <w:bookmarkEnd w:id="111"/>
      <w:r w:rsidR="00A434D2">
        <w:t>P</w:t>
      </w:r>
      <w:r w:rsidR="00B74264">
        <w:t>růmysl, p</w:t>
      </w:r>
      <w:r w:rsidR="00A434D2">
        <w:t>odnikání a konkurenceschopnost</w:t>
      </w:r>
      <w:bookmarkEnd w:id="112"/>
    </w:p>
    <w:p w:rsidR="00A434D2" w:rsidRPr="00A434D2" w:rsidRDefault="00A434D2" w:rsidP="00593357">
      <w:pPr>
        <w:pStyle w:val="Nadpis3"/>
      </w:pPr>
      <w:bookmarkStart w:id="113" w:name="_Toc491355988"/>
      <w:r w:rsidRPr="00A434D2">
        <w:t>Průmysl 4.0</w:t>
      </w:r>
      <w:bookmarkEnd w:id="113"/>
    </w:p>
    <w:p w:rsidR="00A47A6A" w:rsidRDefault="00162686" w:rsidP="00593357">
      <w:r w:rsidRPr="00D97AD9">
        <w:t>Č</w:t>
      </w:r>
      <w:r w:rsidR="00A47A6A" w:rsidRPr="00D97AD9">
        <w:t xml:space="preserve">eská republika patří k zemím s velmi dlouhou průmyslovou tradicí a ambicí vlády je, aby i její budoucnost zůstala s průmyslem spojena. Čtvrtá průmyslová revoluce je jedinečnou příležitostí k zajištění dlouhodobé konkurenceschopnosti České republiky v globálním prostředí. Ze strany státu je vhodné zejména podporovat realizaci inovativních nápadů firem a jednotlivců a za tímto účelem </w:t>
      </w:r>
      <w:r w:rsidR="00A47A6A">
        <w:t>využít stávající</w:t>
      </w:r>
      <w:r w:rsidR="00A47A6A" w:rsidRPr="00D97AD9">
        <w:t xml:space="preserve"> nabídku nástrojů podpory, která bude specificky uzpůsobena pro potřeby průmyslu 4.0. Digitální revoluce také klade nové požadavky na aplikovaný výzkum a experimentální vývoj. Stát by měl proto vytvořit takové podmínky, aby i malé a střední firmy měly možnost využívat výsledků výzkumu. Primárním úkolem v této oblasti je analyzovat potřeby průmyslové praxe a inventarizovat kapacity relevantního aplikovaného výzkumu a jeho růstový potenciál pro účely efektivního zaměření výzkumné aktivity. Velkým potenciálem konceptu průmysl 4.0 je v neposlední řadě také snížení energetické náročnosti výroby, umožnění maximálního využití zbytkových materiálů jako vstupních komponent do následného výrobního procesu, vznik technologických řešení pro decentralizované systémy výroby a distribuce energie.</w:t>
      </w:r>
    </w:p>
    <w:p w:rsidR="008D4721" w:rsidRDefault="008D4721" w:rsidP="00593357">
      <w:pPr>
        <w:rPr>
          <w:szCs w:val="22"/>
        </w:rPr>
      </w:pPr>
      <w:r w:rsidRPr="00E96D7E">
        <w:rPr>
          <w:szCs w:val="22"/>
        </w:rPr>
        <w:t>P</w:t>
      </w:r>
      <w:r>
        <w:rPr>
          <w:szCs w:val="22"/>
        </w:rPr>
        <w:t>rioritami pro P</w:t>
      </w:r>
      <w:r w:rsidRPr="00E96D7E">
        <w:rPr>
          <w:szCs w:val="22"/>
        </w:rPr>
        <w:t>růmysl</w:t>
      </w:r>
      <w:r>
        <w:rPr>
          <w:szCs w:val="22"/>
        </w:rPr>
        <w:t xml:space="preserve"> 4.0</w:t>
      </w:r>
      <w:r w:rsidRPr="00E96D7E">
        <w:rPr>
          <w:szCs w:val="22"/>
        </w:rPr>
        <w:t xml:space="preserve"> se v rámci Aliance Společnost 4.0 zabývá Výbor Průmysl 4.0. </w:t>
      </w:r>
      <w:r>
        <w:rPr>
          <w:szCs w:val="22"/>
        </w:rPr>
        <w:t>Podle zástupců příslušných gestorů a sociálních partnerů</w:t>
      </w:r>
      <w:r w:rsidRPr="00E96D7E">
        <w:rPr>
          <w:szCs w:val="22"/>
        </w:rPr>
        <w:t xml:space="preserve"> </w:t>
      </w:r>
      <w:r>
        <w:rPr>
          <w:szCs w:val="22"/>
        </w:rPr>
        <w:t xml:space="preserve">je to </w:t>
      </w:r>
      <w:r w:rsidRPr="00E96D7E">
        <w:rPr>
          <w:szCs w:val="22"/>
        </w:rPr>
        <w:t>zejména</w:t>
      </w:r>
      <w:r>
        <w:rPr>
          <w:szCs w:val="22"/>
        </w:rPr>
        <w:t>:</w:t>
      </w:r>
    </w:p>
    <w:p w:rsidR="008D4721" w:rsidRDefault="00593357" w:rsidP="00593357">
      <w:pPr>
        <w:pStyle w:val="Odrka-Normln"/>
      </w:pPr>
      <w:r>
        <w:t>P</w:t>
      </w:r>
      <w:r w:rsidR="008D4721" w:rsidRPr="00524290">
        <w:t>říprava konkrétních témat výzkumu a vývoje (</w:t>
      </w:r>
      <w:proofErr w:type="spellStart"/>
      <w:r w:rsidR="008D4721" w:rsidRPr="00524290">
        <w:t>VaV</w:t>
      </w:r>
      <w:proofErr w:type="spellEnd"/>
      <w:r w:rsidR="008D4721" w:rsidRPr="00524290">
        <w:t>), která se promítnou do aktualizace Národní výzkumné a inovační strategie pro inteligentní specializaci České republiky („RIS3 strategie“ z anglického „</w:t>
      </w:r>
      <w:proofErr w:type="spellStart"/>
      <w:r w:rsidR="008D4721" w:rsidRPr="00524290">
        <w:t>Research</w:t>
      </w:r>
      <w:proofErr w:type="spellEnd"/>
      <w:r w:rsidR="008D4721" w:rsidRPr="00524290">
        <w:t xml:space="preserve"> </w:t>
      </w:r>
      <w:proofErr w:type="spellStart"/>
      <w:r w:rsidR="008D4721" w:rsidRPr="00524290">
        <w:t>and</w:t>
      </w:r>
      <w:proofErr w:type="spellEnd"/>
      <w:r w:rsidR="008D4721" w:rsidRPr="00524290">
        <w:t xml:space="preserve"> </w:t>
      </w:r>
      <w:proofErr w:type="spellStart"/>
      <w:r w:rsidR="008D4721" w:rsidRPr="00524290">
        <w:t>Innovation</w:t>
      </w:r>
      <w:proofErr w:type="spellEnd"/>
      <w:r w:rsidR="008D4721" w:rsidRPr="00524290">
        <w:t xml:space="preserve"> </w:t>
      </w:r>
      <w:proofErr w:type="spellStart"/>
      <w:r w:rsidR="008D4721" w:rsidRPr="00524290">
        <w:t>Strategy</w:t>
      </w:r>
      <w:proofErr w:type="spellEnd"/>
      <w:r w:rsidR="008D4721" w:rsidRPr="00524290">
        <w:t xml:space="preserve"> </w:t>
      </w:r>
      <w:proofErr w:type="spellStart"/>
      <w:r w:rsidR="008D4721" w:rsidRPr="00524290">
        <w:t>for</w:t>
      </w:r>
      <w:proofErr w:type="spellEnd"/>
      <w:r w:rsidR="008D4721" w:rsidRPr="00524290">
        <w:t xml:space="preserve"> </w:t>
      </w:r>
      <w:proofErr w:type="spellStart"/>
      <w:r w:rsidR="008D4721" w:rsidRPr="00524290">
        <w:t>Smart</w:t>
      </w:r>
      <w:proofErr w:type="spellEnd"/>
      <w:r w:rsidR="008D4721" w:rsidRPr="00524290">
        <w:t xml:space="preserve"> </w:t>
      </w:r>
      <w:proofErr w:type="spellStart"/>
      <w:r w:rsidR="008D4721" w:rsidRPr="00524290">
        <w:t>Specialisation</w:t>
      </w:r>
      <w:proofErr w:type="spellEnd"/>
      <w:r w:rsidR="008D4721" w:rsidRPr="00524290">
        <w:t>“)</w:t>
      </w:r>
      <w:r w:rsidR="008D4721">
        <w:t xml:space="preserve"> – </w:t>
      </w:r>
      <w:r w:rsidR="008D4721" w:rsidRPr="00524290">
        <w:t>podrobněji rozpracováno v části „Výzkum, vývoj a inovace;“;</w:t>
      </w:r>
    </w:p>
    <w:p w:rsidR="008D4721" w:rsidRDefault="00593357" w:rsidP="00593357">
      <w:pPr>
        <w:pStyle w:val="Odrka-Normln"/>
      </w:pPr>
      <w:r>
        <w:t>K</w:t>
      </w:r>
      <w:r w:rsidR="008D4721" w:rsidRPr="008D4721">
        <w:t>valitní normotvorba a legislat</w:t>
      </w:r>
      <w:r w:rsidR="00C60331">
        <w:t>ivní proces jako celek dle nových zásad</w:t>
      </w:r>
      <w:r w:rsidR="008D4721" w:rsidRPr="008D4721">
        <w:t xml:space="preserve"> – podrobněji rozpracováno v části </w:t>
      </w:r>
      <w:r w:rsidR="008D4721" w:rsidRPr="00365E0D">
        <w:t>„Digitálně přívětivé právní a legislativní prostředí“</w:t>
      </w:r>
      <w:r w:rsidR="008D4721">
        <w:t>;</w:t>
      </w:r>
    </w:p>
    <w:p w:rsidR="008D4721" w:rsidRPr="00CD48E5" w:rsidRDefault="00593357" w:rsidP="00593357">
      <w:pPr>
        <w:pStyle w:val="Odrka-Normln"/>
      </w:pPr>
      <w:r>
        <w:t>A</w:t>
      </w:r>
      <w:r w:rsidR="008D4721" w:rsidRPr="008D4721">
        <w:t>ktualizace implementačního plánu Inteligentních dopravních systémů (ITS) – podrobněji rozpracováno v</w:t>
      </w:r>
      <w:r w:rsidR="008D4721" w:rsidRPr="00365E0D">
        <w:t> části „Konektivita a mobilita</w:t>
      </w:r>
      <w:r w:rsidR="008D4721" w:rsidRPr="00CD48E5">
        <w:t>“;</w:t>
      </w:r>
    </w:p>
    <w:p w:rsidR="008D4721" w:rsidRDefault="00593357" w:rsidP="00593357">
      <w:pPr>
        <w:pStyle w:val="Odrka-Normln"/>
      </w:pPr>
      <w:proofErr w:type="spellStart"/>
      <w:r>
        <w:t>E</w:t>
      </w:r>
      <w:r w:rsidR="008D4721" w:rsidRPr="00524290">
        <w:t>Government</w:t>
      </w:r>
      <w:proofErr w:type="spellEnd"/>
      <w:r w:rsidR="008D4721" w:rsidRPr="00524290">
        <w:t xml:space="preserve">, </w:t>
      </w:r>
      <w:proofErr w:type="spellStart"/>
      <w:r w:rsidR="008D4721" w:rsidRPr="00524290">
        <w:t>eGovernment</w:t>
      </w:r>
      <w:proofErr w:type="spellEnd"/>
      <w:r w:rsidR="008D4721" w:rsidRPr="00524290">
        <w:t xml:space="preserve"> </w:t>
      </w:r>
      <w:proofErr w:type="spellStart"/>
      <w:r w:rsidR="008D4721" w:rsidRPr="00524290">
        <w:t>Cloud</w:t>
      </w:r>
      <w:proofErr w:type="spellEnd"/>
      <w:r w:rsidR="008D4721">
        <w:t xml:space="preserve"> – </w:t>
      </w:r>
      <w:r w:rsidR="008D4721" w:rsidRPr="00524290">
        <w:t>podrobněji rozpracováno v</w:t>
      </w:r>
      <w:r w:rsidR="008D4721">
        <w:t> </w:t>
      </w:r>
      <w:r w:rsidR="008D4721" w:rsidRPr="00524290">
        <w:t>část</w:t>
      </w:r>
      <w:r w:rsidR="008D4721">
        <w:t>ech „</w:t>
      </w:r>
      <w:r w:rsidR="008D4721" w:rsidRPr="00F44BE1">
        <w:t>Digitálně přívětivé právní a legislativní prostředí</w:t>
      </w:r>
      <w:r w:rsidR="008D4721">
        <w:t>“, „</w:t>
      </w:r>
      <w:r w:rsidR="008D4721" w:rsidRPr="002D74DE">
        <w:t>Konektivita a mobilita</w:t>
      </w:r>
      <w:r w:rsidR="008D4721">
        <w:t>“, „</w:t>
      </w:r>
      <w:r w:rsidR="008D4721" w:rsidRPr="00B00245">
        <w:t>Elektronizace veřejné správy</w:t>
      </w:r>
      <w:r w:rsidR="008D4721">
        <w:t>“</w:t>
      </w:r>
      <w:r w:rsidR="008D4721" w:rsidRPr="00524290">
        <w:t xml:space="preserve">; </w:t>
      </w:r>
    </w:p>
    <w:p w:rsidR="008D4721" w:rsidRDefault="008D4721" w:rsidP="00593357">
      <w:pPr>
        <w:pStyle w:val="Odrka-Normln"/>
      </w:pPr>
      <w:r w:rsidRPr="00524290">
        <w:t>Strategie digitálního vzdělávání do roku 2020</w:t>
      </w:r>
      <w:r>
        <w:t xml:space="preserve"> – </w:t>
      </w:r>
      <w:r w:rsidRPr="00524290">
        <w:t>podrobněji rozpracováno v</w:t>
      </w:r>
      <w:r>
        <w:t> </w:t>
      </w:r>
      <w:r w:rsidRPr="00524290">
        <w:t>části</w:t>
      </w:r>
      <w:r>
        <w:t xml:space="preserve"> „</w:t>
      </w:r>
      <w:r w:rsidRPr="00901443">
        <w:t>Vzdělávání a trh práce</w:t>
      </w:r>
      <w:r>
        <w:t>“</w:t>
      </w:r>
      <w:r w:rsidRPr="00524290">
        <w:t xml:space="preserve">; </w:t>
      </w:r>
    </w:p>
    <w:p w:rsidR="008D4721" w:rsidRDefault="00593357" w:rsidP="00593357">
      <w:pPr>
        <w:pStyle w:val="Odrka-Normln"/>
      </w:pPr>
      <w:r>
        <w:t>N</w:t>
      </w:r>
      <w:r w:rsidR="008D4721" w:rsidRPr="00524290">
        <w:t>aplnění Národního plánu rozvoje sítí nové generace</w:t>
      </w:r>
      <w:r w:rsidR="008D4721">
        <w:t xml:space="preserve"> – </w:t>
      </w:r>
      <w:r w:rsidR="008D4721" w:rsidRPr="00524290">
        <w:t>podrobněji rozpracováno v</w:t>
      </w:r>
      <w:r w:rsidR="008D4721">
        <w:t> </w:t>
      </w:r>
      <w:r w:rsidR="008D4721" w:rsidRPr="00524290">
        <w:t>části</w:t>
      </w:r>
      <w:r w:rsidR="008D4721">
        <w:t xml:space="preserve"> „</w:t>
      </w:r>
      <w:r w:rsidR="008D4721" w:rsidRPr="002D74DE">
        <w:t>Konektivita a mobilita</w:t>
      </w:r>
      <w:r w:rsidR="008D4721">
        <w:t>“</w:t>
      </w:r>
      <w:r w:rsidR="008D4721" w:rsidRPr="00524290">
        <w:t xml:space="preserve">; </w:t>
      </w:r>
    </w:p>
    <w:p w:rsidR="008D4721" w:rsidRDefault="00593357" w:rsidP="00593357">
      <w:pPr>
        <w:pStyle w:val="Odrka-Normln"/>
      </w:pPr>
      <w:r w:rsidRPr="00524290">
        <w:t>Č</w:t>
      </w:r>
      <w:r w:rsidR="008D4721" w:rsidRPr="00524290">
        <w:t>erpání prostředků z operačního programu podnikání a inovace pro konkurenceschopnost (OPPIK) - nové výzvy Technologie – Průmysl 4.0</w:t>
      </w:r>
      <w:r w:rsidR="008D4721">
        <w:t xml:space="preserve"> – </w:t>
      </w:r>
      <w:r w:rsidR="008D4721" w:rsidRPr="00524290">
        <w:t>podrobněji rozpracováno v</w:t>
      </w:r>
      <w:r w:rsidR="008D4721">
        <w:t> </w:t>
      </w:r>
      <w:r w:rsidR="008D4721" w:rsidRPr="00524290">
        <w:t>části</w:t>
      </w:r>
      <w:r w:rsidR="008D4721">
        <w:t xml:space="preserve"> „Podpora investic“</w:t>
      </w:r>
      <w:r w:rsidR="008D4721" w:rsidRPr="00524290">
        <w:t xml:space="preserve">; </w:t>
      </w:r>
    </w:p>
    <w:p w:rsidR="008D4721" w:rsidRDefault="00593357" w:rsidP="00593357">
      <w:pPr>
        <w:pStyle w:val="Odrka-Normln"/>
      </w:pPr>
      <w:r>
        <w:t>Z</w:t>
      </w:r>
      <w:r w:rsidR="008D4721" w:rsidRPr="00524290">
        <w:t>ačlenění opatření z Akčního plánu Práce 4.0 do Akčního plánu pro Společnost 4.0 (což je naplněno tímto materiálem), projekt Predikce trhu práce KOMPAS</w:t>
      </w:r>
      <w:r w:rsidR="008D4721">
        <w:t xml:space="preserve"> – </w:t>
      </w:r>
      <w:r w:rsidR="008D4721" w:rsidRPr="00524290">
        <w:t>podrobněji rozpracováno v</w:t>
      </w:r>
      <w:r w:rsidR="008D4721">
        <w:t> </w:t>
      </w:r>
      <w:r w:rsidR="008D4721" w:rsidRPr="00524290">
        <w:t>části</w:t>
      </w:r>
      <w:r w:rsidR="008D4721">
        <w:t xml:space="preserve"> „</w:t>
      </w:r>
      <w:r w:rsidR="008D4721" w:rsidRPr="00901443">
        <w:t>Vzdělávání a trh práce</w:t>
      </w:r>
      <w:r w:rsidR="008D4721">
        <w:t>“</w:t>
      </w:r>
      <w:r w:rsidR="008D4721" w:rsidRPr="00524290">
        <w:t>;</w:t>
      </w:r>
    </w:p>
    <w:p w:rsidR="008D4721" w:rsidRDefault="00593357" w:rsidP="00593357">
      <w:pPr>
        <w:pStyle w:val="Odrka-Normln"/>
        <w:rPr>
          <w:szCs w:val="22"/>
        </w:rPr>
      </w:pPr>
      <w:r>
        <w:rPr>
          <w:szCs w:val="22"/>
        </w:rPr>
        <w:lastRenderedPageBreak/>
        <w:t>I</w:t>
      </w:r>
      <w:r w:rsidR="008D4721" w:rsidRPr="00524290">
        <w:rPr>
          <w:szCs w:val="22"/>
        </w:rPr>
        <w:t>mplementace Strategie digitální gramotnosti ČR na období 2015 až 2020 a návazného Akčního plánu Strategie digitální gramotnosti ČR na období 2015 až 2020 (včetně oblasti dalšího vzdělávání a rekvalifikace)</w:t>
      </w:r>
      <w:r w:rsidR="008D4721">
        <w:rPr>
          <w:szCs w:val="22"/>
        </w:rPr>
        <w:t xml:space="preserve"> – </w:t>
      </w:r>
      <w:r w:rsidR="008D4721" w:rsidRPr="00524290">
        <w:rPr>
          <w:szCs w:val="22"/>
        </w:rPr>
        <w:t>podrobněji rozpracováno v</w:t>
      </w:r>
      <w:r w:rsidR="008D4721">
        <w:rPr>
          <w:szCs w:val="22"/>
        </w:rPr>
        <w:t> </w:t>
      </w:r>
      <w:r w:rsidR="008D4721" w:rsidRPr="00524290">
        <w:rPr>
          <w:szCs w:val="22"/>
        </w:rPr>
        <w:t>části</w:t>
      </w:r>
      <w:r w:rsidR="008D4721">
        <w:rPr>
          <w:szCs w:val="22"/>
        </w:rPr>
        <w:t xml:space="preserve"> „</w:t>
      </w:r>
      <w:r w:rsidR="008D4721" w:rsidRPr="00901443">
        <w:rPr>
          <w:szCs w:val="22"/>
        </w:rPr>
        <w:t>Vzdělávání a trh práce</w:t>
      </w:r>
      <w:r w:rsidR="008D4721">
        <w:rPr>
          <w:szCs w:val="22"/>
        </w:rPr>
        <w:t>“</w:t>
      </w:r>
      <w:r w:rsidR="008D4721" w:rsidRPr="00524290">
        <w:rPr>
          <w:szCs w:val="22"/>
        </w:rPr>
        <w:t xml:space="preserve">; </w:t>
      </w:r>
    </w:p>
    <w:p w:rsidR="00F05EDE" w:rsidRPr="00593357" w:rsidRDefault="00593357" w:rsidP="00593357">
      <w:pPr>
        <w:pStyle w:val="Odrka-Normln"/>
        <w:rPr>
          <w:szCs w:val="22"/>
        </w:rPr>
      </w:pPr>
      <w:r>
        <w:rPr>
          <w:szCs w:val="22"/>
        </w:rPr>
        <w:t>K</w:t>
      </w:r>
      <w:r w:rsidR="008D4721" w:rsidRPr="00524290">
        <w:rPr>
          <w:szCs w:val="22"/>
        </w:rPr>
        <w:t xml:space="preserve">oncept </w:t>
      </w:r>
      <w:proofErr w:type="spellStart"/>
      <w:r w:rsidR="00AE36FF">
        <w:rPr>
          <w:szCs w:val="22"/>
        </w:rPr>
        <w:t>Smart</w:t>
      </w:r>
      <w:proofErr w:type="spellEnd"/>
      <w:r w:rsidR="00AE36FF">
        <w:rPr>
          <w:szCs w:val="22"/>
        </w:rPr>
        <w:t xml:space="preserve"> </w:t>
      </w:r>
      <w:proofErr w:type="spellStart"/>
      <w:r w:rsidR="00AE36FF">
        <w:rPr>
          <w:szCs w:val="22"/>
        </w:rPr>
        <w:t>Cities</w:t>
      </w:r>
      <w:proofErr w:type="spellEnd"/>
      <w:r w:rsidR="008D4721" w:rsidRPr="00524290">
        <w:rPr>
          <w:szCs w:val="22"/>
        </w:rPr>
        <w:t xml:space="preserve"> - metodická podpora měst na základě certifikované metodiky Konceptu inteligentních měst a propojování akademického a firemního prostředí</w:t>
      </w:r>
      <w:r w:rsidR="008D4721">
        <w:rPr>
          <w:szCs w:val="22"/>
        </w:rPr>
        <w:t xml:space="preserve"> – </w:t>
      </w:r>
      <w:r w:rsidR="008D4721" w:rsidRPr="00524290">
        <w:rPr>
          <w:szCs w:val="22"/>
        </w:rPr>
        <w:t>podrobněji rozpracováno v</w:t>
      </w:r>
      <w:r w:rsidR="008D4721">
        <w:rPr>
          <w:szCs w:val="22"/>
        </w:rPr>
        <w:t> </w:t>
      </w:r>
      <w:r w:rsidR="008D4721" w:rsidRPr="00524290">
        <w:rPr>
          <w:szCs w:val="22"/>
        </w:rPr>
        <w:t>části</w:t>
      </w:r>
      <w:r w:rsidR="008D4721">
        <w:rPr>
          <w:szCs w:val="22"/>
        </w:rPr>
        <w:t xml:space="preserve"> „</w:t>
      </w:r>
      <w:r w:rsidR="008D4721" w:rsidRPr="00B00245">
        <w:rPr>
          <w:szCs w:val="22"/>
        </w:rPr>
        <w:t>Elektronizace veřejné správy</w:t>
      </w:r>
      <w:r w:rsidR="008D4721">
        <w:rPr>
          <w:szCs w:val="22"/>
        </w:rPr>
        <w:t>“</w:t>
      </w:r>
      <w:r>
        <w:rPr>
          <w:szCs w:val="22"/>
        </w:rPr>
        <w:t>.</w:t>
      </w:r>
    </w:p>
    <w:p w:rsidR="00994876" w:rsidRPr="00232C3C" w:rsidRDefault="00994876" w:rsidP="00232C3C">
      <w:pPr>
        <w:pStyle w:val="Nadpis3"/>
      </w:pPr>
      <w:bookmarkStart w:id="114" w:name="_Toc491355989"/>
      <w:r w:rsidRPr="00232C3C">
        <w:t>Podpora investic</w:t>
      </w:r>
      <w:bookmarkEnd w:id="114"/>
    </w:p>
    <w:p w:rsidR="00B106EF" w:rsidRPr="00593357" w:rsidRDefault="003D2999" w:rsidP="00717BEA">
      <w:pPr>
        <w:pStyle w:val="NOPil5"/>
        <w:ind w:left="1418" w:hanging="284"/>
        <w:rPr>
          <w:i/>
          <w:u w:val="single"/>
        </w:rPr>
      </w:pPr>
      <w:r w:rsidRPr="00D97AD9">
        <w:t xml:space="preserve">Podpora inovativních digitálních projektů </w:t>
      </w:r>
      <w:r w:rsidR="00AE36FF">
        <w:t>včetně</w:t>
      </w:r>
      <w:r w:rsidRPr="00D97AD9">
        <w:t xml:space="preserve"> start-</w:t>
      </w:r>
      <w:proofErr w:type="spellStart"/>
      <w:r w:rsidRPr="00D97AD9">
        <w:t>upů</w:t>
      </w:r>
      <w:proofErr w:type="spellEnd"/>
      <w:r w:rsidRPr="00D97AD9">
        <w:t xml:space="preserve">. </w:t>
      </w:r>
      <w:r w:rsidRPr="00232C3C">
        <w:rPr>
          <w:b w:val="0"/>
          <w:i/>
        </w:rPr>
        <w:t>Termín: průběžně, gestor</w:t>
      </w:r>
      <w:r w:rsidR="005F72FA" w:rsidRPr="00232C3C">
        <w:rPr>
          <w:b w:val="0"/>
          <w:i/>
        </w:rPr>
        <w:t>:</w:t>
      </w:r>
      <w:r w:rsidRPr="00232C3C">
        <w:rPr>
          <w:b w:val="0"/>
          <w:i/>
        </w:rPr>
        <w:t xml:space="preserve"> MPO</w:t>
      </w:r>
      <w:r w:rsidR="005F72FA" w:rsidRPr="00232C3C">
        <w:rPr>
          <w:b w:val="0"/>
          <w:i/>
        </w:rPr>
        <w:t>.</w:t>
      </w:r>
    </w:p>
    <w:p w:rsidR="00B106EF" w:rsidRPr="00D97AD9" w:rsidRDefault="003D2999" w:rsidP="00B106EF">
      <w:r w:rsidRPr="00D97AD9">
        <w:t>V České republice se aktivně a dlouhodobě věnuje podpoře start-</w:t>
      </w:r>
      <w:proofErr w:type="spellStart"/>
      <w:r w:rsidRPr="00D97AD9">
        <w:t>upů</w:t>
      </w:r>
      <w:proofErr w:type="spellEnd"/>
      <w:r w:rsidRPr="00D97AD9">
        <w:t xml:space="preserve"> Agentura </w:t>
      </w:r>
      <w:proofErr w:type="spellStart"/>
      <w:r w:rsidRPr="00D97AD9">
        <w:t>CzechInvest</w:t>
      </w:r>
      <w:proofErr w:type="spellEnd"/>
      <w:r w:rsidRPr="00D97AD9">
        <w:t xml:space="preserve">. </w:t>
      </w:r>
      <w:proofErr w:type="spellStart"/>
      <w:r w:rsidRPr="00D97AD9">
        <w:t>CzechInvest</w:t>
      </w:r>
      <w:proofErr w:type="spellEnd"/>
      <w:r w:rsidRPr="00D97AD9">
        <w:t xml:space="preserve"> pomáhá start-</w:t>
      </w:r>
      <w:proofErr w:type="spellStart"/>
      <w:r w:rsidRPr="00D97AD9">
        <w:t>upům</w:t>
      </w:r>
      <w:proofErr w:type="spellEnd"/>
      <w:r w:rsidRPr="00D97AD9">
        <w:t xml:space="preserve"> již v rané fázi vývoje a připravuje firmy na případný vstup </w:t>
      </w:r>
      <w:proofErr w:type="spellStart"/>
      <w:r w:rsidRPr="00D97AD9">
        <w:t>Seed</w:t>
      </w:r>
      <w:proofErr w:type="spellEnd"/>
      <w:r w:rsidRPr="00D97AD9">
        <w:t xml:space="preserve"> či </w:t>
      </w:r>
      <w:proofErr w:type="spellStart"/>
      <w:r w:rsidRPr="00D97AD9">
        <w:t>Venture</w:t>
      </w:r>
      <w:proofErr w:type="spellEnd"/>
      <w:r w:rsidRPr="00D97AD9">
        <w:t xml:space="preserve"> kapitálu (Projekt </w:t>
      </w:r>
      <w:proofErr w:type="spellStart"/>
      <w:r w:rsidRPr="00D97AD9">
        <w:t>CzechEkoSystem</w:t>
      </w:r>
      <w:proofErr w:type="spellEnd"/>
      <w:r w:rsidRPr="00D97AD9">
        <w:t>). Zralým start-</w:t>
      </w:r>
      <w:proofErr w:type="spellStart"/>
      <w:r w:rsidRPr="00D97AD9">
        <w:t>upům</w:t>
      </w:r>
      <w:proofErr w:type="spellEnd"/>
      <w:r w:rsidRPr="00D97AD9">
        <w:t xml:space="preserve"> pomáhá </w:t>
      </w:r>
      <w:proofErr w:type="spellStart"/>
      <w:r w:rsidRPr="00D97AD9">
        <w:t>CzechInvest</w:t>
      </w:r>
      <w:proofErr w:type="spellEnd"/>
      <w:r w:rsidRPr="00D97AD9">
        <w:t xml:space="preserve"> při jejich vstupu na zahraniční trhy projektem </w:t>
      </w:r>
      <w:proofErr w:type="spellStart"/>
      <w:r w:rsidRPr="00D97AD9">
        <w:t>CzechAccelerator</w:t>
      </w:r>
      <w:proofErr w:type="spellEnd"/>
      <w:r w:rsidRPr="00D97AD9">
        <w:t xml:space="preserve"> - www.czechaccelerator.cz. </w:t>
      </w:r>
    </w:p>
    <w:p w:rsidR="00BD7085" w:rsidRPr="00D97AD9" w:rsidRDefault="003D2999" w:rsidP="00BD7085">
      <w:r w:rsidRPr="00D97AD9">
        <w:t xml:space="preserve">Pro období 2016 – 2019 vedle pokračování v dosavadních aktivitách připravuje nové projekty, jako například </w:t>
      </w:r>
      <w:proofErr w:type="spellStart"/>
      <w:r w:rsidRPr="00D97AD9">
        <w:t>CzechDemo</w:t>
      </w:r>
      <w:proofErr w:type="spellEnd"/>
      <w:r w:rsidRPr="00D97AD9">
        <w:t xml:space="preserve"> a </w:t>
      </w:r>
      <w:proofErr w:type="spellStart"/>
      <w:r w:rsidRPr="00D97AD9">
        <w:t>CzechMatch</w:t>
      </w:r>
      <w:proofErr w:type="spellEnd"/>
      <w:r w:rsidRPr="00D97AD9">
        <w:t xml:space="preserve">. Ty mají za cíl podpořit prezentaci českých začínajících MSP v zahraničí, ať už na akcích pořádaných osobně Agenturou nebo na vyhlášených mezinárodních akcích, kde se mohou ucházet o získání investice na svůj rozvoj, nebo získat užitečnou zpětnou vazbu od účastnících se odborníků z mezinárodní praxe. Projekt </w:t>
      </w:r>
      <w:proofErr w:type="spellStart"/>
      <w:r w:rsidRPr="00D97AD9">
        <w:t>CzechLinks</w:t>
      </w:r>
      <w:proofErr w:type="spellEnd"/>
      <w:r w:rsidRPr="00D97AD9">
        <w:t xml:space="preserve"> Start má pak za cíl propojit nabídku s poptávkou na trhu investic na venture kapitálovém trhu.</w:t>
      </w:r>
      <w:bookmarkStart w:id="115" w:name="page37"/>
      <w:bookmarkEnd w:id="115"/>
      <w:r w:rsidR="003F7D5B">
        <w:t xml:space="preserve"> </w:t>
      </w:r>
      <w:r w:rsidRPr="00D97AD9">
        <w:rPr>
          <w:rFonts w:eastAsia="Arial"/>
        </w:rPr>
        <w:t>Užitečná je i role společné virtuální platformy pro start-</w:t>
      </w:r>
      <w:proofErr w:type="spellStart"/>
      <w:r w:rsidR="00382726">
        <w:rPr>
          <w:rFonts w:eastAsia="Arial"/>
        </w:rPr>
        <w:t>u</w:t>
      </w:r>
      <w:r w:rsidRPr="00D97AD9">
        <w:rPr>
          <w:rFonts w:eastAsia="Arial"/>
        </w:rPr>
        <w:t>py</w:t>
      </w:r>
      <w:proofErr w:type="spellEnd"/>
      <w:r w:rsidRPr="00D97AD9">
        <w:rPr>
          <w:rFonts w:eastAsia="Arial"/>
        </w:rPr>
        <w:t xml:space="preserve"> Visegrádské skupiny pod názvem V4 </w:t>
      </w:r>
      <w:proofErr w:type="spellStart"/>
      <w:r w:rsidRPr="00D97AD9">
        <w:rPr>
          <w:rFonts w:eastAsia="Arial"/>
        </w:rPr>
        <w:t>Startups</w:t>
      </w:r>
      <w:proofErr w:type="spellEnd"/>
      <w:r w:rsidRPr="00D97AD9">
        <w:rPr>
          <w:rFonts w:eastAsia="Arial"/>
        </w:rPr>
        <w:t xml:space="preserve"> a provoz webové platformy czechstartups.org. Mapování start-</w:t>
      </w:r>
      <w:proofErr w:type="spellStart"/>
      <w:r w:rsidRPr="00D97AD9">
        <w:rPr>
          <w:rFonts w:eastAsia="Arial"/>
        </w:rPr>
        <w:t>upů</w:t>
      </w:r>
      <w:proofErr w:type="spellEnd"/>
      <w:r w:rsidRPr="00D97AD9">
        <w:rPr>
          <w:rFonts w:eastAsia="Arial"/>
        </w:rPr>
        <w:t xml:space="preserve"> „V4 </w:t>
      </w:r>
      <w:proofErr w:type="spellStart"/>
      <w:r w:rsidRPr="00D97AD9">
        <w:rPr>
          <w:rFonts w:eastAsia="Arial"/>
        </w:rPr>
        <w:t>StartupSurvey</w:t>
      </w:r>
      <w:proofErr w:type="spellEnd"/>
      <w:r w:rsidRPr="00D97AD9">
        <w:rPr>
          <w:rFonts w:eastAsia="Arial"/>
        </w:rPr>
        <w:t xml:space="preserve">“ provádí také skupina </w:t>
      </w:r>
      <w:proofErr w:type="spellStart"/>
      <w:r w:rsidRPr="00D97AD9">
        <w:rPr>
          <w:rFonts w:eastAsia="Arial"/>
        </w:rPr>
        <w:t>think</w:t>
      </w:r>
      <w:proofErr w:type="spellEnd"/>
      <w:r w:rsidRPr="00D97AD9">
        <w:rPr>
          <w:rFonts w:eastAsia="Arial"/>
        </w:rPr>
        <w:t>-tanků (v ČR projekt zajišťuje</w:t>
      </w:r>
      <w:r w:rsidR="00B535F8" w:rsidRPr="00D97AD9">
        <w:rPr>
          <w:rFonts w:eastAsia="Arial"/>
        </w:rPr>
        <w:t xml:space="preserve"> </w:t>
      </w:r>
      <w:proofErr w:type="spellStart"/>
      <w:r w:rsidRPr="00D97AD9">
        <w:rPr>
          <w:rFonts w:eastAsia="Arial"/>
        </w:rPr>
        <w:t>AspenInstitute</w:t>
      </w:r>
      <w:proofErr w:type="spellEnd"/>
      <w:r w:rsidRPr="00D97AD9">
        <w:rPr>
          <w:rFonts w:eastAsia="Arial"/>
        </w:rPr>
        <w:t xml:space="preserve"> </w:t>
      </w:r>
      <w:proofErr w:type="spellStart"/>
      <w:r w:rsidRPr="00D97AD9">
        <w:rPr>
          <w:rFonts w:eastAsia="Arial"/>
        </w:rPr>
        <w:t>Prague</w:t>
      </w:r>
      <w:proofErr w:type="spellEnd"/>
      <w:r w:rsidRPr="00D97AD9">
        <w:rPr>
          <w:rFonts w:eastAsia="Arial"/>
        </w:rPr>
        <w:t>)</w:t>
      </w:r>
      <w:r w:rsidRPr="00D97AD9">
        <w:rPr>
          <w:rStyle w:val="Znakapoznpodarou"/>
        </w:rPr>
        <w:footnoteReference w:id="32"/>
      </w:r>
      <w:r w:rsidRPr="00D97AD9">
        <w:rPr>
          <w:rFonts w:eastAsia="Arial"/>
        </w:rPr>
        <w:t>. Je nutné dále pokračovat v diskusi se start-</w:t>
      </w:r>
      <w:proofErr w:type="spellStart"/>
      <w:r w:rsidRPr="00D97AD9">
        <w:rPr>
          <w:rFonts w:eastAsia="Arial"/>
        </w:rPr>
        <w:t>upy</w:t>
      </w:r>
      <w:proofErr w:type="spellEnd"/>
      <w:r w:rsidRPr="00D97AD9">
        <w:rPr>
          <w:rFonts w:eastAsia="Arial"/>
        </w:rPr>
        <w:t>, v mapování jejich potřeb, a v dialogu se soukromými investory (</w:t>
      </w:r>
      <w:proofErr w:type="spellStart"/>
      <w:r w:rsidRPr="00D97AD9">
        <w:rPr>
          <w:rFonts w:eastAsia="Arial"/>
        </w:rPr>
        <w:t>seed</w:t>
      </w:r>
      <w:proofErr w:type="spellEnd"/>
      <w:r w:rsidRPr="00D97AD9">
        <w:rPr>
          <w:rFonts w:eastAsia="Arial"/>
        </w:rPr>
        <w:t xml:space="preserve">&amp; </w:t>
      </w:r>
      <w:proofErr w:type="spellStart"/>
      <w:r w:rsidRPr="00D97AD9">
        <w:rPr>
          <w:rFonts w:eastAsia="Arial"/>
        </w:rPr>
        <w:t>venture</w:t>
      </w:r>
      <w:proofErr w:type="spellEnd"/>
      <w:r w:rsidRPr="00D97AD9">
        <w:rPr>
          <w:rFonts w:eastAsia="Arial"/>
        </w:rPr>
        <w:t xml:space="preserve"> </w:t>
      </w:r>
      <w:proofErr w:type="spellStart"/>
      <w:r w:rsidRPr="00D97AD9">
        <w:rPr>
          <w:rFonts w:eastAsia="Arial"/>
        </w:rPr>
        <w:t>capital</w:t>
      </w:r>
      <w:proofErr w:type="spellEnd"/>
      <w:r w:rsidRPr="00D97AD9">
        <w:rPr>
          <w:rFonts w:eastAsia="Arial"/>
        </w:rPr>
        <w:t>, angel</w:t>
      </w:r>
      <w:r w:rsidR="00B535F8" w:rsidRPr="00D97AD9">
        <w:rPr>
          <w:rFonts w:eastAsia="Arial"/>
        </w:rPr>
        <w:t xml:space="preserve"> </w:t>
      </w:r>
      <w:proofErr w:type="spellStart"/>
      <w:r w:rsidRPr="00D97AD9">
        <w:rPr>
          <w:rFonts w:eastAsia="Arial"/>
        </w:rPr>
        <w:t>investors</w:t>
      </w:r>
      <w:proofErr w:type="spellEnd"/>
      <w:r w:rsidRPr="00D97AD9">
        <w:rPr>
          <w:rFonts w:eastAsia="Arial"/>
        </w:rPr>
        <w:t>), inkubátory či peer-to-peer platformami.</w:t>
      </w:r>
    </w:p>
    <w:p w:rsidR="00BD7085" w:rsidRPr="007A7D04" w:rsidRDefault="00BD7085" w:rsidP="00232C3C">
      <w:pPr>
        <w:pStyle w:val="NOPil5"/>
      </w:pPr>
      <w:r w:rsidRPr="00275EC7">
        <w:t>Investiční pobídky</w:t>
      </w:r>
      <w:r w:rsidR="007A7D04">
        <w:t xml:space="preserve">. </w:t>
      </w:r>
      <w:r w:rsidR="00F05EDE" w:rsidRPr="00232C3C">
        <w:rPr>
          <w:b w:val="0"/>
          <w:i/>
        </w:rPr>
        <w:t>Termín</w:t>
      </w:r>
      <w:r w:rsidRPr="00232C3C">
        <w:rPr>
          <w:b w:val="0"/>
          <w:i/>
        </w:rPr>
        <w:t>: průběžně</w:t>
      </w:r>
      <w:r w:rsidR="00F05EDE" w:rsidRPr="00232C3C">
        <w:rPr>
          <w:b w:val="0"/>
          <w:i/>
        </w:rPr>
        <w:t>,</w:t>
      </w:r>
      <w:r w:rsidRPr="00232C3C">
        <w:rPr>
          <w:b w:val="0"/>
          <w:i/>
        </w:rPr>
        <w:t xml:space="preserve"> gestor MPO</w:t>
      </w:r>
      <w:r w:rsidR="007A7D04" w:rsidRPr="00232C3C">
        <w:rPr>
          <w:b w:val="0"/>
          <w:i/>
        </w:rPr>
        <w:t>.</w:t>
      </w:r>
    </w:p>
    <w:p w:rsidR="00BD7085" w:rsidRDefault="00BD7085" w:rsidP="00232C3C">
      <w:r>
        <w:t xml:space="preserve">V České republice funguje systém investičních pobídek v zákonné podobě již od roku 2000. V současné době je v zákoně zakotvena podpora technologických center, center strategických služeb či výroby v oborech zpracovatelského průmyslu. Obecnou podmínkou pro získání investiční pobídky z oblasti výroby je investice v minimální hodnotě 100 milionů korun, z oblasti technologických center pak 10 milionů korun, přičemž alespoň 50 % investované částky musí představovat investici do nových strojů a současně vytvoření minimálně dvaceti pracovních míst. </w:t>
      </w:r>
    </w:p>
    <w:p w:rsidR="00BD7085" w:rsidRPr="00D97AD9" w:rsidRDefault="00BD7085" w:rsidP="006C4752">
      <w:r>
        <w:t xml:space="preserve">V rámci současného nastavení systému investičních pobídek jsou více než z 90 % předkládány žádosti o podporu z oblasti výroby a v tuto chvíli systém neumožňuje zvýhodnit projekty, které jsou více technologicky náročné, mají větší podíl na zapojení do výzkumu a vývoje či vyšší podíl kvalifikované pracovní síly. Stávající systém je tedy vhodné novelizovat, je žádoucí především snaha o podporu projektů s vysokým zapojením výzkumu, </w:t>
      </w:r>
      <w:r>
        <w:lastRenderedPageBreak/>
        <w:t xml:space="preserve">vývoje a inovací s větším podílem kvalifikované pracovní síly v souladu s Iniciativou Průmysl 4.0. K tomuto cíli by vedlo zvýšení podpory pro strategické investiční akce v oblasti technologických center a pro centra strategických služeb ve formě zvyšování limitů pro poskytování hmotné podpory pořízení dlouhodobého hmotného a nehmotného majetku či hmotné podpory na nově vytvořená pracovní místa a rekvalifikaci. Pro podpoření zvyšování investic s vyšší přidanou hodnotou ve výrobě by mohla být zavedena podmínka pro minimální výši mzdy zaměstnanců ve výrobě. </w:t>
      </w:r>
    </w:p>
    <w:p w:rsidR="00F05EDE" w:rsidRPr="00AF3884" w:rsidRDefault="00BF0F19" w:rsidP="00AF3884">
      <w:pPr>
        <w:pStyle w:val="NOPil5"/>
      </w:pPr>
      <w:r w:rsidRPr="00275EC7">
        <w:t>Podpora inovativních řešení</w:t>
      </w:r>
      <w:r w:rsidR="007A7D04">
        <w:t>.</w:t>
      </w:r>
      <w:r w:rsidRPr="00275EC7">
        <w:t xml:space="preserve"> </w:t>
      </w:r>
      <w:r w:rsidR="008969BA" w:rsidRPr="008969BA">
        <w:t xml:space="preserve">- </w:t>
      </w:r>
      <w:r w:rsidR="008969BA" w:rsidRPr="00524290">
        <w:t>čerpání prostředků z </w:t>
      </w:r>
      <w:r w:rsidR="008969BA">
        <w:t>Operačního programu podnikání a </w:t>
      </w:r>
      <w:r w:rsidR="008969BA" w:rsidRPr="00524290">
        <w:t>inovace pro konkurenceschopnost (OPPIK)</w:t>
      </w:r>
      <w:r w:rsidR="00AF3884">
        <w:t xml:space="preserve">. </w:t>
      </w:r>
      <w:r w:rsidRPr="00AF3884">
        <w:rPr>
          <w:b w:val="0"/>
          <w:i/>
        </w:rPr>
        <w:t>Termín</w:t>
      </w:r>
      <w:r w:rsidR="00BD7085" w:rsidRPr="00AF3884">
        <w:rPr>
          <w:b w:val="0"/>
          <w:i/>
        </w:rPr>
        <w:t xml:space="preserve">: </w:t>
      </w:r>
      <w:r w:rsidR="008E3CAE" w:rsidRPr="00AF3884">
        <w:rPr>
          <w:b w:val="0"/>
          <w:i/>
        </w:rPr>
        <w:t xml:space="preserve">4Q </w:t>
      </w:r>
      <w:r w:rsidR="00BD7085" w:rsidRPr="00AF3884">
        <w:rPr>
          <w:b w:val="0"/>
          <w:i/>
        </w:rPr>
        <w:t>2020, gestor: MPO</w:t>
      </w:r>
      <w:r w:rsidR="007A7D04" w:rsidRPr="00AF3884">
        <w:rPr>
          <w:b w:val="0"/>
          <w:i/>
        </w:rPr>
        <w:t>.</w:t>
      </w:r>
    </w:p>
    <w:p w:rsidR="008969BA" w:rsidRPr="00F91386" w:rsidRDefault="008969BA" w:rsidP="00AF3884">
      <w:pPr>
        <w:pStyle w:val="Odrka-Normln"/>
      </w:pPr>
      <w:r>
        <w:t>Technologie – vyhlášení výzvy „Technologie</w:t>
      </w:r>
      <w:r w:rsidRPr="00652A50">
        <w:t xml:space="preserve"> – Průmysl </w:t>
      </w:r>
      <w:r>
        <w:t xml:space="preserve">4.0“ k předkládání projektů zaměřených na zvyšování digitální úrovně podniků (MSP) 2. pololetí 2017 (prvotní alokace 0,5 </w:t>
      </w:r>
      <w:proofErr w:type="spellStart"/>
      <w:r>
        <w:t>mld</w:t>
      </w:r>
      <w:proofErr w:type="spellEnd"/>
      <w:r>
        <w:t xml:space="preserve"> Kč).</w:t>
      </w:r>
    </w:p>
    <w:p w:rsidR="00BD7085" w:rsidRPr="00D97AD9" w:rsidRDefault="00BD7085" w:rsidP="00AF3884">
      <w:pPr>
        <w:pStyle w:val="Odrka-Normln"/>
        <w:rPr>
          <w:i/>
        </w:rPr>
      </w:pPr>
      <w:proofErr w:type="spellStart"/>
      <w:r w:rsidRPr="00D97AD9">
        <w:t>Proof</w:t>
      </w:r>
      <w:proofErr w:type="spellEnd"/>
      <w:r>
        <w:t xml:space="preserve"> </w:t>
      </w:r>
      <w:proofErr w:type="spellStart"/>
      <w:r w:rsidRPr="00D97AD9">
        <w:t>of</w:t>
      </w:r>
      <w:proofErr w:type="spellEnd"/>
      <w:r>
        <w:t xml:space="preserve"> </w:t>
      </w:r>
      <w:proofErr w:type="spellStart"/>
      <w:r w:rsidRPr="00D97AD9">
        <w:t>Concept</w:t>
      </w:r>
      <w:proofErr w:type="spellEnd"/>
      <w:r>
        <w:t xml:space="preserve"> – vyhlášení výzvy k překládání projektů obsahující aktivity směřující k ověření aplikačního potenciálu nových výsledků výzkumu a vývoje před jejich možným uplatněním v praxi a příprava jejich komercializace.</w:t>
      </w:r>
    </w:p>
    <w:p w:rsidR="00BD7085" w:rsidRPr="00D97AD9" w:rsidRDefault="00BD7085" w:rsidP="00AF3884">
      <w:pPr>
        <w:pStyle w:val="Odrka-Normln"/>
      </w:pPr>
      <w:r w:rsidRPr="00D97AD9">
        <w:t>Inovační vouchery</w:t>
      </w:r>
      <w:r>
        <w:t xml:space="preserve"> – vyhlášení výzvy k předkládání projektů na nákup poradens</w:t>
      </w:r>
      <w:r w:rsidRPr="00DB6D91">
        <w:t>kých, expertních a podpůrných služeb v oblasti inovací od organizací pro výzkum a šíření znalostí a certifikovaných zkušeben s cílem z</w:t>
      </w:r>
      <w:r>
        <w:t>ahájení či zintenzivnění inovačních aktivit malých a středních podniků</w:t>
      </w:r>
    </w:p>
    <w:p w:rsidR="00BD7085" w:rsidRPr="00D97AD9" w:rsidRDefault="00BD7085" w:rsidP="00AF3884">
      <w:pPr>
        <w:pStyle w:val="Odrka-Normln"/>
      </w:pPr>
      <w:r>
        <w:t xml:space="preserve">Partnerství znalostního transferu – vyhlášení výzvy k předkládání projektů na </w:t>
      </w:r>
      <w:r w:rsidRPr="00D16A04">
        <w:rPr>
          <w:szCs w:val="22"/>
        </w:rPr>
        <w:t xml:space="preserve">vytvoření partnerství mezi malým a středním podnikem a organizací pro výzkum a šíření znalostí (dále </w:t>
      </w:r>
      <w:r>
        <w:rPr>
          <w:szCs w:val="22"/>
        </w:rPr>
        <w:t>„</w:t>
      </w:r>
      <w:r w:rsidRPr="00D16A04">
        <w:rPr>
          <w:szCs w:val="22"/>
        </w:rPr>
        <w:t>Znalostní organizace</w:t>
      </w:r>
      <w:r>
        <w:rPr>
          <w:szCs w:val="22"/>
        </w:rPr>
        <w:t>“</w:t>
      </w:r>
      <w:r w:rsidRPr="00D16A04">
        <w:rPr>
          <w:szCs w:val="22"/>
        </w:rPr>
        <w:t>) za účelem transferu znalostí, souvisejících technologií a dovedností, ke kterým podnik nemá přístup</w:t>
      </w:r>
      <w:r>
        <w:rPr>
          <w:szCs w:val="22"/>
        </w:rPr>
        <w:t xml:space="preserve"> a které mají </w:t>
      </w:r>
      <w:r w:rsidRPr="00D16A04">
        <w:rPr>
          <w:szCs w:val="22"/>
        </w:rPr>
        <w:t>strategický význam pro další rozvoj podniku</w:t>
      </w:r>
      <w:r>
        <w:rPr>
          <w:szCs w:val="22"/>
        </w:rPr>
        <w:t>.</w:t>
      </w:r>
    </w:p>
    <w:p w:rsidR="00BD7085" w:rsidRPr="00D97AD9" w:rsidRDefault="00BD7085" w:rsidP="00AF3884">
      <w:pPr>
        <w:pStyle w:val="Odrka-Normln"/>
      </w:pPr>
      <w:r w:rsidRPr="00D97AD9">
        <w:t>Národní inovační fond</w:t>
      </w:r>
    </w:p>
    <w:p w:rsidR="00BD7085" w:rsidRDefault="008969BA" w:rsidP="00AF3884">
      <w:pPr>
        <w:pStyle w:val="Odrka-Normln"/>
      </w:pPr>
      <w:r>
        <w:t>P</w:t>
      </w:r>
      <w:r w:rsidR="00BD7085">
        <w:t>rogram Aplikace</w:t>
      </w:r>
    </w:p>
    <w:p w:rsidR="00BD7085" w:rsidRDefault="008969BA" w:rsidP="00AF3884">
      <w:pPr>
        <w:pStyle w:val="Odrka-Normln"/>
      </w:pPr>
      <w:r>
        <w:t>P</w:t>
      </w:r>
      <w:r w:rsidR="00BD7085">
        <w:t>rogram Potenciál</w:t>
      </w:r>
    </w:p>
    <w:p w:rsidR="00BD7085" w:rsidRDefault="008969BA" w:rsidP="00AF3884">
      <w:pPr>
        <w:pStyle w:val="Odrka-Normln"/>
      </w:pPr>
      <w:r>
        <w:t>P</w:t>
      </w:r>
      <w:r w:rsidR="00BD7085">
        <w:t>rogram Služby infrastruktury</w:t>
      </w:r>
    </w:p>
    <w:p w:rsidR="00AF3884" w:rsidRDefault="008969BA" w:rsidP="005013F5">
      <w:pPr>
        <w:pStyle w:val="Odrka-Normln"/>
      </w:pPr>
      <w:r>
        <w:t>P</w:t>
      </w:r>
      <w:r w:rsidR="00BD7085">
        <w:t>rogram Spolupráce</w:t>
      </w:r>
    </w:p>
    <w:p w:rsidR="00AF3884" w:rsidRDefault="00AF3884">
      <w:pPr>
        <w:spacing w:after="200"/>
        <w:jc w:val="left"/>
        <w:rPr>
          <w:lang w:eastAsia="en-US"/>
        </w:rPr>
      </w:pPr>
      <w:r>
        <w:br w:type="page"/>
      </w:r>
    </w:p>
    <w:p w:rsidR="00195DD7" w:rsidRPr="00195DD7" w:rsidRDefault="00195DD7" w:rsidP="00AF3884">
      <w:pPr>
        <w:pStyle w:val="Nadpis3"/>
      </w:pPr>
      <w:bookmarkStart w:id="116" w:name="_Toc491355990"/>
      <w:r w:rsidRPr="00AF3884">
        <w:lastRenderedPageBreak/>
        <w:t>Energetika</w:t>
      </w:r>
      <w:bookmarkEnd w:id="116"/>
    </w:p>
    <w:p w:rsidR="00195DD7" w:rsidRPr="00AF3884" w:rsidRDefault="00195DD7" w:rsidP="00AF3884">
      <w:pPr>
        <w:pStyle w:val="NOPil5"/>
      </w:pPr>
      <w:r>
        <w:t xml:space="preserve">Plnění </w:t>
      </w:r>
      <w:r w:rsidRPr="00195DD7">
        <w:t>Národního akčního plánu pro chytré sítě</w:t>
      </w:r>
      <w:r w:rsidR="006B111F">
        <w:t xml:space="preserve"> </w:t>
      </w:r>
      <w:r w:rsidR="006B111F" w:rsidRPr="006B111F">
        <w:t>a činnost diskuzní platformy k této oblasti</w:t>
      </w:r>
      <w:r w:rsidR="00AF3884">
        <w:t>.</w:t>
      </w:r>
      <w:r w:rsidRPr="00195DD7">
        <w:t xml:space="preserve"> </w:t>
      </w:r>
      <w:r w:rsidRPr="00AF3884">
        <w:rPr>
          <w:b w:val="0"/>
          <w:i/>
        </w:rPr>
        <w:t>Termín: průběžně, gestor: MPO</w:t>
      </w:r>
      <w:r w:rsidR="00AF3884">
        <w:rPr>
          <w:b w:val="0"/>
          <w:i/>
        </w:rPr>
        <w:t>.</w:t>
      </w:r>
    </w:p>
    <w:p w:rsidR="00E02238" w:rsidRPr="00AF3884" w:rsidRDefault="00195DD7" w:rsidP="005013F5">
      <w:r>
        <w:t xml:space="preserve">Samotné dopady změny chování jednotlivých hospodářských aktérů pod vlivem průmyslu 4.0 do energetiky – ať již do požadavků na rozsah a charakter dodávek nebo požadavků na řízení síti a míru aktivnosti jednotlivých účastníků trhu s energiemi jsou řešeny v rámci Národního akčního plánu pro chytré sítě. Na něj navázala institucionalizovaná platforma všech relevantních aktérů v rámci </w:t>
      </w:r>
      <w:r w:rsidR="00A355ED">
        <w:t xml:space="preserve">struktur naplňování NAP SG včetně </w:t>
      </w:r>
      <w:r>
        <w:t>koordinačního výboru, kdy dochází k průběžným analýzám nových trendů, dopadů, úpravám legislativy a regulace a vytváření nových podnikatelských modelů.</w:t>
      </w:r>
    </w:p>
    <w:p w:rsidR="00851BF0" w:rsidRPr="006C4752" w:rsidRDefault="00E811E4" w:rsidP="00AF3884">
      <w:pPr>
        <w:pStyle w:val="Nadpis3"/>
      </w:pPr>
      <w:bookmarkStart w:id="117" w:name="_Toc491355991"/>
      <w:r w:rsidRPr="006C4752">
        <w:t>Výzkum, vývoj a inovace</w:t>
      </w:r>
      <w:bookmarkEnd w:id="117"/>
    </w:p>
    <w:p w:rsidR="00D60FA8" w:rsidRPr="00AF3884" w:rsidRDefault="00D60FA8" w:rsidP="00AF3884">
      <w:pPr>
        <w:pStyle w:val="NOPil5"/>
        <w:rPr>
          <w:b w:val="0"/>
          <w:i/>
        </w:rPr>
      </w:pPr>
      <w:r w:rsidRPr="00191A46">
        <w:t>Aktualizace RIS3 strategie v návaznosti na konkretizaci témat relevantních pro oblasti výzkumu, vývoje a inovací v souvislosti s problematikami 4. průmyslové revoluce</w:t>
      </w:r>
      <w:r w:rsidR="007A7D04">
        <w:t>.</w:t>
      </w:r>
      <w:r w:rsidRPr="00191A46">
        <w:t xml:space="preserve"> </w:t>
      </w:r>
      <w:r w:rsidRPr="00AF3884">
        <w:rPr>
          <w:b w:val="0"/>
          <w:i/>
        </w:rPr>
        <w:t>Termín: 4Q</w:t>
      </w:r>
      <w:r w:rsidR="00191A46" w:rsidRPr="00AF3884">
        <w:rPr>
          <w:b w:val="0"/>
          <w:i/>
        </w:rPr>
        <w:t xml:space="preserve"> </w:t>
      </w:r>
      <w:r w:rsidRPr="00AF3884">
        <w:rPr>
          <w:b w:val="0"/>
          <w:i/>
        </w:rPr>
        <w:t>2018, gestor: ÚV – MPR</w:t>
      </w:r>
      <w:r w:rsidR="007A7D04" w:rsidRPr="00AF3884">
        <w:rPr>
          <w:b w:val="0"/>
          <w:i/>
        </w:rPr>
        <w:t>.</w:t>
      </w:r>
    </w:p>
    <w:p w:rsidR="00D60FA8" w:rsidRPr="00191A46" w:rsidRDefault="00D60FA8" w:rsidP="00AF3884">
      <w:pPr>
        <w:pStyle w:val="Odrka-Normln"/>
      </w:pPr>
      <w:r w:rsidRPr="00191A46">
        <w:t xml:space="preserve">V souladu s možnostmi státního rozpočtu a v závislosti na plnění opatření 25, 28 a 29 NP </w:t>
      </w:r>
      <w:proofErr w:type="spellStart"/>
      <w:r w:rsidRPr="00191A46">
        <w:t>VaVaI</w:t>
      </w:r>
      <w:proofErr w:type="spellEnd"/>
      <w:r w:rsidRPr="00191A46">
        <w:t xml:space="preserve"> podporovat referenční provozy (pro experimentální nebo výzkumné účely) a </w:t>
      </w:r>
      <w:proofErr w:type="spellStart"/>
      <w:r w:rsidRPr="00191A46">
        <w:t>TestBed</w:t>
      </w:r>
      <w:proofErr w:type="spellEnd"/>
      <w:r w:rsidRPr="00191A46">
        <w:t xml:space="preserve"> aliancí komerčních a vědecko-výzkumných organizací, kde se zájemci mohou detailně seznamovat s možnostmi a přínosy řešení Průmyslu 4.0. </w:t>
      </w:r>
    </w:p>
    <w:p w:rsidR="00D60FA8" w:rsidRDefault="00D60FA8" w:rsidP="00AF3884">
      <w:pPr>
        <w:pStyle w:val="Odrka-Normln"/>
      </w:pPr>
      <w:r>
        <w:t>V souv</w:t>
      </w:r>
      <w:r w:rsidR="00F333A8">
        <w:t xml:space="preserve">islosti s opatřením 7 NP </w:t>
      </w:r>
      <w:proofErr w:type="spellStart"/>
      <w:r w:rsidR="00F333A8">
        <w:t>VaVaI</w:t>
      </w:r>
      <w:proofErr w:type="spellEnd"/>
      <w:r w:rsidR="00F333A8">
        <w:t xml:space="preserve"> „</w:t>
      </w:r>
      <w:r>
        <w:t xml:space="preserve">Posílit využívání analýz trendů a výhledů v politice </w:t>
      </w:r>
      <w:proofErr w:type="spellStart"/>
      <w:r>
        <w:t>VaVaI</w:t>
      </w:r>
      <w:proofErr w:type="spellEnd"/>
      <w:r>
        <w:t xml:space="preserve">" v rámci Národních inovačních platforem debatovat potřeby firem v oblasti </w:t>
      </w:r>
      <w:proofErr w:type="spellStart"/>
      <w:r>
        <w:t>VaV</w:t>
      </w:r>
      <w:proofErr w:type="spellEnd"/>
      <w:r>
        <w:t xml:space="preserve"> pro iniciativu Průmysl 4.0 </w:t>
      </w:r>
      <w:r>
        <w:rPr>
          <w:i/>
        </w:rPr>
        <w:t>Termín: průběžně, gestor: ÚV – MPR</w:t>
      </w:r>
    </w:p>
    <w:p w:rsidR="00D60FA8" w:rsidRDefault="00D60FA8" w:rsidP="00AF3884">
      <w:pPr>
        <w:pStyle w:val="Odrka-Normln"/>
      </w:pPr>
      <w:r>
        <w:t xml:space="preserve">V Národních inovačních platformách projednávat podporu výzkumu v oblasti nových metod řízení centrálních a decentrálních soustav, robotiky, umělé inteligence, rozšířené reality v průmyslu a interakce člověka s digitálními komponentami reálného prostředí, datové a komunikační technologie, aditivní výroby, robotizace, automatizace, průmyslové integrace, jakožto i teoretického výzkumu a vývoje algoritmů a principů </w:t>
      </w:r>
      <w:proofErr w:type="spellStart"/>
      <w:r>
        <w:t>cloudového</w:t>
      </w:r>
      <w:proofErr w:type="spellEnd"/>
      <w:r>
        <w:t xml:space="preserve"> ukládání a zpracování dat a její zohlednění v Národní RIS3 strategii, resp. v Národních doménách specializace. </w:t>
      </w:r>
      <w:r>
        <w:rPr>
          <w:i/>
        </w:rPr>
        <w:t>Termín: průběžně, gestor: ÚV – MPR</w:t>
      </w:r>
    </w:p>
    <w:p w:rsidR="00D60FA8" w:rsidRDefault="00D60FA8" w:rsidP="00AF3884">
      <w:pPr>
        <w:pStyle w:val="Odrka-Normln"/>
      </w:pPr>
      <w:r>
        <w:t xml:space="preserve">V Národních inovačních platformách projednávat podporu výzkumu </w:t>
      </w:r>
      <w:r w:rsidR="00AB5DA8">
        <w:t>materiálů „</w:t>
      </w:r>
      <w:proofErr w:type="spellStart"/>
      <w:r w:rsidR="00AB5DA8">
        <w:t>s</w:t>
      </w:r>
      <w:r>
        <w:t>mart</w:t>
      </w:r>
      <w:proofErr w:type="spellEnd"/>
      <w:r>
        <w:t xml:space="preserve"> </w:t>
      </w:r>
      <w:proofErr w:type="spellStart"/>
      <w:r>
        <w:t>materials</w:t>
      </w:r>
      <w:proofErr w:type="spellEnd"/>
      <w:r>
        <w:t xml:space="preserve">“ určených pro aditivní výrobu, s vysokými mechanickými vlastnostmi, </w:t>
      </w:r>
      <w:proofErr w:type="spellStart"/>
      <w:r>
        <w:t>biomateriály</w:t>
      </w:r>
      <w:proofErr w:type="spellEnd"/>
      <w:r>
        <w:t xml:space="preserve">, supravodiče, magnetické materiály, </w:t>
      </w:r>
      <w:proofErr w:type="spellStart"/>
      <w:r>
        <w:t>superslitiny</w:t>
      </w:r>
      <w:proofErr w:type="spellEnd"/>
      <w:r>
        <w:t>, amorfní kovy, keramické kompozity, materiály s nanočásticemi a polymery a další odvětví a její zohlednění v Národní RIS3 strategii, resp. v Národních doménách specializace.</w:t>
      </w:r>
      <w:r>
        <w:rPr>
          <w:i/>
        </w:rPr>
        <w:t xml:space="preserve"> Termín: průběžně, gestor: ÚV – MPR</w:t>
      </w:r>
    </w:p>
    <w:p w:rsidR="00D60FA8" w:rsidRDefault="00D60FA8" w:rsidP="00AF3884">
      <w:pPr>
        <w:pStyle w:val="Odrka-Normln"/>
        <w:rPr>
          <w:i/>
        </w:rPr>
      </w:pPr>
      <w:r>
        <w:t xml:space="preserve">V návaznosti na debatu v Národních inovačních platformách a v rámci aktualizace RIS3 strategie aktualizovat i Národní domény specializace </w:t>
      </w:r>
      <w:r>
        <w:rPr>
          <w:i/>
        </w:rPr>
        <w:t>Termín: 4Q 2018, gestor: ÚV – MPR</w:t>
      </w:r>
    </w:p>
    <w:p w:rsidR="00D60FA8" w:rsidRDefault="00D60FA8" w:rsidP="00AF3884">
      <w:pPr>
        <w:pStyle w:val="Odrka-Normln"/>
        <w:rPr>
          <w:i/>
        </w:rPr>
      </w:pPr>
      <w:r>
        <w:lastRenderedPageBreak/>
        <w:t xml:space="preserve">Promítnout aktualizaci Národních domén specializace do výzev operačních programů a veřejných soutěží ve </w:t>
      </w:r>
      <w:proofErr w:type="spellStart"/>
      <w:r>
        <w:t>VaVaI</w:t>
      </w:r>
      <w:proofErr w:type="spellEnd"/>
      <w:r>
        <w:t xml:space="preserve"> programů poskytovatelů podpory ze státního rozpočtu. </w:t>
      </w:r>
      <w:r>
        <w:rPr>
          <w:i/>
        </w:rPr>
        <w:t>Termín: 1.Q2019, gestor: ÚV-MPR</w:t>
      </w:r>
    </w:p>
    <w:p w:rsidR="00191A46" w:rsidRPr="00AF3884" w:rsidRDefault="00D60FA8" w:rsidP="00191A46">
      <w:pPr>
        <w:pStyle w:val="Odrka-Normln"/>
        <w:rPr>
          <w:i/>
        </w:rPr>
      </w:pPr>
      <w:r>
        <w:t>V s</w:t>
      </w:r>
      <w:r w:rsidR="008F4D79">
        <w:t xml:space="preserve">ouladu s opatřením 17 NP </w:t>
      </w:r>
      <w:proofErr w:type="spellStart"/>
      <w:r w:rsidR="008F4D79">
        <w:t>VaVaI</w:t>
      </w:r>
      <w:proofErr w:type="spellEnd"/>
      <w:r w:rsidR="008F4D79">
        <w:t xml:space="preserve"> „</w:t>
      </w:r>
      <w:r>
        <w:t xml:space="preserve">Zlepšit podmínky pro šíření znalostí z výzkumných organizací a stimulovat jejich spolupráci s aplikačním sektorem" podporovat přenos výsledků v oblasti aplikovaného výzkumu do praxe. </w:t>
      </w:r>
      <w:r>
        <w:rPr>
          <w:i/>
        </w:rPr>
        <w:t>Termín: průběžně, gestor:</w:t>
      </w:r>
      <w:r w:rsidR="00AF3884">
        <w:rPr>
          <w:i/>
        </w:rPr>
        <w:t xml:space="preserve"> ÚV-MPR</w:t>
      </w:r>
    </w:p>
    <w:p w:rsidR="00D60FA8" w:rsidRPr="00AF3884" w:rsidRDefault="00D60FA8" w:rsidP="00AF3884">
      <w:pPr>
        <w:pStyle w:val="NOPil5"/>
        <w:rPr>
          <w:b w:val="0"/>
        </w:rPr>
      </w:pPr>
      <w:r w:rsidRPr="00191A46">
        <w:t>Provést hodnocení výzkumných organizací z pohledu obsahu a kval</w:t>
      </w:r>
      <w:r w:rsidR="00191A46" w:rsidRPr="00191A46">
        <w:t>ity výzkumu podle Metodiky 17+</w:t>
      </w:r>
      <w:r w:rsidR="007A7D04">
        <w:t>.</w:t>
      </w:r>
      <w:r w:rsidR="00191A46" w:rsidRPr="00191A46">
        <w:rPr>
          <w:i/>
        </w:rPr>
        <w:t xml:space="preserve"> </w:t>
      </w:r>
      <w:r w:rsidR="00191A46" w:rsidRPr="00AF3884">
        <w:rPr>
          <w:b w:val="0"/>
          <w:i/>
        </w:rPr>
        <w:t>Termín: 2017 a 2018, gestor: ÚV – MPR</w:t>
      </w:r>
      <w:r w:rsidR="007A7D04" w:rsidRPr="00AF3884">
        <w:rPr>
          <w:b w:val="0"/>
          <w:i/>
        </w:rPr>
        <w:t>.</w:t>
      </w:r>
    </w:p>
    <w:p w:rsidR="00D60FA8" w:rsidRDefault="00D60FA8" w:rsidP="00191A46">
      <w:r>
        <w:rPr>
          <w:lang w:eastAsia="en-US"/>
        </w:rPr>
        <w:t xml:space="preserve">V implementačním období v roce 2017 a 2018 proběhne na národní úrovni hodnocení, jež využívá jen kombinaci některých nástrojů hodnocení Modulu 1 a Modulu 2. Výzkumné organizace přihlašují do 30. 9. 2017 vybrané </w:t>
      </w:r>
      <w:proofErr w:type="spellStart"/>
      <w:r>
        <w:rPr>
          <w:lang w:eastAsia="en-US"/>
        </w:rPr>
        <w:t>nebibliometrizovatelné</w:t>
      </w:r>
      <w:proofErr w:type="spellEnd"/>
      <w:r>
        <w:rPr>
          <w:lang w:eastAsia="en-US"/>
        </w:rPr>
        <w:t xml:space="preserve"> výsledky. Odborné panely pak do konce roku 2017 provedou zhodnocení </w:t>
      </w:r>
      <w:proofErr w:type="spellStart"/>
      <w:r>
        <w:rPr>
          <w:lang w:eastAsia="en-US"/>
        </w:rPr>
        <w:t>bibliometrické</w:t>
      </w:r>
      <w:proofErr w:type="spellEnd"/>
      <w:r>
        <w:rPr>
          <w:lang w:eastAsia="en-US"/>
        </w:rPr>
        <w:t xml:space="preserve"> analýzy a za pomoci nástroje vzdálených recenzí zhodnotí i vybrané </w:t>
      </w:r>
      <w:proofErr w:type="spellStart"/>
      <w:r>
        <w:rPr>
          <w:lang w:eastAsia="en-US"/>
        </w:rPr>
        <w:t>nebibliometrizovatelné</w:t>
      </w:r>
      <w:proofErr w:type="spellEnd"/>
      <w:r>
        <w:rPr>
          <w:lang w:eastAsia="en-US"/>
        </w:rPr>
        <w:t xml:space="preserve"> výsledky. Další postupný náběh hodnocení je předepsán v Metodice 17+. </w:t>
      </w:r>
    </w:p>
    <w:p w:rsidR="0043486C" w:rsidRDefault="0043486C" w:rsidP="00AF3884">
      <w:pPr>
        <w:pStyle w:val="Nadpis3"/>
      </w:pPr>
      <w:bookmarkStart w:id="118" w:name="_Toc491355992"/>
      <w:r>
        <w:t>Automobilový průmysl</w:t>
      </w:r>
      <w:bookmarkEnd w:id="118"/>
    </w:p>
    <w:p w:rsidR="0043486C" w:rsidRPr="0043486C" w:rsidRDefault="0043486C" w:rsidP="00AF3884">
      <w:pPr>
        <w:rPr>
          <w:rFonts w:eastAsiaTheme="majorEastAsia"/>
          <w:b/>
        </w:rPr>
      </w:pPr>
      <w:r w:rsidRPr="0091747B">
        <w:t>V únor</w:t>
      </w:r>
      <w:r>
        <w:t>u</w:t>
      </w:r>
      <w:r w:rsidRPr="0091747B">
        <w:t xml:space="preserve"> 2017 se uskutečnilo v Mladé Boleslavi Kolokvium o budoucnosti automobilového průmyslu ČR, které pořádalo Sdružení automobilového průmyslu. Kromě zástupců firem z automobilového průmyslu se Kolokvia zúčastnil předseda</w:t>
      </w:r>
      <w:r>
        <w:t xml:space="preserve"> vlády ČR</w:t>
      </w:r>
      <w:r w:rsidRPr="0091747B">
        <w:t xml:space="preserve">, ministryně práce a sociálních věcí, ministr průmyslu a obchodu, ministr dopravy, ministr životního prostředí a koordinátor digitální agendy ČR. </w:t>
      </w:r>
    </w:p>
    <w:p w:rsidR="0043486C" w:rsidRPr="0091747B" w:rsidRDefault="0043486C" w:rsidP="0043486C">
      <w:r>
        <w:t>Z jednání vzešel mj. závěr, že p</w:t>
      </w:r>
      <w:r w:rsidRPr="0091747B">
        <w:t xml:space="preserve">odobu ekonomiky vedle průmyslové výroby budou </w:t>
      </w:r>
      <w:r w:rsidRPr="00424742">
        <w:t>stále více</w:t>
      </w:r>
      <w:r w:rsidRPr="0091747B">
        <w:t xml:space="preserve"> ovlivňovat služby a digitální technologie. Tato změna staví i automobilový průmysl, který je jedním z pilířů českého národního hospodářství, před důležité otázky a nabízí budoucí příležitosti.  </w:t>
      </w:r>
    </w:p>
    <w:p w:rsidR="0043486C" w:rsidRPr="007A7D04" w:rsidRDefault="0043486C" w:rsidP="00AF3884">
      <w:pPr>
        <w:pStyle w:val="NOPil5"/>
        <w:rPr>
          <w:i/>
        </w:rPr>
      </w:pPr>
      <w:r w:rsidRPr="0091747B">
        <w:t>Zpracovat Memorandum o budoucnosti automobilového průmyslu v ČR spolu s</w:t>
      </w:r>
      <w:r>
        <w:t> </w:t>
      </w:r>
      <w:r w:rsidRPr="0091747B">
        <w:t>akčním plánem</w:t>
      </w:r>
      <w:r w:rsidR="007A7D04">
        <w:t>.</w:t>
      </w:r>
      <w:r>
        <w:t xml:space="preserve"> </w:t>
      </w:r>
      <w:r w:rsidRPr="00AF3884">
        <w:rPr>
          <w:b w:val="0"/>
          <w:i/>
        </w:rPr>
        <w:t>Termín: září 2017, gestor: MPO.</w:t>
      </w:r>
    </w:p>
    <w:p w:rsidR="009A19BF" w:rsidRPr="00D97AD9" w:rsidRDefault="0043486C" w:rsidP="00AF3884">
      <w:r>
        <w:t xml:space="preserve">Výstupem bude memorandum a akční plán s kartami opatření se zaměřením na </w:t>
      </w:r>
      <w:proofErr w:type="spellStart"/>
      <w:r>
        <w:t>elektromobilitu</w:t>
      </w:r>
      <w:proofErr w:type="spellEnd"/>
      <w:r>
        <w:t>, autonomní vozidla a digitalizaci v silniční dopravě.</w:t>
      </w:r>
    </w:p>
    <w:p w:rsidR="00AF5784" w:rsidRDefault="0043486C" w:rsidP="00AF3884">
      <w:pPr>
        <w:pStyle w:val="Nadpis3"/>
      </w:pPr>
      <w:bookmarkStart w:id="119" w:name="_Toc491355993"/>
      <w:r w:rsidRPr="0043486C">
        <w:t>Standardizace</w:t>
      </w:r>
      <w:bookmarkEnd w:id="119"/>
    </w:p>
    <w:p w:rsidR="0043486C" w:rsidRDefault="0043486C" w:rsidP="00AF3884">
      <w:r>
        <w:t>Sdělení E</w:t>
      </w:r>
      <w:r w:rsidR="00F32A4B">
        <w:t>vropské komise</w:t>
      </w:r>
      <w:r>
        <w:t xml:space="preserve"> k digitalizaci evropského průmyslu příhodně koresponduje s Iniciativou Průmysl 4.0. V ní je na oblast standardizace a normalizace kladen velký důraz.</w:t>
      </w:r>
    </w:p>
    <w:p w:rsidR="0043486C" w:rsidRDefault="0043486C" w:rsidP="00AF3884">
      <w:r>
        <w:t>Úspěch a široké využití konkrétního standardu, resp. technické normy záleží zejména na dohodě všech zainteresovaných stran (mj. výrobců a provozovatelů sítí). V tomto ohledu ČR plně podporuje mezinárodní aktivity, a to spíše než jen vznik harmonizačních předpisů EU. Právní předpisy EU nesmí představovat bariéru pro inovace a přijetí širších dohod vzešlých z činnosti evropských a mezinárodních normalizačních organizací.</w:t>
      </w:r>
    </w:p>
    <w:p w:rsidR="0043486C" w:rsidRPr="00723369" w:rsidRDefault="0043486C" w:rsidP="00AF3884">
      <w:r w:rsidRPr="00723369">
        <w:lastRenderedPageBreak/>
        <w:t>Dle ČR má normalizace</w:t>
      </w:r>
      <w:r w:rsidRPr="00723369">
        <w:rPr>
          <w:rFonts w:asciiTheme="minorHAnsi" w:hAnsiTheme="minorHAnsi"/>
        </w:rPr>
        <w:t xml:space="preserve"> zásadní význam, podporuje proto zvýšené úsilí k zajištění nezbytného</w:t>
      </w:r>
      <w:r w:rsidRPr="00723369">
        <w:t xml:space="preserve"> souladu evropských technických norem s rozvojem nových technologií a souhlasí s potřebou vymezit chybějící technologické normy pro podporu digitalizace průmyslu a služeb. Domnívá se též, že právní předpisy EU nesmí představovat bariéru pro inovace a přijetí širších dohod vzešlých z činnosti evropských a mezinárodních normalizačních organizací.</w:t>
      </w:r>
    </w:p>
    <w:p w:rsidR="0043486C" w:rsidRDefault="0043486C" w:rsidP="00AF3884">
      <w:r>
        <w:t xml:space="preserve">ČR má za to, že stanovení jasných priorit tvorby norem v oblasti IKT doprovázené jasným časovým rámcem, stejně jako zajištění trvalého politického dialogu Komise se všemi zainteresovanými subjekty, jejich přímé účasti na rozhodovacím procesu, dodržování kritérií zakotvených v CEN-CENELEC </w:t>
      </w:r>
      <w:proofErr w:type="spellStart"/>
      <w:r>
        <w:t>Guide</w:t>
      </w:r>
      <w:proofErr w:type="spellEnd"/>
      <w:r>
        <w:t xml:space="preserve"> 20, posílení spolupráce mezi Komisí a normalizačními organizacemi a posílení mezinárodní spolupráce v oblasti normalizace IKT, napomůže normalizačním orgánům při tvorbě těchto norem a přispěje k podpoře </w:t>
      </w:r>
      <w:r w:rsidRPr="00723369">
        <w:t>jednotného digitálního trhu</w:t>
      </w:r>
      <w:r>
        <w:t xml:space="preserve"> (DSM).</w:t>
      </w:r>
    </w:p>
    <w:p w:rsidR="0043486C" w:rsidRPr="00D60FA8" w:rsidRDefault="0043486C" w:rsidP="00D60FA8">
      <w:pPr>
        <w:rPr>
          <w:highlight w:val="yellow"/>
        </w:rPr>
      </w:pPr>
      <w:r>
        <w:t xml:space="preserve">Některé základní normy, které se týkají terminologie, základní architektury nebo zabezpečení přenášených dat, jsou už publikovány (to se týká </w:t>
      </w:r>
      <w:r w:rsidR="00AE36FF">
        <w:t>například</w:t>
      </w:r>
      <w:r>
        <w:t xml:space="preserve"> </w:t>
      </w:r>
      <w:proofErr w:type="spellStart"/>
      <w:r>
        <w:t>Cloudu</w:t>
      </w:r>
      <w:proofErr w:type="spellEnd"/>
      <w:r>
        <w:t xml:space="preserve"> nebo Elektronického zdravotnictví – normy řady ISO/IEC 1778X pro </w:t>
      </w:r>
      <w:proofErr w:type="spellStart"/>
      <w:r>
        <w:t>Cloud</w:t>
      </w:r>
      <w:proofErr w:type="spellEnd"/>
      <w:r>
        <w:t xml:space="preserve"> a normy HL 7 popisující výměnu informací ve zdravotnictví). Další normy, které na tyto základní navazují, jsou postupně vytvářeny (</w:t>
      </w:r>
      <w:r w:rsidR="00AE36FF">
        <w:t>například</w:t>
      </w:r>
      <w:r>
        <w:t xml:space="preserve"> ISO/IEC 1994X pro vzájemnou interoperabilitu a zabezpečení přenosu dat v </w:t>
      </w:r>
      <w:proofErr w:type="spellStart"/>
      <w:r>
        <w:t>Cloudu</w:t>
      </w:r>
      <w:proofErr w:type="spellEnd"/>
      <w:r>
        <w:t xml:space="preserve">). Současně vznikají balíčky nových norem i v ostatních oblastech, </w:t>
      </w:r>
      <w:r w:rsidR="00AE36FF">
        <w:t>například</w:t>
      </w:r>
      <w:r>
        <w:t xml:space="preserve"> Internet věcí (ISO/IEC 30141 popisující základní architekturu Internetu věcí). Publikována byla i řada jiných norem, které s DSM nesouvisí přímo, ale orientují se na bezpečnost a zranitelnost softwaru a on-line služeb, které jednotlivé oblasti DSM používají (</w:t>
      </w:r>
      <w:r w:rsidR="00AE36FF">
        <w:t>například</w:t>
      </w:r>
      <w:r>
        <w:t xml:space="preserve"> ISO/IEC 29147, ISO/IEC 30111). Tím se může odhalovat riziko zranitelnosti takových aplikací a přenosů dat a tím spojená rizika jak bezpečnostní, tak i ekonomická. Na základě existujících norem by neměli výrobci poskytovat produkty s proprietárním rozhraním, ale s jednotným rozhraním, které bude vzájemně kompatibilní.</w:t>
      </w:r>
    </w:p>
    <w:p w:rsidR="00851BF0" w:rsidRPr="00AF3884" w:rsidRDefault="00077D6F" w:rsidP="00AF3884">
      <w:pPr>
        <w:pStyle w:val="Nadpis3"/>
      </w:pPr>
      <w:bookmarkStart w:id="120" w:name="_Toc491355994"/>
      <w:r w:rsidRPr="00851BF0">
        <w:t>Sdílená ekonomika</w:t>
      </w:r>
      <w:bookmarkEnd w:id="120"/>
    </w:p>
    <w:p w:rsidR="00F33193" w:rsidRPr="00AF3884" w:rsidRDefault="00F33193" w:rsidP="00AF3884">
      <w:r w:rsidRPr="00162686">
        <w:t xml:space="preserve">V kontextu rychlého růstu tzv. </w:t>
      </w:r>
      <w:r w:rsidRPr="00162686">
        <w:rPr>
          <w:b/>
        </w:rPr>
        <w:t>sdílené ekonomiky</w:t>
      </w:r>
      <w:r>
        <w:rPr>
          <w:rStyle w:val="Znakapoznpodarou"/>
          <w:rFonts w:eastAsia="Times New Roman"/>
          <w:szCs w:val="22"/>
        </w:rPr>
        <w:footnoteReference w:id="33"/>
      </w:r>
      <w:r w:rsidRPr="00162686">
        <w:t xml:space="preserve"> (přesněji ekonomiky</w:t>
      </w:r>
      <w:r>
        <w:t xml:space="preserve"> platforem zprostředkujících služby tzv. sdílené ekonomiky</w:t>
      </w:r>
      <w:r w:rsidRPr="00162686">
        <w:t>), dochází k interakci mezi těmito novými modely s běžnou činností ekonomiky. To vyvolává poptávku po vyjasnění právního rámce jejich fungování</w:t>
      </w:r>
      <w:r w:rsidR="00E97744">
        <w:t xml:space="preserve"> včetně lepšího uplatňování již stávajícího</w:t>
      </w:r>
      <w:r w:rsidRPr="00162686">
        <w:t xml:space="preserve">, jakož i právního ukotvení </w:t>
      </w:r>
      <w:r>
        <w:t xml:space="preserve">těchto </w:t>
      </w:r>
      <w:r w:rsidRPr="00162686">
        <w:t>platforem, ale i jednotlivých uživatelů, kteří vystupují v podobě poskytovatelů a zákazníků. Nastavení pravidel pro fungování</w:t>
      </w:r>
      <w:r>
        <w:t xml:space="preserve"> tzv.</w:t>
      </w:r>
      <w:r w:rsidRPr="00162686">
        <w:t xml:space="preserve"> sdílené ekonomiky </w:t>
      </w:r>
      <w:r w:rsidR="00E97744">
        <w:t xml:space="preserve">včetně pravidel kontroly </w:t>
      </w:r>
      <w:r w:rsidRPr="00162686">
        <w:t>je klíčové zejména vzhledem k nutnosti zajištění fungování trhu (tj. předejití porušování soutěže), správní evidence (tj. zejména faktických pracovníků či živnostníků, včetně daňové evidence), zajištění ochrany slabších smluvních stran (zejména v kontextu ochrany spotřebitele, ale i pravidel bezpečnosti) a zajištění vnějších nákladů (</w:t>
      </w:r>
      <w:r w:rsidR="00AE36FF">
        <w:t>například</w:t>
      </w:r>
      <w:r w:rsidRPr="00162686">
        <w:t xml:space="preserve"> na infrastrukturu či prostorové vymezení, právní náklady a obecně celospolečenské dopady). Koordinátor digitální agendy vyprac</w:t>
      </w:r>
      <w:r>
        <w:t>oval</w:t>
      </w:r>
      <w:r w:rsidRPr="00162686">
        <w:t xml:space="preserve"> ekonomickou analýzu v oblasti </w:t>
      </w:r>
      <w:r>
        <w:t xml:space="preserve">tzv. </w:t>
      </w:r>
      <w:r w:rsidRPr="00162686">
        <w:t>sdílené ekonomiky. Předmětem souvisejících výzkumů b</w:t>
      </w:r>
      <w:r>
        <w:t>yl</w:t>
      </w:r>
      <w:r w:rsidRPr="00162686">
        <w:t xml:space="preserve"> především sektor krátkodobého ubytování, jenž je představován klasickými hotely a penziony společně s ubytovacími službami zprostředkovanými skrze společnosti fungující jako digitální platformy</w:t>
      </w:r>
      <w:r>
        <w:t xml:space="preserve"> v Praze</w:t>
      </w:r>
      <w:r w:rsidRPr="00162686">
        <w:t>. D</w:t>
      </w:r>
      <w:r>
        <w:t xml:space="preserve">alší sledovanou oblastí byl </w:t>
      </w:r>
      <w:r w:rsidRPr="00162686">
        <w:t xml:space="preserve">rovněž sektor </w:t>
      </w:r>
      <w:r w:rsidRPr="00162686">
        <w:lastRenderedPageBreak/>
        <w:t xml:space="preserve">dopravních služeb v Praze, ve kterém figurují klasičtí poskytovatelé taxi služeb zároveň s těmi operujícími </w:t>
      </w:r>
      <w:r>
        <w:t xml:space="preserve">prostřednictvím </w:t>
      </w:r>
      <w:r w:rsidRPr="00162686">
        <w:t>digitální</w:t>
      </w:r>
      <w:r>
        <w:t>ch</w:t>
      </w:r>
      <w:r w:rsidRPr="00162686">
        <w:t xml:space="preserve"> platfor</w:t>
      </w:r>
      <w:r>
        <w:t>e</w:t>
      </w:r>
      <w:r w:rsidRPr="00162686">
        <w:t>m</w:t>
      </w:r>
      <w:r>
        <w:t xml:space="preserve"> zprostředkujících služby tzv. sdílené ekonomiky</w:t>
      </w:r>
      <w:r w:rsidRPr="00162686">
        <w:t>. Závěry analýzy napomohou k objasnění toho, jaký objem služeb ekonomiky</w:t>
      </w:r>
      <w:r>
        <w:t xml:space="preserve"> platforem zprostředkujících služby tzv. sdílené ekonomiky,</w:t>
      </w:r>
      <w:r w:rsidDel="00412364">
        <w:t xml:space="preserve"> </w:t>
      </w:r>
      <w:r w:rsidRPr="00162686">
        <w:t>je v</w:t>
      </w:r>
      <w:r>
        <w:t> </w:t>
      </w:r>
      <w:r w:rsidRPr="00162686">
        <w:t>ČR</w:t>
      </w:r>
      <w:r>
        <w:t>, respektive v Praze</w:t>
      </w:r>
      <w:r w:rsidRPr="00162686">
        <w:t xml:space="preserve"> poskytován</w:t>
      </w:r>
      <w:r>
        <w:t xml:space="preserve">. V tomto ohledu se jedná zejména o </w:t>
      </w:r>
      <w:r w:rsidRPr="00162686">
        <w:t>jejich potenciální vliv na ekonomiku ČR jako celek</w:t>
      </w:r>
      <w:r>
        <w:t>,</w:t>
      </w:r>
      <w:r w:rsidRPr="00162686">
        <w:t xml:space="preserve"> </w:t>
      </w:r>
      <w:r>
        <w:t xml:space="preserve">na </w:t>
      </w:r>
      <w:r w:rsidRPr="00162686">
        <w:t>jednotliv</w:t>
      </w:r>
      <w:r>
        <w:t>é</w:t>
      </w:r>
      <w:r w:rsidRPr="00162686">
        <w:t xml:space="preserve"> uživatel</w:t>
      </w:r>
      <w:r>
        <w:t>e a</w:t>
      </w:r>
      <w:r w:rsidRPr="00162686">
        <w:t xml:space="preserve"> </w:t>
      </w:r>
      <w:r>
        <w:t xml:space="preserve">rovněž </w:t>
      </w:r>
      <w:r w:rsidRPr="00162686">
        <w:t>poskytovatele klasick</w:t>
      </w:r>
      <w:r>
        <w:t>ých</w:t>
      </w:r>
      <w:r w:rsidRPr="00162686">
        <w:t xml:space="preserve"> </w:t>
      </w:r>
      <w:r>
        <w:t xml:space="preserve">forem služeb, jež jsou realizovány obdobně, jak je tomu u </w:t>
      </w:r>
      <w:r w:rsidRPr="00162686">
        <w:t>služeb</w:t>
      </w:r>
      <w:r>
        <w:t xml:space="preserve"> tzv.</w:t>
      </w:r>
      <w:r w:rsidRPr="00162686">
        <w:t xml:space="preserve"> </w:t>
      </w:r>
      <w:r>
        <w:t xml:space="preserve">sdílené ekonomiky pomocí </w:t>
      </w:r>
      <w:r w:rsidRPr="00162686">
        <w:t>digitálních platforem, stejně jako na situaci v samotných sektorech dopravy a ubytování v Praze i v jeho širších dopadech. Ekonomická studie posk</w:t>
      </w:r>
      <w:r>
        <w:t>ytuje</w:t>
      </w:r>
      <w:r w:rsidRPr="00162686">
        <w:t xml:space="preserve"> základní analytický materiál</w:t>
      </w:r>
      <w:r>
        <w:t>, který dává lepší představu o daném sektoru tzv. sdílené ekonomiky a je vhodným podkladem k dalším krokům vlády ČR</w:t>
      </w:r>
      <w:r w:rsidRPr="00162686">
        <w:t xml:space="preserve"> p</w:t>
      </w:r>
      <w:r>
        <w:t>ři</w:t>
      </w:r>
      <w:r w:rsidRPr="00162686">
        <w:t xml:space="preserve"> </w:t>
      </w:r>
      <w:r>
        <w:t xml:space="preserve">volbě </w:t>
      </w:r>
      <w:r w:rsidRPr="00162686">
        <w:t>nejvhodnějšího ze scénářů regulace sdílené ekonomiky</w:t>
      </w:r>
      <w:r>
        <w:t xml:space="preserve">, </w:t>
      </w:r>
      <w:r w:rsidRPr="00162686">
        <w:t>a tím</w:t>
      </w:r>
      <w:r>
        <w:t xml:space="preserve"> také</w:t>
      </w:r>
      <w:r w:rsidRPr="00162686">
        <w:t xml:space="preserve"> </w:t>
      </w:r>
      <w:r>
        <w:t>navazuje</w:t>
      </w:r>
      <w:r w:rsidRPr="00162686">
        <w:t xml:space="preserve"> na již existující právní analýzu této oblasti.</w:t>
      </w:r>
    </w:p>
    <w:p w:rsidR="00077D6F" w:rsidRPr="006C4752" w:rsidRDefault="00077D6F" w:rsidP="00AF3884">
      <w:pPr>
        <w:pStyle w:val="NOPil5"/>
      </w:pPr>
      <w:r w:rsidRPr="006C4752">
        <w:t>Předložit souhrnný materiál vládě k posouzení dalších kroků</w:t>
      </w:r>
      <w:r w:rsidR="007A7D04" w:rsidRPr="006C4752">
        <w:t>.</w:t>
      </w:r>
      <w:r w:rsidRPr="006C4752">
        <w:t xml:space="preserve"> </w:t>
      </w:r>
      <w:r w:rsidRPr="006C4752">
        <w:rPr>
          <w:b w:val="0"/>
          <w:i/>
        </w:rPr>
        <w:t xml:space="preserve">Termín: </w:t>
      </w:r>
      <w:r w:rsidR="00652DC7" w:rsidRPr="006C4752">
        <w:rPr>
          <w:b w:val="0"/>
          <w:i/>
        </w:rPr>
        <w:t>srpen</w:t>
      </w:r>
      <w:r w:rsidRPr="006C4752">
        <w:rPr>
          <w:b w:val="0"/>
          <w:i/>
        </w:rPr>
        <w:t xml:space="preserve"> 2017, gestor: koordinátor</w:t>
      </w:r>
      <w:r w:rsidR="007A7D04" w:rsidRPr="006C4752">
        <w:rPr>
          <w:b w:val="0"/>
          <w:i/>
        </w:rPr>
        <w:t>.</w:t>
      </w:r>
    </w:p>
    <w:p w:rsidR="00F05EDE" w:rsidRPr="004B4E4D" w:rsidRDefault="00652DC7" w:rsidP="00AF3884">
      <w:r w:rsidRPr="004B4E4D">
        <w:t xml:space="preserve">Koordinátor předloží </w:t>
      </w:r>
      <w:r>
        <w:t>v srpnu 2017</w:t>
      </w:r>
      <w:r w:rsidRPr="004B4E4D">
        <w:t xml:space="preserve"> vládě souhrnný materiál </w:t>
      </w:r>
      <w:r>
        <w:t>věnující se sdílené ekonomice a digitálním platformám</w:t>
      </w:r>
      <w:r w:rsidRPr="004B4E4D">
        <w:t>, včetně návrhu usnesení k dalšímu postupu</w:t>
      </w:r>
      <w:r>
        <w:t xml:space="preserve"> státní správy v oblasti tzv. sdílené ekonomiky</w:t>
      </w:r>
      <w:r w:rsidRPr="004B4E4D">
        <w:t xml:space="preserve">. </w:t>
      </w:r>
    </w:p>
    <w:p w:rsidR="00077D6F" w:rsidRPr="00AF3884" w:rsidRDefault="00077D6F" w:rsidP="00AF3884">
      <w:pPr>
        <w:pStyle w:val="NOPil5"/>
        <w:rPr>
          <w:b w:val="0"/>
        </w:rPr>
      </w:pPr>
      <w:r w:rsidRPr="004B4E4D">
        <w:t>Účast v debatě na národní a evropské úrovni</w:t>
      </w:r>
      <w:r w:rsidR="007A7D04">
        <w:t>.</w:t>
      </w:r>
      <w:r w:rsidRPr="004B4E4D">
        <w:t xml:space="preserve"> </w:t>
      </w:r>
      <w:r w:rsidRPr="00AF3884">
        <w:rPr>
          <w:b w:val="0"/>
          <w:i/>
        </w:rPr>
        <w:t>Termín: průběžně, gestor: koordinátor, MPO</w:t>
      </w:r>
      <w:r w:rsidR="007A7D04" w:rsidRPr="00AF3884">
        <w:rPr>
          <w:b w:val="0"/>
          <w:i/>
        </w:rPr>
        <w:t>.</w:t>
      </w:r>
    </w:p>
    <w:p w:rsidR="00652DC7" w:rsidRPr="00652DC7" w:rsidRDefault="00652DC7" w:rsidP="00AF3884">
      <w:r w:rsidRPr="00652DC7">
        <w:t xml:space="preserve">Problematika sdílené ekonomiky je předmětem diskuse jak na národní, tak na evropské úrovni, a to nejen ve vztahu k očekávaným rozhodnutím Soudního dvora EU o právním charakteru některých služeb </w:t>
      </w:r>
      <w:r w:rsidRPr="00E73B17">
        <w:t>tzv. sdílené ekonomiky, které jsou poskytovány i na českém trhu. Gestoři se budou i nadále účastnit debaty na národní i evropské úrovni.</w:t>
      </w:r>
    </w:p>
    <w:p w:rsidR="00851BF0" w:rsidRDefault="00FD7062" w:rsidP="00AF3884">
      <w:pPr>
        <w:pStyle w:val="Nadpis3"/>
      </w:pPr>
      <w:bookmarkStart w:id="121" w:name="_Toc491355995"/>
      <w:r w:rsidRPr="00851BF0">
        <w:t>Online platformy</w:t>
      </w:r>
      <w:bookmarkEnd w:id="121"/>
    </w:p>
    <w:p w:rsidR="006C4752" w:rsidRDefault="00FD7062" w:rsidP="00AF3884">
      <w:r w:rsidRPr="00E039E9">
        <w:t>Téma online platforem se s ohledem na šíři jejich vymezení ze strany Evropské komise dotýká celé řady moderních digitálních služeb: od obecných či specializovaných internetových vyhledávačů, online tržišť a portálů pro sdílení audiovizuálního obsahu přes sociální média, služby umožňující elektronickou komunikaci nebo distribuční kanály pro mobilní aplikace po pla</w:t>
      </w:r>
      <w:r>
        <w:t>tební systémy, mapové portály a</w:t>
      </w:r>
      <w:r w:rsidRPr="00E039E9">
        <w:t xml:space="preserve"> řešení tvořící základ výše diskutované sdílené ekonomiky. Komise si ve svém sdělení o on</w:t>
      </w:r>
      <w:r>
        <w:t>line platformách z května 2016</w:t>
      </w:r>
      <w:r>
        <w:rPr>
          <w:rStyle w:val="Znakapoznpodarou"/>
          <w:rFonts w:eastAsia="Times New Roman"/>
          <w:szCs w:val="22"/>
        </w:rPr>
        <w:footnoteReference w:id="34"/>
      </w:r>
      <w:r>
        <w:t xml:space="preserve"> </w:t>
      </w:r>
      <w:r w:rsidRPr="00E039E9">
        <w:t xml:space="preserve">stanovila dvě konkrétní oblasti k dalšímu zkoumání, a to zajistit: 1) spravedlivé podnikatelské prostředí příznivé pro inovace, 2) </w:t>
      </w:r>
      <w:r>
        <w:t xml:space="preserve">včasné a účinné odstranění </w:t>
      </w:r>
      <w:r w:rsidRPr="00E039E9">
        <w:t>nelegální</w:t>
      </w:r>
      <w:r>
        <w:t>ho</w:t>
      </w:r>
      <w:r w:rsidRPr="00E039E9">
        <w:t xml:space="preserve"> internetov</w:t>
      </w:r>
      <w:r>
        <w:t>ého</w:t>
      </w:r>
      <w:r w:rsidRPr="00E039E9">
        <w:t xml:space="preserve"> obsah</w:t>
      </w:r>
      <w:r>
        <w:t>u</w:t>
      </w:r>
      <w:r w:rsidRPr="00E039E9">
        <w:t xml:space="preserve"> z internetových platforem a řádn</w:t>
      </w:r>
      <w:r>
        <w:t>é</w:t>
      </w:r>
      <w:r w:rsidRPr="00E039E9">
        <w:t xml:space="preserve"> uplatňová</w:t>
      </w:r>
      <w:r>
        <w:t>ní</w:t>
      </w:r>
      <w:r w:rsidRPr="00E039E9">
        <w:t xml:space="preserve"> kontrolní</w:t>
      </w:r>
      <w:r>
        <w:t>ch</w:t>
      </w:r>
      <w:r w:rsidRPr="00E039E9">
        <w:t xml:space="preserve"> mechanism</w:t>
      </w:r>
      <w:r>
        <w:t>ů</w:t>
      </w:r>
      <w:r w:rsidRPr="00E039E9">
        <w:t>. Tyto cíle Komise potvrdila v nedávno vydaném sdělení o přezkumu provádění strategie pro jednotný digitální trh</w:t>
      </w:r>
      <w:r>
        <w:rPr>
          <w:rStyle w:val="Znakapoznpodarou"/>
          <w:rFonts w:eastAsia="Times New Roman"/>
          <w:szCs w:val="22"/>
        </w:rPr>
        <w:footnoteReference w:id="35"/>
      </w:r>
      <w:r w:rsidRPr="00E039E9">
        <w:t>.</w:t>
      </w:r>
    </w:p>
    <w:p w:rsidR="00FD7062" w:rsidRPr="00AF3884" w:rsidRDefault="006C4752" w:rsidP="006C4752">
      <w:pPr>
        <w:spacing w:after="200"/>
        <w:jc w:val="left"/>
      </w:pPr>
      <w:r>
        <w:br w:type="page"/>
      </w:r>
    </w:p>
    <w:p w:rsidR="00FD7062" w:rsidRPr="00FD7062" w:rsidRDefault="00FD7062" w:rsidP="00AF3884">
      <w:pPr>
        <w:pStyle w:val="NOPil5"/>
      </w:pPr>
      <w:r w:rsidRPr="00FD7062">
        <w:lastRenderedPageBreak/>
        <w:t>Sledovat aktivity Evropské komise v oblasti online platforem</w:t>
      </w:r>
      <w:r w:rsidR="007A7D04">
        <w:t>.</w:t>
      </w:r>
      <w:r w:rsidRPr="00FD7062">
        <w:t xml:space="preserve"> </w:t>
      </w:r>
      <w:r w:rsidRPr="00AF3884">
        <w:rPr>
          <w:b w:val="0"/>
          <w:i/>
        </w:rPr>
        <w:t xml:space="preserve">Termín: průběžně, gestor: MPO; </w:t>
      </w:r>
      <w:proofErr w:type="spellStart"/>
      <w:r w:rsidRPr="00AF3884">
        <w:rPr>
          <w:b w:val="0"/>
          <w:i/>
        </w:rPr>
        <w:t>spolugestor</w:t>
      </w:r>
      <w:proofErr w:type="spellEnd"/>
      <w:r w:rsidRPr="00AF3884">
        <w:rPr>
          <w:b w:val="0"/>
          <w:i/>
        </w:rPr>
        <w:t>: MK, ÚOHS, koordinátor</w:t>
      </w:r>
      <w:r w:rsidR="007A7D04" w:rsidRPr="00AF3884">
        <w:rPr>
          <w:b w:val="0"/>
          <w:i/>
        </w:rPr>
        <w:t>.</w:t>
      </w:r>
    </w:p>
    <w:p w:rsidR="00FD7062" w:rsidRPr="00E039E9" w:rsidRDefault="00FD7062" w:rsidP="00851BF0">
      <w:r w:rsidRPr="00E039E9">
        <w:t xml:space="preserve">ČR obecně podporuje přístup Komise ve sdělení z května 2016, které hovoří o potřebě přijímat </w:t>
      </w:r>
      <w:proofErr w:type="spellStart"/>
      <w:r w:rsidRPr="00E039E9">
        <w:t>samoregulatorní</w:t>
      </w:r>
      <w:proofErr w:type="spellEnd"/>
      <w:r w:rsidRPr="00E039E9">
        <w:t xml:space="preserve"> a společná regulatorní opatření; nutnosti řešit pouze jednoznačně identifikované problémy, a to ve vztahu ke konkrétním typům nebo aktivitám online platforem; o vhodnosti posouzení stávajících pravidel a závazku zachování nastaveného režimu odpovědnosti nebo o možnosti uplatnění stávajícího soutěžního práva. </w:t>
      </w:r>
    </w:p>
    <w:p w:rsidR="00B106EF" w:rsidRPr="00D97AD9" w:rsidRDefault="00FD7062" w:rsidP="008C1143">
      <w:r w:rsidRPr="00E039E9">
        <w:t xml:space="preserve">S ohledem na význam online platforem pro digitální ekonomiku a možné dopady jejich necitlivé regulace </w:t>
      </w:r>
      <w:r>
        <w:t>považu</w:t>
      </w:r>
      <w:r w:rsidRPr="00E039E9">
        <w:t xml:space="preserve">je </w:t>
      </w:r>
      <w:r>
        <w:t xml:space="preserve">za ČR </w:t>
      </w:r>
      <w:r w:rsidRPr="00E039E9">
        <w:t>klíčové, aby byly při posuzování a přípravě konkrétních opatření brány v potaz zájmy a p</w:t>
      </w:r>
      <w:r>
        <w:t xml:space="preserve">ráva všech zúčastněných stran. </w:t>
      </w:r>
      <w:r w:rsidRPr="00E039E9">
        <w:t>Jednotlivé návrhy by měla Komise opírat o dostatečné technické, procesní a obchodn</w:t>
      </w:r>
      <w:r>
        <w:t>í znalosti fungování platforem.</w:t>
      </w:r>
      <w:r w:rsidRPr="00E039E9">
        <w:t xml:space="preserve"> Legislativním i nelegislativním opatřením maj</w:t>
      </w:r>
      <w:r>
        <w:t xml:space="preserve">ícím dopad na online platformy </w:t>
      </w:r>
      <w:r w:rsidRPr="00E039E9">
        <w:t xml:space="preserve">by </w:t>
      </w:r>
      <w:r>
        <w:t xml:space="preserve">proto </w:t>
      </w:r>
      <w:r w:rsidRPr="00E039E9">
        <w:t>měla být přik</w:t>
      </w:r>
      <w:r>
        <w:t xml:space="preserve">ládána patřičná pozornost, včetně sledování </w:t>
      </w:r>
      <w:r w:rsidRPr="00E039E9">
        <w:t>již ve fázi přípravy</w:t>
      </w:r>
      <w:r>
        <w:t xml:space="preserve"> a </w:t>
      </w:r>
      <w:r w:rsidRPr="00E039E9">
        <w:t>konzult</w:t>
      </w:r>
      <w:r>
        <w:t>ací</w:t>
      </w:r>
      <w:r w:rsidRPr="00E039E9">
        <w:t xml:space="preserve"> s r</w:t>
      </w:r>
      <w:r>
        <w:t>elevantními zájmovými stranami</w:t>
      </w:r>
      <w:r w:rsidRPr="00E039E9">
        <w:t>. K jednotlivým iniciativám budou formulovány pozice ČR podle aktuální potřeby</w:t>
      </w:r>
      <w:r>
        <w:t>.</w:t>
      </w:r>
      <w:r w:rsidRPr="00E039E9">
        <w:t xml:space="preserve"> </w:t>
      </w:r>
    </w:p>
    <w:p w:rsidR="00277CDD" w:rsidRDefault="00196B06" w:rsidP="00AF3884">
      <w:pPr>
        <w:pStyle w:val="Nadpis3"/>
      </w:pPr>
      <w:bookmarkStart w:id="122" w:name="_Toc491355996"/>
      <w:proofErr w:type="spellStart"/>
      <w:r w:rsidRPr="00851BF0">
        <w:t>ECommerce</w:t>
      </w:r>
      <w:bookmarkEnd w:id="122"/>
      <w:proofErr w:type="spellEnd"/>
    </w:p>
    <w:p w:rsidR="00277CDD" w:rsidRPr="00AF3884" w:rsidRDefault="00277CDD" w:rsidP="00464980">
      <w:r w:rsidRPr="00D97AD9">
        <w:t xml:space="preserve">Stále významnějším způsobem obchodování je nakupování zboží a služeb na internetu. ČR je ve srovnání s ostatními zeměmi EU ve využívání této formy prodeje na vrcholu pomyslného žebříčku. Jak dokládají statistiky, na úrovni EU však nedochází v oblasti elektronického obchodu k plnému využití potenciálu jednotného trhu. Z toho důvodu Evropská komise navrhla řadu opatření, kterými chce přeshraniční online obchodování podpořit. Stejně tak koordinátor digitální agendy si se záměrem podpořit trh </w:t>
      </w:r>
      <w:proofErr w:type="spellStart"/>
      <w:r>
        <w:t>eCommerce</w:t>
      </w:r>
      <w:proofErr w:type="spellEnd"/>
      <w:r w:rsidRPr="00D97AD9">
        <w:t xml:space="preserve"> určil několik konkrétních cílů. </w:t>
      </w:r>
    </w:p>
    <w:p w:rsidR="00FF432B" w:rsidRPr="00AF3884" w:rsidRDefault="00FF432B" w:rsidP="00AF3884">
      <w:pPr>
        <w:pStyle w:val="NOPil5"/>
        <w:rPr>
          <w:b w:val="0"/>
        </w:rPr>
      </w:pPr>
      <w:r w:rsidRPr="00464980">
        <w:t xml:space="preserve">Diskuzní platforma Úřadu vlády k bariérám a výzvám českého </w:t>
      </w:r>
      <w:proofErr w:type="spellStart"/>
      <w:r w:rsidR="00196B06">
        <w:t>eCommerce</w:t>
      </w:r>
      <w:proofErr w:type="spellEnd"/>
      <w:r w:rsidRPr="00464980">
        <w:t xml:space="preserve">. </w:t>
      </w:r>
      <w:r w:rsidRPr="00AF3884">
        <w:rPr>
          <w:b w:val="0"/>
          <w:i/>
        </w:rPr>
        <w:t>Termín: průběžně, gestor: koordinátor</w:t>
      </w:r>
      <w:r w:rsidR="0091466D" w:rsidRPr="00AF3884">
        <w:rPr>
          <w:b w:val="0"/>
          <w:i/>
        </w:rPr>
        <w:t xml:space="preserve">, </w:t>
      </w:r>
      <w:proofErr w:type="spellStart"/>
      <w:r w:rsidR="0091466D" w:rsidRPr="00AF3884">
        <w:rPr>
          <w:b w:val="0"/>
          <w:i/>
        </w:rPr>
        <w:t>spolugestor</w:t>
      </w:r>
      <w:proofErr w:type="spellEnd"/>
      <w:r w:rsidR="0091466D" w:rsidRPr="00AF3884">
        <w:rPr>
          <w:b w:val="0"/>
          <w:i/>
        </w:rPr>
        <w:t>: MPO, resorty</w:t>
      </w:r>
      <w:r w:rsidR="007A7D04" w:rsidRPr="00AF3884">
        <w:rPr>
          <w:b w:val="0"/>
          <w:i/>
        </w:rPr>
        <w:t>.</w:t>
      </w:r>
    </w:p>
    <w:p w:rsidR="00FF432B" w:rsidRPr="00D97AD9" w:rsidRDefault="00FF432B" w:rsidP="00AF3884">
      <w:r w:rsidRPr="00D97AD9">
        <w:t xml:space="preserve">Na základě identifikováni potenciálních partnerů na trhu </w:t>
      </w:r>
      <w:proofErr w:type="spellStart"/>
      <w:r w:rsidR="00196B06">
        <w:t>eCommerce</w:t>
      </w:r>
      <w:proofErr w:type="spellEnd"/>
      <w:r w:rsidRPr="00D97AD9">
        <w:t xml:space="preserve"> z podnikatelského sektoru i ze zástupců spotřebitelů a po konzultacích s nimi koordinátor založil</w:t>
      </w:r>
      <w:r>
        <w:t xml:space="preserve"> </w:t>
      </w:r>
      <w:r w:rsidRPr="00D97AD9">
        <w:t xml:space="preserve">diskuzní platformu Úřadu vlády k bariérám a výzvám českého </w:t>
      </w:r>
      <w:proofErr w:type="spellStart"/>
      <w:r w:rsidR="00196B06">
        <w:t>eCommerce</w:t>
      </w:r>
      <w:proofErr w:type="spellEnd"/>
      <w:r w:rsidRPr="00D97AD9">
        <w:t xml:space="preserve">. Platforma </w:t>
      </w:r>
      <w:r w:rsidR="0091466D">
        <w:t>slouží ke</w:t>
      </w:r>
      <w:r w:rsidRPr="00D97AD9">
        <w:t xml:space="preserve"> zhodnocení stávajícího regulatorního prostředí v oblasti elektronického obchodu</w:t>
      </w:r>
      <w:r>
        <w:t>,</w:t>
      </w:r>
      <w:r w:rsidRPr="00D97AD9">
        <w:t xml:space="preserve"> k identifikování výzev a případných bariér rozvoje </w:t>
      </w:r>
      <w:proofErr w:type="spellStart"/>
      <w:r w:rsidR="00196B06">
        <w:t>eCommerce</w:t>
      </w:r>
      <w:proofErr w:type="spellEnd"/>
      <w:r w:rsidRPr="00D97AD9">
        <w:t xml:space="preserve"> v ČR a </w:t>
      </w:r>
      <w:r>
        <w:t xml:space="preserve">zejména napříč </w:t>
      </w:r>
      <w:r w:rsidRPr="00D97AD9">
        <w:t>EU. Výstupy z ní budou předávány rele</w:t>
      </w:r>
      <w:r w:rsidR="00AF3884">
        <w:t>vantním resortům státní správy.</w:t>
      </w:r>
    </w:p>
    <w:p w:rsidR="0046090E" w:rsidRPr="00AF3884" w:rsidRDefault="0046090E" w:rsidP="00AF3884">
      <w:pPr>
        <w:pStyle w:val="NOPil5"/>
        <w:rPr>
          <w:b w:val="0"/>
        </w:rPr>
      </w:pPr>
      <w:r w:rsidRPr="00D97AD9">
        <w:t xml:space="preserve">Koordinace aktivit a stanovisek jednotlivých národních gestorů v oblasti elektronického obchodu. </w:t>
      </w:r>
      <w:r w:rsidRPr="00AF3884">
        <w:rPr>
          <w:b w:val="0"/>
          <w:i/>
        </w:rPr>
        <w:t>Termín: průběžně, gestor: koordinátor</w:t>
      </w:r>
      <w:r w:rsidR="002D4E0D" w:rsidRPr="00AF3884">
        <w:rPr>
          <w:b w:val="0"/>
          <w:i/>
        </w:rPr>
        <w:t>, spolupráce: resorty</w:t>
      </w:r>
      <w:r w:rsidR="007A7D04" w:rsidRPr="00AF3884">
        <w:rPr>
          <w:b w:val="0"/>
          <w:i/>
        </w:rPr>
        <w:t>.</w:t>
      </w:r>
      <w:r w:rsidRPr="00AF3884">
        <w:rPr>
          <w:b w:val="0"/>
          <w:i/>
        </w:rPr>
        <w:t xml:space="preserve"> </w:t>
      </w:r>
    </w:p>
    <w:p w:rsidR="00AF3884" w:rsidRDefault="00FF432B" w:rsidP="00AF3884">
      <w:r w:rsidRPr="00D97AD9">
        <w:t xml:space="preserve">Evropská komise vydala k problematice elektronického obchodu v květnu 2016 balíček legislativních </w:t>
      </w:r>
      <w:r>
        <w:t xml:space="preserve">opatření </w:t>
      </w:r>
      <w:r w:rsidRPr="00D97AD9">
        <w:t xml:space="preserve">a </w:t>
      </w:r>
      <w:r>
        <w:t xml:space="preserve">jednoho </w:t>
      </w:r>
      <w:r w:rsidRPr="00D97AD9">
        <w:t>nelegislativníh</w:t>
      </w:r>
      <w:r>
        <w:t>o</w:t>
      </w:r>
      <w:r w:rsidRPr="00D97AD9">
        <w:t xml:space="preserve"> návrh</w:t>
      </w:r>
      <w:r>
        <w:t>u</w:t>
      </w:r>
      <w:r w:rsidRPr="00D97AD9">
        <w:t xml:space="preserve">. Legislativní návrhy se vztahují k několika oblastem: odbourávání bezdůvodného blokování na základě zeměpisné polohy či státní příslušnosti (tzv. </w:t>
      </w:r>
      <w:proofErr w:type="spellStart"/>
      <w:r w:rsidRPr="00D97AD9">
        <w:t>geo</w:t>
      </w:r>
      <w:proofErr w:type="spellEnd"/>
      <w:r w:rsidRPr="00D97AD9">
        <w:t>-</w:t>
      </w:r>
      <w:proofErr w:type="spellStart"/>
      <w:r w:rsidRPr="00D97AD9">
        <w:t>blocking</w:t>
      </w:r>
      <w:proofErr w:type="spellEnd"/>
      <w:r w:rsidRPr="00D97AD9">
        <w:t xml:space="preserve">), dále ke službám přeshraničního dodávání balíků a ke spolupráci dozorových orgánů v oblasti ochrany práv spotřebitelů v EU. V prosinci roku 2016 byl také zveřejněn balíček návrhů Komise na zjednodušení DPH v oblasti elektronického </w:t>
      </w:r>
      <w:r w:rsidRPr="00D97AD9">
        <w:lastRenderedPageBreak/>
        <w:t xml:space="preserve">obchodu. Legislativní návrhy k harmonizaci </w:t>
      </w:r>
      <w:r w:rsidR="00AA0235">
        <w:t>některých aspektů smluvního práva pro</w:t>
      </w:r>
      <w:r w:rsidRPr="00D97AD9">
        <w:t xml:space="preserve"> obchodování s digitálním obsahem </w:t>
      </w:r>
      <w:r w:rsidR="00AA0235">
        <w:t xml:space="preserve">a pro prodej zboží online a jinými prostředky na dálku </w:t>
      </w:r>
      <w:r w:rsidRPr="00D97AD9">
        <w:t>byly vydány již v prosinci 2015. Na národní úrovni spadají jednotlivé aspekty ovlivňující elektronický obchod do kompetencí více gestorů, a to zejména MPO (gesce - ochrana spotřebitele, poštovní a doručovací služby, služby informační společnosti), MF (gesce – platební a daňové systémy), MV (gesce – elektronická fakturace, elektronická identifikace), MK (gesce - autorská práva, přičemž právy duševního vlastnictví se zabývá i MPO</w:t>
      </w:r>
      <w:r w:rsidR="007A27CF">
        <w:t xml:space="preserve"> a ÚPV</w:t>
      </w:r>
      <w:r w:rsidRPr="00D97AD9">
        <w:t>)</w:t>
      </w:r>
      <w:r>
        <w:t>, MMR (gesce – elektronická tržiště)</w:t>
      </w:r>
      <w:r w:rsidRPr="00D97AD9">
        <w:t xml:space="preserve">. Rolí koordinátora je v případě potřeby zajišťovat komunikaci mezi zainteresovanými ministerstvy a podporovat tak spolupráci mezi dotčenými subjekty při vytváření jednotných stanovisek státní správy, která budou v souladu s dlouhodobou pozicí ČR </w:t>
      </w:r>
      <w:r>
        <w:t>na</w:t>
      </w:r>
      <w:r w:rsidR="007A7D04">
        <w:t xml:space="preserve"> vnitřním</w:t>
      </w:r>
      <w:r w:rsidRPr="00D97AD9">
        <w:t xml:space="preserve"> trhu EU, postojem jednotlivých odborných gestorů a s cílem odstraňování překážek pro elektronické obchodování. Cílem je také podporovat komunikaci mezi státní správou a hospodářskými a sociálními </w:t>
      </w:r>
      <w:r w:rsidR="000A0887" w:rsidRPr="00D97AD9">
        <w:t>partnery</w:t>
      </w:r>
      <w:r w:rsidRPr="00D97AD9">
        <w:t>.</w:t>
      </w:r>
    </w:p>
    <w:p w:rsidR="00FF432B" w:rsidRPr="00851BF0" w:rsidRDefault="00C17FC9" w:rsidP="00AF3884">
      <w:pPr>
        <w:pStyle w:val="Nadpis3"/>
      </w:pPr>
      <w:bookmarkStart w:id="123" w:name="_Toc491355997"/>
      <w:r w:rsidRPr="00851BF0">
        <w:t>Stavebnictví</w:t>
      </w:r>
      <w:r w:rsidR="00851BF0">
        <w:t xml:space="preserve"> 4.0</w:t>
      </w:r>
      <w:bookmarkEnd w:id="123"/>
    </w:p>
    <w:p w:rsidR="00827002" w:rsidRDefault="00827002" w:rsidP="00827002">
      <w:r>
        <w:t xml:space="preserve">Stavebnictví je důležitým sektorem hospodářství, který výrazně přispívá k jeho konkurenceschopnosti a pozitivně ovlivňuje ekonomický i sociální rozvoj celé společnosti. Svými jednotlivými vzájemně propojenými činnostmi zasahuje stavebnictví v České republice do působnosti mnoha rezortů a nelze jej proto striktně podřadit pod jeden rezort. Nezbytná je vzájemná koordinace těchto činností. </w:t>
      </w:r>
    </w:p>
    <w:p w:rsidR="00827002" w:rsidRDefault="00827002" w:rsidP="00827002">
      <w:r>
        <w:t>Stavebnictví produkuje stavebně technologická díla s dlouhodobou životností a tím vytváří podmínky pro rozvoj ostatních sektorů. Přesto se ve srovnání s některými jinými sektory v oblasti digitalizace a využívání informačních technologií zatím rozvíjí pomaleji.</w:t>
      </w:r>
    </w:p>
    <w:p w:rsidR="00827002" w:rsidRDefault="00827002" w:rsidP="00827002">
      <w:pPr>
        <w:rPr>
          <w:bCs/>
          <w:szCs w:val="22"/>
        </w:rPr>
      </w:pPr>
      <w:r w:rsidRPr="00577331">
        <w:t xml:space="preserve">Digitalizace stavebnictví zahrnuje </w:t>
      </w:r>
      <w:r>
        <w:t xml:space="preserve">nejen </w:t>
      </w:r>
      <w:r w:rsidRPr="00577331">
        <w:t xml:space="preserve">celý proces výstavby a jeho jednotlivých fází (např. územní, investorská a projektová příprava stavby a její realizace), ale i </w:t>
      </w:r>
      <w:r>
        <w:t xml:space="preserve">vazbu na </w:t>
      </w:r>
      <w:r w:rsidRPr="00577331">
        <w:t>další</w:t>
      </w:r>
      <w:r>
        <w:t xml:space="preserve"> </w:t>
      </w:r>
      <w:r w:rsidRPr="00577331">
        <w:t>oblast</w:t>
      </w:r>
      <w:r>
        <w:t>i</w:t>
      </w:r>
      <w:r w:rsidRPr="00577331">
        <w:t xml:space="preserve"> jako je </w:t>
      </w:r>
      <w:r>
        <w:t>národní infrastruktura pro prostorové informace</w:t>
      </w:r>
      <w:r w:rsidRPr="00577331">
        <w:t>, katastr nemovitostí, elektronizace povolovacích procesů staveb atd. Základem při digitalizaci stavebnictví je metoda informačního modelování staveb (tzv. metoda BIM), jejíž zavedení podpořila v souvislosti s jejím pozitivním vlivem na růst ekonomiky a konkurenceschopnosti vláda ČR svým usnesením č. 958 z 2. listopadu 2016. M</w:t>
      </w:r>
      <w:r>
        <w:t>PO, které</w:t>
      </w:r>
      <w:r w:rsidRPr="00577331">
        <w:t xml:space="preserve"> je vládou ustanoveno gestorem pro zavedení metody BIM v ČR</w:t>
      </w:r>
      <w:r>
        <w:t>, připravilo</w:t>
      </w:r>
      <w:r w:rsidRPr="00577331">
        <w:t xml:space="preserve"> ve spolupráci s mezirezortní expertní skupinou</w:t>
      </w:r>
      <w:r>
        <w:t xml:space="preserve"> „K</w:t>
      </w:r>
      <w:r w:rsidRPr="00577331">
        <w:t>oncepci zav</w:t>
      </w:r>
      <w:r>
        <w:t>ádění</w:t>
      </w:r>
      <w:r w:rsidRPr="00577331">
        <w:t xml:space="preserve"> </w:t>
      </w:r>
      <w:r>
        <w:t xml:space="preserve">metody </w:t>
      </w:r>
      <w:r w:rsidRPr="00577331">
        <w:t>BIM</w:t>
      </w:r>
      <w:r>
        <w:t xml:space="preserve"> v České republice" a v současné době ji předkládá ke schválení vládě</w:t>
      </w:r>
      <w:r w:rsidRPr="00577331">
        <w:t xml:space="preserve">. Metoda BIM je proces vytváření, užití a správy dat o stavbě během jejího životního cyklu. </w:t>
      </w:r>
      <w:r w:rsidRPr="00577331">
        <w:rPr>
          <w:bCs/>
          <w:szCs w:val="22"/>
        </w:rPr>
        <w:t>Dochází</w:t>
      </w:r>
      <w:r>
        <w:rPr>
          <w:bCs/>
          <w:szCs w:val="22"/>
        </w:rPr>
        <w:t xml:space="preserve"> tak</w:t>
      </w:r>
      <w:r w:rsidRPr="00577331">
        <w:rPr>
          <w:bCs/>
          <w:szCs w:val="22"/>
        </w:rPr>
        <w:t xml:space="preserve"> k propojení přípravy, provádění a provozování stavby do jednoho komplexního digitálního systému (</w:t>
      </w:r>
      <w:r w:rsidRPr="00577331">
        <w:t>model BIM</w:t>
      </w:r>
      <w:r>
        <w:rPr>
          <w:bCs/>
          <w:szCs w:val="22"/>
        </w:rPr>
        <w:t>).</w:t>
      </w:r>
    </w:p>
    <w:p w:rsidR="00827002" w:rsidRDefault="00827002" w:rsidP="00827002">
      <w:pPr>
        <w:rPr>
          <w:bCs/>
          <w:szCs w:val="22"/>
        </w:rPr>
      </w:pPr>
      <w:r>
        <w:rPr>
          <w:bCs/>
          <w:szCs w:val="22"/>
        </w:rPr>
        <w:t xml:space="preserve">Digitalizace stavebnictví bude jedním z klíčových témat materiálu </w:t>
      </w:r>
      <w:r w:rsidRPr="00577331">
        <w:t>Iniciativ</w:t>
      </w:r>
      <w:r>
        <w:t>a</w:t>
      </w:r>
      <w:r w:rsidRPr="00577331">
        <w:t xml:space="preserve"> Stavebnictví 4.0</w:t>
      </w:r>
      <w:r>
        <w:t xml:space="preserve">, na jehož přípravě se </w:t>
      </w:r>
      <w:r w:rsidRPr="00577331">
        <w:t xml:space="preserve">MPO </w:t>
      </w:r>
      <w:r>
        <w:t>podílí</w:t>
      </w:r>
      <w:r w:rsidRPr="00577331">
        <w:t>.</w:t>
      </w:r>
      <w:r>
        <w:t xml:space="preserve"> </w:t>
      </w:r>
      <w:r w:rsidRPr="00577331">
        <w:rPr>
          <w:bCs/>
          <w:szCs w:val="22"/>
        </w:rPr>
        <w:t xml:space="preserve">Iniciativa </w:t>
      </w:r>
      <w:r w:rsidRPr="00577331">
        <w:t xml:space="preserve">Stavebnictví 4.0 </w:t>
      </w:r>
      <w:r>
        <w:t>bude</w:t>
      </w:r>
      <w:r w:rsidRPr="00577331">
        <w:t xml:space="preserve"> úzce provázána </w:t>
      </w:r>
      <w:r>
        <w:t xml:space="preserve">rovněž </w:t>
      </w:r>
      <w:r w:rsidRPr="00577331">
        <w:t xml:space="preserve">s tématem </w:t>
      </w:r>
      <w:r w:rsidRPr="00577331">
        <w:rPr>
          <w:bCs/>
          <w:szCs w:val="22"/>
        </w:rPr>
        <w:t>odborného vzdělávání současných i budoucích pracovníků ve stavebnictví.</w:t>
      </w:r>
    </w:p>
    <w:p w:rsidR="005B6E4D" w:rsidRDefault="005B6E4D">
      <w:pPr>
        <w:spacing w:after="200"/>
        <w:jc w:val="left"/>
        <w:rPr>
          <w:rFonts w:eastAsia="Arial"/>
          <w:b/>
          <w:szCs w:val="22"/>
          <w:u w:val="single"/>
          <w:lang w:eastAsia="en-US"/>
        </w:rPr>
      </w:pPr>
      <w:r>
        <w:br w:type="page"/>
      </w:r>
    </w:p>
    <w:p w:rsidR="00827002" w:rsidRPr="00717BEA" w:rsidRDefault="00827002" w:rsidP="00827002">
      <w:pPr>
        <w:pStyle w:val="Plnovanopaten"/>
      </w:pPr>
      <w:r w:rsidRPr="00717BEA">
        <w:lastRenderedPageBreak/>
        <w:t>Plánovaná opatření</w:t>
      </w:r>
    </w:p>
    <w:p w:rsidR="00827002" w:rsidRPr="00902572" w:rsidRDefault="00827002" w:rsidP="00827002">
      <w:pPr>
        <w:pStyle w:val="NOPil5"/>
        <w:rPr>
          <w:rStyle w:val="OdstavecseseznamemChar"/>
          <w:b w:val="0"/>
        </w:rPr>
      </w:pPr>
      <w:r w:rsidRPr="00C27DDF">
        <w:rPr>
          <w:rStyle w:val="OdstavecseseznamemChar"/>
        </w:rPr>
        <w:t>Iniciativa Stavebnictví 4.0</w:t>
      </w:r>
      <w:r>
        <w:rPr>
          <w:rStyle w:val="OdstavecseseznamemChar"/>
        </w:rPr>
        <w:t>.</w:t>
      </w:r>
      <w:r>
        <w:rPr>
          <w:rStyle w:val="OdstavecseseznamemChar"/>
          <w:b w:val="0"/>
        </w:rPr>
        <w:t xml:space="preserve"> </w:t>
      </w:r>
      <w:r>
        <w:rPr>
          <w:rStyle w:val="OdstavecseseznamemChar"/>
          <w:b w:val="0"/>
          <w:i/>
        </w:rPr>
        <w:t xml:space="preserve">Termín: </w:t>
      </w:r>
      <w:r w:rsidRPr="000438C0">
        <w:rPr>
          <w:rStyle w:val="OdstavecseseznamemChar"/>
          <w:b w:val="0"/>
          <w:i/>
        </w:rPr>
        <w:t>201</w:t>
      </w:r>
      <w:r>
        <w:rPr>
          <w:rStyle w:val="OdstavecseseznamemChar"/>
          <w:b w:val="0"/>
          <w:i/>
        </w:rPr>
        <w:t>9</w:t>
      </w:r>
      <w:r w:rsidRPr="000438C0">
        <w:rPr>
          <w:rStyle w:val="OdstavecseseznamemChar"/>
          <w:b w:val="0"/>
          <w:i/>
        </w:rPr>
        <w:t>, gestor: MPO</w:t>
      </w:r>
      <w:r>
        <w:rPr>
          <w:rStyle w:val="OdstavecseseznamemChar"/>
          <w:b w:val="0"/>
          <w:i/>
        </w:rPr>
        <w:t>, spolupráce: ostatní ústřední orgány státní správy, zaměstnavatelské svazy, odbory.</w:t>
      </w:r>
    </w:p>
    <w:p w:rsidR="00827002" w:rsidRPr="00827002" w:rsidRDefault="00827002" w:rsidP="00827002">
      <w:r>
        <w:t>Gestor z</w:t>
      </w:r>
      <w:r w:rsidR="005B6E4D">
        <w:t xml:space="preserve">ajistí </w:t>
      </w:r>
      <w:r>
        <w:t>za účasti relevantních zainteresovaných stran zpracování materiálu Stavebnictví 4.0, který bude zahrnovat iniciativy pro veškeré významné oblasti, jichž se stavební projekty během svého celého životního cyklu dotýkají.</w:t>
      </w:r>
    </w:p>
    <w:p w:rsidR="00827002" w:rsidRDefault="00827002" w:rsidP="00827002">
      <w:pPr>
        <w:pStyle w:val="NOPil5"/>
        <w:rPr>
          <w:rStyle w:val="OdstavecseseznamemChar"/>
          <w:rFonts w:eastAsia="Arial"/>
          <w:u w:val="single"/>
          <w:lang w:eastAsia="en-US"/>
        </w:rPr>
      </w:pPr>
      <w:r>
        <w:t>Digitalizace stavebnictví prostřednictvím</w:t>
      </w:r>
      <w:r w:rsidRPr="0098724F">
        <w:t xml:space="preserve"> metody BIM</w:t>
      </w:r>
      <w:r w:rsidR="00704A3B">
        <w:t xml:space="preserve">. </w:t>
      </w:r>
      <w:r w:rsidRPr="00717BEA">
        <w:rPr>
          <w:rStyle w:val="OdstavecseseznamemChar"/>
          <w:b w:val="0"/>
          <w:i/>
        </w:rPr>
        <w:t xml:space="preserve">Termín: </w:t>
      </w:r>
      <w:r>
        <w:rPr>
          <w:rStyle w:val="OdstavecseseznamemChar"/>
          <w:b w:val="0"/>
          <w:i/>
        </w:rPr>
        <w:t>průběžně dle harmonogramu v Koncepci</w:t>
      </w:r>
      <w:r w:rsidRPr="00717BEA">
        <w:rPr>
          <w:rStyle w:val="OdstavecseseznamemChar"/>
          <w:b w:val="0"/>
          <w:i/>
        </w:rPr>
        <w:t xml:space="preserve">, gestor: </w:t>
      </w:r>
      <w:r w:rsidRPr="00717BEA">
        <w:rPr>
          <w:b w:val="0"/>
          <w:i/>
        </w:rPr>
        <w:t>MPO</w:t>
      </w:r>
      <w:r>
        <w:rPr>
          <w:b w:val="0"/>
          <w:i/>
        </w:rPr>
        <w:t xml:space="preserve">, </w:t>
      </w:r>
      <w:r>
        <w:rPr>
          <w:rStyle w:val="OdstavecseseznamemChar"/>
          <w:b w:val="0"/>
          <w:i/>
        </w:rPr>
        <w:t>spolupráce: ostatní ústřední orgány státní správy</w:t>
      </w:r>
    </w:p>
    <w:p w:rsidR="00827002" w:rsidRPr="00FB5742" w:rsidRDefault="00827002" w:rsidP="005B6E4D">
      <w:r w:rsidRPr="0064446B">
        <w:t xml:space="preserve">Gestor zajistí </w:t>
      </w:r>
      <w:r>
        <w:t xml:space="preserve">koordinaci </w:t>
      </w:r>
      <w:r w:rsidRPr="0064446B">
        <w:t xml:space="preserve">plnění </w:t>
      </w:r>
      <w:r>
        <w:t xml:space="preserve">příslušných konkrétních </w:t>
      </w:r>
      <w:r w:rsidRPr="0064446B">
        <w:t>úkol</w:t>
      </w:r>
      <w:r>
        <w:t>ů dle Koncepce</w:t>
      </w:r>
      <w:r w:rsidRPr="0064446B">
        <w:t xml:space="preserve"> zavádění metody BIM v České republice.</w:t>
      </w:r>
    </w:p>
    <w:p w:rsidR="00827002" w:rsidRPr="003129E7" w:rsidRDefault="00827002" w:rsidP="00827002">
      <w:pPr>
        <w:pStyle w:val="NOPil5"/>
        <w:rPr>
          <w:rStyle w:val="OdstavecseseznamemChar"/>
          <w:rFonts w:eastAsia="Arial"/>
          <w:b w:val="0"/>
          <w:lang w:eastAsia="en-US"/>
        </w:rPr>
      </w:pPr>
      <w:r>
        <w:t xml:space="preserve">Elektronizace povolovacích procesů stavby s využitím BIM. </w:t>
      </w:r>
      <w:r w:rsidRPr="00717BEA">
        <w:rPr>
          <w:rStyle w:val="OdstavecseseznamemChar"/>
          <w:b w:val="0"/>
          <w:i/>
        </w:rPr>
        <w:t>Termín: v návaznosti na novou úpravu veřejného stavebního práva</w:t>
      </w:r>
      <w:r>
        <w:rPr>
          <w:rStyle w:val="OdstavecseseznamemChar"/>
          <w:b w:val="0"/>
          <w:i/>
        </w:rPr>
        <w:t>, gestor: MMR, spolupráce: MPO a ostatní dotčené ústřední orgány státní správy</w:t>
      </w:r>
    </w:p>
    <w:p w:rsidR="00827002" w:rsidRPr="00323C88" w:rsidRDefault="00827002" w:rsidP="005B6E4D">
      <w:r w:rsidRPr="00323C88">
        <w:t>Gestor zajistí plnění úkolu dle Koncepce zavádění metody BIM v České republice.</w:t>
      </w:r>
    </w:p>
    <w:p w:rsidR="00827002" w:rsidRPr="00717BEA" w:rsidRDefault="00827002" w:rsidP="003129E7">
      <w:pPr>
        <w:pStyle w:val="NOPil5"/>
        <w:numPr>
          <w:ilvl w:val="0"/>
          <w:numId w:val="0"/>
        </w:numPr>
        <w:ind w:left="1434" w:hanging="357"/>
        <w:rPr>
          <w:b w:val="0"/>
        </w:rPr>
      </w:pPr>
    </w:p>
    <w:p w:rsidR="000438C0" w:rsidRPr="00D07530" w:rsidRDefault="00D07530" w:rsidP="00D07530">
      <w:pPr>
        <w:spacing w:after="200"/>
        <w:jc w:val="left"/>
        <w:rPr>
          <w:i/>
          <w:lang w:eastAsia="en-US"/>
        </w:rPr>
      </w:pPr>
      <w:r>
        <w:rPr>
          <w:i/>
        </w:rPr>
        <w:br w:type="page"/>
      </w:r>
    </w:p>
    <w:p w:rsidR="00AC424B" w:rsidRPr="00D97AD9" w:rsidRDefault="00AC424B" w:rsidP="00AC424B">
      <w:pPr>
        <w:pStyle w:val="Nadpis1"/>
      </w:pPr>
      <w:bookmarkStart w:id="124" w:name="_Toc491355998"/>
      <w:r w:rsidRPr="00B53F12">
        <w:lastRenderedPageBreak/>
        <w:t>PODROBNÝ PŘEHLED OKRUHŮ A GESCÍ</w:t>
      </w:r>
      <w:bookmarkEnd w:id="124"/>
    </w:p>
    <w:tbl>
      <w:tblPr>
        <w:tblStyle w:val="Mkatabulky"/>
        <w:tblW w:w="9207" w:type="dxa"/>
        <w:tblInd w:w="5" w:type="dxa"/>
        <w:tblLayout w:type="fixed"/>
        <w:tblLook w:val="04A0"/>
      </w:tblPr>
      <w:tblGrid>
        <w:gridCol w:w="660"/>
        <w:gridCol w:w="11"/>
        <w:gridCol w:w="10"/>
        <w:gridCol w:w="4135"/>
        <w:gridCol w:w="24"/>
        <w:gridCol w:w="15"/>
        <w:gridCol w:w="15"/>
        <w:gridCol w:w="1352"/>
        <w:gridCol w:w="13"/>
        <w:gridCol w:w="20"/>
        <w:gridCol w:w="15"/>
        <w:gridCol w:w="1488"/>
        <w:gridCol w:w="1449"/>
      </w:tblGrid>
      <w:tr w:rsidR="00AC424B" w:rsidRPr="00D652DA" w:rsidTr="007C2BC9">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424B" w:rsidRPr="00D652DA" w:rsidRDefault="00AC424B" w:rsidP="007C2BC9">
            <w:pPr>
              <w:jc w:val="center"/>
              <w:rPr>
                <w:rFonts w:eastAsia="Arial"/>
                <w:b/>
                <w:w w:val="99"/>
                <w:sz w:val="20"/>
              </w:rPr>
            </w:pPr>
            <w:r w:rsidRPr="00D652DA">
              <w:rPr>
                <w:rFonts w:eastAsia="Arial"/>
                <w:b/>
                <w:w w:val="99"/>
                <w:sz w:val="20"/>
              </w:rPr>
              <w:t>č.</w:t>
            </w:r>
          </w:p>
        </w:tc>
        <w:tc>
          <w:tcPr>
            <w:tcW w:w="4210"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424B" w:rsidRPr="00D652DA" w:rsidRDefault="00AC424B" w:rsidP="007C2BC9">
            <w:pPr>
              <w:jc w:val="center"/>
              <w:rPr>
                <w:rFonts w:eastAsia="Arial"/>
                <w:b/>
                <w:w w:val="99"/>
                <w:sz w:val="20"/>
              </w:rPr>
            </w:pPr>
            <w:r w:rsidRPr="00D652DA">
              <w:rPr>
                <w:rFonts w:eastAsia="Arial"/>
                <w:b/>
                <w:w w:val="99"/>
                <w:sz w:val="20"/>
              </w:rPr>
              <w:t>Název opatření</w:t>
            </w:r>
          </w:p>
        </w:tc>
        <w:tc>
          <w:tcPr>
            <w:tcW w:w="140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424B" w:rsidRPr="00D652DA" w:rsidRDefault="00AC424B" w:rsidP="007C2BC9">
            <w:pPr>
              <w:jc w:val="center"/>
              <w:rPr>
                <w:rFonts w:eastAsia="Arial"/>
                <w:b/>
                <w:w w:val="99"/>
                <w:sz w:val="20"/>
              </w:rPr>
            </w:pPr>
            <w:r w:rsidRPr="00D652DA">
              <w:rPr>
                <w:rFonts w:eastAsia="Arial"/>
                <w:b/>
                <w:w w:val="99"/>
                <w:sz w:val="20"/>
              </w:rPr>
              <w:t>Gestor</w:t>
            </w:r>
          </w:p>
        </w:tc>
        <w:tc>
          <w:tcPr>
            <w:tcW w:w="14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424B" w:rsidRPr="00D652DA" w:rsidRDefault="00AC424B" w:rsidP="007C2BC9">
            <w:pPr>
              <w:jc w:val="center"/>
              <w:rPr>
                <w:rFonts w:eastAsia="Arial"/>
                <w:b/>
                <w:w w:val="99"/>
                <w:sz w:val="20"/>
              </w:rPr>
            </w:pPr>
            <w:proofErr w:type="spellStart"/>
            <w:r w:rsidRPr="00D652DA">
              <w:rPr>
                <w:rFonts w:eastAsia="Arial"/>
                <w:b/>
                <w:w w:val="99"/>
                <w:sz w:val="20"/>
              </w:rPr>
              <w:t>Spolugestor</w:t>
            </w:r>
            <w:proofErr w:type="spellEnd"/>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424B" w:rsidRPr="00D652DA" w:rsidRDefault="00AC424B" w:rsidP="007C2BC9">
            <w:pPr>
              <w:jc w:val="center"/>
              <w:rPr>
                <w:rFonts w:eastAsia="Arial"/>
                <w:b/>
                <w:w w:val="99"/>
                <w:sz w:val="20"/>
              </w:rPr>
            </w:pPr>
            <w:r w:rsidRPr="00D652DA">
              <w:rPr>
                <w:rFonts w:eastAsia="Arial"/>
                <w:b/>
                <w:w w:val="99"/>
                <w:sz w:val="20"/>
              </w:rPr>
              <w:t>Termín opatření</w:t>
            </w:r>
          </w:p>
        </w:tc>
      </w:tr>
      <w:tr w:rsidR="00AC424B" w:rsidRPr="00D652DA" w:rsidTr="007C2BC9">
        <w:tc>
          <w:tcPr>
            <w:tcW w:w="9207" w:type="dxa"/>
            <w:gridSpan w:val="13"/>
            <w:tcBorders>
              <w:top w:val="single" w:sz="4" w:space="0" w:color="auto"/>
              <w:left w:val="single" w:sz="4" w:space="0" w:color="auto"/>
              <w:bottom w:val="single" w:sz="4" w:space="0" w:color="auto"/>
              <w:right w:val="single" w:sz="4" w:space="0" w:color="auto"/>
            </w:tcBorders>
            <w:shd w:val="clear" w:color="auto" w:fill="1F497D" w:themeFill="text2"/>
            <w:vAlign w:val="center"/>
          </w:tcPr>
          <w:p w:rsidR="00AC424B" w:rsidRPr="00D652DA" w:rsidRDefault="00AC424B" w:rsidP="007C2BC9">
            <w:pPr>
              <w:jc w:val="center"/>
              <w:rPr>
                <w:rFonts w:eastAsia="Arial"/>
                <w:b/>
                <w:w w:val="99"/>
                <w:sz w:val="20"/>
              </w:rPr>
            </w:pPr>
            <w:r w:rsidRPr="00D652DA">
              <w:rPr>
                <w:rFonts w:eastAsia="Arial"/>
                <w:b/>
                <w:color w:val="FFFFFF" w:themeColor="background1"/>
                <w:w w:val="99"/>
                <w:sz w:val="20"/>
              </w:rPr>
              <w:t>PRŮŘEZOVÉ PRIORITY</w:t>
            </w:r>
          </w:p>
        </w:tc>
      </w:tr>
      <w:tr w:rsidR="00AC424B" w:rsidRPr="00D652DA" w:rsidTr="007C2BC9">
        <w:tc>
          <w:tcPr>
            <w:tcW w:w="9207" w:type="dxa"/>
            <w:gridSpan w:val="13"/>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rsidR="00AC424B" w:rsidRPr="00D652DA" w:rsidRDefault="00AC424B" w:rsidP="007C2BC9">
            <w:pPr>
              <w:jc w:val="center"/>
              <w:rPr>
                <w:rFonts w:eastAsia="Arial"/>
                <w:b/>
                <w:w w:val="99"/>
                <w:sz w:val="20"/>
              </w:rPr>
            </w:pPr>
            <w:r w:rsidRPr="00D652DA">
              <w:rPr>
                <w:rFonts w:eastAsia="Arial"/>
                <w:b/>
                <w:w w:val="99"/>
                <w:sz w:val="20"/>
              </w:rPr>
              <w:t>PODPORA POLITIKY JEDNOTNÉHO DIGITÁLNÍHO TRHU V EVROPĚ</w:t>
            </w:r>
          </w:p>
        </w:tc>
      </w:tr>
      <w:tr w:rsidR="00AC424B" w:rsidRPr="00D652DA" w:rsidTr="007C2BC9">
        <w:tc>
          <w:tcPr>
            <w:tcW w:w="68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424B" w:rsidRPr="00D652DA" w:rsidRDefault="00AC424B" w:rsidP="007C2BC9">
            <w:pPr>
              <w:jc w:val="center"/>
              <w:rPr>
                <w:rFonts w:eastAsia="Arial"/>
                <w:w w:val="99"/>
                <w:sz w:val="20"/>
              </w:rPr>
            </w:pPr>
            <w:r w:rsidRPr="00D652DA">
              <w:rPr>
                <w:rFonts w:eastAsia="Arial"/>
                <w:w w:val="99"/>
                <w:sz w:val="20"/>
              </w:rPr>
              <w:t>I.</w:t>
            </w:r>
          </w:p>
        </w:tc>
        <w:tc>
          <w:tcPr>
            <w:tcW w:w="415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424B" w:rsidRPr="00D652DA" w:rsidRDefault="00AC424B" w:rsidP="007C2BC9">
            <w:pPr>
              <w:spacing w:line="219" w:lineRule="exact"/>
              <w:ind w:left="34"/>
              <w:jc w:val="left"/>
              <w:rPr>
                <w:rFonts w:eastAsia="Arial"/>
                <w:sz w:val="20"/>
              </w:rPr>
            </w:pPr>
            <w:r w:rsidRPr="00D652DA">
              <w:rPr>
                <w:sz w:val="20"/>
              </w:rPr>
              <w:t>Podporovat politiku jednotného digitálního trhu</w:t>
            </w:r>
          </w:p>
        </w:tc>
        <w:tc>
          <w:tcPr>
            <w:tcW w:w="1415"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424B" w:rsidRPr="00D652DA" w:rsidRDefault="00AC424B" w:rsidP="007C2BC9">
            <w:pPr>
              <w:jc w:val="center"/>
              <w:rPr>
                <w:rFonts w:eastAsia="Arial"/>
                <w:w w:val="99"/>
                <w:sz w:val="20"/>
              </w:rPr>
            </w:pPr>
            <w:r w:rsidRPr="00D652DA">
              <w:rPr>
                <w:rFonts w:eastAsia="Arial"/>
                <w:w w:val="99"/>
                <w:sz w:val="20"/>
              </w:rPr>
              <w:t>Koordinátor</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424B" w:rsidRPr="00D652DA" w:rsidRDefault="00AC424B" w:rsidP="007C2BC9">
            <w:pPr>
              <w:jc w:val="center"/>
              <w:rPr>
                <w:rFonts w:eastAsia="Arial"/>
                <w:w w:val="99"/>
                <w:sz w:val="20"/>
              </w:rPr>
            </w:pPr>
            <w:r w:rsidRPr="00D652DA">
              <w:rPr>
                <w:rFonts w:eastAsia="Arial"/>
                <w:w w:val="99"/>
                <w:sz w:val="20"/>
              </w:rPr>
              <w:t>ÚV, resorty</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424B" w:rsidRPr="00D652DA" w:rsidRDefault="00AC424B" w:rsidP="007C2BC9">
            <w:pPr>
              <w:jc w:val="center"/>
              <w:rPr>
                <w:rFonts w:eastAsia="Arial"/>
                <w:w w:val="99"/>
                <w:sz w:val="20"/>
              </w:rPr>
            </w:pPr>
            <w:r w:rsidRPr="00D652DA">
              <w:rPr>
                <w:rFonts w:eastAsia="Arial"/>
                <w:w w:val="99"/>
                <w:sz w:val="20"/>
              </w:rPr>
              <w:t>průběžně</w:t>
            </w:r>
          </w:p>
        </w:tc>
      </w:tr>
      <w:tr w:rsidR="00AC424B" w:rsidRPr="00D652DA" w:rsidTr="007C2BC9">
        <w:tc>
          <w:tcPr>
            <w:tcW w:w="68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424B" w:rsidRPr="00D652DA" w:rsidRDefault="00AC424B" w:rsidP="007C2BC9">
            <w:pPr>
              <w:jc w:val="center"/>
              <w:rPr>
                <w:rFonts w:eastAsia="Arial"/>
                <w:w w:val="99"/>
                <w:sz w:val="20"/>
              </w:rPr>
            </w:pPr>
            <w:r w:rsidRPr="00D652DA">
              <w:rPr>
                <w:rFonts w:eastAsia="Arial"/>
                <w:w w:val="99"/>
                <w:sz w:val="20"/>
              </w:rPr>
              <w:t>II.</w:t>
            </w:r>
          </w:p>
        </w:tc>
        <w:tc>
          <w:tcPr>
            <w:tcW w:w="415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424B" w:rsidRPr="00D652DA" w:rsidRDefault="00AC424B" w:rsidP="007C2BC9">
            <w:pPr>
              <w:jc w:val="left"/>
              <w:rPr>
                <w:rFonts w:eastAsia="Arial"/>
                <w:w w:val="99"/>
                <w:sz w:val="20"/>
              </w:rPr>
            </w:pPr>
            <w:r w:rsidRPr="00D652DA">
              <w:rPr>
                <w:sz w:val="20"/>
              </w:rPr>
              <w:t>Koordinovat vyjednávací pozice České republiky k oblasti evropské datové ekonomiky</w:t>
            </w:r>
          </w:p>
        </w:tc>
        <w:tc>
          <w:tcPr>
            <w:tcW w:w="1415"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424B" w:rsidRPr="00D652DA" w:rsidRDefault="00AC424B" w:rsidP="007C2BC9">
            <w:pPr>
              <w:jc w:val="center"/>
              <w:rPr>
                <w:rFonts w:eastAsia="Arial"/>
                <w:w w:val="99"/>
                <w:sz w:val="20"/>
              </w:rPr>
            </w:pPr>
            <w:r w:rsidRPr="00D652DA">
              <w:rPr>
                <w:rFonts w:eastAsia="Arial"/>
                <w:w w:val="99"/>
                <w:sz w:val="20"/>
              </w:rPr>
              <w:t xml:space="preserve">Koordinátor </w:t>
            </w:r>
          </w:p>
        </w:tc>
        <w:tc>
          <w:tcPr>
            <w:tcW w:w="150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424B" w:rsidRPr="00D652DA" w:rsidRDefault="00AC424B" w:rsidP="007C2BC9">
            <w:pPr>
              <w:jc w:val="center"/>
              <w:rPr>
                <w:rFonts w:eastAsia="Arial"/>
                <w:w w:val="99"/>
                <w:sz w:val="20"/>
              </w:rPr>
            </w:pPr>
            <w:r w:rsidRPr="00D652DA">
              <w:rPr>
                <w:rFonts w:eastAsia="Arial"/>
                <w:w w:val="99"/>
                <w:sz w:val="20"/>
              </w:rPr>
              <w:t>resorty</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424B" w:rsidRPr="00D652DA" w:rsidRDefault="00AC424B" w:rsidP="007C2BC9">
            <w:pPr>
              <w:jc w:val="center"/>
              <w:rPr>
                <w:rFonts w:eastAsia="Arial"/>
                <w:w w:val="99"/>
                <w:sz w:val="20"/>
              </w:rPr>
            </w:pPr>
            <w:r w:rsidRPr="00D652DA">
              <w:rPr>
                <w:rFonts w:eastAsia="Arial"/>
                <w:w w:val="99"/>
                <w:sz w:val="20"/>
              </w:rPr>
              <w:t>průběžně</w:t>
            </w:r>
          </w:p>
        </w:tc>
      </w:tr>
      <w:tr w:rsidR="00AC424B" w:rsidRPr="00D652DA" w:rsidTr="007C2BC9">
        <w:tc>
          <w:tcPr>
            <w:tcW w:w="9207" w:type="dxa"/>
            <w:gridSpan w:val="13"/>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rsidR="00AC424B" w:rsidRPr="00D652DA" w:rsidRDefault="00AC424B" w:rsidP="007C2BC9">
            <w:pPr>
              <w:jc w:val="center"/>
              <w:rPr>
                <w:rFonts w:eastAsia="Arial"/>
                <w:b/>
                <w:w w:val="99"/>
                <w:sz w:val="20"/>
              </w:rPr>
            </w:pPr>
            <w:r w:rsidRPr="00D652DA">
              <w:rPr>
                <w:rFonts w:eastAsia="Arial"/>
                <w:b/>
                <w:w w:val="99"/>
                <w:sz w:val="20"/>
              </w:rPr>
              <w:t>DIGITÁLNĚ PŘÍVĚTIVÉ PRÁVNÍ A LEGISLATIVNÍ PROSTŘEDÍ</w:t>
            </w:r>
          </w:p>
        </w:tc>
      </w:tr>
      <w:tr w:rsidR="00AC424B" w:rsidRPr="00D652DA" w:rsidTr="007C2BC9">
        <w:tc>
          <w:tcPr>
            <w:tcW w:w="67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424B" w:rsidRPr="00D652DA" w:rsidRDefault="00AC424B" w:rsidP="007C2BC9">
            <w:pPr>
              <w:jc w:val="center"/>
              <w:rPr>
                <w:rFonts w:eastAsia="Arial"/>
                <w:w w:val="99"/>
                <w:sz w:val="20"/>
              </w:rPr>
            </w:pPr>
            <w:r w:rsidRPr="00D652DA">
              <w:rPr>
                <w:rFonts w:eastAsia="Arial"/>
                <w:w w:val="99"/>
                <w:sz w:val="20"/>
              </w:rPr>
              <w:t>III.</w:t>
            </w:r>
          </w:p>
        </w:tc>
        <w:tc>
          <w:tcPr>
            <w:tcW w:w="418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424B" w:rsidRPr="00D652DA" w:rsidRDefault="00AC424B" w:rsidP="00C60331">
            <w:pPr>
              <w:spacing w:line="219" w:lineRule="exact"/>
              <w:ind w:left="34"/>
              <w:jc w:val="left"/>
              <w:rPr>
                <w:sz w:val="20"/>
              </w:rPr>
            </w:pPr>
            <w:r w:rsidRPr="00D652DA">
              <w:rPr>
                <w:sz w:val="20"/>
              </w:rPr>
              <w:t xml:space="preserve">Předložit </w:t>
            </w:r>
            <w:r w:rsidR="00C60331">
              <w:rPr>
                <w:sz w:val="20"/>
              </w:rPr>
              <w:t>Zásady</w:t>
            </w:r>
            <w:r w:rsidRPr="00D652DA">
              <w:rPr>
                <w:sz w:val="20"/>
              </w:rPr>
              <w:t xml:space="preserve"> pro tvorbu digitálně přívětivé legislativy</w:t>
            </w:r>
          </w:p>
        </w:tc>
        <w:tc>
          <w:tcPr>
            <w:tcW w:w="136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424B" w:rsidRPr="00D652DA" w:rsidRDefault="00AC424B" w:rsidP="007C2BC9">
            <w:pPr>
              <w:spacing w:line="219" w:lineRule="exact"/>
              <w:ind w:left="34"/>
              <w:jc w:val="left"/>
              <w:rPr>
                <w:sz w:val="20"/>
              </w:rPr>
            </w:pPr>
            <w:r w:rsidRPr="00D652DA">
              <w:rPr>
                <w:rFonts w:eastAsia="Arial"/>
                <w:w w:val="99"/>
                <w:sz w:val="20"/>
              </w:rPr>
              <w:t>Koordinátor</w:t>
            </w:r>
            <w:r w:rsidRPr="00D652DA">
              <w:rPr>
                <w:sz w:val="20"/>
              </w:rPr>
              <w:t>, LRV</w:t>
            </w:r>
          </w:p>
        </w:tc>
        <w:tc>
          <w:tcPr>
            <w:tcW w:w="153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424B" w:rsidRPr="00D652DA" w:rsidRDefault="00AC424B" w:rsidP="007C2BC9">
            <w:pPr>
              <w:spacing w:line="219" w:lineRule="exact"/>
              <w:ind w:left="34"/>
              <w:jc w:val="left"/>
              <w:rPr>
                <w:sz w:val="20"/>
              </w:rPr>
            </w:pP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3Q 2017</w:t>
            </w:r>
          </w:p>
        </w:tc>
      </w:tr>
      <w:tr w:rsidR="00AC424B" w:rsidRPr="00D652DA" w:rsidTr="007C2BC9">
        <w:tc>
          <w:tcPr>
            <w:tcW w:w="67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424B" w:rsidRPr="00D652DA" w:rsidRDefault="00AC424B" w:rsidP="007C2BC9">
            <w:pPr>
              <w:jc w:val="center"/>
              <w:rPr>
                <w:rFonts w:eastAsia="Arial"/>
                <w:w w:val="99"/>
                <w:sz w:val="20"/>
              </w:rPr>
            </w:pPr>
            <w:r w:rsidRPr="00D652DA">
              <w:rPr>
                <w:rFonts w:eastAsia="Arial"/>
                <w:w w:val="99"/>
                <w:sz w:val="20"/>
              </w:rPr>
              <w:t>IV.</w:t>
            </w:r>
          </w:p>
        </w:tc>
        <w:tc>
          <w:tcPr>
            <w:tcW w:w="418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424B" w:rsidRPr="00D652DA" w:rsidRDefault="00AC424B" w:rsidP="00C60331">
            <w:pPr>
              <w:spacing w:line="219" w:lineRule="exact"/>
              <w:ind w:left="34"/>
              <w:jc w:val="left"/>
              <w:rPr>
                <w:sz w:val="20"/>
              </w:rPr>
            </w:pPr>
            <w:r w:rsidRPr="00D652DA">
              <w:rPr>
                <w:sz w:val="20"/>
              </w:rPr>
              <w:t xml:space="preserve">Aktivity směřující k seznámení veřejné správy a širší odborné veřejnosti s obsahem a smyslem </w:t>
            </w:r>
            <w:r w:rsidR="00C60331">
              <w:rPr>
                <w:sz w:val="20"/>
              </w:rPr>
              <w:t>zásad</w:t>
            </w:r>
          </w:p>
        </w:tc>
        <w:tc>
          <w:tcPr>
            <w:tcW w:w="136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424B" w:rsidRPr="00D652DA" w:rsidRDefault="00AC424B" w:rsidP="007C2BC9">
            <w:pPr>
              <w:spacing w:line="219" w:lineRule="exact"/>
              <w:ind w:left="34"/>
              <w:jc w:val="left"/>
              <w:rPr>
                <w:sz w:val="20"/>
              </w:rPr>
            </w:pPr>
            <w:r w:rsidRPr="00D652DA">
              <w:rPr>
                <w:rFonts w:eastAsia="Arial"/>
                <w:w w:val="99"/>
                <w:sz w:val="20"/>
              </w:rPr>
              <w:t>Koordinátor</w:t>
            </w:r>
            <w:r w:rsidRPr="00D652DA">
              <w:rPr>
                <w:sz w:val="20"/>
              </w:rPr>
              <w:t>, LRV</w:t>
            </w:r>
          </w:p>
        </w:tc>
        <w:tc>
          <w:tcPr>
            <w:tcW w:w="153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424B" w:rsidRPr="00D652DA" w:rsidRDefault="00AC424B" w:rsidP="007C2BC9">
            <w:pPr>
              <w:spacing w:line="219" w:lineRule="exact"/>
              <w:ind w:left="34"/>
              <w:jc w:val="left"/>
              <w:rPr>
                <w:sz w:val="20"/>
              </w:rPr>
            </w:pP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4Q 2017</w:t>
            </w:r>
          </w:p>
        </w:tc>
      </w:tr>
      <w:tr w:rsidR="00AC424B" w:rsidRPr="00D652DA" w:rsidTr="007C2BC9">
        <w:tc>
          <w:tcPr>
            <w:tcW w:w="67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424B" w:rsidRPr="00D652DA" w:rsidRDefault="00AC424B" w:rsidP="007C2BC9">
            <w:pPr>
              <w:jc w:val="center"/>
              <w:rPr>
                <w:rFonts w:eastAsia="Arial"/>
                <w:w w:val="99"/>
                <w:sz w:val="20"/>
              </w:rPr>
            </w:pPr>
            <w:r w:rsidRPr="00D652DA">
              <w:rPr>
                <w:rFonts w:eastAsia="Arial"/>
                <w:w w:val="99"/>
                <w:sz w:val="20"/>
              </w:rPr>
              <w:t>V.</w:t>
            </w:r>
          </w:p>
        </w:tc>
        <w:tc>
          <w:tcPr>
            <w:tcW w:w="418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424B" w:rsidRPr="00D652DA" w:rsidRDefault="00AC424B" w:rsidP="00C60331">
            <w:pPr>
              <w:spacing w:line="219" w:lineRule="exact"/>
              <w:ind w:left="34"/>
              <w:jc w:val="left"/>
              <w:rPr>
                <w:sz w:val="20"/>
              </w:rPr>
            </w:pPr>
            <w:r w:rsidRPr="00D652DA">
              <w:rPr>
                <w:sz w:val="20"/>
              </w:rPr>
              <w:t xml:space="preserve">Vyhodnotit </w:t>
            </w:r>
            <w:r w:rsidR="00C60331">
              <w:rPr>
                <w:sz w:val="20"/>
              </w:rPr>
              <w:t>zásady</w:t>
            </w:r>
            <w:r w:rsidRPr="00D652DA">
              <w:rPr>
                <w:sz w:val="20"/>
              </w:rPr>
              <w:t xml:space="preserve"> pro tvorbu digitálně přívětivé legislativy a zvážit další kroky</w:t>
            </w:r>
          </w:p>
        </w:tc>
        <w:tc>
          <w:tcPr>
            <w:tcW w:w="136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424B" w:rsidRPr="00D652DA" w:rsidRDefault="00AC424B" w:rsidP="007C2BC9">
            <w:pPr>
              <w:spacing w:line="219" w:lineRule="exact"/>
              <w:ind w:left="34"/>
              <w:jc w:val="left"/>
              <w:rPr>
                <w:sz w:val="20"/>
              </w:rPr>
            </w:pPr>
            <w:r w:rsidRPr="00D652DA">
              <w:rPr>
                <w:rFonts w:eastAsia="Arial"/>
                <w:w w:val="99"/>
                <w:sz w:val="20"/>
              </w:rPr>
              <w:t>Koordinátor</w:t>
            </w:r>
            <w:r w:rsidRPr="00D652DA">
              <w:rPr>
                <w:sz w:val="20"/>
              </w:rPr>
              <w:t>, LRV</w:t>
            </w:r>
          </w:p>
        </w:tc>
        <w:tc>
          <w:tcPr>
            <w:tcW w:w="153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424B" w:rsidRPr="00D652DA" w:rsidRDefault="00AC424B" w:rsidP="007C2BC9">
            <w:pPr>
              <w:spacing w:line="219" w:lineRule="exact"/>
              <w:ind w:left="34"/>
              <w:jc w:val="left"/>
              <w:rPr>
                <w:sz w:val="20"/>
              </w:rPr>
            </w:pP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424B" w:rsidRPr="00D652DA" w:rsidRDefault="00C60331" w:rsidP="007C2BC9">
            <w:pPr>
              <w:spacing w:line="219" w:lineRule="exact"/>
              <w:ind w:left="34"/>
              <w:jc w:val="left"/>
              <w:rPr>
                <w:sz w:val="20"/>
              </w:rPr>
            </w:pPr>
            <w:r>
              <w:rPr>
                <w:sz w:val="20"/>
              </w:rPr>
              <w:t>3</w:t>
            </w:r>
            <w:r w:rsidR="00AC424B" w:rsidRPr="00D652DA">
              <w:rPr>
                <w:sz w:val="20"/>
              </w:rPr>
              <w:t>Q 2018</w:t>
            </w:r>
          </w:p>
        </w:tc>
      </w:tr>
      <w:tr w:rsidR="00AC424B" w:rsidRPr="00D652DA" w:rsidTr="007C2BC9">
        <w:tc>
          <w:tcPr>
            <w:tcW w:w="67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424B" w:rsidRPr="00D652DA" w:rsidRDefault="00AC424B" w:rsidP="007C2BC9">
            <w:pPr>
              <w:jc w:val="center"/>
              <w:rPr>
                <w:rFonts w:eastAsia="Arial"/>
                <w:w w:val="99"/>
                <w:sz w:val="20"/>
              </w:rPr>
            </w:pPr>
            <w:r w:rsidRPr="00D652DA">
              <w:rPr>
                <w:rFonts w:eastAsia="Arial"/>
                <w:w w:val="99"/>
                <w:sz w:val="20"/>
              </w:rPr>
              <w:t>VI.</w:t>
            </w:r>
          </w:p>
        </w:tc>
        <w:tc>
          <w:tcPr>
            <w:tcW w:w="418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Vypracovat analýzu procesně právních předpisů</w:t>
            </w:r>
          </w:p>
        </w:tc>
        <w:tc>
          <w:tcPr>
            <w:tcW w:w="136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 xml:space="preserve">Koordinátor </w:t>
            </w:r>
          </w:p>
        </w:tc>
        <w:tc>
          <w:tcPr>
            <w:tcW w:w="153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424B" w:rsidRPr="00D652DA" w:rsidRDefault="00AC424B" w:rsidP="007C2BC9">
            <w:pPr>
              <w:spacing w:line="219" w:lineRule="exact"/>
              <w:ind w:left="34"/>
              <w:jc w:val="center"/>
              <w:rPr>
                <w:sz w:val="20"/>
              </w:rPr>
            </w:pPr>
            <w:r w:rsidRPr="00D652DA">
              <w:rPr>
                <w:sz w:val="20"/>
              </w:rPr>
              <w:t>MV</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4Q 2017</w:t>
            </w:r>
          </w:p>
        </w:tc>
      </w:tr>
      <w:tr w:rsidR="00AC424B" w:rsidRPr="00D652DA" w:rsidTr="007C2BC9">
        <w:tc>
          <w:tcPr>
            <w:tcW w:w="9207" w:type="dxa"/>
            <w:gridSpan w:val="13"/>
            <w:tcBorders>
              <w:top w:val="single" w:sz="4" w:space="0" w:color="auto"/>
              <w:left w:val="single" w:sz="4" w:space="0" w:color="auto"/>
              <w:bottom w:val="single" w:sz="4" w:space="0" w:color="auto"/>
              <w:right w:val="single" w:sz="4" w:space="0" w:color="auto"/>
            </w:tcBorders>
            <w:shd w:val="clear" w:color="auto" w:fill="4F81BD" w:themeFill="accent1"/>
            <w:vAlign w:val="center"/>
          </w:tcPr>
          <w:p w:rsidR="00AC424B" w:rsidRPr="00D652DA" w:rsidRDefault="00AC424B" w:rsidP="007C2BC9">
            <w:pPr>
              <w:jc w:val="center"/>
              <w:rPr>
                <w:sz w:val="20"/>
              </w:rPr>
            </w:pPr>
            <w:r w:rsidRPr="00D652DA">
              <w:rPr>
                <w:rFonts w:eastAsia="Arial"/>
                <w:b/>
                <w:w w:val="99"/>
                <w:sz w:val="20"/>
              </w:rPr>
              <w:t>1. KONEKTIVITA A MOBILITA</w:t>
            </w:r>
          </w:p>
        </w:tc>
      </w:tr>
      <w:tr w:rsidR="00AC424B" w:rsidRPr="00D652DA" w:rsidTr="007C2BC9">
        <w:tc>
          <w:tcPr>
            <w:tcW w:w="9207" w:type="dxa"/>
            <w:gridSpan w:val="13"/>
            <w:tcBorders>
              <w:top w:val="single" w:sz="4" w:space="0" w:color="auto"/>
            </w:tcBorders>
            <w:shd w:val="clear" w:color="auto" w:fill="DBE5F1" w:themeFill="accent1" w:themeFillTint="33"/>
            <w:vAlign w:val="center"/>
          </w:tcPr>
          <w:p w:rsidR="00AC424B" w:rsidRPr="00D652DA" w:rsidRDefault="00AC424B" w:rsidP="007C2BC9">
            <w:pPr>
              <w:jc w:val="center"/>
              <w:rPr>
                <w:b/>
                <w:sz w:val="20"/>
              </w:rPr>
            </w:pPr>
            <w:r w:rsidRPr="00D652DA">
              <w:rPr>
                <w:rFonts w:eastAsia="Arial"/>
                <w:b/>
                <w:sz w:val="20"/>
              </w:rPr>
              <w:t>Budování internetových sítí</w:t>
            </w:r>
          </w:p>
        </w:tc>
      </w:tr>
      <w:tr w:rsidR="00AC424B" w:rsidRPr="00D652DA" w:rsidTr="007C2BC9">
        <w:trPr>
          <w:trHeight w:val="365"/>
        </w:trPr>
        <w:tc>
          <w:tcPr>
            <w:tcW w:w="671" w:type="dxa"/>
            <w:gridSpan w:val="2"/>
            <w:vAlign w:val="center"/>
          </w:tcPr>
          <w:p w:rsidR="00AC424B" w:rsidRPr="00D652DA" w:rsidRDefault="00AC424B" w:rsidP="007C2BC9">
            <w:pPr>
              <w:spacing w:line="219" w:lineRule="exact"/>
              <w:jc w:val="left"/>
              <w:rPr>
                <w:rFonts w:eastAsia="Arial"/>
                <w:sz w:val="20"/>
              </w:rPr>
            </w:pPr>
            <w:r w:rsidRPr="00D652DA">
              <w:rPr>
                <w:rFonts w:eastAsia="Arial"/>
                <w:sz w:val="20"/>
              </w:rPr>
              <w:t>1.1</w:t>
            </w:r>
          </w:p>
        </w:tc>
        <w:tc>
          <w:tcPr>
            <w:tcW w:w="4145" w:type="dxa"/>
            <w:gridSpan w:val="2"/>
            <w:vAlign w:val="center"/>
          </w:tcPr>
          <w:p w:rsidR="00AC424B" w:rsidRPr="00D652DA" w:rsidRDefault="00AC424B" w:rsidP="007C2BC9">
            <w:pPr>
              <w:spacing w:line="219" w:lineRule="exact"/>
              <w:ind w:left="34"/>
              <w:jc w:val="left"/>
              <w:rPr>
                <w:sz w:val="20"/>
              </w:rPr>
            </w:pPr>
            <w:r w:rsidRPr="00D652DA">
              <w:rPr>
                <w:sz w:val="20"/>
              </w:rPr>
              <w:t>Implementace Národního plánu rozvoje sítí nové generace</w:t>
            </w:r>
          </w:p>
        </w:tc>
        <w:tc>
          <w:tcPr>
            <w:tcW w:w="1419" w:type="dxa"/>
            <w:gridSpan w:val="5"/>
            <w:vAlign w:val="center"/>
          </w:tcPr>
          <w:p w:rsidR="00AC424B" w:rsidRPr="00D652DA" w:rsidRDefault="00AC424B" w:rsidP="007C2BC9">
            <w:pPr>
              <w:spacing w:line="219" w:lineRule="exact"/>
              <w:ind w:left="34"/>
              <w:jc w:val="left"/>
              <w:rPr>
                <w:sz w:val="20"/>
              </w:rPr>
            </w:pPr>
            <w:r w:rsidRPr="00D652DA">
              <w:rPr>
                <w:sz w:val="20"/>
              </w:rPr>
              <w:t>MPO</w:t>
            </w:r>
          </w:p>
        </w:tc>
        <w:tc>
          <w:tcPr>
            <w:tcW w:w="1523" w:type="dxa"/>
            <w:gridSpan w:val="3"/>
            <w:vAlign w:val="center"/>
          </w:tcPr>
          <w:p w:rsidR="00AC424B" w:rsidRPr="00D652DA" w:rsidRDefault="00AC424B" w:rsidP="007C2BC9">
            <w:pPr>
              <w:spacing w:line="219" w:lineRule="exact"/>
              <w:ind w:left="34"/>
              <w:jc w:val="left"/>
              <w:rPr>
                <w:sz w:val="20"/>
              </w:rPr>
            </w:pPr>
          </w:p>
        </w:tc>
        <w:tc>
          <w:tcPr>
            <w:tcW w:w="1449" w:type="dxa"/>
            <w:vAlign w:val="center"/>
          </w:tcPr>
          <w:p w:rsidR="00AC424B" w:rsidRPr="00D652DA" w:rsidRDefault="00AC424B" w:rsidP="007C2BC9">
            <w:pPr>
              <w:spacing w:line="219" w:lineRule="exact"/>
              <w:ind w:left="34"/>
              <w:jc w:val="left"/>
              <w:rPr>
                <w:sz w:val="20"/>
              </w:rPr>
            </w:pPr>
            <w:r w:rsidRPr="00D652DA">
              <w:rPr>
                <w:sz w:val="20"/>
              </w:rPr>
              <w:t>průběžně 2017 až 2023</w:t>
            </w:r>
          </w:p>
        </w:tc>
      </w:tr>
      <w:tr w:rsidR="00AC424B" w:rsidRPr="00D652DA" w:rsidTr="007C2BC9">
        <w:trPr>
          <w:trHeight w:val="365"/>
        </w:trPr>
        <w:tc>
          <w:tcPr>
            <w:tcW w:w="671" w:type="dxa"/>
            <w:gridSpan w:val="2"/>
            <w:vAlign w:val="center"/>
          </w:tcPr>
          <w:p w:rsidR="00AC424B" w:rsidRPr="00D652DA" w:rsidRDefault="00AC424B" w:rsidP="007C2BC9">
            <w:pPr>
              <w:spacing w:line="219" w:lineRule="exact"/>
              <w:jc w:val="left"/>
              <w:rPr>
                <w:rFonts w:eastAsia="Arial"/>
                <w:sz w:val="20"/>
              </w:rPr>
            </w:pPr>
            <w:r w:rsidRPr="00D652DA">
              <w:rPr>
                <w:rFonts w:eastAsia="Arial"/>
                <w:sz w:val="20"/>
              </w:rPr>
              <w:t>1.2</w:t>
            </w:r>
          </w:p>
        </w:tc>
        <w:tc>
          <w:tcPr>
            <w:tcW w:w="4145" w:type="dxa"/>
            <w:gridSpan w:val="2"/>
            <w:vAlign w:val="center"/>
          </w:tcPr>
          <w:p w:rsidR="00AC424B" w:rsidRPr="00D652DA" w:rsidRDefault="00AC424B" w:rsidP="007C2BC9">
            <w:pPr>
              <w:spacing w:line="219" w:lineRule="exact"/>
              <w:ind w:left="34"/>
              <w:jc w:val="left"/>
              <w:rPr>
                <w:sz w:val="20"/>
              </w:rPr>
            </w:pPr>
            <w:r w:rsidRPr="00D652DA">
              <w:rPr>
                <w:sz w:val="20"/>
              </w:rPr>
              <w:t>Implementace Akčního plánu k provedení nedotačních opatření pro podporu plánování a výstavby sítí elektronických komunikací</w:t>
            </w:r>
          </w:p>
        </w:tc>
        <w:tc>
          <w:tcPr>
            <w:tcW w:w="1419" w:type="dxa"/>
            <w:gridSpan w:val="5"/>
            <w:vAlign w:val="center"/>
          </w:tcPr>
          <w:p w:rsidR="00AC424B" w:rsidRPr="00D652DA" w:rsidRDefault="00AC424B" w:rsidP="007C2BC9">
            <w:pPr>
              <w:spacing w:line="219" w:lineRule="exact"/>
              <w:ind w:left="34"/>
              <w:jc w:val="left"/>
              <w:rPr>
                <w:sz w:val="20"/>
              </w:rPr>
            </w:pPr>
            <w:r w:rsidRPr="00D652DA">
              <w:rPr>
                <w:sz w:val="20"/>
              </w:rPr>
              <w:t>MPO</w:t>
            </w:r>
          </w:p>
        </w:tc>
        <w:tc>
          <w:tcPr>
            <w:tcW w:w="1523" w:type="dxa"/>
            <w:gridSpan w:val="3"/>
            <w:vAlign w:val="center"/>
          </w:tcPr>
          <w:p w:rsidR="00AC424B" w:rsidRPr="00D652DA" w:rsidRDefault="00AC424B" w:rsidP="007C2BC9">
            <w:pPr>
              <w:spacing w:line="219" w:lineRule="exact"/>
              <w:ind w:left="34"/>
              <w:jc w:val="center"/>
              <w:rPr>
                <w:sz w:val="20"/>
              </w:rPr>
            </w:pPr>
            <w:r w:rsidRPr="00D652DA">
              <w:rPr>
                <w:sz w:val="20"/>
              </w:rPr>
              <w:t>Koordinátor</w:t>
            </w:r>
          </w:p>
        </w:tc>
        <w:tc>
          <w:tcPr>
            <w:tcW w:w="1449" w:type="dxa"/>
            <w:vAlign w:val="center"/>
          </w:tcPr>
          <w:p w:rsidR="00AC424B" w:rsidRPr="00D652DA" w:rsidRDefault="00AC424B" w:rsidP="007C2BC9">
            <w:pPr>
              <w:spacing w:line="219" w:lineRule="exact"/>
              <w:ind w:left="34"/>
              <w:jc w:val="left"/>
              <w:rPr>
                <w:sz w:val="20"/>
              </w:rPr>
            </w:pPr>
            <w:r w:rsidRPr="00D652DA">
              <w:rPr>
                <w:sz w:val="20"/>
              </w:rPr>
              <w:t>průběžně 2017 až 2020</w:t>
            </w:r>
          </w:p>
        </w:tc>
      </w:tr>
      <w:tr w:rsidR="00AC424B" w:rsidRPr="00D652DA" w:rsidTr="007C2BC9">
        <w:trPr>
          <w:trHeight w:val="272"/>
        </w:trPr>
        <w:tc>
          <w:tcPr>
            <w:tcW w:w="671" w:type="dxa"/>
            <w:gridSpan w:val="2"/>
            <w:shd w:val="clear" w:color="auto" w:fill="FFFFFF" w:themeFill="background1"/>
            <w:vAlign w:val="center"/>
          </w:tcPr>
          <w:p w:rsidR="00AC424B" w:rsidRPr="00D652DA" w:rsidRDefault="00AC424B" w:rsidP="007C2BC9">
            <w:pPr>
              <w:spacing w:line="219" w:lineRule="exact"/>
              <w:jc w:val="left"/>
              <w:rPr>
                <w:rFonts w:eastAsia="Arial"/>
                <w:sz w:val="20"/>
              </w:rPr>
            </w:pPr>
            <w:r w:rsidRPr="00D652DA">
              <w:rPr>
                <w:rFonts w:eastAsia="Arial"/>
                <w:sz w:val="20"/>
              </w:rPr>
              <w:t>1.3</w:t>
            </w:r>
          </w:p>
        </w:tc>
        <w:tc>
          <w:tcPr>
            <w:tcW w:w="4145" w:type="dxa"/>
            <w:gridSpan w:val="2"/>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Aktualizace Strategie správy rádiového spektra</w:t>
            </w:r>
          </w:p>
        </w:tc>
        <w:tc>
          <w:tcPr>
            <w:tcW w:w="1419" w:type="dxa"/>
            <w:gridSpan w:val="5"/>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ČTÚ</w:t>
            </w:r>
          </w:p>
        </w:tc>
        <w:tc>
          <w:tcPr>
            <w:tcW w:w="1523" w:type="dxa"/>
            <w:gridSpan w:val="3"/>
            <w:shd w:val="clear" w:color="auto" w:fill="FFFFFF" w:themeFill="background1"/>
            <w:vAlign w:val="center"/>
          </w:tcPr>
          <w:p w:rsidR="00AC424B" w:rsidRPr="00D652DA" w:rsidRDefault="00AC424B" w:rsidP="007C2BC9">
            <w:pPr>
              <w:spacing w:line="219" w:lineRule="exact"/>
              <w:ind w:left="34"/>
              <w:jc w:val="left"/>
              <w:rPr>
                <w:sz w:val="20"/>
              </w:rPr>
            </w:pPr>
          </w:p>
        </w:tc>
        <w:tc>
          <w:tcPr>
            <w:tcW w:w="1449" w:type="dxa"/>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2Q 2017</w:t>
            </w:r>
          </w:p>
        </w:tc>
      </w:tr>
      <w:tr w:rsidR="00AC424B" w:rsidRPr="00D652DA" w:rsidTr="007C2BC9">
        <w:tc>
          <w:tcPr>
            <w:tcW w:w="9207" w:type="dxa"/>
            <w:gridSpan w:val="13"/>
            <w:shd w:val="clear" w:color="auto" w:fill="DBE5F1" w:themeFill="accent1" w:themeFillTint="33"/>
            <w:vAlign w:val="center"/>
          </w:tcPr>
          <w:p w:rsidR="00AC424B" w:rsidRPr="00A67068" w:rsidRDefault="00AC424B" w:rsidP="007C2BC9">
            <w:pPr>
              <w:jc w:val="center"/>
              <w:rPr>
                <w:rFonts w:eastAsia="Arial"/>
                <w:b/>
                <w:sz w:val="20"/>
              </w:rPr>
            </w:pPr>
            <w:r w:rsidRPr="00A67068">
              <w:rPr>
                <w:rFonts w:eastAsia="Arial"/>
                <w:b/>
                <w:sz w:val="20"/>
              </w:rPr>
              <w:t>Budování komunikačního prostředí veřejné správy</w:t>
            </w:r>
          </w:p>
        </w:tc>
      </w:tr>
      <w:tr w:rsidR="00AC424B" w:rsidRPr="00D652DA" w:rsidTr="007C2BC9">
        <w:tc>
          <w:tcPr>
            <w:tcW w:w="671" w:type="dxa"/>
            <w:gridSpan w:val="2"/>
            <w:tcBorders>
              <w:bottom w:val="single" w:sz="4" w:space="0" w:color="auto"/>
            </w:tcBorders>
            <w:vAlign w:val="center"/>
          </w:tcPr>
          <w:p w:rsidR="00AC424B" w:rsidRPr="00D652DA" w:rsidRDefault="00AC424B" w:rsidP="007C2BC9">
            <w:pPr>
              <w:spacing w:line="219" w:lineRule="exact"/>
              <w:ind w:left="34"/>
              <w:jc w:val="left"/>
              <w:rPr>
                <w:rFonts w:eastAsia="Arial"/>
                <w:sz w:val="20"/>
              </w:rPr>
            </w:pPr>
            <w:r w:rsidRPr="00D652DA">
              <w:rPr>
                <w:rFonts w:eastAsia="Arial"/>
                <w:sz w:val="20"/>
              </w:rPr>
              <w:t>1.4</w:t>
            </w:r>
          </w:p>
        </w:tc>
        <w:tc>
          <w:tcPr>
            <w:tcW w:w="4145" w:type="dxa"/>
            <w:gridSpan w:val="2"/>
            <w:tcBorders>
              <w:bottom w:val="single" w:sz="4" w:space="0" w:color="auto"/>
            </w:tcBorders>
            <w:vAlign w:val="center"/>
          </w:tcPr>
          <w:p w:rsidR="00AC424B" w:rsidRPr="00D652DA" w:rsidRDefault="00AC424B" w:rsidP="007C2BC9">
            <w:pPr>
              <w:spacing w:line="219" w:lineRule="exact"/>
              <w:ind w:left="34"/>
              <w:jc w:val="left"/>
              <w:rPr>
                <w:sz w:val="20"/>
              </w:rPr>
            </w:pPr>
            <w:r w:rsidRPr="00D652DA">
              <w:rPr>
                <w:sz w:val="20"/>
              </w:rPr>
              <w:t>Koncepce rozvoje komunikačního prostředí veřejné správy</w:t>
            </w:r>
          </w:p>
        </w:tc>
        <w:tc>
          <w:tcPr>
            <w:tcW w:w="1419" w:type="dxa"/>
            <w:gridSpan w:val="5"/>
            <w:tcBorders>
              <w:bottom w:val="single" w:sz="4" w:space="0" w:color="auto"/>
            </w:tcBorders>
            <w:vAlign w:val="center"/>
          </w:tcPr>
          <w:p w:rsidR="00AC424B" w:rsidRPr="00D652DA" w:rsidRDefault="00AC424B" w:rsidP="007C2BC9">
            <w:pPr>
              <w:spacing w:line="219" w:lineRule="exact"/>
              <w:ind w:left="34"/>
              <w:jc w:val="left"/>
              <w:rPr>
                <w:sz w:val="20"/>
              </w:rPr>
            </w:pPr>
            <w:r w:rsidRPr="00D652DA">
              <w:rPr>
                <w:sz w:val="20"/>
              </w:rPr>
              <w:t>MV</w:t>
            </w:r>
          </w:p>
        </w:tc>
        <w:tc>
          <w:tcPr>
            <w:tcW w:w="1523" w:type="dxa"/>
            <w:gridSpan w:val="3"/>
            <w:tcBorders>
              <w:bottom w:val="single" w:sz="4" w:space="0" w:color="auto"/>
            </w:tcBorders>
            <w:vAlign w:val="center"/>
          </w:tcPr>
          <w:p w:rsidR="00AC424B" w:rsidRPr="00D652DA" w:rsidRDefault="00AC424B" w:rsidP="007C2BC9">
            <w:pPr>
              <w:spacing w:line="219" w:lineRule="exact"/>
              <w:ind w:left="34"/>
              <w:jc w:val="left"/>
              <w:rPr>
                <w:sz w:val="20"/>
              </w:rPr>
            </w:pPr>
          </w:p>
        </w:tc>
        <w:tc>
          <w:tcPr>
            <w:tcW w:w="1449" w:type="dxa"/>
            <w:tcBorders>
              <w:bottom w:val="single" w:sz="4" w:space="0" w:color="auto"/>
            </w:tcBorders>
            <w:vAlign w:val="center"/>
          </w:tcPr>
          <w:p w:rsidR="00AC424B" w:rsidRPr="00D652DA" w:rsidRDefault="00AC424B" w:rsidP="007C2BC9">
            <w:pPr>
              <w:spacing w:line="219" w:lineRule="exact"/>
              <w:ind w:left="34"/>
              <w:jc w:val="left"/>
              <w:rPr>
                <w:sz w:val="20"/>
              </w:rPr>
            </w:pPr>
            <w:r w:rsidRPr="00D652DA">
              <w:rPr>
                <w:sz w:val="20"/>
              </w:rPr>
              <w:t>1Q 2018</w:t>
            </w:r>
          </w:p>
        </w:tc>
      </w:tr>
      <w:tr w:rsidR="00AC424B" w:rsidRPr="00D652DA" w:rsidTr="007C2BC9">
        <w:tc>
          <w:tcPr>
            <w:tcW w:w="9207" w:type="dxa"/>
            <w:gridSpan w:val="13"/>
            <w:shd w:val="clear" w:color="auto" w:fill="DBE5F1" w:themeFill="accent1" w:themeFillTint="33"/>
            <w:vAlign w:val="center"/>
          </w:tcPr>
          <w:p w:rsidR="00AC424B" w:rsidRPr="00D652DA" w:rsidRDefault="00AC424B" w:rsidP="007C2BC9">
            <w:pPr>
              <w:jc w:val="center"/>
              <w:rPr>
                <w:rFonts w:eastAsia="Arial"/>
                <w:sz w:val="20"/>
              </w:rPr>
            </w:pPr>
            <w:r w:rsidRPr="00A67068">
              <w:rPr>
                <w:rFonts w:eastAsia="Arial"/>
                <w:b/>
                <w:sz w:val="20"/>
              </w:rPr>
              <w:t>Revize regulačního rámce EU pro sítě a služby elektronických komunikací</w:t>
            </w:r>
          </w:p>
        </w:tc>
      </w:tr>
      <w:tr w:rsidR="00AC424B" w:rsidRPr="00D652DA" w:rsidTr="007C2BC9">
        <w:tc>
          <w:tcPr>
            <w:tcW w:w="671" w:type="dxa"/>
            <w:gridSpan w:val="2"/>
            <w:tcBorders>
              <w:bottom w:val="single" w:sz="4" w:space="0" w:color="auto"/>
            </w:tcBorders>
            <w:vAlign w:val="center"/>
          </w:tcPr>
          <w:p w:rsidR="00AC424B" w:rsidRPr="00D652DA" w:rsidRDefault="00AC424B" w:rsidP="007C2BC9">
            <w:pPr>
              <w:spacing w:line="219" w:lineRule="exact"/>
              <w:ind w:left="34"/>
              <w:jc w:val="left"/>
              <w:rPr>
                <w:rFonts w:eastAsia="Arial"/>
                <w:sz w:val="20"/>
              </w:rPr>
            </w:pPr>
            <w:r w:rsidRPr="00D652DA">
              <w:rPr>
                <w:rFonts w:eastAsia="Arial"/>
                <w:sz w:val="20"/>
              </w:rPr>
              <w:t>1.5</w:t>
            </w:r>
          </w:p>
        </w:tc>
        <w:tc>
          <w:tcPr>
            <w:tcW w:w="4145" w:type="dxa"/>
            <w:gridSpan w:val="2"/>
            <w:tcBorders>
              <w:bottom w:val="single" w:sz="4" w:space="0" w:color="auto"/>
            </w:tcBorders>
            <w:vAlign w:val="center"/>
          </w:tcPr>
          <w:p w:rsidR="00AC424B" w:rsidRPr="00D652DA" w:rsidRDefault="00AC424B" w:rsidP="007C2BC9">
            <w:pPr>
              <w:spacing w:line="219" w:lineRule="exact"/>
              <w:ind w:left="34"/>
              <w:jc w:val="left"/>
              <w:rPr>
                <w:sz w:val="20"/>
              </w:rPr>
            </w:pPr>
            <w:r w:rsidRPr="00D652DA">
              <w:rPr>
                <w:sz w:val="20"/>
              </w:rPr>
              <w:t>Prosazování pozice ČR při projednávání návrhu revize telekomunikačního rámce</w:t>
            </w:r>
          </w:p>
        </w:tc>
        <w:tc>
          <w:tcPr>
            <w:tcW w:w="1419" w:type="dxa"/>
            <w:gridSpan w:val="5"/>
            <w:tcBorders>
              <w:bottom w:val="single" w:sz="4" w:space="0" w:color="auto"/>
            </w:tcBorders>
            <w:vAlign w:val="center"/>
          </w:tcPr>
          <w:p w:rsidR="00AC424B" w:rsidRPr="00D652DA" w:rsidRDefault="00AC424B" w:rsidP="007C2BC9">
            <w:pPr>
              <w:spacing w:line="219" w:lineRule="exact"/>
              <w:ind w:left="34"/>
              <w:jc w:val="left"/>
              <w:rPr>
                <w:sz w:val="20"/>
              </w:rPr>
            </w:pPr>
            <w:r w:rsidRPr="00D652DA">
              <w:rPr>
                <w:sz w:val="20"/>
              </w:rPr>
              <w:t>MPO</w:t>
            </w:r>
          </w:p>
        </w:tc>
        <w:tc>
          <w:tcPr>
            <w:tcW w:w="1523" w:type="dxa"/>
            <w:gridSpan w:val="3"/>
            <w:tcBorders>
              <w:bottom w:val="single" w:sz="4" w:space="0" w:color="auto"/>
            </w:tcBorders>
            <w:vAlign w:val="center"/>
          </w:tcPr>
          <w:p w:rsidR="00AC424B" w:rsidRPr="00D652DA" w:rsidRDefault="00AC424B" w:rsidP="007C2BC9">
            <w:pPr>
              <w:spacing w:line="219" w:lineRule="exact"/>
              <w:ind w:left="34"/>
              <w:jc w:val="left"/>
              <w:rPr>
                <w:sz w:val="20"/>
              </w:rPr>
            </w:pPr>
          </w:p>
        </w:tc>
        <w:tc>
          <w:tcPr>
            <w:tcW w:w="1449" w:type="dxa"/>
            <w:tcBorders>
              <w:bottom w:val="single" w:sz="4" w:space="0" w:color="auto"/>
            </w:tcBorders>
            <w:vAlign w:val="center"/>
          </w:tcPr>
          <w:p w:rsidR="00AC424B" w:rsidRPr="00D652DA" w:rsidRDefault="00AC424B" w:rsidP="007C2BC9">
            <w:pPr>
              <w:spacing w:line="219" w:lineRule="exact"/>
              <w:ind w:left="34"/>
              <w:jc w:val="left"/>
              <w:rPr>
                <w:sz w:val="20"/>
              </w:rPr>
            </w:pPr>
            <w:r w:rsidRPr="00D652DA">
              <w:rPr>
                <w:sz w:val="20"/>
              </w:rPr>
              <w:t>průběžně</w:t>
            </w:r>
          </w:p>
        </w:tc>
      </w:tr>
      <w:tr w:rsidR="00AC424B" w:rsidRPr="00D652DA" w:rsidTr="007C2BC9">
        <w:tc>
          <w:tcPr>
            <w:tcW w:w="9207" w:type="dxa"/>
            <w:gridSpan w:val="13"/>
            <w:tcBorders>
              <w:bottom w:val="single" w:sz="4" w:space="0" w:color="auto"/>
            </w:tcBorders>
            <w:shd w:val="clear" w:color="auto" w:fill="DBE5F1" w:themeFill="accent1" w:themeFillTint="33"/>
            <w:vAlign w:val="center"/>
          </w:tcPr>
          <w:p w:rsidR="00AC424B" w:rsidRPr="00D652DA" w:rsidRDefault="00AC424B" w:rsidP="007C2BC9">
            <w:pPr>
              <w:jc w:val="center"/>
              <w:rPr>
                <w:rFonts w:eastAsia="Arial"/>
                <w:sz w:val="20"/>
              </w:rPr>
            </w:pPr>
            <w:r w:rsidRPr="00A67068">
              <w:rPr>
                <w:rFonts w:eastAsia="Arial"/>
                <w:b/>
                <w:sz w:val="20"/>
              </w:rPr>
              <w:t>Doprava a rozvoj kosmických technologií</w:t>
            </w:r>
          </w:p>
        </w:tc>
      </w:tr>
      <w:tr w:rsidR="00AC424B" w:rsidRPr="00D652DA" w:rsidTr="007C2BC9">
        <w:trPr>
          <w:trHeight w:val="1309"/>
        </w:trPr>
        <w:tc>
          <w:tcPr>
            <w:tcW w:w="671" w:type="dxa"/>
            <w:gridSpan w:val="2"/>
            <w:tcBorders>
              <w:bottom w:val="single" w:sz="4" w:space="0" w:color="auto"/>
            </w:tcBorders>
            <w:vAlign w:val="center"/>
          </w:tcPr>
          <w:p w:rsidR="00AC424B" w:rsidRPr="00D652DA" w:rsidRDefault="00AC424B" w:rsidP="007C2BC9">
            <w:pPr>
              <w:spacing w:line="219" w:lineRule="exact"/>
              <w:ind w:left="34"/>
              <w:jc w:val="left"/>
              <w:rPr>
                <w:rFonts w:eastAsia="Arial"/>
                <w:sz w:val="20"/>
              </w:rPr>
            </w:pPr>
            <w:r w:rsidRPr="00D652DA">
              <w:rPr>
                <w:rFonts w:eastAsia="Arial"/>
                <w:sz w:val="20"/>
              </w:rPr>
              <w:t>1.6</w:t>
            </w:r>
          </w:p>
        </w:tc>
        <w:tc>
          <w:tcPr>
            <w:tcW w:w="4145" w:type="dxa"/>
            <w:gridSpan w:val="2"/>
            <w:tcBorders>
              <w:bottom w:val="single" w:sz="4" w:space="0" w:color="auto"/>
            </w:tcBorders>
            <w:vAlign w:val="center"/>
          </w:tcPr>
          <w:p w:rsidR="00AC424B" w:rsidRPr="00D652DA" w:rsidRDefault="00AC424B" w:rsidP="00382726">
            <w:pPr>
              <w:spacing w:line="219" w:lineRule="exact"/>
              <w:ind w:left="34"/>
              <w:jc w:val="left"/>
              <w:rPr>
                <w:sz w:val="20"/>
              </w:rPr>
            </w:pPr>
            <w:r w:rsidRPr="00D652DA">
              <w:rPr>
                <w:sz w:val="20"/>
              </w:rPr>
              <w:t>Příprava projektu pokrytí hlavních železničních a silničních cest   vysokorychlostním internetem a datovými službami v dostatečné kvalitě a kapacitě</w:t>
            </w:r>
          </w:p>
        </w:tc>
        <w:tc>
          <w:tcPr>
            <w:tcW w:w="1419" w:type="dxa"/>
            <w:gridSpan w:val="5"/>
            <w:tcBorders>
              <w:bottom w:val="single" w:sz="4" w:space="0" w:color="auto"/>
            </w:tcBorders>
            <w:vAlign w:val="center"/>
          </w:tcPr>
          <w:p w:rsidR="00AC424B" w:rsidRPr="00D652DA" w:rsidRDefault="00AC424B" w:rsidP="007C2BC9">
            <w:pPr>
              <w:spacing w:line="219" w:lineRule="exact"/>
              <w:ind w:left="34"/>
              <w:jc w:val="left"/>
              <w:rPr>
                <w:sz w:val="20"/>
              </w:rPr>
            </w:pPr>
            <w:r w:rsidRPr="00D652DA">
              <w:rPr>
                <w:sz w:val="20"/>
              </w:rPr>
              <w:t>MD, MPO</w:t>
            </w:r>
          </w:p>
        </w:tc>
        <w:tc>
          <w:tcPr>
            <w:tcW w:w="1523" w:type="dxa"/>
            <w:gridSpan w:val="3"/>
            <w:tcBorders>
              <w:bottom w:val="single" w:sz="4" w:space="0" w:color="auto"/>
            </w:tcBorders>
            <w:vAlign w:val="center"/>
          </w:tcPr>
          <w:p w:rsidR="00AC424B" w:rsidRPr="00D652DA" w:rsidRDefault="00AC424B" w:rsidP="007C2BC9">
            <w:pPr>
              <w:spacing w:line="219" w:lineRule="exact"/>
              <w:ind w:left="34"/>
              <w:jc w:val="center"/>
              <w:rPr>
                <w:sz w:val="20"/>
              </w:rPr>
            </w:pPr>
            <w:r w:rsidRPr="00D652DA">
              <w:rPr>
                <w:sz w:val="20"/>
              </w:rPr>
              <w:t>ČTÚ</w:t>
            </w:r>
          </w:p>
        </w:tc>
        <w:tc>
          <w:tcPr>
            <w:tcW w:w="1449" w:type="dxa"/>
            <w:tcBorders>
              <w:bottom w:val="single" w:sz="4" w:space="0" w:color="auto"/>
            </w:tcBorders>
            <w:vAlign w:val="center"/>
          </w:tcPr>
          <w:p w:rsidR="00AC424B" w:rsidRPr="00D652DA" w:rsidRDefault="00AC424B" w:rsidP="007C2BC9">
            <w:pPr>
              <w:spacing w:line="219" w:lineRule="exact"/>
              <w:ind w:left="34"/>
              <w:jc w:val="left"/>
              <w:rPr>
                <w:sz w:val="20"/>
              </w:rPr>
            </w:pPr>
            <w:r w:rsidRPr="00D652DA">
              <w:rPr>
                <w:sz w:val="20"/>
              </w:rPr>
              <w:t>2Q 2018</w:t>
            </w:r>
          </w:p>
        </w:tc>
      </w:tr>
    </w:tbl>
    <w:p w:rsidR="00D07530" w:rsidRDefault="00D07530">
      <w:r>
        <w:br w:type="page"/>
      </w:r>
    </w:p>
    <w:tbl>
      <w:tblPr>
        <w:tblStyle w:val="Mkatabulky"/>
        <w:tblW w:w="9207" w:type="dxa"/>
        <w:tblInd w:w="5" w:type="dxa"/>
        <w:tblLayout w:type="fixed"/>
        <w:tblLook w:val="04A0"/>
      </w:tblPr>
      <w:tblGrid>
        <w:gridCol w:w="671"/>
        <w:gridCol w:w="4125"/>
        <w:gridCol w:w="20"/>
        <w:gridCol w:w="1419"/>
        <w:gridCol w:w="1523"/>
        <w:gridCol w:w="1449"/>
      </w:tblGrid>
      <w:tr w:rsidR="00AC424B" w:rsidRPr="00D652DA" w:rsidTr="007C2BC9">
        <w:tc>
          <w:tcPr>
            <w:tcW w:w="671" w:type="dxa"/>
            <w:tcBorders>
              <w:bottom w:val="single" w:sz="4" w:space="0" w:color="auto"/>
            </w:tcBorders>
            <w:vAlign w:val="center"/>
          </w:tcPr>
          <w:p w:rsidR="00AC424B" w:rsidRPr="00D652DA" w:rsidRDefault="00AC424B" w:rsidP="007C2BC9">
            <w:pPr>
              <w:spacing w:line="219" w:lineRule="exact"/>
              <w:ind w:left="34"/>
              <w:jc w:val="left"/>
              <w:rPr>
                <w:rFonts w:eastAsia="Arial"/>
                <w:sz w:val="20"/>
              </w:rPr>
            </w:pPr>
            <w:r w:rsidRPr="00D652DA">
              <w:rPr>
                <w:rFonts w:eastAsia="Arial"/>
                <w:sz w:val="20"/>
              </w:rPr>
              <w:lastRenderedPageBreak/>
              <w:t>1.7</w:t>
            </w:r>
          </w:p>
        </w:tc>
        <w:tc>
          <w:tcPr>
            <w:tcW w:w="4145" w:type="dxa"/>
            <w:gridSpan w:val="2"/>
            <w:tcBorders>
              <w:bottom w:val="single" w:sz="4" w:space="0" w:color="auto"/>
            </w:tcBorders>
            <w:vAlign w:val="center"/>
          </w:tcPr>
          <w:p w:rsidR="00AC424B" w:rsidRPr="00D652DA" w:rsidRDefault="00AC424B" w:rsidP="007C2BC9">
            <w:pPr>
              <w:spacing w:line="219" w:lineRule="exact"/>
              <w:ind w:left="34"/>
              <w:jc w:val="left"/>
              <w:rPr>
                <w:sz w:val="20"/>
              </w:rPr>
            </w:pPr>
            <w:r w:rsidRPr="00D652DA">
              <w:rPr>
                <w:sz w:val="20"/>
              </w:rPr>
              <w:t>Příprava projektu kvalitního cel</w:t>
            </w:r>
            <w:r w:rsidR="00A67068">
              <w:rPr>
                <w:sz w:val="20"/>
              </w:rPr>
              <w:t xml:space="preserve">oplošného pokrytí železniční </w:t>
            </w:r>
            <w:r w:rsidRPr="00D652DA">
              <w:rPr>
                <w:sz w:val="20"/>
              </w:rPr>
              <w:t>infrastruktury technologií bezdrátové komunikace</w:t>
            </w:r>
          </w:p>
        </w:tc>
        <w:tc>
          <w:tcPr>
            <w:tcW w:w="1419" w:type="dxa"/>
            <w:tcBorders>
              <w:bottom w:val="single" w:sz="4" w:space="0" w:color="auto"/>
            </w:tcBorders>
            <w:vAlign w:val="center"/>
          </w:tcPr>
          <w:p w:rsidR="00AC424B" w:rsidRPr="00D652DA" w:rsidRDefault="00AC424B" w:rsidP="007C2BC9">
            <w:pPr>
              <w:spacing w:line="219" w:lineRule="exact"/>
              <w:ind w:left="34"/>
              <w:jc w:val="left"/>
              <w:rPr>
                <w:sz w:val="20"/>
              </w:rPr>
            </w:pPr>
            <w:r w:rsidRPr="00D652DA">
              <w:rPr>
                <w:sz w:val="20"/>
              </w:rPr>
              <w:t>MD, MPO</w:t>
            </w:r>
          </w:p>
        </w:tc>
        <w:tc>
          <w:tcPr>
            <w:tcW w:w="1523" w:type="dxa"/>
            <w:tcBorders>
              <w:bottom w:val="single" w:sz="4" w:space="0" w:color="auto"/>
            </w:tcBorders>
            <w:vAlign w:val="center"/>
          </w:tcPr>
          <w:p w:rsidR="00AC424B" w:rsidRPr="00D652DA" w:rsidRDefault="00AC424B" w:rsidP="007C2BC9">
            <w:pPr>
              <w:spacing w:line="219" w:lineRule="exact"/>
              <w:ind w:left="34"/>
              <w:jc w:val="left"/>
              <w:rPr>
                <w:sz w:val="20"/>
              </w:rPr>
            </w:pPr>
          </w:p>
        </w:tc>
        <w:tc>
          <w:tcPr>
            <w:tcW w:w="1449" w:type="dxa"/>
            <w:tcBorders>
              <w:bottom w:val="single" w:sz="4" w:space="0" w:color="auto"/>
            </w:tcBorders>
            <w:vAlign w:val="center"/>
          </w:tcPr>
          <w:p w:rsidR="00AC424B" w:rsidRPr="00D652DA" w:rsidRDefault="00AC424B" w:rsidP="007C2BC9">
            <w:pPr>
              <w:spacing w:line="219" w:lineRule="exact"/>
              <w:ind w:left="34"/>
              <w:jc w:val="left"/>
              <w:rPr>
                <w:sz w:val="20"/>
              </w:rPr>
            </w:pPr>
            <w:r w:rsidRPr="00D652DA">
              <w:rPr>
                <w:sz w:val="20"/>
              </w:rPr>
              <w:t>2Q 2018</w:t>
            </w:r>
          </w:p>
        </w:tc>
      </w:tr>
      <w:tr w:rsidR="00AC424B" w:rsidRPr="00D652DA" w:rsidTr="007C2BC9">
        <w:tc>
          <w:tcPr>
            <w:tcW w:w="671" w:type="dxa"/>
            <w:tcBorders>
              <w:bottom w:val="single" w:sz="4" w:space="0" w:color="auto"/>
            </w:tcBorders>
            <w:vAlign w:val="center"/>
          </w:tcPr>
          <w:p w:rsidR="00AC424B" w:rsidRPr="00D652DA" w:rsidRDefault="00AC424B" w:rsidP="007C2BC9">
            <w:pPr>
              <w:spacing w:line="219" w:lineRule="exact"/>
              <w:ind w:left="34"/>
              <w:jc w:val="left"/>
              <w:rPr>
                <w:rFonts w:eastAsia="Arial"/>
                <w:sz w:val="20"/>
              </w:rPr>
            </w:pPr>
            <w:r w:rsidRPr="00D652DA">
              <w:rPr>
                <w:rFonts w:eastAsia="Arial"/>
                <w:sz w:val="20"/>
              </w:rPr>
              <w:t>1.8</w:t>
            </w:r>
          </w:p>
        </w:tc>
        <w:tc>
          <w:tcPr>
            <w:tcW w:w="4145" w:type="dxa"/>
            <w:gridSpan w:val="2"/>
            <w:tcBorders>
              <w:bottom w:val="single" w:sz="4" w:space="0" w:color="auto"/>
            </w:tcBorders>
            <w:vAlign w:val="center"/>
          </w:tcPr>
          <w:p w:rsidR="00AC424B" w:rsidRPr="00D652DA" w:rsidRDefault="00AC424B" w:rsidP="007C2BC9">
            <w:pPr>
              <w:spacing w:line="219" w:lineRule="exact"/>
              <w:ind w:left="34"/>
              <w:jc w:val="left"/>
              <w:rPr>
                <w:sz w:val="20"/>
              </w:rPr>
            </w:pPr>
            <w:r w:rsidRPr="00D652DA">
              <w:rPr>
                <w:sz w:val="20"/>
              </w:rPr>
              <w:t>Prověření možnosti využití sítě veřejných mobilních operátorů pro přenos dat k zajištění provozuschopnosti dráhy, jejího provozování anebo provozování drážní dopravy</w:t>
            </w:r>
          </w:p>
        </w:tc>
        <w:tc>
          <w:tcPr>
            <w:tcW w:w="1419" w:type="dxa"/>
            <w:tcBorders>
              <w:bottom w:val="single" w:sz="4" w:space="0" w:color="auto"/>
            </w:tcBorders>
            <w:vAlign w:val="center"/>
          </w:tcPr>
          <w:p w:rsidR="00AC424B" w:rsidRPr="00D652DA" w:rsidRDefault="00AC424B" w:rsidP="007C2BC9">
            <w:pPr>
              <w:spacing w:line="219" w:lineRule="exact"/>
              <w:ind w:left="34"/>
              <w:jc w:val="left"/>
              <w:rPr>
                <w:sz w:val="20"/>
              </w:rPr>
            </w:pPr>
            <w:r w:rsidRPr="00D652DA">
              <w:rPr>
                <w:sz w:val="20"/>
              </w:rPr>
              <w:t>MD, MPO</w:t>
            </w:r>
          </w:p>
        </w:tc>
        <w:tc>
          <w:tcPr>
            <w:tcW w:w="1523" w:type="dxa"/>
            <w:tcBorders>
              <w:bottom w:val="single" w:sz="4" w:space="0" w:color="auto"/>
            </w:tcBorders>
            <w:vAlign w:val="center"/>
          </w:tcPr>
          <w:p w:rsidR="00AC424B" w:rsidRPr="00D652DA" w:rsidRDefault="006528B1" w:rsidP="007C2BC9">
            <w:pPr>
              <w:spacing w:line="219" w:lineRule="exact"/>
              <w:ind w:left="34"/>
              <w:jc w:val="left"/>
              <w:rPr>
                <w:sz w:val="20"/>
              </w:rPr>
            </w:pPr>
            <w:r>
              <w:rPr>
                <w:sz w:val="20"/>
              </w:rPr>
              <w:t>ĆTÚ</w:t>
            </w:r>
          </w:p>
        </w:tc>
        <w:tc>
          <w:tcPr>
            <w:tcW w:w="1449" w:type="dxa"/>
            <w:tcBorders>
              <w:bottom w:val="single" w:sz="4" w:space="0" w:color="auto"/>
            </w:tcBorders>
            <w:vAlign w:val="center"/>
          </w:tcPr>
          <w:p w:rsidR="00AC424B" w:rsidRPr="00D652DA" w:rsidRDefault="00AC424B" w:rsidP="007C2BC9">
            <w:pPr>
              <w:spacing w:line="219" w:lineRule="exact"/>
              <w:ind w:left="34"/>
              <w:jc w:val="left"/>
              <w:rPr>
                <w:sz w:val="20"/>
              </w:rPr>
            </w:pPr>
            <w:r w:rsidRPr="00D652DA">
              <w:rPr>
                <w:sz w:val="20"/>
              </w:rPr>
              <w:t>4Q 2017</w:t>
            </w:r>
          </w:p>
        </w:tc>
      </w:tr>
      <w:tr w:rsidR="00AC424B" w:rsidRPr="00D652DA" w:rsidTr="007C2BC9">
        <w:tc>
          <w:tcPr>
            <w:tcW w:w="671" w:type="dxa"/>
            <w:tcBorders>
              <w:bottom w:val="single" w:sz="4" w:space="0" w:color="auto"/>
            </w:tcBorders>
            <w:vAlign w:val="center"/>
          </w:tcPr>
          <w:p w:rsidR="00AC424B" w:rsidRPr="00D652DA" w:rsidRDefault="00AC424B" w:rsidP="007C2BC9">
            <w:pPr>
              <w:spacing w:line="219" w:lineRule="exact"/>
              <w:ind w:left="34"/>
              <w:jc w:val="left"/>
              <w:rPr>
                <w:rFonts w:eastAsia="Arial"/>
                <w:sz w:val="20"/>
              </w:rPr>
            </w:pPr>
            <w:r w:rsidRPr="00D652DA">
              <w:rPr>
                <w:rFonts w:eastAsia="Arial"/>
                <w:sz w:val="20"/>
              </w:rPr>
              <w:t>1.9</w:t>
            </w:r>
          </w:p>
        </w:tc>
        <w:tc>
          <w:tcPr>
            <w:tcW w:w="4145" w:type="dxa"/>
            <w:gridSpan w:val="2"/>
            <w:tcBorders>
              <w:bottom w:val="single" w:sz="4" w:space="0" w:color="auto"/>
            </w:tcBorders>
            <w:vAlign w:val="center"/>
          </w:tcPr>
          <w:p w:rsidR="00AC424B" w:rsidRPr="00D652DA" w:rsidRDefault="00AC424B" w:rsidP="007C2BC9">
            <w:pPr>
              <w:spacing w:line="219" w:lineRule="exact"/>
              <w:ind w:left="34"/>
              <w:jc w:val="left"/>
              <w:rPr>
                <w:sz w:val="20"/>
              </w:rPr>
            </w:pPr>
            <w:r w:rsidRPr="00D652DA">
              <w:rPr>
                <w:sz w:val="20"/>
              </w:rPr>
              <w:t>Ověření funkčnosti služeb poskytovaných na stejných nebo přímo sousedních frekvencích pro potřeby silniční dopravy</w:t>
            </w:r>
          </w:p>
        </w:tc>
        <w:tc>
          <w:tcPr>
            <w:tcW w:w="1419" w:type="dxa"/>
            <w:tcBorders>
              <w:bottom w:val="single" w:sz="4" w:space="0" w:color="auto"/>
            </w:tcBorders>
            <w:vAlign w:val="center"/>
          </w:tcPr>
          <w:p w:rsidR="00AC424B" w:rsidRPr="00D652DA" w:rsidRDefault="00AC424B" w:rsidP="007C2BC9">
            <w:pPr>
              <w:spacing w:line="219" w:lineRule="exact"/>
              <w:ind w:left="34"/>
              <w:jc w:val="left"/>
              <w:rPr>
                <w:sz w:val="20"/>
              </w:rPr>
            </w:pPr>
            <w:r w:rsidRPr="00D652DA">
              <w:rPr>
                <w:sz w:val="20"/>
              </w:rPr>
              <w:t>MD, MPO</w:t>
            </w:r>
          </w:p>
        </w:tc>
        <w:tc>
          <w:tcPr>
            <w:tcW w:w="1523" w:type="dxa"/>
            <w:tcBorders>
              <w:bottom w:val="single" w:sz="4" w:space="0" w:color="auto"/>
            </w:tcBorders>
            <w:vAlign w:val="center"/>
          </w:tcPr>
          <w:p w:rsidR="00AC424B" w:rsidRPr="00D652DA" w:rsidRDefault="006528B1" w:rsidP="007C2BC9">
            <w:pPr>
              <w:spacing w:line="219" w:lineRule="exact"/>
              <w:ind w:left="34"/>
              <w:jc w:val="left"/>
              <w:rPr>
                <w:sz w:val="20"/>
              </w:rPr>
            </w:pPr>
            <w:r>
              <w:rPr>
                <w:sz w:val="20"/>
              </w:rPr>
              <w:t>ČTÚ</w:t>
            </w:r>
          </w:p>
        </w:tc>
        <w:tc>
          <w:tcPr>
            <w:tcW w:w="1449" w:type="dxa"/>
            <w:tcBorders>
              <w:bottom w:val="single" w:sz="4" w:space="0" w:color="auto"/>
            </w:tcBorders>
            <w:vAlign w:val="center"/>
          </w:tcPr>
          <w:p w:rsidR="00AC424B" w:rsidRPr="00D652DA" w:rsidRDefault="00AC424B" w:rsidP="007C2BC9">
            <w:pPr>
              <w:spacing w:line="219" w:lineRule="exact"/>
              <w:ind w:left="34"/>
              <w:jc w:val="left"/>
              <w:rPr>
                <w:sz w:val="20"/>
              </w:rPr>
            </w:pPr>
            <w:r w:rsidRPr="00D652DA">
              <w:rPr>
                <w:sz w:val="20"/>
              </w:rPr>
              <w:t>4Q 2017</w:t>
            </w:r>
          </w:p>
        </w:tc>
      </w:tr>
      <w:tr w:rsidR="00AC424B" w:rsidRPr="00D652DA" w:rsidTr="007C2BC9">
        <w:tc>
          <w:tcPr>
            <w:tcW w:w="671" w:type="dxa"/>
            <w:tcBorders>
              <w:bottom w:val="single" w:sz="4" w:space="0" w:color="auto"/>
            </w:tcBorders>
            <w:vAlign w:val="center"/>
          </w:tcPr>
          <w:p w:rsidR="00AC424B" w:rsidRPr="00D652DA" w:rsidRDefault="00AC424B" w:rsidP="007C2BC9">
            <w:pPr>
              <w:spacing w:line="219" w:lineRule="exact"/>
              <w:ind w:left="708" w:hanging="674"/>
              <w:jc w:val="left"/>
              <w:rPr>
                <w:rFonts w:eastAsia="Arial"/>
                <w:sz w:val="20"/>
              </w:rPr>
            </w:pPr>
            <w:r w:rsidRPr="00D652DA">
              <w:rPr>
                <w:rFonts w:eastAsia="Arial"/>
                <w:sz w:val="20"/>
              </w:rPr>
              <w:t>1.10</w:t>
            </w:r>
          </w:p>
        </w:tc>
        <w:tc>
          <w:tcPr>
            <w:tcW w:w="4145" w:type="dxa"/>
            <w:gridSpan w:val="2"/>
            <w:tcBorders>
              <w:bottom w:val="single" w:sz="4" w:space="0" w:color="auto"/>
            </w:tcBorders>
            <w:vAlign w:val="center"/>
          </w:tcPr>
          <w:p w:rsidR="00AC424B" w:rsidRPr="00D652DA" w:rsidRDefault="00AC424B" w:rsidP="007C2BC9">
            <w:pPr>
              <w:spacing w:line="219" w:lineRule="exact"/>
              <w:ind w:left="34"/>
              <w:jc w:val="left"/>
              <w:rPr>
                <w:sz w:val="20"/>
              </w:rPr>
            </w:pPr>
            <w:r w:rsidRPr="00D652DA">
              <w:rPr>
                <w:sz w:val="20"/>
              </w:rPr>
              <w:t>Pokračovat ve vývoji a testování nových specializovaných komponent a technologií pro provoz bezpečných a plně autonomních vozidel, které budou představovat nový způsob dopravy</w:t>
            </w:r>
          </w:p>
        </w:tc>
        <w:tc>
          <w:tcPr>
            <w:tcW w:w="1419" w:type="dxa"/>
            <w:tcBorders>
              <w:bottom w:val="single" w:sz="4" w:space="0" w:color="auto"/>
            </w:tcBorders>
            <w:vAlign w:val="center"/>
          </w:tcPr>
          <w:p w:rsidR="00AC424B" w:rsidRPr="00D652DA" w:rsidRDefault="00AC424B" w:rsidP="007C2BC9">
            <w:pPr>
              <w:spacing w:line="219" w:lineRule="exact"/>
              <w:ind w:left="34"/>
              <w:jc w:val="left"/>
              <w:rPr>
                <w:sz w:val="20"/>
              </w:rPr>
            </w:pPr>
            <w:r w:rsidRPr="00D652DA">
              <w:rPr>
                <w:sz w:val="20"/>
              </w:rPr>
              <w:t>MD</w:t>
            </w:r>
          </w:p>
        </w:tc>
        <w:tc>
          <w:tcPr>
            <w:tcW w:w="1523" w:type="dxa"/>
            <w:tcBorders>
              <w:bottom w:val="single" w:sz="4" w:space="0" w:color="auto"/>
            </w:tcBorders>
            <w:vAlign w:val="center"/>
          </w:tcPr>
          <w:p w:rsidR="00AC424B" w:rsidRPr="00D652DA" w:rsidRDefault="00AC424B" w:rsidP="007C2BC9">
            <w:pPr>
              <w:spacing w:line="219" w:lineRule="exact"/>
              <w:ind w:left="34"/>
              <w:jc w:val="left"/>
              <w:rPr>
                <w:sz w:val="20"/>
              </w:rPr>
            </w:pPr>
            <w:r w:rsidRPr="00D652DA">
              <w:rPr>
                <w:sz w:val="20"/>
              </w:rPr>
              <w:t>další ústřední orgány státní správy</w:t>
            </w:r>
          </w:p>
        </w:tc>
        <w:tc>
          <w:tcPr>
            <w:tcW w:w="1449" w:type="dxa"/>
            <w:tcBorders>
              <w:bottom w:val="single" w:sz="4" w:space="0" w:color="auto"/>
            </w:tcBorders>
            <w:vAlign w:val="center"/>
          </w:tcPr>
          <w:p w:rsidR="00AC424B" w:rsidRPr="00D652DA" w:rsidRDefault="00AC424B" w:rsidP="007C2BC9">
            <w:pPr>
              <w:spacing w:line="219" w:lineRule="exact"/>
              <w:ind w:left="34"/>
              <w:jc w:val="left"/>
              <w:rPr>
                <w:sz w:val="20"/>
              </w:rPr>
            </w:pPr>
            <w:r w:rsidRPr="00D652DA">
              <w:rPr>
                <w:sz w:val="20"/>
              </w:rPr>
              <w:t>průběžně</w:t>
            </w:r>
          </w:p>
        </w:tc>
      </w:tr>
      <w:tr w:rsidR="00AC424B" w:rsidRPr="00D652DA" w:rsidTr="007C2BC9">
        <w:tc>
          <w:tcPr>
            <w:tcW w:w="671" w:type="dxa"/>
            <w:tcBorders>
              <w:bottom w:val="single" w:sz="4" w:space="0" w:color="auto"/>
            </w:tcBorders>
            <w:vAlign w:val="center"/>
          </w:tcPr>
          <w:p w:rsidR="00AC424B" w:rsidRPr="00D652DA" w:rsidRDefault="00AC424B" w:rsidP="007C2BC9">
            <w:pPr>
              <w:spacing w:line="219" w:lineRule="exact"/>
              <w:ind w:left="34"/>
              <w:jc w:val="left"/>
              <w:rPr>
                <w:rFonts w:eastAsia="Arial"/>
                <w:sz w:val="20"/>
              </w:rPr>
            </w:pPr>
            <w:r w:rsidRPr="00D652DA">
              <w:rPr>
                <w:rFonts w:eastAsia="Arial"/>
                <w:sz w:val="20"/>
              </w:rPr>
              <w:t>1.11</w:t>
            </w:r>
          </w:p>
        </w:tc>
        <w:tc>
          <w:tcPr>
            <w:tcW w:w="4145" w:type="dxa"/>
            <w:gridSpan w:val="2"/>
            <w:tcBorders>
              <w:bottom w:val="single" w:sz="4" w:space="0" w:color="auto"/>
            </w:tcBorders>
            <w:vAlign w:val="center"/>
          </w:tcPr>
          <w:p w:rsidR="00AC424B" w:rsidRPr="00D652DA" w:rsidRDefault="00AC424B" w:rsidP="007C2BC9">
            <w:pPr>
              <w:spacing w:line="219" w:lineRule="exact"/>
              <w:ind w:left="34"/>
              <w:jc w:val="left"/>
              <w:rPr>
                <w:sz w:val="20"/>
              </w:rPr>
            </w:pPr>
            <w:r w:rsidRPr="00D652DA">
              <w:rPr>
                <w:sz w:val="20"/>
              </w:rPr>
              <w:t>Zpracovat Akční plán autonomního řízení</w:t>
            </w:r>
          </w:p>
        </w:tc>
        <w:tc>
          <w:tcPr>
            <w:tcW w:w="1419" w:type="dxa"/>
            <w:tcBorders>
              <w:bottom w:val="single" w:sz="4" w:space="0" w:color="auto"/>
            </w:tcBorders>
            <w:vAlign w:val="center"/>
          </w:tcPr>
          <w:p w:rsidR="00AC424B" w:rsidRPr="00D652DA" w:rsidRDefault="00AC424B" w:rsidP="007C2BC9">
            <w:pPr>
              <w:spacing w:line="219" w:lineRule="exact"/>
              <w:ind w:left="34"/>
              <w:jc w:val="left"/>
              <w:rPr>
                <w:sz w:val="20"/>
              </w:rPr>
            </w:pPr>
            <w:r w:rsidRPr="00D652DA">
              <w:rPr>
                <w:sz w:val="20"/>
              </w:rPr>
              <w:t>MD</w:t>
            </w:r>
          </w:p>
        </w:tc>
        <w:tc>
          <w:tcPr>
            <w:tcW w:w="1523" w:type="dxa"/>
            <w:tcBorders>
              <w:bottom w:val="single" w:sz="4" w:space="0" w:color="auto"/>
            </w:tcBorders>
            <w:vAlign w:val="center"/>
          </w:tcPr>
          <w:p w:rsidR="00AC424B" w:rsidRPr="00D652DA" w:rsidRDefault="00AC424B" w:rsidP="007C2BC9">
            <w:pPr>
              <w:spacing w:line="219" w:lineRule="exact"/>
              <w:ind w:left="34"/>
              <w:jc w:val="left"/>
              <w:rPr>
                <w:sz w:val="20"/>
              </w:rPr>
            </w:pPr>
          </w:p>
        </w:tc>
        <w:tc>
          <w:tcPr>
            <w:tcW w:w="1449" w:type="dxa"/>
            <w:tcBorders>
              <w:bottom w:val="single" w:sz="4" w:space="0" w:color="auto"/>
            </w:tcBorders>
            <w:vAlign w:val="center"/>
          </w:tcPr>
          <w:p w:rsidR="00AC424B" w:rsidRPr="00D652DA" w:rsidRDefault="00AC424B" w:rsidP="007C2BC9">
            <w:pPr>
              <w:spacing w:line="219" w:lineRule="exact"/>
              <w:ind w:left="34"/>
              <w:jc w:val="left"/>
              <w:rPr>
                <w:sz w:val="20"/>
              </w:rPr>
            </w:pPr>
            <w:r w:rsidRPr="00D652DA">
              <w:rPr>
                <w:sz w:val="20"/>
              </w:rPr>
              <w:t>4Q 2017 / 1Q 2018</w:t>
            </w:r>
          </w:p>
        </w:tc>
      </w:tr>
      <w:tr w:rsidR="00AC424B" w:rsidRPr="00D652DA" w:rsidTr="007C2BC9">
        <w:tc>
          <w:tcPr>
            <w:tcW w:w="671" w:type="dxa"/>
            <w:tcBorders>
              <w:bottom w:val="single" w:sz="4" w:space="0" w:color="auto"/>
            </w:tcBorders>
            <w:vAlign w:val="center"/>
          </w:tcPr>
          <w:p w:rsidR="00AC424B" w:rsidRPr="00D652DA" w:rsidRDefault="00AC424B" w:rsidP="007C2BC9">
            <w:pPr>
              <w:spacing w:line="219" w:lineRule="exact"/>
              <w:ind w:left="34"/>
              <w:jc w:val="left"/>
              <w:rPr>
                <w:rFonts w:eastAsia="Arial"/>
                <w:sz w:val="20"/>
              </w:rPr>
            </w:pPr>
            <w:r w:rsidRPr="00D652DA">
              <w:rPr>
                <w:rFonts w:eastAsia="Arial"/>
                <w:sz w:val="20"/>
              </w:rPr>
              <w:t>1.12</w:t>
            </w:r>
          </w:p>
        </w:tc>
        <w:tc>
          <w:tcPr>
            <w:tcW w:w="4145" w:type="dxa"/>
            <w:gridSpan w:val="2"/>
            <w:tcBorders>
              <w:bottom w:val="single" w:sz="4" w:space="0" w:color="auto"/>
            </w:tcBorders>
            <w:vAlign w:val="center"/>
          </w:tcPr>
          <w:p w:rsidR="00AC424B" w:rsidRPr="00D652DA" w:rsidRDefault="00AC424B" w:rsidP="007C2BC9">
            <w:pPr>
              <w:spacing w:line="219" w:lineRule="exact"/>
              <w:ind w:left="34"/>
              <w:jc w:val="left"/>
              <w:rPr>
                <w:sz w:val="20"/>
              </w:rPr>
            </w:pPr>
            <w:r w:rsidRPr="00D652DA">
              <w:rPr>
                <w:sz w:val="20"/>
              </w:rPr>
              <w:t>Příprava Národního kosmického plánu na období 2020 – 2025</w:t>
            </w:r>
          </w:p>
        </w:tc>
        <w:tc>
          <w:tcPr>
            <w:tcW w:w="1419" w:type="dxa"/>
            <w:tcBorders>
              <w:bottom w:val="single" w:sz="4" w:space="0" w:color="auto"/>
            </w:tcBorders>
            <w:vAlign w:val="center"/>
          </w:tcPr>
          <w:p w:rsidR="00AC424B" w:rsidRPr="00D652DA" w:rsidRDefault="00AC424B" w:rsidP="007C2BC9">
            <w:pPr>
              <w:spacing w:line="219" w:lineRule="exact"/>
              <w:ind w:left="34"/>
              <w:jc w:val="left"/>
              <w:rPr>
                <w:sz w:val="20"/>
              </w:rPr>
            </w:pPr>
            <w:r w:rsidRPr="00D652DA">
              <w:rPr>
                <w:sz w:val="20"/>
              </w:rPr>
              <w:t>MD</w:t>
            </w:r>
          </w:p>
        </w:tc>
        <w:tc>
          <w:tcPr>
            <w:tcW w:w="1523" w:type="dxa"/>
            <w:tcBorders>
              <w:bottom w:val="single" w:sz="4" w:space="0" w:color="auto"/>
            </w:tcBorders>
            <w:vAlign w:val="center"/>
          </w:tcPr>
          <w:p w:rsidR="00AC424B" w:rsidRPr="00D652DA" w:rsidRDefault="00AC424B" w:rsidP="007C2BC9">
            <w:pPr>
              <w:spacing w:line="219" w:lineRule="exact"/>
              <w:ind w:left="34"/>
              <w:jc w:val="left"/>
              <w:rPr>
                <w:sz w:val="20"/>
              </w:rPr>
            </w:pPr>
          </w:p>
        </w:tc>
        <w:tc>
          <w:tcPr>
            <w:tcW w:w="1449" w:type="dxa"/>
            <w:tcBorders>
              <w:bottom w:val="single" w:sz="4" w:space="0" w:color="auto"/>
            </w:tcBorders>
            <w:vAlign w:val="center"/>
          </w:tcPr>
          <w:p w:rsidR="00AC424B" w:rsidRPr="00D652DA" w:rsidRDefault="00AC424B" w:rsidP="007C2BC9">
            <w:pPr>
              <w:spacing w:line="219" w:lineRule="exact"/>
              <w:ind w:left="34"/>
              <w:jc w:val="left"/>
              <w:rPr>
                <w:sz w:val="20"/>
              </w:rPr>
            </w:pPr>
            <w:r w:rsidRPr="00D652DA">
              <w:rPr>
                <w:sz w:val="20"/>
              </w:rPr>
              <w:t>2019</w:t>
            </w:r>
          </w:p>
        </w:tc>
      </w:tr>
      <w:tr w:rsidR="00AC424B" w:rsidRPr="00D652DA" w:rsidTr="007C2BC9">
        <w:tc>
          <w:tcPr>
            <w:tcW w:w="671" w:type="dxa"/>
            <w:tcBorders>
              <w:bottom w:val="single" w:sz="4" w:space="0" w:color="auto"/>
            </w:tcBorders>
            <w:vAlign w:val="center"/>
          </w:tcPr>
          <w:p w:rsidR="00AC424B" w:rsidRPr="00D652DA" w:rsidRDefault="00AC424B" w:rsidP="007C2BC9">
            <w:pPr>
              <w:spacing w:line="219" w:lineRule="exact"/>
              <w:ind w:left="34"/>
              <w:jc w:val="left"/>
              <w:rPr>
                <w:rFonts w:eastAsia="Arial"/>
                <w:sz w:val="20"/>
              </w:rPr>
            </w:pPr>
            <w:r w:rsidRPr="00D652DA">
              <w:rPr>
                <w:rFonts w:eastAsia="Arial"/>
                <w:sz w:val="20"/>
              </w:rPr>
              <w:t>1.13</w:t>
            </w:r>
          </w:p>
        </w:tc>
        <w:tc>
          <w:tcPr>
            <w:tcW w:w="4145" w:type="dxa"/>
            <w:gridSpan w:val="2"/>
            <w:tcBorders>
              <w:bottom w:val="single" w:sz="4" w:space="0" w:color="auto"/>
            </w:tcBorders>
            <w:vAlign w:val="center"/>
          </w:tcPr>
          <w:p w:rsidR="00AC424B" w:rsidRPr="00D652DA" w:rsidRDefault="00AC424B" w:rsidP="007C2BC9">
            <w:pPr>
              <w:spacing w:line="219" w:lineRule="exact"/>
              <w:ind w:left="34"/>
              <w:jc w:val="left"/>
              <w:rPr>
                <w:sz w:val="20"/>
              </w:rPr>
            </w:pPr>
            <w:r w:rsidRPr="00D652DA">
              <w:rPr>
                <w:sz w:val="20"/>
              </w:rPr>
              <w:t>Zajištění dlouhodobého financování kosmických aktivit v ČR a účasti ČR na volitelných programech ESA</w:t>
            </w:r>
          </w:p>
        </w:tc>
        <w:tc>
          <w:tcPr>
            <w:tcW w:w="1419" w:type="dxa"/>
            <w:tcBorders>
              <w:bottom w:val="single" w:sz="4" w:space="0" w:color="auto"/>
            </w:tcBorders>
            <w:vAlign w:val="center"/>
          </w:tcPr>
          <w:p w:rsidR="00AC424B" w:rsidRPr="00D652DA" w:rsidRDefault="00AC424B" w:rsidP="007C2BC9">
            <w:pPr>
              <w:spacing w:line="219" w:lineRule="exact"/>
              <w:ind w:left="34"/>
              <w:jc w:val="left"/>
              <w:rPr>
                <w:sz w:val="20"/>
              </w:rPr>
            </w:pPr>
            <w:r w:rsidRPr="00D652DA">
              <w:rPr>
                <w:sz w:val="20"/>
              </w:rPr>
              <w:t>MD</w:t>
            </w:r>
          </w:p>
        </w:tc>
        <w:tc>
          <w:tcPr>
            <w:tcW w:w="1523" w:type="dxa"/>
            <w:tcBorders>
              <w:bottom w:val="single" w:sz="4" w:space="0" w:color="auto"/>
            </w:tcBorders>
            <w:vAlign w:val="center"/>
          </w:tcPr>
          <w:p w:rsidR="00AC424B" w:rsidRPr="00D652DA" w:rsidRDefault="00AC424B" w:rsidP="007C2BC9">
            <w:pPr>
              <w:spacing w:line="219" w:lineRule="exact"/>
              <w:ind w:left="34"/>
              <w:jc w:val="left"/>
              <w:rPr>
                <w:sz w:val="20"/>
              </w:rPr>
            </w:pPr>
          </w:p>
        </w:tc>
        <w:tc>
          <w:tcPr>
            <w:tcW w:w="1449" w:type="dxa"/>
            <w:tcBorders>
              <w:bottom w:val="single" w:sz="4" w:space="0" w:color="auto"/>
            </w:tcBorders>
            <w:vAlign w:val="center"/>
          </w:tcPr>
          <w:p w:rsidR="00AC424B" w:rsidRPr="00D652DA" w:rsidRDefault="00AC424B" w:rsidP="007C2BC9">
            <w:pPr>
              <w:spacing w:line="219" w:lineRule="exact"/>
              <w:ind w:left="34"/>
              <w:jc w:val="left"/>
              <w:rPr>
                <w:sz w:val="20"/>
              </w:rPr>
            </w:pPr>
            <w:r w:rsidRPr="00D652DA">
              <w:rPr>
                <w:sz w:val="20"/>
              </w:rPr>
              <w:t>2018</w:t>
            </w:r>
          </w:p>
        </w:tc>
      </w:tr>
      <w:tr w:rsidR="00AC424B" w:rsidRPr="00D652DA" w:rsidTr="007C2BC9">
        <w:trPr>
          <w:trHeight w:val="428"/>
        </w:trPr>
        <w:tc>
          <w:tcPr>
            <w:tcW w:w="9207" w:type="dxa"/>
            <w:gridSpan w:val="6"/>
            <w:shd w:val="clear" w:color="auto" w:fill="DBE5F1" w:themeFill="accent1" w:themeFillTint="33"/>
            <w:vAlign w:val="center"/>
          </w:tcPr>
          <w:p w:rsidR="00AC424B" w:rsidRPr="00D652DA" w:rsidRDefault="00AC424B" w:rsidP="007C2BC9">
            <w:pPr>
              <w:jc w:val="center"/>
              <w:rPr>
                <w:rFonts w:eastAsia="Arial"/>
                <w:b/>
                <w:w w:val="99"/>
                <w:sz w:val="20"/>
              </w:rPr>
            </w:pPr>
            <w:r w:rsidRPr="00A67068">
              <w:rPr>
                <w:rFonts w:eastAsia="Arial"/>
                <w:b/>
                <w:sz w:val="20"/>
              </w:rPr>
              <w:t>Rozvoj infrastruktury</w:t>
            </w:r>
          </w:p>
        </w:tc>
      </w:tr>
      <w:tr w:rsidR="00AC424B" w:rsidRPr="00D652DA" w:rsidTr="007C2BC9">
        <w:tc>
          <w:tcPr>
            <w:tcW w:w="671" w:type="dxa"/>
            <w:tcBorders>
              <w:bottom w:val="single" w:sz="4" w:space="0" w:color="auto"/>
            </w:tcBorders>
            <w:vAlign w:val="center"/>
          </w:tcPr>
          <w:p w:rsidR="00AC424B" w:rsidRPr="00D652DA" w:rsidRDefault="00AC424B" w:rsidP="007C2BC9">
            <w:pPr>
              <w:spacing w:line="219" w:lineRule="exact"/>
              <w:ind w:left="34"/>
              <w:jc w:val="left"/>
              <w:rPr>
                <w:rFonts w:eastAsia="Arial"/>
                <w:sz w:val="20"/>
              </w:rPr>
            </w:pPr>
            <w:r w:rsidRPr="00D652DA">
              <w:rPr>
                <w:rFonts w:eastAsia="Arial"/>
                <w:sz w:val="20"/>
              </w:rPr>
              <w:t>1.14</w:t>
            </w:r>
          </w:p>
        </w:tc>
        <w:tc>
          <w:tcPr>
            <w:tcW w:w="4145" w:type="dxa"/>
            <w:gridSpan w:val="2"/>
            <w:tcBorders>
              <w:bottom w:val="single" w:sz="4" w:space="0" w:color="auto"/>
            </w:tcBorders>
            <w:vAlign w:val="center"/>
          </w:tcPr>
          <w:p w:rsidR="00AC424B" w:rsidRPr="00D652DA" w:rsidRDefault="00AC424B" w:rsidP="007C2BC9">
            <w:pPr>
              <w:spacing w:line="219" w:lineRule="exact"/>
              <w:ind w:left="34"/>
              <w:jc w:val="left"/>
              <w:rPr>
                <w:sz w:val="20"/>
              </w:rPr>
            </w:pPr>
            <w:r w:rsidRPr="00D652DA">
              <w:rPr>
                <w:sz w:val="20"/>
              </w:rPr>
              <w:t>Informační systém technické infrastruktury veřejné správy</w:t>
            </w:r>
          </w:p>
        </w:tc>
        <w:tc>
          <w:tcPr>
            <w:tcW w:w="1419" w:type="dxa"/>
            <w:tcBorders>
              <w:bottom w:val="single" w:sz="4" w:space="0" w:color="auto"/>
            </w:tcBorders>
            <w:vAlign w:val="center"/>
          </w:tcPr>
          <w:p w:rsidR="00AC424B" w:rsidRPr="00D652DA" w:rsidRDefault="00AC424B" w:rsidP="007C2BC9">
            <w:pPr>
              <w:jc w:val="left"/>
              <w:rPr>
                <w:sz w:val="20"/>
              </w:rPr>
            </w:pPr>
            <w:r w:rsidRPr="00D652DA">
              <w:rPr>
                <w:sz w:val="20"/>
              </w:rPr>
              <w:t>MV</w:t>
            </w:r>
          </w:p>
        </w:tc>
        <w:tc>
          <w:tcPr>
            <w:tcW w:w="1523" w:type="dxa"/>
            <w:tcBorders>
              <w:bottom w:val="single" w:sz="4" w:space="0" w:color="auto"/>
            </w:tcBorders>
            <w:vAlign w:val="center"/>
          </w:tcPr>
          <w:p w:rsidR="00AC424B" w:rsidRPr="00D652DA" w:rsidRDefault="00AC424B" w:rsidP="007C2BC9">
            <w:pPr>
              <w:spacing w:line="219" w:lineRule="exact"/>
              <w:ind w:left="34"/>
              <w:jc w:val="left"/>
              <w:rPr>
                <w:sz w:val="20"/>
              </w:rPr>
            </w:pPr>
          </w:p>
        </w:tc>
        <w:tc>
          <w:tcPr>
            <w:tcW w:w="1449" w:type="dxa"/>
            <w:tcBorders>
              <w:bottom w:val="single" w:sz="4" w:space="0" w:color="auto"/>
            </w:tcBorders>
            <w:vAlign w:val="center"/>
          </w:tcPr>
          <w:p w:rsidR="00AC424B" w:rsidRPr="00D652DA" w:rsidRDefault="00AC424B" w:rsidP="007C2BC9">
            <w:pPr>
              <w:spacing w:line="219" w:lineRule="exact"/>
              <w:jc w:val="left"/>
              <w:rPr>
                <w:sz w:val="20"/>
              </w:rPr>
            </w:pPr>
            <w:r w:rsidRPr="00D652DA">
              <w:rPr>
                <w:sz w:val="20"/>
              </w:rPr>
              <w:t>3Q 2017- zahájení realizace informačního systému</w:t>
            </w:r>
          </w:p>
        </w:tc>
      </w:tr>
      <w:tr w:rsidR="00AC424B" w:rsidRPr="00D652DA" w:rsidTr="007C2BC9">
        <w:tc>
          <w:tcPr>
            <w:tcW w:w="9207"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424B" w:rsidRPr="00D652DA" w:rsidRDefault="00AC424B" w:rsidP="007C2BC9">
            <w:pPr>
              <w:jc w:val="center"/>
              <w:rPr>
                <w:rFonts w:eastAsia="Arial"/>
                <w:b/>
                <w:w w:val="99"/>
                <w:sz w:val="20"/>
              </w:rPr>
            </w:pPr>
            <w:r w:rsidRPr="00A67068">
              <w:rPr>
                <w:rFonts w:eastAsia="Arial"/>
                <w:b/>
                <w:sz w:val="20"/>
              </w:rPr>
              <w:t>Digitalizace televizního vysílání</w:t>
            </w:r>
          </w:p>
        </w:tc>
      </w:tr>
      <w:tr w:rsidR="00AC424B" w:rsidRPr="00D652DA" w:rsidTr="007C2BC9">
        <w:tc>
          <w:tcPr>
            <w:tcW w:w="671" w:type="dxa"/>
            <w:tcBorders>
              <w:top w:val="single" w:sz="4" w:space="0" w:color="auto"/>
            </w:tcBorders>
            <w:vAlign w:val="center"/>
          </w:tcPr>
          <w:p w:rsidR="00AC424B" w:rsidRPr="00D652DA" w:rsidRDefault="00AC424B" w:rsidP="007C2BC9">
            <w:pPr>
              <w:spacing w:line="219" w:lineRule="exact"/>
              <w:ind w:left="34"/>
              <w:jc w:val="left"/>
              <w:rPr>
                <w:rFonts w:eastAsia="Arial"/>
                <w:sz w:val="20"/>
              </w:rPr>
            </w:pPr>
            <w:r w:rsidRPr="00D652DA">
              <w:rPr>
                <w:rFonts w:eastAsia="Arial"/>
                <w:sz w:val="20"/>
              </w:rPr>
              <w:t>1.15</w:t>
            </w:r>
          </w:p>
        </w:tc>
        <w:tc>
          <w:tcPr>
            <w:tcW w:w="4145" w:type="dxa"/>
            <w:gridSpan w:val="2"/>
            <w:tcBorders>
              <w:top w:val="single" w:sz="4" w:space="0" w:color="auto"/>
            </w:tcBorders>
            <w:vAlign w:val="center"/>
          </w:tcPr>
          <w:p w:rsidR="00AC424B" w:rsidRPr="00D652DA" w:rsidRDefault="00AC424B" w:rsidP="007C2BC9">
            <w:pPr>
              <w:spacing w:line="219" w:lineRule="exact"/>
              <w:ind w:left="34"/>
              <w:jc w:val="left"/>
              <w:rPr>
                <w:sz w:val="20"/>
              </w:rPr>
            </w:pPr>
            <w:r w:rsidRPr="00D652DA">
              <w:rPr>
                <w:sz w:val="20"/>
              </w:rPr>
              <w:t>Implementace Strategie rozvoje zemského digitálního televizního vysílání</w:t>
            </w:r>
          </w:p>
        </w:tc>
        <w:tc>
          <w:tcPr>
            <w:tcW w:w="1419" w:type="dxa"/>
            <w:tcBorders>
              <w:top w:val="single" w:sz="4" w:space="0" w:color="auto"/>
            </w:tcBorders>
            <w:vAlign w:val="center"/>
          </w:tcPr>
          <w:p w:rsidR="00AC424B" w:rsidRPr="00D652DA" w:rsidRDefault="00AC424B" w:rsidP="007C2BC9">
            <w:pPr>
              <w:jc w:val="left"/>
              <w:rPr>
                <w:sz w:val="20"/>
              </w:rPr>
            </w:pPr>
            <w:r w:rsidRPr="00D652DA">
              <w:rPr>
                <w:sz w:val="20"/>
              </w:rPr>
              <w:t>MPO</w:t>
            </w:r>
          </w:p>
        </w:tc>
        <w:tc>
          <w:tcPr>
            <w:tcW w:w="1523" w:type="dxa"/>
            <w:tcBorders>
              <w:top w:val="single" w:sz="4" w:space="0" w:color="auto"/>
            </w:tcBorders>
            <w:vAlign w:val="center"/>
          </w:tcPr>
          <w:p w:rsidR="00AC424B" w:rsidRPr="00D652DA" w:rsidRDefault="00AC424B" w:rsidP="007C2BC9">
            <w:pPr>
              <w:spacing w:line="219" w:lineRule="exact"/>
              <w:ind w:left="34"/>
              <w:jc w:val="left"/>
              <w:rPr>
                <w:sz w:val="20"/>
              </w:rPr>
            </w:pPr>
          </w:p>
        </w:tc>
        <w:tc>
          <w:tcPr>
            <w:tcW w:w="1449" w:type="dxa"/>
            <w:tcBorders>
              <w:top w:val="single" w:sz="4" w:space="0" w:color="auto"/>
            </w:tcBorders>
            <w:vAlign w:val="center"/>
          </w:tcPr>
          <w:p w:rsidR="00AC424B" w:rsidRPr="00D652DA" w:rsidRDefault="00AC424B" w:rsidP="007C2BC9">
            <w:pPr>
              <w:spacing w:line="219" w:lineRule="exact"/>
              <w:jc w:val="left"/>
              <w:rPr>
                <w:sz w:val="20"/>
              </w:rPr>
            </w:pPr>
            <w:r w:rsidRPr="00D652DA">
              <w:rPr>
                <w:sz w:val="20"/>
              </w:rPr>
              <w:t>do 1Q 2021</w:t>
            </w:r>
          </w:p>
        </w:tc>
      </w:tr>
      <w:tr w:rsidR="00AC424B" w:rsidRPr="00D652DA" w:rsidTr="007C2BC9">
        <w:tc>
          <w:tcPr>
            <w:tcW w:w="9207" w:type="dxa"/>
            <w:gridSpan w:val="6"/>
            <w:shd w:val="clear" w:color="auto" w:fill="DBE5F1" w:themeFill="accent1" w:themeFillTint="33"/>
          </w:tcPr>
          <w:p w:rsidR="00AC424B" w:rsidRPr="00D652DA" w:rsidRDefault="00AC424B" w:rsidP="007C2BC9">
            <w:pPr>
              <w:jc w:val="center"/>
              <w:rPr>
                <w:b/>
                <w:sz w:val="20"/>
              </w:rPr>
            </w:pPr>
            <w:r w:rsidRPr="00D652DA">
              <w:rPr>
                <w:b/>
                <w:sz w:val="20"/>
              </w:rPr>
              <w:t>Rozvoj zemského digitálního vysílání Českého rozhlasu</w:t>
            </w:r>
          </w:p>
        </w:tc>
      </w:tr>
      <w:tr w:rsidR="00AC424B" w:rsidRPr="00D652DA" w:rsidTr="007C2BC9">
        <w:tc>
          <w:tcPr>
            <w:tcW w:w="671" w:type="dxa"/>
            <w:shd w:val="clear" w:color="auto" w:fill="FFFFFF" w:themeFill="background1"/>
          </w:tcPr>
          <w:p w:rsidR="00AC424B" w:rsidRPr="00D652DA" w:rsidRDefault="00AC424B" w:rsidP="007C2BC9">
            <w:pPr>
              <w:spacing w:line="219" w:lineRule="exact"/>
              <w:ind w:left="34"/>
              <w:jc w:val="left"/>
              <w:rPr>
                <w:sz w:val="20"/>
              </w:rPr>
            </w:pPr>
            <w:r w:rsidRPr="00D652DA">
              <w:rPr>
                <w:rFonts w:eastAsia="Arial"/>
                <w:sz w:val="20"/>
              </w:rPr>
              <w:t>1.16</w:t>
            </w:r>
          </w:p>
        </w:tc>
        <w:tc>
          <w:tcPr>
            <w:tcW w:w="4125" w:type="dxa"/>
            <w:shd w:val="clear" w:color="auto" w:fill="FFFFFF" w:themeFill="background1"/>
          </w:tcPr>
          <w:p w:rsidR="00AC424B" w:rsidRPr="00D652DA" w:rsidRDefault="00AC424B" w:rsidP="007C2BC9">
            <w:pPr>
              <w:spacing w:line="219" w:lineRule="exact"/>
              <w:ind w:left="34"/>
              <w:jc w:val="left"/>
              <w:rPr>
                <w:sz w:val="20"/>
              </w:rPr>
            </w:pPr>
            <w:r w:rsidRPr="00D652DA">
              <w:rPr>
                <w:sz w:val="20"/>
              </w:rPr>
              <w:t>Realizace opatření, která upravuje Návrh rozvoje zemského digitálního vysílání Českého rozhlasu</w:t>
            </w:r>
          </w:p>
        </w:tc>
        <w:tc>
          <w:tcPr>
            <w:tcW w:w="1439" w:type="dxa"/>
            <w:gridSpan w:val="2"/>
            <w:shd w:val="clear" w:color="auto" w:fill="FFFFFF" w:themeFill="background1"/>
          </w:tcPr>
          <w:p w:rsidR="00AC424B" w:rsidRPr="00D652DA" w:rsidRDefault="00AC424B" w:rsidP="007C2BC9">
            <w:pPr>
              <w:spacing w:line="219" w:lineRule="exact"/>
              <w:ind w:left="34"/>
              <w:jc w:val="left"/>
              <w:rPr>
                <w:sz w:val="20"/>
              </w:rPr>
            </w:pPr>
            <w:r w:rsidRPr="00D652DA">
              <w:rPr>
                <w:sz w:val="20"/>
              </w:rPr>
              <w:t>MK</w:t>
            </w:r>
          </w:p>
        </w:tc>
        <w:tc>
          <w:tcPr>
            <w:tcW w:w="1523" w:type="dxa"/>
            <w:shd w:val="clear" w:color="auto" w:fill="FFFFFF" w:themeFill="background1"/>
          </w:tcPr>
          <w:p w:rsidR="00AC424B" w:rsidRPr="00D652DA" w:rsidRDefault="00AC424B" w:rsidP="007C2BC9">
            <w:pPr>
              <w:spacing w:line="219" w:lineRule="exact"/>
              <w:ind w:left="34"/>
              <w:jc w:val="left"/>
              <w:rPr>
                <w:sz w:val="20"/>
              </w:rPr>
            </w:pPr>
          </w:p>
        </w:tc>
        <w:tc>
          <w:tcPr>
            <w:tcW w:w="1449" w:type="dxa"/>
            <w:shd w:val="clear" w:color="auto" w:fill="FFFFFF" w:themeFill="background1"/>
          </w:tcPr>
          <w:p w:rsidR="00AC424B" w:rsidRPr="00D652DA" w:rsidRDefault="00AC424B" w:rsidP="007C2BC9">
            <w:pPr>
              <w:spacing w:line="219" w:lineRule="exact"/>
              <w:ind w:left="34"/>
              <w:jc w:val="left"/>
              <w:rPr>
                <w:sz w:val="20"/>
              </w:rPr>
            </w:pPr>
            <w:r w:rsidRPr="00D652DA">
              <w:rPr>
                <w:sz w:val="20"/>
              </w:rPr>
              <w:t>4Q 2021</w:t>
            </w:r>
          </w:p>
        </w:tc>
      </w:tr>
    </w:tbl>
    <w:p w:rsidR="00AC424B" w:rsidRPr="00D652DA" w:rsidRDefault="00AC424B" w:rsidP="00AC424B">
      <w:pPr>
        <w:rPr>
          <w:sz w:val="20"/>
        </w:rPr>
      </w:pPr>
      <w:r w:rsidRPr="00D652DA">
        <w:rPr>
          <w:sz w:val="20"/>
        </w:rPr>
        <w:br w:type="page"/>
      </w:r>
    </w:p>
    <w:tbl>
      <w:tblPr>
        <w:tblStyle w:val="Mkatabulky"/>
        <w:tblW w:w="9207" w:type="dxa"/>
        <w:tblInd w:w="5" w:type="dxa"/>
        <w:tblLayout w:type="fixed"/>
        <w:tblLook w:val="04A0"/>
      </w:tblPr>
      <w:tblGrid>
        <w:gridCol w:w="648"/>
        <w:gridCol w:w="10"/>
        <w:gridCol w:w="23"/>
        <w:gridCol w:w="21"/>
        <w:gridCol w:w="4068"/>
        <w:gridCol w:w="6"/>
        <w:gridCol w:w="23"/>
        <w:gridCol w:w="10"/>
        <w:gridCol w:w="1220"/>
        <w:gridCol w:w="12"/>
        <w:gridCol w:w="16"/>
        <w:gridCol w:w="134"/>
        <w:gridCol w:w="19"/>
        <w:gridCol w:w="6"/>
        <w:gridCol w:w="6"/>
        <w:gridCol w:w="1256"/>
        <w:gridCol w:w="20"/>
        <w:gridCol w:w="10"/>
        <w:gridCol w:w="10"/>
        <w:gridCol w:w="16"/>
        <w:gridCol w:w="1673"/>
      </w:tblGrid>
      <w:tr w:rsidR="00AC424B" w:rsidRPr="00D652DA" w:rsidTr="007C2BC9">
        <w:tc>
          <w:tcPr>
            <w:tcW w:w="9207" w:type="dxa"/>
            <w:gridSpan w:val="21"/>
            <w:shd w:val="clear" w:color="auto" w:fill="DBE5F1" w:themeFill="accent1" w:themeFillTint="33"/>
            <w:vAlign w:val="center"/>
          </w:tcPr>
          <w:p w:rsidR="00AC424B" w:rsidRPr="00D652DA" w:rsidRDefault="00AC424B" w:rsidP="007C2BC9">
            <w:pPr>
              <w:jc w:val="center"/>
              <w:rPr>
                <w:rFonts w:eastAsia="Arial"/>
                <w:sz w:val="20"/>
              </w:rPr>
            </w:pPr>
            <w:r w:rsidRPr="00A67068">
              <w:rPr>
                <w:b/>
                <w:sz w:val="20"/>
              </w:rPr>
              <w:lastRenderedPageBreak/>
              <w:t>E-</w:t>
            </w:r>
            <w:proofErr w:type="spellStart"/>
            <w:r w:rsidRPr="00A67068">
              <w:rPr>
                <w:b/>
                <w:sz w:val="20"/>
              </w:rPr>
              <w:t>Privacy</w:t>
            </w:r>
            <w:proofErr w:type="spellEnd"/>
          </w:p>
        </w:tc>
      </w:tr>
      <w:tr w:rsidR="00AC424B" w:rsidRPr="00D652DA" w:rsidTr="007C2BC9">
        <w:tc>
          <w:tcPr>
            <w:tcW w:w="648" w:type="dxa"/>
            <w:shd w:val="clear" w:color="auto" w:fill="FFFFFF" w:themeFill="background1"/>
            <w:vAlign w:val="center"/>
          </w:tcPr>
          <w:p w:rsidR="00AC424B" w:rsidRPr="00D652DA" w:rsidRDefault="00AC424B" w:rsidP="007C2BC9">
            <w:pPr>
              <w:spacing w:line="219" w:lineRule="exact"/>
              <w:ind w:left="34"/>
              <w:jc w:val="left"/>
              <w:rPr>
                <w:rFonts w:eastAsia="Arial"/>
                <w:sz w:val="20"/>
              </w:rPr>
            </w:pPr>
            <w:r w:rsidRPr="00D652DA">
              <w:rPr>
                <w:rFonts w:eastAsia="Arial"/>
                <w:sz w:val="20"/>
              </w:rPr>
              <w:t>1.17</w:t>
            </w:r>
          </w:p>
        </w:tc>
        <w:tc>
          <w:tcPr>
            <w:tcW w:w="4128" w:type="dxa"/>
            <w:gridSpan w:val="5"/>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 xml:space="preserve">Prosazování pozice ČR při projednávání návrhu nařízení </w:t>
            </w:r>
            <w:proofErr w:type="spellStart"/>
            <w:r w:rsidRPr="00D652DA">
              <w:rPr>
                <w:sz w:val="20"/>
              </w:rPr>
              <w:t>ePrivacy</w:t>
            </w:r>
            <w:proofErr w:type="spellEnd"/>
          </w:p>
        </w:tc>
        <w:tc>
          <w:tcPr>
            <w:tcW w:w="1415" w:type="dxa"/>
            <w:gridSpan w:val="6"/>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MPO</w:t>
            </w:r>
          </w:p>
        </w:tc>
        <w:tc>
          <w:tcPr>
            <w:tcW w:w="1287" w:type="dxa"/>
            <w:gridSpan w:val="4"/>
            <w:shd w:val="clear" w:color="auto" w:fill="FFFFFF" w:themeFill="background1"/>
            <w:vAlign w:val="center"/>
          </w:tcPr>
          <w:p w:rsidR="00AC424B" w:rsidRPr="00D652DA" w:rsidRDefault="00AC424B" w:rsidP="007C2BC9">
            <w:pPr>
              <w:spacing w:line="219" w:lineRule="exact"/>
              <w:ind w:left="34"/>
              <w:jc w:val="left"/>
              <w:rPr>
                <w:sz w:val="20"/>
              </w:rPr>
            </w:pPr>
          </w:p>
        </w:tc>
        <w:tc>
          <w:tcPr>
            <w:tcW w:w="1729" w:type="dxa"/>
            <w:gridSpan w:val="5"/>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průběžně</w:t>
            </w:r>
          </w:p>
        </w:tc>
      </w:tr>
      <w:tr w:rsidR="00AC424B" w:rsidRPr="00D652DA" w:rsidTr="007C2BC9">
        <w:tc>
          <w:tcPr>
            <w:tcW w:w="648" w:type="dxa"/>
            <w:shd w:val="clear" w:color="auto" w:fill="FFFFFF" w:themeFill="background1"/>
            <w:vAlign w:val="center"/>
          </w:tcPr>
          <w:p w:rsidR="00AC424B" w:rsidRPr="00D652DA" w:rsidRDefault="00AC424B" w:rsidP="007C2BC9">
            <w:pPr>
              <w:spacing w:line="219" w:lineRule="exact"/>
              <w:ind w:left="34"/>
              <w:jc w:val="left"/>
              <w:rPr>
                <w:rFonts w:eastAsia="Arial"/>
                <w:sz w:val="20"/>
              </w:rPr>
            </w:pPr>
            <w:r w:rsidRPr="00D652DA">
              <w:rPr>
                <w:rFonts w:eastAsia="Arial"/>
                <w:sz w:val="20"/>
              </w:rPr>
              <w:t>1.18</w:t>
            </w:r>
          </w:p>
        </w:tc>
        <w:tc>
          <w:tcPr>
            <w:tcW w:w="4128" w:type="dxa"/>
            <w:gridSpan w:val="5"/>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 xml:space="preserve">Iniciace zpracování dopadové studie návrhu </w:t>
            </w:r>
            <w:proofErr w:type="spellStart"/>
            <w:r w:rsidRPr="00D652DA">
              <w:rPr>
                <w:sz w:val="20"/>
              </w:rPr>
              <w:t>ePrivacy</w:t>
            </w:r>
            <w:proofErr w:type="spellEnd"/>
            <w:r w:rsidRPr="00D652DA">
              <w:rPr>
                <w:sz w:val="20"/>
              </w:rPr>
              <w:t xml:space="preserve"> nařízení</w:t>
            </w:r>
          </w:p>
        </w:tc>
        <w:tc>
          <w:tcPr>
            <w:tcW w:w="1415" w:type="dxa"/>
            <w:gridSpan w:val="6"/>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 xml:space="preserve">Koordinátor </w:t>
            </w:r>
          </w:p>
        </w:tc>
        <w:tc>
          <w:tcPr>
            <w:tcW w:w="1287" w:type="dxa"/>
            <w:gridSpan w:val="4"/>
            <w:shd w:val="clear" w:color="auto" w:fill="FFFFFF" w:themeFill="background1"/>
            <w:vAlign w:val="center"/>
          </w:tcPr>
          <w:p w:rsidR="00AC424B" w:rsidRPr="00D652DA" w:rsidRDefault="00AC424B" w:rsidP="007C2BC9">
            <w:pPr>
              <w:spacing w:line="219" w:lineRule="exact"/>
              <w:ind w:left="34"/>
              <w:jc w:val="center"/>
              <w:rPr>
                <w:sz w:val="20"/>
              </w:rPr>
            </w:pPr>
            <w:r w:rsidRPr="00D652DA">
              <w:rPr>
                <w:sz w:val="20"/>
              </w:rPr>
              <w:t>MPO</w:t>
            </w:r>
          </w:p>
        </w:tc>
        <w:tc>
          <w:tcPr>
            <w:tcW w:w="1729" w:type="dxa"/>
            <w:gridSpan w:val="5"/>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4Q 2017</w:t>
            </w:r>
          </w:p>
        </w:tc>
      </w:tr>
      <w:tr w:rsidR="00AC424B" w:rsidRPr="00D652DA" w:rsidTr="007C2BC9">
        <w:tc>
          <w:tcPr>
            <w:tcW w:w="9207" w:type="dxa"/>
            <w:gridSpan w:val="21"/>
            <w:shd w:val="clear" w:color="auto" w:fill="4F81BD" w:themeFill="accent1"/>
            <w:vAlign w:val="center"/>
          </w:tcPr>
          <w:p w:rsidR="00AC424B" w:rsidRPr="00D652DA" w:rsidRDefault="00AC424B" w:rsidP="007C2BC9">
            <w:pPr>
              <w:jc w:val="center"/>
              <w:rPr>
                <w:rFonts w:eastAsia="Arial"/>
                <w:b/>
                <w:w w:val="99"/>
                <w:sz w:val="20"/>
              </w:rPr>
            </w:pPr>
            <w:r w:rsidRPr="00D652DA">
              <w:rPr>
                <w:rFonts w:eastAsia="Arial"/>
                <w:b/>
                <w:w w:val="99"/>
                <w:sz w:val="20"/>
              </w:rPr>
              <w:t>2. VZDĚLÁVÁNÍ A TRH PRÁCE</w:t>
            </w:r>
          </w:p>
        </w:tc>
      </w:tr>
      <w:tr w:rsidR="00AC424B" w:rsidRPr="00D652DA" w:rsidTr="007C2BC9">
        <w:tc>
          <w:tcPr>
            <w:tcW w:w="9207" w:type="dxa"/>
            <w:gridSpan w:val="21"/>
            <w:shd w:val="clear" w:color="auto" w:fill="DBE5F1" w:themeFill="accent1" w:themeFillTint="33"/>
            <w:vAlign w:val="center"/>
          </w:tcPr>
          <w:p w:rsidR="00AC424B" w:rsidRPr="00D652DA" w:rsidRDefault="00AC424B" w:rsidP="00A67068">
            <w:pPr>
              <w:spacing w:line="219" w:lineRule="exact"/>
              <w:ind w:left="34"/>
              <w:jc w:val="center"/>
              <w:rPr>
                <w:rFonts w:eastAsia="Arial"/>
                <w:b/>
                <w:w w:val="99"/>
                <w:sz w:val="20"/>
              </w:rPr>
            </w:pPr>
            <w:r w:rsidRPr="00A67068">
              <w:rPr>
                <w:b/>
                <w:sz w:val="20"/>
              </w:rPr>
              <w:t>Počáteční vzdělávání</w:t>
            </w:r>
          </w:p>
        </w:tc>
      </w:tr>
      <w:tr w:rsidR="00AC424B" w:rsidRPr="00D652DA" w:rsidTr="007C2BC9">
        <w:tc>
          <w:tcPr>
            <w:tcW w:w="681" w:type="dxa"/>
            <w:gridSpan w:val="3"/>
            <w:shd w:val="clear" w:color="auto" w:fill="FFFFFF" w:themeFill="background1"/>
            <w:vAlign w:val="center"/>
          </w:tcPr>
          <w:p w:rsidR="00AC424B" w:rsidRPr="00D652DA" w:rsidRDefault="00AC424B" w:rsidP="007C2BC9">
            <w:pPr>
              <w:jc w:val="center"/>
              <w:rPr>
                <w:rFonts w:eastAsia="Arial"/>
                <w:b/>
                <w:w w:val="99"/>
                <w:sz w:val="20"/>
              </w:rPr>
            </w:pPr>
            <w:r w:rsidRPr="00D652DA">
              <w:rPr>
                <w:rFonts w:eastAsia="Arial"/>
                <w:sz w:val="20"/>
              </w:rPr>
              <w:t>2.1</w:t>
            </w:r>
          </w:p>
        </w:tc>
        <w:tc>
          <w:tcPr>
            <w:tcW w:w="4128" w:type="dxa"/>
            <w:gridSpan w:val="5"/>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Veřejná osvěta vysvětlující klíčový vliv digitálních technologií na vzdělávání</w:t>
            </w:r>
          </w:p>
        </w:tc>
        <w:tc>
          <w:tcPr>
            <w:tcW w:w="1407" w:type="dxa"/>
            <w:gridSpan w:val="6"/>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MŠMT</w:t>
            </w:r>
          </w:p>
        </w:tc>
        <w:tc>
          <w:tcPr>
            <w:tcW w:w="1282" w:type="dxa"/>
            <w:gridSpan w:val="3"/>
            <w:shd w:val="clear" w:color="auto" w:fill="FFFFFF" w:themeFill="background1"/>
            <w:vAlign w:val="center"/>
          </w:tcPr>
          <w:p w:rsidR="00AC424B" w:rsidRPr="00D652DA" w:rsidRDefault="00AC424B" w:rsidP="007C2BC9">
            <w:pPr>
              <w:spacing w:line="219" w:lineRule="exact"/>
              <w:ind w:left="34"/>
              <w:jc w:val="left"/>
              <w:rPr>
                <w:sz w:val="20"/>
              </w:rPr>
            </w:pPr>
          </w:p>
        </w:tc>
        <w:tc>
          <w:tcPr>
            <w:tcW w:w="1709" w:type="dxa"/>
            <w:gridSpan w:val="4"/>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průběžně</w:t>
            </w:r>
          </w:p>
        </w:tc>
      </w:tr>
      <w:tr w:rsidR="00AC424B" w:rsidRPr="00D652DA" w:rsidTr="007C2BC9">
        <w:tc>
          <w:tcPr>
            <w:tcW w:w="681" w:type="dxa"/>
            <w:gridSpan w:val="3"/>
            <w:shd w:val="clear" w:color="auto" w:fill="FFFFFF" w:themeFill="background1"/>
            <w:vAlign w:val="center"/>
          </w:tcPr>
          <w:p w:rsidR="00AC424B" w:rsidRPr="00D652DA" w:rsidRDefault="00AC424B" w:rsidP="007C2BC9">
            <w:pPr>
              <w:jc w:val="center"/>
              <w:rPr>
                <w:rFonts w:eastAsia="Arial"/>
                <w:b/>
                <w:w w:val="99"/>
                <w:sz w:val="20"/>
              </w:rPr>
            </w:pPr>
            <w:r w:rsidRPr="00D652DA">
              <w:rPr>
                <w:rFonts w:eastAsia="Arial"/>
                <w:sz w:val="20"/>
              </w:rPr>
              <w:t>2.2</w:t>
            </w:r>
          </w:p>
        </w:tc>
        <w:tc>
          <w:tcPr>
            <w:tcW w:w="4128" w:type="dxa"/>
            <w:gridSpan w:val="5"/>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Nastavení principu otevřenosti ve vzdělávání</w:t>
            </w:r>
          </w:p>
        </w:tc>
        <w:tc>
          <w:tcPr>
            <w:tcW w:w="1407" w:type="dxa"/>
            <w:gridSpan w:val="6"/>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MŠMT</w:t>
            </w:r>
          </w:p>
        </w:tc>
        <w:tc>
          <w:tcPr>
            <w:tcW w:w="1282" w:type="dxa"/>
            <w:gridSpan w:val="3"/>
            <w:shd w:val="clear" w:color="auto" w:fill="FFFFFF" w:themeFill="background1"/>
            <w:vAlign w:val="center"/>
          </w:tcPr>
          <w:p w:rsidR="00AC424B" w:rsidRPr="00D652DA" w:rsidRDefault="00AC424B" w:rsidP="007C2BC9">
            <w:pPr>
              <w:spacing w:line="219" w:lineRule="exact"/>
              <w:ind w:left="34"/>
              <w:jc w:val="center"/>
              <w:rPr>
                <w:sz w:val="20"/>
              </w:rPr>
            </w:pPr>
            <w:r w:rsidRPr="00D652DA">
              <w:rPr>
                <w:sz w:val="20"/>
              </w:rPr>
              <w:t>MK</w:t>
            </w:r>
          </w:p>
        </w:tc>
        <w:tc>
          <w:tcPr>
            <w:tcW w:w="1709" w:type="dxa"/>
            <w:gridSpan w:val="4"/>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průběžně</w:t>
            </w:r>
          </w:p>
        </w:tc>
      </w:tr>
      <w:tr w:rsidR="00AC424B" w:rsidRPr="00D652DA" w:rsidTr="007C2BC9">
        <w:tc>
          <w:tcPr>
            <w:tcW w:w="681" w:type="dxa"/>
            <w:gridSpan w:val="3"/>
            <w:shd w:val="clear" w:color="auto" w:fill="FFFFFF" w:themeFill="background1"/>
            <w:vAlign w:val="center"/>
          </w:tcPr>
          <w:p w:rsidR="00AC424B" w:rsidRPr="00D652DA" w:rsidRDefault="00AC424B" w:rsidP="007C2BC9">
            <w:pPr>
              <w:jc w:val="center"/>
              <w:rPr>
                <w:rFonts w:eastAsia="Arial"/>
                <w:b/>
                <w:w w:val="99"/>
                <w:sz w:val="20"/>
              </w:rPr>
            </w:pPr>
            <w:r w:rsidRPr="00D652DA">
              <w:rPr>
                <w:rFonts w:eastAsia="Arial"/>
                <w:sz w:val="20"/>
              </w:rPr>
              <w:t>2.3</w:t>
            </w:r>
          </w:p>
        </w:tc>
        <w:tc>
          <w:tcPr>
            <w:tcW w:w="4128" w:type="dxa"/>
            <w:gridSpan w:val="5"/>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Rozvoj digitální infrastruktury ve školách</w:t>
            </w:r>
          </w:p>
        </w:tc>
        <w:tc>
          <w:tcPr>
            <w:tcW w:w="1407" w:type="dxa"/>
            <w:gridSpan w:val="6"/>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MŠMT</w:t>
            </w:r>
          </w:p>
        </w:tc>
        <w:tc>
          <w:tcPr>
            <w:tcW w:w="1282" w:type="dxa"/>
            <w:gridSpan w:val="3"/>
            <w:shd w:val="clear" w:color="auto" w:fill="FFFFFF" w:themeFill="background1"/>
            <w:vAlign w:val="center"/>
          </w:tcPr>
          <w:p w:rsidR="00AC424B" w:rsidRPr="00D652DA" w:rsidRDefault="00AC424B" w:rsidP="007C2BC9">
            <w:pPr>
              <w:spacing w:line="219" w:lineRule="exact"/>
              <w:ind w:left="34"/>
              <w:jc w:val="left"/>
              <w:rPr>
                <w:sz w:val="20"/>
              </w:rPr>
            </w:pPr>
          </w:p>
        </w:tc>
        <w:tc>
          <w:tcPr>
            <w:tcW w:w="1709" w:type="dxa"/>
            <w:gridSpan w:val="4"/>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4Q,2018</w:t>
            </w:r>
          </w:p>
        </w:tc>
      </w:tr>
      <w:tr w:rsidR="00AC424B" w:rsidRPr="00D652DA" w:rsidTr="007C2BC9">
        <w:tc>
          <w:tcPr>
            <w:tcW w:w="681" w:type="dxa"/>
            <w:gridSpan w:val="3"/>
            <w:shd w:val="clear" w:color="auto" w:fill="FFFFFF" w:themeFill="background1"/>
            <w:vAlign w:val="center"/>
          </w:tcPr>
          <w:p w:rsidR="00AC424B" w:rsidRPr="00D652DA" w:rsidRDefault="00AC424B" w:rsidP="007C2BC9">
            <w:pPr>
              <w:jc w:val="center"/>
              <w:rPr>
                <w:rFonts w:eastAsia="Arial"/>
                <w:b/>
                <w:w w:val="99"/>
                <w:sz w:val="20"/>
              </w:rPr>
            </w:pPr>
            <w:r w:rsidRPr="00D652DA">
              <w:rPr>
                <w:rFonts w:eastAsia="Arial"/>
                <w:sz w:val="20"/>
              </w:rPr>
              <w:t>2.4</w:t>
            </w:r>
          </w:p>
        </w:tc>
        <w:tc>
          <w:tcPr>
            <w:tcW w:w="4128" w:type="dxa"/>
            <w:gridSpan w:val="5"/>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Podpora inovací ve vzdělávání a činnost České národní koalice pro digitální pracovní místa</w:t>
            </w:r>
          </w:p>
        </w:tc>
        <w:tc>
          <w:tcPr>
            <w:tcW w:w="1407" w:type="dxa"/>
            <w:gridSpan w:val="6"/>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MŠMT, NÚV</w:t>
            </w:r>
          </w:p>
        </w:tc>
        <w:tc>
          <w:tcPr>
            <w:tcW w:w="1282" w:type="dxa"/>
            <w:gridSpan w:val="3"/>
            <w:shd w:val="clear" w:color="auto" w:fill="FFFFFF" w:themeFill="background1"/>
            <w:vAlign w:val="center"/>
          </w:tcPr>
          <w:p w:rsidR="00AC424B" w:rsidRPr="00D652DA" w:rsidRDefault="00AC424B" w:rsidP="007C2BC9">
            <w:pPr>
              <w:spacing w:line="219" w:lineRule="exact"/>
              <w:ind w:left="34"/>
              <w:jc w:val="left"/>
              <w:rPr>
                <w:sz w:val="20"/>
              </w:rPr>
            </w:pPr>
          </w:p>
        </w:tc>
        <w:tc>
          <w:tcPr>
            <w:tcW w:w="1709" w:type="dxa"/>
            <w:gridSpan w:val="4"/>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4Q 2017</w:t>
            </w:r>
          </w:p>
        </w:tc>
      </w:tr>
      <w:tr w:rsidR="00AC424B" w:rsidRPr="00D652DA" w:rsidTr="007C2BC9">
        <w:tc>
          <w:tcPr>
            <w:tcW w:w="681" w:type="dxa"/>
            <w:gridSpan w:val="3"/>
            <w:shd w:val="clear" w:color="auto" w:fill="FFFFFF" w:themeFill="background1"/>
            <w:vAlign w:val="center"/>
          </w:tcPr>
          <w:p w:rsidR="00AC424B" w:rsidRPr="00D652DA" w:rsidRDefault="00AC424B" w:rsidP="007C2BC9">
            <w:pPr>
              <w:jc w:val="center"/>
              <w:rPr>
                <w:rFonts w:eastAsia="Arial"/>
                <w:b/>
                <w:w w:val="99"/>
                <w:sz w:val="20"/>
              </w:rPr>
            </w:pPr>
            <w:r w:rsidRPr="00D652DA">
              <w:rPr>
                <w:rFonts w:eastAsia="Arial"/>
                <w:sz w:val="20"/>
              </w:rPr>
              <w:t>2.5</w:t>
            </w:r>
          </w:p>
        </w:tc>
        <w:tc>
          <w:tcPr>
            <w:tcW w:w="4128" w:type="dxa"/>
            <w:gridSpan w:val="5"/>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Rozvoj digitálních kompetencí a informatického myšlení žáků</w:t>
            </w:r>
          </w:p>
        </w:tc>
        <w:tc>
          <w:tcPr>
            <w:tcW w:w="1407" w:type="dxa"/>
            <w:gridSpan w:val="6"/>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MŠMT</w:t>
            </w:r>
          </w:p>
        </w:tc>
        <w:tc>
          <w:tcPr>
            <w:tcW w:w="1282" w:type="dxa"/>
            <w:gridSpan w:val="3"/>
            <w:shd w:val="clear" w:color="auto" w:fill="FFFFFF" w:themeFill="background1"/>
            <w:vAlign w:val="center"/>
          </w:tcPr>
          <w:p w:rsidR="00AC424B" w:rsidRPr="00D652DA" w:rsidRDefault="00AC424B" w:rsidP="007C2BC9">
            <w:pPr>
              <w:spacing w:line="219" w:lineRule="exact"/>
              <w:ind w:left="34"/>
              <w:jc w:val="left"/>
              <w:rPr>
                <w:sz w:val="20"/>
              </w:rPr>
            </w:pPr>
          </w:p>
        </w:tc>
        <w:tc>
          <w:tcPr>
            <w:tcW w:w="1709" w:type="dxa"/>
            <w:gridSpan w:val="4"/>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4Q 2017</w:t>
            </w:r>
          </w:p>
        </w:tc>
      </w:tr>
      <w:tr w:rsidR="00AC424B" w:rsidRPr="00D652DA" w:rsidTr="007C2BC9">
        <w:tc>
          <w:tcPr>
            <w:tcW w:w="681" w:type="dxa"/>
            <w:gridSpan w:val="3"/>
            <w:shd w:val="clear" w:color="auto" w:fill="FFFFFF" w:themeFill="background1"/>
            <w:vAlign w:val="center"/>
          </w:tcPr>
          <w:p w:rsidR="00AC424B" w:rsidRPr="00D652DA" w:rsidRDefault="00AC424B" w:rsidP="007C2BC9">
            <w:pPr>
              <w:jc w:val="center"/>
              <w:rPr>
                <w:rFonts w:eastAsia="Arial"/>
                <w:sz w:val="20"/>
              </w:rPr>
            </w:pPr>
            <w:r w:rsidRPr="00D652DA">
              <w:rPr>
                <w:rFonts w:eastAsia="Arial"/>
                <w:sz w:val="20"/>
              </w:rPr>
              <w:t>2.6</w:t>
            </w:r>
          </w:p>
        </w:tc>
        <w:tc>
          <w:tcPr>
            <w:tcW w:w="4128" w:type="dxa"/>
            <w:gridSpan w:val="5"/>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Rozvoj digitálních kompetencí a informatického myšlení učitelů</w:t>
            </w:r>
          </w:p>
        </w:tc>
        <w:tc>
          <w:tcPr>
            <w:tcW w:w="1407" w:type="dxa"/>
            <w:gridSpan w:val="6"/>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MŠMT</w:t>
            </w:r>
          </w:p>
        </w:tc>
        <w:tc>
          <w:tcPr>
            <w:tcW w:w="1282" w:type="dxa"/>
            <w:gridSpan w:val="3"/>
            <w:shd w:val="clear" w:color="auto" w:fill="FFFFFF" w:themeFill="background1"/>
            <w:vAlign w:val="center"/>
          </w:tcPr>
          <w:p w:rsidR="00AC424B" w:rsidRPr="00D652DA" w:rsidRDefault="00AC424B" w:rsidP="007C2BC9">
            <w:pPr>
              <w:spacing w:line="219" w:lineRule="exact"/>
              <w:ind w:left="34"/>
              <w:jc w:val="left"/>
              <w:rPr>
                <w:sz w:val="20"/>
              </w:rPr>
            </w:pPr>
          </w:p>
        </w:tc>
        <w:tc>
          <w:tcPr>
            <w:tcW w:w="1709" w:type="dxa"/>
            <w:gridSpan w:val="4"/>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průběžně</w:t>
            </w:r>
          </w:p>
        </w:tc>
      </w:tr>
      <w:tr w:rsidR="00AC424B" w:rsidRPr="00D652DA" w:rsidTr="00A67068">
        <w:tc>
          <w:tcPr>
            <w:tcW w:w="9207" w:type="dxa"/>
            <w:gridSpan w:val="21"/>
            <w:shd w:val="clear" w:color="auto" w:fill="DBE5F1" w:themeFill="accent1" w:themeFillTint="33"/>
            <w:vAlign w:val="center"/>
          </w:tcPr>
          <w:p w:rsidR="00AC424B" w:rsidRPr="00D652DA" w:rsidRDefault="00AC424B" w:rsidP="007C2BC9">
            <w:pPr>
              <w:spacing w:line="219" w:lineRule="exact"/>
              <w:ind w:left="34"/>
              <w:jc w:val="center"/>
              <w:rPr>
                <w:b/>
                <w:sz w:val="20"/>
              </w:rPr>
            </w:pPr>
            <w:r w:rsidRPr="00D652DA">
              <w:rPr>
                <w:b/>
                <w:sz w:val="20"/>
              </w:rPr>
              <w:t>Podpora dalšího vzdělávání</w:t>
            </w:r>
          </w:p>
        </w:tc>
      </w:tr>
      <w:tr w:rsidR="00AC424B" w:rsidRPr="00D652DA" w:rsidTr="007C2BC9">
        <w:tc>
          <w:tcPr>
            <w:tcW w:w="681" w:type="dxa"/>
            <w:gridSpan w:val="3"/>
            <w:shd w:val="clear" w:color="auto" w:fill="FFFFFF" w:themeFill="background1"/>
            <w:vAlign w:val="center"/>
          </w:tcPr>
          <w:p w:rsidR="00AC424B" w:rsidRPr="00D652DA" w:rsidRDefault="00AC424B" w:rsidP="007C2BC9">
            <w:pPr>
              <w:jc w:val="center"/>
              <w:rPr>
                <w:rFonts w:eastAsia="Arial"/>
                <w:sz w:val="20"/>
              </w:rPr>
            </w:pPr>
            <w:r w:rsidRPr="00D652DA">
              <w:rPr>
                <w:rFonts w:eastAsia="Arial"/>
                <w:sz w:val="20"/>
              </w:rPr>
              <w:t>2.7</w:t>
            </w:r>
          </w:p>
        </w:tc>
        <w:tc>
          <w:tcPr>
            <w:tcW w:w="4128" w:type="dxa"/>
            <w:gridSpan w:val="5"/>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Zmapování projektů, kurzů a seminářů v oblasti digitálního vzdělávání</w:t>
            </w:r>
          </w:p>
        </w:tc>
        <w:tc>
          <w:tcPr>
            <w:tcW w:w="1407" w:type="dxa"/>
            <w:gridSpan w:val="6"/>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MŠMT</w:t>
            </w:r>
          </w:p>
        </w:tc>
        <w:tc>
          <w:tcPr>
            <w:tcW w:w="1282" w:type="dxa"/>
            <w:gridSpan w:val="3"/>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MPSV</w:t>
            </w:r>
          </w:p>
        </w:tc>
        <w:tc>
          <w:tcPr>
            <w:tcW w:w="1709" w:type="dxa"/>
            <w:gridSpan w:val="4"/>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průběžně</w:t>
            </w:r>
          </w:p>
        </w:tc>
      </w:tr>
      <w:tr w:rsidR="00AC424B" w:rsidRPr="00D652DA" w:rsidTr="007C2BC9">
        <w:tc>
          <w:tcPr>
            <w:tcW w:w="681" w:type="dxa"/>
            <w:gridSpan w:val="3"/>
            <w:shd w:val="clear" w:color="auto" w:fill="FFFFFF" w:themeFill="background1"/>
            <w:vAlign w:val="center"/>
          </w:tcPr>
          <w:p w:rsidR="00AC424B" w:rsidRPr="00D652DA" w:rsidRDefault="00AC424B" w:rsidP="007C2BC9">
            <w:pPr>
              <w:jc w:val="center"/>
              <w:rPr>
                <w:rFonts w:eastAsia="Arial"/>
                <w:b/>
                <w:w w:val="99"/>
                <w:sz w:val="20"/>
              </w:rPr>
            </w:pPr>
            <w:r w:rsidRPr="00D652DA">
              <w:rPr>
                <w:rFonts w:eastAsia="Arial"/>
                <w:sz w:val="20"/>
              </w:rPr>
              <w:t>2.8</w:t>
            </w:r>
          </w:p>
        </w:tc>
        <w:tc>
          <w:tcPr>
            <w:tcW w:w="4128" w:type="dxa"/>
            <w:gridSpan w:val="5"/>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Podpora vzdělávání státních úředníků v oblasti digitálních kompetencí, využívání e-kurzů</w:t>
            </w:r>
          </w:p>
        </w:tc>
        <w:tc>
          <w:tcPr>
            <w:tcW w:w="1407" w:type="dxa"/>
            <w:gridSpan w:val="6"/>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MPSV</w:t>
            </w:r>
          </w:p>
        </w:tc>
        <w:tc>
          <w:tcPr>
            <w:tcW w:w="1282" w:type="dxa"/>
            <w:gridSpan w:val="3"/>
            <w:shd w:val="clear" w:color="auto" w:fill="FFFFFF" w:themeFill="background1"/>
            <w:vAlign w:val="center"/>
          </w:tcPr>
          <w:p w:rsidR="00AC424B" w:rsidRPr="00D652DA" w:rsidRDefault="00AC424B" w:rsidP="007C2BC9">
            <w:pPr>
              <w:spacing w:line="219" w:lineRule="exact"/>
              <w:ind w:left="34"/>
              <w:jc w:val="left"/>
              <w:rPr>
                <w:sz w:val="20"/>
              </w:rPr>
            </w:pPr>
          </w:p>
        </w:tc>
        <w:tc>
          <w:tcPr>
            <w:tcW w:w="1709" w:type="dxa"/>
            <w:gridSpan w:val="4"/>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4Q 2020</w:t>
            </w:r>
          </w:p>
        </w:tc>
      </w:tr>
      <w:tr w:rsidR="00AC424B" w:rsidRPr="00D652DA" w:rsidTr="007C2BC9">
        <w:tc>
          <w:tcPr>
            <w:tcW w:w="681" w:type="dxa"/>
            <w:gridSpan w:val="3"/>
            <w:shd w:val="clear" w:color="auto" w:fill="FFFFFF" w:themeFill="background1"/>
            <w:vAlign w:val="center"/>
          </w:tcPr>
          <w:p w:rsidR="00AC424B" w:rsidRPr="00D652DA" w:rsidRDefault="00AC424B" w:rsidP="007C2BC9">
            <w:pPr>
              <w:jc w:val="center"/>
              <w:rPr>
                <w:rFonts w:eastAsia="Arial"/>
                <w:b/>
                <w:w w:val="99"/>
                <w:sz w:val="20"/>
              </w:rPr>
            </w:pPr>
            <w:r w:rsidRPr="00D652DA">
              <w:rPr>
                <w:rFonts w:eastAsia="Arial"/>
                <w:sz w:val="20"/>
              </w:rPr>
              <w:t>2.9</w:t>
            </w:r>
          </w:p>
        </w:tc>
        <w:tc>
          <w:tcPr>
            <w:tcW w:w="4128" w:type="dxa"/>
            <w:gridSpan w:val="5"/>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Podpora fyzického přístupu k digitálním technologiím</w:t>
            </w:r>
          </w:p>
        </w:tc>
        <w:tc>
          <w:tcPr>
            <w:tcW w:w="1407" w:type="dxa"/>
            <w:gridSpan w:val="6"/>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MPSV</w:t>
            </w:r>
          </w:p>
        </w:tc>
        <w:tc>
          <w:tcPr>
            <w:tcW w:w="1282" w:type="dxa"/>
            <w:gridSpan w:val="3"/>
            <w:shd w:val="clear" w:color="auto" w:fill="FFFFFF" w:themeFill="background1"/>
            <w:vAlign w:val="center"/>
          </w:tcPr>
          <w:p w:rsidR="00AC424B" w:rsidRPr="00D652DA" w:rsidRDefault="00AC424B" w:rsidP="007C2BC9">
            <w:pPr>
              <w:spacing w:line="219" w:lineRule="exact"/>
              <w:ind w:left="34"/>
              <w:jc w:val="left"/>
              <w:rPr>
                <w:sz w:val="20"/>
              </w:rPr>
            </w:pPr>
          </w:p>
        </w:tc>
        <w:tc>
          <w:tcPr>
            <w:tcW w:w="1709" w:type="dxa"/>
            <w:gridSpan w:val="4"/>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4Q 2020</w:t>
            </w:r>
          </w:p>
        </w:tc>
      </w:tr>
      <w:tr w:rsidR="00AC424B" w:rsidRPr="00D652DA" w:rsidTr="007C2BC9">
        <w:tc>
          <w:tcPr>
            <w:tcW w:w="681" w:type="dxa"/>
            <w:gridSpan w:val="3"/>
            <w:shd w:val="clear" w:color="auto" w:fill="FFFFFF" w:themeFill="background1"/>
            <w:vAlign w:val="center"/>
          </w:tcPr>
          <w:p w:rsidR="00AC424B" w:rsidRPr="00D652DA" w:rsidRDefault="00AC424B" w:rsidP="007C2BC9">
            <w:pPr>
              <w:jc w:val="center"/>
              <w:rPr>
                <w:rFonts w:eastAsia="Arial"/>
                <w:b/>
                <w:w w:val="99"/>
                <w:sz w:val="20"/>
              </w:rPr>
            </w:pPr>
            <w:r w:rsidRPr="00D652DA">
              <w:rPr>
                <w:rFonts w:eastAsia="Arial"/>
                <w:sz w:val="20"/>
              </w:rPr>
              <w:t>2.10</w:t>
            </w:r>
          </w:p>
        </w:tc>
        <w:tc>
          <w:tcPr>
            <w:tcW w:w="4128" w:type="dxa"/>
            <w:gridSpan w:val="5"/>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Podpora účasti osob ohrožených nezaměstnaností na praxích a odborných stážích</w:t>
            </w:r>
          </w:p>
        </w:tc>
        <w:tc>
          <w:tcPr>
            <w:tcW w:w="1407" w:type="dxa"/>
            <w:gridSpan w:val="6"/>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MPSV</w:t>
            </w:r>
          </w:p>
        </w:tc>
        <w:tc>
          <w:tcPr>
            <w:tcW w:w="1282" w:type="dxa"/>
            <w:gridSpan w:val="3"/>
            <w:shd w:val="clear" w:color="auto" w:fill="FFFFFF" w:themeFill="background1"/>
            <w:vAlign w:val="center"/>
          </w:tcPr>
          <w:p w:rsidR="00AC424B" w:rsidRPr="00D652DA" w:rsidRDefault="00AC424B" w:rsidP="007C2BC9">
            <w:pPr>
              <w:spacing w:line="219" w:lineRule="exact"/>
              <w:ind w:left="34"/>
              <w:jc w:val="left"/>
              <w:rPr>
                <w:sz w:val="20"/>
              </w:rPr>
            </w:pPr>
          </w:p>
        </w:tc>
        <w:tc>
          <w:tcPr>
            <w:tcW w:w="1709" w:type="dxa"/>
            <w:gridSpan w:val="4"/>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4Q 2020</w:t>
            </w:r>
          </w:p>
        </w:tc>
      </w:tr>
      <w:tr w:rsidR="00AC424B" w:rsidRPr="00D652DA" w:rsidTr="007C2BC9">
        <w:tc>
          <w:tcPr>
            <w:tcW w:w="681" w:type="dxa"/>
            <w:gridSpan w:val="3"/>
            <w:shd w:val="clear" w:color="auto" w:fill="FFFFFF" w:themeFill="background1"/>
            <w:vAlign w:val="center"/>
          </w:tcPr>
          <w:p w:rsidR="00AC424B" w:rsidRPr="00D652DA" w:rsidRDefault="00AC424B" w:rsidP="007C2BC9">
            <w:pPr>
              <w:jc w:val="center"/>
              <w:rPr>
                <w:rFonts w:eastAsia="Arial"/>
                <w:b/>
                <w:w w:val="99"/>
                <w:sz w:val="20"/>
              </w:rPr>
            </w:pPr>
            <w:r w:rsidRPr="00D652DA">
              <w:rPr>
                <w:rFonts w:eastAsia="Arial"/>
                <w:sz w:val="20"/>
              </w:rPr>
              <w:t>2.11</w:t>
            </w:r>
          </w:p>
        </w:tc>
        <w:tc>
          <w:tcPr>
            <w:tcW w:w="4128" w:type="dxa"/>
            <w:gridSpan w:val="5"/>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Podpora vzdělávání zaměstnanců malých a středních podniků a OSVČ v oblasti specifických a nepřenositelných digitálních kompetencí</w:t>
            </w:r>
          </w:p>
        </w:tc>
        <w:tc>
          <w:tcPr>
            <w:tcW w:w="1407" w:type="dxa"/>
            <w:gridSpan w:val="6"/>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MPSV</w:t>
            </w:r>
          </w:p>
        </w:tc>
        <w:tc>
          <w:tcPr>
            <w:tcW w:w="1282" w:type="dxa"/>
            <w:gridSpan w:val="3"/>
            <w:shd w:val="clear" w:color="auto" w:fill="FFFFFF" w:themeFill="background1"/>
            <w:vAlign w:val="center"/>
          </w:tcPr>
          <w:p w:rsidR="00AC424B" w:rsidRPr="00D652DA" w:rsidRDefault="00AC424B" w:rsidP="007C2BC9">
            <w:pPr>
              <w:spacing w:line="219" w:lineRule="exact"/>
              <w:ind w:left="34"/>
              <w:jc w:val="left"/>
              <w:rPr>
                <w:sz w:val="20"/>
              </w:rPr>
            </w:pPr>
          </w:p>
        </w:tc>
        <w:tc>
          <w:tcPr>
            <w:tcW w:w="1709" w:type="dxa"/>
            <w:gridSpan w:val="4"/>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4Q 2020</w:t>
            </w:r>
          </w:p>
        </w:tc>
      </w:tr>
      <w:tr w:rsidR="00AC424B" w:rsidRPr="00D652DA" w:rsidTr="007C2BC9">
        <w:tc>
          <w:tcPr>
            <w:tcW w:w="681" w:type="dxa"/>
            <w:gridSpan w:val="3"/>
            <w:shd w:val="clear" w:color="auto" w:fill="FFFFFF" w:themeFill="background1"/>
            <w:vAlign w:val="center"/>
          </w:tcPr>
          <w:p w:rsidR="00AC424B" w:rsidRPr="00D652DA" w:rsidRDefault="00AC424B" w:rsidP="007C2BC9">
            <w:pPr>
              <w:jc w:val="center"/>
              <w:rPr>
                <w:rFonts w:eastAsia="Arial"/>
                <w:b/>
                <w:w w:val="99"/>
                <w:sz w:val="20"/>
              </w:rPr>
            </w:pPr>
            <w:r w:rsidRPr="00D652DA">
              <w:rPr>
                <w:rFonts w:eastAsia="Arial"/>
                <w:sz w:val="20"/>
              </w:rPr>
              <w:t>2.12</w:t>
            </w:r>
          </w:p>
        </w:tc>
        <w:tc>
          <w:tcPr>
            <w:tcW w:w="4128" w:type="dxa"/>
            <w:gridSpan w:val="5"/>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Zavedení mezigeneračních programů a komunitního učení pro zlepšení dostupnosti digitálního vzdělávání</w:t>
            </w:r>
          </w:p>
        </w:tc>
        <w:tc>
          <w:tcPr>
            <w:tcW w:w="1407" w:type="dxa"/>
            <w:gridSpan w:val="6"/>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MPSV</w:t>
            </w:r>
          </w:p>
        </w:tc>
        <w:tc>
          <w:tcPr>
            <w:tcW w:w="1282" w:type="dxa"/>
            <w:gridSpan w:val="3"/>
            <w:shd w:val="clear" w:color="auto" w:fill="FFFFFF" w:themeFill="background1"/>
            <w:vAlign w:val="center"/>
          </w:tcPr>
          <w:p w:rsidR="00AC424B" w:rsidRPr="00D652DA" w:rsidRDefault="00AC424B" w:rsidP="007C2BC9">
            <w:pPr>
              <w:spacing w:line="219" w:lineRule="exact"/>
              <w:ind w:left="34"/>
              <w:jc w:val="left"/>
              <w:rPr>
                <w:sz w:val="20"/>
              </w:rPr>
            </w:pPr>
          </w:p>
        </w:tc>
        <w:tc>
          <w:tcPr>
            <w:tcW w:w="1709" w:type="dxa"/>
            <w:gridSpan w:val="4"/>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4Q 2020</w:t>
            </w:r>
          </w:p>
        </w:tc>
      </w:tr>
      <w:tr w:rsidR="00AC424B" w:rsidRPr="00D652DA" w:rsidTr="007C2BC9">
        <w:tc>
          <w:tcPr>
            <w:tcW w:w="681" w:type="dxa"/>
            <w:gridSpan w:val="3"/>
            <w:shd w:val="clear" w:color="auto" w:fill="FFFFFF" w:themeFill="background1"/>
            <w:vAlign w:val="center"/>
          </w:tcPr>
          <w:p w:rsidR="00AC424B" w:rsidRPr="00D652DA" w:rsidRDefault="00AC424B" w:rsidP="007C2BC9">
            <w:pPr>
              <w:jc w:val="center"/>
              <w:rPr>
                <w:rFonts w:eastAsia="Arial"/>
                <w:b/>
                <w:w w:val="99"/>
                <w:sz w:val="20"/>
              </w:rPr>
            </w:pPr>
            <w:r w:rsidRPr="00D652DA">
              <w:rPr>
                <w:rFonts w:eastAsia="Arial"/>
                <w:sz w:val="20"/>
              </w:rPr>
              <w:t>2.13</w:t>
            </w:r>
          </w:p>
        </w:tc>
        <w:tc>
          <w:tcPr>
            <w:tcW w:w="4128" w:type="dxa"/>
            <w:gridSpan w:val="5"/>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Podpora individuálního vzdělávání zaměstnaných a nezaměstnaných osob v oblasti přenositelných a specifických digitálních kompetencí – pořádání doplňkových rekvalifikačních kurzů</w:t>
            </w:r>
          </w:p>
        </w:tc>
        <w:tc>
          <w:tcPr>
            <w:tcW w:w="1407" w:type="dxa"/>
            <w:gridSpan w:val="6"/>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MPSV</w:t>
            </w:r>
          </w:p>
        </w:tc>
        <w:tc>
          <w:tcPr>
            <w:tcW w:w="1282" w:type="dxa"/>
            <w:gridSpan w:val="3"/>
            <w:shd w:val="clear" w:color="auto" w:fill="FFFFFF" w:themeFill="background1"/>
            <w:vAlign w:val="center"/>
          </w:tcPr>
          <w:p w:rsidR="00AC424B" w:rsidRPr="00D652DA" w:rsidRDefault="00AC424B" w:rsidP="007C2BC9">
            <w:pPr>
              <w:spacing w:line="219" w:lineRule="exact"/>
              <w:ind w:left="34"/>
              <w:jc w:val="left"/>
              <w:rPr>
                <w:sz w:val="20"/>
              </w:rPr>
            </w:pPr>
          </w:p>
        </w:tc>
        <w:tc>
          <w:tcPr>
            <w:tcW w:w="1709" w:type="dxa"/>
            <w:gridSpan w:val="4"/>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4Q 2020, průběžně</w:t>
            </w:r>
          </w:p>
        </w:tc>
      </w:tr>
      <w:tr w:rsidR="00AC424B" w:rsidRPr="00D652DA" w:rsidTr="007C2BC9">
        <w:tc>
          <w:tcPr>
            <w:tcW w:w="681" w:type="dxa"/>
            <w:gridSpan w:val="3"/>
            <w:shd w:val="clear" w:color="auto" w:fill="FFFFFF" w:themeFill="background1"/>
            <w:vAlign w:val="center"/>
          </w:tcPr>
          <w:p w:rsidR="00AC424B" w:rsidRPr="00D652DA" w:rsidRDefault="00AC424B" w:rsidP="007C2BC9">
            <w:pPr>
              <w:jc w:val="center"/>
              <w:rPr>
                <w:rFonts w:eastAsia="Arial"/>
                <w:b/>
                <w:w w:val="99"/>
                <w:sz w:val="20"/>
              </w:rPr>
            </w:pPr>
            <w:r w:rsidRPr="00D652DA">
              <w:rPr>
                <w:rFonts w:eastAsia="Arial"/>
                <w:sz w:val="20"/>
              </w:rPr>
              <w:t>2.14</w:t>
            </w:r>
          </w:p>
        </w:tc>
        <w:tc>
          <w:tcPr>
            <w:tcW w:w="4128" w:type="dxa"/>
            <w:gridSpan w:val="5"/>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Zajištění ekonomických nástrojů na podporu fyzického přístupu osob s nízkým sociálním statusem k digitálním technologiím</w:t>
            </w:r>
          </w:p>
        </w:tc>
        <w:tc>
          <w:tcPr>
            <w:tcW w:w="1407" w:type="dxa"/>
            <w:gridSpan w:val="6"/>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MPSV</w:t>
            </w:r>
          </w:p>
        </w:tc>
        <w:tc>
          <w:tcPr>
            <w:tcW w:w="1282" w:type="dxa"/>
            <w:gridSpan w:val="3"/>
            <w:shd w:val="clear" w:color="auto" w:fill="FFFFFF" w:themeFill="background1"/>
            <w:vAlign w:val="center"/>
          </w:tcPr>
          <w:p w:rsidR="00AC424B" w:rsidRPr="00D652DA" w:rsidRDefault="00AC424B" w:rsidP="007C2BC9">
            <w:pPr>
              <w:spacing w:line="219" w:lineRule="exact"/>
              <w:ind w:left="34"/>
              <w:jc w:val="left"/>
              <w:rPr>
                <w:sz w:val="20"/>
              </w:rPr>
            </w:pPr>
          </w:p>
        </w:tc>
        <w:tc>
          <w:tcPr>
            <w:tcW w:w="1709" w:type="dxa"/>
            <w:gridSpan w:val="4"/>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4Q 2020, průběžně</w:t>
            </w:r>
          </w:p>
        </w:tc>
      </w:tr>
      <w:tr w:rsidR="00AC424B" w:rsidRPr="00D652DA" w:rsidTr="007C2BC9">
        <w:tc>
          <w:tcPr>
            <w:tcW w:w="681" w:type="dxa"/>
            <w:gridSpan w:val="3"/>
            <w:shd w:val="clear" w:color="auto" w:fill="FFFFFF" w:themeFill="background1"/>
            <w:vAlign w:val="center"/>
          </w:tcPr>
          <w:p w:rsidR="00AC424B" w:rsidRPr="00D652DA" w:rsidRDefault="00AC424B" w:rsidP="007C2BC9">
            <w:pPr>
              <w:jc w:val="center"/>
              <w:rPr>
                <w:rFonts w:eastAsia="Arial"/>
                <w:b/>
                <w:w w:val="99"/>
                <w:sz w:val="20"/>
              </w:rPr>
            </w:pPr>
            <w:r w:rsidRPr="00D652DA">
              <w:rPr>
                <w:rFonts w:eastAsia="Arial"/>
                <w:sz w:val="20"/>
              </w:rPr>
              <w:t>2.15</w:t>
            </w:r>
          </w:p>
        </w:tc>
        <w:tc>
          <w:tcPr>
            <w:tcW w:w="4128" w:type="dxa"/>
            <w:gridSpan w:val="5"/>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Podpora využívání stávajících elektronických služeb veřejného sektoru s důrazem na zvyšování informovanosti veřejnosti</w:t>
            </w:r>
          </w:p>
        </w:tc>
        <w:tc>
          <w:tcPr>
            <w:tcW w:w="1407" w:type="dxa"/>
            <w:gridSpan w:val="6"/>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MPSV</w:t>
            </w:r>
          </w:p>
        </w:tc>
        <w:tc>
          <w:tcPr>
            <w:tcW w:w="1282" w:type="dxa"/>
            <w:gridSpan w:val="3"/>
            <w:shd w:val="clear" w:color="auto" w:fill="FFFFFF" w:themeFill="background1"/>
            <w:vAlign w:val="center"/>
          </w:tcPr>
          <w:p w:rsidR="00AC424B" w:rsidRPr="00D652DA" w:rsidRDefault="00AC424B" w:rsidP="007C2BC9">
            <w:pPr>
              <w:spacing w:line="219" w:lineRule="exact"/>
              <w:ind w:left="34"/>
              <w:jc w:val="left"/>
              <w:rPr>
                <w:sz w:val="20"/>
              </w:rPr>
            </w:pPr>
          </w:p>
        </w:tc>
        <w:tc>
          <w:tcPr>
            <w:tcW w:w="1709" w:type="dxa"/>
            <w:gridSpan w:val="4"/>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4Q 2020, průběžně</w:t>
            </w:r>
          </w:p>
        </w:tc>
      </w:tr>
      <w:tr w:rsidR="00AC424B" w:rsidRPr="00D652DA" w:rsidTr="007C2BC9">
        <w:tc>
          <w:tcPr>
            <w:tcW w:w="9207" w:type="dxa"/>
            <w:gridSpan w:val="21"/>
            <w:shd w:val="clear" w:color="auto" w:fill="DBE5F1" w:themeFill="accent1" w:themeFillTint="33"/>
            <w:vAlign w:val="center"/>
          </w:tcPr>
          <w:p w:rsidR="00AC424B" w:rsidRPr="00D652DA" w:rsidRDefault="00AC424B" w:rsidP="007C2BC9">
            <w:pPr>
              <w:jc w:val="center"/>
              <w:rPr>
                <w:rFonts w:eastAsia="Arial"/>
                <w:b/>
                <w:w w:val="99"/>
                <w:sz w:val="20"/>
              </w:rPr>
            </w:pPr>
            <w:r w:rsidRPr="00D652DA">
              <w:rPr>
                <w:rFonts w:eastAsia="Arial"/>
                <w:b/>
                <w:w w:val="99"/>
                <w:sz w:val="20"/>
              </w:rPr>
              <w:lastRenderedPageBreak/>
              <w:t>Podpora nabídky dalšího vzdělávání, nových forem a individualizace</w:t>
            </w:r>
          </w:p>
        </w:tc>
      </w:tr>
      <w:tr w:rsidR="00AC424B" w:rsidRPr="00D652DA" w:rsidTr="007C2BC9">
        <w:tc>
          <w:tcPr>
            <w:tcW w:w="702" w:type="dxa"/>
            <w:gridSpan w:val="4"/>
            <w:shd w:val="clear" w:color="auto" w:fill="FFFFFF" w:themeFill="background1"/>
            <w:vAlign w:val="center"/>
          </w:tcPr>
          <w:p w:rsidR="00AC424B" w:rsidRPr="00D652DA" w:rsidRDefault="00AC424B" w:rsidP="007C2BC9">
            <w:pPr>
              <w:jc w:val="center"/>
              <w:rPr>
                <w:rFonts w:eastAsia="Arial"/>
                <w:w w:val="99"/>
                <w:sz w:val="20"/>
              </w:rPr>
            </w:pPr>
            <w:r w:rsidRPr="00D652DA">
              <w:rPr>
                <w:rFonts w:eastAsia="Arial"/>
                <w:w w:val="99"/>
                <w:sz w:val="20"/>
              </w:rPr>
              <w:t>2.16</w:t>
            </w:r>
          </w:p>
        </w:tc>
        <w:tc>
          <w:tcPr>
            <w:tcW w:w="4097" w:type="dxa"/>
            <w:gridSpan w:val="3"/>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Rozšíření nabídky dalšího profesního vzdělávání a rekvalifikací</w:t>
            </w:r>
          </w:p>
        </w:tc>
        <w:tc>
          <w:tcPr>
            <w:tcW w:w="1423" w:type="dxa"/>
            <w:gridSpan w:val="8"/>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MPSV, GŘ ÚP</w:t>
            </w:r>
          </w:p>
        </w:tc>
        <w:tc>
          <w:tcPr>
            <w:tcW w:w="1286" w:type="dxa"/>
            <w:gridSpan w:val="3"/>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MŠMT, TPZ</w:t>
            </w:r>
          </w:p>
        </w:tc>
        <w:tc>
          <w:tcPr>
            <w:tcW w:w="1699" w:type="dxa"/>
            <w:gridSpan w:val="3"/>
            <w:shd w:val="clear" w:color="auto" w:fill="FFFFFF" w:themeFill="background1"/>
            <w:vAlign w:val="center"/>
          </w:tcPr>
          <w:p w:rsidR="00AC424B" w:rsidRPr="00D652DA" w:rsidRDefault="00AC424B" w:rsidP="007C2BC9">
            <w:pPr>
              <w:tabs>
                <w:tab w:val="left" w:pos="284"/>
              </w:tabs>
              <w:spacing w:after="0" w:line="219" w:lineRule="exact"/>
              <w:ind w:left="34"/>
              <w:jc w:val="left"/>
              <w:rPr>
                <w:sz w:val="20"/>
              </w:rPr>
            </w:pPr>
            <w:r w:rsidRPr="00D652DA">
              <w:rPr>
                <w:sz w:val="20"/>
              </w:rPr>
              <w:t>2017 - 2019</w:t>
            </w:r>
          </w:p>
        </w:tc>
      </w:tr>
      <w:tr w:rsidR="00AC424B" w:rsidRPr="00D652DA" w:rsidTr="007C2BC9">
        <w:tc>
          <w:tcPr>
            <w:tcW w:w="702" w:type="dxa"/>
            <w:gridSpan w:val="4"/>
            <w:shd w:val="clear" w:color="auto" w:fill="FFFFFF" w:themeFill="background1"/>
            <w:vAlign w:val="center"/>
          </w:tcPr>
          <w:p w:rsidR="00AC424B" w:rsidRPr="00D652DA" w:rsidRDefault="00AC424B" w:rsidP="007C2BC9">
            <w:pPr>
              <w:jc w:val="center"/>
              <w:rPr>
                <w:rFonts w:eastAsia="Arial"/>
                <w:w w:val="99"/>
                <w:sz w:val="20"/>
              </w:rPr>
            </w:pPr>
            <w:r w:rsidRPr="00D652DA">
              <w:rPr>
                <w:rFonts w:eastAsia="Arial"/>
                <w:w w:val="99"/>
                <w:sz w:val="20"/>
              </w:rPr>
              <w:t>2.17</w:t>
            </w:r>
          </w:p>
        </w:tc>
        <w:tc>
          <w:tcPr>
            <w:tcW w:w="4097" w:type="dxa"/>
            <w:gridSpan w:val="3"/>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Zvyšování povědomí a propagace, příprava na změny, informační podpora</w:t>
            </w:r>
          </w:p>
        </w:tc>
        <w:tc>
          <w:tcPr>
            <w:tcW w:w="1423" w:type="dxa"/>
            <w:gridSpan w:val="8"/>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MPSV, MŠMT</w:t>
            </w:r>
          </w:p>
        </w:tc>
        <w:tc>
          <w:tcPr>
            <w:tcW w:w="1286" w:type="dxa"/>
            <w:gridSpan w:val="3"/>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GŘ ÚP, NÚV, FDV, TPZ</w:t>
            </w:r>
          </w:p>
        </w:tc>
        <w:tc>
          <w:tcPr>
            <w:tcW w:w="1699" w:type="dxa"/>
            <w:gridSpan w:val="3"/>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2017-2019</w:t>
            </w:r>
          </w:p>
        </w:tc>
      </w:tr>
      <w:tr w:rsidR="00AC424B" w:rsidRPr="00D652DA" w:rsidTr="007C2BC9">
        <w:tc>
          <w:tcPr>
            <w:tcW w:w="702" w:type="dxa"/>
            <w:gridSpan w:val="4"/>
            <w:shd w:val="clear" w:color="auto" w:fill="FFFFFF" w:themeFill="background1"/>
            <w:vAlign w:val="center"/>
          </w:tcPr>
          <w:p w:rsidR="00AC424B" w:rsidRPr="00D652DA" w:rsidRDefault="00AC424B" w:rsidP="007C2BC9">
            <w:pPr>
              <w:jc w:val="center"/>
              <w:rPr>
                <w:rFonts w:eastAsia="Arial"/>
                <w:w w:val="99"/>
                <w:sz w:val="20"/>
              </w:rPr>
            </w:pPr>
            <w:r w:rsidRPr="00D652DA">
              <w:rPr>
                <w:rFonts w:eastAsia="Arial"/>
                <w:w w:val="99"/>
                <w:sz w:val="20"/>
              </w:rPr>
              <w:t>2.18</w:t>
            </w:r>
          </w:p>
        </w:tc>
        <w:tc>
          <w:tcPr>
            <w:tcW w:w="4097" w:type="dxa"/>
            <w:gridSpan w:val="3"/>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Rozvoj nových modelů a individualizace v dalším vzdělávání</w:t>
            </w:r>
          </w:p>
        </w:tc>
        <w:tc>
          <w:tcPr>
            <w:tcW w:w="1423" w:type="dxa"/>
            <w:gridSpan w:val="8"/>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MPSV, MŠMT</w:t>
            </w:r>
          </w:p>
        </w:tc>
        <w:tc>
          <w:tcPr>
            <w:tcW w:w="1286" w:type="dxa"/>
            <w:gridSpan w:val="3"/>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GŘ ÚP, NÚV, FDV, TPZ</w:t>
            </w:r>
          </w:p>
        </w:tc>
        <w:tc>
          <w:tcPr>
            <w:tcW w:w="1699" w:type="dxa"/>
            <w:gridSpan w:val="3"/>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2017-2019</w:t>
            </w:r>
          </w:p>
        </w:tc>
      </w:tr>
      <w:tr w:rsidR="00AC424B" w:rsidRPr="00D652DA" w:rsidTr="007C2BC9">
        <w:tc>
          <w:tcPr>
            <w:tcW w:w="9207" w:type="dxa"/>
            <w:gridSpan w:val="21"/>
            <w:shd w:val="clear" w:color="auto" w:fill="DBE5F1" w:themeFill="accent1" w:themeFillTint="33"/>
            <w:vAlign w:val="center"/>
          </w:tcPr>
          <w:p w:rsidR="00AC424B" w:rsidRPr="00D652DA" w:rsidRDefault="00AC424B" w:rsidP="007C2BC9">
            <w:pPr>
              <w:spacing w:line="219" w:lineRule="exact"/>
              <w:ind w:left="34"/>
              <w:jc w:val="center"/>
              <w:rPr>
                <w:sz w:val="20"/>
              </w:rPr>
            </w:pPr>
            <w:r w:rsidRPr="00D652DA">
              <w:rPr>
                <w:rFonts w:eastAsia="Arial"/>
                <w:b/>
                <w:w w:val="99"/>
                <w:sz w:val="20"/>
              </w:rPr>
              <w:t>Vytváření platforem – podpora pro tripartitní dialog o dalším vzdělávání na národní i regionální úrovni</w:t>
            </w:r>
          </w:p>
        </w:tc>
      </w:tr>
      <w:tr w:rsidR="00AC424B" w:rsidRPr="00D652DA" w:rsidTr="007C2BC9">
        <w:tc>
          <w:tcPr>
            <w:tcW w:w="702" w:type="dxa"/>
            <w:gridSpan w:val="4"/>
            <w:shd w:val="clear" w:color="auto" w:fill="FFFFFF" w:themeFill="background1"/>
            <w:vAlign w:val="center"/>
          </w:tcPr>
          <w:p w:rsidR="00AC424B" w:rsidRPr="00D652DA" w:rsidRDefault="00AC424B" w:rsidP="007C2BC9">
            <w:pPr>
              <w:jc w:val="center"/>
              <w:rPr>
                <w:rFonts w:eastAsia="Arial"/>
                <w:w w:val="99"/>
                <w:sz w:val="20"/>
              </w:rPr>
            </w:pPr>
            <w:r w:rsidRPr="00D652DA">
              <w:rPr>
                <w:rFonts w:eastAsia="Arial"/>
                <w:w w:val="99"/>
                <w:sz w:val="20"/>
              </w:rPr>
              <w:t>2.19</w:t>
            </w:r>
          </w:p>
        </w:tc>
        <w:tc>
          <w:tcPr>
            <w:tcW w:w="4097" w:type="dxa"/>
            <w:gridSpan w:val="3"/>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Tripartitní dialog o vhodné podpoře dalšího vzdělávání</w:t>
            </w:r>
          </w:p>
        </w:tc>
        <w:tc>
          <w:tcPr>
            <w:tcW w:w="1423" w:type="dxa"/>
            <w:gridSpan w:val="8"/>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MPSV</w:t>
            </w:r>
          </w:p>
        </w:tc>
        <w:tc>
          <w:tcPr>
            <w:tcW w:w="1286" w:type="dxa"/>
            <w:gridSpan w:val="3"/>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MŠMT, odbory, zaměstnavatelé, TPZ</w:t>
            </w:r>
          </w:p>
        </w:tc>
        <w:tc>
          <w:tcPr>
            <w:tcW w:w="1699" w:type="dxa"/>
            <w:gridSpan w:val="3"/>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2017-2018</w:t>
            </w:r>
          </w:p>
        </w:tc>
      </w:tr>
      <w:tr w:rsidR="00AC424B" w:rsidRPr="00D652DA" w:rsidTr="007C2BC9">
        <w:tc>
          <w:tcPr>
            <w:tcW w:w="702" w:type="dxa"/>
            <w:gridSpan w:val="4"/>
            <w:shd w:val="clear" w:color="auto" w:fill="FFFFFF" w:themeFill="background1"/>
            <w:vAlign w:val="center"/>
          </w:tcPr>
          <w:p w:rsidR="00AC424B" w:rsidRPr="00D652DA" w:rsidRDefault="00AC424B" w:rsidP="007C2BC9">
            <w:pPr>
              <w:jc w:val="center"/>
              <w:rPr>
                <w:rFonts w:eastAsia="Arial"/>
                <w:w w:val="99"/>
                <w:sz w:val="20"/>
              </w:rPr>
            </w:pPr>
            <w:r w:rsidRPr="00D652DA">
              <w:rPr>
                <w:rFonts w:eastAsia="Arial"/>
                <w:w w:val="99"/>
                <w:sz w:val="20"/>
              </w:rPr>
              <w:t>2.20</w:t>
            </w:r>
          </w:p>
        </w:tc>
        <w:tc>
          <w:tcPr>
            <w:tcW w:w="4097" w:type="dxa"/>
            <w:gridSpan w:val="3"/>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Propojování regionálních aktérů v oblasti vzdělávání</w:t>
            </w:r>
          </w:p>
        </w:tc>
        <w:tc>
          <w:tcPr>
            <w:tcW w:w="1423" w:type="dxa"/>
            <w:gridSpan w:val="8"/>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MPSV</w:t>
            </w:r>
          </w:p>
        </w:tc>
        <w:tc>
          <w:tcPr>
            <w:tcW w:w="1286" w:type="dxa"/>
            <w:gridSpan w:val="3"/>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MŠMT, GŘ ÚP, TPZ, KÚ, odbory, zaměstnavatelé</w:t>
            </w:r>
          </w:p>
        </w:tc>
        <w:tc>
          <w:tcPr>
            <w:tcW w:w="1699" w:type="dxa"/>
            <w:gridSpan w:val="3"/>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2017-2018</w:t>
            </w:r>
          </w:p>
        </w:tc>
      </w:tr>
      <w:tr w:rsidR="00A67068" w:rsidRPr="00D652DA" w:rsidTr="007C2BC9">
        <w:tc>
          <w:tcPr>
            <w:tcW w:w="9207" w:type="dxa"/>
            <w:gridSpan w:val="21"/>
            <w:shd w:val="clear" w:color="auto" w:fill="DBE5F1" w:themeFill="accent1" w:themeFillTint="33"/>
            <w:vAlign w:val="center"/>
          </w:tcPr>
          <w:p w:rsidR="00A67068" w:rsidRPr="00D652DA" w:rsidRDefault="00A67068" w:rsidP="00A67068">
            <w:pPr>
              <w:spacing w:line="219" w:lineRule="exact"/>
              <w:ind w:left="34"/>
              <w:jc w:val="center"/>
              <w:rPr>
                <w:rFonts w:eastAsia="Arial"/>
                <w:b/>
                <w:w w:val="99"/>
                <w:sz w:val="20"/>
              </w:rPr>
            </w:pPr>
            <w:r w:rsidRPr="00A67068">
              <w:rPr>
                <w:b/>
                <w:sz w:val="20"/>
              </w:rPr>
              <w:t>Nastavení podmínek na trhu práce v souvislosti s technologickými změnami</w:t>
            </w:r>
          </w:p>
        </w:tc>
      </w:tr>
      <w:tr w:rsidR="00AC424B" w:rsidRPr="00D652DA" w:rsidTr="007C2BC9">
        <w:tc>
          <w:tcPr>
            <w:tcW w:w="9207" w:type="dxa"/>
            <w:gridSpan w:val="21"/>
            <w:shd w:val="clear" w:color="auto" w:fill="DBE5F1" w:themeFill="accent1" w:themeFillTint="33"/>
            <w:vAlign w:val="center"/>
          </w:tcPr>
          <w:p w:rsidR="00AC424B" w:rsidRPr="00D652DA" w:rsidRDefault="00AC424B" w:rsidP="007C2BC9">
            <w:pPr>
              <w:jc w:val="center"/>
              <w:rPr>
                <w:rFonts w:eastAsia="Arial"/>
                <w:b/>
                <w:w w:val="99"/>
                <w:sz w:val="20"/>
              </w:rPr>
            </w:pPr>
            <w:r w:rsidRPr="00D652DA">
              <w:rPr>
                <w:rFonts w:eastAsia="Arial"/>
                <w:b/>
                <w:w w:val="99"/>
                <w:sz w:val="20"/>
              </w:rPr>
              <w:t>Metodický přístup ke sledování dopadů technologických změn na trh práce</w:t>
            </w:r>
          </w:p>
        </w:tc>
      </w:tr>
      <w:tr w:rsidR="00AC424B" w:rsidRPr="00D652DA" w:rsidTr="007C2BC9">
        <w:tc>
          <w:tcPr>
            <w:tcW w:w="681" w:type="dxa"/>
            <w:gridSpan w:val="3"/>
            <w:shd w:val="clear" w:color="auto" w:fill="FFFFFF" w:themeFill="background1"/>
            <w:vAlign w:val="center"/>
          </w:tcPr>
          <w:p w:rsidR="00AC424B" w:rsidRPr="00D652DA" w:rsidRDefault="00AC424B" w:rsidP="007C2BC9">
            <w:pPr>
              <w:jc w:val="center"/>
              <w:rPr>
                <w:rFonts w:eastAsia="Arial"/>
                <w:b/>
                <w:w w:val="99"/>
                <w:sz w:val="20"/>
              </w:rPr>
            </w:pPr>
            <w:r w:rsidRPr="00D652DA">
              <w:rPr>
                <w:rFonts w:eastAsia="Arial"/>
                <w:sz w:val="20"/>
              </w:rPr>
              <w:t>2.21</w:t>
            </w:r>
          </w:p>
        </w:tc>
        <w:tc>
          <w:tcPr>
            <w:tcW w:w="4118" w:type="dxa"/>
            <w:gridSpan w:val="4"/>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Pravidelné zpracování sektorových a tematických predikcí a jejich zpřesňování</w:t>
            </w:r>
          </w:p>
          <w:p w:rsidR="00AC424B" w:rsidRPr="00D652DA" w:rsidRDefault="00AC424B" w:rsidP="007C2BC9">
            <w:pPr>
              <w:spacing w:line="219" w:lineRule="exact"/>
              <w:ind w:left="34"/>
              <w:jc w:val="left"/>
              <w:rPr>
                <w:sz w:val="20"/>
              </w:rPr>
            </w:pPr>
            <w:r w:rsidRPr="00D652DA">
              <w:rPr>
                <w:sz w:val="20"/>
              </w:rPr>
              <w:t>s cílem odhadovat možný vývoj přinášející ohrožení a příležitosti vzniku nových pracovních příležitostí</w:t>
            </w:r>
          </w:p>
        </w:tc>
        <w:tc>
          <w:tcPr>
            <w:tcW w:w="1411" w:type="dxa"/>
            <w:gridSpan w:val="6"/>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MPSV</w:t>
            </w:r>
          </w:p>
        </w:tc>
        <w:tc>
          <w:tcPr>
            <w:tcW w:w="1324" w:type="dxa"/>
            <w:gridSpan w:val="7"/>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NVF, VÚPSV, Teritoriální pakty zaměstnanosti (TPZ)</w:t>
            </w:r>
          </w:p>
        </w:tc>
        <w:tc>
          <w:tcPr>
            <w:tcW w:w="1673" w:type="dxa"/>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2017-2019</w:t>
            </w:r>
          </w:p>
        </w:tc>
      </w:tr>
      <w:tr w:rsidR="00AC424B" w:rsidRPr="00D652DA" w:rsidTr="007C2BC9">
        <w:tc>
          <w:tcPr>
            <w:tcW w:w="681" w:type="dxa"/>
            <w:gridSpan w:val="3"/>
            <w:shd w:val="clear" w:color="auto" w:fill="FFFFFF" w:themeFill="background1"/>
            <w:vAlign w:val="center"/>
          </w:tcPr>
          <w:p w:rsidR="00AC424B" w:rsidRPr="00D652DA" w:rsidRDefault="00AC424B" w:rsidP="007C2BC9">
            <w:pPr>
              <w:jc w:val="center"/>
              <w:rPr>
                <w:rFonts w:eastAsia="Arial"/>
                <w:b/>
                <w:w w:val="99"/>
                <w:sz w:val="20"/>
              </w:rPr>
            </w:pPr>
            <w:r w:rsidRPr="00D652DA">
              <w:rPr>
                <w:rFonts w:eastAsia="Arial"/>
                <w:sz w:val="20"/>
              </w:rPr>
              <w:t>2.22</w:t>
            </w:r>
          </w:p>
        </w:tc>
        <w:tc>
          <w:tcPr>
            <w:tcW w:w="4118" w:type="dxa"/>
            <w:gridSpan w:val="4"/>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Vytváření podmínek pro zapojení zástupců zaměstnavatelů a zaměstnanců do</w:t>
            </w:r>
          </w:p>
          <w:p w:rsidR="00AC424B" w:rsidRPr="00D652DA" w:rsidRDefault="00AC424B" w:rsidP="007C2BC9">
            <w:pPr>
              <w:spacing w:line="219" w:lineRule="exact"/>
              <w:ind w:left="34"/>
              <w:jc w:val="left"/>
              <w:rPr>
                <w:sz w:val="20"/>
              </w:rPr>
            </w:pPr>
            <w:r w:rsidRPr="00D652DA">
              <w:rPr>
                <w:sz w:val="20"/>
              </w:rPr>
              <w:t>procesu posuzování dopadů technologických trendů na změny ve struktuře profesí a jejich obsahu</w:t>
            </w:r>
          </w:p>
        </w:tc>
        <w:tc>
          <w:tcPr>
            <w:tcW w:w="1411" w:type="dxa"/>
            <w:gridSpan w:val="6"/>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MPSV</w:t>
            </w:r>
          </w:p>
        </w:tc>
        <w:tc>
          <w:tcPr>
            <w:tcW w:w="1324" w:type="dxa"/>
            <w:gridSpan w:val="7"/>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NVF, VÚPSV, Teritoriální pakty zaměstnanosti (TPZ)</w:t>
            </w:r>
          </w:p>
        </w:tc>
        <w:tc>
          <w:tcPr>
            <w:tcW w:w="1673" w:type="dxa"/>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2017-2019</w:t>
            </w:r>
          </w:p>
        </w:tc>
      </w:tr>
      <w:tr w:rsidR="00AC424B" w:rsidRPr="00D652DA" w:rsidTr="007C2BC9">
        <w:tc>
          <w:tcPr>
            <w:tcW w:w="681" w:type="dxa"/>
            <w:gridSpan w:val="3"/>
            <w:shd w:val="clear" w:color="auto" w:fill="FFFFFF" w:themeFill="background1"/>
            <w:vAlign w:val="center"/>
          </w:tcPr>
          <w:p w:rsidR="00AC424B" w:rsidRPr="00D652DA" w:rsidRDefault="00AC424B" w:rsidP="007C2BC9">
            <w:pPr>
              <w:jc w:val="center"/>
              <w:rPr>
                <w:rFonts w:eastAsia="Arial"/>
                <w:b/>
                <w:w w:val="99"/>
                <w:sz w:val="20"/>
              </w:rPr>
            </w:pPr>
            <w:r w:rsidRPr="00D652DA">
              <w:rPr>
                <w:rFonts w:eastAsia="Arial"/>
                <w:sz w:val="20"/>
              </w:rPr>
              <w:t>2.23</w:t>
            </w:r>
          </w:p>
        </w:tc>
        <w:tc>
          <w:tcPr>
            <w:tcW w:w="4118" w:type="dxa"/>
            <w:gridSpan w:val="4"/>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Zohlednění nových požadavků trhu práce spojených s rozvojem digitálních technologií v Národní soustavě povolání a Centrální databázi kompetencí</w:t>
            </w:r>
          </w:p>
        </w:tc>
        <w:tc>
          <w:tcPr>
            <w:tcW w:w="1411" w:type="dxa"/>
            <w:gridSpan w:val="6"/>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MPSV</w:t>
            </w:r>
          </w:p>
        </w:tc>
        <w:tc>
          <w:tcPr>
            <w:tcW w:w="1324" w:type="dxa"/>
            <w:gridSpan w:val="7"/>
            <w:shd w:val="clear" w:color="auto" w:fill="FFFFFF" w:themeFill="background1"/>
            <w:vAlign w:val="center"/>
          </w:tcPr>
          <w:p w:rsidR="00AC424B" w:rsidRPr="00D652DA" w:rsidRDefault="00AC424B" w:rsidP="007C2BC9">
            <w:pPr>
              <w:spacing w:line="219" w:lineRule="exact"/>
              <w:ind w:left="34"/>
              <w:jc w:val="center"/>
              <w:rPr>
                <w:sz w:val="20"/>
              </w:rPr>
            </w:pPr>
            <w:r w:rsidRPr="00D652DA">
              <w:rPr>
                <w:sz w:val="20"/>
              </w:rPr>
              <w:t>FDV</w:t>
            </w:r>
          </w:p>
        </w:tc>
        <w:tc>
          <w:tcPr>
            <w:tcW w:w="1673" w:type="dxa"/>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2017-2019</w:t>
            </w:r>
          </w:p>
        </w:tc>
      </w:tr>
      <w:tr w:rsidR="00AC424B" w:rsidRPr="00D652DA" w:rsidTr="007C2BC9">
        <w:tc>
          <w:tcPr>
            <w:tcW w:w="9207" w:type="dxa"/>
            <w:gridSpan w:val="21"/>
            <w:shd w:val="clear" w:color="auto" w:fill="DBE5F1" w:themeFill="accent1" w:themeFillTint="33"/>
            <w:vAlign w:val="center"/>
          </w:tcPr>
          <w:p w:rsidR="00AC424B" w:rsidRPr="00D652DA" w:rsidRDefault="00AC424B" w:rsidP="007C2BC9">
            <w:pPr>
              <w:jc w:val="center"/>
              <w:rPr>
                <w:rFonts w:eastAsia="Arial"/>
                <w:b/>
                <w:w w:val="99"/>
                <w:sz w:val="20"/>
              </w:rPr>
            </w:pPr>
            <w:r w:rsidRPr="00D652DA">
              <w:rPr>
                <w:rFonts w:eastAsia="Arial"/>
                <w:b/>
                <w:w w:val="99"/>
                <w:sz w:val="20"/>
              </w:rPr>
              <w:t>Systematická podpora adaptace trhu práce na technologické změny</w:t>
            </w:r>
          </w:p>
        </w:tc>
      </w:tr>
      <w:tr w:rsidR="00AC424B" w:rsidRPr="00D652DA" w:rsidTr="007C2BC9">
        <w:tc>
          <w:tcPr>
            <w:tcW w:w="658" w:type="dxa"/>
            <w:gridSpan w:val="2"/>
            <w:shd w:val="clear" w:color="auto" w:fill="FFFFFF" w:themeFill="background1"/>
            <w:vAlign w:val="center"/>
          </w:tcPr>
          <w:p w:rsidR="00AC424B" w:rsidRPr="00D652DA" w:rsidRDefault="00AC424B" w:rsidP="007C2BC9">
            <w:pPr>
              <w:jc w:val="center"/>
              <w:rPr>
                <w:rFonts w:eastAsia="Arial"/>
                <w:b/>
                <w:w w:val="99"/>
                <w:sz w:val="20"/>
              </w:rPr>
            </w:pPr>
            <w:r w:rsidRPr="00D652DA">
              <w:rPr>
                <w:rFonts w:eastAsia="Arial"/>
                <w:sz w:val="20"/>
              </w:rPr>
              <w:t>2.24</w:t>
            </w:r>
          </w:p>
        </w:tc>
        <w:tc>
          <w:tcPr>
            <w:tcW w:w="4141" w:type="dxa"/>
            <w:gridSpan w:val="5"/>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Zabránění vzniku dlouhodobé nezaměstnanosti a vytváření mostů k novému</w:t>
            </w:r>
          </w:p>
          <w:p w:rsidR="00AC424B" w:rsidRPr="00D652DA" w:rsidRDefault="00AC424B" w:rsidP="007C2BC9">
            <w:pPr>
              <w:spacing w:line="219" w:lineRule="exact"/>
              <w:ind w:left="34"/>
              <w:jc w:val="left"/>
              <w:rPr>
                <w:sz w:val="20"/>
              </w:rPr>
            </w:pPr>
            <w:r w:rsidRPr="00D652DA">
              <w:rPr>
                <w:sz w:val="20"/>
              </w:rPr>
              <w:t>uplatnění na trhu práce pro znevýhodněné skupiny</w:t>
            </w:r>
          </w:p>
        </w:tc>
        <w:tc>
          <w:tcPr>
            <w:tcW w:w="1392" w:type="dxa"/>
            <w:gridSpan w:val="5"/>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GŘ ÚP</w:t>
            </w:r>
          </w:p>
        </w:tc>
        <w:tc>
          <w:tcPr>
            <w:tcW w:w="1343" w:type="dxa"/>
            <w:gridSpan w:val="8"/>
            <w:shd w:val="clear" w:color="auto" w:fill="FFFFFF" w:themeFill="background1"/>
            <w:vAlign w:val="center"/>
          </w:tcPr>
          <w:p w:rsidR="00AC424B" w:rsidRPr="00D652DA" w:rsidRDefault="00AC424B" w:rsidP="007C2BC9">
            <w:pPr>
              <w:spacing w:line="219" w:lineRule="exact"/>
              <w:ind w:left="34"/>
              <w:jc w:val="center"/>
              <w:rPr>
                <w:sz w:val="20"/>
              </w:rPr>
            </w:pPr>
            <w:r w:rsidRPr="00D652DA">
              <w:rPr>
                <w:sz w:val="20"/>
              </w:rPr>
              <w:t>MPSV, TPZ</w:t>
            </w:r>
          </w:p>
        </w:tc>
        <w:tc>
          <w:tcPr>
            <w:tcW w:w="1673" w:type="dxa"/>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2017-2019</w:t>
            </w:r>
          </w:p>
        </w:tc>
      </w:tr>
      <w:tr w:rsidR="00AC424B" w:rsidRPr="00D652DA" w:rsidTr="007C2BC9">
        <w:tc>
          <w:tcPr>
            <w:tcW w:w="658" w:type="dxa"/>
            <w:gridSpan w:val="2"/>
            <w:shd w:val="clear" w:color="auto" w:fill="FFFFFF" w:themeFill="background1"/>
            <w:vAlign w:val="center"/>
          </w:tcPr>
          <w:p w:rsidR="00AC424B" w:rsidRPr="00D652DA" w:rsidRDefault="00AC424B" w:rsidP="007C2BC9">
            <w:pPr>
              <w:jc w:val="center"/>
              <w:rPr>
                <w:rFonts w:eastAsia="Arial"/>
                <w:b/>
                <w:w w:val="99"/>
                <w:sz w:val="20"/>
              </w:rPr>
            </w:pPr>
            <w:r w:rsidRPr="00D652DA">
              <w:rPr>
                <w:rFonts w:eastAsia="Arial"/>
                <w:sz w:val="20"/>
              </w:rPr>
              <w:t>2.25</w:t>
            </w:r>
          </w:p>
        </w:tc>
        <w:tc>
          <w:tcPr>
            <w:tcW w:w="4141" w:type="dxa"/>
            <w:gridSpan w:val="5"/>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 xml:space="preserve">Podpora </w:t>
            </w:r>
            <w:proofErr w:type="spellStart"/>
            <w:r w:rsidRPr="00D652DA">
              <w:rPr>
                <w:sz w:val="20"/>
              </w:rPr>
              <w:t>sebezaměstnání</w:t>
            </w:r>
            <w:proofErr w:type="spellEnd"/>
            <w:r w:rsidRPr="00D652DA">
              <w:rPr>
                <w:sz w:val="20"/>
              </w:rPr>
              <w:t xml:space="preserve"> a startu malého podnikání</w:t>
            </w:r>
          </w:p>
        </w:tc>
        <w:tc>
          <w:tcPr>
            <w:tcW w:w="1392" w:type="dxa"/>
            <w:gridSpan w:val="5"/>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 xml:space="preserve">MPSV, MPO </w:t>
            </w:r>
          </w:p>
        </w:tc>
        <w:tc>
          <w:tcPr>
            <w:tcW w:w="1343" w:type="dxa"/>
            <w:gridSpan w:val="8"/>
            <w:shd w:val="clear" w:color="auto" w:fill="FFFFFF" w:themeFill="background1"/>
            <w:vAlign w:val="center"/>
          </w:tcPr>
          <w:p w:rsidR="00AC424B" w:rsidRPr="00D652DA" w:rsidRDefault="00AC424B" w:rsidP="007C2BC9">
            <w:pPr>
              <w:spacing w:line="219" w:lineRule="exact"/>
              <w:ind w:left="34"/>
              <w:jc w:val="center"/>
              <w:rPr>
                <w:sz w:val="20"/>
              </w:rPr>
            </w:pPr>
            <w:r w:rsidRPr="00D652DA">
              <w:rPr>
                <w:sz w:val="20"/>
              </w:rPr>
              <w:t>GŔ ÚP, MF, TPZ</w:t>
            </w:r>
          </w:p>
        </w:tc>
        <w:tc>
          <w:tcPr>
            <w:tcW w:w="1673" w:type="dxa"/>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2017-2018</w:t>
            </w:r>
          </w:p>
        </w:tc>
      </w:tr>
      <w:tr w:rsidR="00AC424B" w:rsidRPr="00D652DA" w:rsidTr="007C2BC9">
        <w:tc>
          <w:tcPr>
            <w:tcW w:w="658" w:type="dxa"/>
            <w:gridSpan w:val="2"/>
            <w:shd w:val="clear" w:color="auto" w:fill="FFFFFF" w:themeFill="background1"/>
            <w:vAlign w:val="center"/>
          </w:tcPr>
          <w:p w:rsidR="00AC424B" w:rsidRPr="00D652DA" w:rsidRDefault="00AC424B" w:rsidP="007C2BC9">
            <w:pPr>
              <w:jc w:val="center"/>
              <w:rPr>
                <w:rFonts w:eastAsia="Arial"/>
                <w:b/>
                <w:w w:val="99"/>
                <w:sz w:val="20"/>
              </w:rPr>
            </w:pPr>
            <w:r w:rsidRPr="00D652DA">
              <w:rPr>
                <w:rFonts w:eastAsia="Arial"/>
                <w:sz w:val="20"/>
              </w:rPr>
              <w:t>2.26</w:t>
            </w:r>
          </w:p>
        </w:tc>
        <w:tc>
          <w:tcPr>
            <w:tcW w:w="4141" w:type="dxa"/>
            <w:gridSpan w:val="5"/>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 xml:space="preserve">Výzkum a příprava možných řešení v oblasti daňového a pojistného systému, a podmínek, za jakých by se tyto systémy mohly vyrovnat jak se snížením fiskální zátěže pracovních příjmů, tak s požadavky na rozšíření pracovních příležitostí ve </w:t>
            </w:r>
            <w:r w:rsidRPr="00D652DA">
              <w:rPr>
                <w:sz w:val="20"/>
              </w:rPr>
              <w:lastRenderedPageBreak/>
              <w:t>veřejných službách</w:t>
            </w:r>
          </w:p>
        </w:tc>
        <w:tc>
          <w:tcPr>
            <w:tcW w:w="1392" w:type="dxa"/>
            <w:gridSpan w:val="5"/>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lastRenderedPageBreak/>
              <w:t>MPSV</w:t>
            </w:r>
          </w:p>
        </w:tc>
        <w:tc>
          <w:tcPr>
            <w:tcW w:w="1343" w:type="dxa"/>
            <w:gridSpan w:val="8"/>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MF, zaměstnavatelé, odbory.</w:t>
            </w:r>
          </w:p>
          <w:p w:rsidR="00AC424B" w:rsidRPr="00D652DA" w:rsidRDefault="00AC424B" w:rsidP="007C2BC9">
            <w:pPr>
              <w:spacing w:line="219" w:lineRule="exact"/>
              <w:ind w:left="34"/>
              <w:jc w:val="left"/>
              <w:rPr>
                <w:sz w:val="20"/>
              </w:rPr>
            </w:pPr>
          </w:p>
        </w:tc>
        <w:tc>
          <w:tcPr>
            <w:tcW w:w="1673" w:type="dxa"/>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2017-2018</w:t>
            </w:r>
          </w:p>
        </w:tc>
      </w:tr>
      <w:tr w:rsidR="00AC424B" w:rsidRPr="00D652DA" w:rsidTr="007C2BC9">
        <w:tc>
          <w:tcPr>
            <w:tcW w:w="9207" w:type="dxa"/>
            <w:gridSpan w:val="21"/>
            <w:shd w:val="clear" w:color="auto" w:fill="DBE5F1" w:themeFill="accent1" w:themeFillTint="33"/>
            <w:vAlign w:val="center"/>
          </w:tcPr>
          <w:p w:rsidR="00AC424B" w:rsidRPr="00D652DA" w:rsidRDefault="00AC424B" w:rsidP="00A67068">
            <w:pPr>
              <w:jc w:val="center"/>
              <w:rPr>
                <w:rFonts w:eastAsia="Arial"/>
                <w:b/>
                <w:w w:val="99"/>
                <w:sz w:val="20"/>
              </w:rPr>
            </w:pPr>
            <w:r w:rsidRPr="00A67068">
              <w:rPr>
                <w:rFonts w:eastAsia="Arial"/>
                <w:b/>
                <w:w w:val="99"/>
                <w:sz w:val="20"/>
              </w:rPr>
              <w:lastRenderedPageBreak/>
              <w:t>Změna podmínek na trhu práce v souvislosti s technologickými změnami</w:t>
            </w:r>
          </w:p>
        </w:tc>
      </w:tr>
      <w:tr w:rsidR="00AC424B" w:rsidRPr="00D652DA" w:rsidTr="007C2BC9">
        <w:tc>
          <w:tcPr>
            <w:tcW w:w="681" w:type="dxa"/>
            <w:gridSpan w:val="3"/>
            <w:shd w:val="clear" w:color="auto" w:fill="FFFFFF" w:themeFill="background1"/>
            <w:vAlign w:val="center"/>
          </w:tcPr>
          <w:p w:rsidR="00AC424B" w:rsidRPr="00D652DA" w:rsidRDefault="00AC424B" w:rsidP="007C2BC9">
            <w:pPr>
              <w:jc w:val="center"/>
              <w:rPr>
                <w:rFonts w:eastAsia="Arial"/>
                <w:b/>
                <w:w w:val="99"/>
                <w:sz w:val="20"/>
              </w:rPr>
            </w:pPr>
            <w:r w:rsidRPr="00D652DA">
              <w:rPr>
                <w:rFonts w:eastAsia="Arial"/>
                <w:sz w:val="20"/>
              </w:rPr>
              <w:t>2.27</w:t>
            </w:r>
          </w:p>
        </w:tc>
        <w:tc>
          <w:tcPr>
            <w:tcW w:w="4095" w:type="dxa"/>
            <w:gridSpan w:val="3"/>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Definice a regulace práce  v souvislosti se sdílenou ekonomikou</w:t>
            </w:r>
          </w:p>
        </w:tc>
        <w:tc>
          <w:tcPr>
            <w:tcW w:w="1265" w:type="dxa"/>
            <w:gridSpan w:val="4"/>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MPSV</w:t>
            </w:r>
          </w:p>
        </w:tc>
        <w:tc>
          <w:tcPr>
            <w:tcW w:w="1477" w:type="dxa"/>
            <w:gridSpan w:val="9"/>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MPO, MF</w:t>
            </w:r>
          </w:p>
        </w:tc>
        <w:tc>
          <w:tcPr>
            <w:tcW w:w="1689" w:type="dxa"/>
            <w:gridSpan w:val="2"/>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2017-2018</w:t>
            </w:r>
          </w:p>
        </w:tc>
      </w:tr>
      <w:tr w:rsidR="00AC424B" w:rsidRPr="00D652DA" w:rsidTr="007C2BC9">
        <w:tc>
          <w:tcPr>
            <w:tcW w:w="681" w:type="dxa"/>
            <w:gridSpan w:val="3"/>
            <w:shd w:val="clear" w:color="auto" w:fill="FFFFFF" w:themeFill="background1"/>
            <w:vAlign w:val="center"/>
          </w:tcPr>
          <w:p w:rsidR="00AC424B" w:rsidRPr="00D652DA" w:rsidRDefault="00AC424B" w:rsidP="007C2BC9">
            <w:pPr>
              <w:jc w:val="center"/>
              <w:rPr>
                <w:rFonts w:eastAsia="Arial"/>
                <w:b/>
                <w:w w:val="99"/>
                <w:sz w:val="20"/>
              </w:rPr>
            </w:pPr>
            <w:r w:rsidRPr="00D652DA">
              <w:rPr>
                <w:rFonts w:eastAsia="Arial"/>
                <w:sz w:val="20"/>
              </w:rPr>
              <w:t>2.28</w:t>
            </w:r>
          </w:p>
        </w:tc>
        <w:tc>
          <w:tcPr>
            <w:tcW w:w="4095" w:type="dxa"/>
            <w:gridSpan w:val="3"/>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Podpora starších a nízko kvalifikovaných osob a omezení genderové segregace</w:t>
            </w:r>
          </w:p>
          <w:p w:rsidR="00AC424B" w:rsidRPr="00D652DA" w:rsidRDefault="00AC424B" w:rsidP="007C2BC9">
            <w:pPr>
              <w:spacing w:line="219" w:lineRule="exact"/>
              <w:ind w:left="34"/>
              <w:jc w:val="left"/>
              <w:rPr>
                <w:sz w:val="20"/>
              </w:rPr>
            </w:pPr>
            <w:r w:rsidRPr="00D652DA">
              <w:rPr>
                <w:sz w:val="20"/>
              </w:rPr>
              <w:t xml:space="preserve">      na trhu práce</w:t>
            </w:r>
          </w:p>
        </w:tc>
        <w:tc>
          <w:tcPr>
            <w:tcW w:w="1265" w:type="dxa"/>
            <w:gridSpan w:val="4"/>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MPSV</w:t>
            </w:r>
          </w:p>
        </w:tc>
        <w:tc>
          <w:tcPr>
            <w:tcW w:w="1477" w:type="dxa"/>
            <w:gridSpan w:val="9"/>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GŘ ÚP</w:t>
            </w:r>
          </w:p>
        </w:tc>
        <w:tc>
          <w:tcPr>
            <w:tcW w:w="1689" w:type="dxa"/>
            <w:gridSpan w:val="2"/>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2017-2019</w:t>
            </w:r>
          </w:p>
        </w:tc>
      </w:tr>
      <w:tr w:rsidR="00AC424B" w:rsidRPr="00D652DA" w:rsidTr="007C2BC9">
        <w:tc>
          <w:tcPr>
            <w:tcW w:w="9207" w:type="dxa"/>
            <w:gridSpan w:val="21"/>
            <w:shd w:val="clear" w:color="auto" w:fill="DBE5F1" w:themeFill="accent1" w:themeFillTint="33"/>
            <w:vAlign w:val="center"/>
          </w:tcPr>
          <w:p w:rsidR="00AC424B" w:rsidRPr="00A67068" w:rsidRDefault="00AC424B" w:rsidP="00A67068">
            <w:pPr>
              <w:spacing w:line="219" w:lineRule="exact"/>
              <w:ind w:left="34"/>
              <w:jc w:val="center"/>
              <w:rPr>
                <w:b/>
                <w:sz w:val="20"/>
              </w:rPr>
            </w:pPr>
            <w:r w:rsidRPr="00A67068">
              <w:rPr>
                <w:b/>
                <w:sz w:val="20"/>
              </w:rPr>
              <w:t>Regulace dopadů technologických změn na vybrané sociální aspekty</w:t>
            </w:r>
          </w:p>
        </w:tc>
      </w:tr>
      <w:tr w:rsidR="00A67068" w:rsidRPr="00D652DA" w:rsidTr="007C2BC9">
        <w:tc>
          <w:tcPr>
            <w:tcW w:w="9207" w:type="dxa"/>
            <w:gridSpan w:val="21"/>
            <w:shd w:val="clear" w:color="auto" w:fill="DBE5F1" w:themeFill="accent1" w:themeFillTint="33"/>
            <w:vAlign w:val="center"/>
          </w:tcPr>
          <w:p w:rsidR="00A67068" w:rsidRPr="00A67068" w:rsidRDefault="00A67068" w:rsidP="00A67068">
            <w:pPr>
              <w:jc w:val="center"/>
              <w:rPr>
                <w:b/>
                <w:sz w:val="20"/>
              </w:rPr>
            </w:pPr>
            <w:r w:rsidRPr="00A67068">
              <w:rPr>
                <w:rFonts w:eastAsia="Arial"/>
                <w:b/>
                <w:w w:val="99"/>
                <w:sz w:val="20"/>
              </w:rPr>
              <w:t>Socioekonomické dopady technologických změn</w:t>
            </w:r>
          </w:p>
        </w:tc>
      </w:tr>
      <w:tr w:rsidR="00AC424B" w:rsidRPr="00D652DA" w:rsidTr="007C2BC9">
        <w:tc>
          <w:tcPr>
            <w:tcW w:w="681" w:type="dxa"/>
            <w:gridSpan w:val="3"/>
            <w:shd w:val="clear" w:color="auto" w:fill="FFFFFF" w:themeFill="background1"/>
            <w:vAlign w:val="center"/>
          </w:tcPr>
          <w:p w:rsidR="00AC424B" w:rsidRPr="00D652DA" w:rsidRDefault="00AC424B" w:rsidP="007C2BC9">
            <w:pPr>
              <w:jc w:val="center"/>
              <w:rPr>
                <w:rFonts w:eastAsia="Arial"/>
                <w:b/>
                <w:w w:val="99"/>
                <w:sz w:val="20"/>
              </w:rPr>
            </w:pPr>
            <w:r w:rsidRPr="00D652DA">
              <w:rPr>
                <w:rFonts w:eastAsia="Arial"/>
                <w:sz w:val="20"/>
              </w:rPr>
              <w:t>2.29</w:t>
            </w:r>
          </w:p>
        </w:tc>
        <w:tc>
          <w:tcPr>
            <w:tcW w:w="4089" w:type="dxa"/>
            <w:gridSpan w:val="2"/>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Analýza socioekonomických dopadů technologických změn</w:t>
            </w:r>
          </w:p>
        </w:tc>
        <w:tc>
          <w:tcPr>
            <w:tcW w:w="1271" w:type="dxa"/>
            <w:gridSpan w:val="5"/>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MPSV</w:t>
            </w:r>
          </w:p>
        </w:tc>
        <w:tc>
          <w:tcPr>
            <w:tcW w:w="1477" w:type="dxa"/>
            <w:gridSpan w:val="9"/>
            <w:shd w:val="clear" w:color="auto" w:fill="FFFFFF" w:themeFill="background1"/>
            <w:vAlign w:val="center"/>
          </w:tcPr>
          <w:p w:rsidR="00AC424B" w:rsidRPr="00D652DA" w:rsidRDefault="00AC424B" w:rsidP="007C2BC9">
            <w:pPr>
              <w:spacing w:line="219" w:lineRule="exact"/>
              <w:ind w:left="34"/>
              <w:jc w:val="left"/>
              <w:rPr>
                <w:sz w:val="20"/>
              </w:rPr>
            </w:pPr>
          </w:p>
        </w:tc>
        <w:tc>
          <w:tcPr>
            <w:tcW w:w="1689" w:type="dxa"/>
            <w:gridSpan w:val="2"/>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2017-2018</w:t>
            </w:r>
          </w:p>
        </w:tc>
      </w:tr>
      <w:tr w:rsidR="00AC424B" w:rsidRPr="00D652DA" w:rsidTr="007C2BC9">
        <w:tc>
          <w:tcPr>
            <w:tcW w:w="681" w:type="dxa"/>
            <w:gridSpan w:val="3"/>
            <w:shd w:val="clear" w:color="auto" w:fill="FFFFFF" w:themeFill="background1"/>
            <w:vAlign w:val="center"/>
          </w:tcPr>
          <w:p w:rsidR="00AC424B" w:rsidRPr="00D652DA" w:rsidRDefault="00AC424B" w:rsidP="007C2BC9">
            <w:pPr>
              <w:jc w:val="center"/>
              <w:rPr>
                <w:rFonts w:eastAsia="Arial"/>
                <w:b/>
                <w:w w:val="99"/>
                <w:sz w:val="20"/>
              </w:rPr>
            </w:pPr>
            <w:r w:rsidRPr="00D652DA">
              <w:rPr>
                <w:rFonts w:eastAsia="Arial"/>
                <w:sz w:val="20"/>
              </w:rPr>
              <w:t>2.30</w:t>
            </w:r>
          </w:p>
        </w:tc>
        <w:tc>
          <w:tcPr>
            <w:tcW w:w="4089" w:type="dxa"/>
            <w:gridSpan w:val="2"/>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Změny v systému sociálního a důchodového zabezpečení</w:t>
            </w:r>
          </w:p>
        </w:tc>
        <w:tc>
          <w:tcPr>
            <w:tcW w:w="1271" w:type="dxa"/>
            <w:gridSpan w:val="5"/>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MPSV</w:t>
            </w:r>
          </w:p>
        </w:tc>
        <w:tc>
          <w:tcPr>
            <w:tcW w:w="1477" w:type="dxa"/>
            <w:gridSpan w:val="9"/>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MF</w:t>
            </w:r>
          </w:p>
        </w:tc>
        <w:tc>
          <w:tcPr>
            <w:tcW w:w="1689" w:type="dxa"/>
            <w:gridSpan w:val="2"/>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2017-2019</w:t>
            </w:r>
          </w:p>
        </w:tc>
      </w:tr>
      <w:tr w:rsidR="00AC424B" w:rsidRPr="00D652DA" w:rsidTr="007C2BC9">
        <w:tc>
          <w:tcPr>
            <w:tcW w:w="9207" w:type="dxa"/>
            <w:gridSpan w:val="21"/>
            <w:shd w:val="clear" w:color="auto" w:fill="DBE5F1" w:themeFill="accent1" w:themeFillTint="33"/>
            <w:vAlign w:val="center"/>
          </w:tcPr>
          <w:p w:rsidR="00AC424B" w:rsidRPr="00D652DA" w:rsidRDefault="00AC424B" w:rsidP="007C2BC9">
            <w:pPr>
              <w:jc w:val="center"/>
              <w:rPr>
                <w:rFonts w:eastAsia="Arial"/>
                <w:b/>
                <w:w w:val="99"/>
                <w:sz w:val="20"/>
              </w:rPr>
            </w:pPr>
            <w:r w:rsidRPr="00D652DA">
              <w:rPr>
                <w:rFonts w:eastAsia="Arial"/>
                <w:b/>
                <w:w w:val="99"/>
                <w:sz w:val="20"/>
              </w:rPr>
              <w:t>Problematika souladu rodinného a pracovního života</w:t>
            </w:r>
          </w:p>
        </w:tc>
      </w:tr>
      <w:tr w:rsidR="00AC424B" w:rsidRPr="00D652DA" w:rsidTr="007C2BC9">
        <w:tc>
          <w:tcPr>
            <w:tcW w:w="681" w:type="dxa"/>
            <w:gridSpan w:val="3"/>
            <w:shd w:val="clear" w:color="auto" w:fill="FFFFFF" w:themeFill="background1"/>
            <w:vAlign w:val="center"/>
          </w:tcPr>
          <w:p w:rsidR="00AC424B" w:rsidRPr="00D652DA" w:rsidRDefault="00AC424B" w:rsidP="007C2BC9">
            <w:pPr>
              <w:jc w:val="center"/>
              <w:rPr>
                <w:rFonts w:eastAsia="Arial"/>
                <w:sz w:val="20"/>
              </w:rPr>
            </w:pPr>
            <w:r w:rsidRPr="00D652DA">
              <w:rPr>
                <w:rFonts w:eastAsia="Arial"/>
                <w:sz w:val="20"/>
              </w:rPr>
              <w:t>2.31</w:t>
            </w:r>
          </w:p>
        </w:tc>
        <w:tc>
          <w:tcPr>
            <w:tcW w:w="4089" w:type="dxa"/>
            <w:gridSpan w:val="2"/>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Vytvoření podmínek pro zvýšení flexibility trhu práce</w:t>
            </w:r>
          </w:p>
        </w:tc>
        <w:tc>
          <w:tcPr>
            <w:tcW w:w="1271" w:type="dxa"/>
            <w:gridSpan w:val="5"/>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MPSV</w:t>
            </w:r>
          </w:p>
        </w:tc>
        <w:tc>
          <w:tcPr>
            <w:tcW w:w="1493" w:type="dxa"/>
            <w:gridSpan w:val="10"/>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GŘ ÚP, FDV, zaměstnavatelé, odbory</w:t>
            </w:r>
          </w:p>
        </w:tc>
        <w:tc>
          <w:tcPr>
            <w:tcW w:w="1673" w:type="dxa"/>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2017-2019</w:t>
            </w:r>
          </w:p>
        </w:tc>
      </w:tr>
      <w:tr w:rsidR="00AC424B" w:rsidRPr="00D652DA" w:rsidTr="007C2BC9">
        <w:tc>
          <w:tcPr>
            <w:tcW w:w="681" w:type="dxa"/>
            <w:gridSpan w:val="3"/>
            <w:shd w:val="clear" w:color="auto" w:fill="FFFFFF" w:themeFill="background1"/>
            <w:vAlign w:val="center"/>
          </w:tcPr>
          <w:p w:rsidR="00AC424B" w:rsidRPr="00D652DA" w:rsidRDefault="00AC424B" w:rsidP="007C2BC9">
            <w:pPr>
              <w:jc w:val="center"/>
              <w:rPr>
                <w:rFonts w:eastAsia="Arial"/>
                <w:sz w:val="20"/>
              </w:rPr>
            </w:pPr>
            <w:r w:rsidRPr="00D652DA">
              <w:rPr>
                <w:rFonts w:eastAsia="Arial"/>
                <w:sz w:val="20"/>
              </w:rPr>
              <w:t>2.32</w:t>
            </w:r>
          </w:p>
        </w:tc>
        <w:tc>
          <w:tcPr>
            <w:tcW w:w="4089" w:type="dxa"/>
            <w:gridSpan w:val="2"/>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Sledování a vyhodnocování vlivu práce na dálku na soulad rodinného a pracovního života</w:t>
            </w:r>
          </w:p>
        </w:tc>
        <w:tc>
          <w:tcPr>
            <w:tcW w:w="1271" w:type="dxa"/>
            <w:gridSpan w:val="5"/>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MPSV</w:t>
            </w:r>
          </w:p>
        </w:tc>
        <w:tc>
          <w:tcPr>
            <w:tcW w:w="1493" w:type="dxa"/>
            <w:gridSpan w:val="10"/>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zaměstnavatelé, odbory, FDV</w:t>
            </w:r>
          </w:p>
        </w:tc>
        <w:tc>
          <w:tcPr>
            <w:tcW w:w="1673" w:type="dxa"/>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2017</w:t>
            </w:r>
          </w:p>
        </w:tc>
      </w:tr>
      <w:tr w:rsidR="00AC424B" w:rsidRPr="00D652DA" w:rsidTr="007C2BC9">
        <w:tc>
          <w:tcPr>
            <w:tcW w:w="9207" w:type="dxa"/>
            <w:gridSpan w:val="21"/>
            <w:shd w:val="clear" w:color="auto" w:fill="4F81BD" w:themeFill="accent1"/>
            <w:vAlign w:val="center"/>
          </w:tcPr>
          <w:p w:rsidR="00AC424B" w:rsidRPr="00D652DA" w:rsidRDefault="00AC424B" w:rsidP="007C2BC9">
            <w:pPr>
              <w:jc w:val="center"/>
              <w:rPr>
                <w:rFonts w:eastAsia="Arial"/>
                <w:b/>
                <w:w w:val="99"/>
                <w:sz w:val="20"/>
              </w:rPr>
            </w:pPr>
            <w:r w:rsidRPr="00D652DA">
              <w:rPr>
                <w:rFonts w:eastAsia="Arial"/>
                <w:b/>
                <w:w w:val="99"/>
                <w:sz w:val="20"/>
              </w:rPr>
              <w:t>3. ELEKTRONIZACE VEŘEJNÉ SPRÁVY</w:t>
            </w:r>
          </w:p>
        </w:tc>
      </w:tr>
      <w:tr w:rsidR="00AC424B" w:rsidRPr="00D652DA" w:rsidTr="007C2BC9">
        <w:tc>
          <w:tcPr>
            <w:tcW w:w="9207" w:type="dxa"/>
            <w:gridSpan w:val="21"/>
            <w:shd w:val="clear" w:color="auto" w:fill="DBE5F1" w:themeFill="accent1" w:themeFillTint="33"/>
          </w:tcPr>
          <w:p w:rsidR="00AC424B" w:rsidRPr="00D652DA" w:rsidRDefault="00AC424B" w:rsidP="007C2BC9">
            <w:pPr>
              <w:jc w:val="center"/>
              <w:rPr>
                <w:sz w:val="20"/>
              </w:rPr>
            </w:pPr>
            <w:r w:rsidRPr="00D652DA">
              <w:rPr>
                <w:b/>
                <w:sz w:val="20"/>
              </w:rPr>
              <w:t xml:space="preserve">Standardizace, hodnocení a zvyšování dostupnosti a transparentnosti veřejné správy prostřednictvím nástrojů </w:t>
            </w:r>
            <w:proofErr w:type="spellStart"/>
            <w:r w:rsidRPr="00D652DA">
              <w:rPr>
                <w:b/>
                <w:sz w:val="20"/>
              </w:rPr>
              <w:t>eGovernmentu</w:t>
            </w:r>
            <w:proofErr w:type="spellEnd"/>
          </w:p>
        </w:tc>
      </w:tr>
      <w:tr w:rsidR="00AC424B" w:rsidRPr="00D652DA" w:rsidTr="007C2BC9">
        <w:tc>
          <w:tcPr>
            <w:tcW w:w="681" w:type="dxa"/>
            <w:gridSpan w:val="3"/>
            <w:shd w:val="clear" w:color="auto" w:fill="FFFFFF" w:themeFill="background1"/>
            <w:vAlign w:val="center"/>
          </w:tcPr>
          <w:p w:rsidR="00AC424B" w:rsidRPr="00D652DA" w:rsidRDefault="00AC424B" w:rsidP="007C2BC9">
            <w:pPr>
              <w:jc w:val="center"/>
              <w:rPr>
                <w:rFonts w:eastAsia="Arial"/>
                <w:b/>
                <w:w w:val="99"/>
                <w:sz w:val="20"/>
              </w:rPr>
            </w:pPr>
            <w:r w:rsidRPr="00D652DA">
              <w:rPr>
                <w:rFonts w:eastAsia="Arial"/>
                <w:sz w:val="20"/>
              </w:rPr>
              <w:t>3.1</w:t>
            </w:r>
          </w:p>
        </w:tc>
        <w:tc>
          <w:tcPr>
            <w:tcW w:w="4089" w:type="dxa"/>
            <w:gridSpan w:val="2"/>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Výběr agend k vypracování procesního popisu / modelu, tvorba modelu, zhodnocení přínosů a nákladů metody u modelovaných agend</w:t>
            </w:r>
          </w:p>
        </w:tc>
        <w:tc>
          <w:tcPr>
            <w:tcW w:w="1287" w:type="dxa"/>
            <w:gridSpan w:val="6"/>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MV</w:t>
            </w:r>
          </w:p>
        </w:tc>
        <w:tc>
          <w:tcPr>
            <w:tcW w:w="1461" w:type="dxa"/>
            <w:gridSpan w:val="8"/>
            <w:shd w:val="clear" w:color="auto" w:fill="FFFFFF" w:themeFill="background1"/>
            <w:vAlign w:val="center"/>
          </w:tcPr>
          <w:p w:rsidR="00AC424B" w:rsidRPr="00D652DA" w:rsidRDefault="00AC424B" w:rsidP="007C2BC9">
            <w:pPr>
              <w:spacing w:line="219" w:lineRule="exact"/>
              <w:ind w:left="34"/>
              <w:jc w:val="left"/>
              <w:rPr>
                <w:sz w:val="20"/>
              </w:rPr>
            </w:pPr>
          </w:p>
        </w:tc>
        <w:tc>
          <w:tcPr>
            <w:tcW w:w="1689" w:type="dxa"/>
            <w:gridSpan w:val="2"/>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2020+</w:t>
            </w:r>
          </w:p>
        </w:tc>
      </w:tr>
      <w:tr w:rsidR="00AC424B" w:rsidRPr="00D652DA" w:rsidTr="007C2BC9">
        <w:tc>
          <w:tcPr>
            <w:tcW w:w="681" w:type="dxa"/>
            <w:gridSpan w:val="3"/>
            <w:shd w:val="clear" w:color="auto" w:fill="FFFFFF" w:themeFill="background1"/>
            <w:vAlign w:val="center"/>
          </w:tcPr>
          <w:p w:rsidR="00AC424B" w:rsidRPr="00D652DA" w:rsidRDefault="00AC424B" w:rsidP="007C2BC9">
            <w:pPr>
              <w:jc w:val="center"/>
              <w:rPr>
                <w:rFonts w:eastAsia="Arial"/>
                <w:b/>
                <w:w w:val="99"/>
                <w:sz w:val="20"/>
              </w:rPr>
            </w:pPr>
            <w:r w:rsidRPr="00D652DA">
              <w:rPr>
                <w:rFonts w:eastAsia="Arial"/>
                <w:sz w:val="20"/>
              </w:rPr>
              <w:t>3.2</w:t>
            </w:r>
          </w:p>
        </w:tc>
        <w:tc>
          <w:tcPr>
            <w:tcW w:w="4089" w:type="dxa"/>
            <w:gridSpan w:val="2"/>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Standardizace vybraných agend</w:t>
            </w:r>
          </w:p>
        </w:tc>
        <w:tc>
          <w:tcPr>
            <w:tcW w:w="1287" w:type="dxa"/>
            <w:gridSpan w:val="6"/>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MV</w:t>
            </w:r>
          </w:p>
        </w:tc>
        <w:tc>
          <w:tcPr>
            <w:tcW w:w="1461" w:type="dxa"/>
            <w:gridSpan w:val="8"/>
            <w:shd w:val="clear" w:color="auto" w:fill="FFFFFF" w:themeFill="background1"/>
            <w:vAlign w:val="center"/>
          </w:tcPr>
          <w:p w:rsidR="00AC424B" w:rsidRPr="00D652DA" w:rsidRDefault="00AC424B" w:rsidP="007C2BC9">
            <w:pPr>
              <w:spacing w:line="219" w:lineRule="exact"/>
              <w:ind w:left="34"/>
              <w:jc w:val="left"/>
              <w:rPr>
                <w:sz w:val="20"/>
              </w:rPr>
            </w:pPr>
          </w:p>
        </w:tc>
        <w:tc>
          <w:tcPr>
            <w:tcW w:w="1689" w:type="dxa"/>
            <w:gridSpan w:val="2"/>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2020+</w:t>
            </w:r>
          </w:p>
        </w:tc>
      </w:tr>
      <w:tr w:rsidR="00AC424B" w:rsidRPr="00D652DA" w:rsidTr="007C2BC9">
        <w:tc>
          <w:tcPr>
            <w:tcW w:w="681" w:type="dxa"/>
            <w:gridSpan w:val="3"/>
            <w:shd w:val="clear" w:color="auto" w:fill="FFFFFF" w:themeFill="background1"/>
            <w:vAlign w:val="center"/>
          </w:tcPr>
          <w:p w:rsidR="00AC424B" w:rsidRPr="00D652DA" w:rsidRDefault="00AC424B" w:rsidP="007C2BC9">
            <w:pPr>
              <w:jc w:val="center"/>
              <w:rPr>
                <w:rFonts w:eastAsia="Arial"/>
                <w:sz w:val="20"/>
              </w:rPr>
            </w:pPr>
            <w:r w:rsidRPr="00D652DA">
              <w:rPr>
                <w:rFonts w:eastAsia="Arial"/>
                <w:sz w:val="20"/>
              </w:rPr>
              <w:t>3.3</w:t>
            </w:r>
          </w:p>
        </w:tc>
        <w:tc>
          <w:tcPr>
            <w:tcW w:w="4089" w:type="dxa"/>
            <w:gridSpan w:val="2"/>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Nastavení systému hodnocení a měření</w:t>
            </w:r>
          </w:p>
        </w:tc>
        <w:tc>
          <w:tcPr>
            <w:tcW w:w="1287" w:type="dxa"/>
            <w:gridSpan w:val="6"/>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MV</w:t>
            </w:r>
          </w:p>
        </w:tc>
        <w:tc>
          <w:tcPr>
            <w:tcW w:w="1461" w:type="dxa"/>
            <w:gridSpan w:val="8"/>
            <w:shd w:val="clear" w:color="auto" w:fill="FFFFFF" w:themeFill="background1"/>
            <w:vAlign w:val="center"/>
          </w:tcPr>
          <w:p w:rsidR="00AC424B" w:rsidRPr="00D652DA" w:rsidRDefault="00AC424B" w:rsidP="007C2BC9">
            <w:pPr>
              <w:spacing w:line="219" w:lineRule="exact"/>
              <w:ind w:left="34"/>
              <w:jc w:val="left"/>
              <w:rPr>
                <w:sz w:val="20"/>
              </w:rPr>
            </w:pPr>
          </w:p>
        </w:tc>
        <w:tc>
          <w:tcPr>
            <w:tcW w:w="1689" w:type="dxa"/>
            <w:gridSpan w:val="2"/>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2018</w:t>
            </w:r>
          </w:p>
        </w:tc>
      </w:tr>
      <w:tr w:rsidR="00AC424B" w:rsidRPr="00D652DA" w:rsidTr="007C2BC9">
        <w:tc>
          <w:tcPr>
            <w:tcW w:w="681" w:type="dxa"/>
            <w:gridSpan w:val="3"/>
            <w:shd w:val="clear" w:color="auto" w:fill="FFFFFF" w:themeFill="background1"/>
            <w:vAlign w:val="center"/>
          </w:tcPr>
          <w:p w:rsidR="00AC424B" w:rsidRPr="00D652DA" w:rsidRDefault="00AC424B" w:rsidP="007C2BC9">
            <w:pPr>
              <w:jc w:val="center"/>
              <w:rPr>
                <w:rFonts w:eastAsia="Arial"/>
                <w:sz w:val="20"/>
              </w:rPr>
            </w:pPr>
            <w:r w:rsidRPr="00D652DA">
              <w:rPr>
                <w:rFonts w:eastAsia="Arial"/>
                <w:sz w:val="20"/>
              </w:rPr>
              <w:t>3.4</w:t>
            </w:r>
          </w:p>
        </w:tc>
        <w:tc>
          <w:tcPr>
            <w:tcW w:w="4089" w:type="dxa"/>
            <w:gridSpan w:val="2"/>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Metodika sběru dat</w:t>
            </w:r>
          </w:p>
        </w:tc>
        <w:tc>
          <w:tcPr>
            <w:tcW w:w="1287" w:type="dxa"/>
            <w:gridSpan w:val="6"/>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MV</w:t>
            </w:r>
          </w:p>
        </w:tc>
        <w:tc>
          <w:tcPr>
            <w:tcW w:w="1461" w:type="dxa"/>
            <w:gridSpan w:val="8"/>
            <w:shd w:val="clear" w:color="auto" w:fill="FFFFFF" w:themeFill="background1"/>
            <w:vAlign w:val="center"/>
          </w:tcPr>
          <w:p w:rsidR="00AC424B" w:rsidRPr="00D652DA" w:rsidRDefault="00AC424B" w:rsidP="007C2BC9">
            <w:pPr>
              <w:spacing w:line="219" w:lineRule="exact"/>
              <w:ind w:left="34"/>
              <w:jc w:val="left"/>
              <w:rPr>
                <w:sz w:val="20"/>
              </w:rPr>
            </w:pPr>
          </w:p>
        </w:tc>
        <w:tc>
          <w:tcPr>
            <w:tcW w:w="1689" w:type="dxa"/>
            <w:gridSpan w:val="2"/>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4Q 2017</w:t>
            </w:r>
          </w:p>
        </w:tc>
      </w:tr>
      <w:tr w:rsidR="00AC424B" w:rsidRPr="00D652DA" w:rsidTr="007C2BC9">
        <w:tc>
          <w:tcPr>
            <w:tcW w:w="681" w:type="dxa"/>
            <w:gridSpan w:val="3"/>
            <w:shd w:val="clear" w:color="auto" w:fill="FFFFFF" w:themeFill="background1"/>
            <w:vAlign w:val="center"/>
          </w:tcPr>
          <w:p w:rsidR="00AC424B" w:rsidRPr="00D652DA" w:rsidRDefault="00AC424B" w:rsidP="007C2BC9">
            <w:pPr>
              <w:jc w:val="center"/>
              <w:rPr>
                <w:rFonts w:eastAsia="Arial"/>
                <w:sz w:val="20"/>
              </w:rPr>
            </w:pPr>
            <w:r w:rsidRPr="00D652DA">
              <w:rPr>
                <w:rFonts w:eastAsia="Arial"/>
                <w:sz w:val="20"/>
              </w:rPr>
              <w:t>3.5</w:t>
            </w:r>
          </w:p>
        </w:tc>
        <w:tc>
          <w:tcPr>
            <w:tcW w:w="4089" w:type="dxa"/>
            <w:gridSpan w:val="2"/>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Implementace navrženého řešení</w:t>
            </w:r>
          </w:p>
        </w:tc>
        <w:tc>
          <w:tcPr>
            <w:tcW w:w="1287" w:type="dxa"/>
            <w:gridSpan w:val="6"/>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MV</w:t>
            </w:r>
          </w:p>
        </w:tc>
        <w:tc>
          <w:tcPr>
            <w:tcW w:w="1461" w:type="dxa"/>
            <w:gridSpan w:val="8"/>
            <w:shd w:val="clear" w:color="auto" w:fill="FFFFFF" w:themeFill="background1"/>
            <w:vAlign w:val="center"/>
          </w:tcPr>
          <w:p w:rsidR="00AC424B" w:rsidRPr="00D652DA" w:rsidRDefault="00AC424B" w:rsidP="007C2BC9">
            <w:pPr>
              <w:spacing w:line="219" w:lineRule="exact"/>
              <w:ind w:left="34"/>
              <w:jc w:val="left"/>
              <w:rPr>
                <w:sz w:val="20"/>
              </w:rPr>
            </w:pPr>
          </w:p>
        </w:tc>
        <w:tc>
          <w:tcPr>
            <w:tcW w:w="1689" w:type="dxa"/>
            <w:gridSpan w:val="2"/>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2020</w:t>
            </w:r>
          </w:p>
        </w:tc>
      </w:tr>
      <w:tr w:rsidR="00AC424B" w:rsidRPr="00D652DA" w:rsidTr="007C2BC9">
        <w:tc>
          <w:tcPr>
            <w:tcW w:w="681" w:type="dxa"/>
            <w:gridSpan w:val="3"/>
            <w:tcBorders>
              <w:bottom w:val="single" w:sz="4" w:space="0" w:color="auto"/>
            </w:tcBorders>
            <w:shd w:val="clear" w:color="auto" w:fill="FFFFFF" w:themeFill="background1"/>
            <w:vAlign w:val="center"/>
          </w:tcPr>
          <w:p w:rsidR="00AC424B" w:rsidRPr="00D652DA" w:rsidRDefault="00AC424B" w:rsidP="007C2BC9">
            <w:pPr>
              <w:jc w:val="center"/>
              <w:rPr>
                <w:rFonts w:eastAsia="Arial"/>
                <w:sz w:val="20"/>
              </w:rPr>
            </w:pPr>
            <w:r w:rsidRPr="00D652DA">
              <w:rPr>
                <w:rFonts w:eastAsia="Arial"/>
                <w:sz w:val="20"/>
              </w:rPr>
              <w:t>3.6</w:t>
            </w:r>
          </w:p>
        </w:tc>
        <w:tc>
          <w:tcPr>
            <w:tcW w:w="4089" w:type="dxa"/>
            <w:gridSpan w:val="2"/>
            <w:tcBorders>
              <w:bottom w:val="single" w:sz="4" w:space="0" w:color="auto"/>
            </w:tcBorders>
            <w:shd w:val="clear" w:color="auto" w:fill="FFFFFF" w:themeFill="background1"/>
            <w:vAlign w:val="center"/>
          </w:tcPr>
          <w:p w:rsidR="00AC424B" w:rsidRPr="00D652DA" w:rsidRDefault="00AC424B" w:rsidP="007C2BC9">
            <w:pPr>
              <w:spacing w:line="219" w:lineRule="exact"/>
              <w:jc w:val="left"/>
              <w:rPr>
                <w:sz w:val="20"/>
              </w:rPr>
            </w:pPr>
            <w:r w:rsidRPr="00D652DA">
              <w:rPr>
                <w:sz w:val="20"/>
              </w:rPr>
              <w:t>Vyhodnocení využívání digitálních nástrojů v rámci ministerstev a dalších</w:t>
            </w:r>
            <w:r w:rsidR="00997171">
              <w:rPr>
                <w:sz w:val="20"/>
              </w:rPr>
              <w:t xml:space="preserve"> </w:t>
            </w:r>
            <w:r w:rsidRPr="00D652DA">
              <w:rPr>
                <w:sz w:val="20"/>
              </w:rPr>
              <w:t>ústředních orgánů státní správy</w:t>
            </w:r>
          </w:p>
        </w:tc>
        <w:tc>
          <w:tcPr>
            <w:tcW w:w="1287" w:type="dxa"/>
            <w:gridSpan w:val="6"/>
            <w:tcBorders>
              <w:bottom w:val="single" w:sz="4" w:space="0" w:color="auto"/>
            </w:tcBorders>
            <w:shd w:val="clear" w:color="auto" w:fill="FFFFFF" w:themeFill="background1"/>
            <w:vAlign w:val="center"/>
          </w:tcPr>
          <w:p w:rsidR="00AC424B" w:rsidRPr="00D652DA" w:rsidRDefault="008F4570" w:rsidP="007C2BC9">
            <w:pPr>
              <w:spacing w:line="219" w:lineRule="exact"/>
              <w:ind w:left="34"/>
              <w:jc w:val="left"/>
              <w:rPr>
                <w:sz w:val="20"/>
              </w:rPr>
            </w:pPr>
            <w:r>
              <w:rPr>
                <w:sz w:val="20"/>
              </w:rPr>
              <w:t>MV, koordináto</w:t>
            </w:r>
            <w:r w:rsidR="00997171">
              <w:rPr>
                <w:sz w:val="20"/>
              </w:rPr>
              <w:t xml:space="preserve">, </w:t>
            </w:r>
            <w:r w:rsidR="00AC424B">
              <w:rPr>
                <w:sz w:val="20"/>
              </w:rPr>
              <w:t>r</w:t>
            </w:r>
            <w:r>
              <w:rPr>
                <w:sz w:val="20"/>
              </w:rPr>
              <w:t xml:space="preserve">esorty, </w:t>
            </w:r>
            <w:r w:rsidR="00AC424B" w:rsidRPr="00D652DA">
              <w:rPr>
                <w:sz w:val="20"/>
              </w:rPr>
              <w:t>ústřední orgány státní správy</w:t>
            </w:r>
          </w:p>
        </w:tc>
        <w:tc>
          <w:tcPr>
            <w:tcW w:w="1461" w:type="dxa"/>
            <w:gridSpan w:val="8"/>
            <w:tcBorders>
              <w:bottom w:val="single" w:sz="4" w:space="0" w:color="auto"/>
            </w:tcBorders>
            <w:shd w:val="clear" w:color="auto" w:fill="FFFFFF" w:themeFill="background1"/>
            <w:vAlign w:val="center"/>
          </w:tcPr>
          <w:p w:rsidR="00AC424B" w:rsidRPr="00D652DA" w:rsidRDefault="00AC424B" w:rsidP="007C2BC9">
            <w:pPr>
              <w:spacing w:line="219" w:lineRule="exact"/>
              <w:ind w:left="34"/>
              <w:jc w:val="left"/>
              <w:rPr>
                <w:sz w:val="20"/>
              </w:rPr>
            </w:pPr>
          </w:p>
        </w:tc>
        <w:tc>
          <w:tcPr>
            <w:tcW w:w="1689" w:type="dxa"/>
            <w:gridSpan w:val="2"/>
            <w:tcBorders>
              <w:bottom w:val="single" w:sz="4" w:space="0" w:color="auto"/>
            </w:tcBorders>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4Q 2017</w:t>
            </w:r>
          </w:p>
        </w:tc>
      </w:tr>
      <w:tr w:rsidR="00AC424B" w:rsidRPr="00D652DA" w:rsidTr="007C2BC9">
        <w:tc>
          <w:tcPr>
            <w:tcW w:w="9207"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424B" w:rsidRPr="00D652DA" w:rsidRDefault="00AC424B" w:rsidP="007C2BC9">
            <w:pPr>
              <w:tabs>
                <w:tab w:val="left" w:pos="851"/>
              </w:tabs>
              <w:spacing w:after="0"/>
              <w:jc w:val="center"/>
              <w:rPr>
                <w:b/>
                <w:sz w:val="20"/>
              </w:rPr>
            </w:pPr>
            <w:r w:rsidRPr="00D652DA">
              <w:rPr>
                <w:b/>
                <w:sz w:val="20"/>
              </w:rPr>
              <w:t xml:space="preserve">Zvýšení dostupnosti a transparentnosti veřejné správy prostřednictvím nástrojů </w:t>
            </w:r>
            <w:proofErr w:type="spellStart"/>
            <w:r w:rsidRPr="00D652DA">
              <w:rPr>
                <w:b/>
                <w:sz w:val="20"/>
              </w:rPr>
              <w:t>eGovernmentu</w:t>
            </w:r>
            <w:proofErr w:type="spellEnd"/>
          </w:p>
        </w:tc>
      </w:tr>
      <w:tr w:rsidR="00AC424B" w:rsidRPr="00D652DA" w:rsidTr="007C2BC9">
        <w:tc>
          <w:tcPr>
            <w:tcW w:w="681" w:type="dxa"/>
            <w:gridSpan w:val="3"/>
            <w:tcBorders>
              <w:top w:val="single" w:sz="4" w:space="0" w:color="auto"/>
            </w:tcBorders>
            <w:shd w:val="clear" w:color="auto" w:fill="FFFFFF" w:themeFill="background1"/>
            <w:vAlign w:val="center"/>
          </w:tcPr>
          <w:p w:rsidR="00AC424B" w:rsidRPr="00D652DA" w:rsidRDefault="00AC424B" w:rsidP="007C2BC9">
            <w:pPr>
              <w:jc w:val="center"/>
              <w:rPr>
                <w:rFonts w:eastAsia="Arial"/>
                <w:sz w:val="20"/>
              </w:rPr>
            </w:pPr>
            <w:r w:rsidRPr="00D652DA">
              <w:rPr>
                <w:rFonts w:eastAsia="Arial"/>
                <w:sz w:val="20"/>
              </w:rPr>
              <w:t>3.7</w:t>
            </w:r>
          </w:p>
        </w:tc>
        <w:tc>
          <w:tcPr>
            <w:tcW w:w="4089" w:type="dxa"/>
            <w:gridSpan w:val="2"/>
            <w:tcBorders>
              <w:top w:val="single" w:sz="4" w:space="0" w:color="auto"/>
            </w:tcBorders>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Vybudovat Portál občana, jakožto transakční část Portálu veřejné správy</w:t>
            </w:r>
          </w:p>
        </w:tc>
        <w:tc>
          <w:tcPr>
            <w:tcW w:w="1259" w:type="dxa"/>
            <w:gridSpan w:val="4"/>
            <w:tcBorders>
              <w:top w:val="single" w:sz="4" w:space="0" w:color="auto"/>
            </w:tcBorders>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MV</w:t>
            </w:r>
          </w:p>
        </w:tc>
        <w:tc>
          <w:tcPr>
            <w:tcW w:w="1489" w:type="dxa"/>
            <w:gridSpan w:val="10"/>
            <w:tcBorders>
              <w:top w:val="single" w:sz="4" w:space="0" w:color="auto"/>
            </w:tcBorders>
            <w:shd w:val="clear" w:color="auto" w:fill="FFFFFF" w:themeFill="background1"/>
            <w:vAlign w:val="center"/>
          </w:tcPr>
          <w:p w:rsidR="00AC424B" w:rsidRPr="00D652DA" w:rsidRDefault="00AC424B" w:rsidP="007C2BC9">
            <w:pPr>
              <w:spacing w:line="219" w:lineRule="exact"/>
              <w:ind w:left="34"/>
              <w:jc w:val="left"/>
              <w:rPr>
                <w:sz w:val="20"/>
              </w:rPr>
            </w:pPr>
          </w:p>
        </w:tc>
        <w:tc>
          <w:tcPr>
            <w:tcW w:w="1689" w:type="dxa"/>
            <w:gridSpan w:val="2"/>
            <w:tcBorders>
              <w:top w:val="single" w:sz="4" w:space="0" w:color="auto"/>
            </w:tcBorders>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2Q 2018</w:t>
            </w:r>
          </w:p>
        </w:tc>
      </w:tr>
      <w:tr w:rsidR="00AC424B" w:rsidRPr="00D652DA" w:rsidTr="007C2BC9">
        <w:tc>
          <w:tcPr>
            <w:tcW w:w="681" w:type="dxa"/>
            <w:gridSpan w:val="3"/>
            <w:shd w:val="clear" w:color="auto" w:fill="FFFFFF" w:themeFill="background1"/>
            <w:vAlign w:val="center"/>
          </w:tcPr>
          <w:p w:rsidR="00AC424B" w:rsidRPr="00D652DA" w:rsidRDefault="00AC424B" w:rsidP="007C2BC9">
            <w:pPr>
              <w:jc w:val="center"/>
              <w:rPr>
                <w:rFonts w:eastAsia="Arial"/>
                <w:sz w:val="20"/>
              </w:rPr>
            </w:pPr>
            <w:r w:rsidRPr="00D652DA">
              <w:rPr>
                <w:rFonts w:eastAsia="Arial"/>
                <w:sz w:val="20"/>
              </w:rPr>
              <w:t>3.8</w:t>
            </w:r>
          </w:p>
        </w:tc>
        <w:tc>
          <w:tcPr>
            <w:tcW w:w="4089" w:type="dxa"/>
            <w:gridSpan w:val="2"/>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Další fáze klasifikace online služeb veřejné správy a následné rozšíření mapování online služeb na úroveň samospráv</w:t>
            </w:r>
          </w:p>
        </w:tc>
        <w:tc>
          <w:tcPr>
            <w:tcW w:w="1259" w:type="dxa"/>
            <w:gridSpan w:val="4"/>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MV</w:t>
            </w:r>
          </w:p>
        </w:tc>
        <w:tc>
          <w:tcPr>
            <w:tcW w:w="1489" w:type="dxa"/>
            <w:gridSpan w:val="10"/>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koordinátor, resorty, orgány státní správy, spolupráce: partneři ze  soukromé sféry</w:t>
            </w:r>
          </w:p>
        </w:tc>
        <w:tc>
          <w:tcPr>
            <w:tcW w:w="1689" w:type="dxa"/>
            <w:gridSpan w:val="2"/>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3Q – 4Q 2017</w:t>
            </w:r>
          </w:p>
        </w:tc>
      </w:tr>
      <w:tr w:rsidR="00AC424B" w:rsidRPr="00D652DA" w:rsidTr="007C2BC9">
        <w:tc>
          <w:tcPr>
            <w:tcW w:w="681" w:type="dxa"/>
            <w:gridSpan w:val="3"/>
            <w:shd w:val="clear" w:color="auto" w:fill="FFFFFF" w:themeFill="background1"/>
            <w:vAlign w:val="center"/>
          </w:tcPr>
          <w:p w:rsidR="00AC424B" w:rsidRPr="00D652DA" w:rsidRDefault="00AC424B" w:rsidP="007C2BC9">
            <w:pPr>
              <w:jc w:val="center"/>
              <w:rPr>
                <w:rFonts w:eastAsia="Arial"/>
                <w:sz w:val="20"/>
              </w:rPr>
            </w:pPr>
            <w:r w:rsidRPr="00D652DA">
              <w:rPr>
                <w:rFonts w:eastAsia="Arial"/>
                <w:sz w:val="20"/>
              </w:rPr>
              <w:lastRenderedPageBreak/>
              <w:t>3.9</w:t>
            </w:r>
          </w:p>
        </w:tc>
        <w:tc>
          <w:tcPr>
            <w:tcW w:w="4089" w:type="dxa"/>
            <w:gridSpan w:val="2"/>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 xml:space="preserve">Příprava </w:t>
            </w:r>
            <w:proofErr w:type="spellStart"/>
            <w:r w:rsidRPr="00D652DA">
              <w:rPr>
                <w:sz w:val="20"/>
              </w:rPr>
              <w:t>eGovernment</w:t>
            </w:r>
            <w:proofErr w:type="spellEnd"/>
            <w:r w:rsidRPr="00D652DA">
              <w:rPr>
                <w:sz w:val="20"/>
              </w:rPr>
              <w:t xml:space="preserve"> </w:t>
            </w:r>
            <w:proofErr w:type="spellStart"/>
            <w:r w:rsidRPr="00D652DA">
              <w:rPr>
                <w:sz w:val="20"/>
              </w:rPr>
              <w:t>cloudu</w:t>
            </w:r>
            <w:proofErr w:type="spellEnd"/>
            <w:r w:rsidRPr="00D652DA">
              <w:rPr>
                <w:sz w:val="20"/>
              </w:rPr>
              <w:t xml:space="preserve"> ČR</w:t>
            </w:r>
          </w:p>
        </w:tc>
        <w:tc>
          <w:tcPr>
            <w:tcW w:w="1259" w:type="dxa"/>
            <w:gridSpan w:val="4"/>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MV</w:t>
            </w:r>
          </w:p>
        </w:tc>
        <w:tc>
          <w:tcPr>
            <w:tcW w:w="1489" w:type="dxa"/>
            <w:gridSpan w:val="10"/>
            <w:shd w:val="clear" w:color="auto" w:fill="FFFFFF" w:themeFill="background1"/>
            <w:vAlign w:val="center"/>
          </w:tcPr>
          <w:p w:rsidR="00AC424B" w:rsidRPr="00D652DA" w:rsidRDefault="00AC424B" w:rsidP="007C2BC9">
            <w:pPr>
              <w:spacing w:line="219" w:lineRule="exact"/>
              <w:ind w:left="34"/>
              <w:jc w:val="left"/>
              <w:rPr>
                <w:sz w:val="20"/>
              </w:rPr>
            </w:pPr>
          </w:p>
        </w:tc>
        <w:tc>
          <w:tcPr>
            <w:tcW w:w="1689" w:type="dxa"/>
            <w:gridSpan w:val="2"/>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4Q 2017</w:t>
            </w:r>
          </w:p>
        </w:tc>
      </w:tr>
      <w:tr w:rsidR="00AC424B" w:rsidRPr="00D652DA" w:rsidTr="007C2BC9">
        <w:tc>
          <w:tcPr>
            <w:tcW w:w="681" w:type="dxa"/>
            <w:gridSpan w:val="3"/>
            <w:shd w:val="clear" w:color="auto" w:fill="FFFFFF" w:themeFill="background1"/>
            <w:vAlign w:val="center"/>
          </w:tcPr>
          <w:p w:rsidR="00AC424B" w:rsidRPr="00D652DA" w:rsidRDefault="00AC424B" w:rsidP="007C2BC9">
            <w:pPr>
              <w:jc w:val="center"/>
              <w:rPr>
                <w:rFonts w:eastAsia="Arial"/>
                <w:sz w:val="20"/>
              </w:rPr>
            </w:pPr>
            <w:r w:rsidRPr="00D652DA">
              <w:rPr>
                <w:rFonts w:eastAsia="Arial"/>
                <w:sz w:val="20"/>
              </w:rPr>
              <w:t>3.10</w:t>
            </w:r>
          </w:p>
        </w:tc>
        <w:tc>
          <w:tcPr>
            <w:tcW w:w="4089" w:type="dxa"/>
            <w:gridSpan w:val="2"/>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 xml:space="preserve">Národní architektonický plán </w:t>
            </w:r>
            <w:proofErr w:type="spellStart"/>
            <w:r w:rsidRPr="00D652DA">
              <w:rPr>
                <w:sz w:val="20"/>
              </w:rPr>
              <w:t>eGovernmentu</w:t>
            </w:r>
            <w:proofErr w:type="spellEnd"/>
          </w:p>
        </w:tc>
        <w:tc>
          <w:tcPr>
            <w:tcW w:w="1259" w:type="dxa"/>
            <w:gridSpan w:val="4"/>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MV</w:t>
            </w:r>
          </w:p>
        </w:tc>
        <w:tc>
          <w:tcPr>
            <w:tcW w:w="1489" w:type="dxa"/>
            <w:gridSpan w:val="10"/>
            <w:shd w:val="clear" w:color="auto" w:fill="FFFFFF" w:themeFill="background1"/>
            <w:vAlign w:val="center"/>
          </w:tcPr>
          <w:p w:rsidR="00AC424B" w:rsidRPr="00D652DA" w:rsidRDefault="00AC424B" w:rsidP="007C2BC9">
            <w:pPr>
              <w:spacing w:line="219" w:lineRule="exact"/>
              <w:ind w:left="34"/>
              <w:jc w:val="left"/>
              <w:rPr>
                <w:sz w:val="20"/>
              </w:rPr>
            </w:pPr>
          </w:p>
        </w:tc>
        <w:tc>
          <w:tcPr>
            <w:tcW w:w="1689" w:type="dxa"/>
            <w:gridSpan w:val="2"/>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průběžně</w:t>
            </w:r>
          </w:p>
        </w:tc>
      </w:tr>
      <w:tr w:rsidR="00AC424B" w:rsidRPr="00D652DA" w:rsidTr="007C2BC9">
        <w:tc>
          <w:tcPr>
            <w:tcW w:w="681" w:type="dxa"/>
            <w:gridSpan w:val="3"/>
            <w:shd w:val="clear" w:color="auto" w:fill="FFFFFF" w:themeFill="background1"/>
            <w:vAlign w:val="center"/>
          </w:tcPr>
          <w:p w:rsidR="00AC424B" w:rsidRPr="00D652DA" w:rsidRDefault="00AC424B" w:rsidP="007C2BC9">
            <w:pPr>
              <w:jc w:val="center"/>
              <w:rPr>
                <w:rFonts w:eastAsia="Arial"/>
                <w:sz w:val="20"/>
              </w:rPr>
            </w:pPr>
            <w:r w:rsidRPr="00D652DA">
              <w:rPr>
                <w:rFonts w:eastAsia="Arial"/>
                <w:sz w:val="20"/>
              </w:rPr>
              <w:t>3.11</w:t>
            </w:r>
          </w:p>
        </w:tc>
        <w:tc>
          <w:tcPr>
            <w:tcW w:w="4089" w:type="dxa"/>
            <w:gridSpan w:val="2"/>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Příprava na Úplné elektronické podání</w:t>
            </w:r>
          </w:p>
        </w:tc>
        <w:tc>
          <w:tcPr>
            <w:tcW w:w="1259" w:type="dxa"/>
            <w:gridSpan w:val="4"/>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MV</w:t>
            </w:r>
          </w:p>
        </w:tc>
        <w:tc>
          <w:tcPr>
            <w:tcW w:w="1489" w:type="dxa"/>
            <w:gridSpan w:val="10"/>
            <w:shd w:val="clear" w:color="auto" w:fill="FFFFFF" w:themeFill="background1"/>
            <w:vAlign w:val="center"/>
          </w:tcPr>
          <w:p w:rsidR="00AC424B" w:rsidRPr="00D652DA" w:rsidRDefault="00AC424B" w:rsidP="007C2BC9">
            <w:pPr>
              <w:spacing w:line="219" w:lineRule="exact"/>
              <w:ind w:left="34"/>
              <w:jc w:val="left"/>
              <w:rPr>
                <w:sz w:val="20"/>
              </w:rPr>
            </w:pPr>
          </w:p>
        </w:tc>
        <w:tc>
          <w:tcPr>
            <w:tcW w:w="1689" w:type="dxa"/>
            <w:gridSpan w:val="2"/>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4Q 2018</w:t>
            </w:r>
          </w:p>
        </w:tc>
      </w:tr>
      <w:tr w:rsidR="00AC424B" w:rsidRPr="00D652DA" w:rsidTr="007C2BC9">
        <w:tc>
          <w:tcPr>
            <w:tcW w:w="681" w:type="dxa"/>
            <w:gridSpan w:val="3"/>
            <w:shd w:val="clear" w:color="auto" w:fill="FFFFFF" w:themeFill="background1"/>
            <w:vAlign w:val="center"/>
          </w:tcPr>
          <w:p w:rsidR="00AC424B" w:rsidRPr="00D652DA" w:rsidRDefault="00AC424B" w:rsidP="007C2BC9">
            <w:pPr>
              <w:jc w:val="center"/>
              <w:rPr>
                <w:rFonts w:eastAsia="Arial"/>
                <w:sz w:val="20"/>
              </w:rPr>
            </w:pPr>
            <w:r w:rsidRPr="00D652DA">
              <w:rPr>
                <w:rFonts w:eastAsia="Arial"/>
                <w:sz w:val="20"/>
              </w:rPr>
              <w:t>3.12</w:t>
            </w:r>
          </w:p>
        </w:tc>
        <w:tc>
          <w:tcPr>
            <w:tcW w:w="4089" w:type="dxa"/>
            <w:gridSpan w:val="2"/>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Zakotvení elektronické identity</w:t>
            </w:r>
          </w:p>
        </w:tc>
        <w:tc>
          <w:tcPr>
            <w:tcW w:w="1259" w:type="dxa"/>
            <w:gridSpan w:val="4"/>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MV</w:t>
            </w:r>
          </w:p>
        </w:tc>
        <w:tc>
          <w:tcPr>
            <w:tcW w:w="1489" w:type="dxa"/>
            <w:gridSpan w:val="10"/>
            <w:shd w:val="clear" w:color="auto" w:fill="FFFFFF" w:themeFill="background1"/>
            <w:vAlign w:val="center"/>
          </w:tcPr>
          <w:p w:rsidR="00AC424B" w:rsidRPr="00D652DA" w:rsidRDefault="00AC424B" w:rsidP="007C2BC9">
            <w:pPr>
              <w:spacing w:line="219" w:lineRule="exact"/>
              <w:ind w:left="34"/>
              <w:jc w:val="left"/>
              <w:rPr>
                <w:sz w:val="20"/>
              </w:rPr>
            </w:pPr>
          </w:p>
        </w:tc>
        <w:tc>
          <w:tcPr>
            <w:tcW w:w="1689" w:type="dxa"/>
            <w:gridSpan w:val="2"/>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3Q 2018</w:t>
            </w:r>
          </w:p>
        </w:tc>
      </w:tr>
      <w:tr w:rsidR="00AC424B" w:rsidRPr="00D652DA" w:rsidTr="007C2BC9">
        <w:tc>
          <w:tcPr>
            <w:tcW w:w="681" w:type="dxa"/>
            <w:gridSpan w:val="3"/>
            <w:shd w:val="clear" w:color="auto" w:fill="FFFFFF" w:themeFill="background1"/>
            <w:vAlign w:val="center"/>
          </w:tcPr>
          <w:p w:rsidR="00AC424B" w:rsidRPr="00D652DA" w:rsidRDefault="00AC424B" w:rsidP="007C2BC9">
            <w:pPr>
              <w:jc w:val="center"/>
              <w:rPr>
                <w:rFonts w:eastAsia="Arial"/>
                <w:sz w:val="20"/>
              </w:rPr>
            </w:pPr>
            <w:r w:rsidRPr="00D652DA">
              <w:rPr>
                <w:rFonts w:eastAsia="Arial"/>
                <w:sz w:val="20"/>
              </w:rPr>
              <w:t>3.13</w:t>
            </w:r>
          </w:p>
        </w:tc>
        <w:tc>
          <w:tcPr>
            <w:tcW w:w="4089" w:type="dxa"/>
            <w:gridSpan w:val="2"/>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Občanské průkazy s elektronickým čipem</w:t>
            </w:r>
          </w:p>
        </w:tc>
        <w:tc>
          <w:tcPr>
            <w:tcW w:w="1259" w:type="dxa"/>
            <w:gridSpan w:val="4"/>
            <w:shd w:val="clear" w:color="auto" w:fill="FFFFFF" w:themeFill="background1"/>
          </w:tcPr>
          <w:p w:rsidR="00AC424B" w:rsidRPr="00D652DA" w:rsidRDefault="00AC424B" w:rsidP="007C2BC9">
            <w:pPr>
              <w:rPr>
                <w:sz w:val="20"/>
              </w:rPr>
            </w:pPr>
            <w:r w:rsidRPr="00D652DA">
              <w:rPr>
                <w:sz w:val="20"/>
              </w:rPr>
              <w:t>MV</w:t>
            </w:r>
          </w:p>
        </w:tc>
        <w:tc>
          <w:tcPr>
            <w:tcW w:w="1489" w:type="dxa"/>
            <w:gridSpan w:val="10"/>
            <w:shd w:val="clear" w:color="auto" w:fill="FFFFFF" w:themeFill="background1"/>
            <w:vAlign w:val="center"/>
          </w:tcPr>
          <w:p w:rsidR="00AC424B" w:rsidRPr="00D652DA" w:rsidRDefault="00AC424B" w:rsidP="007C2BC9">
            <w:pPr>
              <w:spacing w:line="219" w:lineRule="exact"/>
              <w:ind w:left="34"/>
              <w:jc w:val="left"/>
              <w:rPr>
                <w:sz w:val="20"/>
              </w:rPr>
            </w:pPr>
          </w:p>
        </w:tc>
        <w:tc>
          <w:tcPr>
            <w:tcW w:w="1689" w:type="dxa"/>
            <w:gridSpan w:val="2"/>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3Q 2018</w:t>
            </w:r>
          </w:p>
        </w:tc>
      </w:tr>
      <w:tr w:rsidR="00AC424B" w:rsidRPr="00D652DA" w:rsidTr="007C2BC9">
        <w:tc>
          <w:tcPr>
            <w:tcW w:w="681" w:type="dxa"/>
            <w:gridSpan w:val="3"/>
            <w:shd w:val="clear" w:color="auto" w:fill="FFFFFF" w:themeFill="background1"/>
            <w:vAlign w:val="center"/>
          </w:tcPr>
          <w:p w:rsidR="00AC424B" w:rsidRPr="00D652DA" w:rsidRDefault="00AC424B" w:rsidP="007C2BC9">
            <w:pPr>
              <w:jc w:val="center"/>
              <w:rPr>
                <w:rFonts w:eastAsia="Arial"/>
                <w:sz w:val="20"/>
              </w:rPr>
            </w:pPr>
            <w:r w:rsidRPr="00D652DA">
              <w:rPr>
                <w:rFonts w:eastAsia="Arial"/>
                <w:sz w:val="20"/>
              </w:rPr>
              <w:t>3.14</w:t>
            </w:r>
          </w:p>
        </w:tc>
        <w:tc>
          <w:tcPr>
            <w:tcW w:w="4089" w:type="dxa"/>
            <w:gridSpan w:val="2"/>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Přeshraniční elektronická identifikace</w:t>
            </w:r>
          </w:p>
        </w:tc>
        <w:tc>
          <w:tcPr>
            <w:tcW w:w="1259" w:type="dxa"/>
            <w:gridSpan w:val="4"/>
            <w:shd w:val="clear" w:color="auto" w:fill="FFFFFF" w:themeFill="background1"/>
          </w:tcPr>
          <w:p w:rsidR="00AC424B" w:rsidRPr="00D652DA" w:rsidRDefault="00AC424B" w:rsidP="007C2BC9">
            <w:pPr>
              <w:rPr>
                <w:sz w:val="20"/>
              </w:rPr>
            </w:pPr>
            <w:r w:rsidRPr="00D652DA">
              <w:rPr>
                <w:sz w:val="20"/>
              </w:rPr>
              <w:t>MV</w:t>
            </w:r>
          </w:p>
        </w:tc>
        <w:tc>
          <w:tcPr>
            <w:tcW w:w="1489" w:type="dxa"/>
            <w:gridSpan w:val="10"/>
            <w:shd w:val="clear" w:color="auto" w:fill="FFFFFF" w:themeFill="background1"/>
            <w:vAlign w:val="center"/>
          </w:tcPr>
          <w:p w:rsidR="00AC424B" w:rsidRPr="00D652DA" w:rsidRDefault="00AC424B" w:rsidP="007C2BC9">
            <w:pPr>
              <w:spacing w:line="219" w:lineRule="exact"/>
              <w:ind w:left="34"/>
              <w:jc w:val="left"/>
              <w:rPr>
                <w:sz w:val="20"/>
              </w:rPr>
            </w:pPr>
          </w:p>
        </w:tc>
        <w:tc>
          <w:tcPr>
            <w:tcW w:w="1689" w:type="dxa"/>
            <w:gridSpan w:val="2"/>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2016 - 2018</w:t>
            </w:r>
          </w:p>
        </w:tc>
      </w:tr>
      <w:tr w:rsidR="00AC424B" w:rsidRPr="00D652DA" w:rsidTr="007C2BC9">
        <w:tc>
          <w:tcPr>
            <w:tcW w:w="681" w:type="dxa"/>
            <w:gridSpan w:val="3"/>
            <w:shd w:val="clear" w:color="auto" w:fill="FFFFFF" w:themeFill="background1"/>
            <w:vAlign w:val="center"/>
          </w:tcPr>
          <w:p w:rsidR="00AC424B" w:rsidRPr="00D652DA" w:rsidRDefault="00AC424B" w:rsidP="007C2BC9">
            <w:pPr>
              <w:jc w:val="center"/>
              <w:rPr>
                <w:rFonts w:eastAsia="Arial"/>
                <w:sz w:val="20"/>
              </w:rPr>
            </w:pPr>
            <w:r w:rsidRPr="00D652DA">
              <w:rPr>
                <w:rFonts w:eastAsia="Arial"/>
                <w:sz w:val="20"/>
              </w:rPr>
              <w:t>3.15</w:t>
            </w:r>
          </w:p>
        </w:tc>
        <w:tc>
          <w:tcPr>
            <w:tcW w:w="4089" w:type="dxa"/>
            <w:gridSpan w:val="2"/>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Elektronická fakturace</w:t>
            </w:r>
          </w:p>
        </w:tc>
        <w:tc>
          <w:tcPr>
            <w:tcW w:w="1259" w:type="dxa"/>
            <w:gridSpan w:val="4"/>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MV, MF</w:t>
            </w:r>
          </w:p>
        </w:tc>
        <w:tc>
          <w:tcPr>
            <w:tcW w:w="1489" w:type="dxa"/>
            <w:gridSpan w:val="10"/>
            <w:shd w:val="clear" w:color="auto" w:fill="FFFFFF" w:themeFill="background1"/>
            <w:vAlign w:val="center"/>
          </w:tcPr>
          <w:p w:rsidR="00AC424B" w:rsidRPr="00D652DA" w:rsidRDefault="00AC424B" w:rsidP="007C2BC9">
            <w:pPr>
              <w:spacing w:line="219" w:lineRule="exact"/>
              <w:ind w:left="34"/>
              <w:jc w:val="left"/>
              <w:rPr>
                <w:sz w:val="20"/>
              </w:rPr>
            </w:pPr>
          </w:p>
        </w:tc>
        <w:tc>
          <w:tcPr>
            <w:tcW w:w="1689" w:type="dxa"/>
            <w:gridSpan w:val="2"/>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2016 - 2019</w:t>
            </w:r>
          </w:p>
        </w:tc>
      </w:tr>
      <w:tr w:rsidR="00AC424B" w:rsidRPr="00D652DA" w:rsidTr="007C2BC9">
        <w:tc>
          <w:tcPr>
            <w:tcW w:w="681" w:type="dxa"/>
            <w:gridSpan w:val="3"/>
            <w:shd w:val="clear" w:color="auto" w:fill="FFFFFF" w:themeFill="background1"/>
            <w:vAlign w:val="center"/>
          </w:tcPr>
          <w:p w:rsidR="00AC424B" w:rsidRPr="00D652DA" w:rsidRDefault="00AC424B" w:rsidP="007C2BC9">
            <w:pPr>
              <w:jc w:val="center"/>
              <w:rPr>
                <w:rFonts w:eastAsia="Arial"/>
                <w:sz w:val="20"/>
              </w:rPr>
            </w:pPr>
            <w:r w:rsidRPr="00D652DA">
              <w:rPr>
                <w:rFonts w:eastAsia="Arial"/>
                <w:sz w:val="20"/>
              </w:rPr>
              <w:t>3.16</w:t>
            </w:r>
          </w:p>
        </w:tc>
        <w:tc>
          <w:tcPr>
            <w:tcW w:w="4089" w:type="dxa"/>
            <w:gridSpan w:val="2"/>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Legislativní rámec pro přístupnost</w:t>
            </w:r>
          </w:p>
        </w:tc>
        <w:tc>
          <w:tcPr>
            <w:tcW w:w="1259" w:type="dxa"/>
            <w:gridSpan w:val="4"/>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MV</w:t>
            </w:r>
          </w:p>
        </w:tc>
        <w:tc>
          <w:tcPr>
            <w:tcW w:w="1489" w:type="dxa"/>
            <w:gridSpan w:val="10"/>
            <w:shd w:val="clear" w:color="auto" w:fill="FFFFFF" w:themeFill="background1"/>
            <w:vAlign w:val="center"/>
          </w:tcPr>
          <w:p w:rsidR="00AC424B" w:rsidRPr="00D652DA" w:rsidRDefault="00AC424B" w:rsidP="007C2BC9">
            <w:pPr>
              <w:spacing w:line="219" w:lineRule="exact"/>
              <w:ind w:left="34"/>
              <w:jc w:val="left"/>
              <w:rPr>
                <w:sz w:val="20"/>
              </w:rPr>
            </w:pPr>
          </w:p>
        </w:tc>
        <w:tc>
          <w:tcPr>
            <w:tcW w:w="1689" w:type="dxa"/>
            <w:gridSpan w:val="2"/>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4Q 2018</w:t>
            </w:r>
          </w:p>
        </w:tc>
      </w:tr>
      <w:tr w:rsidR="00AC424B" w:rsidRPr="00D652DA" w:rsidTr="007C2BC9">
        <w:tc>
          <w:tcPr>
            <w:tcW w:w="681" w:type="dxa"/>
            <w:gridSpan w:val="3"/>
            <w:shd w:val="clear" w:color="auto" w:fill="FFFFFF" w:themeFill="background1"/>
            <w:vAlign w:val="center"/>
          </w:tcPr>
          <w:p w:rsidR="00AC424B" w:rsidRPr="00D652DA" w:rsidRDefault="00AC424B" w:rsidP="007C2BC9">
            <w:pPr>
              <w:jc w:val="center"/>
              <w:rPr>
                <w:rFonts w:eastAsia="Arial"/>
                <w:sz w:val="20"/>
              </w:rPr>
            </w:pPr>
            <w:r w:rsidRPr="00D652DA">
              <w:rPr>
                <w:rFonts w:eastAsia="Arial"/>
                <w:sz w:val="20"/>
              </w:rPr>
              <w:t>3.17</w:t>
            </w:r>
          </w:p>
        </w:tc>
        <w:tc>
          <w:tcPr>
            <w:tcW w:w="4089" w:type="dxa"/>
            <w:gridSpan w:val="2"/>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Analýza přístupnosti elektronických služeb veřejné správy i pro zdravotně postižené</w:t>
            </w:r>
          </w:p>
        </w:tc>
        <w:tc>
          <w:tcPr>
            <w:tcW w:w="1259" w:type="dxa"/>
            <w:gridSpan w:val="4"/>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MV</w:t>
            </w:r>
          </w:p>
        </w:tc>
        <w:tc>
          <w:tcPr>
            <w:tcW w:w="1489" w:type="dxa"/>
            <w:gridSpan w:val="10"/>
            <w:shd w:val="clear" w:color="auto" w:fill="FFFFFF" w:themeFill="background1"/>
            <w:vAlign w:val="center"/>
          </w:tcPr>
          <w:p w:rsidR="00AC424B" w:rsidRPr="00D652DA" w:rsidRDefault="00AC424B" w:rsidP="007C2BC9">
            <w:pPr>
              <w:spacing w:line="219" w:lineRule="exact"/>
              <w:ind w:left="34"/>
              <w:jc w:val="left"/>
              <w:rPr>
                <w:sz w:val="20"/>
              </w:rPr>
            </w:pPr>
          </w:p>
        </w:tc>
        <w:tc>
          <w:tcPr>
            <w:tcW w:w="1689" w:type="dxa"/>
            <w:gridSpan w:val="2"/>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4Q 2017</w:t>
            </w:r>
          </w:p>
        </w:tc>
      </w:tr>
      <w:tr w:rsidR="00AC424B" w:rsidRPr="00D652DA" w:rsidTr="007C2BC9">
        <w:tc>
          <w:tcPr>
            <w:tcW w:w="681" w:type="dxa"/>
            <w:gridSpan w:val="3"/>
            <w:shd w:val="clear" w:color="auto" w:fill="FFFFFF" w:themeFill="background1"/>
            <w:vAlign w:val="center"/>
          </w:tcPr>
          <w:p w:rsidR="00AC424B" w:rsidRPr="00D652DA" w:rsidRDefault="00AC424B" w:rsidP="007C2BC9">
            <w:pPr>
              <w:jc w:val="center"/>
              <w:rPr>
                <w:rFonts w:eastAsia="Arial"/>
                <w:sz w:val="20"/>
              </w:rPr>
            </w:pPr>
            <w:r w:rsidRPr="00D652DA">
              <w:rPr>
                <w:rFonts w:eastAsia="Arial"/>
                <w:sz w:val="20"/>
              </w:rPr>
              <w:t>3.18</w:t>
            </w:r>
          </w:p>
        </w:tc>
        <w:tc>
          <w:tcPr>
            <w:tcW w:w="4089" w:type="dxa"/>
            <w:gridSpan w:val="2"/>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Projekt e-Sbírka a e-Legislativa</w:t>
            </w:r>
          </w:p>
        </w:tc>
        <w:tc>
          <w:tcPr>
            <w:tcW w:w="1259" w:type="dxa"/>
            <w:gridSpan w:val="4"/>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 xml:space="preserve">MV, </w:t>
            </w:r>
            <w:proofErr w:type="spellStart"/>
            <w:r w:rsidRPr="00D652DA">
              <w:rPr>
                <w:sz w:val="20"/>
              </w:rPr>
              <w:t>MSp</w:t>
            </w:r>
            <w:proofErr w:type="spellEnd"/>
          </w:p>
        </w:tc>
        <w:tc>
          <w:tcPr>
            <w:tcW w:w="1489" w:type="dxa"/>
            <w:gridSpan w:val="10"/>
            <w:shd w:val="clear" w:color="auto" w:fill="FFFFFF" w:themeFill="background1"/>
            <w:vAlign w:val="center"/>
          </w:tcPr>
          <w:p w:rsidR="00AC424B" w:rsidRPr="00D652DA" w:rsidRDefault="00AC424B" w:rsidP="007C2BC9">
            <w:pPr>
              <w:spacing w:line="219" w:lineRule="exact"/>
              <w:ind w:left="34"/>
              <w:jc w:val="left"/>
              <w:rPr>
                <w:sz w:val="20"/>
              </w:rPr>
            </w:pPr>
          </w:p>
        </w:tc>
        <w:tc>
          <w:tcPr>
            <w:tcW w:w="1689" w:type="dxa"/>
            <w:gridSpan w:val="2"/>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2020</w:t>
            </w:r>
          </w:p>
        </w:tc>
      </w:tr>
      <w:tr w:rsidR="00AC424B" w:rsidRPr="00D652DA" w:rsidTr="007C2BC9">
        <w:tc>
          <w:tcPr>
            <w:tcW w:w="681" w:type="dxa"/>
            <w:gridSpan w:val="3"/>
            <w:tcBorders>
              <w:bottom w:val="single" w:sz="4" w:space="0" w:color="auto"/>
            </w:tcBorders>
            <w:shd w:val="clear" w:color="auto" w:fill="FFFFFF" w:themeFill="background1"/>
            <w:vAlign w:val="center"/>
          </w:tcPr>
          <w:p w:rsidR="00AC424B" w:rsidRPr="00D652DA" w:rsidRDefault="00AC424B" w:rsidP="007C2BC9">
            <w:pPr>
              <w:jc w:val="center"/>
              <w:rPr>
                <w:rFonts w:eastAsia="Arial"/>
                <w:sz w:val="20"/>
              </w:rPr>
            </w:pPr>
            <w:r w:rsidRPr="00D652DA">
              <w:rPr>
                <w:rFonts w:eastAsia="Arial"/>
                <w:sz w:val="20"/>
              </w:rPr>
              <w:t>3.19</w:t>
            </w:r>
          </w:p>
        </w:tc>
        <w:tc>
          <w:tcPr>
            <w:tcW w:w="4089" w:type="dxa"/>
            <w:gridSpan w:val="2"/>
            <w:tcBorders>
              <w:bottom w:val="single" w:sz="4" w:space="0" w:color="auto"/>
            </w:tcBorders>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Aktivity související s elektronizací veřejné správy v rámci resortu MF</w:t>
            </w:r>
          </w:p>
        </w:tc>
        <w:tc>
          <w:tcPr>
            <w:tcW w:w="1259" w:type="dxa"/>
            <w:gridSpan w:val="4"/>
            <w:tcBorders>
              <w:bottom w:val="single" w:sz="4" w:space="0" w:color="auto"/>
            </w:tcBorders>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MF</w:t>
            </w:r>
          </w:p>
        </w:tc>
        <w:tc>
          <w:tcPr>
            <w:tcW w:w="1489" w:type="dxa"/>
            <w:gridSpan w:val="10"/>
            <w:tcBorders>
              <w:bottom w:val="single" w:sz="4" w:space="0" w:color="auto"/>
            </w:tcBorders>
            <w:shd w:val="clear" w:color="auto" w:fill="FFFFFF" w:themeFill="background1"/>
            <w:vAlign w:val="center"/>
          </w:tcPr>
          <w:p w:rsidR="00AC424B" w:rsidRPr="00D652DA" w:rsidRDefault="00AC424B" w:rsidP="007C2BC9">
            <w:pPr>
              <w:spacing w:line="219" w:lineRule="exact"/>
              <w:ind w:left="34"/>
              <w:jc w:val="left"/>
              <w:rPr>
                <w:sz w:val="20"/>
              </w:rPr>
            </w:pPr>
          </w:p>
        </w:tc>
        <w:tc>
          <w:tcPr>
            <w:tcW w:w="1689" w:type="dxa"/>
            <w:gridSpan w:val="2"/>
            <w:tcBorders>
              <w:bottom w:val="single" w:sz="4" w:space="0" w:color="auto"/>
            </w:tcBorders>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Průběžně do 4Q 2020</w:t>
            </w:r>
          </w:p>
        </w:tc>
      </w:tr>
      <w:tr w:rsidR="00AC424B" w:rsidRPr="00D652DA" w:rsidTr="007C2BC9">
        <w:tc>
          <w:tcPr>
            <w:tcW w:w="9207"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424B" w:rsidRPr="00D652DA" w:rsidRDefault="00AC424B" w:rsidP="007C2BC9">
            <w:pPr>
              <w:jc w:val="center"/>
              <w:rPr>
                <w:rFonts w:eastAsia="Arial"/>
                <w:b/>
                <w:w w:val="99"/>
                <w:sz w:val="20"/>
              </w:rPr>
            </w:pPr>
            <w:r w:rsidRPr="00D652DA">
              <w:rPr>
                <w:rFonts w:eastAsia="Arial"/>
                <w:b/>
                <w:w w:val="99"/>
                <w:sz w:val="20"/>
              </w:rPr>
              <w:t>Prosazování principu Open Data</w:t>
            </w:r>
          </w:p>
        </w:tc>
      </w:tr>
      <w:tr w:rsidR="00AC424B" w:rsidRPr="00D652DA" w:rsidTr="007C2BC9">
        <w:tc>
          <w:tcPr>
            <w:tcW w:w="681" w:type="dxa"/>
            <w:gridSpan w:val="3"/>
            <w:tcBorders>
              <w:top w:val="single" w:sz="4" w:space="0" w:color="auto"/>
            </w:tcBorders>
            <w:shd w:val="clear" w:color="auto" w:fill="FFFFFF" w:themeFill="background1"/>
            <w:vAlign w:val="center"/>
          </w:tcPr>
          <w:p w:rsidR="00AC424B" w:rsidRPr="00D652DA" w:rsidRDefault="00AC424B" w:rsidP="007C2BC9">
            <w:pPr>
              <w:jc w:val="center"/>
              <w:rPr>
                <w:rFonts w:eastAsia="Arial"/>
                <w:sz w:val="20"/>
              </w:rPr>
            </w:pPr>
            <w:r w:rsidRPr="00D652DA">
              <w:rPr>
                <w:rFonts w:eastAsia="Arial"/>
                <w:sz w:val="20"/>
              </w:rPr>
              <w:t>3.20</w:t>
            </w:r>
          </w:p>
        </w:tc>
        <w:tc>
          <w:tcPr>
            <w:tcW w:w="4089" w:type="dxa"/>
            <w:gridSpan w:val="2"/>
            <w:tcBorders>
              <w:top w:val="single" w:sz="4" w:space="0" w:color="auto"/>
            </w:tcBorders>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Národní katalog otevřených dat</w:t>
            </w:r>
          </w:p>
        </w:tc>
        <w:tc>
          <w:tcPr>
            <w:tcW w:w="1259" w:type="dxa"/>
            <w:gridSpan w:val="4"/>
            <w:tcBorders>
              <w:top w:val="single" w:sz="4" w:space="0" w:color="auto"/>
            </w:tcBorders>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MV</w:t>
            </w:r>
          </w:p>
        </w:tc>
        <w:tc>
          <w:tcPr>
            <w:tcW w:w="1489" w:type="dxa"/>
            <w:gridSpan w:val="10"/>
            <w:tcBorders>
              <w:top w:val="single" w:sz="4" w:space="0" w:color="auto"/>
            </w:tcBorders>
            <w:shd w:val="clear" w:color="auto" w:fill="FFFFFF" w:themeFill="background1"/>
            <w:vAlign w:val="center"/>
          </w:tcPr>
          <w:p w:rsidR="00AC424B" w:rsidRPr="00D652DA" w:rsidRDefault="00AC424B" w:rsidP="007C2BC9">
            <w:pPr>
              <w:spacing w:line="219" w:lineRule="exact"/>
              <w:ind w:left="34"/>
              <w:jc w:val="left"/>
              <w:rPr>
                <w:sz w:val="20"/>
              </w:rPr>
            </w:pPr>
          </w:p>
        </w:tc>
        <w:tc>
          <w:tcPr>
            <w:tcW w:w="1689" w:type="dxa"/>
            <w:gridSpan w:val="2"/>
            <w:tcBorders>
              <w:top w:val="single" w:sz="4" w:space="0" w:color="auto"/>
            </w:tcBorders>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3Q 2018</w:t>
            </w:r>
          </w:p>
        </w:tc>
      </w:tr>
      <w:tr w:rsidR="00AC424B" w:rsidRPr="00D652DA" w:rsidTr="007C2BC9">
        <w:tc>
          <w:tcPr>
            <w:tcW w:w="681" w:type="dxa"/>
            <w:gridSpan w:val="3"/>
            <w:shd w:val="clear" w:color="auto" w:fill="FFFFFF" w:themeFill="background1"/>
            <w:vAlign w:val="center"/>
          </w:tcPr>
          <w:p w:rsidR="00AC424B" w:rsidRPr="00D652DA" w:rsidRDefault="00AC424B" w:rsidP="007C2BC9">
            <w:pPr>
              <w:jc w:val="center"/>
              <w:rPr>
                <w:rFonts w:eastAsia="Arial"/>
                <w:sz w:val="20"/>
              </w:rPr>
            </w:pPr>
            <w:r w:rsidRPr="00D652DA">
              <w:rPr>
                <w:rFonts w:eastAsia="Arial"/>
                <w:sz w:val="20"/>
              </w:rPr>
              <w:t>3.21</w:t>
            </w:r>
          </w:p>
        </w:tc>
        <w:tc>
          <w:tcPr>
            <w:tcW w:w="4089" w:type="dxa"/>
            <w:gridSpan w:val="2"/>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Zasazení otevřených dat do kontextu Národního architektonického plánu</w:t>
            </w:r>
          </w:p>
        </w:tc>
        <w:tc>
          <w:tcPr>
            <w:tcW w:w="1259" w:type="dxa"/>
            <w:gridSpan w:val="4"/>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MV</w:t>
            </w:r>
          </w:p>
        </w:tc>
        <w:tc>
          <w:tcPr>
            <w:tcW w:w="1489" w:type="dxa"/>
            <w:gridSpan w:val="10"/>
            <w:shd w:val="clear" w:color="auto" w:fill="FFFFFF" w:themeFill="background1"/>
            <w:vAlign w:val="center"/>
          </w:tcPr>
          <w:p w:rsidR="00AC424B" w:rsidRPr="00D652DA" w:rsidRDefault="00AC424B" w:rsidP="007C2BC9">
            <w:pPr>
              <w:spacing w:line="219" w:lineRule="exact"/>
              <w:ind w:left="34"/>
              <w:jc w:val="left"/>
              <w:rPr>
                <w:sz w:val="20"/>
              </w:rPr>
            </w:pPr>
          </w:p>
        </w:tc>
        <w:tc>
          <w:tcPr>
            <w:tcW w:w="1689" w:type="dxa"/>
            <w:gridSpan w:val="2"/>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2Q 2018</w:t>
            </w:r>
          </w:p>
        </w:tc>
      </w:tr>
      <w:tr w:rsidR="00AC424B" w:rsidRPr="00D652DA" w:rsidTr="007C2BC9">
        <w:tc>
          <w:tcPr>
            <w:tcW w:w="681" w:type="dxa"/>
            <w:gridSpan w:val="3"/>
            <w:shd w:val="clear" w:color="auto" w:fill="FFFFFF" w:themeFill="background1"/>
            <w:vAlign w:val="center"/>
          </w:tcPr>
          <w:p w:rsidR="00AC424B" w:rsidRPr="00D652DA" w:rsidRDefault="00AC424B" w:rsidP="007C2BC9">
            <w:pPr>
              <w:jc w:val="center"/>
              <w:rPr>
                <w:rFonts w:eastAsia="Arial"/>
                <w:sz w:val="20"/>
              </w:rPr>
            </w:pPr>
            <w:r w:rsidRPr="00D652DA">
              <w:rPr>
                <w:rFonts w:eastAsia="Arial"/>
                <w:sz w:val="20"/>
              </w:rPr>
              <w:t>3.22</w:t>
            </w:r>
          </w:p>
        </w:tc>
        <w:tc>
          <w:tcPr>
            <w:tcW w:w="4089" w:type="dxa"/>
            <w:gridSpan w:val="2"/>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Sestavení a vedení pracovní skupiny poskytovatelů otevřených dat na úrovni ministerstev a ústředních orgánů státní správy</w:t>
            </w:r>
          </w:p>
        </w:tc>
        <w:tc>
          <w:tcPr>
            <w:tcW w:w="1259" w:type="dxa"/>
            <w:gridSpan w:val="4"/>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MV</w:t>
            </w:r>
          </w:p>
        </w:tc>
        <w:tc>
          <w:tcPr>
            <w:tcW w:w="1489" w:type="dxa"/>
            <w:gridSpan w:val="10"/>
            <w:shd w:val="clear" w:color="auto" w:fill="FFFFFF" w:themeFill="background1"/>
            <w:vAlign w:val="center"/>
          </w:tcPr>
          <w:p w:rsidR="00AC424B" w:rsidRPr="00D652DA" w:rsidRDefault="00AC424B" w:rsidP="007C2BC9">
            <w:pPr>
              <w:spacing w:line="219" w:lineRule="exact"/>
              <w:ind w:left="34"/>
              <w:jc w:val="left"/>
              <w:rPr>
                <w:sz w:val="20"/>
              </w:rPr>
            </w:pPr>
          </w:p>
        </w:tc>
        <w:tc>
          <w:tcPr>
            <w:tcW w:w="1689" w:type="dxa"/>
            <w:gridSpan w:val="2"/>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2Q 2017</w:t>
            </w:r>
          </w:p>
        </w:tc>
      </w:tr>
      <w:tr w:rsidR="00AC424B" w:rsidRPr="00D652DA" w:rsidTr="007C2BC9">
        <w:tc>
          <w:tcPr>
            <w:tcW w:w="681" w:type="dxa"/>
            <w:gridSpan w:val="3"/>
            <w:shd w:val="clear" w:color="auto" w:fill="FFFFFF" w:themeFill="background1"/>
            <w:vAlign w:val="center"/>
          </w:tcPr>
          <w:p w:rsidR="00AC424B" w:rsidRPr="00D652DA" w:rsidRDefault="00AC424B" w:rsidP="007C2BC9">
            <w:pPr>
              <w:jc w:val="center"/>
              <w:rPr>
                <w:rFonts w:eastAsia="Arial"/>
                <w:sz w:val="20"/>
              </w:rPr>
            </w:pPr>
            <w:r w:rsidRPr="00D652DA">
              <w:rPr>
                <w:rFonts w:eastAsia="Arial"/>
                <w:sz w:val="20"/>
              </w:rPr>
              <w:t>3.23</w:t>
            </w:r>
          </w:p>
        </w:tc>
        <w:tc>
          <w:tcPr>
            <w:tcW w:w="4089" w:type="dxa"/>
            <w:gridSpan w:val="2"/>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Propojená data</w:t>
            </w:r>
          </w:p>
        </w:tc>
        <w:tc>
          <w:tcPr>
            <w:tcW w:w="1259" w:type="dxa"/>
            <w:gridSpan w:val="4"/>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MV</w:t>
            </w:r>
          </w:p>
        </w:tc>
        <w:tc>
          <w:tcPr>
            <w:tcW w:w="1489" w:type="dxa"/>
            <w:gridSpan w:val="10"/>
            <w:shd w:val="clear" w:color="auto" w:fill="FFFFFF" w:themeFill="background1"/>
            <w:vAlign w:val="center"/>
          </w:tcPr>
          <w:p w:rsidR="00AC424B" w:rsidRPr="00D652DA" w:rsidRDefault="00AC424B" w:rsidP="007C2BC9">
            <w:pPr>
              <w:spacing w:line="219" w:lineRule="exact"/>
              <w:ind w:left="34"/>
              <w:jc w:val="left"/>
              <w:rPr>
                <w:sz w:val="20"/>
              </w:rPr>
            </w:pPr>
          </w:p>
        </w:tc>
        <w:tc>
          <w:tcPr>
            <w:tcW w:w="1689" w:type="dxa"/>
            <w:gridSpan w:val="2"/>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2Q 2018</w:t>
            </w:r>
          </w:p>
        </w:tc>
      </w:tr>
      <w:tr w:rsidR="00AC424B" w:rsidRPr="00D652DA" w:rsidTr="007C2BC9">
        <w:tc>
          <w:tcPr>
            <w:tcW w:w="681" w:type="dxa"/>
            <w:gridSpan w:val="3"/>
            <w:tcBorders>
              <w:bottom w:val="single" w:sz="4" w:space="0" w:color="auto"/>
            </w:tcBorders>
            <w:shd w:val="clear" w:color="auto" w:fill="FFFFFF" w:themeFill="background1"/>
            <w:vAlign w:val="center"/>
          </w:tcPr>
          <w:p w:rsidR="00AC424B" w:rsidRPr="00D652DA" w:rsidRDefault="00AC424B" w:rsidP="007C2BC9">
            <w:pPr>
              <w:jc w:val="center"/>
              <w:rPr>
                <w:rFonts w:eastAsia="Arial"/>
                <w:sz w:val="20"/>
              </w:rPr>
            </w:pPr>
            <w:r w:rsidRPr="00D652DA">
              <w:rPr>
                <w:rFonts w:eastAsia="Arial"/>
                <w:sz w:val="20"/>
              </w:rPr>
              <w:t>3.24</w:t>
            </w:r>
          </w:p>
        </w:tc>
        <w:tc>
          <w:tcPr>
            <w:tcW w:w="4089" w:type="dxa"/>
            <w:gridSpan w:val="2"/>
            <w:tcBorders>
              <w:bottom w:val="single" w:sz="4" w:space="0" w:color="auto"/>
            </w:tcBorders>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Osvěta k přístupnosti</w:t>
            </w:r>
          </w:p>
        </w:tc>
        <w:tc>
          <w:tcPr>
            <w:tcW w:w="1259" w:type="dxa"/>
            <w:gridSpan w:val="4"/>
            <w:tcBorders>
              <w:bottom w:val="single" w:sz="4" w:space="0" w:color="auto"/>
            </w:tcBorders>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MV</w:t>
            </w:r>
          </w:p>
        </w:tc>
        <w:tc>
          <w:tcPr>
            <w:tcW w:w="1489" w:type="dxa"/>
            <w:gridSpan w:val="10"/>
            <w:tcBorders>
              <w:bottom w:val="single" w:sz="4" w:space="0" w:color="auto"/>
            </w:tcBorders>
            <w:shd w:val="clear" w:color="auto" w:fill="FFFFFF" w:themeFill="background1"/>
            <w:vAlign w:val="center"/>
          </w:tcPr>
          <w:p w:rsidR="00AC424B" w:rsidRPr="00D652DA" w:rsidRDefault="00AC424B" w:rsidP="007C2BC9">
            <w:pPr>
              <w:spacing w:line="219" w:lineRule="exact"/>
              <w:ind w:left="34"/>
              <w:jc w:val="left"/>
              <w:rPr>
                <w:sz w:val="20"/>
              </w:rPr>
            </w:pPr>
          </w:p>
        </w:tc>
        <w:tc>
          <w:tcPr>
            <w:tcW w:w="1689" w:type="dxa"/>
            <w:gridSpan w:val="2"/>
            <w:tcBorders>
              <w:bottom w:val="single" w:sz="4" w:space="0" w:color="auto"/>
            </w:tcBorders>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průběžně</w:t>
            </w:r>
          </w:p>
        </w:tc>
      </w:tr>
      <w:tr w:rsidR="00AC424B" w:rsidRPr="00D652DA" w:rsidTr="007C2BC9">
        <w:tc>
          <w:tcPr>
            <w:tcW w:w="9207"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424B" w:rsidRPr="00D652DA" w:rsidRDefault="00AC424B" w:rsidP="007C2BC9">
            <w:pPr>
              <w:jc w:val="center"/>
              <w:rPr>
                <w:rFonts w:eastAsia="Arial"/>
                <w:b/>
                <w:w w:val="99"/>
                <w:sz w:val="20"/>
              </w:rPr>
            </w:pPr>
            <w:r w:rsidRPr="00D652DA">
              <w:rPr>
                <w:rFonts w:eastAsia="Arial"/>
                <w:b/>
                <w:w w:val="99"/>
                <w:sz w:val="20"/>
              </w:rPr>
              <w:t>Elektronické zdravotnictví</w:t>
            </w:r>
          </w:p>
        </w:tc>
      </w:tr>
      <w:tr w:rsidR="00AC424B" w:rsidRPr="00D652DA" w:rsidTr="007C2BC9">
        <w:tc>
          <w:tcPr>
            <w:tcW w:w="681" w:type="dxa"/>
            <w:gridSpan w:val="3"/>
            <w:tcBorders>
              <w:top w:val="single" w:sz="4" w:space="0" w:color="auto"/>
            </w:tcBorders>
            <w:shd w:val="clear" w:color="auto" w:fill="FFFFFF" w:themeFill="background1"/>
            <w:vAlign w:val="center"/>
          </w:tcPr>
          <w:p w:rsidR="00AC424B" w:rsidRPr="00D652DA" w:rsidRDefault="00AC424B" w:rsidP="007C2BC9">
            <w:pPr>
              <w:jc w:val="center"/>
              <w:rPr>
                <w:rFonts w:eastAsia="Arial"/>
                <w:sz w:val="20"/>
              </w:rPr>
            </w:pPr>
            <w:r w:rsidRPr="00D652DA">
              <w:rPr>
                <w:rFonts w:eastAsia="Arial"/>
                <w:sz w:val="20"/>
              </w:rPr>
              <w:t>3.25</w:t>
            </w:r>
          </w:p>
        </w:tc>
        <w:tc>
          <w:tcPr>
            <w:tcW w:w="4089" w:type="dxa"/>
            <w:gridSpan w:val="2"/>
            <w:tcBorders>
              <w:top w:val="single" w:sz="4" w:space="0" w:color="auto"/>
            </w:tcBorders>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Postupovat při implementaci Strategie podle Akčního plánu k Národní strategii elektronického zdravotnictví ČR na období 2016 – 2020</w:t>
            </w:r>
          </w:p>
        </w:tc>
        <w:tc>
          <w:tcPr>
            <w:tcW w:w="1259" w:type="dxa"/>
            <w:gridSpan w:val="4"/>
            <w:tcBorders>
              <w:top w:val="single" w:sz="4" w:space="0" w:color="auto"/>
            </w:tcBorders>
            <w:shd w:val="clear" w:color="auto" w:fill="FFFFFF" w:themeFill="background1"/>
            <w:vAlign w:val="center"/>
          </w:tcPr>
          <w:p w:rsidR="00AC424B" w:rsidRPr="00D652DA" w:rsidRDefault="00AC424B" w:rsidP="007C2BC9">
            <w:pPr>
              <w:spacing w:line="219" w:lineRule="exact"/>
              <w:ind w:left="34"/>
              <w:jc w:val="left"/>
              <w:rPr>
                <w:sz w:val="20"/>
              </w:rPr>
            </w:pPr>
            <w:proofErr w:type="spellStart"/>
            <w:r w:rsidRPr="00D652DA">
              <w:rPr>
                <w:sz w:val="20"/>
              </w:rPr>
              <w:t>MZd</w:t>
            </w:r>
            <w:proofErr w:type="spellEnd"/>
          </w:p>
        </w:tc>
        <w:tc>
          <w:tcPr>
            <w:tcW w:w="1489" w:type="dxa"/>
            <w:gridSpan w:val="10"/>
            <w:tcBorders>
              <w:top w:val="single" w:sz="4" w:space="0" w:color="auto"/>
            </w:tcBorders>
            <w:shd w:val="clear" w:color="auto" w:fill="FFFFFF" w:themeFill="background1"/>
            <w:vAlign w:val="center"/>
          </w:tcPr>
          <w:p w:rsidR="00AC424B" w:rsidRPr="00D652DA" w:rsidRDefault="00AC424B" w:rsidP="007C2BC9">
            <w:pPr>
              <w:spacing w:line="219" w:lineRule="exact"/>
              <w:ind w:left="34"/>
              <w:jc w:val="left"/>
              <w:rPr>
                <w:sz w:val="20"/>
              </w:rPr>
            </w:pPr>
          </w:p>
        </w:tc>
        <w:tc>
          <w:tcPr>
            <w:tcW w:w="1689" w:type="dxa"/>
            <w:gridSpan w:val="2"/>
            <w:tcBorders>
              <w:top w:val="single" w:sz="4" w:space="0" w:color="auto"/>
            </w:tcBorders>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2017– 2020</w:t>
            </w:r>
          </w:p>
        </w:tc>
      </w:tr>
      <w:tr w:rsidR="00AC424B" w:rsidRPr="00D652DA" w:rsidTr="007C2BC9">
        <w:tc>
          <w:tcPr>
            <w:tcW w:w="681" w:type="dxa"/>
            <w:gridSpan w:val="3"/>
            <w:shd w:val="clear" w:color="auto" w:fill="FFFFFF" w:themeFill="background1"/>
            <w:vAlign w:val="center"/>
          </w:tcPr>
          <w:p w:rsidR="00AC424B" w:rsidRPr="00D652DA" w:rsidRDefault="00AC424B" w:rsidP="007C2BC9">
            <w:pPr>
              <w:jc w:val="center"/>
              <w:rPr>
                <w:rFonts w:eastAsia="Arial"/>
                <w:sz w:val="20"/>
              </w:rPr>
            </w:pPr>
            <w:r w:rsidRPr="00D652DA">
              <w:rPr>
                <w:rFonts w:eastAsia="Arial"/>
                <w:sz w:val="20"/>
              </w:rPr>
              <w:t>3.26</w:t>
            </w:r>
          </w:p>
        </w:tc>
        <w:tc>
          <w:tcPr>
            <w:tcW w:w="4089" w:type="dxa"/>
            <w:gridSpan w:val="2"/>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Zahájit činnost koordinačního centra pro řízení rozvoje elektronizace</w:t>
            </w:r>
          </w:p>
        </w:tc>
        <w:tc>
          <w:tcPr>
            <w:tcW w:w="1259" w:type="dxa"/>
            <w:gridSpan w:val="4"/>
            <w:shd w:val="clear" w:color="auto" w:fill="FFFFFF" w:themeFill="background1"/>
          </w:tcPr>
          <w:p w:rsidR="00AC424B" w:rsidRPr="00D652DA" w:rsidRDefault="00AC424B" w:rsidP="007C2BC9">
            <w:pPr>
              <w:rPr>
                <w:sz w:val="20"/>
              </w:rPr>
            </w:pPr>
            <w:proofErr w:type="spellStart"/>
            <w:r w:rsidRPr="00D652DA">
              <w:rPr>
                <w:sz w:val="20"/>
              </w:rPr>
              <w:t>MZd</w:t>
            </w:r>
            <w:proofErr w:type="spellEnd"/>
          </w:p>
        </w:tc>
        <w:tc>
          <w:tcPr>
            <w:tcW w:w="1489" w:type="dxa"/>
            <w:gridSpan w:val="10"/>
            <w:shd w:val="clear" w:color="auto" w:fill="FFFFFF" w:themeFill="background1"/>
            <w:vAlign w:val="center"/>
          </w:tcPr>
          <w:p w:rsidR="00AC424B" w:rsidRPr="00D652DA" w:rsidRDefault="00AC424B" w:rsidP="007C2BC9">
            <w:pPr>
              <w:spacing w:line="219" w:lineRule="exact"/>
              <w:ind w:left="34"/>
              <w:jc w:val="left"/>
              <w:rPr>
                <w:sz w:val="20"/>
              </w:rPr>
            </w:pPr>
          </w:p>
        </w:tc>
        <w:tc>
          <w:tcPr>
            <w:tcW w:w="1689" w:type="dxa"/>
            <w:gridSpan w:val="2"/>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2017</w:t>
            </w:r>
          </w:p>
        </w:tc>
      </w:tr>
      <w:tr w:rsidR="00AC424B" w:rsidRPr="00D652DA" w:rsidTr="007C2BC9">
        <w:tc>
          <w:tcPr>
            <w:tcW w:w="681" w:type="dxa"/>
            <w:gridSpan w:val="3"/>
            <w:shd w:val="clear" w:color="auto" w:fill="FFFFFF" w:themeFill="background1"/>
            <w:vAlign w:val="center"/>
          </w:tcPr>
          <w:p w:rsidR="00AC424B" w:rsidRPr="00D652DA" w:rsidRDefault="00AC424B" w:rsidP="007C2BC9">
            <w:pPr>
              <w:jc w:val="center"/>
              <w:rPr>
                <w:rFonts w:eastAsia="Arial"/>
                <w:sz w:val="20"/>
              </w:rPr>
            </w:pPr>
            <w:r w:rsidRPr="00D652DA">
              <w:rPr>
                <w:rFonts w:eastAsia="Arial"/>
                <w:sz w:val="20"/>
              </w:rPr>
              <w:t>3.27</w:t>
            </w:r>
          </w:p>
        </w:tc>
        <w:tc>
          <w:tcPr>
            <w:tcW w:w="4089" w:type="dxa"/>
            <w:gridSpan w:val="2"/>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Vytvořit architekturu stávajícího a budoucího stavu klíčových projektů pro rozvoj elektronizace</w:t>
            </w:r>
          </w:p>
        </w:tc>
        <w:tc>
          <w:tcPr>
            <w:tcW w:w="1259" w:type="dxa"/>
            <w:gridSpan w:val="4"/>
            <w:shd w:val="clear" w:color="auto" w:fill="FFFFFF" w:themeFill="background1"/>
          </w:tcPr>
          <w:p w:rsidR="00AC424B" w:rsidRPr="00D652DA" w:rsidRDefault="00AC424B" w:rsidP="007C2BC9">
            <w:pPr>
              <w:rPr>
                <w:sz w:val="20"/>
              </w:rPr>
            </w:pPr>
            <w:proofErr w:type="spellStart"/>
            <w:r w:rsidRPr="00D652DA">
              <w:rPr>
                <w:sz w:val="20"/>
              </w:rPr>
              <w:t>MZd</w:t>
            </w:r>
            <w:proofErr w:type="spellEnd"/>
          </w:p>
        </w:tc>
        <w:tc>
          <w:tcPr>
            <w:tcW w:w="1489" w:type="dxa"/>
            <w:gridSpan w:val="10"/>
            <w:shd w:val="clear" w:color="auto" w:fill="FFFFFF" w:themeFill="background1"/>
            <w:vAlign w:val="center"/>
          </w:tcPr>
          <w:p w:rsidR="00AC424B" w:rsidRPr="00D652DA" w:rsidRDefault="00AC424B" w:rsidP="007C2BC9">
            <w:pPr>
              <w:spacing w:line="219" w:lineRule="exact"/>
              <w:ind w:left="34"/>
              <w:jc w:val="left"/>
              <w:rPr>
                <w:sz w:val="20"/>
              </w:rPr>
            </w:pPr>
          </w:p>
        </w:tc>
        <w:tc>
          <w:tcPr>
            <w:tcW w:w="1689" w:type="dxa"/>
            <w:gridSpan w:val="2"/>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4Q 2017 – rozpracování architektur pro zadávací dokumentace dalších projektů</w:t>
            </w:r>
          </w:p>
        </w:tc>
      </w:tr>
      <w:tr w:rsidR="00AC424B" w:rsidRPr="00D652DA" w:rsidTr="007C2BC9">
        <w:tc>
          <w:tcPr>
            <w:tcW w:w="681" w:type="dxa"/>
            <w:gridSpan w:val="3"/>
            <w:shd w:val="clear" w:color="auto" w:fill="FFFFFF" w:themeFill="background1"/>
            <w:vAlign w:val="center"/>
          </w:tcPr>
          <w:p w:rsidR="00AC424B" w:rsidRPr="00D652DA" w:rsidRDefault="00AC424B" w:rsidP="007C2BC9">
            <w:pPr>
              <w:jc w:val="center"/>
              <w:rPr>
                <w:rFonts w:eastAsia="Arial"/>
                <w:sz w:val="20"/>
              </w:rPr>
            </w:pPr>
            <w:r w:rsidRPr="00D652DA">
              <w:rPr>
                <w:rFonts w:eastAsia="Arial"/>
                <w:sz w:val="20"/>
              </w:rPr>
              <w:t>3.28</w:t>
            </w:r>
          </w:p>
        </w:tc>
        <w:tc>
          <w:tcPr>
            <w:tcW w:w="4089" w:type="dxa"/>
            <w:gridSpan w:val="2"/>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Realizovat klíčové projekty / stavební prvky elektronizace</w:t>
            </w:r>
          </w:p>
        </w:tc>
        <w:tc>
          <w:tcPr>
            <w:tcW w:w="1259" w:type="dxa"/>
            <w:gridSpan w:val="4"/>
            <w:shd w:val="clear" w:color="auto" w:fill="FFFFFF" w:themeFill="background1"/>
          </w:tcPr>
          <w:p w:rsidR="00AC424B" w:rsidRPr="00D652DA" w:rsidRDefault="00AC424B" w:rsidP="007C2BC9">
            <w:pPr>
              <w:rPr>
                <w:sz w:val="20"/>
              </w:rPr>
            </w:pPr>
            <w:proofErr w:type="spellStart"/>
            <w:r w:rsidRPr="00D652DA">
              <w:rPr>
                <w:sz w:val="20"/>
              </w:rPr>
              <w:t>MZd</w:t>
            </w:r>
            <w:proofErr w:type="spellEnd"/>
          </w:p>
        </w:tc>
        <w:tc>
          <w:tcPr>
            <w:tcW w:w="1489" w:type="dxa"/>
            <w:gridSpan w:val="10"/>
            <w:shd w:val="clear" w:color="auto" w:fill="FFFFFF" w:themeFill="background1"/>
            <w:vAlign w:val="center"/>
          </w:tcPr>
          <w:p w:rsidR="00AC424B" w:rsidRPr="00D652DA" w:rsidRDefault="00AC424B" w:rsidP="007C2BC9">
            <w:pPr>
              <w:spacing w:line="219" w:lineRule="exact"/>
              <w:ind w:left="34"/>
              <w:jc w:val="left"/>
              <w:rPr>
                <w:sz w:val="20"/>
              </w:rPr>
            </w:pPr>
          </w:p>
        </w:tc>
        <w:tc>
          <w:tcPr>
            <w:tcW w:w="1689" w:type="dxa"/>
            <w:gridSpan w:val="2"/>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průběžně 2016– 2020</w:t>
            </w:r>
          </w:p>
        </w:tc>
      </w:tr>
      <w:tr w:rsidR="00AC424B" w:rsidRPr="00D652DA" w:rsidTr="007C2BC9">
        <w:tc>
          <w:tcPr>
            <w:tcW w:w="681" w:type="dxa"/>
            <w:gridSpan w:val="3"/>
            <w:tcBorders>
              <w:bottom w:val="single" w:sz="4" w:space="0" w:color="auto"/>
            </w:tcBorders>
            <w:shd w:val="clear" w:color="auto" w:fill="FFFFFF" w:themeFill="background1"/>
            <w:vAlign w:val="center"/>
          </w:tcPr>
          <w:p w:rsidR="00AC424B" w:rsidRPr="00D652DA" w:rsidRDefault="00AC424B" w:rsidP="007C2BC9">
            <w:pPr>
              <w:jc w:val="center"/>
              <w:rPr>
                <w:rFonts w:eastAsia="Arial"/>
                <w:sz w:val="20"/>
              </w:rPr>
            </w:pPr>
            <w:r w:rsidRPr="00D652DA">
              <w:rPr>
                <w:rFonts w:eastAsia="Arial"/>
                <w:sz w:val="20"/>
              </w:rPr>
              <w:t>3.29</w:t>
            </w:r>
          </w:p>
        </w:tc>
        <w:tc>
          <w:tcPr>
            <w:tcW w:w="4089" w:type="dxa"/>
            <w:gridSpan w:val="2"/>
            <w:tcBorders>
              <w:bottom w:val="single" w:sz="4" w:space="0" w:color="auto"/>
            </w:tcBorders>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Připravit opatření k eliminaci bariér realizace</w:t>
            </w:r>
          </w:p>
        </w:tc>
        <w:tc>
          <w:tcPr>
            <w:tcW w:w="1259" w:type="dxa"/>
            <w:gridSpan w:val="4"/>
            <w:tcBorders>
              <w:bottom w:val="single" w:sz="4" w:space="0" w:color="auto"/>
            </w:tcBorders>
            <w:shd w:val="clear" w:color="auto" w:fill="FFFFFF" w:themeFill="background1"/>
          </w:tcPr>
          <w:p w:rsidR="00AC424B" w:rsidRPr="00D652DA" w:rsidRDefault="00AC424B" w:rsidP="007C2BC9">
            <w:pPr>
              <w:rPr>
                <w:sz w:val="20"/>
              </w:rPr>
            </w:pPr>
            <w:proofErr w:type="spellStart"/>
            <w:r w:rsidRPr="00D652DA">
              <w:rPr>
                <w:sz w:val="20"/>
              </w:rPr>
              <w:t>MZd</w:t>
            </w:r>
            <w:proofErr w:type="spellEnd"/>
          </w:p>
        </w:tc>
        <w:tc>
          <w:tcPr>
            <w:tcW w:w="1489" w:type="dxa"/>
            <w:gridSpan w:val="10"/>
            <w:tcBorders>
              <w:bottom w:val="single" w:sz="4" w:space="0" w:color="auto"/>
            </w:tcBorders>
            <w:shd w:val="clear" w:color="auto" w:fill="FFFFFF" w:themeFill="background1"/>
            <w:vAlign w:val="center"/>
          </w:tcPr>
          <w:p w:rsidR="00AC424B" w:rsidRPr="00D652DA" w:rsidRDefault="00AC424B" w:rsidP="007C2BC9">
            <w:pPr>
              <w:spacing w:line="219" w:lineRule="exact"/>
              <w:ind w:left="34"/>
              <w:jc w:val="left"/>
              <w:rPr>
                <w:sz w:val="20"/>
              </w:rPr>
            </w:pPr>
          </w:p>
        </w:tc>
        <w:tc>
          <w:tcPr>
            <w:tcW w:w="1689" w:type="dxa"/>
            <w:gridSpan w:val="2"/>
            <w:tcBorders>
              <w:bottom w:val="single" w:sz="4" w:space="0" w:color="auto"/>
            </w:tcBorders>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průběžně 2016– 2020</w:t>
            </w:r>
          </w:p>
        </w:tc>
      </w:tr>
      <w:tr w:rsidR="00AC424B" w:rsidRPr="00D652DA" w:rsidTr="007C2BC9">
        <w:tc>
          <w:tcPr>
            <w:tcW w:w="9207"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424B" w:rsidRPr="00D652DA" w:rsidRDefault="00AC424B" w:rsidP="007C2BC9">
            <w:pPr>
              <w:jc w:val="center"/>
              <w:rPr>
                <w:rFonts w:eastAsia="Arial"/>
                <w:b/>
                <w:w w:val="99"/>
                <w:sz w:val="20"/>
              </w:rPr>
            </w:pPr>
            <w:r w:rsidRPr="000E3FC6">
              <w:rPr>
                <w:rFonts w:eastAsia="Arial"/>
                <w:b/>
                <w:w w:val="99"/>
                <w:sz w:val="20"/>
              </w:rPr>
              <w:t>Elektronická neschopenka</w:t>
            </w:r>
          </w:p>
        </w:tc>
      </w:tr>
      <w:tr w:rsidR="00AC424B" w:rsidRPr="00D652DA" w:rsidTr="007C2BC9">
        <w:tc>
          <w:tcPr>
            <w:tcW w:w="681" w:type="dxa"/>
            <w:gridSpan w:val="3"/>
            <w:tcBorders>
              <w:top w:val="single" w:sz="4" w:space="0" w:color="auto"/>
            </w:tcBorders>
            <w:shd w:val="clear" w:color="auto" w:fill="FFFFFF" w:themeFill="background1"/>
            <w:vAlign w:val="center"/>
          </w:tcPr>
          <w:p w:rsidR="00AC424B" w:rsidRPr="00D652DA" w:rsidRDefault="00AC424B" w:rsidP="007C2BC9">
            <w:pPr>
              <w:jc w:val="center"/>
              <w:rPr>
                <w:rFonts w:eastAsia="Arial"/>
                <w:sz w:val="20"/>
              </w:rPr>
            </w:pPr>
            <w:r w:rsidRPr="00D652DA">
              <w:rPr>
                <w:rFonts w:eastAsia="Arial"/>
                <w:sz w:val="20"/>
              </w:rPr>
              <w:t>3.30</w:t>
            </w:r>
          </w:p>
        </w:tc>
        <w:tc>
          <w:tcPr>
            <w:tcW w:w="4089" w:type="dxa"/>
            <w:gridSpan w:val="2"/>
            <w:tcBorders>
              <w:top w:val="single" w:sz="4" w:space="0" w:color="auto"/>
            </w:tcBorders>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Spuštění elektronické neschopenky</w:t>
            </w:r>
          </w:p>
        </w:tc>
        <w:tc>
          <w:tcPr>
            <w:tcW w:w="1259" w:type="dxa"/>
            <w:gridSpan w:val="4"/>
            <w:tcBorders>
              <w:top w:val="single" w:sz="4" w:space="0" w:color="auto"/>
            </w:tcBorders>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MPSV</w:t>
            </w:r>
          </w:p>
        </w:tc>
        <w:tc>
          <w:tcPr>
            <w:tcW w:w="1489" w:type="dxa"/>
            <w:gridSpan w:val="10"/>
            <w:tcBorders>
              <w:top w:val="single" w:sz="4" w:space="0" w:color="auto"/>
            </w:tcBorders>
            <w:shd w:val="clear" w:color="auto" w:fill="FFFFFF" w:themeFill="background1"/>
            <w:vAlign w:val="center"/>
          </w:tcPr>
          <w:p w:rsidR="00AC424B" w:rsidRPr="00D652DA" w:rsidRDefault="00AC424B" w:rsidP="007C2BC9">
            <w:pPr>
              <w:spacing w:line="219" w:lineRule="exact"/>
              <w:ind w:left="34"/>
              <w:jc w:val="left"/>
              <w:rPr>
                <w:sz w:val="20"/>
              </w:rPr>
            </w:pPr>
          </w:p>
        </w:tc>
        <w:tc>
          <w:tcPr>
            <w:tcW w:w="1689" w:type="dxa"/>
            <w:gridSpan w:val="2"/>
            <w:tcBorders>
              <w:top w:val="single" w:sz="4" w:space="0" w:color="auto"/>
            </w:tcBorders>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4Q 2019</w:t>
            </w:r>
          </w:p>
        </w:tc>
      </w:tr>
      <w:tr w:rsidR="00AC424B" w:rsidRPr="00D652DA" w:rsidTr="007C2BC9">
        <w:tc>
          <w:tcPr>
            <w:tcW w:w="681" w:type="dxa"/>
            <w:gridSpan w:val="3"/>
            <w:shd w:val="clear" w:color="auto" w:fill="FFFFFF" w:themeFill="background1"/>
            <w:vAlign w:val="center"/>
          </w:tcPr>
          <w:p w:rsidR="00AC424B" w:rsidRPr="00D652DA" w:rsidRDefault="00AC424B" w:rsidP="007C2BC9">
            <w:pPr>
              <w:jc w:val="center"/>
              <w:rPr>
                <w:rFonts w:eastAsia="Arial"/>
                <w:sz w:val="20"/>
              </w:rPr>
            </w:pPr>
            <w:r w:rsidRPr="00D652DA">
              <w:rPr>
                <w:rFonts w:eastAsia="Arial"/>
                <w:sz w:val="20"/>
              </w:rPr>
              <w:t>3.31</w:t>
            </w:r>
          </w:p>
        </w:tc>
        <w:tc>
          <w:tcPr>
            <w:tcW w:w="4089" w:type="dxa"/>
            <w:gridSpan w:val="2"/>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Elektronické poskytování informací o dočasné pracovní neschopnosti</w:t>
            </w:r>
          </w:p>
        </w:tc>
        <w:tc>
          <w:tcPr>
            <w:tcW w:w="1259" w:type="dxa"/>
            <w:gridSpan w:val="4"/>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MPSV</w:t>
            </w:r>
          </w:p>
        </w:tc>
        <w:tc>
          <w:tcPr>
            <w:tcW w:w="1489" w:type="dxa"/>
            <w:gridSpan w:val="10"/>
            <w:shd w:val="clear" w:color="auto" w:fill="FFFFFF" w:themeFill="background1"/>
            <w:vAlign w:val="center"/>
          </w:tcPr>
          <w:p w:rsidR="00AC424B" w:rsidRPr="00D652DA" w:rsidRDefault="00AC424B" w:rsidP="007C2BC9">
            <w:pPr>
              <w:spacing w:line="219" w:lineRule="exact"/>
              <w:ind w:left="34"/>
              <w:jc w:val="left"/>
              <w:rPr>
                <w:sz w:val="20"/>
              </w:rPr>
            </w:pPr>
          </w:p>
        </w:tc>
        <w:tc>
          <w:tcPr>
            <w:tcW w:w="1689" w:type="dxa"/>
            <w:gridSpan w:val="2"/>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4Q 2019</w:t>
            </w:r>
          </w:p>
        </w:tc>
      </w:tr>
    </w:tbl>
    <w:p w:rsidR="00D07530" w:rsidRDefault="00D07530">
      <w:r>
        <w:br w:type="page"/>
      </w:r>
    </w:p>
    <w:tbl>
      <w:tblPr>
        <w:tblStyle w:val="Mkatabulky"/>
        <w:tblW w:w="9207" w:type="dxa"/>
        <w:tblInd w:w="5" w:type="dxa"/>
        <w:tblLayout w:type="fixed"/>
        <w:tblLook w:val="04A0"/>
      </w:tblPr>
      <w:tblGrid>
        <w:gridCol w:w="681"/>
        <w:gridCol w:w="4089"/>
        <w:gridCol w:w="1259"/>
        <w:gridCol w:w="1489"/>
        <w:gridCol w:w="1689"/>
      </w:tblGrid>
      <w:tr w:rsidR="00AC424B" w:rsidRPr="00D652DA" w:rsidTr="007C2BC9">
        <w:tc>
          <w:tcPr>
            <w:tcW w:w="9207" w:type="dxa"/>
            <w:gridSpan w:val="5"/>
            <w:shd w:val="clear" w:color="auto" w:fill="DBE5F1" w:themeFill="accent1" w:themeFillTint="33"/>
            <w:vAlign w:val="center"/>
          </w:tcPr>
          <w:p w:rsidR="00AC424B" w:rsidRPr="00D652DA" w:rsidRDefault="00AC424B" w:rsidP="007C2BC9">
            <w:pPr>
              <w:jc w:val="center"/>
              <w:rPr>
                <w:rFonts w:eastAsia="Arial"/>
                <w:b/>
                <w:w w:val="99"/>
                <w:sz w:val="20"/>
              </w:rPr>
            </w:pPr>
            <w:r w:rsidRPr="000E3FC6">
              <w:rPr>
                <w:rFonts w:eastAsia="Arial"/>
                <w:b/>
                <w:w w:val="99"/>
                <w:sz w:val="20"/>
              </w:rPr>
              <w:lastRenderedPageBreak/>
              <w:t>Elektronizace sociálních služeb</w:t>
            </w:r>
          </w:p>
        </w:tc>
      </w:tr>
      <w:tr w:rsidR="00AC424B" w:rsidRPr="00D652DA" w:rsidTr="007C2BC9">
        <w:tc>
          <w:tcPr>
            <w:tcW w:w="681" w:type="dxa"/>
            <w:shd w:val="clear" w:color="auto" w:fill="FFFFFF" w:themeFill="background1"/>
            <w:vAlign w:val="center"/>
          </w:tcPr>
          <w:p w:rsidR="00AC424B" w:rsidRPr="00D652DA" w:rsidRDefault="00AC424B" w:rsidP="007C2BC9">
            <w:pPr>
              <w:jc w:val="center"/>
              <w:rPr>
                <w:rFonts w:eastAsia="Arial"/>
                <w:sz w:val="20"/>
              </w:rPr>
            </w:pPr>
            <w:r w:rsidRPr="00D652DA">
              <w:rPr>
                <w:rFonts w:eastAsia="Arial"/>
                <w:sz w:val="20"/>
              </w:rPr>
              <w:t>3.32</w:t>
            </w:r>
          </w:p>
        </w:tc>
        <w:tc>
          <w:tcPr>
            <w:tcW w:w="4089" w:type="dxa"/>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Nastavení digitálního prostředí pro oblast registrace sociálních služeb</w:t>
            </w:r>
          </w:p>
        </w:tc>
        <w:tc>
          <w:tcPr>
            <w:tcW w:w="1259" w:type="dxa"/>
            <w:shd w:val="clear" w:color="auto" w:fill="FFFFFF" w:themeFill="background1"/>
          </w:tcPr>
          <w:p w:rsidR="00AC424B" w:rsidRPr="00D652DA" w:rsidRDefault="00AC424B" w:rsidP="007C2BC9">
            <w:pPr>
              <w:rPr>
                <w:sz w:val="20"/>
              </w:rPr>
            </w:pPr>
            <w:r w:rsidRPr="00D652DA">
              <w:rPr>
                <w:sz w:val="20"/>
              </w:rPr>
              <w:t>MPSV</w:t>
            </w:r>
          </w:p>
        </w:tc>
        <w:tc>
          <w:tcPr>
            <w:tcW w:w="1489" w:type="dxa"/>
            <w:shd w:val="clear" w:color="auto" w:fill="FFFFFF" w:themeFill="background1"/>
            <w:vAlign w:val="center"/>
          </w:tcPr>
          <w:p w:rsidR="00AC424B" w:rsidRPr="00D652DA" w:rsidRDefault="00AC424B" w:rsidP="007C2BC9">
            <w:pPr>
              <w:spacing w:line="219" w:lineRule="exact"/>
              <w:ind w:left="34"/>
              <w:jc w:val="left"/>
              <w:rPr>
                <w:sz w:val="20"/>
              </w:rPr>
            </w:pPr>
          </w:p>
        </w:tc>
        <w:tc>
          <w:tcPr>
            <w:tcW w:w="1689" w:type="dxa"/>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4Q 2018</w:t>
            </w:r>
          </w:p>
        </w:tc>
      </w:tr>
      <w:tr w:rsidR="00AC424B" w:rsidRPr="00D652DA" w:rsidTr="007C2BC9">
        <w:tc>
          <w:tcPr>
            <w:tcW w:w="681" w:type="dxa"/>
            <w:shd w:val="clear" w:color="auto" w:fill="FFFFFF" w:themeFill="background1"/>
            <w:vAlign w:val="center"/>
          </w:tcPr>
          <w:p w:rsidR="00AC424B" w:rsidRPr="00D652DA" w:rsidRDefault="00AC424B" w:rsidP="007C2BC9">
            <w:pPr>
              <w:jc w:val="center"/>
              <w:rPr>
                <w:rFonts w:eastAsia="Arial"/>
                <w:sz w:val="20"/>
              </w:rPr>
            </w:pPr>
            <w:r w:rsidRPr="00D652DA">
              <w:rPr>
                <w:rFonts w:eastAsia="Arial"/>
                <w:sz w:val="20"/>
              </w:rPr>
              <w:t>3.33</w:t>
            </w:r>
          </w:p>
        </w:tc>
        <w:tc>
          <w:tcPr>
            <w:tcW w:w="4089" w:type="dxa"/>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Podpora při zavádění digitalizace procesů v sociálních službách, podpora bude jak metodická, tak formou přípravy výzev v rámci Evropských fondů</w:t>
            </w:r>
          </w:p>
        </w:tc>
        <w:tc>
          <w:tcPr>
            <w:tcW w:w="1259" w:type="dxa"/>
            <w:shd w:val="clear" w:color="auto" w:fill="FFFFFF" w:themeFill="background1"/>
          </w:tcPr>
          <w:p w:rsidR="00AC424B" w:rsidRPr="00D652DA" w:rsidRDefault="00AC424B" w:rsidP="007C2BC9">
            <w:pPr>
              <w:rPr>
                <w:sz w:val="20"/>
              </w:rPr>
            </w:pPr>
            <w:r w:rsidRPr="00D652DA">
              <w:rPr>
                <w:sz w:val="20"/>
              </w:rPr>
              <w:t>MPSV</w:t>
            </w:r>
          </w:p>
        </w:tc>
        <w:tc>
          <w:tcPr>
            <w:tcW w:w="1489" w:type="dxa"/>
            <w:shd w:val="clear" w:color="auto" w:fill="FFFFFF" w:themeFill="background1"/>
            <w:vAlign w:val="center"/>
          </w:tcPr>
          <w:p w:rsidR="00AC424B" w:rsidRPr="00D652DA" w:rsidRDefault="00AC424B" w:rsidP="007C2BC9">
            <w:pPr>
              <w:spacing w:line="219" w:lineRule="exact"/>
              <w:ind w:left="34"/>
              <w:jc w:val="left"/>
              <w:rPr>
                <w:sz w:val="20"/>
              </w:rPr>
            </w:pPr>
          </w:p>
        </w:tc>
        <w:tc>
          <w:tcPr>
            <w:tcW w:w="1689" w:type="dxa"/>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průběžně</w:t>
            </w:r>
          </w:p>
        </w:tc>
      </w:tr>
      <w:tr w:rsidR="00AC424B" w:rsidRPr="00D652DA" w:rsidTr="007C2BC9">
        <w:tc>
          <w:tcPr>
            <w:tcW w:w="681" w:type="dxa"/>
            <w:shd w:val="clear" w:color="auto" w:fill="FFFFFF" w:themeFill="background1"/>
            <w:vAlign w:val="center"/>
          </w:tcPr>
          <w:p w:rsidR="00AC424B" w:rsidRPr="00D652DA" w:rsidRDefault="00AC424B" w:rsidP="007C2BC9">
            <w:pPr>
              <w:jc w:val="center"/>
              <w:rPr>
                <w:rFonts w:eastAsia="Arial"/>
                <w:sz w:val="20"/>
              </w:rPr>
            </w:pPr>
            <w:r w:rsidRPr="00D652DA">
              <w:rPr>
                <w:rFonts w:eastAsia="Arial"/>
                <w:sz w:val="20"/>
              </w:rPr>
              <w:t>3.34</w:t>
            </w:r>
          </w:p>
        </w:tc>
        <w:tc>
          <w:tcPr>
            <w:tcW w:w="4089" w:type="dxa"/>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Rozvoj Informačního systému na sledování sociálních jevů</w:t>
            </w:r>
          </w:p>
        </w:tc>
        <w:tc>
          <w:tcPr>
            <w:tcW w:w="1259" w:type="dxa"/>
            <w:shd w:val="clear" w:color="auto" w:fill="FFFFFF" w:themeFill="background1"/>
          </w:tcPr>
          <w:p w:rsidR="00AC424B" w:rsidRPr="00D652DA" w:rsidRDefault="00AC424B" w:rsidP="007C2BC9">
            <w:pPr>
              <w:rPr>
                <w:sz w:val="20"/>
              </w:rPr>
            </w:pPr>
            <w:r w:rsidRPr="00D652DA">
              <w:rPr>
                <w:sz w:val="20"/>
              </w:rPr>
              <w:t>MPSV</w:t>
            </w:r>
          </w:p>
        </w:tc>
        <w:tc>
          <w:tcPr>
            <w:tcW w:w="1489" w:type="dxa"/>
            <w:shd w:val="clear" w:color="auto" w:fill="FFFFFF" w:themeFill="background1"/>
            <w:vAlign w:val="center"/>
          </w:tcPr>
          <w:p w:rsidR="00AC424B" w:rsidRPr="00D652DA" w:rsidRDefault="00AC424B" w:rsidP="007C2BC9">
            <w:pPr>
              <w:spacing w:line="219" w:lineRule="exact"/>
              <w:ind w:left="34"/>
              <w:jc w:val="left"/>
              <w:rPr>
                <w:sz w:val="20"/>
              </w:rPr>
            </w:pPr>
          </w:p>
        </w:tc>
        <w:tc>
          <w:tcPr>
            <w:tcW w:w="1689" w:type="dxa"/>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4Q 2020</w:t>
            </w:r>
          </w:p>
        </w:tc>
      </w:tr>
      <w:tr w:rsidR="00AC424B" w:rsidRPr="00D652DA" w:rsidTr="007C2BC9">
        <w:tc>
          <w:tcPr>
            <w:tcW w:w="681" w:type="dxa"/>
            <w:shd w:val="clear" w:color="auto" w:fill="FFFFFF" w:themeFill="background1"/>
            <w:vAlign w:val="center"/>
          </w:tcPr>
          <w:p w:rsidR="00AC424B" w:rsidRPr="00D652DA" w:rsidRDefault="00AC424B" w:rsidP="007C2BC9">
            <w:pPr>
              <w:jc w:val="center"/>
              <w:rPr>
                <w:rFonts w:eastAsia="Arial"/>
                <w:sz w:val="20"/>
              </w:rPr>
            </w:pPr>
            <w:r w:rsidRPr="00D652DA">
              <w:rPr>
                <w:rFonts w:eastAsia="Arial"/>
                <w:sz w:val="20"/>
              </w:rPr>
              <w:t>3.35</w:t>
            </w:r>
          </w:p>
        </w:tc>
        <w:tc>
          <w:tcPr>
            <w:tcW w:w="4089" w:type="dxa"/>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Resortní portál práce a sociálních věcí s klientskými službami v sociální oblasti</w:t>
            </w:r>
          </w:p>
        </w:tc>
        <w:tc>
          <w:tcPr>
            <w:tcW w:w="1259" w:type="dxa"/>
            <w:shd w:val="clear" w:color="auto" w:fill="FFFFFF" w:themeFill="background1"/>
          </w:tcPr>
          <w:p w:rsidR="00AC424B" w:rsidRPr="00D652DA" w:rsidRDefault="00AC424B" w:rsidP="007C2BC9">
            <w:pPr>
              <w:rPr>
                <w:sz w:val="20"/>
              </w:rPr>
            </w:pPr>
            <w:r w:rsidRPr="00D652DA">
              <w:rPr>
                <w:sz w:val="20"/>
              </w:rPr>
              <w:t>MPSV</w:t>
            </w:r>
          </w:p>
        </w:tc>
        <w:tc>
          <w:tcPr>
            <w:tcW w:w="1489" w:type="dxa"/>
            <w:shd w:val="clear" w:color="auto" w:fill="FFFFFF" w:themeFill="background1"/>
            <w:vAlign w:val="center"/>
          </w:tcPr>
          <w:p w:rsidR="00AC424B" w:rsidRPr="00D652DA" w:rsidRDefault="00AC424B" w:rsidP="007C2BC9">
            <w:pPr>
              <w:spacing w:line="219" w:lineRule="exact"/>
              <w:ind w:left="34"/>
              <w:jc w:val="left"/>
              <w:rPr>
                <w:sz w:val="20"/>
              </w:rPr>
            </w:pPr>
          </w:p>
        </w:tc>
        <w:tc>
          <w:tcPr>
            <w:tcW w:w="1689" w:type="dxa"/>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4Q 2019</w:t>
            </w:r>
          </w:p>
        </w:tc>
      </w:tr>
      <w:tr w:rsidR="00AC424B" w:rsidRPr="00D652DA" w:rsidTr="007C2BC9">
        <w:tc>
          <w:tcPr>
            <w:tcW w:w="681" w:type="dxa"/>
            <w:shd w:val="clear" w:color="auto" w:fill="FFFFFF" w:themeFill="background1"/>
            <w:vAlign w:val="center"/>
          </w:tcPr>
          <w:p w:rsidR="00AC424B" w:rsidRPr="00D652DA" w:rsidRDefault="00AC424B" w:rsidP="007C2BC9">
            <w:pPr>
              <w:jc w:val="center"/>
              <w:rPr>
                <w:rFonts w:eastAsia="Arial"/>
                <w:sz w:val="20"/>
              </w:rPr>
            </w:pPr>
            <w:r w:rsidRPr="00D652DA">
              <w:rPr>
                <w:rFonts w:eastAsia="Arial"/>
                <w:sz w:val="20"/>
              </w:rPr>
              <w:t>3.36</w:t>
            </w:r>
          </w:p>
        </w:tc>
        <w:tc>
          <w:tcPr>
            <w:tcW w:w="4089" w:type="dxa"/>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Spuštění elektronické výměny údajů v sociální oblasti v EU (</w:t>
            </w:r>
            <w:proofErr w:type="spellStart"/>
            <w:r w:rsidRPr="00D652DA">
              <w:rPr>
                <w:sz w:val="20"/>
              </w:rPr>
              <w:t>AccessPoint</w:t>
            </w:r>
            <w:proofErr w:type="spellEnd"/>
            <w:r w:rsidRPr="00D652DA">
              <w:rPr>
                <w:sz w:val="20"/>
              </w:rPr>
              <w:t>)</w:t>
            </w:r>
          </w:p>
        </w:tc>
        <w:tc>
          <w:tcPr>
            <w:tcW w:w="1259" w:type="dxa"/>
            <w:shd w:val="clear" w:color="auto" w:fill="FFFFFF" w:themeFill="background1"/>
          </w:tcPr>
          <w:p w:rsidR="00AC424B" w:rsidRPr="00D652DA" w:rsidRDefault="00AC424B" w:rsidP="007C2BC9">
            <w:pPr>
              <w:rPr>
                <w:sz w:val="20"/>
              </w:rPr>
            </w:pPr>
            <w:r w:rsidRPr="00D652DA">
              <w:rPr>
                <w:sz w:val="20"/>
              </w:rPr>
              <w:t>MPSV</w:t>
            </w:r>
          </w:p>
        </w:tc>
        <w:tc>
          <w:tcPr>
            <w:tcW w:w="1489" w:type="dxa"/>
            <w:shd w:val="clear" w:color="auto" w:fill="FFFFFF" w:themeFill="background1"/>
            <w:vAlign w:val="center"/>
          </w:tcPr>
          <w:p w:rsidR="00AC424B" w:rsidRPr="00D652DA" w:rsidRDefault="00AC424B" w:rsidP="007C2BC9">
            <w:pPr>
              <w:spacing w:line="219" w:lineRule="exact"/>
              <w:ind w:left="34"/>
              <w:jc w:val="left"/>
              <w:rPr>
                <w:sz w:val="20"/>
              </w:rPr>
            </w:pPr>
          </w:p>
        </w:tc>
        <w:tc>
          <w:tcPr>
            <w:tcW w:w="1689" w:type="dxa"/>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4Q 2017</w:t>
            </w:r>
          </w:p>
        </w:tc>
      </w:tr>
      <w:tr w:rsidR="00AC424B" w:rsidRPr="00D652DA" w:rsidTr="007C2BC9">
        <w:tc>
          <w:tcPr>
            <w:tcW w:w="681" w:type="dxa"/>
            <w:tcBorders>
              <w:bottom w:val="single" w:sz="4" w:space="0" w:color="auto"/>
            </w:tcBorders>
            <w:shd w:val="clear" w:color="auto" w:fill="FFFFFF" w:themeFill="background1"/>
            <w:vAlign w:val="center"/>
          </w:tcPr>
          <w:p w:rsidR="00AC424B" w:rsidRPr="00D652DA" w:rsidRDefault="00AC424B" w:rsidP="007C2BC9">
            <w:pPr>
              <w:jc w:val="center"/>
              <w:rPr>
                <w:rFonts w:eastAsia="Arial"/>
                <w:sz w:val="20"/>
              </w:rPr>
            </w:pPr>
            <w:r w:rsidRPr="00D652DA">
              <w:rPr>
                <w:rFonts w:eastAsia="Arial"/>
                <w:sz w:val="20"/>
              </w:rPr>
              <w:t>3.37</w:t>
            </w:r>
          </w:p>
        </w:tc>
        <w:tc>
          <w:tcPr>
            <w:tcW w:w="4089" w:type="dxa"/>
            <w:tcBorders>
              <w:bottom w:val="single" w:sz="4" w:space="0" w:color="auto"/>
            </w:tcBorders>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 xml:space="preserve">Analýza možné podpory služeb </w:t>
            </w:r>
            <w:proofErr w:type="spellStart"/>
            <w:r w:rsidRPr="00D652DA">
              <w:rPr>
                <w:sz w:val="20"/>
              </w:rPr>
              <w:t>asistivních</w:t>
            </w:r>
            <w:proofErr w:type="spellEnd"/>
            <w:r w:rsidRPr="00D652DA">
              <w:rPr>
                <w:sz w:val="20"/>
              </w:rPr>
              <w:t xml:space="preserve"> technologií ze strany státu</w:t>
            </w:r>
          </w:p>
        </w:tc>
        <w:tc>
          <w:tcPr>
            <w:tcW w:w="1259" w:type="dxa"/>
            <w:tcBorders>
              <w:bottom w:val="single" w:sz="4" w:space="0" w:color="auto"/>
            </w:tcBorders>
            <w:shd w:val="clear" w:color="auto" w:fill="FFFFFF" w:themeFill="background1"/>
          </w:tcPr>
          <w:p w:rsidR="00AC424B" w:rsidRPr="00D652DA" w:rsidRDefault="00AC424B" w:rsidP="007C2BC9">
            <w:pPr>
              <w:rPr>
                <w:sz w:val="20"/>
              </w:rPr>
            </w:pPr>
            <w:r w:rsidRPr="00D652DA">
              <w:rPr>
                <w:sz w:val="20"/>
              </w:rPr>
              <w:t>MPSV</w:t>
            </w:r>
          </w:p>
        </w:tc>
        <w:tc>
          <w:tcPr>
            <w:tcW w:w="1489" w:type="dxa"/>
            <w:tcBorders>
              <w:bottom w:val="single" w:sz="4" w:space="0" w:color="auto"/>
            </w:tcBorders>
            <w:shd w:val="clear" w:color="auto" w:fill="FFFFFF" w:themeFill="background1"/>
            <w:vAlign w:val="center"/>
          </w:tcPr>
          <w:p w:rsidR="00AC424B" w:rsidRPr="00D652DA" w:rsidRDefault="00AC424B" w:rsidP="007C2BC9">
            <w:pPr>
              <w:spacing w:line="219" w:lineRule="exact"/>
              <w:ind w:left="34"/>
              <w:jc w:val="left"/>
              <w:rPr>
                <w:sz w:val="20"/>
              </w:rPr>
            </w:pPr>
          </w:p>
        </w:tc>
        <w:tc>
          <w:tcPr>
            <w:tcW w:w="1689" w:type="dxa"/>
            <w:tcBorders>
              <w:bottom w:val="single" w:sz="4" w:space="0" w:color="auto"/>
            </w:tcBorders>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4Q 2017</w:t>
            </w:r>
          </w:p>
        </w:tc>
      </w:tr>
      <w:tr w:rsidR="00AC424B" w:rsidRPr="00D652DA" w:rsidTr="007C2BC9">
        <w:tc>
          <w:tcPr>
            <w:tcW w:w="9207"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424B" w:rsidRPr="00D652DA" w:rsidRDefault="00AC424B" w:rsidP="007C2BC9">
            <w:pPr>
              <w:jc w:val="center"/>
              <w:rPr>
                <w:rFonts w:eastAsia="Arial"/>
                <w:b/>
                <w:w w:val="99"/>
                <w:sz w:val="20"/>
              </w:rPr>
            </w:pPr>
            <w:r w:rsidRPr="00D652DA">
              <w:rPr>
                <w:rFonts w:eastAsia="Arial"/>
                <w:b/>
                <w:w w:val="99"/>
                <w:sz w:val="20"/>
              </w:rPr>
              <w:t>Elektronizace justice</w:t>
            </w:r>
          </w:p>
        </w:tc>
      </w:tr>
      <w:tr w:rsidR="00AC424B" w:rsidRPr="00D652DA" w:rsidTr="007C2BC9">
        <w:tc>
          <w:tcPr>
            <w:tcW w:w="681" w:type="dxa"/>
            <w:tcBorders>
              <w:top w:val="single" w:sz="4" w:space="0" w:color="auto"/>
              <w:bottom w:val="single" w:sz="4" w:space="0" w:color="auto"/>
            </w:tcBorders>
            <w:shd w:val="clear" w:color="auto" w:fill="FFFFFF" w:themeFill="background1"/>
            <w:vAlign w:val="center"/>
          </w:tcPr>
          <w:p w:rsidR="00AC424B" w:rsidRPr="00D652DA" w:rsidRDefault="00AC424B" w:rsidP="007C2BC9">
            <w:pPr>
              <w:jc w:val="center"/>
              <w:rPr>
                <w:rFonts w:eastAsia="Arial"/>
                <w:sz w:val="20"/>
              </w:rPr>
            </w:pPr>
            <w:r w:rsidRPr="00D652DA">
              <w:rPr>
                <w:rFonts w:eastAsia="Arial"/>
                <w:sz w:val="20"/>
              </w:rPr>
              <w:t>3.38</w:t>
            </w:r>
          </w:p>
        </w:tc>
        <w:tc>
          <w:tcPr>
            <w:tcW w:w="4089" w:type="dxa"/>
            <w:tcBorders>
              <w:top w:val="single" w:sz="4" w:space="0" w:color="auto"/>
              <w:bottom w:val="single" w:sz="4" w:space="0" w:color="auto"/>
            </w:tcBorders>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Jednotlivé okruhy plánovaných opatření</w:t>
            </w:r>
          </w:p>
        </w:tc>
        <w:tc>
          <w:tcPr>
            <w:tcW w:w="1259" w:type="dxa"/>
            <w:tcBorders>
              <w:top w:val="single" w:sz="4" w:space="0" w:color="auto"/>
              <w:bottom w:val="single" w:sz="4" w:space="0" w:color="auto"/>
            </w:tcBorders>
            <w:shd w:val="clear" w:color="auto" w:fill="FFFFFF" w:themeFill="background1"/>
            <w:vAlign w:val="center"/>
          </w:tcPr>
          <w:p w:rsidR="00AC424B" w:rsidRPr="00D652DA" w:rsidRDefault="00AC424B" w:rsidP="007C2BC9">
            <w:pPr>
              <w:spacing w:line="219" w:lineRule="exact"/>
              <w:ind w:left="34"/>
              <w:jc w:val="left"/>
              <w:rPr>
                <w:sz w:val="20"/>
              </w:rPr>
            </w:pPr>
            <w:proofErr w:type="spellStart"/>
            <w:r w:rsidRPr="00D652DA">
              <w:rPr>
                <w:sz w:val="20"/>
              </w:rPr>
              <w:t>MSp</w:t>
            </w:r>
            <w:proofErr w:type="spellEnd"/>
          </w:p>
        </w:tc>
        <w:tc>
          <w:tcPr>
            <w:tcW w:w="1489" w:type="dxa"/>
            <w:tcBorders>
              <w:top w:val="single" w:sz="4" w:space="0" w:color="auto"/>
              <w:bottom w:val="single" w:sz="4" w:space="0" w:color="auto"/>
            </w:tcBorders>
            <w:shd w:val="clear" w:color="auto" w:fill="FFFFFF" w:themeFill="background1"/>
            <w:vAlign w:val="center"/>
          </w:tcPr>
          <w:p w:rsidR="00AC424B" w:rsidRPr="00D652DA" w:rsidRDefault="00AC424B" w:rsidP="007C2BC9">
            <w:pPr>
              <w:spacing w:line="219" w:lineRule="exact"/>
              <w:ind w:left="34"/>
              <w:jc w:val="left"/>
              <w:rPr>
                <w:sz w:val="20"/>
              </w:rPr>
            </w:pPr>
          </w:p>
        </w:tc>
        <w:tc>
          <w:tcPr>
            <w:tcW w:w="1689" w:type="dxa"/>
            <w:tcBorders>
              <w:top w:val="single" w:sz="4" w:space="0" w:color="auto"/>
              <w:bottom w:val="single" w:sz="4" w:space="0" w:color="auto"/>
            </w:tcBorders>
            <w:shd w:val="clear" w:color="auto" w:fill="FFFFFF" w:themeFill="background1"/>
            <w:vAlign w:val="center"/>
          </w:tcPr>
          <w:p w:rsidR="00AC424B" w:rsidRPr="00D652DA" w:rsidRDefault="00AC424B" w:rsidP="007C2BC9">
            <w:pPr>
              <w:pStyle w:val="Nzevopaten"/>
              <w:numPr>
                <w:ilvl w:val="0"/>
                <w:numId w:val="0"/>
              </w:numPr>
              <w:spacing w:after="120" w:line="219" w:lineRule="exact"/>
              <w:ind w:left="34"/>
              <w:jc w:val="left"/>
              <w:rPr>
                <w:rFonts w:eastAsia="Calibri"/>
                <w:b w:val="0"/>
                <w:sz w:val="20"/>
              </w:rPr>
            </w:pPr>
            <w:r w:rsidRPr="00D652DA">
              <w:rPr>
                <w:rFonts w:eastAsia="Calibri"/>
                <w:b w:val="0"/>
                <w:sz w:val="20"/>
              </w:rPr>
              <w:t>Průběžně. Cílový stav 4Q 2020</w:t>
            </w:r>
          </w:p>
          <w:p w:rsidR="00AC424B" w:rsidRPr="00D652DA" w:rsidRDefault="00AC424B" w:rsidP="007C2BC9">
            <w:pPr>
              <w:spacing w:line="219" w:lineRule="exact"/>
              <w:ind w:left="34"/>
              <w:jc w:val="left"/>
              <w:rPr>
                <w:sz w:val="20"/>
              </w:rPr>
            </w:pPr>
          </w:p>
        </w:tc>
      </w:tr>
      <w:tr w:rsidR="00AC424B" w:rsidRPr="00D652DA" w:rsidTr="007C2BC9">
        <w:tc>
          <w:tcPr>
            <w:tcW w:w="9207"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424B" w:rsidRPr="00D652DA" w:rsidRDefault="00AC424B" w:rsidP="007C2BC9">
            <w:pPr>
              <w:jc w:val="center"/>
              <w:rPr>
                <w:rFonts w:eastAsia="Arial"/>
                <w:b/>
                <w:w w:val="99"/>
                <w:sz w:val="20"/>
              </w:rPr>
            </w:pPr>
            <w:r w:rsidRPr="000E3FC6">
              <w:rPr>
                <w:rFonts w:eastAsia="Arial"/>
                <w:b/>
                <w:w w:val="99"/>
                <w:sz w:val="20"/>
              </w:rPr>
              <w:t>Elektronizace správy daní: aktivity v gesci Ministerstva financí (MF)</w:t>
            </w:r>
          </w:p>
        </w:tc>
      </w:tr>
      <w:tr w:rsidR="00AC424B" w:rsidRPr="00D652DA" w:rsidTr="007C2BC9">
        <w:tc>
          <w:tcPr>
            <w:tcW w:w="681" w:type="dxa"/>
            <w:tcBorders>
              <w:top w:val="single" w:sz="4" w:space="0" w:color="auto"/>
            </w:tcBorders>
            <w:shd w:val="clear" w:color="auto" w:fill="FFFFFF" w:themeFill="background1"/>
            <w:vAlign w:val="center"/>
          </w:tcPr>
          <w:p w:rsidR="00AC424B" w:rsidRPr="00D652DA" w:rsidRDefault="00AC424B" w:rsidP="007C2BC9">
            <w:pPr>
              <w:jc w:val="center"/>
              <w:rPr>
                <w:rFonts w:eastAsia="Arial"/>
                <w:sz w:val="20"/>
              </w:rPr>
            </w:pPr>
            <w:r w:rsidRPr="00D652DA">
              <w:rPr>
                <w:rFonts w:eastAsia="Arial"/>
                <w:sz w:val="20"/>
              </w:rPr>
              <w:t>3.39</w:t>
            </w:r>
          </w:p>
        </w:tc>
        <w:tc>
          <w:tcPr>
            <w:tcW w:w="4089" w:type="dxa"/>
            <w:tcBorders>
              <w:top w:val="single" w:sz="4" w:space="0" w:color="auto"/>
            </w:tcBorders>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Vybudovat informační systém, který bude vyhovovat budoucím podmínkám správy daní, a to jak z pohledu daňových subjektů (klientů), tak Finanční správy (jako poskytovatele služby) a dalších orgánů veřejné moci</w:t>
            </w:r>
          </w:p>
        </w:tc>
        <w:tc>
          <w:tcPr>
            <w:tcW w:w="1259" w:type="dxa"/>
            <w:tcBorders>
              <w:top w:val="single" w:sz="4" w:space="0" w:color="auto"/>
            </w:tcBorders>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MF</w:t>
            </w:r>
          </w:p>
        </w:tc>
        <w:tc>
          <w:tcPr>
            <w:tcW w:w="1489" w:type="dxa"/>
            <w:tcBorders>
              <w:top w:val="single" w:sz="4" w:space="0" w:color="auto"/>
            </w:tcBorders>
            <w:shd w:val="clear" w:color="auto" w:fill="FFFFFF" w:themeFill="background1"/>
            <w:vAlign w:val="center"/>
          </w:tcPr>
          <w:p w:rsidR="00AC424B" w:rsidRPr="00D652DA" w:rsidRDefault="00AC424B" w:rsidP="007C2BC9">
            <w:pPr>
              <w:spacing w:line="219" w:lineRule="exact"/>
              <w:ind w:left="34"/>
              <w:jc w:val="left"/>
              <w:rPr>
                <w:sz w:val="20"/>
              </w:rPr>
            </w:pPr>
          </w:p>
        </w:tc>
        <w:tc>
          <w:tcPr>
            <w:tcW w:w="1689" w:type="dxa"/>
            <w:tcBorders>
              <w:top w:val="single" w:sz="4" w:space="0" w:color="auto"/>
            </w:tcBorders>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4Q 2021</w:t>
            </w:r>
          </w:p>
        </w:tc>
      </w:tr>
      <w:tr w:rsidR="00AC424B" w:rsidRPr="00D652DA" w:rsidTr="007C2BC9">
        <w:tc>
          <w:tcPr>
            <w:tcW w:w="681" w:type="dxa"/>
            <w:shd w:val="clear" w:color="auto" w:fill="FFFFFF" w:themeFill="background1"/>
            <w:vAlign w:val="center"/>
          </w:tcPr>
          <w:p w:rsidR="00AC424B" w:rsidRPr="00D652DA" w:rsidRDefault="00AC424B" w:rsidP="007C2BC9">
            <w:pPr>
              <w:jc w:val="center"/>
              <w:rPr>
                <w:rFonts w:eastAsia="Arial"/>
                <w:sz w:val="20"/>
              </w:rPr>
            </w:pPr>
            <w:r w:rsidRPr="00D652DA">
              <w:rPr>
                <w:rFonts w:eastAsia="Arial"/>
                <w:sz w:val="20"/>
              </w:rPr>
              <w:t>3.40</w:t>
            </w:r>
          </w:p>
        </w:tc>
        <w:tc>
          <w:tcPr>
            <w:tcW w:w="4089" w:type="dxa"/>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Zavádění principů úplného elektronického podání</w:t>
            </w:r>
          </w:p>
        </w:tc>
        <w:tc>
          <w:tcPr>
            <w:tcW w:w="1259" w:type="dxa"/>
            <w:shd w:val="clear" w:color="auto" w:fill="FFFFFF" w:themeFill="background1"/>
          </w:tcPr>
          <w:p w:rsidR="00AC424B" w:rsidRPr="00D652DA" w:rsidRDefault="00AC424B" w:rsidP="007C2BC9">
            <w:pPr>
              <w:rPr>
                <w:sz w:val="20"/>
              </w:rPr>
            </w:pPr>
            <w:r w:rsidRPr="00D652DA">
              <w:rPr>
                <w:sz w:val="20"/>
              </w:rPr>
              <w:t>MF</w:t>
            </w:r>
          </w:p>
        </w:tc>
        <w:tc>
          <w:tcPr>
            <w:tcW w:w="1489" w:type="dxa"/>
            <w:shd w:val="clear" w:color="auto" w:fill="FFFFFF" w:themeFill="background1"/>
            <w:vAlign w:val="center"/>
          </w:tcPr>
          <w:p w:rsidR="00AC424B" w:rsidRPr="00D652DA" w:rsidRDefault="00AC424B" w:rsidP="007C2BC9">
            <w:pPr>
              <w:spacing w:line="219" w:lineRule="exact"/>
              <w:ind w:left="34"/>
              <w:jc w:val="left"/>
              <w:rPr>
                <w:sz w:val="20"/>
              </w:rPr>
            </w:pPr>
          </w:p>
        </w:tc>
        <w:tc>
          <w:tcPr>
            <w:tcW w:w="1689" w:type="dxa"/>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4Q 2018</w:t>
            </w:r>
          </w:p>
        </w:tc>
      </w:tr>
      <w:tr w:rsidR="00AC424B" w:rsidRPr="00D652DA" w:rsidTr="007C2BC9">
        <w:tc>
          <w:tcPr>
            <w:tcW w:w="681" w:type="dxa"/>
            <w:shd w:val="clear" w:color="auto" w:fill="FFFFFF" w:themeFill="background1"/>
            <w:vAlign w:val="center"/>
          </w:tcPr>
          <w:p w:rsidR="00AC424B" w:rsidRPr="00D652DA" w:rsidRDefault="00AC424B" w:rsidP="007C2BC9">
            <w:pPr>
              <w:jc w:val="center"/>
              <w:rPr>
                <w:rFonts w:eastAsia="Arial"/>
                <w:sz w:val="20"/>
              </w:rPr>
            </w:pPr>
            <w:r w:rsidRPr="00D652DA">
              <w:rPr>
                <w:rFonts w:eastAsia="Arial"/>
                <w:sz w:val="20"/>
              </w:rPr>
              <w:t>3.41</w:t>
            </w:r>
          </w:p>
        </w:tc>
        <w:tc>
          <w:tcPr>
            <w:tcW w:w="4089" w:type="dxa"/>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Samovyměření: Příprava konečného paragrafového znění v jednotlivých daňových zákonech</w:t>
            </w:r>
          </w:p>
        </w:tc>
        <w:tc>
          <w:tcPr>
            <w:tcW w:w="1259" w:type="dxa"/>
            <w:shd w:val="clear" w:color="auto" w:fill="FFFFFF" w:themeFill="background1"/>
          </w:tcPr>
          <w:p w:rsidR="00AC424B" w:rsidRPr="00D652DA" w:rsidRDefault="00AC424B" w:rsidP="007C2BC9">
            <w:pPr>
              <w:rPr>
                <w:sz w:val="20"/>
              </w:rPr>
            </w:pPr>
            <w:r w:rsidRPr="00D652DA">
              <w:rPr>
                <w:sz w:val="20"/>
              </w:rPr>
              <w:t>MF</w:t>
            </w:r>
          </w:p>
        </w:tc>
        <w:tc>
          <w:tcPr>
            <w:tcW w:w="1489" w:type="dxa"/>
            <w:shd w:val="clear" w:color="auto" w:fill="FFFFFF" w:themeFill="background1"/>
            <w:vAlign w:val="center"/>
          </w:tcPr>
          <w:p w:rsidR="00AC424B" w:rsidRPr="00D652DA" w:rsidRDefault="00AC424B" w:rsidP="007C2BC9">
            <w:pPr>
              <w:spacing w:line="219" w:lineRule="exact"/>
              <w:ind w:left="34"/>
              <w:jc w:val="left"/>
              <w:rPr>
                <w:sz w:val="20"/>
              </w:rPr>
            </w:pPr>
          </w:p>
        </w:tc>
        <w:tc>
          <w:tcPr>
            <w:tcW w:w="1689" w:type="dxa"/>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3Q 2017</w:t>
            </w:r>
          </w:p>
        </w:tc>
      </w:tr>
      <w:tr w:rsidR="00AC424B" w:rsidRPr="00D652DA" w:rsidTr="007C2BC9">
        <w:tc>
          <w:tcPr>
            <w:tcW w:w="681" w:type="dxa"/>
            <w:tcBorders>
              <w:bottom w:val="single" w:sz="4" w:space="0" w:color="auto"/>
            </w:tcBorders>
            <w:shd w:val="clear" w:color="auto" w:fill="FFFFFF" w:themeFill="background1"/>
            <w:vAlign w:val="center"/>
          </w:tcPr>
          <w:p w:rsidR="00AC424B" w:rsidRPr="00D652DA" w:rsidRDefault="00AC424B" w:rsidP="007C2BC9">
            <w:pPr>
              <w:jc w:val="center"/>
              <w:rPr>
                <w:rFonts w:eastAsia="Arial"/>
                <w:sz w:val="20"/>
              </w:rPr>
            </w:pPr>
            <w:r w:rsidRPr="00D652DA">
              <w:rPr>
                <w:rFonts w:eastAsia="Arial"/>
                <w:sz w:val="20"/>
              </w:rPr>
              <w:t>3.42</w:t>
            </w:r>
          </w:p>
        </w:tc>
        <w:tc>
          <w:tcPr>
            <w:tcW w:w="4089" w:type="dxa"/>
            <w:tcBorders>
              <w:bottom w:val="single" w:sz="4" w:space="0" w:color="auto"/>
            </w:tcBorders>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Samovyměření: Implementace</w:t>
            </w:r>
          </w:p>
        </w:tc>
        <w:tc>
          <w:tcPr>
            <w:tcW w:w="1259" w:type="dxa"/>
            <w:tcBorders>
              <w:bottom w:val="single" w:sz="4" w:space="0" w:color="auto"/>
            </w:tcBorders>
            <w:shd w:val="clear" w:color="auto" w:fill="FFFFFF" w:themeFill="background1"/>
          </w:tcPr>
          <w:p w:rsidR="00AC424B" w:rsidRPr="00D652DA" w:rsidRDefault="00AC424B" w:rsidP="007C2BC9">
            <w:pPr>
              <w:rPr>
                <w:sz w:val="20"/>
              </w:rPr>
            </w:pPr>
            <w:r w:rsidRPr="00D652DA">
              <w:rPr>
                <w:sz w:val="20"/>
              </w:rPr>
              <w:t>MF</w:t>
            </w:r>
          </w:p>
        </w:tc>
        <w:tc>
          <w:tcPr>
            <w:tcW w:w="1489" w:type="dxa"/>
            <w:tcBorders>
              <w:bottom w:val="single" w:sz="4" w:space="0" w:color="auto"/>
            </w:tcBorders>
            <w:shd w:val="clear" w:color="auto" w:fill="FFFFFF" w:themeFill="background1"/>
            <w:vAlign w:val="center"/>
          </w:tcPr>
          <w:p w:rsidR="00AC424B" w:rsidRPr="00D652DA" w:rsidRDefault="00AC424B" w:rsidP="007C2BC9">
            <w:pPr>
              <w:spacing w:line="219" w:lineRule="exact"/>
              <w:ind w:left="34"/>
              <w:jc w:val="left"/>
              <w:rPr>
                <w:sz w:val="20"/>
              </w:rPr>
            </w:pPr>
          </w:p>
        </w:tc>
        <w:tc>
          <w:tcPr>
            <w:tcW w:w="1689" w:type="dxa"/>
            <w:tcBorders>
              <w:bottom w:val="single" w:sz="4" w:space="0" w:color="auto"/>
            </w:tcBorders>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průběžně, první efekty 1Q 2019</w:t>
            </w:r>
          </w:p>
        </w:tc>
      </w:tr>
      <w:tr w:rsidR="00AC424B" w:rsidRPr="00D652DA" w:rsidTr="007C2BC9">
        <w:tc>
          <w:tcPr>
            <w:tcW w:w="9207"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424B" w:rsidRPr="00D652DA" w:rsidRDefault="00AE36FF" w:rsidP="007C2BC9">
            <w:pPr>
              <w:jc w:val="center"/>
              <w:rPr>
                <w:rFonts w:eastAsia="Arial"/>
                <w:b/>
                <w:w w:val="99"/>
                <w:sz w:val="20"/>
              </w:rPr>
            </w:pPr>
            <w:proofErr w:type="spellStart"/>
            <w:r>
              <w:rPr>
                <w:rFonts w:eastAsia="Arial"/>
                <w:b/>
                <w:sz w:val="20"/>
              </w:rPr>
              <w:t>Smart</w:t>
            </w:r>
            <w:proofErr w:type="spellEnd"/>
            <w:r>
              <w:rPr>
                <w:rFonts w:eastAsia="Arial"/>
                <w:b/>
                <w:sz w:val="20"/>
              </w:rPr>
              <w:t xml:space="preserve"> </w:t>
            </w:r>
            <w:proofErr w:type="spellStart"/>
            <w:r>
              <w:rPr>
                <w:rFonts w:eastAsia="Arial"/>
                <w:b/>
                <w:sz w:val="20"/>
              </w:rPr>
              <w:t>Cities</w:t>
            </w:r>
            <w:proofErr w:type="spellEnd"/>
          </w:p>
        </w:tc>
      </w:tr>
      <w:tr w:rsidR="00AC424B" w:rsidRPr="00D652DA" w:rsidTr="007C2BC9">
        <w:tc>
          <w:tcPr>
            <w:tcW w:w="681" w:type="dxa"/>
            <w:shd w:val="clear" w:color="auto" w:fill="FFFFFF" w:themeFill="background1"/>
            <w:vAlign w:val="center"/>
          </w:tcPr>
          <w:p w:rsidR="00AC424B" w:rsidRPr="00D652DA" w:rsidRDefault="00AC424B" w:rsidP="007C2BC9">
            <w:pPr>
              <w:jc w:val="center"/>
              <w:rPr>
                <w:rFonts w:eastAsia="Arial"/>
                <w:sz w:val="20"/>
              </w:rPr>
            </w:pPr>
            <w:r w:rsidRPr="00D652DA">
              <w:rPr>
                <w:rFonts w:eastAsia="Arial"/>
                <w:sz w:val="20"/>
              </w:rPr>
              <w:t>3.43</w:t>
            </w:r>
          </w:p>
        </w:tc>
        <w:tc>
          <w:tcPr>
            <w:tcW w:w="4089" w:type="dxa"/>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 xml:space="preserve">Metodická podpora pro usnadnění realizace </w:t>
            </w:r>
            <w:proofErr w:type="spellStart"/>
            <w:r w:rsidR="00AE36FF">
              <w:rPr>
                <w:sz w:val="20"/>
              </w:rPr>
              <w:t>Smart</w:t>
            </w:r>
            <w:proofErr w:type="spellEnd"/>
            <w:r w:rsidR="00AE36FF">
              <w:rPr>
                <w:sz w:val="20"/>
              </w:rPr>
              <w:t xml:space="preserve"> </w:t>
            </w:r>
            <w:proofErr w:type="spellStart"/>
            <w:r w:rsidR="00AE36FF">
              <w:rPr>
                <w:sz w:val="20"/>
              </w:rPr>
              <w:t>Cities</w:t>
            </w:r>
            <w:proofErr w:type="spellEnd"/>
          </w:p>
        </w:tc>
        <w:tc>
          <w:tcPr>
            <w:tcW w:w="1259" w:type="dxa"/>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MMR, MV, MD</w:t>
            </w:r>
          </w:p>
        </w:tc>
        <w:tc>
          <w:tcPr>
            <w:tcW w:w="1489" w:type="dxa"/>
            <w:shd w:val="clear" w:color="auto" w:fill="FFFFFF" w:themeFill="background1"/>
            <w:vAlign w:val="center"/>
          </w:tcPr>
          <w:p w:rsidR="00AC424B" w:rsidRPr="00D652DA" w:rsidRDefault="00AC424B" w:rsidP="007C2BC9">
            <w:pPr>
              <w:spacing w:line="219" w:lineRule="exact"/>
              <w:ind w:left="34"/>
              <w:jc w:val="left"/>
              <w:rPr>
                <w:sz w:val="20"/>
              </w:rPr>
            </w:pPr>
          </w:p>
        </w:tc>
        <w:tc>
          <w:tcPr>
            <w:tcW w:w="1689" w:type="dxa"/>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průběžně</w:t>
            </w:r>
          </w:p>
        </w:tc>
      </w:tr>
      <w:tr w:rsidR="00AC424B" w:rsidRPr="00D652DA" w:rsidTr="007C2BC9">
        <w:tc>
          <w:tcPr>
            <w:tcW w:w="681" w:type="dxa"/>
            <w:shd w:val="clear" w:color="auto" w:fill="FFFFFF" w:themeFill="background1"/>
            <w:vAlign w:val="center"/>
          </w:tcPr>
          <w:p w:rsidR="00AC424B" w:rsidRPr="00D652DA" w:rsidRDefault="00AC424B" w:rsidP="007C2BC9">
            <w:pPr>
              <w:jc w:val="center"/>
              <w:rPr>
                <w:rFonts w:eastAsia="Arial"/>
                <w:sz w:val="20"/>
              </w:rPr>
            </w:pPr>
            <w:r w:rsidRPr="00D652DA">
              <w:rPr>
                <w:rFonts w:eastAsia="Arial"/>
                <w:sz w:val="20"/>
              </w:rPr>
              <w:t>3.44</w:t>
            </w:r>
          </w:p>
        </w:tc>
        <w:tc>
          <w:tcPr>
            <w:tcW w:w="4089" w:type="dxa"/>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 xml:space="preserve">Pracovní skupina pro </w:t>
            </w:r>
            <w:proofErr w:type="spellStart"/>
            <w:r w:rsidR="00AE36FF">
              <w:rPr>
                <w:sz w:val="20"/>
              </w:rPr>
              <w:t>Smart</w:t>
            </w:r>
            <w:proofErr w:type="spellEnd"/>
            <w:r w:rsidR="00AE36FF">
              <w:rPr>
                <w:sz w:val="20"/>
              </w:rPr>
              <w:t xml:space="preserve"> </w:t>
            </w:r>
            <w:proofErr w:type="spellStart"/>
            <w:r w:rsidR="00AE36FF">
              <w:rPr>
                <w:sz w:val="20"/>
              </w:rPr>
              <w:t>Cities</w:t>
            </w:r>
            <w:proofErr w:type="spellEnd"/>
          </w:p>
        </w:tc>
        <w:tc>
          <w:tcPr>
            <w:tcW w:w="1259" w:type="dxa"/>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MMR</w:t>
            </w:r>
          </w:p>
        </w:tc>
        <w:tc>
          <w:tcPr>
            <w:tcW w:w="1489" w:type="dxa"/>
            <w:shd w:val="clear" w:color="auto" w:fill="FFFFFF" w:themeFill="background1"/>
            <w:vAlign w:val="center"/>
          </w:tcPr>
          <w:p w:rsidR="00AC424B" w:rsidRPr="00D652DA" w:rsidRDefault="00AC424B" w:rsidP="007C2BC9">
            <w:pPr>
              <w:spacing w:line="219" w:lineRule="exact"/>
              <w:ind w:left="34"/>
              <w:jc w:val="left"/>
              <w:rPr>
                <w:sz w:val="20"/>
              </w:rPr>
            </w:pPr>
          </w:p>
        </w:tc>
        <w:tc>
          <w:tcPr>
            <w:tcW w:w="1689" w:type="dxa"/>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průběžně</w:t>
            </w:r>
          </w:p>
        </w:tc>
      </w:tr>
      <w:tr w:rsidR="00AC424B" w:rsidRPr="00D652DA" w:rsidTr="007C2BC9">
        <w:tc>
          <w:tcPr>
            <w:tcW w:w="681" w:type="dxa"/>
            <w:tcBorders>
              <w:bottom w:val="single" w:sz="4" w:space="0" w:color="auto"/>
            </w:tcBorders>
            <w:shd w:val="clear" w:color="auto" w:fill="FFFFFF" w:themeFill="background1"/>
            <w:vAlign w:val="center"/>
          </w:tcPr>
          <w:p w:rsidR="00AC424B" w:rsidRPr="00D652DA" w:rsidRDefault="00AC424B" w:rsidP="007C2BC9">
            <w:pPr>
              <w:jc w:val="center"/>
              <w:rPr>
                <w:rFonts w:eastAsia="Arial"/>
                <w:sz w:val="20"/>
              </w:rPr>
            </w:pPr>
            <w:r w:rsidRPr="00D652DA">
              <w:rPr>
                <w:rFonts w:eastAsia="Arial"/>
                <w:sz w:val="20"/>
              </w:rPr>
              <w:t>3.45</w:t>
            </w:r>
          </w:p>
        </w:tc>
        <w:tc>
          <w:tcPr>
            <w:tcW w:w="4089" w:type="dxa"/>
            <w:tcBorders>
              <w:bottom w:val="single" w:sz="4" w:space="0" w:color="auto"/>
            </w:tcBorders>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Pilotní projekt Smart City/Smart Region</w:t>
            </w:r>
          </w:p>
        </w:tc>
        <w:tc>
          <w:tcPr>
            <w:tcW w:w="1259" w:type="dxa"/>
            <w:tcBorders>
              <w:bottom w:val="single" w:sz="4" w:space="0" w:color="auto"/>
            </w:tcBorders>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MMR</w:t>
            </w:r>
          </w:p>
        </w:tc>
        <w:tc>
          <w:tcPr>
            <w:tcW w:w="1489" w:type="dxa"/>
            <w:tcBorders>
              <w:bottom w:val="single" w:sz="4" w:space="0" w:color="auto"/>
            </w:tcBorders>
            <w:shd w:val="clear" w:color="auto" w:fill="FFFFFF" w:themeFill="background1"/>
            <w:vAlign w:val="center"/>
          </w:tcPr>
          <w:p w:rsidR="00AC424B" w:rsidRPr="00D652DA" w:rsidRDefault="00AC424B" w:rsidP="007C2BC9">
            <w:pPr>
              <w:spacing w:line="219" w:lineRule="exact"/>
              <w:ind w:left="34"/>
              <w:jc w:val="left"/>
              <w:rPr>
                <w:sz w:val="20"/>
              </w:rPr>
            </w:pPr>
          </w:p>
        </w:tc>
        <w:tc>
          <w:tcPr>
            <w:tcW w:w="1689" w:type="dxa"/>
            <w:tcBorders>
              <w:bottom w:val="single" w:sz="4" w:space="0" w:color="auto"/>
            </w:tcBorders>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4Q 2020, průběžně</w:t>
            </w:r>
          </w:p>
        </w:tc>
      </w:tr>
      <w:tr w:rsidR="00AC424B" w:rsidRPr="00D652DA" w:rsidTr="007C2BC9">
        <w:tc>
          <w:tcPr>
            <w:tcW w:w="9207"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C424B" w:rsidRPr="00D07530" w:rsidRDefault="00AC424B" w:rsidP="00D07530">
            <w:pPr>
              <w:spacing w:line="219" w:lineRule="exact"/>
              <w:ind w:left="34"/>
              <w:jc w:val="center"/>
              <w:rPr>
                <w:b/>
                <w:sz w:val="20"/>
              </w:rPr>
            </w:pPr>
            <w:r w:rsidRPr="00D07530">
              <w:rPr>
                <w:b/>
                <w:sz w:val="20"/>
              </w:rPr>
              <w:t>Podpora strategického řízení a plánování</w:t>
            </w:r>
          </w:p>
        </w:tc>
      </w:tr>
      <w:tr w:rsidR="00AC424B" w:rsidRPr="00D652DA" w:rsidTr="007C2BC9">
        <w:tc>
          <w:tcPr>
            <w:tcW w:w="681" w:type="dxa"/>
            <w:tcBorders>
              <w:top w:val="single" w:sz="4" w:space="0" w:color="auto"/>
            </w:tcBorders>
            <w:shd w:val="clear" w:color="auto" w:fill="FFFFFF" w:themeFill="background1"/>
            <w:vAlign w:val="center"/>
          </w:tcPr>
          <w:p w:rsidR="00AC424B" w:rsidRPr="00D652DA" w:rsidRDefault="00AC424B" w:rsidP="007C2BC9">
            <w:pPr>
              <w:jc w:val="center"/>
              <w:rPr>
                <w:rFonts w:eastAsia="Arial"/>
                <w:sz w:val="20"/>
              </w:rPr>
            </w:pPr>
            <w:r w:rsidRPr="00D652DA">
              <w:rPr>
                <w:rFonts w:eastAsia="Arial"/>
                <w:sz w:val="20"/>
              </w:rPr>
              <w:t>3.46</w:t>
            </w:r>
          </w:p>
        </w:tc>
        <w:tc>
          <w:tcPr>
            <w:tcW w:w="4089" w:type="dxa"/>
            <w:tcBorders>
              <w:top w:val="single" w:sz="4" w:space="0" w:color="auto"/>
            </w:tcBorders>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Rozvoj a využití Databáze strategií</w:t>
            </w:r>
          </w:p>
        </w:tc>
        <w:tc>
          <w:tcPr>
            <w:tcW w:w="1259" w:type="dxa"/>
            <w:tcBorders>
              <w:top w:val="single" w:sz="4" w:space="0" w:color="auto"/>
            </w:tcBorders>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MMR</w:t>
            </w:r>
          </w:p>
        </w:tc>
        <w:tc>
          <w:tcPr>
            <w:tcW w:w="1489" w:type="dxa"/>
            <w:tcBorders>
              <w:top w:val="single" w:sz="4" w:space="0" w:color="auto"/>
            </w:tcBorders>
            <w:shd w:val="clear" w:color="auto" w:fill="FFFFFF" w:themeFill="background1"/>
            <w:vAlign w:val="center"/>
          </w:tcPr>
          <w:p w:rsidR="00AC424B" w:rsidRPr="00D652DA" w:rsidRDefault="00AC424B" w:rsidP="007C2BC9">
            <w:pPr>
              <w:spacing w:line="219" w:lineRule="exact"/>
              <w:ind w:left="34"/>
              <w:jc w:val="left"/>
              <w:rPr>
                <w:sz w:val="20"/>
              </w:rPr>
            </w:pPr>
          </w:p>
        </w:tc>
        <w:tc>
          <w:tcPr>
            <w:tcW w:w="1689" w:type="dxa"/>
            <w:tcBorders>
              <w:top w:val="single" w:sz="4" w:space="0" w:color="auto"/>
            </w:tcBorders>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4Q 2020, průběžně</w:t>
            </w:r>
          </w:p>
        </w:tc>
      </w:tr>
    </w:tbl>
    <w:p w:rsidR="00D07530" w:rsidRDefault="00D07530">
      <w:r>
        <w:br w:type="page"/>
      </w:r>
    </w:p>
    <w:tbl>
      <w:tblPr>
        <w:tblStyle w:val="Mkatabulky"/>
        <w:tblW w:w="9207" w:type="dxa"/>
        <w:tblInd w:w="5" w:type="dxa"/>
        <w:tblLayout w:type="fixed"/>
        <w:tblLook w:val="04A0"/>
      </w:tblPr>
      <w:tblGrid>
        <w:gridCol w:w="681"/>
        <w:gridCol w:w="4089"/>
        <w:gridCol w:w="1259"/>
        <w:gridCol w:w="1489"/>
        <w:gridCol w:w="1689"/>
      </w:tblGrid>
      <w:tr w:rsidR="00AC424B" w:rsidRPr="00D652DA" w:rsidTr="007C2BC9">
        <w:tc>
          <w:tcPr>
            <w:tcW w:w="9207" w:type="dxa"/>
            <w:gridSpan w:val="5"/>
            <w:shd w:val="clear" w:color="auto" w:fill="4F81BD" w:themeFill="accent1"/>
            <w:vAlign w:val="center"/>
          </w:tcPr>
          <w:p w:rsidR="00AC424B" w:rsidRPr="00D652DA" w:rsidRDefault="00AC424B" w:rsidP="007C2BC9">
            <w:pPr>
              <w:jc w:val="center"/>
              <w:rPr>
                <w:rFonts w:eastAsia="Arial"/>
                <w:b/>
                <w:w w:val="99"/>
                <w:sz w:val="20"/>
              </w:rPr>
            </w:pPr>
            <w:r w:rsidRPr="00D652DA">
              <w:rPr>
                <w:rFonts w:eastAsia="Arial"/>
                <w:b/>
                <w:sz w:val="20"/>
              </w:rPr>
              <w:lastRenderedPageBreak/>
              <w:t>4. BEZPEČNOST</w:t>
            </w:r>
          </w:p>
        </w:tc>
      </w:tr>
      <w:tr w:rsidR="00AC424B" w:rsidRPr="00D652DA" w:rsidTr="007C2BC9">
        <w:tc>
          <w:tcPr>
            <w:tcW w:w="9207" w:type="dxa"/>
            <w:gridSpan w:val="5"/>
            <w:shd w:val="clear" w:color="auto" w:fill="DBE5F1" w:themeFill="accent1" w:themeFillTint="33"/>
            <w:vAlign w:val="center"/>
          </w:tcPr>
          <w:p w:rsidR="00AC424B" w:rsidRPr="00D652DA" w:rsidRDefault="00AC424B" w:rsidP="007C2BC9">
            <w:pPr>
              <w:jc w:val="center"/>
              <w:rPr>
                <w:rFonts w:eastAsia="Arial"/>
                <w:b/>
                <w:w w:val="99"/>
                <w:sz w:val="20"/>
              </w:rPr>
            </w:pPr>
            <w:r w:rsidRPr="00D652DA">
              <w:rPr>
                <w:rFonts w:eastAsia="Arial"/>
                <w:b/>
                <w:sz w:val="20"/>
              </w:rPr>
              <w:t>Kybernetická bezpečnost</w:t>
            </w:r>
          </w:p>
        </w:tc>
      </w:tr>
      <w:tr w:rsidR="00AC424B" w:rsidRPr="00D652DA" w:rsidTr="007C2BC9">
        <w:tc>
          <w:tcPr>
            <w:tcW w:w="681" w:type="dxa"/>
            <w:shd w:val="clear" w:color="auto" w:fill="FFFFFF" w:themeFill="background1"/>
            <w:vAlign w:val="center"/>
          </w:tcPr>
          <w:p w:rsidR="00AC424B" w:rsidRPr="00D652DA" w:rsidRDefault="00AC424B" w:rsidP="007C2BC9">
            <w:pPr>
              <w:jc w:val="center"/>
              <w:rPr>
                <w:rFonts w:eastAsia="Arial"/>
                <w:sz w:val="20"/>
              </w:rPr>
            </w:pPr>
            <w:r w:rsidRPr="00D652DA">
              <w:rPr>
                <w:rFonts w:eastAsia="Arial"/>
                <w:sz w:val="20"/>
              </w:rPr>
              <w:t>4.1</w:t>
            </w:r>
          </w:p>
        </w:tc>
        <w:tc>
          <w:tcPr>
            <w:tcW w:w="4089" w:type="dxa"/>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Vytvoření mechanismu spolupráce na národní úrovni mezi jednotlivými subjekty kybernetické bezpečnosti (pracoviště typu CERT a CSIRT) a posílení jejich stávajících struktur. Podpora vzniku dalších pracovišť typu CERT a CSIRT v ČR</w:t>
            </w:r>
          </w:p>
        </w:tc>
        <w:tc>
          <w:tcPr>
            <w:tcW w:w="1259" w:type="dxa"/>
            <w:shd w:val="clear" w:color="auto" w:fill="FFFFFF" w:themeFill="background1"/>
            <w:vAlign w:val="center"/>
          </w:tcPr>
          <w:p w:rsidR="00AC424B" w:rsidRPr="00D652DA" w:rsidRDefault="00C75487" w:rsidP="007C2BC9">
            <w:pPr>
              <w:spacing w:line="219" w:lineRule="exact"/>
              <w:ind w:left="34"/>
              <w:jc w:val="left"/>
              <w:rPr>
                <w:sz w:val="20"/>
              </w:rPr>
            </w:pPr>
            <w:r>
              <w:rPr>
                <w:sz w:val="20"/>
              </w:rPr>
              <w:t>NÚKIB</w:t>
            </w:r>
          </w:p>
        </w:tc>
        <w:tc>
          <w:tcPr>
            <w:tcW w:w="1489" w:type="dxa"/>
            <w:shd w:val="clear" w:color="auto" w:fill="FFFFFF" w:themeFill="background1"/>
            <w:vAlign w:val="center"/>
          </w:tcPr>
          <w:p w:rsidR="00AC424B" w:rsidRPr="00D652DA" w:rsidRDefault="00AC424B" w:rsidP="007C2BC9">
            <w:pPr>
              <w:spacing w:line="219" w:lineRule="exact"/>
              <w:ind w:left="34"/>
              <w:jc w:val="left"/>
              <w:rPr>
                <w:sz w:val="20"/>
              </w:rPr>
            </w:pPr>
          </w:p>
        </w:tc>
        <w:tc>
          <w:tcPr>
            <w:tcW w:w="1689" w:type="dxa"/>
            <w:shd w:val="clear" w:color="auto" w:fill="FFFFFF" w:themeFill="background1"/>
            <w:vAlign w:val="center"/>
          </w:tcPr>
          <w:p w:rsidR="00AC424B" w:rsidRPr="00D652DA" w:rsidRDefault="00AC424B" w:rsidP="007C2BC9">
            <w:pPr>
              <w:jc w:val="center"/>
              <w:rPr>
                <w:sz w:val="20"/>
              </w:rPr>
            </w:pPr>
            <w:r w:rsidRPr="00D652DA">
              <w:rPr>
                <w:sz w:val="20"/>
              </w:rPr>
              <w:t>průběžně</w:t>
            </w:r>
          </w:p>
        </w:tc>
      </w:tr>
      <w:tr w:rsidR="00AC424B" w:rsidRPr="00D652DA" w:rsidTr="007C2BC9">
        <w:tc>
          <w:tcPr>
            <w:tcW w:w="681" w:type="dxa"/>
            <w:shd w:val="clear" w:color="auto" w:fill="FFFFFF" w:themeFill="background1"/>
            <w:vAlign w:val="center"/>
          </w:tcPr>
          <w:p w:rsidR="00AC424B" w:rsidRPr="00D652DA" w:rsidRDefault="00AC424B" w:rsidP="007C2BC9">
            <w:pPr>
              <w:jc w:val="center"/>
              <w:rPr>
                <w:rFonts w:eastAsia="Arial"/>
                <w:sz w:val="20"/>
              </w:rPr>
            </w:pPr>
            <w:r w:rsidRPr="00D652DA">
              <w:rPr>
                <w:rFonts w:eastAsia="Arial"/>
                <w:sz w:val="20"/>
              </w:rPr>
              <w:t>4.2</w:t>
            </w:r>
          </w:p>
        </w:tc>
        <w:tc>
          <w:tcPr>
            <w:tcW w:w="4089" w:type="dxa"/>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Školení zaměstnanců státní správy v oblasti kybernetické bezpečnosti a identifikování dalších kroků</w:t>
            </w:r>
          </w:p>
        </w:tc>
        <w:tc>
          <w:tcPr>
            <w:tcW w:w="1259" w:type="dxa"/>
            <w:shd w:val="clear" w:color="auto" w:fill="FFFFFF" w:themeFill="background1"/>
            <w:vAlign w:val="center"/>
          </w:tcPr>
          <w:p w:rsidR="00AC424B" w:rsidRPr="00D652DA" w:rsidRDefault="00AC424B" w:rsidP="00C75487">
            <w:pPr>
              <w:spacing w:line="219" w:lineRule="exact"/>
              <w:ind w:left="34"/>
              <w:jc w:val="left"/>
              <w:rPr>
                <w:sz w:val="20"/>
              </w:rPr>
            </w:pPr>
            <w:r w:rsidRPr="00D652DA">
              <w:rPr>
                <w:sz w:val="20"/>
              </w:rPr>
              <w:t xml:space="preserve">MV, </w:t>
            </w:r>
            <w:r w:rsidR="00C75487">
              <w:rPr>
                <w:sz w:val="20"/>
              </w:rPr>
              <w:t>NÚKIB</w:t>
            </w:r>
          </w:p>
        </w:tc>
        <w:tc>
          <w:tcPr>
            <w:tcW w:w="1489" w:type="dxa"/>
            <w:shd w:val="clear" w:color="auto" w:fill="FFFFFF" w:themeFill="background1"/>
            <w:vAlign w:val="center"/>
          </w:tcPr>
          <w:p w:rsidR="00AC424B" w:rsidRPr="00D652DA" w:rsidRDefault="00AC424B" w:rsidP="007C2BC9">
            <w:pPr>
              <w:spacing w:line="219" w:lineRule="exact"/>
              <w:ind w:left="34"/>
              <w:jc w:val="left"/>
              <w:rPr>
                <w:sz w:val="20"/>
              </w:rPr>
            </w:pPr>
          </w:p>
        </w:tc>
        <w:tc>
          <w:tcPr>
            <w:tcW w:w="1689" w:type="dxa"/>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4Q 2017</w:t>
            </w:r>
          </w:p>
        </w:tc>
      </w:tr>
      <w:tr w:rsidR="00AC424B" w:rsidRPr="00D652DA" w:rsidTr="007C2BC9">
        <w:tc>
          <w:tcPr>
            <w:tcW w:w="681" w:type="dxa"/>
            <w:shd w:val="clear" w:color="auto" w:fill="FFFFFF" w:themeFill="background1"/>
            <w:vAlign w:val="center"/>
          </w:tcPr>
          <w:p w:rsidR="00AC424B" w:rsidRPr="00D652DA" w:rsidRDefault="00AC424B" w:rsidP="007C2BC9">
            <w:pPr>
              <w:jc w:val="center"/>
              <w:rPr>
                <w:rFonts w:eastAsia="Arial"/>
                <w:sz w:val="20"/>
              </w:rPr>
            </w:pPr>
            <w:r w:rsidRPr="00D652DA">
              <w:rPr>
                <w:rFonts w:eastAsia="Arial"/>
                <w:sz w:val="20"/>
              </w:rPr>
              <w:t>4.3</w:t>
            </w:r>
          </w:p>
        </w:tc>
        <w:tc>
          <w:tcPr>
            <w:tcW w:w="4089" w:type="dxa"/>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 xml:space="preserve">Poskytování služeb </w:t>
            </w:r>
            <w:proofErr w:type="spellStart"/>
            <w:r w:rsidRPr="00D652DA">
              <w:rPr>
                <w:sz w:val="20"/>
              </w:rPr>
              <w:t>GovCERT</w:t>
            </w:r>
            <w:proofErr w:type="spellEnd"/>
            <w:r w:rsidRPr="00D652DA">
              <w:rPr>
                <w:sz w:val="20"/>
              </w:rPr>
              <w:t xml:space="preserve"> veřejným institucím, subjektům kritické informační infrastruktury a subjektům systémů základní služby při předcházení a zvládání kybernetických incidentů včetně forenzní a síťové analýzy, monitorování skrytých změn obsahu webových stránek a externích penetračních testů</w:t>
            </w:r>
          </w:p>
        </w:tc>
        <w:tc>
          <w:tcPr>
            <w:tcW w:w="1259" w:type="dxa"/>
            <w:shd w:val="clear" w:color="auto" w:fill="FFFFFF" w:themeFill="background1"/>
            <w:vAlign w:val="center"/>
          </w:tcPr>
          <w:p w:rsidR="00AC424B" w:rsidRPr="00D652DA" w:rsidRDefault="00C75487" w:rsidP="007C2BC9">
            <w:pPr>
              <w:spacing w:line="219" w:lineRule="exact"/>
              <w:ind w:left="34"/>
              <w:jc w:val="left"/>
              <w:rPr>
                <w:sz w:val="20"/>
              </w:rPr>
            </w:pPr>
            <w:r>
              <w:rPr>
                <w:sz w:val="20"/>
              </w:rPr>
              <w:t>NÚKIB</w:t>
            </w:r>
          </w:p>
        </w:tc>
        <w:tc>
          <w:tcPr>
            <w:tcW w:w="1489" w:type="dxa"/>
            <w:shd w:val="clear" w:color="auto" w:fill="FFFFFF" w:themeFill="background1"/>
            <w:vAlign w:val="center"/>
          </w:tcPr>
          <w:p w:rsidR="00AC424B" w:rsidRPr="00D652DA" w:rsidRDefault="00AC424B" w:rsidP="007C2BC9">
            <w:pPr>
              <w:spacing w:line="219" w:lineRule="exact"/>
              <w:ind w:left="34"/>
              <w:jc w:val="left"/>
              <w:rPr>
                <w:sz w:val="20"/>
              </w:rPr>
            </w:pPr>
          </w:p>
        </w:tc>
        <w:tc>
          <w:tcPr>
            <w:tcW w:w="1689" w:type="dxa"/>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průběžně</w:t>
            </w:r>
          </w:p>
        </w:tc>
      </w:tr>
      <w:tr w:rsidR="00AC424B" w:rsidRPr="00D652DA" w:rsidTr="007C2BC9">
        <w:tc>
          <w:tcPr>
            <w:tcW w:w="681" w:type="dxa"/>
            <w:shd w:val="clear" w:color="auto" w:fill="FFFFFF" w:themeFill="background1"/>
            <w:vAlign w:val="center"/>
          </w:tcPr>
          <w:p w:rsidR="00AC424B" w:rsidRPr="00D652DA" w:rsidRDefault="00AC424B" w:rsidP="007C2BC9">
            <w:pPr>
              <w:jc w:val="center"/>
              <w:rPr>
                <w:rFonts w:eastAsia="Arial"/>
                <w:sz w:val="20"/>
              </w:rPr>
            </w:pPr>
            <w:r w:rsidRPr="00D652DA">
              <w:rPr>
                <w:rFonts w:eastAsia="Arial"/>
                <w:sz w:val="20"/>
              </w:rPr>
              <w:t>4.4</w:t>
            </w:r>
          </w:p>
        </w:tc>
        <w:tc>
          <w:tcPr>
            <w:tcW w:w="4089" w:type="dxa"/>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Navyšování integrity sítí kritické informační infrastruktury</w:t>
            </w:r>
          </w:p>
        </w:tc>
        <w:tc>
          <w:tcPr>
            <w:tcW w:w="1259" w:type="dxa"/>
            <w:shd w:val="clear" w:color="auto" w:fill="FFFFFF" w:themeFill="background1"/>
          </w:tcPr>
          <w:p w:rsidR="00AC424B" w:rsidRPr="00D652DA" w:rsidRDefault="00C75487" w:rsidP="007C2BC9">
            <w:pPr>
              <w:rPr>
                <w:sz w:val="20"/>
              </w:rPr>
            </w:pPr>
            <w:r>
              <w:rPr>
                <w:sz w:val="20"/>
              </w:rPr>
              <w:t>NÚKIB</w:t>
            </w:r>
          </w:p>
        </w:tc>
        <w:tc>
          <w:tcPr>
            <w:tcW w:w="1489" w:type="dxa"/>
            <w:shd w:val="clear" w:color="auto" w:fill="FFFFFF" w:themeFill="background1"/>
            <w:vAlign w:val="center"/>
          </w:tcPr>
          <w:p w:rsidR="00AC424B" w:rsidRPr="00D652DA" w:rsidRDefault="00AC424B" w:rsidP="007C2BC9">
            <w:pPr>
              <w:spacing w:line="219" w:lineRule="exact"/>
              <w:ind w:left="34"/>
              <w:jc w:val="left"/>
              <w:rPr>
                <w:sz w:val="20"/>
              </w:rPr>
            </w:pPr>
          </w:p>
        </w:tc>
        <w:tc>
          <w:tcPr>
            <w:tcW w:w="1689" w:type="dxa"/>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průběžně</w:t>
            </w:r>
          </w:p>
        </w:tc>
      </w:tr>
      <w:tr w:rsidR="00AC424B" w:rsidRPr="00D652DA" w:rsidTr="007C2BC9">
        <w:tc>
          <w:tcPr>
            <w:tcW w:w="681" w:type="dxa"/>
            <w:shd w:val="clear" w:color="auto" w:fill="FFFFFF" w:themeFill="background1"/>
            <w:vAlign w:val="center"/>
          </w:tcPr>
          <w:p w:rsidR="00AC424B" w:rsidRPr="00D652DA" w:rsidRDefault="00AC424B" w:rsidP="007C2BC9">
            <w:pPr>
              <w:jc w:val="center"/>
              <w:rPr>
                <w:rFonts w:eastAsia="Arial"/>
                <w:sz w:val="20"/>
                <w:highlight w:val="yellow"/>
              </w:rPr>
            </w:pPr>
            <w:r w:rsidRPr="00D652DA">
              <w:rPr>
                <w:rFonts w:eastAsia="Arial"/>
                <w:sz w:val="20"/>
              </w:rPr>
              <w:t>4.5</w:t>
            </w:r>
          </w:p>
        </w:tc>
        <w:tc>
          <w:tcPr>
            <w:tcW w:w="4089" w:type="dxa"/>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Spolupráce se soukromým sektorem</w:t>
            </w:r>
          </w:p>
        </w:tc>
        <w:tc>
          <w:tcPr>
            <w:tcW w:w="1259" w:type="dxa"/>
            <w:shd w:val="clear" w:color="auto" w:fill="FFFFFF" w:themeFill="background1"/>
          </w:tcPr>
          <w:p w:rsidR="00AC424B" w:rsidRPr="00D652DA" w:rsidRDefault="00C75487" w:rsidP="007C2BC9">
            <w:pPr>
              <w:rPr>
                <w:sz w:val="20"/>
              </w:rPr>
            </w:pPr>
            <w:r>
              <w:rPr>
                <w:sz w:val="20"/>
              </w:rPr>
              <w:t>NÚKIB</w:t>
            </w:r>
          </w:p>
        </w:tc>
        <w:tc>
          <w:tcPr>
            <w:tcW w:w="1489" w:type="dxa"/>
            <w:shd w:val="clear" w:color="auto" w:fill="FFFFFF" w:themeFill="background1"/>
            <w:vAlign w:val="center"/>
          </w:tcPr>
          <w:p w:rsidR="00AC424B" w:rsidRPr="00D652DA" w:rsidRDefault="00AC424B" w:rsidP="007C2BC9">
            <w:pPr>
              <w:spacing w:line="219" w:lineRule="exact"/>
              <w:ind w:left="34"/>
              <w:jc w:val="left"/>
              <w:rPr>
                <w:sz w:val="20"/>
              </w:rPr>
            </w:pPr>
          </w:p>
        </w:tc>
        <w:tc>
          <w:tcPr>
            <w:tcW w:w="1689" w:type="dxa"/>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průběžně</w:t>
            </w:r>
          </w:p>
        </w:tc>
      </w:tr>
      <w:tr w:rsidR="00AC424B" w:rsidRPr="00D652DA" w:rsidTr="007C2BC9">
        <w:tc>
          <w:tcPr>
            <w:tcW w:w="681" w:type="dxa"/>
            <w:shd w:val="clear" w:color="auto" w:fill="FFFFFF" w:themeFill="background1"/>
            <w:vAlign w:val="center"/>
          </w:tcPr>
          <w:p w:rsidR="00AC424B" w:rsidRPr="00D652DA" w:rsidRDefault="00AC424B" w:rsidP="007C2BC9">
            <w:pPr>
              <w:jc w:val="center"/>
              <w:rPr>
                <w:rFonts w:eastAsia="Arial"/>
                <w:sz w:val="20"/>
              </w:rPr>
            </w:pPr>
            <w:r w:rsidRPr="00D652DA">
              <w:rPr>
                <w:rFonts w:eastAsia="Arial"/>
                <w:sz w:val="20"/>
              </w:rPr>
              <w:t>4.6</w:t>
            </w:r>
          </w:p>
        </w:tc>
        <w:tc>
          <w:tcPr>
            <w:tcW w:w="4089" w:type="dxa"/>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Osvěta široké veřejnosti a rozvoj lidského kapitálu</w:t>
            </w:r>
          </w:p>
        </w:tc>
        <w:tc>
          <w:tcPr>
            <w:tcW w:w="1259" w:type="dxa"/>
            <w:shd w:val="clear" w:color="auto" w:fill="FFFFFF" w:themeFill="background1"/>
          </w:tcPr>
          <w:p w:rsidR="00AC424B" w:rsidRPr="00D652DA" w:rsidRDefault="00C75487" w:rsidP="007C2BC9">
            <w:pPr>
              <w:rPr>
                <w:sz w:val="20"/>
              </w:rPr>
            </w:pPr>
            <w:r>
              <w:rPr>
                <w:sz w:val="20"/>
              </w:rPr>
              <w:t>NÚKIB</w:t>
            </w:r>
          </w:p>
        </w:tc>
        <w:tc>
          <w:tcPr>
            <w:tcW w:w="1489" w:type="dxa"/>
            <w:shd w:val="clear" w:color="auto" w:fill="FFFFFF" w:themeFill="background1"/>
            <w:vAlign w:val="center"/>
          </w:tcPr>
          <w:p w:rsidR="00AC424B" w:rsidRPr="00D652DA" w:rsidRDefault="00AC424B" w:rsidP="007C2BC9">
            <w:pPr>
              <w:spacing w:line="219" w:lineRule="exact"/>
              <w:ind w:left="34"/>
              <w:jc w:val="left"/>
              <w:rPr>
                <w:sz w:val="20"/>
              </w:rPr>
            </w:pPr>
          </w:p>
        </w:tc>
        <w:tc>
          <w:tcPr>
            <w:tcW w:w="1689" w:type="dxa"/>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průběžně</w:t>
            </w:r>
          </w:p>
        </w:tc>
      </w:tr>
      <w:tr w:rsidR="00AC424B" w:rsidRPr="00D652DA" w:rsidTr="007C2BC9">
        <w:tc>
          <w:tcPr>
            <w:tcW w:w="681" w:type="dxa"/>
            <w:shd w:val="clear" w:color="auto" w:fill="FFFFFF" w:themeFill="background1"/>
            <w:vAlign w:val="center"/>
          </w:tcPr>
          <w:p w:rsidR="00AC424B" w:rsidRPr="00D652DA" w:rsidRDefault="00AC424B" w:rsidP="007C2BC9">
            <w:pPr>
              <w:jc w:val="center"/>
              <w:rPr>
                <w:rFonts w:eastAsia="Arial"/>
                <w:sz w:val="20"/>
              </w:rPr>
            </w:pPr>
            <w:r w:rsidRPr="00D652DA">
              <w:rPr>
                <w:rFonts w:eastAsia="Arial"/>
                <w:sz w:val="20"/>
              </w:rPr>
              <w:t>4.7</w:t>
            </w:r>
          </w:p>
        </w:tc>
        <w:tc>
          <w:tcPr>
            <w:tcW w:w="4089" w:type="dxa"/>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Transpozice evropské směrnice o bezpečnosti sítí a informačních systémů (tzv. směrnice NIS) – vytvoření a novelizace příslušných prováděcích právních předpisů</w:t>
            </w:r>
          </w:p>
        </w:tc>
        <w:tc>
          <w:tcPr>
            <w:tcW w:w="1259" w:type="dxa"/>
            <w:shd w:val="clear" w:color="auto" w:fill="FFFFFF" w:themeFill="background1"/>
          </w:tcPr>
          <w:p w:rsidR="00AC424B" w:rsidRPr="00D652DA" w:rsidRDefault="00C75487" w:rsidP="007C2BC9">
            <w:pPr>
              <w:rPr>
                <w:sz w:val="20"/>
              </w:rPr>
            </w:pPr>
            <w:r>
              <w:rPr>
                <w:sz w:val="20"/>
              </w:rPr>
              <w:t>NÚKIB</w:t>
            </w:r>
          </w:p>
        </w:tc>
        <w:tc>
          <w:tcPr>
            <w:tcW w:w="1489" w:type="dxa"/>
            <w:shd w:val="clear" w:color="auto" w:fill="FFFFFF" w:themeFill="background1"/>
            <w:vAlign w:val="center"/>
          </w:tcPr>
          <w:p w:rsidR="00AC424B" w:rsidRPr="00D652DA" w:rsidRDefault="00AC424B" w:rsidP="007C2BC9">
            <w:pPr>
              <w:spacing w:line="219" w:lineRule="exact"/>
              <w:ind w:left="34"/>
              <w:jc w:val="left"/>
              <w:rPr>
                <w:sz w:val="20"/>
              </w:rPr>
            </w:pPr>
          </w:p>
        </w:tc>
        <w:tc>
          <w:tcPr>
            <w:tcW w:w="1689" w:type="dxa"/>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3Q 2017-1Q 2018</w:t>
            </w:r>
          </w:p>
        </w:tc>
      </w:tr>
      <w:tr w:rsidR="00AC424B" w:rsidRPr="00D652DA" w:rsidTr="007C2BC9">
        <w:tc>
          <w:tcPr>
            <w:tcW w:w="9207" w:type="dxa"/>
            <w:gridSpan w:val="5"/>
            <w:shd w:val="clear" w:color="auto" w:fill="DBE5F1" w:themeFill="accent1" w:themeFillTint="33"/>
            <w:vAlign w:val="center"/>
          </w:tcPr>
          <w:p w:rsidR="00AC424B" w:rsidRPr="00D652DA" w:rsidRDefault="00AC424B" w:rsidP="007C2BC9">
            <w:pPr>
              <w:jc w:val="center"/>
              <w:rPr>
                <w:rFonts w:eastAsia="Arial"/>
                <w:b/>
                <w:w w:val="99"/>
                <w:sz w:val="20"/>
              </w:rPr>
            </w:pPr>
            <w:r w:rsidRPr="00D652DA">
              <w:rPr>
                <w:rFonts w:eastAsia="Arial"/>
                <w:b/>
                <w:sz w:val="20"/>
              </w:rPr>
              <w:t>Ochrana osobních údajů</w:t>
            </w:r>
          </w:p>
        </w:tc>
      </w:tr>
      <w:tr w:rsidR="00AC424B" w:rsidRPr="00D652DA" w:rsidTr="007C2BC9">
        <w:tc>
          <w:tcPr>
            <w:tcW w:w="681" w:type="dxa"/>
            <w:shd w:val="clear" w:color="auto" w:fill="FFFFFF" w:themeFill="background1"/>
            <w:vAlign w:val="center"/>
          </w:tcPr>
          <w:p w:rsidR="00AC424B" w:rsidRPr="00D652DA" w:rsidRDefault="00AC424B" w:rsidP="007C2BC9">
            <w:pPr>
              <w:jc w:val="center"/>
              <w:rPr>
                <w:rFonts w:eastAsia="Arial"/>
                <w:sz w:val="20"/>
              </w:rPr>
            </w:pPr>
            <w:r w:rsidRPr="00D652DA">
              <w:rPr>
                <w:rFonts w:eastAsia="Arial"/>
                <w:sz w:val="20"/>
              </w:rPr>
              <w:t>4.8</w:t>
            </w:r>
          </w:p>
        </w:tc>
        <w:tc>
          <w:tcPr>
            <w:tcW w:w="4089" w:type="dxa"/>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Příprava hlavních legislativních změn v souvislosti se vstupem obecného nařízení o ochraně osobních údajů v účinnost</w:t>
            </w:r>
          </w:p>
        </w:tc>
        <w:tc>
          <w:tcPr>
            <w:tcW w:w="1259" w:type="dxa"/>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MV</w:t>
            </w:r>
          </w:p>
        </w:tc>
        <w:tc>
          <w:tcPr>
            <w:tcW w:w="1489" w:type="dxa"/>
            <w:shd w:val="clear" w:color="auto" w:fill="FFFFFF" w:themeFill="background1"/>
            <w:vAlign w:val="center"/>
          </w:tcPr>
          <w:p w:rsidR="00AC424B" w:rsidRPr="00D652DA" w:rsidRDefault="00AC424B" w:rsidP="007C2BC9">
            <w:pPr>
              <w:spacing w:line="219" w:lineRule="exact"/>
              <w:ind w:left="34"/>
              <w:jc w:val="left"/>
              <w:rPr>
                <w:sz w:val="20"/>
              </w:rPr>
            </w:pPr>
          </w:p>
        </w:tc>
        <w:tc>
          <w:tcPr>
            <w:tcW w:w="1689" w:type="dxa"/>
            <w:shd w:val="clear" w:color="auto" w:fill="FFFFFF" w:themeFill="background1"/>
            <w:vAlign w:val="center"/>
          </w:tcPr>
          <w:p w:rsidR="00AC424B" w:rsidRPr="00D652DA" w:rsidRDefault="00AC424B" w:rsidP="00382726">
            <w:pPr>
              <w:spacing w:line="219" w:lineRule="exact"/>
              <w:ind w:left="34"/>
              <w:jc w:val="left"/>
              <w:rPr>
                <w:sz w:val="20"/>
              </w:rPr>
            </w:pPr>
            <w:r w:rsidRPr="00D652DA">
              <w:rPr>
                <w:sz w:val="20"/>
              </w:rPr>
              <w:t>srp</w:t>
            </w:r>
            <w:r w:rsidR="00382726">
              <w:rPr>
                <w:sz w:val="20"/>
              </w:rPr>
              <w:t>e</w:t>
            </w:r>
            <w:r w:rsidRPr="00D652DA">
              <w:rPr>
                <w:sz w:val="20"/>
              </w:rPr>
              <w:t>n 2017 pro</w:t>
            </w:r>
            <w:r w:rsidR="00382726">
              <w:rPr>
                <w:sz w:val="20"/>
              </w:rPr>
              <w:t xml:space="preserve"> zahájení</w:t>
            </w:r>
            <w:r w:rsidRPr="00D652DA">
              <w:rPr>
                <w:sz w:val="20"/>
              </w:rPr>
              <w:t xml:space="preserve"> meziresortní</w:t>
            </w:r>
            <w:r w:rsidR="00382726">
              <w:rPr>
                <w:sz w:val="20"/>
              </w:rPr>
              <w:t>ho připomínkového řízení</w:t>
            </w:r>
            <w:r w:rsidRPr="00D652DA">
              <w:rPr>
                <w:sz w:val="20"/>
              </w:rPr>
              <w:t>, 3Q 2017 pro předložení návrhu vládě</w:t>
            </w:r>
          </w:p>
        </w:tc>
      </w:tr>
      <w:tr w:rsidR="00AC424B" w:rsidRPr="00D652DA" w:rsidTr="007C2BC9">
        <w:tc>
          <w:tcPr>
            <w:tcW w:w="681" w:type="dxa"/>
            <w:shd w:val="clear" w:color="auto" w:fill="FFFFFF" w:themeFill="background1"/>
            <w:vAlign w:val="center"/>
          </w:tcPr>
          <w:p w:rsidR="00AC424B" w:rsidRPr="00D652DA" w:rsidRDefault="00AC424B" w:rsidP="007C2BC9">
            <w:pPr>
              <w:jc w:val="center"/>
              <w:rPr>
                <w:rFonts w:eastAsia="Arial"/>
                <w:sz w:val="20"/>
              </w:rPr>
            </w:pPr>
            <w:r w:rsidRPr="00D652DA">
              <w:rPr>
                <w:rFonts w:eastAsia="Arial"/>
                <w:sz w:val="20"/>
              </w:rPr>
              <w:t>4.9</w:t>
            </w:r>
          </w:p>
        </w:tc>
        <w:tc>
          <w:tcPr>
            <w:tcW w:w="4089" w:type="dxa"/>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Plán pro přípravu státní správy pro vstup Obecného nařízení v účinnost</w:t>
            </w:r>
          </w:p>
        </w:tc>
        <w:tc>
          <w:tcPr>
            <w:tcW w:w="1259" w:type="dxa"/>
            <w:shd w:val="clear" w:color="auto" w:fill="FFFFFF" w:themeFill="background1"/>
          </w:tcPr>
          <w:p w:rsidR="00AC424B" w:rsidRPr="00D652DA" w:rsidRDefault="00AC424B" w:rsidP="007C2BC9">
            <w:pPr>
              <w:rPr>
                <w:sz w:val="20"/>
              </w:rPr>
            </w:pPr>
            <w:r w:rsidRPr="00D652DA">
              <w:rPr>
                <w:sz w:val="20"/>
              </w:rPr>
              <w:t>MV</w:t>
            </w:r>
          </w:p>
        </w:tc>
        <w:tc>
          <w:tcPr>
            <w:tcW w:w="1489" w:type="dxa"/>
            <w:shd w:val="clear" w:color="auto" w:fill="FFFFFF" w:themeFill="background1"/>
            <w:vAlign w:val="center"/>
          </w:tcPr>
          <w:p w:rsidR="00AC424B" w:rsidRPr="00D652DA" w:rsidRDefault="00AC424B" w:rsidP="007C2BC9">
            <w:pPr>
              <w:spacing w:line="219" w:lineRule="exact"/>
              <w:ind w:left="34"/>
              <w:jc w:val="left"/>
              <w:rPr>
                <w:sz w:val="20"/>
              </w:rPr>
            </w:pPr>
          </w:p>
        </w:tc>
        <w:tc>
          <w:tcPr>
            <w:tcW w:w="1689" w:type="dxa"/>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3Q 2017</w:t>
            </w:r>
          </w:p>
        </w:tc>
      </w:tr>
      <w:tr w:rsidR="00AC424B" w:rsidRPr="00D652DA" w:rsidTr="007C2BC9">
        <w:tc>
          <w:tcPr>
            <w:tcW w:w="681" w:type="dxa"/>
            <w:shd w:val="clear" w:color="auto" w:fill="FFFFFF" w:themeFill="background1"/>
            <w:vAlign w:val="center"/>
          </w:tcPr>
          <w:p w:rsidR="00AC424B" w:rsidRPr="00D652DA" w:rsidRDefault="00AC424B" w:rsidP="007C2BC9">
            <w:pPr>
              <w:jc w:val="center"/>
              <w:rPr>
                <w:rFonts w:eastAsia="Arial"/>
                <w:sz w:val="20"/>
              </w:rPr>
            </w:pPr>
            <w:r w:rsidRPr="00D652DA">
              <w:rPr>
                <w:rFonts w:eastAsia="Arial"/>
                <w:sz w:val="20"/>
              </w:rPr>
              <w:t>4.10</w:t>
            </w:r>
          </w:p>
        </w:tc>
        <w:tc>
          <w:tcPr>
            <w:tcW w:w="4089" w:type="dxa"/>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Spolupráce se soukromým sektorem a nevládním organizacemi při zvyšování povědomí o obecném nařízení o ochraně osobních údajů</w:t>
            </w:r>
          </w:p>
        </w:tc>
        <w:tc>
          <w:tcPr>
            <w:tcW w:w="1259" w:type="dxa"/>
            <w:shd w:val="clear" w:color="auto" w:fill="FFFFFF" w:themeFill="background1"/>
          </w:tcPr>
          <w:p w:rsidR="00AC424B" w:rsidRPr="00D652DA" w:rsidRDefault="00AC424B" w:rsidP="007C2BC9">
            <w:pPr>
              <w:rPr>
                <w:sz w:val="20"/>
              </w:rPr>
            </w:pPr>
            <w:r w:rsidRPr="00D652DA">
              <w:rPr>
                <w:sz w:val="20"/>
              </w:rPr>
              <w:t>MV</w:t>
            </w:r>
          </w:p>
        </w:tc>
        <w:tc>
          <w:tcPr>
            <w:tcW w:w="1489" w:type="dxa"/>
            <w:shd w:val="clear" w:color="auto" w:fill="FFFFFF" w:themeFill="background1"/>
            <w:vAlign w:val="center"/>
          </w:tcPr>
          <w:p w:rsidR="00AC424B" w:rsidRPr="00D652DA" w:rsidRDefault="00AC424B" w:rsidP="007C2BC9">
            <w:pPr>
              <w:spacing w:line="219" w:lineRule="exact"/>
              <w:ind w:left="34"/>
              <w:jc w:val="left"/>
              <w:rPr>
                <w:sz w:val="20"/>
              </w:rPr>
            </w:pPr>
          </w:p>
        </w:tc>
        <w:tc>
          <w:tcPr>
            <w:tcW w:w="1689" w:type="dxa"/>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průběžně</w:t>
            </w:r>
          </w:p>
        </w:tc>
      </w:tr>
      <w:tr w:rsidR="00AC424B" w:rsidRPr="00D652DA" w:rsidTr="007C2BC9">
        <w:tc>
          <w:tcPr>
            <w:tcW w:w="681" w:type="dxa"/>
            <w:shd w:val="clear" w:color="auto" w:fill="FFFFFF" w:themeFill="background1"/>
            <w:vAlign w:val="center"/>
          </w:tcPr>
          <w:p w:rsidR="00AC424B" w:rsidRPr="00D652DA" w:rsidRDefault="00AC424B" w:rsidP="007C2BC9">
            <w:pPr>
              <w:jc w:val="center"/>
              <w:rPr>
                <w:rFonts w:eastAsia="Arial"/>
                <w:sz w:val="20"/>
              </w:rPr>
            </w:pPr>
            <w:r w:rsidRPr="00D652DA">
              <w:rPr>
                <w:rFonts w:eastAsia="Arial"/>
                <w:sz w:val="20"/>
              </w:rPr>
              <w:t>4.11</w:t>
            </w:r>
          </w:p>
        </w:tc>
        <w:tc>
          <w:tcPr>
            <w:tcW w:w="4089" w:type="dxa"/>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Komunikační kampaň s cílem zvýšit osvětu o ochraně osobních údajů, GDPR a připravenosti na něj mezi firmami, státní správou a občany</w:t>
            </w:r>
          </w:p>
        </w:tc>
        <w:tc>
          <w:tcPr>
            <w:tcW w:w="1259" w:type="dxa"/>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ÚOOÚ</w:t>
            </w:r>
          </w:p>
        </w:tc>
        <w:tc>
          <w:tcPr>
            <w:tcW w:w="1489" w:type="dxa"/>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 xml:space="preserve">Koordinátor </w:t>
            </w:r>
          </w:p>
        </w:tc>
        <w:tc>
          <w:tcPr>
            <w:tcW w:w="1689" w:type="dxa"/>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průběžně (dle potřeby do konce roku 2018)</w:t>
            </w:r>
          </w:p>
        </w:tc>
      </w:tr>
      <w:tr w:rsidR="00AC424B" w:rsidRPr="00D652DA" w:rsidTr="007C2BC9">
        <w:tc>
          <w:tcPr>
            <w:tcW w:w="681" w:type="dxa"/>
            <w:shd w:val="clear" w:color="auto" w:fill="FFFFFF" w:themeFill="background1"/>
            <w:vAlign w:val="center"/>
          </w:tcPr>
          <w:p w:rsidR="00AC424B" w:rsidRPr="00D652DA" w:rsidRDefault="00AC424B" w:rsidP="007C2BC9">
            <w:pPr>
              <w:jc w:val="center"/>
              <w:rPr>
                <w:rFonts w:eastAsia="Arial"/>
                <w:sz w:val="20"/>
              </w:rPr>
            </w:pPr>
            <w:r w:rsidRPr="00D652DA">
              <w:rPr>
                <w:rFonts w:eastAsia="Arial"/>
                <w:sz w:val="20"/>
              </w:rPr>
              <w:t>4.12</w:t>
            </w:r>
          </w:p>
        </w:tc>
        <w:tc>
          <w:tcPr>
            <w:tcW w:w="4089" w:type="dxa"/>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Koordinace pracovní skupiny k ochraně soukromí a osobních údajů</w:t>
            </w:r>
          </w:p>
        </w:tc>
        <w:tc>
          <w:tcPr>
            <w:tcW w:w="1259" w:type="dxa"/>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Koordinátor, ÚOOÚ, MPO</w:t>
            </w:r>
          </w:p>
        </w:tc>
        <w:tc>
          <w:tcPr>
            <w:tcW w:w="1489" w:type="dxa"/>
            <w:shd w:val="clear" w:color="auto" w:fill="FFFFFF" w:themeFill="background1"/>
            <w:vAlign w:val="center"/>
          </w:tcPr>
          <w:p w:rsidR="00AC424B" w:rsidRPr="00D652DA" w:rsidRDefault="00AC424B" w:rsidP="007C2BC9">
            <w:pPr>
              <w:spacing w:line="219" w:lineRule="exact"/>
              <w:ind w:left="34"/>
              <w:jc w:val="center"/>
              <w:rPr>
                <w:sz w:val="20"/>
              </w:rPr>
            </w:pPr>
            <w:r w:rsidRPr="00D652DA">
              <w:rPr>
                <w:sz w:val="20"/>
              </w:rPr>
              <w:t>MV</w:t>
            </w:r>
          </w:p>
        </w:tc>
        <w:tc>
          <w:tcPr>
            <w:tcW w:w="1689" w:type="dxa"/>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průběžně (dle potřeby do druhého čtvrtletí 2018)</w:t>
            </w:r>
          </w:p>
        </w:tc>
      </w:tr>
    </w:tbl>
    <w:p w:rsidR="00D07530" w:rsidRDefault="00D07530">
      <w:r>
        <w:br w:type="page"/>
      </w:r>
    </w:p>
    <w:tbl>
      <w:tblPr>
        <w:tblStyle w:val="Mkatabulky"/>
        <w:tblW w:w="9207" w:type="dxa"/>
        <w:tblInd w:w="5" w:type="dxa"/>
        <w:tblLayout w:type="fixed"/>
        <w:tblLook w:val="04A0"/>
      </w:tblPr>
      <w:tblGrid>
        <w:gridCol w:w="681"/>
        <w:gridCol w:w="4089"/>
        <w:gridCol w:w="1259"/>
        <w:gridCol w:w="1489"/>
        <w:gridCol w:w="1689"/>
      </w:tblGrid>
      <w:tr w:rsidR="00AC424B" w:rsidRPr="00D652DA" w:rsidTr="007C2BC9">
        <w:tc>
          <w:tcPr>
            <w:tcW w:w="9207" w:type="dxa"/>
            <w:gridSpan w:val="5"/>
            <w:shd w:val="clear" w:color="auto" w:fill="4F81BD" w:themeFill="accent1"/>
            <w:vAlign w:val="center"/>
          </w:tcPr>
          <w:p w:rsidR="00AC424B" w:rsidRPr="000E3FC6" w:rsidRDefault="00AC424B" w:rsidP="007C2BC9">
            <w:pPr>
              <w:jc w:val="center"/>
              <w:rPr>
                <w:rFonts w:eastAsia="Arial"/>
                <w:b/>
                <w:sz w:val="20"/>
              </w:rPr>
            </w:pPr>
            <w:r w:rsidRPr="000E3FC6">
              <w:rPr>
                <w:rFonts w:eastAsia="Arial"/>
                <w:b/>
                <w:sz w:val="20"/>
              </w:rPr>
              <w:lastRenderedPageBreak/>
              <w:t>5. P</w:t>
            </w:r>
            <w:r w:rsidR="00A355ED">
              <w:rPr>
                <w:rFonts w:eastAsia="Arial"/>
                <w:b/>
                <w:sz w:val="20"/>
              </w:rPr>
              <w:t>RŮMYSL, P</w:t>
            </w:r>
            <w:r w:rsidRPr="000E3FC6">
              <w:rPr>
                <w:rFonts w:eastAsia="Arial"/>
                <w:b/>
                <w:sz w:val="20"/>
              </w:rPr>
              <w:t>ODNIKÁNÍ A KONKURENCESHOPNOST</w:t>
            </w:r>
          </w:p>
        </w:tc>
      </w:tr>
      <w:tr w:rsidR="000E3FC6" w:rsidRPr="00D652DA" w:rsidTr="007C2BC9">
        <w:tc>
          <w:tcPr>
            <w:tcW w:w="9207" w:type="dxa"/>
            <w:gridSpan w:val="5"/>
            <w:shd w:val="clear" w:color="auto" w:fill="DBE5F1" w:themeFill="accent1" w:themeFillTint="33"/>
            <w:vAlign w:val="center"/>
          </w:tcPr>
          <w:p w:rsidR="000E3FC6" w:rsidRPr="000E3FC6" w:rsidRDefault="000E3FC6" w:rsidP="007C2BC9">
            <w:pPr>
              <w:jc w:val="center"/>
              <w:rPr>
                <w:rFonts w:eastAsia="Arial"/>
                <w:b/>
                <w:sz w:val="20"/>
              </w:rPr>
            </w:pPr>
            <w:r w:rsidRPr="00E13314">
              <w:rPr>
                <w:rFonts w:eastAsia="Arial"/>
                <w:b/>
                <w:w w:val="99"/>
                <w:sz w:val="20"/>
              </w:rPr>
              <w:t>Průmysl 4.0</w:t>
            </w:r>
          </w:p>
        </w:tc>
      </w:tr>
      <w:tr w:rsidR="00A355ED" w:rsidRPr="00D652DA" w:rsidTr="00B710CF">
        <w:tc>
          <w:tcPr>
            <w:tcW w:w="9207" w:type="dxa"/>
            <w:gridSpan w:val="5"/>
            <w:shd w:val="clear" w:color="auto" w:fill="auto"/>
            <w:vAlign w:val="center"/>
          </w:tcPr>
          <w:p w:rsidR="00A355ED" w:rsidRPr="00A355ED" w:rsidRDefault="00A355ED" w:rsidP="00A355ED">
            <w:pPr>
              <w:jc w:val="left"/>
              <w:rPr>
                <w:sz w:val="20"/>
              </w:rPr>
            </w:pPr>
            <w:r>
              <w:rPr>
                <w:sz w:val="20"/>
              </w:rPr>
              <w:t>Priority pro Průmysl 4.0 identifikované</w:t>
            </w:r>
            <w:r w:rsidRPr="00A355ED">
              <w:rPr>
                <w:sz w:val="20"/>
              </w:rPr>
              <w:t xml:space="preserve"> Výbor</w:t>
            </w:r>
            <w:r>
              <w:rPr>
                <w:sz w:val="20"/>
              </w:rPr>
              <w:t>em</w:t>
            </w:r>
            <w:r w:rsidRPr="00A355ED">
              <w:rPr>
                <w:sz w:val="20"/>
              </w:rPr>
              <w:t xml:space="preserve"> Průmysl 4.0</w:t>
            </w:r>
            <w:r>
              <w:rPr>
                <w:sz w:val="20"/>
              </w:rPr>
              <w:t>:</w:t>
            </w:r>
          </w:p>
          <w:p w:rsidR="00A355ED" w:rsidRPr="00A355ED" w:rsidRDefault="00A355ED" w:rsidP="00A355ED">
            <w:pPr>
              <w:pStyle w:val="Odstavecseseznamem"/>
              <w:numPr>
                <w:ilvl w:val="0"/>
                <w:numId w:val="13"/>
              </w:numPr>
              <w:jc w:val="left"/>
              <w:rPr>
                <w:sz w:val="20"/>
              </w:rPr>
            </w:pPr>
            <w:r w:rsidRPr="00A355ED">
              <w:rPr>
                <w:sz w:val="20"/>
              </w:rPr>
              <w:t>Příprava konkrétních témat výzkumu a vývoje (</w:t>
            </w:r>
            <w:proofErr w:type="spellStart"/>
            <w:r w:rsidRPr="00A355ED">
              <w:rPr>
                <w:sz w:val="20"/>
              </w:rPr>
              <w:t>VaV</w:t>
            </w:r>
            <w:proofErr w:type="spellEnd"/>
            <w:r w:rsidRPr="00A355ED">
              <w:rPr>
                <w:sz w:val="20"/>
              </w:rPr>
              <w:t>), která se promítnou do aktualizace Národní výzkumné a inovační strategie pro inteligentní specializaci České republiky („RIS3 strategie“)</w:t>
            </w:r>
          </w:p>
          <w:p w:rsidR="00A355ED" w:rsidRPr="00A355ED" w:rsidRDefault="00A355ED" w:rsidP="00A355ED">
            <w:pPr>
              <w:pStyle w:val="Odstavecseseznamem"/>
              <w:numPr>
                <w:ilvl w:val="0"/>
                <w:numId w:val="13"/>
              </w:numPr>
              <w:jc w:val="left"/>
              <w:rPr>
                <w:sz w:val="20"/>
              </w:rPr>
            </w:pPr>
            <w:r w:rsidRPr="00A355ED">
              <w:rPr>
                <w:sz w:val="20"/>
              </w:rPr>
              <w:t>Kvalitní normotvorba a legislat</w:t>
            </w:r>
            <w:r w:rsidR="00C60331">
              <w:rPr>
                <w:sz w:val="20"/>
              </w:rPr>
              <w:t>ivní proces jako celek dle nových zásad</w:t>
            </w:r>
          </w:p>
          <w:p w:rsidR="00A355ED" w:rsidRPr="00A355ED" w:rsidRDefault="00A355ED" w:rsidP="00A355ED">
            <w:pPr>
              <w:pStyle w:val="Odstavecseseznamem"/>
              <w:numPr>
                <w:ilvl w:val="0"/>
                <w:numId w:val="13"/>
              </w:numPr>
              <w:jc w:val="left"/>
              <w:rPr>
                <w:sz w:val="20"/>
              </w:rPr>
            </w:pPr>
            <w:r w:rsidRPr="00A355ED">
              <w:rPr>
                <w:sz w:val="20"/>
              </w:rPr>
              <w:t>Aktualizace implementačního plánu Inteligentních dopravních systémů (ITS;</w:t>
            </w:r>
          </w:p>
          <w:p w:rsidR="00A355ED" w:rsidRPr="00A355ED" w:rsidRDefault="00A355ED" w:rsidP="00A355ED">
            <w:pPr>
              <w:pStyle w:val="Odstavecseseznamem"/>
              <w:numPr>
                <w:ilvl w:val="0"/>
                <w:numId w:val="13"/>
              </w:numPr>
              <w:jc w:val="left"/>
              <w:rPr>
                <w:sz w:val="20"/>
              </w:rPr>
            </w:pPr>
            <w:proofErr w:type="spellStart"/>
            <w:r w:rsidRPr="00A355ED">
              <w:rPr>
                <w:sz w:val="20"/>
              </w:rPr>
              <w:t>EGovernment</w:t>
            </w:r>
            <w:proofErr w:type="spellEnd"/>
            <w:r w:rsidRPr="00A355ED">
              <w:rPr>
                <w:sz w:val="20"/>
              </w:rPr>
              <w:t xml:space="preserve">, </w:t>
            </w:r>
            <w:proofErr w:type="spellStart"/>
            <w:r w:rsidRPr="00A355ED">
              <w:rPr>
                <w:sz w:val="20"/>
              </w:rPr>
              <w:t>eGovernment</w:t>
            </w:r>
            <w:proofErr w:type="spellEnd"/>
            <w:r w:rsidRPr="00A355ED">
              <w:rPr>
                <w:sz w:val="20"/>
              </w:rPr>
              <w:t xml:space="preserve"> </w:t>
            </w:r>
            <w:proofErr w:type="spellStart"/>
            <w:r w:rsidRPr="00A355ED">
              <w:rPr>
                <w:sz w:val="20"/>
              </w:rPr>
              <w:t>Cloud</w:t>
            </w:r>
            <w:proofErr w:type="spellEnd"/>
          </w:p>
          <w:p w:rsidR="00A355ED" w:rsidRPr="00A355ED" w:rsidRDefault="00A355ED" w:rsidP="00A355ED">
            <w:pPr>
              <w:pStyle w:val="Odstavecseseznamem"/>
              <w:numPr>
                <w:ilvl w:val="0"/>
                <w:numId w:val="13"/>
              </w:numPr>
              <w:jc w:val="left"/>
              <w:rPr>
                <w:sz w:val="20"/>
              </w:rPr>
            </w:pPr>
            <w:r w:rsidRPr="00A355ED">
              <w:rPr>
                <w:sz w:val="20"/>
              </w:rPr>
              <w:t>Strategie digitálního vzdělávání do roku 2020</w:t>
            </w:r>
          </w:p>
          <w:p w:rsidR="00A355ED" w:rsidRPr="00A355ED" w:rsidRDefault="00A355ED" w:rsidP="00A355ED">
            <w:pPr>
              <w:pStyle w:val="Odstavecseseznamem"/>
              <w:numPr>
                <w:ilvl w:val="0"/>
                <w:numId w:val="13"/>
              </w:numPr>
              <w:jc w:val="left"/>
              <w:rPr>
                <w:sz w:val="20"/>
              </w:rPr>
            </w:pPr>
            <w:r w:rsidRPr="00A355ED">
              <w:rPr>
                <w:sz w:val="20"/>
              </w:rPr>
              <w:t>Naplnění Národního plánu rozvoje sítí nové generace</w:t>
            </w:r>
          </w:p>
          <w:p w:rsidR="00A355ED" w:rsidRPr="00A355ED" w:rsidRDefault="00A355ED" w:rsidP="00A355ED">
            <w:pPr>
              <w:pStyle w:val="Odstavecseseznamem"/>
              <w:numPr>
                <w:ilvl w:val="0"/>
                <w:numId w:val="13"/>
              </w:numPr>
              <w:jc w:val="left"/>
              <w:rPr>
                <w:sz w:val="20"/>
              </w:rPr>
            </w:pPr>
            <w:r w:rsidRPr="00A355ED">
              <w:rPr>
                <w:sz w:val="20"/>
              </w:rPr>
              <w:t>Čerpání prostředků z operačního programu podnikání a inovace pro konkurenceschopnost (OPPIK) - nové výzvy Technologie – Průmysl 4.0</w:t>
            </w:r>
            <w:bookmarkStart w:id="125" w:name="_GoBack"/>
            <w:bookmarkEnd w:id="125"/>
          </w:p>
          <w:p w:rsidR="00A355ED" w:rsidRPr="00A355ED" w:rsidRDefault="00A355ED" w:rsidP="00A355ED">
            <w:pPr>
              <w:pStyle w:val="Odstavecseseznamem"/>
              <w:numPr>
                <w:ilvl w:val="0"/>
                <w:numId w:val="13"/>
              </w:numPr>
              <w:jc w:val="left"/>
              <w:rPr>
                <w:sz w:val="20"/>
              </w:rPr>
            </w:pPr>
            <w:r w:rsidRPr="00A355ED">
              <w:rPr>
                <w:sz w:val="20"/>
              </w:rPr>
              <w:t>Opatření z Akčního plánu Práce 4.0</w:t>
            </w:r>
          </w:p>
          <w:p w:rsidR="00A355ED" w:rsidRPr="00A355ED" w:rsidRDefault="00A355ED" w:rsidP="00A355ED">
            <w:pPr>
              <w:pStyle w:val="Odstavecseseznamem"/>
              <w:numPr>
                <w:ilvl w:val="0"/>
                <w:numId w:val="13"/>
              </w:numPr>
              <w:jc w:val="left"/>
              <w:rPr>
                <w:sz w:val="20"/>
              </w:rPr>
            </w:pPr>
            <w:r w:rsidRPr="00A355ED">
              <w:rPr>
                <w:sz w:val="20"/>
              </w:rPr>
              <w:t>Implementace Strategie digitální gramotnosti ČR na období 2015 až 2020 a návazného Akčního plánu Strategie digitální gramotnosti ČR na období 2015 až 2020 (včetně oblasti dalšího vzdělávání a rekvalifikace)</w:t>
            </w:r>
          </w:p>
          <w:p w:rsidR="00A355ED" w:rsidRPr="00A355ED" w:rsidRDefault="00A355ED" w:rsidP="00A355ED">
            <w:pPr>
              <w:pStyle w:val="Odstavecseseznamem"/>
              <w:numPr>
                <w:ilvl w:val="0"/>
                <w:numId w:val="13"/>
              </w:numPr>
              <w:jc w:val="left"/>
              <w:rPr>
                <w:rFonts w:eastAsia="Arial"/>
                <w:w w:val="99"/>
                <w:sz w:val="20"/>
              </w:rPr>
            </w:pPr>
            <w:r w:rsidRPr="00A355ED">
              <w:rPr>
                <w:sz w:val="20"/>
              </w:rPr>
              <w:t xml:space="preserve">Koncept </w:t>
            </w:r>
            <w:proofErr w:type="spellStart"/>
            <w:r w:rsidR="00AE36FF">
              <w:rPr>
                <w:sz w:val="20"/>
              </w:rPr>
              <w:t>Smart</w:t>
            </w:r>
            <w:proofErr w:type="spellEnd"/>
            <w:r w:rsidR="00AE36FF">
              <w:rPr>
                <w:sz w:val="20"/>
              </w:rPr>
              <w:t xml:space="preserve"> </w:t>
            </w:r>
            <w:proofErr w:type="spellStart"/>
            <w:r w:rsidR="00AE36FF">
              <w:rPr>
                <w:sz w:val="20"/>
              </w:rPr>
              <w:t>Cities</w:t>
            </w:r>
            <w:proofErr w:type="spellEnd"/>
          </w:p>
        </w:tc>
      </w:tr>
      <w:tr w:rsidR="00AC424B" w:rsidRPr="00D652DA" w:rsidTr="007C2BC9">
        <w:tc>
          <w:tcPr>
            <w:tcW w:w="9207" w:type="dxa"/>
            <w:gridSpan w:val="5"/>
            <w:shd w:val="clear" w:color="auto" w:fill="DBE5F1" w:themeFill="accent1" w:themeFillTint="33"/>
            <w:vAlign w:val="center"/>
          </w:tcPr>
          <w:p w:rsidR="00AC424B" w:rsidRPr="000E3FC6" w:rsidRDefault="00AC424B" w:rsidP="007C2BC9">
            <w:pPr>
              <w:jc w:val="center"/>
              <w:rPr>
                <w:rFonts w:eastAsia="Arial"/>
                <w:b/>
                <w:w w:val="99"/>
                <w:sz w:val="20"/>
              </w:rPr>
            </w:pPr>
            <w:r w:rsidRPr="000E3FC6">
              <w:rPr>
                <w:rFonts w:eastAsia="Arial"/>
                <w:b/>
                <w:w w:val="99"/>
                <w:sz w:val="20"/>
              </w:rPr>
              <w:t>Podpora investic</w:t>
            </w:r>
          </w:p>
        </w:tc>
      </w:tr>
      <w:tr w:rsidR="00AC424B" w:rsidRPr="00D652DA" w:rsidTr="007C2BC9">
        <w:tc>
          <w:tcPr>
            <w:tcW w:w="681" w:type="dxa"/>
            <w:shd w:val="clear" w:color="auto" w:fill="FFFFFF" w:themeFill="background1"/>
            <w:vAlign w:val="center"/>
          </w:tcPr>
          <w:p w:rsidR="00AC424B" w:rsidRPr="00D652DA" w:rsidRDefault="00AC424B" w:rsidP="007C2BC9">
            <w:pPr>
              <w:jc w:val="center"/>
              <w:rPr>
                <w:rFonts w:eastAsia="Arial"/>
                <w:sz w:val="20"/>
              </w:rPr>
            </w:pPr>
            <w:r w:rsidRPr="00D652DA">
              <w:rPr>
                <w:rFonts w:eastAsia="Arial"/>
                <w:sz w:val="20"/>
              </w:rPr>
              <w:t>5.1</w:t>
            </w:r>
          </w:p>
        </w:tc>
        <w:tc>
          <w:tcPr>
            <w:tcW w:w="4089" w:type="dxa"/>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 xml:space="preserve">Podpora inovativních digitálních projektů </w:t>
            </w:r>
            <w:r w:rsidR="00AE36FF">
              <w:rPr>
                <w:sz w:val="20"/>
              </w:rPr>
              <w:t>včetně</w:t>
            </w:r>
            <w:r w:rsidRPr="00D652DA">
              <w:rPr>
                <w:sz w:val="20"/>
              </w:rPr>
              <w:t xml:space="preserve"> start-</w:t>
            </w:r>
            <w:proofErr w:type="spellStart"/>
            <w:r w:rsidRPr="00D652DA">
              <w:rPr>
                <w:sz w:val="20"/>
              </w:rPr>
              <w:t>upů</w:t>
            </w:r>
            <w:proofErr w:type="spellEnd"/>
          </w:p>
        </w:tc>
        <w:tc>
          <w:tcPr>
            <w:tcW w:w="1259" w:type="dxa"/>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MPO</w:t>
            </w:r>
          </w:p>
        </w:tc>
        <w:tc>
          <w:tcPr>
            <w:tcW w:w="1489" w:type="dxa"/>
            <w:shd w:val="clear" w:color="auto" w:fill="FFFFFF" w:themeFill="background1"/>
            <w:vAlign w:val="center"/>
          </w:tcPr>
          <w:p w:rsidR="00AC424B" w:rsidRPr="00D652DA" w:rsidRDefault="00AC424B" w:rsidP="007C2BC9">
            <w:pPr>
              <w:spacing w:line="219" w:lineRule="exact"/>
              <w:ind w:left="34"/>
              <w:jc w:val="left"/>
              <w:rPr>
                <w:sz w:val="20"/>
              </w:rPr>
            </w:pPr>
          </w:p>
        </w:tc>
        <w:tc>
          <w:tcPr>
            <w:tcW w:w="1689" w:type="dxa"/>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průběžně</w:t>
            </w:r>
          </w:p>
        </w:tc>
      </w:tr>
      <w:tr w:rsidR="00AC424B" w:rsidRPr="00D652DA" w:rsidTr="007C2BC9">
        <w:tc>
          <w:tcPr>
            <w:tcW w:w="681" w:type="dxa"/>
            <w:shd w:val="clear" w:color="auto" w:fill="FFFFFF" w:themeFill="background1"/>
            <w:vAlign w:val="center"/>
          </w:tcPr>
          <w:p w:rsidR="00AC424B" w:rsidRPr="00D652DA" w:rsidRDefault="00AC424B" w:rsidP="007C2BC9">
            <w:pPr>
              <w:jc w:val="center"/>
              <w:rPr>
                <w:rFonts w:eastAsia="Arial"/>
                <w:sz w:val="20"/>
              </w:rPr>
            </w:pPr>
            <w:r w:rsidRPr="00D652DA">
              <w:rPr>
                <w:rFonts w:eastAsia="Arial"/>
                <w:sz w:val="20"/>
              </w:rPr>
              <w:t>5.2</w:t>
            </w:r>
          </w:p>
        </w:tc>
        <w:tc>
          <w:tcPr>
            <w:tcW w:w="4089" w:type="dxa"/>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Investiční pobídky</w:t>
            </w:r>
          </w:p>
        </w:tc>
        <w:tc>
          <w:tcPr>
            <w:tcW w:w="1259" w:type="dxa"/>
            <w:shd w:val="clear" w:color="auto" w:fill="FFFFFF" w:themeFill="background1"/>
          </w:tcPr>
          <w:p w:rsidR="00AC424B" w:rsidRPr="00D652DA" w:rsidRDefault="00AC424B" w:rsidP="007C2BC9">
            <w:pPr>
              <w:rPr>
                <w:sz w:val="20"/>
              </w:rPr>
            </w:pPr>
            <w:r w:rsidRPr="00D652DA">
              <w:rPr>
                <w:sz w:val="20"/>
              </w:rPr>
              <w:t>MPO</w:t>
            </w:r>
          </w:p>
        </w:tc>
        <w:tc>
          <w:tcPr>
            <w:tcW w:w="1489" w:type="dxa"/>
            <w:shd w:val="clear" w:color="auto" w:fill="FFFFFF" w:themeFill="background1"/>
            <w:vAlign w:val="center"/>
          </w:tcPr>
          <w:p w:rsidR="00AC424B" w:rsidRPr="00D652DA" w:rsidRDefault="00AC424B" w:rsidP="007C2BC9">
            <w:pPr>
              <w:spacing w:line="219" w:lineRule="exact"/>
              <w:ind w:left="34"/>
              <w:jc w:val="left"/>
              <w:rPr>
                <w:sz w:val="20"/>
              </w:rPr>
            </w:pPr>
          </w:p>
        </w:tc>
        <w:tc>
          <w:tcPr>
            <w:tcW w:w="1689" w:type="dxa"/>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průběžně</w:t>
            </w:r>
          </w:p>
        </w:tc>
      </w:tr>
      <w:tr w:rsidR="00AC424B" w:rsidRPr="00D652DA" w:rsidTr="007C2BC9">
        <w:tc>
          <w:tcPr>
            <w:tcW w:w="681" w:type="dxa"/>
            <w:shd w:val="clear" w:color="auto" w:fill="FFFFFF" w:themeFill="background1"/>
            <w:vAlign w:val="center"/>
          </w:tcPr>
          <w:p w:rsidR="00AC424B" w:rsidRPr="00D652DA" w:rsidRDefault="00AC424B" w:rsidP="007C2BC9">
            <w:pPr>
              <w:jc w:val="center"/>
              <w:rPr>
                <w:rFonts w:eastAsia="Arial"/>
                <w:sz w:val="20"/>
              </w:rPr>
            </w:pPr>
            <w:r w:rsidRPr="00D652DA">
              <w:rPr>
                <w:rFonts w:eastAsia="Arial"/>
                <w:sz w:val="20"/>
              </w:rPr>
              <w:t>5.3</w:t>
            </w:r>
          </w:p>
        </w:tc>
        <w:tc>
          <w:tcPr>
            <w:tcW w:w="4089" w:type="dxa"/>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Podpora inovativních řešení</w:t>
            </w:r>
          </w:p>
        </w:tc>
        <w:tc>
          <w:tcPr>
            <w:tcW w:w="1259" w:type="dxa"/>
            <w:shd w:val="clear" w:color="auto" w:fill="FFFFFF" w:themeFill="background1"/>
          </w:tcPr>
          <w:p w:rsidR="00AC424B" w:rsidRPr="00D652DA" w:rsidRDefault="00AC424B" w:rsidP="007C2BC9">
            <w:pPr>
              <w:rPr>
                <w:sz w:val="20"/>
              </w:rPr>
            </w:pPr>
            <w:r w:rsidRPr="00D652DA">
              <w:rPr>
                <w:sz w:val="20"/>
              </w:rPr>
              <w:t>MPO</w:t>
            </w:r>
          </w:p>
        </w:tc>
        <w:tc>
          <w:tcPr>
            <w:tcW w:w="1489" w:type="dxa"/>
            <w:shd w:val="clear" w:color="auto" w:fill="FFFFFF" w:themeFill="background1"/>
            <w:vAlign w:val="center"/>
          </w:tcPr>
          <w:p w:rsidR="00AC424B" w:rsidRPr="00D652DA" w:rsidRDefault="00AC424B" w:rsidP="007C2BC9">
            <w:pPr>
              <w:spacing w:line="219" w:lineRule="exact"/>
              <w:ind w:left="34"/>
              <w:jc w:val="left"/>
              <w:rPr>
                <w:sz w:val="20"/>
              </w:rPr>
            </w:pPr>
          </w:p>
        </w:tc>
        <w:tc>
          <w:tcPr>
            <w:tcW w:w="1689" w:type="dxa"/>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4Q 2020</w:t>
            </w:r>
          </w:p>
        </w:tc>
      </w:tr>
      <w:tr w:rsidR="00AC424B" w:rsidRPr="00D652DA" w:rsidTr="007C2BC9">
        <w:tc>
          <w:tcPr>
            <w:tcW w:w="9207" w:type="dxa"/>
            <w:gridSpan w:val="5"/>
            <w:shd w:val="clear" w:color="auto" w:fill="DBE5F1" w:themeFill="accent1" w:themeFillTint="33"/>
            <w:vAlign w:val="center"/>
          </w:tcPr>
          <w:p w:rsidR="00AC424B" w:rsidRPr="000E3FC6" w:rsidRDefault="00AC424B" w:rsidP="007C2BC9">
            <w:pPr>
              <w:jc w:val="center"/>
              <w:rPr>
                <w:rFonts w:eastAsia="Arial"/>
                <w:b/>
                <w:w w:val="99"/>
                <w:sz w:val="20"/>
              </w:rPr>
            </w:pPr>
            <w:r w:rsidRPr="000E3FC6">
              <w:rPr>
                <w:rFonts w:eastAsia="Arial"/>
                <w:b/>
                <w:w w:val="99"/>
                <w:sz w:val="20"/>
              </w:rPr>
              <w:t>Energetika</w:t>
            </w:r>
          </w:p>
        </w:tc>
      </w:tr>
      <w:tr w:rsidR="00AC424B" w:rsidRPr="00D652DA" w:rsidTr="007C2BC9">
        <w:tc>
          <w:tcPr>
            <w:tcW w:w="681" w:type="dxa"/>
            <w:shd w:val="clear" w:color="auto" w:fill="FFFFFF" w:themeFill="background1"/>
            <w:vAlign w:val="center"/>
          </w:tcPr>
          <w:p w:rsidR="00AC424B" w:rsidRPr="00D652DA" w:rsidRDefault="00AC424B" w:rsidP="00E02238">
            <w:pPr>
              <w:jc w:val="center"/>
              <w:rPr>
                <w:rFonts w:eastAsia="Arial"/>
                <w:sz w:val="20"/>
              </w:rPr>
            </w:pPr>
            <w:r w:rsidRPr="00D652DA">
              <w:rPr>
                <w:rFonts w:eastAsia="Arial"/>
                <w:sz w:val="20"/>
              </w:rPr>
              <w:t>5.</w:t>
            </w:r>
            <w:r w:rsidR="00E02238">
              <w:rPr>
                <w:rFonts w:eastAsia="Arial"/>
                <w:sz w:val="20"/>
              </w:rPr>
              <w:t>4</w:t>
            </w:r>
          </w:p>
        </w:tc>
        <w:tc>
          <w:tcPr>
            <w:tcW w:w="4089" w:type="dxa"/>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Plnění Národního akčního plánu pro chytré sítě a činnost diskuzní platformy k této oblasti</w:t>
            </w:r>
          </w:p>
        </w:tc>
        <w:tc>
          <w:tcPr>
            <w:tcW w:w="1259" w:type="dxa"/>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MPO</w:t>
            </w:r>
          </w:p>
        </w:tc>
        <w:tc>
          <w:tcPr>
            <w:tcW w:w="1489" w:type="dxa"/>
            <w:shd w:val="clear" w:color="auto" w:fill="FFFFFF" w:themeFill="background1"/>
            <w:vAlign w:val="center"/>
          </w:tcPr>
          <w:p w:rsidR="00AC424B" w:rsidRPr="00D652DA" w:rsidRDefault="00AC424B" w:rsidP="007C2BC9">
            <w:pPr>
              <w:spacing w:line="219" w:lineRule="exact"/>
              <w:ind w:left="34"/>
              <w:jc w:val="left"/>
              <w:rPr>
                <w:sz w:val="20"/>
              </w:rPr>
            </w:pPr>
          </w:p>
        </w:tc>
        <w:tc>
          <w:tcPr>
            <w:tcW w:w="1689" w:type="dxa"/>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průběžně</w:t>
            </w:r>
          </w:p>
        </w:tc>
      </w:tr>
      <w:tr w:rsidR="00AC424B" w:rsidRPr="00D652DA" w:rsidTr="007C2BC9">
        <w:tc>
          <w:tcPr>
            <w:tcW w:w="9207" w:type="dxa"/>
            <w:gridSpan w:val="5"/>
            <w:shd w:val="clear" w:color="auto" w:fill="DBE5F1" w:themeFill="accent1" w:themeFillTint="33"/>
            <w:vAlign w:val="center"/>
          </w:tcPr>
          <w:p w:rsidR="00AC424B" w:rsidRPr="00D652DA" w:rsidRDefault="00AC424B" w:rsidP="007C2BC9">
            <w:pPr>
              <w:jc w:val="center"/>
              <w:rPr>
                <w:rFonts w:eastAsia="Arial"/>
                <w:b/>
                <w:w w:val="99"/>
                <w:sz w:val="20"/>
              </w:rPr>
            </w:pPr>
            <w:r w:rsidRPr="000E3FC6">
              <w:rPr>
                <w:rFonts w:eastAsia="Arial"/>
                <w:b/>
                <w:w w:val="99"/>
                <w:sz w:val="20"/>
              </w:rPr>
              <w:t>Výzkum, vývoj a inovace</w:t>
            </w:r>
          </w:p>
        </w:tc>
      </w:tr>
      <w:tr w:rsidR="00AC424B" w:rsidRPr="00D652DA" w:rsidTr="007C2BC9">
        <w:tc>
          <w:tcPr>
            <w:tcW w:w="681" w:type="dxa"/>
            <w:shd w:val="clear" w:color="auto" w:fill="FFFFFF" w:themeFill="background1"/>
            <w:vAlign w:val="center"/>
          </w:tcPr>
          <w:p w:rsidR="00AC424B" w:rsidRPr="00D652DA" w:rsidRDefault="00AC424B" w:rsidP="00E02238">
            <w:pPr>
              <w:jc w:val="center"/>
              <w:rPr>
                <w:rFonts w:eastAsia="Arial"/>
                <w:sz w:val="20"/>
              </w:rPr>
            </w:pPr>
            <w:r w:rsidRPr="00D652DA">
              <w:rPr>
                <w:rFonts w:eastAsia="Arial"/>
                <w:sz w:val="20"/>
              </w:rPr>
              <w:t>5.</w:t>
            </w:r>
            <w:r w:rsidR="00E02238">
              <w:rPr>
                <w:rFonts w:eastAsia="Arial"/>
                <w:sz w:val="20"/>
              </w:rPr>
              <w:t>5</w:t>
            </w:r>
          </w:p>
        </w:tc>
        <w:tc>
          <w:tcPr>
            <w:tcW w:w="4089" w:type="dxa"/>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Aktualizace RIS3 strategie v návaznosti na konkretizaci témat relevantních pro oblasti výzkumu, vývoje a inovací v souvislosti s problematikami 4. průmyslové revoluce</w:t>
            </w:r>
          </w:p>
        </w:tc>
        <w:tc>
          <w:tcPr>
            <w:tcW w:w="1259" w:type="dxa"/>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ÚV - MPR</w:t>
            </w:r>
          </w:p>
        </w:tc>
        <w:tc>
          <w:tcPr>
            <w:tcW w:w="1489" w:type="dxa"/>
            <w:shd w:val="clear" w:color="auto" w:fill="FFFFFF" w:themeFill="background1"/>
            <w:vAlign w:val="center"/>
          </w:tcPr>
          <w:p w:rsidR="00AC424B" w:rsidRPr="00D652DA" w:rsidRDefault="00AC424B" w:rsidP="007C2BC9">
            <w:pPr>
              <w:spacing w:line="219" w:lineRule="exact"/>
              <w:ind w:left="34"/>
              <w:jc w:val="left"/>
              <w:rPr>
                <w:sz w:val="20"/>
              </w:rPr>
            </w:pPr>
          </w:p>
        </w:tc>
        <w:tc>
          <w:tcPr>
            <w:tcW w:w="1689" w:type="dxa"/>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4Q 2018</w:t>
            </w:r>
          </w:p>
        </w:tc>
      </w:tr>
      <w:tr w:rsidR="00AC424B" w:rsidRPr="00D652DA" w:rsidTr="007C2BC9">
        <w:tc>
          <w:tcPr>
            <w:tcW w:w="681" w:type="dxa"/>
            <w:shd w:val="clear" w:color="auto" w:fill="FFFFFF" w:themeFill="background1"/>
            <w:vAlign w:val="center"/>
          </w:tcPr>
          <w:p w:rsidR="00AC424B" w:rsidRPr="00D652DA" w:rsidRDefault="00AC424B" w:rsidP="00E02238">
            <w:pPr>
              <w:jc w:val="center"/>
              <w:rPr>
                <w:rFonts w:eastAsia="Arial"/>
                <w:sz w:val="20"/>
              </w:rPr>
            </w:pPr>
            <w:r w:rsidRPr="00D652DA">
              <w:rPr>
                <w:rFonts w:eastAsia="Arial"/>
                <w:sz w:val="20"/>
              </w:rPr>
              <w:t>5.</w:t>
            </w:r>
            <w:r w:rsidR="00E02238">
              <w:rPr>
                <w:rFonts w:eastAsia="Arial"/>
                <w:sz w:val="20"/>
              </w:rPr>
              <w:t>6</w:t>
            </w:r>
          </w:p>
        </w:tc>
        <w:tc>
          <w:tcPr>
            <w:tcW w:w="4089" w:type="dxa"/>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Provést hodnocení výzkumných organizací z pohledu obsahu a kvality výzkumu podle Metodiky 17+</w:t>
            </w:r>
          </w:p>
        </w:tc>
        <w:tc>
          <w:tcPr>
            <w:tcW w:w="1259" w:type="dxa"/>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ÚV - MPR</w:t>
            </w:r>
          </w:p>
        </w:tc>
        <w:tc>
          <w:tcPr>
            <w:tcW w:w="1489" w:type="dxa"/>
            <w:shd w:val="clear" w:color="auto" w:fill="FFFFFF" w:themeFill="background1"/>
            <w:vAlign w:val="center"/>
          </w:tcPr>
          <w:p w:rsidR="00AC424B" w:rsidRPr="00D652DA" w:rsidRDefault="00AC424B" w:rsidP="007C2BC9">
            <w:pPr>
              <w:spacing w:line="219" w:lineRule="exact"/>
              <w:ind w:left="34"/>
              <w:jc w:val="left"/>
              <w:rPr>
                <w:sz w:val="20"/>
              </w:rPr>
            </w:pPr>
          </w:p>
        </w:tc>
        <w:tc>
          <w:tcPr>
            <w:tcW w:w="1689" w:type="dxa"/>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2017 a 2018</w:t>
            </w:r>
          </w:p>
        </w:tc>
      </w:tr>
      <w:tr w:rsidR="00AC424B" w:rsidRPr="00D652DA" w:rsidTr="007C2BC9">
        <w:tc>
          <w:tcPr>
            <w:tcW w:w="9207" w:type="dxa"/>
            <w:gridSpan w:val="5"/>
            <w:shd w:val="clear" w:color="auto" w:fill="DBE5F1" w:themeFill="accent1" w:themeFillTint="33"/>
            <w:vAlign w:val="center"/>
          </w:tcPr>
          <w:p w:rsidR="00AC424B" w:rsidRPr="000E3FC6" w:rsidRDefault="00AC424B" w:rsidP="007C2BC9">
            <w:pPr>
              <w:jc w:val="center"/>
              <w:rPr>
                <w:rFonts w:eastAsia="Arial"/>
                <w:b/>
                <w:w w:val="99"/>
                <w:sz w:val="20"/>
              </w:rPr>
            </w:pPr>
            <w:r w:rsidRPr="000E3FC6">
              <w:rPr>
                <w:rFonts w:eastAsia="Arial"/>
                <w:b/>
                <w:w w:val="99"/>
                <w:sz w:val="20"/>
              </w:rPr>
              <w:t>Automobilový průmysl</w:t>
            </w:r>
          </w:p>
        </w:tc>
      </w:tr>
      <w:tr w:rsidR="00AC424B" w:rsidRPr="00D652DA" w:rsidTr="007C2BC9">
        <w:tc>
          <w:tcPr>
            <w:tcW w:w="681" w:type="dxa"/>
            <w:shd w:val="clear" w:color="auto" w:fill="FFFFFF" w:themeFill="background1"/>
            <w:vAlign w:val="center"/>
          </w:tcPr>
          <w:p w:rsidR="00AC424B" w:rsidRPr="00D652DA" w:rsidRDefault="00AC424B" w:rsidP="00E02238">
            <w:pPr>
              <w:jc w:val="center"/>
              <w:rPr>
                <w:rFonts w:eastAsia="Arial"/>
                <w:sz w:val="20"/>
              </w:rPr>
            </w:pPr>
            <w:r w:rsidRPr="00D652DA">
              <w:rPr>
                <w:rFonts w:eastAsia="Arial"/>
                <w:sz w:val="20"/>
              </w:rPr>
              <w:t>5.</w:t>
            </w:r>
            <w:r w:rsidR="00E02238">
              <w:rPr>
                <w:rFonts w:eastAsia="Arial"/>
                <w:sz w:val="20"/>
              </w:rPr>
              <w:t>7</w:t>
            </w:r>
          </w:p>
        </w:tc>
        <w:tc>
          <w:tcPr>
            <w:tcW w:w="4089" w:type="dxa"/>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Zpracovat Memorandum o budoucnosti automobilového průmyslu v ČR spolu s akčním plánem</w:t>
            </w:r>
          </w:p>
        </w:tc>
        <w:tc>
          <w:tcPr>
            <w:tcW w:w="1259" w:type="dxa"/>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MPO</w:t>
            </w:r>
          </w:p>
        </w:tc>
        <w:tc>
          <w:tcPr>
            <w:tcW w:w="1489" w:type="dxa"/>
            <w:shd w:val="clear" w:color="auto" w:fill="FFFFFF" w:themeFill="background1"/>
            <w:vAlign w:val="center"/>
          </w:tcPr>
          <w:p w:rsidR="00AC424B" w:rsidRPr="00D652DA" w:rsidRDefault="00AC424B" w:rsidP="007C2BC9">
            <w:pPr>
              <w:spacing w:line="219" w:lineRule="exact"/>
              <w:ind w:left="34"/>
              <w:jc w:val="left"/>
              <w:rPr>
                <w:sz w:val="20"/>
              </w:rPr>
            </w:pPr>
          </w:p>
        </w:tc>
        <w:tc>
          <w:tcPr>
            <w:tcW w:w="1689" w:type="dxa"/>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září 2017</w:t>
            </w:r>
          </w:p>
        </w:tc>
      </w:tr>
      <w:tr w:rsidR="00AC424B" w:rsidRPr="00D652DA" w:rsidTr="007C2BC9">
        <w:tc>
          <w:tcPr>
            <w:tcW w:w="9207" w:type="dxa"/>
            <w:gridSpan w:val="5"/>
            <w:shd w:val="clear" w:color="auto" w:fill="DBE5F1" w:themeFill="accent1" w:themeFillTint="33"/>
            <w:vAlign w:val="center"/>
          </w:tcPr>
          <w:p w:rsidR="00AC424B" w:rsidRPr="000E3FC6" w:rsidRDefault="00AC424B" w:rsidP="007C2BC9">
            <w:pPr>
              <w:jc w:val="center"/>
              <w:rPr>
                <w:rFonts w:eastAsia="Arial"/>
                <w:b/>
                <w:sz w:val="20"/>
              </w:rPr>
            </w:pPr>
            <w:r w:rsidRPr="000E3FC6">
              <w:rPr>
                <w:rFonts w:eastAsia="Arial"/>
                <w:b/>
                <w:sz w:val="20"/>
              </w:rPr>
              <w:t>Sdílená ekonomika</w:t>
            </w:r>
          </w:p>
        </w:tc>
      </w:tr>
      <w:tr w:rsidR="00AC424B" w:rsidRPr="00D652DA" w:rsidTr="007C2BC9">
        <w:tc>
          <w:tcPr>
            <w:tcW w:w="681" w:type="dxa"/>
            <w:shd w:val="clear" w:color="auto" w:fill="FFFFFF" w:themeFill="background1"/>
            <w:vAlign w:val="center"/>
          </w:tcPr>
          <w:p w:rsidR="00AC424B" w:rsidRPr="00D652DA" w:rsidRDefault="00AC424B" w:rsidP="00E02238">
            <w:pPr>
              <w:jc w:val="center"/>
              <w:rPr>
                <w:rFonts w:eastAsia="Arial"/>
                <w:sz w:val="20"/>
              </w:rPr>
            </w:pPr>
            <w:r w:rsidRPr="00D652DA">
              <w:rPr>
                <w:rFonts w:eastAsia="Arial"/>
                <w:sz w:val="20"/>
              </w:rPr>
              <w:t>5.</w:t>
            </w:r>
            <w:r w:rsidR="00E02238">
              <w:rPr>
                <w:rFonts w:eastAsia="Arial"/>
                <w:sz w:val="20"/>
              </w:rPr>
              <w:t>8</w:t>
            </w:r>
          </w:p>
        </w:tc>
        <w:tc>
          <w:tcPr>
            <w:tcW w:w="4089" w:type="dxa"/>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 xml:space="preserve">Předložit souhrnný materiál vládě k posouzení dalších kroků </w:t>
            </w:r>
          </w:p>
        </w:tc>
        <w:tc>
          <w:tcPr>
            <w:tcW w:w="1259" w:type="dxa"/>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 xml:space="preserve">Koordinátor </w:t>
            </w:r>
          </w:p>
        </w:tc>
        <w:tc>
          <w:tcPr>
            <w:tcW w:w="1489" w:type="dxa"/>
            <w:shd w:val="clear" w:color="auto" w:fill="FFFFFF" w:themeFill="background1"/>
            <w:vAlign w:val="center"/>
          </w:tcPr>
          <w:p w:rsidR="00AC424B" w:rsidRPr="00D652DA" w:rsidRDefault="00AC424B" w:rsidP="007C2BC9">
            <w:pPr>
              <w:spacing w:line="219" w:lineRule="exact"/>
              <w:ind w:left="34"/>
              <w:jc w:val="left"/>
              <w:rPr>
                <w:sz w:val="20"/>
              </w:rPr>
            </w:pPr>
          </w:p>
        </w:tc>
        <w:tc>
          <w:tcPr>
            <w:tcW w:w="1689" w:type="dxa"/>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srpen 2017</w:t>
            </w:r>
          </w:p>
        </w:tc>
      </w:tr>
      <w:tr w:rsidR="00AC424B" w:rsidRPr="00D652DA" w:rsidTr="007C2BC9">
        <w:tc>
          <w:tcPr>
            <w:tcW w:w="681" w:type="dxa"/>
            <w:shd w:val="clear" w:color="auto" w:fill="FFFFFF" w:themeFill="background1"/>
            <w:vAlign w:val="center"/>
          </w:tcPr>
          <w:p w:rsidR="00AC424B" w:rsidRPr="00D652DA" w:rsidRDefault="00AC424B" w:rsidP="00E02238">
            <w:pPr>
              <w:jc w:val="center"/>
              <w:rPr>
                <w:rFonts w:eastAsia="Arial"/>
                <w:sz w:val="20"/>
              </w:rPr>
            </w:pPr>
            <w:r w:rsidRPr="00D652DA">
              <w:rPr>
                <w:rFonts w:eastAsia="Arial"/>
                <w:sz w:val="20"/>
              </w:rPr>
              <w:t>5.</w:t>
            </w:r>
            <w:r w:rsidR="00E02238">
              <w:rPr>
                <w:rFonts w:eastAsia="Arial"/>
                <w:sz w:val="20"/>
              </w:rPr>
              <w:t>9</w:t>
            </w:r>
          </w:p>
        </w:tc>
        <w:tc>
          <w:tcPr>
            <w:tcW w:w="4089" w:type="dxa"/>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Účast v debatě na národní a evropské úrovni</w:t>
            </w:r>
          </w:p>
        </w:tc>
        <w:tc>
          <w:tcPr>
            <w:tcW w:w="1259" w:type="dxa"/>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Koordinátor, MPO</w:t>
            </w:r>
          </w:p>
        </w:tc>
        <w:tc>
          <w:tcPr>
            <w:tcW w:w="1489" w:type="dxa"/>
            <w:shd w:val="clear" w:color="auto" w:fill="FFFFFF" w:themeFill="background1"/>
            <w:vAlign w:val="center"/>
          </w:tcPr>
          <w:p w:rsidR="00AC424B" w:rsidRPr="00D652DA" w:rsidRDefault="00AC424B" w:rsidP="007C2BC9">
            <w:pPr>
              <w:spacing w:line="219" w:lineRule="exact"/>
              <w:ind w:left="34"/>
              <w:jc w:val="left"/>
              <w:rPr>
                <w:sz w:val="20"/>
              </w:rPr>
            </w:pPr>
          </w:p>
        </w:tc>
        <w:tc>
          <w:tcPr>
            <w:tcW w:w="1689" w:type="dxa"/>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průběžně</w:t>
            </w:r>
          </w:p>
        </w:tc>
      </w:tr>
      <w:tr w:rsidR="00AC424B" w:rsidRPr="00D652DA" w:rsidTr="007C2BC9">
        <w:tc>
          <w:tcPr>
            <w:tcW w:w="9207" w:type="dxa"/>
            <w:gridSpan w:val="5"/>
            <w:shd w:val="clear" w:color="auto" w:fill="DBE5F1" w:themeFill="accent1" w:themeFillTint="33"/>
            <w:vAlign w:val="center"/>
          </w:tcPr>
          <w:p w:rsidR="00AC424B" w:rsidRPr="000E3FC6" w:rsidRDefault="00AC424B" w:rsidP="007C2BC9">
            <w:pPr>
              <w:jc w:val="center"/>
              <w:rPr>
                <w:rFonts w:eastAsia="Arial"/>
                <w:b/>
                <w:sz w:val="20"/>
              </w:rPr>
            </w:pPr>
            <w:r w:rsidRPr="000E3FC6">
              <w:rPr>
                <w:rFonts w:eastAsia="Arial"/>
                <w:b/>
                <w:sz w:val="20"/>
              </w:rPr>
              <w:t>Online platformy</w:t>
            </w:r>
          </w:p>
        </w:tc>
      </w:tr>
      <w:tr w:rsidR="00AC424B" w:rsidRPr="00D652DA" w:rsidTr="007C2BC9">
        <w:tc>
          <w:tcPr>
            <w:tcW w:w="681" w:type="dxa"/>
            <w:shd w:val="clear" w:color="auto" w:fill="FFFFFF" w:themeFill="background1"/>
            <w:vAlign w:val="center"/>
          </w:tcPr>
          <w:p w:rsidR="00AC424B" w:rsidRPr="00D652DA" w:rsidRDefault="00AC424B" w:rsidP="007C2BC9">
            <w:pPr>
              <w:jc w:val="center"/>
              <w:rPr>
                <w:rFonts w:eastAsia="Arial"/>
                <w:sz w:val="20"/>
              </w:rPr>
            </w:pPr>
            <w:r w:rsidRPr="00D652DA">
              <w:rPr>
                <w:rFonts w:eastAsia="Arial"/>
                <w:sz w:val="20"/>
              </w:rPr>
              <w:t>5.1</w:t>
            </w:r>
            <w:r w:rsidR="00E02238">
              <w:rPr>
                <w:rFonts w:eastAsia="Arial"/>
                <w:sz w:val="20"/>
              </w:rPr>
              <w:t>0</w:t>
            </w:r>
          </w:p>
        </w:tc>
        <w:tc>
          <w:tcPr>
            <w:tcW w:w="4089" w:type="dxa"/>
            <w:shd w:val="clear" w:color="auto" w:fill="FFFFFF" w:themeFill="background1"/>
            <w:vAlign w:val="center"/>
          </w:tcPr>
          <w:p w:rsidR="00AC424B" w:rsidRDefault="00AC424B" w:rsidP="007C2BC9">
            <w:pPr>
              <w:spacing w:line="219" w:lineRule="exact"/>
              <w:ind w:left="34"/>
              <w:jc w:val="left"/>
              <w:rPr>
                <w:sz w:val="20"/>
              </w:rPr>
            </w:pPr>
            <w:r w:rsidRPr="00D652DA">
              <w:rPr>
                <w:sz w:val="20"/>
              </w:rPr>
              <w:t>Sledovat aktivity Evropské komise v oblasti online platforem</w:t>
            </w:r>
          </w:p>
          <w:p w:rsidR="008F4570" w:rsidRPr="00D652DA" w:rsidRDefault="008F4570" w:rsidP="007C2BC9">
            <w:pPr>
              <w:spacing w:line="219" w:lineRule="exact"/>
              <w:ind w:left="34"/>
              <w:jc w:val="left"/>
              <w:rPr>
                <w:sz w:val="20"/>
              </w:rPr>
            </w:pPr>
          </w:p>
        </w:tc>
        <w:tc>
          <w:tcPr>
            <w:tcW w:w="1259" w:type="dxa"/>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 xml:space="preserve">MPO </w:t>
            </w:r>
          </w:p>
        </w:tc>
        <w:tc>
          <w:tcPr>
            <w:tcW w:w="1489" w:type="dxa"/>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MK, ÚOHS, koordinátor</w:t>
            </w:r>
          </w:p>
        </w:tc>
        <w:tc>
          <w:tcPr>
            <w:tcW w:w="1689" w:type="dxa"/>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průběžně</w:t>
            </w:r>
          </w:p>
        </w:tc>
      </w:tr>
      <w:tr w:rsidR="00AC424B" w:rsidRPr="00D652DA" w:rsidTr="007C2BC9">
        <w:tc>
          <w:tcPr>
            <w:tcW w:w="9207" w:type="dxa"/>
            <w:gridSpan w:val="5"/>
            <w:shd w:val="clear" w:color="auto" w:fill="DBE5F1" w:themeFill="accent1" w:themeFillTint="33"/>
            <w:vAlign w:val="center"/>
          </w:tcPr>
          <w:p w:rsidR="00AC424B" w:rsidRPr="000E3FC6" w:rsidRDefault="00AC424B" w:rsidP="007C2BC9">
            <w:pPr>
              <w:jc w:val="center"/>
              <w:rPr>
                <w:rFonts w:eastAsia="Arial"/>
                <w:b/>
                <w:sz w:val="20"/>
              </w:rPr>
            </w:pPr>
            <w:r w:rsidRPr="000E3FC6">
              <w:rPr>
                <w:rFonts w:eastAsia="Arial"/>
                <w:b/>
                <w:sz w:val="20"/>
              </w:rPr>
              <w:lastRenderedPageBreak/>
              <w:t>E-</w:t>
            </w:r>
            <w:proofErr w:type="spellStart"/>
            <w:r w:rsidRPr="000E3FC6">
              <w:rPr>
                <w:rFonts w:eastAsia="Arial"/>
                <w:b/>
                <w:sz w:val="20"/>
              </w:rPr>
              <w:t>Commerce</w:t>
            </w:r>
            <w:proofErr w:type="spellEnd"/>
          </w:p>
        </w:tc>
      </w:tr>
      <w:tr w:rsidR="00AC424B" w:rsidRPr="00D652DA" w:rsidTr="007C2BC9">
        <w:tc>
          <w:tcPr>
            <w:tcW w:w="681" w:type="dxa"/>
            <w:shd w:val="clear" w:color="auto" w:fill="FFFFFF" w:themeFill="background1"/>
            <w:vAlign w:val="center"/>
          </w:tcPr>
          <w:p w:rsidR="00AC424B" w:rsidRPr="00D652DA" w:rsidRDefault="00AC424B" w:rsidP="007C2BC9">
            <w:pPr>
              <w:jc w:val="center"/>
              <w:rPr>
                <w:rFonts w:eastAsia="Arial"/>
                <w:sz w:val="20"/>
              </w:rPr>
            </w:pPr>
            <w:r w:rsidRPr="00D652DA">
              <w:rPr>
                <w:rFonts w:eastAsia="Arial"/>
                <w:sz w:val="20"/>
              </w:rPr>
              <w:t>5.1</w:t>
            </w:r>
            <w:r w:rsidR="00E02238">
              <w:rPr>
                <w:rFonts w:eastAsia="Arial"/>
                <w:sz w:val="20"/>
              </w:rPr>
              <w:t>1</w:t>
            </w:r>
          </w:p>
        </w:tc>
        <w:tc>
          <w:tcPr>
            <w:tcW w:w="4089" w:type="dxa"/>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 xml:space="preserve">Diskuzní platforma Úřadu vlády k bariérám a výzvám českého </w:t>
            </w:r>
            <w:proofErr w:type="spellStart"/>
            <w:r w:rsidRPr="00D652DA">
              <w:rPr>
                <w:sz w:val="20"/>
              </w:rPr>
              <w:t>eCommerce</w:t>
            </w:r>
            <w:proofErr w:type="spellEnd"/>
          </w:p>
        </w:tc>
        <w:tc>
          <w:tcPr>
            <w:tcW w:w="1259" w:type="dxa"/>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koordinátor</w:t>
            </w:r>
          </w:p>
        </w:tc>
        <w:tc>
          <w:tcPr>
            <w:tcW w:w="1489" w:type="dxa"/>
            <w:shd w:val="clear" w:color="auto" w:fill="FFFFFF" w:themeFill="background1"/>
            <w:vAlign w:val="center"/>
          </w:tcPr>
          <w:p w:rsidR="00AC424B" w:rsidRPr="00D652DA" w:rsidRDefault="00AC424B" w:rsidP="007C2BC9">
            <w:pPr>
              <w:spacing w:line="219" w:lineRule="exact"/>
              <w:ind w:left="34"/>
              <w:jc w:val="center"/>
              <w:rPr>
                <w:sz w:val="20"/>
              </w:rPr>
            </w:pPr>
            <w:r w:rsidRPr="00D652DA">
              <w:rPr>
                <w:sz w:val="20"/>
              </w:rPr>
              <w:t>MPO, resorty</w:t>
            </w:r>
          </w:p>
        </w:tc>
        <w:tc>
          <w:tcPr>
            <w:tcW w:w="1689" w:type="dxa"/>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průběžně</w:t>
            </w:r>
          </w:p>
        </w:tc>
      </w:tr>
      <w:tr w:rsidR="00AC424B" w:rsidRPr="00D652DA" w:rsidTr="007C2BC9">
        <w:tc>
          <w:tcPr>
            <w:tcW w:w="681" w:type="dxa"/>
            <w:shd w:val="clear" w:color="auto" w:fill="FFFFFF" w:themeFill="background1"/>
            <w:vAlign w:val="center"/>
          </w:tcPr>
          <w:p w:rsidR="00AC424B" w:rsidRPr="00D652DA" w:rsidRDefault="00AC424B" w:rsidP="007C2BC9">
            <w:pPr>
              <w:jc w:val="center"/>
              <w:rPr>
                <w:rFonts w:eastAsia="Arial"/>
                <w:sz w:val="20"/>
              </w:rPr>
            </w:pPr>
            <w:r w:rsidRPr="00D652DA">
              <w:rPr>
                <w:rFonts w:eastAsia="Arial"/>
                <w:sz w:val="20"/>
              </w:rPr>
              <w:t>5.1</w:t>
            </w:r>
            <w:r w:rsidR="00E02238">
              <w:rPr>
                <w:rFonts w:eastAsia="Arial"/>
                <w:sz w:val="20"/>
              </w:rPr>
              <w:t>2</w:t>
            </w:r>
          </w:p>
        </w:tc>
        <w:tc>
          <w:tcPr>
            <w:tcW w:w="4089" w:type="dxa"/>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Koordinace aktivit a stanovisek jednotlivých národních gestorů v oblasti elektronického obchodu</w:t>
            </w:r>
          </w:p>
        </w:tc>
        <w:tc>
          <w:tcPr>
            <w:tcW w:w="1259" w:type="dxa"/>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koordinátor</w:t>
            </w:r>
          </w:p>
        </w:tc>
        <w:tc>
          <w:tcPr>
            <w:tcW w:w="1489" w:type="dxa"/>
            <w:shd w:val="clear" w:color="auto" w:fill="FFFFFF" w:themeFill="background1"/>
            <w:vAlign w:val="center"/>
          </w:tcPr>
          <w:p w:rsidR="00AC424B" w:rsidRPr="00D652DA" w:rsidRDefault="00AC424B" w:rsidP="007C2BC9">
            <w:pPr>
              <w:spacing w:line="219" w:lineRule="exact"/>
              <w:ind w:left="34"/>
              <w:jc w:val="center"/>
              <w:rPr>
                <w:sz w:val="20"/>
              </w:rPr>
            </w:pPr>
            <w:r w:rsidRPr="00D652DA">
              <w:rPr>
                <w:sz w:val="20"/>
              </w:rPr>
              <w:t>resorty</w:t>
            </w:r>
          </w:p>
        </w:tc>
        <w:tc>
          <w:tcPr>
            <w:tcW w:w="1689" w:type="dxa"/>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průběžně</w:t>
            </w:r>
          </w:p>
        </w:tc>
      </w:tr>
      <w:tr w:rsidR="00AC424B" w:rsidRPr="00D652DA" w:rsidTr="007C2BC9">
        <w:tc>
          <w:tcPr>
            <w:tcW w:w="9207" w:type="dxa"/>
            <w:gridSpan w:val="5"/>
            <w:shd w:val="clear" w:color="auto" w:fill="DBE5F1" w:themeFill="accent1" w:themeFillTint="33"/>
            <w:vAlign w:val="center"/>
          </w:tcPr>
          <w:p w:rsidR="00AC424B" w:rsidRPr="000E3FC6" w:rsidRDefault="00AC424B" w:rsidP="007C2BC9">
            <w:pPr>
              <w:jc w:val="center"/>
              <w:rPr>
                <w:rFonts w:eastAsia="Arial"/>
                <w:b/>
                <w:sz w:val="20"/>
              </w:rPr>
            </w:pPr>
            <w:r w:rsidRPr="000E3FC6">
              <w:rPr>
                <w:rFonts w:eastAsia="Arial"/>
                <w:b/>
                <w:sz w:val="20"/>
              </w:rPr>
              <w:t>Stavebnictví 4.0</w:t>
            </w:r>
          </w:p>
        </w:tc>
      </w:tr>
      <w:tr w:rsidR="00AC424B" w:rsidRPr="00D652DA" w:rsidTr="007C2BC9">
        <w:tc>
          <w:tcPr>
            <w:tcW w:w="681" w:type="dxa"/>
            <w:shd w:val="clear" w:color="auto" w:fill="FFFFFF" w:themeFill="background1"/>
            <w:vAlign w:val="center"/>
          </w:tcPr>
          <w:p w:rsidR="00AC424B" w:rsidRPr="00D652DA" w:rsidRDefault="00AC424B" w:rsidP="007C2BC9">
            <w:pPr>
              <w:jc w:val="center"/>
              <w:rPr>
                <w:rFonts w:eastAsia="Arial"/>
                <w:sz w:val="20"/>
              </w:rPr>
            </w:pPr>
            <w:r w:rsidRPr="00D652DA">
              <w:rPr>
                <w:rFonts w:eastAsia="Arial"/>
                <w:sz w:val="20"/>
              </w:rPr>
              <w:t>5.1</w:t>
            </w:r>
            <w:r w:rsidR="00E02238">
              <w:rPr>
                <w:rFonts w:eastAsia="Arial"/>
                <w:sz w:val="20"/>
              </w:rPr>
              <w:t>3</w:t>
            </w:r>
          </w:p>
        </w:tc>
        <w:tc>
          <w:tcPr>
            <w:tcW w:w="4089" w:type="dxa"/>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Iniciativa Stavebnictví 4.0</w:t>
            </w:r>
          </w:p>
        </w:tc>
        <w:tc>
          <w:tcPr>
            <w:tcW w:w="1259" w:type="dxa"/>
            <w:shd w:val="clear" w:color="auto" w:fill="FFFFFF" w:themeFill="background1"/>
            <w:vAlign w:val="center"/>
          </w:tcPr>
          <w:p w:rsidR="00AC424B" w:rsidRPr="00D652DA" w:rsidRDefault="00AC424B" w:rsidP="008F4570">
            <w:pPr>
              <w:spacing w:line="219" w:lineRule="exact"/>
              <w:ind w:left="34"/>
              <w:jc w:val="center"/>
              <w:rPr>
                <w:sz w:val="20"/>
              </w:rPr>
            </w:pPr>
            <w:r w:rsidRPr="00D652DA">
              <w:rPr>
                <w:sz w:val="20"/>
              </w:rPr>
              <w:t>MPO</w:t>
            </w:r>
          </w:p>
        </w:tc>
        <w:tc>
          <w:tcPr>
            <w:tcW w:w="1489" w:type="dxa"/>
            <w:shd w:val="clear" w:color="auto" w:fill="FFFFFF" w:themeFill="background1"/>
            <w:vAlign w:val="center"/>
          </w:tcPr>
          <w:p w:rsidR="00AC424B" w:rsidRPr="00D652DA" w:rsidRDefault="007920A1" w:rsidP="007C2BC9">
            <w:pPr>
              <w:spacing w:line="219" w:lineRule="exact"/>
              <w:ind w:left="34"/>
              <w:jc w:val="left"/>
              <w:rPr>
                <w:sz w:val="20"/>
              </w:rPr>
            </w:pPr>
            <w:r w:rsidRPr="007920A1">
              <w:rPr>
                <w:sz w:val="20"/>
              </w:rPr>
              <w:t>spolupráce: ostatní ústřední orgány státní správy, zaměstnavatelské svazy, odbory</w:t>
            </w:r>
          </w:p>
        </w:tc>
        <w:tc>
          <w:tcPr>
            <w:tcW w:w="1689" w:type="dxa"/>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201</w:t>
            </w:r>
            <w:r w:rsidR="007920A1">
              <w:rPr>
                <w:sz w:val="20"/>
              </w:rPr>
              <w:t>9</w:t>
            </w:r>
          </w:p>
        </w:tc>
      </w:tr>
      <w:tr w:rsidR="00AC424B" w:rsidRPr="00D652DA" w:rsidTr="007C2BC9">
        <w:tc>
          <w:tcPr>
            <w:tcW w:w="681" w:type="dxa"/>
            <w:shd w:val="clear" w:color="auto" w:fill="FFFFFF" w:themeFill="background1"/>
            <w:vAlign w:val="center"/>
          </w:tcPr>
          <w:p w:rsidR="00AC424B" w:rsidRPr="00D652DA" w:rsidRDefault="00AC424B" w:rsidP="007C2BC9">
            <w:pPr>
              <w:jc w:val="center"/>
              <w:rPr>
                <w:rFonts w:eastAsia="Arial"/>
                <w:sz w:val="20"/>
              </w:rPr>
            </w:pPr>
            <w:r w:rsidRPr="00D652DA">
              <w:rPr>
                <w:rFonts w:eastAsia="Arial"/>
                <w:sz w:val="20"/>
              </w:rPr>
              <w:t>5.1</w:t>
            </w:r>
            <w:r w:rsidR="00E02238">
              <w:rPr>
                <w:rFonts w:eastAsia="Arial"/>
                <w:sz w:val="20"/>
              </w:rPr>
              <w:t>4</w:t>
            </w:r>
          </w:p>
        </w:tc>
        <w:tc>
          <w:tcPr>
            <w:tcW w:w="4089" w:type="dxa"/>
            <w:shd w:val="clear" w:color="auto" w:fill="FFFFFF" w:themeFill="background1"/>
            <w:vAlign w:val="center"/>
          </w:tcPr>
          <w:p w:rsidR="00AC424B" w:rsidRPr="00D652DA" w:rsidRDefault="007920A1" w:rsidP="003129E7">
            <w:pPr>
              <w:spacing w:line="219" w:lineRule="exact"/>
              <w:jc w:val="left"/>
              <w:rPr>
                <w:sz w:val="20"/>
              </w:rPr>
            </w:pPr>
            <w:r w:rsidRPr="007920A1">
              <w:rPr>
                <w:sz w:val="20"/>
              </w:rPr>
              <w:t>Digitalizace stavebnictví prostřednictvím metody BIM</w:t>
            </w:r>
          </w:p>
        </w:tc>
        <w:tc>
          <w:tcPr>
            <w:tcW w:w="1259" w:type="dxa"/>
            <w:shd w:val="clear" w:color="auto" w:fill="FFFFFF" w:themeFill="background1"/>
          </w:tcPr>
          <w:p w:rsidR="008F4570" w:rsidRDefault="008F4570" w:rsidP="008F4570">
            <w:pPr>
              <w:jc w:val="center"/>
              <w:rPr>
                <w:sz w:val="20"/>
              </w:rPr>
            </w:pPr>
          </w:p>
          <w:p w:rsidR="00AC424B" w:rsidRPr="00D652DA" w:rsidRDefault="00AC424B" w:rsidP="008F4570">
            <w:pPr>
              <w:jc w:val="center"/>
              <w:rPr>
                <w:sz w:val="20"/>
              </w:rPr>
            </w:pPr>
            <w:r w:rsidRPr="00D652DA">
              <w:rPr>
                <w:sz w:val="20"/>
              </w:rPr>
              <w:t>MPO</w:t>
            </w:r>
          </w:p>
        </w:tc>
        <w:tc>
          <w:tcPr>
            <w:tcW w:w="1489" w:type="dxa"/>
            <w:shd w:val="clear" w:color="auto" w:fill="FFFFFF" w:themeFill="background1"/>
            <w:vAlign w:val="center"/>
          </w:tcPr>
          <w:p w:rsidR="00AC424B" w:rsidRPr="00D652DA" w:rsidRDefault="007920A1" w:rsidP="007C2BC9">
            <w:pPr>
              <w:spacing w:line="219" w:lineRule="exact"/>
              <w:ind w:left="34"/>
              <w:jc w:val="left"/>
              <w:rPr>
                <w:sz w:val="20"/>
              </w:rPr>
            </w:pPr>
            <w:r w:rsidRPr="007920A1">
              <w:rPr>
                <w:sz w:val="20"/>
              </w:rPr>
              <w:t>spolupráce: ostatní ústřední orgány státní správy</w:t>
            </w:r>
          </w:p>
        </w:tc>
        <w:tc>
          <w:tcPr>
            <w:tcW w:w="1689" w:type="dxa"/>
            <w:shd w:val="clear" w:color="auto" w:fill="FFFFFF" w:themeFill="background1"/>
            <w:vAlign w:val="center"/>
          </w:tcPr>
          <w:p w:rsidR="00AC424B" w:rsidRPr="00D652DA" w:rsidRDefault="007920A1" w:rsidP="007C2BC9">
            <w:pPr>
              <w:spacing w:line="219" w:lineRule="exact"/>
              <w:ind w:left="34"/>
              <w:jc w:val="left"/>
              <w:rPr>
                <w:sz w:val="20"/>
              </w:rPr>
            </w:pPr>
            <w:r>
              <w:rPr>
                <w:sz w:val="20"/>
              </w:rPr>
              <w:t>průběžně</w:t>
            </w:r>
          </w:p>
        </w:tc>
      </w:tr>
      <w:tr w:rsidR="00AC424B" w:rsidRPr="00D652DA" w:rsidTr="007C2BC9">
        <w:tc>
          <w:tcPr>
            <w:tcW w:w="681" w:type="dxa"/>
            <w:shd w:val="clear" w:color="auto" w:fill="FFFFFF" w:themeFill="background1"/>
            <w:vAlign w:val="center"/>
          </w:tcPr>
          <w:p w:rsidR="00AC424B" w:rsidRPr="00D652DA" w:rsidRDefault="00AC424B" w:rsidP="007C2BC9">
            <w:pPr>
              <w:jc w:val="center"/>
              <w:rPr>
                <w:rFonts w:eastAsia="Arial"/>
                <w:sz w:val="20"/>
              </w:rPr>
            </w:pPr>
            <w:r w:rsidRPr="00D652DA">
              <w:rPr>
                <w:rFonts w:eastAsia="Arial"/>
                <w:sz w:val="20"/>
              </w:rPr>
              <w:t>5.</w:t>
            </w:r>
            <w:r w:rsidR="00E02238">
              <w:rPr>
                <w:rFonts w:eastAsia="Arial"/>
                <w:sz w:val="20"/>
              </w:rPr>
              <w:t>1</w:t>
            </w:r>
            <w:r w:rsidR="007920A1">
              <w:rPr>
                <w:rFonts w:eastAsia="Arial"/>
                <w:sz w:val="20"/>
              </w:rPr>
              <w:t>5</w:t>
            </w:r>
          </w:p>
        </w:tc>
        <w:tc>
          <w:tcPr>
            <w:tcW w:w="4089" w:type="dxa"/>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Elektronizace povolovacích procesů stavby s využitím BIM</w:t>
            </w:r>
          </w:p>
        </w:tc>
        <w:tc>
          <w:tcPr>
            <w:tcW w:w="1259" w:type="dxa"/>
            <w:shd w:val="clear" w:color="auto" w:fill="FFFFFF" w:themeFill="background1"/>
            <w:vAlign w:val="center"/>
          </w:tcPr>
          <w:p w:rsidR="00AC424B" w:rsidRPr="00D652DA" w:rsidRDefault="008F4570" w:rsidP="008F4570">
            <w:pPr>
              <w:spacing w:line="219" w:lineRule="exact"/>
              <w:ind w:left="34"/>
              <w:jc w:val="center"/>
              <w:rPr>
                <w:sz w:val="20"/>
              </w:rPr>
            </w:pPr>
            <w:r>
              <w:rPr>
                <w:sz w:val="20"/>
              </w:rPr>
              <w:t>MMR</w:t>
            </w:r>
          </w:p>
        </w:tc>
        <w:tc>
          <w:tcPr>
            <w:tcW w:w="1489" w:type="dxa"/>
            <w:shd w:val="clear" w:color="auto" w:fill="FFFFFF" w:themeFill="background1"/>
            <w:vAlign w:val="center"/>
          </w:tcPr>
          <w:p w:rsidR="00AC424B" w:rsidRPr="00D652DA" w:rsidRDefault="008F4570" w:rsidP="007C2BC9">
            <w:pPr>
              <w:spacing w:line="219" w:lineRule="exact"/>
              <w:ind w:left="34"/>
              <w:jc w:val="center"/>
              <w:rPr>
                <w:sz w:val="20"/>
              </w:rPr>
            </w:pPr>
            <w:r>
              <w:rPr>
                <w:sz w:val="20"/>
              </w:rPr>
              <w:t>s</w:t>
            </w:r>
            <w:r w:rsidR="00A4591A" w:rsidRPr="00D652DA">
              <w:rPr>
                <w:sz w:val="20"/>
              </w:rPr>
              <w:t>polupráce</w:t>
            </w:r>
            <w:r w:rsidR="00A4591A">
              <w:rPr>
                <w:sz w:val="20"/>
              </w:rPr>
              <w:t>:</w:t>
            </w:r>
            <w:r w:rsidR="00A4591A" w:rsidRPr="00D652DA">
              <w:rPr>
                <w:sz w:val="20"/>
              </w:rPr>
              <w:t xml:space="preserve"> MPO</w:t>
            </w:r>
            <w:r w:rsidR="00A4591A">
              <w:rPr>
                <w:sz w:val="20"/>
              </w:rPr>
              <w:t>,</w:t>
            </w:r>
            <w:r w:rsidR="00A4591A" w:rsidRPr="00D652DA">
              <w:rPr>
                <w:sz w:val="20"/>
              </w:rPr>
              <w:t xml:space="preserve"> </w:t>
            </w:r>
            <w:r w:rsidR="00AC424B" w:rsidRPr="00D652DA">
              <w:rPr>
                <w:sz w:val="20"/>
              </w:rPr>
              <w:t>ostatní dotčené ústřední orgány státní správy</w:t>
            </w:r>
          </w:p>
        </w:tc>
        <w:tc>
          <w:tcPr>
            <w:tcW w:w="1689" w:type="dxa"/>
            <w:shd w:val="clear" w:color="auto" w:fill="FFFFFF" w:themeFill="background1"/>
            <w:vAlign w:val="center"/>
          </w:tcPr>
          <w:p w:rsidR="00AC424B" w:rsidRPr="00D652DA" w:rsidRDefault="00AC424B" w:rsidP="007C2BC9">
            <w:pPr>
              <w:spacing w:line="219" w:lineRule="exact"/>
              <w:ind w:left="34"/>
              <w:jc w:val="left"/>
              <w:rPr>
                <w:sz w:val="20"/>
              </w:rPr>
            </w:pPr>
            <w:r w:rsidRPr="00D652DA">
              <w:rPr>
                <w:sz w:val="20"/>
              </w:rPr>
              <w:t>v návaznosti na novou úpravu veřejného stavebního práva</w:t>
            </w:r>
          </w:p>
        </w:tc>
      </w:tr>
    </w:tbl>
    <w:p w:rsidR="00D07530" w:rsidRDefault="00D07530">
      <w:r>
        <w:br w:type="page"/>
      </w:r>
    </w:p>
    <w:tbl>
      <w:tblPr>
        <w:tblW w:w="12280" w:type="dxa"/>
        <w:tblLayout w:type="fixed"/>
        <w:tblCellMar>
          <w:left w:w="0" w:type="dxa"/>
          <w:right w:w="0" w:type="dxa"/>
        </w:tblCellMar>
        <w:tblLook w:val="04A0"/>
      </w:tblPr>
      <w:tblGrid>
        <w:gridCol w:w="2380"/>
        <w:gridCol w:w="9900"/>
      </w:tblGrid>
      <w:tr w:rsidR="003B1CBB" w:rsidRPr="00D97AD9" w:rsidTr="00DB55D6">
        <w:trPr>
          <w:trHeight w:val="300"/>
        </w:trPr>
        <w:tc>
          <w:tcPr>
            <w:tcW w:w="2380" w:type="dxa"/>
            <w:tcBorders>
              <w:top w:val="nil"/>
              <w:left w:val="nil"/>
              <w:bottom w:val="nil"/>
              <w:right w:val="nil"/>
            </w:tcBorders>
            <w:shd w:val="clear" w:color="auto" w:fill="auto"/>
            <w:tcMar>
              <w:top w:w="15" w:type="dxa"/>
              <w:left w:w="15" w:type="dxa"/>
              <w:bottom w:w="0" w:type="dxa"/>
              <w:right w:w="15" w:type="dxa"/>
            </w:tcMar>
            <w:vAlign w:val="center"/>
            <w:hideMark/>
          </w:tcPr>
          <w:p w:rsidR="00AC424B" w:rsidRPr="00456971" w:rsidRDefault="00456971" w:rsidP="00456971">
            <w:pPr>
              <w:pStyle w:val="Nadpis1"/>
              <w:rPr>
                <w:sz w:val="24"/>
                <w:szCs w:val="24"/>
              </w:rPr>
            </w:pPr>
            <w:bookmarkStart w:id="126" w:name="_Toc491355999"/>
            <w:r w:rsidRPr="00456971">
              <w:rPr>
                <w:sz w:val="24"/>
                <w:szCs w:val="24"/>
              </w:rPr>
              <w:lastRenderedPageBreak/>
              <w:t xml:space="preserve">SEZNAM </w:t>
            </w:r>
            <w:r w:rsidR="00D07530" w:rsidRPr="00456971">
              <w:rPr>
                <w:sz w:val="24"/>
                <w:szCs w:val="24"/>
              </w:rPr>
              <w:t>ZKRATEK</w:t>
            </w:r>
            <w:bookmarkEnd w:id="126"/>
          </w:p>
          <w:p w:rsidR="003B1CBB" w:rsidRPr="00D97AD9" w:rsidRDefault="00A9632E" w:rsidP="008C1143">
            <w:pPr>
              <w:rPr>
                <w:sz w:val="20"/>
              </w:rPr>
            </w:pPr>
            <w:r w:rsidRPr="00D97AD9">
              <w:rPr>
                <w:sz w:val="20"/>
              </w:rPr>
              <w:t>3G, 4G, 5G</w:t>
            </w:r>
          </w:p>
        </w:tc>
        <w:tc>
          <w:tcPr>
            <w:tcW w:w="9900" w:type="dxa"/>
            <w:tcBorders>
              <w:top w:val="nil"/>
              <w:left w:val="nil"/>
              <w:bottom w:val="nil"/>
              <w:right w:val="nil"/>
            </w:tcBorders>
            <w:shd w:val="clear" w:color="auto" w:fill="auto"/>
            <w:tcMar>
              <w:top w:w="15" w:type="dxa"/>
              <w:left w:w="15" w:type="dxa"/>
              <w:bottom w:w="0" w:type="dxa"/>
              <w:right w:w="15" w:type="dxa"/>
            </w:tcMar>
            <w:vAlign w:val="center"/>
            <w:hideMark/>
          </w:tcPr>
          <w:p w:rsidR="00D07530" w:rsidRDefault="00D07530" w:rsidP="008C1143">
            <w:pPr>
              <w:rPr>
                <w:sz w:val="20"/>
              </w:rPr>
            </w:pPr>
          </w:p>
          <w:p w:rsidR="00456971" w:rsidRDefault="00456971" w:rsidP="008C1143">
            <w:pPr>
              <w:rPr>
                <w:sz w:val="20"/>
              </w:rPr>
            </w:pPr>
          </w:p>
          <w:p w:rsidR="00456971" w:rsidRDefault="00456971" w:rsidP="008C1143">
            <w:pPr>
              <w:rPr>
                <w:sz w:val="20"/>
              </w:rPr>
            </w:pPr>
          </w:p>
          <w:p w:rsidR="003B1CBB" w:rsidRPr="00D97AD9" w:rsidRDefault="00A9632E" w:rsidP="008C1143">
            <w:pPr>
              <w:rPr>
                <w:sz w:val="20"/>
              </w:rPr>
            </w:pPr>
            <w:r w:rsidRPr="00D97AD9">
              <w:rPr>
                <w:sz w:val="20"/>
              </w:rPr>
              <w:t>mobilní sítě</w:t>
            </w:r>
          </w:p>
        </w:tc>
      </w:tr>
      <w:tr w:rsidR="003B1CBB" w:rsidRPr="00D97AD9" w:rsidTr="00DB55D6">
        <w:trPr>
          <w:trHeight w:val="300"/>
        </w:trPr>
        <w:tc>
          <w:tcPr>
            <w:tcW w:w="2380" w:type="dxa"/>
            <w:tcBorders>
              <w:top w:val="nil"/>
              <w:left w:val="nil"/>
              <w:bottom w:val="nil"/>
              <w:right w:val="nil"/>
            </w:tcBorders>
            <w:shd w:val="clear" w:color="auto" w:fill="auto"/>
            <w:tcMar>
              <w:top w:w="15" w:type="dxa"/>
              <w:left w:w="15" w:type="dxa"/>
              <w:bottom w:w="0" w:type="dxa"/>
              <w:right w:w="15" w:type="dxa"/>
            </w:tcMar>
            <w:vAlign w:val="center"/>
            <w:hideMark/>
          </w:tcPr>
          <w:p w:rsidR="003B1CBB" w:rsidRPr="00D97AD9" w:rsidRDefault="00A9632E" w:rsidP="008C1143">
            <w:pPr>
              <w:rPr>
                <w:sz w:val="20"/>
              </w:rPr>
            </w:pPr>
            <w:r w:rsidRPr="00D97AD9">
              <w:rPr>
                <w:sz w:val="20"/>
              </w:rPr>
              <w:t>Akční plán</w:t>
            </w:r>
          </w:p>
        </w:tc>
        <w:tc>
          <w:tcPr>
            <w:tcW w:w="9900" w:type="dxa"/>
            <w:tcBorders>
              <w:top w:val="nil"/>
              <w:left w:val="nil"/>
              <w:bottom w:val="nil"/>
              <w:right w:val="nil"/>
            </w:tcBorders>
            <w:shd w:val="clear" w:color="auto" w:fill="auto"/>
            <w:tcMar>
              <w:top w:w="15" w:type="dxa"/>
              <w:left w:w="15" w:type="dxa"/>
              <w:bottom w:w="0" w:type="dxa"/>
              <w:right w:w="15" w:type="dxa"/>
            </w:tcMar>
            <w:vAlign w:val="center"/>
            <w:hideMark/>
          </w:tcPr>
          <w:p w:rsidR="003B1CBB" w:rsidRPr="00D97AD9" w:rsidRDefault="00A9632E" w:rsidP="008C1143">
            <w:pPr>
              <w:rPr>
                <w:sz w:val="20"/>
              </w:rPr>
            </w:pPr>
            <w:r w:rsidRPr="00D97AD9">
              <w:rPr>
                <w:sz w:val="20"/>
              </w:rPr>
              <w:t>Akční plán pro rozvoj digitálního trhu</w:t>
            </w:r>
          </w:p>
        </w:tc>
      </w:tr>
      <w:tr w:rsidR="003B1CBB" w:rsidRPr="00D97AD9" w:rsidTr="00DB55D6">
        <w:trPr>
          <w:trHeight w:val="300"/>
        </w:trPr>
        <w:tc>
          <w:tcPr>
            <w:tcW w:w="2380" w:type="dxa"/>
            <w:tcBorders>
              <w:top w:val="nil"/>
              <w:left w:val="nil"/>
              <w:bottom w:val="nil"/>
              <w:right w:val="nil"/>
            </w:tcBorders>
            <w:shd w:val="clear" w:color="auto" w:fill="auto"/>
            <w:tcMar>
              <w:top w:w="15" w:type="dxa"/>
              <w:left w:w="15" w:type="dxa"/>
              <w:bottom w:w="0" w:type="dxa"/>
              <w:right w:w="15" w:type="dxa"/>
            </w:tcMar>
            <w:vAlign w:val="center"/>
            <w:hideMark/>
          </w:tcPr>
          <w:p w:rsidR="003B1CBB" w:rsidRPr="00D97AD9" w:rsidRDefault="00A9632E" w:rsidP="008C1143">
            <w:pPr>
              <w:rPr>
                <w:sz w:val="20"/>
              </w:rPr>
            </w:pPr>
            <w:r w:rsidRPr="00D97AD9">
              <w:rPr>
                <w:sz w:val="20"/>
              </w:rPr>
              <w:t>AP KB</w:t>
            </w:r>
          </w:p>
        </w:tc>
        <w:tc>
          <w:tcPr>
            <w:tcW w:w="9900" w:type="dxa"/>
            <w:tcBorders>
              <w:top w:val="nil"/>
              <w:left w:val="nil"/>
              <w:bottom w:val="nil"/>
              <w:right w:val="nil"/>
            </w:tcBorders>
            <w:shd w:val="clear" w:color="auto" w:fill="auto"/>
            <w:tcMar>
              <w:top w:w="15" w:type="dxa"/>
              <w:left w:w="15" w:type="dxa"/>
              <w:bottom w:w="0" w:type="dxa"/>
              <w:right w:w="15" w:type="dxa"/>
            </w:tcMar>
            <w:vAlign w:val="center"/>
            <w:hideMark/>
          </w:tcPr>
          <w:p w:rsidR="003B1CBB" w:rsidRPr="00D97AD9" w:rsidRDefault="00A9632E" w:rsidP="008C1143">
            <w:pPr>
              <w:rPr>
                <w:sz w:val="20"/>
              </w:rPr>
            </w:pPr>
            <w:r w:rsidRPr="00D97AD9">
              <w:rPr>
                <w:sz w:val="20"/>
              </w:rPr>
              <w:t>Akční plán k NSKB</w:t>
            </w:r>
          </w:p>
        </w:tc>
      </w:tr>
      <w:tr w:rsidR="003B1CBB" w:rsidRPr="00D97AD9" w:rsidTr="00DB55D6">
        <w:trPr>
          <w:trHeight w:val="300"/>
        </w:trPr>
        <w:tc>
          <w:tcPr>
            <w:tcW w:w="2380" w:type="dxa"/>
            <w:tcBorders>
              <w:top w:val="nil"/>
              <w:left w:val="nil"/>
              <w:bottom w:val="nil"/>
              <w:right w:val="nil"/>
            </w:tcBorders>
            <w:shd w:val="clear" w:color="auto" w:fill="auto"/>
            <w:tcMar>
              <w:top w:w="15" w:type="dxa"/>
              <w:left w:w="15" w:type="dxa"/>
              <w:bottom w:w="0" w:type="dxa"/>
              <w:right w:w="15" w:type="dxa"/>
            </w:tcMar>
            <w:vAlign w:val="center"/>
            <w:hideMark/>
          </w:tcPr>
          <w:p w:rsidR="003B1CBB" w:rsidRPr="00D97AD9" w:rsidRDefault="00A9632E" w:rsidP="008C1143">
            <w:pPr>
              <w:rPr>
                <w:sz w:val="20"/>
              </w:rPr>
            </w:pPr>
            <w:r w:rsidRPr="00D97AD9">
              <w:rPr>
                <w:sz w:val="20"/>
              </w:rPr>
              <w:t>AT</w:t>
            </w:r>
          </w:p>
        </w:tc>
        <w:tc>
          <w:tcPr>
            <w:tcW w:w="9900" w:type="dxa"/>
            <w:tcBorders>
              <w:top w:val="nil"/>
              <w:left w:val="nil"/>
              <w:bottom w:val="nil"/>
              <w:right w:val="nil"/>
            </w:tcBorders>
            <w:shd w:val="clear" w:color="auto" w:fill="auto"/>
            <w:tcMar>
              <w:top w:w="15" w:type="dxa"/>
              <w:left w:w="15" w:type="dxa"/>
              <w:bottom w:w="0" w:type="dxa"/>
              <w:right w:w="15" w:type="dxa"/>
            </w:tcMar>
            <w:vAlign w:val="center"/>
            <w:hideMark/>
          </w:tcPr>
          <w:p w:rsidR="003B1CBB" w:rsidRPr="00D97AD9" w:rsidRDefault="00A9632E" w:rsidP="008C1143">
            <w:pPr>
              <w:rPr>
                <w:sz w:val="20"/>
              </w:rPr>
            </w:pPr>
            <w:proofErr w:type="spellStart"/>
            <w:r w:rsidRPr="00D97AD9">
              <w:rPr>
                <w:sz w:val="20"/>
              </w:rPr>
              <w:t>asistivní</w:t>
            </w:r>
            <w:proofErr w:type="spellEnd"/>
            <w:r w:rsidRPr="00D97AD9">
              <w:rPr>
                <w:sz w:val="20"/>
              </w:rPr>
              <w:t xml:space="preserve"> technologie </w:t>
            </w:r>
          </w:p>
        </w:tc>
      </w:tr>
      <w:tr w:rsidR="003B1CBB" w:rsidRPr="00D97AD9" w:rsidTr="00DB55D6">
        <w:trPr>
          <w:trHeight w:val="300"/>
        </w:trPr>
        <w:tc>
          <w:tcPr>
            <w:tcW w:w="2380" w:type="dxa"/>
            <w:tcBorders>
              <w:top w:val="nil"/>
              <w:left w:val="nil"/>
              <w:bottom w:val="nil"/>
              <w:right w:val="nil"/>
            </w:tcBorders>
            <w:shd w:val="clear" w:color="auto" w:fill="auto"/>
            <w:tcMar>
              <w:top w:w="15" w:type="dxa"/>
              <w:left w:w="15" w:type="dxa"/>
              <w:bottom w:w="0" w:type="dxa"/>
              <w:right w:w="15" w:type="dxa"/>
            </w:tcMar>
            <w:vAlign w:val="center"/>
            <w:hideMark/>
          </w:tcPr>
          <w:p w:rsidR="003B1CBB" w:rsidRPr="00D97AD9" w:rsidRDefault="00A9632E" w:rsidP="008C1143">
            <w:pPr>
              <w:rPr>
                <w:sz w:val="20"/>
              </w:rPr>
            </w:pPr>
            <w:r w:rsidRPr="00D97AD9">
              <w:rPr>
                <w:sz w:val="20"/>
              </w:rPr>
              <w:t>AV ČR</w:t>
            </w:r>
          </w:p>
        </w:tc>
        <w:tc>
          <w:tcPr>
            <w:tcW w:w="9900" w:type="dxa"/>
            <w:tcBorders>
              <w:top w:val="nil"/>
              <w:left w:val="nil"/>
              <w:bottom w:val="nil"/>
              <w:right w:val="nil"/>
            </w:tcBorders>
            <w:shd w:val="clear" w:color="auto" w:fill="auto"/>
            <w:tcMar>
              <w:top w:w="15" w:type="dxa"/>
              <w:left w:w="15" w:type="dxa"/>
              <w:bottom w:w="0" w:type="dxa"/>
              <w:right w:w="15" w:type="dxa"/>
            </w:tcMar>
            <w:vAlign w:val="center"/>
            <w:hideMark/>
          </w:tcPr>
          <w:p w:rsidR="003B1CBB" w:rsidRPr="00D97AD9" w:rsidRDefault="00A9632E" w:rsidP="008C1143">
            <w:pPr>
              <w:rPr>
                <w:sz w:val="20"/>
              </w:rPr>
            </w:pPr>
            <w:r w:rsidRPr="00D97AD9">
              <w:rPr>
                <w:sz w:val="20"/>
              </w:rPr>
              <w:t>Akademie věd České republiky</w:t>
            </w:r>
          </w:p>
        </w:tc>
      </w:tr>
      <w:tr w:rsidR="003B1CBB" w:rsidRPr="00D97AD9" w:rsidTr="00DB55D6">
        <w:trPr>
          <w:trHeight w:val="300"/>
        </w:trPr>
        <w:tc>
          <w:tcPr>
            <w:tcW w:w="2380" w:type="dxa"/>
            <w:tcBorders>
              <w:top w:val="nil"/>
              <w:left w:val="nil"/>
              <w:bottom w:val="nil"/>
              <w:right w:val="nil"/>
            </w:tcBorders>
            <w:shd w:val="clear" w:color="auto" w:fill="auto"/>
            <w:tcMar>
              <w:top w:w="15" w:type="dxa"/>
              <w:left w:w="15" w:type="dxa"/>
              <w:bottom w:w="0" w:type="dxa"/>
              <w:right w:w="15" w:type="dxa"/>
            </w:tcMar>
            <w:vAlign w:val="center"/>
            <w:hideMark/>
          </w:tcPr>
          <w:p w:rsidR="003B1CBB" w:rsidRPr="00D97AD9" w:rsidRDefault="00A9632E" w:rsidP="008C1143">
            <w:pPr>
              <w:rPr>
                <w:sz w:val="20"/>
              </w:rPr>
            </w:pPr>
            <w:r w:rsidRPr="00D97AD9">
              <w:rPr>
                <w:sz w:val="20"/>
              </w:rPr>
              <w:t>BEREC</w:t>
            </w:r>
          </w:p>
        </w:tc>
        <w:tc>
          <w:tcPr>
            <w:tcW w:w="9900" w:type="dxa"/>
            <w:tcBorders>
              <w:top w:val="nil"/>
              <w:left w:val="nil"/>
              <w:bottom w:val="nil"/>
              <w:right w:val="nil"/>
            </w:tcBorders>
            <w:shd w:val="clear" w:color="auto" w:fill="auto"/>
            <w:tcMar>
              <w:top w:w="15" w:type="dxa"/>
              <w:left w:w="15" w:type="dxa"/>
              <w:bottom w:w="0" w:type="dxa"/>
              <w:right w:w="15" w:type="dxa"/>
            </w:tcMar>
            <w:vAlign w:val="center"/>
            <w:hideMark/>
          </w:tcPr>
          <w:p w:rsidR="003B1CBB" w:rsidRPr="00D97AD9" w:rsidRDefault="00A9632E" w:rsidP="008C1143">
            <w:pPr>
              <w:rPr>
                <w:sz w:val="20"/>
              </w:rPr>
            </w:pPr>
            <w:r w:rsidRPr="00D97AD9">
              <w:rPr>
                <w:sz w:val="20"/>
              </w:rPr>
              <w:t>Sdružení evropských regulačních orgánů v oblasti elektronických komunikací</w:t>
            </w:r>
          </w:p>
        </w:tc>
      </w:tr>
      <w:tr w:rsidR="00FF432B" w:rsidRPr="00D97AD9" w:rsidTr="00DB55D6">
        <w:trPr>
          <w:trHeight w:val="300"/>
        </w:trPr>
        <w:tc>
          <w:tcPr>
            <w:tcW w:w="2380" w:type="dxa"/>
            <w:tcBorders>
              <w:top w:val="nil"/>
              <w:left w:val="nil"/>
              <w:bottom w:val="nil"/>
              <w:right w:val="nil"/>
            </w:tcBorders>
            <w:shd w:val="clear" w:color="auto" w:fill="auto"/>
            <w:tcMar>
              <w:top w:w="15" w:type="dxa"/>
              <w:left w:w="15" w:type="dxa"/>
              <w:bottom w:w="0" w:type="dxa"/>
              <w:right w:w="15" w:type="dxa"/>
            </w:tcMar>
            <w:vAlign w:val="center"/>
            <w:hideMark/>
          </w:tcPr>
          <w:p w:rsidR="00FF432B" w:rsidRPr="00D97AD9" w:rsidRDefault="00FF432B" w:rsidP="008C1143">
            <w:pPr>
              <w:rPr>
                <w:sz w:val="20"/>
              </w:rPr>
            </w:pPr>
            <w:r>
              <w:rPr>
                <w:sz w:val="20"/>
              </w:rPr>
              <w:t>BIM</w:t>
            </w:r>
          </w:p>
        </w:tc>
        <w:tc>
          <w:tcPr>
            <w:tcW w:w="9900" w:type="dxa"/>
            <w:tcBorders>
              <w:top w:val="nil"/>
              <w:left w:val="nil"/>
              <w:bottom w:val="nil"/>
              <w:right w:val="nil"/>
            </w:tcBorders>
            <w:shd w:val="clear" w:color="auto" w:fill="auto"/>
            <w:tcMar>
              <w:top w:w="15" w:type="dxa"/>
              <w:left w:w="15" w:type="dxa"/>
              <w:bottom w:w="0" w:type="dxa"/>
              <w:right w:w="15" w:type="dxa"/>
            </w:tcMar>
            <w:vAlign w:val="center"/>
            <w:hideMark/>
          </w:tcPr>
          <w:p w:rsidR="00FF432B" w:rsidRPr="00D97AD9" w:rsidRDefault="00FF432B" w:rsidP="008C1143">
            <w:pPr>
              <w:rPr>
                <w:sz w:val="20"/>
              </w:rPr>
            </w:pPr>
            <w:r w:rsidRPr="00D07530">
              <w:rPr>
                <w:sz w:val="20"/>
              </w:rPr>
              <w:t>Informační modelování staveb (</w:t>
            </w:r>
            <w:proofErr w:type="spellStart"/>
            <w:r w:rsidRPr="00D07530">
              <w:rPr>
                <w:sz w:val="20"/>
              </w:rPr>
              <w:t>Building</w:t>
            </w:r>
            <w:proofErr w:type="spellEnd"/>
            <w:r w:rsidRPr="00D07530">
              <w:rPr>
                <w:sz w:val="20"/>
              </w:rPr>
              <w:t xml:space="preserve"> </w:t>
            </w:r>
            <w:proofErr w:type="spellStart"/>
            <w:r w:rsidRPr="00D07530">
              <w:rPr>
                <w:sz w:val="20"/>
              </w:rPr>
              <w:t>Information</w:t>
            </w:r>
            <w:proofErr w:type="spellEnd"/>
            <w:r w:rsidRPr="00D07530">
              <w:rPr>
                <w:sz w:val="20"/>
              </w:rPr>
              <w:t xml:space="preserve"> Modelling)</w:t>
            </w:r>
          </w:p>
        </w:tc>
      </w:tr>
      <w:tr w:rsidR="00FF432B" w:rsidRPr="00D97AD9" w:rsidTr="00DB55D6">
        <w:trPr>
          <w:trHeight w:val="300"/>
        </w:trPr>
        <w:tc>
          <w:tcPr>
            <w:tcW w:w="2380" w:type="dxa"/>
            <w:tcBorders>
              <w:top w:val="nil"/>
              <w:left w:val="nil"/>
              <w:bottom w:val="nil"/>
              <w:right w:val="nil"/>
            </w:tcBorders>
            <w:shd w:val="clear" w:color="auto" w:fill="auto"/>
            <w:tcMar>
              <w:top w:w="15" w:type="dxa"/>
              <w:left w:w="15" w:type="dxa"/>
              <w:bottom w:w="0" w:type="dxa"/>
              <w:right w:w="15" w:type="dxa"/>
            </w:tcMar>
            <w:vAlign w:val="center"/>
            <w:hideMark/>
          </w:tcPr>
          <w:p w:rsidR="00FF432B" w:rsidRDefault="00FF432B" w:rsidP="008C1143">
            <w:pPr>
              <w:rPr>
                <w:sz w:val="20"/>
              </w:rPr>
            </w:pPr>
            <w:r w:rsidRPr="00D97AD9">
              <w:rPr>
                <w:sz w:val="20"/>
              </w:rPr>
              <w:t>CERT</w:t>
            </w:r>
          </w:p>
          <w:p w:rsidR="001F313C" w:rsidRPr="00D97AD9" w:rsidRDefault="001F313C" w:rsidP="008C1143">
            <w:pPr>
              <w:rPr>
                <w:sz w:val="20"/>
              </w:rPr>
            </w:pPr>
            <w:r>
              <w:rPr>
                <w:sz w:val="20"/>
              </w:rPr>
              <w:t>C-ITS</w:t>
            </w:r>
          </w:p>
        </w:tc>
        <w:tc>
          <w:tcPr>
            <w:tcW w:w="9900" w:type="dxa"/>
            <w:tcBorders>
              <w:top w:val="nil"/>
              <w:left w:val="nil"/>
              <w:bottom w:val="nil"/>
              <w:right w:val="nil"/>
            </w:tcBorders>
            <w:shd w:val="clear" w:color="auto" w:fill="auto"/>
            <w:tcMar>
              <w:top w:w="15" w:type="dxa"/>
              <w:left w:w="15" w:type="dxa"/>
              <w:bottom w:w="0" w:type="dxa"/>
              <w:right w:w="15" w:type="dxa"/>
            </w:tcMar>
            <w:vAlign w:val="center"/>
            <w:hideMark/>
          </w:tcPr>
          <w:p w:rsidR="00FF432B" w:rsidRDefault="00FF432B" w:rsidP="008C1143">
            <w:pPr>
              <w:rPr>
                <w:sz w:val="20"/>
              </w:rPr>
            </w:pPr>
            <w:proofErr w:type="spellStart"/>
            <w:r w:rsidRPr="00D97AD9">
              <w:rPr>
                <w:sz w:val="20"/>
              </w:rPr>
              <w:t>Computer</w:t>
            </w:r>
            <w:proofErr w:type="spellEnd"/>
            <w:r w:rsidR="00D07530">
              <w:rPr>
                <w:sz w:val="20"/>
              </w:rPr>
              <w:t xml:space="preserve"> </w:t>
            </w:r>
            <w:proofErr w:type="spellStart"/>
            <w:r w:rsidRPr="00D97AD9">
              <w:rPr>
                <w:sz w:val="20"/>
              </w:rPr>
              <w:t>Emergency</w:t>
            </w:r>
            <w:proofErr w:type="spellEnd"/>
            <w:r w:rsidRPr="00D97AD9">
              <w:rPr>
                <w:sz w:val="20"/>
              </w:rPr>
              <w:t xml:space="preserve"> Response Team</w:t>
            </w:r>
          </w:p>
          <w:p w:rsidR="001F313C" w:rsidRPr="00D97AD9" w:rsidRDefault="001F313C" w:rsidP="008C1143">
            <w:pPr>
              <w:rPr>
                <w:sz w:val="20"/>
              </w:rPr>
            </w:pPr>
            <w:proofErr w:type="spellStart"/>
            <w:r w:rsidRPr="001F313C">
              <w:rPr>
                <w:sz w:val="20"/>
              </w:rPr>
              <w:t>Cooperative</w:t>
            </w:r>
            <w:proofErr w:type="spellEnd"/>
            <w:r w:rsidRPr="001F313C">
              <w:rPr>
                <w:sz w:val="20"/>
              </w:rPr>
              <w:t xml:space="preserve">, </w:t>
            </w:r>
            <w:proofErr w:type="spellStart"/>
            <w:r w:rsidRPr="001F313C">
              <w:rPr>
                <w:sz w:val="20"/>
              </w:rPr>
              <w:t>connected</w:t>
            </w:r>
            <w:proofErr w:type="spellEnd"/>
            <w:r w:rsidRPr="001F313C">
              <w:rPr>
                <w:sz w:val="20"/>
              </w:rPr>
              <w:t xml:space="preserve"> </w:t>
            </w:r>
            <w:proofErr w:type="spellStart"/>
            <w:r w:rsidRPr="001F313C">
              <w:rPr>
                <w:sz w:val="20"/>
              </w:rPr>
              <w:t>and</w:t>
            </w:r>
            <w:proofErr w:type="spellEnd"/>
            <w:r w:rsidRPr="001F313C">
              <w:rPr>
                <w:sz w:val="20"/>
              </w:rPr>
              <w:t xml:space="preserve"> </w:t>
            </w:r>
            <w:proofErr w:type="spellStart"/>
            <w:r w:rsidRPr="001F313C">
              <w:rPr>
                <w:sz w:val="20"/>
              </w:rPr>
              <w:t>automated</w:t>
            </w:r>
            <w:proofErr w:type="spellEnd"/>
            <w:r w:rsidRPr="001F313C">
              <w:rPr>
                <w:sz w:val="20"/>
              </w:rPr>
              <w:t xml:space="preserve"> mobility </w:t>
            </w:r>
            <w:r>
              <w:rPr>
                <w:sz w:val="20"/>
              </w:rPr>
              <w:t>(Kooperativní inteligentní dopravní</w:t>
            </w:r>
            <w:r w:rsidRPr="001F313C">
              <w:rPr>
                <w:sz w:val="20"/>
              </w:rPr>
              <w:t xml:space="preserve"> systém</w:t>
            </w:r>
            <w:r>
              <w:rPr>
                <w:sz w:val="20"/>
              </w:rPr>
              <w:t>y)</w:t>
            </w:r>
          </w:p>
        </w:tc>
      </w:tr>
      <w:tr w:rsidR="00FF432B" w:rsidRPr="00D97AD9" w:rsidTr="00DB55D6">
        <w:trPr>
          <w:trHeight w:val="300"/>
        </w:trPr>
        <w:tc>
          <w:tcPr>
            <w:tcW w:w="2380" w:type="dxa"/>
            <w:tcBorders>
              <w:top w:val="nil"/>
              <w:left w:val="nil"/>
              <w:bottom w:val="nil"/>
              <w:right w:val="nil"/>
            </w:tcBorders>
            <w:shd w:val="clear" w:color="auto" w:fill="auto"/>
            <w:tcMar>
              <w:top w:w="15" w:type="dxa"/>
              <w:left w:w="15" w:type="dxa"/>
              <w:bottom w:w="0" w:type="dxa"/>
              <w:right w:w="15" w:type="dxa"/>
            </w:tcMar>
            <w:vAlign w:val="center"/>
            <w:hideMark/>
          </w:tcPr>
          <w:p w:rsidR="00FF432B" w:rsidRDefault="00FF432B" w:rsidP="008C1143">
            <w:pPr>
              <w:rPr>
                <w:sz w:val="20"/>
              </w:rPr>
            </w:pPr>
            <w:r>
              <w:rPr>
                <w:sz w:val="20"/>
              </w:rPr>
              <w:t>CRAB</w:t>
            </w:r>
          </w:p>
          <w:p w:rsidR="001F313C" w:rsidRPr="00D97AD9" w:rsidRDefault="001F313C" w:rsidP="008C1143">
            <w:pPr>
              <w:rPr>
                <w:sz w:val="20"/>
              </w:rPr>
            </w:pPr>
            <w:r>
              <w:rPr>
                <w:sz w:val="20"/>
              </w:rPr>
              <w:t>ČMKOS</w:t>
            </w:r>
          </w:p>
        </w:tc>
        <w:tc>
          <w:tcPr>
            <w:tcW w:w="9900" w:type="dxa"/>
            <w:tcBorders>
              <w:top w:val="nil"/>
              <w:left w:val="nil"/>
              <w:bottom w:val="nil"/>
              <w:right w:val="nil"/>
            </w:tcBorders>
            <w:shd w:val="clear" w:color="auto" w:fill="auto"/>
            <w:tcMar>
              <w:top w:w="15" w:type="dxa"/>
              <w:left w:w="15" w:type="dxa"/>
              <w:bottom w:w="0" w:type="dxa"/>
              <w:right w:w="15" w:type="dxa"/>
            </w:tcMar>
            <w:vAlign w:val="center"/>
            <w:hideMark/>
          </w:tcPr>
          <w:p w:rsidR="00FF432B" w:rsidRDefault="00FF432B" w:rsidP="008C1143">
            <w:pPr>
              <w:rPr>
                <w:sz w:val="20"/>
              </w:rPr>
            </w:pPr>
            <w:r w:rsidRPr="00D07530">
              <w:rPr>
                <w:sz w:val="20"/>
              </w:rPr>
              <w:t>Centrální Registr Administrativních Budov</w:t>
            </w:r>
          </w:p>
          <w:p w:rsidR="001F313C" w:rsidRPr="00D97AD9" w:rsidRDefault="001F313C" w:rsidP="008C1143">
            <w:pPr>
              <w:rPr>
                <w:sz w:val="20"/>
              </w:rPr>
            </w:pPr>
            <w:r w:rsidRPr="001F313C">
              <w:rPr>
                <w:sz w:val="20"/>
              </w:rPr>
              <w:t>Českomoravská konfederace odborových svazů</w:t>
            </w:r>
          </w:p>
        </w:tc>
      </w:tr>
      <w:tr w:rsidR="00FF432B" w:rsidRPr="00D97AD9" w:rsidTr="00DB55D6">
        <w:trPr>
          <w:trHeight w:val="300"/>
        </w:trPr>
        <w:tc>
          <w:tcPr>
            <w:tcW w:w="2380" w:type="dxa"/>
            <w:tcBorders>
              <w:top w:val="nil"/>
              <w:left w:val="nil"/>
              <w:bottom w:val="nil"/>
              <w:right w:val="nil"/>
            </w:tcBorders>
            <w:shd w:val="clear" w:color="auto" w:fill="auto"/>
            <w:tcMar>
              <w:top w:w="15" w:type="dxa"/>
              <w:left w:w="15" w:type="dxa"/>
              <w:bottom w:w="0" w:type="dxa"/>
              <w:right w:w="15" w:type="dxa"/>
            </w:tcMar>
            <w:vAlign w:val="center"/>
            <w:hideMark/>
          </w:tcPr>
          <w:p w:rsidR="00FF432B" w:rsidRPr="00D97AD9" w:rsidRDefault="00FF432B" w:rsidP="008C1143">
            <w:pPr>
              <w:rPr>
                <w:sz w:val="20"/>
              </w:rPr>
            </w:pPr>
            <w:r w:rsidRPr="00D97AD9">
              <w:rPr>
                <w:sz w:val="20"/>
              </w:rPr>
              <w:t>ČR</w:t>
            </w:r>
          </w:p>
        </w:tc>
        <w:tc>
          <w:tcPr>
            <w:tcW w:w="9900" w:type="dxa"/>
            <w:tcBorders>
              <w:top w:val="nil"/>
              <w:left w:val="nil"/>
              <w:bottom w:val="nil"/>
              <w:right w:val="nil"/>
            </w:tcBorders>
            <w:shd w:val="clear" w:color="auto" w:fill="auto"/>
            <w:tcMar>
              <w:top w:w="15" w:type="dxa"/>
              <w:left w:w="15" w:type="dxa"/>
              <w:bottom w:w="0" w:type="dxa"/>
              <w:right w:w="15" w:type="dxa"/>
            </w:tcMar>
            <w:vAlign w:val="center"/>
            <w:hideMark/>
          </w:tcPr>
          <w:p w:rsidR="00FF432B" w:rsidRPr="00D97AD9" w:rsidRDefault="00FF432B" w:rsidP="008C1143">
            <w:pPr>
              <w:rPr>
                <w:sz w:val="20"/>
              </w:rPr>
            </w:pPr>
            <w:r w:rsidRPr="00D97AD9">
              <w:rPr>
                <w:sz w:val="20"/>
              </w:rPr>
              <w:t>Česká republika</w:t>
            </w:r>
          </w:p>
        </w:tc>
      </w:tr>
      <w:tr w:rsidR="00FF432B" w:rsidRPr="00D97AD9" w:rsidTr="00DB55D6">
        <w:trPr>
          <w:trHeight w:val="300"/>
        </w:trPr>
        <w:tc>
          <w:tcPr>
            <w:tcW w:w="2380" w:type="dxa"/>
            <w:tcBorders>
              <w:top w:val="nil"/>
              <w:left w:val="nil"/>
              <w:bottom w:val="nil"/>
              <w:right w:val="nil"/>
            </w:tcBorders>
            <w:shd w:val="clear" w:color="auto" w:fill="auto"/>
            <w:tcMar>
              <w:top w:w="15" w:type="dxa"/>
              <w:left w:w="15" w:type="dxa"/>
              <w:bottom w:w="0" w:type="dxa"/>
              <w:right w:w="15" w:type="dxa"/>
            </w:tcMar>
            <w:vAlign w:val="center"/>
            <w:hideMark/>
          </w:tcPr>
          <w:p w:rsidR="00FF432B" w:rsidRPr="00D97AD9" w:rsidRDefault="00FF432B" w:rsidP="008C1143">
            <w:pPr>
              <w:rPr>
                <w:sz w:val="20"/>
              </w:rPr>
            </w:pPr>
            <w:r w:rsidRPr="00D97AD9">
              <w:rPr>
                <w:sz w:val="20"/>
              </w:rPr>
              <w:t>ČSÚ</w:t>
            </w:r>
          </w:p>
        </w:tc>
        <w:tc>
          <w:tcPr>
            <w:tcW w:w="9900" w:type="dxa"/>
            <w:tcBorders>
              <w:top w:val="nil"/>
              <w:left w:val="nil"/>
              <w:bottom w:val="nil"/>
              <w:right w:val="nil"/>
            </w:tcBorders>
            <w:shd w:val="clear" w:color="auto" w:fill="auto"/>
            <w:tcMar>
              <w:top w:w="15" w:type="dxa"/>
              <w:left w:w="15" w:type="dxa"/>
              <w:bottom w:w="0" w:type="dxa"/>
              <w:right w:w="15" w:type="dxa"/>
            </w:tcMar>
            <w:vAlign w:val="center"/>
            <w:hideMark/>
          </w:tcPr>
          <w:p w:rsidR="00FF432B" w:rsidRPr="00D97AD9" w:rsidRDefault="00FF432B" w:rsidP="008C1143">
            <w:pPr>
              <w:rPr>
                <w:sz w:val="20"/>
              </w:rPr>
            </w:pPr>
            <w:r w:rsidRPr="00D97AD9">
              <w:rPr>
                <w:sz w:val="20"/>
              </w:rPr>
              <w:t>Český statistický úřad</w:t>
            </w:r>
          </w:p>
        </w:tc>
      </w:tr>
      <w:tr w:rsidR="00FF432B" w:rsidRPr="00D97AD9" w:rsidTr="00DB55D6">
        <w:trPr>
          <w:trHeight w:val="300"/>
        </w:trPr>
        <w:tc>
          <w:tcPr>
            <w:tcW w:w="2380" w:type="dxa"/>
            <w:tcBorders>
              <w:top w:val="nil"/>
              <w:left w:val="nil"/>
              <w:bottom w:val="nil"/>
              <w:right w:val="nil"/>
            </w:tcBorders>
            <w:shd w:val="clear" w:color="auto" w:fill="auto"/>
            <w:tcMar>
              <w:top w:w="15" w:type="dxa"/>
              <w:left w:w="15" w:type="dxa"/>
              <w:bottom w:w="0" w:type="dxa"/>
              <w:right w:w="15" w:type="dxa"/>
            </w:tcMar>
            <w:vAlign w:val="center"/>
            <w:hideMark/>
          </w:tcPr>
          <w:p w:rsidR="00FF432B" w:rsidRDefault="00FF432B" w:rsidP="008C1143">
            <w:pPr>
              <w:rPr>
                <w:sz w:val="20"/>
              </w:rPr>
            </w:pPr>
            <w:r w:rsidRPr="00D97AD9">
              <w:rPr>
                <w:sz w:val="20"/>
              </w:rPr>
              <w:t>ČTÚ</w:t>
            </w:r>
          </w:p>
          <w:p w:rsidR="001F313C" w:rsidRPr="00D97AD9" w:rsidRDefault="001F313C" w:rsidP="008C1143">
            <w:pPr>
              <w:rPr>
                <w:sz w:val="20"/>
              </w:rPr>
            </w:pPr>
            <w:r>
              <w:rPr>
                <w:sz w:val="20"/>
              </w:rPr>
              <w:t>ČZÚK</w:t>
            </w:r>
          </w:p>
        </w:tc>
        <w:tc>
          <w:tcPr>
            <w:tcW w:w="9900" w:type="dxa"/>
            <w:tcBorders>
              <w:top w:val="nil"/>
              <w:left w:val="nil"/>
              <w:bottom w:val="nil"/>
              <w:right w:val="nil"/>
            </w:tcBorders>
            <w:shd w:val="clear" w:color="auto" w:fill="auto"/>
            <w:tcMar>
              <w:top w:w="15" w:type="dxa"/>
              <w:left w:w="15" w:type="dxa"/>
              <w:bottom w:w="0" w:type="dxa"/>
              <w:right w:w="15" w:type="dxa"/>
            </w:tcMar>
            <w:vAlign w:val="center"/>
            <w:hideMark/>
          </w:tcPr>
          <w:p w:rsidR="00FF432B" w:rsidRDefault="00FF432B" w:rsidP="008C1143">
            <w:pPr>
              <w:rPr>
                <w:sz w:val="20"/>
              </w:rPr>
            </w:pPr>
            <w:r w:rsidRPr="00D97AD9">
              <w:rPr>
                <w:sz w:val="20"/>
              </w:rPr>
              <w:t>Český telekomunikační úřad</w:t>
            </w:r>
          </w:p>
          <w:p w:rsidR="001F313C" w:rsidRPr="00D97AD9" w:rsidRDefault="001F313C" w:rsidP="008C1143">
            <w:pPr>
              <w:rPr>
                <w:sz w:val="20"/>
              </w:rPr>
            </w:pPr>
            <w:r w:rsidRPr="001F313C">
              <w:rPr>
                <w:sz w:val="20"/>
              </w:rPr>
              <w:t>Státní správa zeměměřictví a katastru</w:t>
            </w:r>
          </w:p>
        </w:tc>
      </w:tr>
      <w:tr w:rsidR="00FF432B" w:rsidRPr="00D97AD9" w:rsidTr="00DB55D6">
        <w:trPr>
          <w:trHeight w:val="300"/>
        </w:trPr>
        <w:tc>
          <w:tcPr>
            <w:tcW w:w="2380" w:type="dxa"/>
            <w:tcBorders>
              <w:top w:val="nil"/>
              <w:left w:val="nil"/>
              <w:bottom w:val="nil"/>
              <w:right w:val="nil"/>
            </w:tcBorders>
            <w:shd w:val="clear" w:color="auto" w:fill="auto"/>
            <w:tcMar>
              <w:top w:w="15" w:type="dxa"/>
              <w:left w:w="15" w:type="dxa"/>
              <w:bottom w:w="0" w:type="dxa"/>
              <w:right w:w="15" w:type="dxa"/>
            </w:tcMar>
            <w:vAlign w:val="center"/>
            <w:hideMark/>
          </w:tcPr>
          <w:p w:rsidR="00FF432B" w:rsidRPr="00D97AD9" w:rsidRDefault="00FF432B" w:rsidP="008C1143">
            <w:pPr>
              <w:rPr>
                <w:sz w:val="20"/>
              </w:rPr>
            </w:pPr>
            <w:r w:rsidRPr="00D97AD9">
              <w:rPr>
                <w:sz w:val="20"/>
              </w:rPr>
              <w:t>DDM</w:t>
            </w:r>
          </w:p>
        </w:tc>
        <w:tc>
          <w:tcPr>
            <w:tcW w:w="9900" w:type="dxa"/>
            <w:tcBorders>
              <w:top w:val="nil"/>
              <w:left w:val="nil"/>
              <w:bottom w:val="nil"/>
              <w:right w:val="nil"/>
            </w:tcBorders>
            <w:shd w:val="clear" w:color="auto" w:fill="auto"/>
            <w:tcMar>
              <w:top w:w="15" w:type="dxa"/>
              <w:left w:w="15" w:type="dxa"/>
              <w:bottom w:w="0" w:type="dxa"/>
              <w:right w:w="15" w:type="dxa"/>
            </w:tcMar>
            <w:vAlign w:val="center"/>
            <w:hideMark/>
          </w:tcPr>
          <w:p w:rsidR="00FF432B" w:rsidRPr="00D97AD9" w:rsidRDefault="00FF432B" w:rsidP="008C1143">
            <w:pPr>
              <w:rPr>
                <w:sz w:val="20"/>
              </w:rPr>
            </w:pPr>
            <w:r w:rsidRPr="00D97AD9">
              <w:rPr>
                <w:sz w:val="20"/>
              </w:rPr>
              <w:t>domovy dětí a mládeže</w:t>
            </w:r>
          </w:p>
        </w:tc>
      </w:tr>
      <w:tr w:rsidR="00FF432B" w:rsidRPr="00D97AD9" w:rsidTr="00DB55D6">
        <w:trPr>
          <w:trHeight w:val="300"/>
        </w:trPr>
        <w:tc>
          <w:tcPr>
            <w:tcW w:w="2380" w:type="dxa"/>
            <w:tcBorders>
              <w:top w:val="nil"/>
              <w:left w:val="nil"/>
              <w:bottom w:val="nil"/>
              <w:right w:val="nil"/>
            </w:tcBorders>
            <w:shd w:val="clear" w:color="auto" w:fill="auto"/>
            <w:tcMar>
              <w:top w:w="15" w:type="dxa"/>
              <w:left w:w="15" w:type="dxa"/>
              <w:bottom w:w="0" w:type="dxa"/>
              <w:right w:w="15" w:type="dxa"/>
            </w:tcMar>
            <w:vAlign w:val="center"/>
            <w:hideMark/>
          </w:tcPr>
          <w:p w:rsidR="00FF432B" w:rsidRPr="00D97AD9" w:rsidRDefault="00D07530" w:rsidP="008C1143">
            <w:pPr>
              <w:rPr>
                <w:sz w:val="20"/>
              </w:rPr>
            </w:pPr>
            <w:r>
              <w:rPr>
                <w:sz w:val="20"/>
              </w:rPr>
              <w:t>D</w:t>
            </w:r>
            <w:r w:rsidR="00FF432B" w:rsidRPr="00D97AD9">
              <w:rPr>
                <w:sz w:val="20"/>
              </w:rPr>
              <w:t>P</w:t>
            </w:r>
            <w:r>
              <w:rPr>
                <w:sz w:val="20"/>
              </w:rPr>
              <w:t>N</w:t>
            </w:r>
          </w:p>
        </w:tc>
        <w:tc>
          <w:tcPr>
            <w:tcW w:w="9900" w:type="dxa"/>
            <w:tcBorders>
              <w:top w:val="nil"/>
              <w:left w:val="nil"/>
              <w:bottom w:val="nil"/>
              <w:right w:val="nil"/>
            </w:tcBorders>
            <w:shd w:val="clear" w:color="auto" w:fill="auto"/>
            <w:tcMar>
              <w:top w:w="15" w:type="dxa"/>
              <w:left w:w="15" w:type="dxa"/>
              <w:bottom w:w="0" w:type="dxa"/>
              <w:right w:w="15" w:type="dxa"/>
            </w:tcMar>
            <w:vAlign w:val="center"/>
            <w:hideMark/>
          </w:tcPr>
          <w:p w:rsidR="00FF432B" w:rsidRPr="00D97AD9" w:rsidRDefault="00FF432B" w:rsidP="008C1143">
            <w:pPr>
              <w:rPr>
                <w:sz w:val="20"/>
              </w:rPr>
            </w:pPr>
            <w:r w:rsidRPr="00D97AD9">
              <w:rPr>
                <w:sz w:val="20"/>
              </w:rPr>
              <w:t>dočasná pracovní neschopnost</w:t>
            </w:r>
          </w:p>
        </w:tc>
      </w:tr>
      <w:tr w:rsidR="00FF432B" w:rsidRPr="00D97AD9" w:rsidTr="00DB55D6">
        <w:trPr>
          <w:trHeight w:val="300"/>
        </w:trPr>
        <w:tc>
          <w:tcPr>
            <w:tcW w:w="2380" w:type="dxa"/>
            <w:tcBorders>
              <w:top w:val="nil"/>
              <w:left w:val="nil"/>
              <w:bottom w:val="nil"/>
              <w:right w:val="nil"/>
            </w:tcBorders>
            <w:shd w:val="clear" w:color="auto" w:fill="auto"/>
            <w:tcMar>
              <w:top w:w="15" w:type="dxa"/>
              <w:left w:w="15" w:type="dxa"/>
              <w:bottom w:w="0" w:type="dxa"/>
              <w:right w:w="15" w:type="dxa"/>
            </w:tcMar>
            <w:vAlign w:val="center"/>
            <w:hideMark/>
          </w:tcPr>
          <w:p w:rsidR="00FF432B" w:rsidRPr="00D97AD9" w:rsidRDefault="00FF432B" w:rsidP="008C1143">
            <w:pPr>
              <w:rPr>
                <w:sz w:val="20"/>
              </w:rPr>
            </w:pPr>
            <w:r w:rsidRPr="00D97AD9">
              <w:rPr>
                <w:sz w:val="20"/>
              </w:rPr>
              <w:t>DPH</w:t>
            </w:r>
          </w:p>
        </w:tc>
        <w:tc>
          <w:tcPr>
            <w:tcW w:w="9900" w:type="dxa"/>
            <w:tcBorders>
              <w:top w:val="nil"/>
              <w:left w:val="nil"/>
              <w:bottom w:val="nil"/>
              <w:right w:val="nil"/>
            </w:tcBorders>
            <w:shd w:val="clear" w:color="auto" w:fill="auto"/>
            <w:tcMar>
              <w:top w:w="15" w:type="dxa"/>
              <w:left w:w="15" w:type="dxa"/>
              <w:bottom w:w="0" w:type="dxa"/>
              <w:right w:w="15" w:type="dxa"/>
            </w:tcMar>
            <w:vAlign w:val="center"/>
            <w:hideMark/>
          </w:tcPr>
          <w:p w:rsidR="00FF432B" w:rsidRPr="00D97AD9" w:rsidRDefault="00FF432B" w:rsidP="008C1143">
            <w:pPr>
              <w:rPr>
                <w:sz w:val="20"/>
              </w:rPr>
            </w:pPr>
            <w:r w:rsidRPr="00D97AD9">
              <w:rPr>
                <w:sz w:val="20"/>
              </w:rPr>
              <w:t>daň z přidané hodnoty</w:t>
            </w:r>
          </w:p>
        </w:tc>
      </w:tr>
      <w:tr w:rsidR="00FF432B" w:rsidRPr="00D97AD9" w:rsidTr="00DB55D6">
        <w:trPr>
          <w:trHeight w:val="300"/>
        </w:trPr>
        <w:tc>
          <w:tcPr>
            <w:tcW w:w="2380" w:type="dxa"/>
            <w:tcBorders>
              <w:top w:val="nil"/>
              <w:left w:val="nil"/>
              <w:bottom w:val="nil"/>
              <w:right w:val="nil"/>
            </w:tcBorders>
            <w:shd w:val="clear" w:color="auto" w:fill="auto"/>
            <w:tcMar>
              <w:top w:w="15" w:type="dxa"/>
              <w:left w:w="15" w:type="dxa"/>
              <w:bottom w:w="0" w:type="dxa"/>
              <w:right w:w="15" w:type="dxa"/>
            </w:tcMar>
            <w:vAlign w:val="center"/>
            <w:hideMark/>
          </w:tcPr>
          <w:p w:rsidR="00FF432B" w:rsidRPr="00D97AD9" w:rsidRDefault="00FF432B" w:rsidP="008C1143">
            <w:pPr>
              <w:rPr>
                <w:sz w:val="20"/>
              </w:rPr>
            </w:pPr>
            <w:r w:rsidRPr="00D97AD9">
              <w:rPr>
                <w:sz w:val="20"/>
              </w:rPr>
              <w:t>DSM</w:t>
            </w:r>
          </w:p>
        </w:tc>
        <w:tc>
          <w:tcPr>
            <w:tcW w:w="9900" w:type="dxa"/>
            <w:tcBorders>
              <w:top w:val="nil"/>
              <w:left w:val="nil"/>
              <w:bottom w:val="nil"/>
              <w:right w:val="nil"/>
            </w:tcBorders>
            <w:shd w:val="clear" w:color="auto" w:fill="auto"/>
            <w:tcMar>
              <w:top w:w="15" w:type="dxa"/>
              <w:left w:w="15" w:type="dxa"/>
              <w:bottom w:w="0" w:type="dxa"/>
              <w:right w:w="15" w:type="dxa"/>
            </w:tcMar>
            <w:vAlign w:val="center"/>
            <w:hideMark/>
          </w:tcPr>
          <w:p w:rsidR="00FF432B" w:rsidRPr="00D97AD9" w:rsidRDefault="00FF432B" w:rsidP="008C1143">
            <w:pPr>
              <w:rPr>
                <w:sz w:val="20"/>
              </w:rPr>
            </w:pPr>
            <w:r w:rsidRPr="00D97AD9">
              <w:rPr>
                <w:sz w:val="20"/>
              </w:rPr>
              <w:t>Digital Single Market = Jednotný digitální trh (v Evropě)</w:t>
            </w:r>
          </w:p>
        </w:tc>
      </w:tr>
      <w:tr w:rsidR="00FF432B" w:rsidRPr="00D97AD9" w:rsidTr="00DB55D6">
        <w:trPr>
          <w:trHeight w:val="300"/>
        </w:trPr>
        <w:tc>
          <w:tcPr>
            <w:tcW w:w="2380" w:type="dxa"/>
            <w:tcBorders>
              <w:top w:val="nil"/>
              <w:left w:val="nil"/>
              <w:bottom w:val="nil"/>
              <w:right w:val="nil"/>
            </w:tcBorders>
            <w:shd w:val="clear" w:color="auto" w:fill="auto"/>
            <w:tcMar>
              <w:top w:w="15" w:type="dxa"/>
              <w:left w:w="15" w:type="dxa"/>
              <w:bottom w:w="0" w:type="dxa"/>
              <w:right w:w="15" w:type="dxa"/>
            </w:tcMar>
            <w:vAlign w:val="center"/>
            <w:hideMark/>
          </w:tcPr>
          <w:p w:rsidR="00FF432B" w:rsidRDefault="00FF432B" w:rsidP="008C1143">
            <w:pPr>
              <w:rPr>
                <w:sz w:val="20"/>
              </w:rPr>
            </w:pPr>
            <w:r w:rsidRPr="00D97AD9">
              <w:rPr>
                <w:sz w:val="20"/>
              </w:rPr>
              <w:t>DTT</w:t>
            </w:r>
          </w:p>
          <w:p w:rsidR="001F313C" w:rsidRPr="00D97AD9" w:rsidRDefault="001F313C" w:rsidP="008C1143">
            <w:pPr>
              <w:rPr>
                <w:sz w:val="20"/>
              </w:rPr>
            </w:pPr>
            <w:r>
              <w:rPr>
                <w:sz w:val="20"/>
              </w:rPr>
              <w:t>DVPP</w:t>
            </w:r>
          </w:p>
        </w:tc>
        <w:tc>
          <w:tcPr>
            <w:tcW w:w="9900" w:type="dxa"/>
            <w:tcBorders>
              <w:top w:val="nil"/>
              <w:left w:val="nil"/>
              <w:bottom w:val="nil"/>
              <w:right w:val="nil"/>
            </w:tcBorders>
            <w:shd w:val="clear" w:color="auto" w:fill="auto"/>
            <w:tcMar>
              <w:top w:w="15" w:type="dxa"/>
              <w:left w:w="15" w:type="dxa"/>
              <w:bottom w:w="0" w:type="dxa"/>
              <w:right w:w="15" w:type="dxa"/>
            </w:tcMar>
            <w:vAlign w:val="center"/>
            <w:hideMark/>
          </w:tcPr>
          <w:p w:rsidR="00FF432B" w:rsidRDefault="00FF432B" w:rsidP="008C1143">
            <w:pPr>
              <w:rPr>
                <w:sz w:val="20"/>
              </w:rPr>
            </w:pPr>
            <w:r w:rsidRPr="00D97AD9">
              <w:rPr>
                <w:sz w:val="20"/>
              </w:rPr>
              <w:t>zemské digitální televizní vysílání</w:t>
            </w:r>
          </w:p>
          <w:p w:rsidR="001F313C" w:rsidRPr="00D97AD9" w:rsidRDefault="001F313C" w:rsidP="008C1143">
            <w:pPr>
              <w:rPr>
                <w:sz w:val="20"/>
              </w:rPr>
            </w:pPr>
            <w:r>
              <w:rPr>
                <w:sz w:val="20"/>
              </w:rPr>
              <w:t>D</w:t>
            </w:r>
            <w:r w:rsidRPr="001F313C">
              <w:rPr>
                <w:sz w:val="20"/>
              </w:rPr>
              <w:t>alší vzdělávání pedagogických pracovníků</w:t>
            </w:r>
          </w:p>
        </w:tc>
      </w:tr>
      <w:tr w:rsidR="00FF432B" w:rsidRPr="00D97AD9" w:rsidTr="00DB55D6">
        <w:trPr>
          <w:trHeight w:val="300"/>
        </w:trPr>
        <w:tc>
          <w:tcPr>
            <w:tcW w:w="2380" w:type="dxa"/>
            <w:tcBorders>
              <w:top w:val="nil"/>
              <w:left w:val="nil"/>
              <w:bottom w:val="nil"/>
              <w:right w:val="nil"/>
            </w:tcBorders>
            <w:shd w:val="clear" w:color="auto" w:fill="auto"/>
            <w:tcMar>
              <w:top w:w="15" w:type="dxa"/>
              <w:left w:w="15" w:type="dxa"/>
              <w:bottom w:w="0" w:type="dxa"/>
              <w:right w:w="15" w:type="dxa"/>
            </w:tcMar>
            <w:vAlign w:val="center"/>
            <w:hideMark/>
          </w:tcPr>
          <w:p w:rsidR="00FF432B" w:rsidRPr="00D97AD9" w:rsidRDefault="00FF432B" w:rsidP="008C1143">
            <w:pPr>
              <w:rPr>
                <w:sz w:val="20"/>
              </w:rPr>
            </w:pPr>
            <w:r w:rsidRPr="00D97AD9">
              <w:rPr>
                <w:sz w:val="20"/>
              </w:rPr>
              <w:t>EA</w:t>
            </w:r>
          </w:p>
        </w:tc>
        <w:tc>
          <w:tcPr>
            <w:tcW w:w="9900" w:type="dxa"/>
            <w:tcBorders>
              <w:top w:val="nil"/>
              <w:left w:val="nil"/>
              <w:bottom w:val="nil"/>
              <w:right w:val="nil"/>
            </w:tcBorders>
            <w:shd w:val="clear" w:color="auto" w:fill="auto"/>
            <w:tcMar>
              <w:top w:w="15" w:type="dxa"/>
              <w:left w:w="15" w:type="dxa"/>
              <w:bottom w:w="0" w:type="dxa"/>
              <w:right w:w="15" w:type="dxa"/>
            </w:tcMar>
            <w:vAlign w:val="center"/>
            <w:hideMark/>
          </w:tcPr>
          <w:p w:rsidR="00FF432B" w:rsidRPr="00D97AD9" w:rsidRDefault="00FF432B" w:rsidP="008C1143">
            <w:pPr>
              <w:rPr>
                <w:sz w:val="20"/>
              </w:rPr>
            </w:pPr>
            <w:r w:rsidRPr="00D97AD9">
              <w:rPr>
                <w:sz w:val="20"/>
              </w:rPr>
              <w:t>podniková architektura</w:t>
            </w:r>
          </w:p>
        </w:tc>
      </w:tr>
      <w:tr w:rsidR="00FF432B" w:rsidRPr="00D97AD9" w:rsidTr="00DB55D6">
        <w:trPr>
          <w:trHeight w:val="300"/>
        </w:trPr>
        <w:tc>
          <w:tcPr>
            <w:tcW w:w="2380" w:type="dxa"/>
            <w:tcBorders>
              <w:top w:val="nil"/>
              <w:left w:val="nil"/>
              <w:bottom w:val="nil"/>
              <w:right w:val="nil"/>
            </w:tcBorders>
            <w:shd w:val="clear" w:color="auto" w:fill="auto"/>
            <w:tcMar>
              <w:top w:w="15" w:type="dxa"/>
              <w:left w:w="15" w:type="dxa"/>
              <w:bottom w:w="0" w:type="dxa"/>
              <w:right w:w="15" w:type="dxa"/>
            </w:tcMar>
            <w:vAlign w:val="center"/>
            <w:hideMark/>
          </w:tcPr>
          <w:p w:rsidR="00FF432B" w:rsidRPr="00D97AD9" w:rsidRDefault="00FF432B" w:rsidP="008C1143">
            <w:pPr>
              <w:rPr>
                <w:sz w:val="20"/>
              </w:rPr>
            </w:pPr>
            <w:r w:rsidRPr="00D97AD9">
              <w:rPr>
                <w:sz w:val="20"/>
              </w:rPr>
              <w:t>ECDL</w:t>
            </w:r>
          </w:p>
        </w:tc>
        <w:tc>
          <w:tcPr>
            <w:tcW w:w="9900" w:type="dxa"/>
            <w:tcBorders>
              <w:top w:val="nil"/>
              <w:left w:val="nil"/>
              <w:bottom w:val="nil"/>
              <w:right w:val="nil"/>
            </w:tcBorders>
            <w:shd w:val="clear" w:color="auto" w:fill="auto"/>
            <w:tcMar>
              <w:top w:w="15" w:type="dxa"/>
              <w:left w:w="15" w:type="dxa"/>
              <w:bottom w:w="0" w:type="dxa"/>
              <w:right w:w="15" w:type="dxa"/>
            </w:tcMar>
            <w:vAlign w:val="center"/>
            <w:hideMark/>
          </w:tcPr>
          <w:p w:rsidR="00FF432B" w:rsidRPr="00D97AD9" w:rsidRDefault="00FF432B" w:rsidP="008C1143">
            <w:pPr>
              <w:rPr>
                <w:sz w:val="20"/>
              </w:rPr>
            </w:pPr>
            <w:r w:rsidRPr="00D97AD9">
              <w:rPr>
                <w:sz w:val="20"/>
              </w:rPr>
              <w:t>evropské vzdělávací standardy v oblasti digitální gramotnosti</w:t>
            </w:r>
          </w:p>
        </w:tc>
      </w:tr>
      <w:tr w:rsidR="00FF432B" w:rsidRPr="00D97AD9" w:rsidTr="00DB55D6">
        <w:trPr>
          <w:trHeight w:val="300"/>
        </w:trPr>
        <w:tc>
          <w:tcPr>
            <w:tcW w:w="2380" w:type="dxa"/>
            <w:tcBorders>
              <w:top w:val="nil"/>
              <w:left w:val="nil"/>
              <w:bottom w:val="nil"/>
              <w:right w:val="nil"/>
            </w:tcBorders>
            <w:shd w:val="clear" w:color="auto" w:fill="auto"/>
            <w:tcMar>
              <w:top w:w="15" w:type="dxa"/>
              <w:left w:w="15" w:type="dxa"/>
              <w:bottom w:w="0" w:type="dxa"/>
              <w:right w:w="15" w:type="dxa"/>
            </w:tcMar>
            <w:vAlign w:val="center"/>
            <w:hideMark/>
          </w:tcPr>
          <w:p w:rsidR="00FF432B" w:rsidRPr="00D97AD9" w:rsidRDefault="00FF432B" w:rsidP="008C1143">
            <w:pPr>
              <w:rPr>
                <w:sz w:val="20"/>
              </w:rPr>
            </w:pPr>
            <w:r w:rsidRPr="00D97AD9">
              <w:rPr>
                <w:sz w:val="20"/>
              </w:rPr>
              <w:t>EESSI</w:t>
            </w:r>
          </w:p>
        </w:tc>
        <w:tc>
          <w:tcPr>
            <w:tcW w:w="9900" w:type="dxa"/>
            <w:tcBorders>
              <w:top w:val="nil"/>
              <w:left w:val="nil"/>
              <w:bottom w:val="nil"/>
              <w:right w:val="nil"/>
            </w:tcBorders>
            <w:shd w:val="clear" w:color="auto" w:fill="auto"/>
            <w:tcMar>
              <w:top w:w="15" w:type="dxa"/>
              <w:left w:w="15" w:type="dxa"/>
              <w:bottom w:w="0" w:type="dxa"/>
              <w:right w:w="15" w:type="dxa"/>
            </w:tcMar>
            <w:vAlign w:val="center"/>
            <w:hideMark/>
          </w:tcPr>
          <w:p w:rsidR="00FF432B" w:rsidRPr="00D97AD9" w:rsidRDefault="00FF432B" w:rsidP="008C1143">
            <w:pPr>
              <w:rPr>
                <w:sz w:val="20"/>
              </w:rPr>
            </w:pPr>
            <w:r w:rsidRPr="00D97AD9">
              <w:rPr>
                <w:sz w:val="20"/>
              </w:rPr>
              <w:t>Elektronická výměna informací o sociálním zabezpečení (evropský projekt)</w:t>
            </w:r>
          </w:p>
        </w:tc>
      </w:tr>
      <w:tr w:rsidR="00FF432B" w:rsidRPr="00D97AD9" w:rsidTr="00DB55D6">
        <w:trPr>
          <w:trHeight w:val="300"/>
        </w:trPr>
        <w:tc>
          <w:tcPr>
            <w:tcW w:w="2380" w:type="dxa"/>
            <w:tcBorders>
              <w:top w:val="nil"/>
              <w:left w:val="nil"/>
              <w:bottom w:val="nil"/>
              <w:right w:val="nil"/>
            </w:tcBorders>
            <w:shd w:val="clear" w:color="auto" w:fill="auto"/>
            <w:tcMar>
              <w:top w:w="15" w:type="dxa"/>
              <w:left w:w="15" w:type="dxa"/>
              <w:bottom w:w="0" w:type="dxa"/>
              <w:right w:w="15" w:type="dxa"/>
            </w:tcMar>
            <w:vAlign w:val="center"/>
            <w:hideMark/>
          </w:tcPr>
          <w:p w:rsidR="00FF432B" w:rsidRPr="00D97AD9" w:rsidRDefault="00FF432B" w:rsidP="008C1143">
            <w:pPr>
              <w:rPr>
                <w:sz w:val="20"/>
              </w:rPr>
            </w:pPr>
            <w:proofErr w:type="spellStart"/>
            <w:r w:rsidRPr="00D97AD9">
              <w:rPr>
                <w:sz w:val="20"/>
              </w:rPr>
              <w:t>eGAP</w:t>
            </w:r>
            <w:proofErr w:type="spellEnd"/>
          </w:p>
        </w:tc>
        <w:tc>
          <w:tcPr>
            <w:tcW w:w="9900" w:type="dxa"/>
            <w:tcBorders>
              <w:top w:val="nil"/>
              <w:left w:val="nil"/>
              <w:bottom w:val="nil"/>
              <w:right w:val="nil"/>
            </w:tcBorders>
            <w:shd w:val="clear" w:color="auto" w:fill="auto"/>
            <w:tcMar>
              <w:top w:w="15" w:type="dxa"/>
              <w:left w:w="15" w:type="dxa"/>
              <w:bottom w:w="0" w:type="dxa"/>
              <w:right w:w="15" w:type="dxa"/>
            </w:tcMar>
            <w:vAlign w:val="center"/>
            <w:hideMark/>
          </w:tcPr>
          <w:p w:rsidR="00FF432B" w:rsidRPr="00D97AD9" w:rsidRDefault="00FF432B" w:rsidP="008C1143">
            <w:pPr>
              <w:rPr>
                <w:sz w:val="20"/>
              </w:rPr>
            </w:pPr>
            <w:r w:rsidRPr="00D97AD9">
              <w:rPr>
                <w:sz w:val="20"/>
              </w:rPr>
              <w:t xml:space="preserve">Akční plán pro </w:t>
            </w:r>
            <w:proofErr w:type="spellStart"/>
            <w:r w:rsidRPr="00D97AD9">
              <w:rPr>
                <w:sz w:val="20"/>
              </w:rPr>
              <w:t>eGovernment</w:t>
            </w:r>
            <w:proofErr w:type="spellEnd"/>
            <w:r w:rsidRPr="00D97AD9">
              <w:rPr>
                <w:sz w:val="20"/>
              </w:rPr>
              <w:t xml:space="preserve"> 2016-2020</w:t>
            </w:r>
          </w:p>
        </w:tc>
      </w:tr>
      <w:tr w:rsidR="00FF432B" w:rsidRPr="00D97AD9" w:rsidTr="00DB55D6">
        <w:trPr>
          <w:trHeight w:val="300"/>
        </w:trPr>
        <w:tc>
          <w:tcPr>
            <w:tcW w:w="2380" w:type="dxa"/>
            <w:tcBorders>
              <w:top w:val="nil"/>
              <w:left w:val="nil"/>
              <w:bottom w:val="nil"/>
              <w:right w:val="nil"/>
            </w:tcBorders>
            <w:shd w:val="clear" w:color="auto" w:fill="auto"/>
            <w:tcMar>
              <w:top w:w="15" w:type="dxa"/>
              <w:left w:w="15" w:type="dxa"/>
              <w:bottom w:w="0" w:type="dxa"/>
              <w:right w:w="15" w:type="dxa"/>
            </w:tcMar>
            <w:vAlign w:val="center"/>
            <w:hideMark/>
          </w:tcPr>
          <w:p w:rsidR="00FF432B" w:rsidRPr="00D97AD9" w:rsidRDefault="00FF432B" w:rsidP="008C1143">
            <w:pPr>
              <w:rPr>
                <w:sz w:val="20"/>
              </w:rPr>
            </w:pPr>
            <w:proofErr w:type="spellStart"/>
            <w:r w:rsidRPr="00D97AD9">
              <w:rPr>
                <w:sz w:val="20"/>
              </w:rPr>
              <w:t>eGC</w:t>
            </w:r>
            <w:proofErr w:type="spellEnd"/>
          </w:p>
        </w:tc>
        <w:tc>
          <w:tcPr>
            <w:tcW w:w="9900" w:type="dxa"/>
            <w:tcBorders>
              <w:top w:val="nil"/>
              <w:left w:val="nil"/>
              <w:bottom w:val="nil"/>
              <w:right w:val="nil"/>
            </w:tcBorders>
            <w:shd w:val="clear" w:color="auto" w:fill="auto"/>
            <w:tcMar>
              <w:top w:w="15" w:type="dxa"/>
              <w:left w:w="15" w:type="dxa"/>
              <w:bottom w:w="0" w:type="dxa"/>
              <w:right w:w="15" w:type="dxa"/>
            </w:tcMar>
            <w:vAlign w:val="center"/>
            <w:hideMark/>
          </w:tcPr>
          <w:p w:rsidR="00FF432B" w:rsidRPr="00D97AD9" w:rsidRDefault="00FF432B" w:rsidP="008C1143">
            <w:pPr>
              <w:rPr>
                <w:sz w:val="20"/>
              </w:rPr>
            </w:pPr>
            <w:proofErr w:type="spellStart"/>
            <w:r w:rsidRPr="00D97AD9">
              <w:rPr>
                <w:sz w:val="20"/>
              </w:rPr>
              <w:t>eGovernment</w:t>
            </w:r>
            <w:proofErr w:type="spellEnd"/>
            <w:r>
              <w:rPr>
                <w:sz w:val="20"/>
              </w:rPr>
              <w:t xml:space="preserve"> </w:t>
            </w:r>
            <w:proofErr w:type="spellStart"/>
            <w:r w:rsidRPr="00D97AD9">
              <w:rPr>
                <w:sz w:val="20"/>
              </w:rPr>
              <w:t>cloud</w:t>
            </w:r>
            <w:proofErr w:type="spellEnd"/>
          </w:p>
        </w:tc>
      </w:tr>
      <w:tr w:rsidR="00FF432B" w:rsidRPr="00D97AD9" w:rsidTr="00DB55D6">
        <w:trPr>
          <w:trHeight w:val="300"/>
        </w:trPr>
        <w:tc>
          <w:tcPr>
            <w:tcW w:w="2380" w:type="dxa"/>
            <w:tcBorders>
              <w:top w:val="nil"/>
              <w:left w:val="nil"/>
              <w:bottom w:val="nil"/>
              <w:right w:val="nil"/>
            </w:tcBorders>
            <w:shd w:val="clear" w:color="auto" w:fill="auto"/>
            <w:tcMar>
              <w:top w:w="15" w:type="dxa"/>
              <w:left w:w="15" w:type="dxa"/>
              <w:bottom w:w="0" w:type="dxa"/>
              <w:right w:w="15" w:type="dxa"/>
            </w:tcMar>
            <w:vAlign w:val="center"/>
            <w:hideMark/>
          </w:tcPr>
          <w:p w:rsidR="00FF432B" w:rsidRPr="00D97AD9" w:rsidRDefault="00FF432B" w:rsidP="008C1143">
            <w:pPr>
              <w:rPr>
                <w:sz w:val="20"/>
              </w:rPr>
            </w:pPr>
            <w:r w:rsidRPr="00D97AD9">
              <w:rPr>
                <w:sz w:val="20"/>
              </w:rPr>
              <w:t>EGDI</w:t>
            </w:r>
          </w:p>
        </w:tc>
        <w:tc>
          <w:tcPr>
            <w:tcW w:w="9900" w:type="dxa"/>
            <w:tcBorders>
              <w:top w:val="nil"/>
              <w:left w:val="nil"/>
              <w:bottom w:val="nil"/>
              <w:right w:val="nil"/>
            </w:tcBorders>
            <w:shd w:val="clear" w:color="auto" w:fill="auto"/>
            <w:tcMar>
              <w:top w:w="15" w:type="dxa"/>
              <w:left w:w="15" w:type="dxa"/>
              <w:bottom w:w="0" w:type="dxa"/>
              <w:right w:w="15" w:type="dxa"/>
            </w:tcMar>
            <w:vAlign w:val="center"/>
            <w:hideMark/>
          </w:tcPr>
          <w:p w:rsidR="00FF432B" w:rsidRPr="00D97AD9" w:rsidRDefault="00FF432B" w:rsidP="008C1143">
            <w:pPr>
              <w:rPr>
                <w:sz w:val="20"/>
              </w:rPr>
            </w:pPr>
            <w:proofErr w:type="spellStart"/>
            <w:r w:rsidRPr="00D97AD9">
              <w:rPr>
                <w:sz w:val="20"/>
              </w:rPr>
              <w:t>eGovernment</w:t>
            </w:r>
            <w:proofErr w:type="spellEnd"/>
            <w:r>
              <w:rPr>
                <w:sz w:val="20"/>
              </w:rPr>
              <w:t xml:space="preserve"> </w:t>
            </w:r>
            <w:proofErr w:type="spellStart"/>
            <w:r w:rsidRPr="00D97AD9">
              <w:rPr>
                <w:sz w:val="20"/>
              </w:rPr>
              <w:t>Development</w:t>
            </w:r>
            <w:proofErr w:type="spellEnd"/>
            <w:r w:rsidRPr="00D97AD9">
              <w:rPr>
                <w:sz w:val="20"/>
              </w:rPr>
              <w:t xml:space="preserve"> Index = index rozvoje </w:t>
            </w:r>
            <w:proofErr w:type="spellStart"/>
            <w:r w:rsidRPr="00D97AD9">
              <w:rPr>
                <w:sz w:val="20"/>
              </w:rPr>
              <w:t>eGovernmentu</w:t>
            </w:r>
            <w:proofErr w:type="spellEnd"/>
          </w:p>
        </w:tc>
      </w:tr>
      <w:tr w:rsidR="00FF432B" w:rsidRPr="00D97AD9" w:rsidTr="00DB55D6">
        <w:trPr>
          <w:trHeight w:val="300"/>
        </w:trPr>
        <w:tc>
          <w:tcPr>
            <w:tcW w:w="2380" w:type="dxa"/>
            <w:tcBorders>
              <w:top w:val="nil"/>
              <w:left w:val="nil"/>
              <w:bottom w:val="nil"/>
              <w:right w:val="nil"/>
            </w:tcBorders>
            <w:shd w:val="clear" w:color="auto" w:fill="auto"/>
            <w:tcMar>
              <w:top w:w="15" w:type="dxa"/>
              <w:left w:w="15" w:type="dxa"/>
              <w:bottom w:w="0" w:type="dxa"/>
              <w:right w:w="15" w:type="dxa"/>
            </w:tcMar>
            <w:vAlign w:val="center"/>
            <w:hideMark/>
          </w:tcPr>
          <w:p w:rsidR="00FF432B" w:rsidRPr="00D97AD9" w:rsidRDefault="00FF432B" w:rsidP="008C1143">
            <w:pPr>
              <w:rPr>
                <w:sz w:val="20"/>
              </w:rPr>
            </w:pPr>
            <w:r w:rsidRPr="00D97AD9">
              <w:rPr>
                <w:sz w:val="20"/>
              </w:rPr>
              <w:t>EK, Komise</w:t>
            </w:r>
          </w:p>
        </w:tc>
        <w:tc>
          <w:tcPr>
            <w:tcW w:w="9900" w:type="dxa"/>
            <w:tcBorders>
              <w:top w:val="nil"/>
              <w:left w:val="nil"/>
              <w:bottom w:val="nil"/>
              <w:right w:val="nil"/>
            </w:tcBorders>
            <w:shd w:val="clear" w:color="auto" w:fill="auto"/>
            <w:tcMar>
              <w:top w:w="15" w:type="dxa"/>
              <w:left w:w="15" w:type="dxa"/>
              <w:bottom w:w="0" w:type="dxa"/>
              <w:right w:w="15" w:type="dxa"/>
            </w:tcMar>
            <w:vAlign w:val="center"/>
            <w:hideMark/>
          </w:tcPr>
          <w:p w:rsidR="00FF432B" w:rsidRPr="00D97AD9" w:rsidRDefault="00FF432B" w:rsidP="008C1143">
            <w:pPr>
              <w:rPr>
                <w:sz w:val="20"/>
              </w:rPr>
            </w:pPr>
            <w:r w:rsidRPr="00D97AD9">
              <w:rPr>
                <w:sz w:val="20"/>
              </w:rPr>
              <w:t>Evropská komise</w:t>
            </w:r>
          </w:p>
        </w:tc>
      </w:tr>
      <w:tr w:rsidR="00FF432B" w:rsidRPr="00D97AD9" w:rsidTr="00DB55D6">
        <w:trPr>
          <w:trHeight w:val="300"/>
        </w:trPr>
        <w:tc>
          <w:tcPr>
            <w:tcW w:w="2380" w:type="dxa"/>
            <w:tcBorders>
              <w:top w:val="nil"/>
              <w:left w:val="nil"/>
              <w:bottom w:val="nil"/>
              <w:right w:val="nil"/>
            </w:tcBorders>
            <w:shd w:val="clear" w:color="auto" w:fill="auto"/>
            <w:tcMar>
              <w:top w:w="15" w:type="dxa"/>
              <w:left w:w="15" w:type="dxa"/>
              <w:bottom w:w="0" w:type="dxa"/>
              <w:right w:w="15" w:type="dxa"/>
            </w:tcMar>
            <w:vAlign w:val="center"/>
            <w:hideMark/>
          </w:tcPr>
          <w:p w:rsidR="00FF432B" w:rsidRPr="00D97AD9" w:rsidRDefault="00FF432B" w:rsidP="008C1143">
            <w:pPr>
              <w:rPr>
                <w:sz w:val="20"/>
              </w:rPr>
            </w:pPr>
            <w:r w:rsidRPr="00D97AD9">
              <w:rPr>
                <w:sz w:val="20"/>
              </w:rPr>
              <w:t>EP</w:t>
            </w:r>
          </w:p>
        </w:tc>
        <w:tc>
          <w:tcPr>
            <w:tcW w:w="9900" w:type="dxa"/>
            <w:tcBorders>
              <w:top w:val="nil"/>
              <w:left w:val="nil"/>
              <w:bottom w:val="nil"/>
              <w:right w:val="nil"/>
            </w:tcBorders>
            <w:shd w:val="clear" w:color="auto" w:fill="auto"/>
            <w:tcMar>
              <w:top w:w="15" w:type="dxa"/>
              <w:left w:w="15" w:type="dxa"/>
              <w:bottom w:w="0" w:type="dxa"/>
              <w:right w:w="15" w:type="dxa"/>
            </w:tcMar>
            <w:vAlign w:val="center"/>
            <w:hideMark/>
          </w:tcPr>
          <w:p w:rsidR="00FF432B" w:rsidRPr="00D97AD9" w:rsidRDefault="00FF432B" w:rsidP="008C1143">
            <w:pPr>
              <w:rPr>
                <w:sz w:val="20"/>
              </w:rPr>
            </w:pPr>
            <w:r w:rsidRPr="00D97AD9">
              <w:rPr>
                <w:sz w:val="20"/>
              </w:rPr>
              <w:t>Evropský parlament</w:t>
            </w:r>
          </w:p>
        </w:tc>
      </w:tr>
      <w:tr w:rsidR="00FF432B" w:rsidRPr="00D97AD9" w:rsidTr="00DB55D6">
        <w:trPr>
          <w:trHeight w:val="300"/>
        </w:trPr>
        <w:tc>
          <w:tcPr>
            <w:tcW w:w="2380" w:type="dxa"/>
            <w:tcBorders>
              <w:top w:val="nil"/>
              <w:left w:val="nil"/>
              <w:bottom w:val="nil"/>
              <w:right w:val="nil"/>
            </w:tcBorders>
            <w:shd w:val="clear" w:color="auto" w:fill="auto"/>
            <w:tcMar>
              <w:top w:w="15" w:type="dxa"/>
              <w:left w:w="15" w:type="dxa"/>
              <w:bottom w:w="0" w:type="dxa"/>
              <w:right w:w="15" w:type="dxa"/>
            </w:tcMar>
            <w:vAlign w:val="center"/>
            <w:hideMark/>
          </w:tcPr>
          <w:p w:rsidR="00FF432B" w:rsidRDefault="00FF432B" w:rsidP="008C1143">
            <w:pPr>
              <w:rPr>
                <w:sz w:val="20"/>
              </w:rPr>
            </w:pPr>
            <w:r w:rsidRPr="00D97AD9">
              <w:rPr>
                <w:sz w:val="20"/>
              </w:rPr>
              <w:t>ES</w:t>
            </w:r>
          </w:p>
          <w:p w:rsidR="00507621" w:rsidRPr="00D97AD9" w:rsidRDefault="00507621" w:rsidP="008C1143">
            <w:pPr>
              <w:rPr>
                <w:sz w:val="20"/>
              </w:rPr>
            </w:pPr>
            <w:r>
              <w:rPr>
                <w:sz w:val="20"/>
              </w:rPr>
              <w:t>ESA</w:t>
            </w:r>
          </w:p>
        </w:tc>
        <w:tc>
          <w:tcPr>
            <w:tcW w:w="9900" w:type="dxa"/>
            <w:tcBorders>
              <w:top w:val="nil"/>
              <w:left w:val="nil"/>
              <w:bottom w:val="nil"/>
              <w:right w:val="nil"/>
            </w:tcBorders>
            <w:shd w:val="clear" w:color="auto" w:fill="auto"/>
            <w:tcMar>
              <w:top w:w="15" w:type="dxa"/>
              <w:left w:w="15" w:type="dxa"/>
              <w:bottom w:w="0" w:type="dxa"/>
              <w:right w:w="15" w:type="dxa"/>
            </w:tcMar>
            <w:vAlign w:val="center"/>
            <w:hideMark/>
          </w:tcPr>
          <w:p w:rsidR="00507621" w:rsidRDefault="00FF432B" w:rsidP="008C1143">
            <w:pPr>
              <w:rPr>
                <w:sz w:val="20"/>
              </w:rPr>
            </w:pPr>
            <w:r w:rsidRPr="00D97AD9">
              <w:rPr>
                <w:sz w:val="20"/>
              </w:rPr>
              <w:t>Evropská společenství</w:t>
            </w:r>
          </w:p>
          <w:p w:rsidR="00507621" w:rsidRPr="00D97AD9" w:rsidRDefault="00B24748" w:rsidP="008C1143">
            <w:pPr>
              <w:rPr>
                <w:sz w:val="20"/>
              </w:rPr>
            </w:pPr>
            <w:r>
              <w:rPr>
                <w:sz w:val="20"/>
              </w:rPr>
              <w:t xml:space="preserve">Evropská kosmická agentura </w:t>
            </w:r>
          </w:p>
        </w:tc>
      </w:tr>
      <w:tr w:rsidR="00FF432B" w:rsidRPr="00D97AD9" w:rsidTr="00DB55D6">
        <w:trPr>
          <w:trHeight w:val="300"/>
        </w:trPr>
        <w:tc>
          <w:tcPr>
            <w:tcW w:w="2380" w:type="dxa"/>
            <w:tcBorders>
              <w:top w:val="nil"/>
              <w:left w:val="nil"/>
              <w:bottom w:val="nil"/>
              <w:right w:val="nil"/>
            </w:tcBorders>
            <w:shd w:val="clear" w:color="auto" w:fill="auto"/>
            <w:tcMar>
              <w:top w:w="15" w:type="dxa"/>
              <w:left w:w="15" w:type="dxa"/>
              <w:bottom w:w="0" w:type="dxa"/>
              <w:right w:w="15" w:type="dxa"/>
            </w:tcMar>
            <w:vAlign w:val="center"/>
            <w:hideMark/>
          </w:tcPr>
          <w:p w:rsidR="00FF432B" w:rsidRPr="00D97AD9" w:rsidRDefault="00FF432B" w:rsidP="008C1143">
            <w:pPr>
              <w:rPr>
                <w:sz w:val="20"/>
              </w:rPr>
            </w:pPr>
            <w:r w:rsidRPr="00D97AD9">
              <w:rPr>
                <w:sz w:val="20"/>
              </w:rPr>
              <w:t>ESIF, ESI fondy</w:t>
            </w:r>
          </w:p>
        </w:tc>
        <w:tc>
          <w:tcPr>
            <w:tcW w:w="9900" w:type="dxa"/>
            <w:tcBorders>
              <w:top w:val="nil"/>
              <w:left w:val="nil"/>
              <w:bottom w:val="nil"/>
              <w:right w:val="nil"/>
            </w:tcBorders>
            <w:shd w:val="clear" w:color="auto" w:fill="auto"/>
            <w:tcMar>
              <w:top w:w="15" w:type="dxa"/>
              <w:left w:w="15" w:type="dxa"/>
              <w:bottom w:w="0" w:type="dxa"/>
              <w:right w:w="15" w:type="dxa"/>
            </w:tcMar>
            <w:vAlign w:val="center"/>
            <w:hideMark/>
          </w:tcPr>
          <w:p w:rsidR="00FF432B" w:rsidRPr="00D97AD9" w:rsidRDefault="00FF432B" w:rsidP="008C1143">
            <w:pPr>
              <w:rPr>
                <w:sz w:val="20"/>
              </w:rPr>
            </w:pPr>
            <w:r w:rsidRPr="00D97AD9">
              <w:rPr>
                <w:sz w:val="20"/>
              </w:rPr>
              <w:t>Evropské strukturální a investiční fondy</w:t>
            </w:r>
          </w:p>
        </w:tc>
      </w:tr>
      <w:tr w:rsidR="00FF432B" w:rsidRPr="00D97AD9" w:rsidTr="00DB55D6">
        <w:trPr>
          <w:trHeight w:val="300"/>
        </w:trPr>
        <w:tc>
          <w:tcPr>
            <w:tcW w:w="2380" w:type="dxa"/>
            <w:tcBorders>
              <w:top w:val="nil"/>
              <w:left w:val="nil"/>
              <w:bottom w:val="nil"/>
              <w:right w:val="nil"/>
            </w:tcBorders>
            <w:shd w:val="clear" w:color="auto" w:fill="auto"/>
            <w:tcMar>
              <w:top w:w="15" w:type="dxa"/>
              <w:left w:w="15" w:type="dxa"/>
              <w:bottom w:w="0" w:type="dxa"/>
              <w:right w:w="15" w:type="dxa"/>
            </w:tcMar>
            <w:vAlign w:val="center"/>
            <w:hideMark/>
          </w:tcPr>
          <w:p w:rsidR="00FF432B" w:rsidRDefault="00FF432B" w:rsidP="008C1143">
            <w:pPr>
              <w:rPr>
                <w:sz w:val="20"/>
              </w:rPr>
            </w:pPr>
            <w:r w:rsidRPr="00D97AD9">
              <w:rPr>
                <w:sz w:val="20"/>
              </w:rPr>
              <w:lastRenderedPageBreak/>
              <w:t>EU</w:t>
            </w:r>
          </w:p>
          <w:p w:rsidR="00B77F07" w:rsidRDefault="00B77F07" w:rsidP="008C1143">
            <w:pPr>
              <w:rPr>
                <w:sz w:val="20"/>
              </w:rPr>
            </w:pPr>
            <w:r w:rsidRPr="00B77F07">
              <w:rPr>
                <w:sz w:val="20"/>
              </w:rPr>
              <w:t>FDV</w:t>
            </w:r>
          </w:p>
          <w:p w:rsidR="001F313C" w:rsidRPr="00B77F07" w:rsidRDefault="001F313C" w:rsidP="008C1143">
            <w:pPr>
              <w:rPr>
                <w:sz w:val="20"/>
              </w:rPr>
            </w:pPr>
            <w:r>
              <w:rPr>
                <w:sz w:val="20"/>
              </w:rPr>
              <w:t>GDPR</w:t>
            </w:r>
          </w:p>
        </w:tc>
        <w:tc>
          <w:tcPr>
            <w:tcW w:w="9900" w:type="dxa"/>
            <w:tcBorders>
              <w:top w:val="nil"/>
              <w:left w:val="nil"/>
              <w:bottom w:val="nil"/>
              <w:right w:val="nil"/>
            </w:tcBorders>
            <w:shd w:val="clear" w:color="auto" w:fill="auto"/>
            <w:tcMar>
              <w:top w:w="15" w:type="dxa"/>
              <w:left w:w="15" w:type="dxa"/>
              <w:bottom w:w="0" w:type="dxa"/>
              <w:right w:w="15" w:type="dxa"/>
            </w:tcMar>
            <w:vAlign w:val="center"/>
            <w:hideMark/>
          </w:tcPr>
          <w:p w:rsidR="00B77F07" w:rsidRDefault="00FF432B" w:rsidP="008C1143">
            <w:pPr>
              <w:rPr>
                <w:sz w:val="20"/>
              </w:rPr>
            </w:pPr>
            <w:r w:rsidRPr="00D97AD9">
              <w:rPr>
                <w:sz w:val="20"/>
              </w:rPr>
              <w:t>Evropská unie</w:t>
            </w:r>
          </w:p>
          <w:p w:rsidR="00B77F07" w:rsidRDefault="00B77F07" w:rsidP="008C1143">
            <w:pPr>
              <w:rPr>
                <w:sz w:val="20"/>
              </w:rPr>
            </w:pPr>
            <w:r>
              <w:rPr>
                <w:sz w:val="20"/>
              </w:rPr>
              <w:t>Fond dalšího vzdělávání</w:t>
            </w:r>
          </w:p>
          <w:p w:rsidR="001F313C" w:rsidRPr="00D97AD9" w:rsidRDefault="001F313C" w:rsidP="008C1143">
            <w:pPr>
              <w:rPr>
                <w:sz w:val="20"/>
              </w:rPr>
            </w:pPr>
            <w:proofErr w:type="spellStart"/>
            <w:r>
              <w:rPr>
                <w:sz w:val="20"/>
              </w:rPr>
              <w:t>General</w:t>
            </w:r>
            <w:proofErr w:type="spellEnd"/>
            <w:r>
              <w:rPr>
                <w:sz w:val="20"/>
              </w:rPr>
              <w:t xml:space="preserve"> Data </w:t>
            </w:r>
            <w:proofErr w:type="spellStart"/>
            <w:r>
              <w:rPr>
                <w:sz w:val="20"/>
              </w:rPr>
              <w:t>Protection</w:t>
            </w:r>
            <w:proofErr w:type="spellEnd"/>
            <w:r>
              <w:rPr>
                <w:sz w:val="20"/>
              </w:rPr>
              <w:t xml:space="preserve"> </w:t>
            </w:r>
            <w:proofErr w:type="spellStart"/>
            <w:r>
              <w:rPr>
                <w:sz w:val="20"/>
              </w:rPr>
              <w:t>Regulation</w:t>
            </w:r>
            <w:proofErr w:type="spellEnd"/>
            <w:r>
              <w:rPr>
                <w:sz w:val="20"/>
              </w:rPr>
              <w:t xml:space="preserve"> (Obecné nařízení o ochraně osobních údajů)</w:t>
            </w:r>
          </w:p>
        </w:tc>
      </w:tr>
      <w:tr w:rsidR="00FF432B" w:rsidRPr="00D97AD9" w:rsidTr="00DB55D6">
        <w:trPr>
          <w:trHeight w:val="300"/>
        </w:trPr>
        <w:tc>
          <w:tcPr>
            <w:tcW w:w="2380" w:type="dxa"/>
            <w:tcBorders>
              <w:top w:val="nil"/>
              <w:left w:val="nil"/>
              <w:bottom w:val="nil"/>
              <w:right w:val="nil"/>
            </w:tcBorders>
            <w:shd w:val="clear" w:color="auto" w:fill="auto"/>
            <w:tcMar>
              <w:top w:w="15" w:type="dxa"/>
              <w:left w:w="15" w:type="dxa"/>
              <w:bottom w:w="0" w:type="dxa"/>
              <w:right w:w="15" w:type="dxa"/>
            </w:tcMar>
            <w:vAlign w:val="center"/>
            <w:hideMark/>
          </w:tcPr>
          <w:p w:rsidR="00FF432B" w:rsidRPr="00D97AD9" w:rsidRDefault="00FF432B" w:rsidP="008C1143">
            <w:pPr>
              <w:rPr>
                <w:sz w:val="20"/>
              </w:rPr>
            </w:pPr>
            <w:r>
              <w:rPr>
                <w:sz w:val="20"/>
              </w:rPr>
              <w:t>GIS</w:t>
            </w:r>
          </w:p>
        </w:tc>
        <w:tc>
          <w:tcPr>
            <w:tcW w:w="9900" w:type="dxa"/>
            <w:tcBorders>
              <w:top w:val="nil"/>
              <w:left w:val="nil"/>
              <w:bottom w:val="nil"/>
              <w:right w:val="nil"/>
            </w:tcBorders>
            <w:shd w:val="clear" w:color="auto" w:fill="auto"/>
            <w:tcMar>
              <w:top w:w="15" w:type="dxa"/>
              <w:left w:w="15" w:type="dxa"/>
              <w:bottom w:w="0" w:type="dxa"/>
              <w:right w:w="15" w:type="dxa"/>
            </w:tcMar>
            <w:vAlign w:val="center"/>
            <w:hideMark/>
          </w:tcPr>
          <w:p w:rsidR="00FF432B" w:rsidRPr="00D97AD9" w:rsidRDefault="00FF432B" w:rsidP="008C1143">
            <w:pPr>
              <w:rPr>
                <w:sz w:val="20"/>
              </w:rPr>
            </w:pPr>
            <w:r w:rsidRPr="00D07530">
              <w:rPr>
                <w:sz w:val="20"/>
              </w:rPr>
              <w:t>geografický informační systém</w:t>
            </w:r>
          </w:p>
        </w:tc>
      </w:tr>
      <w:tr w:rsidR="00FF432B" w:rsidRPr="00D97AD9" w:rsidTr="00DB55D6">
        <w:trPr>
          <w:trHeight w:val="300"/>
        </w:trPr>
        <w:tc>
          <w:tcPr>
            <w:tcW w:w="2380" w:type="dxa"/>
            <w:tcBorders>
              <w:top w:val="nil"/>
              <w:left w:val="nil"/>
              <w:bottom w:val="nil"/>
              <w:right w:val="nil"/>
            </w:tcBorders>
            <w:shd w:val="clear" w:color="auto" w:fill="auto"/>
            <w:tcMar>
              <w:top w:w="15" w:type="dxa"/>
              <w:left w:w="15" w:type="dxa"/>
              <w:bottom w:w="0" w:type="dxa"/>
              <w:right w:w="15" w:type="dxa"/>
            </w:tcMar>
            <w:vAlign w:val="center"/>
            <w:hideMark/>
          </w:tcPr>
          <w:p w:rsidR="00FF432B" w:rsidRDefault="00FF432B" w:rsidP="008C1143">
            <w:pPr>
              <w:rPr>
                <w:sz w:val="20"/>
              </w:rPr>
            </w:pPr>
            <w:r w:rsidRPr="00D97AD9">
              <w:rPr>
                <w:sz w:val="20"/>
              </w:rPr>
              <w:t>GSM-R</w:t>
            </w:r>
          </w:p>
          <w:p w:rsidR="009947FA" w:rsidRPr="00D97AD9" w:rsidRDefault="009947FA" w:rsidP="008C1143">
            <w:pPr>
              <w:rPr>
                <w:sz w:val="20"/>
              </w:rPr>
            </w:pPr>
            <w:r w:rsidRPr="009947FA">
              <w:rPr>
                <w:sz w:val="20"/>
              </w:rPr>
              <w:t>GŘ ÚP</w:t>
            </w:r>
          </w:p>
        </w:tc>
        <w:tc>
          <w:tcPr>
            <w:tcW w:w="9900" w:type="dxa"/>
            <w:tcBorders>
              <w:top w:val="nil"/>
              <w:left w:val="nil"/>
              <w:bottom w:val="nil"/>
              <w:right w:val="nil"/>
            </w:tcBorders>
            <w:shd w:val="clear" w:color="auto" w:fill="auto"/>
            <w:tcMar>
              <w:top w:w="15" w:type="dxa"/>
              <w:left w:w="15" w:type="dxa"/>
              <w:bottom w:w="0" w:type="dxa"/>
              <w:right w:w="15" w:type="dxa"/>
            </w:tcMar>
            <w:vAlign w:val="center"/>
            <w:hideMark/>
          </w:tcPr>
          <w:p w:rsidR="00FF432B" w:rsidRDefault="00FF432B" w:rsidP="008C1143">
            <w:pPr>
              <w:rPr>
                <w:sz w:val="20"/>
              </w:rPr>
            </w:pPr>
            <w:r w:rsidRPr="00D97AD9">
              <w:rPr>
                <w:sz w:val="20"/>
              </w:rPr>
              <w:t>sítě pro řízení a zabezpečení železničního provozu</w:t>
            </w:r>
          </w:p>
          <w:p w:rsidR="009947FA" w:rsidRPr="00D97AD9" w:rsidRDefault="009947FA" w:rsidP="008C1143">
            <w:pPr>
              <w:rPr>
                <w:sz w:val="20"/>
              </w:rPr>
            </w:pPr>
            <w:r w:rsidRPr="009947FA">
              <w:rPr>
                <w:sz w:val="20"/>
              </w:rPr>
              <w:t>G</w:t>
            </w:r>
            <w:r>
              <w:rPr>
                <w:sz w:val="20"/>
              </w:rPr>
              <w:t>enerální ředitelství úřadu práce</w:t>
            </w:r>
          </w:p>
        </w:tc>
      </w:tr>
      <w:tr w:rsidR="00FF432B" w:rsidRPr="00D97AD9" w:rsidTr="00DB55D6">
        <w:trPr>
          <w:trHeight w:val="300"/>
        </w:trPr>
        <w:tc>
          <w:tcPr>
            <w:tcW w:w="2380" w:type="dxa"/>
            <w:tcBorders>
              <w:top w:val="nil"/>
              <w:left w:val="nil"/>
              <w:bottom w:val="nil"/>
              <w:right w:val="nil"/>
            </w:tcBorders>
            <w:shd w:val="clear" w:color="auto" w:fill="auto"/>
            <w:tcMar>
              <w:top w:w="15" w:type="dxa"/>
              <w:left w:w="15" w:type="dxa"/>
              <w:bottom w:w="0" w:type="dxa"/>
              <w:right w:w="15" w:type="dxa"/>
            </w:tcMar>
            <w:vAlign w:val="center"/>
            <w:hideMark/>
          </w:tcPr>
          <w:p w:rsidR="00FF432B" w:rsidRDefault="00FF432B" w:rsidP="008C1143">
            <w:pPr>
              <w:rPr>
                <w:sz w:val="20"/>
              </w:rPr>
            </w:pPr>
            <w:r w:rsidRPr="00D97AD9">
              <w:rPr>
                <w:sz w:val="20"/>
              </w:rPr>
              <w:t>HDP</w:t>
            </w:r>
          </w:p>
          <w:p w:rsidR="00104239" w:rsidRPr="00D97AD9" w:rsidRDefault="00104239" w:rsidP="008C1143">
            <w:pPr>
              <w:rPr>
                <w:sz w:val="20"/>
              </w:rPr>
            </w:pPr>
            <w:r>
              <w:rPr>
                <w:sz w:val="20"/>
              </w:rPr>
              <w:t>HK ČR</w:t>
            </w:r>
          </w:p>
        </w:tc>
        <w:tc>
          <w:tcPr>
            <w:tcW w:w="9900" w:type="dxa"/>
            <w:tcBorders>
              <w:top w:val="nil"/>
              <w:left w:val="nil"/>
              <w:bottom w:val="nil"/>
              <w:right w:val="nil"/>
            </w:tcBorders>
            <w:shd w:val="clear" w:color="auto" w:fill="auto"/>
            <w:tcMar>
              <w:top w:w="15" w:type="dxa"/>
              <w:left w:w="15" w:type="dxa"/>
              <w:bottom w:w="0" w:type="dxa"/>
              <w:right w:w="15" w:type="dxa"/>
            </w:tcMar>
            <w:vAlign w:val="center"/>
            <w:hideMark/>
          </w:tcPr>
          <w:p w:rsidR="00FF432B" w:rsidRDefault="00FF432B" w:rsidP="008C1143">
            <w:pPr>
              <w:rPr>
                <w:sz w:val="20"/>
              </w:rPr>
            </w:pPr>
            <w:r w:rsidRPr="00D97AD9">
              <w:rPr>
                <w:sz w:val="20"/>
              </w:rPr>
              <w:t>hrubý domácí produkt</w:t>
            </w:r>
          </w:p>
          <w:p w:rsidR="00104239" w:rsidRPr="00D97AD9" w:rsidRDefault="00104239" w:rsidP="008C1143">
            <w:pPr>
              <w:rPr>
                <w:sz w:val="20"/>
              </w:rPr>
            </w:pPr>
            <w:r>
              <w:rPr>
                <w:sz w:val="20"/>
              </w:rPr>
              <w:t>Hospodářská komora České republiky</w:t>
            </w:r>
          </w:p>
        </w:tc>
      </w:tr>
      <w:tr w:rsidR="00FF432B" w:rsidRPr="00D97AD9" w:rsidTr="00DB55D6">
        <w:trPr>
          <w:trHeight w:val="300"/>
        </w:trPr>
        <w:tc>
          <w:tcPr>
            <w:tcW w:w="2380" w:type="dxa"/>
            <w:tcBorders>
              <w:top w:val="nil"/>
              <w:left w:val="nil"/>
              <w:bottom w:val="nil"/>
              <w:right w:val="nil"/>
            </w:tcBorders>
            <w:shd w:val="clear" w:color="auto" w:fill="auto"/>
            <w:tcMar>
              <w:top w:w="15" w:type="dxa"/>
              <w:left w:w="15" w:type="dxa"/>
              <w:bottom w:w="0" w:type="dxa"/>
              <w:right w:w="15" w:type="dxa"/>
            </w:tcMar>
            <w:vAlign w:val="center"/>
            <w:hideMark/>
          </w:tcPr>
          <w:p w:rsidR="00FF432B" w:rsidRPr="00D97AD9" w:rsidRDefault="00FF432B" w:rsidP="008C1143">
            <w:pPr>
              <w:rPr>
                <w:sz w:val="20"/>
              </w:rPr>
            </w:pPr>
            <w:r w:rsidRPr="00D97AD9">
              <w:rPr>
                <w:sz w:val="20"/>
              </w:rPr>
              <w:t>ICT</w:t>
            </w:r>
          </w:p>
        </w:tc>
        <w:tc>
          <w:tcPr>
            <w:tcW w:w="9900" w:type="dxa"/>
            <w:tcBorders>
              <w:top w:val="nil"/>
              <w:left w:val="nil"/>
              <w:bottom w:val="nil"/>
              <w:right w:val="nil"/>
            </w:tcBorders>
            <w:shd w:val="clear" w:color="auto" w:fill="auto"/>
            <w:tcMar>
              <w:top w:w="15" w:type="dxa"/>
              <w:left w:w="15" w:type="dxa"/>
              <w:bottom w:w="0" w:type="dxa"/>
              <w:right w:w="15" w:type="dxa"/>
            </w:tcMar>
            <w:vAlign w:val="center"/>
            <w:hideMark/>
          </w:tcPr>
          <w:p w:rsidR="00FF432B" w:rsidRPr="00D97AD9" w:rsidRDefault="00FF432B" w:rsidP="008C1143">
            <w:pPr>
              <w:rPr>
                <w:sz w:val="20"/>
              </w:rPr>
            </w:pPr>
            <w:r w:rsidRPr="00D97AD9">
              <w:rPr>
                <w:sz w:val="20"/>
              </w:rPr>
              <w:t>informační a komunikační technologie</w:t>
            </w:r>
          </w:p>
        </w:tc>
      </w:tr>
      <w:tr w:rsidR="00FF432B" w:rsidRPr="00D97AD9" w:rsidTr="00DB55D6">
        <w:trPr>
          <w:trHeight w:val="300"/>
        </w:trPr>
        <w:tc>
          <w:tcPr>
            <w:tcW w:w="2380" w:type="dxa"/>
            <w:tcBorders>
              <w:top w:val="nil"/>
              <w:left w:val="nil"/>
              <w:bottom w:val="nil"/>
              <w:right w:val="nil"/>
            </w:tcBorders>
            <w:shd w:val="clear" w:color="auto" w:fill="auto"/>
            <w:tcMar>
              <w:top w:w="15" w:type="dxa"/>
              <w:left w:w="15" w:type="dxa"/>
              <w:bottom w:w="0" w:type="dxa"/>
              <w:right w:w="15" w:type="dxa"/>
            </w:tcMar>
            <w:vAlign w:val="center"/>
            <w:hideMark/>
          </w:tcPr>
          <w:p w:rsidR="00FF432B" w:rsidRPr="00D97AD9" w:rsidRDefault="00FF432B" w:rsidP="008C1143">
            <w:pPr>
              <w:rPr>
                <w:sz w:val="20"/>
              </w:rPr>
            </w:pPr>
            <w:r w:rsidRPr="00D97AD9">
              <w:rPr>
                <w:sz w:val="20"/>
              </w:rPr>
              <w:t>IEA</w:t>
            </w:r>
          </w:p>
        </w:tc>
        <w:tc>
          <w:tcPr>
            <w:tcW w:w="9900" w:type="dxa"/>
            <w:tcBorders>
              <w:top w:val="nil"/>
              <w:left w:val="nil"/>
              <w:bottom w:val="nil"/>
              <w:right w:val="nil"/>
            </w:tcBorders>
            <w:shd w:val="clear" w:color="auto" w:fill="auto"/>
            <w:tcMar>
              <w:top w:w="15" w:type="dxa"/>
              <w:left w:w="15" w:type="dxa"/>
              <w:bottom w:w="0" w:type="dxa"/>
              <w:right w:w="15" w:type="dxa"/>
            </w:tcMar>
            <w:vAlign w:val="center"/>
            <w:hideMark/>
          </w:tcPr>
          <w:p w:rsidR="00FF432B" w:rsidRPr="00D97AD9" w:rsidRDefault="00FF432B" w:rsidP="008C1143">
            <w:pPr>
              <w:rPr>
                <w:sz w:val="20"/>
              </w:rPr>
            </w:pPr>
            <w:proofErr w:type="spellStart"/>
            <w:r w:rsidRPr="00D97AD9">
              <w:rPr>
                <w:sz w:val="20"/>
              </w:rPr>
              <w:t>International</w:t>
            </w:r>
            <w:proofErr w:type="spellEnd"/>
            <w:r w:rsidRPr="00D97AD9">
              <w:rPr>
                <w:sz w:val="20"/>
              </w:rPr>
              <w:t xml:space="preserve"> </w:t>
            </w:r>
            <w:proofErr w:type="spellStart"/>
            <w:r w:rsidRPr="00D97AD9">
              <w:rPr>
                <w:sz w:val="20"/>
              </w:rPr>
              <w:t>Association</w:t>
            </w:r>
            <w:proofErr w:type="spellEnd"/>
            <w:r>
              <w:rPr>
                <w:sz w:val="20"/>
              </w:rPr>
              <w:t xml:space="preserve"> </w:t>
            </w:r>
            <w:proofErr w:type="spellStart"/>
            <w:r w:rsidRPr="00D97AD9">
              <w:rPr>
                <w:sz w:val="20"/>
              </w:rPr>
              <w:t>for</w:t>
            </w:r>
            <w:proofErr w:type="spellEnd"/>
            <w:r>
              <w:rPr>
                <w:sz w:val="20"/>
              </w:rPr>
              <w:t xml:space="preserve"> </w:t>
            </w:r>
            <w:proofErr w:type="spellStart"/>
            <w:r w:rsidRPr="00D97AD9">
              <w:rPr>
                <w:sz w:val="20"/>
              </w:rPr>
              <w:t>the</w:t>
            </w:r>
            <w:proofErr w:type="spellEnd"/>
            <w:r>
              <w:rPr>
                <w:sz w:val="20"/>
              </w:rPr>
              <w:t xml:space="preserve"> </w:t>
            </w:r>
            <w:proofErr w:type="spellStart"/>
            <w:r w:rsidRPr="00D97AD9">
              <w:rPr>
                <w:sz w:val="20"/>
              </w:rPr>
              <w:t>Evaluation</w:t>
            </w:r>
            <w:proofErr w:type="spellEnd"/>
            <w:r>
              <w:rPr>
                <w:sz w:val="20"/>
              </w:rPr>
              <w:t xml:space="preserve"> </w:t>
            </w:r>
            <w:proofErr w:type="spellStart"/>
            <w:r w:rsidRPr="00D97AD9">
              <w:rPr>
                <w:sz w:val="20"/>
              </w:rPr>
              <w:t>of</w:t>
            </w:r>
            <w:proofErr w:type="spellEnd"/>
            <w:r>
              <w:rPr>
                <w:sz w:val="20"/>
              </w:rPr>
              <w:t xml:space="preserve"> </w:t>
            </w:r>
            <w:proofErr w:type="spellStart"/>
            <w:r w:rsidRPr="00D97AD9">
              <w:rPr>
                <w:sz w:val="20"/>
              </w:rPr>
              <w:t>Educational</w:t>
            </w:r>
            <w:proofErr w:type="spellEnd"/>
            <w:r>
              <w:rPr>
                <w:sz w:val="20"/>
              </w:rPr>
              <w:t xml:space="preserve"> </w:t>
            </w:r>
            <w:proofErr w:type="spellStart"/>
            <w:r w:rsidRPr="00D97AD9">
              <w:rPr>
                <w:sz w:val="20"/>
              </w:rPr>
              <w:t>Achievement</w:t>
            </w:r>
            <w:proofErr w:type="spellEnd"/>
          </w:p>
        </w:tc>
      </w:tr>
      <w:tr w:rsidR="00FF432B" w:rsidRPr="00D97AD9" w:rsidTr="00DB55D6">
        <w:trPr>
          <w:trHeight w:val="300"/>
        </w:trPr>
        <w:tc>
          <w:tcPr>
            <w:tcW w:w="2380" w:type="dxa"/>
            <w:tcBorders>
              <w:top w:val="nil"/>
              <w:left w:val="nil"/>
              <w:bottom w:val="nil"/>
              <w:right w:val="nil"/>
            </w:tcBorders>
            <w:shd w:val="clear" w:color="auto" w:fill="auto"/>
            <w:tcMar>
              <w:top w:w="15" w:type="dxa"/>
              <w:left w:w="15" w:type="dxa"/>
              <w:bottom w:w="0" w:type="dxa"/>
              <w:right w:w="15" w:type="dxa"/>
            </w:tcMar>
            <w:vAlign w:val="center"/>
            <w:hideMark/>
          </w:tcPr>
          <w:p w:rsidR="00FF432B" w:rsidRPr="00D97AD9" w:rsidRDefault="00FF432B" w:rsidP="008C1143">
            <w:pPr>
              <w:rPr>
                <w:sz w:val="20"/>
              </w:rPr>
            </w:pPr>
            <w:r w:rsidRPr="00D97AD9">
              <w:rPr>
                <w:sz w:val="20"/>
              </w:rPr>
              <w:t>index DESI</w:t>
            </w:r>
          </w:p>
        </w:tc>
        <w:tc>
          <w:tcPr>
            <w:tcW w:w="9900" w:type="dxa"/>
            <w:tcBorders>
              <w:top w:val="nil"/>
              <w:left w:val="nil"/>
              <w:bottom w:val="nil"/>
              <w:right w:val="nil"/>
            </w:tcBorders>
            <w:shd w:val="clear" w:color="auto" w:fill="auto"/>
            <w:tcMar>
              <w:top w:w="15" w:type="dxa"/>
              <w:left w:w="15" w:type="dxa"/>
              <w:bottom w:w="0" w:type="dxa"/>
              <w:right w:w="15" w:type="dxa"/>
            </w:tcMar>
            <w:vAlign w:val="center"/>
            <w:hideMark/>
          </w:tcPr>
          <w:p w:rsidR="00FF432B" w:rsidRPr="00D97AD9" w:rsidRDefault="00FF432B" w:rsidP="008C1143">
            <w:pPr>
              <w:rPr>
                <w:sz w:val="20"/>
              </w:rPr>
            </w:pPr>
            <w:r w:rsidRPr="00D97AD9">
              <w:rPr>
                <w:sz w:val="20"/>
              </w:rPr>
              <w:t>index Digitální ekonomika a společnost</w:t>
            </w:r>
          </w:p>
        </w:tc>
      </w:tr>
      <w:tr w:rsidR="00FF432B" w:rsidRPr="00D97AD9" w:rsidTr="00DB55D6">
        <w:trPr>
          <w:trHeight w:val="300"/>
        </w:trPr>
        <w:tc>
          <w:tcPr>
            <w:tcW w:w="2380" w:type="dxa"/>
            <w:tcBorders>
              <w:top w:val="nil"/>
              <w:left w:val="nil"/>
              <w:bottom w:val="nil"/>
              <w:right w:val="nil"/>
            </w:tcBorders>
            <w:shd w:val="clear" w:color="auto" w:fill="auto"/>
            <w:tcMar>
              <w:top w:w="15" w:type="dxa"/>
              <w:left w:w="15" w:type="dxa"/>
              <w:bottom w:w="0" w:type="dxa"/>
              <w:right w:w="15" w:type="dxa"/>
            </w:tcMar>
            <w:vAlign w:val="center"/>
            <w:hideMark/>
          </w:tcPr>
          <w:p w:rsidR="00FF432B" w:rsidRDefault="00FF432B" w:rsidP="008C1143">
            <w:pPr>
              <w:rPr>
                <w:sz w:val="20"/>
              </w:rPr>
            </w:pPr>
            <w:r w:rsidRPr="00D97AD9">
              <w:rPr>
                <w:sz w:val="20"/>
              </w:rPr>
              <w:t>IP SRRVS</w:t>
            </w:r>
          </w:p>
          <w:p w:rsidR="0061669B" w:rsidRPr="00D97AD9" w:rsidRDefault="0061669B" w:rsidP="008C1143">
            <w:pPr>
              <w:rPr>
                <w:sz w:val="20"/>
              </w:rPr>
            </w:pPr>
            <w:r>
              <w:rPr>
                <w:sz w:val="20"/>
              </w:rPr>
              <w:t>IPTV</w:t>
            </w:r>
          </w:p>
        </w:tc>
        <w:tc>
          <w:tcPr>
            <w:tcW w:w="9900" w:type="dxa"/>
            <w:tcBorders>
              <w:top w:val="nil"/>
              <w:left w:val="nil"/>
              <w:bottom w:val="nil"/>
              <w:right w:val="nil"/>
            </w:tcBorders>
            <w:shd w:val="clear" w:color="auto" w:fill="auto"/>
            <w:tcMar>
              <w:top w:w="15" w:type="dxa"/>
              <w:left w:w="15" w:type="dxa"/>
              <w:bottom w:w="0" w:type="dxa"/>
              <w:right w:w="15" w:type="dxa"/>
            </w:tcMar>
            <w:vAlign w:val="center"/>
            <w:hideMark/>
          </w:tcPr>
          <w:p w:rsidR="00FF432B" w:rsidRDefault="00FF432B" w:rsidP="008C1143">
            <w:pPr>
              <w:rPr>
                <w:sz w:val="20"/>
              </w:rPr>
            </w:pPr>
            <w:r w:rsidRPr="00D97AD9">
              <w:rPr>
                <w:sz w:val="20"/>
              </w:rPr>
              <w:t>Implementační plán pro strategický cíl 1: Modernizace veřejné správy (2015)</w:t>
            </w:r>
          </w:p>
          <w:p w:rsidR="0061669B" w:rsidRPr="00D97AD9" w:rsidRDefault="0061669B" w:rsidP="008C1143">
            <w:pPr>
              <w:rPr>
                <w:sz w:val="20"/>
              </w:rPr>
            </w:pPr>
            <w:r w:rsidRPr="0061669B">
              <w:rPr>
                <w:sz w:val="20"/>
              </w:rPr>
              <w:t>Televize vysílající pomocí internetového protokolu</w:t>
            </w:r>
          </w:p>
        </w:tc>
      </w:tr>
      <w:tr w:rsidR="00FF432B" w:rsidRPr="00D97AD9" w:rsidTr="00DB55D6">
        <w:trPr>
          <w:trHeight w:val="300"/>
        </w:trPr>
        <w:tc>
          <w:tcPr>
            <w:tcW w:w="2380" w:type="dxa"/>
            <w:tcBorders>
              <w:top w:val="nil"/>
              <w:left w:val="nil"/>
              <w:bottom w:val="nil"/>
              <w:right w:val="nil"/>
            </w:tcBorders>
            <w:shd w:val="clear" w:color="auto" w:fill="auto"/>
            <w:tcMar>
              <w:top w:w="15" w:type="dxa"/>
              <w:left w:w="15" w:type="dxa"/>
              <w:bottom w:w="0" w:type="dxa"/>
              <w:right w:w="15" w:type="dxa"/>
            </w:tcMar>
            <w:vAlign w:val="center"/>
            <w:hideMark/>
          </w:tcPr>
          <w:p w:rsidR="00FF432B" w:rsidRDefault="00FF432B" w:rsidP="008C1143">
            <w:pPr>
              <w:rPr>
                <w:sz w:val="20"/>
              </w:rPr>
            </w:pPr>
            <w:r w:rsidRPr="00D97AD9">
              <w:rPr>
                <w:sz w:val="20"/>
              </w:rPr>
              <w:t>IROP</w:t>
            </w:r>
          </w:p>
          <w:p w:rsidR="00104239" w:rsidRDefault="00104239" w:rsidP="008C1143">
            <w:pPr>
              <w:rPr>
                <w:sz w:val="20"/>
              </w:rPr>
            </w:pPr>
            <w:r>
              <w:rPr>
                <w:sz w:val="20"/>
              </w:rPr>
              <w:t>ISDV</w:t>
            </w:r>
          </w:p>
          <w:p w:rsidR="00104239" w:rsidRPr="00D97AD9" w:rsidRDefault="00104239" w:rsidP="008C1143">
            <w:pPr>
              <w:rPr>
                <w:sz w:val="20"/>
              </w:rPr>
            </w:pPr>
            <w:r>
              <w:rPr>
                <w:sz w:val="20"/>
              </w:rPr>
              <w:t>IT</w:t>
            </w:r>
          </w:p>
        </w:tc>
        <w:tc>
          <w:tcPr>
            <w:tcW w:w="9900" w:type="dxa"/>
            <w:tcBorders>
              <w:top w:val="nil"/>
              <w:left w:val="nil"/>
              <w:bottom w:val="nil"/>
              <w:right w:val="nil"/>
            </w:tcBorders>
            <w:shd w:val="clear" w:color="auto" w:fill="auto"/>
            <w:tcMar>
              <w:top w:w="15" w:type="dxa"/>
              <w:left w:w="15" w:type="dxa"/>
              <w:bottom w:w="0" w:type="dxa"/>
              <w:right w:w="15" w:type="dxa"/>
            </w:tcMar>
            <w:vAlign w:val="center"/>
            <w:hideMark/>
          </w:tcPr>
          <w:p w:rsidR="00FF432B" w:rsidRDefault="00FF432B" w:rsidP="008C1143">
            <w:pPr>
              <w:rPr>
                <w:sz w:val="20"/>
              </w:rPr>
            </w:pPr>
            <w:r w:rsidRPr="00D97AD9">
              <w:rPr>
                <w:sz w:val="20"/>
              </w:rPr>
              <w:t>Integrovaný regionální operační program</w:t>
            </w:r>
          </w:p>
          <w:p w:rsidR="00104239" w:rsidRDefault="00104239" w:rsidP="008C1143">
            <w:pPr>
              <w:rPr>
                <w:sz w:val="20"/>
              </w:rPr>
            </w:pPr>
            <w:r>
              <w:rPr>
                <w:sz w:val="20"/>
              </w:rPr>
              <w:t xml:space="preserve">Projekt </w:t>
            </w:r>
            <w:r w:rsidRPr="00104239">
              <w:rPr>
                <w:sz w:val="20"/>
              </w:rPr>
              <w:t>Implementace Strategie digitálního vzdělávání</w:t>
            </w:r>
          </w:p>
          <w:p w:rsidR="00104239" w:rsidRPr="00D97AD9" w:rsidRDefault="00104239" w:rsidP="008C1143">
            <w:pPr>
              <w:rPr>
                <w:sz w:val="20"/>
              </w:rPr>
            </w:pPr>
            <w:proofErr w:type="spellStart"/>
            <w:r>
              <w:rPr>
                <w:sz w:val="20"/>
              </w:rPr>
              <w:t>Information</w:t>
            </w:r>
            <w:proofErr w:type="spellEnd"/>
            <w:r>
              <w:rPr>
                <w:sz w:val="20"/>
              </w:rPr>
              <w:t xml:space="preserve"> Technology (Informační technologie)</w:t>
            </w:r>
          </w:p>
        </w:tc>
      </w:tr>
      <w:tr w:rsidR="00FF432B" w:rsidRPr="00D97AD9" w:rsidTr="00DB55D6">
        <w:trPr>
          <w:trHeight w:val="300"/>
        </w:trPr>
        <w:tc>
          <w:tcPr>
            <w:tcW w:w="2380" w:type="dxa"/>
            <w:tcBorders>
              <w:top w:val="nil"/>
              <w:left w:val="nil"/>
              <w:bottom w:val="nil"/>
              <w:right w:val="nil"/>
            </w:tcBorders>
            <w:shd w:val="clear" w:color="auto" w:fill="auto"/>
            <w:tcMar>
              <w:top w:w="15" w:type="dxa"/>
              <w:left w:w="15" w:type="dxa"/>
              <w:bottom w:w="0" w:type="dxa"/>
              <w:right w:w="15" w:type="dxa"/>
            </w:tcMar>
            <w:vAlign w:val="center"/>
            <w:hideMark/>
          </w:tcPr>
          <w:p w:rsidR="00FF432B" w:rsidRPr="00D97AD9" w:rsidRDefault="00FF432B" w:rsidP="008C1143">
            <w:pPr>
              <w:rPr>
                <w:sz w:val="20"/>
              </w:rPr>
            </w:pPr>
            <w:r w:rsidRPr="00D97AD9">
              <w:rPr>
                <w:sz w:val="20"/>
              </w:rPr>
              <w:t>ITS</w:t>
            </w:r>
          </w:p>
        </w:tc>
        <w:tc>
          <w:tcPr>
            <w:tcW w:w="9900" w:type="dxa"/>
            <w:tcBorders>
              <w:top w:val="nil"/>
              <w:left w:val="nil"/>
              <w:bottom w:val="nil"/>
              <w:right w:val="nil"/>
            </w:tcBorders>
            <w:shd w:val="clear" w:color="auto" w:fill="auto"/>
            <w:tcMar>
              <w:top w:w="15" w:type="dxa"/>
              <w:left w:w="15" w:type="dxa"/>
              <w:bottom w:w="0" w:type="dxa"/>
              <w:right w:w="15" w:type="dxa"/>
            </w:tcMar>
            <w:vAlign w:val="center"/>
            <w:hideMark/>
          </w:tcPr>
          <w:p w:rsidR="00FF432B" w:rsidRPr="00D97AD9" w:rsidRDefault="00FF432B" w:rsidP="008C1143">
            <w:pPr>
              <w:rPr>
                <w:sz w:val="20"/>
              </w:rPr>
            </w:pPr>
            <w:r w:rsidRPr="00D97AD9">
              <w:rPr>
                <w:sz w:val="20"/>
              </w:rPr>
              <w:t xml:space="preserve">inteligentní dopravní systémy </w:t>
            </w:r>
          </w:p>
        </w:tc>
      </w:tr>
      <w:tr w:rsidR="00FF432B" w:rsidRPr="00D97AD9" w:rsidTr="00DB55D6">
        <w:trPr>
          <w:trHeight w:val="300"/>
        </w:trPr>
        <w:tc>
          <w:tcPr>
            <w:tcW w:w="2380" w:type="dxa"/>
            <w:tcBorders>
              <w:top w:val="nil"/>
              <w:left w:val="nil"/>
              <w:bottom w:val="nil"/>
              <w:right w:val="nil"/>
            </w:tcBorders>
            <w:shd w:val="clear" w:color="auto" w:fill="auto"/>
            <w:tcMar>
              <w:top w:w="15" w:type="dxa"/>
              <w:left w:w="15" w:type="dxa"/>
              <w:bottom w:w="0" w:type="dxa"/>
              <w:right w:w="15" w:type="dxa"/>
            </w:tcMar>
            <w:vAlign w:val="center"/>
            <w:hideMark/>
          </w:tcPr>
          <w:p w:rsidR="00FF432B" w:rsidRPr="00D97AD9" w:rsidRDefault="00FF432B" w:rsidP="008C1143">
            <w:pPr>
              <w:rPr>
                <w:sz w:val="20"/>
              </w:rPr>
            </w:pPr>
            <w:r w:rsidRPr="00D97AD9">
              <w:rPr>
                <w:sz w:val="20"/>
              </w:rPr>
              <w:t>JKM</w:t>
            </w:r>
          </w:p>
        </w:tc>
        <w:tc>
          <w:tcPr>
            <w:tcW w:w="9900" w:type="dxa"/>
            <w:tcBorders>
              <w:top w:val="nil"/>
              <w:left w:val="nil"/>
              <w:bottom w:val="nil"/>
              <w:right w:val="nil"/>
            </w:tcBorders>
            <w:shd w:val="clear" w:color="auto" w:fill="auto"/>
            <w:tcMar>
              <w:top w:w="15" w:type="dxa"/>
              <w:left w:w="15" w:type="dxa"/>
              <w:bottom w:w="0" w:type="dxa"/>
              <w:right w:w="15" w:type="dxa"/>
            </w:tcMar>
            <w:vAlign w:val="center"/>
            <w:hideMark/>
          </w:tcPr>
          <w:p w:rsidR="00FF432B" w:rsidRPr="00D97AD9" w:rsidRDefault="00FF432B" w:rsidP="008C1143">
            <w:pPr>
              <w:rPr>
                <w:sz w:val="20"/>
              </w:rPr>
            </w:pPr>
            <w:r w:rsidRPr="00D97AD9">
              <w:rPr>
                <w:sz w:val="20"/>
              </w:rPr>
              <w:t>Jednotná kontaktní místa</w:t>
            </w:r>
          </w:p>
        </w:tc>
      </w:tr>
      <w:tr w:rsidR="00FF432B" w:rsidRPr="00D97AD9" w:rsidTr="00DB55D6">
        <w:trPr>
          <w:trHeight w:val="300"/>
        </w:trPr>
        <w:tc>
          <w:tcPr>
            <w:tcW w:w="2380" w:type="dxa"/>
            <w:tcBorders>
              <w:top w:val="nil"/>
              <w:left w:val="nil"/>
              <w:bottom w:val="nil"/>
              <w:right w:val="nil"/>
            </w:tcBorders>
            <w:shd w:val="clear" w:color="auto" w:fill="auto"/>
            <w:tcMar>
              <w:top w:w="15" w:type="dxa"/>
              <w:left w:w="15" w:type="dxa"/>
              <w:bottom w:w="0" w:type="dxa"/>
              <w:right w:w="15" w:type="dxa"/>
            </w:tcMar>
            <w:vAlign w:val="center"/>
            <w:hideMark/>
          </w:tcPr>
          <w:p w:rsidR="00FF432B" w:rsidRPr="00D97AD9" w:rsidRDefault="00FF432B" w:rsidP="008C1143">
            <w:pPr>
              <w:rPr>
                <w:sz w:val="20"/>
              </w:rPr>
            </w:pPr>
            <w:r w:rsidRPr="00D97AD9">
              <w:rPr>
                <w:sz w:val="20"/>
              </w:rPr>
              <w:t>KII</w:t>
            </w:r>
          </w:p>
        </w:tc>
        <w:tc>
          <w:tcPr>
            <w:tcW w:w="9900" w:type="dxa"/>
            <w:tcBorders>
              <w:top w:val="nil"/>
              <w:left w:val="nil"/>
              <w:bottom w:val="nil"/>
              <w:right w:val="nil"/>
            </w:tcBorders>
            <w:shd w:val="clear" w:color="auto" w:fill="auto"/>
            <w:tcMar>
              <w:top w:w="15" w:type="dxa"/>
              <w:left w:w="15" w:type="dxa"/>
              <w:bottom w:w="0" w:type="dxa"/>
              <w:right w:w="15" w:type="dxa"/>
            </w:tcMar>
            <w:vAlign w:val="center"/>
            <w:hideMark/>
          </w:tcPr>
          <w:p w:rsidR="00FF432B" w:rsidRPr="00D97AD9" w:rsidRDefault="00FF432B" w:rsidP="008C1143">
            <w:pPr>
              <w:rPr>
                <w:sz w:val="20"/>
              </w:rPr>
            </w:pPr>
            <w:r w:rsidRPr="00D97AD9">
              <w:rPr>
                <w:sz w:val="20"/>
              </w:rPr>
              <w:t>kritická informační infrastruktura</w:t>
            </w:r>
          </w:p>
        </w:tc>
      </w:tr>
      <w:tr w:rsidR="00FF432B" w:rsidRPr="00D97AD9" w:rsidTr="00DB55D6">
        <w:trPr>
          <w:trHeight w:val="300"/>
        </w:trPr>
        <w:tc>
          <w:tcPr>
            <w:tcW w:w="2380" w:type="dxa"/>
            <w:tcBorders>
              <w:top w:val="nil"/>
              <w:left w:val="nil"/>
              <w:bottom w:val="nil"/>
              <w:right w:val="nil"/>
            </w:tcBorders>
            <w:shd w:val="clear" w:color="auto" w:fill="auto"/>
            <w:tcMar>
              <w:top w:w="15" w:type="dxa"/>
              <w:left w:w="15" w:type="dxa"/>
              <w:bottom w:w="0" w:type="dxa"/>
              <w:right w:w="15" w:type="dxa"/>
            </w:tcMar>
            <w:vAlign w:val="center"/>
            <w:hideMark/>
          </w:tcPr>
          <w:p w:rsidR="00FF432B" w:rsidRPr="00D97AD9" w:rsidRDefault="00FF432B" w:rsidP="008C1143">
            <w:pPr>
              <w:rPr>
                <w:sz w:val="20"/>
              </w:rPr>
            </w:pPr>
            <w:r w:rsidRPr="00D97AD9">
              <w:rPr>
                <w:sz w:val="20"/>
              </w:rPr>
              <w:t>koordinátor</w:t>
            </w:r>
          </w:p>
        </w:tc>
        <w:tc>
          <w:tcPr>
            <w:tcW w:w="9900" w:type="dxa"/>
            <w:tcBorders>
              <w:top w:val="nil"/>
              <w:left w:val="nil"/>
              <w:bottom w:val="nil"/>
              <w:right w:val="nil"/>
            </w:tcBorders>
            <w:shd w:val="clear" w:color="auto" w:fill="auto"/>
            <w:tcMar>
              <w:top w:w="15" w:type="dxa"/>
              <w:left w:w="15" w:type="dxa"/>
              <w:bottom w:w="0" w:type="dxa"/>
              <w:right w:w="15" w:type="dxa"/>
            </w:tcMar>
            <w:vAlign w:val="center"/>
            <w:hideMark/>
          </w:tcPr>
          <w:p w:rsidR="00FF432B" w:rsidRPr="00D97AD9" w:rsidRDefault="00FF432B" w:rsidP="008C1143">
            <w:pPr>
              <w:rPr>
                <w:sz w:val="20"/>
              </w:rPr>
            </w:pPr>
            <w:r w:rsidRPr="00D97AD9">
              <w:rPr>
                <w:sz w:val="20"/>
              </w:rPr>
              <w:t>koordinátor digitální agendy</w:t>
            </w:r>
          </w:p>
        </w:tc>
      </w:tr>
      <w:tr w:rsidR="00FF432B" w:rsidRPr="00D97AD9" w:rsidTr="00DB55D6">
        <w:trPr>
          <w:trHeight w:val="300"/>
        </w:trPr>
        <w:tc>
          <w:tcPr>
            <w:tcW w:w="2380" w:type="dxa"/>
            <w:tcBorders>
              <w:top w:val="nil"/>
              <w:left w:val="nil"/>
              <w:bottom w:val="nil"/>
              <w:right w:val="nil"/>
            </w:tcBorders>
            <w:shd w:val="clear" w:color="auto" w:fill="auto"/>
            <w:tcMar>
              <w:top w:w="15" w:type="dxa"/>
              <w:left w:w="15" w:type="dxa"/>
              <w:bottom w:w="0" w:type="dxa"/>
              <w:right w:w="15" w:type="dxa"/>
            </w:tcMar>
            <w:vAlign w:val="center"/>
            <w:hideMark/>
          </w:tcPr>
          <w:p w:rsidR="00FF432B" w:rsidRPr="00D97AD9" w:rsidRDefault="00FF432B" w:rsidP="008C1143">
            <w:pPr>
              <w:rPr>
                <w:sz w:val="20"/>
              </w:rPr>
            </w:pPr>
            <w:r w:rsidRPr="00D97AD9">
              <w:rPr>
                <w:sz w:val="20"/>
              </w:rPr>
              <w:t>LMG</w:t>
            </w:r>
          </w:p>
        </w:tc>
        <w:tc>
          <w:tcPr>
            <w:tcW w:w="9900" w:type="dxa"/>
            <w:tcBorders>
              <w:top w:val="nil"/>
              <w:left w:val="nil"/>
              <w:bottom w:val="nil"/>
              <w:right w:val="nil"/>
            </w:tcBorders>
            <w:shd w:val="clear" w:color="auto" w:fill="auto"/>
            <w:tcMar>
              <w:top w:w="15" w:type="dxa"/>
              <w:left w:w="15" w:type="dxa"/>
              <w:bottom w:w="0" w:type="dxa"/>
              <w:right w:w="15" w:type="dxa"/>
            </w:tcMar>
            <w:vAlign w:val="center"/>
            <w:hideMark/>
          </w:tcPr>
          <w:p w:rsidR="00FF432B" w:rsidRPr="00D97AD9" w:rsidRDefault="00FF432B" w:rsidP="008C1143">
            <w:pPr>
              <w:rPr>
                <w:sz w:val="20"/>
              </w:rPr>
            </w:pPr>
            <w:proofErr w:type="spellStart"/>
            <w:r w:rsidRPr="00D97AD9">
              <w:rPr>
                <w:sz w:val="20"/>
              </w:rPr>
              <w:t>like</w:t>
            </w:r>
            <w:proofErr w:type="spellEnd"/>
            <w:r w:rsidRPr="00D97AD9">
              <w:rPr>
                <w:sz w:val="20"/>
              </w:rPr>
              <w:t>-</w:t>
            </w:r>
            <w:proofErr w:type="spellStart"/>
            <w:r w:rsidRPr="00D97AD9">
              <w:rPr>
                <w:sz w:val="20"/>
              </w:rPr>
              <w:t>minded</w:t>
            </w:r>
            <w:proofErr w:type="spellEnd"/>
            <w:r>
              <w:rPr>
                <w:sz w:val="20"/>
              </w:rPr>
              <w:t xml:space="preserve"> </w:t>
            </w:r>
            <w:proofErr w:type="spellStart"/>
            <w:r w:rsidRPr="00D97AD9">
              <w:rPr>
                <w:sz w:val="20"/>
              </w:rPr>
              <w:t>group</w:t>
            </w:r>
            <w:proofErr w:type="spellEnd"/>
            <w:r w:rsidRPr="00D97AD9">
              <w:rPr>
                <w:sz w:val="20"/>
              </w:rPr>
              <w:t xml:space="preserve"> = skupina stejně smýšlejících států v oblasti vnitřního trhu</w:t>
            </w:r>
          </w:p>
        </w:tc>
      </w:tr>
      <w:tr w:rsidR="00FF432B" w:rsidRPr="00D97AD9" w:rsidTr="00DB55D6">
        <w:trPr>
          <w:trHeight w:val="300"/>
        </w:trPr>
        <w:tc>
          <w:tcPr>
            <w:tcW w:w="2380" w:type="dxa"/>
            <w:tcBorders>
              <w:top w:val="nil"/>
              <w:left w:val="nil"/>
              <w:bottom w:val="nil"/>
              <w:right w:val="nil"/>
            </w:tcBorders>
            <w:shd w:val="clear" w:color="auto" w:fill="auto"/>
            <w:tcMar>
              <w:top w:w="15" w:type="dxa"/>
              <w:left w:w="15" w:type="dxa"/>
              <w:bottom w:w="0" w:type="dxa"/>
              <w:right w:w="15" w:type="dxa"/>
            </w:tcMar>
            <w:vAlign w:val="center"/>
            <w:hideMark/>
          </w:tcPr>
          <w:p w:rsidR="00FF432B" w:rsidRPr="00D97AD9" w:rsidRDefault="00FF432B" w:rsidP="008C1143">
            <w:pPr>
              <w:rPr>
                <w:sz w:val="20"/>
              </w:rPr>
            </w:pPr>
            <w:r w:rsidRPr="00D97AD9">
              <w:rPr>
                <w:sz w:val="20"/>
              </w:rPr>
              <w:t>LRV</w:t>
            </w:r>
          </w:p>
        </w:tc>
        <w:tc>
          <w:tcPr>
            <w:tcW w:w="9900" w:type="dxa"/>
            <w:tcBorders>
              <w:top w:val="nil"/>
              <w:left w:val="nil"/>
              <w:bottom w:val="nil"/>
              <w:right w:val="nil"/>
            </w:tcBorders>
            <w:shd w:val="clear" w:color="auto" w:fill="auto"/>
            <w:tcMar>
              <w:top w:w="15" w:type="dxa"/>
              <w:left w:w="15" w:type="dxa"/>
              <w:bottom w:w="0" w:type="dxa"/>
              <w:right w:w="15" w:type="dxa"/>
            </w:tcMar>
            <w:vAlign w:val="center"/>
            <w:hideMark/>
          </w:tcPr>
          <w:p w:rsidR="00FF432B" w:rsidRPr="00D97AD9" w:rsidRDefault="00FF432B" w:rsidP="008C1143">
            <w:pPr>
              <w:rPr>
                <w:sz w:val="20"/>
              </w:rPr>
            </w:pPr>
            <w:r w:rsidRPr="00D97AD9">
              <w:rPr>
                <w:sz w:val="20"/>
              </w:rPr>
              <w:t xml:space="preserve">Legislativní rada vlády </w:t>
            </w:r>
          </w:p>
        </w:tc>
      </w:tr>
      <w:tr w:rsidR="00FF432B" w:rsidRPr="00D97AD9" w:rsidTr="00DB55D6">
        <w:trPr>
          <w:trHeight w:val="300"/>
        </w:trPr>
        <w:tc>
          <w:tcPr>
            <w:tcW w:w="2380" w:type="dxa"/>
            <w:tcBorders>
              <w:top w:val="nil"/>
              <w:left w:val="nil"/>
              <w:bottom w:val="nil"/>
              <w:right w:val="nil"/>
            </w:tcBorders>
            <w:shd w:val="clear" w:color="auto" w:fill="auto"/>
            <w:tcMar>
              <w:top w:w="15" w:type="dxa"/>
              <w:left w:w="15" w:type="dxa"/>
              <w:bottom w:w="0" w:type="dxa"/>
              <w:right w:w="15" w:type="dxa"/>
            </w:tcMar>
            <w:vAlign w:val="center"/>
            <w:hideMark/>
          </w:tcPr>
          <w:p w:rsidR="00FF432B" w:rsidRPr="00D97AD9" w:rsidRDefault="00FF432B" w:rsidP="008C1143">
            <w:pPr>
              <w:rPr>
                <w:sz w:val="20"/>
              </w:rPr>
            </w:pPr>
            <w:r w:rsidRPr="00D97AD9">
              <w:rPr>
                <w:sz w:val="20"/>
              </w:rPr>
              <w:t>LTE</w:t>
            </w:r>
          </w:p>
        </w:tc>
        <w:tc>
          <w:tcPr>
            <w:tcW w:w="9900" w:type="dxa"/>
            <w:tcBorders>
              <w:top w:val="nil"/>
              <w:left w:val="nil"/>
              <w:bottom w:val="nil"/>
              <w:right w:val="nil"/>
            </w:tcBorders>
            <w:shd w:val="clear" w:color="auto" w:fill="auto"/>
            <w:tcMar>
              <w:top w:w="15" w:type="dxa"/>
              <w:left w:w="15" w:type="dxa"/>
              <w:bottom w:w="0" w:type="dxa"/>
              <w:right w:w="15" w:type="dxa"/>
            </w:tcMar>
            <w:vAlign w:val="center"/>
            <w:hideMark/>
          </w:tcPr>
          <w:p w:rsidR="00FF432B" w:rsidRPr="00D97AD9" w:rsidRDefault="00FF432B" w:rsidP="008C1143">
            <w:pPr>
              <w:rPr>
                <w:sz w:val="20"/>
              </w:rPr>
            </w:pPr>
            <w:r w:rsidRPr="00D97AD9">
              <w:rPr>
                <w:sz w:val="20"/>
              </w:rPr>
              <w:t>mobilní vysokorychlostní sítě</w:t>
            </w:r>
          </w:p>
        </w:tc>
      </w:tr>
      <w:tr w:rsidR="00FF432B" w:rsidRPr="00D97AD9" w:rsidTr="00DB55D6">
        <w:trPr>
          <w:trHeight w:val="300"/>
        </w:trPr>
        <w:tc>
          <w:tcPr>
            <w:tcW w:w="2380" w:type="dxa"/>
            <w:tcBorders>
              <w:top w:val="nil"/>
              <w:left w:val="nil"/>
              <w:bottom w:val="nil"/>
              <w:right w:val="nil"/>
            </w:tcBorders>
            <w:shd w:val="clear" w:color="auto" w:fill="auto"/>
            <w:tcMar>
              <w:top w:w="15" w:type="dxa"/>
              <w:left w:w="15" w:type="dxa"/>
              <w:bottom w:w="0" w:type="dxa"/>
              <w:right w:w="15" w:type="dxa"/>
            </w:tcMar>
            <w:vAlign w:val="center"/>
            <w:hideMark/>
          </w:tcPr>
          <w:p w:rsidR="00FF432B" w:rsidRPr="00D97AD9" w:rsidRDefault="00FF432B" w:rsidP="008C1143">
            <w:pPr>
              <w:rPr>
                <w:sz w:val="20"/>
              </w:rPr>
            </w:pPr>
            <w:r w:rsidRPr="00D97AD9">
              <w:rPr>
                <w:sz w:val="20"/>
              </w:rPr>
              <w:t>MD</w:t>
            </w:r>
          </w:p>
        </w:tc>
        <w:tc>
          <w:tcPr>
            <w:tcW w:w="9900" w:type="dxa"/>
            <w:tcBorders>
              <w:top w:val="nil"/>
              <w:left w:val="nil"/>
              <w:bottom w:val="nil"/>
              <w:right w:val="nil"/>
            </w:tcBorders>
            <w:shd w:val="clear" w:color="auto" w:fill="auto"/>
            <w:tcMar>
              <w:top w:w="15" w:type="dxa"/>
              <w:left w:w="15" w:type="dxa"/>
              <w:bottom w:w="0" w:type="dxa"/>
              <w:right w:w="15" w:type="dxa"/>
            </w:tcMar>
            <w:vAlign w:val="center"/>
            <w:hideMark/>
          </w:tcPr>
          <w:p w:rsidR="00FF432B" w:rsidRPr="00D97AD9" w:rsidRDefault="00FF432B" w:rsidP="008C1143">
            <w:pPr>
              <w:rPr>
                <w:sz w:val="20"/>
              </w:rPr>
            </w:pPr>
            <w:r w:rsidRPr="00D97AD9">
              <w:rPr>
                <w:sz w:val="20"/>
              </w:rPr>
              <w:t>Ministerstvo dopravy České republiky</w:t>
            </w:r>
          </w:p>
        </w:tc>
      </w:tr>
      <w:tr w:rsidR="00FF432B" w:rsidRPr="00D97AD9" w:rsidTr="00DB55D6">
        <w:trPr>
          <w:trHeight w:val="300"/>
        </w:trPr>
        <w:tc>
          <w:tcPr>
            <w:tcW w:w="2380" w:type="dxa"/>
            <w:tcBorders>
              <w:top w:val="nil"/>
              <w:left w:val="nil"/>
              <w:bottom w:val="nil"/>
              <w:right w:val="nil"/>
            </w:tcBorders>
            <w:shd w:val="clear" w:color="auto" w:fill="auto"/>
            <w:tcMar>
              <w:top w:w="15" w:type="dxa"/>
              <w:left w:w="15" w:type="dxa"/>
              <w:bottom w:w="0" w:type="dxa"/>
              <w:right w:w="15" w:type="dxa"/>
            </w:tcMar>
            <w:vAlign w:val="center"/>
            <w:hideMark/>
          </w:tcPr>
          <w:p w:rsidR="00FF432B" w:rsidRPr="00D97AD9" w:rsidRDefault="00FF432B" w:rsidP="008C1143">
            <w:pPr>
              <w:rPr>
                <w:sz w:val="20"/>
              </w:rPr>
            </w:pPr>
            <w:r w:rsidRPr="00D97AD9">
              <w:rPr>
                <w:sz w:val="20"/>
              </w:rPr>
              <w:t>MF</w:t>
            </w:r>
          </w:p>
        </w:tc>
        <w:tc>
          <w:tcPr>
            <w:tcW w:w="9900" w:type="dxa"/>
            <w:tcBorders>
              <w:top w:val="nil"/>
              <w:left w:val="nil"/>
              <w:bottom w:val="nil"/>
              <w:right w:val="nil"/>
            </w:tcBorders>
            <w:shd w:val="clear" w:color="auto" w:fill="auto"/>
            <w:tcMar>
              <w:top w:w="15" w:type="dxa"/>
              <w:left w:w="15" w:type="dxa"/>
              <w:bottom w:w="0" w:type="dxa"/>
              <w:right w:w="15" w:type="dxa"/>
            </w:tcMar>
            <w:vAlign w:val="center"/>
            <w:hideMark/>
          </w:tcPr>
          <w:p w:rsidR="00FF432B" w:rsidRPr="00D97AD9" w:rsidRDefault="00FF432B" w:rsidP="008C1143">
            <w:pPr>
              <w:rPr>
                <w:sz w:val="20"/>
              </w:rPr>
            </w:pPr>
            <w:r w:rsidRPr="00D97AD9">
              <w:rPr>
                <w:sz w:val="20"/>
              </w:rPr>
              <w:t>Ministerstvo financí České republiky</w:t>
            </w:r>
          </w:p>
        </w:tc>
      </w:tr>
      <w:tr w:rsidR="00FF432B" w:rsidRPr="00D97AD9" w:rsidTr="00DB55D6">
        <w:trPr>
          <w:trHeight w:val="300"/>
        </w:trPr>
        <w:tc>
          <w:tcPr>
            <w:tcW w:w="2380" w:type="dxa"/>
            <w:tcBorders>
              <w:top w:val="nil"/>
              <w:left w:val="nil"/>
              <w:bottom w:val="nil"/>
              <w:right w:val="nil"/>
            </w:tcBorders>
            <w:shd w:val="clear" w:color="auto" w:fill="auto"/>
            <w:tcMar>
              <w:top w:w="15" w:type="dxa"/>
              <w:left w:w="15" w:type="dxa"/>
              <w:bottom w:w="0" w:type="dxa"/>
              <w:right w:w="15" w:type="dxa"/>
            </w:tcMar>
            <w:vAlign w:val="center"/>
            <w:hideMark/>
          </w:tcPr>
          <w:p w:rsidR="00FF432B" w:rsidRPr="00D97AD9" w:rsidRDefault="00FF432B" w:rsidP="008C1143">
            <w:pPr>
              <w:rPr>
                <w:sz w:val="20"/>
              </w:rPr>
            </w:pPr>
            <w:r w:rsidRPr="00D97AD9">
              <w:rPr>
                <w:sz w:val="20"/>
              </w:rPr>
              <w:t>MK</w:t>
            </w:r>
          </w:p>
        </w:tc>
        <w:tc>
          <w:tcPr>
            <w:tcW w:w="9900" w:type="dxa"/>
            <w:tcBorders>
              <w:top w:val="nil"/>
              <w:left w:val="nil"/>
              <w:bottom w:val="nil"/>
              <w:right w:val="nil"/>
            </w:tcBorders>
            <w:shd w:val="clear" w:color="auto" w:fill="auto"/>
            <w:tcMar>
              <w:top w:w="15" w:type="dxa"/>
              <w:left w:w="15" w:type="dxa"/>
              <w:bottom w:w="0" w:type="dxa"/>
              <w:right w:w="15" w:type="dxa"/>
            </w:tcMar>
            <w:vAlign w:val="center"/>
            <w:hideMark/>
          </w:tcPr>
          <w:p w:rsidR="00FF432B" w:rsidRPr="00D97AD9" w:rsidRDefault="00FF432B" w:rsidP="008C1143">
            <w:pPr>
              <w:rPr>
                <w:sz w:val="20"/>
              </w:rPr>
            </w:pPr>
            <w:r w:rsidRPr="00D97AD9">
              <w:rPr>
                <w:sz w:val="20"/>
              </w:rPr>
              <w:t>Ministerstvo kultury České republiky</w:t>
            </w:r>
          </w:p>
        </w:tc>
      </w:tr>
      <w:tr w:rsidR="00FF432B" w:rsidRPr="00D97AD9" w:rsidTr="00DB55D6">
        <w:trPr>
          <w:trHeight w:val="300"/>
        </w:trPr>
        <w:tc>
          <w:tcPr>
            <w:tcW w:w="2380" w:type="dxa"/>
            <w:tcBorders>
              <w:top w:val="nil"/>
              <w:left w:val="nil"/>
              <w:bottom w:val="nil"/>
              <w:right w:val="nil"/>
            </w:tcBorders>
            <w:shd w:val="clear" w:color="auto" w:fill="auto"/>
            <w:tcMar>
              <w:top w:w="15" w:type="dxa"/>
              <w:left w:w="15" w:type="dxa"/>
              <w:bottom w:w="0" w:type="dxa"/>
              <w:right w:w="15" w:type="dxa"/>
            </w:tcMar>
            <w:vAlign w:val="center"/>
            <w:hideMark/>
          </w:tcPr>
          <w:p w:rsidR="00FF432B" w:rsidRDefault="00FF432B" w:rsidP="008C1143">
            <w:pPr>
              <w:rPr>
                <w:sz w:val="20"/>
              </w:rPr>
            </w:pPr>
            <w:r w:rsidRPr="00D97AD9">
              <w:rPr>
                <w:sz w:val="20"/>
              </w:rPr>
              <w:t>MMR</w:t>
            </w:r>
          </w:p>
          <w:p w:rsidR="00104239" w:rsidRPr="00D97AD9" w:rsidRDefault="00104239" w:rsidP="008C1143">
            <w:pPr>
              <w:rPr>
                <w:sz w:val="20"/>
              </w:rPr>
            </w:pPr>
            <w:r>
              <w:rPr>
                <w:sz w:val="20"/>
              </w:rPr>
              <w:t>MOOC</w:t>
            </w:r>
          </w:p>
        </w:tc>
        <w:tc>
          <w:tcPr>
            <w:tcW w:w="9900" w:type="dxa"/>
            <w:tcBorders>
              <w:top w:val="nil"/>
              <w:left w:val="nil"/>
              <w:bottom w:val="nil"/>
              <w:right w:val="nil"/>
            </w:tcBorders>
            <w:shd w:val="clear" w:color="auto" w:fill="auto"/>
            <w:tcMar>
              <w:top w:w="15" w:type="dxa"/>
              <w:left w:w="15" w:type="dxa"/>
              <w:bottom w:w="0" w:type="dxa"/>
              <w:right w:w="15" w:type="dxa"/>
            </w:tcMar>
            <w:vAlign w:val="center"/>
            <w:hideMark/>
          </w:tcPr>
          <w:p w:rsidR="00FF432B" w:rsidRDefault="00FF432B" w:rsidP="008C1143">
            <w:pPr>
              <w:rPr>
                <w:sz w:val="20"/>
              </w:rPr>
            </w:pPr>
            <w:r w:rsidRPr="00D97AD9">
              <w:rPr>
                <w:sz w:val="20"/>
              </w:rPr>
              <w:t>Ministerstvo pro místní rozvoj České republiky</w:t>
            </w:r>
          </w:p>
          <w:p w:rsidR="00104239" w:rsidRPr="00D97AD9" w:rsidRDefault="00104239" w:rsidP="008C1143">
            <w:pPr>
              <w:rPr>
                <w:sz w:val="20"/>
              </w:rPr>
            </w:pPr>
            <w:proofErr w:type="spellStart"/>
            <w:r>
              <w:rPr>
                <w:sz w:val="20"/>
              </w:rPr>
              <w:t>Massive</w:t>
            </w:r>
            <w:proofErr w:type="spellEnd"/>
            <w:r>
              <w:rPr>
                <w:sz w:val="20"/>
              </w:rPr>
              <w:t xml:space="preserve"> open online </w:t>
            </w:r>
            <w:proofErr w:type="spellStart"/>
            <w:r>
              <w:rPr>
                <w:sz w:val="20"/>
              </w:rPr>
              <w:t>course</w:t>
            </w:r>
            <w:proofErr w:type="spellEnd"/>
            <w:r>
              <w:rPr>
                <w:sz w:val="20"/>
              </w:rPr>
              <w:t xml:space="preserve"> (</w:t>
            </w:r>
            <w:r w:rsidRPr="00104239">
              <w:rPr>
                <w:sz w:val="20"/>
              </w:rPr>
              <w:t>hromadný otevřený online kurz</w:t>
            </w:r>
            <w:r>
              <w:rPr>
                <w:sz w:val="20"/>
              </w:rPr>
              <w:t>)</w:t>
            </w:r>
          </w:p>
        </w:tc>
      </w:tr>
      <w:tr w:rsidR="00FF432B" w:rsidRPr="00D97AD9" w:rsidTr="00DB55D6">
        <w:trPr>
          <w:trHeight w:val="300"/>
        </w:trPr>
        <w:tc>
          <w:tcPr>
            <w:tcW w:w="2380" w:type="dxa"/>
            <w:tcBorders>
              <w:top w:val="nil"/>
              <w:left w:val="nil"/>
              <w:bottom w:val="nil"/>
              <w:right w:val="nil"/>
            </w:tcBorders>
            <w:shd w:val="clear" w:color="auto" w:fill="auto"/>
            <w:tcMar>
              <w:top w:w="15" w:type="dxa"/>
              <w:left w:w="15" w:type="dxa"/>
              <w:bottom w:w="0" w:type="dxa"/>
              <w:right w:w="15" w:type="dxa"/>
            </w:tcMar>
            <w:vAlign w:val="center"/>
            <w:hideMark/>
          </w:tcPr>
          <w:p w:rsidR="00FF432B" w:rsidRPr="00D97AD9" w:rsidRDefault="00FF432B" w:rsidP="008C1143">
            <w:pPr>
              <w:rPr>
                <w:sz w:val="20"/>
              </w:rPr>
            </w:pPr>
            <w:r w:rsidRPr="00D97AD9">
              <w:rPr>
                <w:sz w:val="20"/>
              </w:rPr>
              <w:t>MPO</w:t>
            </w:r>
          </w:p>
        </w:tc>
        <w:tc>
          <w:tcPr>
            <w:tcW w:w="9900" w:type="dxa"/>
            <w:tcBorders>
              <w:top w:val="nil"/>
              <w:left w:val="nil"/>
              <w:bottom w:val="nil"/>
              <w:right w:val="nil"/>
            </w:tcBorders>
            <w:shd w:val="clear" w:color="auto" w:fill="auto"/>
            <w:tcMar>
              <w:top w:w="15" w:type="dxa"/>
              <w:left w:w="15" w:type="dxa"/>
              <w:bottom w:w="0" w:type="dxa"/>
              <w:right w:w="15" w:type="dxa"/>
            </w:tcMar>
            <w:vAlign w:val="center"/>
            <w:hideMark/>
          </w:tcPr>
          <w:p w:rsidR="00FF432B" w:rsidRPr="00D97AD9" w:rsidRDefault="00FF432B" w:rsidP="008C1143">
            <w:pPr>
              <w:rPr>
                <w:sz w:val="20"/>
              </w:rPr>
            </w:pPr>
            <w:r w:rsidRPr="00D97AD9">
              <w:rPr>
                <w:sz w:val="20"/>
              </w:rPr>
              <w:t>Ministerstvo průmyslu a obchodu České republiky</w:t>
            </w:r>
          </w:p>
        </w:tc>
      </w:tr>
      <w:tr w:rsidR="00FF432B" w:rsidRPr="00D97AD9" w:rsidTr="00DB55D6">
        <w:trPr>
          <w:trHeight w:val="300"/>
        </w:trPr>
        <w:tc>
          <w:tcPr>
            <w:tcW w:w="2380" w:type="dxa"/>
            <w:tcBorders>
              <w:top w:val="nil"/>
              <w:left w:val="nil"/>
              <w:bottom w:val="nil"/>
              <w:right w:val="nil"/>
            </w:tcBorders>
            <w:shd w:val="clear" w:color="auto" w:fill="auto"/>
            <w:tcMar>
              <w:top w:w="15" w:type="dxa"/>
              <w:left w:w="15" w:type="dxa"/>
              <w:bottom w:w="0" w:type="dxa"/>
              <w:right w:w="15" w:type="dxa"/>
            </w:tcMar>
            <w:vAlign w:val="center"/>
            <w:hideMark/>
          </w:tcPr>
          <w:p w:rsidR="00FF432B" w:rsidRPr="00D97AD9" w:rsidRDefault="00FF432B" w:rsidP="008C1143">
            <w:pPr>
              <w:rPr>
                <w:sz w:val="20"/>
              </w:rPr>
            </w:pPr>
            <w:r w:rsidRPr="00D97AD9">
              <w:rPr>
                <w:sz w:val="20"/>
              </w:rPr>
              <w:t>MPSV</w:t>
            </w:r>
          </w:p>
        </w:tc>
        <w:tc>
          <w:tcPr>
            <w:tcW w:w="9900" w:type="dxa"/>
            <w:tcBorders>
              <w:top w:val="nil"/>
              <w:left w:val="nil"/>
              <w:bottom w:val="nil"/>
              <w:right w:val="nil"/>
            </w:tcBorders>
            <w:shd w:val="clear" w:color="auto" w:fill="auto"/>
            <w:tcMar>
              <w:top w:w="15" w:type="dxa"/>
              <w:left w:w="15" w:type="dxa"/>
              <w:bottom w:w="0" w:type="dxa"/>
              <w:right w:w="15" w:type="dxa"/>
            </w:tcMar>
            <w:vAlign w:val="center"/>
            <w:hideMark/>
          </w:tcPr>
          <w:p w:rsidR="00FF432B" w:rsidRPr="00D97AD9" w:rsidRDefault="00FF432B" w:rsidP="008C1143">
            <w:pPr>
              <w:rPr>
                <w:sz w:val="20"/>
              </w:rPr>
            </w:pPr>
            <w:r w:rsidRPr="00D97AD9">
              <w:rPr>
                <w:sz w:val="20"/>
              </w:rPr>
              <w:t>Ministerstvo práce a sociálních věcí České republiky</w:t>
            </w:r>
          </w:p>
        </w:tc>
      </w:tr>
      <w:tr w:rsidR="00FF432B" w:rsidRPr="00D97AD9" w:rsidTr="00DB55D6">
        <w:trPr>
          <w:trHeight w:val="300"/>
        </w:trPr>
        <w:tc>
          <w:tcPr>
            <w:tcW w:w="2380" w:type="dxa"/>
            <w:tcBorders>
              <w:top w:val="nil"/>
              <w:left w:val="nil"/>
              <w:bottom w:val="nil"/>
              <w:right w:val="nil"/>
            </w:tcBorders>
            <w:shd w:val="clear" w:color="auto" w:fill="auto"/>
            <w:tcMar>
              <w:top w:w="15" w:type="dxa"/>
              <w:left w:w="15" w:type="dxa"/>
              <w:bottom w:w="0" w:type="dxa"/>
              <w:right w:w="15" w:type="dxa"/>
            </w:tcMar>
            <w:vAlign w:val="center"/>
            <w:hideMark/>
          </w:tcPr>
          <w:p w:rsidR="00FF432B" w:rsidRPr="00D97AD9" w:rsidRDefault="00FF432B" w:rsidP="008C1143">
            <w:pPr>
              <w:rPr>
                <w:sz w:val="20"/>
              </w:rPr>
            </w:pPr>
            <w:proofErr w:type="spellStart"/>
            <w:r w:rsidRPr="00D97AD9">
              <w:rPr>
                <w:sz w:val="20"/>
              </w:rPr>
              <w:t>MSp</w:t>
            </w:r>
            <w:proofErr w:type="spellEnd"/>
          </w:p>
        </w:tc>
        <w:tc>
          <w:tcPr>
            <w:tcW w:w="9900" w:type="dxa"/>
            <w:tcBorders>
              <w:top w:val="nil"/>
              <w:left w:val="nil"/>
              <w:bottom w:val="nil"/>
              <w:right w:val="nil"/>
            </w:tcBorders>
            <w:shd w:val="clear" w:color="auto" w:fill="auto"/>
            <w:tcMar>
              <w:top w:w="15" w:type="dxa"/>
              <w:left w:w="15" w:type="dxa"/>
              <w:bottom w:w="0" w:type="dxa"/>
              <w:right w:w="15" w:type="dxa"/>
            </w:tcMar>
            <w:vAlign w:val="center"/>
            <w:hideMark/>
          </w:tcPr>
          <w:p w:rsidR="00FF432B" w:rsidRPr="00D97AD9" w:rsidRDefault="00FF432B" w:rsidP="008C1143">
            <w:pPr>
              <w:rPr>
                <w:sz w:val="20"/>
              </w:rPr>
            </w:pPr>
            <w:r w:rsidRPr="00D97AD9">
              <w:rPr>
                <w:sz w:val="20"/>
              </w:rPr>
              <w:t>Ministerstvo spravedlnosti České republiky</w:t>
            </w:r>
          </w:p>
        </w:tc>
      </w:tr>
      <w:tr w:rsidR="00FF432B" w:rsidRPr="00D97AD9" w:rsidTr="00DB55D6">
        <w:trPr>
          <w:trHeight w:val="300"/>
        </w:trPr>
        <w:tc>
          <w:tcPr>
            <w:tcW w:w="2380" w:type="dxa"/>
            <w:tcBorders>
              <w:top w:val="nil"/>
              <w:left w:val="nil"/>
              <w:bottom w:val="nil"/>
              <w:right w:val="nil"/>
            </w:tcBorders>
            <w:shd w:val="clear" w:color="auto" w:fill="auto"/>
            <w:tcMar>
              <w:top w:w="15" w:type="dxa"/>
              <w:left w:w="15" w:type="dxa"/>
              <w:bottom w:w="0" w:type="dxa"/>
              <w:right w:w="15" w:type="dxa"/>
            </w:tcMar>
            <w:vAlign w:val="center"/>
            <w:hideMark/>
          </w:tcPr>
          <w:p w:rsidR="00FF432B" w:rsidRPr="00D97AD9" w:rsidRDefault="00FF432B" w:rsidP="008C1143">
            <w:pPr>
              <w:rPr>
                <w:sz w:val="20"/>
              </w:rPr>
            </w:pPr>
            <w:r w:rsidRPr="00D97AD9">
              <w:rPr>
                <w:sz w:val="20"/>
              </w:rPr>
              <w:t>MŠMT</w:t>
            </w:r>
          </w:p>
        </w:tc>
        <w:tc>
          <w:tcPr>
            <w:tcW w:w="9900" w:type="dxa"/>
            <w:tcBorders>
              <w:top w:val="nil"/>
              <w:left w:val="nil"/>
              <w:bottom w:val="nil"/>
              <w:right w:val="nil"/>
            </w:tcBorders>
            <w:shd w:val="clear" w:color="auto" w:fill="auto"/>
            <w:tcMar>
              <w:top w:w="15" w:type="dxa"/>
              <w:left w:w="15" w:type="dxa"/>
              <w:bottom w:w="0" w:type="dxa"/>
              <w:right w:w="15" w:type="dxa"/>
            </w:tcMar>
            <w:vAlign w:val="center"/>
            <w:hideMark/>
          </w:tcPr>
          <w:p w:rsidR="00FF432B" w:rsidRPr="00D97AD9" w:rsidRDefault="00FF432B" w:rsidP="008C1143">
            <w:pPr>
              <w:rPr>
                <w:sz w:val="20"/>
              </w:rPr>
            </w:pPr>
            <w:r w:rsidRPr="00D97AD9">
              <w:rPr>
                <w:sz w:val="20"/>
              </w:rPr>
              <w:t>Ministerstvo školství, mládeže a tělovýchovy České republiky</w:t>
            </w:r>
          </w:p>
        </w:tc>
      </w:tr>
      <w:tr w:rsidR="00FF432B" w:rsidRPr="00D97AD9" w:rsidTr="00DB55D6">
        <w:trPr>
          <w:trHeight w:val="300"/>
        </w:trPr>
        <w:tc>
          <w:tcPr>
            <w:tcW w:w="2380" w:type="dxa"/>
            <w:tcBorders>
              <w:top w:val="nil"/>
              <w:left w:val="nil"/>
              <w:bottom w:val="nil"/>
              <w:right w:val="nil"/>
            </w:tcBorders>
            <w:shd w:val="clear" w:color="auto" w:fill="auto"/>
            <w:tcMar>
              <w:top w:w="15" w:type="dxa"/>
              <w:left w:w="15" w:type="dxa"/>
              <w:bottom w:w="0" w:type="dxa"/>
              <w:right w:w="15" w:type="dxa"/>
            </w:tcMar>
            <w:vAlign w:val="center"/>
            <w:hideMark/>
          </w:tcPr>
          <w:p w:rsidR="00FF432B" w:rsidRPr="00D97AD9" w:rsidRDefault="00FF432B" w:rsidP="008C1143">
            <w:pPr>
              <w:rPr>
                <w:sz w:val="20"/>
              </w:rPr>
            </w:pPr>
            <w:r w:rsidRPr="00D97AD9">
              <w:rPr>
                <w:sz w:val="20"/>
              </w:rPr>
              <w:t xml:space="preserve">MV </w:t>
            </w:r>
          </w:p>
        </w:tc>
        <w:tc>
          <w:tcPr>
            <w:tcW w:w="9900" w:type="dxa"/>
            <w:tcBorders>
              <w:top w:val="nil"/>
              <w:left w:val="nil"/>
              <w:bottom w:val="nil"/>
              <w:right w:val="nil"/>
            </w:tcBorders>
            <w:shd w:val="clear" w:color="auto" w:fill="auto"/>
            <w:tcMar>
              <w:top w:w="15" w:type="dxa"/>
              <w:left w:w="15" w:type="dxa"/>
              <w:bottom w:w="0" w:type="dxa"/>
              <w:right w:w="15" w:type="dxa"/>
            </w:tcMar>
            <w:vAlign w:val="center"/>
            <w:hideMark/>
          </w:tcPr>
          <w:p w:rsidR="00FF432B" w:rsidRPr="00D97AD9" w:rsidRDefault="00FF432B" w:rsidP="008C1143">
            <w:pPr>
              <w:rPr>
                <w:sz w:val="20"/>
              </w:rPr>
            </w:pPr>
            <w:r w:rsidRPr="00D97AD9">
              <w:rPr>
                <w:sz w:val="20"/>
              </w:rPr>
              <w:t>Ministerstvo vnitra České republiky</w:t>
            </w:r>
          </w:p>
        </w:tc>
      </w:tr>
      <w:tr w:rsidR="00FF432B" w:rsidRPr="00D97AD9" w:rsidTr="00DB55D6">
        <w:trPr>
          <w:trHeight w:val="300"/>
        </w:trPr>
        <w:tc>
          <w:tcPr>
            <w:tcW w:w="2380" w:type="dxa"/>
            <w:tcBorders>
              <w:top w:val="nil"/>
              <w:left w:val="nil"/>
              <w:bottom w:val="nil"/>
              <w:right w:val="nil"/>
            </w:tcBorders>
            <w:shd w:val="clear" w:color="auto" w:fill="auto"/>
            <w:tcMar>
              <w:top w:w="15" w:type="dxa"/>
              <w:left w:w="15" w:type="dxa"/>
              <w:bottom w:w="0" w:type="dxa"/>
              <w:right w:w="15" w:type="dxa"/>
            </w:tcMar>
            <w:vAlign w:val="center"/>
            <w:hideMark/>
          </w:tcPr>
          <w:p w:rsidR="00FF432B" w:rsidRPr="00D97AD9" w:rsidRDefault="00FF432B" w:rsidP="008C1143">
            <w:pPr>
              <w:rPr>
                <w:sz w:val="20"/>
              </w:rPr>
            </w:pPr>
            <w:r w:rsidRPr="00D97AD9">
              <w:rPr>
                <w:sz w:val="20"/>
              </w:rPr>
              <w:t xml:space="preserve">MZ, </w:t>
            </w:r>
            <w:proofErr w:type="spellStart"/>
            <w:r w:rsidRPr="00D97AD9">
              <w:rPr>
                <w:sz w:val="20"/>
              </w:rPr>
              <w:t>MZd</w:t>
            </w:r>
            <w:proofErr w:type="spellEnd"/>
          </w:p>
        </w:tc>
        <w:tc>
          <w:tcPr>
            <w:tcW w:w="9900" w:type="dxa"/>
            <w:tcBorders>
              <w:top w:val="nil"/>
              <w:left w:val="nil"/>
              <w:bottom w:val="nil"/>
              <w:right w:val="nil"/>
            </w:tcBorders>
            <w:shd w:val="clear" w:color="auto" w:fill="auto"/>
            <w:tcMar>
              <w:top w:w="15" w:type="dxa"/>
              <w:left w:w="15" w:type="dxa"/>
              <w:bottom w:w="0" w:type="dxa"/>
              <w:right w:w="15" w:type="dxa"/>
            </w:tcMar>
            <w:vAlign w:val="center"/>
            <w:hideMark/>
          </w:tcPr>
          <w:p w:rsidR="00FF432B" w:rsidRPr="00D97AD9" w:rsidRDefault="00FF432B" w:rsidP="008C1143">
            <w:pPr>
              <w:rPr>
                <w:sz w:val="20"/>
              </w:rPr>
            </w:pPr>
            <w:r w:rsidRPr="00D97AD9">
              <w:rPr>
                <w:sz w:val="20"/>
              </w:rPr>
              <w:t>Ministerstvo zdravotnictví České republiky</w:t>
            </w:r>
          </w:p>
        </w:tc>
      </w:tr>
      <w:tr w:rsidR="00FF432B" w:rsidRPr="00D97AD9" w:rsidTr="00DB55D6">
        <w:trPr>
          <w:trHeight w:val="300"/>
        </w:trPr>
        <w:tc>
          <w:tcPr>
            <w:tcW w:w="2380" w:type="dxa"/>
            <w:tcBorders>
              <w:top w:val="nil"/>
              <w:left w:val="nil"/>
              <w:bottom w:val="nil"/>
              <w:right w:val="nil"/>
            </w:tcBorders>
            <w:shd w:val="clear" w:color="auto" w:fill="auto"/>
            <w:tcMar>
              <w:top w:w="15" w:type="dxa"/>
              <w:left w:w="15" w:type="dxa"/>
              <w:bottom w:w="0" w:type="dxa"/>
              <w:right w:w="15" w:type="dxa"/>
            </w:tcMar>
            <w:vAlign w:val="center"/>
            <w:hideMark/>
          </w:tcPr>
          <w:p w:rsidR="00FF432B" w:rsidRPr="00D97AD9" w:rsidRDefault="00FF432B" w:rsidP="008C1143">
            <w:pPr>
              <w:rPr>
                <w:sz w:val="20"/>
              </w:rPr>
            </w:pPr>
            <w:r w:rsidRPr="00D97AD9">
              <w:rPr>
                <w:sz w:val="20"/>
              </w:rPr>
              <w:t>Mze</w:t>
            </w:r>
          </w:p>
        </w:tc>
        <w:tc>
          <w:tcPr>
            <w:tcW w:w="9900" w:type="dxa"/>
            <w:tcBorders>
              <w:top w:val="nil"/>
              <w:left w:val="nil"/>
              <w:bottom w:val="nil"/>
              <w:right w:val="nil"/>
            </w:tcBorders>
            <w:shd w:val="clear" w:color="auto" w:fill="auto"/>
            <w:tcMar>
              <w:top w:w="15" w:type="dxa"/>
              <w:left w:w="15" w:type="dxa"/>
              <w:bottom w:w="0" w:type="dxa"/>
              <w:right w:w="15" w:type="dxa"/>
            </w:tcMar>
            <w:vAlign w:val="center"/>
            <w:hideMark/>
          </w:tcPr>
          <w:p w:rsidR="00FF432B" w:rsidRPr="00D97AD9" w:rsidRDefault="00FF432B" w:rsidP="008C1143">
            <w:pPr>
              <w:rPr>
                <w:sz w:val="20"/>
              </w:rPr>
            </w:pPr>
            <w:r w:rsidRPr="00D97AD9">
              <w:rPr>
                <w:sz w:val="20"/>
              </w:rPr>
              <w:t>Ministerstvo zemědělství České republiky</w:t>
            </w:r>
          </w:p>
        </w:tc>
      </w:tr>
      <w:tr w:rsidR="00FF432B" w:rsidRPr="00D97AD9" w:rsidTr="00DB55D6">
        <w:trPr>
          <w:trHeight w:val="300"/>
        </w:trPr>
        <w:tc>
          <w:tcPr>
            <w:tcW w:w="2380" w:type="dxa"/>
            <w:tcBorders>
              <w:top w:val="nil"/>
              <w:left w:val="nil"/>
              <w:bottom w:val="nil"/>
              <w:right w:val="nil"/>
            </w:tcBorders>
            <w:shd w:val="clear" w:color="auto" w:fill="auto"/>
            <w:tcMar>
              <w:top w:w="15" w:type="dxa"/>
              <w:left w:w="15" w:type="dxa"/>
              <w:bottom w:w="0" w:type="dxa"/>
              <w:right w:w="15" w:type="dxa"/>
            </w:tcMar>
            <w:vAlign w:val="center"/>
            <w:hideMark/>
          </w:tcPr>
          <w:p w:rsidR="00FF432B" w:rsidRPr="00D97AD9" w:rsidRDefault="00FF432B" w:rsidP="008C1143">
            <w:pPr>
              <w:rPr>
                <w:sz w:val="20"/>
              </w:rPr>
            </w:pPr>
            <w:r w:rsidRPr="00D97AD9">
              <w:rPr>
                <w:sz w:val="20"/>
              </w:rPr>
              <w:lastRenderedPageBreak/>
              <w:t>MŽP</w:t>
            </w:r>
          </w:p>
        </w:tc>
        <w:tc>
          <w:tcPr>
            <w:tcW w:w="9900" w:type="dxa"/>
            <w:tcBorders>
              <w:top w:val="nil"/>
              <w:left w:val="nil"/>
              <w:bottom w:val="nil"/>
              <w:right w:val="nil"/>
            </w:tcBorders>
            <w:shd w:val="clear" w:color="auto" w:fill="auto"/>
            <w:tcMar>
              <w:top w:w="15" w:type="dxa"/>
              <w:left w:w="15" w:type="dxa"/>
              <w:bottom w:w="0" w:type="dxa"/>
              <w:right w:w="15" w:type="dxa"/>
            </w:tcMar>
            <w:vAlign w:val="center"/>
            <w:hideMark/>
          </w:tcPr>
          <w:p w:rsidR="00FF432B" w:rsidRPr="00D97AD9" w:rsidRDefault="00FF432B" w:rsidP="008C1143">
            <w:pPr>
              <w:rPr>
                <w:sz w:val="20"/>
              </w:rPr>
            </w:pPr>
            <w:r w:rsidRPr="00D97AD9">
              <w:rPr>
                <w:sz w:val="20"/>
              </w:rPr>
              <w:t>Ministerstvo životního prostředí České republiky</w:t>
            </w:r>
          </w:p>
        </w:tc>
      </w:tr>
      <w:tr w:rsidR="00FF432B" w:rsidRPr="00D97AD9" w:rsidTr="00DB55D6">
        <w:trPr>
          <w:trHeight w:val="300"/>
        </w:trPr>
        <w:tc>
          <w:tcPr>
            <w:tcW w:w="2380" w:type="dxa"/>
            <w:tcBorders>
              <w:top w:val="nil"/>
              <w:left w:val="nil"/>
              <w:bottom w:val="nil"/>
              <w:right w:val="nil"/>
            </w:tcBorders>
            <w:shd w:val="clear" w:color="auto" w:fill="auto"/>
            <w:tcMar>
              <w:top w:w="15" w:type="dxa"/>
              <w:left w:w="15" w:type="dxa"/>
              <w:bottom w:w="0" w:type="dxa"/>
              <w:right w:w="15" w:type="dxa"/>
            </w:tcMar>
            <w:vAlign w:val="center"/>
            <w:hideMark/>
          </w:tcPr>
          <w:p w:rsidR="00FF432B" w:rsidRPr="00D97AD9" w:rsidRDefault="00FF432B" w:rsidP="008C1143">
            <w:pPr>
              <w:rPr>
                <w:sz w:val="20"/>
              </w:rPr>
            </w:pPr>
            <w:r w:rsidRPr="00D97AD9">
              <w:rPr>
                <w:sz w:val="20"/>
              </w:rPr>
              <w:t>NAKIT</w:t>
            </w:r>
          </w:p>
        </w:tc>
        <w:tc>
          <w:tcPr>
            <w:tcW w:w="9900" w:type="dxa"/>
            <w:tcBorders>
              <w:top w:val="nil"/>
              <w:left w:val="nil"/>
              <w:bottom w:val="nil"/>
              <w:right w:val="nil"/>
            </w:tcBorders>
            <w:shd w:val="clear" w:color="auto" w:fill="auto"/>
            <w:tcMar>
              <w:top w:w="15" w:type="dxa"/>
              <w:left w:w="15" w:type="dxa"/>
              <w:bottom w:w="0" w:type="dxa"/>
              <w:right w:w="15" w:type="dxa"/>
            </w:tcMar>
            <w:vAlign w:val="center"/>
            <w:hideMark/>
          </w:tcPr>
          <w:p w:rsidR="00FF432B" w:rsidRPr="00D97AD9" w:rsidRDefault="00FF432B" w:rsidP="008C1143">
            <w:pPr>
              <w:rPr>
                <w:sz w:val="20"/>
              </w:rPr>
            </w:pPr>
            <w:r w:rsidRPr="00D97AD9">
              <w:rPr>
                <w:sz w:val="20"/>
              </w:rPr>
              <w:t>Národní agentura pro komunikační a informační technologie</w:t>
            </w:r>
          </w:p>
        </w:tc>
      </w:tr>
      <w:tr w:rsidR="00FF432B" w:rsidRPr="00D97AD9" w:rsidTr="00DB55D6">
        <w:trPr>
          <w:trHeight w:val="300"/>
        </w:trPr>
        <w:tc>
          <w:tcPr>
            <w:tcW w:w="2380" w:type="dxa"/>
            <w:tcBorders>
              <w:top w:val="nil"/>
              <w:left w:val="nil"/>
              <w:bottom w:val="nil"/>
              <w:right w:val="nil"/>
            </w:tcBorders>
            <w:shd w:val="clear" w:color="auto" w:fill="auto"/>
            <w:tcMar>
              <w:top w:w="15" w:type="dxa"/>
              <w:left w:w="15" w:type="dxa"/>
              <w:bottom w:w="0" w:type="dxa"/>
              <w:right w:w="15" w:type="dxa"/>
            </w:tcMar>
            <w:vAlign w:val="center"/>
            <w:hideMark/>
          </w:tcPr>
          <w:p w:rsidR="00FF432B" w:rsidRPr="00D97AD9" w:rsidRDefault="00FF432B" w:rsidP="008C1143">
            <w:pPr>
              <w:rPr>
                <w:sz w:val="20"/>
              </w:rPr>
            </w:pPr>
            <w:r w:rsidRPr="00D97AD9">
              <w:rPr>
                <w:sz w:val="20"/>
              </w:rPr>
              <w:t>NAP</w:t>
            </w:r>
          </w:p>
        </w:tc>
        <w:tc>
          <w:tcPr>
            <w:tcW w:w="9900" w:type="dxa"/>
            <w:tcBorders>
              <w:top w:val="nil"/>
              <w:left w:val="nil"/>
              <w:bottom w:val="nil"/>
              <w:right w:val="nil"/>
            </w:tcBorders>
            <w:shd w:val="clear" w:color="auto" w:fill="auto"/>
            <w:tcMar>
              <w:top w:w="15" w:type="dxa"/>
              <w:left w:w="15" w:type="dxa"/>
              <w:bottom w:w="0" w:type="dxa"/>
              <w:right w:w="15" w:type="dxa"/>
            </w:tcMar>
            <w:vAlign w:val="center"/>
            <w:hideMark/>
          </w:tcPr>
          <w:p w:rsidR="00FF432B" w:rsidRPr="00D97AD9" w:rsidRDefault="00FF432B" w:rsidP="008C1143">
            <w:pPr>
              <w:rPr>
                <w:sz w:val="20"/>
              </w:rPr>
            </w:pPr>
            <w:r w:rsidRPr="00D97AD9">
              <w:rPr>
                <w:sz w:val="20"/>
              </w:rPr>
              <w:t xml:space="preserve">Národní architektonický plán </w:t>
            </w:r>
            <w:proofErr w:type="spellStart"/>
            <w:r w:rsidRPr="00D97AD9">
              <w:rPr>
                <w:sz w:val="20"/>
              </w:rPr>
              <w:t>eGovernmentu</w:t>
            </w:r>
            <w:proofErr w:type="spellEnd"/>
          </w:p>
        </w:tc>
      </w:tr>
      <w:tr w:rsidR="00FF432B" w:rsidRPr="00D97AD9" w:rsidTr="00DB55D6">
        <w:trPr>
          <w:trHeight w:val="900"/>
        </w:trPr>
        <w:tc>
          <w:tcPr>
            <w:tcW w:w="2380" w:type="dxa"/>
            <w:tcBorders>
              <w:top w:val="nil"/>
              <w:left w:val="nil"/>
              <w:bottom w:val="nil"/>
              <w:right w:val="nil"/>
            </w:tcBorders>
            <w:shd w:val="clear" w:color="auto" w:fill="auto"/>
            <w:tcMar>
              <w:top w:w="15" w:type="dxa"/>
              <w:left w:w="15" w:type="dxa"/>
              <w:bottom w:w="0" w:type="dxa"/>
              <w:right w:w="15" w:type="dxa"/>
            </w:tcMar>
            <w:vAlign w:val="center"/>
            <w:hideMark/>
          </w:tcPr>
          <w:p w:rsidR="00FF432B" w:rsidRDefault="00FF432B" w:rsidP="008C1143">
            <w:pPr>
              <w:rPr>
                <w:sz w:val="20"/>
              </w:rPr>
            </w:pPr>
            <w:r w:rsidRPr="00D97AD9">
              <w:rPr>
                <w:sz w:val="20"/>
              </w:rPr>
              <w:t xml:space="preserve">nařízení </w:t>
            </w:r>
            <w:proofErr w:type="spellStart"/>
            <w:r w:rsidRPr="00D97AD9">
              <w:rPr>
                <w:sz w:val="20"/>
              </w:rPr>
              <w:t>eIDAS</w:t>
            </w:r>
            <w:proofErr w:type="spellEnd"/>
          </w:p>
          <w:p w:rsidR="00E501AB" w:rsidRDefault="00E501AB" w:rsidP="008C1143">
            <w:pPr>
              <w:rPr>
                <w:sz w:val="20"/>
              </w:rPr>
            </w:pPr>
          </w:p>
          <w:p w:rsidR="00E501AB" w:rsidRDefault="00E501AB" w:rsidP="008C1143">
            <w:pPr>
              <w:rPr>
                <w:sz w:val="20"/>
              </w:rPr>
            </w:pPr>
          </w:p>
          <w:p w:rsidR="00E501AB" w:rsidRDefault="00E501AB" w:rsidP="008C1143">
            <w:pPr>
              <w:rPr>
                <w:sz w:val="20"/>
              </w:rPr>
            </w:pPr>
            <w:r>
              <w:rPr>
                <w:sz w:val="20"/>
              </w:rPr>
              <w:t>NKP</w:t>
            </w:r>
          </w:p>
          <w:p w:rsidR="00E501AB" w:rsidRDefault="00E501AB" w:rsidP="008C1143">
            <w:pPr>
              <w:rPr>
                <w:sz w:val="20"/>
              </w:rPr>
            </w:pPr>
            <w:r>
              <w:rPr>
                <w:sz w:val="20"/>
              </w:rPr>
              <w:t>NGN</w:t>
            </w:r>
          </w:p>
          <w:p w:rsidR="00E501AB" w:rsidRPr="00D97AD9" w:rsidRDefault="00E501AB" w:rsidP="008C1143">
            <w:pPr>
              <w:rPr>
                <w:sz w:val="20"/>
              </w:rPr>
            </w:pPr>
            <w:r>
              <w:rPr>
                <w:sz w:val="20"/>
              </w:rPr>
              <w:t>NGO</w:t>
            </w:r>
          </w:p>
        </w:tc>
        <w:tc>
          <w:tcPr>
            <w:tcW w:w="9900" w:type="dxa"/>
            <w:tcBorders>
              <w:top w:val="nil"/>
              <w:left w:val="nil"/>
              <w:bottom w:val="nil"/>
              <w:right w:val="nil"/>
            </w:tcBorders>
            <w:shd w:val="clear" w:color="auto" w:fill="auto"/>
            <w:tcMar>
              <w:top w:w="15" w:type="dxa"/>
              <w:left w:w="15" w:type="dxa"/>
              <w:bottom w:w="0" w:type="dxa"/>
              <w:right w:w="15" w:type="dxa"/>
            </w:tcMar>
            <w:vAlign w:val="center"/>
            <w:hideMark/>
          </w:tcPr>
          <w:p w:rsidR="00D07530" w:rsidRDefault="00FF432B" w:rsidP="008C1143">
            <w:pPr>
              <w:rPr>
                <w:sz w:val="20"/>
              </w:rPr>
            </w:pPr>
            <w:r w:rsidRPr="00D97AD9">
              <w:rPr>
                <w:sz w:val="20"/>
              </w:rPr>
              <w:t xml:space="preserve">nařízení Evropského Parlamentu a Rady (EU) č. 910/2014 ze dne 23. července 2014 </w:t>
            </w:r>
          </w:p>
          <w:p w:rsidR="00D07530" w:rsidRDefault="00FF432B" w:rsidP="008C1143">
            <w:pPr>
              <w:rPr>
                <w:sz w:val="20"/>
              </w:rPr>
            </w:pPr>
            <w:r w:rsidRPr="00D97AD9">
              <w:rPr>
                <w:sz w:val="20"/>
              </w:rPr>
              <w:t xml:space="preserve">o elektronické identifikaci a službách vytvářejících důvěru pro elektronické transakce </w:t>
            </w:r>
          </w:p>
          <w:p w:rsidR="00FF432B" w:rsidRDefault="00FF432B" w:rsidP="008C1143">
            <w:pPr>
              <w:rPr>
                <w:sz w:val="20"/>
              </w:rPr>
            </w:pPr>
            <w:r w:rsidRPr="00D97AD9">
              <w:rPr>
                <w:sz w:val="20"/>
              </w:rPr>
              <w:t>na vnitřním trhu a o zrušení směrnice 1999/93/ES</w:t>
            </w:r>
          </w:p>
          <w:p w:rsidR="00E501AB" w:rsidRDefault="00E501AB" w:rsidP="008C1143">
            <w:pPr>
              <w:rPr>
                <w:sz w:val="20"/>
              </w:rPr>
            </w:pPr>
            <w:r w:rsidRPr="00E501AB">
              <w:rPr>
                <w:sz w:val="20"/>
              </w:rPr>
              <w:t>Národní knihovna České republiky</w:t>
            </w:r>
          </w:p>
          <w:p w:rsidR="00E501AB" w:rsidRDefault="00E501AB" w:rsidP="008C1143">
            <w:pPr>
              <w:rPr>
                <w:sz w:val="20"/>
              </w:rPr>
            </w:pPr>
            <w:proofErr w:type="spellStart"/>
            <w:r w:rsidRPr="00E501AB">
              <w:rPr>
                <w:sz w:val="20"/>
              </w:rPr>
              <w:t>Next</w:t>
            </w:r>
            <w:proofErr w:type="spellEnd"/>
            <w:r w:rsidRPr="00E501AB">
              <w:rPr>
                <w:sz w:val="20"/>
              </w:rPr>
              <w:t xml:space="preserve"> </w:t>
            </w:r>
            <w:proofErr w:type="spellStart"/>
            <w:r w:rsidRPr="00E501AB">
              <w:rPr>
                <w:sz w:val="20"/>
              </w:rPr>
              <w:t>Generation</w:t>
            </w:r>
            <w:proofErr w:type="spellEnd"/>
            <w:r w:rsidRPr="00E501AB">
              <w:rPr>
                <w:sz w:val="20"/>
              </w:rPr>
              <w:t xml:space="preserve"> Network</w:t>
            </w:r>
            <w:r>
              <w:rPr>
                <w:sz w:val="20"/>
              </w:rPr>
              <w:t xml:space="preserve"> (sítě nové generace)</w:t>
            </w:r>
          </w:p>
          <w:p w:rsidR="00E501AB" w:rsidRPr="00D97AD9" w:rsidRDefault="00E501AB" w:rsidP="00E501AB">
            <w:pPr>
              <w:rPr>
                <w:sz w:val="20"/>
              </w:rPr>
            </w:pPr>
            <w:r w:rsidRPr="00E501AB">
              <w:rPr>
                <w:sz w:val="20"/>
              </w:rPr>
              <w:t>Non-</w:t>
            </w:r>
            <w:proofErr w:type="spellStart"/>
            <w:r w:rsidRPr="00E501AB">
              <w:rPr>
                <w:sz w:val="20"/>
              </w:rPr>
              <w:t>Governmental</w:t>
            </w:r>
            <w:proofErr w:type="spellEnd"/>
            <w:r w:rsidRPr="00E501AB">
              <w:rPr>
                <w:sz w:val="20"/>
              </w:rPr>
              <w:t xml:space="preserve"> </w:t>
            </w:r>
            <w:proofErr w:type="spellStart"/>
            <w:r w:rsidRPr="00E501AB">
              <w:rPr>
                <w:sz w:val="20"/>
              </w:rPr>
              <w:t>Organization</w:t>
            </w:r>
            <w:proofErr w:type="spellEnd"/>
            <w:r>
              <w:rPr>
                <w:sz w:val="20"/>
              </w:rPr>
              <w:t xml:space="preserve"> (nestátní/nevládní nezisková organizace)</w:t>
            </w:r>
          </w:p>
        </w:tc>
      </w:tr>
      <w:tr w:rsidR="00FF432B" w:rsidRPr="00D97AD9" w:rsidTr="00DB55D6">
        <w:trPr>
          <w:trHeight w:val="300"/>
        </w:trPr>
        <w:tc>
          <w:tcPr>
            <w:tcW w:w="2380" w:type="dxa"/>
            <w:tcBorders>
              <w:top w:val="nil"/>
              <w:left w:val="nil"/>
              <w:bottom w:val="nil"/>
              <w:right w:val="nil"/>
            </w:tcBorders>
            <w:shd w:val="clear" w:color="auto" w:fill="auto"/>
            <w:tcMar>
              <w:top w:w="15" w:type="dxa"/>
              <w:left w:w="15" w:type="dxa"/>
              <w:bottom w:w="0" w:type="dxa"/>
              <w:right w:w="15" w:type="dxa"/>
            </w:tcMar>
            <w:vAlign w:val="center"/>
            <w:hideMark/>
          </w:tcPr>
          <w:p w:rsidR="00D171FE" w:rsidRPr="00D97AD9" w:rsidRDefault="00C75487" w:rsidP="008C1143">
            <w:pPr>
              <w:rPr>
                <w:sz w:val="20"/>
              </w:rPr>
            </w:pPr>
            <w:r>
              <w:rPr>
                <w:sz w:val="20"/>
              </w:rPr>
              <w:t>NÚKIB</w:t>
            </w:r>
            <w:r w:rsidR="00D171FE">
              <w:rPr>
                <w:sz w:val="20"/>
              </w:rPr>
              <w:t>NVF</w:t>
            </w:r>
          </w:p>
        </w:tc>
        <w:tc>
          <w:tcPr>
            <w:tcW w:w="9900" w:type="dxa"/>
            <w:tcBorders>
              <w:top w:val="nil"/>
              <w:left w:val="nil"/>
              <w:bottom w:val="nil"/>
              <w:right w:val="nil"/>
            </w:tcBorders>
            <w:shd w:val="clear" w:color="auto" w:fill="auto"/>
            <w:tcMar>
              <w:top w:w="15" w:type="dxa"/>
              <w:left w:w="15" w:type="dxa"/>
              <w:bottom w:w="0" w:type="dxa"/>
              <w:right w:w="15" w:type="dxa"/>
            </w:tcMar>
            <w:vAlign w:val="center"/>
            <w:hideMark/>
          </w:tcPr>
          <w:p w:rsidR="00D171FE" w:rsidRDefault="00FF432B" w:rsidP="008C1143">
            <w:pPr>
              <w:rPr>
                <w:sz w:val="20"/>
              </w:rPr>
            </w:pPr>
            <w:r w:rsidRPr="00D97AD9">
              <w:rPr>
                <w:sz w:val="20"/>
              </w:rPr>
              <w:t>Národní úřad</w:t>
            </w:r>
            <w:r w:rsidR="00544011">
              <w:rPr>
                <w:sz w:val="20"/>
              </w:rPr>
              <w:t xml:space="preserve"> </w:t>
            </w:r>
            <w:r w:rsidR="00544011">
              <w:rPr>
                <w:rFonts w:ascii="Calibri" w:hAnsi="Calibri"/>
              </w:rPr>
              <w:t>pro kybernetickou a informační bezpečnost</w:t>
            </w:r>
          </w:p>
          <w:p w:rsidR="00D171FE" w:rsidRPr="00D97AD9" w:rsidRDefault="00D171FE" w:rsidP="008C1143">
            <w:pPr>
              <w:rPr>
                <w:sz w:val="20"/>
              </w:rPr>
            </w:pPr>
            <w:r w:rsidRPr="00D97AD9">
              <w:rPr>
                <w:sz w:val="20"/>
              </w:rPr>
              <w:t>Národní</w:t>
            </w:r>
            <w:r>
              <w:rPr>
                <w:sz w:val="20"/>
              </w:rPr>
              <w:t xml:space="preserve"> </w:t>
            </w:r>
            <w:r w:rsidR="0039632A">
              <w:rPr>
                <w:sz w:val="20"/>
              </w:rPr>
              <w:t xml:space="preserve">vzdělávací fond </w:t>
            </w:r>
          </w:p>
        </w:tc>
      </w:tr>
      <w:tr w:rsidR="00FF432B" w:rsidRPr="00D97AD9" w:rsidTr="00DB55D6">
        <w:trPr>
          <w:trHeight w:val="300"/>
        </w:trPr>
        <w:tc>
          <w:tcPr>
            <w:tcW w:w="2380" w:type="dxa"/>
            <w:tcBorders>
              <w:top w:val="nil"/>
              <w:left w:val="nil"/>
              <w:bottom w:val="nil"/>
              <w:right w:val="nil"/>
            </w:tcBorders>
            <w:shd w:val="clear" w:color="auto" w:fill="auto"/>
            <w:tcMar>
              <w:top w:w="15" w:type="dxa"/>
              <w:left w:w="15" w:type="dxa"/>
              <w:bottom w:w="0" w:type="dxa"/>
              <w:right w:w="15" w:type="dxa"/>
            </w:tcMar>
            <w:vAlign w:val="center"/>
            <w:hideMark/>
          </w:tcPr>
          <w:p w:rsidR="00FF432B" w:rsidRPr="00D97AD9" w:rsidRDefault="00FF432B" w:rsidP="008C1143">
            <w:pPr>
              <w:rPr>
                <w:sz w:val="20"/>
              </w:rPr>
            </w:pPr>
            <w:r w:rsidRPr="00D97AD9">
              <w:rPr>
                <w:sz w:val="20"/>
              </w:rPr>
              <w:t>NIA</w:t>
            </w:r>
          </w:p>
        </w:tc>
        <w:tc>
          <w:tcPr>
            <w:tcW w:w="9900" w:type="dxa"/>
            <w:tcBorders>
              <w:top w:val="nil"/>
              <w:left w:val="nil"/>
              <w:bottom w:val="nil"/>
              <w:right w:val="nil"/>
            </w:tcBorders>
            <w:shd w:val="clear" w:color="auto" w:fill="auto"/>
            <w:tcMar>
              <w:top w:w="15" w:type="dxa"/>
              <w:left w:w="15" w:type="dxa"/>
              <w:bottom w:w="0" w:type="dxa"/>
              <w:right w:w="15" w:type="dxa"/>
            </w:tcMar>
            <w:vAlign w:val="center"/>
            <w:hideMark/>
          </w:tcPr>
          <w:p w:rsidR="00FF432B" w:rsidRPr="00D97AD9" w:rsidRDefault="00FF432B" w:rsidP="008C1143">
            <w:pPr>
              <w:rPr>
                <w:sz w:val="20"/>
              </w:rPr>
            </w:pPr>
            <w:r w:rsidRPr="00D97AD9">
              <w:rPr>
                <w:sz w:val="20"/>
              </w:rPr>
              <w:t>Národní bod pro identifikaci a autentizaci</w:t>
            </w:r>
          </w:p>
        </w:tc>
      </w:tr>
      <w:tr w:rsidR="00FF432B" w:rsidRPr="00D97AD9" w:rsidTr="00DB55D6">
        <w:trPr>
          <w:trHeight w:val="300"/>
        </w:trPr>
        <w:tc>
          <w:tcPr>
            <w:tcW w:w="2380" w:type="dxa"/>
            <w:tcBorders>
              <w:top w:val="nil"/>
              <w:left w:val="nil"/>
              <w:bottom w:val="nil"/>
              <w:right w:val="nil"/>
            </w:tcBorders>
            <w:shd w:val="clear" w:color="auto" w:fill="auto"/>
            <w:tcMar>
              <w:top w:w="15" w:type="dxa"/>
              <w:left w:w="15" w:type="dxa"/>
              <w:bottom w:w="0" w:type="dxa"/>
              <w:right w:w="15" w:type="dxa"/>
            </w:tcMar>
            <w:vAlign w:val="center"/>
            <w:hideMark/>
          </w:tcPr>
          <w:p w:rsidR="00FF432B" w:rsidRPr="00D97AD9" w:rsidRDefault="00FF432B" w:rsidP="008C1143">
            <w:pPr>
              <w:rPr>
                <w:sz w:val="20"/>
              </w:rPr>
            </w:pPr>
            <w:r w:rsidRPr="00D97AD9">
              <w:rPr>
                <w:sz w:val="20"/>
              </w:rPr>
              <w:t>NKOD</w:t>
            </w:r>
          </w:p>
        </w:tc>
        <w:tc>
          <w:tcPr>
            <w:tcW w:w="9900" w:type="dxa"/>
            <w:tcBorders>
              <w:top w:val="nil"/>
              <w:left w:val="nil"/>
              <w:bottom w:val="nil"/>
              <w:right w:val="nil"/>
            </w:tcBorders>
            <w:shd w:val="clear" w:color="auto" w:fill="auto"/>
            <w:tcMar>
              <w:top w:w="15" w:type="dxa"/>
              <w:left w:w="15" w:type="dxa"/>
              <w:bottom w:w="0" w:type="dxa"/>
              <w:right w:w="15" w:type="dxa"/>
            </w:tcMar>
            <w:vAlign w:val="center"/>
            <w:hideMark/>
          </w:tcPr>
          <w:p w:rsidR="00FF432B" w:rsidRPr="00D97AD9" w:rsidRDefault="00FF432B" w:rsidP="008C1143">
            <w:pPr>
              <w:rPr>
                <w:sz w:val="20"/>
              </w:rPr>
            </w:pPr>
            <w:r w:rsidRPr="00D97AD9">
              <w:rPr>
                <w:sz w:val="20"/>
              </w:rPr>
              <w:t>Národní katalog otevřených dat</w:t>
            </w:r>
          </w:p>
        </w:tc>
      </w:tr>
      <w:tr w:rsidR="00FF432B" w:rsidRPr="00D97AD9" w:rsidTr="00DB55D6">
        <w:trPr>
          <w:trHeight w:val="300"/>
        </w:trPr>
        <w:tc>
          <w:tcPr>
            <w:tcW w:w="2380" w:type="dxa"/>
            <w:tcBorders>
              <w:top w:val="nil"/>
              <w:left w:val="nil"/>
              <w:bottom w:val="nil"/>
              <w:right w:val="nil"/>
            </w:tcBorders>
            <w:shd w:val="clear" w:color="auto" w:fill="auto"/>
            <w:tcMar>
              <w:top w:w="15" w:type="dxa"/>
              <w:left w:w="15" w:type="dxa"/>
              <w:bottom w:w="0" w:type="dxa"/>
              <w:right w:w="15" w:type="dxa"/>
            </w:tcMar>
            <w:vAlign w:val="center"/>
            <w:hideMark/>
          </w:tcPr>
          <w:p w:rsidR="00FF432B" w:rsidRPr="00D97AD9" w:rsidRDefault="00FF432B" w:rsidP="008C1143">
            <w:pPr>
              <w:rPr>
                <w:sz w:val="20"/>
              </w:rPr>
            </w:pPr>
            <w:proofErr w:type="spellStart"/>
            <w:r w:rsidRPr="00D97AD9">
              <w:rPr>
                <w:sz w:val="20"/>
              </w:rPr>
              <w:t>NSeZ</w:t>
            </w:r>
            <w:proofErr w:type="spellEnd"/>
          </w:p>
        </w:tc>
        <w:tc>
          <w:tcPr>
            <w:tcW w:w="9900" w:type="dxa"/>
            <w:tcBorders>
              <w:top w:val="nil"/>
              <w:left w:val="nil"/>
              <w:bottom w:val="nil"/>
              <w:right w:val="nil"/>
            </w:tcBorders>
            <w:shd w:val="clear" w:color="auto" w:fill="auto"/>
            <w:tcMar>
              <w:top w:w="15" w:type="dxa"/>
              <w:left w:w="15" w:type="dxa"/>
              <w:bottom w:w="0" w:type="dxa"/>
              <w:right w:w="15" w:type="dxa"/>
            </w:tcMar>
            <w:vAlign w:val="center"/>
            <w:hideMark/>
          </w:tcPr>
          <w:p w:rsidR="00FF432B" w:rsidRPr="00D97AD9" w:rsidRDefault="00FF432B" w:rsidP="008C1143">
            <w:pPr>
              <w:rPr>
                <w:sz w:val="20"/>
              </w:rPr>
            </w:pPr>
            <w:r w:rsidRPr="00D97AD9">
              <w:rPr>
                <w:sz w:val="20"/>
              </w:rPr>
              <w:t>Národní strategie elektronického zdravotnictví</w:t>
            </w:r>
          </w:p>
        </w:tc>
      </w:tr>
      <w:tr w:rsidR="00FF432B" w:rsidRPr="00D97AD9" w:rsidTr="00DB55D6">
        <w:trPr>
          <w:trHeight w:val="300"/>
        </w:trPr>
        <w:tc>
          <w:tcPr>
            <w:tcW w:w="2380" w:type="dxa"/>
            <w:tcBorders>
              <w:top w:val="nil"/>
              <w:left w:val="nil"/>
              <w:bottom w:val="nil"/>
              <w:right w:val="nil"/>
            </w:tcBorders>
            <w:shd w:val="clear" w:color="auto" w:fill="auto"/>
            <w:tcMar>
              <w:top w:w="15" w:type="dxa"/>
              <w:left w:w="15" w:type="dxa"/>
              <w:bottom w:w="0" w:type="dxa"/>
              <w:right w:w="15" w:type="dxa"/>
            </w:tcMar>
            <w:vAlign w:val="center"/>
            <w:hideMark/>
          </w:tcPr>
          <w:p w:rsidR="00FF432B" w:rsidRDefault="00FF432B" w:rsidP="008C1143">
            <w:pPr>
              <w:rPr>
                <w:sz w:val="20"/>
              </w:rPr>
            </w:pPr>
            <w:r w:rsidRPr="00D97AD9">
              <w:rPr>
                <w:sz w:val="20"/>
              </w:rPr>
              <w:t>NSKB</w:t>
            </w:r>
          </w:p>
          <w:p w:rsidR="007F0EBF" w:rsidRDefault="007F0EBF" w:rsidP="008C1143">
            <w:pPr>
              <w:rPr>
                <w:sz w:val="20"/>
              </w:rPr>
            </w:pPr>
            <w:r>
              <w:rPr>
                <w:sz w:val="20"/>
              </w:rPr>
              <w:t>NÚV</w:t>
            </w:r>
          </w:p>
          <w:p w:rsidR="006B75E3" w:rsidRPr="00D97AD9" w:rsidRDefault="006B75E3" w:rsidP="008C1143">
            <w:pPr>
              <w:rPr>
                <w:sz w:val="20"/>
              </w:rPr>
            </w:pPr>
            <w:r>
              <w:rPr>
                <w:sz w:val="20"/>
              </w:rPr>
              <w:t>OHA</w:t>
            </w:r>
          </w:p>
        </w:tc>
        <w:tc>
          <w:tcPr>
            <w:tcW w:w="9900" w:type="dxa"/>
            <w:tcBorders>
              <w:top w:val="nil"/>
              <w:left w:val="nil"/>
              <w:bottom w:val="nil"/>
              <w:right w:val="nil"/>
            </w:tcBorders>
            <w:shd w:val="clear" w:color="auto" w:fill="auto"/>
            <w:tcMar>
              <w:top w:w="15" w:type="dxa"/>
              <w:left w:w="15" w:type="dxa"/>
              <w:bottom w:w="0" w:type="dxa"/>
              <w:right w:w="15" w:type="dxa"/>
            </w:tcMar>
            <w:vAlign w:val="center"/>
            <w:hideMark/>
          </w:tcPr>
          <w:p w:rsidR="007F0EBF" w:rsidRDefault="00FF432B" w:rsidP="008C1143">
            <w:pPr>
              <w:rPr>
                <w:sz w:val="20"/>
              </w:rPr>
            </w:pPr>
            <w:r w:rsidRPr="00D97AD9">
              <w:rPr>
                <w:sz w:val="20"/>
              </w:rPr>
              <w:t>Národní strategie kybernetické bezpečnosti na období let 2015-2020</w:t>
            </w:r>
          </w:p>
          <w:p w:rsidR="007F0EBF" w:rsidRDefault="007F0EBF" w:rsidP="008C1143">
            <w:pPr>
              <w:rPr>
                <w:sz w:val="20"/>
              </w:rPr>
            </w:pPr>
            <w:r>
              <w:rPr>
                <w:sz w:val="20"/>
              </w:rPr>
              <w:t>Národní ústav pro vzdělávání</w:t>
            </w:r>
          </w:p>
          <w:p w:rsidR="006B75E3" w:rsidRPr="00D97AD9" w:rsidRDefault="006B75E3" w:rsidP="008C1143">
            <w:pPr>
              <w:rPr>
                <w:sz w:val="20"/>
              </w:rPr>
            </w:pPr>
            <w:r>
              <w:rPr>
                <w:sz w:val="20"/>
              </w:rPr>
              <w:t xml:space="preserve">Odbor Hlavního architekta </w:t>
            </w:r>
            <w:proofErr w:type="spellStart"/>
            <w:r>
              <w:rPr>
                <w:sz w:val="20"/>
              </w:rPr>
              <w:t>eGovernmentu</w:t>
            </w:r>
            <w:proofErr w:type="spellEnd"/>
            <w:r>
              <w:rPr>
                <w:sz w:val="20"/>
              </w:rPr>
              <w:t xml:space="preserve"> (Ministerstvo vnitra ČR)</w:t>
            </w:r>
          </w:p>
        </w:tc>
      </w:tr>
      <w:tr w:rsidR="00FF432B" w:rsidRPr="00D97AD9" w:rsidTr="00DB55D6">
        <w:trPr>
          <w:trHeight w:val="300"/>
        </w:trPr>
        <w:tc>
          <w:tcPr>
            <w:tcW w:w="2380" w:type="dxa"/>
            <w:tcBorders>
              <w:top w:val="nil"/>
              <w:left w:val="nil"/>
              <w:bottom w:val="nil"/>
              <w:right w:val="nil"/>
            </w:tcBorders>
            <w:shd w:val="clear" w:color="auto" w:fill="auto"/>
            <w:tcMar>
              <w:top w:w="15" w:type="dxa"/>
              <w:left w:w="15" w:type="dxa"/>
              <w:bottom w:w="0" w:type="dxa"/>
              <w:right w:w="15" w:type="dxa"/>
            </w:tcMar>
            <w:vAlign w:val="center"/>
            <w:hideMark/>
          </w:tcPr>
          <w:p w:rsidR="00FF432B" w:rsidRPr="00D97AD9" w:rsidRDefault="00FF432B" w:rsidP="008C1143">
            <w:pPr>
              <w:rPr>
                <w:sz w:val="20"/>
              </w:rPr>
            </w:pPr>
            <w:r w:rsidRPr="00D97AD9">
              <w:rPr>
                <w:sz w:val="20"/>
              </w:rPr>
              <w:t>OECD</w:t>
            </w:r>
          </w:p>
        </w:tc>
        <w:tc>
          <w:tcPr>
            <w:tcW w:w="9900" w:type="dxa"/>
            <w:tcBorders>
              <w:top w:val="nil"/>
              <w:left w:val="nil"/>
              <w:bottom w:val="nil"/>
              <w:right w:val="nil"/>
            </w:tcBorders>
            <w:shd w:val="clear" w:color="auto" w:fill="auto"/>
            <w:tcMar>
              <w:top w:w="15" w:type="dxa"/>
              <w:left w:w="15" w:type="dxa"/>
              <w:bottom w:w="0" w:type="dxa"/>
              <w:right w:w="15" w:type="dxa"/>
            </w:tcMar>
            <w:vAlign w:val="center"/>
            <w:hideMark/>
          </w:tcPr>
          <w:p w:rsidR="00FF432B" w:rsidRPr="00D97AD9" w:rsidRDefault="00FF432B" w:rsidP="008C1143">
            <w:pPr>
              <w:rPr>
                <w:sz w:val="20"/>
              </w:rPr>
            </w:pPr>
            <w:r w:rsidRPr="00D97AD9">
              <w:rPr>
                <w:sz w:val="20"/>
              </w:rPr>
              <w:t>Organizace pro hospodářskou spolupráci a rozvoj</w:t>
            </w:r>
          </w:p>
        </w:tc>
      </w:tr>
      <w:tr w:rsidR="00FF432B" w:rsidRPr="00D97AD9" w:rsidTr="00DB55D6">
        <w:trPr>
          <w:trHeight w:val="300"/>
        </w:trPr>
        <w:tc>
          <w:tcPr>
            <w:tcW w:w="2380" w:type="dxa"/>
            <w:tcBorders>
              <w:top w:val="nil"/>
              <w:left w:val="nil"/>
              <w:bottom w:val="nil"/>
              <w:right w:val="nil"/>
            </w:tcBorders>
            <w:shd w:val="clear" w:color="auto" w:fill="auto"/>
            <w:tcMar>
              <w:top w:w="15" w:type="dxa"/>
              <w:left w:w="15" w:type="dxa"/>
              <w:bottom w:w="0" w:type="dxa"/>
              <w:right w:w="15" w:type="dxa"/>
            </w:tcMar>
            <w:vAlign w:val="center"/>
            <w:hideMark/>
          </w:tcPr>
          <w:p w:rsidR="00FF432B" w:rsidRPr="00D97AD9" w:rsidRDefault="00FF432B" w:rsidP="008C1143">
            <w:pPr>
              <w:rPr>
                <w:sz w:val="20"/>
              </w:rPr>
            </w:pPr>
            <w:r w:rsidRPr="00D97AD9">
              <w:rPr>
                <w:sz w:val="20"/>
              </w:rPr>
              <w:t>OP D</w:t>
            </w:r>
          </w:p>
        </w:tc>
        <w:tc>
          <w:tcPr>
            <w:tcW w:w="9900" w:type="dxa"/>
            <w:tcBorders>
              <w:top w:val="nil"/>
              <w:left w:val="nil"/>
              <w:bottom w:val="nil"/>
              <w:right w:val="nil"/>
            </w:tcBorders>
            <w:shd w:val="clear" w:color="auto" w:fill="auto"/>
            <w:tcMar>
              <w:top w:w="15" w:type="dxa"/>
              <w:left w:w="15" w:type="dxa"/>
              <w:bottom w:w="0" w:type="dxa"/>
              <w:right w:w="15" w:type="dxa"/>
            </w:tcMar>
            <w:vAlign w:val="center"/>
            <w:hideMark/>
          </w:tcPr>
          <w:p w:rsidR="00FF432B" w:rsidRPr="00D97AD9" w:rsidRDefault="00FF432B" w:rsidP="008C1143">
            <w:pPr>
              <w:rPr>
                <w:sz w:val="20"/>
              </w:rPr>
            </w:pPr>
            <w:r w:rsidRPr="00D97AD9">
              <w:rPr>
                <w:sz w:val="20"/>
              </w:rPr>
              <w:t>Operační program Doprava</w:t>
            </w:r>
          </w:p>
        </w:tc>
      </w:tr>
      <w:tr w:rsidR="00FF432B" w:rsidRPr="00D97AD9" w:rsidTr="00DB55D6">
        <w:trPr>
          <w:trHeight w:val="300"/>
        </w:trPr>
        <w:tc>
          <w:tcPr>
            <w:tcW w:w="2380" w:type="dxa"/>
            <w:tcBorders>
              <w:top w:val="nil"/>
              <w:left w:val="nil"/>
              <w:bottom w:val="nil"/>
              <w:right w:val="nil"/>
            </w:tcBorders>
            <w:shd w:val="clear" w:color="auto" w:fill="auto"/>
            <w:tcMar>
              <w:top w:w="15" w:type="dxa"/>
              <w:left w:w="15" w:type="dxa"/>
              <w:bottom w:w="0" w:type="dxa"/>
              <w:right w:w="15" w:type="dxa"/>
            </w:tcMar>
            <w:vAlign w:val="center"/>
            <w:hideMark/>
          </w:tcPr>
          <w:p w:rsidR="00FF432B" w:rsidRPr="00D97AD9" w:rsidRDefault="00FF432B" w:rsidP="008C1143">
            <w:pPr>
              <w:rPr>
                <w:sz w:val="20"/>
              </w:rPr>
            </w:pPr>
            <w:r w:rsidRPr="00D97AD9">
              <w:rPr>
                <w:sz w:val="20"/>
              </w:rPr>
              <w:t>OP PIK</w:t>
            </w:r>
          </w:p>
        </w:tc>
        <w:tc>
          <w:tcPr>
            <w:tcW w:w="9900" w:type="dxa"/>
            <w:tcBorders>
              <w:top w:val="nil"/>
              <w:left w:val="nil"/>
              <w:bottom w:val="nil"/>
              <w:right w:val="nil"/>
            </w:tcBorders>
            <w:shd w:val="clear" w:color="auto" w:fill="auto"/>
            <w:tcMar>
              <w:top w:w="15" w:type="dxa"/>
              <w:left w:w="15" w:type="dxa"/>
              <w:bottom w:w="0" w:type="dxa"/>
              <w:right w:w="15" w:type="dxa"/>
            </w:tcMar>
            <w:vAlign w:val="center"/>
            <w:hideMark/>
          </w:tcPr>
          <w:p w:rsidR="00FF432B" w:rsidRPr="00D97AD9" w:rsidRDefault="00FF432B" w:rsidP="008C1143">
            <w:pPr>
              <w:rPr>
                <w:sz w:val="20"/>
              </w:rPr>
            </w:pPr>
            <w:r w:rsidRPr="00D97AD9">
              <w:rPr>
                <w:sz w:val="20"/>
              </w:rPr>
              <w:t>Operační program Podnikání a inovace pro konkurenceschopnost</w:t>
            </w:r>
          </w:p>
        </w:tc>
      </w:tr>
      <w:tr w:rsidR="00FF432B" w:rsidRPr="00D97AD9" w:rsidTr="00DB55D6">
        <w:trPr>
          <w:trHeight w:val="300"/>
        </w:trPr>
        <w:tc>
          <w:tcPr>
            <w:tcW w:w="2380" w:type="dxa"/>
            <w:tcBorders>
              <w:top w:val="nil"/>
              <w:left w:val="nil"/>
              <w:bottom w:val="nil"/>
              <w:right w:val="nil"/>
            </w:tcBorders>
            <w:shd w:val="clear" w:color="auto" w:fill="auto"/>
            <w:tcMar>
              <w:top w:w="15" w:type="dxa"/>
              <w:left w:w="15" w:type="dxa"/>
              <w:bottom w:w="0" w:type="dxa"/>
              <w:right w:w="15" w:type="dxa"/>
            </w:tcMar>
            <w:vAlign w:val="center"/>
            <w:hideMark/>
          </w:tcPr>
          <w:p w:rsidR="00FF432B" w:rsidRPr="00D97AD9" w:rsidRDefault="00FF432B" w:rsidP="008C1143">
            <w:pPr>
              <w:rPr>
                <w:sz w:val="20"/>
              </w:rPr>
            </w:pPr>
            <w:r w:rsidRPr="00D97AD9">
              <w:rPr>
                <w:sz w:val="20"/>
              </w:rPr>
              <w:t>OP PPR</w:t>
            </w:r>
          </w:p>
        </w:tc>
        <w:tc>
          <w:tcPr>
            <w:tcW w:w="9900" w:type="dxa"/>
            <w:tcBorders>
              <w:top w:val="nil"/>
              <w:left w:val="nil"/>
              <w:bottom w:val="nil"/>
              <w:right w:val="nil"/>
            </w:tcBorders>
            <w:shd w:val="clear" w:color="auto" w:fill="auto"/>
            <w:tcMar>
              <w:top w:w="15" w:type="dxa"/>
              <w:left w:w="15" w:type="dxa"/>
              <w:bottom w:w="0" w:type="dxa"/>
              <w:right w:w="15" w:type="dxa"/>
            </w:tcMar>
            <w:vAlign w:val="center"/>
            <w:hideMark/>
          </w:tcPr>
          <w:p w:rsidR="00FF432B" w:rsidRPr="00D97AD9" w:rsidRDefault="00FF432B" w:rsidP="008C1143">
            <w:pPr>
              <w:rPr>
                <w:sz w:val="20"/>
              </w:rPr>
            </w:pPr>
            <w:r w:rsidRPr="00D97AD9">
              <w:rPr>
                <w:sz w:val="20"/>
              </w:rPr>
              <w:t>Operační program Praha – pól růstu ČR</w:t>
            </w:r>
          </w:p>
        </w:tc>
      </w:tr>
      <w:tr w:rsidR="00FF432B" w:rsidRPr="00D97AD9" w:rsidTr="00DB55D6">
        <w:trPr>
          <w:trHeight w:val="300"/>
        </w:trPr>
        <w:tc>
          <w:tcPr>
            <w:tcW w:w="2380" w:type="dxa"/>
            <w:tcBorders>
              <w:top w:val="nil"/>
              <w:left w:val="nil"/>
              <w:bottom w:val="nil"/>
              <w:right w:val="nil"/>
            </w:tcBorders>
            <w:shd w:val="clear" w:color="auto" w:fill="auto"/>
            <w:tcMar>
              <w:top w:w="15" w:type="dxa"/>
              <w:left w:w="15" w:type="dxa"/>
              <w:bottom w:w="0" w:type="dxa"/>
              <w:right w:w="15" w:type="dxa"/>
            </w:tcMar>
            <w:vAlign w:val="center"/>
            <w:hideMark/>
          </w:tcPr>
          <w:p w:rsidR="00FF432B" w:rsidRPr="00D97AD9" w:rsidRDefault="00FF432B" w:rsidP="008C1143">
            <w:pPr>
              <w:rPr>
                <w:sz w:val="20"/>
              </w:rPr>
            </w:pPr>
            <w:r w:rsidRPr="00D97AD9">
              <w:rPr>
                <w:sz w:val="20"/>
              </w:rPr>
              <w:t>OP VVV</w:t>
            </w:r>
          </w:p>
        </w:tc>
        <w:tc>
          <w:tcPr>
            <w:tcW w:w="9900" w:type="dxa"/>
            <w:tcBorders>
              <w:top w:val="nil"/>
              <w:left w:val="nil"/>
              <w:bottom w:val="nil"/>
              <w:right w:val="nil"/>
            </w:tcBorders>
            <w:shd w:val="clear" w:color="auto" w:fill="auto"/>
            <w:tcMar>
              <w:top w:w="15" w:type="dxa"/>
              <w:left w:w="15" w:type="dxa"/>
              <w:bottom w:w="0" w:type="dxa"/>
              <w:right w:w="15" w:type="dxa"/>
            </w:tcMar>
            <w:vAlign w:val="center"/>
            <w:hideMark/>
          </w:tcPr>
          <w:p w:rsidR="00FF432B" w:rsidRPr="00D97AD9" w:rsidRDefault="00FF432B" w:rsidP="008C1143">
            <w:pPr>
              <w:rPr>
                <w:sz w:val="20"/>
              </w:rPr>
            </w:pPr>
            <w:r w:rsidRPr="00D97AD9">
              <w:rPr>
                <w:sz w:val="20"/>
              </w:rPr>
              <w:t xml:space="preserve">Operační program Výzkum, vývoj a vzdělávání </w:t>
            </w:r>
          </w:p>
        </w:tc>
      </w:tr>
      <w:tr w:rsidR="00FF432B" w:rsidRPr="00D97AD9" w:rsidTr="00DB55D6">
        <w:trPr>
          <w:trHeight w:val="300"/>
        </w:trPr>
        <w:tc>
          <w:tcPr>
            <w:tcW w:w="2380" w:type="dxa"/>
            <w:tcBorders>
              <w:top w:val="nil"/>
              <w:left w:val="nil"/>
              <w:bottom w:val="nil"/>
              <w:right w:val="nil"/>
            </w:tcBorders>
            <w:shd w:val="clear" w:color="auto" w:fill="auto"/>
            <w:tcMar>
              <w:top w:w="15" w:type="dxa"/>
              <w:left w:w="15" w:type="dxa"/>
              <w:bottom w:w="0" w:type="dxa"/>
              <w:right w:w="15" w:type="dxa"/>
            </w:tcMar>
            <w:vAlign w:val="center"/>
            <w:hideMark/>
          </w:tcPr>
          <w:p w:rsidR="00FF432B" w:rsidRPr="00D97AD9" w:rsidRDefault="00FF432B" w:rsidP="008C1143">
            <w:pPr>
              <w:rPr>
                <w:sz w:val="20"/>
              </w:rPr>
            </w:pPr>
            <w:r w:rsidRPr="00D97AD9">
              <w:rPr>
                <w:sz w:val="20"/>
              </w:rPr>
              <w:t>OP Z</w:t>
            </w:r>
          </w:p>
        </w:tc>
        <w:tc>
          <w:tcPr>
            <w:tcW w:w="9900" w:type="dxa"/>
            <w:tcBorders>
              <w:top w:val="nil"/>
              <w:left w:val="nil"/>
              <w:bottom w:val="nil"/>
              <w:right w:val="nil"/>
            </w:tcBorders>
            <w:shd w:val="clear" w:color="auto" w:fill="auto"/>
            <w:tcMar>
              <w:top w:w="15" w:type="dxa"/>
              <w:left w:w="15" w:type="dxa"/>
              <w:bottom w:w="0" w:type="dxa"/>
              <w:right w:w="15" w:type="dxa"/>
            </w:tcMar>
            <w:vAlign w:val="center"/>
            <w:hideMark/>
          </w:tcPr>
          <w:p w:rsidR="00FF432B" w:rsidRPr="00D97AD9" w:rsidRDefault="00FF432B" w:rsidP="008C1143">
            <w:pPr>
              <w:rPr>
                <w:sz w:val="20"/>
              </w:rPr>
            </w:pPr>
            <w:r w:rsidRPr="00D97AD9">
              <w:rPr>
                <w:sz w:val="20"/>
              </w:rPr>
              <w:t>Operační program Zaměstnanost</w:t>
            </w:r>
          </w:p>
        </w:tc>
      </w:tr>
      <w:tr w:rsidR="00FF432B" w:rsidRPr="00D97AD9" w:rsidTr="00DB55D6">
        <w:trPr>
          <w:trHeight w:val="300"/>
        </w:trPr>
        <w:tc>
          <w:tcPr>
            <w:tcW w:w="2380" w:type="dxa"/>
            <w:tcBorders>
              <w:top w:val="nil"/>
              <w:left w:val="nil"/>
              <w:bottom w:val="nil"/>
              <w:right w:val="nil"/>
            </w:tcBorders>
            <w:shd w:val="clear" w:color="auto" w:fill="auto"/>
            <w:tcMar>
              <w:top w:w="15" w:type="dxa"/>
              <w:left w:w="15" w:type="dxa"/>
              <w:bottom w:w="0" w:type="dxa"/>
              <w:right w:w="15" w:type="dxa"/>
            </w:tcMar>
            <w:vAlign w:val="center"/>
            <w:hideMark/>
          </w:tcPr>
          <w:p w:rsidR="00FF432B" w:rsidRPr="00D97AD9" w:rsidRDefault="00FF432B" w:rsidP="008C1143">
            <w:pPr>
              <w:rPr>
                <w:sz w:val="20"/>
              </w:rPr>
            </w:pPr>
            <w:r w:rsidRPr="00D97AD9">
              <w:rPr>
                <w:sz w:val="20"/>
              </w:rPr>
              <w:t>OP ŽP</w:t>
            </w:r>
          </w:p>
        </w:tc>
        <w:tc>
          <w:tcPr>
            <w:tcW w:w="9900" w:type="dxa"/>
            <w:tcBorders>
              <w:top w:val="nil"/>
              <w:left w:val="nil"/>
              <w:bottom w:val="nil"/>
              <w:right w:val="nil"/>
            </w:tcBorders>
            <w:shd w:val="clear" w:color="auto" w:fill="auto"/>
            <w:tcMar>
              <w:top w:w="15" w:type="dxa"/>
              <w:left w:w="15" w:type="dxa"/>
              <w:bottom w:w="0" w:type="dxa"/>
              <w:right w:w="15" w:type="dxa"/>
            </w:tcMar>
            <w:vAlign w:val="center"/>
            <w:hideMark/>
          </w:tcPr>
          <w:p w:rsidR="00FF432B" w:rsidRPr="00D97AD9" w:rsidRDefault="00FF432B" w:rsidP="008C1143">
            <w:pPr>
              <w:rPr>
                <w:sz w:val="20"/>
              </w:rPr>
            </w:pPr>
            <w:r w:rsidRPr="00D97AD9">
              <w:rPr>
                <w:sz w:val="20"/>
              </w:rPr>
              <w:t>Op</w:t>
            </w:r>
            <w:r>
              <w:rPr>
                <w:sz w:val="20"/>
              </w:rPr>
              <w:t>e</w:t>
            </w:r>
            <w:r w:rsidRPr="00D97AD9">
              <w:rPr>
                <w:sz w:val="20"/>
              </w:rPr>
              <w:t>rační program Životní prostředí</w:t>
            </w:r>
          </w:p>
        </w:tc>
      </w:tr>
      <w:tr w:rsidR="00FF432B" w:rsidRPr="00D97AD9" w:rsidTr="00DB55D6">
        <w:trPr>
          <w:trHeight w:val="300"/>
        </w:trPr>
        <w:tc>
          <w:tcPr>
            <w:tcW w:w="2380" w:type="dxa"/>
            <w:tcBorders>
              <w:top w:val="nil"/>
              <w:left w:val="nil"/>
              <w:bottom w:val="nil"/>
              <w:right w:val="nil"/>
            </w:tcBorders>
            <w:shd w:val="clear" w:color="auto" w:fill="auto"/>
            <w:tcMar>
              <w:top w:w="15" w:type="dxa"/>
              <w:left w:w="15" w:type="dxa"/>
              <w:bottom w:w="0" w:type="dxa"/>
              <w:right w:w="15" w:type="dxa"/>
            </w:tcMar>
            <w:vAlign w:val="center"/>
            <w:hideMark/>
          </w:tcPr>
          <w:p w:rsidR="00FF432B" w:rsidRPr="00D97AD9" w:rsidRDefault="00FF432B" w:rsidP="008C1143">
            <w:pPr>
              <w:rPr>
                <w:sz w:val="20"/>
              </w:rPr>
            </w:pPr>
            <w:r w:rsidRPr="00D97AD9">
              <w:rPr>
                <w:sz w:val="20"/>
              </w:rPr>
              <w:t>OPLZZ</w:t>
            </w:r>
          </w:p>
        </w:tc>
        <w:tc>
          <w:tcPr>
            <w:tcW w:w="9900" w:type="dxa"/>
            <w:tcBorders>
              <w:top w:val="nil"/>
              <w:left w:val="nil"/>
              <w:bottom w:val="nil"/>
              <w:right w:val="nil"/>
            </w:tcBorders>
            <w:shd w:val="clear" w:color="auto" w:fill="auto"/>
            <w:tcMar>
              <w:top w:w="15" w:type="dxa"/>
              <w:left w:w="15" w:type="dxa"/>
              <w:bottom w:w="0" w:type="dxa"/>
              <w:right w:w="15" w:type="dxa"/>
            </w:tcMar>
            <w:vAlign w:val="center"/>
            <w:hideMark/>
          </w:tcPr>
          <w:p w:rsidR="00FF432B" w:rsidRPr="00D97AD9" w:rsidRDefault="00FF432B" w:rsidP="008C1143">
            <w:pPr>
              <w:rPr>
                <w:sz w:val="20"/>
              </w:rPr>
            </w:pPr>
            <w:r w:rsidRPr="00D97AD9">
              <w:rPr>
                <w:sz w:val="20"/>
              </w:rPr>
              <w:t xml:space="preserve">Operační program Lidské zdroje a zaměstnanost </w:t>
            </w:r>
          </w:p>
        </w:tc>
      </w:tr>
      <w:tr w:rsidR="00FF432B" w:rsidRPr="00D97AD9" w:rsidTr="00DB55D6">
        <w:trPr>
          <w:trHeight w:val="300"/>
        </w:trPr>
        <w:tc>
          <w:tcPr>
            <w:tcW w:w="2380" w:type="dxa"/>
            <w:tcBorders>
              <w:top w:val="nil"/>
              <w:left w:val="nil"/>
              <w:bottom w:val="nil"/>
              <w:right w:val="nil"/>
            </w:tcBorders>
            <w:shd w:val="clear" w:color="auto" w:fill="auto"/>
            <w:tcMar>
              <w:top w:w="15" w:type="dxa"/>
              <w:left w:w="15" w:type="dxa"/>
              <w:bottom w:w="0" w:type="dxa"/>
              <w:right w:w="15" w:type="dxa"/>
            </w:tcMar>
            <w:vAlign w:val="center"/>
            <w:hideMark/>
          </w:tcPr>
          <w:p w:rsidR="00FF432B" w:rsidRPr="00D97AD9" w:rsidRDefault="00FF432B" w:rsidP="008C1143">
            <w:pPr>
              <w:rPr>
                <w:sz w:val="20"/>
              </w:rPr>
            </w:pPr>
            <w:r w:rsidRPr="00D97AD9">
              <w:rPr>
                <w:sz w:val="20"/>
              </w:rPr>
              <w:t>OSN</w:t>
            </w:r>
          </w:p>
        </w:tc>
        <w:tc>
          <w:tcPr>
            <w:tcW w:w="9900" w:type="dxa"/>
            <w:tcBorders>
              <w:top w:val="nil"/>
              <w:left w:val="nil"/>
              <w:bottom w:val="nil"/>
              <w:right w:val="nil"/>
            </w:tcBorders>
            <w:shd w:val="clear" w:color="auto" w:fill="auto"/>
            <w:tcMar>
              <w:top w:w="15" w:type="dxa"/>
              <w:left w:w="15" w:type="dxa"/>
              <w:bottom w:w="0" w:type="dxa"/>
              <w:right w:w="15" w:type="dxa"/>
            </w:tcMar>
            <w:vAlign w:val="center"/>
            <w:hideMark/>
          </w:tcPr>
          <w:p w:rsidR="00FF432B" w:rsidRPr="00D97AD9" w:rsidRDefault="00FF432B" w:rsidP="008C1143">
            <w:pPr>
              <w:rPr>
                <w:sz w:val="20"/>
              </w:rPr>
            </w:pPr>
            <w:r w:rsidRPr="00D97AD9">
              <w:rPr>
                <w:sz w:val="20"/>
              </w:rPr>
              <w:t>Organizace spojených národů</w:t>
            </w:r>
          </w:p>
        </w:tc>
      </w:tr>
      <w:tr w:rsidR="00FF432B" w:rsidRPr="00D97AD9" w:rsidTr="00DB55D6">
        <w:trPr>
          <w:trHeight w:val="300"/>
        </w:trPr>
        <w:tc>
          <w:tcPr>
            <w:tcW w:w="2380" w:type="dxa"/>
            <w:tcBorders>
              <w:top w:val="nil"/>
              <w:left w:val="nil"/>
              <w:bottom w:val="nil"/>
              <w:right w:val="nil"/>
            </w:tcBorders>
            <w:shd w:val="clear" w:color="auto" w:fill="auto"/>
            <w:tcMar>
              <w:top w:w="15" w:type="dxa"/>
              <w:left w:w="15" w:type="dxa"/>
              <w:bottom w:w="0" w:type="dxa"/>
              <w:right w:w="15" w:type="dxa"/>
            </w:tcMar>
            <w:vAlign w:val="center"/>
            <w:hideMark/>
          </w:tcPr>
          <w:p w:rsidR="00FF432B" w:rsidRPr="00D97AD9" w:rsidRDefault="00FF432B" w:rsidP="008C1143">
            <w:pPr>
              <w:rPr>
                <w:sz w:val="20"/>
              </w:rPr>
            </w:pPr>
            <w:r w:rsidRPr="00D97AD9">
              <w:rPr>
                <w:sz w:val="20"/>
              </w:rPr>
              <w:t>OSVČ</w:t>
            </w:r>
          </w:p>
        </w:tc>
        <w:tc>
          <w:tcPr>
            <w:tcW w:w="9900" w:type="dxa"/>
            <w:tcBorders>
              <w:top w:val="nil"/>
              <w:left w:val="nil"/>
              <w:bottom w:val="nil"/>
              <w:right w:val="nil"/>
            </w:tcBorders>
            <w:shd w:val="clear" w:color="auto" w:fill="auto"/>
            <w:tcMar>
              <w:top w:w="15" w:type="dxa"/>
              <w:left w:w="15" w:type="dxa"/>
              <w:bottom w:w="0" w:type="dxa"/>
              <w:right w:w="15" w:type="dxa"/>
            </w:tcMar>
            <w:vAlign w:val="center"/>
            <w:hideMark/>
          </w:tcPr>
          <w:p w:rsidR="00FF432B" w:rsidRPr="00D97AD9" w:rsidRDefault="00FF432B" w:rsidP="008C1143">
            <w:pPr>
              <w:rPr>
                <w:sz w:val="20"/>
              </w:rPr>
            </w:pPr>
            <w:r w:rsidRPr="00D97AD9">
              <w:rPr>
                <w:sz w:val="20"/>
              </w:rPr>
              <w:t>osoba samostatně výdělečně činná</w:t>
            </w:r>
          </w:p>
        </w:tc>
      </w:tr>
      <w:tr w:rsidR="00FF432B" w:rsidRPr="00D97AD9" w:rsidTr="00DB55D6">
        <w:trPr>
          <w:trHeight w:val="300"/>
        </w:trPr>
        <w:tc>
          <w:tcPr>
            <w:tcW w:w="2380" w:type="dxa"/>
            <w:tcBorders>
              <w:top w:val="nil"/>
              <w:left w:val="nil"/>
              <w:bottom w:val="nil"/>
              <w:right w:val="nil"/>
            </w:tcBorders>
            <w:shd w:val="clear" w:color="auto" w:fill="auto"/>
            <w:tcMar>
              <w:top w:w="15" w:type="dxa"/>
              <w:left w:w="15" w:type="dxa"/>
              <w:bottom w:w="0" w:type="dxa"/>
              <w:right w:w="15" w:type="dxa"/>
            </w:tcMar>
            <w:vAlign w:val="center"/>
            <w:hideMark/>
          </w:tcPr>
          <w:p w:rsidR="00FF432B" w:rsidRPr="00D97AD9" w:rsidRDefault="00FF432B" w:rsidP="008C1143">
            <w:pPr>
              <w:rPr>
                <w:sz w:val="20"/>
              </w:rPr>
            </w:pPr>
            <w:r w:rsidRPr="00D97AD9">
              <w:rPr>
                <w:sz w:val="20"/>
              </w:rPr>
              <w:t>P2P</w:t>
            </w:r>
          </w:p>
        </w:tc>
        <w:tc>
          <w:tcPr>
            <w:tcW w:w="9900" w:type="dxa"/>
            <w:tcBorders>
              <w:top w:val="nil"/>
              <w:left w:val="nil"/>
              <w:bottom w:val="nil"/>
              <w:right w:val="nil"/>
            </w:tcBorders>
            <w:shd w:val="clear" w:color="auto" w:fill="auto"/>
            <w:tcMar>
              <w:top w:w="15" w:type="dxa"/>
              <w:left w:w="15" w:type="dxa"/>
              <w:bottom w:w="0" w:type="dxa"/>
              <w:right w:w="15" w:type="dxa"/>
            </w:tcMar>
            <w:vAlign w:val="center"/>
            <w:hideMark/>
          </w:tcPr>
          <w:p w:rsidR="00FF432B" w:rsidRPr="00D97AD9" w:rsidRDefault="00FF432B" w:rsidP="008C1143">
            <w:pPr>
              <w:rPr>
                <w:sz w:val="20"/>
              </w:rPr>
            </w:pPr>
            <w:r w:rsidRPr="00D97AD9">
              <w:rPr>
                <w:sz w:val="20"/>
              </w:rPr>
              <w:t>peer to peer = uživatel uživateli</w:t>
            </w:r>
          </w:p>
        </w:tc>
      </w:tr>
      <w:tr w:rsidR="00FF432B" w:rsidRPr="00D97AD9" w:rsidTr="00DB55D6">
        <w:trPr>
          <w:trHeight w:val="300"/>
        </w:trPr>
        <w:tc>
          <w:tcPr>
            <w:tcW w:w="2380" w:type="dxa"/>
            <w:tcBorders>
              <w:top w:val="nil"/>
              <w:left w:val="nil"/>
              <w:bottom w:val="nil"/>
              <w:right w:val="nil"/>
            </w:tcBorders>
            <w:shd w:val="clear" w:color="auto" w:fill="auto"/>
            <w:tcMar>
              <w:top w:w="15" w:type="dxa"/>
              <w:left w:w="15" w:type="dxa"/>
              <w:bottom w:w="0" w:type="dxa"/>
              <w:right w:w="15" w:type="dxa"/>
            </w:tcMar>
            <w:vAlign w:val="center"/>
            <w:hideMark/>
          </w:tcPr>
          <w:p w:rsidR="00FF432B" w:rsidRPr="00D97AD9" w:rsidRDefault="00FF432B" w:rsidP="008C1143">
            <w:pPr>
              <w:rPr>
                <w:sz w:val="20"/>
              </w:rPr>
            </w:pPr>
            <w:r w:rsidRPr="00D97AD9">
              <w:rPr>
                <w:sz w:val="20"/>
              </w:rPr>
              <w:t>Rada, Rada EU</w:t>
            </w:r>
          </w:p>
        </w:tc>
        <w:tc>
          <w:tcPr>
            <w:tcW w:w="9900" w:type="dxa"/>
            <w:tcBorders>
              <w:top w:val="nil"/>
              <w:left w:val="nil"/>
              <w:bottom w:val="nil"/>
              <w:right w:val="nil"/>
            </w:tcBorders>
            <w:shd w:val="clear" w:color="auto" w:fill="auto"/>
            <w:tcMar>
              <w:top w:w="15" w:type="dxa"/>
              <w:left w:w="15" w:type="dxa"/>
              <w:bottom w:w="0" w:type="dxa"/>
              <w:right w:w="15" w:type="dxa"/>
            </w:tcMar>
            <w:vAlign w:val="center"/>
            <w:hideMark/>
          </w:tcPr>
          <w:p w:rsidR="00FF432B" w:rsidRPr="00D97AD9" w:rsidRDefault="00FF432B" w:rsidP="008C1143">
            <w:pPr>
              <w:rPr>
                <w:sz w:val="20"/>
              </w:rPr>
            </w:pPr>
            <w:r w:rsidRPr="00D97AD9">
              <w:rPr>
                <w:sz w:val="20"/>
              </w:rPr>
              <w:t>Rada Evropské unie</w:t>
            </w:r>
          </w:p>
        </w:tc>
      </w:tr>
      <w:tr w:rsidR="00FF432B" w:rsidRPr="00D97AD9" w:rsidTr="00DB55D6">
        <w:trPr>
          <w:trHeight w:val="300"/>
        </w:trPr>
        <w:tc>
          <w:tcPr>
            <w:tcW w:w="2380" w:type="dxa"/>
            <w:tcBorders>
              <w:top w:val="nil"/>
              <w:left w:val="nil"/>
              <w:bottom w:val="nil"/>
              <w:right w:val="nil"/>
            </w:tcBorders>
            <w:shd w:val="clear" w:color="auto" w:fill="auto"/>
            <w:tcMar>
              <w:top w:w="15" w:type="dxa"/>
              <w:left w:w="15" w:type="dxa"/>
              <w:bottom w:w="0" w:type="dxa"/>
              <w:right w:w="15" w:type="dxa"/>
            </w:tcMar>
            <w:vAlign w:val="center"/>
            <w:hideMark/>
          </w:tcPr>
          <w:p w:rsidR="00FF432B" w:rsidRDefault="00FF432B" w:rsidP="008C1143">
            <w:pPr>
              <w:rPr>
                <w:sz w:val="20"/>
              </w:rPr>
            </w:pPr>
            <w:r w:rsidRPr="00D97AD9">
              <w:rPr>
                <w:sz w:val="20"/>
              </w:rPr>
              <w:t>RIA</w:t>
            </w:r>
          </w:p>
          <w:p w:rsidR="001A4173" w:rsidRDefault="001A4173" w:rsidP="008C1143">
            <w:pPr>
              <w:rPr>
                <w:sz w:val="20"/>
              </w:rPr>
            </w:pPr>
            <w:r>
              <w:rPr>
                <w:sz w:val="20"/>
              </w:rPr>
              <w:t>RIS</w:t>
            </w:r>
          </w:p>
          <w:p w:rsidR="00F9393F" w:rsidRDefault="00F9393F" w:rsidP="008C1143">
            <w:pPr>
              <w:rPr>
                <w:sz w:val="20"/>
              </w:rPr>
            </w:pPr>
            <w:r>
              <w:rPr>
                <w:sz w:val="20"/>
              </w:rPr>
              <w:t>RV KHR</w:t>
            </w:r>
          </w:p>
          <w:p w:rsidR="00F9393F" w:rsidRPr="00D97AD9" w:rsidRDefault="00F9393F" w:rsidP="008C1143">
            <w:pPr>
              <w:rPr>
                <w:sz w:val="20"/>
              </w:rPr>
            </w:pPr>
            <w:r>
              <w:rPr>
                <w:sz w:val="20"/>
              </w:rPr>
              <w:t>RVP</w:t>
            </w:r>
          </w:p>
        </w:tc>
        <w:tc>
          <w:tcPr>
            <w:tcW w:w="9900" w:type="dxa"/>
            <w:tcBorders>
              <w:top w:val="nil"/>
              <w:left w:val="nil"/>
              <w:bottom w:val="nil"/>
              <w:right w:val="nil"/>
            </w:tcBorders>
            <w:shd w:val="clear" w:color="auto" w:fill="auto"/>
            <w:tcMar>
              <w:top w:w="15" w:type="dxa"/>
              <w:left w:w="15" w:type="dxa"/>
              <w:bottom w:w="0" w:type="dxa"/>
              <w:right w:w="15" w:type="dxa"/>
            </w:tcMar>
            <w:vAlign w:val="center"/>
            <w:hideMark/>
          </w:tcPr>
          <w:p w:rsidR="00FF432B" w:rsidRDefault="00FF432B" w:rsidP="008C1143">
            <w:pPr>
              <w:rPr>
                <w:sz w:val="20"/>
              </w:rPr>
            </w:pPr>
            <w:r w:rsidRPr="00D97AD9">
              <w:rPr>
                <w:sz w:val="20"/>
              </w:rPr>
              <w:t xml:space="preserve">Komise pro hodnocení dopadů regulace </w:t>
            </w:r>
          </w:p>
          <w:p w:rsidR="001A4173" w:rsidRDefault="001A4173" w:rsidP="008C1143">
            <w:pPr>
              <w:rPr>
                <w:sz w:val="20"/>
              </w:rPr>
            </w:pPr>
            <w:r>
              <w:rPr>
                <w:sz w:val="20"/>
              </w:rPr>
              <w:t>Rezortní informační</w:t>
            </w:r>
            <w:r w:rsidRPr="001A4173">
              <w:rPr>
                <w:sz w:val="20"/>
              </w:rPr>
              <w:t xml:space="preserve"> systém</w:t>
            </w:r>
          </w:p>
          <w:p w:rsidR="00F9393F" w:rsidRDefault="00F9393F" w:rsidP="008C1143">
            <w:pPr>
              <w:rPr>
                <w:sz w:val="20"/>
              </w:rPr>
            </w:pPr>
            <w:r w:rsidRPr="00F9393F">
              <w:rPr>
                <w:sz w:val="20"/>
              </w:rPr>
              <w:t>Rada vlády pro konkurenceschopnost a hospodářský růst</w:t>
            </w:r>
          </w:p>
          <w:p w:rsidR="00F9393F" w:rsidRPr="00D97AD9" w:rsidRDefault="00F9393F" w:rsidP="008C1143">
            <w:pPr>
              <w:rPr>
                <w:sz w:val="20"/>
              </w:rPr>
            </w:pPr>
            <w:r w:rsidRPr="00F9393F">
              <w:rPr>
                <w:sz w:val="20"/>
              </w:rPr>
              <w:t>Rámcové vzdělávací programy</w:t>
            </w:r>
          </w:p>
        </w:tc>
      </w:tr>
      <w:tr w:rsidR="00FF432B" w:rsidRPr="00D97AD9" w:rsidTr="00DB55D6">
        <w:trPr>
          <w:trHeight w:val="300"/>
        </w:trPr>
        <w:tc>
          <w:tcPr>
            <w:tcW w:w="2380" w:type="dxa"/>
            <w:tcBorders>
              <w:top w:val="nil"/>
              <w:left w:val="nil"/>
              <w:bottom w:val="nil"/>
              <w:right w:val="nil"/>
            </w:tcBorders>
            <w:shd w:val="clear" w:color="auto" w:fill="auto"/>
            <w:tcMar>
              <w:top w:w="15" w:type="dxa"/>
              <w:left w:w="15" w:type="dxa"/>
              <w:bottom w:w="0" w:type="dxa"/>
              <w:right w:w="15" w:type="dxa"/>
            </w:tcMar>
            <w:vAlign w:val="center"/>
            <w:hideMark/>
          </w:tcPr>
          <w:p w:rsidR="00FF432B" w:rsidRPr="00D97AD9" w:rsidRDefault="00FF432B" w:rsidP="008C1143">
            <w:pPr>
              <w:rPr>
                <w:sz w:val="20"/>
              </w:rPr>
            </w:pPr>
            <w:r w:rsidRPr="00D97AD9">
              <w:rPr>
                <w:sz w:val="20"/>
              </w:rPr>
              <w:t>ŘO IROP</w:t>
            </w:r>
          </w:p>
        </w:tc>
        <w:tc>
          <w:tcPr>
            <w:tcW w:w="9900" w:type="dxa"/>
            <w:tcBorders>
              <w:top w:val="nil"/>
              <w:left w:val="nil"/>
              <w:bottom w:val="nil"/>
              <w:right w:val="nil"/>
            </w:tcBorders>
            <w:shd w:val="clear" w:color="auto" w:fill="auto"/>
            <w:tcMar>
              <w:top w:w="15" w:type="dxa"/>
              <w:left w:w="15" w:type="dxa"/>
              <w:bottom w:w="0" w:type="dxa"/>
              <w:right w:w="15" w:type="dxa"/>
            </w:tcMar>
            <w:vAlign w:val="center"/>
            <w:hideMark/>
          </w:tcPr>
          <w:p w:rsidR="00FF432B" w:rsidRPr="00D97AD9" w:rsidRDefault="00FF432B" w:rsidP="008C1143">
            <w:pPr>
              <w:rPr>
                <w:sz w:val="20"/>
              </w:rPr>
            </w:pPr>
            <w:r w:rsidRPr="00D97AD9">
              <w:rPr>
                <w:sz w:val="20"/>
              </w:rPr>
              <w:t>Řídící orgán Integrovaného regionálního operačního programu</w:t>
            </w:r>
          </w:p>
        </w:tc>
      </w:tr>
      <w:tr w:rsidR="00FF432B" w:rsidRPr="00D97AD9" w:rsidTr="00DB55D6">
        <w:trPr>
          <w:trHeight w:val="300"/>
        </w:trPr>
        <w:tc>
          <w:tcPr>
            <w:tcW w:w="2380" w:type="dxa"/>
            <w:tcBorders>
              <w:top w:val="nil"/>
              <w:left w:val="nil"/>
              <w:bottom w:val="nil"/>
              <w:right w:val="nil"/>
            </w:tcBorders>
            <w:shd w:val="clear" w:color="auto" w:fill="auto"/>
            <w:tcMar>
              <w:top w:w="15" w:type="dxa"/>
              <w:left w:w="15" w:type="dxa"/>
              <w:bottom w:w="0" w:type="dxa"/>
              <w:right w:w="15" w:type="dxa"/>
            </w:tcMar>
            <w:vAlign w:val="center"/>
            <w:hideMark/>
          </w:tcPr>
          <w:p w:rsidR="00FF432B" w:rsidRPr="00D97AD9" w:rsidRDefault="00FF432B" w:rsidP="008C1143">
            <w:pPr>
              <w:rPr>
                <w:sz w:val="20"/>
              </w:rPr>
            </w:pPr>
            <w:r w:rsidRPr="00D97AD9">
              <w:rPr>
                <w:sz w:val="20"/>
              </w:rPr>
              <w:t>SC</w:t>
            </w:r>
          </w:p>
        </w:tc>
        <w:tc>
          <w:tcPr>
            <w:tcW w:w="9900" w:type="dxa"/>
            <w:tcBorders>
              <w:top w:val="nil"/>
              <w:left w:val="nil"/>
              <w:bottom w:val="nil"/>
              <w:right w:val="nil"/>
            </w:tcBorders>
            <w:shd w:val="clear" w:color="auto" w:fill="auto"/>
            <w:tcMar>
              <w:top w:w="15" w:type="dxa"/>
              <w:left w:w="15" w:type="dxa"/>
              <w:bottom w:w="0" w:type="dxa"/>
              <w:right w:w="15" w:type="dxa"/>
            </w:tcMar>
            <w:vAlign w:val="center"/>
            <w:hideMark/>
          </w:tcPr>
          <w:p w:rsidR="00FF432B" w:rsidRPr="00D97AD9" w:rsidRDefault="00FF432B" w:rsidP="008C1143">
            <w:pPr>
              <w:rPr>
                <w:sz w:val="20"/>
              </w:rPr>
            </w:pPr>
            <w:r w:rsidRPr="00D97AD9">
              <w:rPr>
                <w:sz w:val="20"/>
              </w:rPr>
              <w:t>Smart City = inteligentní (chytré) město</w:t>
            </w:r>
          </w:p>
        </w:tc>
      </w:tr>
      <w:tr w:rsidR="00FF432B" w:rsidRPr="00D97AD9" w:rsidTr="00DB55D6">
        <w:trPr>
          <w:trHeight w:val="900"/>
        </w:trPr>
        <w:tc>
          <w:tcPr>
            <w:tcW w:w="2380" w:type="dxa"/>
            <w:tcBorders>
              <w:top w:val="nil"/>
              <w:left w:val="nil"/>
              <w:bottom w:val="nil"/>
              <w:right w:val="nil"/>
            </w:tcBorders>
            <w:shd w:val="clear" w:color="auto" w:fill="auto"/>
            <w:tcMar>
              <w:top w:w="15" w:type="dxa"/>
              <w:left w:w="15" w:type="dxa"/>
              <w:bottom w:w="0" w:type="dxa"/>
              <w:right w:w="15" w:type="dxa"/>
            </w:tcMar>
            <w:vAlign w:val="center"/>
            <w:hideMark/>
          </w:tcPr>
          <w:p w:rsidR="00FF432B" w:rsidRPr="00D97AD9" w:rsidRDefault="00FF432B" w:rsidP="008C1143">
            <w:pPr>
              <w:rPr>
                <w:sz w:val="20"/>
              </w:rPr>
            </w:pPr>
            <w:r w:rsidRPr="00D97AD9">
              <w:rPr>
                <w:sz w:val="20"/>
              </w:rPr>
              <w:lastRenderedPageBreak/>
              <w:t>směrnice NIS</w:t>
            </w:r>
          </w:p>
        </w:tc>
        <w:tc>
          <w:tcPr>
            <w:tcW w:w="9900" w:type="dxa"/>
            <w:tcBorders>
              <w:top w:val="nil"/>
              <w:left w:val="nil"/>
              <w:bottom w:val="nil"/>
              <w:right w:val="nil"/>
            </w:tcBorders>
            <w:shd w:val="clear" w:color="auto" w:fill="auto"/>
            <w:tcMar>
              <w:top w:w="15" w:type="dxa"/>
              <w:left w:w="15" w:type="dxa"/>
              <w:bottom w:w="0" w:type="dxa"/>
              <w:right w:w="15" w:type="dxa"/>
            </w:tcMar>
            <w:vAlign w:val="center"/>
            <w:hideMark/>
          </w:tcPr>
          <w:p w:rsidR="00D07530" w:rsidRDefault="00FF432B" w:rsidP="008C1143">
            <w:pPr>
              <w:rPr>
                <w:sz w:val="20"/>
              </w:rPr>
            </w:pPr>
            <w:r w:rsidRPr="00D97AD9">
              <w:rPr>
                <w:sz w:val="20"/>
              </w:rPr>
              <w:t xml:space="preserve">Směrnice Evropského parlamentu a Rady (EU) 2016/1148 ze dne 6. července 2016 </w:t>
            </w:r>
          </w:p>
          <w:p w:rsidR="00D07530" w:rsidRDefault="00FF432B" w:rsidP="008C1143">
            <w:pPr>
              <w:rPr>
                <w:sz w:val="20"/>
              </w:rPr>
            </w:pPr>
            <w:r w:rsidRPr="00D97AD9">
              <w:rPr>
                <w:sz w:val="20"/>
              </w:rPr>
              <w:t xml:space="preserve">o opatřeních k zajištění vysoké společné úrovně bezpečnosti sítí a </w:t>
            </w:r>
          </w:p>
          <w:p w:rsidR="00FF432B" w:rsidRPr="00D97AD9" w:rsidRDefault="00FF432B" w:rsidP="008C1143">
            <w:pPr>
              <w:rPr>
                <w:sz w:val="20"/>
              </w:rPr>
            </w:pPr>
            <w:r w:rsidRPr="00D97AD9">
              <w:rPr>
                <w:sz w:val="20"/>
              </w:rPr>
              <w:t>informačních systémů v Unii</w:t>
            </w:r>
          </w:p>
        </w:tc>
      </w:tr>
      <w:tr w:rsidR="00FF432B" w:rsidRPr="00D97AD9" w:rsidTr="00DB55D6">
        <w:trPr>
          <w:trHeight w:val="300"/>
        </w:trPr>
        <w:tc>
          <w:tcPr>
            <w:tcW w:w="2380" w:type="dxa"/>
            <w:tcBorders>
              <w:top w:val="nil"/>
              <w:left w:val="nil"/>
              <w:bottom w:val="nil"/>
              <w:right w:val="nil"/>
            </w:tcBorders>
            <w:shd w:val="clear" w:color="auto" w:fill="auto"/>
            <w:tcMar>
              <w:top w:w="15" w:type="dxa"/>
              <w:left w:w="15" w:type="dxa"/>
              <w:bottom w:w="0" w:type="dxa"/>
              <w:right w:w="15" w:type="dxa"/>
            </w:tcMar>
            <w:vAlign w:val="center"/>
            <w:hideMark/>
          </w:tcPr>
          <w:p w:rsidR="00FF432B" w:rsidRDefault="00FF432B" w:rsidP="008C1143">
            <w:pPr>
              <w:rPr>
                <w:sz w:val="20"/>
              </w:rPr>
            </w:pPr>
            <w:proofErr w:type="spellStart"/>
            <w:r w:rsidRPr="00D97AD9">
              <w:rPr>
                <w:sz w:val="20"/>
              </w:rPr>
              <w:t>SMEs</w:t>
            </w:r>
            <w:proofErr w:type="spellEnd"/>
            <w:r w:rsidRPr="00D97AD9">
              <w:rPr>
                <w:sz w:val="20"/>
              </w:rPr>
              <w:t>, MSP</w:t>
            </w:r>
          </w:p>
          <w:p w:rsidR="00F9393F" w:rsidRPr="00D97AD9" w:rsidRDefault="00F9393F" w:rsidP="008C1143">
            <w:pPr>
              <w:rPr>
                <w:sz w:val="20"/>
              </w:rPr>
            </w:pPr>
            <w:r>
              <w:rPr>
                <w:sz w:val="20"/>
              </w:rPr>
              <w:t>SP ČR</w:t>
            </w:r>
          </w:p>
        </w:tc>
        <w:tc>
          <w:tcPr>
            <w:tcW w:w="9900" w:type="dxa"/>
            <w:tcBorders>
              <w:top w:val="nil"/>
              <w:left w:val="nil"/>
              <w:bottom w:val="nil"/>
              <w:right w:val="nil"/>
            </w:tcBorders>
            <w:shd w:val="clear" w:color="auto" w:fill="auto"/>
            <w:tcMar>
              <w:top w:w="15" w:type="dxa"/>
              <w:left w:w="15" w:type="dxa"/>
              <w:bottom w:w="0" w:type="dxa"/>
              <w:right w:w="15" w:type="dxa"/>
            </w:tcMar>
            <w:vAlign w:val="center"/>
            <w:hideMark/>
          </w:tcPr>
          <w:p w:rsidR="00FF432B" w:rsidRDefault="00FF432B" w:rsidP="008C1143">
            <w:pPr>
              <w:rPr>
                <w:sz w:val="20"/>
              </w:rPr>
            </w:pPr>
            <w:r w:rsidRPr="00D97AD9">
              <w:rPr>
                <w:sz w:val="20"/>
              </w:rPr>
              <w:t>malé a střední podniky</w:t>
            </w:r>
          </w:p>
          <w:p w:rsidR="00F9393F" w:rsidRPr="00D97AD9" w:rsidRDefault="00F9393F" w:rsidP="008C1143">
            <w:pPr>
              <w:rPr>
                <w:sz w:val="20"/>
              </w:rPr>
            </w:pPr>
            <w:r>
              <w:rPr>
                <w:sz w:val="20"/>
              </w:rPr>
              <w:t>Svaz průmyslu a dopravy ČR</w:t>
            </w:r>
          </w:p>
        </w:tc>
      </w:tr>
      <w:tr w:rsidR="00FF432B" w:rsidRPr="00D97AD9" w:rsidTr="00DB55D6">
        <w:trPr>
          <w:trHeight w:val="300"/>
        </w:trPr>
        <w:tc>
          <w:tcPr>
            <w:tcW w:w="2380" w:type="dxa"/>
            <w:tcBorders>
              <w:top w:val="nil"/>
              <w:left w:val="nil"/>
              <w:bottom w:val="nil"/>
              <w:right w:val="nil"/>
            </w:tcBorders>
            <w:shd w:val="clear" w:color="auto" w:fill="auto"/>
            <w:tcMar>
              <w:top w:w="15" w:type="dxa"/>
              <w:left w:w="15" w:type="dxa"/>
              <w:bottom w:w="0" w:type="dxa"/>
              <w:right w:w="15" w:type="dxa"/>
            </w:tcMar>
            <w:vAlign w:val="center"/>
            <w:hideMark/>
          </w:tcPr>
          <w:p w:rsidR="00FF432B" w:rsidRPr="00D97AD9" w:rsidRDefault="00FF432B" w:rsidP="008C1143">
            <w:pPr>
              <w:rPr>
                <w:sz w:val="20"/>
              </w:rPr>
            </w:pPr>
            <w:r w:rsidRPr="00D97AD9">
              <w:rPr>
                <w:sz w:val="20"/>
              </w:rPr>
              <w:t>SPIR</w:t>
            </w:r>
          </w:p>
        </w:tc>
        <w:tc>
          <w:tcPr>
            <w:tcW w:w="9900" w:type="dxa"/>
            <w:tcBorders>
              <w:top w:val="nil"/>
              <w:left w:val="nil"/>
              <w:bottom w:val="nil"/>
              <w:right w:val="nil"/>
            </w:tcBorders>
            <w:shd w:val="clear" w:color="auto" w:fill="auto"/>
            <w:tcMar>
              <w:top w:w="15" w:type="dxa"/>
              <w:left w:w="15" w:type="dxa"/>
              <w:bottom w:w="0" w:type="dxa"/>
              <w:right w:w="15" w:type="dxa"/>
            </w:tcMar>
            <w:vAlign w:val="center"/>
            <w:hideMark/>
          </w:tcPr>
          <w:p w:rsidR="00FF432B" w:rsidRPr="00D97AD9" w:rsidRDefault="00FF432B" w:rsidP="008C1143">
            <w:pPr>
              <w:rPr>
                <w:sz w:val="20"/>
              </w:rPr>
            </w:pPr>
            <w:r w:rsidRPr="00D97AD9">
              <w:rPr>
                <w:sz w:val="20"/>
              </w:rPr>
              <w:t>Sdružení pro internetový rozvoj</w:t>
            </w:r>
          </w:p>
        </w:tc>
      </w:tr>
      <w:tr w:rsidR="00FF432B" w:rsidRPr="00D97AD9" w:rsidTr="00DB55D6">
        <w:trPr>
          <w:trHeight w:val="300"/>
        </w:trPr>
        <w:tc>
          <w:tcPr>
            <w:tcW w:w="2380" w:type="dxa"/>
            <w:tcBorders>
              <w:top w:val="nil"/>
              <w:left w:val="nil"/>
              <w:bottom w:val="nil"/>
              <w:right w:val="nil"/>
            </w:tcBorders>
            <w:shd w:val="clear" w:color="auto" w:fill="auto"/>
            <w:tcMar>
              <w:top w:w="15" w:type="dxa"/>
              <w:left w:w="15" w:type="dxa"/>
              <w:bottom w:w="0" w:type="dxa"/>
              <w:right w:w="15" w:type="dxa"/>
            </w:tcMar>
            <w:vAlign w:val="center"/>
            <w:hideMark/>
          </w:tcPr>
          <w:p w:rsidR="00FF432B" w:rsidRPr="00D97AD9" w:rsidRDefault="00FF432B" w:rsidP="008C1143">
            <w:pPr>
              <w:rPr>
                <w:sz w:val="20"/>
              </w:rPr>
            </w:pPr>
            <w:r w:rsidRPr="00D97AD9">
              <w:rPr>
                <w:sz w:val="20"/>
              </w:rPr>
              <w:t>SRSS</w:t>
            </w:r>
          </w:p>
        </w:tc>
        <w:tc>
          <w:tcPr>
            <w:tcW w:w="9900" w:type="dxa"/>
            <w:tcBorders>
              <w:top w:val="nil"/>
              <w:left w:val="nil"/>
              <w:bottom w:val="nil"/>
              <w:right w:val="nil"/>
            </w:tcBorders>
            <w:shd w:val="clear" w:color="auto" w:fill="auto"/>
            <w:tcMar>
              <w:top w:w="15" w:type="dxa"/>
              <w:left w:w="15" w:type="dxa"/>
              <w:bottom w:w="0" w:type="dxa"/>
              <w:right w:w="15" w:type="dxa"/>
            </w:tcMar>
            <w:vAlign w:val="center"/>
            <w:hideMark/>
          </w:tcPr>
          <w:p w:rsidR="00FF432B" w:rsidRPr="00D97AD9" w:rsidRDefault="00FF432B" w:rsidP="008C1143">
            <w:pPr>
              <w:rPr>
                <w:sz w:val="20"/>
              </w:rPr>
            </w:pPr>
            <w:r w:rsidRPr="00D97AD9">
              <w:rPr>
                <w:sz w:val="20"/>
              </w:rPr>
              <w:t>Útvar na podporu strukturální reformy (Evropské komise)</w:t>
            </w:r>
          </w:p>
        </w:tc>
      </w:tr>
      <w:tr w:rsidR="00FF432B" w:rsidRPr="00D97AD9" w:rsidTr="00DB55D6">
        <w:trPr>
          <w:trHeight w:val="300"/>
        </w:trPr>
        <w:tc>
          <w:tcPr>
            <w:tcW w:w="2380" w:type="dxa"/>
            <w:tcBorders>
              <w:top w:val="nil"/>
              <w:left w:val="nil"/>
              <w:bottom w:val="nil"/>
              <w:right w:val="nil"/>
            </w:tcBorders>
            <w:shd w:val="clear" w:color="auto" w:fill="auto"/>
            <w:tcMar>
              <w:top w:w="15" w:type="dxa"/>
              <w:left w:w="15" w:type="dxa"/>
              <w:bottom w:w="0" w:type="dxa"/>
              <w:right w:w="15" w:type="dxa"/>
            </w:tcMar>
            <w:vAlign w:val="center"/>
            <w:hideMark/>
          </w:tcPr>
          <w:p w:rsidR="00FF432B" w:rsidRPr="00D97AD9" w:rsidRDefault="00FF432B" w:rsidP="008C1143">
            <w:pPr>
              <w:rPr>
                <w:sz w:val="20"/>
              </w:rPr>
            </w:pPr>
            <w:r w:rsidRPr="00D97AD9">
              <w:rPr>
                <w:sz w:val="20"/>
              </w:rPr>
              <w:t>SŠ</w:t>
            </w:r>
          </w:p>
        </w:tc>
        <w:tc>
          <w:tcPr>
            <w:tcW w:w="9900" w:type="dxa"/>
            <w:tcBorders>
              <w:top w:val="nil"/>
              <w:left w:val="nil"/>
              <w:bottom w:val="nil"/>
              <w:right w:val="nil"/>
            </w:tcBorders>
            <w:shd w:val="clear" w:color="auto" w:fill="auto"/>
            <w:tcMar>
              <w:top w:w="15" w:type="dxa"/>
              <w:left w:w="15" w:type="dxa"/>
              <w:bottom w:w="0" w:type="dxa"/>
              <w:right w:w="15" w:type="dxa"/>
            </w:tcMar>
            <w:vAlign w:val="center"/>
            <w:hideMark/>
          </w:tcPr>
          <w:p w:rsidR="00FF432B" w:rsidRPr="00D97AD9" w:rsidRDefault="00FF432B" w:rsidP="008C1143">
            <w:pPr>
              <w:rPr>
                <w:sz w:val="20"/>
              </w:rPr>
            </w:pPr>
            <w:r w:rsidRPr="00D97AD9">
              <w:rPr>
                <w:sz w:val="20"/>
              </w:rPr>
              <w:t>střední školy</w:t>
            </w:r>
          </w:p>
        </w:tc>
      </w:tr>
      <w:tr w:rsidR="00FF432B" w:rsidRPr="00D97AD9" w:rsidTr="00DB55D6">
        <w:trPr>
          <w:trHeight w:val="300"/>
        </w:trPr>
        <w:tc>
          <w:tcPr>
            <w:tcW w:w="2380" w:type="dxa"/>
            <w:tcBorders>
              <w:top w:val="nil"/>
              <w:left w:val="nil"/>
              <w:bottom w:val="nil"/>
              <w:right w:val="nil"/>
            </w:tcBorders>
            <w:shd w:val="clear" w:color="auto" w:fill="auto"/>
            <w:tcMar>
              <w:top w:w="15" w:type="dxa"/>
              <w:left w:w="15" w:type="dxa"/>
              <w:bottom w:w="0" w:type="dxa"/>
              <w:right w:w="15" w:type="dxa"/>
            </w:tcMar>
            <w:vAlign w:val="center"/>
            <w:hideMark/>
          </w:tcPr>
          <w:p w:rsidR="00FF432B" w:rsidRPr="00D97AD9" w:rsidRDefault="00FF432B" w:rsidP="008C1143">
            <w:pPr>
              <w:rPr>
                <w:sz w:val="20"/>
              </w:rPr>
            </w:pPr>
            <w:r w:rsidRPr="00D97AD9">
              <w:rPr>
                <w:sz w:val="20"/>
              </w:rPr>
              <w:t>SVČ</w:t>
            </w:r>
          </w:p>
        </w:tc>
        <w:tc>
          <w:tcPr>
            <w:tcW w:w="9900" w:type="dxa"/>
            <w:tcBorders>
              <w:top w:val="nil"/>
              <w:left w:val="nil"/>
              <w:bottom w:val="nil"/>
              <w:right w:val="nil"/>
            </w:tcBorders>
            <w:shd w:val="clear" w:color="auto" w:fill="auto"/>
            <w:tcMar>
              <w:top w:w="15" w:type="dxa"/>
              <w:left w:w="15" w:type="dxa"/>
              <w:bottom w:w="0" w:type="dxa"/>
              <w:right w:w="15" w:type="dxa"/>
            </w:tcMar>
            <w:vAlign w:val="center"/>
            <w:hideMark/>
          </w:tcPr>
          <w:p w:rsidR="00FF432B" w:rsidRPr="00D97AD9" w:rsidRDefault="00FF432B" w:rsidP="008C1143">
            <w:pPr>
              <w:rPr>
                <w:sz w:val="20"/>
              </w:rPr>
            </w:pPr>
            <w:r w:rsidRPr="00D97AD9">
              <w:rPr>
                <w:sz w:val="20"/>
              </w:rPr>
              <w:t>střediska volného času</w:t>
            </w:r>
          </w:p>
        </w:tc>
      </w:tr>
      <w:tr w:rsidR="00FF432B" w:rsidRPr="00D97AD9" w:rsidTr="00DB55D6">
        <w:trPr>
          <w:trHeight w:val="300"/>
        </w:trPr>
        <w:tc>
          <w:tcPr>
            <w:tcW w:w="2380" w:type="dxa"/>
            <w:tcBorders>
              <w:top w:val="nil"/>
              <w:left w:val="nil"/>
              <w:bottom w:val="nil"/>
              <w:right w:val="nil"/>
            </w:tcBorders>
            <w:shd w:val="clear" w:color="auto" w:fill="auto"/>
            <w:tcMar>
              <w:top w:w="15" w:type="dxa"/>
              <w:left w:w="15" w:type="dxa"/>
              <w:bottom w:w="0" w:type="dxa"/>
              <w:right w:w="15" w:type="dxa"/>
            </w:tcMar>
            <w:vAlign w:val="center"/>
            <w:hideMark/>
          </w:tcPr>
          <w:p w:rsidR="00FF432B" w:rsidRPr="00D97AD9" w:rsidRDefault="00FF432B" w:rsidP="008C1143">
            <w:pPr>
              <w:rPr>
                <w:sz w:val="20"/>
              </w:rPr>
            </w:pPr>
            <w:r w:rsidRPr="00D97AD9">
              <w:rPr>
                <w:sz w:val="20"/>
              </w:rPr>
              <w:t>TA ČR</w:t>
            </w:r>
          </w:p>
        </w:tc>
        <w:tc>
          <w:tcPr>
            <w:tcW w:w="9900" w:type="dxa"/>
            <w:tcBorders>
              <w:top w:val="nil"/>
              <w:left w:val="nil"/>
              <w:bottom w:val="nil"/>
              <w:right w:val="nil"/>
            </w:tcBorders>
            <w:shd w:val="clear" w:color="auto" w:fill="auto"/>
            <w:tcMar>
              <w:top w:w="15" w:type="dxa"/>
              <w:left w:w="15" w:type="dxa"/>
              <w:bottom w:w="0" w:type="dxa"/>
              <w:right w:w="15" w:type="dxa"/>
            </w:tcMar>
            <w:vAlign w:val="center"/>
            <w:hideMark/>
          </w:tcPr>
          <w:p w:rsidR="000536B5" w:rsidRPr="000536B5" w:rsidRDefault="00FF432B" w:rsidP="000536B5">
            <w:pPr>
              <w:rPr>
                <w:sz w:val="20"/>
              </w:rPr>
            </w:pPr>
            <w:r w:rsidRPr="00D97AD9">
              <w:rPr>
                <w:sz w:val="20"/>
              </w:rPr>
              <w:t>Technologická agentura České republiky</w:t>
            </w:r>
          </w:p>
        </w:tc>
      </w:tr>
      <w:tr w:rsidR="00FF432B" w:rsidRPr="00D97AD9" w:rsidTr="00DB55D6">
        <w:trPr>
          <w:trHeight w:val="300"/>
        </w:trPr>
        <w:tc>
          <w:tcPr>
            <w:tcW w:w="2380" w:type="dxa"/>
            <w:tcBorders>
              <w:top w:val="nil"/>
              <w:left w:val="nil"/>
              <w:bottom w:val="nil"/>
              <w:right w:val="nil"/>
            </w:tcBorders>
            <w:shd w:val="clear" w:color="auto" w:fill="auto"/>
            <w:tcMar>
              <w:top w:w="15" w:type="dxa"/>
              <w:left w:w="15" w:type="dxa"/>
              <w:bottom w:w="0" w:type="dxa"/>
              <w:right w:w="15" w:type="dxa"/>
            </w:tcMar>
            <w:vAlign w:val="center"/>
            <w:hideMark/>
          </w:tcPr>
          <w:p w:rsidR="000536B5" w:rsidRDefault="000536B5" w:rsidP="008C1143">
            <w:pPr>
              <w:rPr>
                <w:sz w:val="20"/>
              </w:rPr>
            </w:pPr>
            <w:r>
              <w:rPr>
                <w:sz w:val="20"/>
              </w:rPr>
              <w:t>TPZ</w:t>
            </w:r>
          </w:p>
          <w:p w:rsidR="00FF432B" w:rsidRPr="00D97AD9" w:rsidRDefault="00FF432B" w:rsidP="008C1143">
            <w:pPr>
              <w:rPr>
                <w:sz w:val="20"/>
              </w:rPr>
            </w:pPr>
            <w:r w:rsidRPr="00D97AD9">
              <w:rPr>
                <w:sz w:val="20"/>
              </w:rPr>
              <w:t>ÚEP</w:t>
            </w:r>
          </w:p>
        </w:tc>
        <w:tc>
          <w:tcPr>
            <w:tcW w:w="9900" w:type="dxa"/>
            <w:tcBorders>
              <w:top w:val="nil"/>
              <w:left w:val="nil"/>
              <w:bottom w:val="nil"/>
              <w:right w:val="nil"/>
            </w:tcBorders>
            <w:shd w:val="clear" w:color="auto" w:fill="auto"/>
            <w:tcMar>
              <w:top w:w="15" w:type="dxa"/>
              <w:left w:w="15" w:type="dxa"/>
              <w:bottom w:w="0" w:type="dxa"/>
              <w:right w:w="15" w:type="dxa"/>
            </w:tcMar>
            <w:vAlign w:val="center"/>
            <w:hideMark/>
          </w:tcPr>
          <w:p w:rsidR="000536B5" w:rsidRDefault="000536B5" w:rsidP="008C1143">
            <w:pPr>
              <w:rPr>
                <w:sz w:val="20"/>
              </w:rPr>
            </w:pPr>
            <w:r>
              <w:rPr>
                <w:sz w:val="20"/>
              </w:rPr>
              <w:t>Teritoriální pakty zaměstnanosti</w:t>
            </w:r>
          </w:p>
          <w:p w:rsidR="00FF432B" w:rsidRPr="00D97AD9" w:rsidRDefault="00FF432B" w:rsidP="008C1143">
            <w:pPr>
              <w:rPr>
                <w:sz w:val="20"/>
              </w:rPr>
            </w:pPr>
            <w:r w:rsidRPr="00D97AD9">
              <w:rPr>
                <w:sz w:val="20"/>
              </w:rPr>
              <w:t>úplné elektronické podání</w:t>
            </w:r>
          </w:p>
        </w:tc>
      </w:tr>
      <w:tr w:rsidR="00FF432B" w:rsidRPr="00D97AD9" w:rsidTr="00DB55D6">
        <w:trPr>
          <w:trHeight w:val="300"/>
        </w:trPr>
        <w:tc>
          <w:tcPr>
            <w:tcW w:w="2380" w:type="dxa"/>
            <w:tcBorders>
              <w:top w:val="nil"/>
              <w:left w:val="nil"/>
              <w:bottom w:val="nil"/>
              <w:right w:val="nil"/>
            </w:tcBorders>
            <w:shd w:val="clear" w:color="auto" w:fill="auto"/>
            <w:tcMar>
              <w:top w:w="15" w:type="dxa"/>
              <w:left w:w="15" w:type="dxa"/>
              <w:bottom w:w="0" w:type="dxa"/>
              <w:right w:w="15" w:type="dxa"/>
            </w:tcMar>
            <w:vAlign w:val="center"/>
            <w:hideMark/>
          </w:tcPr>
          <w:p w:rsidR="00FF432B" w:rsidRPr="00D97AD9" w:rsidRDefault="00FF432B" w:rsidP="008C1143">
            <w:pPr>
              <w:rPr>
                <w:sz w:val="20"/>
              </w:rPr>
            </w:pPr>
            <w:r w:rsidRPr="00D97AD9">
              <w:rPr>
                <w:sz w:val="20"/>
              </w:rPr>
              <w:t>ÚNMZ</w:t>
            </w:r>
          </w:p>
        </w:tc>
        <w:tc>
          <w:tcPr>
            <w:tcW w:w="9900" w:type="dxa"/>
            <w:tcBorders>
              <w:top w:val="nil"/>
              <w:left w:val="nil"/>
              <w:bottom w:val="nil"/>
              <w:right w:val="nil"/>
            </w:tcBorders>
            <w:shd w:val="clear" w:color="auto" w:fill="auto"/>
            <w:tcMar>
              <w:top w:w="15" w:type="dxa"/>
              <w:left w:w="15" w:type="dxa"/>
              <w:bottom w:w="0" w:type="dxa"/>
              <w:right w:w="15" w:type="dxa"/>
            </w:tcMar>
            <w:vAlign w:val="center"/>
            <w:hideMark/>
          </w:tcPr>
          <w:p w:rsidR="00FF432B" w:rsidRPr="00D97AD9" w:rsidRDefault="00FF432B" w:rsidP="008C1143">
            <w:pPr>
              <w:rPr>
                <w:sz w:val="20"/>
              </w:rPr>
            </w:pPr>
            <w:r w:rsidRPr="00D97AD9">
              <w:rPr>
                <w:sz w:val="20"/>
              </w:rPr>
              <w:t xml:space="preserve">Úřad pro technickou normalizaci, metrologii a státní zkušebnictví </w:t>
            </w:r>
          </w:p>
        </w:tc>
      </w:tr>
      <w:tr w:rsidR="00FF432B" w:rsidRPr="00D97AD9" w:rsidTr="00DB55D6">
        <w:trPr>
          <w:trHeight w:val="300"/>
        </w:trPr>
        <w:tc>
          <w:tcPr>
            <w:tcW w:w="2380" w:type="dxa"/>
            <w:tcBorders>
              <w:top w:val="nil"/>
              <w:left w:val="nil"/>
              <w:bottom w:val="nil"/>
              <w:right w:val="nil"/>
            </w:tcBorders>
            <w:shd w:val="clear" w:color="auto" w:fill="auto"/>
            <w:tcMar>
              <w:top w:w="15" w:type="dxa"/>
              <w:left w:w="15" w:type="dxa"/>
              <w:bottom w:w="0" w:type="dxa"/>
              <w:right w:w="15" w:type="dxa"/>
            </w:tcMar>
            <w:vAlign w:val="center"/>
            <w:hideMark/>
          </w:tcPr>
          <w:p w:rsidR="00FF432B" w:rsidRDefault="00FF432B" w:rsidP="008C1143">
            <w:pPr>
              <w:rPr>
                <w:sz w:val="20"/>
              </w:rPr>
            </w:pPr>
            <w:r w:rsidRPr="00D97AD9">
              <w:rPr>
                <w:sz w:val="20"/>
              </w:rPr>
              <w:t>ÚOOÚ</w:t>
            </w:r>
          </w:p>
          <w:p w:rsidR="007A27CF" w:rsidRPr="00D97AD9" w:rsidRDefault="007A27CF" w:rsidP="008C1143">
            <w:pPr>
              <w:rPr>
                <w:sz w:val="20"/>
              </w:rPr>
            </w:pPr>
            <w:r>
              <w:rPr>
                <w:sz w:val="20"/>
              </w:rPr>
              <w:t>ÚPV</w:t>
            </w:r>
          </w:p>
        </w:tc>
        <w:tc>
          <w:tcPr>
            <w:tcW w:w="9900" w:type="dxa"/>
            <w:tcBorders>
              <w:top w:val="nil"/>
              <w:left w:val="nil"/>
              <w:bottom w:val="nil"/>
              <w:right w:val="nil"/>
            </w:tcBorders>
            <w:shd w:val="clear" w:color="auto" w:fill="auto"/>
            <w:tcMar>
              <w:top w:w="15" w:type="dxa"/>
              <w:left w:w="15" w:type="dxa"/>
              <w:bottom w:w="0" w:type="dxa"/>
              <w:right w:w="15" w:type="dxa"/>
            </w:tcMar>
            <w:vAlign w:val="center"/>
            <w:hideMark/>
          </w:tcPr>
          <w:p w:rsidR="00FF432B" w:rsidRDefault="00FF432B" w:rsidP="008C1143">
            <w:pPr>
              <w:rPr>
                <w:sz w:val="20"/>
              </w:rPr>
            </w:pPr>
            <w:r w:rsidRPr="00D97AD9">
              <w:rPr>
                <w:sz w:val="20"/>
              </w:rPr>
              <w:t>Úřad pro ochranu osobních údajů</w:t>
            </w:r>
          </w:p>
          <w:p w:rsidR="007A27CF" w:rsidRPr="00D97AD9" w:rsidRDefault="007A27CF" w:rsidP="007A27CF">
            <w:pPr>
              <w:rPr>
                <w:sz w:val="20"/>
              </w:rPr>
            </w:pPr>
            <w:r>
              <w:rPr>
                <w:sz w:val="20"/>
              </w:rPr>
              <w:t>Úřad průmyslového vlastnictví</w:t>
            </w:r>
          </w:p>
        </w:tc>
      </w:tr>
      <w:tr w:rsidR="00FF432B" w:rsidRPr="00D97AD9" w:rsidTr="00DB55D6">
        <w:trPr>
          <w:trHeight w:val="300"/>
        </w:trPr>
        <w:tc>
          <w:tcPr>
            <w:tcW w:w="2380" w:type="dxa"/>
            <w:tcBorders>
              <w:top w:val="nil"/>
              <w:left w:val="nil"/>
              <w:bottom w:val="nil"/>
              <w:right w:val="nil"/>
            </w:tcBorders>
            <w:shd w:val="clear" w:color="auto" w:fill="auto"/>
            <w:tcMar>
              <w:top w:w="15" w:type="dxa"/>
              <w:left w:w="15" w:type="dxa"/>
              <w:bottom w:w="0" w:type="dxa"/>
              <w:right w:w="15" w:type="dxa"/>
            </w:tcMar>
            <w:vAlign w:val="center"/>
            <w:hideMark/>
          </w:tcPr>
          <w:p w:rsidR="00FF432B" w:rsidRPr="00D97AD9" w:rsidRDefault="00FF432B" w:rsidP="008C1143">
            <w:pPr>
              <w:rPr>
                <w:sz w:val="20"/>
              </w:rPr>
            </w:pPr>
            <w:r w:rsidRPr="00D97AD9">
              <w:rPr>
                <w:sz w:val="20"/>
              </w:rPr>
              <w:t>USA</w:t>
            </w:r>
          </w:p>
        </w:tc>
        <w:tc>
          <w:tcPr>
            <w:tcW w:w="9900" w:type="dxa"/>
            <w:tcBorders>
              <w:top w:val="nil"/>
              <w:left w:val="nil"/>
              <w:bottom w:val="nil"/>
              <w:right w:val="nil"/>
            </w:tcBorders>
            <w:shd w:val="clear" w:color="auto" w:fill="auto"/>
            <w:tcMar>
              <w:top w:w="15" w:type="dxa"/>
              <w:left w:w="15" w:type="dxa"/>
              <w:bottom w:w="0" w:type="dxa"/>
              <w:right w:w="15" w:type="dxa"/>
            </w:tcMar>
            <w:vAlign w:val="center"/>
            <w:hideMark/>
          </w:tcPr>
          <w:p w:rsidR="00FF432B" w:rsidRPr="00D97AD9" w:rsidRDefault="00FF432B" w:rsidP="008C1143">
            <w:pPr>
              <w:rPr>
                <w:sz w:val="20"/>
              </w:rPr>
            </w:pPr>
            <w:r w:rsidRPr="00D97AD9">
              <w:rPr>
                <w:sz w:val="20"/>
              </w:rPr>
              <w:t>Spojené státy americké</w:t>
            </w:r>
          </w:p>
        </w:tc>
      </w:tr>
      <w:tr w:rsidR="00D86BAE" w:rsidRPr="00D97AD9" w:rsidTr="00DB55D6">
        <w:trPr>
          <w:trHeight w:val="300"/>
        </w:trPr>
        <w:tc>
          <w:tcPr>
            <w:tcW w:w="2380" w:type="dxa"/>
            <w:tcBorders>
              <w:top w:val="nil"/>
              <w:left w:val="nil"/>
              <w:bottom w:val="nil"/>
              <w:right w:val="nil"/>
            </w:tcBorders>
            <w:shd w:val="clear" w:color="auto" w:fill="auto"/>
            <w:tcMar>
              <w:top w:w="15" w:type="dxa"/>
              <w:left w:w="15" w:type="dxa"/>
              <w:bottom w:w="0" w:type="dxa"/>
              <w:right w:w="15" w:type="dxa"/>
            </w:tcMar>
            <w:vAlign w:val="center"/>
            <w:hideMark/>
          </w:tcPr>
          <w:p w:rsidR="00D86BAE" w:rsidRPr="00385324" w:rsidRDefault="00D86BAE" w:rsidP="007939FA">
            <w:pPr>
              <w:rPr>
                <w:sz w:val="20"/>
              </w:rPr>
            </w:pPr>
            <w:r w:rsidRPr="00385324">
              <w:rPr>
                <w:sz w:val="20"/>
              </w:rPr>
              <w:t>ÚV</w:t>
            </w:r>
          </w:p>
          <w:p w:rsidR="00D86BAE" w:rsidRPr="00385324" w:rsidRDefault="00D86BAE" w:rsidP="008C1143">
            <w:pPr>
              <w:rPr>
                <w:sz w:val="20"/>
              </w:rPr>
            </w:pPr>
            <w:r w:rsidRPr="00385324">
              <w:rPr>
                <w:sz w:val="20"/>
              </w:rPr>
              <w:t>ÚZSVM</w:t>
            </w:r>
          </w:p>
        </w:tc>
        <w:tc>
          <w:tcPr>
            <w:tcW w:w="9900" w:type="dxa"/>
            <w:tcBorders>
              <w:top w:val="nil"/>
              <w:left w:val="nil"/>
              <w:bottom w:val="nil"/>
              <w:right w:val="nil"/>
            </w:tcBorders>
            <w:shd w:val="clear" w:color="auto" w:fill="auto"/>
            <w:tcMar>
              <w:top w:w="15" w:type="dxa"/>
              <w:left w:w="15" w:type="dxa"/>
              <w:bottom w:w="0" w:type="dxa"/>
              <w:right w:w="15" w:type="dxa"/>
            </w:tcMar>
            <w:vAlign w:val="center"/>
            <w:hideMark/>
          </w:tcPr>
          <w:p w:rsidR="00D86BAE" w:rsidRPr="00385324" w:rsidRDefault="00D86BAE" w:rsidP="007939FA">
            <w:pPr>
              <w:rPr>
                <w:sz w:val="20"/>
              </w:rPr>
            </w:pPr>
            <w:r w:rsidRPr="00385324">
              <w:rPr>
                <w:sz w:val="20"/>
              </w:rPr>
              <w:t>Úřad vlády České republiky</w:t>
            </w:r>
          </w:p>
          <w:p w:rsidR="00D86BAE" w:rsidRPr="00385324" w:rsidRDefault="00D86BAE" w:rsidP="008C1143">
            <w:pPr>
              <w:rPr>
                <w:sz w:val="20"/>
              </w:rPr>
            </w:pPr>
            <w:r w:rsidRPr="00385324">
              <w:rPr>
                <w:sz w:val="20"/>
              </w:rPr>
              <w:t>Úřad pro zastupování státu ve věcech majetkových</w:t>
            </w:r>
          </w:p>
        </w:tc>
      </w:tr>
      <w:tr w:rsidR="00FF432B" w:rsidRPr="00D97AD9" w:rsidTr="00DB55D6">
        <w:trPr>
          <w:trHeight w:val="300"/>
        </w:trPr>
        <w:tc>
          <w:tcPr>
            <w:tcW w:w="2380" w:type="dxa"/>
            <w:tcBorders>
              <w:top w:val="nil"/>
              <w:left w:val="nil"/>
              <w:bottom w:val="nil"/>
              <w:right w:val="nil"/>
            </w:tcBorders>
            <w:shd w:val="clear" w:color="auto" w:fill="auto"/>
            <w:tcMar>
              <w:top w:w="15" w:type="dxa"/>
              <w:left w:w="15" w:type="dxa"/>
              <w:bottom w:w="0" w:type="dxa"/>
              <w:right w:w="15" w:type="dxa"/>
            </w:tcMar>
            <w:vAlign w:val="center"/>
            <w:hideMark/>
          </w:tcPr>
          <w:p w:rsidR="00FF432B" w:rsidRPr="00D97AD9" w:rsidRDefault="00FF432B" w:rsidP="008C1143">
            <w:pPr>
              <w:rPr>
                <w:sz w:val="20"/>
              </w:rPr>
            </w:pPr>
            <w:r w:rsidRPr="00D97AD9">
              <w:rPr>
                <w:sz w:val="20"/>
              </w:rPr>
              <w:t>V4</w:t>
            </w:r>
          </w:p>
        </w:tc>
        <w:tc>
          <w:tcPr>
            <w:tcW w:w="9900" w:type="dxa"/>
            <w:tcBorders>
              <w:top w:val="nil"/>
              <w:left w:val="nil"/>
              <w:bottom w:val="nil"/>
              <w:right w:val="nil"/>
            </w:tcBorders>
            <w:shd w:val="clear" w:color="auto" w:fill="auto"/>
            <w:tcMar>
              <w:top w:w="15" w:type="dxa"/>
              <w:left w:w="15" w:type="dxa"/>
              <w:bottom w:w="0" w:type="dxa"/>
              <w:right w:w="15" w:type="dxa"/>
            </w:tcMar>
            <w:vAlign w:val="center"/>
            <w:hideMark/>
          </w:tcPr>
          <w:p w:rsidR="00FF432B" w:rsidRPr="00D97AD9" w:rsidRDefault="00FF432B" w:rsidP="008C1143">
            <w:pPr>
              <w:rPr>
                <w:sz w:val="20"/>
              </w:rPr>
            </w:pPr>
            <w:r w:rsidRPr="00D97AD9">
              <w:rPr>
                <w:sz w:val="20"/>
              </w:rPr>
              <w:t xml:space="preserve">Visegrádská skupina </w:t>
            </w:r>
          </w:p>
        </w:tc>
      </w:tr>
      <w:tr w:rsidR="00FF432B" w:rsidRPr="00D97AD9" w:rsidTr="00DB55D6">
        <w:trPr>
          <w:trHeight w:val="300"/>
        </w:trPr>
        <w:tc>
          <w:tcPr>
            <w:tcW w:w="2380" w:type="dxa"/>
            <w:tcBorders>
              <w:top w:val="nil"/>
              <w:left w:val="nil"/>
              <w:bottom w:val="nil"/>
              <w:right w:val="nil"/>
            </w:tcBorders>
            <w:shd w:val="clear" w:color="auto" w:fill="auto"/>
            <w:tcMar>
              <w:top w:w="15" w:type="dxa"/>
              <w:left w:w="15" w:type="dxa"/>
              <w:bottom w:w="0" w:type="dxa"/>
              <w:right w:w="15" w:type="dxa"/>
            </w:tcMar>
            <w:vAlign w:val="center"/>
            <w:hideMark/>
          </w:tcPr>
          <w:p w:rsidR="00FF432B" w:rsidRPr="00D97AD9" w:rsidRDefault="00FF432B" w:rsidP="008C1143">
            <w:pPr>
              <w:rPr>
                <w:sz w:val="20"/>
              </w:rPr>
            </w:pPr>
            <w:r w:rsidRPr="00D97AD9">
              <w:rPr>
                <w:sz w:val="20"/>
              </w:rPr>
              <w:t>VIS</w:t>
            </w:r>
          </w:p>
        </w:tc>
        <w:tc>
          <w:tcPr>
            <w:tcW w:w="9900" w:type="dxa"/>
            <w:tcBorders>
              <w:top w:val="nil"/>
              <w:left w:val="nil"/>
              <w:bottom w:val="nil"/>
              <w:right w:val="nil"/>
            </w:tcBorders>
            <w:shd w:val="clear" w:color="auto" w:fill="auto"/>
            <w:tcMar>
              <w:top w:w="15" w:type="dxa"/>
              <w:left w:w="15" w:type="dxa"/>
              <w:bottom w:w="0" w:type="dxa"/>
              <w:right w:w="15" w:type="dxa"/>
            </w:tcMar>
            <w:vAlign w:val="center"/>
            <w:hideMark/>
          </w:tcPr>
          <w:p w:rsidR="00FF432B" w:rsidRPr="00D97AD9" w:rsidRDefault="00FF432B" w:rsidP="008C1143">
            <w:pPr>
              <w:rPr>
                <w:sz w:val="20"/>
              </w:rPr>
            </w:pPr>
            <w:r w:rsidRPr="00D97AD9">
              <w:rPr>
                <w:sz w:val="20"/>
              </w:rPr>
              <w:t>významný informační systém</w:t>
            </w:r>
          </w:p>
        </w:tc>
      </w:tr>
      <w:tr w:rsidR="00FF432B" w:rsidRPr="00D97AD9" w:rsidTr="00DB55D6">
        <w:trPr>
          <w:trHeight w:val="300"/>
        </w:trPr>
        <w:tc>
          <w:tcPr>
            <w:tcW w:w="2380" w:type="dxa"/>
            <w:tcBorders>
              <w:top w:val="nil"/>
              <w:left w:val="nil"/>
              <w:bottom w:val="nil"/>
              <w:right w:val="nil"/>
            </w:tcBorders>
            <w:shd w:val="clear" w:color="auto" w:fill="auto"/>
            <w:tcMar>
              <w:top w:w="15" w:type="dxa"/>
              <w:left w:w="15" w:type="dxa"/>
              <w:bottom w:w="0" w:type="dxa"/>
              <w:right w:w="15" w:type="dxa"/>
            </w:tcMar>
            <w:vAlign w:val="center"/>
            <w:hideMark/>
          </w:tcPr>
          <w:p w:rsidR="00FF432B" w:rsidRPr="00D97AD9" w:rsidRDefault="00FF432B" w:rsidP="008C1143">
            <w:pPr>
              <w:rPr>
                <w:sz w:val="20"/>
              </w:rPr>
            </w:pPr>
            <w:r w:rsidRPr="00D97AD9">
              <w:rPr>
                <w:sz w:val="20"/>
              </w:rPr>
              <w:t>VOŠ</w:t>
            </w:r>
          </w:p>
        </w:tc>
        <w:tc>
          <w:tcPr>
            <w:tcW w:w="9900" w:type="dxa"/>
            <w:tcBorders>
              <w:top w:val="nil"/>
              <w:left w:val="nil"/>
              <w:bottom w:val="nil"/>
              <w:right w:val="nil"/>
            </w:tcBorders>
            <w:shd w:val="clear" w:color="auto" w:fill="auto"/>
            <w:tcMar>
              <w:top w:w="15" w:type="dxa"/>
              <w:left w:w="15" w:type="dxa"/>
              <w:bottom w:w="0" w:type="dxa"/>
              <w:right w:w="15" w:type="dxa"/>
            </w:tcMar>
            <w:vAlign w:val="center"/>
            <w:hideMark/>
          </w:tcPr>
          <w:p w:rsidR="00FF432B" w:rsidRPr="00D97AD9" w:rsidRDefault="00FF432B" w:rsidP="008C1143">
            <w:pPr>
              <w:rPr>
                <w:sz w:val="20"/>
              </w:rPr>
            </w:pPr>
            <w:r w:rsidRPr="00D97AD9">
              <w:rPr>
                <w:sz w:val="20"/>
              </w:rPr>
              <w:t>vyšší odborné školy</w:t>
            </w:r>
          </w:p>
        </w:tc>
      </w:tr>
      <w:tr w:rsidR="00FF432B" w:rsidRPr="00D97AD9" w:rsidTr="00DB55D6">
        <w:trPr>
          <w:trHeight w:val="300"/>
        </w:trPr>
        <w:tc>
          <w:tcPr>
            <w:tcW w:w="2380" w:type="dxa"/>
            <w:tcBorders>
              <w:top w:val="nil"/>
              <w:left w:val="nil"/>
              <w:bottom w:val="nil"/>
              <w:right w:val="nil"/>
            </w:tcBorders>
            <w:shd w:val="clear" w:color="auto" w:fill="auto"/>
            <w:tcMar>
              <w:top w:w="15" w:type="dxa"/>
              <w:left w:w="15" w:type="dxa"/>
              <w:bottom w:w="0" w:type="dxa"/>
              <w:right w:w="15" w:type="dxa"/>
            </w:tcMar>
            <w:vAlign w:val="center"/>
            <w:hideMark/>
          </w:tcPr>
          <w:p w:rsidR="00FF432B" w:rsidRDefault="00FF432B" w:rsidP="008C1143">
            <w:pPr>
              <w:rPr>
                <w:sz w:val="20"/>
              </w:rPr>
            </w:pPr>
            <w:r w:rsidRPr="00D97AD9">
              <w:rPr>
                <w:sz w:val="20"/>
              </w:rPr>
              <w:t>VŠ</w:t>
            </w:r>
          </w:p>
          <w:p w:rsidR="002922A0" w:rsidRPr="00D97AD9" w:rsidRDefault="002922A0" w:rsidP="008C1143">
            <w:pPr>
              <w:rPr>
                <w:sz w:val="20"/>
              </w:rPr>
            </w:pPr>
            <w:r>
              <w:rPr>
                <w:sz w:val="20"/>
              </w:rPr>
              <w:t>VÚPSV</w:t>
            </w:r>
          </w:p>
        </w:tc>
        <w:tc>
          <w:tcPr>
            <w:tcW w:w="9900" w:type="dxa"/>
            <w:tcBorders>
              <w:top w:val="nil"/>
              <w:left w:val="nil"/>
              <w:bottom w:val="nil"/>
              <w:right w:val="nil"/>
            </w:tcBorders>
            <w:shd w:val="clear" w:color="auto" w:fill="auto"/>
            <w:tcMar>
              <w:top w:w="15" w:type="dxa"/>
              <w:left w:w="15" w:type="dxa"/>
              <w:bottom w:w="0" w:type="dxa"/>
              <w:right w:w="15" w:type="dxa"/>
            </w:tcMar>
            <w:vAlign w:val="center"/>
            <w:hideMark/>
          </w:tcPr>
          <w:p w:rsidR="002922A0" w:rsidRDefault="00FF432B" w:rsidP="002922A0">
            <w:pPr>
              <w:rPr>
                <w:rFonts w:ascii="Verdana" w:hAnsi="Verdana"/>
                <w:b/>
                <w:bCs/>
                <w:color w:val="114366"/>
                <w:sz w:val="17"/>
                <w:szCs w:val="17"/>
              </w:rPr>
            </w:pPr>
            <w:r w:rsidRPr="00D97AD9">
              <w:rPr>
                <w:sz w:val="20"/>
              </w:rPr>
              <w:t>vysoké školy</w:t>
            </w:r>
            <w:r w:rsidR="002922A0">
              <w:rPr>
                <w:sz w:val="20"/>
              </w:rPr>
              <w:t xml:space="preserve"> </w:t>
            </w:r>
          </w:p>
          <w:p w:rsidR="002922A0" w:rsidRPr="00D97AD9" w:rsidRDefault="002922A0" w:rsidP="002922A0">
            <w:pPr>
              <w:rPr>
                <w:sz w:val="20"/>
              </w:rPr>
            </w:pPr>
            <w:r>
              <w:rPr>
                <w:sz w:val="20"/>
              </w:rPr>
              <w:t>Výzkumný ústav práce a sociálních věcí</w:t>
            </w:r>
          </w:p>
        </w:tc>
      </w:tr>
      <w:tr w:rsidR="00FF432B" w:rsidRPr="00D97AD9" w:rsidTr="00DB55D6">
        <w:trPr>
          <w:trHeight w:val="300"/>
        </w:trPr>
        <w:tc>
          <w:tcPr>
            <w:tcW w:w="2380" w:type="dxa"/>
            <w:tcBorders>
              <w:top w:val="nil"/>
              <w:left w:val="nil"/>
              <w:bottom w:val="nil"/>
              <w:right w:val="nil"/>
            </w:tcBorders>
            <w:shd w:val="clear" w:color="auto" w:fill="auto"/>
            <w:tcMar>
              <w:top w:w="15" w:type="dxa"/>
              <w:left w:w="15" w:type="dxa"/>
              <w:bottom w:w="0" w:type="dxa"/>
              <w:right w:w="15" w:type="dxa"/>
            </w:tcMar>
            <w:vAlign w:val="center"/>
            <w:hideMark/>
          </w:tcPr>
          <w:p w:rsidR="00FF432B" w:rsidRPr="00D97AD9" w:rsidRDefault="00FF432B" w:rsidP="008C1143">
            <w:pPr>
              <w:rPr>
                <w:sz w:val="20"/>
              </w:rPr>
            </w:pPr>
            <w:r w:rsidRPr="00D97AD9">
              <w:rPr>
                <w:sz w:val="20"/>
              </w:rPr>
              <w:t>WHO</w:t>
            </w:r>
          </w:p>
        </w:tc>
        <w:tc>
          <w:tcPr>
            <w:tcW w:w="9900" w:type="dxa"/>
            <w:tcBorders>
              <w:top w:val="nil"/>
              <w:left w:val="nil"/>
              <w:bottom w:val="nil"/>
              <w:right w:val="nil"/>
            </w:tcBorders>
            <w:shd w:val="clear" w:color="auto" w:fill="auto"/>
            <w:tcMar>
              <w:top w:w="15" w:type="dxa"/>
              <w:left w:w="15" w:type="dxa"/>
              <w:bottom w:w="0" w:type="dxa"/>
              <w:right w:w="15" w:type="dxa"/>
            </w:tcMar>
            <w:vAlign w:val="center"/>
            <w:hideMark/>
          </w:tcPr>
          <w:p w:rsidR="00FF432B" w:rsidRPr="00D97AD9" w:rsidRDefault="00FF432B" w:rsidP="008C1143">
            <w:pPr>
              <w:rPr>
                <w:sz w:val="20"/>
              </w:rPr>
            </w:pPr>
            <w:r w:rsidRPr="00D97AD9">
              <w:rPr>
                <w:sz w:val="20"/>
              </w:rPr>
              <w:t>Světová zdravotnická organizace</w:t>
            </w:r>
          </w:p>
        </w:tc>
      </w:tr>
      <w:tr w:rsidR="00FF432B" w:rsidRPr="00D97AD9" w:rsidTr="00DB55D6">
        <w:trPr>
          <w:trHeight w:val="300"/>
        </w:trPr>
        <w:tc>
          <w:tcPr>
            <w:tcW w:w="2380" w:type="dxa"/>
            <w:tcBorders>
              <w:top w:val="nil"/>
              <w:left w:val="nil"/>
              <w:bottom w:val="nil"/>
              <w:right w:val="nil"/>
            </w:tcBorders>
            <w:shd w:val="clear" w:color="auto" w:fill="auto"/>
            <w:tcMar>
              <w:top w:w="15" w:type="dxa"/>
              <w:left w:w="15" w:type="dxa"/>
              <w:bottom w:w="0" w:type="dxa"/>
              <w:right w:w="15" w:type="dxa"/>
            </w:tcMar>
            <w:vAlign w:val="center"/>
            <w:hideMark/>
          </w:tcPr>
          <w:p w:rsidR="00FF432B" w:rsidRPr="00D97AD9" w:rsidRDefault="00FF432B" w:rsidP="008C1143">
            <w:pPr>
              <w:rPr>
                <w:sz w:val="20"/>
              </w:rPr>
            </w:pPr>
            <w:r w:rsidRPr="00D97AD9">
              <w:rPr>
                <w:sz w:val="20"/>
              </w:rPr>
              <w:t>ZEK</w:t>
            </w:r>
          </w:p>
        </w:tc>
        <w:tc>
          <w:tcPr>
            <w:tcW w:w="9900" w:type="dxa"/>
            <w:tcBorders>
              <w:top w:val="nil"/>
              <w:left w:val="nil"/>
              <w:bottom w:val="nil"/>
              <w:right w:val="nil"/>
            </w:tcBorders>
            <w:shd w:val="clear" w:color="auto" w:fill="auto"/>
            <w:tcMar>
              <w:top w:w="15" w:type="dxa"/>
              <w:left w:w="15" w:type="dxa"/>
              <w:bottom w:w="0" w:type="dxa"/>
              <w:right w:w="15" w:type="dxa"/>
            </w:tcMar>
            <w:vAlign w:val="center"/>
            <w:hideMark/>
          </w:tcPr>
          <w:p w:rsidR="00FF432B" w:rsidRPr="00D97AD9" w:rsidRDefault="00FF432B" w:rsidP="008C1143">
            <w:pPr>
              <w:rPr>
                <w:sz w:val="20"/>
              </w:rPr>
            </w:pPr>
            <w:r w:rsidRPr="00D97AD9">
              <w:rPr>
                <w:sz w:val="20"/>
              </w:rPr>
              <w:t>Zastoupení Evropské komise v Praze</w:t>
            </w:r>
          </w:p>
        </w:tc>
      </w:tr>
    </w:tbl>
    <w:p w:rsidR="003B05E8" w:rsidRDefault="003B05E8">
      <w:pPr>
        <w:spacing w:after="200"/>
        <w:jc w:val="left"/>
        <w:rPr>
          <w:rFonts w:eastAsiaTheme="majorEastAsia"/>
          <w:b/>
          <w:bCs/>
          <w:sz w:val="28"/>
          <w:szCs w:val="28"/>
          <w:highlight w:val="yellow"/>
        </w:rPr>
      </w:pPr>
      <w:r>
        <w:rPr>
          <w:highlight w:val="yellow"/>
        </w:rPr>
        <w:br w:type="page"/>
      </w:r>
    </w:p>
    <w:p w:rsidR="003B1CBB" w:rsidRPr="00456971" w:rsidRDefault="003D2999" w:rsidP="00456971">
      <w:pPr>
        <w:pStyle w:val="Nadpis1"/>
        <w:rPr>
          <w:sz w:val="22"/>
          <w:szCs w:val="20"/>
        </w:rPr>
      </w:pPr>
      <w:bookmarkStart w:id="127" w:name="_Toc491356000"/>
      <w:r w:rsidRPr="00721BAF">
        <w:lastRenderedPageBreak/>
        <w:t>PŘÍLOHA 1: PŘEHLED STRATEGICKÝCH DOKUMENTŮ</w:t>
      </w:r>
      <w:bookmarkEnd w:id="127"/>
    </w:p>
    <w:p w:rsidR="003B1CBB" w:rsidRPr="00D97AD9" w:rsidRDefault="003D2999" w:rsidP="008C1143">
      <w:pPr>
        <w:pStyle w:val="Plnovanopaten"/>
        <w:spacing w:before="0" w:after="120"/>
      </w:pPr>
      <w:r w:rsidRPr="00D97AD9">
        <w:t>Horizontální dokumenty:</w:t>
      </w:r>
    </w:p>
    <w:p w:rsidR="003B1CBB" w:rsidRPr="0025115E" w:rsidRDefault="00836CA6" w:rsidP="008C1143">
      <w:pPr>
        <w:rPr>
          <w:rFonts w:eastAsia="Arial"/>
          <w:szCs w:val="22"/>
          <w:u w:val="single"/>
        </w:rPr>
      </w:pPr>
      <w:hyperlink r:id="rId16" w:history="1">
        <w:r w:rsidR="003D2999" w:rsidRPr="0025115E">
          <w:rPr>
            <w:rFonts w:eastAsia="Arial"/>
            <w:szCs w:val="22"/>
            <w:u w:val="single"/>
          </w:rPr>
          <w:t>Koncepce působení ČR v EU</w:t>
        </w:r>
      </w:hyperlink>
    </w:p>
    <w:p w:rsidR="003B1CBB" w:rsidRPr="0025115E" w:rsidRDefault="00836CA6" w:rsidP="008C1143">
      <w:pPr>
        <w:rPr>
          <w:rFonts w:eastAsia="Arial"/>
          <w:szCs w:val="22"/>
          <w:u w:val="single"/>
        </w:rPr>
      </w:pPr>
      <w:hyperlink r:id="rId17" w:history="1">
        <w:r w:rsidR="003D2999" w:rsidRPr="0025115E">
          <w:rPr>
            <w:rFonts w:eastAsia="Arial"/>
            <w:szCs w:val="22"/>
            <w:u w:val="single"/>
          </w:rPr>
          <w:t>Akční plán na podporu hospodářského růstu a zaměstnanosti ČR</w:t>
        </w:r>
      </w:hyperlink>
    </w:p>
    <w:p w:rsidR="003B1CBB" w:rsidRPr="0025115E" w:rsidRDefault="00836CA6" w:rsidP="008C1143">
      <w:pPr>
        <w:rPr>
          <w:rFonts w:eastAsia="Arial"/>
          <w:szCs w:val="22"/>
          <w:u w:val="single"/>
        </w:rPr>
      </w:pPr>
      <w:hyperlink r:id="rId18" w:history="1">
        <w:r w:rsidR="003D2999" w:rsidRPr="0025115E">
          <w:rPr>
            <w:rFonts w:eastAsia="Arial"/>
            <w:szCs w:val="22"/>
            <w:u w:val="single"/>
          </w:rPr>
          <w:t>Dohoda o partnerství pro programové období 2014-2020</w:t>
        </w:r>
      </w:hyperlink>
    </w:p>
    <w:p w:rsidR="003B1CBB" w:rsidRPr="00D97AD9" w:rsidRDefault="00836CA6" w:rsidP="008C1143">
      <w:pPr>
        <w:rPr>
          <w:szCs w:val="22"/>
        </w:rPr>
      </w:pPr>
      <w:hyperlink r:id="rId19" w:history="1">
        <w:r w:rsidR="00A9632E" w:rsidRPr="0025115E">
          <w:rPr>
            <w:rStyle w:val="Hypertextovodkaz"/>
            <w:color w:val="auto"/>
            <w:szCs w:val="22"/>
          </w:rPr>
          <w:t>Národní program reforem České republiky 2016</w:t>
        </w:r>
      </w:hyperlink>
    </w:p>
    <w:p w:rsidR="003B1CBB" w:rsidRPr="00D97AD9" w:rsidRDefault="00836CA6" w:rsidP="008C1143">
      <w:pPr>
        <w:rPr>
          <w:szCs w:val="22"/>
        </w:rPr>
      </w:pPr>
      <w:hyperlink r:id="rId20" w:history="1">
        <w:r w:rsidR="00A9632E" w:rsidRPr="0025115E">
          <w:rPr>
            <w:rStyle w:val="Hypertextovodkaz"/>
            <w:color w:val="auto"/>
            <w:szCs w:val="22"/>
          </w:rPr>
          <w:t>Strategický rámec udržitelného rozvoje ČR</w:t>
        </w:r>
      </w:hyperlink>
    </w:p>
    <w:p w:rsidR="003B1CBB" w:rsidRPr="00D97AD9" w:rsidRDefault="00836CA6" w:rsidP="008C1143">
      <w:pPr>
        <w:rPr>
          <w:szCs w:val="22"/>
        </w:rPr>
      </w:pPr>
      <w:hyperlink r:id="rId21" w:history="1">
        <w:r w:rsidR="00A9632E" w:rsidRPr="0025115E">
          <w:rPr>
            <w:rStyle w:val="Hypertextovodkaz"/>
            <w:color w:val="auto"/>
            <w:szCs w:val="22"/>
          </w:rPr>
          <w:t>Strategie mezinárodní konkurenceschopnosti ČR 2012-2020</w:t>
        </w:r>
      </w:hyperlink>
    </w:p>
    <w:p w:rsidR="00FE730C" w:rsidRPr="002C6294" w:rsidRDefault="00FE730C" w:rsidP="00FE730C">
      <w:pPr>
        <w:rPr>
          <w:szCs w:val="22"/>
          <w:u w:val="single"/>
        </w:rPr>
      </w:pPr>
      <w:r w:rsidRPr="002C6294">
        <w:rPr>
          <w:u w:val="single"/>
        </w:rPr>
        <w:t>Usnesení vlády č. 958, o významu metody BIM (</w:t>
      </w:r>
      <w:proofErr w:type="spellStart"/>
      <w:r w:rsidRPr="002C6294">
        <w:rPr>
          <w:u w:val="single"/>
        </w:rPr>
        <w:t>Building</w:t>
      </w:r>
      <w:proofErr w:type="spellEnd"/>
      <w:r w:rsidRPr="002C6294">
        <w:rPr>
          <w:u w:val="single"/>
        </w:rPr>
        <w:t xml:space="preserve"> </w:t>
      </w:r>
      <w:proofErr w:type="spellStart"/>
      <w:r w:rsidRPr="002C6294">
        <w:rPr>
          <w:u w:val="single"/>
        </w:rPr>
        <w:t>Information</w:t>
      </w:r>
      <w:proofErr w:type="spellEnd"/>
      <w:r w:rsidRPr="002C6294">
        <w:rPr>
          <w:u w:val="single"/>
        </w:rPr>
        <w:t xml:space="preserve"> Modelling) pro stavební praxi v České republice a návrh dalšího postupu pro její zavedení, ze dne 2. listopadu 2016</w:t>
      </w:r>
    </w:p>
    <w:p w:rsidR="003B1CBB" w:rsidRPr="00D97AD9" w:rsidRDefault="003B1CBB" w:rsidP="008C1143">
      <w:pPr>
        <w:rPr>
          <w:szCs w:val="22"/>
        </w:rPr>
      </w:pPr>
    </w:p>
    <w:p w:rsidR="003B1CBB" w:rsidRPr="00D97AD9" w:rsidRDefault="003D2999" w:rsidP="008C1143">
      <w:pPr>
        <w:pStyle w:val="Plnovanopaten"/>
        <w:spacing w:before="0" w:after="120"/>
      </w:pPr>
      <w:r w:rsidRPr="00D97AD9">
        <w:t>Resortní dokumenty:</w:t>
      </w:r>
    </w:p>
    <w:p w:rsidR="003B1CBB" w:rsidRPr="00D97AD9" w:rsidRDefault="003D2999" w:rsidP="008C1143">
      <w:pPr>
        <w:rPr>
          <w:rFonts w:eastAsia="Arial"/>
          <w:b/>
          <w:szCs w:val="22"/>
        </w:rPr>
      </w:pPr>
      <w:r w:rsidRPr="00D97AD9">
        <w:rPr>
          <w:rFonts w:eastAsia="Arial"/>
          <w:b/>
          <w:szCs w:val="22"/>
        </w:rPr>
        <w:t>MPO</w:t>
      </w:r>
    </w:p>
    <w:p w:rsidR="003B1CBB" w:rsidRPr="0025115E" w:rsidRDefault="00836CA6" w:rsidP="008C1143">
      <w:pPr>
        <w:ind w:right="20"/>
        <w:rPr>
          <w:rFonts w:eastAsia="Arial"/>
          <w:szCs w:val="22"/>
          <w:u w:val="single"/>
        </w:rPr>
      </w:pPr>
      <w:hyperlink r:id="rId22" w:history="1">
        <w:r w:rsidR="00A9632E" w:rsidRPr="0025115E">
          <w:rPr>
            <w:rFonts w:eastAsia="Arial"/>
            <w:szCs w:val="22"/>
            <w:u w:val="single"/>
          </w:rPr>
          <w:t>Státní politika v elektronických komunikacích - Digitální Česko v. 2.0, Cesta k digitální</w:t>
        </w:r>
      </w:hyperlink>
      <w:r w:rsidR="007A25C2">
        <w:rPr>
          <w:rFonts w:eastAsia="Arial"/>
          <w:szCs w:val="22"/>
          <w:u w:val="single"/>
        </w:rPr>
        <w:t xml:space="preserve"> </w:t>
      </w:r>
      <w:hyperlink r:id="rId23" w:history="1">
        <w:r w:rsidR="00A9632E" w:rsidRPr="0025115E">
          <w:rPr>
            <w:rFonts w:eastAsia="Arial"/>
            <w:szCs w:val="22"/>
            <w:u w:val="single"/>
          </w:rPr>
          <w:t>ekonomice</w:t>
        </w:r>
      </w:hyperlink>
    </w:p>
    <w:p w:rsidR="003B1CBB" w:rsidRPr="00D97AD9" w:rsidRDefault="00836CA6" w:rsidP="008C1143">
      <w:pPr>
        <w:rPr>
          <w:rFonts w:eastAsia="Arial"/>
          <w:szCs w:val="22"/>
        </w:rPr>
      </w:pPr>
      <w:hyperlink r:id="rId24" w:history="1">
        <w:r w:rsidR="00A9632E" w:rsidRPr="0025115E">
          <w:rPr>
            <w:rStyle w:val="Hypertextovodkaz"/>
            <w:rFonts w:eastAsia="Arial"/>
            <w:color w:val="auto"/>
            <w:szCs w:val="22"/>
          </w:rPr>
          <w:t>Strategie rozvoje zemského digitálního televizního vysílání</w:t>
        </w:r>
      </w:hyperlink>
    </w:p>
    <w:p w:rsidR="003B1CBB" w:rsidRPr="00D97AD9" w:rsidRDefault="00836CA6" w:rsidP="008C1143">
      <w:pPr>
        <w:rPr>
          <w:rFonts w:eastAsia="Arial"/>
          <w:szCs w:val="22"/>
        </w:rPr>
      </w:pPr>
      <w:hyperlink r:id="rId25" w:history="1">
        <w:r w:rsidR="00A9632E" w:rsidRPr="0025115E">
          <w:rPr>
            <w:rStyle w:val="Hypertextovodkaz"/>
            <w:rFonts w:eastAsia="Arial"/>
            <w:color w:val="auto"/>
            <w:szCs w:val="22"/>
          </w:rPr>
          <w:t>Koncepce podpory malých a středních podnikatelů na období let 2014–2020</w:t>
        </w:r>
      </w:hyperlink>
    </w:p>
    <w:p w:rsidR="003B1CBB" w:rsidRPr="00D97AD9" w:rsidRDefault="00836CA6" w:rsidP="008C1143">
      <w:pPr>
        <w:rPr>
          <w:rFonts w:eastAsia="Arial"/>
          <w:szCs w:val="22"/>
        </w:rPr>
      </w:pPr>
      <w:hyperlink r:id="rId26" w:history="1">
        <w:r w:rsidR="00A9632E" w:rsidRPr="0025115E">
          <w:rPr>
            <w:rStyle w:val="Hypertextovodkaz"/>
            <w:rFonts w:eastAsia="Arial"/>
            <w:color w:val="auto"/>
            <w:szCs w:val="22"/>
          </w:rPr>
          <w:t>Státní energetická koncepce České republiky</w:t>
        </w:r>
      </w:hyperlink>
    </w:p>
    <w:p w:rsidR="003B1CBB" w:rsidRPr="00D97AD9" w:rsidRDefault="00836CA6" w:rsidP="008C1143">
      <w:pPr>
        <w:rPr>
          <w:rFonts w:eastAsia="Arial"/>
          <w:szCs w:val="22"/>
        </w:rPr>
      </w:pPr>
      <w:hyperlink r:id="rId27" w:history="1">
        <w:r w:rsidR="00A9632E" w:rsidRPr="0025115E">
          <w:rPr>
            <w:rStyle w:val="Hypertextovodkaz"/>
            <w:rFonts w:eastAsia="Arial"/>
            <w:color w:val="auto"/>
            <w:szCs w:val="22"/>
          </w:rPr>
          <w:t>Národní plán rozvoje sítí nové generace</w:t>
        </w:r>
      </w:hyperlink>
    </w:p>
    <w:p w:rsidR="003B1CBB" w:rsidRPr="00A944D7" w:rsidRDefault="00836CA6" w:rsidP="008C1143">
      <w:pPr>
        <w:rPr>
          <w:rFonts w:eastAsia="Arial"/>
          <w:szCs w:val="22"/>
        </w:rPr>
      </w:pPr>
      <w:hyperlink r:id="rId28" w:history="1">
        <w:r w:rsidR="00A9632E" w:rsidRPr="0025115E">
          <w:rPr>
            <w:rStyle w:val="Hypertextovodkaz"/>
            <w:rFonts w:eastAsia="Arial"/>
            <w:color w:val="auto"/>
            <w:szCs w:val="22"/>
          </w:rPr>
          <w:t>Iniciativa Průmysl 4.0</w:t>
        </w:r>
      </w:hyperlink>
    </w:p>
    <w:p w:rsidR="00A944D7" w:rsidRPr="00721BAF" w:rsidRDefault="00A944D7" w:rsidP="00A944D7">
      <w:pPr>
        <w:rPr>
          <w:rStyle w:val="Hypertextovodkaz"/>
          <w:rFonts w:eastAsia="Arial"/>
          <w:color w:val="auto"/>
          <w:szCs w:val="22"/>
        </w:rPr>
      </w:pPr>
      <w:r w:rsidRPr="00721BAF">
        <w:rPr>
          <w:rStyle w:val="Hypertextovodkaz"/>
          <w:rFonts w:eastAsia="Arial"/>
          <w:color w:val="auto"/>
          <w:szCs w:val="22"/>
        </w:rPr>
        <w:t>Surovinová politika ČR</w:t>
      </w:r>
    </w:p>
    <w:p w:rsidR="00A944D7" w:rsidRPr="00721BAF" w:rsidRDefault="00A944D7" w:rsidP="00A944D7">
      <w:pPr>
        <w:rPr>
          <w:rStyle w:val="Hypertextovodkaz"/>
          <w:rFonts w:eastAsia="Arial"/>
          <w:color w:val="auto"/>
          <w:szCs w:val="22"/>
        </w:rPr>
      </w:pPr>
      <w:r w:rsidRPr="00721BAF">
        <w:rPr>
          <w:rStyle w:val="Hypertextovodkaz"/>
          <w:rFonts w:eastAsia="Arial"/>
          <w:color w:val="auto"/>
          <w:szCs w:val="22"/>
        </w:rPr>
        <w:t>Politika druhotných surovin ČR</w:t>
      </w:r>
    </w:p>
    <w:p w:rsidR="000A5336" w:rsidRPr="00456971" w:rsidRDefault="000A5336" w:rsidP="00A944D7">
      <w:pPr>
        <w:rPr>
          <w:rFonts w:eastAsia="Arial"/>
          <w:szCs w:val="22"/>
          <w:u w:val="single"/>
        </w:rPr>
      </w:pPr>
      <w:r w:rsidRPr="00456971">
        <w:rPr>
          <w:rFonts w:eastAsia="Arial"/>
          <w:szCs w:val="22"/>
          <w:u w:val="single"/>
        </w:rPr>
        <w:t>Národní akční plán pro chytré sítě</w:t>
      </w:r>
    </w:p>
    <w:p w:rsidR="00A944D7" w:rsidRPr="00D97AD9" w:rsidRDefault="00A944D7" w:rsidP="008C1143">
      <w:pPr>
        <w:rPr>
          <w:rFonts w:eastAsia="Arial"/>
          <w:b/>
          <w:szCs w:val="22"/>
        </w:rPr>
      </w:pPr>
    </w:p>
    <w:p w:rsidR="003B1CBB" w:rsidRPr="00D97AD9" w:rsidRDefault="003D2999" w:rsidP="008C1143">
      <w:pPr>
        <w:rPr>
          <w:rFonts w:eastAsia="Arial"/>
          <w:b/>
          <w:szCs w:val="22"/>
        </w:rPr>
      </w:pPr>
      <w:r w:rsidRPr="00D97AD9">
        <w:rPr>
          <w:rFonts w:eastAsia="Arial"/>
          <w:b/>
          <w:szCs w:val="22"/>
        </w:rPr>
        <w:t>MV</w:t>
      </w:r>
    </w:p>
    <w:p w:rsidR="003B1CBB" w:rsidRPr="0025115E" w:rsidRDefault="00836CA6" w:rsidP="008C1143">
      <w:pPr>
        <w:rPr>
          <w:rFonts w:eastAsia="Arial"/>
          <w:szCs w:val="22"/>
          <w:u w:val="single"/>
        </w:rPr>
      </w:pPr>
      <w:hyperlink r:id="rId29" w:history="1">
        <w:r w:rsidR="00A9632E" w:rsidRPr="0025115E">
          <w:rPr>
            <w:rFonts w:eastAsia="Arial"/>
            <w:szCs w:val="22"/>
            <w:u w:val="single"/>
          </w:rPr>
          <w:t>Strategický rámec rozvoje veřejné správy pro období 2014-2020</w:t>
        </w:r>
      </w:hyperlink>
    </w:p>
    <w:p w:rsidR="003B1CBB" w:rsidRPr="0025115E" w:rsidRDefault="00836CA6" w:rsidP="008C1143">
      <w:pPr>
        <w:rPr>
          <w:rFonts w:eastAsia="Arial"/>
          <w:szCs w:val="22"/>
          <w:u w:val="single"/>
        </w:rPr>
      </w:pPr>
      <w:hyperlink r:id="rId30" w:history="1">
        <w:r w:rsidR="00A9632E" w:rsidRPr="0025115E">
          <w:rPr>
            <w:rFonts w:eastAsia="Arial"/>
            <w:szCs w:val="22"/>
            <w:u w:val="single"/>
          </w:rPr>
          <w:t>Strategie rozvoje infrastruktury pro prostorové informace v ČR do roku 2020</w:t>
        </w:r>
      </w:hyperlink>
    </w:p>
    <w:p w:rsidR="003B1CBB" w:rsidRDefault="00836CA6" w:rsidP="008C1143">
      <w:pPr>
        <w:rPr>
          <w:rStyle w:val="Hypertextovodkaz"/>
          <w:color w:val="auto"/>
          <w:szCs w:val="22"/>
        </w:rPr>
      </w:pPr>
      <w:hyperlink r:id="rId31" w:history="1">
        <w:r w:rsidR="00A9632E" w:rsidRPr="0025115E">
          <w:rPr>
            <w:rStyle w:val="Hypertextovodkaz"/>
            <w:color w:val="auto"/>
            <w:szCs w:val="22"/>
          </w:rPr>
          <w:t>Strategie rozvoje ICT služeb veřejné správy ČR (2015)</w:t>
        </w:r>
      </w:hyperlink>
    </w:p>
    <w:p w:rsidR="00780EB6" w:rsidRPr="0025115E" w:rsidRDefault="00780EB6" w:rsidP="008C1143">
      <w:pPr>
        <w:rPr>
          <w:rFonts w:eastAsia="Arial"/>
          <w:szCs w:val="22"/>
          <w:u w:val="single"/>
        </w:rPr>
      </w:pPr>
      <w:r>
        <w:rPr>
          <w:rStyle w:val="Hypertextovodkaz"/>
          <w:color w:val="auto"/>
          <w:szCs w:val="22"/>
        </w:rPr>
        <w:t xml:space="preserve">Strategický rámec Národního </w:t>
      </w:r>
      <w:proofErr w:type="spellStart"/>
      <w:r>
        <w:rPr>
          <w:rStyle w:val="Hypertextovodkaz"/>
          <w:color w:val="auto"/>
          <w:szCs w:val="22"/>
        </w:rPr>
        <w:t>cloud</w:t>
      </w:r>
      <w:proofErr w:type="spellEnd"/>
      <w:r>
        <w:rPr>
          <w:rStyle w:val="Hypertextovodkaz"/>
          <w:color w:val="auto"/>
          <w:szCs w:val="22"/>
        </w:rPr>
        <w:t xml:space="preserve"> </w:t>
      </w:r>
      <w:proofErr w:type="spellStart"/>
      <w:r>
        <w:rPr>
          <w:rStyle w:val="Hypertextovodkaz"/>
          <w:color w:val="auto"/>
          <w:szCs w:val="22"/>
        </w:rPr>
        <w:t>computingu</w:t>
      </w:r>
      <w:proofErr w:type="spellEnd"/>
      <w:r>
        <w:rPr>
          <w:rStyle w:val="Hypertextovodkaz"/>
          <w:color w:val="auto"/>
          <w:szCs w:val="22"/>
        </w:rPr>
        <w:t xml:space="preserve"> – </w:t>
      </w:r>
      <w:proofErr w:type="spellStart"/>
      <w:r>
        <w:rPr>
          <w:rStyle w:val="Hypertextovodkaz"/>
          <w:color w:val="auto"/>
          <w:szCs w:val="22"/>
        </w:rPr>
        <w:t>eGovernment</w:t>
      </w:r>
      <w:proofErr w:type="spellEnd"/>
      <w:r>
        <w:rPr>
          <w:rStyle w:val="Hypertextovodkaz"/>
          <w:color w:val="auto"/>
          <w:szCs w:val="22"/>
        </w:rPr>
        <w:t xml:space="preserve"> </w:t>
      </w:r>
      <w:proofErr w:type="spellStart"/>
      <w:r>
        <w:rPr>
          <w:rStyle w:val="Hypertextovodkaz"/>
          <w:color w:val="auto"/>
          <w:szCs w:val="22"/>
        </w:rPr>
        <w:t>cloud</w:t>
      </w:r>
      <w:proofErr w:type="spellEnd"/>
      <w:r>
        <w:rPr>
          <w:rStyle w:val="Hypertextovodkaz"/>
          <w:color w:val="auto"/>
          <w:szCs w:val="22"/>
        </w:rPr>
        <w:t xml:space="preserve"> ČR</w:t>
      </w:r>
    </w:p>
    <w:p w:rsidR="003B1CBB" w:rsidRPr="00D97AD9" w:rsidRDefault="003B1CBB" w:rsidP="008C1143">
      <w:pPr>
        <w:rPr>
          <w:rFonts w:eastAsia="Arial"/>
          <w:b/>
          <w:szCs w:val="22"/>
        </w:rPr>
      </w:pPr>
    </w:p>
    <w:p w:rsidR="003B1CBB" w:rsidRPr="00D97AD9" w:rsidRDefault="003D2999" w:rsidP="008C1143">
      <w:pPr>
        <w:rPr>
          <w:rFonts w:eastAsia="Arial"/>
          <w:b/>
          <w:szCs w:val="22"/>
        </w:rPr>
      </w:pPr>
      <w:r w:rsidRPr="00D97AD9">
        <w:rPr>
          <w:rFonts w:eastAsia="Arial"/>
          <w:b/>
          <w:szCs w:val="22"/>
        </w:rPr>
        <w:t>MF</w:t>
      </w:r>
    </w:p>
    <w:p w:rsidR="003B1CBB" w:rsidRPr="0025115E" w:rsidRDefault="00836CA6" w:rsidP="008C1143">
      <w:pPr>
        <w:ind w:right="20"/>
        <w:rPr>
          <w:rFonts w:eastAsia="Arial"/>
          <w:szCs w:val="22"/>
          <w:u w:val="single"/>
        </w:rPr>
      </w:pPr>
      <w:hyperlink r:id="rId32" w:history="1">
        <w:r w:rsidR="00A9632E" w:rsidRPr="0025115E">
          <w:rPr>
            <w:rFonts w:eastAsia="Arial"/>
            <w:szCs w:val="22"/>
            <w:u w:val="single"/>
          </w:rPr>
          <w:t>Směrnice č.6/2014 ministra financí – Publikace a katalogizace otevřených dat Ministerstva</w:t>
        </w:r>
      </w:hyperlink>
      <w:r w:rsidR="00780EB6">
        <w:rPr>
          <w:rFonts w:eastAsia="Arial"/>
          <w:szCs w:val="22"/>
          <w:u w:val="single"/>
        </w:rPr>
        <w:t xml:space="preserve"> </w:t>
      </w:r>
      <w:hyperlink r:id="rId33" w:history="1">
        <w:r w:rsidR="00A9632E" w:rsidRPr="0025115E">
          <w:rPr>
            <w:rFonts w:eastAsia="Arial"/>
            <w:szCs w:val="22"/>
            <w:u w:val="single"/>
          </w:rPr>
          <w:t>financí</w:t>
        </w:r>
      </w:hyperlink>
    </w:p>
    <w:p w:rsidR="003B1CBB" w:rsidRPr="00D97AD9" w:rsidRDefault="003B1CBB" w:rsidP="008C1143">
      <w:pPr>
        <w:rPr>
          <w:rFonts w:eastAsia="Arial"/>
          <w:b/>
          <w:szCs w:val="22"/>
        </w:rPr>
      </w:pPr>
    </w:p>
    <w:p w:rsidR="003B1CBB" w:rsidRPr="00D97AD9" w:rsidRDefault="003D2999" w:rsidP="008C1143">
      <w:pPr>
        <w:rPr>
          <w:rFonts w:eastAsia="Arial"/>
          <w:b/>
          <w:szCs w:val="22"/>
        </w:rPr>
      </w:pPr>
      <w:r w:rsidRPr="00D97AD9">
        <w:rPr>
          <w:rFonts w:eastAsia="Arial"/>
          <w:b/>
          <w:szCs w:val="22"/>
        </w:rPr>
        <w:lastRenderedPageBreak/>
        <w:t>MMR</w:t>
      </w:r>
    </w:p>
    <w:p w:rsidR="003B1CBB" w:rsidRPr="00D97AD9" w:rsidRDefault="00836CA6" w:rsidP="008C1143">
      <w:pPr>
        <w:rPr>
          <w:szCs w:val="22"/>
        </w:rPr>
      </w:pPr>
      <w:hyperlink r:id="rId34" w:history="1">
        <w:r w:rsidR="00A9632E" w:rsidRPr="0025115E">
          <w:rPr>
            <w:rStyle w:val="Hypertextovodkaz"/>
            <w:color w:val="auto"/>
            <w:szCs w:val="22"/>
          </w:rPr>
          <w:t>Strategie elektronizace zadávání veřejných zakázek ČR 2016-2020, vyhodnocení efektivity fungování a návrh dalšího postupu využívání elektronických tržišť veřejné správy a návrh povinného používání NEN</w:t>
        </w:r>
      </w:hyperlink>
    </w:p>
    <w:p w:rsidR="003B1CBB" w:rsidRDefault="00836CA6" w:rsidP="008C1143">
      <w:pPr>
        <w:rPr>
          <w:rStyle w:val="Hypertextovodkaz"/>
          <w:color w:val="auto"/>
          <w:szCs w:val="22"/>
        </w:rPr>
      </w:pPr>
      <w:hyperlink r:id="rId35" w:history="1">
        <w:r w:rsidR="00A9632E" w:rsidRPr="0025115E">
          <w:rPr>
            <w:rStyle w:val="Hypertextovodkaz"/>
            <w:color w:val="auto"/>
            <w:szCs w:val="22"/>
          </w:rPr>
          <w:t>Strategie regionálního rozvoje ČR 2014 – 2020</w:t>
        </w:r>
      </w:hyperlink>
    </w:p>
    <w:p w:rsidR="00440E38" w:rsidRPr="002C6294" w:rsidRDefault="00440E38" w:rsidP="008C1143">
      <w:pPr>
        <w:rPr>
          <w:szCs w:val="22"/>
          <w:u w:val="single"/>
        </w:rPr>
      </w:pPr>
      <w:r w:rsidRPr="002C6294">
        <w:rPr>
          <w:szCs w:val="22"/>
          <w:u w:val="single"/>
        </w:rPr>
        <w:t>Politika územního rozvoje České republiky, ve znění Aktualizace č. 1</w:t>
      </w:r>
    </w:p>
    <w:p w:rsidR="003B1CBB" w:rsidRPr="00D97AD9" w:rsidRDefault="00836CA6" w:rsidP="008C1143">
      <w:pPr>
        <w:rPr>
          <w:rFonts w:eastAsia="Arial"/>
          <w:b/>
          <w:szCs w:val="22"/>
        </w:rPr>
      </w:pPr>
      <w:hyperlink r:id="rId36" w:history="1">
        <w:r w:rsidR="00A9632E" w:rsidRPr="0025115E">
          <w:rPr>
            <w:rStyle w:val="Hypertextovodkaz"/>
            <w:color w:val="auto"/>
            <w:szCs w:val="22"/>
          </w:rPr>
          <w:t>Politika architektury a stavební kultury ČR</w:t>
        </w:r>
      </w:hyperlink>
    </w:p>
    <w:p w:rsidR="003B1CBB" w:rsidRPr="00D97AD9" w:rsidRDefault="003B1CBB" w:rsidP="008C1143">
      <w:pPr>
        <w:rPr>
          <w:rFonts w:eastAsia="Arial"/>
          <w:b/>
          <w:szCs w:val="22"/>
        </w:rPr>
      </w:pPr>
    </w:p>
    <w:p w:rsidR="003B1CBB" w:rsidRPr="00D97AD9" w:rsidRDefault="003D2999" w:rsidP="008C1143">
      <w:pPr>
        <w:rPr>
          <w:rFonts w:eastAsia="Arial"/>
          <w:b/>
          <w:szCs w:val="22"/>
        </w:rPr>
      </w:pPr>
      <w:r w:rsidRPr="00D97AD9">
        <w:rPr>
          <w:rFonts w:eastAsia="Arial"/>
          <w:b/>
          <w:szCs w:val="22"/>
        </w:rPr>
        <w:t>MŠMT</w:t>
      </w:r>
    </w:p>
    <w:p w:rsidR="003B1CBB" w:rsidRPr="0025115E" w:rsidRDefault="00836CA6" w:rsidP="008C1143">
      <w:pPr>
        <w:rPr>
          <w:rFonts w:eastAsia="Arial"/>
          <w:szCs w:val="22"/>
          <w:u w:val="single"/>
        </w:rPr>
      </w:pPr>
      <w:hyperlink r:id="rId37" w:history="1">
        <w:r w:rsidR="00A9632E" w:rsidRPr="0025115E">
          <w:rPr>
            <w:rFonts w:eastAsia="Arial"/>
            <w:szCs w:val="22"/>
            <w:u w:val="single"/>
          </w:rPr>
          <w:t>Strategie digitálního vzdělávání do roku 2020</w:t>
        </w:r>
      </w:hyperlink>
    </w:p>
    <w:p w:rsidR="003B1CBB" w:rsidRPr="00D97AD9" w:rsidRDefault="00836CA6" w:rsidP="008C1143">
      <w:pPr>
        <w:rPr>
          <w:szCs w:val="22"/>
        </w:rPr>
      </w:pPr>
      <w:hyperlink r:id="rId38" w:history="1">
        <w:r w:rsidR="00A9632E" w:rsidRPr="0025115E">
          <w:rPr>
            <w:rStyle w:val="Hypertextovodkaz"/>
            <w:color w:val="auto"/>
            <w:szCs w:val="22"/>
          </w:rPr>
          <w:t>Strategický rámec Datové informační politiky resortu 2015+</w:t>
        </w:r>
      </w:hyperlink>
    </w:p>
    <w:p w:rsidR="003B1CBB" w:rsidRPr="00D97AD9" w:rsidRDefault="00836CA6" w:rsidP="008C1143">
      <w:pPr>
        <w:rPr>
          <w:szCs w:val="22"/>
        </w:rPr>
      </w:pPr>
      <w:hyperlink r:id="rId39" w:history="1">
        <w:r w:rsidR="00A9632E" w:rsidRPr="0025115E">
          <w:rPr>
            <w:rStyle w:val="Hypertextovodkaz"/>
            <w:color w:val="auto"/>
            <w:szCs w:val="22"/>
          </w:rPr>
          <w:t>Koncepce podpory mládeže ČR na období 2014-2020</w:t>
        </w:r>
      </w:hyperlink>
    </w:p>
    <w:p w:rsidR="00C438CE" w:rsidRPr="00D97AD9" w:rsidRDefault="00C438CE" w:rsidP="00C438CE">
      <w:pPr>
        <w:rPr>
          <w:szCs w:val="22"/>
        </w:rPr>
      </w:pPr>
      <w:r>
        <w:rPr>
          <w:rStyle w:val="Hypertextovodkaz"/>
          <w:color w:val="auto"/>
          <w:szCs w:val="22"/>
        </w:rPr>
        <w:t>Strategie vzdělávací politiky ČR do roku 2020</w:t>
      </w:r>
    </w:p>
    <w:p w:rsidR="003B1CBB" w:rsidRPr="0025115E" w:rsidRDefault="003B1CBB" w:rsidP="008C1143">
      <w:pPr>
        <w:rPr>
          <w:rFonts w:eastAsia="Arial"/>
          <w:szCs w:val="22"/>
          <w:u w:val="single"/>
        </w:rPr>
      </w:pPr>
    </w:p>
    <w:p w:rsidR="003B1CBB" w:rsidRPr="00D97AD9" w:rsidRDefault="003D2999" w:rsidP="008C1143">
      <w:pPr>
        <w:rPr>
          <w:rFonts w:eastAsia="Arial"/>
          <w:b/>
          <w:szCs w:val="22"/>
        </w:rPr>
      </w:pPr>
      <w:r w:rsidRPr="00D97AD9">
        <w:rPr>
          <w:rFonts w:eastAsia="Arial"/>
          <w:b/>
          <w:szCs w:val="22"/>
        </w:rPr>
        <w:t>MPSV</w:t>
      </w:r>
    </w:p>
    <w:p w:rsidR="00060E86" w:rsidRDefault="00836CA6" w:rsidP="00060E86">
      <w:pPr>
        <w:rPr>
          <w:rFonts w:eastAsia="Arial"/>
          <w:szCs w:val="22"/>
          <w:u w:val="single"/>
        </w:rPr>
      </w:pPr>
      <w:hyperlink r:id="rId40" w:history="1">
        <w:r w:rsidR="00060E86" w:rsidRPr="0025115E">
          <w:rPr>
            <w:rFonts w:eastAsia="Arial"/>
            <w:szCs w:val="22"/>
            <w:u w:val="single"/>
          </w:rPr>
          <w:t xml:space="preserve">Strategie digitální gramotnosti ČR na období 2015 </w:t>
        </w:r>
        <w:r w:rsidR="00060E86">
          <w:rPr>
            <w:rFonts w:eastAsia="Arial"/>
            <w:szCs w:val="22"/>
            <w:u w:val="single"/>
          </w:rPr>
          <w:t>až</w:t>
        </w:r>
        <w:r w:rsidR="00060E86" w:rsidRPr="0025115E">
          <w:rPr>
            <w:rFonts w:eastAsia="Arial"/>
            <w:szCs w:val="22"/>
            <w:u w:val="single"/>
          </w:rPr>
          <w:t xml:space="preserve"> 2020</w:t>
        </w:r>
      </w:hyperlink>
    </w:p>
    <w:p w:rsidR="00060E86" w:rsidRDefault="00060E86" w:rsidP="00060E86">
      <w:pPr>
        <w:rPr>
          <w:rFonts w:eastAsia="Arial"/>
          <w:szCs w:val="22"/>
          <w:u w:val="single"/>
        </w:rPr>
      </w:pPr>
      <w:r w:rsidRPr="00D70569">
        <w:rPr>
          <w:rFonts w:eastAsia="Arial"/>
          <w:szCs w:val="22"/>
          <w:u w:val="single"/>
        </w:rPr>
        <w:t>Strategie politiky zaměstnanosti do roku 2020</w:t>
      </w:r>
    </w:p>
    <w:p w:rsidR="00060E86" w:rsidRPr="0025115E" w:rsidRDefault="00060E86" w:rsidP="00060E86">
      <w:pPr>
        <w:rPr>
          <w:rFonts w:eastAsia="Arial"/>
          <w:szCs w:val="22"/>
          <w:u w:val="single"/>
        </w:rPr>
      </w:pPr>
      <w:r w:rsidRPr="00703111">
        <w:rPr>
          <w:rFonts w:eastAsia="Arial"/>
          <w:szCs w:val="22"/>
          <w:u w:val="single"/>
        </w:rPr>
        <w:t>Analýza nabídky a poptávky na trhu práce</w:t>
      </w:r>
    </w:p>
    <w:p w:rsidR="003B1CBB" w:rsidRPr="00D97AD9" w:rsidRDefault="003B1CBB" w:rsidP="008C1143">
      <w:pPr>
        <w:rPr>
          <w:b/>
          <w:szCs w:val="22"/>
        </w:rPr>
      </w:pPr>
    </w:p>
    <w:p w:rsidR="003B1CBB" w:rsidRPr="00D97AD9" w:rsidRDefault="003D2999" w:rsidP="008C1143">
      <w:pPr>
        <w:rPr>
          <w:b/>
          <w:szCs w:val="22"/>
        </w:rPr>
      </w:pPr>
      <w:proofErr w:type="spellStart"/>
      <w:r w:rsidRPr="00D97AD9">
        <w:rPr>
          <w:b/>
          <w:szCs w:val="22"/>
        </w:rPr>
        <w:t>MZd</w:t>
      </w:r>
      <w:proofErr w:type="spellEnd"/>
    </w:p>
    <w:p w:rsidR="003B1CBB" w:rsidRPr="00D97AD9" w:rsidRDefault="00836CA6" w:rsidP="008C1143">
      <w:pPr>
        <w:rPr>
          <w:szCs w:val="22"/>
        </w:rPr>
      </w:pPr>
      <w:hyperlink r:id="rId41" w:history="1">
        <w:r w:rsidR="00A9632E" w:rsidRPr="0025115E">
          <w:rPr>
            <w:rStyle w:val="Hypertextovodkaz"/>
            <w:color w:val="auto"/>
            <w:szCs w:val="22"/>
          </w:rPr>
          <w:t>Národní strategie pro vzácná onemocnění 2010-2020</w:t>
        </w:r>
      </w:hyperlink>
    </w:p>
    <w:p w:rsidR="003B1CBB" w:rsidRPr="00D97AD9" w:rsidRDefault="00836CA6" w:rsidP="008C1143">
      <w:pPr>
        <w:rPr>
          <w:szCs w:val="22"/>
        </w:rPr>
      </w:pPr>
      <w:hyperlink r:id="rId42" w:history="1">
        <w:r w:rsidR="00A9632E" w:rsidRPr="0025115E">
          <w:rPr>
            <w:rStyle w:val="Hypertextovodkaz"/>
            <w:color w:val="auto"/>
            <w:szCs w:val="22"/>
          </w:rPr>
          <w:t>Zdraví 2020</w:t>
        </w:r>
      </w:hyperlink>
    </w:p>
    <w:p w:rsidR="003B1CBB" w:rsidRPr="00D97AD9" w:rsidRDefault="003B1CBB" w:rsidP="008C1143">
      <w:pPr>
        <w:rPr>
          <w:b/>
          <w:szCs w:val="22"/>
        </w:rPr>
      </w:pPr>
    </w:p>
    <w:p w:rsidR="003B1CBB" w:rsidRPr="00D97AD9" w:rsidRDefault="003D2999" w:rsidP="008C1143">
      <w:pPr>
        <w:rPr>
          <w:b/>
          <w:szCs w:val="22"/>
        </w:rPr>
      </w:pPr>
      <w:r w:rsidRPr="00D97AD9">
        <w:rPr>
          <w:b/>
          <w:szCs w:val="22"/>
        </w:rPr>
        <w:t>MD</w:t>
      </w:r>
    </w:p>
    <w:p w:rsidR="003B1CBB" w:rsidRPr="00D97AD9" w:rsidRDefault="00836CA6" w:rsidP="008C1143">
      <w:pPr>
        <w:jc w:val="left"/>
        <w:rPr>
          <w:szCs w:val="22"/>
        </w:rPr>
      </w:pPr>
      <w:hyperlink r:id="rId43" w:history="1">
        <w:r w:rsidR="00A9632E" w:rsidRPr="0025115E">
          <w:rPr>
            <w:rStyle w:val="Hypertextovodkaz"/>
            <w:color w:val="auto"/>
            <w:szCs w:val="22"/>
          </w:rPr>
          <w:t>Akční plán rozvoje inteligentních dopravních systémů (ITS) v ČR do roku 2020</w:t>
        </w:r>
      </w:hyperlink>
    </w:p>
    <w:p w:rsidR="003B1CBB" w:rsidRPr="00D97AD9" w:rsidRDefault="00836CA6" w:rsidP="008C1143">
      <w:pPr>
        <w:jc w:val="left"/>
        <w:rPr>
          <w:szCs w:val="22"/>
        </w:rPr>
      </w:pPr>
      <w:hyperlink r:id="rId44" w:history="1">
        <w:r w:rsidR="00A9632E" w:rsidRPr="0025115E">
          <w:rPr>
            <w:rStyle w:val="Hypertextovodkaz"/>
            <w:color w:val="auto"/>
            <w:szCs w:val="22"/>
          </w:rPr>
          <w:t>Dopravní politika 2014-2020 s výhledem do roku 2050</w:t>
        </w:r>
      </w:hyperlink>
    </w:p>
    <w:p w:rsidR="003B1CBB" w:rsidRPr="00D97AD9" w:rsidRDefault="003B1CBB" w:rsidP="008C1143">
      <w:pPr>
        <w:rPr>
          <w:b/>
          <w:szCs w:val="22"/>
        </w:rPr>
      </w:pPr>
    </w:p>
    <w:p w:rsidR="003B1CBB" w:rsidRPr="00D97AD9" w:rsidRDefault="003D2999" w:rsidP="008C1143">
      <w:pPr>
        <w:rPr>
          <w:b/>
          <w:szCs w:val="22"/>
        </w:rPr>
      </w:pPr>
      <w:r w:rsidRPr="00D97AD9">
        <w:rPr>
          <w:b/>
          <w:szCs w:val="22"/>
        </w:rPr>
        <w:t>MPŘ VVI</w:t>
      </w:r>
    </w:p>
    <w:p w:rsidR="003B1CBB" w:rsidRPr="00D97AD9" w:rsidRDefault="00836CA6" w:rsidP="008C1143">
      <w:pPr>
        <w:rPr>
          <w:rFonts w:eastAsia="Arial"/>
          <w:szCs w:val="22"/>
        </w:rPr>
      </w:pPr>
      <w:hyperlink r:id="rId45" w:history="1">
        <w:r w:rsidR="00A9632E" w:rsidRPr="0025115E">
          <w:rPr>
            <w:rStyle w:val="Hypertextovodkaz"/>
            <w:rFonts w:eastAsia="Arial"/>
            <w:color w:val="auto"/>
            <w:szCs w:val="22"/>
          </w:rPr>
          <w:t>Národní výzkumná a inovační strategie pro inteligentní specializaci (Národní RIS 3)</w:t>
        </w:r>
      </w:hyperlink>
    </w:p>
    <w:p w:rsidR="003B1CBB" w:rsidRPr="00D97AD9" w:rsidRDefault="00836CA6" w:rsidP="008C1143">
      <w:pPr>
        <w:rPr>
          <w:rFonts w:eastAsia="Arial"/>
          <w:szCs w:val="22"/>
        </w:rPr>
      </w:pPr>
      <w:hyperlink r:id="rId46" w:history="1">
        <w:r w:rsidR="00A9632E" w:rsidRPr="0025115E">
          <w:rPr>
            <w:rStyle w:val="Hypertextovodkaz"/>
            <w:rFonts w:eastAsia="Arial"/>
            <w:color w:val="auto"/>
            <w:szCs w:val="22"/>
          </w:rPr>
          <w:t>Koncepce Informačního systému výzkumu, experimentálního vývoje a inovací 2016-2020</w:t>
        </w:r>
      </w:hyperlink>
    </w:p>
    <w:p w:rsidR="003B1CBB" w:rsidRPr="00D97AD9" w:rsidRDefault="00836CA6" w:rsidP="008C1143">
      <w:pPr>
        <w:rPr>
          <w:rFonts w:eastAsia="Arial"/>
          <w:szCs w:val="22"/>
        </w:rPr>
      </w:pPr>
      <w:hyperlink r:id="rId47" w:history="1">
        <w:r w:rsidR="00A9632E" w:rsidRPr="0025115E">
          <w:rPr>
            <w:rStyle w:val="Hypertextovodkaz"/>
            <w:rFonts w:eastAsia="Arial"/>
            <w:color w:val="auto"/>
            <w:szCs w:val="22"/>
          </w:rPr>
          <w:t>Národní politika výzkumu, vývoje a inovací ČR 2016-2020</w:t>
        </w:r>
      </w:hyperlink>
    </w:p>
    <w:p w:rsidR="003B1CBB" w:rsidRPr="00D97AD9" w:rsidRDefault="003B1CBB" w:rsidP="008C1143">
      <w:pPr>
        <w:rPr>
          <w:b/>
          <w:szCs w:val="22"/>
        </w:rPr>
      </w:pPr>
    </w:p>
    <w:p w:rsidR="003B1CBB" w:rsidRPr="00D97AD9" w:rsidRDefault="003D2999" w:rsidP="008C1143">
      <w:pPr>
        <w:rPr>
          <w:b/>
          <w:szCs w:val="22"/>
        </w:rPr>
      </w:pPr>
      <w:proofErr w:type="spellStart"/>
      <w:r w:rsidRPr="00D97AD9">
        <w:rPr>
          <w:b/>
          <w:szCs w:val="22"/>
        </w:rPr>
        <w:t>MZe</w:t>
      </w:r>
      <w:proofErr w:type="spellEnd"/>
    </w:p>
    <w:p w:rsidR="003B1CBB" w:rsidRPr="00D97AD9" w:rsidRDefault="00836CA6" w:rsidP="008C1143">
      <w:pPr>
        <w:rPr>
          <w:szCs w:val="22"/>
        </w:rPr>
      </w:pPr>
      <w:hyperlink r:id="rId48" w:history="1">
        <w:r w:rsidR="00A9632E" w:rsidRPr="0025115E">
          <w:rPr>
            <w:rStyle w:val="Hypertextovodkaz"/>
            <w:color w:val="auto"/>
            <w:szCs w:val="22"/>
          </w:rPr>
          <w:t>Strategie bezpečnosti potravin a výživy 2014-2020</w:t>
        </w:r>
      </w:hyperlink>
    </w:p>
    <w:p w:rsidR="003B1CBB" w:rsidRPr="00D97AD9" w:rsidRDefault="00836CA6" w:rsidP="008C1143">
      <w:pPr>
        <w:rPr>
          <w:szCs w:val="22"/>
        </w:rPr>
      </w:pPr>
      <w:hyperlink r:id="rId49" w:history="1">
        <w:r w:rsidR="00A9632E" w:rsidRPr="0025115E">
          <w:rPr>
            <w:rStyle w:val="Hypertextovodkaz"/>
            <w:color w:val="auto"/>
            <w:szCs w:val="22"/>
          </w:rPr>
          <w:t>Víceletý národní strategický plán ČR pro akvakulturu (2014)</w:t>
        </w:r>
      </w:hyperlink>
    </w:p>
    <w:p w:rsidR="003B1CBB" w:rsidRPr="00D97AD9" w:rsidRDefault="003B1CBB" w:rsidP="008C1143">
      <w:pPr>
        <w:rPr>
          <w:szCs w:val="22"/>
        </w:rPr>
      </w:pPr>
    </w:p>
    <w:p w:rsidR="003B1CBB" w:rsidRPr="00D97AD9" w:rsidRDefault="003D2999" w:rsidP="008C1143">
      <w:pPr>
        <w:rPr>
          <w:b/>
          <w:szCs w:val="22"/>
        </w:rPr>
      </w:pPr>
      <w:r w:rsidRPr="00D97AD9">
        <w:rPr>
          <w:b/>
          <w:szCs w:val="22"/>
        </w:rPr>
        <w:t>MŽP</w:t>
      </w:r>
    </w:p>
    <w:p w:rsidR="003B1CBB" w:rsidRPr="002C6294" w:rsidRDefault="003D2999" w:rsidP="008C1143">
      <w:pPr>
        <w:rPr>
          <w:szCs w:val="22"/>
          <w:u w:val="single"/>
        </w:rPr>
      </w:pPr>
      <w:r w:rsidRPr="002C6294">
        <w:rPr>
          <w:szCs w:val="22"/>
          <w:u w:val="single"/>
        </w:rPr>
        <w:t xml:space="preserve">Plány pro zvládání povodňových rizik ČR (povodí </w:t>
      </w:r>
      <w:hyperlink r:id="rId50" w:history="1">
        <w:r w:rsidR="00A9632E" w:rsidRPr="002C6294">
          <w:rPr>
            <w:rStyle w:val="Hypertextovodkaz"/>
            <w:color w:val="auto"/>
            <w:szCs w:val="22"/>
          </w:rPr>
          <w:t>Labe</w:t>
        </w:r>
      </w:hyperlink>
      <w:r w:rsidRPr="002C6294">
        <w:rPr>
          <w:szCs w:val="22"/>
          <w:u w:val="single"/>
        </w:rPr>
        <w:t xml:space="preserve">, </w:t>
      </w:r>
      <w:hyperlink r:id="rId51" w:history="1">
        <w:r w:rsidR="00A9632E" w:rsidRPr="002C6294">
          <w:rPr>
            <w:rStyle w:val="Hypertextovodkaz"/>
            <w:color w:val="auto"/>
            <w:szCs w:val="22"/>
          </w:rPr>
          <w:t>Odra</w:t>
        </w:r>
      </w:hyperlink>
      <w:r w:rsidRPr="002C6294">
        <w:rPr>
          <w:szCs w:val="22"/>
          <w:u w:val="single"/>
        </w:rPr>
        <w:t xml:space="preserve">, </w:t>
      </w:r>
      <w:hyperlink r:id="rId52" w:history="1">
        <w:r w:rsidR="00A9632E" w:rsidRPr="002C6294">
          <w:rPr>
            <w:rStyle w:val="Hypertextovodkaz"/>
            <w:color w:val="auto"/>
            <w:szCs w:val="22"/>
          </w:rPr>
          <w:t>Dunaj</w:t>
        </w:r>
      </w:hyperlink>
      <w:r w:rsidRPr="002C6294">
        <w:rPr>
          <w:szCs w:val="22"/>
          <w:u w:val="single"/>
        </w:rPr>
        <w:t>)</w:t>
      </w:r>
    </w:p>
    <w:p w:rsidR="003B1CBB" w:rsidRPr="00D97AD9" w:rsidRDefault="003B1CBB" w:rsidP="008C1143">
      <w:pPr>
        <w:rPr>
          <w:b/>
          <w:szCs w:val="22"/>
        </w:rPr>
      </w:pPr>
    </w:p>
    <w:p w:rsidR="003B1CBB" w:rsidRPr="00D97AD9" w:rsidRDefault="003D2999" w:rsidP="008C1143">
      <w:pPr>
        <w:rPr>
          <w:b/>
          <w:szCs w:val="22"/>
        </w:rPr>
      </w:pPr>
      <w:proofErr w:type="spellStart"/>
      <w:r w:rsidRPr="00D97AD9">
        <w:rPr>
          <w:b/>
          <w:szCs w:val="22"/>
        </w:rPr>
        <w:t>MSp</w:t>
      </w:r>
      <w:proofErr w:type="spellEnd"/>
    </w:p>
    <w:p w:rsidR="003B1CBB" w:rsidRPr="00D97AD9" w:rsidRDefault="00836CA6" w:rsidP="008C1143">
      <w:pPr>
        <w:rPr>
          <w:szCs w:val="22"/>
        </w:rPr>
      </w:pPr>
      <w:hyperlink r:id="rId53" w:history="1">
        <w:r w:rsidR="00A9632E" w:rsidRPr="0025115E">
          <w:rPr>
            <w:rStyle w:val="Hypertextovodkaz"/>
            <w:color w:val="auto"/>
            <w:szCs w:val="22"/>
          </w:rPr>
          <w:t xml:space="preserve">Resortní strategie pro rozvoj </w:t>
        </w:r>
        <w:proofErr w:type="spellStart"/>
        <w:r w:rsidR="00A9632E" w:rsidRPr="0025115E">
          <w:rPr>
            <w:rStyle w:val="Hypertextovodkaz"/>
            <w:color w:val="auto"/>
            <w:szCs w:val="22"/>
          </w:rPr>
          <w:t>eJustice</w:t>
        </w:r>
        <w:proofErr w:type="spellEnd"/>
      </w:hyperlink>
    </w:p>
    <w:p w:rsidR="003B1CBB" w:rsidRPr="00D97AD9" w:rsidRDefault="00836CA6" w:rsidP="008C1143">
      <w:pPr>
        <w:rPr>
          <w:szCs w:val="22"/>
        </w:rPr>
      </w:pPr>
      <w:hyperlink r:id="rId54" w:history="1">
        <w:r w:rsidR="00A9632E" w:rsidRPr="0025115E">
          <w:rPr>
            <w:rStyle w:val="Hypertextovodkaz"/>
            <w:color w:val="auto"/>
            <w:szCs w:val="22"/>
          </w:rPr>
          <w:t>Koncepce vězeňství do roku 2025</w:t>
        </w:r>
      </w:hyperlink>
    </w:p>
    <w:p w:rsidR="003B1CBB" w:rsidRPr="0025115E" w:rsidRDefault="003B1CBB" w:rsidP="008C1143">
      <w:pPr>
        <w:rPr>
          <w:rFonts w:eastAsia="Arial"/>
          <w:szCs w:val="22"/>
          <w:u w:val="single"/>
        </w:rPr>
      </w:pPr>
    </w:p>
    <w:p w:rsidR="003B1CBB" w:rsidRPr="00D97AD9" w:rsidRDefault="003D2999" w:rsidP="008C1143">
      <w:pPr>
        <w:rPr>
          <w:rFonts w:eastAsia="Arial"/>
          <w:b/>
          <w:szCs w:val="22"/>
        </w:rPr>
      </w:pPr>
      <w:r w:rsidRPr="00D97AD9">
        <w:rPr>
          <w:rFonts w:eastAsia="Arial"/>
          <w:b/>
          <w:szCs w:val="22"/>
        </w:rPr>
        <w:t>MK</w:t>
      </w:r>
    </w:p>
    <w:p w:rsidR="003B1CBB" w:rsidRPr="0025115E" w:rsidRDefault="00836CA6" w:rsidP="008C1143">
      <w:pPr>
        <w:ind w:right="-6"/>
        <w:rPr>
          <w:rFonts w:eastAsia="Arial"/>
          <w:szCs w:val="22"/>
          <w:u w:val="single"/>
        </w:rPr>
      </w:pPr>
      <w:hyperlink r:id="rId55" w:history="1">
        <w:r w:rsidR="00A9632E" w:rsidRPr="0025115E">
          <w:rPr>
            <w:rStyle w:val="Hypertextovodkaz"/>
            <w:rFonts w:eastAsia="Arial"/>
            <w:color w:val="auto"/>
            <w:szCs w:val="22"/>
          </w:rPr>
          <w:t xml:space="preserve">Koncepce rozvoje knihoven na léta 2011 - 2015 včetně </w:t>
        </w:r>
        <w:proofErr w:type="spellStart"/>
        <w:r w:rsidR="00A9632E" w:rsidRPr="0025115E">
          <w:rPr>
            <w:rStyle w:val="Hypertextovodkaz"/>
            <w:rFonts w:eastAsia="Arial"/>
            <w:color w:val="auto"/>
            <w:szCs w:val="22"/>
          </w:rPr>
          <w:t>internetizace</w:t>
        </w:r>
        <w:proofErr w:type="spellEnd"/>
        <w:r w:rsidR="00A9632E" w:rsidRPr="0025115E">
          <w:rPr>
            <w:rStyle w:val="Hypertextovodkaz"/>
            <w:rFonts w:eastAsia="Arial"/>
            <w:color w:val="auto"/>
            <w:szCs w:val="22"/>
          </w:rPr>
          <w:t xml:space="preserve"> knihoven</w:t>
        </w:r>
      </w:hyperlink>
    </w:p>
    <w:p w:rsidR="003B1CBB" w:rsidRPr="0025115E" w:rsidRDefault="00836CA6" w:rsidP="008C1143">
      <w:pPr>
        <w:ind w:right="-6"/>
        <w:rPr>
          <w:rStyle w:val="Hypertextovodkaz"/>
          <w:rFonts w:eastAsia="Arial"/>
          <w:color w:val="auto"/>
          <w:szCs w:val="22"/>
        </w:rPr>
      </w:pPr>
      <w:r w:rsidRPr="0025115E">
        <w:rPr>
          <w:rFonts w:eastAsia="Arial"/>
          <w:szCs w:val="22"/>
          <w:u w:val="single"/>
        </w:rPr>
        <w:fldChar w:fldCharType="begin"/>
      </w:r>
      <w:r w:rsidR="00A9632E" w:rsidRPr="0025115E">
        <w:rPr>
          <w:rFonts w:eastAsia="Arial"/>
          <w:szCs w:val="22"/>
          <w:u w:val="single"/>
        </w:rPr>
        <w:instrText xml:space="preserve"> HYPERLINK "http://ipk.nkp.cz/docs/koncepce/Digitalizace-kulturniho-obsahu_DEF.doc" </w:instrText>
      </w:r>
      <w:r w:rsidRPr="0025115E">
        <w:rPr>
          <w:rFonts w:eastAsia="Arial"/>
          <w:szCs w:val="22"/>
          <w:u w:val="single"/>
        </w:rPr>
        <w:fldChar w:fldCharType="separate"/>
      </w:r>
      <w:r w:rsidR="00A9632E" w:rsidRPr="0025115E">
        <w:rPr>
          <w:rStyle w:val="Hypertextovodkaz"/>
          <w:rFonts w:eastAsia="Arial"/>
          <w:color w:val="auto"/>
          <w:szCs w:val="22"/>
        </w:rPr>
        <w:t>Strategie digitalizace kulturního obsahu 2013 až 2020</w:t>
      </w:r>
    </w:p>
    <w:p w:rsidR="003B1CBB" w:rsidRPr="0025115E" w:rsidRDefault="00836CA6" w:rsidP="008C1143">
      <w:pPr>
        <w:rPr>
          <w:rFonts w:eastAsia="Arial"/>
          <w:szCs w:val="22"/>
          <w:u w:val="single"/>
        </w:rPr>
      </w:pPr>
      <w:r w:rsidRPr="0025115E">
        <w:rPr>
          <w:rFonts w:eastAsia="Arial"/>
          <w:szCs w:val="22"/>
          <w:u w:val="single"/>
        </w:rPr>
        <w:fldChar w:fldCharType="end"/>
      </w:r>
      <w:hyperlink r:id="rId56" w:history="1">
        <w:r w:rsidR="00A9632E" w:rsidRPr="0025115E">
          <w:rPr>
            <w:rFonts w:eastAsia="Arial"/>
            <w:szCs w:val="22"/>
            <w:u w:val="single"/>
          </w:rPr>
          <w:t>Státní kulturní politika 2015 až 2020</w:t>
        </w:r>
      </w:hyperlink>
    </w:p>
    <w:p w:rsidR="003B1CBB" w:rsidRPr="00D97AD9" w:rsidRDefault="00836CA6" w:rsidP="008C1143">
      <w:pPr>
        <w:rPr>
          <w:szCs w:val="22"/>
        </w:rPr>
      </w:pPr>
      <w:hyperlink r:id="rId57" w:history="1">
        <w:r w:rsidR="00A9632E" w:rsidRPr="0025115E">
          <w:rPr>
            <w:rStyle w:val="Hypertextovodkaz"/>
            <w:color w:val="auto"/>
            <w:szCs w:val="22"/>
          </w:rPr>
          <w:t>Integrovaná strategie podpory kultury v ČR do roku 2020</w:t>
        </w:r>
      </w:hyperlink>
    </w:p>
    <w:p w:rsidR="003B1CBB" w:rsidRPr="00D97AD9" w:rsidRDefault="00836CA6" w:rsidP="008C1143">
      <w:pPr>
        <w:rPr>
          <w:szCs w:val="22"/>
        </w:rPr>
      </w:pPr>
      <w:hyperlink r:id="rId58" w:history="1">
        <w:r w:rsidR="00A9632E" w:rsidRPr="0025115E">
          <w:rPr>
            <w:rStyle w:val="Hypertextovodkaz"/>
            <w:color w:val="auto"/>
            <w:szCs w:val="22"/>
          </w:rPr>
          <w:t>Koncepce památkové péče v ČR 2011-2016</w:t>
        </w:r>
      </w:hyperlink>
    </w:p>
    <w:p w:rsidR="003B1CBB" w:rsidRPr="0025115E" w:rsidRDefault="00836CA6" w:rsidP="008C1143">
      <w:pPr>
        <w:rPr>
          <w:rStyle w:val="Hypertextovodkaz"/>
          <w:rFonts w:eastAsia="Arial"/>
          <w:color w:val="auto"/>
          <w:szCs w:val="22"/>
        </w:rPr>
      </w:pPr>
      <w:r w:rsidRPr="0025115E">
        <w:rPr>
          <w:rStyle w:val="Hypertextovodkaz"/>
          <w:rFonts w:eastAsia="Arial"/>
          <w:color w:val="auto"/>
          <w:szCs w:val="22"/>
        </w:rPr>
        <w:fldChar w:fldCharType="begin"/>
      </w:r>
      <w:r w:rsidR="00A9632E" w:rsidRPr="0025115E">
        <w:rPr>
          <w:rStyle w:val="Hypertextovodkaz"/>
          <w:rFonts w:eastAsia="Arial"/>
          <w:color w:val="auto"/>
          <w:szCs w:val="22"/>
        </w:rPr>
        <w:instrText xml:space="preserve"> HYPERLINK "https://www.google.cz/url?sa=t&amp;rct=j&amp;q=&amp;esrc=s&amp;source=web&amp;cd=1&amp;cad=rja&amp;uact=8&amp;ved=0ahUKEwjOwsnzx4DRAhXIZCwKHZTkD1gQFggZMAA&amp;url=https%3A%2F%2Fwww.mkcr.cz%2Fdoc%2Fcms_library%2Fkoncepce-podpory-a-rozvoje-ceske-kinematografie-2011-2016-1548.pdf&amp;usg=AFQjCNF6rKWoY1g812QjUH71O1zP4aFnww&amp;sig2=l4cWAFeV8qaSojALScmbIQ&amp;bvm=bv.142059868,d.bGg" </w:instrText>
      </w:r>
      <w:r w:rsidRPr="0025115E">
        <w:rPr>
          <w:rStyle w:val="Hypertextovodkaz"/>
          <w:rFonts w:eastAsia="Arial"/>
          <w:color w:val="auto"/>
          <w:szCs w:val="22"/>
        </w:rPr>
        <w:fldChar w:fldCharType="separate"/>
      </w:r>
      <w:r w:rsidR="00A9632E" w:rsidRPr="0025115E">
        <w:rPr>
          <w:rStyle w:val="Hypertextovodkaz"/>
          <w:rFonts w:eastAsia="Arial"/>
          <w:color w:val="auto"/>
          <w:szCs w:val="22"/>
        </w:rPr>
        <w:t>Koncepce podpory a rozvoje české kinematografie a filmového průmyslu 2011-2016</w:t>
      </w:r>
    </w:p>
    <w:p w:rsidR="003B1CBB" w:rsidRPr="00D97AD9" w:rsidRDefault="00836CA6" w:rsidP="008C1143">
      <w:pPr>
        <w:rPr>
          <w:szCs w:val="22"/>
        </w:rPr>
      </w:pPr>
      <w:r w:rsidRPr="0025115E">
        <w:rPr>
          <w:rStyle w:val="Hypertextovodkaz"/>
          <w:rFonts w:eastAsia="Arial"/>
          <w:color w:val="auto"/>
          <w:szCs w:val="22"/>
        </w:rPr>
        <w:fldChar w:fldCharType="end"/>
      </w:r>
      <w:hyperlink r:id="rId59" w:history="1">
        <w:r w:rsidR="00A9632E" w:rsidRPr="0025115E">
          <w:rPr>
            <w:rStyle w:val="Hypertextovodkaz"/>
            <w:color w:val="auto"/>
            <w:szCs w:val="22"/>
          </w:rPr>
          <w:t>Koncepce podpory umění v ČR 2015-2020</w:t>
        </w:r>
      </w:hyperlink>
    </w:p>
    <w:p w:rsidR="003B1CBB" w:rsidRPr="00D97AD9" w:rsidRDefault="00836CA6" w:rsidP="008C1143">
      <w:pPr>
        <w:rPr>
          <w:szCs w:val="22"/>
        </w:rPr>
      </w:pPr>
      <w:hyperlink r:id="rId60" w:history="1">
        <w:r w:rsidR="00A9632E" w:rsidRPr="0025115E">
          <w:rPr>
            <w:rStyle w:val="Hypertextovodkaz"/>
            <w:color w:val="auto"/>
            <w:szCs w:val="22"/>
          </w:rPr>
          <w:t>Koncepce rozvoje muzejnictví v ČR 2015-2020</w:t>
        </w:r>
      </w:hyperlink>
    </w:p>
    <w:p w:rsidR="003B1CBB" w:rsidRPr="0025115E" w:rsidRDefault="00836CA6" w:rsidP="008C1143">
      <w:pPr>
        <w:rPr>
          <w:rFonts w:eastAsia="Arial"/>
          <w:szCs w:val="22"/>
          <w:u w:val="single"/>
        </w:rPr>
      </w:pPr>
      <w:hyperlink r:id="rId61" w:history="1">
        <w:r w:rsidR="00A9632E" w:rsidRPr="0025115E">
          <w:rPr>
            <w:rStyle w:val="Hypertextovodkaz"/>
            <w:color w:val="auto"/>
            <w:szCs w:val="22"/>
          </w:rPr>
          <w:t>Strategie ICT Ministerstva kultury ČR 2015-2020</w:t>
        </w:r>
      </w:hyperlink>
    </w:p>
    <w:p w:rsidR="003B1CBB" w:rsidRPr="00D97AD9" w:rsidRDefault="003B1CBB" w:rsidP="008C1143">
      <w:pPr>
        <w:rPr>
          <w:rFonts w:eastAsia="Arial"/>
          <w:b/>
          <w:szCs w:val="22"/>
        </w:rPr>
      </w:pPr>
    </w:p>
    <w:p w:rsidR="003B1CBB" w:rsidRPr="00D97AD9" w:rsidRDefault="003D2999" w:rsidP="008C1143">
      <w:pPr>
        <w:rPr>
          <w:rFonts w:eastAsia="Arial"/>
          <w:b/>
          <w:szCs w:val="22"/>
        </w:rPr>
      </w:pPr>
      <w:r w:rsidRPr="00D97AD9">
        <w:rPr>
          <w:rFonts w:eastAsia="Arial"/>
          <w:b/>
          <w:szCs w:val="22"/>
        </w:rPr>
        <w:t>ÚV – Legislativní rada vlády</w:t>
      </w:r>
    </w:p>
    <w:p w:rsidR="003B1CBB" w:rsidRPr="0025115E" w:rsidRDefault="00836CA6" w:rsidP="008C1143">
      <w:pPr>
        <w:rPr>
          <w:rFonts w:eastAsia="Arial"/>
          <w:szCs w:val="22"/>
          <w:u w:val="single"/>
        </w:rPr>
      </w:pPr>
      <w:hyperlink r:id="rId62" w:history="1">
        <w:r w:rsidR="00A9632E" w:rsidRPr="0025115E">
          <w:rPr>
            <w:rFonts w:eastAsia="Arial"/>
            <w:szCs w:val="22"/>
            <w:u w:val="single"/>
          </w:rPr>
          <w:t>Obecné zásady pro hodnocení dopadů regulace</w:t>
        </w:r>
      </w:hyperlink>
    </w:p>
    <w:p w:rsidR="003B1CBB" w:rsidRPr="00D97AD9" w:rsidRDefault="003D2999" w:rsidP="008C1143">
      <w:pPr>
        <w:rPr>
          <w:rFonts w:eastAsia="Arial"/>
          <w:b/>
          <w:szCs w:val="22"/>
        </w:rPr>
      </w:pPr>
      <w:r w:rsidRPr="00D97AD9">
        <w:rPr>
          <w:rFonts w:eastAsia="Arial"/>
          <w:b/>
          <w:szCs w:val="22"/>
        </w:rPr>
        <w:t>ÚV</w:t>
      </w:r>
    </w:p>
    <w:p w:rsidR="003B1CBB" w:rsidRPr="0025115E" w:rsidRDefault="00836CA6" w:rsidP="008C1143">
      <w:pPr>
        <w:rPr>
          <w:rFonts w:eastAsia="Arial"/>
          <w:szCs w:val="22"/>
          <w:u w:val="single"/>
        </w:rPr>
      </w:pPr>
      <w:hyperlink r:id="rId63" w:history="1">
        <w:r w:rsidR="00A9632E" w:rsidRPr="0025115E">
          <w:rPr>
            <w:rStyle w:val="Hypertextovodkaz"/>
            <w:rFonts w:eastAsia="Arial"/>
            <w:color w:val="auto"/>
            <w:szCs w:val="22"/>
          </w:rPr>
          <w:t>Národní plán rovných příležitostí pro osoby se zdravotním postižením na léta 2015 až 2020</w:t>
        </w:r>
      </w:hyperlink>
    </w:p>
    <w:p w:rsidR="003B1CBB" w:rsidRPr="00D97AD9" w:rsidRDefault="003B1CBB" w:rsidP="008C1143">
      <w:pPr>
        <w:rPr>
          <w:rFonts w:eastAsia="Arial"/>
          <w:b/>
          <w:szCs w:val="22"/>
        </w:rPr>
      </w:pPr>
    </w:p>
    <w:p w:rsidR="003B1CBB" w:rsidRPr="00D97AD9" w:rsidRDefault="00C75487" w:rsidP="008C1143">
      <w:pPr>
        <w:rPr>
          <w:rFonts w:eastAsia="Arial"/>
          <w:b/>
          <w:szCs w:val="22"/>
        </w:rPr>
      </w:pPr>
      <w:r>
        <w:rPr>
          <w:rFonts w:eastAsia="Arial"/>
          <w:b/>
          <w:szCs w:val="22"/>
        </w:rPr>
        <w:t>NÚKIB</w:t>
      </w:r>
    </w:p>
    <w:p w:rsidR="003B1CBB" w:rsidRPr="0025115E" w:rsidRDefault="00836CA6" w:rsidP="008C1143">
      <w:pPr>
        <w:rPr>
          <w:rFonts w:eastAsia="Arial"/>
          <w:szCs w:val="22"/>
          <w:u w:val="single"/>
        </w:rPr>
      </w:pPr>
      <w:hyperlink r:id="rId64" w:history="1">
        <w:r w:rsidR="00A9632E" w:rsidRPr="0025115E">
          <w:rPr>
            <w:rFonts w:eastAsia="Arial"/>
            <w:szCs w:val="22"/>
            <w:u w:val="single"/>
          </w:rPr>
          <w:t>Národní strategie kybernetické bezpečnosti České republiky na období let 2015 až 2020</w:t>
        </w:r>
      </w:hyperlink>
      <w:r w:rsidR="003D2999" w:rsidRPr="0025115E">
        <w:rPr>
          <w:rFonts w:eastAsia="Arial"/>
          <w:szCs w:val="22"/>
        </w:rPr>
        <w:t>+</w:t>
      </w:r>
      <w:hyperlink r:id="rId65" w:history="1">
        <w:r w:rsidR="00A9632E" w:rsidRPr="0025115E">
          <w:rPr>
            <w:rFonts w:eastAsia="Arial"/>
            <w:szCs w:val="22"/>
            <w:u w:val="single"/>
          </w:rPr>
          <w:t>Akční plán k Národní strategii kybernetické bezpečnosti České republiky na období let 2015</w:t>
        </w:r>
      </w:hyperlink>
      <w:hyperlink r:id="rId66" w:history="1">
        <w:r w:rsidR="00A9632E" w:rsidRPr="0025115E">
          <w:rPr>
            <w:rFonts w:eastAsia="Arial"/>
            <w:szCs w:val="22"/>
            <w:u w:val="single"/>
          </w:rPr>
          <w:t>až 2020</w:t>
        </w:r>
      </w:hyperlink>
    </w:p>
    <w:p w:rsidR="003B1CBB" w:rsidRPr="00D97AD9" w:rsidRDefault="003B1CBB" w:rsidP="008C1143">
      <w:pPr>
        <w:rPr>
          <w:b/>
          <w:szCs w:val="22"/>
        </w:rPr>
      </w:pPr>
    </w:p>
    <w:p w:rsidR="003B1CBB" w:rsidRPr="00D97AD9" w:rsidRDefault="003D2999" w:rsidP="008C1143">
      <w:pPr>
        <w:rPr>
          <w:b/>
          <w:szCs w:val="22"/>
        </w:rPr>
      </w:pPr>
      <w:r w:rsidRPr="00D97AD9">
        <w:rPr>
          <w:b/>
          <w:szCs w:val="22"/>
        </w:rPr>
        <w:t>ČTÚ</w:t>
      </w:r>
    </w:p>
    <w:p w:rsidR="003B1CBB" w:rsidRDefault="00836CA6" w:rsidP="008C1143">
      <w:pPr>
        <w:rPr>
          <w:b/>
          <w:szCs w:val="22"/>
        </w:rPr>
      </w:pPr>
      <w:hyperlink r:id="rId67" w:history="1">
        <w:r w:rsidR="00A9632E" w:rsidRPr="0025115E">
          <w:rPr>
            <w:rStyle w:val="Hypertextovodkaz"/>
            <w:color w:val="auto"/>
            <w:szCs w:val="22"/>
          </w:rPr>
          <w:t>Strategie správy rádiového spektra</w:t>
        </w:r>
      </w:hyperlink>
    </w:p>
    <w:p w:rsidR="002C6294" w:rsidRPr="002C6294" w:rsidRDefault="002C6294" w:rsidP="008C1143">
      <w:pPr>
        <w:rPr>
          <w:b/>
          <w:szCs w:val="22"/>
        </w:rPr>
      </w:pPr>
    </w:p>
    <w:p w:rsidR="003B1CBB" w:rsidRPr="00D97AD9" w:rsidRDefault="003D2999" w:rsidP="008C1143">
      <w:pPr>
        <w:pStyle w:val="Plnovanopaten"/>
        <w:spacing w:before="0" w:after="120"/>
      </w:pPr>
      <w:r w:rsidRPr="00D97AD9">
        <w:t>Dokumenty na úrovni územní samosprávy:</w:t>
      </w:r>
    </w:p>
    <w:p w:rsidR="00054B82" w:rsidRPr="003B05E8" w:rsidRDefault="00A9632E" w:rsidP="003B05E8">
      <w:pPr>
        <w:ind w:right="120"/>
        <w:rPr>
          <w:rFonts w:eastAsia="Arial"/>
          <w:szCs w:val="22"/>
          <w:u w:val="single"/>
        </w:rPr>
      </w:pPr>
      <w:r w:rsidRPr="0025115E">
        <w:rPr>
          <w:rFonts w:eastAsia="Arial"/>
          <w:szCs w:val="22"/>
          <w:u w:val="single"/>
        </w:rPr>
        <w:t>Strategie rozvoje informačních a komunikačních technologií (ICT) regionů ČR v letech 2013 - 2020 (Digitální strategie krajů)</w:t>
      </w:r>
    </w:p>
    <w:p w:rsidR="006C5FEF" w:rsidRPr="00D97AD9" w:rsidRDefault="006C5FEF">
      <w:pPr>
        <w:pStyle w:val="Nadpis1"/>
        <w:sectPr w:rsidR="006C5FEF" w:rsidRPr="00D97AD9">
          <w:pgSz w:w="11906" w:h="16838"/>
          <w:pgMar w:top="1417" w:right="1417" w:bottom="1417" w:left="1417" w:header="708" w:footer="708" w:gutter="0"/>
          <w:cols w:space="708"/>
          <w:docGrid w:linePitch="360"/>
        </w:sectPr>
      </w:pPr>
    </w:p>
    <w:p w:rsidR="00296AD0" w:rsidRDefault="003D2999" w:rsidP="00456971">
      <w:pPr>
        <w:pStyle w:val="Nadpis1"/>
      </w:pPr>
      <w:bookmarkStart w:id="128" w:name="_Toc491356001"/>
      <w:r w:rsidRPr="00320BC4">
        <w:lastRenderedPageBreak/>
        <w:t xml:space="preserve">PŘÍLOHA 2: PŘEHLED </w:t>
      </w:r>
      <w:r w:rsidR="005C3905">
        <w:t xml:space="preserve">AKTUÁLNÍCH </w:t>
      </w:r>
      <w:r w:rsidR="00296AD0" w:rsidRPr="00296AD0">
        <w:t>EVROPSKÝCH INICIATIV</w:t>
      </w:r>
      <w:r w:rsidR="00626E35">
        <w:t xml:space="preserve"> S CÍLEM </w:t>
      </w:r>
      <w:r w:rsidR="00296AD0" w:rsidRPr="00296AD0">
        <w:t>BUDOV</w:t>
      </w:r>
      <w:r w:rsidR="00626E35">
        <w:t>AT</w:t>
      </w:r>
      <w:r w:rsidR="00296AD0" w:rsidRPr="00296AD0">
        <w:t xml:space="preserve"> JEDNOTN</w:t>
      </w:r>
      <w:r w:rsidR="00626E35">
        <w:t>Ý</w:t>
      </w:r>
      <w:r w:rsidR="00296AD0" w:rsidRPr="00296AD0">
        <w:t xml:space="preserve"> DIGITÁLNÍ TRH V EU</w:t>
      </w:r>
      <w:bookmarkEnd w:id="128"/>
    </w:p>
    <w:p w:rsidR="00296AD0" w:rsidRPr="00A63698" w:rsidRDefault="00874674" w:rsidP="00874674">
      <w:r>
        <w:t>Souhrn iniciativ v následující tabulce vychází z</w:t>
      </w:r>
      <w:r w:rsidR="00296AD0">
        <w:t>e střednědobého</w:t>
      </w:r>
      <w:r>
        <w:t xml:space="preserve"> </w:t>
      </w:r>
      <w:r w:rsidRPr="00874674">
        <w:t>přezkumu Strategie pro jednotný digitální trh</w:t>
      </w:r>
      <w:r w:rsidR="00194E16">
        <w:rPr>
          <w:rStyle w:val="Znakapoznpodarou"/>
        </w:rPr>
        <w:footnoteReference w:id="36"/>
      </w:r>
      <w:r>
        <w:t>, který Evropská komise vydala</w:t>
      </w:r>
      <w:r w:rsidRPr="00874674">
        <w:t xml:space="preserve"> v květnu 2017</w:t>
      </w:r>
      <w:r>
        <w:t>.</w:t>
      </w:r>
    </w:p>
    <w:tbl>
      <w:tblPr>
        <w:tblStyle w:val="Svtlmkazvraznn1"/>
        <w:tblpPr w:leftFromText="141" w:rightFromText="141" w:vertAnchor="text" w:tblpXSpec="center" w:tblpY="1"/>
        <w:tblOverlap w:val="never"/>
        <w:tblW w:w="0" w:type="auto"/>
        <w:jc w:val="center"/>
        <w:tblLayout w:type="fixed"/>
        <w:tblLook w:val="04A0"/>
      </w:tblPr>
      <w:tblGrid>
        <w:gridCol w:w="1809"/>
        <w:gridCol w:w="4332"/>
        <w:gridCol w:w="3071"/>
      </w:tblGrid>
      <w:tr w:rsidR="00874674" w:rsidTr="00A80934">
        <w:trPr>
          <w:cnfStyle w:val="100000000000"/>
          <w:jc w:val="center"/>
        </w:trPr>
        <w:tc>
          <w:tcPr>
            <w:cnfStyle w:val="001000000000"/>
            <w:tcW w:w="9212" w:type="dxa"/>
            <w:gridSpan w:val="3"/>
          </w:tcPr>
          <w:p w:rsidR="00296AD0" w:rsidRDefault="00296AD0" w:rsidP="00A80934">
            <w:pPr>
              <w:jc w:val="center"/>
              <w:rPr>
                <w:sz w:val="24"/>
                <w:szCs w:val="24"/>
              </w:rPr>
            </w:pPr>
          </w:p>
          <w:p w:rsidR="00874674" w:rsidRDefault="00874674" w:rsidP="00A80934">
            <w:pPr>
              <w:jc w:val="center"/>
              <w:rPr>
                <w:sz w:val="24"/>
                <w:szCs w:val="24"/>
              </w:rPr>
            </w:pPr>
            <w:r w:rsidRPr="00FB7780">
              <w:rPr>
                <w:sz w:val="24"/>
                <w:szCs w:val="24"/>
              </w:rPr>
              <w:t>Legislativní návrhy</w:t>
            </w:r>
            <w:r>
              <w:rPr>
                <w:sz w:val="24"/>
                <w:szCs w:val="24"/>
              </w:rPr>
              <w:t xml:space="preserve"> </w:t>
            </w:r>
          </w:p>
          <w:p w:rsidR="00296AD0" w:rsidRPr="00FB7780" w:rsidRDefault="00296AD0" w:rsidP="00A80934">
            <w:pPr>
              <w:jc w:val="center"/>
              <w:rPr>
                <w:sz w:val="24"/>
                <w:szCs w:val="24"/>
              </w:rPr>
            </w:pPr>
          </w:p>
        </w:tc>
      </w:tr>
      <w:tr w:rsidR="00874674" w:rsidTr="00A80934">
        <w:trPr>
          <w:cnfStyle w:val="000000100000"/>
          <w:jc w:val="center"/>
        </w:trPr>
        <w:tc>
          <w:tcPr>
            <w:cnfStyle w:val="001000000000"/>
            <w:tcW w:w="1809" w:type="dxa"/>
          </w:tcPr>
          <w:p w:rsidR="00874674" w:rsidRPr="0034197D" w:rsidRDefault="00874674" w:rsidP="00A80934">
            <w:pPr>
              <w:jc w:val="center"/>
              <w:rPr>
                <w:sz w:val="24"/>
                <w:szCs w:val="24"/>
              </w:rPr>
            </w:pPr>
            <w:r w:rsidRPr="0034197D">
              <w:rPr>
                <w:sz w:val="24"/>
                <w:szCs w:val="24"/>
              </w:rPr>
              <w:t>Kód</w:t>
            </w:r>
          </w:p>
        </w:tc>
        <w:tc>
          <w:tcPr>
            <w:tcW w:w="4332" w:type="dxa"/>
          </w:tcPr>
          <w:p w:rsidR="00874674" w:rsidRPr="0034197D" w:rsidRDefault="00874674" w:rsidP="00A80934">
            <w:pPr>
              <w:jc w:val="center"/>
              <w:cnfStyle w:val="000000100000"/>
              <w:rPr>
                <w:b/>
                <w:sz w:val="24"/>
                <w:szCs w:val="24"/>
              </w:rPr>
            </w:pPr>
            <w:r w:rsidRPr="0034197D">
              <w:rPr>
                <w:b/>
                <w:sz w:val="24"/>
                <w:szCs w:val="24"/>
              </w:rPr>
              <w:t xml:space="preserve">Název </w:t>
            </w:r>
          </w:p>
        </w:tc>
        <w:tc>
          <w:tcPr>
            <w:tcW w:w="3071" w:type="dxa"/>
          </w:tcPr>
          <w:p w:rsidR="00874674" w:rsidRPr="0034197D" w:rsidRDefault="00874674" w:rsidP="00A80934">
            <w:pPr>
              <w:jc w:val="center"/>
              <w:cnfStyle w:val="000000100000"/>
              <w:rPr>
                <w:b/>
                <w:sz w:val="24"/>
                <w:szCs w:val="24"/>
              </w:rPr>
            </w:pPr>
            <w:r w:rsidRPr="0034197D">
              <w:rPr>
                <w:b/>
                <w:sz w:val="24"/>
                <w:szCs w:val="24"/>
              </w:rPr>
              <w:t>Oblast</w:t>
            </w:r>
          </w:p>
        </w:tc>
      </w:tr>
      <w:tr w:rsidR="00874674" w:rsidTr="00A80934">
        <w:trPr>
          <w:cnfStyle w:val="000000010000"/>
          <w:jc w:val="center"/>
        </w:trPr>
        <w:tc>
          <w:tcPr>
            <w:cnfStyle w:val="001000000000"/>
            <w:tcW w:w="1809" w:type="dxa"/>
          </w:tcPr>
          <w:p w:rsidR="00874674" w:rsidRPr="00320BC4" w:rsidRDefault="00874674" w:rsidP="0034197D">
            <w:pPr>
              <w:jc w:val="center"/>
              <w:rPr>
                <w:b w:val="0"/>
              </w:rPr>
            </w:pPr>
            <w:r w:rsidRPr="00320BC4">
              <w:t>COM(2016) 289</w:t>
            </w:r>
          </w:p>
        </w:tc>
        <w:tc>
          <w:tcPr>
            <w:tcW w:w="4332" w:type="dxa"/>
          </w:tcPr>
          <w:p w:rsidR="00874674" w:rsidRPr="00320BC4" w:rsidRDefault="00874674" w:rsidP="00320BC4">
            <w:pPr>
              <w:jc w:val="center"/>
              <w:cnfStyle w:val="000000010000"/>
              <w:rPr>
                <w:b/>
              </w:rPr>
            </w:pPr>
            <w:r w:rsidRPr="00320BC4">
              <w:rPr>
                <w:rStyle w:val="Siln"/>
                <w:b w:val="0"/>
              </w:rPr>
              <w:t>Návrh nařízení o řešení zeměpisného blokování a jiných forem diskriminace na vnitřním trhu</w:t>
            </w:r>
          </w:p>
        </w:tc>
        <w:tc>
          <w:tcPr>
            <w:tcW w:w="3071" w:type="dxa"/>
          </w:tcPr>
          <w:p w:rsidR="00874674" w:rsidRPr="00320BC4" w:rsidRDefault="00296AD0" w:rsidP="0034197D">
            <w:pPr>
              <w:jc w:val="center"/>
              <w:cnfStyle w:val="000000010000"/>
              <w:rPr>
                <w:b/>
              </w:rPr>
            </w:pPr>
            <w:proofErr w:type="spellStart"/>
            <w:r w:rsidRPr="0034197D">
              <w:rPr>
                <w:rStyle w:val="Siln"/>
                <w:b w:val="0"/>
              </w:rPr>
              <w:t>ECommerce</w:t>
            </w:r>
            <w:proofErr w:type="spellEnd"/>
          </w:p>
        </w:tc>
      </w:tr>
      <w:tr w:rsidR="00874674" w:rsidTr="00A80934">
        <w:trPr>
          <w:cnfStyle w:val="000000100000"/>
          <w:jc w:val="center"/>
        </w:trPr>
        <w:tc>
          <w:tcPr>
            <w:cnfStyle w:val="001000000000"/>
            <w:tcW w:w="1809" w:type="dxa"/>
          </w:tcPr>
          <w:p w:rsidR="00874674" w:rsidRPr="00320BC4" w:rsidRDefault="00874674" w:rsidP="0034197D">
            <w:pPr>
              <w:jc w:val="center"/>
              <w:rPr>
                <w:b w:val="0"/>
              </w:rPr>
            </w:pPr>
            <w:r w:rsidRPr="0034197D">
              <w:rPr>
                <w:color w:val="000000"/>
              </w:rPr>
              <w:t>COM(2016) 590</w:t>
            </w:r>
          </w:p>
        </w:tc>
        <w:tc>
          <w:tcPr>
            <w:tcW w:w="4332" w:type="dxa"/>
          </w:tcPr>
          <w:p w:rsidR="00874674" w:rsidRPr="0034197D" w:rsidRDefault="00874674" w:rsidP="00320BC4">
            <w:pPr>
              <w:jc w:val="center"/>
              <w:cnfStyle w:val="000000100000"/>
              <w:rPr>
                <w:color w:val="000000"/>
                <w:szCs w:val="22"/>
              </w:rPr>
            </w:pPr>
            <w:r w:rsidRPr="0034197D">
              <w:rPr>
                <w:color w:val="000000"/>
                <w:szCs w:val="22"/>
              </w:rPr>
              <w:t xml:space="preserve">Návrh </w:t>
            </w:r>
            <w:r w:rsidRPr="0034197D">
              <w:rPr>
                <w:szCs w:val="22"/>
              </w:rPr>
              <w:t>směrnice</w:t>
            </w:r>
            <w:r w:rsidRPr="0034197D">
              <w:rPr>
                <w:color w:val="000000"/>
                <w:szCs w:val="22"/>
              </w:rPr>
              <w:t>, kterou se stanoví evropský kodex pro elektronické komunikace</w:t>
            </w:r>
          </w:p>
          <w:p w:rsidR="00874674" w:rsidRPr="0034197D" w:rsidRDefault="00874674" w:rsidP="0034197D">
            <w:pPr>
              <w:jc w:val="center"/>
              <w:cnfStyle w:val="000000100000"/>
            </w:pPr>
          </w:p>
        </w:tc>
        <w:tc>
          <w:tcPr>
            <w:tcW w:w="3071" w:type="dxa"/>
          </w:tcPr>
          <w:p w:rsidR="00874674" w:rsidRPr="0034197D" w:rsidRDefault="00296AD0" w:rsidP="00320BC4">
            <w:pPr>
              <w:jc w:val="center"/>
              <w:cnfStyle w:val="000000100000"/>
              <w:rPr>
                <w:color w:val="000000"/>
                <w:szCs w:val="22"/>
              </w:rPr>
            </w:pPr>
            <w:r w:rsidRPr="0034197D">
              <w:rPr>
                <w:color w:val="000000"/>
                <w:szCs w:val="22"/>
              </w:rPr>
              <w:t>Revize právního rámce pro elektronické komunikace</w:t>
            </w:r>
          </w:p>
        </w:tc>
      </w:tr>
      <w:tr w:rsidR="00296AD0" w:rsidTr="00A80934">
        <w:trPr>
          <w:cnfStyle w:val="000000010000"/>
          <w:jc w:val="center"/>
        </w:trPr>
        <w:tc>
          <w:tcPr>
            <w:cnfStyle w:val="001000000000"/>
            <w:tcW w:w="1809" w:type="dxa"/>
          </w:tcPr>
          <w:p w:rsidR="00296AD0" w:rsidRPr="00320BC4" w:rsidRDefault="00296AD0" w:rsidP="0034197D">
            <w:pPr>
              <w:jc w:val="center"/>
              <w:rPr>
                <w:b w:val="0"/>
              </w:rPr>
            </w:pPr>
            <w:r w:rsidRPr="00320BC4">
              <w:t>COM(2016) 589</w:t>
            </w:r>
          </w:p>
          <w:p w:rsidR="00296AD0" w:rsidRPr="00320BC4" w:rsidRDefault="00296AD0" w:rsidP="0034197D">
            <w:pPr>
              <w:jc w:val="center"/>
              <w:rPr>
                <w:b w:val="0"/>
              </w:rPr>
            </w:pPr>
            <w:r w:rsidRPr="00320BC4">
              <w:t>WiFi4EU</w:t>
            </w:r>
          </w:p>
        </w:tc>
        <w:tc>
          <w:tcPr>
            <w:tcW w:w="4332" w:type="dxa"/>
          </w:tcPr>
          <w:p w:rsidR="00296AD0" w:rsidRPr="0034197D" w:rsidRDefault="00296AD0" w:rsidP="00320BC4">
            <w:pPr>
              <w:jc w:val="center"/>
              <w:cnfStyle w:val="000000010000"/>
            </w:pPr>
            <w:r w:rsidRPr="00320BC4">
              <w:rPr>
                <w:rStyle w:val="Siln"/>
                <w:b w:val="0"/>
              </w:rPr>
              <w:t>Návrh nařízení, kterým</w:t>
            </w:r>
            <w:r w:rsidRPr="0034197D">
              <w:rPr>
                <w:color w:val="000000"/>
              </w:rPr>
              <w:t xml:space="preserve"> se mění nařízení (EU) č. 1316/2013 a (EU) č. 283/2014, pokud jde o podporu připojení k internetu v místních komunitách</w:t>
            </w:r>
          </w:p>
        </w:tc>
        <w:tc>
          <w:tcPr>
            <w:tcW w:w="3071" w:type="dxa"/>
          </w:tcPr>
          <w:p w:rsidR="00296AD0" w:rsidRPr="00320BC4" w:rsidRDefault="00296AD0" w:rsidP="0034197D">
            <w:pPr>
              <w:jc w:val="center"/>
              <w:cnfStyle w:val="000000010000"/>
            </w:pPr>
            <w:r w:rsidRPr="00320BC4">
              <w:rPr>
                <w:color w:val="000000"/>
                <w:szCs w:val="22"/>
              </w:rPr>
              <w:t>Revize právního rámce pro elektronické komunikace</w:t>
            </w:r>
          </w:p>
        </w:tc>
      </w:tr>
      <w:tr w:rsidR="00296AD0" w:rsidTr="00A80934">
        <w:trPr>
          <w:cnfStyle w:val="000000100000"/>
          <w:jc w:val="center"/>
        </w:trPr>
        <w:tc>
          <w:tcPr>
            <w:cnfStyle w:val="001000000000"/>
            <w:tcW w:w="1809" w:type="dxa"/>
          </w:tcPr>
          <w:p w:rsidR="00296AD0" w:rsidRPr="00320BC4" w:rsidRDefault="00296AD0" w:rsidP="00320BC4">
            <w:pPr>
              <w:jc w:val="center"/>
              <w:rPr>
                <w:rFonts w:eastAsiaTheme="minorHAnsi"/>
                <w:b w:val="0"/>
                <w:bCs w:val="0"/>
                <w:color w:val="000000"/>
              </w:rPr>
            </w:pPr>
            <w:r w:rsidRPr="0034197D">
              <w:rPr>
                <w:rFonts w:eastAsiaTheme="minorHAnsi"/>
                <w:color w:val="000000"/>
              </w:rPr>
              <w:t>COM(2016) 591</w:t>
            </w:r>
          </w:p>
          <w:p w:rsidR="00296AD0" w:rsidRPr="00320BC4" w:rsidRDefault="00296AD0" w:rsidP="0034197D">
            <w:pPr>
              <w:jc w:val="center"/>
              <w:rPr>
                <w:b w:val="0"/>
              </w:rPr>
            </w:pPr>
            <w:r w:rsidRPr="00320BC4">
              <w:t>BEREC</w:t>
            </w:r>
          </w:p>
        </w:tc>
        <w:tc>
          <w:tcPr>
            <w:tcW w:w="4332" w:type="dxa"/>
          </w:tcPr>
          <w:p w:rsidR="00296AD0" w:rsidRPr="0034197D" w:rsidRDefault="00296AD0" w:rsidP="00320BC4">
            <w:pPr>
              <w:jc w:val="center"/>
              <w:cnfStyle w:val="000000100000"/>
            </w:pPr>
            <w:r w:rsidRPr="00320BC4">
              <w:rPr>
                <w:rStyle w:val="Siln"/>
                <w:b w:val="0"/>
              </w:rPr>
              <w:t>Návrh nařízení</w:t>
            </w:r>
            <w:r w:rsidRPr="0034197D">
              <w:rPr>
                <w:color w:val="000000"/>
              </w:rPr>
              <w:t xml:space="preserve"> o zřízení Sdružení evropských regulačních orgánů v oblasti elektronických komunikací</w:t>
            </w:r>
          </w:p>
        </w:tc>
        <w:tc>
          <w:tcPr>
            <w:tcW w:w="3071" w:type="dxa"/>
          </w:tcPr>
          <w:p w:rsidR="00296AD0" w:rsidRPr="00320BC4" w:rsidRDefault="00296AD0" w:rsidP="0034197D">
            <w:pPr>
              <w:jc w:val="center"/>
              <w:cnfStyle w:val="000000100000"/>
            </w:pPr>
            <w:r w:rsidRPr="0034197D">
              <w:rPr>
                <w:color w:val="000000"/>
                <w:szCs w:val="22"/>
              </w:rPr>
              <w:t>Revize právního rámce pro elektronické komunikace</w:t>
            </w:r>
          </w:p>
        </w:tc>
      </w:tr>
      <w:tr w:rsidR="00296AD0" w:rsidTr="00A80934">
        <w:trPr>
          <w:cnfStyle w:val="000000010000"/>
          <w:jc w:val="center"/>
        </w:trPr>
        <w:tc>
          <w:tcPr>
            <w:cnfStyle w:val="001000000000"/>
            <w:tcW w:w="1809" w:type="dxa"/>
          </w:tcPr>
          <w:p w:rsidR="00296AD0" w:rsidRPr="00320BC4" w:rsidRDefault="00296AD0" w:rsidP="0034197D">
            <w:pPr>
              <w:jc w:val="center"/>
              <w:rPr>
                <w:b w:val="0"/>
              </w:rPr>
            </w:pPr>
            <w:r w:rsidRPr="00320BC4">
              <w:t>COM(2016) 755</w:t>
            </w:r>
          </w:p>
        </w:tc>
        <w:tc>
          <w:tcPr>
            <w:tcW w:w="4332" w:type="dxa"/>
          </w:tcPr>
          <w:p w:rsidR="00296AD0" w:rsidRPr="0034197D" w:rsidRDefault="00296AD0" w:rsidP="00320BC4">
            <w:pPr>
              <w:jc w:val="center"/>
              <w:cnfStyle w:val="000000010000"/>
            </w:pPr>
            <w:r w:rsidRPr="0034197D">
              <w:t xml:space="preserve">Návrh </w:t>
            </w:r>
            <w:r w:rsidRPr="00320BC4">
              <w:rPr>
                <w:rStyle w:val="Siln"/>
                <w:b w:val="0"/>
              </w:rPr>
              <w:t>nařízení</w:t>
            </w:r>
            <w:r w:rsidRPr="0034197D">
              <w:t>, kterým se mění nařízení Rady (EU) č. 904/2010 o správní spolupráci a boji proti podvodům v oblasti daně z přidané hodnoty</w:t>
            </w:r>
          </w:p>
        </w:tc>
        <w:tc>
          <w:tcPr>
            <w:tcW w:w="3071" w:type="dxa"/>
          </w:tcPr>
          <w:p w:rsidR="00296AD0" w:rsidRPr="0034197D" w:rsidRDefault="00296AD0" w:rsidP="0034197D">
            <w:pPr>
              <w:jc w:val="center"/>
              <w:cnfStyle w:val="000000010000"/>
            </w:pPr>
            <w:proofErr w:type="spellStart"/>
            <w:r w:rsidRPr="0034197D">
              <w:rPr>
                <w:rStyle w:val="Siln"/>
                <w:b w:val="0"/>
              </w:rPr>
              <w:t>ECommerce</w:t>
            </w:r>
            <w:proofErr w:type="spellEnd"/>
          </w:p>
        </w:tc>
      </w:tr>
      <w:tr w:rsidR="00296AD0" w:rsidTr="00A80934">
        <w:trPr>
          <w:cnfStyle w:val="000000100000"/>
          <w:jc w:val="center"/>
        </w:trPr>
        <w:tc>
          <w:tcPr>
            <w:cnfStyle w:val="001000000000"/>
            <w:tcW w:w="1809" w:type="dxa"/>
          </w:tcPr>
          <w:p w:rsidR="00296AD0" w:rsidRPr="00320BC4" w:rsidRDefault="00296AD0" w:rsidP="0034197D">
            <w:pPr>
              <w:jc w:val="center"/>
              <w:rPr>
                <w:b w:val="0"/>
              </w:rPr>
            </w:pPr>
            <w:r w:rsidRPr="00320BC4">
              <w:t>COM(2016) 756</w:t>
            </w:r>
          </w:p>
        </w:tc>
        <w:tc>
          <w:tcPr>
            <w:tcW w:w="4332" w:type="dxa"/>
          </w:tcPr>
          <w:p w:rsidR="00296AD0" w:rsidRPr="0034197D" w:rsidRDefault="00296AD0" w:rsidP="00320BC4">
            <w:pPr>
              <w:jc w:val="center"/>
              <w:cnfStyle w:val="000000100000"/>
              <w:rPr>
                <w:szCs w:val="22"/>
              </w:rPr>
            </w:pPr>
            <w:r w:rsidRPr="0034197D">
              <w:rPr>
                <w:szCs w:val="22"/>
              </w:rPr>
              <w:t xml:space="preserve">Prováděcí </w:t>
            </w:r>
            <w:r w:rsidRPr="00A80934">
              <w:rPr>
                <w:rStyle w:val="Siln"/>
                <w:b w:val="0"/>
                <w:szCs w:val="22"/>
              </w:rPr>
              <w:t>nařízení</w:t>
            </w:r>
            <w:r w:rsidRPr="0034197D">
              <w:rPr>
                <w:szCs w:val="22"/>
              </w:rPr>
              <w:t>, kterým se mění prováděcí nařízení (EU) č. 282/2011, kterým se stanoví prováděcí opatření ke směrnici 2006/112/ES o společném systému daně z přidané hodnoty</w:t>
            </w:r>
          </w:p>
          <w:p w:rsidR="00296AD0" w:rsidRPr="0034197D" w:rsidRDefault="00296AD0" w:rsidP="0034197D">
            <w:pPr>
              <w:jc w:val="center"/>
              <w:cnfStyle w:val="000000100000"/>
            </w:pPr>
          </w:p>
        </w:tc>
        <w:tc>
          <w:tcPr>
            <w:tcW w:w="3071" w:type="dxa"/>
          </w:tcPr>
          <w:p w:rsidR="00296AD0" w:rsidRPr="0034197D" w:rsidRDefault="00296AD0" w:rsidP="0034197D">
            <w:pPr>
              <w:jc w:val="center"/>
              <w:cnfStyle w:val="000000100000"/>
            </w:pPr>
            <w:proofErr w:type="spellStart"/>
            <w:r w:rsidRPr="0034197D">
              <w:rPr>
                <w:rStyle w:val="Siln"/>
                <w:b w:val="0"/>
              </w:rPr>
              <w:t>ECommerce</w:t>
            </w:r>
            <w:proofErr w:type="spellEnd"/>
          </w:p>
        </w:tc>
      </w:tr>
      <w:tr w:rsidR="00296AD0" w:rsidTr="00A80934">
        <w:trPr>
          <w:cnfStyle w:val="000000010000"/>
          <w:jc w:val="center"/>
        </w:trPr>
        <w:tc>
          <w:tcPr>
            <w:cnfStyle w:val="001000000000"/>
            <w:tcW w:w="1809" w:type="dxa"/>
          </w:tcPr>
          <w:p w:rsidR="00296AD0" w:rsidRPr="00320BC4" w:rsidRDefault="00296AD0" w:rsidP="0034197D">
            <w:pPr>
              <w:jc w:val="center"/>
              <w:rPr>
                <w:b w:val="0"/>
              </w:rPr>
            </w:pPr>
            <w:r w:rsidRPr="00320BC4">
              <w:t>COM(2016) 757</w:t>
            </w:r>
          </w:p>
        </w:tc>
        <w:tc>
          <w:tcPr>
            <w:tcW w:w="4332" w:type="dxa"/>
          </w:tcPr>
          <w:p w:rsidR="00296AD0" w:rsidRPr="0034197D" w:rsidRDefault="00296AD0" w:rsidP="00320BC4">
            <w:pPr>
              <w:jc w:val="center"/>
              <w:cnfStyle w:val="000000010000"/>
            </w:pPr>
            <w:r w:rsidRPr="0034197D">
              <w:t>Návrh směrnice, kterou se mění směrnice 2006/112/ES a směrnice 2009/132/ES, pokud jde o určité povinnosti v oblasti daně z přidané hodnoty při poskytování služeb a prodeji zboží na dálku</w:t>
            </w:r>
          </w:p>
        </w:tc>
        <w:tc>
          <w:tcPr>
            <w:tcW w:w="3071" w:type="dxa"/>
          </w:tcPr>
          <w:p w:rsidR="00296AD0" w:rsidRPr="0034197D" w:rsidRDefault="00296AD0" w:rsidP="0034197D">
            <w:pPr>
              <w:jc w:val="center"/>
              <w:cnfStyle w:val="000000010000"/>
            </w:pPr>
            <w:proofErr w:type="spellStart"/>
            <w:r w:rsidRPr="0034197D">
              <w:rPr>
                <w:rStyle w:val="Siln"/>
                <w:b w:val="0"/>
              </w:rPr>
              <w:t>ECommerce</w:t>
            </w:r>
            <w:proofErr w:type="spellEnd"/>
          </w:p>
        </w:tc>
      </w:tr>
      <w:tr w:rsidR="00296AD0" w:rsidTr="00A80934">
        <w:trPr>
          <w:cnfStyle w:val="000000100000"/>
          <w:jc w:val="center"/>
        </w:trPr>
        <w:tc>
          <w:tcPr>
            <w:cnfStyle w:val="001000000000"/>
            <w:tcW w:w="1809" w:type="dxa"/>
          </w:tcPr>
          <w:p w:rsidR="00296AD0" w:rsidRPr="00320BC4" w:rsidRDefault="00296AD0" w:rsidP="0034197D">
            <w:pPr>
              <w:jc w:val="center"/>
              <w:rPr>
                <w:b w:val="0"/>
              </w:rPr>
            </w:pPr>
            <w:r w:rsidRPr="00320BC4">
              <w:t>COM(2016) 285</w:t>
            </w:r>
          </w:p>
        </w:tc>
        <w:tc>
          <w:tcPr>
            <w:tcW w:w="4332" w:type="dxa"/>
          </w:tcPr>
          <w:p w:rsidR="00296AD0" w:rsidRPr="0034197D" w:rsidRDefault="00296AD0" w:rsidP="00320BC4">
            <w:pPr>
              <w:jc w:val="center"/>
              <w:cnfStyle w:val="000000100000"/>
            </w:pPr>
            <w:r w:rsidRPr="0034197D">
              <w:t xml:space="preserve">Návrh </w:t>
            </w:r>
            <w:r w:rsidRPr="00320BC4">
              <w:rPr>
                <w:rStyle w:val="Siln"/>
                <w:b w:val="0"/>
              </w:rPr>
              <w:t>nařízení</w:t>
            </w:r>
            <w:r w:rsidRPr="0034197D">
              <w:t xml:space="preserve"> o službách přeshraničního dodávání balíků</w:t>
            </w:r>
          </w:p>
        </w:tc>
        <w:tc>
          <w:tcPr>
            <w:tcW w:w="3071" w:type="dxa"/>
          </w:tcPr>
          <w:p w:rsidR="00296AD0" w:rsidRPr="0034197D" w:rsidRDefault="00296AD0" w:rsidP="0034197D">
            <w:pPr>
              <w:jc w:val="center"/>
              <w:cnfStyle w:val="000000100000"/>
            </w:pPr>
            <w:proofErr w:type="spellStart"/>
            <w:r w:rsidRPr="0034197D">
              <w:rPr>
                <w:rStyle w:val="Siln"/>
                <w:b w:val="0"/>
              </w:rPr>
              <w:t>ECommerce</w:t>
            </w:r>
            <w:proofErr w:type="spellEnd"/>
          </w:p>
        </w:tc>
      </w:tr>
      <w:tr w:rsidR="00296AD0" w:rsidTr="00A80934">
        <w:trPr>
          <w:cnfStyle w:val="000000010000"/>
          <w:jc w:val="center"/>
        </w:trPr>
        <w:tc>
          <w:tcPr>
            <w:cnfStyle w:val="001000000000"/>
            <w:tcW w:w="1809" w:type="dxa"/>
          </w:tcPr>
          <w:p w:rsidR="00296AD0" w:rsidRPr="00320BC4" w:rsidRDefault="00296AD0" w:rsidP="0034197D">
            <w:pPr>
              <w:jc w:val="center"/>
              <w:rPr>
                <w:b w:val="0"/>
              </w:rPr>
            </w:pPr>
            <w:r w:rsidRPr="00320BC4">
              <w:lastRenderedPageBreak/>
              <w:t>COM(2015) 634</w:t>
            </w:r>
          </w:p>
        </w:tc>
        <w:tc>
          <w:tcPr>
            <w:tcW w:w="4332" w:type="dxa"/>
          </w:tcPr>
          <w:p w:rsidR="00296AD0" w:rsidRPr="0034197D" w:rsidRDefault="00296AD0" w:rsidP="00320BC4">
            <w:pPr>
              <w:jc w:val="center"/>
              <w:cnfStyle w:val="000000010000"/>
            </w:pPr>
            <w:r w:rsidRPr="0034197D">
              <w:t>Návrh směrnice o některých aspektech smluv o poskytování digitálního obsahu</w:t>
            </w:r>
          </w:p>
        </w:tc>
        <w:tc>
          <w:tcPr>
            <w:tcW w:w="3071" w:type="dxa"/>
          </w:tcPr>
          <w:p w:rsidR="00296AD0" w:rsidRPr="0034197D" w:rsidRDefault="00296AD0" w:rsidP="0034197D">
            <w:pPr>
              <w:jc w:val="center"/>
              <w:cnfStyle w:val="000000010000"/>
            </w:pPr>
            <w:proofErr w:type="spellStart"/>
            <w:r w:rsidRPr="0034197D">
              <w:rPr>
                <w:rStyle w:val="Siln"/>
                <w:b w:val="0"/>
              </w:rPr>
              <w:t>ECommerce</w:t>
            </w:r>
            <w:proofErr w:type="spellEnd"/>
            <w:r w:rsidR="006E2EEF">
              <w:rPr>
                <w:rStyle w:val="Siln"/>
                <w:b w:val="0"/>
              </w:rPr>
              <w:t>/ochrana zájmů spotřebitele</w:t>
            </w:r>
          </w:p>
        </w:tc>
      </w:tr>
      <w:tr w:rsidR="00296AD0" w:rsidTr="00A80934">
        <w:trPr>
          <w:cnfStyle w:val="000000100000"/>
          <w:jc w:val="center"/>
        </w:trPr>
        <w:tc>
          <w:tcPr>
            <w:cnfStyle w:val="001000000000"/>
            <w:tcW w:w="1809" w:type="dxa"/>
          </w:tcPr>
          <w:p w:rsidR="00296AD0" w:rsidRPr="00320BC4" w:rsidRDefault="00296AD0" w:rsidP="0034197D">
            <w:pPr>
              <w:jc w:val="center"/>
              <w:rPr>
                <w:b w:val="0"/>
              </w:rPr>
            </w:pPr>
            <w:r w:rsidRPr="00320BC4">
              <w:t>COM(2015) 635</w:t>
            </w:r>
          </w:p>
        </w:tc>
        <w:tc>
          <w:tcPr>
            <w:tcW w:w="4332" w:type="dxa"/>
          </w:tcPr>
          <w:p w:rsidR="00296AD0" w:rsidRPr="0034197D" w:rsidRDefault="00296AD0" w:rsidP="00320BC4">
            <w:pPr>
              <w:jc w:val="center"/>
              <w:cnfStyle w:val="000000100000"/>
            </w:pPr>
            <w:r w:rsidRPr="0034197D">
              <w:t>Návrh směrnice o některých aspektech smluv prodeji zboží online a jinými prostředky na dálku</w:t>
            </w:r>
          </w:p>
        </w:tc>
        <w:tc>
          <w:tcPr>
            <w:tcW w:w="3071" w:type="dxa"/>
          </w:tcPr>
          <w:p w:rsidR="00296AD0" w:rsidRPr="0034197D" w:rsidRDefault="00296AD0" w:rsidP="0034197D">
            <w:pPr>
              <w:jc w:val="center"/>
              <w:cnfStyle w:val="000000100000"/>
            </w:pPr>
            <w:proofErr w:type="spellStart"/>
            <w:r w:rsidRPr="0034197D">
              <w:rPr>
                <w:rStyle w:val="Siln"/>
                <w:b w:val="0"/>
              </w:rPr>
              <w:t>ECommerce</w:t>
            </w:r>
            <w:proofErr w:type="spellEnd"/>
            <w:r w:rsidR="006E2EEF">
              <w:rPr>
                <w:rStyle w:val="Siln"/>
                <w:b w:val="0"/>
              </w:rPr>
              <w:t>/ochrana zájmů spotřebitele</w:t>
            </w:r>
          </w:p>
        </w:tc>
      </w:tr>
      <w:tr w:rsidR="00296AD0" w:rsidTr="00A80934">
        <w:trPr>
          <w:cnfStyle w:val="000000010000"/>
          <w:jc w:val="center"/>
        </w:trPr>
        <w:tc>
          <w:tcPr>
            <w:cnfStyle w:val="001000000000"/>
            <w:tcW w:w="1809" w:type="dxa"/>
          </w:tcPr>
          <w:p w:rsidR="00296AD0" w:rsidRPr="00320BC4" w:rsidRDefault="00296AD0" w:rsidP="0034197D">
            <w:pPr>
              <w:jc w:val="center"/>
              <w:rPr>
                <w:b w:val="0"/>
              </w:rPr>
            </w:pPr>
            <w:r w:rsidRPr="00320BC4">
              <w:t>COM(2016) 593</w:t>
            </w:r>
          </w:p>
        </w:tc>
        <w:tc>
          <w:tcPr>
            <w:tcW w:w="4332" w:type="dxa"/>
          </w:tcPr>
          <w:p w:rsidR="00296AD0" w:rsidRPr="0034197D" w:rsidRDefault="00296AD0" w:rsidP="00320BC4">
            <w:pPr>
              <w:jc w:val="center"/>
              <w:cnfStyle w:val="000000010000"/>
            </w:pPr>
            <w:r w:rsidRPr="0034197D">
              <w:t>Návrh směrnice o autorském právu na jednotném digitálním trhu</w:t>
            </w:r>
          </w:p>
        </w:tc>
        <w:tc>
          <w:tcPr>
            <w:tcW w:w="3071" w:type="dxa"/>
          </w:tcPr>
          <w:p w:rsidR="00296AD0" w:rsidRPr="0034197D" w:rsidRDefault="00296AD0" w:rsidP="0034197D">
            <w:pPr>
              <w:jc w:val="center"/>
              <w:cnfStyle w:val="000000010000"/>
            </w:pPr>
            <w:r w:rsidRPr="0034197D">
              <w:t>Reforma právního rámce pro ochranu autorských práv</w:t>
            </w:r>
          </w:p>
        </w:tc>
      </w:tr>
      <w:tr w:rsidR="00296AD0" w:rsidTr="00A80934">
        <w:trPr>
          <w:cnfStyle w:val="000000100000"/>
          <w:jc w:val="center"/>
        </w:trPr>
        <w:tc>
          <w:tcPr>
            <w:cnfStyle w:val="001000000000"/>
            <w:tcW w:w="1809" w:type="dxa"/>
          </w:tcPr>
          <w:p w:rsidR="00296AD0" w:rsidRPr="00320BC4" w:rsidRDefault="00296AD0" w:rsidP="0034197D">
            <w:pPr>
              <w:jc w:val="center"/>
              <w:rPr>
                <w:b w:val="0"/>
              </w:rPr>
            </w:pPr>
            <w:r w:rsidRPr="00320BC4">
              <w:t>COM(2016) 594</w:t>
            </w:r>
          </w:p>
        </w:tc>
        <w:tc>
          <w:tcPr>
            <w:tcW w:w="4332" w:type="dxa"/>
          </w:tcPr>
          <w:p w:rsidR="00296AD0" w:rsidRPr="0034197D" w:rsidRDefault="00296AD0" w:rsidP="00320BC4">
            <w:pPr>
              <w:jc w:val="center"/>
              <w:cnfStyle w:val="000000100000"/>
            </w:pPr>
            <w:r w:rsidRPr="0034197D">
              <w:t xml:space="preserve">Návrh </w:t>
            </w:r>
            <w:r w:rsidRPr="00320BC4">
              <w:rPr>
                <w:rStyle w:val="Siln"/>
                <w:b w:val="0"/>
              </w:rPr>
              <w:t>nařízení</w:t>
            </w:r>
            <w:r w:rsidRPr="0034197D">
              <w:t>, kterým se stanoví pravidla pro výkon autorského práva a práv s ním souvisejících, jež se použijí na některá online vysílání vysílacích organizací a přenosy vysílání televizních a rozhlasových pořadů</w:t>
            </w:r>
          </w:p>
        </w:tc>
        <w:tc>
          <w:tcPr>
            <w:tcW w:w="3071" w:type="dxa"/>
          </w:tcPr>
          <w:p w:rsidR="00296AD0" w:rsidRPr="0034197D" w:rsidRDefault="00296AD0" w:rsidP="0034197D">
            <w:pPr>
              <w:jc w:val="center"/>
              <w:cnfStyle w:val="000000100000"/>
            </w:pPr>
            <w:r w:rsidRPr="0034197D">
              <w:t>Reforma právního rámce pro ochranu autorských práv</w:t>
            </w:r>
          </w:p>
        </w:tc>
      </w:tr>
      <w:tr w:rsidR="00296AD0" w:rsidTr="00A80934">
        <w:trPr>
          <w:cnfStyle w:val="000000010000"/>
          <w:jc w:val="center"/>
        </w:trPr>
        <w:tc>
          <w:tcPr>
            <w:cnfStyle w:val="001000000000"/>
            <w:tcW w:w="1809" w:type="dxa"/>
          </w:tcPr>
          <w:p w:rsidR="00296AD0" w:rsidRPr="00320BC4" w:rsidRDefault="00296AD0" w:rsidP="0034197D">
            <w:pPr>
              <w:jc w:val="center"/>
              <w:rPr>
                <w:b w:val="0"/>
              </w:rPr>
            </w:pPr>
            <w:r w:rsidRPr="00320BC4">
              <w:t>COM(2016) 595</w:t>
            </w:r>
          </w:p>
        </w:tc>
        <w:tc>
          <w:tcPr>
            <w:tcW w:w="4332" w:type="dxa"/>
          </w:tcPr>
          <w:p w:rsidR="00296AD0" w:rsidRPr="0034197D" w:rsidRDefault="00296AD0" w:rsidP="00320BC4">
            <w:pPr>
              <w:jc w:val="center"/>
              <w:cnfStyle w:val="000000010000"/>
            </w:pPr>
            <w:r w:rsidRPr="0034197D">
              <w:t xml:space="preserve">Návrh </w:t>
            </w:r>
            <w:r w:rsidRPr="00320BC4">
              <w:rPr>
                <w:rStyle w:val="Siln"/>
                <w:b w:val="0"/>
              </w:rPr>
              <w:t>nařízení</w:t>
            </w:r>
            <w:r w:rsidRPr="0034197D">
              <w:t xml:space="preserve"> o přeshraniční výměně kopií některých děl a jiných předmětů, které jsou chráněny autorským právem a právy s ním souvisejícími, v přístupném formátu mezi Unií a třetími zeměmi, z níž budou mít prospěch osoby nevidomé, zrakově postižené či osoby s jinými poruchami čtení</w:t>
            </w:r>
          </w:p>
        </w:tc>
        <w:tc>
          <w:tcPr>
            <w:tcW w:w="3071" w:type="dxa"/>
          </w:tcPr>
          <w:p w:rsidR="00296AD0" w:rsidRPr="0034197D" w:rsidRDefault="00296AD0" w:rsidP="0034197D">
            <w:pPr>
              <w:jc w:val="center"/>
              <w:cnfStyle w:val="000000010000"/>
            </w:pPr>
            <w:r w:rsidRPr="0034197D">
              <w:t>Reforma právního rámce pro ochranu autorských práv</w:t>
            </w:r>
          </w:p>
        </w:tc>
      </w:tr>
      <w:tr w:rsidR="00296AD0" w:rsidTr="00A80934">
        <w:trPr>
          <w:cnfStyle w:val="000000100000"/>
          <w:jc w:val="center"/>
        </w:trPr>
        <w:tc>
          <w:tcPr>
            <w:cnfStyle w:val="001000000000"/>
            <w:tcW w:w="1809" w:type="dxa"/>
          </w:tcPr>
          <w:p w:rsidR="00296AD0" w:rsidRPr="00320BC4" w:rsidRDefault="00296AD0" w:rsidP="0034197D">
            <w:pPr>
              <w:jc w:val="center"/>
              <w:rPr>
                <w:b w:val="0"/>
              </w:rPr>
            </w:pPr>
            <w:r w:rsidRPr="00320BC4">
              <w:t>COM(2016) 596</w:t>
            </w:r>
          </w:p>
        </w:tc>
        <w:tc>
          <w:tcPr>
            <w:tcW w:w="4332" w:type="dxa"/>
          </w:tcPr>
          <w:p w:rsidR="00296AD0" w:rsidRPr="0034197D" w:rsidRDefault="00296AD0" w:rsidP="00320BC4">
            <w:pPr>
              <w:jc w:val="center"/>
              <w:cnfStyle w:val="000000100000"/>
            </w:pPr>
            <w:r w:rsidRPr="0034197D">
              <w:t>Návrh směrnice o některých povolených způsobech užití děl a jiných předmětů chráněných na základě autorského práva a práv s ním souvisejících, z nichž budou mít prospěch osoby nevidomé, zrakově postižené či osoby s jinými poruchami čtení, a o změně směrnice 2001/29/ES o harmonizaci určitých aspektů autorského práva a práv s ním souvisejících v informační společnosti</w:t>
            </w:r>
          </w:p>
        </w:tc>
        <w:tc>
          <w:tcPr>
            <w:tcW w:w="3071" w:type="dxa"/>
          </w:tcPr>
          <w:p w:rsidR="00296AD0" w:rsidRPr="0034197D" w:rsidRDefault="00296AD0" w:rsidP="0034197D">
            <w:pPr>
              <w:jc w:val="center"/>
              <w:cnfStyle w:val="000000100000"/>
            </w:pPr>
            <w:r w:rsidRPr="0034197D">
              <w:t>Reforma právního rámce pro ochranu autorských práv</w:t>
            </w:r>
          </w:p>
        </w:tc>
      </w:tr>
      <w:tr w:rsidR="00296AD0" w:rsidTr="00A80934">
        <w:trPr>
          <w:cnfStyle w:val="000000010000"/>
          <w:jc w:val="center"/>
        </w:trPr>
        <w:tc>
          <w:tcPr>
            <w:cnfStyle w:val="001000000000"/>
            <w:tcW w:w="1809" w:type="dxa"/>
          </w:tcPr>
          <w:p w:rsidR="00296AD0" w:rsidRPr="00320BC4" w:rsidRDefault="00296AD0" w:rsidP="0034197D">
            <w:pPr>
              <w:jc w:val="center"/>
              <w:rPr>
                <w:b w:val="0"/>
              </w:rPr>
            </w:pPr>
            <w:r w:rsidRPr="0034197D">
              <w:rPr>
                <w:rFonts w:eastAsiaTheme="minorHAnsi"/>
                <w:color w:val="000000"/>
              </w:rPr>
              <w:t>COM(2016) 283</w:t>
            </w:r>
          </w:p>
        </w:tc>
        <w:tc>
          <w:tcPr>
            <w:tcW w:w="4332" w:type="dxa"/>
          </w:tcPr>
          <w:p w:rsidR="00296AD0" w:rsidRPr="0034197D" w:rsidRDefault="00296AD0" w:rsidP="00320BC4">
            <w:pPr>
              <w:jc w:val="center"/>
              <w:cnfStyle w:val="000000010000"/>
            </w:pPr>
            <w:r w:rsidRPr="0034197D">
              <w:t xml:space="preserve">Návrh </w:t>
            </w:r>
            <w:r w:rsidRPr="00320BC4">
              <w:rPr>
                <w:rStyle w:val="Siln"/>
                <w:b w:val="0"/>
              </w:rPr>
              <w:t>nařízení</w:t>
            </w:r>
            <w:r w:rsidRPr="0034197D">
              <w:t xml:space="preserve"> o spolupráci mezi vnitrostátními orgány příslušnými pro vymáhání dodržování zákonů na ochranu zájmů spotřebitele</w:t>
            </w:r>
          </w:p>
        </w:tc>
        <w:tc>
          <w:tcPr>
            <w:tcW w:w="3071" w:type="dxa"/>
          </w:tcPr>
          <w:p w:rsidR="00296AD0" w:rsidRPr="0034197D" w:rsidRDefault="00296AD0" w:rsidP="0034197D">
            <w:pPr>
              <w:jc w:val="center"/>
              <w:cnfStyle w:val="000000010000"/>
            </w:pPr>
            <w:proofErr w:type="spellStart"/>
            <w:r w:rsidRPr="0034197D">
              <w:rPr>
                <w:rStyle w:val="Siln"/>
                <w:b w:val="0"/>
              </w:rPr>
              <w:t>ECommerce</w:t>
            </w:r>
            <w:proofErr w:type="spellEnd"/>
            <w:r w:rsidR="006E2EEF">
              <w:rPr>
                <w:rStyle w:val="Siln"/>
                <w:b w:val="0"/>
              </w:rPr>
              <w:t>/ochrana zájmů spotřebitele</w:t>
            </w:r>
          </w:p>
        </w:tc>
      </w:tr>
      <w:tr w:rsidR="00296AD0" w:rsidTr="00A80934">
        <w:trPr>
          <w:cnfStyle w:val="000000100000"/>
          <w:jc w:val="center"/>
        </w:trPr>
        <w:tc>
          <w:tcPr>
            <w:cnfStyle w:val="001000000000"/>
            <w:tcW w:w="1809" w:type="dxa"/>
          </w:tcPr>
          <w:p w:rsidR="00296AD0" w:rsidRPr="00320BC4" w:rsidRDefault="00296AD0" w:rsidP="0034197D">
            <w:pPr>
              <w:jc w:val="center"/>
              <w:rPr>
                <w:b w:val="0"/>
              </w:rPr>
            </w:pPr>
            <w:r w:rsidRPr="00320BC4">
              <w:t>COM(2016) 287</w:t>
            </w:r>
          </w:p>
        </w:tc>
        <w:tc>
          <w:tcPr>
            <w:tcW w:w="4332" w:type="dxa"/>
          </w:tcPr>
          <w:p w:rsidR="00296AD0" w:rsidRPr="0034197D" w:rsidRDefault="00296AD0" w:rsidP="00320BC4">
            <w:pPr>
              <w:jc w:val="center"/>
              <w:cnfStyle w:val="000000100000"/>
            </w:pPr>
            <w:r w:rsidRPr="0034197D">
              <w:t>Návrh směrnice, kterou se mění směrnice 2010/13/EU o koordinaci některých právních a správních předpisů členských států upravujících poskytování audiovizuálních mediálních služeb s ohledem na měnící se situaci na trhu</w:t>
            </w:r>
          </w:p>
        </w:tc>
        <w:tc>
          <w:tcPr>
            <w:tcW w:w="3071" w:type="dxa"/>
          </w:tcPr>
          <w:p w:rsidR="00296AD0" w:rsidRPr="0034197D" w:rsidRDefault="00296AD0" w:rsidP="0034197D">
            <w:pPr>
              <w:jc w:val="center"/>
              <w:cnfStyle w:val="000000100000"/>
            </w:pPr>
            <w:r w:rsidRPr="0034197D">
              <w:t>Audiovizuální mediální služby</w:t>
            </w:r>
          </w:p>
        </w:tc>
      </w:tr>
      <w:tr w:rsidR="00296AD0" w:rsidTr="00A80934">
        <w:trPr>
          <w:cnfStyle w:val="000000010000"/>
          <w:jc w:val="center"/>
        </w:trPr>
        <w:tc>
          <w:tcPr>
            <w:cnfStyle w:val="001000000000"/>
            <w:tcW w:w="1809" w:type="dxa"/>
          </w:tcPr>
          <w:p w:rsidR="00296AD0" w:rsidRPr="00320BC4" w:rsidRDefault="00296AD0" w:rsidP="0034197D">
            <w:pPr>
              <w:jc w:val="center"/>
              <w:rPr>
                <w:b w:val="0"/>
                <w:highlight w:val="yellow"/>
              </w:rPr>
            </w:pPr>
            <w:r w:rsidRPr="0034197D">
              <w:rPr>
                <w:rFonts w:eastAsiaTheme="minorHAnsi"/>
                <w:color w:val="000000"/>
              </w:rPr>
              <w:t>COM(2017) 10</w:t>
            </w:r>
          </w:p>
        </w:tc>
        <w:tc>
          <w:tcPr>
            <w:tcW w:w="4332" w:type="dxa"/>
          </w:tcPr>
          <w:p w:rsidR="00296AD0" w:rsidRPr="0034197D" w:rsidRDefault="00296AD0" w:rsidP="00320BC4">
            <w:pPr>
              <w:jc w:val="center"/>
              <w:cnfStyle w:val="000000010000"/>
              <w:rPr>
                <w:rFonts w:ascii="Times New Roman" w:hAnsi="Times New Roman" w:cs="Times New Roman"/>
                <w:color w:val="000000"/>
                <w:sz w:val="24"/>
                <w:szCs w:val="24"/>
              </w:rPr>
            </w:pPr>
            <w:r w:rsidRPr="0034197D">
              <w:t xml:space="preserve">Návrh </w:t>
            </w:r>
            <w:r w:rsidRPr="00320BC4">
              <w:rPr>
                <w:rStyle w:val="Siln"/>
                <w:b w:val="0"/>
              </w:rPr>
              <w:t>nařízení</w:t>
            </w:r>
            <w:r w:rsidRPr="0034197D">
              <w:rPr>
                <w:color w:val="000000"/>
              </w:rPr>
              <w:t xml:space="preserve"> o respektování soukromého života a ochraně osobních údajů v elektronických komunikacích a o zrušení směrnice 2002/58/ES (nařízení o soukromí a elektronických komunikacíc</w:t>
            </w:r>
            <w:r w:rsidRPr="0034197D">
              <w:rPr>
                <w:rFonts w:ascii="Times New Roman" w:hAnsi="Times New Roman" w:cs="Times New Roman"/>
                <w:color w:val="000000"/>
                <w:sz w:val="24"/>
                <w:szCs w:val="24"/>
              </w:rPr>
              <w:t>h)</w:t>
            </w:r>
          </w:p>
          <w:p w:rsidR="0034197D" w:rsidRDefault="0034197D" w:rsidP="00320BC4">
            <w:pPr>
              <w:jc w:val="center"/>
              <w:cnfStyle w:val="000000010000"/>
              <w:rPr>
                <w:color w:val="000000"/>
                <w:highlight w:val="yellow"/>
              </w:rPr>
            </w:pPr>
          </w:p>
          <w:p w:rsidR="00456971" w:rsidRPr="0034197D" w:rsidRDefault="00456971" w:rsidP="00320BC4">
            <w:pPr>
              <w:jc w:val="center"/>
              <w:cnfStyle w:val="000000010000"/>
              <w:rPr>
                <w:color w:val="000000"/>
                <w:highlight w:val="yellow"/>
              </w:rPr>
            </w:pPr>
          </w:p>
        </w:tc>
        <w:tc>
          <w:tcPr>
            <w:tcW w:w="3071" w:type="dxa"/>
          </w:tcPr>
          <w:p w:rsidR="00296AD0" w:rsidRPr="00320BC4" w:rsidRDefault="00296AD0" w:rsidP="0034197D">
            <w:pPr>
              <w:jc w:val="center"/>
              <w:cnfStyle w:val="000000010000"/>
            </w:pPr>
            <w:r w:rsidRPr="00320BC4">
              <w:t>Ochrana soukromí a osobních údajů</w:t>
            </w:r>
          </w:p>
          <w:p w:rsidR="0034197D" w:rsidRPr="0034197D" w:rsidRDefault="0034197D" w:rsidP="0034197D">
            <w:pPr>
              <w:jc w:val="center"/>
              <w:cnfStyle w:val="000000010000"/>
              <w:rPr>
                <w:highlight w:val="yellow"/>
              </w:rPr>
            </w:pPr>
          </w:p>
        </w:tc>
      </w:tr>
      <w:tr w:rsidR="00296AD0" w:rsidTr="00A80934">
        <w:trPr>
          <w:cnfStyle w:val="000000100000"/>
          <w:jc w:val="center"/>
        </w:trPr>
        <w:tc>
          <w:tcPr>
            <w:cnfStyle w:val="001000000000"/>
            <w:tcW w:w="1809" w:type="dxa"/>
          </w:tcPr>
          <w:p w:rsidR="00296AD0" w:rsidRPr="00320BC4" w:rsidRDefault="00296AD0" w:rsidP="0034197D">
            <w:pPr>
              <w:jc w:val="center"/>
              <w:rPr>
                <w:b w:val="0"/>
              </w:rPr>
            </w:pPr>
            <w:r w:rsidRPr="0034197D">
              <w:lastRenderedPageBreak/>
              <w:t>COM(2017) 256</w:t>
            </w:r>
          </w:p>
        </w:tc>
        <w:tc>
          <w:tcPr>
            <w:tcW w:w="4332" w:type="dxa"/>
          </w:tcPr>
          <w:p w:rsidR="00296AD0" w:rsidRPr="0034197D" w:rsidRDefault="00296AD0" w:rsidP="00320BC4">
            <w:pPr>
              <w:jc w:val="center"/>
              <w:cnfStyle w:val="000000100000"/>
            </w:pPr>
            <w:r w:rsidRPr="0034197D">
              <w:t xml:space="preserve">Návrh </w:t>
            </w:r>
            <w:r w:rsidRPr="00320BC4">
              <w:rPr>
                <w:rStyle w:val="Siln"/>
                <w:b w:val="0"/>
              </w:rPr>
              <w:t>nařízení</w:t>
            </w:r>
            <w:r w:rsidRPr="0034197D">
              <w:rPr>
                <w:color w:val="000000"/>
              </w:rPr>
              <w:t xml:space="preserve"> o </w:t>
            </w:r>
            <w:r w:rsidRPr="0034197D">
              <w:t>vytvoření jednotné digitální brány pro poskytování informací, postupů, pomoc a řešení problémů a kterým se mění nařízení (EU) č. 1024/2012</w:t>
            </w:r>
          </w:p>
        </w:tc>
        <w:tc>
          <w:tcPr>
            <w:tcW w:w="3071" w:type="dxa"/>
          </w:tcPr>
          <w:p w:rsidR="00296AD0" w:rsidRPr="0034197D" w:rsidRDefault="00296AD0" w:rsidP="0034197D">
            <w:pPr>
              <w:jc w:val="center"/>
              <w:cnfStyle w:val="000000100000"/>
            </w:pPr>
            <w:r w:rsidRPr="0034197D">
              <w:t>Jednotná digitální brána</w:t>
            </w:r>
          </w:p>
        </w:tc>
      </w:tr>
      <w:tr w:rsidR="00296AD0" w:rsidTr="00A80934">
        <w:trPr>
          <w:cnfStyle w:val="000000010000"/>
          <w:jc w:val="center"/>
        </w:trPr>
        <w:tc>
          <w:tcPr>
            <w:cnfStyle w:val="001000000000"/>
            <w:tcW w:w="9212" w:type="dxa"/>
            <w:gridSpan w:val="3"/>
          </w:tcPr>
          <w:p w:rsidR="00296AD0" w:rsidRPr="00320BC4" w:rsidRDefault="00296AD0" w:rsidP="0034197D">
            <w:pPr>
              <w:jc w:val="center"/>
              <w:rPr>
                <w:b w:val="0"/>
                <w:sz w:val="24"/>
                <w:szCs w:val="24"/>
              </w:rPr>
            </w:pPr>
          </w:p>
          <w:p w:rsidR="00296AD0" w:rsidRPr="0034197D" w:rsidRDefault="00296AD0" w:rsidP="0034197D">
            <w:pPr>
              <w:jc w:val="center"/>
              <w:rPr>
                <w:sz w:val="24"/>
                <w:szCs w:val="24"/>
              </w:rPr>
            </w:pPr>
            <w:r w:rsidRPr="0034197D">
              <w:rPr>
                <w:sz w:val="24"/>
                <w:szCs w:val="24"/>
              </w:rPr>
              <w:t>Další iniciativy</w:t>
            </w:r>
          </w:p>
          <w:p w:rsidR="00296AD0" w:rsidRPr="00320BC4" w:rsidRDefault="00296AD0" w:rsidP="0034197D">
            <w:pPr>
              <w:jc w:val="center"/>
              <w:rPr>
                <w:b w:val="0"/>
              </w:rPr>
            </w:pPr>
          </w:p>
        </w:tc>
      </w:tr>
      <w:tr w:rsidR="00296AD0" w:rsidTr="00A80934">
        <w:trPr>
          <w:cnfStyle w:val="000000100000"/>
          <w:jc w:val="center"/>
        </w:trPr>
        <w:tc>
          <w:tcPr>
            <w:cnfStyle w:val="001000000000"/>
            <w:tcW w:w="1809" w:type="dxa"/>
          </w:tcPr>
          <w:p w:rsidR="00296AD0" w:rsidRPr="00320BC4" w:rsidRDefault="00296AD0" w:rsidP="0034197D">
            <w:pPr>
              <w:jc w:val="center"/>
              <w:rPr>
                <w:b w:val="0"/>
              </w:rPr>
            </w:pPr>
            <w:r w:rsidRPr="0034197D">
              <w:t>Ares(2016) 3934515</w:t>
            </w:r>
          </w:p>
        </w:tc>
        <w:tc>
          <w:tcPr>
            <w:tcW w:w="4332" w:type="dxa"/>
          </w:tcPr>
          <w:p w:rsidR="00296AD0" w:rsidRPr="0034197D" w:rsidRDefault="00296AD0" w:rsidP="00320BC4">
            <w:pPr>
              <w:jc w:val="center"/>
              <w:cnfStyle w:val="000000100000"/>
            </w:pPr>
            <w:r w:rsidRPr="0034197D">
              <w:rPr>
                <w:color w:val="222222"/>
              </w:rPr>
              <w:t>Přezkum memoranda o porozumění o prodeji padělaných zboží prostřednictvím internetu.</w:t>
            </w:r>
          </w:p>
        </w:tc>
        <w:tc>
          <w:tcPr>
            <w:tcW w:w="3071" w:type="dxa"/>
          </w:tcPr>
          <w:p w:rsidR="00296AD0" w:rsidRPr="0034197D" w:rsidRDefault="00296AD0" w:rsidP="00320BC4">
            <w:pPr>
              <w:jc w:val="center"/>
              <w:cnfStyle w:val="000000100000"/>
            </w:pPr>
            <w:r w:rsidRPr="0034197D">
              <w:rPr>
                <w:color w:val="222222"/>
              </w:rPr>
              <w:t>Prosazování práv duševního vlastnictví</w:t>
            </w:r>
          </w:p>
        </w:tc>
      </w:tr>
      <w:tr w:rsidR="00296AD0" w:rsidTr="00A80934">
        <w:trPr>
          <w:cnfStyle w:val="000000010000"/>
          <w:jc w:val="center"/>
        </w:trPr>
        <w:tc>
          <w:tcPr>
            <w:cnfStyle w:val="001000000000"/>
            <w:tcW w:w="1809" w:type="dxa"/>
          </w:tcPr>
          <w:p w:rsidR="00296AD0" w:rsidRPr="00320BC4" w:rsidRDefault="00296AD0" w:rsidP="0034197D">
            <w:pPr>
              <w:jc w:val="center"/>
              <w:rPr>
                <w:b w:val="0"/>
                <w:color w:val="000000"/>
              </w:rPr>
            </w:pPr>
            <w:r w:rsidRPr="0034197D">
              <w:rPr>
                <w:rFonts w:eastAsiaTheme="minorHAnsi"/>
                <w:color w:val="000000"/>
              </w:rPr>
              <w:t>SWD(2016) 163</w:t>
            </w:r>
          </w:p>
          <w:p w:rsidR="00296AD0" w:rsidRPr="00320BC4" w:rsidRDefault="00296AD0" w:rsidP="0034197D">
            <w:pPr>
              <w:jc w:val="center"/>
              <w:rPr>
                <w:b w:val="0"/>
              </w:rPr>
            </w:pPr>
            <w:r w:rsidRPr="0034197D">
              <w:rPr>
                <w:color w:val="000000"/>
              </w:rPr>
              <w:t>Pracovní dokument</w:t>
            </w:r>
          </w:p>
        </w:tc>
        <w:tc>
          <w:tcPr>
            <w:tcW w:w="4332" w:type="dxa"/>
          </w:tcPr>
          <w:p w:rsidR="00296AD0" w:rsidRPr="0034197D" w:rsidRDefault="00296AD0" w:rsidP="00320BC4">
            <w:pPr>
              <w:jc w:val="center"/>
              <w:cnfStyle w:val="000000010000"/>
            </w:pPr>
            <w:r w:rsidRPr="0034197D">
              <w:rPr>
                <w:color w:val="000000"/>
              </w:rPr>
              <w:t>Pokyny k provedení/uplatňování směrnice 2005/29/ES o nekalých obchodních praktikách</w:t>
            </w:r>
          </w:p>
        </w:tc>
        <w:tc>
          <w:tcPr>
            <w:tcW w:w="3071" w:type="dxa"/>
          </w:tcPr>
          <w:p w:rsidR="00296AD0" w:rsidRPr="0034197D" w:rsidRDefault="00296AD0" w:rsidP="0034197D">
            <w:pPr>
              <w:jc w:val="center"/>
              <w:cnfStyle w:val="000000010000"/>
            </w:pPr>
            <w:proofErr w:type="spellStart"/>
            <w:r w:rsidRPr="0034197D">
              <w:t>ECommerce</w:t>
            </w:r>
            <w:proofErr w:type="spellEnd"/>
            <w:r w:rsidRPr="0034197D">
              <w:t>/ochrana zájmů spotřebitele</w:t>
            </w:r>
          </w:p>
        </w:tc>
      </w:tr>
      <w:tr w:rsidR="00296AD0" w:rsidTr="00A80934">
        <w:trPr>
          <w:cnfStyle w:val="000000100000"/>
          <w:jc w:val="center"/>
        </w:trPr>
        <w:tc>
          <w:tcPr>
            <w:cnfStyle w:val="001000000000"/>
            <w:tcW w:w="1809" w:type="dxa"/>
          </w:tcPr>
          <w:p w:rsidR="00296AD0" w:rsidRPr="00320BC4" w:rsidRDefault="00296AD0" w:rsidP="0034197D">
            <w:pPr>
              <w:jc w:val="center"/>
              <w:rPr>
                <w:b w:val="0"/>
              </w:rPr>
            </w:pPr>
            <w:r w:rsidRPr="0034197D">
              <w:rPr>
                <w:rFonts w:eastAsiaTheme="minorHAnsi"/>
                <w:color w:val="000000"/>
              </w:rPr>
              <w:t>COM(2016) 381</w:t>
            </w:r>
          </w:p>
        </w:tc>
        <w:tc>
          <w:tcPr>
            <w:tcW w:w="4332" w:type="dxa"/>
          </w:tcPr>
          <w:p w:rsidR="00296AD0" w:rsidRPr="0034197D" w:rsidRDefault="00296AD0" w:rsidP="00320BC4">
            <w:pPr>
              <w:jc w:val="center"/>
              <w:cnfStyle w:val="000000100000"/>
              <w:rPr>
                <w:color w:val="000000"/>
              </w:rPr>
            </w:pPr>
            <w:r w:rsidRPr="0034197D">
              <w:rPr>
                <w:color w:val="000000"/>
              </w:rPr>
              <w:t>Sdělení Komise - Nová agenda dovedností pro Evropu „Společně pracovat na posílení lidského kapitálu, zaměstnatelnosti a konkurenceschopnosti“</w:t>
            </w:r>
          </w:p>
          <w:p w:rsidR="00296AD0" w:rsidRPr="0034197D" w:rsidRDefault="00296AD0" w:rsidP="00320BC4">
            <w:pPr>
              <w:jc w:val="center"/>
              <w:cnfStyle w:val="000000100000"/>
            </w:pPr>
          </w:p>
        </w:tc>
        <w:tc>
          <w:tcPr>
            <w:tcW w:w="3071" w:type="dxa"/>
          </w:tcPr>
          <w:p w:rsidR="00296AD0" w:rsidRPr="0034197D" w:rsidRDefault="00296AD0" w:rsidP="0034197D">
            <w:pPr>
              <w:jc w:val="center"/>
              <w:cnfStyle w:val="000000100000"/>
            </w:pPr>
            <w:r w:rsidRPr="0034197D">
              <w:t>Digitální dovednosti</w:t>
            </w:r>
          </w:p>
        </w:tc>
      </w:tr>
      <w:tr w:rsidR="00296AD0" w:rsidTr="00A80934">
        <w:trPr>
          <w:cnfStyle w:val="000000010000"/>
          <w:jc w:val="center"/>
        </w:trPr>
        <w:tc>
          <w:tcPr>
            <w:cnfStyle w:val="001000000000"/>
            <w:tcW w:w="1809" w:type="dxa"/>
          </w:tcPr>
          <w:p w:rsidR="00296AD0" w:rsidRPr="00320BC4" w:rsidRDefault="00296AD0" w:rsidP="0034197D">
            <w:pPr>
              <w:jc w:val="center"/>
              <w:rPr>
                <w:b w:val="0"/>
              </w:rPr>
            </w:pPr>
            <w:r w:rsidRPr="00320BC4">
              <w:t>COM(2016) 178</w:t>
            </w:r>
          </w:p>
          <w:p w:rsidR="00296AD0" w:rsidRPr="00320BC4" w:rsidRDefault="00296AD0" w:rsidP="0034197D">
            <w:pPr>
              <w:jc w:val="center"/>
              <w:rPr>
                <w:b w:val="0"/>
              </w:rPr>
            </w:pPr>
          </w:p>
        </w:tc>
        <w:tc>
          <w:tcPr>
            <w:tcW w:w="4332" w:type="dxa"/>
          </w:tcPr>
          <w:p w:rsidR="00296AD0" w:rsidRPr="0034197D" w:rsidRDefault="00296AD0" w:rsidP="00320BC4">
            <w:pPr>
              <w:jc w:val="center"/>
              <w:cnfStyle w:val="000000010000"/>
            </w:pPr>
            <w:r w:rsidRPr="0034197D">
              <w:t xml:space="preserve">Sdělení Komise - Evropská iniciativa v oblasti </w:t>
            </w:r>
            <w:proofErr w:type="spellStart"/>
            <w:r w:rsidRPr="0034197D">
              <w:t>cloud</w:t>
            </w:r>
            <w:proofErr w:type="spellEnd"/>
            <w:r w:rsidRPr="0034197D">
              <w:t xml:space="preserve"> </w:t>
            </w:r>
            <w:proofErr w:type="spellStart"/>
            <w:r w:rsidRPr="0034197D">
              <w:t>computingu</w:t>
            </w:r>
            <w:proofErr w:type="spellEnd"/>
            <w:r w:rsidRPr="0034197D">
              <w:t xml:space="preserve"> – vybudování konkurenceschopné evropské ekonomiky založené na datech a znalostech</w:t>
            </w:r>
          </w:p>
        </w:tc>
        <w:tc>
          <w:tcPr>
            <w:tcW w:w="3071" w:type="dxa"/>
          </w:tcPr>
          <w:p w:rsidR="00296AD0" w:rsidRPr="0034197D" w:rsidRDefault="00296AD0" w:rsidP="0034197D">
            <w:pPr>
              <w:jc w:val="center"/>
              <w:cnfStyle w:val="000000010000"/>
            </w:pPr>
            <w:proofErr w:type="spellStart"/>
            <w:r w:rsidRPr="0034197D">
              <w:t>Cloud</w:t>
            </w:r>
            <w:proofErr w:type="spellEnd"/>
            <w:r w:rsidRPr="0034197D">
              <w:t xml:space="preserve"> </w:t>
            </w:r>
            <w:proofErr w:type="spellStart"/>
            <w:r w:rsidRPr="0034197D">
              <w:t>computing</w:t>
            </w:r>
            <w:proofErr w:type="spellEnd"/>
          </w:p>
        </w:tc>
      </w:tr>
      <w:tr w:rsidR="00296AD0" w:rsidTr="00A80934">
        <w:trPr>
          <w:cnfStyle w:val="000000100000"/>
          <w:jc w:val="center"/>
        </w:trPr>
        <w:tc>
          <w:tcPr>
            <w:cnfStyle w:val="001000000000"/>
            <w:tcW w:w="1809" w:type="dxa"/>
          </w:tcPr>
          <w:p w:rsidR="00296AD0" w:rsidRPr="00320BC4" w:rsidRDefault="00296AD0" w:rsidP="0034197D">
            <w:pPr>
              <w:jc w:val="center"/>
              <w:rPr>
                <w:b w:val="0"/>
                <w:color w:val="000000"/>
              </w:rPr>
            </w:pPr>
            <w:r w:rsidRPr="0034197D">
              <w:t>COM(2016) 587</w:t>
            </w:r>
          </w:p>
        </w:tc>
        <w:tc>
          <w:tcPr>
            <w:tcW w:w="4332" w:type="dxa"/>
          </w:tcPr>
          <w:p w:rsidR="00296AD0" w:rsidRPr="0034197D" w:rsidRDefault="00296AD0" w:rsidP="00320BC4">
            <w:pPr>
              <w:jc w:val="center"/>
              <w:cnfStyle w:val="000000100000"/>
              <w:rPr>
                <w:color w:val="000000"/>
                <w:szCs w:val="22"/>
              </w:rPr>
            </w:pPr>
            <w:r w:rsidRPr="0034197D">
              <w:rPr>
                <w:szCs w:val="22"/>
              </w:rPr>
              <w:t>Sdělení Komise - Připojení pro konkurenceschopný jednotný digitální trh – na cestě k evropské gigabitové společnosti</w:t>
            </w:r>
          </w:p>
        </w:tc>
        <w:tc>
          <w:tcPr>
            <w:tcW w:w="3071" w:type="dxa"/>
          </w:tcPr>
          <w:p w:rsidR="00296AD0" w:rsidRPr="0034197D" w:rsidRDefault="00296AD0" w:rsidP="00320BC4">
            <w:pPr>
              <w:jc w:val="center"/>
              <w:cnfStyle w:val="000000100000"/>
              <w:rPr>
                <w:color w:val="000000"/>
                <w:szCs w:val="22"/>
              </w:rPr>
            </w:pPr>
            <w:r w:rsidRPr="0034197D">
              <w:rPr>
                <w:color w:val="000000"/>
                <w:szCs w:val="22"/>
              </w:rPr>
              <w:t>Revize právního rámce pro elektronické komunikace</w:t>
            </w:r>
          </w:p>
        </w:tc>
      </w:tr>
      <w:tr w:rsidR="00296AD0" w:rsidTr="00A80934">
        <w:trPr>
          <w:cnfStyle w:val="000000010000"/>
          <w:jc w:val="center"/>
        </w:trPr>
        <w:tc>
          <w:tcPr>
            <w:cnfStyle w:val="001000000000"/>
            <w:tcW w:w="1809" w:type="dxa"/>
          </w:tcPr>
          <w:p w:rsidR="00296AD0" w:rsidRPr="00320BC4" w:rsidRDefault="00296AD0" w:rsidP="0034197D">
            <w:pPr>
              <w:jc w:val="center"/>
              <w:rPr>
                <w:b w:val="0"/>
              </w:rPr>
            </w:pPr>
            <w:r w:rsidRPr="0034197D">
              <w:t>COM(2016) 180</w:t>
            </w:r>
          </w:p>
        </w:tc>
        <w:tc>
          <w:tcPr>
            <w:tcW w:w="4332" w:type="dxa"/>
          </w:tcPr>
          <w:p w:rsidR="00296AD0" w:rsidRPr="0034197D" w:rsidRDefault="00296AD0" w:rsidP="00320BC4">
            <w:pPr>
              <w:jc w:val="center"/>
              <w:cnfStyle w:val="000000010000"/>
            </w:pPr>
            <w:r w:rsidRPr="0034197D">
              <w:t>Sdělení Komise - Digitalizace evropského průmyslu Dosažení maximálních přínosů jednotného digitálního trhu</w:t>
            </w:r>
          </w:p>
        </w:tc>
        <w:tc>
          <w:tcPr>
            <w:tcW w:w="3071" w:type="dxa"/>
          </w:tcPr>
          <w:p w:rsidR="00296AD0" w:rsidRPr="0034197D" w:rsidRDefault="00296AD0" w:rsidP="0034197D">
            <w:pPr>
              <w:jc w:val="center"/>
              <w:cnfStyle w:val="000000010000"/>
            </w:pPr>
            <w:r w:rsidRPr="0034197D">
              <w:t>Digitalizace průmyslu</w:t>
            </w:r>
          </w:p>
        </w:tc>
      </w:tr>
      <w:tr w:rsidR="00296AD0" w:rsidTr="00A80934">
        <w:trPr>
          <w:cnfStyle w:val="000000100000"/>
          <w:trHeight w:val="858"/>
          <w:jc w:val="center"/>
        </w:trPr>
        <w:tc>
          <w:tcPr>
            <w:cnfStyle w:val="001000000000"/>
            <w:tcW w:w="1809" w:type="dxa"/>
          </w:tcPr>
          <w:p w:rsidR="00296AD0" w:rsidRPr="00320BC4" w:rsidRDefault="00296AD0" w:rsidP="0034197D">
            <w:pPr>
              <w:jc w:val="center"/>
              <w:rPr>
                <w:b w:val="0"/>
              </w:rPr>
            </w:pPr>
            <w:r w:rsidRPr="0034197D">
              <w:t>COM(2016) 288</w:t>
            </w:r>
          </w:p>
        </w:tc>
        <w:tc>
          <w:tcPr>
            <w:tcW w:w="4332" w:type="dxa"/>
          </w:tcPr>
          <w:p w:rsidR="00296AD0" w:rsidRPr="0034197D" w:rsidRDefault="00296AD0" w:rsidP="00320BC4">
            <w:pPr>
              <w:jc w:val="center"/>
              <w:cnfStyle w:val="000000100000"/>
            </w:pPr>
            <w:r w:rsidRPr="0034197D">
              <w:t xml:space="preserve">Sdělení </w:t>
            </w:r>
            <w:r w:rsidRPr="00320BC4">
              <w:rPr>
                <w:rFonts w:eastAsia="Times New Roman"/>
                <w:szCs w:val="22"/>
              </w:rPr>
              <w:t>Komise On-line platformy a jednotný digitální trh Příležitosti a výzvy pro Evropu</w:t>
            </w:r>
          </w:p>
        </w:tc>
        <w:tc>
          <w:tcPr>
            <w:tcW w:w="3071" w:type="dxa"/>
          </w:tcPr>
          <w:p w:rsidR="00296AD0" w:rsidRPr="0034197D" w:rsidRDefault="00296AD0" w:rsidP="00320BC4">
            <w:pPr>
              <w:jc w:val="center"/>
              <w:cnfStyle w:val="000000100000"/>
              <w:rPr>
                <w:color w:val="000000"/>
                <w:szCs w:val="22"/>
              </w:rPr>
            </w:pPr>
            <w:r w:rsidRPr="0034197D">
              <w:rPr>
                <w:color w:val="000000"/>
                <w:szCs w:val="22"/>
              </w:rPr>
              <w:t>Online platformy</w:t>
            </w:r>
          </w:p>
        </w:tc>
      </w:tr>
      <w:tr w:rsidR="00296AD0" w:rsidTr="00A80934">
        <w:trPr>
          <w:cnfStyle w:val="000000010000"/>
          <w:jc w:val="center"/>
        </w:trPr>
        <w:tc>
          <w:tcPr>
            <w:cnfStyle w:val="001000000000"/>
            <w:tcW w:w="1809" w:type="dxa"/>
          </w:tcPr>
          <w:p w:rsidR="00296AD0" w:rsidRPr="00320BC4" w:rsidRDefault="00296AD0" w:rsidP="0034197D">
            <w:pPr>
              <w:jc w:val="center"/>
              <w:rPr>
                <w:b w:val="0"/>
              </w:rPr>
            </w:pPr>
            <w:r w:rsidRPr="0034197D">
              <w:t>COM(2017) 134</w:t>
            </w:r>
          </w:p>
        </w:tc>
        <w:tc>
          <w:tcPr>
            <w:tcW w:w="4332" w:type="dxa"/>
          </w:tcPr>
          <w:p w:rsidR="00296AD0" w:rsidRPr="0034197D" w:rsidRDefault="00296AD0" w:rsidP="00320BC4">
            <w:pPr>
              <w:jc w:val="center"/>
              <w:cnfStyle w:val="000000010000"/>
              <w:rPr>
                <w:szCs w:val="22"/>
              </w:rPr>
            </w:pPr>
            <w:r w:rsidRPr="0034197D">
              <w:t>Sdělení Komise -</w:t>
            </w:r>
            <w:r w:rsidRPr="00320BC4">
              <w:t xml:space="preserve"> Evropský rámec interoperability – Strategie provádění</w:t>
            </w:r>
          </w:p>
        </w:tc>
        <w:tc>
          <w:tcPr>
            <w:tcW w:w="3071" w:type="dxa"/>
          </w:tcPr>
          <w:p w:rsidR="00296AD0" w:rsidRPr="0034197D" w:rsidRDefault="00296AD0" w:rsidP="00320BC4">
            <w:pPr>
              <w:jc w:val="center"/>
              <w:cnfStyle w:val="000000010000"/>
              <w:rPr>
                <w:color w:val="000000"/>
                <w:szCs w:val="22"/>
              </w:rPr>
            </w:pPr>
            <w:proofErr w:type="spellStart"/>
            <w:r w:rsidRPr="0034197D">
              <w:rPr>
                <w:color w:val="000000"/>
                <w:szCs w:val="22"/>
              </w:rPr>
              <w:t>EGovernment</w:t>
            </w:r>
            <w:proofErr w:type="spellEnd"/>
          </w:p>
        </w:tc>
      </w:tr>
      <w:tr w:rsidR="00296AD0" w:rsidTr="00A80934">
        <w:trPr>
          <w:cnfStyle w:val="000000100000"/>
          <w:jc w:val="center"/>
        </w:trPr>
        <w:tc>
          <w:tcPr>
            <w:cnfStyle w:val="001000000000"/>
            <w:tcW w:w="1809" w:type="dxa"/>
          </w:tcPr>
          <w:p w:rsidR="00296AD0" w:rsidRPr="00320BC4" w:rsidRDefault="00296AD0" w:rsidP="0034197D">
            <w:pPr>
              <w:jc w:val="center"/>
              <w:rPr>
                <w:b w:val="0"/>
              </w:rPr>
            </w:pPr>
            <w:r w:rsidRPr="0034197D">
              <w:t>COM(2017) 7</w:t>
            </w:r>
          </w:p>
        </w:tc>
        <w:tc>
          <w:tcPr>
            <w:tcW w:w="4332" w:type="dxa"/>
          </w:tcPr>
          <w:p w:rsidR="00296AD0" w:rsidRPr="0034197D" w:rsidRDefault="00296AD0" w:rsidP="00320BC4">
            <w:pPr>
              <w:jc w:val="center"/>
              <w:cnfStyle w:val="000000100000"/>
              <w:rPr>
                <w:szCs w:val="22"/>
              </w:rPr>
            </w:pPr>
            <w:r w:rsidRPr="0034197D">
              <w:rPr>
                <w:szCs w:val="22"/>
              </w:rPr>
              <w:t>Sdělení Komise -</w:t>
            </w:r>
            <w:r w:rsidRPr="00320BC4">
              <w:t xml:space="preserve"> Výměna a ochrana osobních údajů v globalizovaném světě</w:t>
            </w:r>
          </w:p>
        </w:tc>
        <w:tc>
          <w:tcPr>
            <w:tcW w:w="3071" w:type="dxa"/>
          </w:tcPr>
          <w:p w:rsidR="00296AD0" w:rsidRPr="0034197D" w:rsidRDefault="00296AD0" w:rsidP="00320BC4">
            <w:pPr>
              <w:jc w:val="center"/>
              <w:cnfStyle w:val="000000100000"/>
              <w:rPr>
                <w:color w:val="000000"/>
                <w:szCs w:val="22"/>
              </w:rPr>
            </w:pPr>
            <w:r w:rsidRPr="0034197D">
              <w:rPr>
                <w:color w:val="000000"/>
                <w:szCs w:val="22"/>
              </w:rPr>
              <w:t>Ochrana soukromí a osobních údajů</w:t>
            </w:r>
          </w:p>
        </w:tc>
      </w:tr>
      <w:tr w:rsidR="00C850D8" w:rsidTr="00A80934">
        <w:trPr>
          <w:cnfStyle w:val="000000010000"/>
          <w:jc w:val="center"/>
        </w:trPr>
        <w:tc>
          <w:tcPr>
            <w:cnfStyle w:val="001000000000"/>
            <w:tcW w:w="1809" w:type="dxa"/>
          </w:tcPr>
          <w:p w:rsidR="00C850D8" w:rsidRPr="00320BC4" w:rsidRDefault="00C850D8" w:rsidP="00320BC4">
            <w:pPr>
              <w:jc w:val="center"/>
              <w:rPr>
                <w:b w:val="0"/>
              </w:rPr>
            </w:pPr>
            <w:r w:rsidRPr="0034197D">
              <w:t xml:space="preserve">COM(2017) 9 </w:t>
            </w:r>
            <w:proofErr w:type="spellStart"/>
            <w:r w:rsidRPr="0034197D">
              <w:t>final</w:t>
            </w:r>
            <w:proofErr w:type="spellEnd"/>
          </w:p>
        </w:tc>
        <w:tc>
          <w:tcPr>
            <w:tcW w:w="4332" w:type="dxa"/>
          </w:tcPr>
          <w:p w:rsidR="00C850D8" w:rsidRPr="0034197D" w:rsidRDefault="00C850D8" w:rsidP="00320BC4">
            <w:pPr>
              <w:jc w:val="center"/>
              <w:cnfStyle w:val="000000010000"/>
              <w:rPr>
                <w:szCs w:val="22"/>
              </w:rPr>
            </w:pPr>
            <w:r w:rsidRPr="0034197D">
              <w:rPr>
                <w:szCs w:val="22"/>
              </w:rPr>
              <w:t xml:space="preserve">Sdělení </w:t>
            </w:r>
            <w:r w:rsidR="008F4D79">
              <w:rPr>
                <w:szCs w:val="22"/>
              </w:rPr>
              <w:t>„</w:t>
            </w:r>
            <w:r w:rsidRPr="0034197D">
              <w:rPr>
                <w:szCs w:val="22"/>
              </w:rPr>
              <w:t>Budování evropské ekonomiky založené na datech“</w:t>
            </w:r>
          </w:p>
        </w:tc>
        <w:tc>
          <w:tcPr>
            <w:tcW w:w="3071" w:type="dxa"/>
          </w:tcPr>
          <w:p w:rsidR="00C850D8" w:rsidRPr="0034197D" w:rsidRDefault="00C850D8" w:rsidP="00320BC4">
            <w:pPr>
              <w:jc w:val="center"/>
              <w:cnfStyle w:val="000000010000"/>
              <w:rPr>
                <w:color w:val="000000"/>
                <w:szCs w:val="22"/>
              </w:rPr>
            </w:pPr>
            <w:r w:rsidRPr="0034197D">
              <w:rPr>
                <w:color w:val="000000"/>
                <w:szCs w:val="22"/>
              </w:rPr>
              <w:t>Datová ekonomika</w:t>
            </w:r>
          </w:p>
        </w:tc>
      </w:tr>
    </w:tbl>
    <w:p w:rsidR="00874674" w:rsidRDefault="00874674" w:rsidP="00874674"/>
    <w:p w:rsidR="006C5FEF" w:rsidRPr="00D97AD9" w:rsidRDefault="006C5FEF" w:rsidP="006C5FEF"/>
    <w:sectPr w:rsidR="006C5FEF" w:rsidRPr="00D97AD9" w:rsidSect="00320BC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6992" w:rsidRDefault="00866992">
      <w:pPr>
        <w:spacing w:after="0" w:line="240" w:lineRule="auto"/>
      </w:pPr>
      <w:r>
        <w:separator/>
      </w:r>
    </w:p>
  </w:endnote>
  <w:endnote w:type="continuationSeparator" w:id="0">
    <w:p w:rsidR="00866992" w:rsidRDefault="008669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Frutiger LT Pro">
    <w:altName w:val="Frutiger LT Pro"/>
    <w:panose1 w:val="00000000000000000000"/>
    <w:charset w:val="00"/>
    <w:family w:val="roman"/>
    <w:notTrueType/>
    <w:pitch w:val="default"/>
    <w:sig w:usb0="00000001" w:usb1="00000000" w:usb2="00000000" w:usb3="00000000" w:csb0="00000003"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7921818"/>
      <w:docPartObj>
        <w:docPartGallery w:val="Page Numbers (Bottom of Page)"/>
        <w:docPartUnique/>
      </w:docPartObj>
    </w:sdtPr>
    <w:sdtContent>
      <w:p w:rsidR="006B75E3" w:rsidRDefault="00836CA6">
        <w:pPr>
          <w:pStyle w:val="Zpat"/>
          <w:jc w:val="right"/>
        </w:pPr>
        <w:r>
          <w:fldChar w:fldCharType="begin"/>
        </w:r>
        <w:r w:rsidR="006B75E3">
          <w:instrText>PAGE   \* MERGEFORMAT</w:instrText>
        </w:r>
        <w:r>
          <w:fldChar w:fldCharType="separate"/>
        </w:r>
        <w:r w:rsidR="00AE682B">
          <w:rPr>
            <w:noProof/>
          </w:rPr>
          <w:t>2</w:t>
        </w:r>
        <w:r>
          <w:rPr>
            <w:noProof/>
          </w:rPr>
          <w:fldChar w:fldCharType="end"/>
        </w:r>
      </w:p>
    </w:sdtContent>
  </w:sdt>
  <w:p w:rsidR="006B75E3" w:rsidRDefault="006B75E3">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6992" w:rsidRDefault="00866992">
      <w:pPr>
        <w:spacing w:after="0" w:line="240" w:lineRule="auto"/>
      </w:pPr>
      <w:r>
        <w:separator/>
      </w:r>
    </w:p>
  </w:footnote>
  <w:footnote w:type="continuationSeparator" w:id="0">
    <w:p w:rsidR="00866992" w:rsidRDefault="00866992">
      <w:pPr>
        <w:spacing w:after="0" w:line="240" w:lineRule="auto"/>
      </w:pPr>
      <w:r>
        <w:continuationSeparator/>
      </w:r>
    </w:p>
  </w:footnote>
  <w:footnote w:id="1">
    <w:p w:rsidR="006B75E3" w:rsidRDefault="006B75E3">
      <w:pPr>
        <w:pStyle w:val="Textpoznpodarou"/>
      </w:pPr>
      <w:r>
        <w:rPr>
          <w:rStyle w:val="Znakapoznpodarou"/>
        </w:rPr>
        <w:footnoteRef/>
      </w:r>
      <w:r>
        <w:t xml:space="preserve"> </w:t>
      </w:r>
      <w:hyperlink r:id="rId1" w:history="1">
        <w:r w:rsidRPr="008B1F82">
          <w:rPr>
            <w:rStyle w:val="Hypertextovodkaz"/>
          </w:rPr>
          <w:t>http://digiczech.eu/</w:t>
        </w:r>
      </w:hyperlink>
      <w:r>
        <w:t xml:space="preserve">. </w:t>
      </w:r>
    </w:p>
  </w:footnote>
  <w:footnote w:id="2">
    <w:p w:rsidR="006B75E3" w:rsidRDefault="006B75E3">
      <w:pPr>
        <w:pStyle w:val="Textpoznpodarou"/>
      </w:pPr>
      <w:r>
        <w:rPr>
          <w:rStyle w:val="Znakapoznpodarou"/>
        </w:rPr>
        <w:footnoteRef/>
      </w:r>
      <w:r>
        <w:t xml:space="preserve"> </w:t>
      </w:r>
      <w:hyperlink r:id="rId2" w:history="1">
        <w:r w:rsidRPr="008B1F82">
          <w:rPr>
            <w:rStyle w:val="Hypertextovodkaz"/>
          </w:rPr>
          <w:t>http://digiczech.eu/</w:t>
        </w:r>
      </w:hyperlink>
      <w:r>
        <w:t xml:space="preserve">. </w:t>
      </w:r>
    </w:p>
  </w:footnote>
  <w:footnote w:id="3">
    <w:p w:rsidR="006B75E3" w:rsidRDefault="006B75E3">
      <w:pPr>
        <w:pStyle w:val="Textpoznpodarou"/>
      </w:pPr>
      <w:r>
        <w:rPr>
          <w:rStyle w:val="Znakapoznpodarou"/>
        </w:rPr>
        <w:footnoteRef/>
      </w:r>
      <w:r>
        <w:t xml:space="preserve"> </w:t>
      </w:r>
      <w:hyperlink r:id="rId3" w:history="1">
        <w:r w:rsidRPr="008B1F82">
          <w:rPr>
            <w:rStyle w:val="Hypertextovodkaz"/>
          </w:rPr>
          <w:t>http://digiczech.eu/</w:t>
        </w:r>
      </w:hyperlink>
      <w:r>
        <w:t>.</w:t>
      </w:r>
    </w:p>
  </w:footnote>
  <w:footnote w:id="4">
    <w:p w:rsidR="006B75E3" w:rsidRPr="002D58AB" w:rsidRDefault="006B75E3" w:rsidP="005D5C44">
      <w:pPr>
        <w:pStyle w:val="Textpoznpodarou"/>
      </w:pPr>
      <w:r>
        <w:rPr>
          <w:rStyle w:val="Znakapoznpodarou"/>
        </w:rPr>
        <w:footnoteRef/>
      </w:r>
      <w:r>
        <w:t xml:space="preserve"> </w:t>
      </w:r>
      <w:r w:rsidRPr="002D58AB">
        <w:rPr>
          <w:rFonts w:eastAsia="Arial Unicode MS"/>
        </w:rPr>
        <w:t>COM</w:t>
      </w:r>
      <w:r>
        <w:rPr>
          <w:rFonts w:eastAsia="Arial Unicode MS"/>
        </w:rPr>
        <w:t xml:space="preserve"> (</w:t>
      </w:r>
      <w:r w:rsidRPr="002D58AB">
        <w:rPr>
          <w:rFonts w:eastAsia="Arial Unicode MS"/>
        </w:rPr>
        <w:t>2015</w:t>
      </w:r>
      <w:r>
        <w:rPr>
          <w:rFonts w:eastAsia="Arial Unicode MS"/>
        </w:rPr>
        <w:t xml:space="preserve">) </w:t>
      </w:r>
      <w:r w:rsidRPr="002D58AB">
        <w:rPr>
          <w:rFonts w:eastAsia="Arial Unicode MS"/>
        </w:rPr>
        <w:t>0192</w:t>
      </w:r>
      <w:r>
        <w:rPr>
          <w:rFonts w:eastAsia="Arial Unicode MS"/>
        </w:rPr>
        <w:t>.</w:t>
      </w:r>
    </w:p>
  </w:footnote>
  <w:footnote w:id="5">
    <w:p w:rsidR="006B75E3" w:rsidRPr="006C6AD4" w:rsidRDefault="006B75E3" w:rsidP="005D5C44">
      <w:pPr>
        <w:spacing w:after="0"/>
      </w:pPr>
      <w:r w:rsidRPr="006C6AD4">
        <w:rPr>
          <w:rStyle w:val="Znakapoznpodarou"/>
          <w:sz w:val="20"/>
        </w:rPr>
        <w:footnoteRef/>
      </w:r>
      <w:r>
        <w:rPr>
          <w:sz w:val="20"/>
        </w:rPr>
        <w:t xml:space="preserve"> </w:t>
      </w:r>
      <w:r w:rsidRPr="005D5C44">
        <w:rPr>
          <w:sz w:val="20"/>
        </w:rPr>
        <w:t xml:space="preserve">V květnu 2017 </w:t>
      </w:r>
      <w:r>
        <w:rPr>
          <w:sz w:val="20"/>
        </w:rPr>
        <w:t xml:space="preserve">vydala Evropská komise Sdělení </w:t>
      </w:r>
      <w:r w:rsidRPr="005D5C44">
        <w:rPr>
          <w:sz w:val="20"/>
        </w:rPr>
        <w:t>Evropskému parlamentu, Radě, Evropskému hospodářskému a sociálnímu výboru a Výboru regionů o přezk</w:t>
      </w:r>
      <w:r>
        <w:rPr>
          <w:sz w:val="20"/>
        </w:rPr>
        <w:t xml:space="preserve">umu v polovině období </w:t>
      </w:r>
      <w:r w:rsidRPr="005D5C44">
        <w:rPr>
          <w:sz w:val="20"/>
        </w:rPr>
        <w:t xml:space="preserve">provádění této strategie pro jednotný digitální trh </w:t>
      </w:r>
      <w:r w:rsidRPr="003129E7">
        <w:rPr>
          <w:sz w:val="20"/>
        </w:rPr>
        <w:t>COM/2017/0228</w:t>
      </w:r>
      <w:r w:rsidRPr="003C7D19">
        <w:rPr>
          <w:sz w:val="20"/>
        </w:rPr>
        <w:t>.</w:t>
      </w:r>
    </w:p>
  </w:footnote>
  <w:footnote w:id="6">
    <w:p w:rsidR="006B75E3" w:rsidRDefault="006B75E3" w:rsidP="005D5C44">
      <w:pPr>
        <w:pStyle w:val="Textpoznpodarou"/>
      </w:pPr>
      <w:r>
        <w:rPr>
          <w:rStyle w:val="Znakapoznpodarou"/>
        </w:rPr>
        <w:footnoteRef/>
      </w:r>
      <w:r>
        <w:t xml:space="preserve"> Viz Usnesení vlády České republiky ze dne 18. 5. 2016 č. 445 </w:t>
      </w:r>
      <w:hyperlink r:id="rId4" w:history="1">
        <w:r w:rsidRPr="008B1F82">
          <w:rPr>
            <w:rStyle w:val="Hypertextovodkaz"/>
          </w:rPr>
          <w:t>https://apps.odok.cz/attachment/-/down/JVLAAA8F2X1I</w:t>
        </w:r>
      </w:hyperlink>
      <w:r>
        <w:t xml:space="preserve">. </w:t>
      </w:r>
    </w:p>
  </w:footnote>
  <w:footnote w:id="7">
    <w:p w:rsidR="006B75E3" w:rsidRDefault="006B75E3" w:rsidP="005D5C44">
      <w:pPr>
        <w:pStyle w:val="Textpoznpodarou"/>
      </w:pPr>
      <w:r>
        <w:rPr>
          <w:rStyle w:val="Znakapoznpodarou"/>
        </w:rPr>
        <w:footnoteRef/>
      </w:r>
      <w:r>
        <w:t xml:space="preserve"> </w:t>
      </w:r>
      <w:hyperlink r:id="rId5" w:history="1">
        <w:r w:rsidRPr="008B1F82">
          <w:rPr>
            <w:rStyle w:val="Hypertextovodkaz"/>
          </w:rPr>
          <w:t>http://www.digikoalice.cz/</w:t>
        </w:r>
      </w:hyperlink>
      <w:r>
        <w:t xml:space="preserve">.  </w:t>
      </w:r>
    </w:p>
  </w:footnote>
  <w:footnote w:id="8">
    <w:p w:rsidR="006B75E3" w:rsidRDefault="006B75E3">
      <w:pPr>
        <w:pStyle w:val="Textpoznpodarou"/>
      </w:pPr>
      <w:r>
        <w:rPr>
          <w:rStyle w:val="Znakapoznpodarou"/>
        </w:rPr>
        <w:footnoteRef/>
      </w:r>
      <w:r>
        <w:t xml:space="preserve"> </w:t>
      </w:r>
      <w:hyperlink r:id="rId6" w:history="1">
        <w:r w:rsidRPr="008B1F82">
          <w:rPr>
            <w:rStyle w:val="Hypertextovodkaz"/>
          </w:rPr>
          <w:t>http://digiczech.eu/</w:t>
        </w:r>
      </w:hyperlink>
      <w:r>
        <w:t xml:space="preserve">. </w:t>
      </w:r>
    </w:p>
  </w:footnote>
  <w:footnote w:id="9">
    <w:p w:rsidR="006B75E3" w:rsidRDefault="006B75E3">
      <w:pPr>
        <w:pStyle w:val="Textpoznpodarou"/>
      </w:pPr>
      <w:r>
        <w:rPr>
          <w:rStyle w:val="Znakapoznpodarou"/>
        </w:rPr>
        <w:footnoteRef/>
      </w:r>
      <w:r>
        <w:t xml:space="preserve"> Viz Usnesení vlády České republiky ze dne 10. 5. 2017 č. 347 </w:t>
      </w:r>
      <w:hyperlink r:id="rId7" w:history="1">
        <w:r w:rsidRPr="00C74355">
          <w:rPr>
            <w:rStyle w:val="Hypertextovodkaz"/>
          </w:rPr>
          <w:t>https://apps.odok.cz/attachment/-/down/RCIAAMFFLR9P</w:t>
        </w:r>
      </w:hyperlink>
      <w:r>
        <w:rPr>
          <w:rStyle w:val="Hypertextovodkaz"/>
        </w:rPr>
        <w:t xml:space="preserve">. </w:t>
      </w:r>
    </w:p>
  </w:footnote>
  <w:footnote w:id="10">
    <w:p w:rsidR="006B75E3" w:rsidRPr="005D5C44" w:rsidRDefault="006B75E3" w:rsidP="00955A56">
      <w:pPr>
        <w:pStyle w:val="Textpoznpodarou"/>
      </w:pPr>
      <w:r w:rsidRPr="005D5C44">
        <w:rPr>
          <w:rStyle w:val="Znakapoznpodarou"/>
        </w:rPr>
        <w:footnoteRef/>
      </w:r>
      <w:r>
        <w:t xml:space="preserve"> </w:t>
      </w:r>
      <w:r w:rsidRPr="005D5C44">
        <w:t xml:space="preserve">Index je nazýván dle let kdy byl vydán (tzn. 2014 až 2017), ale je sledován vždy s ročním zpožděním (Tzn., že data vydaná v r. 2017 jsou za předchozí rok 2016). Viz </w:t>
      </w:r>
      <w:hyperlink r:id="rId8" w:history="1">
        <w:r w:rsidRPr="005D5C44">
          <w:rPr>
            <w:rStyle w:val="Hypertextovodkaz"/>
          </w:rPr>
          <w:t>https://ec.europa.eu/digital-single-market/en/news/digital-economy-and-society-index-desi-2017</w:t>
        </w:r>
      </w:hyperlink>
      <w:r w:rsidRPr="005D5C44">
        <w:rPr>
          <w:rStyle w:val="Hypertextovodkaz"/>
        </w:rPr>
        <w:t>.</w:t>
      </w:r>
    </w:p>
  </w:footnote>
  <w:footnote w:id="11">
    <w:p w:rsidR="006B75E3" w:rsidRPr="005D5C44" w:rsidRDefault="006B75E3" w:rsidP="0041284D">
      <w:pPr>
        <w:pStyle w:val="Textpoznpodarou"/>
      </w:pPr>
      <w:r w:rsidRPr="005D5C44">
        <w:rPr>
          <w:vertAlign w:val="superscript"/>
        </w:rPr>
        <w:footnoteRef/>
      </w:r>
      <w:r w:rsidRPr="005D5C44">
        <w:t xml:space="preserve"> Operační program zaměstnanost, Operační program výzkum a vývoj, Integrovaný regionální operační program</w:t>
      </w:r>
      <w:r>
        <w:t xml:space="preserve">. </w:t>
      </w:r>
    </w:p>
  </w:footnote>
  <w:footnote w:id="12">
    <w:p w:rsidR="006B75E3" w:rsidRPr="00F12C7B" w:rsidRDefault="006B75E3" w:rsidP="008B781C">
      <w:pPr>
        <w:pStyle w:val="Textpoznpodarou"/>
        <w:rPr>
          <w:sz w:val="18"/>
        </w:rPr>
      </w:pPr>
      <w:r w:rsidRPr="005D5C44">
        <w:rPr>
          <w:rStyle w:val="Znakapoznpodarou"/>
        </w:rPr>
        <w:footnoteRef/>
      </w:r>
      <w:r>
        <w:t xml:space="preserve"> </w:t>
      </w:r>
      <w:r w:rsidRPr="005D5C44">
        <w:t>Index je nazýván dle let kdy byl vydán (tzn. 2014 až 2017), ale je sledován vždy s ročním zpožděním (Tzn., že data vydaná v r. 2017 jsou za předchozí rok 2016).</w:t>
      </w:r>
    </w:p>
  </w:footnote>
  <w:footnote w:id="13">
    <w:p w:rsidR="006B75E3" w:rsidRPr="00F12C7B" w:rsidRDefault="006B75E3" w:rsidP="00955A56">
      <w:pPr>
        <w:pStyle w:val="Textpoznpodarou"/>
        <w:rPr>
          <w:sz w:val="18"/>
        </w:rPr>
      </w:pPr>
      <w:r>
        <w:rPr>
          <w:rStyle w:val="Znakapoznpodarou"/>
        </w:rPr>
        <w:footnoteRef/>
      </w:r>
      <w:r>
        <w:rPr>
          <w:sz w:val="18"/>
        </w:rPr>
        <w:t xml:space="preserve"> </w:t>
      </w:r>
      <w:r w:rsidRPr="00F12C7B">
        <w:rPr>
          <w:sz w:val="18"/>
        </w:rPr>
        <w:t>V rámci indexu od 0 do 1 se jedná o nejvyšší nárůst okolo 0,04 bodů indexu oproti průměru EU na úrovni 0,028.</w:t>
      </w:r>
    </w:p>
  </w:footnote>
  <w:footnote w:id="14">
    <w:p w:rsidR="006B75E3" w:rsidRPr="005D5C44" w:rsidRDefault="006B75E3" w:rsidP="005D5C44">
      <w:pPr>
        <w:spacing w:after="0"/>
        <w:rPr>
          <w:rFonts w:eastAsiaTheme="minorHAnsi"/>
          <w:color w:val="000000"/>
          <w:sz w:val="20"/>
        </w:rPr>
      </w:pPr>
      <w:r w:rsidRPr="005D5C44">
        <w:rPr>
          <w:rStyle w:val="Znakapoznpodarou"/>
          <w:sz w:val="20"/>
        </w:rPr>
        <w:footnoteRef/>
      </w:r>
      <w:r>
        <w:rPr>
          <w:sz w:val="20"/>
        </w:rPr>
        <w:t xml:space="preserve"> </w:t>
      </w:r>
      <w:r w:rsidRPr="005D5C44">
        <w:rPr>
          <w:sz w:val="20"/>
        </w:rPr>
        <w:t xml:space="preserve">Viz </w:t>
      </w:r>
      <w:r>
        <w:rPr>
          <w:sz w:val="20"/>
        </w:rPr>
        <w:t>například</w:t>
      </w:r>
      <w:r w:rsidRPr="005D5C44">
        <w:rPr>
          <w:rFonts w:eastAsia="Arial Unicode MS" w:cs="Arial Unicode MS"/>
          <w:sz w:val="20"/>
        </w:rPr>
        <w:t xml:space="preserve"> </w:t>
      </w:r>
      <w:r w:rsidRPr="005D5C44">
        <w:rPr>
          <w:color w:val="000000"/>
          <w:sz w:val="20"/>
        </w:rPr>
        <w:t xml:space="preserve">COM(2016) 590, </w:t>
      </w:r>
      <w:r w:rsidRPr="005D5C44">
        <w:rPr>
          <w:sz w:val="20"/>
        </w:rPr>
        <w:t>COM(2016) 593, COM(2016) 59</w:t>
      </w:r>
      <w:r>
        <w:rPr>
          <w:sz w:val="20"/>
        </w:rPr>
        <w:t xml:space="preserve">4, COM(2016) 595, COM(2016) 596 a </w:t>
      </w:r>
      <w:hyperlink r:id="rId9" w:history="1">
        <w:r w:rsidRPr="008B1F82">
          <w:rPr>
            <w:rStyle w:val="Hypertextovodkaz"/>
            <w:sz w:val="20"/>
          </w:rPr>
          <w:t>https://ec.europa.eu/digital-single-market/en/modernisation-eu-copyright-rules</w:t>
        </w:r>
      </w:hyperlink>
      <w:r>
        <w:rPr>
          <w:sz w:val="20"/>
        </w:rPr>
        <w:t xml:space="preserve">. </w:t>
      </w:r>
    </w:p>
  </w:footnote>
  <w:footnote w:id="15">
    <w:p w:rsidR="006B75E3" w:rsidRPr="005D5C44" w:rsidRDefault="006B75E3" w:rsidP="005D5C44">
      <w:pPr>
        <w:spacing w:after="0"/>
        <w:rPr>
          <w:rFonts w:eastAsiaTheme="minorHAnsi"/>
          <w:b/>
          <w:bCs/>
          <w:color w:val="000000"/>
          <w:sz w:val="20"/>
        </w:rPr>
      </w:pPr>
      <w:r w:rsidRPr="005D5C44">
        <w:rPr>
          <w:rStyle w:val="Znakapoznpodarou"/>
          <w:sz w:val="20"/>
        </w:rPr>
        <w:footnoteRef/>
      </w:r>
      <w:r w:rsidRPr="005D5C44">
        <w:rPr>
          <w:sz w:val="20"/>
        </w:rPr>
        <w:t xml:space="preserve"> </w:t>
      </w:r>
      <w:r>
        <w:rPr>
          <w:sz w:val="20"/>
        </w:rPr>
        <w:t>Například</w:t>
      </w:r>
      <w:r w:rsidRPr="005D5C44">
        <w:rPr>
          <w:sz w:val="20"/>
        </w:rPr>
        <w:t xml:space="preserve"> COM(2016) 587, COM(2016) 589, </w:t>
      </w:r>
      <w:r w:rsidRPr="005D5C44">
        <w:rPr>
          <w:color w:val="000000"/>
          <w:sz w:val="20"/>
        </w:rPr>
        <w:t xml:space="preserve">COM(2016) 590, </w:t>
      </w:r>
      <w:r w:rsidRPr="005D5C44">
        <w:rPr>
          <w:rFonts w:eastAsiaTheme="minorHAnsi"/>
          <w:color w:val="000000"/>
          <w:sz w:val="20"/>
        </w:rPr>
        <w:t>COM(2016) 591</w:t>
      </w:r>
      <w:r w:rsidRPr="005D5C44">
        <w:rPr>
          <w:sz w:val="20"/>
          <w:lang w:val="en-US"/>
        </w:rPr>
        <w:t>, COM(2016) 594</w:t>
      </w:r>
      <w:r>
        <w:rPr>
          <w:sz w:val="20"/>
          <w:lang w:val="en-US"/>
        </w:rPr>
        <w:t>.</w:t>
      </w:r>
      <w:r w:rsidRPr="005D5C44">
        <w:rPr>
          <w:sz w:val="20"/>
          <w:lang w:val="en-US"/>
        </w:rPr>
        <w:t xml:space="preserve"> </w:t>
      </w:r>
    </w:p>
  </w:footnote>
  <w:footnote w:id="16">
    <w:p w:rsidR="006B75E3" w:rsidRPr="005D5C44" w:rsidRDefault="006B75E3">
      <w:pPr>
        <w:pStyle w:val="Textpoznpodarou"/>
      </w:pPr>
      <w:r w:rsidRPr="005D5C44">
        <w:rPr>
          <w:rStyle w:val="Znakapoznpodarou"/>
        </w:rPr>
        <w:footnoteRef/>
      </w:r>
      <w:r w:rsidRPr="005D5C44">
        <w:t xml:space="preserve"> </w:t>
      </w:r>
      <w:r>
        <w:t>Například</w:t>
      </w:r>
      <w:r w:rsidRPr="005D5C44">
        <w:t xml:space="preserve"> </w:t>
      </w:r>
      <w:r w:rsidRPr="005D5C44">
        <w:rPr>
          <w:lang w:val="en-US"/>
        </w:rPr>
        <w:t>COM(2016) 287.</w:t>
      </w:r>
    </w:p>
  </w:footnote>
  <w:footnote w:id="17">
    <w:p w:rsidR="006B75E3" w:rsidRPr="005D5C44" w:rsidRDefault="006B75E3">
      <w:pPr>
        <w:pStyle w:val="Textpoznpodarou"/>
      </w:pPr>
      <w:r w:rsidRPr="005D5C44">
        <w:rPr>
          <w:rStyle w:val="Znakapoznpodarou"/>
        </w:rPr>
        <w:footnoteRef/>
      </w:r>
      <w:r w:rsidRPr="005D5C44">
        <w:t xml:space="preserve"> </w:t>
      </w:r>
      <w:r>
        <w:t>Například</w:t>
      </w:r>
      <w:r w:rsidRPr="005D5C44">
        <w:t xml:space="preserve"> </w:t>
      </w:r>
      <w:r w:rsidRPr="005D5C44">
        <w:rPr>
          <w:rFonts w:eastAsiaTheme="minorHAnsi"/>
          <w:color w:val="000000"/>
        </w:rPr>
        <w:t>COM(2017) 10,</w:t>
      </w:r>
      <w:r w:rsidRPr="005D5C44">
        <w:t xml:space="preserve"> COM(2017) 7.</w:t>
      </w:r>
    </w:p>
  </w:footnote>
  <w:footnote w:id="18">
    <w:p w:rsidR="006B75E3" w:rsidRPr="005D5C44" w:rsidRDefault="006B75E3">
      <w:pPr>
        <w:pStyle w:val="Textpoznpodarou"/>
      </w:pPr>
      <w:r w:rsidRPr="005D5C44">
        <w:rPr>
          <w:rStyle w:val="Znakapoznpodarou"/>
        </w:rPr>
        <w:footnoteRef/>
      </w:r>
      <w:r w:rsidRPr="005D5C44">
        <w:t xml:space="preserve"> </w:t>
      </w:r>
      <w:r>
        <w:t>Například</w:t>
      </w:r>
      <w:r w:rsidRPr="005D5C44">
        <w:t xml:space="preserve"> COM(2017) 256.</w:t>
      </w:r>
    </w:p>
  </w:footnote>
  <w:footnote w:id="19">
    <w:p w:rsidR="006B75E3" w:rsidRPr="005D5C44" w:rsidRDefault="006B75E3">
      <w:pPr>
        <w:pStyle w:val="Textpoznpodarou"/>
      </w:pPr>
      <w:r w:rsidRPr="005D5C44">
        <w:rPr>
          <w:rStyle w:val="Znakapoznpodarou"/>
        </w:rPr>
        <w:footnoteRef/>
      </w:r>
      <w:r w:rsidRPr="005D5C44">
        <w:t xml:space="preserve"> </w:t>
      </w:r>
      <w:r>
        <w:t>Například</w:t>
      </w:r>
      <w:r w:rsidRPr="005D5C44">
        <w:t xml:space="preserve">  COM(2017) 134.</w:t>
      </w:r>
    </w:p>
  </w:footnote>
  <w:footnote w:id="20">
    <w:p w:rsidR="006B75E3" w:rsidRPr="005D5C44" w:rsidRDefault="006B75E3">
      <w:pPr>
        <w:pStyle w:val="Textpoznpodarou"/>
      </w:pPr>
      <w:r w:rsidRPr="005D5C44">
        <w:rPr>
          <w:rStyle w:val="Znakapoznpodarou"/>
        </w:rPr>
        <w:footnoteRef/>
      </w:r>
      <w:r>
        <w:t xml:space="preserve"> Například </w:t>
      </w:r>
      <w:r w:rsidRPr="005D5C44">
        <w:t xml:space="preserve">COM(2016) 289, COM(2016) 755, COM(2016) 756, COM(2016) 757, COM(2016) 285, COM(2015) 634, COM(2015) 635, </w:t>
      </w:r>
      <w:r w:rsidRPr="005D5C44">
        <w:rPr>
          <w:rFonts w:eastAsiaTheme="minorHAnsi"/>
          <w:color w:val="000000"/>
        </w:rPr>
        <w:t>COM(2016) 283, SWD(2016) 163</w:t>
      </w:r>
      <w:r>
        <w:rPr>
          <w:rFonts w:eastAsiaTheme="minorHAnsi"/>
          <w:color w:val="000000"/>
        </w:rPr>
        <w:t>.</w:t>
      </w:r>
      <w:r w:rsidRPr="005D5C44">
        <w:rPr>
          <w:rFonts w:eastAsiaTheme="minorHAnsi"/>
          <w:color w:val="000000"/>
        </w:rPr>
        <w:t xml:space="preserve"> </w:t>
      </w:r>
    </w:p>
  </w:footnote>
  <w:footnote w:id="21">
    <w:p w:rsidR="006B75E3" w:rsidRPr="005D5C44" w:rsidRDefault="006B75E3">
      <w:pPr>
        <w:pStyle w:val="Textpoznpodarou"/>
      </w:pPr>
      <w:r w:rsidRPr="005D5C44">
        <w:rPr>
          <w:rStyle w:val="Znakapoznpodarou"/>
        </w:rPr>
        <w:footnoteRef/>
      </w:r>
      <w:r>
        <w:t xml:space="preserve"> Například </w:t>
      </w:r>
      <w:r w:rsidRPr="005D5C44">
        <w:rPr>
          <w:color w:val="000000"/>
        </w:rPr>
        <w:t>avizovaná revize</w:t>
      </w:r>
      <w:r>
        <w:rPr>
          <w:color w:val="000000"/>
        </w:rPr>
        <w:t xml:space="preserve"> strategie kybernetické bezpečnosti</w:t>
      </w:r>
      <w:r w:rsidRPr="005D5C44">
        <w:rPr>
          <w:color w:val="000000"/>
        </w:rPr>
        <w:t xml:space="preserve"> ve Sdělení Komise Evropskému parlamentu, Radě, Evropskému hospodářskému a sociálnímu výboru a Výboru regionů o přezkumu v polovině období provádění strategie pro jednotný digitální trh (COM(2017) 228).</w:t>
      </w:r>
    </w:p>
  </w:footnote>
  <w:footnote w:id="22">
    <w:p w:rsidR="006B75E3" w:rsidRDefault="006B75E3">
      <w:pPr>
        <w:pStyle w:val="Textpoznpodarou"/>
      </w:pPr>
      <w:r w:rsidRPr="005D5C44">
        <w:rPr>
          <w:rStyle w:val="Znakapoznpodarou"/>
        </w:rPr>
        <w:footnoteRef/>
      </w:r>
      <w:r w:rsidRPr="005D5C44">
        <w:t xml:space="preserve"> </w:t>
      </w:r>
      <w:hyperlink r:id="rId10" w:history="1">
        <w:r w:rsidRPr="005D5C44">
          <w:rPr>
            <w:rStyle w:val="Hypertextovodkaz"/>
          </w:rPr>
          <w:t>http://eur-lex.europa.eu/content/news/building_EU_data_economy.html?locale=cs</w:t>
        </w:r>
      </w:hyperlink>
      <w:r w:rsidRPr="005D5C44">
        <w:rPr>
          <w:rStyle w:val="Hypertextovodkaz"/>
        </w:rPr>
        <w:t>.</w:t>
      </w:r>
    </w:p>
  </w:footnote>
  <w:footnote w:id="23">
    <w:p w:rsidR="006B75E3" w:rsidRPr="0057440B" w:rsidRDefault="006B75E3" w:rsidP="00A76BE9">
      <w:pPr>
        <w:spacing w:after="0"/>
        <w:rPr>
          <w:sz w:val="20"/>
        </w:rPr>
      </w:pPr>
      <w:r w:rsidRPr="0057440B">
        <w:rPr>
          <w:rStyle w:val="Znakapoznpodarou"/>
          <w:sz w:val="20"/>
        </w:rPr>
        <w:footnoteRef/>
      </w:r>
      <w:r w:rsidRPr="0057440B">
        <w:rPr>
          <w:sz w:val="20"/>
        </w:rPr>
        <w:t xml:space="preserve"> Jedná se o principy Digitalizace jako standard; Registrace „pouze jednou“; Důvěryhodnost a bezpečnost; Podpora začlenění a dostupnost; Otevřenost a transparentnost; Mezioborový přístup jako standard; Interoperabilita jako standard.</w:t>
      </w:r>
    </w:p>
    <w:p w:rsidR="006B75E3" w:rsidRDefault="006B75E3">
      <w:pPr>
        <w:pStyle w:val="Textpoznpodarou"/>
      </w:pPr>
    </w:p>
  </w:footnote>
  <w:footnote w:id="24">
    <w:p w:rsidR="006B75E3" w:rsidRPr="005D5C44" w:rsidRDefault="006B75E3" w:rsidP="005D5C44">
      <w:pPr>
        <w:autoSpaceDE w:val="0"/>
        <w:autoSpaceDN w:val="0"/>
        <w:adjustRightInd w:val="0"/>
        <w:spacing w:after="0" w:line="240" w:lineRule="auto"/>
        <w:rPr>
          <w:sz w:val="20"/>
        </w:rPr>
      </w:pPr>
      <w:r w:rsidRPr="005D5C44">
        <w:rPr>
          <w:rStyle w:val="Znakapoznpodarou"/>
          <w:sz w:val="20"/>
        </w:rPr>
        <w:footnoteRef/>
      </w:r>
      <w:r w:rsidRPr="005D5C44">
        <w:rPr>
          <w:sz w:val="20"/>
        </w:rPr>
        <w:t xml:space="preserve"> Evropská komise. </w:t>
      </w:r>
      <w:r w:rsidRPr="005D5C44">
        <w:rPr>
          <w:i/>
          <w:sz w:val="20"/>
        </w:rPr>
        <w:t xml:space="preserve">Digitální agenda pro Evropu </w:t>
      </w:r>
      <w:r w:rsidRPr="005D5C44">
        <w:rPr>
          <w:sz w:val="20"/>
        </w:rPr>
        <w:t>[online], 2014. [cit. 2017-08-</w:t>
      </w:r>
    </w:p>
    <w:p w:rsidR="006B75E3" w:rsidRPr="005D5C44" w:rsidRDefault="006B75E3" w:rsidP="005D5C44">
      <w:pPr>
        <w:spacing w:after="0"/>
        <w:rPr>
          <w:rFonts w:eastAsia="Times New Roman"/>
          <w:color w:val="666666"/>
          <w:sz w:val="20"/>
        </w:rPr>
      </w:pPr>
      <w:r w:rsidRPr="005D5C44">
        <w:rPr>
          <w:sz w:val="20"/>
        </w:rPr>
        <w:t xml:space="preserve">09]. Dostupné na WWW: </w:t>
      </w:r>
      <w:hyperlink r:id="rId11" w:history="1">
        <w:r w:rsidRPr="005D5C44">
          <w:rPr>
            <w:rStyle w:val="Hypertextovodkaz"/>
            <w:rFonts w:eastAsia="Times New Roman"/>
            <w:i/>
            <w:iCs/>
            <w:sz w:val="20"/>
          </w:rPr>
          <w:t>https://europa.eu/european-union/file/1535/download_cs?token=Q9CzDI6h</w:t>
        </w:r>
      </w:hyperlink>
      <w:r w:rsidRPr="005D5C44">
        <w:rPr>
          <w:sz w:val="20"/>
        </w:rPr>
        <w:t xml:space="preserve">. </w:t>
      </w:r>
    </w:p>
  </w:footnote>
  <w:footnote w:id="25">
    <w:p w:rsidR="006B75E3" w:rsidRPr="0057440B" w:rsidRDefault="006B75E3" w:rsidP="00BE5F3F">
      <w:pPr>
        <w:pStyle w:val="Textpoznpodarou"/>
      </w:pPr>
      <w:r w:rsidRPr="0057440B">
        <w:rPr>
          <w:rStyle w:val="Znakapoznpodarou"/>
        </w:rPr>
        <w:footnoteRef/>
      </w:r>
      <w:r w:rsidRPr="0057440B">
        <w:t xml:space="preserve"> Sdělení Komise Evropskému parlamentu, Radě, Evropskému hospodářskému a sociálnímu výboru a Výboru regionů „Akční plán 5G pro Evropu“ COM(2016) 588.</w:t>
      </w:r>
    </w:p>
  </w:footnote>
  <w:footnote w:id="26">
    <w:p w:rsidR="006B75E3" w:rsidRPr="0057440B" w:rsidRDefault="006B75E3">
      <w:pPr>
        <w:pStyle w:val="Textpoznpodarou"/>
      </w:pPr>
      <w:r w:rsidRPr="0057440B">
        <w:rPr>
          <w:rStyle w:val="Znakapoznpodarou"/>
        </w:rPr>
        <w:footnoteRef/>
      </w:r>
      <w:r w:rsidRPr="0057440B">
        <w:t xml:space="preserve"> COM(2016) 590.</w:t>
      </w:r>
    </w:p>
  </w:footnote>
  <w:footnote w:id="27">
    <w:p w:rsidR="006B75E3" w:rsidRPr="0057440B" w:rsidRDefault="006B75E3" w:rsidP="006C6AD4">
      <w:pPr>
        <w:pStyle w:val="Textpoznpodarou"/>
      </w:pPr>
      <w:r w:rsidRPr="0057440B">
        <w:rPr>
          <w:rStyle w:val="Znakapoznpodarou"/>
        </w:rPr>
        <w:footnoteRef/>
      </w:r>
      <w:r w:rsidRPr="0057440B">
        <w:t xml:space="preserve"> </w:t>
      </w:r>
      <w:r w:rsidRPr="0057440B">
        <w:rPr>
          <w:color w:val="000000"/>
        </w:rPr>
        <w:t>COM(2016) 591.</w:t>
      </w:r>
    </w:p>
  </w:footnote>
  <w:footnote w:id="28">
    <w:p w:rsidR="006B75E3" w:rsidRDefault="006B75E3">
      <w:pPr>
        <w:pStyle w:val="Textpoznpodarou"/>
      </w:pPr>
      <w:r w:rsidRPr="0057440B">
        <w:rPr>
          <w:rStyle w:val="Znakapoznpodarou"/>
        </w:rPr>
        <w:footnoteRef/>
      </w:r>
      <w:r w:rsidRPr="0057440B">
        <w:t xml:space="preserve"> </w:t>
      </w:r>
      <w:r w:rsidRPr="0057440B">
        <w:rPr>
          <w:lang/>
        </w:rPr>
        <w:t xml:space="preserve">COM(2016) 589, </w:t>
      </w:r>
      <w:r w:rsidRPr="0057440B">
        <w:t>COM(2016) 588.</w:t>
      </w:r>
    </w:p>
  </w:footnote>
  <w:footnote w:id="29">
    <w:p w:rsidR="006B75E3" w:rsidRDefault="006B75E3">
      <w:pPr>
        <w:pStyle w:val="Textpoznpodarou"/>
      </w:pPr>
      <w:r>
        <w:rPr>
          <w:rStyle w:val="Znakapoznpodarou"/>
        </w:rPr>
        <w:footnoteRef/>
      </w:r>
      <w:r>
        <w:t xml:space="preserve"> </w:t>
      </w:r>
      <w:r w:rsidRPr="0035387E">
        <w:rPr>
          <w:color w:val="000000"/>
        </w:rPr>
        <w:t>COM(2017) 10</w:t>
      </w:r>
      <w:r>
        <w:rPr>
          <w:color w:val="000000"/>
        </w:rPr>
        <w:t xml:space="preserve">. </w:t>
      </w:r>
      <w:r>
        <w:t xml:space="preserve"> </w:t>
      </w:r>
    </w:p>
  </w:footnote>
  <w:footnote w:id="30">
    <w:p w:rsidR="006B75E3" w:rsidRDefault="006B75E3">
      <w:pPr>
        <w:pStyle w:val="Textpoznpodarou"/>
      </w:pPr>
      <w:r>
        <w:rPr>
          <w:rStyle w:val="Znakapoznpodarou"/>
        </w:rPr>
        <w:footnoteRef/>
      </w:r>
      <w:r>
        <w:t xml:space="preserve"> </w:t>
      </w:r>
      <w:r w:rsidRPr="00D20D5A">
        <w:t>http://www.digikoalice.cz/</w:t>
      </w:r>
      <w:r>
        <w:t>.</w:t>
      </w:r>
    </w:p>
  </w:footnote>
  <w:footnote w:id="31">
    <w:p w:rsidR="006B75E3" w:rsidRDefault="006B75E3">
      <w:pPr>
        <w:pStyle w:val="Textpoznpodarou"/>
      </w:pPr>
      <w:r>
        <w:rPr>
          <w:rStyle w:val="Znakapoznpodarou"/>
        </w:rPr>
        <w:footnoteRef/>
      </w:r>
      <w:r>
        <w:t xml:space="preserve"> Tzv. </w:t>
      </w:r>
      <w:proofErr w:type="spellStart"/>
      <w:r w:rsidRPr="00D97AD9">
        <w:rPr>
          <w:rFonts w:eastAsia="Arial"/>
        </w:rPr>
        <w:t>eEducation</w:t>
      </w:r>
      <w:proofErr w:type="spellEnd"/>
      <w:r w:rsidRPr="00D97AD9">
        <w:rPr>
          <w:rFonts w:eastAsia="Arial"/>
        </w:rPr>
        <w:t xml:space="preserve">, </w:t>
      </w:r>
      <w:proofErr w:type="spellStart"/>
      <w:r w:rsidRPr="00D97AD9">
        <w:rPr>
          <w:rFonts w:eastAsia="Arial"/>
        </w:rPr>
        <w:t>eCulture</w:t>
      </w:r>
      <w:proofErr w:type="spellEnd"/>
      <w:r w:rsidRPr="00D97AD9">
        <w:rPr>
          <w:rFonts w:eastAsia="Arial"/>
        </w:rPr>
        <w:t xml:space="preserve">, </w:t>
      </w:r>
      <w:proofErr w:type="spellStart"/>
      <w:r w:rsidRPr="00D97AD9">
        <w:rPr>
          <w:rFonts w:eastAsia="Arial"/>
        </w:rPr>
        <w:t>eHealth</w:t>
      </w:r>
      <w:proofErr w:type="spellEnd"/>
      <w:r w:rsidRPr="00D97AD9">
        <w:rPr>
          <w:rFonts w:eastAsia="Arial"/>
        </w:rPr>
        <w:t xml:space="preserve">, </w:t>
      </w:r>
      <w:proofErr w:type="spellStart"/>
      <w:r w:rsidRPr="00D97AD9">
        <w:rPr>
          <w:rFonts w:eastAsia="Arial"/>
        </w:rPr>
        <w:t>eInclusion</w:t>
      </w:r>
      <w:proofErr w:type="spellEnd"/>
      <w:r w:rsidRPr="00D97AD9">
        <w:rPr>
          <w:rFonts w:eastAsia="Arial"/>
        </w:rPr>
        <w:t xml:space="preserve">, </w:t>
      </w:r>
      <w:proofErr w:type="spellStart"/>
      <w:r w:rsidRPr="00D97AD9">
        <w:rPr>
          <w:rFonts w:eastAsia="Arial"/>
        </w:rPr>
        <w:t>eCommerce</w:t>
      </w:r>
      <w:proofErr w:type="spellEnd"/>
      <w:r w:rsidRPr="00D97AD9">
        <w:rPr>
          <w:rFonts w:eastAsia="Arial"/>
        </w:rPr>
        <w:t xml:space="preserve">, </w:t>
      </w:r>
      <w:proofErr w:type="spellStart"/>
      <w:r w:rsidRPr="00D97AD9">
        <w:rPr>
          <w:rFonts w:eastAsia="Arial"/>
        </w:rPr>
        <w:t>eBusiness</w:t>
      </w:r>
      <w:proofErr w:type="spellEnd"/>
      <w:r w:rsidRPr="00D97AD9">
        <w:rPr>
          <w:rFonts w:eastAsia="Arial"/>
        </w:rPr>
        <w:t xml:space="preserve">, </w:t>
      </w:r>
      <w:proofErr w:type="spellStart"/>
      <w:r w:rsidRPr="00D97AD9">
        <w:rPr>
          <w:rFonts w:eastAsia="Arial"/>
        </w:rPr>
        <w:t>eJustice</w:t>
      </w:r>
      <w:proofErr w:type="spellEnd"/>
      <w:r w:rsidRPr="00D97AD9">
        <w:rPr>
          <w:rFonts w:eastAsia="Arial"/>
        </w:rPr>
        <w:t xml:space="preserve">, </w:t>
      </w:r>
      <w:proofErr w:type="spellStart"/>
      <w:r w:rsidRPr="00D97AD9">
        <w:rPr>
          <w:rFonts w:eastAsia="Arial"/>
        </w:rPr>
        <w:t>eProcurement</w:t>
      </w:r>
      <w:proofErr w:type="spellEnd"/>
      <w:r w:rsidRPr="00D97AD9">
        <w:rPr>
          <w:rFonts w:eastAsia="Arial"/>
        </w:rPr>
        <w:t xml:space="preserve">, </w:t>
      </w:r>
      <w:proofErr w:type="spellStart"/>
      <w:r w:rsidRPr="00D97AD9">
        <w:rPr>
          <w:rFonts w:eastAsia="Arial"/>
        </w:rPr>
        <w:t>eLegislativa</w:t>
      </w:r>
      <w:proofErr w:type="spellEnd"/>
      <w:r w:rsidRPr="00D97AD9">
        <w:rPr>
          <w:rFonts w:eastAsia="Arial"/>
        </w:rPr>
        <w:t xml:space="preserve">, </w:t>
      </w:r>
      <w:proofErr w:type="spellStart"/>
      <w:r w:rsidRPr="00D97AD9">
        <w:rPr>
          <w:rFonts w:eastAsia="Arial"/>
        </w:rPr>
        <w:t>eSbírka</w:t>
      </w:r>
      <w:proofErr w:type="spellEnd"/>
      <w:r>
        <w:rPr>
          <w:rFonts w:eastAsia="Arial"/>
        </w:rPr>
        <w:t xml:space="preserve"> aj.</w:t>
      </w:r>
    </w:p>
  </w:footnote>
  <w:footnote w:id="32">
    <w:p w:rsidR="006B75E3" w:rsidRDefault="006B75E3" w:rsidP="00B106EF">
      <w:pPr>
        <w:pStyle w:val="Textpoznpodarou"/>
      </w:pPr>
      <w:r>
        <w:rPr>
          <w:rStyle w:val="Znakapoznpodarou"/>
        </w:rPr>
        <w:footnoteRef/>
      </w:r>
      <w:r>
        <w:t xml:space="preserve"> </w:t>
      </w:r>
      <w:hyperlink r:id="rId12" w:history="1">
        <w:r w:rsidRPr="00B10CF9">
          <w:rPr>
            <w:rStyle w:val="Hypertextovodkaz"/>
            <w:rFonts w:eastAsia="Arial"/>
          </w:rPr>
          <w:t>http://ceskestartupy.go-survey.net/</w:t>
        </w:r>
      </w:hyperlink>
      <w:r>
        <w:rPr>
          <w:rStyle w:val="Hypertextovodkaz"/>
          <w:rFonts w:eastAsia="Arial"/>
        </w:rPr>
        <w:t>.</w:t>
      </w:r>
    </w:p>
  </w:footnote>
  <w:footnote w:id="33">
    <w:p w:rsidR="006B75E3" w:rsidRPr="00CC77BA" w:rsidRDefault="006B75E3" w:rsidP="00F33193">
      <w:pPr>
        <w:pStyle w:val="Textpoznpodarou"/>
        <w:rPr>
          <w:sz w:val="18"/>
        </w:rPr>
      </w:pPr>
      <w:r>
        <w:rPr>
          <w:rStyle w:val="Znakapoznpodarou"/>
        </w:rPr>
        <w:footnoteRef/>
      </w:r>
      <w:r>
        <w:t xml:space="preserve"> </w:t>
      </w:r>
      <w:r w:rsidRPr="00AF3884">
        <w:t xml:space="preserve">Nejvíce se blížícím pojmem k vymezení reality ekonomického sektoru tzv. sdílené ekonomiky je „ekonomika platforem poskytujících služby sdílené ekonomiky“, avšak z důvodu zjednodušení pojmosloví a </w:t>
      </w:r>
      <w:r w:rsidRPr="00AF3884">
        <w:rPr>
          <w:rFonts w:eastAsia="Times New Roman"/>
        </w:rPr>
        <w:t>pro účely tohoto dokumentu je využit zkrácený název tzv. sdílená ekonomika.</w:t>
      </w:r>
    </w:p>
  </w:footnote>
  <w:footnote w:id="34">
    <w:p w:rsidR="006B75E3" w:rsidRDefault="006B75E3" w:rsidP="00FD7062">
      <w:pPr>
        <w:pStyle w:val="Textpoznpodarou"/>
      </w:pPr>
      <w:r>
        <w:rPr>
          <w:rStyle w:val="Znakapoznpodarou"/>
        </w:rPr>
        <w:footnoteRef/>
      </w:r>
      <w:r>
        <w:t xml:space="preserve"> COM(2016) 288.</w:t>
      </w:r>
    </w:p>
  </w:footnote>
  <w:footnote w:id="35">
    <w:p w:rsidR="006B75E3" w:rsidRDefault="006B75E3" w:rsidP="00FD7062">
      <w:pPr>
        <w:pStyle w:val="Textpoznpodarou"/>
      </w:pPr>
      <w:r>
        <w:rPr>
          <w:rStyle w:val="Znakapoznpodarou"/>
        </w:rPr>
        <w:footnoteRef/>
      </w:r>
      <w:r>
        <w:t xml:space="preserve"> COM(2017) 228.</w:t>
      </w:r>
    </w:p>
  </w:footnote>
  <w:footnote w:id="36">
    <w:p w:rsidR="006B75E3" w:rsidRDefault="006B75E3" w:rsidP="00194E16">
      <w:pPr>
        <w:pStyle w:val="Textpoznpodarou"/>
      </w:pPr>
      <w:r>
        <w:rPr>
          <w:rStyle w:val="Znakapoznpodarou"/>
        </w:rPr>
        <w:footnoteRef/>
      </w:r>
      <w:r>
        <w:t xml:space="preserve"> Sdělení Komise Evropskému parlamentu, Radě, Evropskému hospodářskému a</w:t>
      </w:r>
    </w:p>
    <w:p w:rsidR="006B75E3" w:rsidRDefault="006B75E3" w:rsidP="00194E16">
      <w:pPr>
        <w:pStyle w:val="Textpoznpodarou"/>
      </w:pPr>
      <w:r>
        <w:t>sociálnímu výboru a Výboru regionů o přezkumu v polovině období provádění strategie pro jednotný digitální trh „Propojený jednotný digitální trh pro všechny“</w:t>
      </w:r>
      <w:r w:rsidRPr="00194E16">
        <w:t xml:space="preserve"> </w:t>
      </w:r>
      <w:r>
        <w:t>(</w:t>
      </w:r>
      <w:r w:rsidRPr="00194E16">
        <w:t xml:space="preserve">COM(2017) 228 </w:t>
      </w:r>
      <w:proofErr w:type="spellStart"/>
      <w:r w:rsidRPr="00194E16">
        <w:t>final</w:t>
      </w:r>
      <w:proofErr w:type="spellEnd"/>
      <w:r>
        <w:t>;</w:t>
      </w:r>
      <w:r w:rsidRPr="0034197D">
        <w:t xml:space="preserve"> SWD(2017) 155 </w:t>
      </w:r>
      <w:proofErr w:type="spellStart"/>
      <w:r w:rsidRPr="0034197D">
        <w:t>final</w:t>
      </w:r>
      <w:proofErr w:type="spellEnd"/>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hybridMultilevel"/>
    <w:tmpl w:val="E760EB92"/>
    <w:lvl w:ilvl="0" w:tplc="D6DA1B24">
      <w:start w:val="1"/>
      <w:numFmt w:val="decimal"/>
      <w:pStyle w:val="Nzevopaten"/>
      <w:lvlText w:val="1.%1"/>
      <w:lvlJc w:val="left"/>
    </w:lvl>
    <w:lvl w:ilvl="1" w:tplc="407E7CFC">
      <w:start w:val="1"/>
      <w:numFmt w:val="bullet"/>
      <w:lvlText w:val=""/>
      <w:lvlJc w:val="left"/>
    </w:lvl>
    <w:lvl w:ilvl="2" w:tplc="4F865208">
      <w:start w:val="1"/>
      <w:numFmt w:val="bullet"/>
      <w:lvlText w:val=""/>
      <w:lvlJc w:val="left"/>
    </w:lvl>
    <w:lvl w:ilvl="3" w:tplc="55FADFD2">
      <w:start w:val="1"/>
      <w:numFmt w:val="bullet"/>
      <w:lvlText w:val=""/>
      <w:lvlJc w:val="left"/>
    </w:lvl>
    <w:lvl w:ilvl="4" w:tplc="34FC374C">
      <w:start w:val="1"/>
      <w:numFmt w:val="bullet"/>
      <w:lvlText w:val=""/>
      <w:lvlJc w:val="left"/>
    </w:lvl>
    <w:lvl w:ilvl="5" w:tplc="EF5414D8">
      <w:start w:val="1"/>
      <w:numFmt w:val="bullet"/>
      <w:lvlText w:val=""/>
      <w:lvlJc w:val="left"/>
    </w:lvl>
    <w:lvl w:ilvl="6" w:tplc="0150C104">
      <w:start w:val="1"/>
      <w:numFmt w:val="bullet"/>
      <w:lvlText w:val=""/>
      <w:lvlJc w:val="left"/>
    </w:lvl>
    <w:lvl w:ilvl="7" w:tplc="5BA8C5BC">
      <w:start w:val="1"/>
      <w:numFmt w:val="bullet"/>
      <w:lvlText w:val=""/>
      <w:lvlJc w:val="left"/>
    </w:lvl>
    <w:lvl w:ilvl="8" w:tplc="4B6E3E48">
      <w:start w:val="1"/>
      <w:numFmt w:val="bullet"/>
      <w:lvlText w:val=""/>
      <w:lvlJc w:val="left"/>
    </w:lvl>
  </w:abstractNum>
  <w:abstractNum w:abstractNumId="1">
    <w:nsid w:val="0618733D"/>
    <w:multiLevelType w:val="hybridMultilevel"/>
    <w:tmpl w:val="D9C26DD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24E0011"/>
    <w:multiLevelType w:val="hybridMultilevel"/>
    <w:tmpl w:val="573E4844"/>
    <w:lvl w:ilvl="0" w:tplc="04050001">
      <w:start w:val="1"/>
      <w:numFmt w:val="bullet"/>
      <w:lvlText w:val=""/>
      <w:lvlJc w:val="left"/>
      <w:pPr>
        <w:ind w:left="1866" w:hanging="360"/>
      </w:pPr>
      <w:rPr>
        <w:rFonts w:ascii="Symbol" w:hAnsi="Symbol" w:hint="default"/>
      </w:rPr>
    </w:lvl>
    <w:lvl w:ilvl="1" w:tplc="04050019" w:tentative="1">
      <w:start w:val="1"/>
      <w:numFmt w:val="lowerLetter"/>
      <w:lvlText w:val="%2."/>
      <w:lvlJc w:val="left"/>
      <w:pPr>
        <w:ind w:left="2586" w:hanging="360"/>
      </w:pPr>
    </w:lvl>
    <w:lvl w:ilvl="2" w:tplc="0405001B" w:tentative="1">
      <w:start w:val="1"/>
      <w:numFmt w:val="lowerRoman"/>
      <w:lvlText w:val="%3."/>
      <w:lvlJc w:val="right"/>
      <w:pPr>
        <w:ind w:left="3306" w:hanging="180"/>
      </w:pPr>
    </w:lvl>
    <w:lvl w:ilvl="3" w:tplc="0405000F" w:tentative="1">
      <w:start w:val="1"/>
      <w:numFmt w:val="decimal"/>
      <w:lvlText w:val="%4."/>
      <w:lvlJc w:val="left"/>
      <w:pPr>
        <w:ind w:left="4026" w:hanging="360"/>
      </w:pPr>
    </w:lvl>
    <w:lvl w:ilvl="4" w:tplc="04050019" w:tentative="1">
      <w:start w:val="1"/>
      <w:numFmt w:val="lowerLetter"/>
      <w:lvlText w:val="%5."/>
      <w:lvlJc w:val="left"/>
      <w:pPr>
        <w:ind w:left="4746" w:hanging="360"/>
      </w:pPr>
    </w:lvl>
    <w:lvl w:ilvl="5" w:tplc="0405001B" w:tentative="1">
      <w:start w:val="1"/>
      <w:numFmt w:val="lowerRoman"/>
      <w:lvlText w:val="%6."/>
      <w:lvlJc w:val="right"/>
      <w:pPr>
        <w:ind w:left="5466" w:hanging="180"/>
      </w:pPr>
    </w:lvl>
    <w:lvl w:ilvl="6" w:tplc="0405000F" w:tentative="1">
      <w:start w:val="1"/>
      <w:numFmt w:val="decimal"/>
      <w:lvlText w:val="%7."/>
      <w:lvlJc w:val="left"/>
      <w:pPr>
        <w:ind w:left="6186" w:hanging="360"/>
      </w:pPr>
    </w:lvl>
    <w:lvl w:ilvl="7" w:tplc="04050019" w:tentative="1">
      <w:start w:val="1"/>
      <w:numFmt w:val="lowerLetter"/>
      <w:lvlText w:val="%8."/>
      <w:lvlJc w:val="left"/>
      <w:pPr>
        <w:ind w:left="6906" w:hanging="360"/>
      </w:pPr>
    </w:lvl>
    <w:lvl w:ilvl="8" w:tplc="0405001B" w:tentative="1">
      <w:start w:val="1"/>
      <w:numFmt w:val="lowerRoman"/>
      <w:lvlText w:val="%9."/>
      <w:lvlJc w:val="right"/>
      <w:pPr>
        <w:ind w:left="7626" w:hanging="180"/>
      </w:pPr>
    </w:lvl>
  </w:abstractNum>
  <w:abstractNum w:abstractNumId="3">
    <w:nsid w:val="168E7B0B"/>
    <w:multiLevelType w:val="hybridMultilevel"/>
    <w:tmpl w:val="A6966F54"/>
    <w:lvl w:ilvl="0" w:tplc="5A0E65BE">
      <w:start w:val="1"/>
      <w:numFmt w:val="decimal"/>
      <w:pStyle w:val="NOPil5"/>
      <w:lvlText w:val="5.%1"/>
      <w:lvlJc w:val="left"/>
      <w:pPr>
        <w:ind w:left="2154" w:hanging="360"/>
      </w:pPr>
      <w:rPr>
        <w:rFonts w:hint="default"/>
        <w:b/>
        <w:i w:val="0"/>
        <w:spacing w:val="20"/>
      </w:rPr>
    </w:lvl>
    <w:lvl w:ilvl="1" w:tplc="04050019">
      <w:start w:val="1"/>
      <w:numFmt w:val="lowerLetter"/>
      <w:lvlText w:val="%2."/>
      <w:lvlJc w:val="left"/>
      <w:pPr>
        <w:ind w:left="2874" w:hanging="360"/>
      </w:pPr>
    </w:lvl>
    <w:lvl w:ilvl="2" w:tplc="0405001B" w:tentative="1">
      <w:start w:val="1"/>
      <w:numFmt w:val="lowerRoman"/>
      <w:lvlText w:val="%3."/>
      <w:lvlJc w:val="right"/>
      <w:pPr>
        <w:ind w:left="3594" w:hanging="180"/>
      </w:pPr>
    </w:lvl>
    <w:lvl w:ilvl="3" w:tplc="0405000F" w:tentative="1">
      <w:start w:val="1"/>
      <w:numFmt w:val="decimal"/>
      <w:lvlText w:val="%4."/>
      <w:lvlJc w:val="left"/>
      <w:pPr>
        <w:ind w:left="4314" w:hanging="360"/>
      </w:pPr>
    </w:lvl>
    <w:lvl w:ilvl="4" w:tplc="04050019" w:tentative="1">
      <w:start w:val="1"/>
      <w:numFmt w:val="lowerLetter"/>
      <w:lvlText w:val="%5."/>
      <w:lvlJc w:val="left"/>
      <w:pPr>
        <w:ind w:left="5034" w:hanging="360"/>
      </w:pPr>
    </w:lvl>
    <w:lvl w:ilvl="5" w:tplc="0405001B" w:tentative="1">
      <w:start w:val="1"/>
      <w:numFmt w:val="lowerRoman"/>
      <w:lvlText w:val="%6."/>
      <w:lvlJc w:val="right"/>
      <w:pPr>
        <w:ind w:left="5754" w:hanging="180"/>
      </w:pPr>
    </w:lvl>
    <w:lvl w:ilvl="6" w:tplc="0405000F" w:tentative="1">
      <w:start w:val="1"/>
      <w:numFmt w:val="decimal"/>
      <w:lvlText w:val="%7."/>
      <w:lvlJc w:val="left"/>
      <w:pPr>
        <w:ind w:left="6474" w:hanging="360"/>
      </w:pPr>
    </w:lvl>
    <w:lvl w:ilvl="7" w:tplc="04050019" w:tentative="1">
      <w:start w:val="1"/>
      <w:numFmt w:val="lowerLetter"/>
      <w:lvlText w:val="%8."/>
      <w:lvlJc w:val="left"/>
      <w:pPr>
        <w:ind w:left="7194" w:hanging="360"/>
      </w:pPr>
    </w:lvl>
    <w:lvl w:ilvl="8" w:tplc="0405001B" w:tentative="1">
      <w:start w:val="1"/>
      <w:numFmt w:val="lowerRoman"/>
      <w:lvlText w:val="%9."/>
      <w:lvlJc w:val="right"/>
      <w:pPr>
        <w:ind w:left="7914" w:hanging="180"/>
      </w:pPr>
    </w:lvl>
  </w:abstractNum>
  <w:abstractNum w:abstractNumId="4">
    <w:nsid w:val="369373FD"/>
    <w:multiLevelType w:val="hybridMultilevel"/>
    <w:tmpl w:val="691AAAC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DF06D03"/>
    <w:multiLevelType w:val="hybridMultilevel"/>
    <w:tmpl w:val="50EA9C86"/>
    <w:lvl w:ilvl="0" w:tplc="63701852">
      <w:start w:val="1"/>
      <w:numFmt w:val="decimal"/>
      <w:pStyle w:val="NOPil4"/>
      <w:lvlText w:val="4.%1"/>
      <w:lvlJc w:val="left"/>
      <w:pPr>
        <w:ind w:left="1437" w:hanging="360"/>
      </w:pPr>
      <w:rPr>
        <w:rFonts w:hint="default"/>
        <w:i w:val="0"/>
        <w:spacing w:val="20"/>
      </w:rPr>
    </w:lvl>
    <w:lvl w:ilvl="1" w:tplc="04050019" w:tentative="1">
      <w:start w:val="1"/>
      <w:numFmt w:val="lowerLetter"/>
      <w:lvlText w:val="%2."/>
      <w:lvlJc w:val="left"/>
      <w:pPr>
        <w:ind w:left="2517" w:hanging="360"/>
      </w:pPr>
    </w:lvl>
    <w:lvl w:ilvl="2" w:tplc="0405001B" w:tentative="1">
      <w:start w:val="1"/>
      <w:numFmt w:val="lowerRoman"/>
      <w:lvlText w:val="%3."/>
      <w:lvlJc w:val="right"/>
      <w:pPr>
        <w:ind w:left="3237" w:hanging="180"/>
      </w:pPr>
    </w:lvl>
    <w:lvl w:ilvl="3" w:tplc="0405000F" w:tentative="1">
      <w:start w:val="1"/>
      <w:numFmt w:val="decimal"/>
      <w:lvlText w:val="%4."/>
      <w:lvlJc w:val="left"/>
      <w:pPr>
        <w:ind w:left="3957" w:hanging="360"/>
      </w:pPr>
    </w:lvl>
    <w:lvl w:ilvl="4" w:tplc="04050019" w:tentative="1">
      <w:start w:val="1"/>
      <w:numFmt w:val="lowerLetter"/>
      <w:lvlText w:val="%5."/>
      <w:lvlJc w:val="left"/>
      <w:pPr>
        <w:ind w:left="4677" w:hanging="360"/>
      </w:pPr>
    </w:lvl>
    <w:lvl w:ilvl="5" w:tplc="0405001B" w:tentative="1">
      <w:start w:val="1"/>
      <w:numFmt w:val="lowerRoman"/>
      <w:lvlText w:val="%6."/>
      <w:lvlJc w:val="right"/>
      <w:pPr>
        <w:ind w:left="5397" w:hanging="180"/>
      </w:pPr>
    </w:lvl>
    <w:lvl w:ilvl="6" w:tplc="0405000F" w:tentative="1">
      <w:start w:val="1"/>
      <w:numFmt w:val="decimal"/>
      <w:lvlText w:val="%7."/>
      <w:lvlJc w:val="left"/>
      <w:pPr>
        <w:ind w:left="6117" w:hanging="360"/>
      </w:pPr>
    </w:lvl>
    <w:lvl w:ilvl="7" w:tplc="04050019" w:tentative="1">
      <w:start w:val="1"/>
      <w:numFmt w:val="lowerLetter"/>
      <w:lvlText w:val="%8."/>
      <w:lvlJc w:val="left"/>
      <w:pPr>
        <w:ind w:left="6837" w:hanging="360"/>
      </w:pPr>
    </w:lvl>
    <w:lvl w:ilvl="8" w:tplc="0405001B" w:tentative="1">
      <w:start w:val="1"/>
      <w:numFmt w:val="lowerRoman"/>
      <w:lvlText w:val="%9."/>
      <w:lvlJc w:val="right"/>
      <w:pPr>
        <w:ind w:left="7557" w:hanging="180"/>
      </w:pPr>
    </w:lvl>
  </w:abstractNum>
  <w:abstractNum w:abstractNumId="6">
    <w:nsid w:val="4868701F"/>
    <w:multiLevelType w:val="hybridMultilevel"/>
    <w:tmpl w:val="92DA60AE"/>
    <w:lvl w:ilvl="0" w:tplc="56463FEA">
      <w:start w:val="1"/>
      <w:numFmt w:val="decimal"/>
      <w:pStyle w:val="NOPil3"/>
      <w:lvlText w:val="3.%1"/>
      <w:lvlJc w:val="left"/>
      <w:pPr>
        <w:ind w:left="1440" w:hanging="360"/>
      </w:pPr>
      <w:rPr>
        <w:rFonts w:hint="default"/>
        <w:b/>
        <w:i w:val="0"/>
        <w:spacing w:val="2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
    <w:nsid w:val="5CE47200"/>
    <w:multiLevelType w:val="hybridMultilevel"/>
    <w:tmpl w:val="86061EE8"/>
    <w:lvl w:ilvl="0" w:tplc="1BF87F10">
      <w:start w:val="1"/>
      <w:numFmt w:val="upperRoman"/>
      <w:pStyle w:val="NOPrezovpriority"/>
      <w:lvlText w:val="%1."/>
      <w:lvlJc w:val="left"/>
      <w:pPr>
        <w:ind w:left="720" w:hanging="360"/>
      </w:pPr>
      <w:rPr>
        <w:rFonts w:hint="default"/>
        <w:b/>
        <w:i w:val="0"/>
        <w:spacing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617C17B2"/>
    <w:multiLevelType w:val="hybridMultilevel"/>
    <w:tmpl w:val="58482742"/>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9">
    <w:nsid w:val="623379C4"/>
    <w:multiLevelType w:val="hybridMultilevel"/>
    <w:tmpl w:val="945E7160"/>
    <w:lvl w:ilvl="0" w:tplc="DE90C7F2">
      <w:start w:val="1"/>
      <w:numFmt w:val="decimal"/>
      <w:pStyle w:val="NOPil2"/>
      <w:lvlText w:val="2.%1"/>
      <w:lvlJc w:val="left"/>
      <w:pPr>
        <w:ind w:left="1080" w:hanging="360"/>
      </w:pPr>
      <w:rPr>
        <w:rFonts w:hint="default"/>
        <w:b/>
        <w:i w:val="0"/>
        <w:spacing w:val="2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nsid w:val="69301264"/>
    <w:multiLevelType w:val="hybridMultilevel"/>
    <w:tmpl w:val="8F50744C"/>
    <w:lvl w:ilvl="0" w:tplc="00D8BEA4">
      <w:start w:val="1"/>
      <w:numFmt w:val="bullet"/>
      <w:pStyle w:val="Odrka-Normln"/>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6BC2365A"/>
    <w:multiLevelType w:val="hybridMultilevel"/>
    <w:tmpl w:val="391667F2"/>
    <w:lvl w:ilvl="0" w:tplc="14648B66">
      <w:start w:val="1"/>
      <w:numFmt w:val="decimal"/>
      <w:pStyle w:val="NOPil1"/>
      <w:lvlText w:val="1.%1"/>
      <w:lvlJc w:val="left"/>
      <w:pPr>
        <w:ind w:left="720" w:hanging="360"/>
      </w:pPr>
      <w:rPr>
        <w:rFonts w:hint="default"/>
        <w:b/>
        <w:i w:val="0"/>
        <w:spacing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794D46AF"/>
    <w:multiLevelType w:val="hybridMultilevel"/>
    <w:tmpl w:val="DCDEB0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
  </w:num>
  <w:num w:numId="4">
    <w:abstractNumId w:val="7"/>
  </w:num>
  <w:num w:numId="5">
    <w:abstractNumId w:val="11"/>
  </w:num>
  <w:num w:numId="6">
    <w:abstractNumId w:val="9"/>
  </w:num>
  <w:num w:numId="7">
    <w:abstractNumId w:val="10"/>
  </w:num>
  <w:num w:numId="8">
    <w:abstractNumId w:val="6"/>
  </w:num>
  <w:num w:numId="9">
    <w:abstractNumId w:val="4"/>
  </w:num>
  <w:num w:numId="10">
    <w:abstractNumId w:val="5"/>
  </w:num>
  <w:num w:numId="11">
    <w:abstractNumId w:val="3"/>
  </w:num>
  <w:num w:numId="12">
    <w:abstractNumId w:val="0"/>
  </w:num>
  <w:num w:numId="13">
    <w:abstractNumId w:val="1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PersonalInformation/>
  <w:removeDateAndTime/>
  <w:proofState w:spelling="clean"/>
  <w:defaultTabStop w:val="709"/>
  <w:hyphenationZone w:val="425"/>
  <w:characterSpacingControl w:val="doNotCompress"/>
  <w:hdrShapeDefaults>
    <o:shapedefaults v:ext="edit" spidmax="97282"/>
  </w:hdrShapeDefaults>
  <w:footnotePr>
    <w:footnote w:id="-1"/>
    <w:footnote w:id="0"/>
  </w:footnotePr>
  <w:endnotePr>
    <w:endnote w:id="-1"/>
    <w:endnote w:id="0"/>
  </w:endnotePr>
  <w:compat/>
  <w:rsids>
    <w:rsidRoot w:val="00054B82"/>
    <w:rsid w:val="00001B98"/>
    <w:rsid w:val="000021A0"/>
    <w:rsid w:val="00002276"/>
    <w:rsid w:val="0001021F"/>
    <w:rsid w:val="0001231C"/>
    <w:rsid w:val="00013F4D"/>
    <w:rsid w:val="000222F1"/>
    <w:rsid w:val="00023695"/>
    <w:rsid w:val="000264FF"/>
    <w:rsid w:val="000301AC"/>
    <w:rsid w:val="00030281"/>
    <w:rsid w:val="0003181C"/>
    <w:rsid w:val="000319EC"/>
    <w:rsid w:val="00031DC2"/>
    <w:rsid w:val="000321DA"/>
    <w:rsid w:val="00033690"/>
    <w:rsid w:val="000337D1"/>
    <w:rsid w:val="00033855"/>
    <w:rsid w:val="00034884"/>
    <w:rsid w:val="00034B05"/>
    <w:rsid w:val="00035CDE"/>
    <w:rsid w:val="0004044C"/>
    <w:rsid w:val="000406D1"/>
    <w:rsid w:val="00040DE3"/>
    <w:rsid w:val="00041723"/>
    <w:rsid w:val="00041B6B"/>
    <w:rsid w:val="000438C0"/>
    <w:rsid w:val="00046907"/>
    <w:rsid w:val="00050E98"/>
    <w:rsid w:val="00052C88"/>
    <w:rsid w:val="000536B5"/>
    <w:rsid w:val="00054B4D"/>
    <w:rsid w:val="00054B82"/>
    <w:rsid w:val="00060E86"/>
    <w:rsid w:val="0006166C"/>
    <w:rsid w:val="00061CD2"/>
    <w:rsid w:val="000650D9"/>
    <w:rsid w:val="00066310"/>
    <w:rsid w:val="00066991"/>
    <w:rsid w:val="00067325"/>
    <w:rsid w:val="0007168D"/>
    <w:rsid w:val="000721BA"/>
    <w:rsid w:val="00072D91"/>
    <w:rsid w:val="00074BCF"/>
    <w:rsid w:val="0007557B"/>
    <w:rsid w:val="000755EF"/>
    <w:rsid w:val="00077C7D"/>
    <w:rsid w:val="00077D6F"/>
    <w:rsid w:val="00080F66"/>
    <w:rsid w:val="00081538"/>
    <w:rsid w:val="00081916"/>
    <w:rsid w:val="0008321E"/>
    <w:rsid w:val="00086441"/>
    <w:rsid w:val="000901ED"/>
    <w:rsid w:val="00091143"/>
    <w:rsid w:val="00092387"/>
    <w:rsid w:val="0009257F"/>
    <w:rsid w:val="000929E6"/>
    <w:rsid w:val="00092E0D"/>
    <w:rsid w:val="00095BE1"/>
    <w:rsid w:val="00097EE6"/>
    <w:rsid w:val="000A0887"/>
    <w:rsid w:val="000A120B"/>
    <w:rsid w:val="000A15CB"/>
    <w:rsid w:val="000A1ADE"/>
    <w:rsid w:val="000A4365"/>
    <w:rsid w:val="000A5106"/>
    <w:rsid w:val="000A5336"/>
    <w:rsid w:val="000A5A90"/>
    <w:rsid w:val="000A5BB7"/>
    <w:rsid w:val="000A693D"/>
    <w:rsid w:val="000A7AA2"/>
    <w:rsid w:val="000B19B6"/>
    <w:rsid w:val="000B1B24"/>
    <w:rsid w:val="000B1F8F"/>
    <w:rsid w:val="000B284B"/>
    <w:rsid w:val="000B3391"/>
    <w:rsid w:val="000B4861"/>
    <w:rsid w:val="000B7A20"/>
    <w:rsid w:val="000C1E5E"/>
    <w:rsid w:val="000C261E"/>
    <w:rsid w:val="000C3127"/>
    <w:rsid w:val="000C3415"/>
    <w:rsid w:val="000C44CC"/>
    <w:rsid w:val="000C5244"/>
    <w:rsid w:val="000C5D20"/>
    <w:rsid w:val="000D09C6"/>
    <w:rsid w:val="000D236F"/>
    <w:rsid w:val="000D5C34"/>
    <w:rsid w:val="000D5F76"/>
    <w:rsid w:val="000D69E5"/>
    <w:rsid w:val="000E2F6F"/>
    <w:rsid w:val="000E3094"/>
    <w:rsid w:val="000E3FC6"/>
    <w:rsid w:val="000E4AEB"/>
    <w:rsid w:val="000E6C93"/>
    <w:rsid w:val="000E6E66"/>
    <w:rsid w:val="000E7FFC"/>
    <w:rsid w:val="000F1413"/>
    <w:rsid w:val="000F25B5"/>
    <w:rsid w:val="000F325E"/>
    <w:rsid w:val="000F69B2"/>
    <w:rsid w:val="000F6DDE"/>
    <w:rsid w:val="0010098F"/>
    <w:rsid w:val="00102660"/>
    <w:rsid w:val="001029FC"/>
    <w:rsid w:val="00103C4B"/>
    <w:rsid w:val="001041FD"/>
    <w:rsid w:val="00104239"/>
    <w:rsid w:val="0010753B"/>
    <w:rsid w:val="00110606"/>
    <w:rsid w:val="00110C60"/>
    <w:rsid w:val="001119A5"/>
    <w:rsid w:val="001134C2"/>
    <w:rsid w:val="00116569"/>
    <w:rsid w:val="00116F18"/>
    <w:rsid w:val="00117F60"/>
    <w:rsid w:val="00120C3D"/>
    <w:rsid w:val="001212B3"/>
    <w:rsid w:val="00121B79"/>
    <w:rsid w:val="00126A88"/>
    <w:rsid w:val="00126B66"/>
    <w:rsid w:val="00126E71"/>
    <w:rsid w:val="00127602"/>
    <w:rsid w:val="00130A03"/>
    <w:rsid w:val="00134361"/>
    <w:rsid w:val="001362B0"/>
    <w:rsid w:val="001369E1"/>
    <w:rsid w:val="00137067"/>
    <w:rsid w:val="001422FD"/>
    <w:rsid w:val="00142F2E"/>
    <w:rsid w:val="001433BC"/>
    <w:rsid w:val="0014404D"/>
    <w:rsid w:val="00144AA3"/>
    <w:rsid w:val="00147D72"/>
    <w:rsid w:val="00153DD8"/>
    <w:rsid w:val="00154385"/>
    <w:rsid w:val="00154CB0"/>
    <w:rsid w:val="0015559B"/>
    <w:rsid w:val="0015672D"/>
    <w:rsid w:val="00156DBE"/>
    <w:rsid w:val="001579BD"/>
    <w:rsid w:val="00161CB8"/>
    <w:rsid w:val="00162686"/>
    <w:rsid w:val="00163407"/>
    <w:rsid w:val="001641C0"/>
    <w:rsid w:val="00164487"/>
    <w:rsid w:val="00164B7E"/>
    <w:rsid w:val="00164E67"/>
    <w:rsid w:val="001655BE"/>
    <w:rsid w:val="001656BA"/>
    <w:rsid w:val="0016575B"/>
    <w:rsid w:val="00170D16"/>
    <w:rsid w:val="00171204"/>
    <w:rsid w:val="00171878"/>
    <w:rsid w:val="00171C53"/>
    <w:rsid w:val="00171F6C"/>
    <w:rsid w:val="00172E2C"/>
    <w:rsid w:val="00174044"/>
    <w:rsid w:val="001749BC"/>
    <w:rsid w:val="00175724"/>
    <w:rsid w:val="00176B32"/>
    <w:rsid w:val="00177245"/>
    <w:rsid w:val="00180268"/>
    <w:rsid w:val="00181007"/>
    <w:rsid w:val="00184281"/>
    <w:rsid w:val="00185953"/>
    <w:rsid w:val="0018714C"/>
    <w:rsid w:val="00190A2A"/>
    <w:rsid w:val="00191A46"/>
    <w:rsid w:val="0019441F"/>
    <w:rsid w:val="001946A3"/>
    <w:rsid w:val="00194B36"/>
    <w:rsid w:val="00194E16"/>
    <w:rsid w:val="00195D17"/>
    <w:rsid w:val="00195DD7"/>
    <w:rsid w:val="00196B06"/>
    <w:rsid w:val="001A38A1"/>
    <w:rsid w:val="001A3EFF"/>
    <w:rsid w:val="001A4173"/>
    <w:rsid w:val="001A580B"/>
    <w:rsid w:val="001B0541"/>
    <w:rsid w:val="001B1732"/>
    <w:rsid w:val="001B27FA"/>
    <w:rsid w:val="001B46C2"/>
    <w:rsid w:val="001B49FC"/>
    <w:rsid w:val="001B5CD4"/>
    <w:rsid w:val="001B73ED"/>
    <w:rsid w:val="001B79FD"/>
    <w:rsid w:val="001C5BA8"/>
    <w:rsid w:val="001C610E"/>
    <w:rsid w:val="001C7D80"/>
    <w:rsid w:val="001D2993"/>
    <w:rsid w:val="001D4807"/>
    <w:rsid w:val="001D592B"/>
    <w:rsid w:val="001D619B"/>
    <w:rsid w:val="001E2A3B"/>
    <w:rsid w:val="001E32B8"/>
    <w:rsid w:val="001E4837"/>
    <w:rsid w:val="001E61BE"/>
    <w:rsid w:val="001E6776"/>
    <w:rsid w:val="001E71AB"/>
    <w:rsid w:val="001F0DBF"/>
    <w:rsid w:val="001F1813"/>
    <w:rsid w:val="001F22C9"/>
    <w:rsid w:val="001F313C"/>
    <w:rsid w:val="001F31D0"/>
    <w:rsid w:val="001F7B44"/>
    <w:rsid w:val="002033A4"/>
    <w:rsid w:val="00206B66"/>
    <w:rsid w:val="00207385"/>
    <w:rsid w:val="00210366"/>
    <w:rsid w:val="00210922"/>
    <w:rsid w:val="002132E5"/>
    <w:rsid w:val="00214C13"/>
    <w:rsid w:val="002152C3"/>
    <w:rsid w:val="00215309"/>
    <w:rsid w:val="00220B81"/>
    <w:rsid w:val="00220FF6"/>
    <w:rsid w:val="0022243F"/>
    <w:rsid w:val="00223BAF"/>
    <w:rsid w:val="00224B49"/>
    <w:rsid w:val="00227BD4"/>
    <w:rsid w:val="00230567"/>
    <w:rsid w:val="00232690"/>
    <w:rsid w:val="00232C3C"/>
    <w:rsid w:val="0023405E"/>
    <w:rsid w:val="00234485"/>
    <w:rsid w:val="002352AC"/>
    <w:rsid w:val="0023674A"/>
    <w:rsid w:val="00237FBE"/>
    <w:rsid w:val="002403F4"/>
    <w:rsid w:val="00242A50"/>
    <w:rsid w:val="002431F9"/>
    <w:rsid w:val="002435D7"/>
    <w:rsid w:val="00245F48"/>
    <w:rsid w:val="002463D4"/>
    <w:rsid w:val="00250123"/>
    <w:rsid w:val="0025115E"/>
    <w:rsid w:val="00255C03"/>
    <w:rsid w:val="00260E39"/>
    <w:rsid w:val="002624CD"/>
    <w:rsid w:val="0026390B"/>
    <w:rsid w:val="00263DFB"/>
    <w:rsid w:val="00265B9F"/>
    <w:rsid w:val="00267B9F"/>
    <w:rsid w:val="002705F2"/>
    <w:rsid w:val="00270646"/>
    <w:rsid w:val="00272A4E"/>
    <w:rsid w:val="0027454A"/>
    <w:rsid w:val="002747DC"/>
    <w:rsid w:val="00275EC7"/>
    <w:rsid w:val="00277CDD"/>
    <w:rsid w:val="002809E7"/>
    <w:rsid w:val="002810BA"/>
    <w:rsid w:val="002810E6"/>
    <w:rsid w:val="00281894"/>
    <w:rsid w:val="00282512"/>
    <w:rsid w:val="00284F2D"/>
    <w:rsid w:val="00285EF7"/>
    <w:rsid w:val="002872D5"/>
    <w:rsid w:val="0028742C"/>
    <w:rsid w:val="00290255"/>
    <w:rsid w:val="002918AA"/>
    <w:rsid w:val="00292049"/>
    <w:rsid w:val="002922A0"/>
    <w:rsid w:val="0029235C"/>
    <w:rsid w:val="00294AD4"/>
    <w:rsid w:val="00294DD1"/>
    <w:rsid w:val="00296AD0"/>
    <w:rsid w:val="002A127F"/>
    <w:rsid w:val="002A20AF"/>
    <w:rsid w:val="002A2289"/>
    <w:rsid w:val="002A3230"/>
    <w:rsid w:val="002A5C09"/>
    <w:rsid w:val="002A6BE6"/>
    <w:rsid w:val="002A7EFB"/>
    <w:rsid w:val="002A7FAF"/>
    <w:rsid w:val="002B0890"/>
    <w:rsid w:val="002B2454"/>
    <w:rsid w:val="002B3C3D"/>
    <w:rsid w:val="002B49F1"/>
    <w:rsid w:val="002B588D"/>
    <w:rsid w:val="002B7068"/>
    <w:rsid w:val="002C006C"/>
    <w:rsid w:val="002C1632"/>
    <w:rsid w:val="002C325B"/>
    <w:rsid w:val="002C6294"/>
    <w:rsid w:val="002D0ADE"/>
    <w:rsid w:val="002D1708"/>
    <w:rsid w:val="002D1B50"/>
    <w:rsid w:val="002D4E0D"/>
    <w:rsid w:val="002D58AB"/>
    <w:rsid w:val="002D6645"/>
    <w:rsid w:val="002D6A80"/>
    <w:rsid w:val="002E1986"/>
    <w:rsid w:val="002E384A"/>
    <w:rsid w:val="002E5837"/>
    <w:rsid w:val="002E76F3"/>
    <w:rsid w:val="002F2735"/>
    <w:rsid w:val="002F571A"/>
    <w:rsid w:val="002F5944"/>
    <w:rsid w:val="002F5BAB"/>
    <w:rsid w:val="002F7CE7"/>
    <w:rsid w:val="00303880"/>
    <w:rsid w:val="00305AF8"/>
    <w:rsid w:val="00305FC5"/>
    <w:rsid w:val="0030692B"/>
    <w:rsid w:val="003073B2"/>
    <w:rsid w:val="0031091D"/>
    <w:rsid w:val="00310E96"/>
    <w:rsid w:val="003129E7"/>
    <w:rsid w:val="00313077"/>
    <w:rsid w:val="0031424C"/>
    <w:rsid w:val="00316897"/>
    <w:rsid w:val="0031720E"/>
    <w:rsid w:val="003175D4"/>
    <w:rsid w:val="00317749"/>
    <w:rsid w:val="00317EA9"/>
    <w:rsid w:val="00320BC4"/>
    <w:rsid w:val="003215FB"/>
    <w:rsid w:val="00321D82"/>
    <w:rsid w:val="00323197"/>
    <w:rsid w:val="003236CD"/>
    <w:rsid w:val="00324648"/>
    <w:rsid w:val="00324AF2"/>
    <w:rsid w:val="00325679"/>
    <w:rsid w:val="00330127"/>
    <w:rsid w:val="00332700"/>
    <w:rsid w:val="00332F02"/>
    <w:rsid w:val="00334820"/>
    <w:rsid w:val="003361C1"/>
    <w:rsid w:val="00337103"/>
    <w:rsid w:val="00340A28"/>
    <w:rsid w:val="0034197D"/>
    <w:rsid w:val="00344CC2"/>
    <w:rsid w:val="00345057"/>
    <w:rsid w:val="00346254"/>
    <w:rsid w:val="0035067B"/>
    <w:rsid w:val="00352551"/>
    <w:rsid w:val="0035369C"/>
    <w:rsid w:val="00357328"/>
    <w:rsid w:val="003659FE"/>
    <w:rsid w:val="00365E0D"/>
    <w:rsid w:val="00367E9A"/>
    <w:rsid w:val="00376464"/>
    <w:rsid w:val="00376BDC"/>
    <w:rsid w:val="00376D69"/>
    <w:rsid w:val="00380798"/>
    <w:rsid w:val="003819F3"/>
    <w:rsid w:val="0038201D"/>
    <w:rsid w:val="00382726"/>
    <w:rsid w:val="00385324"/>
    <w:rsid w:val="003859FA"/>
    <w:rsid w:val="00395217"/>
    <w:rsid w:val="003955E0"/>
    <w:rsid w:val="0039632A"/>
    <w:rsid w:val="003A0808"/>
    <w:rsid w:val="003B05E8"/>
    <w:rsid w:val="003B1CBB"/>
    <w:rsid w:val="003B397A"/>
    <w:rsid w:val="003B7110"/>
    <w:rsid w:val="003C2F8B"/>
    <w:rsid w:val="003C4000"/>
    <w:rsid w:val="003C510E"/>
    <w:rsid w:val="003C53EB"/>
    <w:rsid w:val="003C5A95"/>
    <w:rsid w:val="003C7804"/>
    <w:rsid w:val="003C7AF0"/>
    <w:rsid w:val="003C7D19"/>
    <w:rsid w:val="003D1A53"/>
    <w:rsid w:val="003D2999"/>
    <w:rsid w:val="003D344C"/>
    <w:rsid w:val="003D3CE2"/>
    <w:rsid w:val="003D4903"/>
    <w:rsid w:val="003D4DA2"/>
    <w:rsid w:val="003D4EFE"/>
    <w:rsid w:val="003D56A0"/>
    <w:rsid w:val="003D5795"/>
    <w:rsid w:val="003D6183"/>
    <w:rsid w:val="003E1254"/>
    <w:rsid w:val="003E138E"/>
    <w:rsid w:val="003E4740"/>
    <w:rsid w:val="003E56FA"/>
    <w:rsid w:val="003E5C15"/>
    <w:rsid w:val="003F0F42"/>
    <w:rsid w:val="003F20FB"/>
    <w:rsid w:val="003F2D23"/>
    <w:rsid w:val="003F41B0"/>
    <w:rsid w:val="003F4A66"/>
    <w:rsid w:val="003F5675"/>
    <w:rsid w:val="003F7D5B"/>
    <w:rsid w:val="00400562"/>
    <w:rsid w:val="004010C0"/>
    <w:rsid w:val="004013EB"/>
    <w:rsid w:val="00402127"/>
    <w:rsid w:val="0040234E"/>
    <w:rsid w:val="00402FF3"/>
    <w:rsid w:val="00404351"/>
    <w:rsid w:val="00404DDD"/>
    <w:rsid w:val="00406120"/>
    <w:rsid w:val="00411594"/>
    <w:rsid w:val="00411EFE"/>
    <w:rsid w:val="0041284D"/>
    <w:rsid w:val="00413077"/>
    <w:rsid w:val="00414CF0"/>
    <w:rsid w:val="004157D6"/>
    <w:rsid w:val="00417B1C"/>
    <w:rsid w:val="00422532"/>
    <w:rsid w:val="00422626"/>
    <w:rsid w:val="00424010"/>
    <w:rsid w:val="00424D8F"/>
    <w:rsid w:val="00424E47"/>
    <w:rsid w:val="00427760"/>
    <w:rsid w:val="004277F5"/>
    <w:rsid w:val="00431CA7"/>
    <w:rsid w:val="00432796"/>
    <w:rsid w:val="0043329F"/>
    <w:rsid w:val="00433D94"/>
    <w:rsid w:val="0043486C"/>
    <w:rsid w:val="004350D0"/>
    <w:rsid w:val="00437467"/>
    <w:rsid w:val="00440572"/>
    <w:rsid w:val="00440D41"/>
    <w:rsid w:val="00440E38"/>
    <w:rsid w:val="00444C9C"/>
    <w:rsid w:val="004454E9"/>
    <w:rsid w:val="004460B5"/>
    <w:rsid w:val="004473ED"/>
    <w:rsid w:val="0045114B"/>
    <w:rsid w:val="00451C3E"/>
    <w:rsid w:val="0045236A"/>
    <w:rsid w:val="00452646"/>
    <w:rsid w:val="00452A5A"/>
    <w:rsid w:val="00452C20"/>
    <w:rsid w:val="00453617"/>
    <w:rsid w:val="00453738"/>
    <w:rsid w:val="00454409"/>
    <w:rsid w:val="00455F16"/>
    <w:rsid w:val="00456971"/>
    <w:rsid w:val="00457AA9"/>
    <w:rsid w:val="00457D42"/>
    <w:rsid w:val="0046090E"/>
    <w:rsid w:val="004611BC"/>
    <w:rsid w:val="0046267D"/>
    <w:rsid w:val="004629A5"/>
    <w:rsid w:val="004635CB"/>
    <w:rsid w:val="00463F60"/>
    <w:rsid w:val="00464980"/>
    <w:rsid w:val="00470179"/>
    <w:rsid w:val="00471A30"/>
    <w:rsid w:val="00471C92"/>
    <w:rsid w:val="00472DBB"/>
    <w:rsid w:val="004732F7"/>
    <w:rsid w:val="00476AA2"/>
    <w:rsid w:val="00477679"/>
    <w:rsid w:val="00482DBE"/>
    <w:rsid w:val="00484846"/>
    <w:rsid w:val="00485762"/>
    <w:rsid w:val="00485B95"/>
    <w:rsid w:val="004863B6"/>
    <w:rsid w:val="00487EAF"/>
    <w:rsid w:val="00490D60"/>
    <w:rsid w:val="00491214"/>
    <w:rsid w:val="00491952"/>
    <w:rsid w:val="00491C85"/>
    <w:rsid w:val="00492529"/>
    <w:rsid w:val="00492CD8"/>
    <w:rsid w:val="00493735"/>
    <w:rsid w:val="00497C29"/>
    <w:rsid w:val="004A237C"/>
    <w:rsid w:val="004A4201"/>
    <w:rsid w:val="004A429B"/>
    <w:rsid w:val="004A4A8B"/>
    <w:rsid w:val="004A55AD"/>
    <w:rsid w:val="004A5A32"/>
    <w:rsid w:val="004A5AF4"/>
    <w:rsid w:val="004A5E91"/>
    <w:rsid w:val="004A7217"/>
    <w:rsid w:val="004B060D"/>
    <w:rsid w:val="004B340A"/>
    <w:rsid w:val="004B4E4D"/>
    <w:rsid w:val="004B6641"/>
    <w:rsid w:val="004C0370"/>
    <w:rsid w:val="004C0790"/>
    <w:rsid w:val="004C09C0"/>
    <w:rsid w:val="004C17CB"/>
    <w:rsid w:val="004C5634"/>
    <w:rsid w:val="004C5767"/>
    <w:rsid w:val="004C60D9"/>
    <w:rsid w:val="004C62BD"/>
    <w:rsid w:val="004D1B47"/>
    <w:rsid w:val="004D52E2"/>
    <w:rsid w:val="004D6303"/>
    <w:rsid w:val="004D7238"/>
    <w:rsid w:val="004D7E4E"/>
    <w:rsid w:val="004E0B2E"/>
    <w:rsid w:val="004E10C6"/>
    <w:rsid w:val="004E399E"/>
    <w:rsid w:val="004E6270"/>
    <w:rsid w:val="004E753E"/>
    <w:rsid w:val="004E7A13"/>
    <w:rsid w:val="004E7FDF"/>
    <w:rsid w:val="004F07BF"/>
    <w:rsid w:val="004F0911"/>
    <w:rsid w:val="004F265B"/>
    <w:rsid w:val="004F480A"/>
    <w:rsid w:val="004F67DA"/>
    <w:rsid w:val="005013F5"/>
    <w:rsid w:val="005023DB"/>
    <w:rsid w:val="00507621"/>
    <w:rsid w:val="00507E63"/>
    <w:rsid w:val="00511AB8"/>
    <w:rsid w:val="00513B70"/>
    <w:rsid w:val="00515E83"/>
    <w:rsid w:val="00521C84"/>
    <w:rsid w:val="005230A5"/>
    <w:rsid w:val="0052323C"/>
    <w:rsid w:val="00524035"/>
    <w:rsid w:val="00527B32"/>
    <w:rsid w:val="00527CDD"/>
    <w:rsid w:val="00530D25"/>
    <w:rsid w:val="005315C4"/>
    <w:rsid w:val="005320E0"/>
    <w:rsid w:val="0053461A"/>
    <w:rsid w:val="005346C1"/>
    <w:rsid w:val="005372CC"/>
    <w:rsid w:val="00541953"/>
    <w:rsid w:val="00544011"/>
    <w:rsid w:val="00545492"/>
    <w:rsid w:val="0054719D"/>
    <w:rsid w:val="005473E7"/>
    <w:rsid w:val="00550727"/>
    <w:rsid w:val="00550A38"/>
    <w:rsid w:val="00552917"/>
    <w:rsid w:val="0055419C"/>
    <w:rsid w:val="00554F88"/>
    <w:rsid w:val="00556BBF"/>
    <w:rsid w:val="00557408"/>
    <w:rsid w:val="00560C48"/>
    <w:rsid w:val="005637B4"/>
    <w:rsid w:val="00566A88"/>
    <w:rsid w:val="005703B6"/>
    <w:rsid w:val="005708BC"/>
    <w:rsid w:val="005709C2"/>
    <w:rsid w:val="0057263A"/>
    <w:rsid w:val="00573B9C"/>
    <w:rsid w:val="0057440B"/>
    <w:rsid w:val="0057652D"/>
    <w:rsid w:val="00576EF5"/>
    <w:rsid w:val="005778AC"/>
    <w:rsid w:val="00584D85"/>
    <w:rsid w:val="005874ED"/>
    <w:rsid w:val="00593357"/>
    <w:rsid w:val="00593C0F"/>
    <w:rsid w:val="00594990"/>
    <w:rsid w:val="00595D2A"/>
    <w:rsid w:val="005A054C"/>
    <w:rsid w:val="005A24E3"/>
    <w:rsid w:val="005A2504"/>
    <w:rsid w:val="005A3E0F"/>
    <w:rsid w:val="005A44FE"/>
    <w:rsid w:val="005A6CA3"/>
    <w:rsid w:val="005B05D0"/>
    <w:rsid w:val="005B122B"/>
    <w:rsid w:val="005B2435"/>
    <w:rsid w:val="005B3336"/>
    <w:rsid w:val="005B3D0B"/>
    <w:rsid w:val="005B5696"/>
    <w:rsid w:val="005B58CA"/>
    <w:rsid w:val="005B6E4D"/>
    <w:rsid w:val="005B7247"/>
    <w:rsid w:val="005B79A2"/>
    <w:rsid w:val="005C034C"/>
    <w:rsid w:val="005C0491"/>
    <w:rsid w:val="005C27E0"/>
    <w:rsid w:val="005C3905"/>
    <w:rsid w:val="005C50D4"/>
    <w:rsid w:val="005C7322"/>
    <w:rsid w:val="005C734C"/>
    <w:rsid w:val="005C735E"/>
    <w:rsid w:val="005D1273"/>
    <w:rsid w:val="005D1468"/>
    <w:rsid w:val="005D181A"/>
    <w:rsid w:val="005D1B76"/>
    <w:rsid w:val="005D1CB4"/>
    <w:rsid w:val="005D26C5"/>
    <w:rsid w:val="005D2F9D"/>
    <w:rsid w:val="005D4595"/>
    <w:rsid w:val="005D47D2"/>
    <w:rsid w:val="005D4E55"/>
    <w:rsid w:val="005D500D"/>
    <w:rsid w:val="005D5981"/>
    <w:rsid w:val="005D5C44"/>
    <w:rsid w:val="005D5EBC"/>
    <w:rsid w:val="005D7386"/>
    <w:rsid w:val="005D7628"/>
    <w:rsid w:val="005D79B8"/>
    <w:rsid w:val="005D7B19"/>
    <w:rsid w:val="005E084C"/>
    <w:rsid w:val="005E14A4"/>
    <w:rsid w:val="005E15CF"/>
    <w:rsid w:val="005E3950"/>
    <w:rsid w:val="005E418D"/>
    <w:rsid w:val="005E59DA"/>
    <w:rsid w:val="005E5BBC"/>
    <w:rsid w:val="005E6329"/>
    <w:rsid w:val="005F00D7"/>
    <w:rsid w:val="005F0C62"/>
    <w:rsid w:val="005F16E3"/>
    <w:rsid w:val="005F33C3"/>
    <w:rsid w:val="005F431E"/>
    <w:rsid w:val="005F5DBC"/>
    <w:rsid w:val="005F5F93"/>
    <w:rsid w:val="005F72FA"/>
    <w:rsid w:val="006002E3"/>
    <w:rsid w:val="00600574"/>
    <w:rsid w:val="00600595"/>
    <w:rsid w:val="00600C63"/>
    <w:rsid w:val="00603201"/>
    <w:rsid w:val="00603513"/>
    <w:rsid w:val="006043C6"/>
    <w:rsid w:val="006050A1"/>
    <w:rsid w:val="006063AA"/>
    <w:rsid w:val="00606768"/>
    <w:rsid w:val="006070BD"/>
    <w:rsid w:val="006071F4"/>
    <w:rsid w:val="00610029"/>
    <w:rsid w:val="00612123"/>
    <w:rsid w:val="0061329F"/>
    <w:rsid w:val="00613FC1"/>
    <w:rsid w:val="00615383"/>
    <w:rsid w:val="00615C8A"/>
    <w:rsid w:val="00615D1A"/>
    <w:rsid w:val="00615E0D"/>
    <w:rsid w:val="0061669B"/>
    <w:rsid w:val="00616861"/>
    <w:rsid w:val="00616DC3"/>
    <w:rsid w:val="00617A4E"/>
    <w:rsid w:val="00617B85"/>
    <w:rsid w:val="00620EA9"/>
    <w:rsid w:val="00620ED9"/>
    <w:rsid w:val="00621964"/>
    <w:rsid w:val="006219B4"/>
    <w:rsid w:val="00624234"/>
    <w:rsid w:val="00625283"/>
    <w:rsid w:val="00626E35"/>
    <w:rsid w:val="006273D7"/>
    <w:rsid w:val="00633519"/>
    <w:rsid w:val="00635863"/>
    <w:rsid w:val="00636FA7"/>
    <w:rsid w:val="0063737F"/>
    <w:rsid w:val="0064075A"/>
    <w:rsid w:val="00641385"/>
    <w:rsid w:val="00641412"/>
    <w:rsid w:val="00642557"/>
    <w:rsid w:val="0064648F"/>
    <w:rsid w:val="006466B1"/>
    <w:rsid w:val="00646E61"/>
    <w:rsid w:val="0064771A"/>
    <w:rsid w:val="0064793F"/>
    <w:rsid w:val="006525B1"/>
    <w:rsid w:val="006528B1"/>
    <w:rsid w:val="006529DD"/>
    <w:rsid w:val="00652DC7"/>
    <w:rsid w:val="00653CF0"/>
    <w:rsid w:val="00655F46"/>
    <w:rsid w:val="0065778C"/>
    <w:rsid w:val="00657B71"/>
    <w:rsid w:val="00662149"/>
    <w:rsid w:val="00666BEE"/>
    <w:rsid w:val="00667148"/>
    <w:rsid w:val="00667DBF"/>
    <w:rsid w:val="00667FC4"/>
    <w:rsid w:val="006715EF"/>
    <w:rsid w:val="00671618"/>
    <w:rsid w:val="00675558"/>
    <w:rsid w:val="00676731"/>
    <w:rsid w:val="0067727F"/>
    <w:rsid w:val="00680F10"/>
    <w:rsid w:val="00681C97"/>
    <w:rsid w:val="00685378"/>
    <w:rsid w:val="00685B42"/>
    <w:rsid w:val="006860E2"/>
    <w:rsid w:val="00686197"/>
    <w:rsid w:val="0068660C"/>
    <w:rsid w:val="0069013A"/>
    <w:rsid w:val="006915E4"/>
    <w:rsid w:val="00691C5B"/>
    <w:rsid w:val="0069243C"/>
    <w:rsid w:val="00692598"/>
    <w:rsid w:val="00692FFB"/>
    <w:rsid w:val="00697E71"/>
    <w:rsid w:val="006A0130"/>
    <w:rsid w:val="006A017C"/>
    <w:rsid w:val="006A06DE"/>
    <w:rsid w:val="006A10B7"/>
    <w:rsid w:val="006A10EC"/>
    <w:rsid w:val="006A2ACC"/>
    <w:rsid w:val="006A34E2"/>
    <w:rsid w:val="006B111F"/>
    <w:rsid w:val="006B1185"/>
    <w:rsid w:val="006B24EB"/>
    <w:rsid w:val="006B4301"/>
    <w:rsid w:val="006B4DE4"/>
    <w:rsid w:val="006B5544"/>
    <w:rsid w:val="006B75E3"/>
    <w:rsid w:val="006C057D"/>
    <w:rsid w:val="006C0C0A"/>
    <w:rsid w:val="006C3061"/>
    <w:rsid w:val="006C327B"/>
    <w:rsid w:val="006C35C3"/>
    <w:rsid w:val="006C4752"/>
    <w:rsid w:val="006C4E9E"/>
    <w:rsid w:val="006C59AA"/>
    <w:rsid w:val="006C5FEF"/>
    <w:rsid w:val="006C6AD4"/>
    <w:rsid w:val="006C7D06"/>
    <w:rsid w:val="006D18AA"/>
    <w:rsid w:val="006D2F8C"/>
    <w:rsid w:val="006D368B"/>
    <w:rsid w:val="006D4F5D"/>
    <w:rsid w:val="006D6486"/>
    <w:rsid w:val="006D6603"/>
    <w:rsid w:val="006D793D"/>
    <w:rsid w:val="006E26DA"/>
    <w:rsid w:val="006E2EEF"/>
    <w:rsid w:val="006E3469"/>
    <w:rsid w:val="006E3D92"/>
    <w:rsid w:val="006E65AA"/>
    <w:rsid w:val="006F001A"/>
    <w:rsid w:val="006F01A1"/>
    <w:rsid w:val="006F3538"/>
    <w:rsid w:val="006F527C"/>
    <w:rsid w:val="006F7B72"/>
    <w:rsid w:val="00700359"/>
    <w:rsid w:val="007046D8"/>
    <w:rsid w:val="00704A3B"/>
    <w:rsid w:val="00705DEB"/>
    <w:rsid w:val="00705E1C"/>
    <w:rsid w:val="00705ECB"/>
    <w:rsid w:val="00707D2D"/>
    <w:rsid w:val="0071233E"/>
    <w:rsid w:val="007137CB"/>
    <w:rsid w:val="00715E01"/>
    <w:rsid w:val="00716198"/>
    <w:rsid w:val="007167FB"/>
    <w:rsid w:val="00717BEA"/>
    <w:rsid w:val="007214BE"/>
    <w:rsid w:val="00721BAF"/>
    <w:rsid w:val="00722BE5"/>
    <w:rsid w:val="00723C96"/>
    <w:rsid w:val="00723F32"/>
    <w:rsid w:val="00725BFF"/>
    <w:rsid w:val="007274F4"/>
    <w:rsid w:val="00737313"/>
    <w:rsid w:val="00737597"/>
    <w:rsid w:val="007378E1"/>
    <w:rsid w:val="00737CCD"/>
    <w:rsid w:val="00740F3D"/>
    <w:rsid w:val="00741912"/>
    <w:rsid w:val="007424E1"/>
    <w:rsid w:val="007424FB"/>
    <w:rsid w:val="007440C9"/>
    <w:rsid w:val="00744441"/>
    <w:rsid w:val="00744BAA"/>
    <w:rsid w:val="007457CB"/>
    <w:rsid w:val="007470D6"/>
    <w:rsid w:val="00747D63"/>
    <w:rsid w:val="00750A62"/>
    <w:rsid w:val="007532F3"/>
    <w:rsid w:val="00753DF3"/>
    <w:rsid w:val="007630AE"/>
    <w:rsid w:val="00763673"/>
    <w:rsid w:val="0076381C"/>
    <w:rsid w:val="0076428E"/>
    <w:rsid w:val="00764564"/>
    <w:rsid w:val="00764CC0"/>
    <w:rsid w:val="0076752B"/>
    <w:rsid w:val="00767974"/>
    <w:rsid w:val="00770189"/>
    <w:rsid w:val="007707BE"/>
    <w:rsid w:val="00770FA3"/>
    <w:rsid w:val="00771E66"/>
    <w:rsid w:val="0077216C"/>
    <w:rsid w:val="0077328C"/>
    <w:rsid w:val="00774744"/>
    <w:rsid w:val="00774F75"/>
    <w:rsid w:val="00775480"/>
    <w:rsid w:val="00775E3B"/>
    <w:rsid w:val="0077674E"/>
    <w:rsid w:val="007767E4"/>
    <w:rsid w:val="00780EB6"/>
    <w:rsid w:val="007834E0"/>
    <w:rsid w:val="007846A8"/>
    <w:rsid w:val="0078526C"/>
    <w:rsid w:val="00790675"/>
    <w:rsid w:val="00791CB4"/>
    <w:rsid w:val="007920A1"/>
    <w:rsid w:val="00793026"/>
    <w:rsid w:val="007939FA"/>
    <w:rsid w:val="00793A8A"/>
    <w:rsid w:val="00793CAF"/>
    <w:rsid w:val="00793D00"/>
    <w:rsid w:val="00793D06"/>
    <w:rsid w:val="00794521"/>
    <w:rsid w:val="00794836"/>
    <w:rsid w:val="0079671B"/>
    <w:rsid w:val="00797272"/>
    <w:rsid w:val="007A0B0F"/>
    <w:rsid w:val="007A25C2"/>
    <w:rsid w:val="007A27CF"/>
    <w:rsid w:val="007A4BEB"/>
    <w:rsid w:val="007A7338"/>
    <w:rsid w:val="007A7D04"/>
    <w:rsid w:val="007A7E47"/>
    <w:rsid w:val="007B1E57"/>
    <w:rsid w:val="007B22EC"/>
    <w:rsid w:val="007B3246"/>
    <w:rsid w:val="007B344C"/>
    <w:rsid w:val="007B567D"/>
    <w:rsid w:val="007C02F7"/>
    <w:rsid w:val="007C2BC9"/>
    <w:rsid w:val="007C3388"/>
    <w:rsid w:val="007C3889"/>
    <w:rsid w:val="007C3C2D"/>
    <w:rsid w:val="007C3D58"/>
    <w:rsid w:val="007C55E5"/>
    <w:rsid w:val="007C6A6B"/>
    <w:rsid w:val="007D088C"/>
    <w:rsid w:val="007D20A4"/>
    <w:rsid w:val="007D3290"/>
    <w:rsid w:val="007D375F"/>
    <w:rsid w:val="007D3862"/>
    <w:rsid w:val="007D4B0E"/>
    <w:rsid w:val="007D5BFB"/>
    <w:rsid w:val="007D5EB5"/>
    <w:rsid w:val="007E1ED9"/>
    <w:rsid w:val="007E2FE3"/>
    <w:rsid w:val="007E351C"/>
    <w:rsid w:val="007E4D24"/>
    <w:rsid w:val="007E57B4"/>
    <w:rsid w:val="007E6CFB"/>
    <w:rsid w:val="007F0EBF"/>
    <w:rsid w:val="007F23E0"/>
    <w:rsid w:val="007F26B2"/>
    <w:rsid w:val="007F308C"/>
    <w:rsid w:val="007F32AB"/>
    <w:rsid w:val="007F4EB8"/>
    <w:rsid w:val="008012FE"/>
    <w:rsid w:val="0080211E"/>
    <w:rsid w:val="00802641"/>
    <w:rsid w:val="00803B33"/>
    <w:rsid w:val="00806231"/>
    <w:rsid w:val="00811764"/>
    <w:rsid w:val="00811FC4"/>
    <w:rsid w:val="00812A7B"/>
    <w:rsid w:val="0081347F"/>
    <w:rsid w:val="00816E53"/>
    <w:rsid w:val="008177DB"/>
    <w:rsid w:val="0082239A"/>
    <w:rsid w:val="008235F1"/>
    <w:rsid w:val="008257E4"/>
    <w:rsid w:val="00825D40"/>
    <w:rsid w:val="00826BD5"/>
    <w:rsid w:val="00826EC8"/>
    <w:rsid w:val="00826FDE"/>
    <w:rsid w:val="00827002"/>
    <w:rsid w:val="00831ADF"/>
    <w:rsid w:val="008327BA"/>
    <w:rsid w:val="00832BAD"/>
    <w:rsid w:val="008335D1"/>
    <w:rsid w:val="00833C7B"/>
    <w:rsid w:val="00833EA5"/>
    <w:rsid w:val="00836346"/>
    <w:rsid w:val="00836CA6"/>
    <w:rsid w:val="008379C6"/>
    <w:rsid w:val="00840027"/>
    <w:rsid w:val="008433A4"/>
    <w:rsid w:val="008446AC"/>
    <w:rsid w:val="00845371"/>
    <w:rsid w:val="00845E6C"/>
    <w:rsid w:val="00851BF0"/>
    <w:rsid w:val="0085296E"/>
    <w:rsid w:val="008543A1"/>
    <w:rsid w:val="008544CD"/>
    <w:rsid w:val="008560E1"/>
    <w:rsid w:val="00856347"/>
    <w:rsid w:val="00856FC0"/>
    <w:rsid w:val="00862A92"/>
    <w:rsid w:val="00864953"/>
    <w:rsid w:val="00864AC8"/>
    <w:rsid w:val="00865449"/>
    <w:rsid w:val="00866992"/>
    <w:rsid w:val="00867018"/>
    <w:rsid w:val="00870D7E"/>
    <w:rsid w:val="00871774"/>
    <w:rsid w:val="00871778"/>
    <w:rsid w:val="008725E1"/>
    <w:rsid w:val="00873A86"/>
    <w:rsid w:val="008741DC"/>
    <w:rsid w:val="00874384"/>
    <w:rsid w:val="00874674"/>
    <w:rsid w:val="0087579E"/>
    <w:rsid w:val="00882EA7"/>
    <w:rsid w:val="0088404D"/>
    <w:rsid w:val="0088461F"/>
    <w:rsid w:val="008865FA"/>
    <w:rsid w:val="00887065"/>
    <w:rsid w:val="00890B52"/>
    <w:rsid w:val="00890E96"/>
    <w:rsid w:val="00891C63"/>
    <w:rsid w:val="00892E45"/>
    <w:rsid w:val="008943E8"/>
    <w:rsid w:val="00895A9A"/>
    <w:rsid w:val="008969BA"/>
    <w:rsid w:val="008974A7"/>
    <w:rsid w:val="008975AC"/>
    <w:rsid w:val="00897789"/>
    <w:rsid w:val="008A3A38"/>
    <w:rsid w:val="008A4528"/>
    <w:rsid w:val="008A4E50"/>
    <w:rsid w:val="008A7044"/>
    <w:rsid w:val="008B24A0"/>
    <w:rsid w:val="008B30E7"/>
    <w:rsid w:val="008B36BC"/>
    <w:rsid w:val="008B491E"/>
    <w:rsid w:val="008B53A9"/>
    <w:rsid w:val="008B5881"/>
    <w:rsid w:val="008B5E5A"/>
    <w:rsid w:val="008B781C"/>
    <w:rsid w:val="008C01BC"/>
    <w:rsid w:val="008C1143"/>
    <w:rsid w:val="008C1397"/>
    <w:rsid w:val="008C1577"/>
    <w:rsid w:val="008C322A"/>
    <w:rsid w:val="008C449C"/>
    <w:rsid w:val="008C4BF4"/>
    <w:rsid w:val="008C5F4E"/>
    <w:rsid w:val="008C7C4E"/>
    <w:rsid w:val="008D4721"/>
    <w:rsid w:val="008D4B19"/>
    <w:rsid w:val="008D571D"/>
    <w:rsid w:val="008D635D"/>
    <w:rsid w:val="008D6ACD"/>
    <w:rsid w:val="008D7615"/>
    <w:rsid w:val="008D78CD"/>
    <w:rsid w:val="008E3CAE"/>
    <w:rsid w:val="008E3CD3"/>
    <w:rsid w:val="008E49D1"/>
    <w:rsid w:val="008E533E"/>
    <w:rsid w:val="008E6336"/>
    <w:rsid w:val="008E65C9"/>
    <w:rsid w:val="008E7C3E"/>
    <w:rsid w:val="008F08A6"/>
    <w:rsid w:val="008F12A6"/>
    <w:rsid w:val="008F3901"/>
    <w:rsid w:val="008F4570"/>
    <w:rsid w:val="008F4D79"/>
    <w:rsid w:val="008F59A5"/>
    <w:rsid w:val="008F5D5F"/>
    <w:rsid w:val="008F6F14"/>
    <w:rsid w:val="008F713E"/>
    <w:rsid w:val="00900EF6"/>
    <w:rsid w:val="00903909"/>
    <w:rsid w:val="00905E89"/>
    <w:rsid w:val="009074F2"/>
    <w:rsid w:val="0091005A"/>
    <w:rsid w:val="009106B7"/>
    <w:rsid w:val="00910CA5"/>
    <w:rsid w:val="00912610"/>
    <w:rsid w:val="0091399E"/>
    <w:rsid w:val="0091466D"/>
    <w:rsid w:val="00916105"/>
    <w:rsid w:val="0092171C"/>
    <w:rsid w:val="009230B1"/>
    <w:rsid w:val="009236C8"/>
    <w:rsid w:val="00923A69"/>
    <w:rsid w:val="0092404B"/>
    <w:rsid w:val="0092406B"/>
    <w:rsid w:val="00925934"/>
    <w:rsid w:val="00926090"/>
    <w:rsid w:val="009262AF"/>
    <w:rsid w:val="00927729"/>
    <w:rsid w:val="00931662"/>
    <w:rsid w:val="0093338C"/>
    <w:rsid w:val="00934FB2"/>
    <w:rsid w:val="009352AA"/>
    <w:rsid w:val="00935D1A"/>
    <w:rsid w:val="009406DF"/>
    <w:rsid w:val="00940B40"/>
    <w:rsid w:val="00941F5D"/>
    <w:rsid w:val="009423C3"/>
    <w:rsid w:val="0094385E"/>
    <w:rsid w:val="00947AEF"/>
    <w:rsid w:val="00950DDD"/>
    <w:rsid w:val="00952E6B"/>
    <w:rsid w:val="009533C6"/>
    <w:rsid w:val="00954D94"/>
    <w:rsid w:val="00955A56"/>
    <w:rsid w:val="00957FEC"/>
    <w:rsid w:val="00964588"/>
    <w:rsid w:val="0096527E"/>
    <w:rsid w:val="0096587F"/>
    <w:rsid w:val="009660AC"/>
    <w:rsid w:val="00966424"/>
    <w:rsid w:val="00970657"/>
    <w:rsid w:val="00970F43"/>
    <w:rsid w:val="009725F9"/>
    <w:rsid w:val="00972DA5"/>
    <w:rsid w:val="0097540B"/>
    <w:rsid w:val="00976EE2"/>
    <w:rsid w:val="009773D3"/>
    <w:rsid w:val="00980847"/>
    <w:rsid w:val="009879D6"/>
    <w:rsid w:val="0099048C"/>
    <w:rsid w:val="0099289D"/>
    <w:rsid w:val="009947FA"/>
    <w:rsid w:val="00994876"/>
    <w:rsid w:val="00994F86"/>
    <w:rsid w:val="00996728"/>
    <w:rsid w:val="00997171"/>
    <w:rsid w:val="009975DC"/>
    <w:rsid w:val="009A07AF"/>
    <w:rsid w:val="009A19BF"/>
    <w:rsid w:val="009A26BE"/>
    <w:rsid w:val="009A29CC"/>
    <w:rsid w:val="009A31F5"/>
    <w:rsid w:val="009A3E19"/>
    <w:rsid w:val="009A495A"/>
    <w:rsid w:val="009A4D9B"/>
    <w:rsid w:val="009A5324"/>
    <w:rsid w:val="009A7DDC"/>
    <w:rsid w:val="009B0C48"/>
    <w:rsid w:val="009B2075"/>
    <w:rsid w:val="009B28AF"/>
    <w:rsid w:val="009C0581"/>
    <w:rsid w:val="009C395A"/>
    <w:rsid w:val="009C4995"/>
    <w:rsid w:val="009C4F33"/>
    <w:rsid w:val="009C4FB4"/>
    <w:rsid w:val="009C59D8"/>
    <w:rsid w:val="009C5C72"/>
    <w:rsid w:val="009D0239"/>
    <w:rsid w:val="009D080A"/>
    <w:rsid w:val="009D14B6"/>
    <w:rsid w:val="009D1D38"/>
    <w:rsid w:val="009D2D4E"/>
    <w:rsid w:val="009D3796"/>
    <w:rsid w:val="009D66E6"/>
    <w:rsid w:val="009E1BF1"/>
    <w:rsid w:val="009E2613"/>
    <w:rsid w:val="009E2AF2"/>
    <w:rsid w:val="009E6F1D"/>
    <w:rsid w:val="009F2F3E"/>
    <w:rsid w:val="009F38A0"/>
    <w:rsid w:val="009F5269"/>
    <w:rsid w:val="009F5A05"/>
    <w:rsid w:val="009F5A85"/>
    <w:rsid w:val="009F7EC1"/>
    <w:rsid w:val="00A029B3"/>
    <w:rsid w:val="00A03B48"/>
    <w:rsid w:val="00A04F33"/>
    <w:rsid w:val="00A053C3"/>
    <w:rsid w:val="00A067EC"/>
    <w:rsid w:val="00A134FF"/>
    <w:rsid w:val="00A20B11"/>
    <w:rsid w:val="00A236F7"/>
    <w:rsid w:val="00A2565F"/>
    <w:rsid w:val="00A25E58"/>
    <w:rsid w:val="00A26BC9"/>
    <w:rsid w:val="00A355ED"/>
    <w:rsid w:val="00A3592C"/>
    <w:rsid w:val="00A36B52"/>
    <w:rsid w:val="00A37087"/>
    <w:rsid w:val="00A434D2"/>
    <w:rsid w:val="00A43AC6"/>
    <w:rsid w:val="00A4591A"/>
    <w:rsid w:val="00A474BE"/>
    <w:rsid w:val="00A47A6A"/>
    <w:rsid w:val="00A501B0"/>
    <w:rsid w:val="00A50C73"/>
    <w:rsid w:val="00A51084"/>
    <w:rsid w:val="00A510A3"/>
    <w:rsid w:val="00A53048"/>
    <w:rsid w:val="00A53D8C"/>
    <w:rsid w:val="00A54A3F"/>
    <w:rsid w:val="00A5634F"/>
    <w:rsid w:val="00A568E1"/>
    <w:rsid w:val="00A612F7"/>
    <w:rsid w:val="00A6203B"/>
    <w:rsid w:val="00A62F91"/>
    <w:rsid w:val="00A65491"/>
    <w:rsid w:val="00A655DE"/>
    <w:rsid w:val="00A6586E"/>
    <w:rsid w:val="00A66815"/>
    <w:rsid w:val="00A66910"/>
    <w:rsid w:val="00A66CED"/>
    <w:rsid w:val="00A67068"/>
    <w:rsid w:val="00A709CC"/>
    <w:rsid w:val="00A71B05"/>
    <w:rsid w:val="00A72896"/>
    <w:rsid w:val="00A72F85"/>
    <w:rsid w:val="00A7504C"/>
    <w:rsid w:val="00A7636B"/>
    <w:rsid w:val="00A76398"/>
    <w:rsid w:val="00A76BE9"/>
    <w:rsid w:val="00A76E18"/>
    <w:rsid w:val="00A77210"/>
    <w:rsid w:val="00A77A19"/>
    <w:rsid w:val="00A77C55"/>
    <w:rsid w:val="00A80934"/>
    <w:rsid w:val="00A83102"/>
    <w:rsid w:val="00A834F9"/>
    <w:rsid w:val="00A90362"/>
    <w:rsid w:val="00A905EF"/>
    <w:rsid w:val="00A90AC6"/>
    <w:rsid w:val="00A90F09"/>
    <w:rsid w:val="00A9119A"/>
    <w:rsid w:val="00A92D12"/>
    <w:rsid w:val="00A944D7"/>
    <w:rsid w:val="00A94738"/>
    <w:rsid w:val="00A94C3B"/>
    <w:rsid w:val="00A94E43"/>
    <w:rsid w:val="00A96178"/>
    <w:rsid w:val="00A9632E"/>
    <w:rsid w:val="00A96E80"/>
    <w:rsid w:val="00A97C2F"/>
    <w:rsid w:val="00AA0235"/>
    <w:rsid w:val="00AA0766"/>
    <w:rsid w:val="00AA07CA"/>
    <w:rsid w:val="00AA1912"/>
    <w:rsid w:val="00AA2A57"/>
    <w:rsid w:val="00AA2AA3"/>
    <w:rsid w:val="00AA427D"/>
    <w:rsid w:val="00AA4434"/>
    <w:rsid w:val="00AA45D5"/>
    <w:rsid w:val="00AA4E31"/>
    <w:rsid w:val="00AA558E"/>
    <w:rsid w:val="00AA74A0"/>
    <w:rsid w:val="00AA7BC9"/>
    <w:rsid w:val="00AA7DF4"/>
    <w:rsid w:val="00AB0E5E"/>
    <w:rsid w:val="00AB20FF"/>
    <w:rsid w:val="00AB4ACB"/>
    <w:rsid w:val="00AB5DA8"/>
    <w:rsid w:val="00AB62A7"/>
    <w:rsid w:val="00AB6E2C"/>
    <w:rsid w:val="00AB6F0D"/>
    <w:rsid w:val="00AB752D"/>
    <w:rsid w:val="00AC2424"/>
    <w:rsid w:val="00AC2B73"/>
    <w:rsid w:val="00AC2EBC"/>
    <w:rsid w:val="00AC424B"/>
    <w:rsid w:val="00AC7844"/>
    <w:rsid w:val="00AD2BE4"/>
    <w:rsid w:val="00AD5737"/>
    <w:rsid w:val="00AD767C"/>
    <w:rsid w:val="00AE0896"/>
    <w:rsid w:val="00AE0A04"/>
    <w:rsid w:val="00AE183B"/>
    <w:rsid w:val="00AE255F"/>
    <w:rsid w:val="00AE36FF"/>
    <w:rsid w:val="00AE3CA5"/>
    <w:rsid w:val="00AE3D5F"/>
    <w:rsid w:val="00AE6827"/>
    <w:rsid w:val="00AE682B"/>
    <w:rsid w:val="00AE7A0D"/>
    <w:rsid w:val="00AE7A65"/>
    <w:rsid w:val="00AE7BC2"/>
    <w:rsid w:val="00AF15DA"/>
    <w:rsid w:val="00AF2CD3"/>
    <w:rsid w:val="00AF3884"/>
    <w:rsid w:val="00AF5784"/>
    <w:rsid w:val="00AF75F4"/>
    <w:rsid w:val="00AF7CBC"/>
    <w:rsid w:val="00AF7D0F"/>
    <w:rsid w:val="00B00B3F"/>
    <w:rsid w:val="00B02B5C"/>
    <w:rsid w:val="00B05069"/>
    <w:rsid w:val="00B106EF"/>
    <w:rsid w:val="00B1136F"/>
    <w:rsid w:val="00B13EF6"/>
    <w:rsid w:val="00B16DF2"/>
    <w:rsid w:val="00B22CF1"/>
    <w:rsid w:val="00B23F22"/>
    <w:rsid w:val="00B2462C"/>
    <w:rsid w:val="00B24748"/>
    <w:rsid w:val="00B258C4"/>
    <w:rsid w:val="00B2780E"/>
    <w:rsid w:val="00B33328"/>
    <w:rsid w:val="00B34B54"/>
    <w:rsid w:val="00B34C26"/>
    <w:rsid w:val="00B36C58"/>
    <w:rsid w:val="00B36E1F"/>
    <w:rsid w:val="00B37109"/>
    <w:rsid w:val="00B37A3F"/>
    <w:rsid w:val="00B37CAA"/>
    <w:rsid w:val="00B37FA1"/>
    <w:rsid w:val="00B40CDB"/>
    <w:rsid w:val="00B4238B"/>
    <w:rsid w:val="00B425AB"/>
    <w:rsid w:val="00B45526"/>
    <w:rsid w:val="00B46825"/>
    <w:rsid w:val="00B46B02"/>
    <w:rsid w:val="00B46EAB"/>
    <w:rsid w:val="00B46F2E"/>
    <w:rsid w:val="00B47794"/>
    <w:rsid w:val="00B51030"/>
    <w:rsid w:val="00B51252"/>
    <w:rsid w:val="00B51A69"/>
    <w:rsid w:val="00B51D8C"/>
    <w:rsid w:val="00B535F8"/>
    <w:rsid w:val="00B554F1"/>
    <w:rsid w:val="00B62BA1"/>
    <w:rsid w:val="00B649DE"/>
    <w:rsid w:val="00B65071"/>
    <w:rsid w:val="00B65842"/>
    <w:rsid w:val="00B65E7B"/>
    <w:rsid w:val="00B66B78"/>
    <w:rsid w:val="00B67A73"/>
    <w:rsid w:val="00B70237"/>
    <w:rsid w:val="00B70C67"/>
    <w:rsid w:val="00B70C68"/>
    <w:rsid w:val="00B710CF"/>
    <w:rsid w:val="00B73710"/>
    <w:rsid w:val="00B74264"/>
    <w:rsid w:val="00B74E3D"/>
    <w:rsid w:val="00B77F07"/>
    <w:rsid w:val="00B803D7"/>
    <w:rsid w:val="00B80D10"/>
    <w:rsid w:val="00B86BA8"/>
    <w:rsid w:val="00B86FB7"/>
    <w:rsid w:val="00B904BD"/>
    <w:rsid w:val="00B91294"/>
    <w:rsid w:val="00B924C7"/>
    <w:rsid w:val="00B9355D"/>
    <w:rsid w:val="00B9416F"/>
    <w:rsid w:val="00B96716"/>
    <w:rsid w:val="00B96775"/>
    <w:rsid w:val="00BA06DB"/>
    <w:rsid w:val="00BA0E96"/>
    <w:rsid w:val="00BA1971"/>
    <w:rsid w:val="00BA2655"/>
    <w:rsid w:val="00BA2970"/>
    <w:rsid w:val="00BA63D3"/>
    <w:rsid w:val="00BA6A94"/>
    <w:rsid w:val="00BA7A38"/>
    <w:rsid w:val="00BB18D0"/>
    <w:rsid w:val="00BB2201"/>
    <w:rsid w:val="00BB2601"/>
    <w:rsid w:val="00BB26D4"/>
    <w:rsid w:val="00BB2BE7"/>
    <w:rsid w:val="00BB6BFC"/>
    <w:rsid w:val="00BB72ED"/>
    <w:rsid w:val="00BC0DE3"/>
    <w:rsid w:val="00BC1530"/>
    <w:rsid w:val="00BC233F"/>
    <w:rsid w:val="00BC26F8"/>
    <w:rsid w:val="00BC2B69"/>
    <w:rsid w:val="00BC4BAC"/>
    <w:rsid w:val="00BC6A31"/>
    <w:rsid w:val="00BC6E92"/>
    <w:rsid w:val="00BC7374"/>
    <w:rsid w:val="00BD1408"/>
    <w:rsid w:val="00BD2492"/>
    <w:rsid w:val="00BD5175"/>
    <w:rsid w:val="00BD7085"/>
    <w:rsid w:val="00BE0D6A"/>
    <w:rsid w:val="00BE31D2"/>
    <w:rsid w:val="00BE5A98"/>
    <w:rsid w:val="00BE5F3F"/>
    <w:rsid w:val="00BE6985"/>
    <w:rsid w:val="00BE7EA3"/>
    <w:rsid w:val="00BF0F19"/>
    <w:rsid w:val="00BF150C"/>
    <w:rsid w:val="00BF1A6F"/>
    <w:rsid w:val="00BF26FD"/>
    <w:rsid w:val="00BF37AD"/>
    <w:rsid w:val="00BF63FB"/>
    <w:rsid w:val="00BF7D81"/>
    <w:rsid w:val="00C025EE"/>
    <w:rsid w:val="00C03706"/>
    <w:rsid w:val="00C10E2E"/>
    <w:rsid w:val="00C10E96"/>
    <w:rsid w:val="00C120D8"/>
    <w:rsid w:val="00C16164"/>
    <w:rsid w:val="00C1650E"/>
    <w:rsid w:val="00C1650F"/>
    <w:rsid w:val="00C16694"/>
    <w:rsid w:val="00C16D65"/>
    <w:rsid w:val="00C17FC9"/>
    <w:rsid w:val="00C21757"/>
    <w:rsid w:val="00C2797A"/>
    <w:rsid w:val="00C27DDF"/>
    <w:rsid w:val="00C30767"/>
    <w:rsid w:val="00C32501"/>
    <w:rsid w:val="00C33AB1"/>
    <w:rsid w:val="00C33B35"/>
    <w:rsid w:val="00C36B0A"/>
    <w:rsid w:val="00C42F80"/>
    <w:rsid w:val="00C438CE"/>
    <w:rsid w:val="00C46782"/>
    <w:rsid w:val="00C52AF3"/>
    <w:rsid w:val="00C52EDE"/>
    <w:rsid w:val="00C5395C"/>
    <w:rsid w:val="00C55194"/>
    <w:rsid w:val="00C56320"/>
    <w:rsid w:val="00C5702D"/>
    <w:rsid w:val="00C60089"/>
    <w:rsid w:val="00C60331"/>
    <w:rsid w:val="00C6069F"/>
    <w:rsid w:val="00C6095C"/>
    <w:rsid w:val="00C61A18"/>
    <w:rsid w:val="00C625E8"/>
    <w:rsid w:val="00C62A96"/>
    <w:rsid w:val="00C63282"/>
    <w:rsid w:val="00C63F3D"/>
    <w:rsid w:val="00C64ABD"/>
    <w:rsid w:val="00C653D1"/>
    <w:rsid w:val="00C65C24"/>
    <w:rsid w:val="00C661CD"/>
    <w:rsid w:val="00C706D4"/>
    <w:rsid w:val="00C75487"/>
    <w:rsid w:val="00C75B36"/>
    <w:rsid w:val="00C76504"/>
    <w:rsid w:val="00C76A41"/>
    <w:rsid w:val="00C76C72"/>
    <w:rsid w:val="00C77335"/>
    <w:rsid w:val="00C7741A"/>
    <w:rsid w:val="00C774B9"/>
    <w:rsid w:val="00C80576"/>
    <w:rsid w:val="00C843A6"/>
    <w:rsid w:val="00C850D8"/>
    <w:rsid w:val="00C86A52"/>
    <w:rsid w:val="00C9021E"/>
    <w:rsid w:val="00C90745"/>
    <w:rsid w:val="00C91585"/>
    <w:rsid w:val="00C9174A"/>
    <w:rsid w:val="00C92308"/>
    <w:rsid w:val="00C938B5"/>
    <w:rsid w:val="00C93C19"/>
    <w:rsid w:val="00C9595E"/>
    <w:rsid w:val="00C95F71"/>
    <w:rsid w:val="00C9600A"/>
    <w:rsid w:val="00C963ED"/>
    <w:rsid w:val="00C9729D"/>
    <w:rsid w:val="00C97747"/>
    <w:rsid w:val="00CA17DE"/>
    <w:rsid w:val="00CA400A"/>
    <w:rsid w:val="00CA5940"/>
    <w:rsid w:val="00CA7008"/>
    <w:rsid w:val="00CA7CD6"/>
    <w:rsid w:val="00CA7EB1"/>
    <w:rsid w:val="00CB0164"/>
    <w:rsid w:val="00CB43A8"/>
    <w:rsid w:val="00CB4CA5"/>
    <w:rsid w:val="00CB4D15"/>
    <w:rsid w:val="00CB5E12"/>
    <w:rsid w:val="00CC180B"/>
    <w:rsid w:val="00CC3F88"/>
    <w:rsid w:val="00CC5DFD"/>
    <w:rsid w:val="00CD117A"/>
    <w:rsid w:val="00CD16BD"/>
    <w:rsid w:val="00CD1E70"/>
    <w:rsid w:val="00CD43E8"/>
    <w:rsid w:val="00CD48E5"/>
    <w:rsid w:val="00CD6558"/>
    <w:rsid w:val="00CD7DB7"/>
    <w:rsid w:val="00CE087E"/>
    <w:rsid w:val="00CE0D4F"/>
    <w:rsid w:val="00CE231F"/>
    <w:rsid w:val="00CE6B5E"/>
    <w:rsid w:val="00CE73FE"/>
    <w:rsid w:val="00CF0E03"/>
    <w:rsid w:val="00CF1A38"/>
    <w:rsid w:val="00CF2DD6"/>
    <w:rsid w:val="00CF3676"/>
    <w:rsid w:val="00CF6F18"/>
    <w:rsid w:val="00CF76DF"/>
    <w:rsid w:val="00D03418"/>
    <w:rsid w:val="00D035ED"/>
    <w:rsid w:val="00D03F16"/>
    <w:rsid w:val="00D0610C"/>
    <w:rsid w:val="00D062B2"/>
    <w:rsid w:val="00D06B79"/>
    <w:rsid w:val="00D07530"/>
    <w:rsid w:val="00D079B9"/>
    <w:rsid w:val="00D10798"/>
    <w:rsid w:val="00D14539"/>
    <w:rsid w:val="00D14C0B"/>
    <w:rsid w:val="00D15421"/>
    <w:rsid w:val="00D171FE"/>
    <w:rsid w:val="00D1721A"/>
    <w:rsid w:val="00D1793E"/>
    <w:rsid w:val="00D20D5A"/>
    <w:rsid w:val="00D2288D"/>
    <w:rsid w:val="00D22D35"/>
    <w:rsid w:val="00D23253"/>
    <w:rsid w:val="00D23E87"/>
    <w:rsid w:val="00D25944"/>
    <w:rsid w:val="00D25F2E"/>
    <w:rsid w:val="00D26CCB"/>
    <w:rsid w:val="00D31BB0"/>
    <w:rsid w:val="00D323AC"/>
    <w:rsid w:val="00D34EBD"/>
    <w:rsid w:val="00D35439"/>
    <w:rsid w:val="00D405F0"/>
    <w:rsid w:val="00D425CB"/>
    <w:rsid w:val="00D44181"/>
    <w:rsid w:val="00D44E92"/>
    <w:rsid w:val="00D458EA"/>
    <w:rsid w:val="00D46519"/>
    <w:rsid w:val="00D46D21"/>
    <w:rsid w:val="00D46E12"/>
    <w:rsid w:val="00D50774"/>
    <w:rsid w:val="00D50BDD"/>
    <w:rsid w:val="00D51CAC"/>
    <w:rsid w:val="00D5242B"/>
    <w:rsid w:val="00D52708"/>
    <w:rsid w:val="00D52AA3"/>
    <w:rsid w:val="00D538DB"/>
    <w:rsid w:val="00D55CC6"/>
    <w:rsid w:val="00D5747C"/>
    <w:rsid w:val="00D5791E"/>
    <w:rsid w:val="00D57F76"/>
    <w:rsid w:val="00D6010F"/>
    <w:rsid w:val="00D6092D"/>
    <w:rsid w:val="00D60FA8"/>
    <w:rsid w:val="00D61446"/>
    <w:rsid w:val="00D61D74"/>
    <w:rsid w:val="00D6430D"/>
    <w:rsid w:val="00D64AAA"/>
    <w:rsid w:val="00D702A0"/>
    <w:rsid w:val="00D70842"/>
    <w:rsid w:val="00D713B7"/>
    <w:rsid w:val="00D7278D"/>
    <w:rsid w:val="00D7347D"/>
    <w:rsid w:val="00D736C2"/>
    <w:rsid w:val="00D75BFC"/>
    <w:rsid w:val="00D77DA1"/>
    <w:rsid w:val="00D77FFE"/>
    <w:rsid w:val="00D8135B"/>
    <w:rsid w:val="00D83756"/>
    <w:rsid w:val="00D855A0"/>
    <w:rsid w:val="00D86BAE"/>
    <w:rsid w:val="00D927F0"/>
    <w:rsid w:val="00D93070"/>
    <w:rsid w:val="00D9327B"/>
    <w:rsid w:val="00D94298"/>
    <w:rsid w:val="00D94EF0"/>
    <w:rsid w:val="00D96014"/>
    <w:rsid w:val="00D96674"/>
    <w:rsid w:val="00D97AD9"/>
    <w:rsid w:val="00DA0682"/>
    <w:rsid w:val="00DA3F2E"/>
    <w:rsid w:val="00DA600B"/>
    <w:rsid w:val="00DA6BAE"/>
    <w:rsid w:val="00DA7BFC"/>
    <w:rsid w:val="00DB01AC"/>
    <w:rsid w:val="00DB01B9"/>
    <w:rsid w:val="00DB05A9"/>
    <w:rsid w:val="00DB2EAE"/>
    <w:rsid w:val="00DB4638"/>
    <w:rsid w:val="00DB4B29"/>
    <w:rsid w:val="00DB4D4F"/>
    <w:rsid w:val="00DB55D6"/>
    <w:rsid w:val="00DB5911"/>
    <w:rsid w:val="00DB627A"/>
    <w:rsid w:val="00DB7E64"/>
    <w:rsid w:val="00DC0375"/>
    <w:rsid w:val="00DC088D"/>
    <w:rsid w:val="00DC383C"/>
    <w:rsid w:val="00DC3D99"/>
    <w:rsid w:val="00DC43A3"/>
    <w:rsid w:val="00DC44AB"/>
    <w:rsid w:val="00DC45DA"/>
    <w:rsid w:val="00DD0C6C"/>
    <w:rsid w:val="00DD2005"/>
    <w:rsid w:val="00DD21A3"/>
    <w:rsid w:val="00DD439E"/>
    <w:rsid w:val="00DD7235"/>
    <w:rsid w:val="00DE0A9C"/>
    <w:rsid w:val="00DE7BFC"/>
    <w:rsid w:val="00DF0189"/>
    <w:rsid w:val="00DF0394"/>
    <w:rsid w:val="00DF0A17"/>
    <w:rsid w:val="00DF0C7A"/>
    <w:rsid w:val="00DF2455"/>
    <w:rsid w:val="00DF24C3"/>
    <w:rsid w:val="00DF2E65"/>
    <w:rsid w:val="00DF5B61"/>
    <w:rsid w:val="00DF6057"/>
    <w:rsid w:val="00DF760B"/>
    <w:rsid w:val="00E000A0"/>
    <w:rsid w:val="00E00649"/>
    <w:rsid w:val="00E02238"/>
    <w:rsid w:val="00E02C8F"/>
    <w:rsid w:val="00E0445F"/>
    <w:rsid w:val="00E04A5D"/>
    <w:rsid w:val="00E1078B"/>
    <w:rsid w:val="00E11530"/>
    <w:rsid w:val="00E118FF"/>
    <w:rsid w:val="00E12040"/>
    <w:rsid w:val="00E13314"/>
    <w:rsid w:val="00E13803"/>
    <w:rsid w:val="00E15192"/>
    <w:rsid w:val="00E1647C"/>
    <w:rsid w:val="00E17097"/>
    <w:rsid w:val="00E17206"/>
    <w:rsid w:val="00E173E1"/>
    <w:rsid w:val="00E21019"/>
    <w:rsid w:val="00E21C8B"/>
    <w:rsid w:val="00E24E0A"/>
    <w:rsid w:val="00E25228"/>
    <w:rsid w:val="00E2580D"/>
    <w:rsid w:val="00E25FDD"/>
    <w:rsid w:val="00E2621A"/>
    <w:rsid w:val="00E27E39"/>
    <w:rsid w:val="00E3004F"/>
    <w:rsid w:val="00E3201C"/>
    <w:rsid w:val="00E324C3"/>
    <w:rsid w:val="00E331D9"/>
    <w:rsid w:val="00E35D17"/>
    <w:rsid w:val="00E36B6E"/>
    <w:rsid w:val="00E3751E"/>
    <w:rsid w:val="00E41027"/>
    <w:rsid w:val="00E418E6"/>
    <w:rsid w:val="00E42036"/>
    <w:rsid w:val="00E43F0E"/>
    <w:rsid w:val="00E445B8"/>
    <w:rsid w:val="00E446B4"/>
    <w:rsid w:val="00E44CEA"/>
    <w:rsid w:val="00E467F3"/>
    <w:rsid w:val="00E47DAB"/>
    <w:rsid w:val="00E501AB"/>
    <w:rsid w:val="00E516FE"/>
    <w:rsid w:val="00E53E45"/>
    <w:rsid w:val="00E54D0B"/>
    <w:rsid w:val="00E62549"/>
    <w:rsid w:val="00E63C03"/>
    <w:rsid w:val="00E63E06"/>
    <w:rsid w:val="00E64166"/>
    <w:rsid w:val="00E65F72"/>
    <w:rsid w:val="00E665BF"/>
    <w:rsid w:val="00E66F0C"/>
    <w:rsid w:val="00E73831"/>
    <w:rsid w:val="00E73B17"/>
    <w:rsid w:val="00E7430C"/>
    <w:rsid w:val="00E757E6"/>
    <w:rsid w:val="00E75E25"/>
    <w:rsid w:val="00E76E02"/>
    <w:rsid w:val="00E811E4"/>
    <w:rsid w:val="00E81940"/>
    <w:rsid w:val="00E819BD"/>
    <w:rsid w:val="00E81E22"/>
    <w:rsid w:val="00E82124"/>
    <w:rsid w:val="00E8347C"/>
    <w:rsid w:val="00E83CAD"/>
    <w:rsid w:val="00E84E07"/>
    <w:rsid w:val="00E854B4"/>
    <w:rsid w:val="00E8655B"/>
    <w:rsid w:val="00E86682"/>
    <w:rsid w:val="00E87CDB"/>
    <w:rsid w:val="00E904B1"/>
    <w:rsid w:val="00E91E8E"/>
    <w:rsid w:val="00E92CF4"/>
    <w:rsid w:val="00E94DF9"/>
    <w:rsid w:val="00E96D7E"/>
    <w:rsid w:val="00E976C7"/>
    <w:rsid w:val="00E97744"/>
    <w:rsid w:val="00E97EED"/>
    <w:rsid w:val="00EA09FD"/>
    <w:rsid w:val="00EA149E"/>
    <w:rsid w:val="00EA20EE"/>
    <w:rsid w:val="00EA266D"/>
    <w:rsid w:val="00EA37DC"/>
    <w:rsid w:val="00EA5623"/>
    <w:rsid w:val="00EA67AA"/>
    <w:rsid w:val="00EA7D48"/>
    <w:rsid w:val="00EB0855"/>
    <w:rsid w:val="00EB1AEE"/>
    <w:rsid w:val="00EB1F15"/>
    <w:rsid w:val="00EB3141"/>
    <w:rsid w:val="00EB4101"/>
    <w:rsid w:val="00EB45DC"/>
    <w:rsid w:val="00EB7CF1"/>
    <w:rsid w:val="00EB7FB7"/>
    <w:rsid w:val="00EC1484"/>
    <w:rsid w:val="00EC1D9D"/>
    <w:rsid w:val="00EC2D84"/>
    <w:rsid w:val="00EC345A"/>
    <w:rsid w:val="00EC58E5"/>
    <w:rsid w:val="00EC66AA"/>
    <w:rsid w:val="00ED23B0"/>
    <w:rsid w:val="00ED2D13"/>
    <w:rsid w:val="00ED3089"/>
    <w:rsid w:val="00ED39DA"/>
    <w:rsid w:val="00ED3CBD"/>
    <w:rsid w:val="00ED443A"/>
    <w:rsid w:val="00ED5355"/>
    <w:rsid w:val="00ED7CA0"/>
    <w:rsid w:val="00EE0178"/>
    <w:rsid w:val="00EE1432"/>
    <w:rsid w:val="00EE39F8"/>
    <w:rsid w:val="00EE49CD"/>
    <w:rsid w:val="00EE5381"/>
    <w:rsid w:val="00EE5477"/>
    <w:rsid w:val="00EE5D16"/>
    <w:rsid w:val="00EE6CF2"/>
    <w:rsid w:val="00EE7C7C"/>
    <w:rsid w:val="00EF0808"/>
    <w:rsid w:val="00EF0B20"/>
    <w:rsid w:val="00EF150F"/>
    <w:rsid w:val="00EF1CBE"/>
    <w:rsid w:val="00EF450B"/>
    <w:rsid w:val="00EF50E8"/>
    <w:rsid w:val="00EF56C5"/>
    <w:rsid w:val="00EF7001"/>
    <w:rsid w:val="00EF7614"/>
    <w:rsid w:val="00F00707"/>
    <w:rsid w:val="00F00D5E"/>
    <w:rsid w:val="00F0110C"/>
    <w:rsid w:val="00F01481"/>
    <w:rsid w:val="00F01F68"/>
    <w:rsid w:val="00F024F4"/>
    <w:rsid w:val="00F057E4"/>
    <w:rsid w:val="00F05EDE"/>
    <w:rsid w:val="00F0747E"/>
    <w:rsid w:val="00F07BA1"/>
    <w:rsid w:val="00F1747F"/>
    <w:rsid w:val="00F17752"/>
    <w:rsid w:val="00F17F95"/>
    <w:rsid w:val="00F21235"/>
    <w:rsid w:val="00F23AFC"/>
    <w:rsid w:val="00F304C9"/>
    <w:rsid w:val="00F3099F"/>
    <w:rsid w:val="00F32A4B"/>
    <w:rsid w:val="00F33193"/>
    <w:rsid w:val="00F333A8"/>
    <w:rsid w:val="00F40620"/>
    <w:rsid w:val="00F40B3C"/>
    <w:rsid w:val="00F4387E"/>
    <w:rsid w:val="00F44295"/>
    <w:rsid w:val="00F46038"/>
    <w:rsid w:val="00F46383"/>
    <w:rsid w:val="00F47167"/>
    <w:rsid w:val="00F472C4"/>
    <w:rsid w:val="00F478D6"/>
    <w:rsid w:val="00F47A91"/>
    <w:rsid w:val="00F47C7E"/>
    <w:rsid w:val="00F50200"/>
    <w:rsid w:val="00F514FA"/>
    <w:rsid w:val="00F54492"/>
    <w:rsid w:val="00F56446"/>
    <w:rsid w:val="00F579E2"/>
    <w:rsid w:val="00F6036A"/>
    <w:rsid w:val="00F614AB"/>
    <w:rsid w:val="00F63F47"/>
    <w:rsid w:val="00F6646B"/>
    <w:rsid w:val="00F67AA1"/>
    <w:rsid w:val="00F71C46"/>
    <w:rsid w:val="00F831CC"/>
    <w:rsid w:val="00F83B96"/>
    <w:rsid w:val="00F853EB"/>
    <w:rsid w:val="00F8562A"/>
    <w:rsid w:val="00F860F6"/>
    <w:rsid w:val="00F91D52"/>
    <w:rsid w:val="00F92752"/>
    <w:rsid w:val="00F92A47"/>
    <w:rsid w:val="00F932A3"/>
    <w:rsid w:val="00F9393F"/>
    <w:rsid w:val="00F94941"/>
    <w:rsid w:val="00F94AE6"/>
    <w:rsid w:val="00F96D46"/>
    <w:rsid w:val="00FA0442"/>
    <w:rsid w:val="00FA2D6D"/>
    <w:rsid w:val="00FA3A36"/>
    <w:rsid w:val="00FA7519"/>
    <w:rsid w:val="00FB2F2F"/>
    <w:rsid w:val="00FB436A"/>
    <w:rsid w:val="00FB54F8"/>
    <w:rsid w:val="00FB5742"/>
    <w:rsid w:val="00FB6952"/>
    <w:rsid w:val="00FC4430"/>
    <w:rsid w:val="00FC4B34"/>
    <w:rsid w:val="00FC65E0"/>
    <w:rsid w:val="00FD13C0"/>
    <w:rsid w:val="00FD7062"/>
    <w:rsid w:val="00FD7550"/>
    <w:rsid w:val="00FE3295"/>
    <w:rsid w:val="00FE5750"/>
    <w:rsid w:val="00FE6658"/>
    <w:rsid w:val="00FE67A5"/>
    <w:rsid w:val="00FE6B5B"/>
    <w:rsid w:val="00FE6D82"/>
    <w:rsid w:val="00FE730C"/>
    <w:rsid w:val="00FF043F"/>
    <w:rsid w:val="00FF2E6B"/>
    <w:rsid w:val="00FF432B"/>
    <w:rsid w:val="00FF4D26"/>
    <w:rsid w:val="00FF7028"/>
    <w:rsid w:val="00FF7AB5"/>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97282"/>
    <o:shapelayout v:ext="edit">
      <o:idmap v:ext="edit" data="1"/>
      <o:rules v:ext="edit">
        <o:r id="V:Rule1" type="connector" idref="#Přímá spojnice se šipkou 79"/>
        <o:r id="V:Rule2" type="connector" idref="#Přímá spojnice se šipkou 8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E65C9"/>
    <w:pPr>
      <w:spacing w:after="120"/>
      <w:jc w:val="both"/>
    </w:pPr>
    <w:rPr>
      <w:rFonts w:ascii="Arial" w:eastAsia="Calibri" w:hAnsi="Arial" w:cs="Arial"/>
      <w:szCs w:val="20"/>
      <w:lang w:eastAsia="cs-CZ"/>
    </w:rPr>
  </w:style>
  <w:style w:type="paragraph" w:styleId="Nadpis1">
    <w:name w:val="heading 1"/>
    <w:aliases w:val="Nadpis 1 - pilíř"/>
    <w:basedOn w:val="Normln"/>
    <w:next w:val="Normln"/>
    <w:link w:val="Nadpis1Char"/>
    <w:uiPriority w:val="9"/>
    <w:qFormat/>
    <w:rsid w:val="008E65C9"/>
    <w:pPr>
      <w:keepNext/>
      <w:keepLines/>
      <w:spacing w:before="480" w:after="240"/>
      <w:outlineLvl w:val="0"/>
    </w:pPr>
    <w:rPr>
      <w:rFonts w:eastAsiaTheme="majorEastAsia"/>
      <w:b/>
      <w:bCs/>
      <w:sz w:val="28"/>
      <w:szCs w:val="28"/>
    </w:rPr>
  </w:style>
  <w:style w:type="paragraph" w:styleId="Nadpis2">
    <w:name w:val="heading 2"/>
    <w:aliases w:val="Nadpis 2 - podkapitola"/>
    <w:basedOn w:val="Normln"/>
    <w:next w:val="Normln"/>
    <w:link w:val="Nadpis2Char"/>
    <w:autoRedefine/>
    <w:uiPriority w:val="9"/>
    <w:unhideWhenUsed/>
    <w:qFormat/>
    <w:rsid w:val="005D7386"/>
    <w:pPr>
      <w:keepNext/>
      <w:keepLines/>
      <w:spacing w:before="200" w:after="200"/>
      <w:outlineLvl w:val="1"/>
    </w:pPr>
    <w:rPr>
      <w:rFonts w:eastAsiaTheme="majorEastAsia"/>
      <w:b/>
      <w:bCs/>
      <w:i/>
      <w:szCs w:val="22"/>
    </w:rPr>
  </w:style>
  <w:style w:type="paragraph" w:styleId="Nadpis3">
    <w:name w:val="heading 3"/>
    <w:aliases w:val="Nadpis 3 - kapitola"/>
    <w:basedOn w:val="Normln"/>
    <w:next w:val="Normln"/>
    <w:link w:val="Nadpis3Char"/>
    <w:autoRedefine/>
    <w:uiPriority w:val="9"/>
    <w:unhideWhenUsed/>
    <w:qFormat/>
    <w:rsid w:val="00AF3884"/>
    <w:pPr>
      <w:keepNext/>
      <w:keepLines/>
      <w:tabs>
        <w:tab w:val="left" w:pos="3645"/>
      </w:tabs>
      <w:spacing w:before="480" w:after="240"/>
      <w:outlineLvl w:val="2"/>
    </w:pPr>
    <w:rPr>
      <w:rFonts w:eastAsia="Times New Roman"/>
      <w:b/>
      <w:bCs/>
      <w:sz w:val="24"/>
      <w:szCs w:val="24"/>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054B82"/>
    <w:pPr>
      <w:tabs>
        <w:tab w:val="center" w:pos="4536"/>
        <w:tab w:val="right" w:pos="9072"/>
      </w:tabs>
      <w:spacing w:after="0" w:line="240" w:lineRule="auto"/>
    </w:pPr>
  </w:style>
  <w:style w:type="character" w:customStyle="1" w:styleId="ZpatChar">
    <w:name w:val="Zápatí Char"/>
    <w:basedOn w:val="Standardnpsmoodstavce"/>
    <w:link w:val="Zpat"/>
    <w:uiPriority w:val="99"/>
    <w:rsid w:val="00054B82"/>
    <w:rPr>
      <w:rFonts w:ascii="Arial" w:eastAsia="Calibri" w:hAnsi="Arial" w:cs="Arial"/>
      <w:szCs w:val="20"/>
      <w:lang w:eastAsia="cs-CZ"/>
    </w:rPr>
  </w:style>
  <w:style w:type="paragraph" w:styleId="Odstavecseseznamem">
    <w:name w:val="List Paragraph"/>
    <w:aliases w:val="Conclusion de partie,Odstavec se seznamem2,Fiche List Paragraph,Odstavec1,Dot pt,List Paragraph Char Char Char,Indicator Text,Numbered Para 1,List Paragraph à moi,Odsek zoznamu4,LISTA,Listaszerű bekezdés2,3,Nad"/>
    <w:basedOn w:val="Normln"/>
    <w:link w:val="OdstavecseseznamemChar"/>
    <w:rsid w:val="00054B82"/>
    <w:pPr>
      <w:ind w:left="720"/>
      <w:contextualSpacing/>
    </w:pPr>
  </w:style>
  <w:style w:type="character" w:customStyle="1" w:styleId="Nadpis1Char">
    <w:name w:val="Nadpis 1 Char"/>
    <w:aliases w:val="Nadpis 1 - pilíř Char"/>
    <w:basedOn w:val="Standardnpsmoodstavce"/>
    <w:link w:val="Nadpis1"/>
    <w:uiPriority w:val="9"/>
    <w:rsid w:val="008E65C9"/>
    <w:rPr>
      <w:rFonts w:ascii="Arial" w:eastAsiaTheme="majorEastAsia" w:hAnsi="Arial" w:cs="Arial"/>
      <w:b/>
      <w:bCs/>
      <w:sz w:val="28"/>
      <w:szCs w:val="28"/>
      <w:lang w:eastAsia="cs-CZ"/>
    </w:rPr>
  </w:style>
  <w:style w:type="character" w:customStyle="1" w:styleId="Nadpis2Char">
    <w:name w:val="Nadpis 2 Char"/>
    <w:aliases w:val="Nadpis 2 - podkapitola Char"/>
    <w:basedOn w:val="Standardnpsmoodstavce"/>
    <w:link w:val="Nadpis2"/>
    <w:uiPriority w:val="9"/>
    <w:rsid w:val="005D7386"/>
    <w:rPr>
      <w:rFonts w:ascii="Arial" w:eastAsiaTheme="majorEastAsia" w:hAnsi="Arial" w:cs="Arial"/>
      <w:b/>
      <w:bCs/>
      <w:i/>
      <w:lang w:eastAsia="cs-CZ"/>
    </w:rPr>
  </w:style>
  <w:style w:type="paragraph" w:styleId="Obsah1">
    <w:name w:val="toc 1"/>
    <w:basedOn w:val="Normln"/>
    <w:next w:val="Normln"/>
    <w:autoRedefine/>
    <w:uiPriority w:val="39"/>
    <w:unhideWhenUsed/>
    <w:rsid w:val="00054B82"/>
    <w:pPr>
      <w:tabs>
        <w:tab w:val="left" w:pos="142"/>
        <w:tab w:val="left" w:pos="284"/>
        <w:tab w:val="right" w:leader="dot" w:pos="9072"/>
      </w:tabs>
    </w:pPr>
    <w:rPr>
      <w:b/>
      <w:sz w:val="24"/>
    </w:rPr>
  </w:style>
  <w:style w:type="character" w:styleId="Hypertextovodkaz">
    <w:name w:val="Hyperlink"/>
    <w:basedOn w:val="Standardnpsmoodstavce"/>
    <w:uiPriority w:val="99"/>
    <w:unhideWhenUsed/>
    <w:rsid w:val="00054B82"/>
    <w:rPr>
      <w:color w:val="0000FF" w:themeColor="hyperlink"/>
      <w:u w:val="single"/>
    </w:rPr>
  </w:style>
  <w:style w:type="paragraph" w:styleId="Nadpisobsahu">
    <w:name w:val="TOC Heading"/>
    <w:basedOn w:val="Nadpis1"/>
    <w:next w:val="Normln"/>
    <w:uiPriority w:val="39"/>
    <w:unhideWhenUsed/>
    <w:qFormat/>
    <w:rsid w:val="00054B82"/>
    <w:pPr>
      <w:jc w:val="left"/>
      <w:outlineLvl w:val="9"/>
    </w:pPr>
  </w:style>
  <w:style w:type="paragraph" w:styleId="Obsah2">
    <w:name w:val="toc 2"/>
    <w:basedOn w:val="Normln"/>
    <w:next w:val="Normln"/>
    <w:autoRedefine/>
    <w:uiPriority w:val="39"/>
    <w:unhideWhenUsed/>
    <w:rsid w:val="00BB2BE7"/>
    <w:pPr>
      <w:tabs>
        <w:tab w:val="right" w:leader="dot" w:pos="9062"/>
      </w:tabs>
      <w:spacing w:after="100"/>
      <w:ind w:left="220"/>
    </w:pPr>
    <w:rPr>
      <w:b/>
      <w:noProof/>
    </w:rPr>
  </w:style>
  <w:style w:type="paragraph" w:styleId="Textbubliny">
    <w:name w:val="Balloon Text"/>
    <w:basedOn w:val="Normln"/>
    <w:link w:val="TextbublinyChar"/>
    <w:uiPriority w:val="99"/>
    <w:semiHidden/>
    <w:unhideWhenUsed/>
    <w:rsid w:val="00054B8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54B82"/>
    <w:rPr>
      <w:rFonts w:ascii="Tahoma" w:eastAsia="Calibri" w:hAnsi="Tahoma" w:cs="Tahoma"/>
      <w:sz w:val="16"/>
      <w:szCs w:val="16"/>
      <w:lang w:eastAsia="cs-CZ"/>
    </w:rPr>
  </w:style>
  <w:style w:type="table" w:styleId="Mkatabulky">
    <w:name w:val="Table Grid"/>
    <w:basedOn w:val="Normlntabulka"/>
    <w:uiPriority w:val="59"/>
    <w:rsid w:val="00A25E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dstavecseseznamemChar">
    <w:name w:val="Odstavec se seznamem Char"/>
    <w:aliases w:val="Conclusion de partie Char,Odstavec se seznamem2 Char,Fiche List Paragraph Char,Odstavec1 Char,Dot pt Char,List Paragraph Char Char Char Char,Indicator Text Char,Numbered Para 1 Char,List Paragraph à moi Char,Odsek zoznamu4 Char"/>
    <w:basedOn w:val="Standardnpsmoodstavce"/>
    <w:link w:val="Odstavecseseznamem"/>
    <w:qFormat/>
    <w:locked/>
    <w:rsid w:val="00825D40"/>
    <w:rPr>
      <w:rFonts w:ascii="Arial" w:eastAsia="Calibri" w:hAnsi="Arial" w:cs="Arial"/>
      <w:szCs w:val="20"/>
      <w:lang w:eastAsia="cs-CZ"/>
    </w:rPr>
  </w:style>
  <w:style w:type="character" w:customStyle="1" w:styleId="PlnovanopatenChar">
    <w:name w:val="Plánovaná opatření Char"/>
    <w:basedOn w:val="Standardnpsmoodstavce"/>
    <w:link w:val="Plnovanopaten"/>
    <w:locked/>
    <w:rsid w:val="00A612F7"/>
    <w:rPr>
      <w:rFonts w:ascii="Arial" w:eastAsia="Arial" w:hAnsi="Arial" w:cs="Arial"/>
      <w:b/>
      <w:u w:val="single"/>
    </w:rPr>
  </w:style>
  <w:style w:type="paragraph" w:customStyle="1" w:styleId="Plnovanopaten">
    <w:name w:val="Plánovaná opatření"/>
    <w:basedOn w:val="Normln"/>
    <w:link w:val="PlnovanopatenChar"/>
    <w:qFormat/>
    <w:rsid w:val="00A612F7"/>
    <w:pPr>
      <w:spacing w:before="240" w:after="240"/>
    </w:pPr>
    <w:rPr>
      <w:rFonts w:eastAsia="Arial"/>
      <w:b/>
      <w:szCs w:val="22"/>
      <w:u w:val="single"/>
      <w:lang w:eastAsia="en-US"/>
    </w:rPr>
  </w:style>
  <w:style w:type="character" w:customStyle="1" w:styleId="st">
    <w:name w:val="st"/>
    <w:basedOn w:val="Standardnpsmoodstavce"/>
    <w:rsid w:val="009106B7"/>
  </w:style>
  <w:style w:type="character" w:customStyle="1" w:styleId="Nadpis3Char">
    <w:name w:val="Nadpis 3 Char"/>
    <w:aliases w:val="Nadpis 3 - kapitola Char"/>
    <w:basedOn w:val="Standardnpsmoodstavce"/>
    <w:link w:val="Nadpis3"/>
    <w:uiPriority w:val="9"/>
    <w:rsid w:val="00AF3884"/>
    <w:rPr>
      <w:rFonts w:ascii="Arial" w:eastAsia="Times New Roman" w:hAnsi="Arial" w:cs="Arial"/>
      <w:b/>
      <w:bCs/>
      <w:sz w:val="24"/>
      <w:szCs w:val="24"/>
      <w:u w:val="single"/>
      <w:lang w:eastAsia="cs-CZ"/>
    </w:rPr>
  </w:style>
  <w:style w:type="paragraph" w:customStyle="1" w:styleId="Default">
    <w:name w:val="Default"/>
    <w:rsid w:val="00C97747"/>
    <w:pPr>
      <w:autoSpaceDE w:val="0"/>
      <w:autoSpaceDN w:val="0"/>
      <w:adjustRightInd w:val="0"/>
      <w:spacing w:after="0" w:line="240" w:lineRule="auto"/>
    </w:pPr>
    <w:rPr>
      <w:rFonts w:ascii="Arial" w:eastAsia="Calibri" w:hAnsi="Arial" w:cs="Arial"/>
      <w:color w:val="000000"/>
      <w:sz w:val="24"/>
      <w:szCs w:val="24"/>
    </w:rPr>
  </w:style>
  <w:style w:type="paragraph" w:customStyle="1" w:styleId="text">
    <w:name w:val="text"/>
    <w:basedOn w:val="Normln"/>
    <w:link w:val="textChar"/>
    <w:uiPriority w:val="99"/>
    <w:rsid w:val="00C97747"/>
    <w:pPr>
      <w:spacing w:after="100" w:line="288" w:lineRule="auto"/>
    </w:pPr>
    <w:rPr>
      <w:rFonts w:ascii="Calibri" w:eastAsia="Times New Roman" w:hAnsi="Calibri" w:cs="Times New Roman"/>
      <w:color w:val="000000"/>
      <w:sz w:val="24"/>
    </w:rPr>
  </w:style>
  <w:style w:type="character" w:customStyle="1" w:styleId="textChar">
    <w:name w:val="text Char"/>
    <w:link w:val="text"/>
    <w:uiPriority w:val="99"/>
    <w:locked/>
    <w:rsid w:val="00C97747"/>
    <w:rPr>
      <w:rFonts w:ascii="Calibri" w:eastAsia="Times New Roman" w:hAnsi="Calibri" w:cs="Times New Roman"/>
      <w:color w:val="000000"/>
      <w:sz w:val="24"/>
      <w:szCs w:val="20"/>
      <w:lang w:eastAsia="cs-CZ"/>
    </w:rPr>
  </w:style>
  <w:style w:type="character" w:styleId="Odkaznakoment">
    <w:name w:val="annotation reference"/>
    <w:basedOn w:val="Standardnpsmoodstavce"/>
    <w:uiPriority w:val="99"/>
    <w:semiHidden/>
    <w:unhideWhenUsed/>
    <w:rsid w:val="00C97747"/>
    <w:rPr>
      <w:sz w:val="16"/>
      <w:szCs w:val="16"/>
    </w:rPr>
  </w:style>
  <w:style w:type="paragraph" w:styleId="Textkomente">
    <w:name w:val="annotation text"/>
    <w:basedOn w:val="Normln"/>
    <w:link w:val="TextkomenteChar"/>
    <w:uiPriority w:val="99"/>
    <w:unhideWhenUsed/>
    <w:rsid w:val="00C97747"/>
    <w:pPr>
      <w:spacing w:after="160" w:line="240" w:lineRule="auto"/>
      <w:jc w:val="left"/>
    </w:pPr>
    <w:rPr>
      <w:rFonts w:asciiTheme="minorHAnsi" w:eastAsiaTheme="minorHAnsi" w:hAnsiTheme="minorHAnsi" w:cstheme="minorBidi"/>
      <w:sz w:val="20"/>
      <w:lang w:eastAsia="en-US"/>
    </w:rPr>
  </w:style>
  <w:style w:type="character" w:customStyle="1" w:styleId="TextkomenteChar">
    <w:name w:val="Text komentáře Char"/>
    <w:basedOn w:val="Standardnpsmoodstavce"/>
    <w:link w:val="Textkomente"/>
    <w:uiPriority w:val="99"/>
    <w:rsid w:val="00C97747"/>
    <w:rPr>
      <w:sz w:val="20"/>
      <w:szCs w:val="20"/>
    </w:rPr>
  </w:style>
  <w:style w:type="paragraph" w:styleId="Pedmtkomente">
    <w:name w:val="annotation subject"/>
    <w:basedOn w:val="Textkomente"/>
    <w:next w:val="Textkomente"/>
    <w:link w:val="PedmtkomenteChar"/>
    <w:uiPriority w:val="99"/>
    <w:semiHidden/>
    <w:unhideWhenUsed/>
    <w:rsid w:val="00491214"/>
    <w:pPr>
      <w:spacing w:after="120"/>
      <w:jc w:val="both"/>
    </w:pPr>
    <w:rPr>
      <w:rFonts w:ascii="Arial" w:eastAsia="Calibri" w:hAnsi="Arial" w:cs="Arial"/>
      <w:b/>
      <w:bCs/>
      <w:lang w:eastAsia="cs-CZ"/>
    </w:rPr>
  </w:style>
  <w:style w:type="character" w:customStyle="1" w:styleId="PedmtkomenteChar">
    <w:name w:val="Předmět komentáře Char"/>
    <w:basedOn w:val="TextkomenteChar"/>
    <w:link w:val="Pedmtkomente"/>
    <w:uiPriority w:val="99"/>
    <w:semiHidden/>
    <w:rsid w:val="00491214"/>
    <w:rPr>
      <w:rFonts w:ascii="Arial" w:eastAsia="Calibri" w:hAnsi="Arial" w:cs="Arial"/>
      <w:b/>
      <w:bCs/>
      <w:sz w:val="20"/>
      <w:szCs w:val="20"/>
      <w:lang w:eastAsia="cs-CZ"/>
    </w:rPr>
  </w:style>
  <w:style w:type="paragraph" w:styleId="Revize">
    <w:name w:val="Revision"/>
    <w:hidden/>
    <w:uiPriority w:val="99"/>
    <w:semiHidden/>
    <w:rsid w:val="00491214"/>
    <w:pPr>
      <w:spacing w:after="0" w:line="240" w:lineRule="auto"/>
    </w:pPr>
    <w:rPr>
      <w:rFonts w:ascii="Arial" w:eastAsia="Calibri" w:hAnsi="Arial" w:cs="Arial"/>
      <w:szCs w:val="20"/>
      <w:lang w:eastAsia="cs-CZ"/>
    </w:rPr>
  </w:style>
  <w:style w:type="paragraph" w:styleId="Obsah3">
    <w:name w:val="toc 3"/>
    <w:basedOn w:val="Normln"/>
    <w:next w:val="Normln"/>
    <w:autoRedefine/>
    <w:uiPriority w:val="39"/>
    <w:unhideWhenUsed/>
    <w:rsid w:val="006C5FEF"/>
    <w:pPr>
      <w:spacing w:after="100"/>
      <w:ind w:left="440"/>
    </w:pPr>
  </w:style>
  <w:style w:type="paragraph" w:customStyle="1" w:styleId="Tabulkatext">
    <w:name w:val="Tabulka text"/>
    <w:link w:val="TabulkatextChar"/>
    <w:uiPriority w:val="6"/>
    <w:rsid w:val="00862A92"/>
    <w:pPr>
      <w:spacing w:before="60" w:after="60" w:line="240" w:lineRule="auto"/>
      <w:ind w:left="57" w:right="57"/>
    </w:pPr>
    <w:rPr>
      <w:rFonts w:ascii="Arial" w:eastAsia="Arial" w:hAnsi="Arial" w:cs="Times New Roman"/>
      <w:color w:val="080808"/>
      <w:sz w:val="20"/>
    </w:rPr>
  </w:style>
  <w:style w:type="character" w:customStyle="1" w:styleId="TabulkatextChar">
    <w:name w:val="Tabulka text Char"/>
    <w:link w:val="Tabulkatext"/>
    <w:uiPriority w:val="6"/>
    <w:rsid w:val="00862A92"/>
    <w:rPr>
      <w:rFonts w:ascii="Arial" w:eastAsia="Arial" w:hAnsi="Arial" w:cs="Times New Roman"/>
      <w:color w:val="080808"/>
      <w:sz w:val="20"/>
    </w:rPr>
  </w:style>
  <w:style w:type="paragraph" w:styleId="Textpoznpodarou">
    <w:name w:val="footnote text"/>
    <w:aliases w:val="Char1,Text pozn. pod čarou1,Char Char Char1,Char Char1,Char Char,Char Char Char,Text pozn. pod čarou1 Char,Schriftart: 9 pt Char,Schriftart: 10 pt Char,Schriftart: 8 pt Char,Schriftart: 9 pt,Schriftart: 10 p,fn,Footnotes,Footnote ak"/>
    <w:basedOn w:val="Normln"/>
    <w:link w:val="TextpoznpodarouChar"/>
    <w:uiPriority w:val="99"/>
    <w:unhideWhenUsed/>
    <w:rsid w:val="00AD767C"/>
    <w:pPr>
      <w:spacing w:after="0" w:line="240" w:lineRule="auto"/>
    </w:pPr>
    <w:rPr>
      <w:sz w:val="20"/>
    </w:rPr>
  </w:style>
  <w:style w:type="character" w:customStyle="1" w:styleId="TextpoznpodarouChar">
    <w:name w:val="Text pozn. pod čarou Char"/>
    <w:aliases w:val="Char1 Char,Text pozn. pod čarou1 Char1,Char Char Char1 Char,Char Char1 Char,Char Char Char2,Char Char Char Char,Text pozn. pod čarou1 Char Char,Schriftart: 9 pt Char Char,Schriftart: 10 pt Char Char,Schriftart: 8 pt Char Char"/>
    <w:basedOn w:val="Standardnpsmoodstavce"/>
    <w:link w:val="Textpoznpodarou"/>
    <w:uiPriority w:val="99"/>
    <w:rsid w:val="00AD767C"/>
    <w:rPr>
      <w:rFonts w:ascii="Arial" w:eastAsia="Calibri" w:hAnsi="Arial" w:cs="Arial"/>
      <w:sz w:val="20"/>
      <w:szCs w:val="20"/>
      <w:lang w:eastAsia="cs-CZ"/>
    </w:rPr>
  </w:style>
  <w:style w:type="character" w:styleId="Znakapoznpodarou">
    <w:name w:val="footnote reference"/>
    <w:aliases w:val="BVI fnr,Footnote symbol,Footnote Reference Superscript,Appel note de bas de p,Appel note de bas de page,Légende,Char Car Car Car Car,Voetnootverwijzing,Footnote call,SUPERS,Footnote,(Footnote Reference),Footnote reference number,R"/>
    <w:basedOn w:val="Standardnpsmoodstavce"/>
    <w:uiPriority w:val="99"/>
    <w:unhideWhenUsed/>
    <w:rsid w:val="00AD767C"/>
    <w:rPr>
      <w:vertAlign w:val="superscript"/>
    </w:rPr>
  </w:style>
  <w:style w:type="paragraph" w:customStyle="1" w:styleId="Char4CharCharCharCharCharCharCharCharCharCharCharCharCharCharCharCharCharCharCharCharCharCharCharCharCharCharCharChar">
    <w:name w:val="Char4 Char Char Char Char Char Char Char Char Char Char Char Char Char Char Char Char Char Char Char Char Char Char Char Char Char Char Char Char"/>
    <w:basedOn w:val="Normln"/>
    <w:rsid w:val="001B27FA"/>
    <w:pPr>
      <w:spacing w:after="160" w:line="240" w:lineRule="exact"/>
      <w:jc w:val="left"/>
    </w:pPr>
    <w:rPr>
      <w:rFonts w:ascii="Times New Roman Bold" w:eastAsia="Times New Roman" w:hAnsi="Times New Roman Bold" w:cs="Times New Roman"/>
      <w:szCs w:val="26"/>
      <w:lang w:val="sk-SK" w:eastAsia="en-US"/>
    </w:rPr>
  </w:style>
  <w:style w:type="paragraph" w:styleId="Zhlav">
    <w:name w:val="header"/>
    <w:basedOn w:val="Normln"/>
    <w:link w:val="ZhlavChar"/>
    <w:uiPriority w:val="99"/>
    <w:unhideWhenUsed/>
    <w:rsid w:val="005D26C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D26C5"/>
    <w:rPr>
      <w:rFonts w:ascii="Arial" w:eastAsia="Calibri" w:hAnsi="Arial" w:cs="Arial"/>
      <w:szCs w:val="20"/>
      <w:lang w:eastAsia="cs-CZ"/>
    </w:rPr>
  </w:style>
  <w:style w:type="paragraph" w:customStyle="1" w:styleId="NOPil1">
    <w:name w:val="NO Pilíř 1"/>
    <w:basedOn w:val="Normln"/>
    <w:next w:val="Normln"/>
    <w:link w:val="NOPil1Char"/>
    <w:autoRedefine/>
    <w:qFormat/>
    <w:rsid w:val="007D5EB5"/>
    <w:pPr>
      <w:numPr>
        <w:numId w:val="5"/>
      </w:numPr>
      <w:tabs>
        <w:tab w:val="left" w:pos="1000"/>
      </w:tabs>
      <w:spacing w:before="200"/>
    </w:pPr>
    <w:rPr>
      <w:rFonts w:eastAsia="Arial"/>
      <w:b/>
    </w:rPr>
  </w:style>
  <w:style w:type="character" w:customStyle="1" w:styleId="NOPil1Char">
    <w:name w:val="NO Pilíř 1 Char"/>
    <w:basedOn w:val="Standardnpsmoodstavce"/>
    <w:link w:val="NOPil1"/>
    <w:rsid w:val="007D5EB5"/>
    <w:rPr>
      <w:rFonts w:ascii="Arial" w:eastAsia="Arial" w:hAnsi="Arial" w:cs="Arial"/>
      <w:b/>
      <w:szCs w:val="20"/>
      <w:lang w:eastAsia="cs-CZ"/>
    </w:rPr>
  </w:style>
  <w:style w:type="paragraph" w:styleId="FormtovanvHTML">
    <w:name w:val="HTML Preformatted"/>
    <w:basedOn w:val="Normln"/>
    <w:link w:val="FormtovanvHTMLChar"/>
    <w:uiPriority w:val="99"/>
    <w:semiHidden/>
    <w:unhideWhenUsed/>
    <w:rsid w:val="00947AEF"/>
    <w:pPr>
      <w:spacing w:after="0" w:line="240" w:lineRule="auto"/>
    </w:pPr>
    <w:rPr>
      <w:rFonts w:ascii="Consolas" w:hAnsi="Consolas"/>
      <w:sz w:val="20"/>
    </w:rPr>
  </w:style>
  <w:style w:type="character" w:customStyle="1" w:styleId="FormtovanvHTMLChar">
    <w:name w:val="Formátovaný v HTML Char"/>
    <w:basedOn w:val="Standardnpsmoodstavce"/>
    <w:link w:val="FormtovanvHTML"/>
    <w:uiPriority w:val="99"/>
    <w:semiHidden/>
    <w:rsid w:val="00947AEF"/>
    <w:rPr>
      <w:rFonts w:ascii="Consolas" w:eastAsia="Calibri" w:hAnsi="Consolas" w:cs="Arial"/>
      <w:sz w:val="20"/>
      <w:szCs w:val="20"/>
      <w:lang w:eastAsia="cs-CZ"/>
    </w:rPr>
  </w:style>
  <w:style w:type="paragraph" w:customStyle="1" w:styleId="Normln1">
    <w:name w:val="Normální1"/>
    <w:rsid w:val="00C2797A"/>
    <w:pPr>
      <w:widowControl w:val="0"/>
      <w:pBdr>
        <w:top w:val="nil"/>
        <w:left w:val="nil"/>
        <w:bottom w:val="nil"/>
        <w:right w:val="nil"/>
        <w:between w:val="nil"/>
      </w:pBdr>
      <w:spacing w:after="120"/>
      <w:jc w:val="both"/>
    </w:pPr>
    <w:rPr>
      <w:rFonts w:ascii="Arial" w:eastAsia="Arial" w:hAnsi="Arial" w:cs="Arial"/>
      <w:color w:val="000000"/>
      <w:lang w:eastAsia="cs-CZ"/>
    </w:rPr>
  </w:style>
  <w:style w:type="paragraph" w:styleId="Prosttext">
    <w:name w:val="Plain Text"/>
    <w:basedOn w:val="Normln"/>
    <w:link w:val="ProsttextChar"/>
    <w:uiPriority w:val="99"/>
    <w:unhideWhenUsed/>
    <w:rsid w:val="008C7C4E"/>
    <w:pPr>
      <w:spacing w:after="0" w:line="240" w:lineRule="auto"/>
      <w:jc w:val="left"/>
    </w:pPr>
    <w:rPr>
      <w:rFonts w:ascii="Calibri" w:eastAsiaTheme="minorHAnsi" w:hAnsi="Calibri" w:cstheme="minorBidi"/>
      <w:szCs w:val="21"/>
      <w:lang w:eastAsia="en-US"/>
    </w:rPr>
  </w:style>
  <w:style w:type="character" w:customStyle="1" w:styleId="ProsttextChar">
    <w:name w:val="Prostý text Char"/>
    <w:basedOn w:val="Standardnpsmoodstavce"/>
    <w:link w:val="Prosttext"/>
    <w:uiPriority w:val="99"/>
    <w:rsid w:val="008C7C4E"/>
    <w:rPr>
      <w:rFonts w:ascii="Calibri" w:hAnsi="Calibri"/>
      <w:szCs w:val="21"/>
    </w:rPr>
  </w:style>
  <w:style w:type="character" w:customStyle="1" w:styleId="st1">
    <w:name w:val="st1"/>
    <w:basedOn w:val="Standardnpsmoodstavce"/>
    <w:rsid w:val="00CF0E03"/>
  </w:style>
  <w:style w:type="paragraph" w:customStyle="1" w:styleId="TextNOK">
    <w:name w:val="Text NOK"/>
    <w:basedOn w:val="Normln"/>
    <w:uiPriority w:val="99"/>
    <w:rsid w:val="00E47DAB"/>
    <w:pPr>
      <w:suppressAutoHyphens/>
      <w:spacing w:before="120" w:line="312" w:lineRule="auto"/>
    </w:pPr>
    <w:rPr>
      <w:rFonts w:ascii="Times New Roman" w:eastAsia="Times New Roman" w:hAnsi="Times New Roman" w:cs="Times New Roman"/>
      <w:szCs w:val="22"/>
      <w:lang w:eastAsia="ar-SA"/>
    </w:rPr>
  </w:style>
  <w:style w:type="table" w:styleId="Svtlmkazvraznn1">
    <w:name w:val="Light Grid Accent 1"/>
    <w:basedOn w:val="Normlntabulka"/>
    <w:uiPriority w:val="62"/>
    <w:rsid w:val="0087467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Siln">
    <w:name w:val="Strong"/>
    <w:basedOn w:val="Standardnpsmoodstavce"/>
    <w:uiPriority w:val="22"/>
    <w:qFormat/>
    <w:rsid w:val="00874674"/>
    <w:rPr>
      <w:b/>
      <w:bCs/>
    </w:rPr>
  </w:style>
  <w:style w:type="paragraph" w:customStyle="1" w:styleId="typedudocumentcp">
    <w:name w:val="typedudocument_cp"/>
    <w:basedOn w:val="Normln"/>
    <w:rsid w:val="00874674"/>
    <w:pPr>
      <w:spacing w:after="0" w:line="240" w:lineRule="auto"/>
      <w:jc w:val="center"/>
    </w:pPr>
    <w:rPr>
      <w:rFonts w:ascii="Times New Roman" w:eastAsia="Times New Roman" w:hAnsi="Times New Roman" w:cs="Times New Roman"/>
      <w:b/>
      <w:bCs/>
      <w:sz w:val="24"/>
      <w:szCs w:val="24"/>
    </w:rPr>
  </w:style>
  <w:style w:type="paragraph" w:customStyle="1" w:styleId="titreobjetcp">
    <w:name w:val="titreobjet_cp"/>
    <w:basedOn w:val="Normln"/>
    <w:rsid w:val="00874674"/>
    <w:pPr>
      <w:spacing w:after="0" w:line="240" w:lineRule="auto"/>
      <w:jc w:val="center"/>
    </w:pPr>
    <w:rPr>
      <w:rFonts w:ascii="Times New Roman" w:eastAsia="Times New Roman" w:hAnsi="Times New Roman" w:cs="Times New Roman"/>
      <w:b/>
      <w:bCs/>
      <w:sz w:val="24"/>
      <w:szCs w:val="24"/>
    </w:rPr>
  </w:style>
  <w:style w:type="paragraph" w:customStyle="1" w:styleId="statut">
    <w:name w:val="statut"/>
    <w:basedOn w:val="Normln"/>
    <w:rsid w:val="00874674"/>
    <w:pPr>
      <w:spacing w:after="0" w:line="240" w:lineRule="auto"/>
      <w:jc w:val="center"/>
    </w:pPr>
    <w:rPr>
      <w:rFonts w:ascii="Times New Roman" w:eastAsia="Times New Roman" w:hAnsi="Times New Roman" w:cs="Times New Roman"/>
      <w:sz w:val="24"/>
      <w:szCs w:val="24"/>
    </w:rPr>
  </w:style>
  <w:style w:type="character" w:styleId="Sledovanodkaz">
    <w:name w:val="FollowedHyperlink"/>
    <w:basedOn w:val="Standardnpsmoodstavce"/>
    <w:uiPriority w:val="99"/>
    <w:semiHidden/>
    <w:unhideWhenUsed/>
    <w:rsid w:val="0010753B"/>
    <w:rPr>
      <w:color w:val="800080" w:themeColor="followedHyperlink"/>
      <w:u w:val="single"/>
    </w:rPr>
  </w:style>
  <w:style w:type="character" w:styleId="CittHTML">
    <w:name w:val="HTML Cite"/>
    <w:basedOn w:val="Standardnpsmoodstavce"/>
    <w:uiPriority w:val="99"/>
    <w:semiHidden/>
    <w:unhideWhenUsed/>
    <w:rsid w:val="005D5C44"/>
    <w:rPr>
      <w:i/>
      <w:iCs/>
    </w:rPr>
  </w:style>
  <w:style w:type="paragraph" w:styleId="Normlnweb">
    <w:name w:val="Normal (Web)"/>
    <w:basedOn w:val="Normln"/>
    <w:uiPriority w:val="99"/>
    <w:semiHidden/>
    <w:unhideWhenUsed/>
    <w:rsid w:val="003B7110"/>
    <w:pPr>
      <w:spacing w:before="100" w:beforeAutospacing="1" w:after="100" w:afterAutospacing="1" w:line="240" w:lineRule="auto"/>
      <w:jc w:val="left"/>
    </w:pPr>
    <w:rPr>
      <w:rFonts w:ascii="Times New Roman" w:eastAsiaTheme="minorEastAsia" w:hAnsi="Times New Roman" w:cs="Times New Roman"/>
      <w:sz w:val="24"/>
      <w:szCs w:val="24"/>
    </w:rPr>
  </w:style>
  <w:style w:type="paragraph" w:customStyle="1" w:styleId="NOPrezovpriority">
    <w:name w:val="NO Průřezové priority"/>
    <w:basedOn w:val="NOPil1"/>
    <w:link w:val="NOPrezovpriorityChar"/>
    <w:autoRedefine/>
    <w:qFormat/>
    <w:rsid w:val="006A2ACC"/>
    <w:pPr>
      <w:numPr>
        <w:numId w:val="4"/>
      </w:numPr>
    </w:pPr>
  </w:style>
  <w:style w:type="paragraph" w:customStyle="1" w:styleId="NOPil2">
    <w:name w:val="NO Pilíř 2"/>
    <w:basedOn w:val="NOPil1"/>
    <w:link w:val="NOPil2Char"/>
    <w:qFormat/>
    <w:rsid w:val="007F32AB"/>
    <w:pPr>
      <w:numPr>
        <w:numId w:val="6"/>
      </w:numPr>
    </w:pPr>
    <w:rPr>
      <w:lang w:eastAsia="en-US"/>
    </w:rPr>
  </w:style>
  <w:style w:type="character" w:customStyle="1" w:styleId="NOPrezovpriorityChar">
    <w:name w:val="NO Průřezové priority Char"/>
    <w:basedOn w:val="NOPil1Char"/>
    <w:link w:val="NOPrezovpriority"/>
    <w:rsid w:val="006A2ACC"/>
    <w:rPr>
      <w:rFonts w:ascii="Arial" w:eastAsia="Arial" w:hAnsi="Arial" w:cs="Arial"/>
      <w:b/>
      <w:szCs w:val="20"/>
      <w:lang w:eastAsia="cs-CZ"/>
    </w:rPr>
  </w:style>
  <w:style w:type="paragraph" w:customStyle="1" w:styleId="Odrka-Normln">
    <w:name w:val="Odrážka - Normální"/>
    <w:basedOn w:val="Normln"/>
    <w:link w:val="Odrka-NormlnChar"/>
    <w:qFormat/>
    <w:rsid w:val="007A7E47"/>
    <w:pPr>
      <w:numPr>
        <w:numId w:val="7"/>
      </w:numPr>
    </w:pPr>
    <w:rPr>
      <w:lang w:eastAsia="en-US"/>
    </w:rPr>
  </w:style>
  <w:style w:type="character" w:customStyle="1" w:styleId="NOPil2Char">
    <w:name w:val="NO Pilíř 2 Char"/>
    <w:basedOn w:val="NOPil1Char"/>
    <w:link w:val="NOPil2"/>
    <w:rsid w:val="007F32AB"/>
    <w:rPr>
      <w:rFonts w:ascii="Arial" w:eastAsia="Arial" w:hAnsi="Arial" w:cs="Arial"/>
      <w:b/>
      <w:szCs w:val="20"/>
      <w:lang w:eastAsia="cs-CZ"/>
    </w:rPr>
  </w:style>
  <w:style w:type="character" w:customStyle="1" w:styleId="Odrka-NormlnChar">
    <w:name w:val="Odrážka - Normální Char"/>
    <w:basedOn w:val="Standardnpsmoodstavce"/>
    <w:link w:val="Odrka-Normln"/>
    <w:rsid w:val="007A7E47"/>
    <w:rPr>
      <w:rFonts w:ascii="Arial" w:eastAsia="Calibri" w:hAnsi="Arial" w:cs="Arial"/>
      <w:szCs w:val="20"/>
    </w:rPr>
  </w:style>
  <w:style w:type="paragraph" w:customStyle="1" w:styleId="NOPil3">
    <w:name w:val="NO Pilíř 3"/>
    <w:basedOn w:val="NOPil2"/>
    <w:next w:val="Normln"/>
    <w:link w:val="NOPil3Char"/>
    <w:autoRedefine/>
    <w:qFormat/>
    <w:rsid w:val="00524035"/>
    <w:pPr>
      <w:numPr>
        <w:numId w:val="8"/>
      </w:numPr>
      <w:spacing w:after="200"/>
    </w:pPr>
  </w:style>
  <w:style w:type="character" w:customStyle="1" w:styleId="NOPil3Char">
    <w:name w:val="NO Pilíř 3 Char"/>
    <w:basedOn w:val="NOPil2Char"/>
    <w:link w:val="NOPil3"/>
    <w:rsid w:val="00524035"/>
    <w:rPr>
      <w:rFonts w:ascii="Arial" w:eastAsia="Arial" w:hAnsi="Arial" w:cs="Arial"/>
      <w:b/>
      <w:szCs w:val="20"/>
      <w:lang w:eastAsia="cs-CZ"/>
    </w:rPr>
  </w:style>
  <w:style w:type="paragraph" w:customStyle="1" w:styleId="NOPil4">
    <w:name w:val="NO Pilíř 4"/>
    <w:basedOn w:val="NOPil3"/>
    <w:next w:val="Normln"/>
    <w:link w:val="NOPil4Char"/>
    <w:autoRedefine/>
    <w:qFormat/>
    <w:rsid w:val="007A4BEB"/>
    <w:pPr>
      <w:numPr>
        <w:numId w:val="10"/>
      </w:numPr>
    </w:pPr>
  </w:style>
  <w:style w:type="paragraph" w:customStyle="1" w:styleId="NOPil5">
    <w:name w:val="NO Pilíř 5"/>
    <w:basedOn w:val="NOPil3"/>
    <w:link w:val="NOPil5Char"/>
    <w:qFormat/>
    <w:rsid w:val="00232C3C"/>
    <w:pPr>
      <w:numPr>
        <w:numId w:val="11"/>
      </w:numPr>
      <w:ind w:left="1434" w:hanging="357"/>
    </w:pPr>
  </w:style>
  <w:style w:type="character" w:customStyle="1" w:styleId="NOPil4Char">
    <w:name w:val="NO Pilíř 4 Char"/>
    <w:basedOn w:val="OdstavecseseznamemChar"/>
    <w:link w:val="NOPil4"/>
    <w:rsid w:val="007A4BEB"/>
    <w:rPr>
      <w:rFonts w:ascii="Arial" w:eastAsia="Arial" w:hAnsi="Arial" w:cs="Arial"/>
      <w:b/>
      <w:szCs w:val="20"/>
      <w:lang w:eastAsia="cs-CZ"/>
    </w:rPr>
  </w:style>
  <w:style w:type="character" w:customStyle="1" w:styleId="NOPil5Char">
    <w:name w:val="NO Pilíř 5 Char"/>
    <w:basedOn w:val="NOPil1Char"/>
    <w:link w:val="NOPil5"/>
    <w:rsid w:val="00232C3C"/>
    <w:rPr>
      <w:rFonts w:ascii="Arial" w:eastAsia="Arial" w:hAnsi="Arial" w:cs="Arial"/>
      <w:b/>
      <w:szCs w:val="20"/>
      <w:lang w:eastAsia="cs-CZ"/>
    </w:rPr>
  </w:style>
  <w:style w:type="paragraph" w:customStyle="1" w:styleId="Nzevopaten">
    <w:name w:val="Název opatření"/>
    <w:basedOn w:val="Normln"/>
    <w:link w:val="NzevopatenChar"/>
    <w:qFormat/>
    <w:rsid w:val="00AC424B"/>
    <w:pPr>
      <w:numPr>
        <w:numId w:val="12"/>
      </w:numPr>
      <w:tabs>
        <w:tab w:val="left" w:pos="1000"/>
      </w:tabs>
      <w:spacing w:before="240" w:after="60"/>
    </w:pPr>
    <w:rPr>
      <w:rFonts w:eastAsia="Arial"/>
      <w:b/>
    </w:rPr>
  </w:style>
  <w:style w:type="character" w:customStyle="1" w:styleId="NzevopatenChar">
    <w:name w:val="Název opatření Char"/>
    <w:basedOn w:val="Standardnpsmoodstavce"/>
    <w:link w:val="Nzevopaten"/>
    <w:rsid w:val="00AC424B"/>
    <w:rPr>
      <w:rFonts w:ascii="Arial" w:eastAsia="Arial" w:hAnsi="Arial" w:cs="Arial"/>
      <w:b/>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E65C9"/>
    <w:pPr>
      <w:spacing w:after="120"/>
      <w:jc w:val="both"/>
    </w:pPr>
    <w:rPr>
      <w:rFonts w:ascii="Arial" w:eastAsia="Calibri" w:hAnsi="Arial" w:cs="Arial"/>
      <w:szCs w:val="20"/>
      <w:lang w:eastAsia="cs-CZ"/>
    </w:rPr>
  </w:style>
  <w:style w:type="paragraph" w:styleId="Nadpis1">
    <w:name w:val="heading 1"/>
    <w:aliases w:val="Nadpis 1 - pilíř"/>
    <w:basedOn w:val="Normln"/>
    <w:next w:val="Normln"/>
    <w:link w:val="Nadpis1Char"/>
    <w:uiPriority w:val="9"/>
    <w:qFormat/>
    <w:rsid w:val="008E65C9"/>
    <w:pPr>
      <w:keepNext/>
      <w:keepLines/>
      <w:spacing w:before="480" w:after="240"/>
      <w:outlineLvl w:val="0"/>
    </w:pPr>
    <w:rPr>
      <w:rFonts w:eastAsiaTheme="majorEastAsia"/>
      <w:b/>
      <w:bCs/>
      <w:sz w:val="28"/>
      <w:szCs w:val="28"/>
    </w:rPr>
  </w:style>
  <w:style w:type="paragraph" w:styleId="Nadpis2">
    <w:name w:val="heading 2"/>
    <w:aliases w:val="Nadpis 2 - podkapitola"/>
    <w:basedOn w:val="Normln"/>
    <w:next w:val="Normln"/>
    <w:link w:val="Nadpis2Char"/>
    <w:autoRedefine/>
    <w:uiPriority w:val="9"/>
    <w:unhideWhenUsed/>
    <w:qFormat/>
    <w:rsid w:val="005D7386"/>
    <w:pPr>
      <w:keepNext/>
      <w:keepLines/>
      <w:spacing w:before="200" w:after="200"/>
      <w:outlineLvl w:val="1"/>
    </w:pPr>
    <w:rPr>
      <w:rFonts w:eastAsiaTheme="majorEastAsia"/>
      <w:b/>
      <w:bCs/>
      <w:i/>
      <w:szCs w:val="22"/>
    </w:rPr>
  </w:style>
  <w:style w:type="paragraph" w:styleId="Nadpis3">
    <w:name w:val="heading 3"/>
    <w:aliases w:val="Nadpis 3 - kapitola"/>
    <w:basedOn w:val="Normln"/>
    <w:next w:val="Normln"/>
    <w:link w:val="Nadpis3Char"/>
    <w:autoRedefine/>
    <w:uiPriority w:val="9"/>
    <w:unhideWhenUsed/>
    <w:qFormat/>
    <w:rsid w:val="00AF3884"/>
    <w:pPr>
      <w:keepNext/>
      <w:keepLines/>
      <w:tabs>
        <w:tab w:val="left" w:pos="3645"/>
      </w:tabs>
      <w:spacing w:before="480" w:after="240"/>
      <w:outlineLvl w:val="2"/>
    </w:pPr>
    <w:rPr>
      <w:rFonts w:eastAsia="Times New Roman"/>
      <w:b/>
      <w:bCs/>
      <w:sz w:val="24"/>
      <w:szCs w:val="24"/>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054B82"/>
    <w:pPr>
      <w:tabs>
        <w:tab w:val="center" w:pos="4536"/>
        <w:tab w:val="right" w:pos="9072"/>
      </w:tabs>
      <w:spacing w:after="0" w:line="240" w:lineRule="auto"/>
    </w:pPr>
  </w:style>
  <w:style w:type="character" w:customStyle="1" w:styleId="ZpatChar">
    <w:name w:val="Zápatí Char"/>
    <w:basedOn w:val="Standardnpsmoodstavce"/>
    <w:link w:val="Zpat"/>
    <w:uiPriority w:val="99"/>
    <w:rsid w:val="00054B82"/>
    <w:rPr>
      <w:rFonts w:ascii="Arial" w:eastAsia="Calibri" w:hAnsi="Arial" w:cs="Arial"/>
      <w:szCs w:val="20"/>
      <w:lang w:eastAsia="cs-CZ"/>
    </w:rPr>
  </w:style>
  <w:style w:type="paragraph" w:styleId="Odstavecseseznamem">
    <w:name w:val="List Paragraph"/>
    <w:aliases w:val="Conclusion de partie,Odstavec se seznamem2,Fiche List Paragraph,Odstavec1,Dot pt,List Paragraph Char Char Char,Indicator Text,Numbered Para 1,List Paragraph à moi,Odsek zoznamu4,LISTA,Listaszerű bekezdés2,3,Nad"/>
    <w:basedOn w:val="Normln"/>
    <w:link w:val="OdstavecseseznamemChar"/>
    <w:rsid w:val="00054B82"/>
    <w:pPr>
      <w:ind w:left="720"/>
      <w:contextualSpacing/>
    </w:pPr>
  </w:style>
  <w:style w:type="character" w:customStyle="1" w:styleId="Nadpis1Char">
    <w:name w:val="Nadpis 1 Char"/>
    <w:aliases w:val="Nadpis 1 - pilíř Char"/>
    <w:basedOn w:val="Standardnpsmoodstavce"/>
    <w:link w:val="Nadpis1"/>
    <w:uiPriority w:val="9"/>
    <w:rsid w:val="008E65C9"/>
    <w:rPr>
      <w:rFonts w:ascii="Arial" w:eastAsiaTheme="majorEastAsia" w:hAnsi="Arial" w:cs="Arial"/>
      <w:b/>
      <w:bCs/>
      <w:sz w:val="28"/>
      <w:szCs w:val="28"/>
      <w:lang w:eastAsia="cs-CZ"/>
    </w:rPr>
  </w:style>
  <w:style w:type="character" w:customStyle="1" w:styleId="Nadpis2Char">
    <w:name w:val="Nadpis 2 Char"/>
    <w:aliases w:val="Nadpis 2 - podkapitola Char"/>
    <w:basedOn w:val="Standardnpsmoodstavce"/>
    <w:link w:val="Nadpis2"/>
    <w:uiPriority w:val="9"/>
    <w:rsid w:val="005D7386"/>
    <w:rPr>
      <w:rFonts w:ascii="Arial" w:eastAsiaTheme="majorEastAsia" w:hAnsi="Arial" w:cs="Arial"/>
      <w:b/>
      <w:bCs/>
      <w:i/>
      <w:lang w:eastAsia="cs-CZ"/>
    </w:rPr>
  </w:style>
  <w:style w:type="paragraph" w:styleId="Obsah1">
    <w:name w:val="toc 1"/>
    <w:basedOn w:val="Normln"/>
    <w:next w:val="Normln"/>
    <w:autoRedefine/>
    <w:uiPriority w:val="39"/>
    <w:unhideWhenUsed/>
    <w:rsid w:val="00054B82"/>
    <w:pPr>
      <w:tabs>
        <w:tab w:val="left" w:pos="142"/>
        <w:tab w:val="left" w:pos="284"/>
        <w:tab w:val="right" w:leader="dot" w:pos="9072"/>
      </w:tabs>
    </w:pPr>
    <w:rPr>
      <w:b/>
      <w:sz w:val="24"/>
    </w:rPr>
  </w:style>
  <w:style w:type="character" w:styleId="Hypertextovodkaz">
    <w:name w:val="Hyperlink"/>
    <w:basedOn w:val="Standardnpsmoodstavce"/>
    <w:uiPriority w:val="99"/>
    <w:unhideWhenUsed/>
    <w:rsid w:val="00054B82"/>
    <w:rPr>
      <w:color w:val="0000FF" w:themeColor="hyperlink"/>
      <w:u w:val="single"/>
    </w:rPr>
  </w:style>
  <w:style w:type="paragraph" w:styleId="Nadpisobsahu">
    <w:name w:val="TOC Heading"/>
    <w:basedOn w:val="Nadpis1"/>
    <w:next w:val="Normln"/>
    <w:uiPriority w:val="39"/>
    <w:unhideWhenUsed/>
    <w:qFormat/>
    <w:rsid w:val="00054B82"/>
    <w:pPr>
      <w:jc w:val="left"/>
      <w:outlineLvl w:val="9"/>
    </w:pPr>
  </w:style>
  <w:style w:type="paragraph" w:styleId="Obsah2">
    <w:name w:val="toc 2"/>
    <w:basedOn w:val="Normln"/>
    <w:next w:val="Normln"/>
    <w:autoRedefine/>
    <w:uiPriority w:val="39"/>
    <w:unhideWhenUsed/>
    <w:rsid w:val="00BB2BE7"/>
    <w:pPr>
      <w:tabs>
        <w:tab w:val="right" w:leader="dot" w:pos="9062"/>
      </w:tabs>
      <w:spacing w:after="100"/>
      <w:ind w:left="220"/>
    </w:pPr>
    <w:rPr>
      <w:b/>
      <w:noProof/>
    </w:rPr>
  </w:style>
  <w:style w:type="paragraph" w:styleId="Textbubliny">
    <w:name w:val="Balloon Text"/>
    <w:basedOn w:val="Normln"/>
    <w:link w:val="TextbublinyChar"/>
    <w:uiPriority w:val="99"/>
    <w:semiHidden/>
    <w:unhideWhenUsed/>
    <w:rsid w:val="00054B8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54B82"/>
    <w:rPr>
      <w:rFonts w:ascii="Tahoma" w:eastAsia="Calibri" w:hAnsi="Tahoma" w:cs="Tahoma"/>
      <w:sz w:val="16"/>
      <w:szCs w:val="16"/>
      <w:lang w:eastAsia="cs-CZ"/>
    </w:rPr>
  </w:style>
  <w:style w:type="table" w:styleId="Mkatabulky">
    <w:name w:val="Table Grid"/>
    <w:basedOn w:val="Normlntabulka"/>
    <w:uiPriority w:val="59"/>
    <w:rsid w:val="00A25E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Conclusion de partie Char,Odstavec se seznamem2 Char,Fiche List Paragraph Char,Odstavec1 Char,Dot pt Char,List Paragraph Char Char Char Char,Indicator Text Char,Numbered Para 1 Char,List Paragraph à moi Char,Odsek zoznamu4 Char"/>
    <w:basedOn w:val="Standardnpsmoodstavce"/>
    <w:link w:val="Odstavecseseznamem"/>
    <w:qFormat/>
    <w:locked/>
    <w:rsid w:val="00825D40"/>
    <w:rPr>
      <w:rFonts w:ascii="Arial" w:eastAsia="Calibri" w:hAnsi="Arial" w:cs="Arial"/>
      <w:szCs w:val="20"/>
      <w:lang w:eastAsia="cs-CZ"/>
    </w:rPr>
  </w:style>
  <w:style w:type="character" w:customStyle="1" w:styleId="PlnovanopatenChar">
    <w:name w:val="Plánovaná opatření Char"/>
    <w:basedOn w:val="Standardnpsmoodstavce"/>
    <w:link w:val="Plnovanopaten"/>
    <w:locked/>
    <w:rsid w:val="00A612F7"/>
    <w:rPr>
      <w:rFonts w:ascii="Arial" w:eastAsia="Arial" w:hAnsi="Arial" w:cs="Arial"/>
      <w:b/>
      <w:u w:val="single"/>
    </w:rPr>
  </w:style>
  <w:style w:type="paragraph" w:customStyle="1" w:styleId="Plnovanopaten">
    <w:name w:val="Plánovaná opatření"/>
    <w:basedOn w:val="Normln"/>
    <w:link w:val="PlnovanopatenChar"/>
    <w:qFormat/>
    <w:rsid w:val="00A612F7"/>
    <w:pPr>
      <w:spacing w:before="240" w:after="240"/>
    </w:pPr>
    <w:rPr>
      <w:rFonts w:eastAsia="Arial"/>
      <w:b/>
      <w:szCs w:val="22"/>
      <w:u w:val="single"/>
      <w:lang w:eastAsia="en-US"/>
    </w:rPr>
  </w:style>
  <w:style w:type="character" w:customStyle="1" w:styleId="st">
    <w:name w:val="st"/>
    <w:basedOn w:val="Standardnpsmoodstavce"/>
    <w:rsid w:val="009106B7"/>
  </w:style>
  <w:style w:type="character" w:customStyle="1" w:styleId="Nadpis3Char">
    <w:name w:val="Nadpis 3 Char"/>
    <w:aliases w:val="Nadpis 3 - kapitola Char"/>
    <w:basedOn w:val="Standardnpsmoodstavce"/>
    <w:link w:val="Nadpis3"/>
    <w:uiPriority w:val="9"/>
    <w:rsid w:val="00AF3884"/>
    <w:rPr>
      <w:rFonts w:ascii="Arial" w:eastAsia="Times New Roman" w:hAnsi="Arial" w:cs="Arial"/>
      <w:b/>
      <w:bCs/>
      <w:sz w:val="24"/>
      <w:szCs w:val="24"/>
      <w:u w:val="single"/>
      <w:lang w:eastAsia="cs-CZ"/>
    </w:rPr>
  </w:style>
  <w:style w:type="paragraph" w:customStyle="1" w:styleId="Default">
    <w:name w:val="Default"/>
    <w:rsid w:val="00C97747"/>
    <w:pPr>
      <w:autoSpaceDE w:val="0"/>
      <w:autoSpaceDN w:val="0"/>
      <w:adjustRightInd w:val="0"/>
      <w:spacing w:after="0" w:line="240" w:lineRule="auto"/>
    </w:pPr>
    <w:rPr>
      <w:rFonts w:ascii="Arial" w:eastAsia="Calibri" w:hAnsi="Arial" w:cs="Arial"/>
      <w:color w:val="000000"/>
      <w:sz w:val="24"/>
      <w:szCs w:val="24"/>
    </w:rPr>
  </w:style>
  <w:style w:type="paragraph" w:customStyle="1" w:styleId="text">
    <w:name w:val="text"/>
    <w:basedOn w:val="Normln"/>
    <w:link w:val="textChar"/>
    <w:uiPriority w:val="99"/>
    <w:rsid w:val="00C97747"/>
    <w:pPr>
      <w:spacing w:after="100" w:line="288" w:lineRule="auto"/>
    </w:pPr>
    <w:rPr>
      <w:rFonts w:ascii="Calibri" w:eastAsia="Times New Roman" w:hAnsi="Calibri" w:cs="Times New Roman"/>
      <w:color w:val="000000"/>
      <w:sz w:val="24"/>
    </w:rPr>
  </w:style>
  <w:style w:type="character" w:customStyle="1" w:styleId="textChar">
    <w:name w:val="text Char"/>
    <w:link w:val="text"/>
    <w:uiPriority w:val="99"/>
    <w:locked/>
    <w:rsid w:val="00C97747"/>
    <w:rPr>
      <w:rFonts w:ascii="Calibri" w:eastAsia="Times New Roman" w:hAnsi="Calibri" w:cs="Times New Roman"/>
      <w:color w:val="000000"/>
      <w:sz w:val="24"/>
      <w:szCs w:val="20"/>
      <w:lang w:eastAsia="cs-CZ"/>
    </w:rPr>
  </w:style>
  <w:style w:type="character" w:styleId="Odkaznakoment">
    <w:name w:val="annotation reference"/>
    <w:basedOn w:val="Standardnpsmoodstavce"/>
    <w:uiPriority w:val="99"/>
    <w:semiHidden/>
    <w:unhideWhenUsed/>
    <w:rsid w:val="00C97747"/>
    <w:rPr>
      <w:sz w:val="16"/>
      <w:szCs w:val="16"/>
    </w:rPr>
  </w:style>
  <w:style w:type="paragraph" w:styleId="Textkomente">
    <w:name w:val="annotation text"/>
    <w:basedOn w:val="Normln"/>
    <w:link w:val="TextkomenteChar"/>
    <w:uiPriority w:val="99"/>
    <w:unhideWhenUsed/>
    <w:rsid w:val="00C97747"/>
    <w:pPr>
      <w:spacing w:after="160" w:line="240" w:lineRule="auto"/>
      <w:jc w:val="left"/>
    </w:pPr>
    <w:rPr>
      <w:rFonts w:asciiTheme="minorHAnsi" w:eastAsiaTheme="minorHAnsi" w:hAnsiTheme="minorHAnsi" w:cstheme="minorBidi"/>
      <w:sz w:val="20"/>
      <w:lang w:eastAsia="en-US"/>
    </w:rPr>
  </w:style>
  <w:style w:type="character" w:customStyle="1" w:styleId="TextkomenteChar">
    <w:name w:val="Text komentáře Char"/>
    <w:basedOn w:val="Standardnpsmoodstavce"/>
    <w:link w:val="Textkomente"/>
    <w:uiPriority w:val="99"/>
    <w:rsid w:val="00C97747"/>
    <w:rPr>
      <w:sz w:val="20"/>
      <w:szCs w:val="20"/>
    </w:rPr>
  </w:style>
  <w:style w:type="paragraph" w:styleId="Pedmtkomente">
    <w:name w:val="annotation subject"/>
    <w:basedOn w:val="Textkomente"/>
    <w:next w:val="Textkomente"/>
    <w:link w:val="PedmtkomenteChar"/>
    <w:uiPriority w:val="99"/>
    <w:semiHidden/>
    <w:unhideWhenUsed/>
    <w:rsid w:val="00491214"/>
    <w:pPr>
      <w:spacing w:after="120"/>
      <w:jc w:val="both"/>
    </w:pPr>
    <w:rPr>
      <w:rFonts w:ascii="Arial" w:eastAsia="Calibri" w:hAnsi="Arial" w:cs="Arial"/>
      <w:b/>
      <w:bCs/>
      <w:lang w:eastAsia="cs-CZ"/>
    </w:rPr>
  </w:style>
  <w:style w:type="character" w:customStyle="1" w:styleId="PedmtkomenteChar">
    <w:name w:val="Předmět komentáře Char"/>
    <w:basedOn w:val="TextkomenteChar"/>
    <w:link w:val="Pedmtkomente"/>
    <w:uiPriority w:val="99"/>
    <w:semiHidden/>
    <w:rsid w:val="00491214"/>
    <w:rPr>
      <w:rFonts w:ascii="Arial" w:eastAsia="Calibri" w:hAnsi="Arial" w:cs="Arial"/>
      <w:b/>
      <w:bCs/>
      <w:sz w:val="20"/>
      <w:szCs w:val="20"/>
      <w:lang w:eastAsia="cs-CZ"/>
    </w:rPr>
  </w:style>
  <w:style w:type="paragraph" w:styleId="Revize">
    <w:name w:val="Revision"/>
    <w:hidden/>
    <w:uiPriority w:val="99"/>
    <w:semiHidden/>
    <w:rsid w:val="00491214"/>
    <w:pPr>
      <w:spacing w:after="0" w:line="240" w:lineRule="auto"/>
    </w:pPr>
    <w:rPr>
      <w:rFonts w:ascii="Arial" w:eastAsia="Calibri" w:hAnsi="Arial" w:cs="Arial"/>
      <w:szCs w:val="20"/>
      <w:lang w:eastAsia="cs-CZ"/>
    </w:rPr>
  </w:style>
  <w:style w:type="paragraph" w:styleId="Obsah3">
    <w:name w:val="toc 3"/>
    <w:basedOn w:val="Normln"/>
    <w:next w:val="Normln"/>
    <w:autoRedefine/>
    <w:uiPriority w:val="39"/>
    <w:unhideWhenUsed/>
    <w:rsid w:val="006C5FEF"/>
    <w:pPr>
      <w:spacing w:after="100"/>
      <w:ind w:left="440"/>
    </w:pPr>
  </w:style>
  <w:style w:type="paragraph" w:customStyle="1" w:styleId="Tabulkatext">
    <w:name w:val="Tabulka text"/>
    <w:link w:val="TabulkatextChar"/>
    <w:uiPriority w:val="6"/>
    <w:rsid w:val="00862A92"/>
    <w:pPr>
      <w:spacing w:before="60" w:after="60" w:line="240" w:lineRule="auto"/>
      <w:ind w:left="57" w:right="57"/>
    </w:pPr>
    <w:rPr>
      <w:rFonts w:ascii="Arial" w:eastAsia="Arial" w:hAnsi="Arial" w:cs="Times New Roman"/>
      <w:color w:val="080808"/>
      <w:sz w:val="20"/>
    </w:rPr>
  </w:style>
  <w:style w:type="character" w:customStyle="1" w:styleId="TabulkatextChar">
    <w:name w:val="Tabulka text Char"/>
    <w:link w:val="Tabulkatext"/>
    <w:uiPriority w:val="6"/>
    <w:rsid w:val="00862A92"/>
    <w:rPr>
      <w:rFonts w:ascii="Arial" w:eastAsia="Arial" w:hAnsi="Arial" w:cs="Times New Roman"/>
      <w:color w:val="080808"/>
      <w:sz w:val="20"/>
    </w:rPr>
  </w:style>
  <w:style w:type="paragraph" w:styleId="Textpoznpodarou">
    <w:name w:val="footnote text"/>
    <w:aliases w:val="Char1,Text pozn. pod čarou1,Char Char Char1,Char Char1,Char Char,Char Char Char,Text pozn. pod čarou1 Char,Schriftart: 9 pt Char,Schriftart: 10 pt Char,Schriftart: 8 pt Char,Schriftart: 9 pt,Schriftart: 10 p,fn,Footnotes,Footnote ak"/>
    <w:basedOn w:val="Normln"/>
    <w:link w:val="TextpoznpodarouChar"/>
    <w:uiPriority w:val="99"/>
    <w:unhideWhenUsed/>
    <w:rsid w:val="00AD767C"/>
    <w:pPr>
      <w:spacing w:after="0" w:line="240" w:lineRule="auto"/>
    </w:pPr>
    <w:rPr>
      <w:sz w:val="20"/>
    </w:rPr>
  </w:style>
  <w:style w:type="character" w:customStyle="1" w:styleId="TextpoznpodarouChar">
    <w:name w:val="Text pozn. pod čarou Char"/>
    <w:aliases w:val="Char1 Char,Text pozn. pod čarou1 Char1,Char Char Char1 Char,Char Char1 Char,Char Char Char2,Char Char Char Char,Text pozn. pod čarou1 Char Char,Schriftart: 9 pt Char Char,Schriftart: 10 pt Char Char,Schriftart: 8 pt Char Char"/>
    <w:basedOn w:val="Standardnpsmoodstavce"/>
    <w:link w:val="Textpoznpodarou"/>
    <w:uiPriority w:val="99"/>
    <w:rsid w:val="00AD767C"/>
    <w:rPr>
      <w:rFonts w:ascii="Arial" w:eastAsia="Calibri" w:hAnsi="Arial" w:cs="Arial"/>
      <w:sz w:val="20"/>
      <w:szCs w:val="20"/>
      <w:lang w:eastAsia="cs-CZ"/>
    </w:rPr>
  </w:style>
  <w:style w:type="character" w:styleId="Znakapoznpodarou">
    <w:name w:val="footnote reference"/>
    <w:aliases w:val="BVI fnr,Footnote symbol,Footnote Reference Superscript,Appel note de bas de p,Appel note de bas de page,Légende,Char Car Car Car Car,Voetnootverwijzing,Footnote call,SUPERS,Footnote,(Footnote Reference),Footnote reference number,R"/>
    <w:basedOn w:val="Standardnpsmoodstavce"/>
    <w:uiPriority w:val="99"/>
    <w:unhideWhenUsed/>
    <w:rsid w:val="00AD767C"/>
    <w:rPr>
      <w:vertAlign w:val="superscript"/>
    </w:rPr>
  </w:style>
  <w:style w:type="paragraph" w:customStyle="1" w:styleId="Char4CharCharCharCharCharCharCharCharCharCharCharCharCharCharCharCharCharCharCharCharCharCharCharCharCharCharCharChar">
    <w:name w:val="Char4 Char Char Char Char Char Char Char Char Char Char Char Char Char Char Char Char Char Char Char Char Char Char Char Char Char Char Char Char"/>
    <w:basedOn w:val="Normln"/>
    <w:rsid w:val="001B27FA"/>
    <w:pPr>
      <w:spacing w:after="160" w:line="240" w:lineRule="exact"/>
      <w:jc w:val="left"/>
    </w:pPr>
    <w:rPr>
      <w:rFonts w:ascii="Times New Roman Bold" w:eastAsia="Times New Roman" w:hAnsi="Times New Roman Bold" w:cs="Times New Roman"/>
      <w:szCs w:val="26"/>
      <w:lang w:val="sk-SK" w:eastAsia="en-US"/>
    </w:rPr>
  </w:style>
  <w:style w:type="paragraph" w:styleId="Zhlav">
    <w:name w:val="header"/>
    <w:basedOn w:val="Normln"/>
    <w:link w:val="ZhlavChar"/>
    <w:uiPriority w:val="99"/>
    <w:unhideWhenUsed/>
    <w:rsid w:val="005D26C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D26C5"/>
    <w:rPr>
      <w:rFonts w:ascii="Arial" w:eastAsia="Calibri" w:hAnsi="Arial" w:cs="Arial"/>
      <w:szCs w:val="20"/>
      <w:lang w:eastAsia="cs-CZ"/>
    </w:rPr>
  </w:style>
  <w:style w:type="paragraph" w:customStyle="1" w:styleId="NOPil1">
    <w:name w:val="NO Pilíř 1"/>
    <w:basedOn w:val="Normln"/>
    <w:next w:val="Normln"/>
    <w:link w:val="NOPil1Char"/>
    <w:autoRedefine/>
    <w:qFormat/>
    <w:rsid w:val="007D5EB5"/>
    <w:pPr>
      <w:numPr>
        <w:numId w:val="5"/>
      </w:numPr>
      <w:tabs>
        <w:tab w:val="left" w:pos="1000"/>
      </w:tabs>
      <w:spacing w:before="200"/>
    </w:pPr>
    <w:rPr>
      <w:rFonts w:eastAsia="Arial"/>
      <w:b/>
    </w:rPr>
  </w:style>
  <w:style w:type="character" w:customStyle="1" w:styleId="NOPil1Char">
    <w:name w:val="NO Pilíř 1 Char"/>
    <w:basedOn w:val="Standardnpsmoodstavce"/>
    <w:link w:val="NOPil1"/>
    <w:rsid w:val="007D5EB5"/>
    <w:rPr>
      <w:rFonts w:ascii="Arial" w:eastAsia="Arial" w:hAnsi="Arial" w:cs="Arial"/>
      <w:b/>
      <w:szCs w:val="20"/>
      <w:lang w:eastAsia="cs-CZ"/>
    </w:rPr>
  </w:style>
  <w:style w:type="paragraph" w:styleId="FormtovanvHTML">
    <w:name w:val="HTML Preformatted"/>
    <w:basedOn w:val="Normln"/>
    <w:link w:val="FormtovanvHTMLChar"/>
    <w:uiPriority w:val="99"/>
    <w:semiHidden/>
    <w:unhideWhenUsed/>
    <w:rsid w:val="00947AEF"/>
    <w:pPr>
      <w:spacing w:after="0" w:line="240" w:lineRule="auto"/>
    </w:pPr>
    <w:rPr>
      <w:rFonts w:ascii="Consolas" w:hAnsi="Consolas"/>
      <w:sz w:val="20"/>
    </w:rPr>
  </w:style>
  <w:style w:type="character" w:customStyle="1" w:styleId="FormtovanvHTMLChar">
    <w:name w:val="Formátovaný v HTML Char"/>
    <w:basedOn w:val="Standardnpsmoodstavce"/>
    <w:link w:val="FormtovanvHTML"/>
    <w:uiPriority w:val="99"/>
    <w:semiHidden/>
    <w:rsid w:val="00947AEF"/>
    <w:rPr>
      <w:rFonts w:ascii="Consolas" w:eastAsia="Calibri" w:hAnsi="Consolas" w:cs="Arial"/>
      <w:sz w:val="20"/>
      <w:szCs w:val="20"/>
      <w:lang w:eastAsia="cs-CZ"/>
    </w:rPr>
  </w:style>
  <w:style w:type="paragraph" w:customStyle="1" w:styleId="Normln1">
    <w:name w:val="Normální1"/>
    <w:rsid w:val="00C2797A"/>
    <w:pPr>
      <w:widowControl w:val="0"/>
      <w:pBdr>
        <w:top w:val="nil"/>
        <w:left w:val="nil"/>
        <w:bottom w:val="nil"/>
        <w:right w:val="nil"/>
        <w:between w:val="nil"/>
      </w:pBdr>
      <w:spacing w:after="120"/>
      <w:jc w:val="both"/>
    </w:pPr>
    <w:rPr>
      <w:rFonts w:ascii="Arial" w:eastAsia="Arial" w:hAnsi="Arial" w:cs="Arial"/>
      <w:color w:val="000000"/>
      <w:lang w:eastAsia="cs-CZ"/>
    </w:rPr>
  </w:style>
  <w:style w:type="paragraph" w:styleId="Prosttext">
    <w:name w:val="Plain Text"/>
    <w:basedOn w:val="Normln"/>
    <w:link w:val="ProsttextChar"/>
    <w:uiPriority w:val="99"/>
    <w:unhideWhenUsed/>
    <w:rsid w:val="008C7C4E"/>
    <w:pPr>
      <w:spacing w:after="0" w:line="240" w:lineRule="auto"/>
      <w:jc w:val="left"/>
    </w:pPr>
    <w:rPr>
      <w:rFonts w:ascii="Calibri" w:eastAsiaTheme="minorHAnsi" w:hAnsi="Calibri" w:cstheme="minorBidi"/>
      <w:szCs w:val="21"/>
      <w:lang w:eastAsia="en-US"/>
    </w:rPr>
  </w:style>
  <w:style w:type="character" w:customStyle="1" w:styleId="ProsttextChar">
    <w:name w:val="Prostý text Char"/>
    <w:basedOn w:val="Standardnpsmoodstavce"/>
    <w:link w:val="Prosttext"/>
    <w:uiPriority w:val="99"/>
    <w:rsid w:val="008C7C4E"/>
    <w:rPr>
      <w:rFonts w:ascii="Calibri" w:hAnsi="Calibri"/>
      <w:szCs w:val="21"/>
    </w:rPr>
  </w:style>
  <w:style w:type="character" w:customStyle="1" w:styleId="st1">
    <w:name w:val="st1"/>
    <w:basedOn w:val="Standardnpsmoodstavce"/>
    <w:rsid w:val="00CF0E03"/>
  </w:style>
  <w:style w:type="paragraph" w:customStyle="1" w:styleId="TextNOK">
    <w:name w:val="Text NOK"/>
    <w:basedOn w:val="Normln"/>
    <w:uiPriority w:val="99"/>
    <w:rsid w:val="00E47DAB"/>
    <w:pPr>
      <w:suppressAutoHyphens/>
      <w:spacing w:before="120" w:line="312" w:lineRule="auto"/>
    </w:pPr>
    <w:rPr>
      <w:rFonts w:ascii="Times New Roman" w:eastAsia="Times New Roman" w:hAnsi="Times New Roman" w:cs="Times New Roman"/>
      <w:szCs w:val="22"/>
      <w:lang w:eastAsia="ar-SA"/>
    </w:rPr>
  </w:style>
  <w:style w:type="table" w:styleId="Svtlmkazvraznn1">
    <w:name w:val="Light Grid Accent 1"/>
    <w:basedOn w:val="Normlntabulka"/>
    <w:uiPriority w:val="62"/>
    <w:rsid w:val="0087467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Siln">
    <w:name w:val="Strong"/>
    <w:basedOn w:val="Standardnpsmoodstavce"/>
    <w:uiPriority w:val="22"/>
    <w:qFormat/>
    <w:rsid w:val="00874674"/>
    <w:rPr>
      <w:b/>
      <w:bCs/>
    </w:rPr>
  </w:style>
  <w:style w:type="paragraph" w:customStyle="1" w:styleId="typedudocumentcp">
    <w:name w:val="typedudocument_cp"/>
    <w:basedOn w:val="Normln"/>
    <w:rsid w:val="00874674"/>
    <w:pPr>
      <w:spacing w:after="0" w:line="240" w:lineRule="auto"/>
      <w:jc w:val="center"/>
    </w:pPr>
    <w:rPr>
      <w:rFonts w:ascii="Times New Roman" w:eastAsia="Times New Roman" w:hAnsi="Times New Roman" w:cs="Times New Roman"/>
      <w:b/>
      <w:bCs/>
      <w:sz w:val="24"/>
      <w:szCs w:val="24"/>
    </w:rPr>
  </w:style>
  <w:style w:type="paragraph" w:customStyle="1" w:styleId="titreobjetcp">
    <w:name w:val="titreobjet_cp"/>
    <w:basedOn w:val="Normln"/>
    <w:rsid w:val="00874674"/>
    <w:pPr>
      <w:spacing w:after="0" w:line="240" w:lineRule="auto"/>
      <w:jc w:val="center"/>
    </w:pPr>
    <w:rPr>
      <w:rFonts w:ascii="Times New Roman" w:eastAsia="Times New Roman" w:hAnsi="Times New Roman" w:cs="Times New Roman"/>
      <w:b/>
      <w:bCs/>
      <w:sz w:val="24"/>
      <w:szCs w:val="24"/>
    </w:rPr>
  </w:style>
  <w:style w:type="paragraph" w:customStyle="1" w:styleId="statut">
    <w:name w:val="statut"/>
    <w:basedOn w:val="Normln"/>
    <w:rsid w:val="00874674"/>
    <w:pPr>
      <w:spacing w:after="0" w:line="240" w:lineRule="auto"/>
      <w:jc w:val="center"/>
    </w:pPr>
    <w:rPr>
      <w:rFonts w:ascii="Times New Roman" w:eastAsia="Times New Roman" w:hAnsi="Times New Roman" w:cs="Times New Roman"/>
      <w:sz w:val="24"/>
      <w:szCs w:val="24"/>
    </w:rPr>
  </w:style>
  <w:style w:type="character" w:styleId="Sledovanodkaz">
    <w:name w:val="FollowedHyperlink"/>
    <w:basedOn w:val="Standardnpsmoodstavce"/>
    <w:uiPriority w:val="99"/>
    <w:semiHidden/>
    <w:unhideWhenUsed/>
    <w:rsid w:val="0010753B"/>
    <w:rPr>
      <w:color w:val="800080" w:themeColor="followedHyperlink"/>
      <w:u w:val="single"/>
    </w:rPr>
  </w:style>
  <w:style w:type="character" w:styleId="CittHTML">
    <w:name w:val="HTML Cite"/>
    <w:basedOn w:val="Standardnpsmoodstavce"/>
    <w:uiPriority w:val="99"/>
    <w:semiHidden/>
    <w:unhideWhenUsed/>
    <w:rsid w:val="005D5C44"/>
    <w:rPr>
      <w:i/>
      <w:iCs/>
    </w:rPr>
  </w:style>
  <w:style w:type="paragraph" w:styleId="Normlnweb">
    <w:name w:val="Normal (Web)"/>
    <w:basedOn w:val="Normln"/>
    <w:uiPriority w:val="99"/>
    <w:semiHidden/>
    <w:unhideWhenUsed/>
    <w:rsid w:val="003B7110"/>
    <w:pPr>
      <w:spacing w:before="100" w:beforeAutospacing="1" w:after="100" w:afterAutospacing="1" w:line="240" w:lineRule="auto"/>
      <w:jc w:val="left"/>
    </w:pPr>
    <w:rPr>
      <w:rFonts w:ascii="Times New Roman" w:eastAsiaTheme="minorEastAsia" w:hAnsi="Times New Roman" w:cs="Times New Roman"/>
      <w:sz w:val="24"/>
      <w:szCs w:val="24"/>
    </w:rPr>
  </w:style>
  <w:style w:type="paragraph" w:customStyle="1" w:styleId="NOPrezovpriority">
    <w:name w:val="NO Průřezové priority"/>
    <w:basedOn w:val="NOPil1"/>
    <w:link w:val="NOPrezovpriorityChar"/>
    <w:autoRedefine/>
    <w:qFormat/>
    <w:rsid w:val="006A2ACC"/>
    <w:pPr>
      <w:numPr>
        <w:numId w:val="4"/>
      </w:numPr>
    </w:pPr>
  </w:style>
  <w:style w:type="paragraph" w:customStyle="1" w:styleId="NOPil2">
    <w:name w:val="NO Pilíř 2"/>
    <w:basedOn w:val="NOPil1"/>
    <w:link w:val="NOPil2Char"/>
    <w:qFormat/>
    <w:rsid w:val="007F32AB"/>
    <w:pPr>
      <w:numPr>
        <w:numId w:val="6"/>
      </w:numPr>
    </w:pPr>
    <w:rPr>
      <w:lang w:eastAsia="en-US"/>
    </w:rPr>
  </w:style>
  <w:style w:type="character" w:customStyle="1" w:styleId="NOPrezovpriorityChar">
    <w:name w:val="NO Průřezové priority Char"/>
    <w:basedOn w:val="NOPil1Char"/>
    <w:link w:val="NOPrezovpriority"/>
    <w:rsid w:val="006A2ACC"/>
    <w:rPr>
      <w:rFonts w:ascii="Arial" w:eastAsia="Arial" w:hAnsi="Arial" w:cs="Arial"/>
      <w:b/>
      <w:szCs w:val="20"/>
      <w:lang w:eastAsia="cs-CZ"/>
    </w:rPr>
  </w:style>
  <w:style w:type="paragraph" w:customStyle="1" w:styleId="Odrka-Normln">
    <w:name w:val="Odrážka - Normální"/>
    <w:basedOn w:val="Normln"/>
    <w:link w:val="Odrka-NormlnChar"/>
    <w:qFormat/>
    <w:rsid w:val="007A7E47"/>
    <w:pPr>
      <w:numPr>
        <w:numId w:val="7"/>
      </w:numPr>
    </w:pPr>
    <w:rPr>
      <w:lang w:eastAsia="en-US"/>
    </w:rPr>
  </w:style>
  <w:style w:type="character" w:customStyle="1" w:styleId="NOPil2Char">
    <w:name w:val="NO Pilíř 2 Char"/>
    <w:basedOn w:val="NOPil1Char"/>
    <w:link w:val="NOPil2"/>
    <w:rsid w:val="007F32AB"/>
    <w:rPr>
      <w:rFonts w:ascii="Arial" w:eastAsia="Arial" w:hAnsi="Arial" w:cs="Arial"/>
      <w:b/>
      <w:szCs w:val="20"/>
      <w:lang w:eastAsia="cs-CZ"/>
    </w:rPr>
  </w:style>
  <w:style w:type="character" w:customStyle="1" w:styleId="Odrka-NormlnChar">
    <w:name w:val="Odrážka - Normální Char"/>
    <w:basedOn w:val="Standardnpsmoodstavce"/>
    <w:link w:val="Odrka-Normln"/>
    <w:rsid w:val="007A7E47"/>
    <w:rPr>
      <w:rFonts w:ascii="Arial" w:eastAsia="Calibri" w:hAnsi="Arial" w:cs="Arial"/>
      <w:szCs w:val="20"/>
    </w:rPr>
  </w:style>
  <w:style w:type="paragraph" w:customStyle="1" w:styleId="NOPil3">
    <w:name w:val="NO Pilíř 3"/>
    <w:basedOn w:val="NOPil2"/>
    <w:next w:val="Normln"/>
    <w:link w:val="NOPil3Char"/>
    <w:autoRedefine/>
    <w:qFormat/>
    <w:rsid w:val="00524035"/>
    <w:pPr>
      <w:numPr>
        <w:numId w:val="8"/>
      </w:numPr>
      <w:spacing w:after="200"/>
    </w:pPr>
  </w:style>
  <w:style w:type="character" w:customStyle="1" w:styleId="NOPil3Char">
    <w:name w:val="NO Pilíř 3 Char"/>
    <w:basedOn w:val="NOPil2Char"/>
    <w:link w:val="NOPil3"/>
    <w:rsid w:val="00524035"/>
    <w:rPr>
      <w:rFonts w:ascii="Arial" w:eastAsia="Arial" w:hAnsi="Arial" w:cs="Arial"/>
      <w:b/>
      <w:szCs w:val="20"/>
      <w:lang w:eastAsia="cs-CZ"/>
    </w:rPr>
  </w:style>
  <w:style w:type="paragraph" w:customStyle="1" w:styleId="NOPil4">
    <w:name w:val="NO Pilíř 4"/>
    <w:basedOn w:val="NOPil3"/>
    <w:next w:val="Normln"/>
    <w:link w:val="NOPil4Char"/>
    <w:autoRedefine/>
    <w:qFormat/>
    <w:rsid w:val="007A4BEB"/>
    <w:pPr>
      <w:numPr>
        <w:numId w:val="10"/>
      </w:numPr>
    </w:pPr>
  </w:style>
  <w:style w:type="paragraph" w:customStyle="1" w:styleId="NOPil5">
    <w:name w:val="NO Pilíř 5"/>
    <w:basedOn w:val="NOPil3"/>
    <w:link w:val="NOPil5Char"/>
    <w:qFormat/>
    <w:rsid w:val="00232C3C"/>
    <w:pPr>
      <w:numPr>
        <w:numId w:val="11"/>
      </w:numPr>
      <w:ind w:left="1434" w:hanging="357"/>
    </w:pPr>
  </w:style>
  <w:style w:type="character" w:customStyle="1" w:styleId="NOPil4Char">
    <w:name w:val="NO Pilíř 4 Char"/>
    <w:basedOn w:val="OdstavecseseznamemChar"/>
    <w:link w:val="NOPil4"/>
    <w:rsid w:val="007A4BEB"/>
    <w:rPr>
      <w:rFonts w:ascii="Arial" w:eastAsia="Arial" w:hAnsi="Arial" w:cs="Arial"/>
      <w:b/>
      <w:szCs w:val="20"/>
      <w:lang w:eastAsia="cs-CZ"/>
    </w:rPr>
  </w:style>
  <w:style w:type="character" w:customStyle="1" w:styleId="NOPil5Char">
    <w:name w:val="NO Pilíř 5 Char"/>
    <w:basedOn w:val="NOPil1Char"/>
    <w:link w:val="NOPil5"/>
    <w:rsid w:val="00232C3C"/>
    <w:rPr>
      <w:rFonts w:ascii="Arial" w:eastAsia="Arial" w:hAnsi="Arial" w:cs="Arial"/>
      <w:b/>
      <w:szCs w:val="20"/>
      <w:lang w:eastAsia="cs-CZ"/>
    </w:rPr>
  </w:style>
  <w:style w:type="paragraph" w:customStyle="1" w:styleId="Nzevopaten">
    <w:name w:val="Název opatření"/>
    <w:basedOn w:val="Normln"/>
    <w:link w:val="NzevopatenChar"/>
    <w:qFormat/>
    <w:rsid w:val="00AC424B"/>
    <w:pPr>
      <w:numPr>
        <w:numId w:val="12"/>
      </w:numPr>
      <w:tabs>
        <w:tab w:val="left" w:pos="1000"/>
      </w:tabs>
      <w:spacing w:before="240" w:after="60"/>
    </w:pPr>
    <w:rPr>
      <w:rFonts w:eastAsia="Arial"/>
      <w:b/>
    </w:rPr>
  </w:style>
  <w:style w:type="character" w:customStyle="1" w:styleId="NzevopatenChar">
    <w:name w:val="Název opatření Char"/>
    <w:basedOn w:val="Standardnpsmoodstavce"/>
    <w:link w:val="Nzevopaten"/>
    <w:rsid w:val="00AC424B"/>
    <w:rPr>
      <w:rFonts w:ascii="Arial" w:eastAsia="Arial" w:hAnsi="Arial" w:cs="Arial"/>
      <w:b/>
      <w:szCs w:val="20"/>
      <w:lang w:eastAsia="cs-CZ"/>
    </w:rPr>
  </w:style>
</w:styles>
</file>

<file path=word/webSettings.xml><?xml version="1.0" encoding="utf-8"?>
<w:webSettings xmlns:r="http://schemas.openxmlformats.org/officeDocument/2006/relationships" xmlns:w="http://schemas.openxmlformats.org/wordprocessingml/2006/main">
  <w:divs>
    <w:div w:id="274094754">
      <w:bodyDiv w:val="1"/>
      <w:marLeft w:val="0"/>
      <w:marRight w:val="0"/>
      <w:marTop w:val="0"/>
      <w:marBottom w:val="0"/>
      <w:divBdr>
        <w:top w:val="none" w:sz="0" w:space="0" w:color="auto"/>
        <w:left w:val="none" w:sz="0" w:space="0" w:color="auto"/>
        <w:bottom w:val="none" w:sz="0" w:space="0" w:color="auto"/>
        <w:right w:val="none" w:sz="0" w:space="0" w:color="auto"/>
      </w:divBdr>
      <w:divsChild>
        <w:div w:id="988948039">
          <w:marLeft w:val="0"/>
          <w:marRight w:val="0"/>
          <w:marTop w:val="0"/>
          <w:marBottom w:val="0"/>
          <w:divBdr>
            <w:top w:val="none" w:sz="0" w:space="0" w:color="auto"/>
            <w:left w:val="none" w:sz="0" w:space="0" w:color="auto"/>
            <w:bottom w:val="none" w:sz="0" w:space="0" w:color="auto"/>
            <w:right w:val="none" w:sz="0" w:space="0" w:color="auto"/>
          </w:divBdr>
          <w:divsChild>
            <w:div w:id="482820556">
              <w:marLeft w:val="0"/>
              <w:marRight w:val="0"/>
              <w:marTop w:val="0"/>
              <w:marBottom w:val="0"/>
              <w:divBdr>
                <w:top w:val="none" w:sz="0" w:space="0" w:color="auto"/>
                <w:left w:val="none" w:sz="0" w:space="0" w:color="auto"/>
                <w:bottom w:val="none" w:sz="0" w:space="0" w:color="auto"/>
                <w:right w:val="none" w:sz="0" w:space="0" w:color="auto"/>
              </w:divBdr>
              <w:divsChild>
                <w:div w:id="1233541634">
                  <w:marLeft w:val="0"/>
                  <w:marRight w:val="0"/>
                  <w:marTop w:val="0"/>
                  <w:marBottom w:val="0"/>
                  <w:divBdr>
                    <w:top w:val="none" w:sz="0" w:space="0" w:color="auto"/>
                    <w:left w:val="none" w:sz="0" w:space="0" w:color="auto"/>
                    <w:bottom w:val="none" w:sz="0" w:space="0" w:color="auto"/>
                    <w:right w:val="none" w:sz="0" w:space="0" w:color="auto"/>
                  </w:divBdr>
                  <w:divsChild>
                    <w:div w:id="330110559">
                      <w:marLeft w:val="0"/>
                      <w:marRight w:val="0"/>
                      <w:marTop w:val="45"/>
                      <w:marBottom w:val="0"/>
                      <w:divBdr>
                        <w:top w:val="none" w:sz="0" w:space="0" w:color="auto"/>
                        <w:left w:val="none" w:sz="0" w:space="0" w:color="auto"/>
                        <w:bottom w:val="none" w:sz="0" w:space="0" w:color="auto"/>
                        <w:right w:val="none" w:sz="0" w:space="0" w:color="auto"/>
                      </w:divBdr>
                      <w:divsChild>
                        <w:div w:id="825130170">
                          <w:marLeft w:val="0"/>
                          <w:marRight w:val="0"/>
                          <w:marTop w:val="0"/>
                          <w:marBottom w:val="0"/>
                          <w:divBdr>
                            <w:top w:val="none" w:sz="0" w:space="0" w:color="auto"/>
                            <w:left w:val="none" w:sz="0" w:space="0" w:color="auto"/>
                            <w:bottom w:val="none" w:sz="0" w:space="0" w:color="auto"/>
                            <w:right w:val="none" w:sz="0" w:space="0" w:color="auto"/>
                          </w:divBdr>
                          <w:divsChild>
                            <w:div w:id="1607889402">
                              <w:marLeft w:val="2070"/>
                              <w:marRight w:val="3960"/>
                              <w:marTop w:val="0"/>
                              <w:marBottom w:val="0"/>
                              <w:divBdr>
                                <w:top w:val="none" w:sz="0" w:space="0" w:color="auto"/>
                                <w:left w:val="none" w:sz="0" w:space="0" w:color="auto"/>
                                <w:bottom w:val="none" w:sz="0" w:space="0" w:color="auto"/>
                                <w:right w:val="none" w:sz="0" w:space="0" w:color="auto"/>
                              </w:divBdr>
                              <w:divsChild>
                                <w:div w:id="69430759">
                                  <w:marLeft w:val="0"/>
                                  <w:marRight w:val="0"/>
                                  <w:marTop w:val="0"/>
                                  <w:marBottom w:val="0"/>
                                  <w:divBdr>
                                    <w:top w:val="none" w:sz="0" w:space="0" w:color="auto"/>
                                    <w:left w:val="none" w:sz="0" w:space="0" w:color="auto"/>
                                    <w:bottom w:val="none" w:sz="0" w:space="0" w:color="auto"/>
                                    <w:right w:val="none" w:sz="0" w:space="0" w:color="auto"/>
                                  </w:divBdr>
                                  <w:divsChild>
                                    <w:div w:id="201093468">
                                      <w:marLeft w:val="0"/>
                                      <w:marRight w:val="0"/>
                                      <w:marTop w:val="0"/>
                                      <w:marBottom w:val="0"/>
                                      <w:divBdr>
                                        <w:top w:val="none" w:sz="0" w:space="0" w:color="auto"/>
                                        <w:left w:val="none" w:sz="0" w:space="0" w:color="auto"/>
                                        <w:bottom w:val="none" w:sz="0" w:space="0" w:color="auto"/>
                                        <w:right w:val="none" w:sz="0" w:space="0" w:color="auto"/>
                                      </w:divBdr>
                                      <w:divsChild>
                                        <w:div w:id="1575427958">
                                          <w:marLeft w:val="0"/>
                                          <w:marRight w:val="0"/>
                                          <w:marTop w:val="0"/>
                                          <w:marBottom w:val="0"/>
                                          <w:divBdr>
                                            <w:top w:val="none" w:sz="0" w:space="0" w:color="auto"/>
                                            <w:left w:val="none" w:sz="0" w:space="0" w:color="auto"/>
                                            <w:bottom w:val="none" w:sz="0" w:space="0" w:color="auto"/>
                                            <w:right w:val="none" w:sz="0" w:space="0" w:color="auto"/>
                                          </w:divBdr>
                                          <w:divsChild>
                                            <w:div w:id="690230009">
                                              <w:marLeft w:val="0"/>
                                              <w:marRight w:val="0"/>
                                              <w:marTop w:val="90"/>
                                              <w:marBottom w:val="0"/>
                                              <w:divBdr>
                                                <w:top w:val="none" w:sz="0" w:space="0" w:color="auto"/>
                                                <w:left w:val="none" w:sz="0" w:space="0" w:color="auto"/>
                                                <w:bottom w:val="none" w:sz="0" w:space="0" w:color="auto"/>
                                                <w:right w:val="none" w:sz="0" w:space="0" w:color="auto"/>
                                              </w:divBdr>
                                              <w:divsChild>
                                                <w:div w:id="60758089">
                                                  <w:marLeft w:val="0"/>
                                                  <w:marRight w:val="0"/>
                                                  <w:marTop w:val="0"/>
                                                  <w:marBottom w:val="0"/>
                                                  <w:divBdr>
                                                    <w:top w:val="none" w:sz="0" w:space="0" w:color="auto"/>
                                                    <w:left w:val="none" w:sz="0" w:space="0" w:color="auto"/>
                                                    <w:bottom w:val="none" w:sz="0" w:space="0" w:color="auto"/>
                                                    <w:right w:val="none" w:sz="0" w:space="0" w:color="auto"/>
                                                  </w:divBdr>
                                                  <w:divsChild>
                                                    <w:div w:id="1369523161">
                                                      <w:marLeft w:val="0"/>
                                                      <w:marRight w:val="0"/>
                                                      <w:marTop w:val="0"/>
                                                      <w:marBottom w:val="0"/>
                                                      <w:divBdr>
                                                        <w:top w:val="none" w:sz="0" w:space="0" w:color="auto"/>
                                                        <w:left w:val="none" w:sz="0" w:space="0" w:color="auto"/>
                                                        <w:bottom w:val="none" w:sz="0" w:space="0" w:color="auto"/>
                                                        <w:right w:val="none" w:sz="0" w:space="0" w:color="auto"/>
                                                      </w:divBdr>
                                                      <w:divsChild>
                                                        <w:div w:id="1757480682">
                                                          <w:marLeft w:val="0"/>
                                                          <w:marRight w:val="0"/>
                                                          <w:marTop w:val="0"/>
                                                          <w:marBottom w:val="0"/>
                                                          <w:divBdr>
                                                            <w:top w:val="none" w:sz="0" w:space="0" w:color="auto"/>
                                                            <w:left w:val="none" w:sz="0" w:space="0" w:color="auto"/>
                                                            <w:bottom w:val="none" w:sz="0" w:space="0" w:color="auto"/>
                                                            <w:right w:val="none" w:sz="0" w:space="0" w:color="auto"/>
                                                          </w:divBdr>
                                                          <w:divsChild>
                                                            <w:div w:id="554702158">
                                                              <w:marLeft w:val="0"/>
                                                              <w:marRight w:val="0"/>
                                                              <w:marTop w:val="0"/>
                                                              <w:marBottom w:val="390"/>
                                                              <w:divBdr>
                                                                <w:top w:val="none" w:sz="0" w:space="0" w:color="auto"/>
                                                                <w:left w:val="none" w:sz="0" w:space="0" w:color="auto"/>
                                                                <w:bottom w:val="none" w:sz="0" w:space="0" w:color="auto"/>
                                                                <w:right w:val="none" w:sz="0" w:space="0" w:color="auto"/>
                                                              </w:divBdr>
                                                              <w:divsChild>
                                                                <w:div w:id="427510607">
                                                                  <w:marLeft w:val="0"/>
                                                                  <w:marRight w:val="0"/>
                                                                  <w:marTop w:val="0"/>
                                                                  <w:marBottom w:val="0"/>
                                                                  <w:divBdr>
                                                                    <w:top w:val="none" w:sz="0" w:space="0" w:color="auto"/>
                                                                    <w:left w:val="none" w:sz="0" w:space="0" w:color="auto"/>
                                                                    <w:bottom w:val="none" w:sz="0" w:space="0" w:color="auto"/>
                                                                    <w:right w:val="none" w:sz="0" w:space="0" w:color="auto"/>
                                                                  </w:divBdr>
                                                                  <w:divsChild>
                                                                    <w:div w:id="1831673125">
                                                                      <w:marLeft w:val="0"/>
                                                                      <w:marRight w:val="0"/>
                                                                      <w:marTop w:val="0"/>
                                                                      <w:marBottom w:val="0"/>
                                                                      <w:divBdr>
                                                                        <w:top w:val="none" w:sz="0" w:space="0" w:color="auto"/>
                                                                        <w:left w:val="none" w:sz="0" w:space="0" w:color="auto"/>
                                                                        <w:bottom w:val="none" w:sz="0" w:space="0" w:color="auto"/>
                                                                        <w:right w:val="none" w:sz="0" w:space="0" w:color="auto"/>
                                                                      </w:divBdr>
                                                                      <w:divsChild>
                                                                        <w:div w:id="1962489089">
                                                                          <w:marLeft w:val="0"/>
                                                                          <w:marRight w:val="0"/>
                                                                          <w:marTop w:val="0"/>
                                                                          <w:marBottom w:val="0"/>
                                                                          <w:divBdr>
                                                                            <w:top w:val="none" w:sz="0" w:space="0" w:color="auto"/>
                                                                            <w:left w:val="none" w:sz="0" w:space="0" w:color="auto"/>
                                                                            <w:bottom w:val="none" w:sz="0" w:space="0" w:color="auto"/>
                                                                            <w:right w:val="none" w:sz="0" w:space="0" w:color="auto"/>
                                                                          </w:divBdr>
                                                                          <w:divsChild>
                                                                            <w:div w:id="1163279310">
                                                                              <w:marLeft w:val="0"/>
                                                                              <w:marRight w:val="0"/>
                                                                              <w:marTop w:val="0"/>
                                                                              <w:marBottom w:val="0"/>
                                                                              <w:divBdr>
                                                                                <w:top w:val="none" w:sz="0" w:space="0" w:color="auto"/>
                                                                                <w:left w:val="none" w:sz="0" w:space="0" w:color="auto"/>
                                                                                <w:bottom w:val="none" w:sz="0" w:space="0" w:color="auto"/>
                                                                                <w:right w:val="none" w:sz="0" w:space="0" w:color="auto"/>
                                                                              </w:divBdr>
                                                                              <w:divsChild>
                                                                                <w:div w:id="16332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2452480">
      <w:bodyDiv w:val="1"/>
      <w:marLeft w:val="0"/>
      <w:marRight w:val="0"/>
      <w:marTop w:val="0"/>
      <w:marBottom w:val="0"/>
      <w:divBdr>
        <w:top w:val="none" w:sz="0" w:space="0" w:color="auto"/>
        <w:left w:val="none" w:sz="0" w:space="0" w:color="auto"/>
        <w:bottom w:val="none" w:sz="0" w:space="0" w:color="auto"/>
        <w:right w:val="none" w:sz="0" w:space="0" w:color="auto"/>
      </w:divBdr>
      <w:divsChild>
        <w:div w:id="1250042293">
          <w:marLeft w:val="0"/>
          <w:marRight w:val="0"/>
          <w:marTop w:val="0"/>
          <w:marBottom w:val="0"/>
          <w:divBdr>
            <w:top w:val="none" w:sz="0" w:space="0" w:color="auto"/>
            <w:left w:val="none" w:sz="0" w:space="0" w:color="auto"/>
            <w:bottom w:val="none" w:sz="0" w:space="0" w:color="auto"/>
            <w:right w:val="none" w:sz="0" w:space="0" w:color="auto"/>
          </w:divBdr>
          <w:divsChild>
            <w:div w:id="91316732">
              <w:marLeft w:val="0"/>
              <w:marRight w:val="0"/>
              <w:marTop w:val="0"/>
              <w:marBottom w:val="0"/>
              <w:divBdr>
                <w:top w:val="none" w:sz="0" w:space="0" w:color="auto"/>
                <w:left w:val="none" w:sz="0" w:space="0" w:color="auto"/>
                <w:bottom w:val="none" w:sz="0" w:space="0" w:color="auto"/>
                <w:right w:val="none" w:sz="0" w:space="0" w:color="auto"/>
              </w:divBdr>
            </w:div>
            <w:div w:id="375853302">
              <w:marLeft w:val="0"/>
              <w:marRight w:val="0"/>
              <w:marTop w:val="0"/>
              <w:marBottom w:val="0"/>
              <w:divBdr>
                <w:top w:val="none" w:sz="0" w:space="0" w:color="auto"/>
                <w:left w:val="none" w:sz="0" w:space="0" w:color="auto"/>
                <w:bottom w:val="none" w:sz="0" w:space="0" w:color="auto"/>
                <w:right w:val="none" w:sz="0" w:space="0" w:color="auto"/>
              </w:divBdr>
            </w:div>
            <w:div w:id="803473735">
              <w:marLeft w:val="0"/>
              <w:marRight w:val="0"/>
              <w:marTop w:val="0"/>
              <w:marBottom w:val="0"/>
              <w:divBdr>
                <w:top w:val="none" w:sz="0" w:space="0" w:color="auto"/>
                <w:left w:val="none" w:sz="0" w:space="0" w:color="auto"/>
                <w:bottom w:val="none" w:sz="0" w:space="0" w:color="auto"/>
                <w:right w:val="none" w:sz="0" w:space="0" w:color="auto"/>
              </w:divBdr>
            </w:div>
            <w:div w:id="1810441412">
              <w:marLeft w:val="0"/>
              <w:marRight w:val="0"/>
              <w:marTop w:val="0"/>
              <w:marBottom w:val="0"/>
              <w:divBdr>
                <w:top w:val="none" w:sz="0" w:space="0" w:color="auto"/>
                <w:left w:val="none" w:sz="0" w:space="0" w:color="auto"/>
                <w:bottom w:val="none" w:sz="0" w:space="0" w:color="auto"/>
                <w:right w:val="none" w:sz="0" w:space="0" w:color="auto"/>
              </w:divBdr>
            </w:div>
            <w:div w:id="20304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00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ata.ctu.cz/dataset/pokryti-tranzitnich-zeleznicnich-koridoru-mobilnim-signalem" TargetMode="External"/><Relationship Id="rId18" Type="http://schemas.openxmlformats.org/officeDocument/2006/relationships/hyperlink" Target="http://www.mmr.cz/getmedia/40d6c28a-df6f-411d-99c4-efbc0b9a07a8/Dohoda_o_partnerstvi.pdf" TargetMode="External"/><Relationship Id="rId26" Type="http://schemas.openxmlformats.org/officeDocument/2006/relationships/hyperlink" Target="http://www.mpo.cz/assets/dokumenty/52826/60155/632395/priloha004.pdf" TargetMode="External"/><Relationship Id="rId39" Type="http://schemas.openxmlformats.org/officeDocument/2006/relationships/hyperlink" Target="http://www.msmt.cz/file/33599/" TargetMode="External"/><Relationship Id="rId21" Type="http://schemas.openxmlformats.org/officeDocument/2006/relationships/hyperlink" Target="https://www.vlada.cz/assets/media-centrum/aktualne/Strategie-mezinarodni-konkurenceschopnosti-Ceske-republiky.pdf" TargetMode="External"/><Relationship Id="rId34" Type="http://schemas.openxmlformats.org/officeDocument/2006/relationships/hyperlink" Target="https://www.portal-vz.cz/getmedia/37aabe4b-b5f3-4d0c-9ebf-65f527c0edde/III_Strategie-elektronizace-2016-2020_final.pdf" TargetMode="External"/><Relationship Id="rId42" Type="http://schemas.openxmlformats.org/officeDocument/2006/relationships/hyperlink" Target="http://www.mzcr.cz/verejne/Soubor.ashx?souborID=20840&amp;typ=application/pdf&amp;nazev=Zdrav%C3%AD%202020_N%C3%A1rodn%C3%AD%20strategie%20ochrany%20a%20podpory%20zdrav%C3%AD%20a%20prevence%20nemoc%C3%AD....pdf" TargetMode="External"/><Relationship Id="rId47" Type="http://schemas.openxmlformats.org/officeDocument/2006/relationships/hyperlink" Target="http://vyzkum.cz/FrontClanek.aspx?idsekce=682145&amp;ad=1&amp;attid=772900" TargetMode="External"/><Relationship Id="rId50" Type="http://schemas.openxmlformats.org/officeDocument/2006/relationships/hyperlink" Target="http://www.povis.cz/pdf/PZPR_labe.pdf" TargetMode="External"/><Relationship Id="rId55" Type="http://schemas.openxmlformats.org/officeDocument/2006/relationships/hyperlink" Target="https://www.google.cz/url?sa=t&amp;rct=j&amp;q=&amp;esrc=s&amp;source=web&amp;cd=2&amp;cad=rja&amp;uact=8&amp;ved=0ahUKEwjq1YqtvoDRAhWKOSwKHRGHBQIQFggkMAE&amp;url=https%3A%2F%2Fwww.mkcr.cz%2Fassets%2Fliteratura-a-knihovny%2FKoncepce_rozvoje_knihoven_2011-2015.pdf&amp;usg=AFQjCNFnAe41do9p_9E4n7gOt8l2Zh5STQ&amp;sig2=_U7KEGzg0zAeKJW7tYtnWA" TargetMode="External"/><Relationship Id="rId63" Type="http://schemas.openxmlformats.org/officeDocument/2006/relationships/hyperlink" Target="http://www.vlada.cz/assets/ppov/vvzpo/dokumenty/Narodni-plan-OZP-2015-2020_2.pdf"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vlada.cz/assets/media-centrum/aktualne/Koncepce-politiky-CR-v-EU.pdf" TargetMode="External"/><Relationship Id="rId29" Type="http://schemas.openxmlformats.org/officeDocument/2006/relationships/hyperlink" Target="http://www.mvcr.cz/clanek/strategicky-ramec-rozvoje.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www.mpo.cz/assets/dokumenty/55871/64119/657249/priloha002.docx" TargetMode="External"/><Relationship Id="rId32" Type="http://schemas.openxmlformats.org/officeDocument/2006/relationships/hyperlink" Target="http://www.mfcr.cz/assets/cs/media/SMART_2015_Smernice-2014-06-publikace-a-katalogizace-otevrenych-dat-MF.pdf" TargetMode="External"/><Relationship Id="rId37" Type="http://schemas.openxmlformats.org/officeDocument/2006/relationships/hyperlink" Target="http://www.msmt.cz/file/34429_1_1/" TargetMode="External"/><Relationship Id="rId40" Type="http://schemas.openxmlformats.org/officeDocument/2006/relationships/hyperlink" Target="https://drive.google.com/file/d/0B-RVt6W1dF03MDk5YXBobU12Ym8/view" TargetMode="External"/><Relationship Id="rId45" Type="http://schemas.openxmlformats.org/officeDocument/2006/relationships/hyperlink" Target="http://vyzkum.cz/FrontClanek.aspx?idsekce=741706&amp;ad=1&amp;attid=789559" TargetMode="External"/><Relationship Id="rId53" Type="http://schemas.openxmlformats.org/officeDocument/2006/relationships/hyperlink" Target="http://www.mvcr.cz/soubor/5-zasedani-rvis-priloha-c-5-ejustice-2020-v-1-0.aspx" TargetMode="External"/><Relationship Id="rId58" Type="http://schemas.openxmlformats.org/officeDocument/2006/relationships/hyperlink" Target="https://www.google.cz/url?sa=t&amp;rct=j&amp;q=&amp;esrc=s&amp;source=web&amp;cd=1&amp;cad=rja&amp;uact=8&amp;ved=0ahUKEwjAlJjbwIDRAhWCCiwKHYZeBdcQFggZMAA&amp;url=https%3A%2F%2Fwww.mkcr.cz%2Fassets%2Fkulturni-dedictvi%2Fpamatkovy-fond%2Fanalyzy-koncepce-dokumenty%2FKoncepce-pamatkove-pece-schvalene-zneni.doc&amp;usg=AFQjCNEfvMwgKPlUsUfeJru6m7MGd-Fo8g&amp;sig2=2FkiFxgvGIa2H1Arp_iBrA&amp;bvm=bv.142059868,d.bGg" TargetMode="External"/><Relationship Id="rId66" Type="http://schemas.openxmlformats.org/officeDocument/2006/relationships/hyperlink" Target="https://www.govcert.cz/download/nodeid-973/" TargetMode="External"/><Relationship Id="rId5" Type="http://schemas.openxmlformats.org/officeDocument/2006/relationships/webSettings" Target="webSettings.xml"/><Relationship Id="rId15" Type="http://schemas.openxmlformats.org/officeDocument/2006/relationships/hyperlink" Target="http://data.gov.cz" TargetMode="External"/><Relationship Id="rId23" Type="http://schemas.openxmlformats.org/officeDocument/2006/relationships/hyperlink" Target="http://www.mpo.cz/assets/cz/e-komunikace-a-posta/Internet/2013/4/Digi_esko_v.2.0.pdf" TargetMode="External"/><Relationship Id="rId28" Type="http://schemas.openxmlformats.org/officeDocument/2006/relationships/hyperlink" Target="http://www.mpo.cz/assets/dokumenty/53723/64358/658713/priloha001.pdf" TargetMode="External"/><Relationship Id="rId36" Type="http://schemas.openxmlformats.org/officeDocument/2006/relationships/hyperlink" Target="http://www.uur.cz/images/5-publikacni-cinnost-a-knihovna/metodicke-prirucky-a-publikacni-materialy/2015/Politika-architektury-a-stavebni-kultury-CR-verze-vlada.pdf" TargetMode="External"/><Relationship Id="rId49" Type="http://schemas.openxmlformats.org/officeDocument/2006/relationships/hyperlink" Target="http://eagri.cz/public/web/file/342863/VICELETY_STRATEGICKY_PLAN_PRO_AKVAKULTURU_20141027.pdf" TargetMode="External"/><Relationship Id="rId57" Type="http://schemas.openxmlformats.org/officeDocument/2006/relationships/hyperlink" Target="https://www.mkcr.cz/assets/op-lzz/INTEGROVANA_STRATEGIE_PODPORY_KULTURY_DO_ROKU_2020.pdf" TargetMode="External"/><Relationship Id="rId61" Type="http://schemas.openxmlformats.org/officeDocument/2006/relationships/hyperlink" Target="https://www.dataplan.info/img_upload/7bdb1584e3b8a53d337518d988763f8d/projektova-a-obecna-cast-ict-strategie-mkcr-v-1.0.pdf" TargetMode="External"/><Relationship Id="rId10" Type="http://schemas.openxmlformats.org/officeDocument/2006/relationships/footer" Target="footer1.xml"/><Relationship Id="rId19" Type="http://schemas.openxmlformats.org/officeDocument/2006/relationships/hyperlink" Target="file:///C:\Users\HP\Downloads\ec.europa.eu\europe2020\pdf\csr2016\nrp2016_czech_cs.pdf" TargetMode="External"/><Relationship Id="rId31" Type="http://schemas.openxmlformats.org/officeDocument/2006/relationships/hyperlink" Target="http://www.mvcr.cz/soubor/strategie-rozvoje-ict-sluzeb-verejne-spravy-pdf.aspx" TargetMode="External"/><Relationship Id="rId44" Type="http://schemas.openxmlformats.org/officeDocument/2006/relationships/hyperlink" Target="https://www.mdcr.cz/getattachment/Dokumenty/Strategie/Dopravni-politika-a-MFDI/Dopravni-politika-CR-pro-obdobi-2014-2020-s-vyhled/Dopravni-politika-CR-2014-%E2%80%93-2020.pdf.aspx" TargetMode="External"/><Relationship Id="rId52" Type="http://schemas.openxmlformats.org/officeDocument/2006/relationships/hyperlink" Target="http://www.povis.cz/pdf/PZPR_dunaj.pdf" TargetMode="External"/><Relationship Id="rId60" Type="http://schemas.openxmlformats.org/officeDocument/2006/relationships/hyperlink" Target="https://www.mkcr.cz/doc/cms_library/koncepce-2015-2020-1847.doc" TargetMode="External"/><Relationship Id="rId65" Type="http://schemas.openxmlformats.org/officeDocument/2006/relationships/hyperlink" Target="https://www.govcert.cz/download/nodeid-973/"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smartcities.mmr.cz" TargetMode="External"/><Relationship Id="rId22" Type="http://schemas.openxmlformats.org/officeDocument/2006/relationships/hyperlink" Target="http://www.mpo.cz/assets/cz/e-komunikace-a-posta/Internet/2013/4/Digi_esko_v.2.0.pdf" TargetMode="External"/><Relationship Id="rId27" Type="http://schemas.openxmlformats.org/officeDocument/2006/relationships/hyperlink" Target="http://download.mpo.cz/get/54816/62619/648732/priloha002.pdf" TargetMode="External"/><Relationship Id="rId30" Type="http://schemas.openxmlformats.org/officeDocument/2006/relationships/hyperlink" Target="http://www.mvcr.cz/clanek/geoinfostrategie.aspx?q=Y2hudW09Nw%3d%3d" TargetMode="External"/><Relationship Id="rId35" Type="http://schemas.openxmlformats.org/officeDocument/2006/relationships/hyperlink" Target="http://www.mmr.cz/getmedia/08e2e8d8-4c18-4e15-a7e2-0fa481336016/SRR-2014-2020.pdf?ext=.pdf" TargetMode="External"/><Relationship Id="rId43" Type="http://schemas.openxmlformats.org/officeDocument/2006/relationships/hyperlink" Target="http://www.komora.cz/download.aspx?dontparse=true&amp;FileID=14950" TargetMode="External"/><Relationship Id="rId48" Type="http://schemas.openxmlformats.org/officeDocument/2006/relationships/hyperlink" Target="http://www.bezpecnostpotravin.cz/UserFiles/StrategieBP_cs.pdf" TargetMode="External"/><Relationship Id="rId56" Type="http://schemas.openxmlformats.org/officeDocument/2006/relationships/hyperlink" Target="http://www.mkcr.cz/assets/kulturni-politika/III--Material_2.docx" TargetMode="External"/><Relationship Id="rId64" Type="http://schemas.openxmlformats.org/officeDocument/2006/relationships/hyperlink" Target="https://www.govcert.cz/download/nodeid-1004/" TargetMode="External"/><Relationship Id="rId69"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www.povis.cz/pdf/PZPR_odra.pdf" TargetMode="External"/><Relationship Id="rId3" Type="http://schemas.openxmlformats.org/officeDocument/2006/relationships/styles" Target="styles.xml"/><Relationship Id="rId12" Type="http://schemas.openxmlformats.org/officeDocument/2006/relationships/hyperlink" Target="http://data.ctu.cz/dataset/pokryti-dalnic-mobilnim-signalem" TargetMode="External"/><Relationship Id="rId17" Type="http://schemas.openxmlformats.org/officeDocument/2006/relationships/hyperlink" Target="http://www.vlada.cz/assets/media-centrum/dulezite-dokumenty/141120_AP_2material_po_vlade.pdf" TargetMode="External"/><Relationship Id="rId25" Type="http://schemas.openxmlformats.org/officeDocument/2006/relationships/hyperlink" Target="http://www.mpo.cz/assets/dokumenty/47605/54370/599916/priloha002.pdf" TargetMode="External"/><Relationship Id="rId33" Type="http://schemas.openxmlformats.org/officeDocument/2006/relationships/hyperlink" Target="http://www.mfcr.cz/assets/cs/media/SMART_2015_Smernice-2014-06-publikace-a-katalogizace-otevrenych-dat-MF.pdf" TargetMode="External"/><Relationship Id="rId38" Type="http://schemas.openxmlformats.org/officeDocument/2006/relationships/hyperlink" Target="http://www.vzdelavani2020.cz/images_obsah/dokumenty/dip.pdf" TargetMode="External"/><Relationship Id="rId46" Type="http://schemas.openxmlformats.org/officeDocument/2006/relationships/hyperlink" Target="http://www.vyzkum.cz/FrontClanek.aspx?idsekce=766910&amp;ad=1&amp;attid=766916" TargetMode="External"/><Relationship Id="rId59" Type="http://schemas.openxmlformats.org/officeDocument/2006/relationships/hyperlink" Target="https://www.mkcr.cz/doc/cms_library/koncepcepodporyumeni_2015-2020-web-2-3537.pdf" TargetMode="External"/><Relationship Id="rId67" Type="http://schemas.openxmlformats.org/officeDocument/2006/relationships/hyperlink" Target="http://www.ctu.cz/sites/default/files/obsah/stranky/49264/soubory/strategiesprspektra2015.pdf" TargetMode="External"/><Relationship Id="rId20" Type="http://schemas.openxmlformats.org/officeDocument/2006/relationships/hyperlink" Target="http://www.mzp.cz/C1257458002F0DC7/cz/strategie_udrzitelneho_rozvoje/$FILE/KM-SRUR_CZ-20100602.pdf" TargetMode="External"/><Relationship Id="rId41" Type="http://schemas.openxmlformats.org/officeDocument/2006/relationships/hyperlink" Target="https://www.google.cz/url?sa=t&amp;rct=j&amp;q=&amp;esrc=s&amp;source=web&amp;cd=1&amp;cad=rja&amp;uact=8&amp;ved=0ahUKEwjhrqGvwoDRAhWCXCwKHU2NAS0QFggbMAA&amp;url=http%3A%2F%2Fsvp-vzacnaonemocneni.cz%2Fportal%2Fwp-content%2Fuploads%2Fnarodni_strategie_pro_vzacna_onemocneni.pdf&amp;usg=AFQjCNHLkledBsSXJdDRLI2RZjsKRsDCcw&amp;sig2=IUq99IyTzDQ7NeUS58i8Nw" TargetMode="External"/><Relationship Id="rId54" Type="http://schemas.openxmlformats.org/officeDocument/2006/relationships/hyperlink" Target="http://www.mvcr.cz/soubor/koncepce-vezenstvi-prezentace-ppt.aspx" TargetMode="External"/><Relationship Id="rId62" Type="http://schemas.openxmlformats.org/officeDocument/2006/relationships/hyperlink" Target="https://www.vlada.cz/assets/ppov/lrv/ria/metodiky/Uplne-zneni-Obecnych-zasad-_ucinnost-od-1-2--2014_.pdf" TargetMode="External"/><Relationship Id="rId70" Type="http://schemas.microsoft.com/office/2007/relationships/stylesWithEffects" Target="stylesWithEffects.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digital-single-market/en/news/digital-economy-and-society-index-desi-2017" TargetMode="External"/><Relationship Id="rId3" Type="http://schemas.openxmlformats.org/officeDocument/2006/relationships/hyperlink" Target="http://digiczech.eu/" TargetMode="External"/><Relationship Id="rId7" Type="http://schemas.openxmlformats.org/officeDocument/2006/relationships/hyperlink" Target="https://apps.odok.cz/attachment/-/down/RCIAAMFFLR9P" TargetMode="External"/><Relationship Id="rId12" Type="http://schemas.openxmlformats.org/officeDocument/2006/relationships/hyperlink" Target="http://ceskestartupy.go-survey.net/" TargetMode="External"/><Relationship Id="rId2" Type="http://schemas.openxmlformats.org/officeDocument/2006/relationships/hyperlink" Target="http://digiczech.eu/" TargetMode="External"/><Relationship Id="rId1" Type="http://schemas.openxmlformats.org/officeDocument/2006/relationships/hyperlink" Target="http://digiczech.eu/" TargetMode="External"/><Relationship Id="rId6" Type="http://schemas.openxmlformats.org/officeDocument/2006/relationships/hyperlink" Target="http://digiczech.eu/" TargetMode="External"/><Relationship Id="rId11" Type="http://schemas.openxmlformats.org/officeDocument/2006/relationships/hyperlink" Target="https://europa.eu/european-union/file/1535/download_cs?token=Q9CzDI6h" TargetMode="External"/><Relationship Id="rId5" Type="http://schemas.openxmlformats.org/officeDocument/2006/relationships/hyperlink" Target="http://www.digikoalice.cz/" TargetMode="External"/><Relationship Id="rId10" Type="http://schemas.openxmlformats.org/officeDocument/2006/relationships/hyperlink" Target="http://eur-lex.europa.eu/content/news/building_EU_data_economy.html?locale=cs" TargetMode="External"/><Relationship Id="rId4" Type="http://schemas.openxmlformats.org/officeDocument/2006/relationships/hyperlink" Target="https://apps.odok.cz/attachment/-/down/JVLAAA8F2X1I" TargetMode="External"/><Relationship Id="rId9" Type="http://schemas.openxmlformats.org/officeDocument/2006/relationships/hyperlink" Target="https://ec.europa.eu/digital-single-market/en/modernisation-eu-copyright-rules"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94EBB-5398-4AB1-83AE-BB140E4AA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87</Pages>
  <Words>31619</Words>
  <Characters>186553</Characters>
  <Application>Microsoft Office Word</Application>
  <DocSecurity>0</DocSecurity>
  <Lines>1554</Lines>
  <Paragraphs>435</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217737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2017-09-05T11:24:00Z</dcterms:created>
  <dcterms:modified xsi:type="dcterms:W3CDTF">2017-09-05T11:24:00Z</dcterms:modified>
</cp:coreProperties>
</file>