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238" w:rsidRDefault="007C2238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Pr="000B5B5F" w:rsidRDefault="00341523" w:rsidP="007C2238">
      <w:pPr>
        <w:pStyle w:val="Default"/>
      </w:pPr>
    </w:p>
    <w:p w:rsidR="00341523" w:rsidRPr="000B5B5F" w:rsidRDefault="00341523" w:rsidP="007C2238">
      <w:pPr>
        <w:pStyle w:val="Default"/>
      </w:pPr>
    </w:p>
    <w:p w:rsidR="00341523" w:rsidRPr="000B5B5F" w:rsidRDefault="00341523" w:rsidP="007C2238">
      <w:pPr>
        <w:pStyle w:val="Default"/>
      </w:pPr>
    </w:p>
    <w:p w:rsidR="003B45FA" w:rsidRPr="000B5B5F" w:rsidRDefault="00341523" w:rsidP="00341523">
      <w:pPr>
        <w:pStyle w:val="Default"/>
        <w:jc w:val="center"/>
        <w:rPr>
          <w:b/>
          <w:color w:val="5B9BD5" w:themeColor="accent1"/>
          <w:sz w:val="40"/>
          <w:szCs w:val="40"/>
        </w:rPr>
      </w:pPr>
      <w:r w:rsidRPr="000B5B5F">
        <w:rPr>
          <w:b/>
          <w:color w:val="5B9BD5" w:themeColor="accent1"/>
          <w:sz w:val="40"/>
          <w:szCs w:val="40"/>
        </w:rPr>
        <w:t xml:space="preserve">PODKLAD PRO JEDNÁNÍ </w:t>
      </w:r>
    </w:p>
    <w:p w:rsidR="000B5B5F" w:rsidRPr="000B5B5F" w:rsidRDefault="000B5B5F" w:rsidP="00341523">
      <w:pPr>
        <w:pStyle w:val="Default"/>
        <w:jc w:val="center"/>
        <w:rPr>
          <w:b/>
          <w:color w:val="5B9BD5" w:themeColor="accent1"/>
          <w:sz w:val="40"/>
          <w:szCs w:val="40"/>
        </w:rPr>
      </w:pPr>
      <w:r w:rsidRPr="000B5B5F">
        <w:rPr>
          <w:b/>
          <w:color w:val="5B9BD5" w:themeColor="accent1"/>
          <w:sz w:val="40"/>
          <w:szCs w:val="40"/>
        </w:rPr>
        <w:t>PLENÁRNÍ SCHŮZE RHSD ČR</w:t>
      </w:r>
    </w:p>
    <w:p w:rsidR="000B5B5F" w:rsidRDefault="000B5B5F" w:rsidP="00341523">
      <w:pPr>
        <w:pStyle w:val="Default"/>
        <w:jc w:val="center"/>
        <w:rPr>
          <w:b/>
          <w:color w:val="5B9BD5" w:themeColor="accent1"/>
          <w:sz w:val="40"/>
          <w:szCs w:val="40"/>
        </w:rPr>
      </w:pPr>
    </w:p>
    <w:p w:rsidR="00341523" w:rsidRPr="000B5B5F" w:rsidRDefault="000B5B5F" w:rsidP="00341523">
      <w:pPr>
        <w:pStyle w:val="Default"/>
        <w:jc w:val="center"/>
        <w:rPr>
          <w:b/>
          <w:color w:val="5B9BD5" w:themeColor="accent1"/>
          <w:sz w:val="40"/>
          <w:szCs w:val="40"/>
        </w:rPr>
      </w:pPr>
      <w:bookmarkStart w:id="0" w:name="_GoBack"/>
      <w:bookmarkEnd w:id="0"/>
      <w:r w:rsidRPr="000B5B5F">
        <w:rPr>
          <w:b/>
          <w:color w:val="5B9BD5" w:themeColor="accent1"/>
          <w:sz w:val="40"/>
          <w:szCs w:val="40"/>
        </w:rPr>
        <w:t>19. 11. 2018</w:t>
      </w:r>
    </w:p>
    <w:p w:rsidR="00341523" w:rsidRPr="000B5B5F" w:rsidRDefault="00341523" w:rsidP="00341523">
      <w:pPr>
        <w:pStyle w:val="Default"/>
        <w:jc w:val="center"/>
        <w:rPr>
          <w:b/>
          <w:color w:val="5B9BD5" w:themeColor="accent1"/>
          <w:sz w:val="40"/>
          <w:szCs w:val="40"/>
        </w:rPr>
      </w:pPr>
    </w:p>
    <w:p w:rsidR="00341523" w:rsidRPr="000B5B5F" w:rsidRDefault="00341523" w:rsidP="00341523">
      <w:pPr>
        <w:pStyle w:val="Default"/>
        <w:jc w:val="center"/>
        <w:rPr>
          <w:sz w:val="40"/>
          <w:szCs w:val="40"/>
        </w:rPr>
      </w:pPr>
      <w:r w:rsidRPr="000B5B5F">
        <w:rPr>
          <w:b/>
          <w:color w:val="5B9BD5" w:themeColor="accent1"/>
          <w:sz w:val="40"/>
          <w:szCs w:val="40"/>
        </w:rPr>
        <w:t>MŠMT</w:t>
      </w: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0B5B5F" w:rsidRDefault="000B5B5F" w:rsidP="007C2238">
      <w:pPr>
        <w:pStyle w:val="Default"/>
      </w:pPr>
    </w:p>
    <w:p w:rsidR="000B5B5F" w:rsidRDefault="000B5B5F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341523" w:rsidRDefault="00341523" w:rsidP="007C2238">
      <w:pPr>
        <w:pStyle w:val="Default"/>
      </w:pPr>
    </w:p>
    <w:p w:rsidR="00682F2E" w:rsidRDefault="00682F2E" w:rsidP="007C2238">
      <w:pPr>
        <w:pStyle w:val="Default"/>
      </w:pPr>
    </w:p>
    <w:p w:rsidR="00341523" w:rsidRPr="00790EB8" w:rsidRDefault="00341523" w:rsidP="007C2238">
      <w:pPr>
        <w:pStyle w:val="Default"/>
      </w:pPr>
    </w:p>
    <w:p w:rsidR="007C2238" w:rsidRPr="00790EB8" w:rsidRDefault="007C2238" w:rsidP="007C2238">
      <w:pPr>
        <w:pStyle w:val="Default"/>
        <w:rPr>
          <w:b/>
          <w:bCs/>
          <w:color w:val="5B9BD5" w:themeColor="accent1"/>
          <w:u w:val="single"/>
        </w:rPr>
      </w:pPr>
      <w:r w:rsidRPr="00790EB8">
        <w:rPr>
          <w:b/>
          <w:bCs/>
          <w:color w:val="5B9BD5" w:themeColor="accent1"/>
          <w:u w:val="single"/>
        </w:rPr>
        <w:t xml:space="preserve">1/ Přijímací zkoušky na SŠ, </w:t>
      </w:r>
      <w:proofErr w:type="spellStart"/>
      <w:r w:rsidRPr="00790EB8">
        <w:rPr>
          <w:b/>
          <w:bCs/>
          <w:color w:val="5B9BD5" w:themeColor="accent1"/>
          <w:u w:val="single"/>
        </w:rPr>
        <w:t>cut</w:t>
      </w:r>
      <w:proofErr w:type="spellEnd"/>
      <w:r w:rsidRPr="00790EB8">
        <w:rPr>
          <w:b/>
          <w:bCs/>
          <w:color w:val="5B9BD5" w:themeColor="accent1"/>
          <w:u w:val="single"/>
        </w:rPr>
        <w:t xml:space="preserve"> </w:t>
      </w:r>
      <w:proofErr w:type="spellStart"/>
      <w:r w:rsidRPr="00790EB8">
        <w:rPr>
          <w:b/>
          <w:bCs/>
          <w:color w:val="5B9BD5" w:themeColor="accent1"/>
          <w:u w:val="single"/>
        </w:rPr>
        <w:t>off</w:t>
      </w:r>
      <w:proofErr w:type="spellEnd"/>
      <w:r w:rsidRPr="00790EB8">
        <w:rPr>
          <w:b/>
          <w:bCs/>
          <w:color w:val="5B9BD5" w:themeColor="accent1"/>
          <w:u w:val="single"/>
        </w:rPr>
        <w:t xml:space="preserve"> </w:t>
      </w:r>
      <w:proofErr w:type="spellStart"/>
      <w:r w:rsidRPr="00790EB8">
        <w:rPr>
          <w:b/>
          <w:bCs/>
          <w:color w:val="5B9BD5" w:themeColor="accent1"/>
          <w:u w:val="single"/>
        </w:rPr>
        <w:t>score</w:t>
      </w:r>
      <w:proofErr w:type="spellEnd"/>
      <w:r w:rsidRPr="00790EB8">
        <w:rPr>
          <w:b/>
          <w:bCs/>
          <w:color w:val="5B9BD5" w:themeColor="accent1"/>
          <w:u w:val="single"/>
        </w:rPr>
        <w:t xml:space="preserve"> </w:t>
      </w:r>
    </w:p>
    <w:p w:rsidR="00682F2E" w:rsidRDefault="00682F2E" w:rsidP="007C2238">
      <w:pPr>
        <w:pStyle w:val="Default"/>
        <w:rPr>
          <w:color w:val="5B9BD5" w:themeColor="accent1"/>
        </w:rPr>
      </w:pPr>
    </w:p>
    <w:p w:rsidR="007C2238" w:rsidRPr="00790EB8" w:rsidRDefault="007C2238" w:rsidP="007C2238">
      <w:pPr>
        <w:pStyle w:val="Default"/>
        <w:rPr>
          <w:color w:val="5B9BD5" w:themeColor="accent1"/>
        </w:rPr>
      </w:pPr>
      <w:r w:rsidRPr="00790EB8">
        <w:rPr>
          <w:color w:val="5B9BD5" w:themeColor="accent1"/>
        </w:rPr>
        <w:t>(</w:t>
      </w:r>
      <w:r w:rsidR="00790EB8">
        <w:rPr>
          <w:color w:val="5B9BD5" w:themeColor="accent1"/>
        </w:rPr>
        <w:t xml:space="preserve"> </w:t>
      </w:r>
      <w:proofErr w:type="spellStart"/>
      <w:r w:rsidRPr="00790EB8">
        <w:rPr>
          <w:color w:val="5B9BD5" w:themeColor="accent1"/>
        </w:rPr>
        <w:t>nepodkročitelné</w:t>
      </w:r>
      <w:proofErr w:type="spellEnd"/>
      <w:r w:rsidRPr="00790EB8">
        <w:rPr>
          <w:color w:val="5B9BD5" w:themeColor="accent1"/>
        </w:rPr>
        <w:t xml:space="preserve"> kritéria pro přijetí na všechny typy škol – státní i soukromé) </w:t>
      </w:r>
    </w:p>
    <w:p w:rsidR="007C2238" w:rsidRPr="00790EB8" w:rsidRDefault="007C2238" w:rsidP="007C2238">
      <w:pPr>
        <w:pStyle w:val="Default"/>
        <w:rPr>
          <w:color w:val="5B9BD5" w:themeColor="accent1"/>
        </w:rPr>
      </w:pPr>
      <w:r w:rsidRPr="00790EB8">
        <w:rPr>
          <w:i/>
          <w:iCs/>
          <w:color w:val="5B9BD5" w:themeColor="accent1"/>
        </w:rPr>
        <w:t>Komentář: AK ČR vyzvala v září ministra školství, aby MŠMT stanovilo minimální hranici úspěšnosti (</w:t>
      </w:r>
      <w:proofErr w:type="spellStart"/>
      <w:r w:rsidRPr="00790EB8">
        <w:rPr>
          <w:i/>
          <w:iCs/>
          <w:color w:val="5B9BD5" w:themeColor="accent1"/>
        </w:rPr>
        <w:t>cut</w:t>
      </w:r>
      <w:proofErr w:type="spellEnd"/>
      <w:r w:rsidRPr="00790EB8">
        <w:rPr>
          <w:i/>
          <w:iCs/>
          <w:color w:val="5B9BD5" w:themeColor="accent1"/>
        </w:rPr>
        <w:t>-</w:t>
      </w:r>
      <w:proofErr w:type="spellStart"/>
      <w:r w:rsidRPr="00790EB8">
        <w:rPr>
          <w:i/>
          <w:iCs/>
          <w:color w:val="5B9BD5" w:themeColor="accent1"/>
        </w:rPr>
        <w:t>off</w:t>
      </w:r>
      <w:proofErr w:type="spellEnd"/>
      <w:r w:rsidRPr="00790EB8">
        <w:rPr>
          <w:i/>
          <w:iCs/>
          <w:color w:val="5B9BD5" w:themeColor="accent1"/>
        </w:rPr>
        <w:t xml:space="preserve"> </w:t>
      </w:r>
      <w:proofErr w:type="spellStart"/>
      <w:r w:rsidRPr="00790EB8">
        <w:rPr>
          <w:i/>
          <w:iCs/>
          <w:color w:val="5B9BD5" w:themeColor="accent1"/>
        </w:rPr>
        <w:t>score</w:t>
      </w:r>
      <w:proofErr w:type="spellEnd"/>
      <w:r w:rsidRPr="00790EB8">
        <w:rPr>
          <w:i/>
          <w:iCs/>
          <w:color w:val="5B9BD5" w:themeColor="accent1"/>
        </w:rPr>
        <w:t xml:space="preserve">) v jednotných testech v přijímacím řízení. Jsou již nějaké základní teze návrhu? </w:t>
      </w:r>
    </w:p>
    <w:p w:rsidR="007C2238" w:rsidRPr="00790EB8" w:rsidRDefault="007C2238" w:rsidP="007C2238">
      <w:pPr>
        <w:pStyle w:val="Default"/>
      </w:pPr>
    </w:p>
    <w:p w:rsidR="007C2238" w:rsidRPr="00790EB8" w:rsidRDefault="007C2238" w:rsidP="007C22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0EB8">
        <w:rPr>
          <w:rFonts w:ascii="Times New Roman" w:hAnsi="Times New Roman" w:cs="Times New Roman"/>
          <w:b/>
          <w:bCs/>
          <w:sz w:val="24"/>
          <w:szCs w:val="24"/>
        </w:rPr>
        <w:t>ANALÝZA DOPADŮ ZAVEDENÍ NEPODKROČITELNÉ HRANICE ÚSPĚŠNOSTI VYCHÁZEJÍCÍ Z </w:t>
      </w:r>
      <w:r w:rsidRPr="00790EB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VÝSLEDKů </w:t>
      </w:r>
      <w:r w:rsidRPr="00790EB8">
        <w:rPr>
          <w:rFonts w:ascii="Times New Roman" w:hAnsi="Times New Roman" w:cs="Times New Roman"/>
          <w:b/>
          <w:bCs/>
          <w:caps/>
          <w:sz w:val="24"/>
          <w:szCs w:val="24"/>
        </w:rPr>
        <w:br/>
      </w:r>
      <w:r w:rsidRPr="00790EB8">
        <w:rPr>
          <w:rFonts w:ascii="Times New Roman" w:hAnsi="Times New Roman" w:cs="Times New Roman"/>
          <w:b/>
          <w:bCs/>
          <w:sz w:val="24"/>
          <w:szCs w:val="24"/>
        </w:rPr>
        <w:t>JEDNOTNÉ PŘIJÍMACÍ ZKOUŠKY 2018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Analýza se zabývá dopady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úspěšnosti, pokud by byla centrálně stanovena u výsledku jednotné přijímací zkoušky do oborů středního vzdělání ukončených maturitní zkouškou.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Testy jednotné přijímací zkoušky pro rok 2018 (ze kterých analýza vychází) jsou konstruovány jako ověřovací (do 20% hranice úspěšnosti u matematiky a 30-40% hranice úspěšnosti u českého jazyka </w:t>
      </w:r>
      <w:r w:rsidRPr="00790EB8">
        <w:rPr>
          <w:rFonts w:ascii="Times New Roman" w:hAnsi="Times New Roman" w:cs="Times New Roman"/>
          <w:sz w:val="24"/>
          <w:szCs w:val="24"/>
        </w:rPr>
        <w:br/>
        <w:t xml:space="preserve">a literatury v závislosti na míře zohlednění náhodného skóre).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Z těchto důvodů neanalyzujeme možnosti nastavení vyšší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(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cut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score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– dále „COS“), než je 20 % u matematiky a 40 % u českého jazyka a literatury.</w:t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Základní závěry</w:t>
      </w:r>
    </w:p>
    <w:p w:rsidR="007C2238" w:rsidRPr="00790EB8" w:rsidRDefault="007C2238" w:rsidP="007C2238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REGIONÁLNÍ ROZDÍLY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Předpokládaná neúspěšnost u přijímacího řízení vykazuje </w:t>
      </w:r>
      <w:r w:rsidRPr="00790EB8">
        <w:rPr>
          <w:rFonts w:ascii="Times New Roman" w:hAnsi="Times New Roman" w:cs="Times New Roman"/>
          <w:b/>
          <w:sz w:val="24"/>
          <w:szCs w:val="24"/>
        </w:rPr>
        <w:t>výrazné mezikrajové rozdíly</w:t>
      </w:r>
      <w:r w:rsidRPr="00790EB8">
        <w:rPr>
          <w:rFonts w:ascii="Times New Roman" w:hAnsi="Times New Roman" w:cs="Times New Roman"/>
          <w:sz w:val="24"/>
          <w:szCs w:val="24"/>
        </w:rPr>
        <w:t>, které jsou dány zejména rozdílnou strukturou oborů středních škol v regionech a rozdílnou úrovní úspěšnosti žáků hlásících se do maturitních oborů středních škol.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Největší dopady by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mělo ve dvou skupinách regionů</w:t>
      </w:r>
    </w:p>
    <w:p w:rsidR="007C2238" w:rsidRPr="00790EB8" w:rsidRDefault="007C2238" w:rsidP="007C223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V krajích s nízkým socioekonomickým a vzdělanostním zázemím – Ústeckém, Moravskoslezském, Libereckém, a Karlovarském</w:t>
      </w:r>
    </w:p>
    <w:p w:rsidR="007C2238" w:rsidRPr="00790EB8" w:rsidRDefault="007C2238" w:rsidP="007C223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Ve Středočeském kraji, pro který funguje jako spádové vzdělanostní centrum Praha, a to zejména pro okresy Praha-východ a Praha-západ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Především v krajích s vyšší nezaměstnaností a nižší úrovní vzdělanosti by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neúspěšnosti mohlo vést k dalšímu prohlubování rozdílů mezi kraji. </w:t>
      </w:r>
    </w:p>
    <w:p w:rsidR="007C2238" w:rsidRPr="00790EB8" w:rsidRDefault="007C2238" w:rsidP="007C2238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VÍCELETÁ GYMNÁZIA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 xml:space="preserve">V průměru České republiky by se zavedení </w:t>
      </w:r>
      <w:proofErr w:type="spellStart"/>
      <w:r w:rsidRPr="00790EB8">
        <w:rPr>
          <w:rFonts w:ascii="Times New Roman" w:hAnsi="Times New Roman" w:cs="Times New Roman"/>
          <w:b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b/>
          <w:sz w:val="24"/>
          <w:szCs w:val="24"/>
        </w:rPr>
        <w:t xml:space="preserve"> úspěšnosti oborů víceletých gymnázií v příliš velké míře nedotklo. </w:t>
      </w:r>
      <w:r w:rsidRPr="00790EB8">
        <w:rPr>
          <w:rFonts w:ascii="Times New Roman" w:hAnsi="Times New Roman" w:cs="Times New Roman"/>
          <w:sz w:val="24"/>
          <w:szCs w:val="24"/>
        </w:rPr>
        <w:t xml:space="preserve">Hlavním důvodem je vysoký převis poptávky (cca 2,2 násobek přihlášených v porovnání s počty přijatých).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Neúspěšnost při přijímacím řízení se předpokládá na úrovni 18 %, resp. 28 % (v případě M20xC30, resp. M20xC40) u osmiletých gymnázií a 10 %, resp. 16 % u gymnázií šestiletých. V obou případech ale stále počet úspěšných uchazečů výrazně převyšuje počet odevzdaných zápisových lístků a odhadovaný počet nově přijatých vzhledem k vysokému převisu poptávky.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 xml:space="preserve">V některých regionech by však mohlo dojít k nenaplnění oborů zejména malých škol (v průměru by se toto mohlo dotknout cca 3-6 % nově přijímaných), nicméně je velmi pravděpodobné, že při vysokém převisu poptávky by došlo k přesunu zájmu uchazečů i směrem k těmto školám a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se ve výsledku víceletých gymnázií nedotkne. </w:t>
      </w:r>
    </w:p>
    <w:p w:rsidR="007C2238" w:rsidRPr="00790EB8" w:rsidRDefault="007C2238" w:rsidP="007C2238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ČTYŘLETÁ GYMNÁZIA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 xml:space="preserve">Zavedení </w:t>
      </w:r>
      <w:proofErr w:type="spellStart"/>
      <w:r w:rsidRPr="00790EB8">
        <w:rPr>
          <w:rFonts w:ascii="Times New Roman" w:hAnsi="Times New Roman" w:cs="Times New Roman"/>
          <w:b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b/>
          <w:sz w:val="24"/>
          <w:szCs w:val="24"/>
        </w:rPr>
        <w:t xml:space="preserve"> hranice úspěšnosti by se prakticky nedotklo oborů čtyřletých gymnázií. </w:t>
      </w:r>
      <w:r w:rsidRPr="00790EB8">
        <w:rPr>
          <w:rFonts w:ascii="Times New Roman" w:hAnsi="Times New Roman" w:cs="Times New Roman"/>
          <w:sz w:val="24"/>
          <w:szCs w:val="24"/>
        </w:rPr>
        <w:t xml:space="preserve">Hlavním důvodem je převis poptávky (cca 1,5 násobek přihlášených v porovnání s počty přijatých) a vysoká úspěšnost uchazečů.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Uchazeči o studium ve čtyřletých oborech gymnázií by v případě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byli u přijímacího řízení poměrně úspěšní – neuspěla by pouze 3 % přihlášených.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při přijímacím řízení by tak nemělo na čtyřletá gymnázia žádný dopad.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některých regionech by mohlo dojít k problémům s naplněností tříd zejména v případě malých škol (v průměru by se toto mohlo dotknout cca 2 % nově přijímaných), nicméně je velmi pravděpodobné, že při vysokém převisu poptávky dojde k přesunu zájmu uchazečů i směrem k těmto školám a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se ve výsledku čtyřletých gymnázií nedotkne. </w:t>
      </w:r>
    </w:p>
    <w:p w:rsidR="007C2238" w:rsidRPr="00790EB8" w:rsidRDefault="007C2238" w:rsidP="007C2238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OBORY LYCEÍ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 xml:space="preserve">Zavedení </w:t>
      </w:r>
      <w:proofErr w:type="spellStart"/>
      <w:r w:rsidRPr="00790EB8">
        <w:rPr>
          <w:rFonts w:ascii="Times New Roman" w:hAnsi="Times New Roman" w:cs="Times New Roman"/>
          <w:b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b/>
          <w:sz w:val="24"/>
          <w:szCs w:val="24"/>
        </w:rPr>
        <w:t xml:space="preserve"> hranice úspěšnosti by se oborů lyceí prakticky nedotklo. </w:t>
      </w:r>
      <w:r w:rsidRPr="00790EB8">
        <w:rPr>
          <w:rFonts w:ascii="Times New Roman" w:hAnsi="Times New Roman" w:cs="Times New Roman"/>
          <w:sz w:val="24"/>
          <w:szCs w:val="24"/>
        </w:rPr>
        <w:t xml:space="preserve">Hlavním důvodem je stejně jako u gymnázií převis poptávky (cca 2,2 násobek přihlášených v porovnání s počty přijatých) a vysoká úspěšnost uchazečů.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U přijímacího řízení by v případě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u přijímacího řízení bylo úspěšných 91 %, resp. 90 % uchazečů (v případě zavedení COS M20xC30, resp. M20xC40). I při desetiprocentní neúspěšnosti by však v důsledku vyššího převisu poptávky byl počet úspěšných stále výrazně vyšší, než je počet odevzdaných zápisových lístků, resp. odhadovaný počet přijatých.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některých regionech by mohlo dojít k nenaplnění oborů lyceí zejména některých malých škol (v průměru by se toto mohlo dotknout cca 4 % nově přijímaných), nicméně je velmi pravděpodobné, že při vysokém převisu poptávky dojde k přesunu zájmu uchazečů i směrem k těmto školám a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se ve výsledku čtyřletých ani lyceí nedotkne. </w:t>
      </w:r>
    </w:p>
    <w:p w:rsidR="007C2238" w:rsidRPr="00790EB8" w:rsidRDefault="007C2238" w:rsidP="007C2238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OBORY STŘEDNÍCH ODBORNÝCH ŠKOL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by se </w:t>
      </w:r>
      <w:r w:rsidRPr="00790EB8">
        <w:rPr>
          <w:rFonts w:ascii="Times New Roman" w:hAnsi="Times New Roman" w:cs="Times New Roman"/>
          <w:b/>
          <w:sz w:val="24"/>
          <w:szCs w:val="24"/>
        </w:rPr>
        <w:t>v případě oborů středních odborných škol</w:t>
      </w:r>
      <w:r w:rsidRPr="00790EB8">
        <w:rPr>
          <w:rFonts w:ascii="Times New Roman" w:hAnsi="Times New Roman" w:cs="Times New Roman"/>
          <w:sz w:val="24"/>
          <w:szCs w:val="24"/>
        </w:rPr>
        <w:t xml:space="preserve"> prakticky nedotklo oborů technických středních škol (obory strojírenství, elektrotechnika, informatika, výpočetní technika, aplikovaná chemie, stavebnictví, doprava a interdisciplinární technické obory) a ekonomických, naopak nižší úspěšnost by měla </w:t>
      </w:r>
      <w:r w:rsidRPr="00790EB8">
        <w:rPr>
          <w:rFonts w:ascii="Times New Roman" w:hAnsi="Times New Roman" w:cs="Times New Roman"/>
          <w:b/>
          <w:sz w:val="24"/>
          <w:szCs w:val="24"/>
        </w:rPr>
        <w:t>dopad zejména do oborů zemědělských, zdravotnických, humanitních</w:t>
      </w:r>
      <w:r w:rsidRPr="00790EB8">
        <w:rPr>
          <w:rFonts w:ascii="Times New Roman" w:hAnsi="Times New Roman" w:cs="Times New Roman"/>
          <w:sz w:val="24"/>
          <w:szCs w:val="24"/>
        </w:rPr>
        <w:t xml:space="preserve"> (např. pedagogických a sociální péče) </w:t>
      </w:r>
      <w:r w:rsidRPr="00790EB8">
        <w:rPr>
          <w:rFonts w:ascii="Times New Roman" w:hAnsi="Times New Roman" w:cs="Times New Roman"/>
          <w:b/>
          <w:sz w:val="24"/>
          <w:szCs w:val="24"/>
        </w:rPr>
        <w:t>a oborů hotelnictví a turismus.</w:t>
      </w:r>
      <w:r w:rsidRPr="00790EB8">
        <w:rPr>
          <w:rFonts w:ascii="Times New Roman" w:hAnsi="Times New Roman" w:cs="Times New Roman"/>
          <w:sz w:val="24"/>
          <w:szCs w:val="24"/>
        </w:rPr>
        <w:t xml:space="preserve"> Dopad by tam byl výraznější zejména u oborů</w:t>
      </w:r>
      <w:r w:rsidRPr="00790EB8">
        <w:rPr>
          <w:rFonts w:ascii="Times New Roman" w:hAnsi="Times New Roman" w:cs="Times New Roman"/>
          <w:b/>
          <w:sz w:val="24"/>
          <w:szCs w:val="24"/>
        </w:rPr>
        <w:t>, ve kterých se vzdělává větší podíl dívek.</w:t>
      </w:r>
      <w:r w:rsidRPr="00790E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Uchazeči o maturitní obory SOŠ by v případě nastavení COS M20xC30 neuspěli z 20 % a v případě M20xC40 by jich neuspělo 23 %. V porovnání s celkovým počtem 45 100 </w:t>
      </w:r>
      <w:r w:rsidRPr="00790EB8">
        <w:rPr>
          <w:rFonts w:ascii="Times New Roman" w:hAnsi="Times New Roman" w:cs="Times New Roman"/>
          <w:sz w:val="24"/>
          <w:szCs w:val="24"/>
        </w:rPr>
        <w:lastRenderedPageBreak/>
        <w:t xml:space="preserve">přihlášených uchazečů v roce 2018 by jich u zkoušek uspělo 36 200, resp. 35 000 (při nastavení COS M20xC30, resp. M20xC40). Přijato by tak bylo cca 33 700, resp. 33 000 uchazečů o maturitní obory SOŠ, což je o 1 200-1 900 méně než předpokládaný počet přijatých v roce 2018 (bez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Nejmenší dopad zavedení COS (M20xC30, resp. M20xC40) by se projevil u oborů technických, kde by bylo neúspěšných 12 % resp. 15 % uchazečů, a u oborů ekonomických (16 %, resp. 18 % neúspěšných). U oborů ekonomických je sice v porovnání s technickými obory nižší úspěšnost, je zde ale vyšší převis poptávky, takže v důsledku by dopady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byly minimální. V případě ostatních oborů středních odborných škol by šlo o podstatně vyšší neúspěšnost kolem 30 %.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U části středních odborných škol by mohlo dojít k problému s naplněností tříd v některých oborech. Případné neotevření těchto tříd by se mohlo dotknout cca 15 % žáků přijatých do těchto oborů. Toto by se týkalo prakticky všech oborů středních odborných škol, mírnější dopady by byly v případě ekonomických a technických oborů.</w:t>
      </w:r>
    </w:p>
    <w:p w:rsidR="007C2238" w:rsidRPr="00790EB8" w:rsidRDefault="007C2238" w:rsidP="007C2238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OBORY STŘEDNÍCH ODBORNÝCH UČILIŠŤ A OBORY NÁSTAVBOVÉHO STUDIA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by </w:t>
      </w:r>
      <w:r w:rsidRPr="00790EB8">
        <w:rPr>
          <w:rFonts w:ascii="Times New Roman" w:hAnsi="Times New Roman" w:cs="Times New Roman"/>
          <w:b/>
          <w:sz w:val="24"/>
          <w:szCs w:val="24"/>
        </w:rPr>
        <w:t xml:space="preserve">mělo největší dopad na obory středních odborných učilišť a obory nástavbového studia.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případě oborů nástavbového studia by už při nastavení COS 20 % u matematiky a 30 % u českého jazyka (M20xC30) neuspělo u zkoušek 68 %, v případě M20xC40 pak 73 %. V porovnání s celkovým počtem 8 300 přihlášených uchazečů v roce 2018 by jich u zkoušek uspělo 1 750, resp. 1 450 (při nastavení COS M20xC30, resp. M20xC40).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Uchazeči o maturitní obory SOU by pak v případě nastavení COS M20xC30 neuspěli z 34 % a v případě M20xC40 by jich neuspělo 40 %. V porovnání s celkovým počtem 5 400 přihlášených uchazečů v roce 2018 by jich u zkoušek uspělo 5 500, resp. 5 000 (při nastavení COS M20xC30, resp. M20xC40). Přijato by tak bylo cca 5 000, resp. 4 600 uchazečů o maturitní obory SOU, což je o 1 000, resp. 1 400 žáků méně, než je předpokládaný počet nově přijatých do těchto oborů v roce 2018.</w:t>
      </w:r>
    </w:p>
    <w:p w:rsidR="007C2238" w:rsidRPr="00790EB8" w:rsidRDefault="007C2238" w:rsidP="007C2238">
      <w:pPr>
        <w:pStyle w:val="Nadpis2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DOPADY DO UČEBNÍCH OBORŮ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Za předpokladu, že by se neúspěšní uchazeči o maturitní obory začali vzdělávat v učebních oborech, </w:t>
      </w:r>
      <w:r w:rsidRPr="00790EB8">
        <w:rPr>
          <w:rFonts w:ascii="Times New Roman" w:hAnsi="Times New Roman" w:cs="Times New Roman"/>
          <w:b/>
          <w:sz w:val="24"/>
          <w:szCs w:val="24"/>
        </w:rPr>
        <w:t xml:space="preserve">došlo by k navýšení počtu nové přijatých do učebních oborů o cca 2 300 – 3 600 žáků. </w:t>
      </w:r>
      <w:r w:rsidRPr="00790EB8">
        <w:rPr>
          <w:rFonts w:ascii="Times New Roman" w:hAnsi="Times New Roman" w:cs="Times New Roman"/>
          <w:sz w:val="24"/>
          <w:szCs w:val="24"/>
        </w:rPr>
        <w:t xml:space="preserve">Šlo by zejména o ty, kteří se původně hlásí do maturitních oborů SOU (1 000 – 1 400 žáků) a do maturitních oborů SOŠ (1 200 – 1 900 žáků). </w:t>
      </w:r>
    </w:p>
    <w:p w:rsidR="007C2238" w:rsidRPr="00790EB8" w:rsidRDefault="007C2238" w:rsidP="007C2238">
      <w:pPr>
        <w:jc w:val="center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197816" cy="29609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81" cy="29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center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437890" cy="26110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84" cy="2624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2238" w:rsidRPr="00790EB8" w:rsidRDefault="007C2238" w:rsidP="007C2238">
      <w:pPr>
        <w:jc w:val="center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248275" cy="3292592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89" cy="329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Hlavní město Praha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Pro hlavní město Prahu by vzhledem k husté síti škol, vyššímu převisu poptávky u maturitních oborů (Praha funguje jako vzdělanostní centrum zejména pro Středočeský kraj, ale v menší míře i pro další kraje ČR) a menšímu podílu maturitních oborů na SOU a v nástavbách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příliš velké dopady nemělo.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699770</wp:posOffset>
            </wp:positionV>
            <wp:extent cx="4726305" cy="3405505"/>
            <wp:effectExtent l="0" t="0" r="0" b="444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40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Praha je navíc region s nejvyšší úrovní vzdělanosti (pouze 7 % obyvatel se základním vzděláním a 18 % s výučním listem a na druhé straně s nejvyšším podílem vysokoškolsky vzdělaných obyvatel) a je zde vyšší poptávka po maturitních oborech, než je tomu v jiných krajích.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3493770</wp:posOffset>
            </wp:positionV>
            <wp:extent cx="3314700" cy="238188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Ke snížení počtu nově přijatých do maturitních oborů by došlo prakticky pouze u nástavbových oborů a oborů SOU, středních odborných škol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dotklo minimálně (snížení počtu nově přijatých do 110 žáků). S ohledem na menší počet přijatých do maturitních oborů SOU by došlo k velmi mírnému navýšení počtu přijatých do učebních oborů o 200-300 žáků.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Počty přijímaných do gymnázií (čtyřletých i víceletých) by zůstaly beze změny, a to zejména vzhledem k vysokému převisu poptávky a vyšší míře úspěšnosti. Pokud by došlo k nenaplnění tříd některých gymnázií, tyto dopady pak budou v rámci hlavního města Prahy minimální.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Z oborů středních odborných škol by určité problémy mohly mít obory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hotelnické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a podnikatelské, které by k naplnění oborů musely přijmout prakticky všechny, kteří y úspěšně prošli přijímacím řízením. Pokud půjdeme až na úroveň školy, mohly by některé střední školy mít problémy s naplněním tříd. Týká se to zejména škol s obory zdravotnickými, </w:t>
      </w:r>
      <w:r w:rsidRPr="00790EB8">
        <w:rPr>
          <w:rFonts w:ascii="Times New Roman" w:hAnsi="Times New Roman" w:cs="Times New Roman"/>
          <w:sz w:val="24"/>
          <w:szCs w:val="24"/>
        </w:rPr>
        <w:lastRenderedPageBreak/>
        <w:t xml:space="preserve">zemědělskými, hotelovými a podnikatelskými a humanitními. Jedná se převážně o školy, které mají s naplněností ročníku problémy již nyní.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194800" cy="3085200"/>
            <wp:effectExtent l="0" t="0" r="6350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30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1551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Jihočeský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Pro Jihočeský kraj by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nespěšnosti příliš velké dopady nemělo. </w:t>
      </w: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1223" cy="39655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34" cy="396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46355</wp:posOffset>
            </wp:positionV>
            <wp:extent cx="3322800" cy="2386800"/>
            <wp:effectExtent l="0" t="0" r="0" b="0"/>
            <wp:wrapTight wrapText="bothSides">
              <wp:wrapPolygon edited="0">
                <wp:start x="0" y="0"/>
                <wp:lineTo x="0" y="21382"/>
                <wp:lineTo x="21427" y="21382"/>
                <wp:lineTo x="2142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00" cy="23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Došlo by ke snížení počtu žáků v oborech nástavbového studia (kde by neúspěšnost dosáhla hranice až 79 %) a maturitních oborů SOU (s téměř 33%, resp. 40% neúspěšností). V případě těchto oborů by počet úspěšných nedosáhl ani na úroveň počtu odevzdaných zápisových lístků. U středních odborných škol by došlo ke snížení počtu přijatých pouze v řádu desítek žáků.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menší počet přijatých do maturitních oborů SOU by došlo k velmi mírnému navýšení počtu přijatých do učebních oborů (o cca 100-160 žáků).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Počty přijímaných do gymnázií (čtyřletých i víceletých) by zůstaly beze změny, a to zejména vzhledem k vysokému převisu poptávky. Pokud by došlo k nenaplnění tříd některých gymnázií, tyto dopady pak budou v rámci Jihočeského kraje byly minimální, dotkly by se zhruba 4-5 škol, které mají problémy s naplněním tříd i v současnosti.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 xml:space="preserve">Z oborů středních odborných škol by problémy mohly mít zejména obory zemědělské a zdravotnické, které by k naplnění oborů musely přijmout prakticky všechny, kteří úspěšně prošli přijímacím řízením. Pokud půjdeme až na úroveň školy, tak by právě některé z těchto škol mohly mít problémy s naplněním tříd. Jedná se převážně o školy, které mají s naplněností ročníku problémy již nyní.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837555" cy="346730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60" cy="347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Jihomoravský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Jihomoravský kraj je z pohledu územního členění a rozložení škol atypický – Brno je vzdělanostním centrem regionu (obdobně jako Praha), ale kraj má zároveň školy rozmístěné i mimo toto centrum. Navíc je Jihomoravský kraj druhým regionem s nejvyšším podílem vysokoškolsky vzdělaných lidí a druhým regionem s nejnižším podílem obyvatel bez vzdělání nebo se vzděláním základním.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438818" cy="3918585"/>
            <wp:effectExtent l="0" t="0" r="9525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49" cy="3924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98425</wp:posOffset>
            </wp:positionV>
            <wp:extent cx="3715200" cy="2671200"/>
            <wp:effectExtent l="0" t="0" r="0" b="0"/>
            <wp:wrapTight wrapText="bothSides">
              <wp:wrapPolygon edited="0">
                <wp:start x="0" y="0"/>
                <wp:lineTo x="0" y="21415"/>
                <wp:lineTo x="21489" y="21415"/>
                <wp:lineTo x="21489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0" cy="26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Jihomoravský kraj se v dopadech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u JPZ velmi podobá Praze – změny se týkají zejména oborů SOU s maturitou a oborů nástavbového studia. Změny v oborech SOŠ by byly pouze v řádech desítek žáků.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Největší změny by se týkaly nástavbového studia, kde by neúspěšnost dosáhla hranice 66-71 % a maturitních oborů SOU s 28-32% neúspěšností. V případě těchto oborů by počet úspěšných sice přesáhl počet odevzdaných zápisových lístků, nicméně převis poptávky by nebyl příliš vysoký.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 xml:space="preserve">U středních odborných škol by problémy mohly mít některé školy s technickými obory skupiny 2, obory zdravotnickými a zemědělskými vzhledem k tomu, že počet úspěšných by pouze mírně převyšoval počet (v letošním roce odevzdaných) zápisových lístků.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menší počet přijatých do maturitních oborů SOU by došlo k velmi mírnému navýšení počtu přijatých do učebních oborů (o cca 80-160 žáků).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Počty přijímaných do gymnázií (čtyřletých i víceletých) by zůstaly prakticky beze změny, a to zejména vzhledem k vysokému převisu poptávky. Pokud by došlo k nenaplnění tříd některých gymnázií, tyto dopady pak budou v rámci Jihomoravského kraje minimální, dotkly by zejména některých soukromých šestiletých gymnázií.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37760" cy="2932857"/>
            <wp:effectExtent l="0" t="0" r="0" b="127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99" cy="294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Karlovarský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Karlovarský kraj patří mezi kraje s horší socioekonomickou situací a zároveň je krajem s jednou z nejnižších vzdělaností v rámci České republiky (s 20 % obyvatel pouze se základním vzděláním, 38 % s výučním listem a pouze 12 % obyvatel s terciárním vzděláním). Zároveň je nejmenším krajem co do počtu obyvatel a regionem s poměrně vysokým podílem přijímaných do učebních oborů.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047498" cy="3636645"/>
            <wp:effectExtent l="0" t="0" r="1270" b="190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80" cy="3644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48895</wp:posOffset>
            </wp:positionV>
            <wp:extent cx="3672000" cy="2638800"/>
            <wp:effectExtent l="0" t="0" r="5080" b="9525"/>
            <wp:wrapTight wrapText="bothSides">
              <wp:wrapPolygon edited="0">
                <wp:start x="0" y="0"/>
                <wp:lineTo x="0" y="21522"/>
                <wp:lineTo x="21518" y="21522"/>
                <wp:lineTo x="21518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V případě Karlovarského kraje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úrovně úspěšnosti dotklo zejména oborů nástavbového studia (s 65-69%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neúpěšností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) a maturitních oborů SOU (49-51% neúspěšnost).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Vyšší neúspěšnost se v rámci Karlovarského kraje ale projevuje i v některých oborech středních odborných škol (hranice 35-40% neúspěšnosti dosahují zejména obory zemědělské, zdravotnické, humanitní a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hotelnické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a podnikatelské). Ke snížení počtu přijímaných by došlo zejména v případě oborů humanitních, zemědělských a zdravotnických, nicméně tento pokles není příliš výrazný, jde o počty žáků v řádech desítek.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 xml:space="preserve"> S ohledem na předpoklad snížení počtu přijatých do oborů SOU a SOŠ by došlo k mírnému navýšení počtu přijatých do učebních oborů (o cca 70-100 žáků) a počet nově přijatých do učebních oborů by se tak dostal nad úroveň  přijatých do maturitních oborů SOŠ.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Počty přijímaných do gymnázií (čtyřletých i osmiletých) by zůstaly prakticky beze změny (kromě nastavení hranice M20xC40 u osmiletých gymnázií, kdy by došlo k mírnému poklesu počtu přijatých), a to zejména vzhledem k vyššímu převisu poptávky. Problém a naplněností třídy by mohl nastat v případě šestiletého gymnázia, které v současné době nabízí pouze jedna škola, která má problémy s počty přihlášených i v současnosti.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 </w:t>
      </w: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15535" cy="2919656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33" cy="293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455920" cy="2364064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36" cy="236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Kraj Vysočina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kraji Vysočina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u JPZ dotklo, obdobně jako i v ostatních krajích, především oborů nástavbového studia a maturitních oborů SOU.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40788" cy="3415665"/>
            <wp:effectExtent l="0" t="0" r="317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23" cy="341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329940" cy="2393950"/>
            <wp:effectExtent l="0" t="0" r="3810" b="6350"/>
            <wp:wrapTight wrapText="bothSides">
              <wp:wrapPolygon edited="0">
                <wp:start x="0" y="0"/>
                <wp:lineTo x="0" y="21485"/>
                <wp:lineTo x="21501" y="21485"/>
                <wp:lineTo x="21501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9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Výraznější pokles nově přijatých se dá předpokládat zejména v oborech nástavbového studia, kde by v případě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byla neúspěšnost 65-72 %. U maturitních oborů SOU (s 25-33% neúspěšností) by došlo ke snížení úspěšných adeptů těsně nad hranici (v letošním roce odevzdaných) zápisových lístků.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rámci oborů středních odborných škol by došlo k pouze velmi mírnému poklesu nově přijímaných v řádech desítek žáků a tento pokles by se týkal zejména zemědělských a humanitních oborů (které také vykazují nižší předpokládanou neúspěšnost u JPZ).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předpoklad velmi mírného snížení počtu přijatých do oborů SOU a SOŠ by došlo k velmi mírnému navýšení počtu přijatých do učebních oborů (o cca 60-100 žáků).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Počty přijímaných do gymnázií (čtyřletých i osmiletých) by zůstaly prakticky beze změny (kromě nastavení hranice M20xC40 u osmiletých gymnázií, kdy by došlo k mírnému poklesu počtu přijatých), a to zejména vzhledem k vyššímu převisu poptávky. Problém by mohl nastat v případě šestiletého gymnázia, které má problémy s počty přihlášených i v současnosti.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860415" cy="3480882"/>
            <wp:effectExtent l="0" t="0" r="6985" b="571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4" cy="348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62491" cy="2106930"/>
            <wp:effectExtent l="0" t="0" r="0" b="762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23" cy="21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238" w:rsidRPr="00790EB8" w:rsidRDefault="007C2238" w:rsidP="007C2238">
      <w:pPr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Královéhradecký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Královéhradeckém kraji,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u JPZ dotklo především oborů nástavbového studia a maturitních oborů SOU.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41736" cy="3560445"/>
            <wp:effectExtent l="0" t="0" r="0" b="190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12" cy="3566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81280</wp:posOffset>
            </wp:positionV>
            <wp:extent cx="3164400" cy="2275200"/>
            <wp:effectExtent l="0" t="0" r="0" b="0"/>
            <wp:wrapTight wrapText="bothSides">
              <wp:wrapPolygon edited="0">
                <wp:start x="0" y="0"/>
                <wp:lineTo x="0" y="21347"/>
                <wp:lineTo x="21457" y="21347"/>
                <wp:lineTo x="21457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0" cy="22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Výraznější pokles nově přijatých se dá předpokládat zejména v oborech nástavbového studia, kde by v případě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byla neúspěšnost 58-64 %. U maturitních oborů SOU (s 35-40% neúspěšností) by došlo ke snížení úspěšných adeptů v případě netechnických oborů pod hranici (v letošním roce odevzdaných) zápisových lístků.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rámci oborů středních odborných škol by došlo k pouze velmi mírnému poklesu nově přijímaných v řádech desítek žáků a tento pokles by se týkal zejména zdravotnických a humanitních oborů a mírně i oborů technických. V případě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hotelnických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a podnikatelských oborů sice ke snížení počtu přijatých nedojde, ale počty úspěšných se velmi hranici zápisových lístků blíží.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předpoklad mírného snížení počtu přijatých do oborů SOU a SOŠ by došlo k velmi mírnému navýšení počtu přijatých do učebních oborů (o cca 50-90 žáků).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Počty přijímaných do gymnázií (čtyřletých i osmiletých) by zůstaly prakticky beze změny, a to zejména vzhledem k vyššímu převisu poptávky. Problémy mohou nastat v případě několika škol, které ovšem mají problémy s naplněním tříd už v současné době.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86666" cy="3258887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12" cy="3270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Liberecký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Liberecký kraj patří mezi kraje s nižší úrovní vzdělanosti s 16 % obyvatel se základním vzděláním, 37 % s výučním listem a pouze s 15 % vysokoškolsky vzdělaných obyvatel. V Libereckém kraji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u JPZ dotklo především oborů nástavbového studia a maturitních oborů SOU.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100379" cy="3674745"/>
            <wp:effectExtent l="0" t="0" r="5080" b="190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43" cy="367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70485</wp:posOffset>
            </wp:positionV>
            <wp:extent cx="3187065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32" y="21349"/>
                <wp:lineTo x="21432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Výraznější pokles nově přijatých, stejně jako i v ostatních krajích, se dá předpokládat zejména v oborech nástavbového studia, kde by v případě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byla neúspěšnost 70-74 %. U maturitních oborů SOU (s 36-41% neúspěšností) by došlo ke snížení úspěšných adeptů jak v případě technických, tak netechnických oborů pod hranici (v letošním roce odevzdaných) zápisových lístků.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rámci oborů středních odborných škol by došlo k pouze velmi mírnému poklesu nově přijímaných v řádech desítek žáků a tento pokles by se týkal zejména zemědělských, zdravotnických,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hotelnických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a podnikatelských a technických skupiny 2.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předpoklad mírného snížení počtu přijatých do oborů SOU a SOŠ by došlo k velmi mírnému navýšení počtu přijatých do učebních oborů (o cca 80-120 žáků).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 xml:space="preserve">Počty přijímaných do gymnázií (čtyřletých i osmiletých) by zůstaly prakticky beze změny, a to zejména vzhledem k vyššímu převisu poptávky. Problémy mohou nastat v případě několika konkrétních škol, které ovšem mají problémy s naplněním tříd už v současné době.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7555" cy="3277235"/>
            <wp:effectExtent l="0" t="0" r="6985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96" cy="328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Moravskoslezský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Moravskoslezský kraj patří mezi kraje s mírně podprůměrnou úrovní vzdělanosti s 15 % obyvatel se základním vzděláním, 35 % s výučním listem a pouze s 17 % vysokoškolsky vzdělaných obyvatel. V Moravskoslezském kraji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u JPZ dotklo jak oborů nástavbového studia a maturitních oborů SOU, tak i oborů středních odborných škol a oborů víceletých gymnázií.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100195" cy="2947508"/>
            <wp:effectExtent l="0" t="0" r="0" b="571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16" cy="2953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137795</wp:posOffset>
            </wp:positionV>
            <wp:extent cx="3228975" cy="2320290"/>
            <wp:effectExtent l="0" t="0" r="9525" b="3810"/>
            <wp:wrapTight wrapText="bothSides">
              <wp:wrapPolygon edited="0">
                <wp:start x="0" y="0"/>
                <wp:lineTo x="0" y="21458"/>
                <wp:lineTo x="21536" y="21458"/>
                <wp:lineTo x="21536" y="0"/>
                <wp:lineTo x="0" y="0"/>
              </wp:wrapPolygon>
            </wp:wrapTight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Výraznější pokles nově přijatých se dá předpokládat zejména v oborech nástavbového studia, kde by v případě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byla neúspěšnost 67-71 %. U maturitních oborů SOU (s 38-45% neúspěšností) by došlo ke snížení úspěšných adeptů jak v případě technických, tak netechnických oborů pod hranici (v letošním roce odevzdaných) zápisových lístků.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V rámci oborů středních odborných škol by došlo k poklesu nově přijímaných na úrovni 225-350 žáků a tento pokles by se týkal prakticky všech oborů středních odborných škol s výjimkou ekonomických. Zde je nutné zmínit, že prakticky u všech oborů SOŠ (s výjimkou ekonomických a technických) se předpokládaná neúspěšnost pohybuje nad úrovní 20 %.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předpoklad poměrně vyšší míry ochodů do oborů SOU a SOŠ by došlo k navýšení počtu přijatých do učebních oborů (o cca 400-830 žáků) a počty přijatých do učebních oborů by se dostaly nad úroveň přijatých do maturitních oborů SOŠ.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 xml:space="preserve">Moravskoslezský kraj patří mezi několik málo krajů, kde by došlo i ke snížení počtu nově přijatých do víceletých gymnázií. V rámci průměrných čísel (v případě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M20xC40) dochází poklesu přijímaných o 100 žáků.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16546" cy="3336032"/>
            <wp:effectExtent l="0" t="0" r="381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96" cy="334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Olomoucký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Olomouckého kraje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příliš nedotklo.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45602" cy="3347085"/>
            <wp:effectExtent l="0" t="0" r="3175" b="571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35" cy="335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2311400</wp:posOffset>
            </wp:positionH>
            <wp:positionV relativeFrom="paragraph">
              <wp:posOffset>93345</wp:posOffset>
            </wp:positionV>
            <wp:extent cx="3607200" cy="2595600"/>
            <wp:effectExtent l="0" t="0" r="0" b="0"/>
            <wp:wrapTight wrapText="bothSides">
              <wp:wrapPolygon edited="0">
                <wp:start x="0" y="0"/>
                <wp:lineTo x="0" y="21404"/>
                <wp:lineTo x="21448" y="21404"/>
                <wp:lineTo x="21448" y="0"/>
                <wp:lineTo x="0" y="0"/>
              </wp:wrapPolygon>
            </wp:wrapTight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00" cy="25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>K poklesu nově přijímaných by došlo v případě oborů nástavbového studia (s neúspěšností 67-75 %) a u maturitních oborů SOU (s 34-40% hranicí neúspěšnosti), kde by jak v případě technických, tak netechnických oborů došlo k poklesu pod hranici (v letošním roce odevzdaných) zápisových lístků.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rámci oborů středních odborných škol by došlo k poklesu nově přijímaných na úrovni 75-125 žáků především oborů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hotelnických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a podnikatelských a zemědělských.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míry ochodů do oborů SOU a SOŠ by došlo k navýšení počtu přijatých do učebních oborů o cca 165-245 žáků a počty přijatých do učebních oborů by se dostaly na úroveň přijatých do maturitních oborů SOŠ. Počty nově přijímaných do učebních oborů a maturitních oborů SOŠ by tak byly prakticky shodné.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Počtu přijímaných do oborů gymnázií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neúspěšnosti s ohledem na vyšší převis poptávky prakticky nedotkly, i když k problémům s naplněností tříd by mohlo dojít v případě několika konkrétních škol, které ovšem mají problémy s naplněním tříd už v současné době.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85610" cy="3317657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99" cy="332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Pardubický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Olomouckého kraje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dotklo prakticky pouze oborů nástavbového studia a maturitních oborů SOU.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529264" cy="3263265"/>
            <wp:effectExtent l="0" t="0" r="508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88" cy="3267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3340800" cy="2401200"/>
            <wp:effectExtent l="0" t="0" r="0" b="0"/>
            <wp:wrapTight wrapText="bothSides">
              <wp:wrapPolygon edited="0">
                <wp:start x="0" y="0"/>
                <wp:lineTo x="0" y="21423"/>
                <wp:lineTo x="21432" y="21423"/>
                <wp:lineTo x="21432" y="0"/>
                <wp:lineTo x="0" y="0"/>
              </wp:wrapPolygon>
            </wp:wrapTight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24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>K poklesu nově přijímaných by došlo v případě oborů nástavbového studia (s neúspěšností 56-67 %) a u maturitních oborů SOU (s 29-34% hranicí neúspěšnosti), kde by jak v případě technických, tak netechnických oborů došlo k poklesu mírně nad hranici (v letošním roce odevzdaných) zápisových lístků.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V rámci oborů středních odborných škol by došlo k zanedbatelnému poklesu počtu nově přijímaných na úrovni 10-15 žáků.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míry ochodů do oborů SOU a SOŠ by došlo k velmi mírnému navýšení počtu přijatých do učebních oborů o cca 40-65 žáků.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Zavedení hranice neúspěšnosti by v Pardubickém kraji neovlivnily ani počty přijímaných do oborů gymnázií. Problémy s naplněním alespoň jedné třídy by mohly mít 2-4 školy s obory gymnázií.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62499" cy="3303930"/>
            <wp:effectExtent l="0" t="0" r="635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19" cy="3318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Plzeňský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případě Plzeňského kraje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dotklo prakticky výhradně oborů nástavbového studia a maturitních oborů SOU.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187470" cy="3013075"/>
            <wp:effectExtent l="0" t="0" r="381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69" cy="301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3164400" cy="2275200"/>
            <wp:effectExtent l="0" t="0" r="0" b="0"/>
            <wp:wrapTight wrapText="bothSides">
              <wp:wrapPolygon edited="0">
                <wp:start x="0" y="0"/>
                <wp:lineTo x="0" y="21347"/>
                <wp:lineTo x="21457" y="21347"/>
                <wp:lineTo x="21457" y="0"/>
                <wp:lineTo x="0" y="0"/>
              </wp:wrapPolygon>
            </wp:wrapTight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0" cy="22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>K poklesu počtu nově přijímaných by došlo v případě oborů nástavbového studia (s vysokou neúspěšností 70-74 %) a u maturitních oborů SOU (s 30-35% hranicí neúspěšnosti), kde by jak v případě technických, tak technických oborů došlo k poklesu počtu úspěšných uchazečů  mírně nad hranici, resp. na hranici (v letošním roce odevzdaných) počtu zápisových lístků.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V rámci oborů středních odborných škol by se počet nově přijímaných prakticky nezměnil.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míry ochodů do oborů SOU a SOŠ by došlo k velmi mírnému navýšení počtu přijatých do učebních oborů o cca 35-60 žáků.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Zavedení hranice neúspěšnosti by v Plzeňském kraji neovlivnilo ani počty přijímaných do oborů gymnázií.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56163" cy="3240770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10" cy="325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Středočeský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Středočeský kraj je jedním z krajů, kterého by se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dotklo nejen u oborů nástavbového studia a oborů SOU, ale i maturitních oborů SOŠ a v malé míře i oborů šestiletých gymnázií. Středočeský z pohledu struktury oborů krajem atypickým – jako vzdělávací centrum využívá hlavní město Prahu, která mu odbírá množství potenciálních uchazečů o studium.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539840" cy="3270885"/>
            <wp:effectExtent l="0" t="0" r="0" b="571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70" cy="3277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3585600" cy="2577600"/>
            <wp:effectExtent l="0" t="0" r="0" b="0"/>
            <wp:wrapTight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ight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0" cy="25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K poklesu nově přijímaných ve Středočeském kraji by došlo v případě oborů nástavbového studia (s vysokou neúspěšností 69-74 %). V oblasti oborů SOU se Středočeský kraj chová rozdílně od ostatních krajů - u maturitních oborů SOU (s 30-36% hranicí neúspěšnosti) by v případě netechnických oborů došlo k poklesu počtu přijatých pod hranici počtu (v letošním roce odevzdaných) zápisových lístků, technické obory SOU by problémy s úspěšností (22-27 %) ani s přijímáním žáků mít neměly.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 rámci oborů středních odborných škol by došlo k poklesu nově přijímaných v prakticky všech skupinách oborů s výjimkou oborů ekonomických a v menší míře oborů technických. K poklesu by tedy docházelo zejména u dívčích oborů, početně nejvíce u oborů humanitních, zdravotnických a zemědělských.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S ohledem na míry ochodů do oborů SOU a SOŠ by došlo k výraznému navýšení počtu přijatých do učebních oborů o cca 315-455 žáků a počty nově přijímaných do učebních oborů by se dostaly nad úroveň počtu přijatých do maturitních oborů SOŠ.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Zavedení hranice neúspěšnosti by se ve Středočeském kraji mírně dotklo šestiletých gymnázií, kde by mohlo dojít k problémům s naplněním třídy. S naplněností tříd by mohly mít problémy i 2-3 osmiletá gymnázia.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Problémy s naplněností tříd by nastaly i u oborů středních odborných škol (to by se případné neotevření nenaplněných tříd mohlo dotknout až 25 % nově přijatých žáků).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319395" cy="3159535"/>
            <wp:effectExtent l="0" t="0" r="0" b="3175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90" cy="317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Ústecký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Ústecký kraj patří mezi kraje s horším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socioekomickým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zázemím a i s nižší úrovní vzdělanosti (19 % obyvatel s pouze základním vzděláním, 37 % obyvatel s výučním listem, oproti tomu pouze 12 % obyvatel s vysokoškolským vzděláním). Dopady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nedpodkročitelné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by byly obdobné jako ve Středočeském kraji. Její zavedení by se dotklo nejen u oborů nástavbového studia a oborů SOU, ale ve výrazné míře i maturitních oborů SOŠ a navíc i oborů víceletých gymnázií.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551045" cy="3278958"/>
            <wp:effectExtent l="0" t="0" r="1905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66" cy="3282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29845</wp:posOffset>
            </wp:positionV>
            <wp:extent cx="3416400" cy="2455200"/>
            <wp:effectExtent l="0" t="0" r="0" b="2540"/>
            <wp:wrapTight wrapText="bothSides">
              <wp:wrapPolygon edited="0">
                <wp:start x="0" y="0"/>
                <wp:lineTo x="0" y="21455"/>
                <wp:lineTo x="21439" y="21455"/>
                <wp:lineTo x="21439" y="0"/>
                <wp:lineTo x="0" y="0"/>
              </wp:wrapPolygon>
            </wp:wrapTight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0" cy="24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K poklesu nově přijímaných v Ústeckém kraji by došlo v případě oborů nástavbového studia (s prakticky nejvyšší neúspěšností v rámci ČR – 77-80 %). V oblasti oborů SOU (s 50-57% hranicí neúspěšnosti) by v případě jak netechnických, tak technických oborů došlo k poklesu počtu přijatých pod hranici (v letošním roce odevzdaných) počtu zápisových lístků, a tak i k celkovému poklesu předpokládaného počtu přijímaných.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V rámci oborů středních odborných škol by došlo k poklesu nově přijímaných v prakticky všech skupinách oborů s výjimkou oborů ekonomických a technických skupiny 2. Na rozdíl od ostatních krajů by tak došlo i k poklesu počtu přijímaných do klasických technických oborů. K nejvyšším poklesům počtu přijatých by tak docházelo zejména u oborů humanitních (o 130-180 žáků), technických (o 150-190 žáků), zdravotnických (o 100-120 žáků) a hotelových a podnikatelských (o 95-115 žáků).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S ohledem na míry ochodů do oborů SOU a SOŠ by došlo k výraznému navýšení počtu přijatých do učebních oborů o cca 565-650 žáků a počty nově přijímaných do učebních oborů by se dostaly výrazně nad úroveň počtu přijatých do maturitních oborů SOŠ.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Zavedení hranice neúspěšnosti na úroveň M20xC40 by v Ústeckém kraji došlo k poklesu přijímaných do osmiletých gymnázií o cca 100 žáků a školy naplňující pouze jednu třídu by mohly mít problémy jejím naplněním. Problémy s naplněností tříd by nastaly i u oborů středních odborných škol (to by se případné neotevření nenaplněných tříd mohlo dotknout až 30 % nově přijatých žáků).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113655" cy="3037332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50" cy="304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Zlínský kraj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 xml:space="preserve">Ve Zlínském kraji by zavedení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nepodkročitelné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hranice úspěšnosti mělo dopad na obory nástavbového studia a maturitní obory SOU, ostatních maturitních oborů by se dotklo pouze v minimální míře.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360044" cy="3141345"/>
            <wp:effectExtent l="0" t="0" r="2540" b="1905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60" cy="314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4445</wp:posOffset>
            </wp:positionV>
            <wp:extent cx="3496945" cy="2514600"/>
            <wp:effectExtent l="0" t="0" r="8255" b="0"/>
            <wp:wrapTight wrapText="bothSides">
              <wp:wrapPolygon edited="0">
                <wp:start x="0" y="0"/>
                <wp:lineTo x="0" y="21436"/>
                <wp:lineTo x="21533" y="21436"/>
                <wp:lineTo x="21533" y="0"/>
                <wp:lineTo x="0" y="0"/>
              </wp:wrapPolygon>
            </wp:wrapTight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0EB8">
        <w:rPr>
          <w:rFonts w:ascii="Times New Roman" w:hAnsi="Times New Roman" w:cs="Times New Roman"/>
          <w:sz w:val="24"/>
          <w:szCs w:val="24"/>
        </w:rPr>
        <w:t xml:space="preserve">K poklesu nově přijímaných by došlo v případě oborů nástavbového studia (61-67% neúspěšnost). V oblasti oborů SOU (s 31-36% hranicí neúspěšnosti) by v případě jak netechnických oborů došlo k poklesu počtu úspěšných žáků těsně nad hranici počtu (v letošním roce odevzdaných) zápisových lístků, v případě technických oborů mírně pod tuto hranici. Celkově by tak bylo přijato do maturitních oborů SOU o cca 115-155 žáků méně. 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V rámci oborů středních odborných škol by došlo k minimálnímu poklesu nově přijímaných v řádech desítek žáků (o 30-40 žáků).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 ohledem na míry ochodů do oborů SOU a SOŠ by došlo k navýšení počtu přijatých do učebních oborů o cca 155-195 žáků.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Zavedení hranice neúspěšnosti by se ve Zlínském kraji počtu přijímaných do oborů gymnázií nedotklo, pouze některé školy s jednou třídou by mohly mít problémy s naplněním tříd.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013830" cy="2978039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887" cy="2985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496135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38" w:rsidRPr="00790EB8" w:rsidRDefault="007C2238" w:rsidP="007C2238">
      <w:pPr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br w:type="page"/>
      </w:r>
    </w:p>
    <w:p w:rsidR="007C2238" w:rsidRPr="00790EB8" w:rsidRDefault="007C2238" w:rsidP="007C2238">
      <w:pPr>
        <w:pStyle w:val="Nadpis1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lastRenderedPageBreak/>
        <w:t>Zkratky a vysvětlivky</w:t>
      </w:r>
    </w:p>
    <w:p w:rsidR="007C2238" w:rsidRPr="00790EB8" w:rsidRDefault="007C2238" w:rsidP="007C223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bCs/>
          <w:sz w:val="24"/>
          <w:szCs w:val="24"/>
        </w:rPr>
        <w:t>V grafech je použito třídění podle následujících skupin oborů: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C – praktická škola</w:t>
      </w:r>
      <w:r w:rsidRPr="00790EB8">
        <w:rPr>
          <w:rFonts w:ascii="Times New Roman" w:hAnsi="Times New Roman" w:cs="Times New Roman"/>
          <w:b/>
          <w:sz w:val="24"/>
          <w:szCs w:val="24"/>
        </w:rPr>
        <w:tab/>
      </w:r>
      <w:r w:rsidRPr="00790EB8">
        <w:rPr>
          <w:rFonts w:ascii="Times New Roman" w:hAnsi="Times New Roman" w:cs="Times New Roman"/>
          <w:sz w:val="24"/>
          <w:szCs w:val="24"/>
        </w:rPr>
        <w:t>obory středních škol kategorie stupně dosaženého vzdělání C (praktické školy poskytující střední vzdělání ukončené závěrečnou zkouškou)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E – učební obory</w:t>
      </w:r>
      <w:r w:rsidRPr="00790EB8">
        <w:rPr>
          <w:rFonts w:ascii="Times New Roman" w:hAnsi="Times New Roman" w:cs="Times New Roman"/>
          <w:sz w:val="24"/>
          <w:szCs w:val="24"/>
        </w:rPr>
        <w:tab/>
        <w:t xml:space="preserve">obory středních škol kategorie stupně dosaženého vzdělání E (dvouleté </w:t>
      </w:r>
      <w:r w:rsidRPr="00790EB8">
        <w:rPr>
          <w:rFonts w:ascii="Times New Roman" w:hAnsi="Times New Roman" w:cs="Times New Roman"/>
          <w:sz w:val="24"/>
          <w:szCs w:val="24"/>
        </w:rPr>
        <w:br/>
        <w:t>a tříleté obory poskytující střední vzdělání s výučním listem; jsou koncipovány s nižšími nároky v oblasti všeobecného i obecně odborného vzdělávání)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GY4</w:t>
      </w:r>
      <w:r w:rsidRPr="00790EB8">
        <w:rPr>
          <w:rFonts w:ascii="Times New Roman" w:hAnsi="Times New Roman" w:cs="Times New Roman"/>
          <w:sz w:val="24"/>
          <w:szCs w:val="24"/>
        </w:rPr>
        <w:tab/>
        <w:t xml:space="preserve">čtyřleté obory gymnázií 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GY6</w:t>
      </w:r>
      <w:r w:rsidRPr="00790EB8">
        <w:rPr>
          <w:rFonts w:ascii="Times New Roman" w:hAnsi="Times New Roman" w:cs="Times New Roman"/>
          <w:sz w:val="24"/>
          <w:szCs w:val="24"/>
        </w:rPr>
        <w:tab/>
        <w:t xml:space="preserve">šestileté obory gymnázií 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GY8</w:t>
      </w:r>
      <w:r w:rsidRPr="00790EB8">
        <w:rPr>
          <w:rFonts w:ascii="Times New Roman" w:hAnsi="Times New Roman" w:cs="Times New Roman"/>
          <w:sz w:val="24"/>
          <w:szCs w:val="24"/>
        </w:rPr>
        <w:tab/>
        <w:t xml:space="preserve">osmileté obory gymnázií 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H – učební obory</w:t>
      </w:r>
      <w:r w:rsidRPr="00790EB8">
        <w:rPr>
          <w:rFonts w:ascii="Times New Roman" w:hAnsi="Times New Roman" w:cs="Times New Roman"/>
          <w:sz w:val="24"/>
          <w:szCs w:val="24"/>
        </w:rPr>
        <w:tab/>
        <w:t>obory středních škol kategorie stupně dosaženého vzdělání H (obory poskytující střední vzdělání s výučním listem)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H_SHP</w:t>
      </w:r>
      <w:r w:rsidRPr="00790EB8">
        <w:rPr>
          <w:rFonts w:ascii="Times New Roman" w:hAnsi="Times New Roman" w:cs="Times New Roman"/>
          <w:sz w:val="24"/>
          <w:szCs w:val="24"/>
        </w:rPr>
        <w:tab/>
        <w:t xml:space="preserve">učební obory humanitní a pedagogické 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H_SHU</w:t>
      </w:r>
      <w:r w:rsidRPr="00790EB8">
        <w:rPr>
          <w:rFonts w:ascii="Times New Roman" w:hAnsi="Times New Roman" w:cs="Times New Roman"/>
          <w:sz w:val="24"/>
          <w:szCs w:val="24"/>
        </w:rPr>
        <w:tab/>
        <w:t>učební obory humanitní a pedagogické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H_ST1</w:t>
      </w:r>
      <w:r w:rsidRPr="00790EB8">
        <w:rPr>
          <w:rFonts w:ascii="Times New Roman" w:hAnsi="Times New Roman" w:cs="Times New Roman"/>
          <w:sz w:val="24"/>
          <w:szCs w:val="24"/>
        </w:rPr>
        <w:tab/>
        <w:t>učební obory technické kategorie 1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H_ST2</w:t>
      </w:r>
      <w:r w:rsidRPr="00790EB8">
        <w:rPr>
          <w:rFonts w:ascii="Times New Roman" w:hAnsi="Times New Roman" w:cs="Times New Roman"/>
          <w:sz w:val="24"/>
          <w:szCs w:val="24"/>
        </w:rPr>
        <w:tab/>
        <w:t>učební obory technické kategorie 2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H_SUM</w:t>
      </w:r>
      <w:r w:rsidRPr="00790EB8">
        <w:rPr>
          <w:rFonts w:ascii="Times New Roman" w:hAnsi="Times New Roman" w:cs="Times New Roman"/>
          <w:sz w:val="24"/>
          <w:szCs w:val="24"/>
        </w:rPr>
        <w:tab/>
        <w:t>učební obory umělecké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H_SZD</w:t>
      </w:r>
      <w:r w:rsidRPr="00790EB8">
        <w:rPr>
          <w:rFonts w:ascii="Times New Roman" w:hAnsi="Times New Roman" w:cs="Times New Roman"/>
          <w:sz w:val="24"/>
          <w:szCs w:val="24"/>
        </w:rPr>
        <w:tab/>
        <w:t xml:space="preserve">učební obory zdravotnické 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H_SZE</w:t>
      </w:r>
      <w:r w:rsidRPr="00790EB8">
        <w:rPr>
          <w:rFonts w:ascii="Times New Roman" w:hAnsi="Times New Roman" w:cs="Times New Roman"/>
          <w:sz w:val="24"/>
          <w:szCs w:val="24"/>
        </w:rPr>
        <w:tab/>
        <w:t>učební obory zemědělské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J – střední</w:t>
      </w:r>
      <w:r w:rsidRPr="00790EB8">
        <w:rPr>
          <w:rFonts w:ascii="Times New Roman" w:hAnsi="Times New Roman" w:cs="Times New Roman"/>
          <w:sz w:val="24"/>
          <w:szCs w:val="24"/>
        </w:rPr>
        <w:tab/>
        <w:t xml:space="preserve">           obory středních škol kategorie stupně dosaženého vzdělání J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LYC – obory lyceí</w:t>
      </w:r>
      <w:r w:rsidRPr="00790EB8">
        <w:rPr>
          <w:rFonts w:ascii="Times New Roman" w:hAnsi="Times New Roman" w:cs="Times New Roman"/>
          <w:sz w:val="24"/>
          <w:szCs w:val="24"/>
        </w:rPr>
        <w:t xml:space="preserve">      obory s kódem 7842M (Obecně-odborná příprava), v nichž je významně  zastoupena všeobecně-vzdělávací složka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M – SOŠ (bez lyceí a uměleckých)</w:t>
      </w:r>
      <w:r w:rsidRPr="00790EB8">
        <w:rPr>
          <w:rFonts w:ascii="Times New Roman" w:hAnsi="Times New Roman" w:cs="Times New Roman"/>
          <w:sz w:val="24"/>
          <w:szCs w:val="24"/>
        </w:rPr>
        <w:tab/>
        <w:t>obory středních škol kategorie stupně dosaženého vzdělání M poskytující střední vzdělání s maturitní zkouškou (bez oborů lyceí a uměleckých oborů skupiny 82)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NAS</w:t>
      </w:r>
      <w:r w:rsidRPr="00790EB8">
        <w:rPr>
          <w:rFonts w:ascii="Times New Roman" w:hAnsi="Times New Roman" w:cs="Times New Roman"/>
          <w:sz w:val="24"/>
          <w:szCs w:val="24"/>
        </w:rPr>
        <w:tab/>
        <w:t>obory nástavbového studia kategorie stupně dosaženého vzdělání L5 poskytující střední vzdělání s maturitní zkouškou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NOS</w:t>
      </w:r>
      <w:r w:rsidRPr="00790EB8">
        <w:rPr>
          <w:rFonts w:ascii="Times New Roman" w:hAnsi="Times New Roman" w:cs="Times New Roman"/>
          <w:sz w:val="24"/>
          <w:szCs w:val="24"/>
        </w:rPr>
        <w:tab/>
        <w:t>netechnicky zaměřené obory nástavbového studia / nástavby ostatní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NTE</w:t>
      </w:r>
      <w:r w:rsidRPr="00790EB8">
        <w:rPr>
          <w:rFonts w:ascii="Times New Roman" w:hAnsi="Times New Roman" w:cs="Times New Roman"/>
          <w:sz w:val="24"/>
          <w:szCs w:val="24"/>
        </w:rPr>
        <w:tab/>
        <w:t>technicky zaměřené obory nástavbového studia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SEK</w:t>
      </w:r>
      <w:r w:rsidRPr="00790EB8">
        <w:rPr>
          <w:rFonts w:ascii="Times New Roman" w:hAnsi="Times New Roman" w:cs="Times New Roman"/>
          <w:sz w:val="24"/>
          <w:szCs w:val="24"/>
        </w:rPr>
        <w:tab/>
        <w:t>ekonomické obory SOŠ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SHP</w:t>
      </w:r>
      <w:r w:rsidRPr="00790EB8">
        <w:rPr>
          <w:rFonts w:ascii="Times New Roman" w:hAnsi="Times New Roman" w:cs="Times New Roman"/>
          <w:sz w:val="24"/>
          <w:szCs w:val="24"/>
        </w:rPr>
        <w:tab/>
        <w:t>hotelové a podnikatelské obory SOŠ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SHU</w:t>
      </w:r>
      <w:r w:rsidRPr="00790EB8">
        <w:rPr>
          <w:rFonts w:ascii="Times New Roman" w:hAnsi="Times New Roman" w:cs="Times New Roman"/>
          <w:sz w:val="24"/>
          <w:szCs w:val="24"/>
        </w:rPr>
        <w:tab/>
        <w:t>humanitní a pedagogické obory SOŠ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SOS, SOŠ</w:t>
      </w:r>
      <w:r w:rsidRPr="00790EB8">
        <w:rPr>
          <w:rFonts w:ascii="Times New Roman" w:hAnsi="Times New Roman" w:cs="Times New Roman"/>
          <w:sz w:val="24"/>
          <w:szCs w:val="24"/>
        </w:rPr>
        <w:tab/>
        <w:t>obory středních odborných škol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SOU</w:t>
      </w:r>
      <w:r w:rsidRPr="00790EB8">
        <w:rPr>
          <w:rFonts w:ascii="Times New Roman" w:hAnsi="Times New Roman" w:cs="Times New Roman"/>
          <w:sz w:val="24"/>
          <w:szCs w:val="24"/>
        </w:rPr>
        <w:tab/>
        <w:t>obory středních odborných učilišť</w:t>
      </w:r>
    </w:p>
    <w:p w:rsidR="007C2238" w:rsidRPr="00790EB8" w:rsidRDefault="007C2238" w:rsidP="007C2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L0 – mat. SOU</w:t>
      </w:r>
      <w:r w:rsidRPr="00790EB8">
        <w:rPr>
          <w:rFonts w:ascii="Times New Roman" w:hAnsi="Times New Roman" w:cs="Times New Roman"/>
          <w:b/>
          <w:sz w:val="24"/>
          <w:szCs w:val="24"/>
        </w:rPr>
        <w:tab/>
      </w:r>
      <w:r w:rsidRPr="00790EB8">
        <w:rPr>
          <w:rFonts w:ascii="Times New Roman" w:hAnsi="Times New Roman" w:cs="Times New Roman"/>
          <w:sz w:val="24"/>
          <w:szCs w:val="24"/>
        </w:rPr>
        <w:t>obory středních škol kategorie stupně dosaženého vzdělání L0 (obory poskytující střední vzdělání s maturitní zkouškou, u kterých je součástí vzdělávání i odborný výcvik)</w:t>
      </w:r>
    </w:p>
    <w:p w:rsidR="007C2238" w:rsidRPr="00790EB8" w:rsidRDefault="007C2238" w:rsidP="007C2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lastRenderedPageBreak/>
        <w:t>SUM</w:t>
      </w:r>
      <w:r w:rsidRPr="00790EB8">
        <w:rPr>
          <w:rFonts w:ascii="Times New Roman" w:hAnsi="Times New Roman" w:cs="Times New Roman"/>
          <w:sz w:val="24"/>
          <w:szCs w:val="24"/>
        </w:rPr>
        <w:tab/>
        <w:t>umělecké obory SOŠ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sz w:val="24"/>
          <w:szCs w:val="24"/>
        </w:rPr>
        <w:t>ST1</w:t>
      </w:r>
      <w:r w:rsidRPr="00790EB8">
        <w:rPr>
          <w:rFonts w:ascii="Times New Roman" w:hAnsi="Times New Roman" w:cs="Times New Roman"/>
          <w:sz w:val="24"/>
          <w:szCs w:val="24"/>
        </w:rPr>
        <w:tab/>
        <w:t>technické obory SOŠ kategorie 1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ST2</w:t>
      </w:r>
      <w:r w:rsidRPr="00790EB8">
        <w:rPr>
          <w:rFonts w:ascii="Times New Roman" w:hAnsi="Times New Roman" w:cs="Times New Roman"/>
          <w:sz w:val="24"/>
          <w:szCs w:val="24"/>
        </w:rPr>
        <w:tab/>
        <w:t>technické obory SOŠ kategorie 2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SZD</w:t>
      </w:r>
      <w:r w:rsidRPr="00790EB8">
        <w:rPr>
          <w:rFonts w:ascii="Times New Roman" w:hAnsi="Times New Roman" w:cs="Times New Roman"/>
          <w:sz w:val="24"/>
          <w:szCs w:val="24"/>
        </w:rPr>
        <w:tab/>
        <w:t>zdravotnické obory SOŠ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SZE</w:t>
      </w:r>
      <w:r w:rsidRPr="00790EB8">
        <w:rPr>
          <w:rFonts w:ascii="Times New Roman" w:hAnsi="Times New Roman" w:cs="Times New Roman"/>
          <w:sz w:val="24"/>
          <w:szCs w:val="24"/>
        </w:rPr>
        <w:tab/>
        <w:t>zemědělské obory SOŠ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UOS</w:t>
      </w:r>
      <w:r w:rsidRPr="00790EB8">
        <w:rPr>
          <w:rFonts w:ascii="Times New Roman" w:hAnsi="Times New Roman" w:cs="Times New Roman"/>
          <w:sz w:val="24"/>
          <w:szCs w:val="24"/>
        </w:rPr>
        <w:tab/>
        <w:t>netechnicky zaměřené obory SOU / SOU ostatní</w:t>
      </w:r>
    </w:p>
    <w:p w:rsidR="007C2238" w:rsidRPr="00790EB8" w:rsidRDefault="007C2238" w:rsidP="007C2238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sz w:val="24"/>
          <w:szCs w:val="24"/>
        </w:rPr>
        <w:t>UTE</w:t>
      </w:r>
      <w:r w:rsidRPr="00790EB8">
        <w:rPr>
          <w:rFonts w:ascii="Times New Roman" w:hAnsi="Times New Roman" w:cs="Times New Roman"/>
          <w:sz w:val="24"/>
          <w:szCs w:val="24"/>
        </w:rPr>
        <w:tab/>
        <w:t xml:space="preserve">technicky zaměřené obory SOU </w:t>
      </w:r>
    </w:p>
    <w:p w:rsidR="007C2238" w:rsidRPr="00790EB8" w:rsidRDefault="007C2238" w:rsidP="00790EB8">
      <w:pPr>
        <w:jc w:val="both"/>
        <w:rPr>
          <w:rFonts w:ascii="Times New Roman" w:hAnsi="Times New Roman" w:cs="Times New Roman"/>
          <w:sz w:val="24"/>
          <w:szCs w:val="24"/>
        </w:rPr>
      </w:pPr>
      <w:r w:rsidRPr="00790EB8">
        <w:rPr>
          <w:rFonts w:ascii="Times New Roman" w:hAnsi="Times New Roman" w:cs="Times New Roman"/>
          <w:b/>
          <w:bCs/>
          <w:sz w:val="24"/>
          <w:szCs w:val="24"/>
        </w:rPr>
        <w:t xml:space="preserve">Neúspěšnost u dané hranice </w:t>
      </w:r>
      <w:proofErr w:type="spellStart"/>
      <w:r w:rsidRPr="00790EB8">
        <w:rPr>
          <w:rFonts w:ascii="Times New Roman" w:hAnsi="Times New Roman" w:cs="Times New Roman"/>
          <w:b/>
          <w:bCs/>
          <w:sz w:val="24"/>
          <w:szCs w:val="24"/>
        </w:rPr>
        <w:t>nepodkročitelnosti</w:t>
      </w:r>
      <w:proofErr w:type="spellEnd"/>
      <w:r w:rsidRPr="00790E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0EB8">
        <w:rPr>
          <w:rFonts w:ascii="Times New Roman" w:hAnsi="Times New Roman" w:cs="Times New Roman"/>
          <w:sz w:val="24"/>
          <w:szCs w:val="24"/>
        </w:rPr>
        <w:t xml:space="preserve">je podíl přihlášených k JPZ, kteří by dané hranice nedosáhli a při příslušném nastavení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cut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EB8">
        <w:rPr>
          <w:rFonts w:ascii="Times New Roman" w:hAnsi="Times New Roman" w:cs="Times New Roman"/>
          <w:sz w:val="24"/>
          <w:szCs w:val="24"/>
        </w:rPr>
        <w:t>score</w:t>
      </w:r>
      <w:proofErr w:type="spellEnd"/>
      <w:r w:rsidRPr="00790EB8">
        <w:rPr>
          <w:rFonts w:ascii="Times New Roman" w:hAnsi="Times New Roman" w:cs="Times New Roman"/>
          <w:sz w:val="24"/>
          <w:szCs w:val="24"/>
        </w:rPr>
        <w:t xml:space="preserve"> by byli u zkoušky neúspěšní. Znamená to, že při nastavení hranice např. C30_M20 by uspěli žáci, kteří by dosáhli 20% skóre u matematiky a 30% skóre u češtiny. Údaje vycházejí z výsledků JPZ 2018.</w:t>
      </w:r>
    </w:p>
    <w:p w:rsidR="007C2238" w:rsidRPr="00790EB8" w:rsidRDefault="007C2238" w:rsidP="007C2238">
      <w:pPr>
        <w:pStyle w:val="Default"/>
      </w:pPr>
    </w:p>
    <w:p w:rsidR="00B20BC2" w:rsidRDefault="00B20BC2" w:rsidP="007C2238">
      <w:pPr>
        <w:pStyle w:val="Default"/>
        <w:rPr>
          <w:b/>
          <w:color w:val="5B9BD5" w:themeColor="accent1"/>
          <w:u w:val="single"/>
        </w:rPr>
      </w:pPr>
    </w:p>
    <w:p w:rsidR="00B20BC2" w:rsidRDefault="00B20BC2" w:rsidP="007C2238">
      <w:pPr>
        <w:pStyle w:val="Default"/>
        <w:rPr>
          <w:b/>
          <w:color w:val="5B9BD5" w:themeColor="accent1"/>
          <w:u w:val="single"/>
        </w:rPr>
      </w:pPr>
    </w:p>
    <w:sectPr w:rsidR="00B20BC2" w:rsidSect="00A95E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F0D" w:rsidRDefault="000D1F0D" w:rsidP="00B64E96">
      <w:pPr>
        <w:spacing w:after="0" w:line="240" w:lineRule="auto"/>
      </w:pPr>
      <w:r>
        <w:separator/>
      </w:r>
    </w:p>
  </w:endnote>
  <w:endnote w:type="continuationSeparator" w:id="0">
    <w:p w:rsidR="000D1F0D" w:rsidRDefault="000D1F0D" w:rsidP="00B6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F0D" w:rsidRDefault="000D1F0D" w:rsidP="00B64E96">
      <w:pPr>
        <w:spacing w:after="0" w:line="240" w:lineRule="auto"/>
      </w:pPr>
      <w:r>
        <w:separator/>
      </w:r>
    </w:p>
  </w:footnote>
  <w:footnote w:type="continuationSeparator" w:id="0">
    <w:p w:rsidR="000D1F0D" w:rsidRDefault="000D1F0D" w:rsidP="00B64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1241D"/>
    <w:multiLevelType w:val="hybridMultilevel"/>
    <w:tmpl w:val="3D1A62AE"/>
    <w:lvl w:ilvl="0" w:tplc="3E1AE7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1AA178">
      <w:start w:val="47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66AE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76D9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0A6A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50CE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4410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80FD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C669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8231EE2"/>
    <w:multiLevelType w:val="hybridMultilevel"/>
    <w:tmpl w:val="D46840E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6B2929"/>
    <w:multiLevelType w:val="hybridMultilevel"/>
    <w:tmpl w:val="AB9627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B285F"/>
    <w:multiLevelType w:val="hybridMultilevel"/>
    <w:tmpl w:val="F5682770"/>
    <w:lvl w:ilvl="0" w:tplc="19F427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2D7551"/>
    <w:multiLevelType w:val="hybridMultilevel"/>
    <w:tmpl w:val="59B616B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7F9"/>
    <w:rsid w:val="000B5B5F"/>
    <w:rsid w:val="000D1F0D"/>
    <w:rsid w:val="001D3E72"/>
    <w:rsid w:val="002A6BDA"/>
    <w:rsid w:val="00341523"/>
    <w:rsid w:val="003B45FA"/>
    <w:rsid w:val="00462345"/>
    <w:rsid w:val="004A3982"/>
    <w:rsid w:val="005A78C4"/>
    <w:rsid w:val="005E47F9"/>
    <w:rsid w:val="00682F2E"/>
    <w:rsid w:val="006E6464"/>
    <w:rsid w:val="00731007"/>
    <w:rsid w:val="00756274"/>
    <w:rsid w:val="00766F7E"/>
    <w:rsid w:val="00790EB8"/>
    <w:rsid w:val="007C2238"/>
    <w:rsid w:val="00846128"/>
    <w:rsid w:val="008B46E6"/>
    <w:rsid w:val="008D14CB"/>
    <w:rsid w:val="009F5F56"/>
    <w:rsid w:val="00A2708A"/>
    <w:rsid w:val="00A27EED"/>
    <w:rsid w:val="00A95E73"/>
    <w:rsid w:val="00AC77EE"/>
    <w:rsid w:val="00AF125C"/>
    <w:rsid w:val="00B20BC2"/>
    <w:rsid w:val="00B61984"/>
    <w:rsid w:val="00B64E96"/>
    <w:rsid w:val="00BD3AE5"/>
    <w:rsid w:val="00C84D8F"/>
    <w:rsid w:val="00D71C40"/>
    <w:rsid w:val="00E617D4"/>
    <w:rsid w:val="00EA2274"/>
    <w:rsid w:val="00EF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238"/>
  </w:style>
  <w:style w:type="paragraph" w:styleId="Nadpis1">
    <w:name w:val="heading 1"/>
    <w:basedOn w:val="Normln"/>
    <w:next w:val="Normln"/>
    <w:link w:val="Nadpis1Char"/>
    <w:uiPriority w:val="9"/>
    <w:qFormat/>
    <w:rsid w:val="007C22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22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C22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7C22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C22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7C2238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64E9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64E9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64E96"/>
    <w:rPr>
      <w:vertAlign w:val="superscript"/>
    </w:rPr>
  </w:style>
  <w:style w:type="paragraph" w:styleId="Normlnweb">
    <w:name w:val="Normal (Web)"/>
    <w:basedOn w:val="Normln"/>
    <w:uiPriority w:val="99"/>
    <w:unhideWhenUsed/>
    <w:rsid w:val="009F5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9F5F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3F3"/>
    </w:tcPr>
  </w:style>
  <w:style w:type="paragraph" w:styleId="Textbubliny">
    <w:name w:val="Balloon Text"/>
    <w:basedOn w:val="Normln"/>
    <w:link w:val="TextbublinyChar"/>
    <w:uiPriority w:val="99"/>
    <w:semiHidden/>
    <w:unhideWhenUsed/>
    <w:rsid w:val="00A27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70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1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895F2-1A48-444C-A24B-C0004672D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4420</Words>
  <Characters>26078</Characters>
  <Application>Microsoft Office Word</Application>
  <DocSecurity>0</DocSecurity>
  <Lines>217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30438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Kašparová Renáta</dc:creator>
  <cp:lastModifiedBy>OSPZV3 ospzv3</cp:lastModifiedBy>
  <cp:revision>2</cp:revision>
  <cp:lastPrinted>2019-01-10T13:40:00Z</cp:lastPrinted>
  <dcterms:created xsi:type="dcterms:W3CDTF">2019-01-10T13:42:00Z</dcterms:created>
  <dcterms:modified xsi:type="dcterms:W3CDTF">2019-01-10T13:42:00Z</dcterms:modified>
</cp:coreProperties>
</file>