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23" w:rsidRPr="00FB5483" w:rsidRDefault="007B3397">
      <w:pPr>
        <w:jc w:val="both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 xml:space="preserve">Příloha 2: </w:t>
      </w:r>
      <w:r w:rsidR="008234BC" w:rsidRPr="00FB5483">
        <w:rPr>
          <w:b/>
          <w:sz w:val="30"/>
          <w:szCs w:val="30"/>
          <w:u w:val="single"/>
        </w:rPr>
        <w:t>Informace o</w:t>
      </w:r>
      <w:r w:rsidR="00767294">
        <w:rPr>
          <w:b/>
          <w:sz w:val="30"/>
          <w:szCs w:val="30"/>
          <w:u w:val="single"/>
        </w:rPr>
        <w:t> </w:t>
      </w:r>
      <w:r w:rsidR="008234BC" w:rsidRPr="00FB5483">
        <w:rPr>
          <w:b/>
          <w:sz w:val="30"/>
          <w:szCs w:val="30"/>
          <w:u w:val="single"/>
        </w:rPr>
        <w:t>lhůtách an</w:t>
      </w:r>
      <w:r w:rsidR="00CE2AB7" w:rsidRPr="00FB5483">
        <w:rPr>
          <w:b/>
          <w:sz w:val="30"/>
          <w:szCs w:val="30"/>
          <w:u w:val="single"/>
        </w:rPr>
        <w:t xml:space="preserve">tidumpingových šetření </w:t>
      </w:r>
      <w:r w:rsidR="00FC2CCB">
        <w:rPr>
          <w:b/>
          <w:sz w:val="30"/>
          <w:szCs w:val="30"/>
          <w:u w:val="single"/>
        </w:rPr>
        <w:t xml:space="preserve">některých </w:t>
      </w:r>
      <w:r w:rsidR="00CE2AB7" w:rsidRPr="00FB5483">
        <w:rPr>
          <w:b/>
          <w:sz w:val="30"/>
          <w:szCs w:val="30"/>
          <w:u w:val="single"/>
        </w:rPr>
        <w:t>člen</w:t>
      </w:r>
      <w:r w:rsidR="00FC2CCB">
        <w:rPr>
          <w:b/>
          <w:sz w:val="30"/>
          <w:szCs w:val="30"/>
          <w:u w:val="single"/>
        </w:rPr>
        <w:t>ů Světové obchodní organizace ve srovnání s EU</w:t>
      </w:r>
    </w:p>
    <w:p w:rsidR="00116BDD" w:rsidRPr="00116BDD" w:rsidRDefault="00116BDD">
      <w:pPr>
        <w:jc w:val="both"/>
        <w:rPr>
          <w:sz w:val="24"/>
          <w:szCs w:val="24"/>
        </w:rPr>
      </w:pPr>
      <w:r w:rsidRPr="00116BDD">
        <w:rPr>
          <w:sz w:val="24"/>
          <w:szCs w:val="24"/>
        </w:rPr>
        <w:t>Informace obsahuje popis průběhu, lhůt a</w:t>
      </w:r>
      <w:r w:rsidR="00767294">
        <w:rPr>
          <w:sz w:val="24"/>
          <w:szCs w:val="24"/>
        </w:rPr>
        <w:t> </w:t>
      </w:r>
      <w:r w:rsidRPr="00116BDD">
        <w:rPr>
          <w:sz w:val="24"/>
          <w:szCs w:val="24"/>
        </w:rPr>
        <w:t>podmínek antidumpingových šetření některých členů WTO ve srovnání se systémem uplatňovaným v</w:t>
      </w:r>
      <w:r w:rsidR="00767294">
        <w:rPr>
          <w:sz w:val="24"/>
          <w:szCs w:val="24"/>
        </w:rPr>
        <w:t> </w:t>
      </w:r>
      <w:r w:rsidRPr="00116BDD">
        <w:rPr>
          <w:sz w:val="24"/>
          <w:szCs w:val="24"/>
        </w:rPr>
        <w:t>EU.</w:t>
      </w:r>
    </w:p>
    <w:p w:rsidR="00287DC2" w:rsidRPr="00FB5483" w:rsidRDefault="00287DC2">
      <w:pPr>
        <w:jc w:val="both"/>
        <w:rPr>
          <w:sz w:val="24"/>
          <w:szCs w:val="24"/>
        </w:rPr>
      </w:pPr>
      <w:r w:rsidRPr="00FB5483">
        <w:rPr>
          <w:sz w:val="24"/>
          <w:szCs w:val="24"/>
        </w:rPr>
        <w:t>Úvodem je třeba popsat</w:t>
      </w:r>
      <w:r w:rsidR="00FC6C15">
        <w:rPr>
          <w:sz w:val="24"/>
          <w:szCs w:val="24"/>
        </w:rPr>
        <w:t xml:space="preserve"> systém uplatňovaný</w:t>
      </w:r>
      <w:r w:rsidRPr="00FB5483">
        <w:rPr>
          <w:sz w:val="24"/>
          <w:szCs w:val="24"/>
        </w:rPr>
        <w:t xml:space="preserve"> </w:t>
      </w:r>
      <w:r w:rsidR="00FC6C15">
        <w:rPr>
          <w:sz w:val="24"/>
          <w:szCs w:val="24"/>
        </w:rPr>
        <w:t>Evropskou unií</w:t>
      </w:r>
      <w:r w:rsidR="00980470">
        <w:rPr>
          <w:sz w:val="24"/>
          <w:szCs w:val="24"/>
        </w:rPr>
        <w:t xml:space="preserve"> </w:t>
      </w:r>
      <w:r w:rsidR="00FC6C15">
        <w:rPr>
          <w:sz w:val="24"/>
          <w:szCs w:val="24"/>
        </w:rPr>
        <w:t>v</w:t>
      </w:r>
      <w:r w:rsidR="00767294">
        <w:rPr>
          <w:sz w:val="24"/>
          <w:szCs w:val="24"/>
        </w:rPr>
        <w:t> </w:t>
      </w:r>
      <w:r w:rsidR="00FC6C15">
        <w:rPr>
          <w:sz w:val="24"/>
          <w:szCs w:val="24"/>
        </w:rPr>
        <w:t>současné době</w:t>
      </w:r>
      <w:r w:rsidRPr="00FB5483">
        <w:rPr>
          <w:sz w:val="24"/>
          <w:szCs w:val="24"/>
        </w:rPr>
        <w:t xml:space="preserve">. </w:t>
      </w:r>
      <w:r w:rsidR="00FC6C15">
        <w:rPr>
          <w:sz w:val="24"/>
          <w:szCs w:val="24"/>
        </w:rPr>
        <w:t>Informace</w:t>
      </w:r>
      <w:r w:rsidRPr="00FB5483">
        <w:rPr>
          <w:sz w:val="24"/>
          <w:szCs w:val="24"/>
        </w:rPr>
        <w:t xml:space="preserve"> </w:t>
      </w:r>
      <w:r w:rsidR="00FC6C15">
        <w:rPr>
          <w:sz w:val="24"/>
          <w:szCs w:val="24"/>
        </w:rPr>
        <w:t>dále</w:t>
      </w:r>
      <w:r w:rsidRPr="00FB5483">
        <w:rPr>
          <w:sz w:val="24"/>
          <w:szCs w:val="24"/>
        </w:rPr>
        <w:t xml:space="preserve"> přibližuje, jak je tomu v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případě</w:t>
      </w:r>
      <w:r w:rsidR="004C47B5" w:rsidRPr="00FB5483">
        <w:rPr>
          <w:sz w:val="24"/>
          <w:szCs w:val="24"/>
        </w:rPr>
        <w:t xml:space="preserve"> ostatních důležitých hráčů Světové obchodní organizace</w:t>
      </w:r>
      <w:r w:rsidR="00CE2AB7" w:rsidRPr="00FB5483">
        <w:rPr>
          <w:sz w:val="24"/>
          <w:szCs w:val="24"/>
        </w:rPr>
        <w:t xml:space="preserve"> (WTO)</w:t>
      </w:r>
      <w:r w:rsidR="004C47B5" w:rsidRPr="00FB5483">
        <w:rPr>
          <w:sz w:val="24"/>
          <w:szCs w:val="24"/>
        </w:rPr>
        <w:t>, se zvláštním důrazem na Spojené státy americké</w:t>
      </w:r>
      <w:r w:rsidR="00CE2AB7" w:rsidRPr="00FB5483">
        <w:rPr>
          <w:sz w:val="24"/>
          <w:szCs w:val="24"/>
        </w:rPr>
        <w:t xml:space="preserve"> (USA)</w:t>
      </w:r>
      <w:r w:rsidR="004C47B5" w:rsidRPr="00FB5483">
        <w:rPr>
          <w:sz w:val="24"/>
          <w:szCs w:val="24"/>
        </w:rPr>
        <w:t>.</w:t>
      </w:r>
    </w:p>
    <w:p w:rsidR="00287DC2" w:rsidRPr="00FB5483" w:rsidRDefault="00287DC2">
      <w:pPr>
        <w:jc w:val="both"/>
        <w:rPr>
          <w:b/>
          <w:sz w:val="24"/>
          <w:szCs w:val="24"/>
          <w:u w:val="single"/>
        </w:rPr>
      </w:pPr>
      <w:r w:rsidRPr="00FB5483">
        <w:rPr>
          <w:b/>
          <w:sz w:val="24"/>
          <w:szCs w:val="24"/>
          <w:u w:val="single"/>
        </w:rPr>
        <w:t>Průběh a</w:t>
      </w:r>
      <w:r w:rsidR="00767294">
        <w:rPr>
          <w:b/>
          <w:sz w:val="24"/>
          <w:szCs w:val="24"/>
          <w:u w:val="single"/>
        </w:rPr>
        <w:t> </w:t>
      </w:r>
      <w:r w:rsidRPr="00FB5483">
        <w:rPr>
          <w:b/>
          <w:sz w:val="24"/>
          <w:szCs w:val="24"/>
          <w:u w:val="single"/>
        </w:rPr>
        <w:t>lhůty šetření v</w:t>
      </w:r>
      <w:r w:rsidR="00767294">
        <w:rPr>
          <w:b/>
          <w:sz w:val="24"/>
          <w:szCs w:val="24"/>
          <w:u w:val="single"/>
        </w:rPr>
        <w:t> </w:t>
      </w:r>
      <w:r w:rsidRPr="00FB5483">
        <w:rPr>
          <w:b/>
          <w:sz w:val="24"/>
          <w:szCs w:val="24"/>
          <w:u w:val="single"/>
        </w:rPr>
        <w:t>EU</w:t>
      </w:r>
    </w:p>
    <w:p w:rsidR="00CE2AB7" w:rsidRPr="00FB5483" w:rsidRDefault="00287DC2">
      <w:pPr>
        <w:jc w:val="both"/>
        <w:rPr>
          <w:rFonts w:cs="Arial"/>
          <w:sz w:val="24"/>
          <w:szCs w:val="24"/>
        </w:rPr>
      </w:pPr>
      <w:r w:rsidRPr="00FB5483">
        <w:rPr>
          <w:sz w:val="24"/>
          <w:szCs w:val="24"/>
        </w:rPr>
        <w:t xml:space="preserve">Šetření začíná podáním stížnosti, kterou </w:t>
      </w:r>
      <w:r w:rsidRPr="00FB5483">
        <w:rPr>
          <w:rFonts w:cs="Arial"/>
          <w:sz w:val="24"/>
          <w:szCs w:val="24"/>
        </w:rPr>
        <w:t xml:space="preserve">podává výrobce nebo výrobci reprezentující minimálně </w:t>
      </w:r>
      <w:r w:rsidRPr="00FB5483">
        <w:rPr>
          <w:rStyle w:val="Siln"/>
          <w:rFonts w:cs="Arial"/>
          <w:sz w:val="24"/>
          <w:szCs w:val="24"/>
        </w:rPr>
        <w:t>25</w:t>
      </w:r>
      <w:r w:rsidRPr="00FB5483">
        <w:rPr>
          <w:rFonts w:cs="Arial"/>
          <w:sz w:val="24"/>
          <w:szCs w:val="24"/>
        </w:rPr>
        <w:t> </w:t>
      </w:r>
      <w:r w:rsidRPr="00FB5483">
        <w:rPr>
          <w:rStyle w:val="Siln"/>
          <w:rFonts w:cs="Arial"/>
          <w:sz w:val="24"/>
          <w:szCs w:val="24"/>
        </w:rPr>
        <w:t>%</w:t>
      </w:r>
      <w:r w:rsidRPr="00FB5483">
        <w:rPr>
          <w:rFonts w:cs="Arial"/>
          <w:sz w:val="24"/>
          <w:szCs w:val="24"/>
        </w:rPr>
        <w:t xml:space="preserve"> celkové výroby Unie. Evropská komise přezkoumá stížnost a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do</w:t>
      </w:r>
      <w:r w:rsidRPr="00FB5483">
        <w:rPr>
          <w:rFonts w:cs="Arial"/>
          <w:b/>
          <w:sz w:val="24"/>
          <w:szCs w:val="24"/>
        </w:rPr>
        <w:t xml:space="preserve"> 45 dnů</w:t>
      </w:r>
      <w:r w:rsidRPr="00FB5483">
        <w:rPr>
          <w:rFonts w:cs="Arial"/>
          <w:sz w:val="24"/>
          <w:szCs w:val="24"/>
        </w:rPr>
        <w:t xml:space="preserve"> rozhodne o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 xml:space="preserve">zahájení šetření. </w:t>
      </w:r>
    </w:p>
    <w:p w:rsidR="004C47B5" w:rsidRPr="00FB5483" w:rsidRDefault="00287DC2">
      <w:pPr>
        <w:jc w:val="both"/>
        <w:rPr>
          <w:rFonts w:cs="Arial"/>
          <w:sz w:val="24"/>
          <w:szCs w:val="24"/>
        </w:rPr>
      </w:pPr>
      <w:r w:rsidRPr="00FB5483">
        <w:rPr>
          <w:rFonts w:cs="Arial"/>
          <w:sz w:val="24"/>
          <w:szCs w:val="24"/>
        </w:rPr>
        <w:t>Šetření je zahájeno publikováním oznámení v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Úředním věstníku.</w:t>
      </w:r>
      <w:r w:rsidR="00CE2AB7" w:rsidRPr="00FB5483">
        <w:rPr>
          <w:rFonts w:cs="Arial"/>
          <w:sz w:val="24"/>
          <w:szCs w:val="24"/>
        </w:rPr>
        <w:t xml:space="preserve"> </w:t>
      </w:r>
      <w:r w:rsidR="004C47B5" w:rsidRPr="00FB5483">
        <w:rPr>
          <w:rFonts w:cs="Arial"/>
          <w:sz w:val="24"/>
          <w:szCs w:val="24"/>
        </w:rPr>
        <w:t xml:space="preserve">Antidumpingové šetření pak trvá nejdéle </w:t>
      </w:r>
      <w:r w:rsidR="004C47B5" w:rsidRPr="00FB5483">
        <w:rPr>
          <w:rFonts w:cs="Arial"/>
          <w:b/>
          <w:sz w:val="24"/>
          <w:szCs w:val="24"/>
        </w:rPr>
        <w:t xml:space="preserve">15 měsíců </w:t>
      </w:r>
      <w:r w:rsidR="004C47B5" w:rsidRPr="00FB5483">
        <w:rPr>
          <w:rFonts w:cs="Arial"/>
          <w:sz w:val="24"/>
          <w:szCs w:val="24"/>
        </w:rPr>
        <w:t>a</w:t>
      </w:r>
      <w:r w:rsidR="00767294">
        <w:rPr>
          <w:rFonts w:cs="Arial"/>
          <w:sz w:val="24"/>
          <w:szCs w:val="24"/>
        </w:rPr>
        <w:t> </w:t>
      </w:r>
      <w:proofErr w:type="spellStart"/>
      <w:r w:rsidR="004C47B5" w:rsidRPr="00FB5483">
        <w:rPr>
          <w:rFonts w:cs="Arial"/>
          <w:sz w:val="24"/>
          <w:szCs w:val="24"/>
        </w:rPr>
        <w:t>protisubvenční</w:t>
      </w:r>
      <w:proofErr w:type="spellEnd"/>
      <w:r w:rsidR="004C47B5" w:rsidRPr="00FB5483">
        <w:rPr>
          <w:rFonts w:cs="Arial"/>
          <w:sz w:val="24"/>
          <w:szCs w:val="24"/>
        </w:rPr>
        <w:t xml:space="preserve"> šetření maximálně </w:t>
      </w:r>
      <w:r w:rsidR="004C47B5" w:rsidRPr="00FB5483">
        <w:rPr>
          <w:rFonts w:cs="Arial"/>
          <w:b/>
          <w:sz w:val="24"/>
          <w:szCs w:val="24"/>
        </w:rPr>
        <w:t>13 měsíců</w:t>
      </w:r>
      <w:r w:rsidR="00926AEF" w:rsidRPr="00FB5483">
        <w:rPr>
          <w:rStyle w:val="Znakapoznpodarou"/>
          <w:rFonts w:cs="Arial"/>
          <w:b/>
          <w:sz w:val="24"/>
          <w:szCs w:val="24"/>
        </w:rPr>
        <w:footnoteReference w:id="1"/>
      </w:r>
      <w:r w:rsidR="004C47B5" w:rsidRPr="00FB5483">
        <w:rPr>
          <w:rFonts w:cs="Arial"/>
          <w:sz w:val="24"/>
          <w:szCs w:val="24"/>
        </w:rPr>
        <w:t>.</w:t>
      </w:r>
    </w:p>
    <w:p w:rsidR="004C47B5" w:rsidRPr="00FB5483" w:rsidRDefault="00926AEF">
      <w:pPr>
        <w:jc w:val="both"/>
        <w:rPr>
          <w:rFonts w:cs="Arial"/>
          <w:sz w:val="24"/>
          <w:szCs w:val="24"/>
        </w:rPr>
      </w:pPr>
      <w:r w:rsidRPr="00FB5483">
        <w:rPr>
          <w:rFonts w:cs="Arial"/>
          <w:sz w:val="24"/>
          <w:szCs w:val="24"/>
        </w:rPr>
        <w:t xml:space="preserve">Po 60 dnech, nejpozději však </w:t>
      </w:r>
      <w:r w:rsidRPr="00FB5483">
        <w:rPr>
          <w:rFonts w:cs="Arial"/>
          <w:b/>
          <w:sz w:val="24"/>
          <w:szCs w:val="24"/>
        </w:rPr>
        <w:t>do 9 měsíců</w:t>
      </w:r>
      <w:r w:rsidR="00980470">
        <w:rPr>
          <w:rFonts w:cs="Arial"/>
          <w:sz w:val="24"/>
          <w:szCs w:val="24"/>
        </w:rPr>
        <w:t xml:space="preserve"> musí </w:t>
      </w:r>
      <w:r w:rsidR="00FC6C15">
        <w:rPr>
          <w:rFonts w:cs="Arial"/>
          <w:sz w:val="24"/>
          <w:szCs w:val="24"/>
        </w:rPr>
        <w:t>Evropská komise (EK)</w:t>
      </w:r>
      <w:r w:rsidRPr="00FB5483">
        <w:rPr>
          <w:rFonts w:cs="Arial"/>
          <w:sz w:val="24"/>
          <w:szCs w:val="24"/>
        </w:rPr>
        <w:t xml:space="preserve"> přijmout prozatímní antidumpingové</w:t>
      </w:r>
      <w:r w:rsidR="004C47B5" w:rsidRPr="00FB5483">
        <w:rPr>
          <w:rFonts w:cs="Arial"/>
          <w:sz w:val="24"/>
          <w:szCs w:val="24"/>
        </w:rPr>
        <w:t xml:space="preserve"> č</w:t>
      </w:r>
      <w:r w:rsidRPr="00FB5483">
        <w:rPr>
          <w:rFonts w:cs="Arial"/>
          <w:sz w:val="24"/>
          <w:szCs w:val="24"/>
        </w:rPr>
        <w:t>i vyrovnávací</w:t>
      </w:r>
      <w:r w:rsidR="004C47B5" w:rsidRPr="00FB5483">
        <w:rPr>
          <w:rFonts w:cs="Arial"/>
          <w:sz w:val="24"/>
          <w:szCs w:val="24"/>
        </w:rPr>
        <w:t xml:space="preserve"> opatření</w:t>
      </w:r>
      <w:r w:rsidRPr="00FB5483">
        <w:rPr>
          <w:rFonts w:cs="Arial"/>
          <w:sz w:val="24"/>
          <w:szCs w:val="24"/>
        </w:rPr>
        <w:t xml:space="preserve">. To může platit nejdéle </w:t>
      </w:r>
      <w:r w:rsidRPr="00FB5483">
        <w:rPr>
          <w:rFonts w:cs="Arial"/>
          <w:b/>
          <w:sz w:val="24"/>
          <w:szCs w:val="24"/>
        </w:rPr>
        <w:t>6</w:t>
      </w:r>
      <w:r w:rsidR="00230D6F">
        <w:rPr>
          <w:rFonts w:cs="Arial"/>
          <w:b/>
          <w:sz w:val="24"/>
          <w:szCs w:val="24"/>
        </w:rPr>
        <w:t>,</w:t>
      </w:r>
      <w:r w:rsidRPr="00FB5483">
        <w:rPr>
          <w:rFonts w:cs="Arial"/>
          <w:b/>
          <w:sz w:val="24"/>
          <w:szCs w:val="24"/>
        </w:rPr>
        <w:t xml:space="preserve"> resp. 4 měsíce</w:t>
      </w:r>
      <w:r w:rsidRPr="00FB5483">
        <w:rPr>
          <w:rFonts w:cs="Arial"/>
          <w:sz w:val="24"/>
          <w:szCs w:val="24"/>
        </w:rPr>
        <w:t>.</w:t>
      </w:r>
      <w:r w:rsidR="00CE2AB7" w:rsidRPr="00FB5483">
        <w:rPr>
          <w:rFonts w:cs="Arial"/>
          <w:sz w:val="24"/>
          <w:szCs w:val="24"/>
        </w:rPr>
        <w:t xml:space="preserve"> </w:t>
      </w:r>
      <w:r w:rsidRPr="00FB5483">
        <w:rPr>
          <w:rFonts w:cs="Arial"/>
          <w:sz w:val="24"/>
          <w:szCs w:val="24"/>
        </w:rPr>
        <w:t xml:space="preserve">Šetření je pak ukončeno </w:t>
      </w:r>
      <w:r w:rsidR="004C47B5" w:rsidRPr="00FB5483">
        <w:rPr>
          <w:rFonts w:cs="Arial"/>
          <w:sz w:val="24"/>
          <w:szCs w:val="24"/>
        </w:rPr>
        <w:t>přijetí</w:t>
      </w:r>
      <w:r w:rsidRPr="00FB5483">
        <w:rPr>
          <w:rFonts w:cs="Arial"/>
          <w:sz w:val="24"/>
          <w:szCs w:val="24"/>
        </w:rPr>
        <w:t>m</w:t>
      </w:r>
      <w:r w:rsidR="004C47B5" w:rsidRPr="00FB5483">
        <w:rPr>
          <w:rFonts w:cs="Arial"/>
          <w:sz w:val="24"/>
          <w:szCs w:val="24"/>
        </w:rPr>
        <w:t xml:space="preserve"> konečného antidumpingového</w:t>
      </w:r>
      <w:r w:rsidR="00230D6F">
        <w:rPr>
          <w:rFonts w:cs="Arial"/>
          <w:sz w:val="24"/>
          <w:szCs w:val="24"/>
        </w:rPr>
        <w:t>,</w:t>
      </w:r>
      <w:r w:rsidR="004C47B5" w:rsidRPr="00FB5483">
        <w:rPr>
          <w:rFonts w:cs="Arial"/>
          <w:sz w:val="24"/>
          <w:szCs w:val="24"/>
        </w:rPr>
        <w:t xml:space="preserve"> resp. vyrovnávacího opatření, přijetí</w:t>
      </w:r>
      <w:r w:rsidRPr="00FB5483">
        <w:rPr>
          <w:rFonts w:cs="Arial"/>
          <w:sz w:val="24"/>
          <w:szCs w:val="24"/>
        </w:rPr>
        <w:t>m</w:t>
      </w:r>
      <w:r w:rsidR="004C47B5" w:rsidRPr="00FB5483">
        <w:rPr>
          <w:rFonts w:cs="Arial"/>
          <w:sz w:val="24"/>
          <w:szCs w:val="24"/>
        </w:rPr>
        <w:t xml:space="preserve"> cenového závazku nebo ukončení</w:t>
      </w:r>
      <w:r w:rsidRPr="00FB5483">
        <w:rPr>
          <w:rFonts w:cs="Arial"/>
          <w:sz w:val="24"/>
          <w:szCs w:val="24"/>
        </w:rPr>
        <w:t>m</w:t>
      </w:r>
      <w:r w:rsidR="004C47B5" w:rsidRPr="00FB5483">
        <w:rPr>
          <w:rFonts w:cs="Arial"/>
          <w:sz w:val="24"/>
          <w:szCs w:val="24"/>
        </w:rPr>
        <w:t xml:space="preserve"> šetření bez uložení opatření. Přijatá opatření </w:t>
      </w:r>
      <w:r w:rsidR="00CE2AB7" w:rsidRPr="00FB5483">
        <w:rPr>
          <w:rFonts w:cs="Arial"/>
          <w:sz w:val="24"/>
          <w:szCs w:val="24"/>
        </w:rPr>
        <w:t>vstupují</w:t>
      </w:r>
      <w:r w:rsidR="004C47B5" w:rsidRPr="00FB5483">
        <w:rPr>
          <w:rFonts w:cs="Arial"/>
          <w:sz w:val="24"/>
          <w:szCs w:val="24"/>
        </w:rPr>
        <w:t xml:space="preserve"> v</w:t>
      </w:r>
      <w:r w:rsidR="00767294">
        <w:rPr>
          <w:rFonts w:cs="Arial"/>
          <w:sz w:val="24"/>
          <w:szCs w:val="24"/>
        </w:rPr>
        <w:t> </w:t>
      </w:r>
      <w:r w:rsidR="004C47B5" w:rsidRPr="00FB5483">
        <w:rPr>
          <w:rFonts w:cs="Arial"/>
          <w:sz w:val="24"/>
          <w:szCs w:val="24"/>
        </w:rPr>
        <w:t xml:space="preserve">platnost </w:t>
      </w:r>
      <w:r w:rsidR="00CE2AB7" w:rsidRPr="00FB5483">
        <w:rPr>
          <w:rFonts w:cs="Arial"/>
          <w:sz w:val="24"/>
          <w:szCs w:val="24"/>
        </w:rPr>
        <w:t xml:space="preserve">prvním dnem po vyhlášení </w:t>
      </w:r>
      <w:r w:rsidR="004C47B5" w:rsidRPr="00FB5483">
        <w:rPr>
          <w:rFonts w:cs="Arial"/>
          <w:sz w:val="24"/>
          <w:szCs w:val="24"/>
        </w:rPr>
        <w:t>v</w:t>
      </w:r>
      <w:r w:rsidR="00767294">
        <w:rPr>
          <w:rFonts w:cs="Arial"/>
          <w:sz w:val="24"/>
          <w:szCs w:val="24"/>
        </w:rPr>
        <w:t> </w:t>
      </w:r>
      <w:r w:rsidR="004C47B5" w:rsidRPr="00FB5483">
        <w:rPr>
          <w:rFonts w:cs="Arial"/>
          <w:sz w:val="24"/>
          <w:szCs w:val="24"/>
        </w:rPr>
        <w:t>Úředním věstníku a</w:t>
      </w:r>
      <w:r w:rsidR="00767294">
        <w:rPr>
          <w:rFonts w:cs="Arial"/>
          <w:sz w:val="24"/>
          <w:szCs w:val="24"/>
        </w:rPr>
        <w:t> </w:t>
      </w:r>
      <w:r w:rsidR="004C47B5" w:rsidRPr="00FB5483">
        <w:rPr>
          <w:rFonts w:cs="Arial"/>
          <w:sz w:val="24"/>
          <w:szCs w:val="24"/>
        </w:rPr>
        <w:t>jsou obvykle ukládána na 5 let.</w:t>
      </w:r>
    </w:p>
    <w:p w:rsidR="004C47B5" w:rsidRPr="00FB5483" w:rsidRDefault="004C47B5">
      <w:pPr>
        <w:jc w:val="both"/>
        <w:rPr>
          <w:sz w:val="24"/>
          <w:szCs w:val="24"/>
        </w:rPr>
      </w:pPr>
      <w:r w:rsidRPr="00FB5483">
        <w:rPr>
          <w:rFonts w:cs="Arial"/>
          <w:sz w:val="24"/>
          <w:szCs w:val="24"/>
        </w:rPr>
        <w:t>V průběhu platnosti konečného opatření může být proveden přezkum</w:t>
      </w:r>
      <w:r w:rsidR="00CE2AB7" w:rsidRPr="00FB5483">
        <w:rPr>
          <w:rFonts w:cs="Arial"/>
          <w:sz w:val="24"/>
          <w:szCs w:val="24"/>
        </w:rPr>
        <w:t>. Existují různé druhy přezkumů (před pozbytím platnosti, prozatímní přezkum, přezkum pro nového vývozce, šetření proti obcházení a</w:t>
      </w:r>
      <w:r w:rsidR="00767294">
        <w:rPr>
          <w:rFonts w:cs="Arial"/>
          <w:sz w:val="24"/>
          <w:szCs w:val="24"/>
        </w:rPr>
        <w:t> </w:t>
      </w:r>
      <w:proofErr w:type="spellStart"/>
      <w:r w:rsidR="00CE2AB7" w:rsidRPr="00FB5483">
        <w:rPr>
          <w:rFonts w:cs="Arial"/>
          <w:sz w:val="24"/>
          <w:szCs w:val="24"/>
        </w:rPr>
        <w:t>anti</w:t>
      </w:r>
      <w:proofErr w:type="spellEnd"/>
      <w:r w:rsidR="00CE2AB7" w:rsidRPr="00FB5483">
        <w:rPr>
          <w:rFonts w:cs="Arial"/>
          <w:sz w:val="24"/>
          <w:szCs w:val="24"/>
        </w:rPr>
        <w:t>-absorpční šetření), ty trvají s</w:t>
      </w:r>
      <w:r w:rsidR="00767294">
        <w:rPr>
          <w:rFonts w:cs="Arial"/>
          <w:sz w:val="24"/>
          <w:szCs w:val="24"/>
        </w:rPr>
        <w:t> </w:t>
      </w:r>
      <w:r w:rsidR="00CE2AB7" w:rsidRPr="00FB5483">
        <w:rPr>
          <w:rFonts w:cs="Arial"/>
          <w:sz w:val="24"/>
          <w:szCs w:val="24"/>
        </w:rPr>
        <w:t>výjimkou přezkumu pro nového vývozce, 12-15 měsíců. Přezkum pro nového vývozce pak 9 měsíců.</w:t>
      </w:r>
    </w:p>
    <w:p w:rsidR="008234BC" w:rsidRPr="00FB5483" w:rsidRDefault="008234BC">
      <w:pPr>
        <w:jc w:val="both"/>
        <w:rPr>
          <w:sz w:val="24"/>
          <w:szCs w:val="24"/>
        </w:rPr>
      </w:pPr>
      <w:r w:rsidRPr="00FB5483">
        <w:rPr>
          <w:sz w:val="24"/>
          <w:szCs w:val="24"/>
        </w:rPr>
        <w:t xml:space="preserve"> </w:t>
      </w:r>
    </w:p>
    <w:p w:rsidR="00CE2AB7" w:rsidRPr="00FB5483" w:rsidRDefault="00CE2AB7">
      <w:pPr>
        <w:jc w:val="both"/>
        <w:rPr>
          <w:sz w:val="24"/>
          <w:szCs w:val="24"/>
        </w:rPr>
      </w:pPr>
      <w:r w:rsidRPr="00FB5483">
        <w:rPr>
          <w:b/>
          <w:sz w:val="24"/>
          <w:szCs w:val="24"/>
          <w:u w:val="single"/>
        </w:rPr>
        <w:t>Průběh a</w:t>
      </w:r>
      <w:r w:rsidR="00767294">
        <w:rPr>
          <w:b/>
          <w:sz w:val="24"/>
          <w:szCs w:val="24"/>
          <w:u w:val="single"/>
        </w:rPr>
        <w:t> </w:t>
      </w:r>
      <w:r w:rsidRPr="00FB5483">
        <w:rPr>
          <w:b/>
          <w:sz w:val="24"/>
          <w:szCs w:val="24"/>
          <w:u w:val="single"/>
        </w:rPr>
        <w:t xml:space="preserve">lhůty </w:t>
      </w:r>
      <w:r w:rsidR="008B6EC3" w:rsidRPr="00FB5483">
        <w:rPr>
          <w:b/>
          <w:sz w:val="24"/>
          <w:szCs w:val="24"/>
          <w:u w:val="single"/>
        </w:rPr>
        <w:t xml:space="preserve">AD </w:t>
      </w:r>
      <w:r w:rsidRPr="00FB5483">
        <w:rPr>
          <w:b/>
          <w:sz w:val="24"/>
          <w:szCs w:val="24"/>
          <w:u w:val="single"/>
        </w:rPr>
        <w:t>šetření v</w:t>
      </w:r>
      <w:r w:rsidR="00767294">
        <w:rPr>
          <w:b/>
          <w:sz w:val="24"/>
          <w:szCs w:val="24"/>
          <w:u w:val="single"/>
        </w:rPr>
        <w:t> </w:t>
      </w:r>
      <w:r w:rsidRPr="00FB5483">
        <w:rPr>
          <w:b/>
          <w:sz w:val="24"/>
          <w:szCs w:val="24"/>
          <w:u w:val="single"/>
        </w:rPr>
        <w:t>USA</w:t>
      </w:r>
    </w:p>
    <w:p w:rsidR="00CE2AB7" w:rsidRDefault="00CE2AB7">
      <w:pPr>
        <w:jc w:val="both"/>
        <w:rPr>
          <w:sz w:val="24"/>
          <w:szCs w:val="24"/>
        </w:rPr>
      </w:pPr>
      <w:r w:rsidRPr="00FB5483">
        <w:rPr>
          <w:sz w:val="24"/>
          <w:szCs w:val="24"/>
        </w:rPr>
        <w:t>Informace o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průběhu a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lhůtách šetření v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 xml:space="preserve">USA byly čerpány ze stránek </w:t>
      </w:r>
      <w:proofErr w:type="spellStart"/>
      <w:r w:rsidRPr="00FB5483">
        <w:rPr>
          <w:sz w:val="24"/>
          <w:szCs w:val="24"/>
        </w:rPr>
        <w:t>The</w:t>
      </w:r>
      <w:proofErr w:type="spellEnd"/>
      <w:r w:rsidRPr="00FB5483">
        <w:rPr>
          <w:sz w:val="24"/>
          <w:szCs w:val="24"/>
        </w:rPr>
        <w:t xml:space="preserve"> </w:t>
      </w:r>
      <w:proofErr w:type="spellStart"/>
      <w:r w:rsidRPr="00FB5483">
        <w:rPr>
          <w:sz w:val="24"/>
          <w:szCs w:val="24"/>
        </w:rPr>
        <w:t>United</w:t>
      </w:r>
      <w:proofErr w:type="spellEnd"/>
      <w:r w:rsidRPr="00FB5483">
        <w:rPr>
          <w:sz w:val="24"/>
          <w:szCs w:val="24"/>
        </w:rPr>
        <w:t xml:space="preserve"> </w:t>
      </w:r>
      <w:proofErr w:type="spellStart"/>
      <w:r w:rsidRPr="00FB5483">
        <w:rPr>
          <w:sz w:val="24"/>
          <w:szCs w:val="24"/>
        </w:rPr>
        <w:t>States</w:t>
      </w:r>
      <w:proofErr w:type="spellEnd"/>
      <w:r w:rsidRPr="00FB5483">
        <w:rPr>
          <w:sz w:val="24"/>
          <w:szCs w:val="24"/>
        </w:rPr>
        <w:t xml:space="preserve"> </w:t>
      </w:r>
      <w:proofErr w:type="spellStart"/>
      <w:r w:rsidRPr="00FB5483">
        <w:rPr>
          <w:sz w:val="24"/>
          <w:szCs w:val="24"/>
        </w:rPr>
        <w:t>International</w:t>
      </w:r>
      <w:proofErr w:type="spellEnd"/>
      <w:r w:rsidRPr="00FB5483">
        <w:rPr>
          <w:sz w:val="24"/>
          <w:szCs w:val="24"/>
        </w:rPr>
        <w:t xml:space="preserve"> </w:t>
      </w:r>
      <w:proofErr w:type="spellStart"/>
      <w:r w:rsidRPr="00FB5483">
        <w:rPr>
          <w:sz w:val="24"/>
          <w:szCs w:val="24"/>
        </w:rPr>
        <w:t>Trade</w:t>
      </w:r>
      <w:proofErr w:type="spellEnd"/>
      <w:r w:rsidRPr="00FB5483">
        <w:rPr>
          <w:sz w:val="24"/>
          <w:szCs w:val="24"/>
        </w:rPr>
        <w:t xml:space="preserve"> </w:t>
      </w:r>
      <w:proofErr w:type="spellStart"/>
      <w:r w:rsidRPr="00FB5483">
        <w:rPr>
          <w:sz w:val="24"/>
          <w:szCs w:val="24"/>
        </w:rPr>
        <w:t>Commission</w:t>
      </w:r>
      <w:proofErr w:type="spellEnd"/>
      <w:r w:rsidR="00230D6F">
        <w:rPr>
          <w:sz w:val="24"/>
          <w:szCs w:val="24"/>
        </w:rPr>
        <w:t xml:space="preserve"> - USITC</w:t>
      </w:r>
      <w:r w:rsidR="00375A7F" w:rsidRPr="00FB5483">
        <w:rPr>
          <w:rStyle w:val="Znakapoznpodarou"/>
          <w:sz w:val="24"/>
          <w:szCs w:val="24"/>
        </w:rPr>
        <w:footnoteReference w:id="2"/>
      </w:r>
      <w:r w:rsidR="00C53601" w:rsidRPr="00FB5483">
        <w:rPr>
          <w:sz w:val="24"/>
          <w:szCs w:val="24"/>
        </w:rPr>
        <w:t xml:space="preserve">, </w:t>
      </w:r>
      <w:r w:rsidRPr="00FB5483">
        <w:rPr>
          <w:sz w:val="24"/>
          <w:szCs w:val="24"/>
        </w:rPr>
        <w:t>a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také ze stránek WTO. Členské země WTO mají totiž povinnost svojí legislativu notifikovat</w:t>
      </w:r>
      <w:r w:rsidR="00C53601" w:rsidRPr="00FB5483">
        <w:rPr>
          <w:sz w:val="24"/>
          <w:szCs w:val="24"/>
        </w:rPr>
        <w:t>, což platí i</w:t>
      </w:r>
      <w:r w:rsidR="00767294">
        <w:rPr>
          <w:sz w:val="24"/>
          <w:szCs w:val="24"/>
        </w:rPr>
        <w:t> </w:t>
      </w:r>
      <w:r w:rsidR="00C53601" w:rsidRPr="00FB5483">
        <w:rPr>
          <w:sz w:val="24"/>
          <w:szCs w:val="24"/>
        </w:rPr>
        <w:t>pro celní sazebníky a</w:t>
      </w:r>
      <w:r w:rsidR="00767294">
        <w:rPr>
          <w:sz w:val="24"/>
          <w:szCs w:val="24"/>
        </w:rPr>
        <w:t> </w:t>
      </w:r>
      <w:r w:rsidR="00C53601" w:rsidRPr="00FB5483">
        <w:rPr>
          <w:sz w:val="24"/>
          <w:szCs w:val="24"/>
        </w:rPr>
        <w:t>legislativu upravující systém antidumpingových a</w:t>
      </w:r>
      <w:r w:rsidR="00767294">
        <w:rPr>
          <w:sz w:val="24"/>
          <w:szCs w:val="24"/>
        </w:rPr>
        <w:t> </w:t>
      </w:r>
      <w:proofErr w:type="spellStart"/>
      <w:r w:rsidR="00C53601" w:rsidRPr="00FB5483">
        <w:rPr>
          <w:sz w:val="24"/>
          <w:szCs w:val="24"/>
        </w:rPr>
        <w:t>protisubvenčních</w:t>
      </w:r>
      <w:proofErr w:type="spellEnd"/>
      <w:r w:rsidR="00C53601" w:rsidRPr="00FB5483">
        <w:rPr>
          <w:sz w:val="24"/>
          <w:szCs w:val="24"/>
        </w:rPr>
        <w:t xml:space="preserve"> šetření.</w:t>
      </w:r>
    </w:p>
    <w:p w:rsidR="00230D6F" w:rsidRPr="00FB5483" w:rsidRDefault="00E43039">
      <w:pPr>
        <w:jc w:val="both"/>
        <w:rPr>
          <w:sz w:val="24"/>
          <w:szCs w:val="24"/>
        </w:rPr>
      </w:pPr>
      <w:hyperlink r:id="rId8" w:tooltip="Home" w:history="1">
        <w:r w:rsidR="00230D6F">
          <w:rPr>
            <w:color w:val="FFFFFF"/>
            <w:sz w:val="29"/>
            <w:szCs w:val="29"/>
            <w:lang/>
          </w:rPr>
          <w:t>United States International Trade Commission</w:t>
        </w:r>
      </w:hyperlink>
    </w:p>
    <w:p w:rsidR="002E51EC" w:rsidRPr="00FB5483" w:rsidRDefault="00C53601">
      <w:pPr>
        <w:jc w:val="both"/>
        <w:rPr>
          <w:sz w:val="24"/>
          <w:szCs w:val="24"/>
        </w:rPr>
      </w:pPr>
      <w:r w:rsidRPr="00FB5483">
        <w:rPr>
          <w:sz w:val="24"/>
          <w:szCs w:val="24"/>
        </w:rPr>
        <w:t>USA v</w:t>
      </w:r>
      <w:r w:rsidR="00767294">
        <w:rPr>
          <w:sz w:val="24"/>
          <w:szCs w:val="24"/>
        </w:rPr>
        <w:t> </w:t>
      </w:r>
      <w:r w:rsidR="002E51EC" w:rsidRPr="00FB5483">
        <w:rPr>
          <w:sz w:val="24"/>
          <w:szCs w:val="24"/>
        </w:rPr>
        <w:t>současnosti šetří 33 aktivních sporů, tedy sporů v</w:t>
      </w:r>
      <w:r w:rsidR="00767294">
        <w:rPr>
          <w:sz w:val="24"/>
          <w:szCs w:val="24"/>
        </w:rPr>
        <w:t> </w:t>
      </w:r>
      <w:r w:rsidR="002E51EC" w:rsidRPr="00FB5483">
        <w:rPr>
          <w:sz w:val="24"/>
          <w:szCs w:val="24"/>
        </w:rPr>
        <w:t>předběžné a</w:t>
      </w:r>
      <w:r w:rsidR="00767294">
        <w:rPr>
          <w:sz w:val="24"/>
          <w:szCs w:val="24"/>
        </w:rPr>
        <w:t> </w:t>
      </w:r>
      <w:r w:rsidR="002E51EC" w:rsidRPr="00FB5483">
        <w:rPr>
          <w:sz w:val="24"/>
          <w:szCs w:val="24"/>
        </w:rPr>
        <w:t>konečné fázi šetření a</w:t>
      </w:r>
      <w:r w:rsidR="00767294">
        <w:rPr>
          <w:sz w:val="24"/>
          <w:szCs w:val="24"/>
        </w:rPr>
        <w:t> </w:t>
      </w:r>
      <w:r w:rsidR="002E51EC" w:rsidRPr="00FB5483">
        <w:rPr>
          <w:sz w:val="24"/>
          <w:szCs w:val="24"/>
        </w:rPr>
        <w:t>přezkumy, přičemž 23 šetření je vedeno proti Číně.</w:t>
      </w:r>
    </w:p>
    <w:p w:rsidR="0087475E" w:rsidRPr="00FB5483" w:rsidRDefault="0087475E" w:rsidP="008234BC">
      <w:pPr>
        <w:jc w:val="both"/>
        <w:rPr>
          <w:rFonts w:cs="Arial"/>
          <w:sz w:val="24"/>
          <w:szCs w:val="24"/>
        </w:rPr>
      </w:pPr>
      <w:r w:rsidRPr="00FB5483">
        <w:rPr>
          <w:rFonts w:cs="Arial"/>
          <w:b/>
          <w:sz w:val="24"/>
          <w:szCs w:val="24"/>
        </w:rPr>
        <w:lastRenderedPageBreak/>
        <w:t>Antidumpingové a</w:t>
      </w:r>
      <w:r w:rsidR="00767294">
        <w:rPr>
          <w:rFonts w:cs="Arial"/>
          <w:b/>
          <w:sz w:val="24"/>
          <w:szCs w:val="24"/>
        </w:rPr>
        <w:t> </w:t>
      </w:r>
      <w:proofErr w:type="spellStart"/>
      <w:r w:rsidRPr="00FB5483">
        <w:rPr>
          <w:rFonts w:cs="Arial"/>
          <w:b/>
          <w:sz w:val="24"/>
          <w:szCs w:val="24"/>
        </w:rPr>
        <w:t>protisubvenční</w:t>
      </w:r>
      <w:proofErr w:type="spellEnd"/>
      <w:r w:rsidRPr="00FB5483">
        <w:rPr>
          <w:rFonts w:cs="Arial"/>
          <w:b/>
          <w:sz w:val="24"/>
          <w:szCs w:val="24"/>
        </w:rPr>
        <w:t xml:space="preserve"> šetření </w:t>
      </w:r>
      <w:r w:rsidRPr="00FB5483">
        <w:rPr>
          <w:rFonts w:cs="Arial"/>
          <w:sz w:val="24"/>
          <w:szCs w:val="24"/>
        </w:rPr>
        <w:t>se řídí dle</w:t>
      </w:r>
      <w:r w:rsidRPr="00FB5483">
        <w:rPr>
          <w:rFonts w:cs="Arial"/>
          <w:b/>
          <w:sz w:val="24"/>
          <w:szCs w:val="24"/>
        </w:rPr>
        <w:t xml:space="preserve"> čl. VII </w:t>
      </w:r>
      <w:proofErr w:type="spellStart"/>
      <w:r w:rsidRPr="00FB5483">
        <w:rPr>
          <w:rFonts w:cs="Arial"/>
          <w:b/>
          <w:sz w:val="24"/>
          <w:szCs w:val="24"/>
        </w:rPr>
        <w:t>of</w:t>
      </w:r>
      <w:proofErr w:type="spellEnd"/>
      <w:r w:rsidRPr="00FB5483">
        <w:rPr>
          <w:rFonts w:cs="Arial"/>
          <w:b/>
          <w:sz w:val="24"/>
          <w:szCs w:val="24"/>
        </w:rPr>
        <w:t xml:space="preserve"> </w:t>
      </w:r>
      <w:proofErr w:type="spellStart"/>
      <w:r w:rsidRPr="00FB5483">
        <w:rPr>
          <w:rFonts w:cs="Arial"/>
          <w:b/>
          <w:sz w:val="24"/>
          <w:szCs w:val="24"/>
        </w:rPr>
        <w:t>the</w:t>
      </w:r>
      <w:proofErr w:type="spellEnd"/>
      <w:r w:rsidRPr="00FB5483">
        <w:rPr>
          <w:rFonts w:cs="Arial"/>
          <w:b/>
          <w:sz w:val="24"/>
          <w:szCs w:val="24"/>
        </w:rPr>
        <w:t xml:space="preserve"> </w:t>
      </w:r>
      <w:proofErr w:type="spellStart"/>
      <w:r w:rsidRPr="00FB5483">
        <w:rPr>
          <w:rFonts w:cs="Arial"/>
          <w:b/>
          <w:sz w:val="24"/>
          <w:szCs w:val="24"/>
        </w:rPr>
        <w:t>Tariff</w:t>
      </w:r>
      <w:proofErr w:type="spellEnd"/>
      <w:r w:rsidRPr="00FB5483">
        <w:rPr>
          <w:rFonts w:cs="Arial"/>
          <w:b/>
          <w:sz w:val="24"/>
          <w:szCs w:val="24"/>
        </w:rPr>
        <w:t xml:space="preserve"> </w:t>
      </w:r>
      <w:proofErr w:type="spellStart"/>
      <w:r w:rsidRPr="00FB5483">
        <w:rPr>
          <w:rFonts w:cs="Arial"/>
          <w:b/>
          <w:sz w:val="24"/>
          <w:szCs w:val="24"/>
        </w:rPr>
        <w:t>Act</w:t>
      </w:r>
      <w:proofErr w:type="spellEnd"/>
      <w:r w:rsidRPr="00FB5483">
        <w:rPr>
          <w:rFonts w:cs="Arial"/>
          <w:b/>
          <w:sz w:val="24"/>
          <w:szCs w:val="24"/>
        </w:rPr>
        <w:t xml:space="preserve"> </w:t>
      </w:r>
      <w:proofErr w:type="spellStart"/>
      <w:r w:rsidRPr="00FB5483">
        <w:rPr>
          <w:rFonts w:cs="Arial"/>
          <w:b/>
          <w:sz w:val="24"/>
          <w:szCs w:val="24"/>
        </w:rPr>
        <w:t>of</w:t>
      </w:r>
      <w:proofErr w:type="spellEnd"/>
      <w:r w:rsidRPr="00FB5483">
        <w:rPr>
          <w:rFonts w:cs="Arial"/>
          <w:b/>
          <w:sz w:val="24"/>
          <w:szCs w:val="24"/>
        </w:rPr>
        <w:t xml:space="preserve"> 1930</w:t>
      </w:r>
      <w:r w:rsidR="00E404CA" w:rsidRPr="00FB5483">
        <w:rPr>
          <w:rStyle w:val="Znakapoznpodarou"/>
          <w:rFonts w:cs="Arial"/>
          <w:b/>
          <w:sz w:val="24"/>
          <w:szCs w:val="24"/>
        </w:rPr>
        <w:footnoteReference w:id="3"/>
      </w:r>
      <w:r w:rsidRPr="00FB5483">
        <w:rPr>
          <w:rFonts w:cs="Arial"/>
          <w:sz w:val="24"/>
          <w:szCs w:val="24"/>
        </w:rPr>
        <w:t xml:space="preserve"> a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je rozděleno do dvou fází, předběžného a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 xml:space="preserve">konečného šetření. USITC zahajuje šetření na základě žádosti </w:t>
      </w:r>
      <w:r w:rsidR="00AF55A5" w:rsidRPr="00FB5483">
        <w:rPr>
          <w:rFonts w:cs="Arial"/>
          <w:sz w:val="24"/>
          <w:szCs w:val="24"/>
        </w:rPr>
        <w:t>průmyslu</w:t>
      </w:r>
      <w:r w:rsidRPr="00FB5483">
        <w:rPr>
          <w:rFonts w:cs="Arial"/>
          <w:sz w:val="24"/>
          <w:szCs w:val="24"/>
        </w:rPr>
        <w:t>.</w:t>
      </w:r>
    </w:p>
    <w:p w:rsidR="00587700" w:rsidRPr="00FB5483" w:rsidRDefault="00C53601" w:rsidP="008234BC">
      <w:pPr>
        <w:jc w:val="both"/>
        <w:rPr>
          <w:rFonts w:cs="Arial"/>
          <w:sz w:val="24"/>
          <w:szCs w:val="24"/>
        </w:rPr>
      </w:pPr>
      <w:r w:rsidRPr="00FB5483">
        <w:rPr>
          <w:rFonts w:cs="Arial"/>
          <w:b/>
          <w:sz w:val="24"/>
          <w:szCs w:val="24"/>
        </w:rPr>
        <w:t>Předběžná fáze</w:t>
      </w:r>
      <w:r w:rsidRPr="00FB5483">
        <w:rPr>
          <w:rFonts w:cs="Arial"/>
          <w:sz w:val="24"/>
          <w:szCs w:val="24"/>
        </w:rPr>
        <w:t xml:space="preserve"> vyšetřování obvykle musí být dokončen</w:t>
      </w:r>
      <w:r w:rsidR="00587700" w:rsidRPr="00FB5483">
        <w:rPr>
          <w:rFonts w:cs="Arial"/>
          <w:sz w:val="24"/>
          <w:szCs w:val="24"/>
        </w:rPr>
        <w:t>a</w:t>
      </w:r>
      <w:r w:rsidRPr="00FB5483">
        <w:rPr>
          <w:rFonts w:cs="Arial"/>
          <w:sz w:val="24"/>
          <w:szCs w:val="24"/>
        </w:rPr>
        <w:t xml:space="preserve"> </w:t>
      </w:r>
      <w:r w:rsidRPr="00FB5483">
        <w:rPr>
          <w:rFonts w:cs="Arial"/>
          <w:b/>
          <w:sz w:val="24"/>
          <w:szCs w:val="24"/>
        </w:rPr>
        <w:t>do 45 dnů od obdržení návrhu</w:t>
      </w:r>
      <w:r w:rsidR="00587700" w:rsidRPr="00FB5483">
        <w:rPr>
          <w:rFonts w:cs="Arial"/>
          <w:sz w:val="24"/>
          <w:szCs w:val="24"/>
        </w:rPr>
        <w:t>. Pokud obchodní subjekt prodlouží konečný termín pro zahájení šetření</w:t>
      </w:r>
      <w:r w:rsidRPr="00FB5483">
        <w:rPr>
          <w:rFonts w:cs="Arial"/>
          <w:sz w:val="24"/>
          <w:szCs w:val="24"/>
        </w:rPr>
        <w:t xml:space="preserve">, USITC musí předběžné stanovení újmy </w:t>
      </w:r>
      <w:r w:rsidR="00587700" w:rsidRPr="00FB5483">
        <w:rPr>
          <w:rFonts w:cs="Arial"/>
          <w:sz w:val="24"/>
          <w:szCs w:val="24"/>
        </w:rPr>
        <w:t xml:space="preserve">stanovit </w:t>
      </w:r>
      <w:r w:rsidRPr="00FB5483">
        <w:rPr>
          <w:rFonts w:cs="Arial"/>
          <w:sz w:val="24"/>
          <w:szCs w:val="24"/>
        </w:rPr>
        <w:t xml:space="preserve">do 25 dnů poté, co </w:t>
      </w:r>
      <w:r w:rsidR="00AF55A5" w:rsidRPr="00FB5483">
        <w:rPr>
          <w:rFonts w:cs="Arial"/>
          <w:sz w:val="24"/>
          <w:szCs w:val="24"/>
        </w:rPr>
        <w:t xml:space="preserve">USITC informuje </w:t>
      </w:r>
      <w:r w:rsidR="00587700" w:rsidRPr="00FB5483">
        <w:rPr>
          <w:rFonts w:cs="Arial"/>
          <w:sz w:val="24"/>
          <w:szCs w:val="24"/>
        </w:rPr>
        <w:t>obchodní subjekt</w:t>
      </w:r>
      <w:r w:rsidRPr="00FB5483">
        <w:rPr>
          <w:rFonts w:cs="Arial"/>
          <w:sz w:val="24"/>
          <w:szCs w:val="24"/>
        </w:rPr>
        <w:t xml:space="preserve"> o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zahájení šetření.</w:t>
      </w:r>
      <w:r w:rsidR="00587700" w:rsidRPr="00FB5483">
        <w:rPr>
          <w:rFonts w:cs="Arial"/>
          <w:sz w:val="24"/>
          <w:szCs w:val="24"/>
        </w:rPr>
        <w:t xml:space="preserve"> Dohromady tedy </w:t>
      </w:r>
      <w:r w:rsidR="00587700" w:rsidRPr="00FB5483">
        <w:rPr>
          <w:rFonts w:cs="Arial"/>
          <w:b/>
          <w:sz w:val="24"/>
          <w:szCs w:val="24"/>
        </w:rPr>
        <w:t>70 dní</w:t>
      </w:r>
      <w:r w:rsidR="00587700" w:rsidRPr="00FB5483">
        <w:rPr>
          <w:rFonts w:cs="Arial"/>
          <w:sz w:val="24"/>
          <w:szCs w:val="24"/>
        </w:rPr>
        <w:t>.</w:t>
      </w:r>
    </w:p>
    <w:p w:rsidR="0087475E" w:rsidRPr="00FB5483" w:rsidRDefault="00495125" w:rsidP="008234BC">
      <w:pPr>
        <w:jc w:val="both"/>
        <w:rPr>
          <w:rFonts w:cs="Arial"/>
          <w:b/>
          <w:sz w:val="24"/>
          <w:szCs w:val="24"/>
        </w:rPr>
      </w:pPr>
      <w:r w:rsidRPr="00FB5483">
        <w:rPr>
          <w:rFonts w:cs="Arial"/>
          <w:sz w:val="24"/>
          <w:szCs w:val="24"/>
        </w:rPr>
        <w:t>USITC na základě doložených údajů rozhodne, zda je danému průmyslovému o</w:t>
      </w:r>
      <w:r w:rsidR="00980470">
        <w:rPr>
          <w:rFonts w:cs="Arial"/>
          <w:sz w:val="24"/>
          <w:szCs w:val="24"/>
        </w:rPr>
        <w:t xml:space="preserve">dvětví způsobena újma či zda </w:t>
      </w:r>
      <w:r w:rsidRPr="00FB5483">
        <w:rPr>
          <w:rFonts w:cs="Arial"/>
          <w:sz w:val="24"/>
          <w:szCs w:val="24"/>
        </w:rPr>
        <w:t>může být v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budoucnu takové újmě vystaveno z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důvodu dumpingových dovozů či nedovolených podpor. Jestliže je rozhodnutí pozitivní,</w:t>
      </w:r>
      <w:r w:rsidR="00980470">
        <w:rPr>
          <w:rFonts w:cs="Arial"/>
          <w:sz w:val="24"/>
          <w:szCs w:val="24"/>
        </w:rPr>
        <w:t xml:space="preserve"> pokračuje se v</w:t>
      </w:r>
      <w:r w:rsidR="00767294">
        <w:rPr>
          <w:rFonts w:cs="Arial"/>
          <w:sz w:val="24"/>
          <w:szCs w:val="24"/>
        </w:rPr>
        <w:t> </w:t>
      </w:r>
      <w:r w:rsidR="00980470">
        <w:rPr>
          <w:rFonts w:cs="Arial"/>
          <w:sz w:val="24"/>
          <w:szCs w:val="24"/>
        </w:rPr>
        <w:t>šetře</w:t>
      </w:r>
      <w:r w:rsidRPr="00FB5483">
        <w:rPr>
          <w:rFonts w:cs="Arial"/>
          <w:sz w:val="24"/>
          <w:szCs w:val="24"/>
        </w:rPr>
        <w:t>ní, v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opačném případě je šetření ukončeno. Rozhodnutí je negativní v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případě, že dovozy jsou označeny za zanedbatelné, to znamená, že dovozy z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 xml:space="preserve">dotčené země za poslední rok před podáním žádosti </w:t>
      </w:r>
      <w:r w:rsidR="002678EC" w:rsidRPr="00FB5483">
        <w:rPr>
          <w:rFonts w:cs="Arial"/>
          <w:sz w:val="24"/>
          <w:szCs w:val="24"/>
        </w:rPr>
        <w:t>nepřekročí</w:t>
      </w:r>
      <w:r w:rsidRPr="00FB5483">
        <w:rPr>
          <w:rFonts w:cs="Arial"/>
          <w:sz w:val="24"/>
          <w:szCs w:val="24"/>
        </w:rPr>
        <w:t xml:space="preserve"> 3% z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 xml:space="preserve">objemů </w:t>
      </w:r>
      <w:r w:rsidR="002678EC" w:rsidRPr="00FB5483">
        <w:rPr>
          <w:rFonts w:cs="Arial"/>
          <w:sz w:val="24"/>
          <w:szCs w:val="24"/>
        </w:rPr>
        <w:t xml:space="preserve">všech </w:t>
      </w:r>
      <w:r w:rsidRPr="00FB5483">
        <w:rPr>
          <w:rFonts w:cs="Arial"/>
          <w:sz w:val="24"/>
          <w:szCs w:val="24"/>
        </w:rPr>
        <w:t xml:space="preserve">dovozů </w:t>
      </w:r>
      <w:r w:rsidR="002678EC" w:rsidRPr="00FB5483">
        <w:rPr>
          <w:rFonts w:cs="Arial"/>
          <w:sz w:val="24"/>
          <w:szCs w:val="24"/>
        </w:rPr>
        <w:t>dotčeného výrobku do USA</w:t>
      </w:r>
      <w:r w:rsidRPr="00FB5483">
        <w:rPr>
          <w:rFonts w:cs="Arial"/>
          <w:sz w:val="24"/>
          <w:szCs w:val="24"/>
        </w:rPr>
        <w:t>.</w:t>
      </w:r>
    </w:p>
    <w:p w:rsidR="002678EC" w:rsidRPr="00FB5483" w:rsidRDefault="00C53601" w:rsidP="008234BC">
      <w:pPr>
        <w:jc w:val="both"/>
        <w:rPr>
          <w:rFonts w:cs="Arial"/>
          <w:sz w:val="24"/>
          <w:szCs w:val="24"/>
        </w:rPr>
      </w:pPr>
      <w:r w:rsidRPr="00FB5483">
        <w:rPr>
          <w:rFonts w:cs="Arial"/>
          <w:b/>
          <w:sz w:val="24"/>
          <w:szCs w:val="24"/>
        </w:rPr>
        <w:t>Konečná fáze</w:t>
      </w:r>
      <w:r w:rsidRPr="00FB5483">
        <w:rPr>
          <w:rFonts w:cs="Arial"/>
          <w:sz w:val="24"/>
          <w:szCs w:val="24"/>
        </w:rPr>
        <w:t xml:space="preserve"> šetření újmy musí být </w:t>
      </w:r>
      <w:r w:rsidR="00587700" w:rsidRPr="00FB5483">
        <w:rPr>
          <w:rFonts w:cs="Arial"/>
          <w:sz w:val="24"/>
          <w:szCs w:val="24"/>
        </w:rPr>
        <w:t xml:space="preserve">obvykle </w:t>
      </w:r>
      <w:r w:rsidRPr="00FB5483">
        <w:rPr>
          <w:rFonts w:cs="Arial"/>
          <w:sz w:val="24"/>
          <w:szCs w:val="24"/>
        </w:rPr>
        <w:t>dokončena</w:t>
      </w:r>
      <w:r w:rsidRPr="00FB5483">
        <w:rPr>
          <w:rFonts w:cs="Arial"/>
          <w:b/>
          <w:sz w:val="24"/>
          <w:szCs w:val="24"/>
        </w:rPr>
        <w:t xml:space="preserve"> do 120 dnů</w:t>
      </w:r>
      <w:r w:rsidRPr="00FB5483">
        <w:rPr>
          <w:rFonts w:cs="Arial"/>
          <w:sz w:val="24"/>
          <w:szCs w:val="24"/>
        </w:rPr>
        <w:t xml:space="preserve"> od kladného předběžného </w:t>
      </w:r>
      <w:r w:rsidR="00587700" w:rsidRPr="00FB5483">
        <w:rPr>
          <w:rFonts w:cs="Arial"/>
          <w:sz w:val="24"/>
          <w:szCs w:val="24"/>
        </w:rPr>
        <w:t>rozhodnutí</w:t>
      </w:r>
      <w:r w:rsidRPr="00FB5483">
        <w:rPr>
          <w:rFonts w:cs="Arial"/>
          <w:sz w:val="24"/>
          <w:szCs w:val="24"/>
        </w:rPr>
        <w:t xml:space="preserve"> ze strany </w:t>
      </w:r>
      <w:r w:rsidR="000907B3" w:rsidRPr="00FB5483">
        <w:rPr>
          <w:rFonts w:cs="Arial"/>
          <w:sz w:val="24"/>
          <w:szCs w:val="24"/>
        </w:rPr>
        <w:t>Ministerstva obchodu</w:t>
      </w:r>
      <w:r w:rsidRPr="00FB5483">
        <w:rPr>
          <w:rFonts w:cs="Arial"/>
          <w:sz w:val="24"/>
          <w:szCs w:val="24"/>
        </w:rPr>
        <w:t xml:space="preserve"> nebo do </w:t>
      </w:r>
      <w:r w:rsidRPr="00FB5483">
        <w:rPr>
          <w:rFonts w:cs="Arial"/>
          <w:b/>
          <w:sz w:val="24"/>
          <w:szCs w:val="24"/>
        </w:rPr>
        <w:t>45 dnů</w:t>
      </w:r>
      <w:r w:rsidRPr="00FB5483">
        <w:rPr>
          <w:rFonts w:cs="Arial"/>
          <w:sz w:val="24"/>
          <w:szCs w:val="24"/>
        </w:rPr>
        <w:t xml:space="preserve"> od kladného konečného rozhodnutí </w:t>
      </w:r>
      <w:r w:rsidR="00E51C92" w:rsidRPr="00FB5483">
        <w:rPr>
          <w:rFonts w:cs="Arial"/>
          <w:sz w:val="24"/>
          <w:szCs w:val="24"/>
        </w:rPr>
        <w:t>Ministerstva obchodu</w:t>
      </w:r>
      <w:r w:rsidRPr="00FB5483">
        <w:rPr>
          <w:rFonts w:cs="Arial"/>
          <w:sz w:val="24"/>
          <w:szCs w:val="24"/>
        </w:rPr>
        <w:t xml:space="preserve"> </w:t>
      </w:r>
      <w:r w:rsidR="00375A7F" w:rsidRPr="00FB5483">
        <w:rPr>
          <w:rFonts w:cs="Arial"/>
          <w:sz w:val="24"/>
          <w:szCs w:val="24"/>
        </w:rPr>
        <w:t>o</w:t>
      </w:r>
      <w:r w:rsidR="00767294">
        <w:rPr>
          <w:rFonts w:cs="Arial"/>
          <w:sz w:val="24"/>
          <w:szCs w:val="24"/>
        </w:rPr>
        <w:t> </w:t>
      </w:r>
      <w:r w:rsidR="00375A7F" w:rsidRPr="00FB5483">
        <w:rPr>
          <w:rFonts w:cs="Arial"/>
          <w:sz w:val="24"/>
          <w:szCs w:val="24"/>
        </w:rPr>
        <w:t>tom,</w:t>
      </w:r>
      <w:r w:rsidRPr="00FB5483">
        <w:rPr>
          <w:rFonts w:cs="Arial"/>
          <w:sz w:val="24"/>
          <w:szCs w:val="24"/>
        </w:rPr>
        <w:t xml:space="preserve"> co </w:t>
      </w:r>
      <w:r w:rsidR="00375A7F" w:rsidRPr="00FB5483">
        <w:rPr>
          <w:rFonts w:cs="Arial"/>
          <w:sz w:val="24"/>
          <w:szCs w:val="24"/>
        </w:rPr>
        <w:t>bude následovat</w:t>
      </w:r>
      <w:r w:rsidRPr="00FB5483">
        <w:rPr>
          <w:rFonts w:cs="Arial"/>
          <w:sz w:val="24"/>
          <w:szCs w:val="24"/>
        </w:rPr>
        <w:t>. Avšak v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 xml:space="preserve">případech, ve kterých </w:t>
      </w:r>
      <w:r w:rsidR="00375A7F" w:rsidRPr="00FB5483">
        <w:rPr>
          <w:rFonts w:cs="Arial"/>
          <w:sz w:val="24"/>
          <w:szCs w:val="24"/>
        </w:rPr>
        <w:t xml:space="preserve">jsou </w:t>
      </w:r>
      <w:r w:rsidRPr="00FB5483">
        <w:rPr>
          <w:rFonts w:cs="Arial"/>
          <w:sz w:val="24"/>
          <w:szCs w:val="24"/>
        </w:rPr>
        <w:t xml:space="preserve">předběžná zjištění negativní, ale </w:t>
      </w:r>
      <w:r w:rsidR="00375A7F" w:rsidRPr="00FB5483">
        <w:rPr>
          <w:rFonts w:cs="Arial"/>
          <w:sz w:val="24"/>
          <w:szCs w:val="24"/>
        </w:rPr>
        <w:t>konečná zjištění kladná</w:t>
      </w:r>
      <w:r w:rsidRPr="00FB5483">
        <w:rPr>
          <w:rFonts w:cs="Arial"/>
          <w:sz w:val="24"/>
          <w:szCs w:val="24"/>
        </w:rPr>
        <w:t xml:space="preserve">, </w:t>
      </w:r>
      <w:r w:rsidR="00375A7F" w:rsidRPr="00FB5483">
        <w:rPr>
          <w:rFonts w:cs="Arial"/>
          <w:sz w:val="24"/>
          <w:szCs w:val="24"/>
        </w:rPr>
        <w:t>je</w:t>
      </w:r>
      <w:r w:rsidR="002678EC" w:rsidRPr="00FB5483">
        <w:rPr>
          <w:rFonts w:cs="Arial"/>
          <w:sz w:val="24"/>
          <w:szCs w:val="24"/>
        </w:rPr>
        <w:t xml:space="preserve"> pak</w:t>
      </w:r>
      <w:r w:rsidR="00375A7F" w:rsidRPr="00FB5483">
        <w:rPr>
          <w:rFonts w:cs="Arial"/>
          <w:sz w:val="24"/>
          <w:szCs w:val="24"/>
        </w:rPr>
        <w:t xml:space="preserve"> US</w:t>
      </w:r>
      <w:r w:rsidR="00230D6F">
        <w:rPr>
          <w:rFonts w:cs="Arial"/>
          <w:sz w:val="24"/>
          <w:szCs w:val="24"/>
        </w:rPr>
        <w:t>I</w:t>
      </w:r>
      <w:r w:rsidR="00375A7F" w:rsidRPr="00FB5483">
        <w:rPr>
          <w:rFonts w:cs="Arial"/>
          <w:sz w:val="24"/>
          <w:szCs w:val="24"/>
        </w:rPr>
        <w:t xml:space="preserve">TC povinen stanovit konečnou újmu </w:t>
      </w:r>
      <w:r w:rsidRPr="00FB5483">
        <w:rPr>
          <w:rFonts w:cs="Arial"/>
          <w:b/>
          <w:sz w:val="24"/>
          <w:szCs w:val="24"/>
        </w:rPr>
        <w:t>do 75 dnů</w:t>
      </w:r>
      <w:r w:rsidRPr="00FB5483">
        <w:rPr>
          <w:rFonts w:cs="Arial"/>
          <w:sz w:val="24"/>
          <w:szCs w:val="24"/>
        </w:rPr>
        <w:t>.</w:t>
      </w:r>
    </w:p>
    <w:p w:rsidR="000907B3" w:rsidRPr="00FB5483" w:rsidRDefault="002678EC" w:rsidP="008234BC">
      <w:pPr>
        <w:jc w:val="both"/>
        <w:rPr>
          <w:rFonts w:cs="Arial"/>
          <w:sz w:val="24"/>
          <w:szCs w:val="24"/>
        </w:rPr>
      </w:pPr>
      <w:r w:rsidRPr="00FB5483">
        <w:rPr>
          <w:rFonts w:cs="Arial"/>
          <w:sz w:val="24"/>
          <w:szCs w:val="24"/>
        </w:rPr>
        <w:t>V případě, ž</w:t>
      </w:r>
      <w:r w:rsidR="000907B3" w:rsidRPr="00FB5483">
        <w:rPr>
          <w:rFonts w:cs="Arial"/>
          <w:sz w:val="24"/>
          <w:szCs w:val="24"/>
        </w:rPr>
        <w:t xml:space="preserve">e je rozhodnutí USITC pozitivní, musí Ministerstvo obchodu vydat AD opatření. Termín pro vydání opatření není stanoven, má se zřejmě za to, že tak učiní bezodkladně. </w:t>
      </w:r>
    </w:p>
    <w:p w:rsidR="00C53601" w:rsidRPr="00FB5483" w:rsidRDefault="000907B3" w:rsidP="008234BC">
      <w:pPr>
        <w:jc w:val="both"/>
        <w:rPr>
          <w:rFonts w:cs="Arial"/>
          <w:sz w:val="24"/>
          <w:szCs w:val="24"/>
        </w:rPr>
      </w:pPr>
      <w:r w:rsidRPr="00FB5483">
        <w:rPr>
          <w:rFonts w:cs="Arial"/>
          <w:sz w:val="24"/>
          <w:szCs w:val="24"/>
        </w:rPr>
        <w:t>Každých 12 měsíců lze požádat o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přezkum, pokud je o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to zažádáno a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>žádost je publikována ve</w:t>
      </w:r>
      <w:r w:rsidR="009D61EF" w:rsidRPr="00FB5483">
        <w:rPr>
          <w:rFonts w:cs="Arial"/>
          <w:sz w:val="24"/>
          <w:szCs w:val="24"/>
        </w:rPr>
        <w:t xml:space="preserve"> Federálním registru.  Předběžná</w:t>
      </w:r>
      <w:r w:rsidRPr="00FB5483">
        <w:rPr>
          <w:rFonts w:cs="Arial"/>
          <w:sz w:val="24"/>
          <w:szCs w:val="24"/>
        </w:rPr>
        <w:t xml:space="preserve"> fáze šetření pak trvá</w:t>
      </w:r>
      <w:r w:rsidRPr="00FB5483">
        <w:rPr>
          <w:rFonts w:cs="Arial"/>
          <w:b/>
          <w:sz w:val="24"/>
          <w:szCs w:val="24"/>
        </w:rPr>
        <w:t xml:space="preserve"> 245 dní</w:t>
      </w:r>
      <w:r w:rsidRPr="00FB5483">
        <w:rPr>
          <w:rFonts w:cs="Arial"/>
          <w:sz w:val="24"/>
          <w:szCs w:val="24"/>
        </w:rPr>
        <w:t xml:space="preserve"> od posledního dne v</w:t>
      </w:r>
      <w:r w:rsidR="00767294">
        <w:rPr>
          <w:rFonts w:cs="Arial"/>
          <w:sz w:val="24"/>
          <w:szCs w:val="24"/>
        </w:rPr>
        <w:t> </w:t>
      </w:r>
      <w:r w:rsidRPr="00FB5483">
        <w:rPr>
          <w:rFonts w:cs="Arial"/>
          <w:sz w:val="24"/>
          <w:szCs w:val="24"/>
        </w:rPr>
        <w:t xml:space="preserve">měsíci, kdy byla podána původní žádost. Je možné ji prodloužit na </w:t>
      </w:r>
      <w:r w:rsidRPr="00FB5483">
        <w:rPr>
          <w:rFonts w:cs="Arial"/>
          <w:b/>
          <w:sz w:val="24"/>
          <w:szCs w:val="24"/>
        </w:rPr>
        <w:t>365 dní</w:t>
      </w:r>
      <w:r w:rsidRPr="00FB5483">
        <w:rPr>
          <w:rFonts w:cs="Arial"/>
          <w:sz w:val="24"/>
          <w:szCs w:val="24"/>
        </w:rPr>
        <w:t xml:space="preserve">.  Přezkum musí být dokončen </w:t>
      </w:r>
      <w:r w:rsidR="00E404CA" w:rsidRPr="00FB5483">
        <w:rPr>
          <w:rFonts w:cs="Arial"/>
          <w:b/>
          <w:sz w:val="24"/>
          <w:szCs w:val="24"/>
        </w:rPr>
        <w:t>120 dní</w:t>
      </w:r>
      <w:r w:rsidR="00E404CA" w:rsidRPr="00FB5483">
        <w:rPr>
          <w:rFonts w:cs="Arial"/>
          <w:sz w:val="24"/>
          <w:szCs w:val="24"/>
        </w:rPr>
        <w:t xml:space="preserve"> od data, kdy </w:t>
      </w:r>
      <w:r w:rsidR="00AF55A5" w:rsidRPr="00FB5483">
        <w:rPr>
          <w:rFonts w:cs="Arial"/>
          <w:sz w:val="24"/>
          <w:szCs w:val="24"/>
        </w:rPr>
        <w:t>je uzavřeno předběžné šetření. I</w:t>
      </w:r>
      <w:r w:rsidR="00767294">
        <w:rPr>
          <w:rFonts w:cs="Arial"/>
          <w:sz w:val="24"/>
          <w:szCs w:val="24"/>
        </w:rPr>
        <w:t> </w:t>
      </w:r>
      <w:r w:rsidR="00E404CA" w:rsidRPr="00FB5483">
        <w:rPr>
          <w:rFonts w:cs="Arial"/>
          <w:sz w:val="24"/>
          <w:szCs w:val="24"/>
        </w:rPr>
        <w:t xml:space="preserve">tato fáze může být prodloužena na </w:t>
      </w:r>
      <w:r w:rsidR="00E404CA" w:rsidRPr="00FB5483">
        <w:rPr>
          <w:rFonts w:cs="Arial"/>
          <w:b/>
          <w:sz w:val="24"/>
          <w:szCs w:val="24"/>
        </w:rPr>
        <w:t>180 dní</w:t>
      </w:r>
      <w:r w:rsidR="00E404CA" w:rsidRPr="00FB5483">
        <w:rPr>
          <w:rFonts w:cs="Arial"/>
          <w:sz w:val="24"/>
          <w:szCs w:val="24"/>
        </w:rPr>
        <w:t>.</w:t>
      </w:r>
      <w:r w:rsidR="00C53601" w:rsidRPr="00FB5483">
        <w:rPr>
          <w:rFonts w:cs="Arial"/>
          <w:sz w:val="24"/>
          <w:szCs w:val="24"/>
        </w:rPr>
        <w:br/>
      </w:r>
    </w:p>
    <w:p w:rsidR="00E404CA" w:rsidRPr="00FB5483" w:rsidRDefault="00E404CA" w:rsidP="008234BC">
      <w:pPr>
        <w:jc w:val="both"/>
        <w:rPr>
          <w:b/>
          <w:sz w:val="24"/>
          <w:szCs w:val="24"/>
          <w:u w:val="single"/>
        </w:rPr>
      </w:pPr>
      <w:r w:rsidRPr="00FB5483">
        <w:rPr>
          <w:b/>
          <w:sz w:val="24"/>
          <w:szCs w:val="24"/>
          <w:u w:val="single"/>
        </w:rPr>
        <w:t>Ostatní členové WTO</w:t>
      </w:r>
      <w:r w:rsidR="008B6EC3" w:rsidRPr="00FB5483">
        <w:rPr>
          <w:b/>
          <w:sz w:val="24"/>
          <w:szCs w:val="24"/>
          <w:u w:val="single"/>
        </w:rPr>
        <w:t xml:space="preserve"> – lhůty AD šetření</w:t>
      </w:r>
    </w:p>
    <w:p w:rsidR="00385E1F" w:rsidRPr="00FB5483" w:rsidRDefault="00385E1F" w:rsidP="008234BC">
      <w:pPr>
        <w:jc w:val="both"/>
        <w:rPr>
          <w:sz w:val="24"/>
          <w:szCs w:val="24"/>
        </w:rPr>
      </w:pPr>
      <w:r w:rsidRPr="00FB5483">
        <w:rPr>
          <w:sz w:val="24"/>
          <w:szCs w:val="24"/>
          <w:u w:val="single"/>
        </w:rPr>
        <w:t>Kanada</w:t>
      </w:r>
      <w:r w:rsidRPr="00FB5483">
        <w:rPr>
          <w:rStyle w:val="Znakapoznpodarou"/>
          <w:sz w:val="24"/>
          <w:szCs w:val="24"/>
          <w:u w:val="single"/>
        </w:rPr>
        <w:footnoteReference w:id="4"/>
      </w:r>
      <w:r w:rsidRPr="00FB5483">
        <w:rPr>
          <w:sz w:val="24"/>
          <w:szCs w:val="24"/>
          <w:u w:val="single"/>
        </w:rPr>
        <w:t>:</w:t>
      </w:r>
      <w:r w:rsidRPr="00FB5483">
        <w:rPr>
          <w:sz w:val="24"/>
          <w:szCs w:val="24"/>
        </w:rPr>
        <w:t xml:space="preserve"> </w:t>
      </w:r>
      <w:r w:rsidRPr="00FB5483">
        <w:rPr>
          <w:b/>
          <w:sz w:val="24"/>
          <w:szCs w:val="24"/>
        </w:rPr>
        <w:t>21 dní</w:t>
      </w:r>
      <w:r w:rsidRPr="00FB5483">
        <w:rPr>
          <w:sz w:val="24"/>
          <w:szCs w:val="24"/>
        </w:rPr>
        <w:t xml:space="preserve"> od podání žádosti musí President CBSA</w:t>
      </w:r>
      <w:r w:rsidR="0099760F">
        <w:rPr>
          <w:sz w:val="24"/>
          <w:szCs w:val="24"/>
        </w:rPr>
        <w:t xml:space="preserve"> (</w:t>
      </w:r>
      <w:proofErr w:type="spellStart"/>
      <w:r w:rsidR="0099760F">
        <w:rPr>
          <w:sz w:val="24"/>
          <w:szCs w:val="24"/>
        </w:rPr>
        <w:t>Canada</w:t>
      </w:r>
      <w:proofErr w:type="spellEnd"/>
      <w:r w:rsidR="0099760F">
        <w:rPr>
          <w:sz w:val="24"/>
          <w:szCs w:val="24"/>
        </w:rPr>
        <w:t xml:space="preserve"> </w:t>
      </w:r>
      <w:proofErr w:type="spellStart"/>
      <w:r w:rsidR="0099760F">
        <w:rPr>
          <w:sz w:val="24"/>
          <w:szCs w:val="24"/>
        </w:rPr>
        <w:t>Border</w:t>
      </w:r>
      <w:proofErr w:type="spellEnd"/>
      <w:r w:rsidR="0099760F">
        <w:rPr>
          <w:sz w:val="24"/>
          <w:szCs w:val="24"/>
        </w:rPr>
        <w:t xml:space="preserve"> </w:t>
      </w:r>
      <w:proofErr w:type="spellStart"/>
      <w:r w:rsidR="0099760F">
        <w:rPr>
          <w:sz w:val="24"/>
          <w:szCs w:val="24"/>
        </w:rPr>
        <w:t>Services</w:t>
      </w:r>
      <w:proofErr w:type="spellEnd"/>
      <w:r w:rsidR="0099760F">
        <w:rPr>
          <w:sz w:val="24"/>
          <w:szCs w:val="24"/>
        </w:rPr>
        <w:t xml:space="preserve"> </w:t>
      </w:r>
      <w:proofErr w:type="spellStart"/>
      <w:r w:rsidR="0099760F">
        <w:rPr>
          <w:sz w:val="24"/>
          <w:szCs w:val="24"/>
        </w:rPr>
        <w:t>Agency</w:t>
      </w:r>
      <w:proofErr w:type="spellEnd"/>
      <w:r w:rsidR="0099760F">
        <w:rPr>
          <w:sz w:val="24"/>
          <w:szCs w:val="24"/>
        </w:rPr>
        <w:t>)</w:t>
      </w:r>
      <w:r w:rsidRPr="00FB5483">
        <w:rPr>
          <w:sz w:val="24"/>
          <w:szCs w:val="24"/>
        </w:rPr>
        <w:t xml:space="preserve"> rozhodnout o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formálních náležitostech žádosti, případně požádat o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 xml:space="preserve">jejich doplnění. CITT </w:t>
      </w:r>
      <w:r w:rsidR="0099760F">
        <w:rPr>
          <w:sz w:val="24"/>
          <w:szCs w:val="24"/>
        </w:rPr>
        <w:t>(</w:t>
      </w:r>
      <w:proofErr w:type="spellStart"/>
      <w:r w:rsidR="0099760F">
        <w:rPr>
          <w:sz w:val="24"/>
          <w:szCs w:val="24"/>
        </w:rPr>
        <w:t>Canadian</w:t>
      </w:r>
      <w:proofErr w:type="spellEnd"/>
      <w:r w:rsidR="0099760F">
        <w:rPr>
          <w:sz w:val="24"/>
          <w:szCs w:val="24"/>
        </w:rPr>
        <w:t xml:space="preserve"> </w:t>
      </w:r>
      <w:proofErr w:type="spellStart"/>
      <w:r w:rsidR="0099760F">
        <w:rPr>
          <w:sz w:val="24"/>
          <w:szCs w:val="24"/>
        </w:rPr>
        <w:t>International</w:t>
      </w:r>
      <w:proofErr w:type="spellEnd"/>
      <w:r w:rsidR="0099760F">
        <w:rPr>
          <w:sz w:val="24"/>
          <w:szCs w:val="24"/>
        </w:rPr>
        <w:t xml:space="preserve"> </w:t>
      </w:r>
      <w:proofErr w:type="spellStart"/>
      <w:r w:rsidR="0099760F">
        <w:rPr>
          <w:sz w:val="24"/>
          <w:szCs w:val="24"/>
        </w:rPr>
        <w:t>Trade</w:t>
      </w:r>
      <w:proofErr w:type="spellEnd"/>
      <w:r w:rsidR="0099760F">
        <w:rPr>
          <w:sz w:val="24"/>
          <w:szCs w:val="24"/>
        </w:rPr>
        <w:t xml:space="preserve"> </w:t>
      </w:r>
      <w:proofErr w:type="spellStart"/>
      <w:r w:rsidR="0099760F">
        <w:rPr>
          <w:sz w:val="24"/>
          <w:szCs w:val="24"/>
        </w:rPr>
        <w:t>Tr</w:t>
      </w:r>
      <w:r w:rsidR="00230D6F">
        <w:rPr>
          <w:sz w:val="24"/>
          <w:szCs w:val="24"/>
        </w:rPr>
        <w:t>i</w:t>
      </w:r>
      <w:r w:rsidR="0099760F">
        <w:rPr>
          <w:sz w:val="24"/>
          <w:szCs w:val="24"/>
        </w:rPr>
        <w:t>bunal</w:t>
      </w:r>
      <w:proofErr w:type="spellEnd"/>
      <w:r w:rsidR="0099760F">
        <w:rPr>
          <w:sz w:val="24"/>
          <w:szCs w:val="24"/>
        </w:rPr>
        <w:t xml:space="preserve">) </w:t>
      </w:r>
      <w:r w:rsidRPr="00FB5483">
        <w:rPr>
          <w:sz w:val="24"/>
          <w:szCs w:val="24"/>
        </w:rPr>
        <w:t xml:space="preserve">prošetří oprávněnost žádosti </w:t>
      </w:r>
      <w:r w:rsidRPr="00FB5483">
        <w:rPr>
          <w:b/>
          <w:sz w:val="24"/>
          <w:szCs w:val="24"/>
        </w:rPr>
        <w:t>do 60 dnů</w:t>
      </w:r>
      <w:r w:rsidRPr="00FB5483">
        <w:rPr>
          <w:sz w:val="24"/>
          <w:szCs w:val="24"/>
        </w:rPr>
        <w:t xml:space="preserve"> od jejího podání. Zároveň probíhá paralelní šetření CBSA, které musí rozhodnout </w:t>
      </w:r>
      <w:r w:rsidRPr="00FB5483">
        <w:rPr>
          <w:b/>
          <w:sz w:val="24"/>
          <w:szCs w:val="24"/>
        </w:rPr>
        <w:t>do 90 dnů</w:t>
      </w:r>
      <w:r w:rsidRPr="00FB5483">
        <w:rPr>
          <w:sz w:val="24"/>
          <w:szCs w:val="24"/>
        </w:rPr>
        <w:t xml:space="preserve"> od zahájení šetření, president může tuto lhůtu prodloužit až na </w:t>
      </w:r>
      <w:r w:rsidRPr="00FB5483">
        <w:rPr>
          <w:b/>
          <w:sz w:val="24"/>
          <w:szCs w:val="24"/>
        </w:rPr>
        <w:t>135 dní</w:t>
      </w:r>
      <w:r w:rsidRPr="00FB5483">
        <w:rPr>
          <w:sz w:val="24"/>
          <w:szCs w:val="24"/>
        </w:rPr>
        <w:t xml:space="preserve">. Konečné AD clo musí být uvaleno </w:t>
      </w:r>
      <w:r w:rsidRPr="00FB5483">
        <w:rPr>
          <w:b/>
          <w:sz w:val="24"/>
          <w:szCs w:val="24"/>
        </w:rPr>
        <w:t>do 90 dnů</w:t>
      </w:r>
      <w:r w:rsidRPr="00FB5483">
        <w:rPr>
          <w:sz w:val="24"/>
          <w:szCs w:val="24"/>
        </w:rPr>
        <w:t xml:space="preserve"> od konce platnosti předběžného opatření.</w:t>
      </w:r>
    </w:p>
    <w:p w:rsidR="008B6EC3" w:rsidRPr="00FB5483" w:rsidRDefault="00A14A9C" w:rsidP="008234BC">
      <w:pPr>
        <w:jc w:val="both"/>
        <w:rPr>
          <w:sz w:val="24"/>
          <w:szCs w:val="24"/>
        </w:rPr>
      </w:pPr>
      <w:r w:rsidRPr="00FB5483">
        <w:rPr>
          <w:sz w:val="24"/>
          <w:szCs w:val="24"/>
          <w:u w:val="single"/>
        </w:rPr>
        <w:lastRenderedPageBreak/>
        <w:t>Japonsko:</w:t>
      </w:r>
      <w:r w:rsidRPr="00FB5483">
        <w:rPr>
          <w:sz w:val="24"/>
          <w:szCs w:val="24"/>
        </w:rPr>
        <w:t xml:space="preserve"> </w:t>
      </w:r>
      <w:r w:rsidR="008B6EC3" w:rsidRPr="00FB5483">
        <w:rPr>
          <w:sz w:val="24"/>
          <w:szCs w:val="24"/>
        </w:rPr>
        <w:t xml:space="preserve">Šetření musí být ukončeno do </w:t>
      </w:r>
      <w:r w:rsidR="008B6EC3" w:rsidRPr="00FB5483">
        <w:rPr>
          <w:b/>
          <w:sz w:val="24"/>
          <w:szCs w:val="24"/>
        </w:rPr>
        <w:t>1 roku od podání žádosti</w:t>
      </w:r>
      <w:r w:rsidR="008B6EC3" w:rsidRPr="00FB5483">
        <w:rPr>
          <w:sz w:val="24"/>
          <w:szCs w:val="24"/>
        </w:rPr>
        <w:t xml:space="preserve">, ve zvláštních případech lze prodloužit </w:t>
      </w:r>
      <w:r w:rsidR="008B6EC3" w:rsidRPr="00FB5483">
        <w:rPr>
          <w:b/>
          <w:sz w:val="24"/>
          <w:szCs w:val="24"/>
        </w:rPr>
        <w:t>o</w:t>
      </w:r>
      <w:r w:rsidR="00767294">
        <w:rPr>
          <w:b/>
          <w:sz w:val="24"/>
          <w:szCs w:val="24"/>
        </w:rPr>
        <w:t> </w:t>
      </w:r>
      <w:r w:rsidR="008B6EC3" w:rsidRPr="00FB5483">
        <w:rPr>
          <w:b/>
          <w:sz w:val="24"/>
          <w:szCs w:val="24"/>
        </w:rPr>
        <w:t xml:space="preserve">půl roku </w:t>
      </w:r>
      <w:r w:rsidR="008B6EC3" w:rsidRPr="00FB5483">
        <w:rPr>
          <w:sz w:val="24"/>
          <w:szCs w:val="24"/>
        </w:rPr>
        <w:t xml:space="preserve">(dle čl. </w:t>
      </w:r>
      <w:r w:rsidRPr="00FB5483">
        <w:rPr>
          <w:sz w:val="24"/>
          <w:szCs w:val="24"/>
        </w:rPr>
        <w:t>6</w:t>
      </w:r>
      <w:r w:rsidR="008B6EC3" w:rsidRPr="00FB5483">
        <w:rPr>
          <w:sz w:val="24"/>
          <w:szCs w:val="24"/>
        </w:rPr>
        <w:t xml:space="preserve">, </w:t>
      </w:r>
      <w:proofErr w:type="spellStart"/>
      <w:r w:rsidR="008B6EC3" w:rsidRPr="00FB5483">
        <w:rPr>
          <w:sz w:val="24"/>
          <w:szCs w:val="24"/>
        </w:rPr>
        <w:t>Customs</w:t>
      </w:r>
      <w:proofErr w:type="spellEnd"/>
      <w:r w:rsidR="008B6EC3" w:rsidRPr="00FB5483">
        <w:rPr>
          <w:sz w:val="24"/>
          <w:szCs w:val="24"/>
        </w:rPr>
        <w:t xml:space="preserve"> </w:t>
      </w:r>
      <w:proofErr w:type="spellStart"/>
      <w:r w:rsidR="008B6EC3" w:rsidRPr="00FB5483">
        <w:rPr>
          <w:sz w:val="24"/>
          <w:szCs w:val="24"/>
        </w:rPr>
        <w:t>Tariff</w:t>
      </w:r>
      <w:proofErr w:type="spellEnd"/>
      <w:r w:rsidR="008B6EC3" w:rsidRPr="00FB5483">
        <w:rPr>
          <w:sz w:val="24"/>
          <w:szCs w:val="24"/>
        </w:rPr>
        <w:t xml:space="preserve"> </w:t>
      </w:r>
      <w:proofErr w:type="spellStart"/>
      <w:r w:rsidR="008B6EC3" w:rsidRPr="00FB5483">
        <w:rPr>
          <w:sz w:val="24"/>
          <w:szCs w:val="24"/>
        </w:rPr>
        <w:t>Law</w:t>
      </w:r>
      <w:proofErr w:type="spellEnd"/>
      <w:r w:rsidRPr="00FB5483">
        <w:rPr>
          <w:rStyle w:val="Znakapoznpodarou"/>
          <w:sz w:val="24"/>
          <w:szCs w:val="24"/>
        </w:rPr>
        <w:footnoteReference w:id="5"/>
      </w:r>
      <w:r w:rsidR="008B6EC3" w:rsidRPr="00FB5483">
        <w:rPr>
          <w:sz w:val="24"/>
          <w:szCs w:val="24"/>
        </w:rPr>
        <w:t>)</w:t>
      </w:r>
      <w:r w:rsidRPr="00FB5483">
        <w:rPr>
          <w:sz w:val="24"/>
          <w:szCs w:val="24"/>
        </w:rPr>
        <w:t xml:space="preserve">. </w:t>
      </w:r>
      <w:r w:rsidR="00EB1F44" w:rsidRPr="00FB5483">
        <w:rPr>
          <w:sz w:val="24"/>
          <w:szCs w:val="24"/>
        </w:rPr>
        <w:t>Rozhodnutí o</w:t>
      </w:r>
      <w:r w:rsidR="00767294">
        <w:rPr>
          <w:sz w:val="24"/>
          <w:szCs w:val="24"/>
        </w:rPr>
        <w:t> </w:t>
      </w:r>
      <w:r w:rsidR="00EB1F44" w:rsidRPr="00FB5483">
        <w:rPr>
          <w:sz w:val="24"/>
          <w:szCs w:val="24"/>
        </w:rPr>
        <w:t>uvalení prozatímního AD cla může být přijat</w:t>
      </w:r>
      <w:r w:rsidR="00FC6C15">
        <w:rPr>
          <w:sz w:val="24"/>
          <w:szCs w:val="24"/>
        </w:rPr>
        <w:t>o</w:t>
      </w:r>
      <w:r w:rsidR="00EB1F44" w:rsidRPr="00FB5483">
        <w:rPr>
          <w:sz w:val="24"/>
          <w:szCs w:val="24"/>
        </w:rPr>
        <w:t xml:space="preserve"> nejdříve po 60 dnech od podání žádosti. </w:t>
      </w:r>
      <w:r w:rsidRPr="00FB5483">
        <w:rPr>
          <w:sz w:val="24"/>
          <w:szCs w:val="24"/>
        </w:rPr>
        <w:t>V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případě žádosti o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revizi šetření při změně okolností dovozů musí být takové šetření ukončeno do jednoho roku (dle čl. 23).</w:t>
      </w:r>
    </w:p>
    <w:p w:rsidR="00A14A9C" w:rsidRPr="00FB5483" w:rsidRDefault="00A14A9C" w:rsidP="008234BC">
      <w:pPr>
        <w:jc w:val="both"/>
        <w:rPr>
          <w:sz w:val="24"/>
          <w:szCs w:val="24"/>
        </w:rPr>
      </w:pPr>
      <w:r w:rsidRPr="00FB5483">
        <w:rPr>
          <w:sz w:val="24"/>
          <w:szCs w:val="24"/>
          <w:u w:val="single"/>
        </w:rPr>
        <w:t>Rusko:</w:t>
      </w:r>
      <w:r w:rsidRPr="00FB5483">
        <w:rPr>
          <w:sz w:val="24"/>
          <w:szCs w:val="24"/>
        </w:rPr>
        <w:t xml:space="preserve"> Rozhodnutí o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 xml:space="preserve">uvalení </w:t>
      </w:r>
      <w:r w:rsidR="00EB1F44" w:rsidRPr="00FB5483">
        <w:rPr>
          <w:sz w:val="24"/>
          <w:szCs w:val="24"/>
        </w:rPr>
        <w:t xml:space="preserve">prozatímního </w:t>
      </w:r>
      <w:r w:rsidRPr="00FB5483">
        <w:rPr>
          <w:sz w:val="24"/>
          <w:szCs w:val="24"/>
        </w:rPr>
        <w:t>AD</w:t>
      </w:r>
      <w:r w:rsidR="00EB1F44" w:rsidRPr="00FB5483">
        <w:rPr>
          <w:sz w:val="24"/>
          <w:szCs w:val="24"/>
        </w:rPr>
        <w:t xml:space="preserve"> (dle čl.</w:t>
      </w:r>
      <w:r w:rsidR="00E80FD5" w:rsidRPr="00FB5483">
        <w:rPr>
          <w:sz w:val="24"/>
          <w:szCs w:val="24"/>
        </w:rPr>
        <w:t xml:space="preserve"> </w:t>
      </w:r>
      <w:r w:rsidR="00EB1F44" w:rsidRPr="00FB5483">
        <w:rPr>
          <w:sz w:val="24"/>
          <w:szCs w:val="24"/>
        </w:rPr>
        <w:t>2</w:t>
      </w:r>
      <w:r w:rsidR="00EB1F44" w:rsidRPr="00FB5483">
        <w:rPr>
          <w:rStyle w:val="Znakapoznpodarou"/>
          <w:sz w:val="24"/>
          <w:szCs w:val="24"/>
        </w:rPr>
        <w:footnoteReference w:id="6"/>
      </w:r>
      <w:r w:rsidR="00EB1F44" w:rsidRPr="00FB5483">
        <w:rPr>
          <w:sz w:val="24"/>
          <w:szCs w:val="24"/>
        </w:rPr>
        <w:t>)</w:t>
      </w:r>
      <w:r w:rsidRPr="00FB5483">
        <w:rPr>
          <w:sz w:val="24"/>
          <w:szCs w:val="24"/>
        </w:rPr>
        <w:t xml:space="preserve"> cla může </w:t>
      </w:r>
      <w:r w:rsidR="00EB1F44" w:rsidRPr="00FB5483">
        <w:rPr>
          <w:sz w:val="24"/>
          <w:szCs w:val="24"/>
        </w:rPr>
        <w:t>být přijat</w:t>
      </w:r>
      <w:r w:rsidR="00FC6C15">
        <w:rPr>
          <w:sz w:val="24"/>
          <w:szCs w:val="24"/>
        </w:rPr>
        <w:t>o</w:t>
      </w:r>
      <w:r w:rsidR="00EB1F44" w:rsidRPr="00FB5483">
        <w:rPr>
          <w:sz w:val="24"/>
          <w:szCs w:val="24"/>
        </w:rPr>
        <w:t xml:space="preserve"> nejdříve po 60 dnech od podání žádosti, konečný termín není stanoven, a</w:t>
      </w:r>
      <w:r w:rsidR="00767294">
        <w:rPr>
          <w:sz w:val="24"/>
          <w:szCs w:val="24"/>
        </w:rPr>
        <w:t> </w:t>
      </w:r>
      <w:r w:rsidR="00EB1F44" w:rsidRPr="00FB5483">
        <w:rPr>
          <w:sz w:val="24"/>
          <w:szCs w:val="24"/>
        </w:rPr>
        <w:t>to ani v</w:t>
      </w:r>
      <w:r w:rsidR="00767294">
        <w:rPr>
          <w:sz w:val="24"/>
          <w:szCs w:val="24"/>
        </w:rPr>
        <w:t> </w:t>
      </w:r>
      <w:r w:rsidR="00EB1F44" w:rsidRPr="00FB5483">
        <w:rPr>
          <w:sz w:val="24"/>
          <w:szCs w:val="24"/>
        </w:rPr>
        <w:t>případě konečného AD cla. Přezkum musí být dokončen do jednoho roku, přičemž žádost o</w:t>
      </w:r>
      <w:r w:rsidR="00767294">
        <w:rPr>
          <w:sz w:val="24"/>
          <w:szCs w:val="24"/>
        </w:rPr>
        <w:t> </w:t>
      </w:r>
      <w:r w:rsidR="00EB1F44" w:rsidRPr="00FB5483">
        <w:rPr>
          <w:sz w:val="24"/>
          <w:szCs w:val="24"/>
        </w:rPr>
        <w:t>přezkum musí být podána ne později než 6 měsíců před vypršením opatření.</w:t>
      </w:r>
    </w:p>
    <w:p w:rsidR="00104FFA" w:rsidRPr="00FB5483" w:rsidRDefault="00EB1F44" w:rsidP="008234BC">
      <w:pPr>
        <w:jc w:val="both"/>
        <w:rPr>
          <w:sz w:val="24"/>
          <w:szCs w:val="24"/>
        </w:rPr>
      </w:pPr>
      <w:r w:rsidRPr="00FB5483">
        <w:rPr>
          <w:sz w:val="24"/>
          <w:szCs w:val="24"/>
          <w:u w:val="single"/>
        </w:rPr>
        <w:t>Brazílie:</w:t>
      </w:r>
      <w:r w:rsidRPr="00FB5483">
        <w:rPr>
          <w:sz w:val="24"/>
          <w:szCs w:val="24"/>
        </w:rPr>
        <w:t xml:space="preserve"> nemá uvedenu délku šetření</w:t>
      </w:r>
      <w:r w:rsidRPr="00FB5483">
        <w:rPr>
          <w:rStyle w:val="Znakapoznpodarou"/>
          <w:sz w:val="24"/>
          <w:szCs w:val="24"/>
        </w:rPr>
        <w:footnoteReference w:id="7"/>
      </w:r>
      <w:r w:rsidRPr="00FB5483">
        <w:rPr>
          <w:sz w:val="24"/>
          <w:szCs w:val="24"/>
        </w:rPr>
        <w:t>.</w:t>
      </w:r>
    </w:p>
    <w:p w:rsidR="00E51C92" w:rsidRPr="00FB5483" w:rsidRDefault="00E51C92" w:rsidP="008234BC">
      <w:pPr>
        <w:jc w:val="both"/>
        <w:rPr>
          <w:sz w:val="24"/>
          <w:szCs w:val="24"/>
        </w:rPr>
      </w:pPr>
    </w:p>
    <w:p w:rsidR="00045594" w:rsidRPr="00FB5483" w:rsidRDefault="00045594" w:rsidP="008234BC">
      <w:pPr>
        <w:jc w:val="both"/>
        <w:rPr>
          <w:b/>
          <w:sz w:val="24"/>
          <w:szCs w:val="24"/>
          <w:u w:val="single"/>
        </w:rPr>
      </w:pPr>
      <w:r w:rsidRPr="00FB5483">
        <w:rPr>
          <w:b/>
          <w:sz w:val="24"/>
          <w:szCs w:val="24"/>
          <w:u w:val="single"/>
        </w:rPr>
        <w:t>Shrnutí</w:t>
      </w:r>
    </w:p>
    <w:p w:rsidR="00104FFA" w:rsidRDefault="00104FFA" w:rsidP="008234BC">
      <w:pPr>
        <w:jc w:val="both"/>
        <w:rPr>
          <w:sz w:val="24"/>
          <w:szCs w:val="24"/>
        </w:rPr>
      </w:pPr>
      <w:r w:rsidRPr="00FB5483">
        <w:rPr>
          <w:sz w:val="24"/>
          <w:szCs w:val="24"/>
        </w:rPr>
        <w:t xml:space="preserve">Z uvedených informací je patrné, že lhůty pro dokončení antidumpingových šetření se významným způsobem liší. </w:t>
      </w:r>
      <w:r w:rsidR="009D61EF" w:rsidRPr="00FB5483">
        <w:rPr>
          <w:sz w:val="24"/>
          <w:szCs w:val="24"/>
        </w:rPr>
        <w:t>N</w:t>
      </w:r>
      <w:r w:rsidR="00045594" w:rsidRPr="00FB5483">
        <w:rPr>
          <w:sz w:val="24"/>
          <w:szCs w:val="24"/>
        </w:rPr>
        <w:t xml:space="preserve">ejkratší </w:t>
      </w:r>
      <w:r w:rsidR="009D61EF" w:rsidRPr="00FB5483">
        <w:rPr>
          <w:sz w:val="24"/>
          <w:szCs w:val="24"/>
        </w:rPr>
        <w:t>jsou</w:t>
      </w:r>
      <w:r w:rsidRPr="00FB5483">
        <w:rPr>
          <w:sz w:val="24"/>
          <w:szCs w:val="24"/>
        </w:rPr>
        <w:t xml:space="preserve"> ve Spojených státech amerických</w:t>
      </w:r>
      <w:r w:rsidR="00045594" w:rsidRPr="00FB5483">
        <w:rPr>
          <w:sz w:val="24"/>
          <w:szCs w:val="24"/>
        </w:rPr>
        <w:t xml:space="preserve"> a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v Kanadě.</w:t>
      </w:r>
      <w:r w:rsidR="009D61EF" w:rsidRPr="00FB5483">
        <w:rPr>
          <w:sz w:val="24"/>
          <w:szCs w:val="24"/>
        </w:rPr>
        <w:t xml:space="preserve"> </w:t>
      </w:r>
    </w:p>
    <w:p w:rsidR="00980470" w:rsidRPr="00FB5483" w:rsidRDefault="00980470" w:rsidP="008234BC">
      <w:pPr>
        <w:jc w:val="both"/>
        <w:rPr>
          <w:sz w:val="24"/>
          <w:szCs w:val="24"/>
        </w:rPr>
      </w:pPr>
      <w:r>
        <w:rPr>
          <w:sz w:val="24"/>
          <w:szCs w:val="24"/>
        </w:rPr>
        <w:t>AD šetření v</w:t>
      </w:r>
      <w:r w:rsidR="00767294">
        <w:rPr>
          <w:sz w:val="24"/>
          <w:szCs w:val="24"/>
        </w:rPr>
        <w:t> </w:t>
      </w:r>
      <w:r>
        <w:rPr>
          <w:sz w:val="24"/>
          <w:szCs w:val="24"/>
        </w:rPr>
        <w:t>EU je na první pohled o</w:t>
      </w:r>
      <w:r w:rsidR="00767294">
        <w:rPr>
          <w:sz w:val="24"/>
          <w:szCs w:val="24"/>
        </w:rPr>
        <w:t> </w:t>
      </w:r>
      <w:r>
        <w:rPr>
          <w:sz w:val="24"/>
          <w:szCs w:val="24"/>
        </w:rPr>
        <w:t>něco delší. Musíme si ovšem uvědomit, že v</w:t>
      </w:r>
      <w:r w:rsidR="00767294">
        <w:rPr>
          <w:sz w:val="24"/>
          <w:szCs w:val="24"/>
        </w:rPr>
        <w:t> </w:t>
      </w:r>
      <w:r>
        <w:rPr>
          <w:sz w:val="24"/>
          <w:szCs w:val="24"/>
        </w:rPr>
        <w:t>sobě zahrnuje celou řadu dílčích lhůt a</w:t>
      </w:r>
      <w:r w:rsidR="00767294">
        <w:rPr>
          <w:sz w:val="24"/>
          <w:szCs w:val="24"/>
        </w:rPr>
        <w:t> </w:t>
      </w:r>
      <w:r>
        <w:rPr>
          <w:sz w:val="24"/>
          <w:szCs w:val="24"/>
        </w:rPr>
        <w:t>je také prodlužováno vlivem konzultace závěrů šetření s</w:t>
      </w:r>
      <w:r w:rsidR="00767294">
        <w:rPr>
          <w:sz w:val="24"/>
          <w:szCs w:val="24"/>
        </w:rPr>
        <w:t> </w:t>
      </w:r>
      <w:r>
        <w:rPr>
          <w:sz w:val="24"/>
          <w:szCs w:val="24"/>
        </w:rPr>
        <w:t>členskými státy.</w:t>
      </w:r>
    </w:p>
    <w:p w:rsidR="00A704F8" w:rsidRPr="00FB5483" w:rsidRDefault="00A704F8" w:rsidP="00A704F8">
      <w:pPr>
        <w:jc w:val="both"/>
        <w:rPr>
          <w:sz w:val="24"/>
          <w:szCs w:val="24"/>
        </w:rPr>
      </w:pPr>
      <w:r w:rsidRPr="00FB5483">
        <w:rPr>
          <w:sz w:val="24"/>
          <w:szCs w:val="24"/>
        </w:rPr>
        <w:t>Důležitým prvkem AD šetření v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EU je nicméně celní evidence dovozů. V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současnosti existuje dle čl. 14, odst.</w:t>
      </w:r>
      <w:r w:rsidR="007F0333" w:rsidRPr="00FB5483">
        <w:rPr>
          <w:sz w:val="24"/>
          <w:szCs w:val="24"/>
        </w:rPr>
        <w:t xml:space="preserve"> </w:t>
      </w:r>
      <w:r w:rsidRPr="00FB5483">
        <w:rPr>
          <w:sz w:val="24"/>
          <w:szCs w:val="24"/>
        </w:rPr>
        <w:t>5: Ostatní ustanovení Základního antidumpingového nařízení</w:t>
      </w:r>
      <w:r w:rsidRPr="00FB5483">
        <w:rPr>
          <w:rStyle w:val="Znakapoznpodarou"/>
          <w:sz w:val="24"/>
          <w:szCs w:val="24"/>
        </w:rPr>
        <w:footnoteReference w:id="8"/>
      </w:r>
      <w:r w:rsidRPr="00FB5483">
        <w:rPr>
          <w:sz w:val="24"/>
          <w:szCs w:val="24"/>
        </w:rPr>
        <w:t xml:space="preserve"> možnost, aby EK vyzvala členské státy k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přijetí vhodných opatření k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zavedení takové celní evidence. Termínově lze celní evidenci započít v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den zahájení řízení</w:t>
      </w:r>
      <w:r w:rsidRPr="00FB5483">
        <w:rPr>
          <w:rStyle w:val="Znakapoznpodarou"/>
          <w:sz w:val="24"/>
          <w:szCs w:val="24"/>
        </w:rPr>
        <w:footnoteReference w:id="9"/>
      </w:r>
      <w:r w:rsidRPr="00FB5483">
        <w:rPr>
          <w:sz w:val="24"/>
          <w:szCs w:val="24"/>
        </w:rPr>
        <w:t>.</w:t>
      </w:r>
      <w:r w:rsidR="007F0333" w:rsidRPr="00FB5483">
        <w:rPr>
          <w:sz w:val="24"/>
          <w:szCs w:val="24"/>
        </w:rPr>
        <w:t xml:space="preserve"> Ovšem dochází k</w:t>
      </w:r>
      <w:r w:rsidR="00767294">
        <w:rPr>
          <w:sz w:val="24"/>
          <w:szCs w:val="24"/>
        </w:rPr>
        <w:t> </w:t>
      </w:r>
      <w:r w:rsidR="007F0333" w:rsidRPr="00FB5483">
        <w:rPr>
          <w:sz w:val="24"/>
          <w:szCs w:val="24"/>
        </w:rPr>
        <w:t>tomu na základě řádně odůvodněné žádosti výrobního odvětví Společenství. EK je tak schopná ukládat se zpětnou účinností konečná antidumpingová cla tři měsíce před tím, než jsou prozatímní antidumpingová cla přijata.</w:t>
      </w:r>
      <w:r w:rsidRPr="00FB5483">
        <w:rPr>
          <w:sz w:val="24"/>
          <w:szCs w:val="24"/>
        </w:rPr>
        <w:t xml:space="preserve"> Výrobní odvětví má tedy již dnes v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rukou nástroj, jak zkrátit</w:t>
      </w:r>
      <w:r w:rsidR="007F0333" w:rsidRPr="00FB5483">
        <w:rPr>
          <w:sz w:val="24"/>
          <w:szCs w:val="24"/>
        </w:rPr>
        <w:t xml:space="preserve"> </w:t>
      </w:r>
      <w:r w:rsidR="00980470">
        <w:rPr>
          <w:sz w:val="24"/>
          <w:szCs w:val="24"/>
        </w:rPr>
        <w:t>čekání na uvalení prozatímního opatření.</w:t>
      </w:r>
    </w:p>
    <w:p w:rsidR="00A704F8" w:rsidRPr="00FB5483" w:rsidRDefault="00A704F8" w:rsidP="00A704F8">
      <w:pPr>
        <w:jc w:val="both"/>
        <w:rPr>
          <w:sz w:val="24"/>
          <w:szCs w:val="24"/>
        </w:rPr>
      </w:pPr>
      <w:r w:rsidRPr="00FB5483">
        <w:rPr>
          <w:sz w:val="24"/>
          <w:szCs w:val="24"/>
        </w:rPr>
        <w:t xml:space="preserve">Kromě toho </w:t>
      </w:r>
      <w:r w:rsidR="007F0333" w:rsidRPr="00FB5483">
        <w:rPr>
          <w:sz w:val="24"/>
          <w:szCs w:val="24"/>
        </w:rPr>
        <w:t>ve Sdělení EK k</w:t>
      </w:r>
      <w:r w:rsidR="00767294">
        <w:rPr>
          <w:sz w:val="24"/>
          <w:szCs w:val="24"/>
        </w:rPr>
        <w:t> </w:t>
      </w:r>
      <w:r w:rsidR="007F0333" w:rsidRPr="00FB5483">
        <w:rPr>
          <w:sz w:val="24"/>
          <w:szCs w:val="24"/>
        </w:rPr>
        <w:t>ocelářství ze dne 16. 3. 2016 EK předpokládá, že některé kroky např. zpřísnění žádostí o</w:t>
      </w:r>
      <w:r w:rsidR="00767294">
        <w:rPr>
          <w:sz w:val="24"/>
          <w:szCs w:val="24"/>
        </w:rPr>
        <w:t> </w:t>
      </w:r>
      <w:r w:rsidR="007F0333" w:rsidRPr="00FB5483">
        <w:rPr>
          <w:sz w:val="24"/>
          <w:szCs w:val="24"/>
        </w:rPr>
        <w:t>prodlužování lhůty k</w:t>
      </w:r>
      <w:r w:rsidR="00767294">
        <w:rPr>
          <w:sz w:val="24"/>
          <w:szCs w:val="24"/>
        </w:rPr>
        <w:t> </w:t>
      </w:r>
      <w:r w:rsidR="007F0333" w:rsidRPr="00FB5483">
        <w:rPr>
          <w:sz w:val="24"/>
          <w:szCs w:val="24"/>
        </w:rPr>
        <w:t>předložení odpovědí na dotazník, slučování slyšení do skupin či v</w:t>
      </w:r>
      <w:r w:rsidR="00767294">
        <w:rPr>
          <w:sz w:val="24"/>
          <w:szCs w:val="24"/>
        </w:rPr>
        <w:t> </w:t>
      </w:r>
      <w:r w:rsidR="007F0333" w:rsidRPr="00FB5483">
        <w:rPr>
          <w:sz w:val="24"/>
          <w:szCs w:val="24"/>
        </w:rPr>
        <w:t xml:space="preserve">kritických případech pouze </w:t>
      </w:r>
      <w:r w:rsidR="00FA3054" w:rsidRPr="00FB5483">
        <w:rPr>
          <w:sz w:val="24"/>
          <w:szCs w:val="24"/>
        </w:rPr>
        <w:t>vyrozumění členských států o</w:t>
      </w:r>
      <w:r w:rsidR="00767294">
        <w:rPr>
          <w:sz w:val="24"/>
          <w:szCs w:val="24"/>
        </w:rPr>
        <w:t> </w:t>
      </w:r>
      <w:r w:rsidR="00FA3054" w:rsidRPr="00FB5483">
        <w:rPr>
          <w:sz w:val="24"/>
          <w:szCs w:val="24"/>
        </w:rPr>
        <w:t>opatření</w:t>
      </w:r>
      <w:r w:rsidR="007F0333" w:rsidRPr="00FB5483">
        <w:rPr>
          <w:sz w:val="24"/>
          <w:szCs w:val="24"/>
        </w:rPr>
        <w:t xml:space="preserve"> </w:t>
      </w:r>
      <w:r w:rsidR="00FA3054" w:rsidRPr="00FB5483">
        <w:rPr>
          <w:sz w:val="24"/>
          <w:szCs w:val="24"/>
        </w:rPr>
        <w:t>bez možnosti konzultace,</w:t>
      </w:r>
      <w:r w:rsidR="007F0333" w:rsidRPr="00FB5483">
        <w:rPr>
          <w:sz w:val="24"/>
          <w:szCs w:val="24"/>
        </w:rPr>
        <w:t xml:space="preserve"> by mohly vést ke zkrácení lhůt nejméně o</w:t>
      </w:r>
      <w:r w:rsidR="00767294">
        <w:rPr>
          <w:sz w:val="24"/>
          <w:szCs w:val="24"/>
        </w:rPr>
        <w:t> </w:t>
      </w:r>
      <w:r w:rsidR="007F0333" w:rsidRPr="00FB5483">
        <w:rPr>
          <w:sz w:val="24"/>
          <w:szCs w:val="24"/>
        </w:rPr>
        <w:t>jeden měsíc.</w:t>
      </w:r>
    </w:p>
    <w:p w:rsidR="00FA3054" w:rsidRPr="00FB5483" w:rsidRDefault="00FA3054" w:rsidP="00A704F8">
      <w:pPr>
        <w:jc w:val="both"/>
        <w:rPr>
          <w:sz w:val="24"/>
          <w:szCs w:val="24"/>
        </w:rPr>
      </w:pPr>
      <w:r w:rsidRPr="00FB5483">
        <w:rPr>
          <w:sz w:val="24"/>
          <w:szCs w:val="24"/>
        </w:rPr>
        <w:t>Přijmout je možno další kroky, jež si ovšem vyžádají změnu základního nařízení. Např. upravit dílčí lhůty, mj. k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výběru vzorku zúčastněných stran či k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 xml:space="preserve">reakci stran na předložení hlavních </w:t>
      </w:r>
      <w:r w:rsidRPr="00FB5483">
        <w:rPr>
          <w:sz w:val="24"/>
          <w:szCs w:val="24"/>
        </w:rPr>
        <w:lastRenderedPageBreak/>
        <w:t>skutečností a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argumentů. Zjednodušen by měl být i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postup konzultace s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členskými státy. Tímto způsobem by bylo možné urychlit celkový postup až o</w:t>
      </w:r>
      <w:r w:rsidR="00767294">
        <w:rPr>
          <w:sz w:val="24"/>
          <w:szCs w:val="24"/>
        </w:rPr>
        <w:t> </w:t>
      </w:r>
      <w:r w:rsidR="00980470">
        <w:rPr>
          <w:sz w:val="24"/>
          <w:szCs w:val="24"/>
        </w:rPr>
        <w:t>další dva</w:t>
      </w:r>
      <w:r w:rsidRPr="00FB5483">
        <w:rPr>
          <w:sz w:val="24"/>
          <w:szCs w:val="24"/>
        </w:rPr>
        <w:t xml:space="preserve"> měsíce na </w:t>
      </w:r>
      <w:r w:rsidR="00980470">
        <w:rPr>
          <w:sz w:val="24"/>
          <w:szCs w:val="24"/>
        </w:rPr>
        <w:t xml:space="preserve">konečných </w:t>
      </w:r>
      <w:r w:rsidRPr="00FB5483">
        <w:rPr>
          <w:sz w:val="24"/>
          <w:szCs w:val="24"/>
        </w:rPr>
        <w:t>7</w:t>
      </w:r>
      <w:r w:rsidR="00980470">
        <w:rPr>
          <w:sz w:val="24"/>
          <w:szCs w:val="24"/>
        </w:rPr>
        <w:t xml:space="preserve"> měsíců</w:t>
      </w:r>
      <w:r w:rsidRPr="00FB5483">
        <w:rPr>
          <w:sz w:val="24"/>
          <w:szCs w:val="24"/>
        </w:rPr>
        <w:t>. Dosažení tohoto cíle by Unii výrazně přiblížilo tempu, jakým jsou opatření na ochranu obchodu ukládána v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jiných zemích, a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to i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navzdory náročnějšímu a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 xml:space="preserve">složitějšímu právnímu rámci. </w:t>
      </w:r>
    </w:p>
    <w:p w:rsidR="00FA3054" w:rsidRPr="00FB5483" w:rsidRDefault="00FA3054" w:rsidP="00A704F8">
      <w:pPr>
        <w:jc w:val="both"/>
        <w:rPr>
          <w:sz w:val="24"/>
          <w:szCs w:val="24"/>
        </w:rPr>
      </w:pPr>
      <w:r w:rsidRPr="00FB5483">
        <w:rPr>
          <w:sz w:val="24"/>
          <w:szCs w:val="24"/>
        </w:rPr>
        <w:t>V tuto chvíli je samozřejmě otázkou, v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čem by např. zjednodušení postupu konzultací s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členskými státy spočívalo, a</w:t>
      </w:r>
      <w:r w:rsidR="00767294">
        <w:rPr>
          <w:sz w:val="24"/>
          <w:szCs w:val="24"/>
        </w:rPr>
        <w:t> </w:t>
      </w:r>
      <w:r w:rsidRPr="00FB5483">
        <w:rPr>
          <w:sz w:val="24"/>
          <w:szCs w:val="24"/>
        </w:rPr>
        <w:t>jakou by tento krok získal podporu napříč členskými státy.</w:t>
      </w:r>
    </w:p>
    <w:p w:rsidR="00045594" w:rsidRPr="00FB5483" w:rsidRDefault="00045594" w:rsidP="00045594">
      <w:pPr>
        <w:jc w:val="both"/>
        <w:rPr>
          <w:b/>
          <w:sz w:val="24"/>
          <w:szCs w:val="24"/>
          <w:u w:val="single"/>
        </w:rPr>
      </w:pPr>
    </w:p>
    <w:p w:rsidR="00045594" w:rsidRPr="00FB5483" w:rsidRDefault="00045594" w:rsidP="00045594">
      <w:pPr>
        <w:jc w:val="both"/>
        <w:rPr>
          <w:sz w:val="24"/>
          <w:szCs w:val="24"/>
        </w:rPr>
      </w:pPr>
      <w:r w:rsidRPr="00FB5483">
        <w:rPr>
          <w:b/>
          <w:sz w:val="24"/>
          <w:szCs w:val="24"/>
          <w:u w:val="single"/>
        </w:rPr>
        <w:t>Srovnání lhůt EU x</w:t>
      </w:r>
      <w:r w:rsidR="00767294">
        <w:rPr>
          <w:b/>
          <w:sz w:val="24"/>
          <w:szCs w:val="24"/>
          <w:u w:val="single"/>
        </w:rPr>
        <w:t xml:space="preserve"> někteří </w:t>
      </w:r>
      <w:r w:rsidRPr="00FB5483">
        <w:rPr>
          <w:b/>
          <w:sz w:val="24"/>
          <w:szCs w:val="24"/>
          <w:u w:val="single"/>
        </w:rPr>
        <w:t>členové WTO</w:t>
      </w:r>
      <w:r w:rsidRPr="00FB5483">
        <w:rPr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FB5483" w:rsidRPr="00FB5483" w:rsidTr="00592460"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b/>
                <w:sz w:val="24"/>
                <w:szCs w:val="24"/>
              </w:rPr>
            </w:pPr>
            <w:r w:rsidRPr="00FB5483">
              <w:rPr>
                <w:b/>
                <w:sz w:val="24"/>
                <w:szCs w:val="24"/>
              </w:rPr>
              <w:t>prozatímní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b/>
                <w:sz w:val="24"/>
                <w:szCs w:val="24"/>
              </w:rPr>
            </w:pPr>
            <w:r w:rsidRPr="00FB5483">
              <w:rPr>
                <w:b/>
                <w:sz w:val="24"/>
                <w:szCs w:val="24"/>
              </w:rPr>
              <w:t>konečné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b/>
                <w:sz w:val="24"/>
                <w:szCs w:val="24"/>
              </w:rPr>
            </w:pPr>
            <w:r w:rsidRPr="00FB5483">
              <w:rPr>
                <w:b/>
                <w:sz w:val="24"/>
                <w:szCs w:val="24"/>
              </w:rPr>
              <w:t>celkem</w:t>
            </w:r>
          </w:p>
        </w:tc>
      </w:tr>
      <w:tr w:rsidR="00FB5483" w:rsidRPr="00FB5483" w:rsidTr="00592460"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b/>
                <w:sz w:val="24"/>
                <w:szCs w:val="24"/>
              </w:rPr>
            </w:pPr>
            <w:r w:rsidRPr="00FB5483">
              <w:rPr>
                <w:b/>
                <w:sz w:val="24"/>
                <w:szCs w:val="24"/>
              </w:rPr>
              <w:t>Evropská unie</w:t>
            </w:r>
          </w:p>
        </w:tc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6 - 9 měsíců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6 měsíců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12-15 měsíců</w:t>
            </w:r>
          </w:p>
        </w:tc>
      </w:tr>
      <w:tr w:rsidR="00FB5483" w:rsidRPr="00FB5483" w:rsidTr="00592460"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b/>
                <w:sz w:val="24"/>
                <w:szCs w:val="24"/>
              </w:rPr>
            </w:pPr>
            <w:r w:rsidRPr="00FB5483">
              <w:rPr>
                <w:b/>
                <w:sz w:val="24"/>
                <w:szCs w:val="24"/>
              </w:rPr>
              <w:t>Evropská unie – po změně legislativy</w:t>
            </w:r>
          </w:p>
        </w:tc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3 - 6 měsíců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10-13 měsíců (při</w:t>
            </w:r>
            <w:r w:rsidR="00980470">
              <w:rPr>
                <w:sz w:val="24"/>
                <w:szCs w:val="24"/>
              </w:rPr>
              <w:t xml:space="preserve"> zavedení celní evidence dovozů)</w:t>
            </w:r>
          </w:p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7 -10 měsíců</w:t>
            </w:r>
            <w:r w:rsidR="00980470">
              <w:rPr>
                <w:sz w:val="24"/>
                <w:szCs w:val="24"/>
              </w:rPr>
              <w:t xml:space="preserve"> (při úpravě legislativy)</w:t>
            </w:r>
          </w:p>
        </w:tc>
      </w:tr>
      <w:tr w:rsidR="00FB5483" w:rsidRPr="00FB5483" w:rsidTr="00592460"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b/>
                <w:sz w:val="24"/>
                <w:szCs w:val="24"/>
              </w:rPr>
            </w:pPr>
            <w:r w:rsidRPr="00FB5483">
              <w:rPr>
                <w:b/>
                <w:sz w:val="24"/>
                <w:szCs w:val="24"/>
              </w:rPr>
              <w:t>USA</w:t>
            </w:r>
          </w:p>
        </w:tc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70 dní (2,3 měsíce)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 xml:space="preserve">120 dní 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190 dní (6,3 měsíce)</w:t>
            </w:r>
          </w:p>
        </w:tc>
      </w:tr>
      <w:tr w:rsidR="00FB5483" w:rsidRPr="00FB5483" w:rsidTr="00592460"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b/>
                <w:sz w:val="24"/>
                <w:szCs w:val="24"/>
              </w:rPr>
            </w:pPr>
            <w:r w:rsidRPr="00FB5483">
              <w:rPr>
                <w:b/>
                <w:sz w:val="24"/>
                <w:szCs w:val="24"/>
              </w:rPr>
              <w:t>Kanada</w:t>
            </w:r>
          </w:p>
        </w:tc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 xml:space="preserve">21 + 135 dní (5,2 měsíce) 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90 dní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246 dní (8,2 měsíce)</w:t>
            </w:r>
          </w:p>
        </w:tc>
      </w:tr>
      <w:tr w:rsidR="00045594" w:rsidRPr="00FB5483" w:rsidTr="00592460"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b/>
                <w:sz w:val="24"/>
                <w:szCs w:val="24"/>
              </w:rPr>
            </w:pPr>
            <w:r w:rsidRPr="00FB5483">
              <w:rPr>
                <w:b/>
                <w:sz w:val="24"/>
                <w:szCs w:val="24"/>
              </w:rPr>
              <w:t>Japonsko</w:t>
            </w:r>
          </w:p>
        </w:tc>
        <w:tc>
          <w:tcPr>
            <w:tcW w:w="2265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12 – 18 měsíců</w:t>
            </w:r>
          </w:p>
        </w:tc>
        <w:tc>
          <w:tcPr>
            <w:tcW w:w="2266" w:type="dxa"/>
          </w:tcPr>
          <w:p w:rsidR="00045594" w:rsidRPr="00FB5483" w:rsidRDefault="00045594" w:rsidP="00592460">
            <w:pPr>
              <w:jc w:val="both"/>
              <w:rPr>
                <w:sz w:val="24"/>
                <w:szCs w:val="24"/>
              </w:rPr>
            </w:pPr>
            <w:r w:rsidRPr="00FB5483">
              <w:rPr>
                <w:sz w:val="24"/>
                <w:szCs w:val="24"/>
              </w:rPr>
              <w:t>12-18 měsíců</w:t>
            </w:r>
          </w:p>
        </w:tc>
      </w:tr>
    </w:tbl>
    <w:p w:rsidR="00FA3054" w:rsidRPr="00FB5483" w:rsidRDefault="00FA3054" w:rsidP="00A704F8">
      <w:pPr>
        <w:jc w:val="both"/>
        <w:rPr>
          <w:sz w:val="24"/>
          <w:szCs w:val="24"/>
        </w:rPr>
      </w:pPr>
    </w:p>
    <w:p w:rsidR="00FA3054" w:rsidRPr="00FB5483" w:rsidRDefault="00FA3054" w:rsidP="00A704F8">
      <w:pPr>
        <w:jc w:val="both"/>
        <w:rPr>
          <w:sz w:val="24"/>
          <w:szCs w:val="24"/>
        </w:rPr>
      </w:pPr>
    </w:p>
    <w:p w:rsidR="00AF55A5" w:rsidRPr="00FB5483" w:rsidRDefault="00AF55A5" w:rsidP="00AF55A5">
      <w:pPr>
        <w:pStyle w:val="Odstavecseseznamem"/>
        <w:jc w:val="both"/>
        <w:rPr>
          <w:sz w:val="24"/>
          <w:szCs w:val="24"/>
        </w:rPr>
      </w:pPr>
    </w:p>
    <w:sectPr w:rsidR="00AF55A5" w:rsidRPr="00FB5483" w:rsidSect="00E4303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1E7" w:rsidRDefault="00F011E7" w:rsidP="00926AEF">
      <w:pPr>
        <w:spacing w:after="0" w:line="240" w:lineRule="auto"/>
      </w:pPr>
      <w:r>
        <w:separator/>
      </w:r>
    </w:p>
  </w:endnote>
  <w:endnote w:type="continuationSeparator" w:id="0">
    <w:p w:rsidR="00F011E7" w:rsidRDefault="00F011E7" w:rsidP="0092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364443"/>
      <w:docPartObj>
        <w:docPartGallery w:val="Page Numbers (Bottom of Page)"/>
        <w:docPartUnique/>
      </w:docPartObj>
    </w:sdtPr>
    <w:sdtContent>
      <w:p w:rsidR="00045594" w:rsidRDefault="00E43039">
        <w:pPr>
          <w:pStyle w:val="Zpat"/>
          <w:jc w:val="right"/>
        </w:pPr>
        <w:r>
          <w:fldChar w:fldCharType="begin"/>
        </w:r>
        <w:r w:rsidR="00045594">
          <w:instrText>PAGE   \* MERGEFORMAT</w:instrText>
        </w:r>
        <w:r>
          <w:fldChar w:fldCharType="separate"/>
        </w:r>
        <w:r w:rsidR="002B2B46">
          <w:rPr>
            <w:noProof/>
          </w:rPr>
          <w:t>1</w:t>
        </w:r>
        <w:r>
          <w:fldChar w:fldCharType="end"/>
        </w:r>
      </w:p>
    </w:sdtContent>
  </w:sdt>
  <w:p w:rsidR="00045594" w:rsidRDefault="0004559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1E7" w:rsidRDefault="00F011E7" w:rsidP="00926AEF">
      <w:pPr>
        <w:spacing w:after="0" w:line="240" w:lineRule="auto"/>
      </w:pPr>
      <w:r>
        <w:separator/>
      </w:r>
    </w:p>
  </w:footnote>
  <w:footnote w:type="continuationSeparator" w:id="0">
    <w:p w:rsidR="00F011E7" w:rsidRDefault="00F011E7" w:rsidP="00926AEF">
      <w:pPr>
        <w:spacing w:after="0" w:line="240" w:lineRule="auto"/>
      </w:pPr>
      <w:r>
        <w:continuationSeparator/>
      </w:r>
    </w:p>
  </w:footnote>
  <w:footnote w:id="1">
    <w:p w:rsidR="00926AEF" w:rsidRDefault="00926AEF">
      <w:pPr>
        <w:pStyle w:val="Textpoznpodarou"/>
      </w:pPr>
      <w:r>
        <w:rPr>
          <w:rStyle w:val="Znakapoznpodarou"/>
        </w:rPr>
        <w:footnoteRef/>
      </w:r>
      <w:r>
        <w:t xml:space="preserve"> Nicméně rozhodnutí o zahájení AD či AS šetření se do skutečné doby šetření nezapočítává. Jedná se pouze o interní termín pro EK, ve kterém musí reagovat na podaný podnět.</w:t>
      </w:r>
    </w:p>
  </w:footnote>
  <w:footnote w:id="2">
    <w:p w:rsidR="00375A7F" w:rsidRPr="00375A7F" w:rsidRDefault="00375A7F" w:rsidP="00375A7F">
      <w:pPr>
        <w:jc w:val="both"/>
        <w:rPr>
          <w:color w:val="0000FF" w:themeColor="hyperlink"/>
          <w:sz w:val="20"/>
          <w:u w:val="single"/>
          <w:lang w:val="en-US"/>
        </w:rPr>
      </w:pPr>
      <w:r w:rsidRPr="00375A7F">
        <w:rPr>
          <w:rStyle w:val="Znakapoznpodarou"/>
          <w:sz w:val="20"/>
        </w:rPr>
        <w:footnoteRef/>
      </w:r>
      <w:r w:rsidRPr="00375A7F">
        <w:rPr>
          <w:sz w:val="20"/>
        </w:rPr>
        <w:t xml:space="preserve"> </w:t>
      </w:r>
      <w:hyperlink r:id="rId1" w:history="1">
        <w:r w:rsidRPr="00375A7F">
          <w:rPr>
            <w:rStyle w:val="Hypertextovodkaz"/>
            <w:sz w:val="20"/>
          </w:rPr>
          <w:t>https://www.usitc.gov/</w:t>
        </w:r>
      </w:hyperlink>
      <w:r w:rsidRPr="00375A7F">
        <w:rPr>
          <w:sz w:val="20"/>
        </w:rPr>
        <w:t xml:space="preserve">  a </w:t>
      </w:r>
      <w:hyperlink r:id="rId2" w:history="1">
        <w:r w:rsidRPr="00375A7F">
          <w:rPr>
            <w:rStyle w:val="Hypertextovodkaz"/>
            <w:sz w:val="20"/>
            <w:lang w:val="en-US"/>
          </w:rPr>
          <w:t>https://www.usitc.gov/press_room/usad.htm</w:t>
        </w:r>
      </w:hyperlink>
    </w:p>
    <w:p w:rsidR="00375A7F" w:rsidRDefault="00375A7F">
      <w:pPr>
        <w:pStyle w:val="Textpoznpodarou"/>
      </w:pPr>
    </w:p>
  </w:footnote>
  <w:footnote w:id="3">
    <w:p w:rsidR="00E404CA" w:rsidRDefault="00E404CA">
      <w:pPr>
        <w:pStyle w:val="Textpoznpodarou"/>
      </w:pPr>
      <w:r>
        <w:rPr>
          <w:rStyle w:val="Znakapoznpodarou"/>
        </w:rPr>
        <w:footnoteRef/>
      </w:r>
      <w:r>
        <w:t xml:space="preserve"> Notifikováno u WTO pod kódem</w:t>
      </w:r>
      <w:r w:rsidRPr="00E404CA">
        <w:t xml:space="preserve"> (G/ADP/N/1/USA/1).</w:t>
      </w:r>
    </w:p>
  </w:footnote>
  <w:footnote w:id="4">
    <w:p w:rsidR="00385E1F" w:rsidRDefault="00385E1F">
      <w:pPr>
        <w:pStyle w:val="Textpoznpodarou"/>
      </w:pPr>
      <w:r>
        <w:rPr>
          <w:rStyle w:val="Znakapoznpodarou"/>
        </w:rPr>
        <w:footnoteRef/>
      </w:r>
      <w:r>
        <w:t xml:space="preserve"> Notifikováno u WTO pod kódem (G/ADP/N/1/CAN/2).</w:t>
      </w:r>
    </w:p>
  </w:footnote>
  <w:footnote w:id="5">
    <w:p w:rsidR="00A14A9C" w:rsidRPr="00104FFA" w:rsidRDefault="00A14A9C">
      <w:pPr>
        <w:pStyle w:val="Textpoznpodarou"/>
      </w:pPr>
      <w:r w:rsidRPr="00104FFA">
        <w:rPr>
          <w:rStyle w:val="Znakapoznpodarou"/>
        </w:rPr>
        <w:footnoteRef/>
      </w:r>
      <w:r w:rsidRPr="00104FFA">
        <w:t xml:space="preserve"> Notifikováno u WTO pod kódem (G/ADP/N/1/JPN/2).</w:t>
      </w:r>
    </w:p>
  </w:footnote>
  <w:footnote w:id="6">
    <w:p w:rsidR="00EB1F44" w:rsidRPr="00104FFA" w:rsidRDefault="00EB1F44">
      <w:pPr>
        <w:pStyle w:val="Textpoznpodarou"/>
      </w:pPr>
      <w:r w:rsidRPr="00104FFA">
        <w:rPr>
          <w:rStyle w:val="Znakapoznpodarou"/>
        </w:rPr>
        <w:footnoteRef/>
      </w:r>
      <w:r w:rsidRPr="00104FFA">
        <w:t xml:space="preserve"> Notifikováno u WTO pod kódem (G/ADP/N//RUS/1).</w:t>
      </w:r>
    </w:p>
  </w:footnote>
  <w:footnote w:id="7">
    <w:p w:rsidR="00EB1F44" w:rsidRDefault="00EB1F44">
      <w:pPr>
        <w:pStyle w:val="Textpoznpodarou"/>
      </w:pPr>
      <w:r w:rsidRPr="00104FFA">
        <w:rPr>
          <w:rStyle w:val="Znakapoznpodarou"/>
        </w:rPr>
        <w:footnoteRef/>
      </w:r>
      <w:r w:rsidRPr="00104FFA">
        <w:t xml:space="preserve"> Notifikováno u WTO pod kódem</w:t>
      </w:r>
      <w:r w:rsidRPr="00104FFA">
        <w:rPr>
          <w:b/>
          <w:bCs/>
        </w:rPr>
        <w:t xml:space="preserve"> </w:t>
      </w:r>
      <w:r w:rsidRPr="00104FFA">
        <w:rPr>
          <w:bCs/>
        </w:rPr>
        <w:t>(G/ADP/N/1/BRA/1).</w:t>
      </w:r>
    </w:p>
  </w:footnote>
  <w:footnote w:id="8">
    <w:p w:rsidR="00A704F8" w:rsidRDefault="00A704F8">
      <w:pPr>
        <w:pStyle w:val="Textpoznpodarou"/>
      </w:pPr>
      <w:r>
        <w:rPr>
          <w:rStyle w:val="Znakapoznpodarou"/>
        </w:rPr>
        <w:footnoteRef/>
      </w:r>
      <w:r>
        <w:t xml:space="preserve"> Nařízení Rady (ES) č. 1225/2009 ze dne 30. listopadu 2009 o ochraně před dumpingovým dovozem ze zemí, které nejsou členy ES</w:t>
      </w:r>
    </w:p>
  </w:footnote>
  <w:footnote w:id="9">
    <w:p w:rsidR="00A704F8" w:rsidRDefault="00A704F8">
      <w:pPr>
        <w:pStyle w:val="Textpoznpodarou"/>
      </w:pPr>
      <w:r>
        <w:rPr>
          <w:rStyle w:val="Znakapoznpodarou"/>
        </w:rPr>
        <w:footnoteRef/>
      </w:r>
      <w:r>
        <w:t xml:space="preserve"> Současná praxe je taková, že k zahájení celní evidence dochází nejdříve cca 3 měsíce po zahájení šetření. Důvodem je nutnost podání odůvodněné žádosti.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DD" w:rsidRDefault="00116BDD" w:rsidP="00116BDD">
    <w:pPr>
      <w:pStyle w:val="Zhlav"/>
      <w:jc w:val="right"/>
    </w:pPr>
    <w:r>
      <w:t>Příloha č. 2</w:t>
    </w:r>
  </w:p>
  <w:p w:rsidR="007E5936" w:rsidRDefault="007E593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0E18"/>
    <w:multiLevelType w:val="hybridMultilevel"/>
    <w:tmpl w:val="5FA6C1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234BC"/>
    <w:rsid w:val="00045594"/>
    <w:rsid w:val="000907B3"/>
    <w:rsid w:val="00104FFA"/>
    <w:rsid w:val="00116BDD"/>
    <w:rsid w:val="00230D6F"/>
    <w:rsid w:val="002678EC"/>
    <w:rsid w:val="00273523"/>
    <w:rsid w:val="00287DC2"/>
    <w:rsid w:val="002B2B46"/>
    <w:rsid w:val="002E51EC"/>
    <w:rsid w:val="00375A7F"/>
    <w:rsid w:val="00385E1F"/>
    <w:rsid w:val="003A65D8"/>
    <w:rsid w:val="00495125"/>
    <w:rsid w:val="004C47B5"/>
    <w:rsid w:val="00587700"/>
    <w:rsid w:val="006466DE"/>
    <w:rsid w:val="006C70B2"/>
    <w:rsid w:val="00767294"/>
    <w:rsid w:val="007B3397"/>
    <w:rsid w:val="007E5936"/>
    <w:rsid w:val="007F0333"/>
    <w:rsid w:val="008234BC"/>
    <w:rsid w:val="0082748F"/>
    <w:rsid w:val="0087475E"/>
    <w:rsid w:val="008B6EC3"/>
    <w:rsid w:val="00926AEF"/>
    <w:rsid w:val="00980470"/>
    <w:rsid w:val="0099760F"/>
    <w:rsid w:val="009D61EF"/>
    <w:rsid w:val="00A14A9C"/>
    <w:rsid w:val="00A704F8"/>
    <w:rsid w:val="00AF55A5"/>
    <w:rsid w:val="00C53601"/>
    <w:rsid w:val="00CE2AB7"/>
    <w:rsid w:val="00D45121"/>
    <w:rsid w:val="00E404CA"/>
    <w:rsid w:val="00E43039"/>
    <w:rsid w:val="00E51C92"/>
    <w:rsid w:val="00E56E9D"/>
    <w:rsid w:val="00E80FD5"/>
    <w:rsid w:val="00EB1F44"/>
    <w:rsid w:val="00F011E7"/>
    <w:rsid w:val="00F50635"/>
    <w:rsid w:val="00FA3054"/>
    <w:rsid w:val="00FB3B08"/>
    <w:rsid w:val="00FB5483"/>
    <w:rsid w:val="00FC2CCB"/>
    <w:rsid w:val="00FC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B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34B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287D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6AEF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26AEF"/>
    <w:rPr>
      <w:rFonts w:asciiTheme="minorHAnsi" w:hAnsiTheme="minorHAnsi"/>
    </w:rPr>
  </w:style>
  <w:style w:type="character" w:styleId="Znakapoznpodarou">
    <w:name w:val="footnote reference"/>
    <w:basedOn w:val="Standardnpsmoodstavce"/>
    <w:uiPriority w:val="99"/>
    <w:semiHidden/>
    <w:unhideWhenUsed/>
    <w:rsid w:val="00926AE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E404CA"/>
    <w:pPr>
      <w:ind w:left="720"/>
      <w:contextualSpacing/>
    </w:pPr>
  </w:style>
  <w:style w:type="table" w:styleId="Mkatabulky">
    <w:name w:val="Table Grid"/>
    <w:basedOn w:val="Normlntabulka"/>
    <w:uiPriority w:val="59"/>
    <w:rsid w:val="00E51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">
    <w:name w:val="CM1"/>
    <w:basedOn w:val="Normln"/>
    <w:next w:val="Normln"/>
    <w:uiPriority w:val="99"/>
    <w:rsid w:val="00A704F8"/>
    <w:pPr>
      <w:overflowPunct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CM3">
    <w:name w:val="CM3"/>
    <w:basedOn w:val="Normln"/>
    <w:next w:val="Normln"/>
    <w:uiPriority w:val="99"/>
    <w:rsid w:val="00A704F8"/>
    <w:pPr>
      <w:overflowPunct/>
      <w:spacing w:after="0" w:line="240" w:lineRule="auto"/>
      <w:textAlignment w:val="auto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4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5594"/>
    <w:rPr>
      <w:rFonts w:asciiTheme="minorHAnsi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045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5594"/>
    <w:rPr>
      <w:rFonts w:asciiTheme="minorHAnsi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15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0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itc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sitc.gov/press_room/usad.htm" TargetMode="External"/><Relationship Id="rId1" Type="http://schemas.openxmlformats.org/officeDocument/2006/relationships/hyperlink" Target="https://www.usitc.gov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56BF6-DF88-4513-BE0C-04CDA5C5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1154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Polnická Patricie</dc:creator>
  <cp:lastModifiedBy>OSPZV3 ospzv3</cp:lastModifiedBy>
  <cp:revision>2</cp:revision>
  <cp:lastPrinted>2016-06-02T07:02:00Z</cp:lastPrinted>
  <dcterms:created xsi:type="dcterms:W3CDTF">2016-06-02T07:03:00Z</dcterms:created>
  <dcterms:modified xsi:type="dcterms:W3CDTF">2016-06-02T07:03:00Z</dcterms:modified>
</cp:coreProperties>
</file>