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6B" w:rsidRDefault="00774302" w:rsidP="00667879">
      <w:pPr>
        <w:rPr>
          <w:rFonts w:ascii="Cambria" w:hAnsi="Cambria"/>
          <w:b/>
          <w:bCs/>
          <w:caps/>
          <w:color w:val="E36C0A"/>
          <w:sz w:val="52"/>
          <w:szCs w:val="44"/>
          <w:lang w:eastAsia="cs-CZ"/>
        </w:rPr>
      </w:pPr>
      <w:bookmarkStart w:id="0" w:name="_GoBack"/>
      <w:bookmarkStart w:id="1" w:name="_Toc394499752"/>
      <w:bookmarkStart w:id="2" w:name="_Toc394490148"/>
      <w:bookmarkEnd w:id="0"/>
      <w:r>
        <w:rPr>
          <w:noProof/>
          <w:lang w:eastAsia="cs-CZ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43455" cy="1103630"/>
            <wp:effectExtent l="0" t="0" r="4445" b="1270"/>
            <wp:wrapNone/>
            <wp:docPr id="1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246B" w:rsidRDefault="0085246B" w:rsidP="00667879">
      <w:pPr>
        <w:rPr>
          <w:rFonts w:ascii="Cambria" w:hAnsi="Cambria"/>
          <w:b/>
          <w:bCs/>
          <w:caps/>
          <w:color w:val="E36C0A"/>
          <w:sz w:val="52"/>
          <w:szCs w:val="44"/>
          <w:lang w:eastAsia="cs-CZ"/>
        </w:rPr>
      </w:pPr>
    </w:p>
    <w:p w:rsidR="0085246B" w:rsidRDefault="0085246B" w:rsidP="00667879">
      <w:pPr>
        <w:rPr>
          <w:rFonts w:ascii="Cambria" w:hAnsi="Cambria"/>
          <w:b/>
          <w:bCs/>
          <w:caps/>
          <w:color w:val="E36C0A"/>
          <w:sz w:val="52"/>
          <w:szCs w:val="44"/>
          <w:lang w:eastAsia="cs-CZ"/>
        </w:rPr>
      </w:pPr>
    </w:p>
    <w:p w:rsidR="0085246B" w:rsidRDefault="0085246B" w:rsidP="00667879">
      <w:pPr>
        <w:rPr>
          <w:rFonts w:ascii="Cambria" w:hAnsi="Cambria"/>
          <w:b/>
          <w:bCs/>
          <w:caps/>
          <w:color w:val="E36C0A"/>
          <w:sz w:val="52"/>
          <w:szCs w:val="44"/>
          <w:lang w:eastAsia="cs-CZ"/>
        </w:rPr>
      </w:pPr>
    </w:p>
    <w:p w:rsidR="0085246B" w:rsidRDefault="0085246B" w:rsidP="00667879">
      <w:pPr>
        <w:rPr>
          <w:rFonts w:ascii="Cambria" w:hAnsi="Cambria"/>
          <w:b/>
          <w:bCs/>
          <w:caps/>
          <w:color w:val="E36C0A"/>
          <w:sz w:val="52"/>
          <w:szCs w:val="44"/>
          <w:lang w:eastAsia="cs-CZ"/>
        </w:rPr>
      </w:pPr>
    </w:p>
    <w:p w:rsidR="0085246B" w:rsidRDefault="0085246B" w:rsidP="00667879"/>
    <w:p w:rsidR="0085246B" w:rsidRDefault="00987BEA" w:rsidP="0085246B">
      <w:pPr>
        <w:jc w:val="center"/>
        <w:rPr>
          <w:rFonts w:ascii="Cambria" w:hAnsi="Cambria"/>
          <w:b/>
          <w:bCs/>
          <w:caps/>
          <w:color w:val="E36C0A"/>
          <w:sz w:val="52"/>
          <w:szCs w:val="44"/>
          <w:lang w:eastAsia="cs-CZ"/>
        </w:rPr>
      </w:pPr>
      <w:r w:rsidRPr="00987BEA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26" type="#_x0000_t202" style="position:absolute;left:0;text-align:left;margin-left:-4pt;margin-top:101.7pt;width:193pt;height:39.05pt;z-index:251644928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" filled="f" stroked="f" strokeweight=".5pt">
            <v:path arrowok="t"/>
            <v:textbox>
              <w:txbxContent>
                <w:p w:rsidR="00E870C2" w:rsidRDefault="00E870C2" w:rsidP="00A43948">
                  <w:pPr>
                    <w:rPr>
                      <w:b/>
                      <w:bCs/>
                      <w:caps/>
                      <w:color w:val="808080"/>
                      <w:szCs w:val="18"/>
                    </w:rPr>
                  </w:pPr>
                  <w:r>
                    <w:rPr>
                      <w:b/>
                      <w:bCs/>
                      <w:caps/>
                      <w:color w:val="808080"/>
                      <w:szCs w:val="18"/>
                    </w:rPr>
                    <w:t>oddělení msp a maloobchodu</w:t>
                  </w:r>
                </w:p>
              </w:txbxContent>
            </v:textbox>
            <w10:wrap anchorx="margin" anchory="margin"/>
          </v:shape>
        </w:pict>
      </w:r>
      <w:r w:rsidR="00667879">
        <w:rPr>
          <w:rFonts w:ascii="Cambria" w:hAnsi="Cambria"/>
          <w:b/>
          <w:bCs/>
          <w:caps/>
          <w:color w:val="E36C0A"/>
          <w:sz w:val="52"/>
          <w:szCs w:val="44"/>
          <w:lang w:eastAsia="cs-CZ"/>
        </w:rPr>
        <w:t xml:space="preserve">Akční plán podpory malých </w:t>
      </w:r>
      <w:r w:rsidR="003E3F16">
        <w:rPr>
          <w:rFonts w:ascii="Cambria" w:hAnsi="Cambria"/>
          <w:b/>
          <w:bCs/>
          <w:caps/>
          <w:color w:val="E36C0A"/>
          <w:sz w:val="52"/>
          <w:szCs w:val="44"/>
          <w:lang w:eastAsia="cs-CZ"/>
        </w:rPr>
        <w:br/>
      </w:r>
      <w:r w:rsidR="00667879">
        <w:rPr>
          <w:rFonts w:ascii="Cambria" w:hAnsi="Cambria"/>
          <w:b/>
          <w:bCs/>
          <w:caps/>
          <w:color w:val="E36C0A"/>
          <w:sz w:val="52"/>
          <w:szCs w:val="44"/>
          <w:lang w:eastAsia="cs-CZ"/>
        </w:rPr>
        <w:t xml:space="preserve">a středních podnikatelů </w:t>
      </w:r>
      <w:r w:rsidR="0068396E">
        <w:rPr>
          <w:rFonts w:ascii="Cambria" w:hAnsi="Cambria"/>
          <w:b/>
          <w:bCs/>
          <w:caps/>
          <w:color w:val="E36C0A"/>
          <w:sz w:val="52"/>
          <w:szCs w:val="44"/>
          <w:lang w:eastAsia="cs-CZ"/>
        </w:rPr>
        <w:br/>
      </w:r>
      <w:r w:rsidR="00774302">
        <w:rPr>
          <w:noProof/>
          <w:lang w:eastAsia="cs-CZ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page">
              <wp:posOffset>-64770</wp:posOffset>
            </wp:positionH>
            <wp:positionV relativeFrom="page">
              <wp:posOffset>6271895</wp:posOffset>
            </wp:positionV>
            <wp:extent cx="5760085" cy="4438650"/>
            <wp:effectExtent l="0" t="0" r="0" b="0"/>
            <wp:wrapNone/>
            <wp:docPr id="1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43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4C39">
        <w:rPr>
          <w:rFonts w:ascii="Cambria" w:hAnsi="Cambria"/>
          <w:b/>
          <w:bCs/>
          <w:caps/>
          <w:color w:val="E36C0A"/>
          <w:sz w:val="52"/>
          <w:szCs w:val="44"/>
          <w:lang w:eastAsia="cs-CZ"/>
        </w:rPr>
        <w:t xml:space="preserve">na rok </w:t>
      </w:r>
      <w:r w:rsidR="00E872DF">
        <w:rPr>
          <w:rFonts w:ascii="Cambria" w:hAnsi="Cambria"/>
          <w:b/>
          <w:bCs/>
          <w:caps/>
          <w:color w:val="E36C0A"/>
          <w:sz w:val="52"/>
          <w:szCs w:val="44"/>
          <w:lang w:eastAsia="cs-CZ"/>
        </w:rPr>
        <w:t>2016</w:t>
      </w:r>
      <w:r w:rsidR="0085246B">
        <w:rPr>
          <w:rFonts w:ascii="Cambria" w:hAnsi="Cambria"/>
          <w:b/>
          <w:bCs/>
          <w:caps/>
          <w:color w:val="E36C0A"/>
          <w:sz w:val="52"/>
          <w:szCs w:val="44"/>
          <w:lang w:eastAsia="cs-CZ"/>
        </w:rPr>
        <w:t xml:space="preserve"> </w:t>
      </w:r>
    </w:p>
    <w:p w:rsidR="00A43948" w:rsidRDefault="00A43948" w:rsidP="00B05A01">
      <w:pPr>
        <w:spacing w:after="0" w:line="312" w:lineRule="auto"/>
        <w:ind w:left="4248" w:firstLine="708"/>
        <w:rPr>
          <w:rFonts w:ascii="Cambria" w:hAnsi="Cambria"/>
          <w:sz w:val="28"/>
        </w:rPr>
      </w:pPr>
    </w:p>
    <w:p w:rsidR="00A43948" w:rsidRDefault="00A43948" w:rsidP="00B05A01">
      <w:pPr>
        <w:spacing w:after="0" w:line="312" w:lineRule="auto"/>
        <w:ind w:left="4248" w:firstLine="708"/>
        <w:rPr>
          <w:rFonts w:ascii="Cambria" w:hAnsi="Cambria"/>
          <w:sz w:val="28"/>
        </w:rPr>
      </w:pPr>
    </w:p>
    <w:p w:rsidR="00D13C5D" w:rsidRDefault="00D13C5D" w:rsidP="00B05A01">
      <w:pPr>
        <w:spacing w:after="0" w:line="312" w:lineRule="auto"/>
        <w:ind w:left="4248" w:firstLine="708"/>
        <w:rPr>
          <w:rFonts w:ascii="Cambria" w:hAnsi="Cambria"/>
          <w:sz w:val="28"/>
        </w:rPr>
      </w:pPr>
    </w:p>
    <w:p w:rsidR="00EF1E16" w:rsidRDefault="00EF1E16" w:rsidP="00B05A01">
      <w:pPr>
        <w:spacing w:after="0" w:line="312" w:lineRule="auto"/>
        <w:ind w:left="4248" w:firstLine="708"/>
        <w:rPr>
          <w:rFonts w:ascii="Cambria" w:hAnsi="Cambria"/>
          <w:sz w:val="28"/>
        </w:rPr>
      </w:pPr>
    </w:p>
    <w:p w:rsidR="00EF1E16" w:rsidRDefault="00EF1E16" w:rsidP="00B05A01">
      <w:pPr>
        <w:spacing w:after="0" w:line="312" w:lineRule="auto"/>
        <w:ind w:left="4248" w:firstLine="708"/>
        <w:rPr>
          <w:rFonts w:ascii="Cambria" w:hAnsi="Cambria"/>
          <w:sz w:val="28"/>
        </w:rPr>
      </w:pPr>
    </w:p>
    <w:p w:rsidR="00D13C5D" w:rsidRDefault="00D13C5D" w:rsidP="00B05A01">
      <w:pPr>
        <w:spacing w:after="0" w:line="312" w:lineRule="auto"/>
        <w:ind w:left="4248" w:firstLine="708"/>
        <w:rPr>
          <w:rFonts w:ascii="Cambria" w:hAnsi="Cambria"/>
          <w:sz w:val="28"/>
        </w:rPr>
      </w:pPr>
    </w:p>
    <w:p w:rsidR="00A43948" w:rsidRDefault="00A43948" w:rsidP="00B05A01">
      <w:pPr>
        <w:spacing w:after="0" w:line="312" w:lineRule="auto"/>
        <w:ind w:left="4248" w:firstLine="708"/>
        <w:rPr>
          <w:rFonts w:ascii="Cambria" w:hAnsi="Cambria"/>
          <w:sz w:val="28"/>
        </w:rPr>
      </w:pPr>
    </w:p>
    <w:p w:rsidR="00A43948" w:rsidRDefault="00A43948" w:rsidP="00B05A01">
      <w:pPr>
        <w:spacing w:after="0" w:line="312" w:lineRule="auto"/>
        <w:ind w:left="6372" w:firstLine="708"/>
        <w:rPr>
          <w:rFonts w:ascii="Cambria" w:hAnsi="Cambria"/>
          <w:sz w:val="28"/>
        </w:rPr>
      </w:pPr>
    </w:p>
    <w:p w:rsidR="00A43948" w:rsidRDefault="00A43948" w:rsidP="00B05A01">
      <w:pPr>
        <w:spacing w:after="0" w:line="312" w:lineRule="auto"/>
        <w:ind w:left="6372" w:firstLine="708"/>
        <w:rPr>
          <w:rFonts w:ascii="Cambria" w:hAnsi="Cambria"/>
          <w:sz w:val="28"/>
        </w:rPr>
      </w:pPr>
    </w:p>
    <w:p w:rsidR="00A43948" w:rsidRDefault="00A43948" w:rsidP="00B05A01">
      <w:pPr>
        <w:spacing w:after="0" w:line="312" w:lineRule="auto"/>
        <w:ind w:left="6372" w:firstLine="708"/>
        <w:rPr>
          <w:rFonts w:ascii="Cambria" w:hAnsi="Cambria"/>
          <w:sz w:val="28"/>
        </w:rPr>
      </w:pPr>
    </w:p>
    <w:p w:rsidR="00E872DF" w:rsidRDefault="00E872DF" w:rsidP="00667879">
      <w:pPr>
        <w:pStyle w:val="Nadpis1"/>
        <w:ind w:left="432" w:hanging="432"/>
      </w:pPr>
    </w:p>
    <w:p w:rsidR="00E872DF" w:rsidRDefault="00E872DF" w:rsidP="00667879">
      <w:pPr>
        <w:pStyle w:val="Nadpis1"/>
        <w:ind w:left="432" w:hanging="432"/>
      </w:pPr>
    </w:p>
    <w:p w:rsidR="00E872DF" w:rsidRDefault="00E872DF" w:rsidP="00667879">
      <w:pPr>
        <w:pStyle w:val="Nadpis1"/>
        <w:ind w:left="432" w:hanging="432"/>
      </w:pPr>
    </w:p>
    <w:p w:rsidR="00E872DF" w:rsidRPr="00E872DF" w:rsidRDefault="00E872DF" w:rsidP="00E872DF"/>
    <w:p w:rsidR="00667879" w:rsidRDefault="00667879" w:rsidP="00667879">
      <w:pPr>
        <w:pStyle w:val="Nadpis1"/>
        <w:ind w:left="432" w:hanging="432"/>
      </w:pPr>
      <w:bookmarkStart w:id="3" w:name="_Toc433272193"/>
      <w:r>
        <w:lastRenderedPageBreak/>
        <w:t>Obsah</w:t>
      </w:r>
      <w:bookmarkEnd w:id="1"/>
      <w:bookmarkEnd w:id="2"/>
      <w:bookmarkEnd w:id="3"/>
    </w:p>
    <w:p w:rsidR="00237E1E" w:rsidRDefault="00987BE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 w:rsidRPr="00987BEA">
        <w:fldChar w:fldCharType="begin"/>
      </w:r>
      <w:r w:rsidR="00A03007">
        <w:instrText xml:space="preserve"> TOC \o "1-3" \h \z \u </w:instrText>
      </w:r>
      <w:r w:rsidRPr="00987BEA">
        <w:fldChar w:fldCharType="separate"/>
      </w:r>
      <w:hyperlink w:anchor="_Toc433272193" w:history="1"/>
    </w:p>
    <w:p w:rsidR="00237E1E" w:rsidRDefault="00987BE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433272194" w:history="1">
        <w:r w:rsidR="00237E1E" w:rsidRPr="002E5BFC">
          <w:rPr>
            <w:rStyle w:val="Hypertextovodkaz"/>
            <w:noProof/>
          </w:rPr>
          <w:t>1.</w:t>
        </w:r>
        <w:r w:rsidR="00237E1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237E1E" w:rsidRPr="002E5BFC">
          <w:rPr>
            <w:rStyle w:val="Hypertextovodkaz"/>
            <w:noProof/>
          </w:rPr>
          <w:t>Úvod</w:t>
        </w:r>
        <w:r w:rsidR="00237E1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7E1E">
          <w:rPr>
            <w:noProof/>
            <w:webHidden/>
          </w:rPr>
          <w:instrText xml:space="preserve"> PAGEREF _Toc433272194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7C3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37E1E" w:rsidRDefault="00987BE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433272195" w:history="1">
        <w:r w:rsidR="00237E1E" w:rsidRPr="002E5BFC">
          <w:rPr>
            <w:rStyle w:val="Hypertextovodkaz"/>
            <w:noProof/>
          </w:rPr>
          <w:t>2.</w:t>
        </w:r>
        <w:r w:rsidR="00237E1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237E1E" w:rsidRPr="002E5BFC">
          <w:rPr>
            <w:rStyle w:val="Hypertextovodkaz"/>
            <w:noProof/>
          </w:rPr>
          <w:t>Prioritní oblasti podpory MSP</w:t>
        </w:r>
        <w:r w:rsidR="00237E1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7E1E">
          <w:rPr>
            <w:noProof/>
            <w:webHidden/>
          </w:rPr>
          <w:instrText xml:space="preserve"> PAGEREF _Toc433272195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7C3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37E1E" w:rsidRDefault="00987BEA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433272196" w:history="1">
        <w:r w:rsidR="00237E1E" w:rsidRPr="002E5BFC">
          <w:rPr>
            <w:rStyle w:val="Hypertextovodkaz"/>
            <w:noProof/>
          </w:rPr>
          <w:t>2.1.</w:t>
        </w:r>
        <w:r w:rsidR="00237E1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237E1E" w:rsidRPr="002E5BFC">
          <w:rPr>
            <w:rStyle w:val="Hypertextovodkaz"/>
            <w:noProof/>
          </w:rPr>
          <w:t>„Přátelské“ podnikatelské prostředí pro MSP</w:t>
        </w:r>
        <w:r w:rsidR="00237E1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7E1E">
          <w:rPr>
            <w:noProof/>
            <w:webHidden/>
          </w:rPr>
          <w:instrText xml:space="preserve"> PAGEREF _Toc433272196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7C3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37E1E" w:rsidRDefault="00987BEA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433272197" w:history="1">
        <w:r w:rsidR="00237E1E" w:rsidRPr="002E5BFC">
          <w:rPr>
            <w:rStyle w:val="Hypertextovodkaz"/>
            <w:noProof/>
          </w:rPr>
          <w:t>2.2.</w:t>
        </w:r>
        <w:r w:rsidR="00237E1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237E1E" w:rsidRPr="002E5BFC">
          <w:rPr>
            <w:rStyle w:val="Hypertextovodkaz"/>
            <w:noProof/>
          </w:rPr>
          <w:t>Přístup k financím</w:t>
        </w:r>
        <w:r w:rsidR="00237E1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7E1E">
          <w:rPr>
            <w:noProof/>
            <w:webHidden/>
          </w:rPr>
          <w:instrText xml:space="preserve"> PAGEREF _Toc433272197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7C3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37E1E" w:rsidRDefault="00987BEA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433272198" w:history="1">
        <w:r w:rsidR="00237E1E" w:rsidRPr="002E5BFC">
          <w:rPr>
            <w:rStyle w:val="Hypertextovodkaz"/>
            <w:noProof/>
          </w:rPr>
          <w:t>2.3.</w:t>
        </w:r>
        <w:r w:rsidR="00237E1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237E1E" w:rsidRPr="002E5BFC">
          <w:rPr>
            <w:rStyle w:val="Hypertextovodkaz"/>
            <w:noProof/>
          </w:rPr>
          <w:t>Internacionalizace podnikání MSP</w:t>
        </w:r>
        <w:r w:rsidR="00237E1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7E1E">
          <w:rPr>
            <w:noProof/>
            <w:webHidden/>
          </w:rPr>
          <w:instrText xml:space="preserve"> PAGEREF _Toc433272198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7C3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37E1E" w:rsidRDefault="00987BEA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433272199" w:history="1">
        <w:r w:rsidR="00237E1E" w:rsidRPr="002E5BFC">
          <w:rPr>
            <w:rStyle w:val="Hypertextovodkaz"/>
            <w:noProof/>
          </w:rPr>
          <w:t>2.4.</w:t>
        </w:r>
        <w:r w:rsidR="00237E1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237E1E" w:rsidRPr="002E5BFC">
          <w:rPr>
            <w:rStyle w:val="Hypertextovodkaz"/>
            <w:noProof/>
          </w:rPr>
          <w:t>Energetické úspory v podnikání</w:t>
        </w:r>
        <w:r w:rsidR="00237E1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7E1E">
          <w:rPr>
            <w:noProof/>
            <w:webHidden/>
          </w:rPr>
          <w:instrText xml:space="preserve"> PAGEREF _Toc433272199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7C3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646FD" w:rsidRPr="00A646FD" w:rsidRDefault="00987BEA" w:rsidP="00481A4B">
      <w:pPr>
        <w:pStyle w:val="Nadpis1"/>
        <w:spacing w:before="240"/>
        <w:rPr>
          <w:b w:val="0"/>
          <w:bCs w:val="0"/>
        </w:rPr>
      </w:pPr>
      <w:r>
        <w:rPr>
          <w:rFonts w:ascii="Calibri" w:hAnsi="Calibri" w:cs="Calibri"/>
          <w:b w:val="0"/>
          <w:bCs w:val="0"/>
          <w:color w:val="auto"/>
          <w:sz w:val="20"/>
          <w:szCs w:val="20"/>
        </w:rPr>
        <w:fldChar w:fldCharType="end"/>
      </w:r>
    </w:p>
    <w:p w:rsidR="00A646FD" w:rsidRDefault="00A646FD" w:rsidP="00A646FD">
      <w:pPr>
        <w:pStyle w:val="Nadpis1"/>
        <w:spacing w:before="240"/>
        <w:rPr>
          <w:b w:val="0"/>
          <w:bCs w:val="0"/>
          <w:caps/>
          <w:sz w:val="20"/>
          <w:szCs w:val="20"/>
        </w:rPr>
      </w:pPr>
    </w:p>
    <w:p w:rsidR="00A646FD" w:rsidRPr="00A646FD" w:rsidRDefault="00150CB5" w:rsidP="00A646FD">
      <w:pPr>
        <w:pStyle w:val="Nadpis1"/>
        <w:spacing w:before="240"/>
        <w:rPr>
          <w:b w:val="0"/>
          <w:bCs w:val="0"/>
        </w:rPr>
      </w:pPr>
      <w:r>
        <w:br w:type="page"/>
      </w:r>
    </w:p>
    <w:p w:rsidR="00150CB5" w:rsidRPr="00A646FD" w:rsidRDefault="00E96B88" w:rsidP="00F66794">
      <w:pPr>
        <w:pStyle w:val="Nadpis1"/>
        <w:numPr>
          <w:ilvl w:val="0"/>
          <w:numId w:val="17"/>
        </w:numPr>
        <w:spacing w:before="240"/>
        <w:ind w:left="357" w:hanging="357"/>
        <w:rPr>
          <w:bCs w:val="0"/>
        </w:rPr>
      </w:pPr>
      <w:bookmarkStart w:id="4" w:name="_Toc433272194"/>
      <w:r>
        <w:lastRenderedPageBreak/>
        <w:t>Úvod</w:t>
      </w:r>
      <w:bookmarkEnd w:id="4"/>
    </w:p>
    <w:p w:rsidR="00641FDF" w:rsidRDefault="00641FDF" w:rsidP="00641FDF">
      <w:bookmarkStart w:id="5" w:name="_Toc394482542"/>
      <w:r>
        <w:t>Akční plán podpory malých a středníc</w:t>
      </w:r>
      <w:r w:rsidR="00D27CA1">
        <w:t>h podnikatelů na rok 2016 (</w:t>
      </w:r>
      <w:r>
        <w:t xml:space="preserve">AP MSP 2016) je klíčovým implementačním dokumentem Ministerstva průmyslu a obchodu (MPO), </w:t>
      </w:r>
      <w:r w:rsidRPr="00641FDF">
        <w:t>který reflektuje aktuální potřeby malých a středních podnikatelských subjektů v České republice.</w:t>
      </w:r>
    </w:p>
    <w:p w:rsidR="00641FDF" w:rsidRDefault="00641FDF" w:rsidP="00641FDF"/>
    <w:p w:rsidR="00905190" w:rsidRPr="00905190" w:rsidRDefault="00905190" w:rsidP="00905190">
      <w:r w:rsidRPr="00F07CEC">
        <w:rPr>
          <w:b/>
        </w:rPr>
        <w:t>Cílem AP MSP je v souladu s Koncepcí podpory malých a středních podnikatelů na období let 2014–2020</w:t>
      </w:r>
      <w:r w:rsidRPr="00905190">
        <w:t xml:space="preserve"> a v návaznosti na Akční plán podpory malých a středních podnikatelů na rok 2015 </w:t>
      </w:r>
      <w:r w:rsidRPr="00F07CEC">
        <w:rPr>
          <w:b/>
        </w:rPr>
        <w:t>předložit soubor opatření (zejména v gesci MPO), která by umožnila efektivnější rozvoj malých a středních podniků v ČR ve všech fázích jejich podnikatelského cyklu</w:t>
      </w:r>
      <w:r w:rsidRPr="00905190">
        <w:t xml:space="preserve">. </w:t>
      </w:r>
    </w:p>
    <w:p w:rsidR="00905190" w:rsidRDefault="00905190" w:rsidP="00641FDF">
      <w:r w:rsidRPr="00905190">
        <w:t>MPO plánuje zahrnout některá opatření AP MSP 2016 do vládního Akčního plánu na podporu hospodářského růstu a zaměstnanosti ČR</w:t>
      </w:r>
      <w:r w:rsidR="009B57E5">
        <w:t>. C</w:t>
      </w:r>
      <w:r w:rsidRPr="00905190">
        <w:t xml:space="preserve">ílem </w:t>
      </w:r>
      <w:r w:rsidR="009B57E5">
        <w:t xml:space="preserve">této provázanosti je </w:t>
      </w:r>
      <w:r w:rsidRPr="00905190">
        <w:t>zajistit, aby kontrola plnění opatření</w:t>
      </w:r>
      <w:r w:rsidR="00BE079C">
        <w:t>, které nejsou v gesci MPO</w:t>
      </w:r>
      <w:r w:rsidR="00BD678C">
        <w:t>,</w:t>
      </w:r>
      <w:r w:rsidRPr="00905190">
        <w:t xml:space="preserve"> probíhala na vládní úrovní, a tím umožnit jejich </w:t>
      </w:r>
      <w:r w:rsidR="00E870C2">
        <w:t xml:space="preserve">koordinovanější </w:t>
      </w:r>
      <w:r w:rsidRPr="00905190">
        <w:t>implementaci.</w:t>
      </w:r>
    </w:p>
    <w:p w:rsidR="00641FDF" w:rsidRDefault="00E870C2" w:rsidP="00641FDF">
      <w:r>
        <w:t>K hlavním problémům MSP patří zejména</w:t>
      </w:r>
      <w:r w:rsidRPr="00E870C2">
        <w:t xml:space="preserve"> potíže při získávání </w:t>
      </w:r>
      <w:r>
        <w:t xml:space="preserve">externího </w:t>
      </w:r>
      <w:r w:rsidRPr="00E870C2">
        <w:t>kapitálu</w:t>
      </w:r>
      <w:r w:rsidR="00087353">
        <w:t xml:space="preserve"> z důvodu</w:t>
      </w:r>
      <w:r w:rsidRPr="00E870C2">
        <w:t xml:space="preserve"> omezen</w:t>
      </w:r>
      <w:r w:rsidR="00087353">
        <w:t>ého</w:t>
      </w:r>
      <w:r w:rsidRPr="00E870C2">
        <w:t xml:space="preserve"> zajištění, </w:t>
      </w:r>
      <w:r>
        <w:t>nedostatek kvalifikovaných pracovníků na všech úrovních (</w:t>
      </w:r>
      <w:r w:rsidR="00087353">
        <w:t>systém vzdělávání v ČR, nedostatečná pružnost ve vyřizování pracovních povolení pro cizince atd.),</w:t>
      </w:r>
      <w:r>
        <w:t xml:space="preserve"> </w:t>
      </w:r>
      <w:r w:rsidR="00087353">
        <w:t>nedostatečné inovační a marketingové aktivity či nevyužitý potenciál na zahraničních trzích.</w:t>
      </w:r>
      <w:r w:rsidR="00087353" w:rsidRPr="00905190" w:rsidDel="00087353">
        <w:t xml:space="preserve"> </w:t>
      </w:r>
      <w:r w:rsidR="00D56422">
        <w:t xml:space="preserve"> </w:t>
      </w:r>
      <w:r w:rsidR="0089043E">
        <w:t>Pro</w:t>
      </w:r>
      <w:r w:rsidR="00D56422">
        <w:t xml:space="preserve"> MSP </w:t>
      </w:r>
      <w:r w:rsidR="0089043E">
        <w:t>je velmi důležitý také</w:t>
      </w:r>
      <w:r w:rsidR="00D56422">
        <w:t xml:space="preserve"> </w:t>
      </w:r>
      <w:r w:rsidR="00785DA4">
        <w:t xml:space="preserve">stabilní a </w:t>
      </w:r>
      <w:r w:rsidR="0089043E">
        <w:t>jednoduchý</w:t>
      </w:r>
      <w:r w:rsidR="00D56422">
        <w:t xml:space="preserve"> daňový systém.</w:t>
      </w:r>
    </w:p>
    <w:p w:rsidR="00641FDF" w:rsidRPr="009424E9" w:rsidRDefault="008F1187" w:rsidP="00641FDF">
      <w:pPr>
        <w:rPr>
          <w:b/>
        </w:rPr>
      </w:pPr>
      <w:r w:rsidRPr="009424E9">
        <w:rPr>
          <w:b/>
        </w:rPr>
        <w:t>MPO se bude</w:t>
      </w:r>
      <w:r w:rsidR="00087353">
        <w:rPr>
          <w:b/>
        </w:rPr>
        <w:t xml:space="preserve"> proto</w:t>
      </w:r>
      <w:r w:rsidRPr="009424E9">
        <w:rPr>
          <w:b/>
        </w:rPr>
        <w:t xml:space="preserve"> i nadále zaměřovat na c</w:t>
      </w:r>
      <w:r w:rsidR="00641FDF" w:rsidRPr="009424E9">
        <w:rPr>
          <w:b/>
        </w:rPr>
        <w:t>ílen</w:t>
      </w:r>
      <w:r w:rsidRPr="009424E9">
        <w:rPr>
          <w:b/>
        </w:rPr>
        <w:t>ou</w:t>
      </w:r>
      <w:r w:rsidR="00641FDF" w:rsidRPr="009424E9">
        <w:rPr>
          <w:b/>
        </w:rPr>
        <w:t xml:space="preserve"> podpor</w:t>
      </w:r>
      <w:r w:rsidRPr="009424E9">
        <w:rPr>
          <w:b/>
        </w:rPr>
        <w:t>u</w:t>
      </w:r>
      <w:r w:rsidR="00641FDF" w:rsidRPr="009424E9">
        <w:rPr>
          <w:b/>
        </w:rPr>
        <w:t xml:space="preserve"> </w:t>
      </w:r>
      <w:r w:rsidRPr="009424E9">
        <w:rPr>
          <w:b/>
        </w:rPr>
        <w:t xml:space="preserve">v těchto </w:t>
      </w:r>
      <w:r w:rsidR="00641FDF" w:rsidRPr="009424E9">
        <w:rPr>
          <w:b/>
        </w:rPr>
        <w:t>4 prioritních oblast</w:t>
      </w:r>
      <w:r w:rsidRPr="009424E9">
        <w:rPr>
          <w:b/>
        </w:rPr>
        <w:t>ech</w:t>
      </w:r>
      <w:r w:rsidR="00641FDF" w:rsidRPr="009424E9">
        <w:rPr>
          <w:b/>
        </w:rPr>
        <w:t xml:space="preserve">: </w:t>
      </w:r>
    </w:p>
    <w:p w:rsidR="00641FDF" w:rsidRDefault="00641FDF" w:rsidP="00641FDF">
      <w:pPr>
        <w:numPr>
          <w:ilvl w:val="0"/>
          <w:numId w:val="35"/>
        </w:numPr>
      </w:pPr>
      <w:r>
        <w:t>Příznivé podnikatelské prostředí pro MSP</w:t>
      </w:r>
    </w:p>
    <w:p w:rsidR="00641FDF" w:rsidRDefault="00641FDF" w:rsidP="00641FDF">
      <w:pPr>
        <w:numPr>
          <w:ilvl w:val="0"/>
          <w:numId w:val="35"/>
        </w:numPr>
      </w:pPr>
      <w:r>
        <w:t>Přístup k financím</w:t>
      </w:r>
    </w:p>
    <w:p w:rsidR="00641FDF" w:rsidRDefault="00641FDF" w:rsidP="00641FDF">
      <w:pPr>
        <w:numPr>
          <w:ilvl w:val="0"/>
          <w:numId w:val="35"/>
        </w:numPr>
      </w:pPr>
      <w:r>
        <w:t>Internacionalizace podnikání MSP</w:t>
      </w:r>
    </w:p>
    <w:p w:rsidR="00641FDF" w:rsidRDefault="00641FDF" w:rsidP="00641FDF">
      <w:pPr>
        <w:numPr>
          <w:ilvl w:val="0"/>
          <w:numId w:val="35"/>
        </w:numPr>
      </w:pPr>
      <w:r>
        <w:t>Energetické úspory v podnikání MSP</w:t>
      </w:r>
    </w:p>
    <w:p w:rsidR="008F1187" w:rsidRDefault="00460D57" w:rsidP="00460D57">
      <w:r w:rsidRPr="009424E9">
        <w:rPr>
          <w:b/>
        </w:rPr>
        <w:t>MPO intenzivně p</w:t>
      </w:r>
      <w:r w:rsidR="008F1187" w:rsidRPr="009424E9">
        <w:rPr>
          <w:b/>
          <w:bCs/>
        </w:rPr>
        <w:t>ři přípravě AP MSP 2016</w:t>
      </w:r>
      <w:r w:rsidR="008F1187" w:rsidRPr="00012EAB">
        <w:rPr>
          <w:b/>
          <w:bCs/>
        </w:rPr>
        <w:t xml:space="preserve"> </w:t>
      </w:r>
      <w:r w:rsidR="008F1187" w:rsidRPr="009424E9">
        <w:rPr>
          <w:b/>
        </w:rPr>
        <w:t>spolupracovalo s hospodářskými a sociálními partnery</w:t>
      </w:r>
      <w:r>
        <w:t xml:space="preserve"> </w:t>
      </w:r>
      <w:r w:rsidRPr="009424E9">
        <w:rPr>
          <w:b/>
        </w:rPr>
        <w:t xml:space="preserve">na platformě Rady hospodářské a sociální dohody ČR </w:t>
      </w:r>
      <w:r w:rsidR="00D75996">
        <w:t>(RHSD ČR)</w:t>
      </w:r>
      <w:r w:rsidR="00D75996" w:rsidRPr="009424E9">
        <w:rPr>
          <w:b/>
        </w:rPr>
        <w:t xml:space="preserve"> </w:t>
      </w:r>
      <w:r w:rsidRPr="009424E9">
        <w:rPr>
          <w:b/>
        </w:rPr>
        <w:t xml:space="preserve">a Rady vlády </w:t>
      </w:r>
      <w:r w:rsidR="00D75996" w:rsidRPr="009424E9">
        <w:rPr>
          <w:b/>
        </w:rPr>
        <w:t>pro konkurenceschopnost a hospodářský růst</w:t>
      </w:r>
      <w:r w:rsidR="00D27CA1">
        <w:t xml:space="preserve"> (</w:t>
      </w:r>
      <w:r w:rsidR="00D27CA1" w:rsidRPr="00D27CA1">
        <w:t>RVKHR</w:t>
      </w:r>
      <w:r w:rsidR="00D27CA1">
        <w:t>)</w:t>
      </w:r>
      <w:r>
        <w:t>.</w:t>
      </w:r>
      <w:r w:rsidR="00D75996">
        <w:t xml:space="preserve"> </w:t>
      </w:r>
      <w:r>
        <w:t>K</w:t>
      </w:r>
      <w:r w:rsidR="008F1187">
        <w:t>onkrétně se do zpracování AP MSP 2016 zapojil</w:t>
      </w:r>
      <w:r>
        <w:t xml:space="preserve">i představitelé </w:t>
      </w:r>
      <w:r w:rsidR="008F1187">
        <w:t>t</w:t>
      </w:r>
      <w:r>
        <w:t>ěchto</w:t>
      </w:r>
      <w:r w:rsidR="008F1187">
        <w:t xml:space="preserve"> svaz</w:t>
      </w:r>
      <w:r>
        <w:t>ů</w:t>
      </w:r>
      <w:r w:rsidR="008F1187">
        <w:t xml:space="preserve"> a </w:t>
      </w:r>
      <w:r>
        <w:t>asociac</w:t>
      </w:r>
      <w:r w:rsidR="008F1187">
        <w:t xml:space="preserve">í: </w:t>
      </w:r>
    </w:p>
    <w:p w:rsidR="00460D57" w:rsidRDefault="00460D57" w:rsidP="00460D57">
      <w:pPr>
        <w:numPr>
          <w:ilvl w:val="0"/>
          <w:numId w:val="35"/>
        </w:numPr>
      </w:pPr>
      <w:r>
        <w:t>Českomoravská konfederace odborových svazů</w:t>
      </w:r>
    </w:p>
    <w:p w:rsidR="008F1187" w:rsidRDefault="00460D57" w:rsidP="00531CB6">
      <w:pPr>
        <w:numPr>
          <w:ilvl w:val="0"/>
          <w:numId w:val="35"/>
        </w:numPr>
      </w:pPr>
      <w:r w:rsidRPr="00460D57">
        <w:t>Svaz průmyslu a dopravy České Republiky</w:t>
      </w:r>
    </w:p>
    <w:p w:rsidR="008F1187" w:rsidRDefault="00460D57" w:rsidP="00531CB6">
      <w:pPr>
        <w:numPr>
          <w:ilvl w:val="0"/>
          <w:numId w:val="35"/>
        </w:numPr>
      </w:pPr>
      <w:r>
        <w:t>A</w:t>
      </w:r>
      <w:r w:rsidRPr="00460D57">
        <w:t>sociace malých a středních podniků a živnostníků ČR</w:t>
      </w:r>
    </w:p>
    <w:p w:rsidR="008F1187" w:rsidRDefault="00460D57" w:rsidP="00531CB6">
      <w:pPr>
        <w:numPr>
          <w:ilvl w:val="0"/>
          <w:numId w:val="35"/>
        </w:numPr>
      </w:pPr>
      <w:r w:rsidRPr="00460D57">
        <w:t>Konfederace zaměstnavatelských a podnikatelských svazů ČR</w:t>
      </w:r>
    </w:p>
    <w:p w:rsidR="00460D57" w:rsidRDefault="00460D57" w:rsidP="00531CB6">
      <w:pPr>
        <w:numPr>
          <w:ilvl w:val="0"/>
          <w:numId w:val="35"/>
        </w:numPr>
      </w:pPr>
      <w:r>
        <w:t>S</w:t>
      </w:r>
      <w:r w:rsidRPr="00460D57">
        <w:t>vaz českých a moravských výrobních družstev</w:t>
      </w:r>
    </w:p>
    <w:p w:rsidR="00641FDF" w:rsidRDefault="008F1187" w:rsidP="00641FDF">
      <w:r>
        <w:t>Výsledkem této spoluprác</w:t>
      </w:r>
      <w:r w:rsidR="00E627FC">
        <w:t>e</w:t>
      </w:r>
      <w:r>
        <w:t xml:space="preserve"> </w:t>
      </w:r>
      <w:r w:rsidR="00F65321">
        <w:t>je zapracování</w:t>
      </w:r>
      <w:r>
        <w:t xml:space="preserve"> </w:t>
      </w:r>
      <w:r w:rsidR="00641FDF" w:rsidRPr="00641FDF">
        <w:t>námět</w:t>
      </w:r>
      <w:r w:rsidR="00F65321">
        <w:t>ů výše uvedených hospodářských a sociálních partnerů přímo do AP MSP 2016</w:t>
      </w:r>
      <w:r>
        <w:t xml:space="preserve">.  </w:t>
      </w:r>
    </w:p>
    <w:p w:rsidR="00641FDF" w:rsidRDefault="00F65321" w:rsidP="00641FDF">
      <w:r>
        <w:t xml:space="preserve">Implementací navrhovaných </w:t>
      </w:r>
      <w:r w:rsidR="00641FDF">
        <w:t>opatření</w:t>
      </w:r>
      <w:r>
        <w:t xml:space="preserve"> se budou zabývat</w:t>
      </w:r>
      <w:r w:rsidR="00641FDF">
        <w:t xml:space="preserve"> odborné útvary MPO, vládní agentury </w:t>
      </w:r>
      <w:proofErr w:type="spellStart"/>
      <w:r w:rsidR="00641FDF">
        <w:t>CzechInvest</w:t>
      </w:r>
      <w:proofErr w:type="spellEnd"/>
      <w:r w:rsidR="00641FDF">
        <w:t xml:space="preserve"> a </w:t>
      </w:r>
      <w:proofErr w:type="spellStart"/>
      <w:r w:rsidR="00641FDF">
        <w:t>CzechTrade</w:t>
      </w:r>
      <w:proofErr w:type="spellEnd"/>
      <w:r w:rsidR="00641FDF">
        <w:t xml:space="preserve"> a finanční instituce pod kontrolou státu (ČMZRB, ČEB).</w:t>
      </w:r>
      <w:r w:rsidR="00A23DFB">
        <w:t xml:space="preserve"> MPO bude o pokroku v implementaci opatření AP MSP 2016 pravideln</w:t>
      </w:r>
      <w:r w:rsidR="00E627FC">
        <w:t>ě</w:t>
      </w:r>
      <w:r w:rsidR="00A23DFB">
        <w:t xml:space="preserve"> informovat </w:t>
      </w:r>
      <w:r w:rsidR="00A23DFB" w:rsidRPr="00A23DFB">
        <w:t>Rad</w:t>
      </w:r>
      <w:r w:rsidR="00A23DFB">
        <w:t>u</w:t>
      </w:r>
      <w:r w:rsidR="00A23DFB" w:rsidRPr="00A23DFB">
        <w:t xml:space="preserve"> hospodářské a sociální dohody ČR</w:t>
      </w:r>
      <w:r w:rsidR="00A23DFB">
        <w:t xml:space="preserve"> (Pracovní tým </w:t>
      </w:r>
      <w:r w:rsidR="00A23DFB" w:rsidRPr="00A23DFB">
        <w:t>pro hospodářskou politiku RHSD ČR</w:t>
      </w:r>
      <w:r w:rsidR="00A23DFB">
        <w:t xml:space="preserve">) a </w:t>
      </w:r>
      <w:r w:rsidR="005712C7">
        <w:t>Radu</w:t>
      </w:r>
      <w:r w:rsidR="005712C7" w:rsidRPr="005712C7">
        <w:t xml:space="preserve"> vlády pro konkurenceschopnost a hospodářský růst</w:t>
      </w:r>
      <w:r w:rsidR="00A23DFB">
        <w:t xml:space="preserve"> (Výbor pro malé a střední podniky a výrobní družstva). </w:t>
      </w:r>
    </w:p>
    <w:p w:rsidR="00641FDF" w:rsidRDefault="00641FDF" w:rsidP="00641FDF">
      <w:r w:rsidRPr="00641FDF">
        <w:t xml:space="preserve">V důsledku zajištění kontinuity plnění vybraných opatření, byly některé úkoly z Akčního plánu pro rok 2015 přesunuty do </w:t>
      </w:r>
      <w:r w:rsidR="00A23DFB">
        <w:t>AP MSP 2016</w:t>
      </w:r>
      <w:r w:rsidRPr="00641FDF">
        <w:t>.</w:t>
      </w:r>
      <w:r>
        <w:t xml:space="preserve"> </w:t>
      </w:r>
    </w:p>
    <w:p w:rsidR="001A5617" w:rsidRPr="001A5617" w:rsidRDefault="008B4850" w:rsidP="001A5617">
      <w:pPr>
        <w:pStyle w:val="Nadpis1"/>
        <w:numPr>
          <w:ilvl w:val="0"/>
          <w:numId w:val="17"/>
        </w:numPr>
        <w:spacing w:before="240"/>
        <w:ind w:left="357" w:hanging="357"/>
      </w:pPr>
      <w:bookmarkStart w:id="6" w:name="_Toc433272195"/>
      <w:r>
        <w:lastRenderedPageBreak/>
        <w:t>Prioritní</w:t>
      </w:r>
      <w:r w:rsidR="00E96B88">
        <w:t xml:space="preserve"> oblasti podpory MSP</w:t>
      </w:r>
      <w:bookmarkEnd w:id="6"/>
      <w:r w:rsidR="00E96B88">
        <w:t xml:space="preserve"> </w:t>
      </w:r>
      <w:bookmarkEnd w:id="5"/>
    </w:p>
    <w:p w:rsidR="00150CB5" w:rsidRDefault="00E96B88" w:rsidP="002D441A">
      <w:pPr>
        <w:pStyle w:val="Nadpis2"/>
        <w:numPr>
          <w:ilvl w:val="1"/>
          <w:numId w:val="17"/>
        </w:numPr>
      </w:pPr>
      <w:bookmarkStart w:id="7" w:name="_Toc394482543"/>
      <w:bookmarkStart w:id="8" w:name="_Toc433272196"/>
      <w:r>
        <w:t>„Přátelské“ podnikatelské prostředí pro MSP</w:t>
      </w:r>
      <w:bookmarkEnd w:id="7"/>
      <w:bookmarkEnd w:id="8"/>
    </w:p>
    <w:p w:rsidR="00AA1768" w:rsidRDefault="00AA1768" w:rsidP="00AA1768"/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850"/>
        <w:gridCol w:w="1276"/>
        <w:gridCol w:w="1134"/>
        <w:gridCol w:w="1276"/>
        <w:gridCol w:w="3090"/>
      </w:tblGrid>
      <w:tr w:rsidR="00FE64E4" w:rsidRPr="009C1CB4" w:rsidTr="00F21848">
        <w:tc>
          <w:tcPr>
            <w:tcW w:w="2269" w:type="dxa"/>
            <w:shd w:val="clear" w:color="auto" w:fill="E36C0A"/>
          </w:tcPr>
          <w:p w:rsidR="00FE64E4" w:rsidRPr="009C1CB4" w:rsidRDefault="00FE64E4" w:rsidP="008E2D37">
            <w:pPr>
              <w:spacing w:after="0"/>
              <w:rPr>
                <w:b/>
                <w:sz w:val="20"/>
                <w:szCs w:val="20"/>
              </w:rPr>
            </w:pPr>
            <w:r>
              <w:br w:type="page"/>
            </w:r>
            <w:r>
              <w:rPr>
                <w:b/>
                <w:sz w:val="20"/>
                <w:szCs w:val="20"/>
              </w:rPr>
              <w:t>Aktivita/</w:t>
            </w:r>
            <w:r w:rsidRPr="009C1CB4">
              <w:rPr>
                <w:b/>
                <w:sz w:val="20"/>
                <w:szCs w:val="20"/>
              </w:rPr>
              <w:t xml:space="preserve"> úkol</w:t>
            </w:r>
          </w:p>
        </w:tc>
        <w:tc>
          <w:tcPr>
            <w:tcW w:w="850" w:type="dxa"/>
            <w:shd w:val="clear" w:color="auto" w:fill="E36C0A"/>
          </w:tcPr>
          <w:p w:rsidR="00FE64E4" w:rsidRPr="009C1CB4" w:rsidRDefault="00FE64E4" w:rsidP="00FE64E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Gestor </w:t>
            </w:r>
          </w:p>
        </w:tc>
        <w:tc>
          <w:tcPr>
            <w:tcW w:w="1276" w:type="dxa"/>
            <w:shd w:val="clear" w:color="auto" w:fill="E36C0A"/>
          </w:tcPr>
          <w:p w:rsidR="00FE64E4" w:rsidRPr="009C1CB4" w:rsidRDefault="00FE64E4" w:rsidP="008E2D37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Spolugestor</w:t>
            </w:r>
            <w:proofErr w:type="spellEnd"/>
          </w:p>
        </w:tc>
        <w:tc>
          <w:tcPr>
            <w:tcW w:w="1134" w:type="dxa"/>
            <w:shd w:val="clear" w:color="auto" w:fill="E36C0A"/>
          </w:tcPr>
          <w:p w:rsidR="00FE64E4" w:rsidRPr="009C1CB4" w:rsidRDefault="00FE64E4" w:rsidP="008E2D37">
            <w:pPr>
              <w:spacing w:after="0"/>
              <w:rPr>
                <w:b/>
                <w:sz w:val="20"/>
                <w:szCs w:val="20"/>
              </w:rPr>
            </w:pPr>
            <w:r w:rsidRPr="009C1CB4">
              <w:rPr>
                <w:b/>
                <w:sz w:val="20"/>
                <w:szCs w:val="20"/>
              </w:rPr>
              <w:t>Termín</w:t>
            </w:r>
          </w:p>
        </w:tc>
        <w:tc>
          <w:tcPr>
            <w:tcW w:w="1276" w:type="dxa"/>
            <w:shd w:val="clear" w:color="auto" w:fill="E36C0A"/>
          </w:tcPr>
          <w:p w:rsidR="00FE64E4" w:rsidRPr="009C1CB4" w:rsidRDefault="00FE64E4" w:rsidP="008E2D37">
            <w:pPr>
              <w:spacing w:after="0"/>
              <w:rPr>
                <w:b/>
                <w:sz w:val="20"/>
                <w:szCs w:val="20"/>
              </w:rPr>
            </w:pPr>
            <w:r w:rsidRPr="009C1CB4">
              <w:rPr>
                <w:b/>
                <w:sz w:val="20"/>
                <w:szCs w:val="20"/>
              </w:rPr>
              <w:t>Financování</w:t>
            </w:r>
          </w:p>
        </w:tc>
        <w:tc>
          <w:tcPr>
            <w:tcW w:w="3090" w:type="dxa"/>
            <w:shd w:val="clear" w:color="auto" w:fill="E36C0A"/>
          </w:tcPr>
          <w:p w:rsidR="00FE64E4" w:rsidRPr="009C1CB4" w:rsidRDefault="00FE64E4" w:rsidP="008E2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Nástroj realizace opatření</w:t>
            </w:r>
          </w:p>
        </w:tc>
      </w:tr>
      <w:tr w:rsidR="00FE64E4" w:rsidRPr="000041EF" w:rsidTr="00F21848">
        <w:tc>
          <w:tcPr>
            <w:tcW w:w="2269" w:type="dxa"/>
          </w:tcPr>
          <w:p w:rsidR="00FE64E4" w:rsidRPr="00237E1E" w:rsidRDefault="00A04C72" w:rsidP="00AA1768">
            <w:pPr>
              <w:numPr>
                <w:ilvl w:val="0"/>
                <w:numId w:val="13"/>
              </w:num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04C72">
              <w:rPr>
                <w:rFonts w:asciiTheme="minorHAnsi" w:hAnsiTheme="minorHAnsi"/>
                <w:sz w:val="20"/>
                <w:szCs w:val="20"/>
              </w:rPr>
              <w:t>Apel na průběžnou aplikaci jednotných dat účinnosti právních předpisů</w:t>
            </w:r>
            <w:r w:rsidR="00144932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FE64E4" w:rsidRPr="00237E1E" w:rsidRDefault="00FE64E4" w:rsidP="008E2D37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MPO 41000</w:t>
            </w:r>
          </w:p>
        </w:tc>
        <w:tc>
          <w:tcPr>
            <w:tcW w:w="1276" w:type="dxa"/>
          </w:tcPr>
          <w:p w:rsidR="00FE64E4" w:rsidRPr="00237E1E" w:rsidRDefault="00093523" w:rsidP="004F223D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 xml:space="preserve">ÚV ČR, </w:t>
            </w:r>
            <w:proofErr w:type="spellStart"/>
            <w:r w:rsidRPr="00237E1E">
              <w:rPr>
                <w:rFonts w:asciiTheme="minorHAnsi" w:hAnsiTheme="minorHAnsi"/>
                <w:sz w:val="20"/>
                <w:szCs w:val="20"/>
              </w:rPr>
              <w:t>MSp</w:t>
            </w:r>
            <w:proofErr w:type="spellEnd"/>
            <w:r w:rsidRPr="00237E1E">
              <w:rPr>
                <w:rFonts w:asciiTheme="minorHAnsi" w:hAnsiTheme="minorHAnsi"/>
                <w:sz w:val="20"/>
                <w:szCs w:val="20"/>
              </w:rPr>
              <w:t>, MF</w:t>
            </w:r>
          </w:p>
        </w:tc>
        <w:tc>
          <w:tcPr>
            <w:tcW w:w="1134" w:type="dxa"/>
          </w:tcPr>
          <w:p w:rsidR="00FE64E4" w:rsidRPr="00237E1E" w:rsidRDefault="00A04C72" w:rsidP="00F21848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04C72">
              <w:rPr>
                <w:rFonts w:asciiTheme="minorHAnsi" w:hAnsiTheme="minorHAnsi"/>
                <w:sz w:val="20"/>
                <w:szCs w:val="20"/>
              </w:rPr>
              <w:t xml:space="preserve">Průběžně </w:t>
            </w:r>
            <w:r w:rsidR="00FE64E4" w:rsidRPr="00237E1E">
              <w:rPr>
                <w:rFonts w:asciiTheme="minorHAnsi" w:hAnsiTheme="minorHAnsi"/>
                <w:sz w:val="20"/>
                <w:szCs w:val="20"/>
              </w:rPr>
              <w:t>(přesun z 06/2015)</w:t>
            </w:r>
          </w:p>
        </w:tc>
        <w:tc>
          <w:tcPr>
            <w:tcW w:w="1276" w:type="dxa"/>
          </w:tcPr>
          <w:p w:rsidR="00FE64E4" w:rsidRPr="00237E1E" w:rsidRDefault="00FE64E4" w:rsidP="008E2D37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Nevyžaduje se</w:t>
            </w:r>
          </w:p>
        </w:tc>
        <w:tc>
          <w:tcPr>
            <w:tcW w:w="3090" w:type="dxa"/>
          </w:tcPr>
          <w:p w:rsidR="00FE64E4" w:rsidRPr="00237E1E" w:rsidRDefault="00A04C72" w:rsidP="00012EAB">
            <w:pPr>
              <w:spacing w:after="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A04C72">
              <w:rPr>
                <w:rFonts w:asciiTheme="minorHAnsi" w:hAnsiTheme="minorHAnsi"/>
                <w:sz w:val="20"/>
                <w:szCs w:val="20"/>
              </w:rPr>
              <w:t xml:space="preserve">Nadále průběžně </w:t>
            </w:r>
            <w:r w:rsidR="009424E9" w:rsidRPr="00A04C72">
              <w:rPr>
                <w:rFonts w:asciiTheme="minorHAnsi" w:hAnsiTheme="minorHAnsi"/>
                <w:sz w:val="20"/>
                <w:szCs w:val="20"/>
              </w:rPr>
              <w:t>doporučovat</w:t>
            </w:r>
            <w:r w:rsidR="009424E9">
              <w:rPr>
                <w:rFonts w:asciiTheme="minorHAnsi" w:hAnsiTheme="minorHAnsi"/>
                <w:sz w:val="20"/>
                <w:szCs w:val="20"/>
              </w:rPr>
              <w:t xml:space="preserve"> ostatním</w:t>
            </w:r>
            <w:r w:rsidR="00012EAB">
              <w:rPr>
                <w:rFonts w:asciiTheme="minorHAnsi" w:hAnsiTheme="minorHAnsi"/>
                <w:sz w:val="20"/>
                <w:szCs w:val="20"/>
              </w:rPr>
              <w:t xml:space="preserve"> resortům</w:t>
            </w:r>
            <w:r w:rsidRPr="00A04C72">
              <w:rPr>
                <w:rFonts w:asciiTheme="minorHAnsi" w:hAnsiTheme="minorHAnsi"/>
                <w:sz w:val="20"/>
                <w:szCs w:val="20"/>
              </w:rPr>
              <w:t>, v případech kdy je to možné, využívání jednotných dat účinnosti (tj. buď 1. 1. nebo 1. 7.) u všech předpisů majících dopad na podnikatelské prostředí</w:t>
            </w:r>
          </w:p>
        </w:tc>
      </w:tr>
      <w:tr w:rsidR="009A15EC" w:rsidRPr="000041EF" w:rsidTr="00F21848">
        <w:tc>
          <w:tcPr>
            <w:tcW w:w="2269" w:type="dxa"/>
          </w:tcPr>
          <w:p w:rsidR="009A15EC" w:rsidRPr="00237E1E" w:rsidRDefault="00466BC7" w:rsidP="00466BC7">
            <w:pPr>
              <w:numPr>
                <w:ilvl w:val="0"/>
                <w:numId w:val="13"/>
              </w:num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Podpora konkurenceschopnosti MSP v</w:t>
            </w:r>
            <w:r w:rsidR="008F3867">
              <w:rPr>
                <w:rFonts w:asciiTheme="minorHAnsi" w:hAnsiTheme="minorHAnsi"/>
                <w:sz w:val="20"/>
                <w:szCs w:val="20"/>
              </w:rPr>
              <w:t> souvislosti s </w:t>
            </w:r>
            <w:r>
              <w:rPr>
                <w:rFonts w:asciiTheme="minorHAnsi" w:hAnsiTheme="minorHAnsi"/>
                <w:sz w:val="20"/>
                <w:szCs w:val="20"/>
              </w:rPr>
              <w:t>uplat</w:t>
            </w:r>
            <w:r w:rsidR="008F3867">
              <w:rPr>
                <w:rFonts w:asciiTheme="minorHAnsi" w:hAnsiTheme="minorHAnsi"/>
                <w:sz w:val="20"/>
                <w:szCs w:val="20"/>
              </w:rPr>
              <w:t xml:space="preserve">ňováním </w:t>
            </w:r>
            <w:r w:rsidRPr="00466BC7">
              <w:rPr>
                <w:rFonts w:asciiTheme="minorHAnsi" w:hAnsiTheme="minorHAnsi"/>
                <w:sz w:val="20"/>
                <w:szCs w:val="20"/>
              </w:rPr>
              <w:t>nových techno</w:t>
            </w:r>
            <w:r w:rsidR="008F3867">
              <w:rPr>
                <w:rFonts w:asciiTheme="minorHAnsi" w:hAnsiTheme="minorHAnsi"/>
                <w:sz w:val="20"/>
                <w:szCs w:val="20"/>
              </w:rPr>
              <w:t>logií a postupující digitalizací</w:t>
            </w:r>
            <w:r w:rsidRPr="00466BC7">
              <w:rPr>
                <w:rFonts w:asciiTheme="minorHAnsi" w:hAnsiTheme="minorHAnsi"/>
                <w:sz w:val="20"/>
                <w:szCs w:val="20"/>
              </w:rPr>
              <w:t xml:space="preserve"> průmyslu a celého hospodářství</w:t>
            </w:r>
          </w:p>
        </w:tc>
        <w:tc>
          <w:tcPr>
            <w:tcW w:w="850" w:type="dxa"/>
          </w:tcPr>
          <w:p w:rsidR="009A15EC" w:rsidRPr="00237E1E" w:rsidRDefault="009A15EC" w:rsidP="008E2D37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 xml:space="preserve">MPO </w:t>
            </w:r>
            <w:r w:rsidR="00025DC2">
              <w:rPr>
                <w:rFonts w:asciiTheme="minorHAnsi" w:hAnsiTheme="minorHAnsi"/>
                <w:sz w:val="20"/>
                <w:szCs w:val="20"/>
              </w:rPr>
              <w:t>61000</w:t>
            </w:r>
          </w:p>
        </w:tc>
        <w:tc>
          <w:tcPr>
            <w:tcW w:w="1276" w:type="dxa"/>
          </w:tcPr>
          <w:p w:rsidR="009A15EC" w:rsidRPr="00237E1E" w:rsidRDefault="009A15EC" w:rsidP="00025DC2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ÚV</w:t>
            </w:r>
            <w:r w:rsidR="002A2FAD" w:rsidRPr="00237E1E">
              <w:rPr>
                <w:rFonts w:asciiTheme="minorHAnsi" w:hAnsiTheme="minorHAnsi"/>
                <w:sz w:val="20"/>
                <w:szCs w:val="20"/>
              </w:rPr>
              <w:t xml:space="preserve"> ČR</w:t>
            </w:r>
            <w:r w:rsidRPr="00237E1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A15EC" w:rsidRPr="00237E1E" w:rsidRDefault="009A15EC" w:rsidP="00F21848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12/2016</w:t>
            </w:r>
          </w:p>
        </w:tc>
        <w:tc>
          <w:tcPr>
            <w:tcW w:w="1276" w:type="dxa"/>
          </w:tcPr>
          <w:p w:rsidR="009A15EC" w:rsidRPr="00237E1E" w:rsidRDefault="008D7058" w:rsidP="008E2D37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Nevyžaduje se</w:t>
            </w:r>
          </w:p>
        </w:tc>
        <w:tc>
          <w:tcPr>
            <w:tcW w:w="3090" w:type="dxa"/>
          </w:tcPr>
          <w:p w:rsidR="009A15EC" w:rsidRPr="00237E1E" w:rsidRDefault="00466BC7" w:rsidP="00025DC2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66BC7">
              <w:rPr>
                <w:rFonts w:asciiTheme="minorHAnsi" w:hAnsiTheme="minorHAnsi"/>
                <w:sz w:val="20"/>
                <w:szCs w:val="20"/>
              </w:rPr>
              <w:t>V oblasti udržitelného inovačního dialogu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na bázi iniciativy Průmysl 4.0 </w:t>
            </w:r>
            <w:r w:rsidRPr="00466BC7">
              <w:rPr>
                <w:rFonts w:asciiTheme="minorHAnsi" w:hAnsiTheme="minorHAnsi"/>
                <w:sz w:val="20"/>
                <w:szCs w:val="20"/>
              </w:rPr>
              <w:t>vytvoření česko-německé pracovní skupiny pro navázání těsné spolupráce v oblasti výzkumu, vývoje a inovací. Účelem této skupiny by byla tvorba rámcových podmínek spolupráce v jednotlivých oblastech se zapojeních inovačních center v obou zemích.</w:t>
            </w:r>
          </w:p>
        </w:tc>
      </w:tr>
      <w:tr w:rsidR="00FE64E4" w:rsidRPr="00283744" w:rsidTr="00F21848">
        <w:tc>
          <w:tcPr>
            <w:tcW w:w="2269" w:type="dxa"/>
          </w:tcPr>
          <w:p w:rsidR="00FE64E4" w:rsidRPr="00237E1E" w:rsidRDefault="00FE64E4" w:rsidP="00FE64E4">
            <w:pPr>
              <w:numPr>
                <w:ilvl w:val="0"/>
                <w:numId w:val="13"/>
              </w:num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237E1E">
              <w:rPr>
                <w:rFonts w:asciiTheme="minorHAnsi" w:hAnsiTheme="minorHAnsi"/>
                <w:sz w:val="20"/>
                <w:szCs w:val="20"/>
              </w:rPr>
              <w:br w:type="page"/>
              <w:t>Prosazování přímého zápisu nové společnosti do Obchodního rejstříku notáři, v druhé fázi zjednodušení zápisu a snížení poplatků</w:t>
            </w:r>
          </w:p>
        </w:tc>
        <w:tc>
          <w:tcPr>
            <w:tcW w:w="850" w:type="dxa"/>
          </w:tcPr>
          <w:p w:rsidR="00FE64E4" w:rsidRPr="00237E1E" w:rsidRDefault="009424E9" w:rsidP="008E2D37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MSp</w:t>
            </w:r>
            <w:proofErr w:type="spellEnd"/>
          </w:p>
          <w:p w:rsidR="00FE64E4" w:rsidRPr="00237E1E" w:rsidRDefault="00FE64E4" w:rsidP="008E2D37">
            <w:pPr>
              <w:spacing w:after="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424E9" w:rsidRPr="00237E1E" w:rsidRDefault="009424E9" w:rsidP="009424E9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MPO 61</w:t>
            </w:r>
            <w:r w:rsidR="00C258E0">
              <w:rPr>
                <w:rFonts w:asciiTheme="minorHAnsi" w:hAnsiTheme="minorHAnsi"/>
                <w:sz w:val="20"/>
                <w:szCs w:val="20"/>
              </w:rPr>
              <w:t>0</w:t>
            </w:r>
            <w:r w:rsidRPr="00237E1E">
              <w:rPr>
                <w:rFonts w:asciiTheme="minorHAnsi" w:hAnsiTheme="minorHAnsi"/>
                <w:sz w:val="20"/>
                <w:szCs w:val="20"/>
              </w:rPr>
              <w:t>00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E64E4" w:rsidRPr="00237E1E" w:rsidRDefault="00093523" w:rsidP="009424E9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MMR, MPSV, MV</w:t>
            </w:r>
          </w:p>
        </w:tc>
        <w:tc>
          <w:tcPr>
            <w:tcW w:w="1134" w:type="dxa"/>
          </w:tcPr>
          <w:p w:rsidR="00FE64E4" w:rsidRPr="00237E1E" w:rsidRDefault="001A5617" w:rsidP="00F21848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  <w:r w:rsidR="00FE64E4" w:rsidRPr="00237E1E">
              <w:rPr>
                <w:rFonts w:asciiTheme="minorHAnsi" w:hAnsiTheme="minorHAnsi"/>
                <w:sz w:val="20"/>
                <w:szCs w:val="20"/>
              </w:rPr>
              <w:t>/2016</w:t>
            </w:r>
          </w:p>
          <w:p w:rsidR="00FE64E4" w:rsidRPr="00237E1E" w:rsidRDefault="00FE64E4" w:rsidP="00F21848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(přesun z 06/2015)</w:t>
            </w:r>
          </w:p>
        </w:tc>
        <w:tc>
          <w:tcPr>
            <w:tcW w:w="1276" w:type="dxa"/>
          </w:tcPr>
          <w:p w:rsidR="00FE64E4" w:rsidRPr="00237E1E" w:rsidRDefault="00D13117" w:rsidP="008E2D37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D13117">
              <w:rPr>
                <w:rFonts w:asciiTheme="minorHAnsi" w:hAnsiTheme="minorHAnsi"/>
                <w:sz w:val="20"/>
                <w:szCs w:val="20"/>
              </w:rPr>
              <w:t>Nevyžaduje se</w:t>
            </w:r>
          </w:p>
        </w:tc>
        <w:tc>
          <w:tcPr>
            <w:tcW w:w="3090" w:type="dxa"/>
          </w:tcPr>
          <w:p w:rsidR="00FE64E4" w:rsidRPr="00237E1E" w:rsidRDefault="00FE64E4" w:rsidP="008E2D37">
            <w:pPr>
              <w:spacing w:after="0"/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Změna legislativní úpravy jako splnění jedné z předběžných podmínek pro čerpání fondů EU vyplývající z</w:t>
            </w:r>
            <w:r w:rsidR="00BD5DBE" w:rsidRPr="00237E1E">
              <w:rPr>
                <w:rFonts w:asciiTheme="minorHAnsi" w:hAnsiTheme="minorHAnsi"/>
                <w:sz w:val="20"/>
                <w:szCs w:val="20"/>
              </w:rPr>
              <w:t xml:space="preserve"> Revize </w:t>
            </w:r>
            <w:r w:rsidRPr="00237E1E">
              <w:rPr>
                <w:rFonts w:asciiTheme="minorHAnsi" w:hAnsiTheme="minorHAnsi"/>
                <w:sz w:val="20"/>
                <w:szCs w:val="20"/>
              </w:rPr>
              <w:t>Evropského aktu pro malé a střední podniky (SBA)</w:t>
            </w:r>
            <w:r w:rsidR="00BD5DBE" w:rsidRPr="00237E1E">
              <w:rPr>
                <w:rFonts w:asciiTheme="minorHAnsi" w:hAnsiTheme="minorHAnsi"/>
                <w:sz w:val="20"/>
                <w:szCs w:val="20"/>
              </w:rPr>
              <w:t xml:space="preserve"> z roku 2011</w:t>
            </w:r>
            <w:r w:rsidRPr="00237E1E">
              <w:rPr>
                <w:rFonts w:asciiTheme="minorHAnsi" w:hAnsiTheme="minorHAnsi"/>
                <w:sz w:val="20"/>
                <w:szCs w:val="20"/>
              </w:rPr>
              <w:t xml:space="preserve"> - Snížení nutných nákladů na založení podniku. Zákon, kterým se mění zákon č. 549/1991 Sb., o soudních poplatcích, ve znění pozdějších předpisů.</w:t>
            </w:r>
          </w:p>
        </w:tc>
      </w:tr>
      <w:tr w:rsidR="00FE64E4" w:rsidRPr="008A31BF" w:rsidTr="00F21848">
        <w:tc>
          <w:tcPr>
            <w:tcW w:w="2269" w:type="dxa"/>
          </w:tcPr>
          <w:p w:rsidR="00FE64E4" w:rsidRPr="00237E1E" w:rsidRDefault="00FE64E4" w:rsidP="00AA1768">
            <w:pPr>
              <w:numPr>
                <w:ilvl w:val="0"/>
                <w:numId w:val="13"/>
              </w:num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Spolupráce na úpravě kvalifikačních kritérií pro specializované řemeslné profese a na stanovení hodnotících a kvalifikačních standardů pro profesní kvalifikace</w:t>
            </w:r>
          </w:p>
        </w:tc>
        <w:tc>
          <w:tcPr>
            <w:tcW w:w="850" w:type="dxa"/>
          </w:tcPr>
          <w:p w:rsidR="00FE64E4" w:rsidRPr="00237E1E" w:rsidRDefault="004F223D" w:rsidP="008E2D37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 xml:space="preserve">MPO </w:t>
            </w:r>
          </w:p>
          <w:p w:rsidR="00FE64E4" w:rsidRPr="00237E1E" w:rsidRDefault="000B247F" w:rsidP="008E2D37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41000</w:t>
            </w:r>
          </w:p>
        </w:tc>
        <w:tc>
          <w:tcPr>
            <w:tcW w:w="1276" w:type="dxa"/>
          </w:tcPr>
          <w:p w:rsidR="00FE64E4" w:rsidRPr="00237E1E" w:rsidRDefault="00093523" w:rsidP="008E2D3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MŠMT, MPSV</w:t>
            </w:r>
          </w:p>
        </w:tc>
        <w:tc>
          <w:tcPr>
            <w:tcW w:w="1134" w:type="dxa"/>
          </w:tcPr>
          <w:p w:rsidR="00FE64E4" w:rsidRPr="00237E1E" w:rsidRDefault="001A5617" w:rsidP="00F21848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  <w:r w:rsidR="00FE64E4" w:rsidRPr="00237E1E">
              <w:rPr>
                <w:rFonts w:asciiTheme="minorHAnsi" w:hAnsiTheme="minorHAnsi"/>
                <w:sz w:val="20"/>
                <w:szCs w:val="20"/>
              </w:rPr>
              <w:t>/2016</w:t>
            </w:r>
          </w:p>
          <w:p w:rsidR="00FE64E4" w:rsidRPr="00237E1E" w:rsidRDefault="00FE64E4" w:rsidP="00F21848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(přesun z 06/2015)</w:t>
            </w:r>
          </w:p>
        </w:tc>
        <w:tc>
          <w:tcPr>
            <w:tcW w:w="1276" w:type="dxa"/>
          </w:tcPr>
          <w:p w:rsidR="00FE64E4" w:rsidRPr="00237E1E" w:rsidRDefault="00FE64E4" w:rsidP="008E2D37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Nevyžaduje se</w:t>
            </w:r>
          </w:p>
        </w:tc>
        <w:tc>
          <w:tcPr>
            <w:tcW w:w="3090" w:type="dxa"/>
          </w:tcPr>
          <w:p w:rsidR="00FE64E4" w:rsidRDefault="00FE64E4" w:rsidP="00BC0A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 xml:space="preserve">MPO ve spolupráci s MŠMT </w:t>
            </w:r>
            <w:r w:rsidR="00BC0ACB" w:rsidRPr="00237E1E">
              <w:rPr>
                <w:rFonts w:asciiTheme="minorHAnsi" w:hAnsiTheme="minorHAnsi"/>
                <w:sz w:val="20"/>
                <w:szCs w:val="20"/>
              </w:rPr>
              <w:t>připraví novelu živnostenského zákona (zákon č. 455/1991 Sb.) s ohledem na aktuální potřeby a požadavky podnikatelské sféry.</w:t>
            </w:r>
          </w:p>
          <w:p w:rsidR="00087353" w:rsidRDefault="00087353" w:rsidP="0008735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087353" w:rsidRPr="00237E1E" w:rsidRDefault="00087353" w:rsidP="00087353">
            <w:pPr>
              <w:spacing w:after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 rámci podpory řemesel bude v následujícím roce v</w:t>
            </w:r>
            <w:r w:rsidRPr="00087353">
              <w:rPr>
                <w:rFonts w:asciiTheme="minorHAnsi" w:hAnsiTheme="minorHAnsi"/>
                <w:sz w:val="20"/>
                <w:szCs w:val="20"/>
              </w:rPr>
              <w:t>yhlášen projekt Rok řemesel 2016 – představení spotřebitelům řemesla jako klíčového nástroje pro udržení obslužnosti regionů i zajímavou volbu pro mladou generaci.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87353">
              <w:rPr>
                <w:rFonts w:asciiTheme="minorHAnsi" w:hAnsiTheme="minorHAnsi"/>
                <w:sz w:val="20"/>
                <w:szCs w:val="20"/>
              </w:rPr>
              <w:t xml:space="preserve">V průběhu roku 2016 se uskuteční 20 regionálních akcí, 2 stěžejní veletrhy s udělením Ocenění za řemeslný počin, spouští se nový řemeslný portál B2C www.rokremesel.cz, ve 2. pololetí se připojuje potravinářsko-agrární </w:t>
            </w:r>
            <w:r w:rsidRPr="00087353">
              <w:rPr>
                <w:rFonts w:asciiTheme="minorHAnsi" w:hAnsiTheme="minorHAnsi"/>
                <w:sz w:val="20"/>
                <w:szCs w:val="20"/>
              </w:rPr>
              <w:lastRenderedPageBreak/>
              <w:t>sektor s představením svých profesí.</w:t>
            </w:r>
          </w:p>
        </w:tc>
      </w:tr>
      <w:tr w:rsidR="00FE64E4" w:rsidRPr="00283744" w:rsidTr="00F21848">
        <w:tc>
          <w:tcPr>
            <w:tcW w:w="2269" w:type="dxa"/>
          </w:tcPr>
          <w:p w:rsidR="00FE64E4" w:rsidRPr="00237E1E" w:rsidRDefault="00FE64E4" w:rsidP="00AA1768">
            <w:pPr>
              <w:numPr>
                <w:ilvl w:val="0"/>
                <w:numId w:val="13"/>
              </w:num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lastRenderedPageBreak/>
              <w:t>Příprava návrhu novely zákona o insolvenci tak, aby (nedobrovolné) ukončení podnikání bylo jedn</w:t>
            </w:r>
            <w:r w:rsidR="002A2FAD" w:rsidRPr="00237E1E">
              <w:rPr>
                <w:rFonts w:asciiTheme="minorHAnsi" w:hAnsiTheme="minorHAnsi"/>
                <w:sz w:val="20"/>
                <w:szCs w:val="20"/>
              </w:rPr>
              <w:t>odušší</w:t>
            </w:r>
          </w:p>
        </w:tc>
        <w:tc>
          <w:tcPr>
            <w:tcW w:w="850" w:type="dxa"/>
          </w:tcPr>
          <w:p w:rsidR="00FE64E4" w:rsidRPr="00237E1E" w:rsidRDefault="000361E9" w:rsidP="008E2D37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37E1E">
              <w:rPr>
                <w:rFonts w:asciiTheme="minorHAnsi" w:hAnsiTheme="minorHAnsi"/>
                <w:sz w:val="20"/>
                <w:szCs w:val="20"/>
              </w:rPr>
              <w:t>MSp</w:t>
            </w:r>
            <w:proofErr w:type="spellEnd"/>
          </w:p>
          <w:p w:rsidR="00FE64E4" w:rsidRPr="00237E1E" w:rsidRDefault="00FE64E4" w:rsidP="008E2D37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FE64E4" w:rsidRPr="00237E1E" w:rsidRDefault="00FE64E4" w:rsidP="008E2D37">
            <w:pPr>
              <w:spacing w:after="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E64E4" w:rsidRPr="00237E1E" w:rsidRDefault="000361E9" w:rsidP="008E2D3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MPO 21000</w:t>
            </w:r>
          </w:p>
        </w:tc>
        <w:tc>
          <w:tcPr>
            <w:tcW w:w="1134" w:type="dxa"/>
          </w:tcPr>
          <w:p w:rsidR="00FE64E4" w:rsidRPr="00237E1E" w:rsidRDefault="00FE64E4" w:rsidP="00F21848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12/2016</w:t>
            </w:r>
          </w:p>
          <w:p w:rsidR="00FE64E4" w:rsidRPr="00237E1E" w:rsidRDefault="00FE64E4" w:rsidP="00F21848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(přesun z 06/2015)</w:t>
            </w:r>
          </w:p>
        </w:tc>
        <w:tc>
          <w:tcPr>
            <w:tcW w:w="1276" w:type="dxa"/>
          </w:tcPr>
          <w:p w:rsidR="00FE64E4" w:rsidRPr="00237E1E" w:rsidRDefault="00D13117" w:rsidP="008E2D37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D13117">
              <w:rPr>
                <w:rFonts w:asciiTheme="minorHAnsi" w:hAnsiTheme="minorHAnsi"/>
                <w:sz w:val="20"/>
                <w:szCs w:val="20"/>
              </w:rPr>
              <w:t>Nevyžaduje se</w:t>
            </w:r>
          </w:p>
        </w:tc>
        <w:tc>
          <w:tcPr>
            <w:tcW w:w="3090" w:type="dxa"/>
          </w:tcPr>
          <w:p w:rsidR="00FE64E4" w:rsidRPr="00237E1E" w:rsidRDefault="00012EAB" w:rsidP="00012EAB">
            <w:pPr>
              <w:spacing w:after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Dokončení legislativního procesu</w:t>
            </w:r>
            <w:r w:rsidRPr="00237E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novely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insolvenčního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zákona v gesci</w:t>
            </w:r>
            <w:r w:rsidR="00FE64E4" w:rsidRPr="00237E1E">
              <w:rPr>
                <w:rFonts w:asciiTheme="minorHAnsi" w:hAnsiTheme="minorHAnsi"/>
                <w:sz w:val="20"/>
                <w:szCs w:val="20"/>
              </w:rPr>
              <w:t xml:space="preserve"> Ministerstv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FE64E4" w:rsidRPr="00237E1E">
              <w:rPr>
                <w:rFonts w:asciiTheme="minorHAnsi" w:hAnsiTheme="minorHAnsi"/>
                <w:sz w:val="20"/>
                <w:szCs w:val="20"/>
              </w:rPr>
              <w:t xml:space="preserve"> spravedlnosti - Novela zákona č. 182/2006 Sb., o úpadku a způsobech </w:t>
            </w:r>
            <w:r w:rsidR="008A0FBB" w:rsidRPr="00237E1E">
              <w:rPr>
                <w:rFonts w:asciiTheme="minorHAnsi" w:hAnsiTheme="minorHAnsi"/>
                <w:sz w:val="20"/>
                <w:szCs w:val="20"/>
              </w:rPr>
              <w:t>jeho řešení (</w:t>
            </w:r>
            <w:proofErr w:type="spellStart"/>
            <w:r w:rsidR="008A0FBB" w:rsidRPr="00237E1E">
              <w:rPr>
                <w:rFonts w:asciiTheme="minorHAnsi" w:hAnsiTheme="minorHAnsi"/>
                <w:sz w:val="20"/>
                <w:szCs w:val="20"/>
              </w:rPr>
              <w:t>insolvenční</w:t>
            </w:r>
            <w:proofErr w:type="spellEnd"/>
            <w:r w:rsidR="008A0FBB" w:rsidRPr="00237E1E">
              <w:rPr>
                <w:rFonts w:asciiTheme="minorHAnsi" w:hAnsiTheme="minorHAnsi"/>
                <w:sz w:val="20"/>
                <w:szCs w:val="20"/>
              </w:rPr>
              <w:t xml:space="preserve"> zákon) -  dokončování všech právních postupů spojených s ukončením činnosti podniků v případě úpadku do jednoho roku, aby znova začínající podniky měly rovné podmínky s podniky novými včetně režimu podpory. </w:t>
            </w:r>
          </w:p>
        </w:tc>
      </w:tr>
      <w:tr w:rsidR="00FE64E4" w:rsidRPr="00283744" w:rsidTr="00F21848">
        <w:tc>
          <w:tcPr>
            <w:tcW w:w="2269" w:type="dxa"/>
          </w:tcPr>
          <w:p w:rsidR="00FE64E4" w:rsidRPr="00237E1E" w:rsidRDefault="00FE64E4" w:rsidP="00AA1768">
            <w:pPr>
              <w:numPr>
                <w:ilvl w:val="0"/>
                <w:numId w:val="13"/>
              </w:num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Příprava návrhu zákona o sociálním podnikání</w:t>
            </w:r>
            <w:r w:rsidR="006641DC">
              <w:rPr>
                <w:rFonts w:asciiTheme="minorHAnsi" w:hAnsiTheme="minorHAnsi"/>
                <w:sz w:val="20"/>
                <w:szCs w:val="20"/>
              </w:rPr>
              <w:t xml:space="preserve"> a analýza participační ekonomiky</w:t>
            </w:r>
          </w:p>
        </w:tc>
        <w:tc>
          <w:tcPr>
            <w:tcW w:w="850" w:type="dxa"/>
          </w:tcPr>
          <w:p w:rsidR="00FE64E4" w:rsidRPr="00237E1E" w:rsidRDefault="00CD13C6" w:rsidP="00093523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MPSV</w:t>
            </w:r>
          </w:p>
        </w:tc>
        <w:tc>
          <w:tcPr>
            <w:tcW w:w="1276" w:type="dxa"/>
          </w:tcPr>
          <w:p w:rsidR="00FE64E4" w:rsidRPr="00237E1E" w:rsidRDefault="00CD13C6" w:rsidP="00CD13C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MPO 61</w:t>
            </w:r>
            <w:r w:rsidR="00C258E0">
              <w:rPr>
                <w:rFonts w:asciiTheme="minorHAnsi" w:hAnsiTheme="minorHAnsi"/>
                <w:sz w:val="20"/>
                <w:szCs w:val="20"/>
              </w:rPr>
              <w:t>0</w:t>
            </w:r>
            <w:r w:rsidRPr="00237E1E">
              <w:rPr>
                <w:rFonts w:asciiTheme="minorHAnsi" w:hAnsiTheme="minorHAnsi"/>
                <w:sz w:val="20"/>
                <w:szCs w:val="20"/>
              </w:rPr>
              <w:t>00, ÚV</w:t>
            </w:r>
            <w:r w:rsidR="002A2FAD" w:rsidRPr="00237E1E">
              <w:rPr>
                <w:rFonts w:asciiTheme="minorHAnsi" w:hAnsiTheme="minorHAnsi"/>
                <w:sz w:val="20"/>
                <w:szCs w:val="20"/>
              </w:rPr>
              <w:t xml:space="preserve"> ČR</w:t>
            </w:r>
          </w:p>
        </w:tc>
        <w:tc>
          <w:tcPr>
            <w:tcW w:w="1134" w:type="dxa"/>
          </w:tcPr>
          <w:p w:rsidR="00FE64E4" w:rsidRPr="00237E1E" w:rsidRDefault="00FE64E4" w:rsidP="00F21848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12/2016 (přesun z 12/2015)</w:t>
            </w:r>
          </w:p>
        </w:tc>
        <w:tc>
          <w:tcPr>
            <w:tcW w:w="1276" w:type="dxa"/>
          </w:tcPr>
          <w:p w:rsidR="00FE64E4" w:rsidRPr="00237E1E" w:rsidRDefault="00FE64E4" w:rsidP="008E2D37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Nevyžaduje se</w:t>
            </w:r>
          </w:p>
        </w:tc>
        <w:tc>
          <w:tcPr>
            <w:tcW w:w="3090" w:type="dxa"/>
          </w:tcPr>
          <w:p w:rsidR="00FE64E4" w:rsidRPr="00237E1E" w:rsidRDefault="008754FE" w:rsidP="008B4850">
            <w:pPr>
              <w:spacing w:after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Cílem připravovaného zákona je zejména vymezení definičních prvků sociálních podniků</w:t>
            </w:r>
            <w:r w:rsidR="008B4850" w:rsidRPr="00237E1E">
              <w:rPr>
                <w:rFonts w:asciiTheme="minorHAnsi" w:hAnsiTheme="minorHAnsi"/>
                <w:sz w:val="20"/>
                <w:szCs w:val="20"/>
              </w:rPr>
              <w:t xml:space="preserve"> vč. jejich typů.</w:t>
            </w:r>
            <w:r w:rsidR="00FE64E4" w:rsidRPr="00237E1E">
              <w:rPr>
                <w:rFonts w:asciiTheme="minorHAnsi" w:hAnsiTheme="minorHAnsi"/>
                <w:sz w:val="20"/>
                <w:szCs w:val="20"/>
              </w:rPr>
              <w:t>, podmínky vzniku a vedení veřejně přístupného seznamu sociálních podniků, dohled nad ním, podmínky zápisu a některá související práva a povinnosti zapsaných subjektů a některé sankce za porušení podmínek, zmocnění k úpravě kompetenci orgánu vlády, základy koordinované strategie rozvoje sociální ekonomiky a podpory sociálního podnikání.</w:t>
            </w:r>
            <w:r w:rsidR="008B4850" w:rsidRPr="00237E1E">
              <w:rPr>
                <w:rFonts w:asciiTheme="minorHAnsi" w:hAnsiTheme="minorHAnsi"/>
                <w:sz w:val="20"/>
                <w:szCs w:val="20"/>
              </w:rPr>
              <w:t xml:space="preserve"> Tento zákon, resp. jasná definice sociálních podniků by umožnila koordinovaně podporovat tento segment podnikatelů ze strany poskytovatelů veřejné podpory. Mj. mezi MPO a MPSV již bylo dosaženo dohody a oba resorty používají stejnou definici sociálního podnikatele.</w:t>
            </w:r>
          </w:p>
        </w:tc>
      </w:tr>
      <w:tr w:rsidR="00FE64E4" w:rsidRPr="00283744" w:rsidTr="00F21848">
        <w:tc>
          <w:tcPr>
            <w:tcW w:w="2269" w:type="dxa"/>
          </w:tcPr>
          <w:p w:rsidR="00FE64E4" w:rsidRPr="00237E1E" w:rsidRDefault="008B4850" w:rsidP="00FE64E4">
            <w:pPr>
              <w:numPr>
                <w:ilvl w:val="0"/>
                <w:numId w:val="13"/>
              </w:num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Poskytování nových poradenských služeb pro inovativní MSP</w:t>
            </w:r>
            <w:r w:rsidR="00FE64E4" w:rsidRPr="00237E1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E64E4" w:rsidRPr="00237E1E" w:rsidRDefault="00FE64E4" w:rsidP="008E2D37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MPO 61000</w:t>
            </w:r>
          </w:p>
        </w:tc>
        <w:tc>
          <w:tcPr>
            <w:tcW w:w="1276" w:type="dxa"/>
          </w:tcPr>
          <w:p w:rsidR="00FE64E4" w:rsidRPr="00237E1E" w:rsidRDefault="00051AB2" w:rsidP="008E2D37">
            <w:pPr>
              <w:spacing w:after="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010B84">
              <w:rPr>
                <w:sz w:val="20"/>
                <w:szCs w:val="20"/>
              </w:rPr>
              <w:t>CzechInvest</w:t>
            </w:r>
            <w:proofErr w:type="spellEnd"/>
            <w:r w:rsidRPr="00010B84">
              <w:rPr>
                <w:sz w:val="20"/>
                <w:szCs w:val="20"/>
              </w:rPr>
              <w:t xml:space="preserve"> (příp. API)</w:t>
            </w:r>
            <w:r w:rsidR="004A3039" w:rsidRPr="00F45526">
              <w:rPr>
                <w:rStyle w:val="Znakapoznpodarou"/>
                <w:rFonts w:asciiTheme="minorHAnsi" w:hAnsiTheme="minorHAnsi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</w:tcPr>
          <w:p w:rsidR="00FE64E4" w:rsidRPr="00237E1E" w:rsidRDefault="00FE64E4" w:rsidP="00F21848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12/2016</w:t>
            </w:r>
          </w:p>
          <w:p w:rsidR="00FE64E4" w:rsidRPr="00237E1E" w:rsidRDefault="00FE64E4" w:rsidP="00F21848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(přesun z 12/2015)</w:t>
            </w:r>
          </w:p>
        </w:tc>
        <w:tc>
          <w:tcPr>
            <w:tcW w:w="1276" w:type="dxa"/>
          </w:tcPr>
          <w:p w:rsidR="00FE64E4" w:rsidRPr="00237E1E" w:rsidRDefault="00FE64E4" w:rsidP="008E2D37">
            <w:pPr>
              <w:spacing w:after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 xml:space="preserve">PO2 </w:t>
            </w:r>
            <w:r w:rsidR="007533FD" w:rsidRPr="007533FD">
              <w:rPr>
                <w:rFonts w:asciiTheme="minorHAnsi" w:hAnsiTheme="minorHAnsi"/>
                <w:sz w:val="20"/>
                <w:szCs w:val="20"/>
              </w:rPr>
              <w:t>OP PIK</w:t>
            </w:r>
          </w:p>
        </w:tc>
        <w:tc>
          <w:tcPr>
            <w:tcW w:w="3090" w:type="dxa"/>
          </w:tcPr>
          <w:p w:rsidR="003B24A4" w:rsidRPr="00237E1E" w:rsidRDefault="00FE64E4" w:rsidP="00950A8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 xml:space="preserve">Interní projekt agentury </w:t>
            </w:r>
            <w:proofErr w:type="spellStart"/>
            <w:r w:rsidRPr="00237E1E">
              <w:rPr>
                <w:rFonts w:asciiTheme="minorHAnsi" w:hAnsiTheme="minorHAnsi"/>
                <w:sz w:val="20"/>
                <w:szCs w:val="20"/>
              </w:rPr>
              <w:t>CzechInvest</w:t>
            </w:r>
            <w:proofErr w:type="spellEnd"/>
            <w:r w:rsidRPr="00237E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B24A4" w:rsidRPr="00237E1E">
              <w:rPr>
                <w:rFonts w:asciiTheme="minorHAnsi" w:hAnsiTheme="minorHAnsi"/>
                <w:sz w:val="20"/>
                <w:szCs w:val="20"/>
              </w:rPr>
              <w:t xml:space="preserve">v rámci programu Marketing </w:t>
            </w:r>
            <w:r w:rsidR="00950A83" w:rsidRPr="00237E1E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F21A3D" w:rsidRPr="00237E1E">
              <w:rPr>
                <w:rFonts w:asciiTheme="minorHAnsi" w:hAnsiTheme="minorHAnsi"/>
                <w:sz w:val="20"/>
                <w:szCs w:val="20"/>
              </w:rPr>
              <w:t>Služby pro MSP zaměřené na mezinárodní konkurenceschopnost usnadňující vstup na zahraniční trhy, získání zkušeností s podnikáním v zahraničí, zvýšení schopnosti mezinárodní expanze a posílení růstových motivací podniků hledajících nové rozvojové příležitosti. Sofistikované poradenské služby expertů. Služby rozvíjející ekosystém pro start</w:t>
            </w:r>
            <w:r w:rsidR="005A4C88" w:rsidRPr="00237E1E">
              <w:rPr>
                <w:rFonts w:asciiTheme="minorHAnsi" w:hAnsiTheme="minorHAnsi"/>
                <w:sz w:val="20"/>
                <w:szCs w:val="20"/>
              </w:rPr>
              <w:t>-</w:t>
            </w:r>
            <w:proofErr w:type="spellStart"/>
            <w:r w:rsidR="00F21A3D" w:rsidRPr="00237E1E">
              <w:rPr>
                <w:rFonts w:asciiTheme="minorHAnsi" w:hAnsiTheme="minorHAnsi"/>
                <w:sz w:val="20"/>
                <w:szCs w:val="20"/>
              </w:rPr>
              <w:t>up</w:t>
            </w:r>
            <w:proofErr w:type="spellEnd"/>
            <w:r w:rsidR="00F21A3D" w:rsidRPr="00237E1E">
              <w:rPr>
                <w:rFonts w:asciiTheme="minorHAnsi" w:hAnsiTheme="minorHAnsi"/>
                <w:sz w:val="20"/>
                <w:szCs w:val="20"/>
              </w:rPr>
              <w:t xml:space="preserve"> společnosti, podporu </w:t>
            </w:r>
            <w:r w:rsidR="00F21A3D" w:rsidRPr="00237E1E">
              <w:rPr>
                <w:rFonts w:asciiTheme="minorHAnsi" w:hAnsiTheme="minorHAnsi"/>
                <w:sz w:val="20"/>
                <w:szCs w:val="20"/>
              </w:rPr>
              <w:lastRenderedPageBreak/>
              <w:t>internacionalizace MSP a zvýšení marketingových a manažerských dovedností MSP.</w:t>
            </w:r>
          </w:p>
        </w:tc>
      </w:tr>
      <w:tr w:rsidR="00FE64E4" w:rsidRPr="00283744" w:rsidTr="00F21848">
        <w:tc>
          <w:tcPr>
            <w:tcW w:w="2269" w:type="dxa"/>
          </w:tcPr>
          <w:p w:rsidR="00FE64E4" w:rsidRPr="00237E1E" w:rsidRDefault="00D13117" w:rsidP="00D13117">
            <w:pPr>
              <w:numPr>
                <w:ilvl w:val="0"/>
                <w:numId w:val="13"/>
              </w:numPr>
              <w:spacing w:after="0"/>
              <w:jc w:val="lef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P</w:t>
            </w:r>
            <w:r w:rsidR="00FE64E4" w:rsidRPr="00237E1E">
              <w:rPr>
                <w:rFonts w:asciiTheme="minorHAnsi" w:hAnsiTheme="minorHAnsi"/>
                <w:sz w:val="20"/>
                <w:szCs w:val="20"/>
              </w:rPr>
              <w:t>odpor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FE64E4" w:rsidRPr="00237E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B4850" w:rsidRPr="00237E1E">
              <w:rPr>
                <w:rFonts w:asciiTheme="minorHAnsi" w:hAnsiTheme="minorHAnsi"/>
                <w:sz w:val="20"/>
                <w:szCs w:val="20"/>
              </w:rPr>
              <w:t>společných výzkumných, vývojových a inovačních aktivit mezi podnikatelskými subjekty a mezi veřejným a podnikovým sektorem</w:t>
            </w:r>
          </w:p>
        </w:tc>
        <w:tc>
          <w:tcPr>
            <w:tcW w:w="850" w:type="dxa"/>
          </w:tcPr>
          <w:p w:rsidR="00FE64E4" w:rsidRPr="00237E1E" w:rsidRDefault="00043DA6" w:rsidP="008E2D37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MPO 61</w:t>
            </w:r>
            <w:r w:rsidR="00C258E0">
              <w:rPr>
                <w:rFonts w:asciiTheme="minorHAnsi" w:hAnsiTheme="minorHAnsi"/>
                <w:sz w:val="20"/>
                <w:szCs w:val="20"/>
              </w:rPr>
              <w:t>0</w:t>
            </w:r>
            <w:r w:rsidRPr="00237E1E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FE64E4" w:rsidRPr="00237E1E" w:rsidRDefault="00051AB2" w:rsidP="008E2D3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0B84">
              <w:rPr>
                <w:sz w:val="20"/>
                <w:szCs w:val="20"/>
              </w:rPr>
              <w:t>CzechInvest</w:t>
            </w:r>
            <w:proofErr w:type="spellEnd"/>
            <w:r w:rsidRPr="00010B84">
              <w:rPr>
                <w:sz w:val="20"/>
                <w:szCs w:val="20"/>
              </w:rPr>
              <w:t xml:space="preserve"> (příp. API)</w:t>
            </w:r>
          </w:p>
        </w:tc>
        <w:tc>
          <w:tcPr>
            <w:tcW w:w="1134" w:type="dxa"/>
          </w:tcPr>
          <w:p w:rsidR="00FE64E4" w:rsidRPr="00237E1E" w:rsidRDefault="00FE64E4" w:rsidP="00F21848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Dle harmonogramu přípravy OP PIK</w:t>
            </w:r>
          </w:p>
        </w:tc>
        <w:tc>
          <w:tcPr>
            <w:tcW w:w="1276" w:type="dxa"/>
          </w:tcPr>
          <w:p w:rsidR="00FE64E4" w:rsidRPr="00237E1E" w:rsidRDefault="00FE64E4" w:rsidP="008E2D37">
            <w:pPr>
              <w:spacing w:after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 xml:space="preserve">PO1 </w:t>
            </w:r>
            <w:r w:rsidR="007533FD" w:rsidRPr="007533FD">
              <w:rPr>
                <w:rFonts w:asciiTheme="minorHAnsi" w:hAnsiTheme="minorHAnsi"/>
                <w:sz w:val="20"/>
                <w:szCs w:val="20"/>
              </w:rPr>
              <w:t>OP PIK</w:t>
            </w:r>
          </w:p>
        </w:tc>
        <w:tc>
          <w:tcPr>
            <w:tcW w:w="3090" w:type="dxa"/>
          </w:tcPr>
          <w:p w:rsidR="00D807D5" w:rsidRPr="00237E1E" w:rsidRDefault="00D13117" w:rsidP="00D1311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Vyhlášení výzvy p</w:t>
            </w:r>
            <w:r w:rsidR="00433FA1" w:rsidRPr="00237E1E">
              <w:rPr>
                <w:rFonts w:asciiTheme="minorHAnsi" w:hAnsiTheme="minorHAnsi"/>
                <w:sz w:val="20"/>
                <w:szCs w:val="20"/>
              </w:rPr>
              <w:t>rogram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433FA1" w:rsidRPr="00237E1E">
              <w:rPr>
                <w:rFonts w:asciiTheme="minorHAnsi" w:hAnsiTheme="minorHAnsi"/>
                <w:sz w:val="20"/>
                <w:szCs w:val="20"/>
              </w:rPr>
              <w:t xml:space="preserve"> Služby infrastruktury </w:t>
            </w:r>
            <w:r w:rsidR="00FE64E4" w:rsidRPr="00237E1E">
              <w:rPr>
                <w:rFonts w:asciiTheme="minorHAnsi" w:hAnsiTheme="minorHAnsi"/>
                <w:sz w:val="20"/>
                <w:szCs w:val="20"/>
              </w:rPr>
              <w:t xml:space="preserve">- Hlavním cílem programu je prostřednictvím dotací zkvalitňování služeb podpůrné infrastruktury, která povede ke zvýšení intenzity společných výzkumných, vývojových a inovačních aktivit mezi podnikatelskými subjekty a mezi veřejným a podnikovým sektorem se zaměřením zejména na realizaci nových technologií a konkurenceschopných výrobků a služeb. Tyto aktivity povedou ke zlepšení </w:t>
            </w:r>
            <w:proofErr w:type="spellStart"/>
            <w:r w:rsidR="00FE64E4" w:rsidRPr="00237E1E">
              <w:rPr>
                <w:rFonts w:asciiTheme="minorHAnsi" w:hAnsiTheme="minorHAnsi"/>
                <w:sz w:val="20"/>
                <w:szCs w:val="20"/>
              </w:rPr>
              <w:t>mezisektorové</w:t>
            </w:r>
            <w:proofErr w:type="spellEnd"/>
            <w:r w:rsidR="00FE64E4" w:rsidRPr="00237E1E">
              <w:rPr>
                <w:rFonts w:asciiTheme="minorHAnsi" w:hAnsiTheme="minorHAnsi"/>
                <w:sz w:val="20"/>
                <w:szCs w:val="20"/>
              </w:rPr>
              <w:t xml:space="preserve"> spolupráce a podmínek pro rozvoj inovačních firem a konkurenční výhody jako zásadního prvku ovlivňujícího efektivitu celého inovačního systému v ČR.</w:t>
            </w:r>
          </w:p>
        </w:tc>
      </w:tr>
      <w:tr w:rsidR="00FE64E4" w:rsidRPr="00283744" w:rsidTr="00F21848">
        <w:tc>
          <w:tcPr>
            <w:tcW w:w="2269" w:type="dxa"/>
          </w:tcPr>
          <w:p w:rsidR="00FE64E4" w:rsidRPr="00237E1E" w:rsidRDefault="00D13117" w:rsidP="00D13117">
            <w:pPr>
              <w:numPr>
                <w:ilvl w:val="0"/>
                <w:numId w:val="13"/>
              </w:num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Podpora</w:t>
            </w:r>
            <w:r w:rsidR="00CD13C6" w:rsidRPr="00237E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D13C6" w:rsidRPr="00237E1E">
              <w:rPr>
                <w:rFonts w:asciiTheme="minorHAnsi" w:hAnsiTheme="minorHAnsi"/>
                <w:sz w:val="20"/>
                <w:szCs w:val="20"/>
              </w:rPr>
              <w:t>předkomerční</w:t>
            </w:r>
            <w:r>
              <w:rPr>
                <w:rFonts w:asciiTheme="minorHAnsi" w:hAnsiTheme="minorHAnsi"/>
                <w:sz w:val="20"/>
                <w:szCs w:val="20"/>
              </w:rPr>
              <w:t>ho</w:t>
            </w:r>
            <w:proofErr w:type="spellEnd"/>
            <w:r w:rsidR="00FE64E4" w:rsidRPr="00237E1E">
              <w:rPr>
                <w:rFonts w:asciiTheme="minorHAnsi" w:hAnsiTheme="minorHAnsi"/>
                <w:sz w:val="20"/>
                <w:szCs w:val="20"/>
              </w:rPr>
              <w:t xml:space="preserve"> zadávání veřejných zakázek</w:t>
            </w:r>
          </w:p>
        </w:tc>
        <w:tc>
          <w:tcPr>
            <w:tcW w:w="850" w:type="dxa"/>
          </w:tcPr>
          <w:p w:rsidR="00FE64E4" w:rsidRPr="00237E1E" w:rsidRDefault="00FE64E4" w:rsidP="008E2D37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MPO 61</w:t>
            </w:r>
            <w:r w:rsidR="00C258E0">
              <w:rPr>
                <w:rFonts w:asciiTheme="minorHAnsi" w:hAnsiTheme="minorHAnsi"/>
                <w:sz w:val="20"/>
                <w:szCs w:val="20"/>
              </w:rPr>
              <w:t>0</w:t>
            </w:r>
            <w:r w:rsidRPr="00237E1E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FE64E4" w:rsidRPr="00237E1E" w:rsidRDefault="00051AB2" w:rsidP="008E2D3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0B84">
              <w:rPr>
                <w:sz w:val="20"/>
                <w:szCs w:val="20"/>
              </w:rPr>
              <w:t>CzechInvest</w:t>
            </w:r>
            <w:proofErr w:type="spellEnd"/>
            <w:r w:rsidRPr="00010B84">
              <w:rPr>
                <w:sz w:val="20"/>
                <w:szCs w:val="20"/>
              </w:rPr>
              <w:t xml:space="preserve"> (příp. API)</w:t>
            </w:r>
          </w:p>
        </w:tc>
        <w:tc>
          <w:tcPr>
            <w:tcW w:w="1134" w:type="dxa"/>
          </w:tcPr>
          <w:p w:rsidR="00FE64E4" w:rsidRPr="00237E1E" w:rsidRDefault="00FE64E4" w:rsidP="00F21848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Dle harmonogramu přípravy OP PIK</w:t>
            </w:r>
          </w:p>
        </w:tc>
        <w:tc>
          <w:tcPr>
            <w:tcW w:w="1276" w:type="dxa"/>
          </w:tcPr>
          <w:p w:rsidR="00FE64E4" w:rsidRPr="00237E1E" w:rsidRDefault="00FE64E4" w:rsidP="008E2D37">
            <w:pPr>
              <w:spacing w:after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 xml:space="preserve">PO1 </w:t>
            </w:r>
            <w:r w:rsidR="007533FD" w:rsidRPr="007533FD">
              <w:rPr>
                <w:rFonts w:asciiTheme="minorHAnsi" w:hAnsiTheme="minorHAnsi"/>
                <w:sz w:val="20"/>
                <w:szCs w:val="20"/>
              </w:rPr>
              <w:t>OP PIK</w:t>
            </w:r>
          </w:p>
        </w:tc>
        <w:tc>
          <w:tcPr>
            <w:tcW w:w="3090" w:type="dxa"/>
          </w:tcPr>
          <w:p w:rsidR="00FE64E4" w:rsidRPr="00237E1E" w:rsidRDefault="00D13117" w:rsidP="008E2D3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Vyhlášení výzvy p</w:t>
            </w:r>
            <w:r w:rsidR="00835A4E" w:rsidRPr="00237E1E">
              <w:rPr>
                <w:rFonts w:asciiTheme="minorHAnsi" w:hAnsiTheme="minorHAnsi"/>
                <w:sz w:val="20"/>
                <w:szCs w:val="20"/>
              </w:rPr>
              <w:t xml:space="preserve">rogramu </w:t>
            </w:r>
            <w:proofErr w:type="spellStart"/>
            <w:r w:rsidR="00FE64E4" w:rsidRPr="00237E1E">
              <w:rPr>
                <w:rFonts w:asciiTheme="minorHAnsi" w:hAnsiTheme="minorHAnsi"/>
                <w:sz w:val="20"/>
                <w:szCs w:val="20"/>
              </w:rPr>
              <w:t>Pre</w:t>
            </w:r>
            <w:proofErr w:type="spellEnd"/>
            <w:r w:rsidR="00FE64E4" w:rsidRPr="00237E1E">
              <w:rPr>
                <w:rFonts w:asciiTheme="minorHAnsi" w:hAnsiTheme="minorHAnsi"/>
                <w:sz w:val="20"/>
                <w:szCs w:val="20"/>
              </w:rPr>
              <w:t>-</w:t>
            </w:r>
            <w:proofErr w:type="spellStart"/>
            <w:r w:rsidR="00FE64E4" w:rsidRPr="00237E1E">
              <w:rPr>
                <w:rFonts w:asciiTheme="minorHAnsi" w:hAnsiTheme="minorHAnsi"/>
                <w:sz w:val="20"/>
                <w:szCs w:val="20"/>
              </w:rPr>
              <w:t>commercial</w:t>
            </w:r>
            <w:proofErr w:type="spellEnd"/>
            <w:r w:rsidR="00FE64E4" w:rsidRPr="00237E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FE64E4" w:rsidRPr="00237E1E">
              <w:rPr>
                <w:rFonts w:asciiTheme="minorHAnsi" w:hAnsiTheme="minorHAnsi"/>
                <w:sz w:val="20"/>
                <w:szCs w:val="20"/>
              </w:rPr>
              <w:t>procurement</w:t>
            </w:r>
            <w:proofErr w:type="spellEnd"/>
            <w:r w:rsidR="00FE64E4" w:rsidRPr="00237E1E">
              <w:rPr>
                <w:rFonts w:asciiTheme="minorHAnsi" w:hAnsiTheme="minorHAnsi"/>
                <w:sz w:val="20"/>
                <w:szCs w:val="20"/>
              </w:rPr>
              <w:t xml:space="preserve"> (PCP): a) Podpora </w:t>
            </w:r>
            <w:proofErr w:type="spellStart"/>
            <w:r w:rsidR="00FE64E4" w:rsidRPr="00237E1E">
              <w:rPr>
                <w:rFonts w:asciiTheme="minorHAnsi" w:hAnsiTheme="minorHAnsi"/>
                <w:sz w:val="20"/>
                <w:szCs w:val="20"/>
              </w:rPr>
              <w:t>Proof</w:t>
            </w:r>
            <w:proofErr w:type="spellEnd"/>
            <w:r w:rsidR="00FE64E4" w:rsidRPr="00237E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FE64E4" w:rsidRPr="00237E1E">
              <w:rPr>
                <w:rFonts w:asciiTheme="minorHAnsi" w:hAnsiTheme="minorHAnsi"/>
                <w:sz w:val="20"/>
                <w:szCs w:val="20"/>
              </w:rPr>
              <w:t>of</w:t>
            </w:r>
            <w:proofErr w:type="spellEnd"/>
            <w:r w:rsidR="00FE64E4" w:rsidRPr="00237E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FE64E4" w:rsidRPr="00237E1E">
              <w:rPr>
                <w:rFonts w:asciiTheme="minorHAnsi" w:hAnsiTheme="minorHAnsi"/>
                <w:sz w:val="20"/>
                <w:szCs w:val="20"/>
              </w:rPr>
              <w:t>concept</w:t>
            </w:r>
            <w:proofErr w:type="spellEnd"/>
            <w:r w:rsidR="00FE64E4" w:rsidRPr="00237E1E">
              <w:rPr>
                <w:rFonts w:asciiTheme="minorHAnsi" w:hAnsiTheme="minorHAnsi"/>
                <w:sz w:val="20"/>
                <w:szCs w:val="20"/>
              </w:rPr>
              <w:t xml:space="preserve"> bude řešena samostatným programem, na který je plánovaná alokace cca 42 mil. EUR., b) </w:t>
            </w:r>
            <w:proofErr w:type="spellStart"/>
            <w:r w:rsidR="00FE64E4" w:rsidRPr="00237E1E">
              <w:rPr>
                <w:rFonts w:asciiTheme="minorHAnsi" w:hAnsiTheme="minorHAnsi"/>
                <w:sz w:val="20"/>
                <w:szCs w:val="20"/>
              </w:rPr>
              <w:t>Předobchodní</w:t>
            </w:r>
            <w:proofErr w:type="spellEnd"/>
            <w:r w:rsidR="00FE64E4" w:rsidRPr="00237E1E">
              <w:rPr>
                <w:rFonts w:asciiTheme="minorHAnsi" w:hAnsiTheme="minorHAnsi"/>
                <w:sz w:val="20"/>
                <w:szCs w:val="20"/>
              </w:rPr>
              <w:t xml:space="preserve"> zadávání veřejných zakázek bude podporováno rovněž samostatným programem PCP, jehož alokace cca 65 mil. EUR. </w:t>
            </w:r>
          </w:p>
          <w:p w:rsidR="00FE64E4" w:rsidRPr="00237E1E" w:rsidRDefault="00FE64E4" w:rsidP="008E2D3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FE64E4" w:rsidRPr="00237E1E" w:rsidRDefault="00FE64E4" w:rsidP="00CD13C6">
            <w:pPr>
              <w:spacing w:after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TA ČR zahájila p</w:t>
            </w:r>
            <w:r w:rsidR="00CD13C6" w:rsidRPr="00237E1E">
              <w:rPr>
                <w:rFonts w:asciiTheme="minorHAnsi" w:hAnsiTheme="minorHAnsi"/>
                <w:sz w:val="20"/>
                <w:szCs w:val="20"/>
              </w:rPr>
              <w:t>ilotní projekt k </w:t>
            </w:r>
            <w:proofErr w:type="spellStart"/>
            <w:r w:rsidR="00CD13C6" w:rsidRPr="00237E1E">
              <w:rPr>
                <w:rFonts w:asciiTheme="minorHAnsi" w:hAnsiTheme="minorHAnsi"/>
                <w:sz w:val="20"/>
                <w:szCs w:val="20"/>
              </w:rPr>
              <w:t>předobchodnímu</w:t>
            </w:r>
            <w:proofErr w:type="spellEnd"/>
            <w:r w:rsidR="00CD13C6" w:rsidRPr="00237E1E">
              <w:rPr>
                <w:rFonts w:asciiTheme="minorHAnsi" w:hAnsiTheme="minorHAnsi"/>
                <w:sz w:val="20"/>
                <w:szCs w:val="20"/>
              </w:rPr>
              <w:t xml:space="preserve"> zadávání </w:t>
            </w:r>
            <w:r w:rsidRPr="00237E1E">
              <w:rPr>
                <w:rFonts w:asciiTheme="minorHAnsi" w:hAnsiTheme="minorHAnsi"/>
                <w:sz w:val="20"/>
                <w:szCs w:val="20"/>
              </w:rPr>
              <w:t>veř</w:t>
            </w:r>
            <w:r w:rsidR="00CD13C6" w:rsidRPr="00237E1E">
              <w:rPr>
                <w:rFonts w:asciiTheme="minorHAnsi" w:hAnsiTheme="minorHAnsi"/>
                <w:sz w:val="20"/>
                <w:szCs w:val="20"/>
              </w:rPr>
              <w:t xml:space="preserve">ejných zakázek v rámci programu BETA (programu zakázek </w:t>
            </w:r>
            <w:r w:rsidRPr="00237E1E">
              <w:rPr>
                <w:rFonts w:asciiTheme="minorHAnsi" w:hAnsiTheme="minorHAnsi"/>
                <w:sz w:val="20"/>
                <w:szCs w:val="20"/>
              </w:rPr>
              <w:t xml:space="preserve">ve </w:t>
            </w:r>
            <w:proofErr w:type="spellStart"/>
            <w:r w:rsidR="00CD13C6" w:rsidRPr="00237E1E">
              <w:rPr>
                <w:rFonts w:asciiTheme="minorHAnsi" w:hAnsiTheme="minorHAnsi"/>
                <w:sz w:val="20"/>
                <w:szCs w:val="20"/>
              </w:rPr>
              <w:t>VaV</w:t>
            </w:r>
            <w:proofErr w:type="spellEnd"/>
            <w:r w:rsidR="00CD13C6" w:rsidRPr="00237E1E">
              <w:rPr>
                <w:rFonts w:asciiTheme="minorHAnsi" w:hAnsiTheme="minorHAnsi"/>
                <w:sz w:val="20"/>
                <w:szCs w:val="20"/>
              </w:rPr>
              <w:t xml:space="preserve"> pro potřeby státní správy). </w:t>
            </w:r>
            <w:r w:rsidRPr="00237E1E">
              <w:rPr>
                <w:rFonts w:asciiTheme="minorHAnsi" w:hAnsiTheme="minorHAnsi"/>
                <w:sz w:val="20"/>
                <w:szCs w:val="20"/>
              </w:rPr>
              <w:t>Způ</w:t>
            </w:r>
            <w:r w:rsidR="00CD13C6" w:rsidRPr="00237E1E">
              <w:rPr>
                <w:rFonts w:asciiTheme="minorHAnsi" w:hAnsiTheme="minorHAnsi"/>
                <w:sz w:val="20"/>
                <w:szCs w:val="20"/>
              </w:rPr>
              <w:t xml:space="preserve">sob řešení zakázky je v oblasti výzkumu a vývoje v ČR zatím ojedinělý, v některých jiných </w:t>
            </w:r>
            <w:r w:rsidRPr="00237E1E">
              <w:rPr>
                <w:rFonts w:asciiTheme="minorHAnsi" w:hAnsiTheme="minorHAnsi"/>
                <w:sz w:val="20"/>
                <w:szCs w:val="20"/>
              </w:rPr>
              <w:t>ze</w:t>
            </w:r>
            <w:r w:rsidR="00CD13C6" w:rsidRPr="00237E1E">
              <w:rPr>
                <w:rFonts w:asciiTheme="minorHAnsi" w:hAnsiTheme="minorHAnsi"/>
                <w:sz w:val="20"/>
                <w:szCs w:val="20"/>
              </w:rPr>
              <w:t xml:space="preserve">mích EU však již prokázal možné </w:t>
            </w:r>
            <w:r w:rsidRPr="00237E1E">
              <w:rPr>
                <w:rFonts w:asciiTheme="minorHAnsi" w:hAnsiTheme="minorHAnsi"/>
                <w:sz w:val="20"/>
                <w:szCs w:val="20"/>
              </w:rPr>
              <w:t>přínosy.</w:t>
            </w:r>
          </w:p>
        </w:tc>
      </w:tr>
      <w:tr w:rsidR="00FE64E4" w:rsidRPr="00283744" w:rsidTr="00F21848">
        <w:tc>
          <w:tcPr>
            <w:tcW w:w="2269" w:type="dxa"/>
          </w:tcPr>
          <w:p w:rsidR="00FE64E4" w:rsidRPr="00237E1E" w:rsidRDefault="00FE64E4" w:rsidP="00AA1768">
            <w:pPr>
              <w:numPr>
                <w:ilvl w:val="0"/>
                <w:numId w:val="13"/>
              </w:num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Vytvoření (celostátního) systému pro využívání inovačních voucherů jako nástroje pro nákup podpůrných služeb a pro efektivní spolupráci podnikatelské a výzkumné sféry</w:t>
            </w:r>
          </w:p>
        </w:tc>
        <w:tc>
          <w:tcPr>
            <w:tcW w:w="850" w:type="dxa"/>
          </w:tcPr>
          <w:p w:rsidR="00FE64E4" w:rsidRPr="00237E1E" w:rsidRDefault="00765365" w:rsidP="004F223D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MPO 61</w:t>
            </w:r>
            <w:r w:rsidR="00C258E0">
              <w:rPr>
                <w:rFonts w:asciiTheme="minorHAnsi" w:hAnsiTheme="minorHAnsi"/>
                <w:sz w:val="20"/>
                <w:szCs w:val="20"/>
              </w:rPr>
              <w:t>0</w:t>
            </w:r>
            <w:r w:rsidRPr="00237E1E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FE64E4" w:rsidRPr="00237E1E" w:rsidRDefault="00051AB2" w:rsidP="00051AB2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0B84">
              <w:rPr>
                <w:sz w:val="20"/>
                <w:szCs w:val="20"/>
              </w:rPr>
              <w:t>CzechInvest</w:t>
            </w:r>
            <w:proofErr w:type="spellEnd"/>
            <w:r w:rsidRPr="00010B84">
              <w:rPr>
                <w:sz w:val="20"/>
                <w:szCs w:val="20"/>
              </w:rPr>
              <w:t xml:space="preserve"> (příp. API)</w:t>
            </w:r>
            <w:r w:rsidR="004F223D" w:rsidRPr="00237E1E">
              <w:rPr>
                <w:rFonts w:asciiTheme="minorHAnsi" w:hAnsiTheme="minorHAnsi"/>
                <w:sz w:val="20"/>
                <w:szCs w:val="20"/>
              </w:rPr>
              <w:t>, MPO 31</w:t>
            </w:r>
            <w:r w:rsidR="00C258E0">
              <w:rPr>
                <w:rFonts w:asciiTheme="minorHAnsi" w:hAnsiTheme="minorHAnsi"/>
                <w:sz w:val="20"/>
                <w:szCs w:val="20"/>
              </w:rPr>
              <w:t>0</w:t>
            </w:r>
            <w:r w:rsidR="004F223D" w:rsidRPr="00237E1E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E64E4" w:rsidRPr="00237E1E" w:rsidRDefault="00FE64E4" w:rsidP="00F21848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Dle harmonogramu přípravy OP PIK</w:t>
            </w:r>
          </w:p>
        </w:tc>
        <w:tc>
          <w:tcPr>
            <w:tcW w:w="1276" w:type="dxa"/>
          </w:tcPr>
          <w:p w:rsidR="00FE64E4" w:rsidRPr="00237E1E" w:rsidRDefault="00FE64E4" w:rsidP="008E2D37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 xml:space="preserve">PO1 </w:t>
            </w:r>
            <w:r w:rsidR="007533FD" w:rsidRPr="007533FD">
              <w:rPr>
                <w:rFonts w:asciiTheme="minorHAnsi" w:hAnsiTheme="minorHAnsi"/>
                <w:sz w:val="20"/>
                <w:szCs w:val="20"/>
              </w:rPr>
              <w:t>OP PIK</w:t>
            </w:r>
          </w:p>
        </w:tc>
        <w:tc>
          <w:tcPr>
            <w:tcW w:w="3090" w:type="dxa"/>
          </w:tcPr>
          <w:p w:rsidR="00FE64E4" w:rsidRPr="00237E1E" w:rsidRDefault="00E46DD3" w:rsidP="00835A4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Vyhlášení výzvy p</w:t>
            </w:r>
            <w:r w:rsidR="00FE64E4" w:rsidRPr="00237E1E">
              <w:rPr>
                <w:rFonts w:asciiTheme="minorHAnsi" w:hAnsiTheme="minorHAnsi"/>
                <w:sz w:val="20"/>
                <w:szCs w:val="20"/>
              </w:rPr>
              <w:t>rogram</w:t>
            </w:r>
            <w:r w:rsidR="005B431C">
              <w:rPr>
                <w:rFonts w:asciiTheme="minorHAnsi" w:hAnsiTheme="minorHAnsi"/>
                <w:sz w:val="20"/>
                <w:szCs w:val="20"/>
              </w:rPr>
              <w:t>u</w:t>
            </w:r>
            <w:r w:rsidR="00FE64E4" w:rsidRPr="00237E1E">
              <w:rPr>
                <w:rFonts w:asciiTheme="minorHAnsi" w:hAnsiTheme="minorHAnsi"/>
                <w:sz w:val="20"/>
                <w:szCs w:val="20"/>
              </w:rPr>
              <w:t xml:space="preserve"> Inovační vouchery </w:t>
            </w:r>
            <w:r w:rsidR="00433FA1" w:rsidRPr="00237E1E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FE64E4" w:rsidRPr="00237E1E">
              <w:rPr>
                <w:rFonts w:asciiTheme="minorHAnsi" w:hAnsiTheme="minorHAnsi"/>
                <w:sz w:val="20"/>
                <w:szCs w:val="20"/>
              </w:rPr>
              <w:t xml:space="preserve">Cílem programu je rozvoj komunikace a sdílení poznatků a </w:t>
            </w:r>
            <w:proofErr w:type="spellStart"/>
            <w:r w:rsidR="00FE64E4" w:rsidRPr="00237E1E">
              <w:rPr>
                <w:rFonts w:asciiTheme="minorHAnsi" w:hAnsiTheme="minorHAnsi"/>
                <w:sz w:val="20"/>
                <w:szCs w:val="20"/>
              </w:rPr>
              <w:t>know</w:t>
            </w:r>
            <w:proofErr w:type="spellEnd"/>
            <w:r w:rsidR="00FE64E4" w:rsidRPr="00237E1E">
              <w:rPr>
                <w:rFonts w:asciiTheme="minorHAnsi" w:hAnsiTheme="minorHAnsi"/>
                <w:sz w:val="20"/>
                <w:szCs w:val="20"/>
              </w:rPr>
              <w:t>-</w:t>
            </w:r>
            <w:proofErr w:type="spellStart"/>
            <w:r w:rsidR="00FE64E4" w:rsidRPr="00237E1E">
              <w:rPr>
                <w:rFonts w:asciiTheme="minorHAnsi" w:hAnsiTheme="minorHAnsi"/>
                <w:sz w:val="20"/>
                <w:szCs w:val="20"/>
              </w:rPr>
              <w:t>how</w:t>
            </w:r>
            <w:proofErr w:type="spellEnd"/>
            <w:r w:rsidR="00FE64E4" w:rsidRPr="00237E1E">
              <w:rPr>
                <w:rFonts w:asciiTheme="minorHAnsi" w:hAnsiTheme="minorHAnsi"/>
                <w:sz w:val="20"/>
                <w:szCs w:val="20"/>
              </w:rPr>
              <w:t xml:space="preserve"> mezi podnikovou a výzkumnou sférou, které mohou podnikatelské subjekty využít pro zahájení či zintenzivnění vlastních inovačních aktivit. Obecným cílem programu je nárůst interakcí mezi podniky a organizacemi pro výzkum a šíření znalostí s přímým dopadem na posílení konkurenceschopnosti </w:t>
            </w:r>
            <w:r w:rsidR="00FE64E4" w:rsidRPr="00237E1E">
              <w:rPr>
                <w:rFonts w:asciiTheme="minorHAnsi" w:hAnsiTheme="minorHAnsi"/>
                <w:sz w:val="20"/>
                <w:szCs w:val="20"/>
              </w:rPr>
              <w:lastRenderedPageBreak/>
              <w:t>MSP.</w:t>
            </w:r>
          </w:p>
          <w:p w:rsidR="00406E86" w:rsidRPr="00237E1E" w:rsidRDefault="00406E86" w:rsidP="00835A4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406E86" w:rsidRPr="00237E1E" w:rsidRDefault="00CD13C6" w:rsidP="00CD13C6">
            <w:pPr>
              <w:spacing w:after="0"/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V souladu s národní ini</w:t>
            </w:r>
            <w:r w:rsidR="002A2FAD" w:rsidRPr="00237E1E">
              <w:rPr>
                <w:rFonts w:asciiTheme="minorHAnsi" w:hAnsiTheme="minorHAnsi"/>
                <w:sz w:val="20"/>
                <w:szCs w:val="20"/>
              </w:rPr>
              <w:t>ciativou Průmysl 4.0</w:t>
            </w:r>
            <w:r w:rsidRPr="00237E1E">
              <w:rPr>
                <w:rFonts w:asciiTheme="minorHAnsi" w:hAnsiTheme="minorHAnsi"/>
                <w:sz w:val="20"/>
                <w:szCs w:val="20"/>
              </w:rPr>
              <w:t xml:space="preserve"> - v</w:t>
            </w:r>
            <w:r w:rsidR="00406E86" w:rsidRPr="00237E1E">
              <w:rPr>
                <w:rFonts w:asciiTheme="minorHAnsi" w:hAnsiTheme="minorHAnsi"/>
                <w:sz w:val="20"/>
                <w:szCs w:val="20"/>
              </w:rPr>
              <w:t>ýzva pro organizaci a řízení aplikovaného výzkumu v ČR podporuje vytváření start-</w:t>
            </w:r>
            <w:proofErr w:type="spellStart"/>
            <w:r w:rsidR="00406E86" w:rsidRPr="00237E1E">
              <w:rPr>
                <w:rFonts w:asciiTheme="minorHAnsi" w:hAnsiTheme="minorHAnsi"/>
                <w:sz w:val="20"/>
                <w:szCs w:val="20"/>
              </w:rPr>
              <w:t>upových</w:t>
            </w:r>
            <w:proofErr w:type="spellEnd"/>
            <w:r w:rsidR="00406E86" w:rsidRPr="00237E1E">
              <w:rPr>
                <w:rFonts w:asciiTheme="minorHAnsi" w:hAnsiTheme="minorHAnsi"/>
                <w:sz w:val="20"/>
                <w:szCs w:val="20"/>
              </w:rPr>
              <w:t xml:space="preserve"> firem, kterým je třeba poskytnout preferenční výhody. Veřejná podpora aplikovaného výzkumu musí být koncentrována a koordinována na národní úrovni.</w:t>
            </w:r>
          </w:p>
        </w:tc>
      </w:tr>
      <w:tr w:rsidR="00F13953" w:rsidRPr="00283744" w:rsidTr="00F21848">
        <w:tc>
          <w:tcPr>
            <w:tcW w:w="2269" w:type="dxa"/>
          </w:tcPr>
          <w:p w:rsidR="00F13953" w:rsidRPr="00237E1E" w:rsidRDefault="00F13953" w:rsidP="00F13953">
            <w:pPr>
              <w:numPr>
                <w:ilvl w:val="0"/>
                <w:numId w:val="13"/>
              </w:num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F1E16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Podpora rozvoje začínajících inovativních firem </w:t>
            </w:r>
          </w:p>
        </w:tc>
        <w:tc>
          <w:tcPr>
            <w:tcW w:w="850" w:type="dxa"/>
          </w:tcPr>
          <w:p w:rsidR="00F13953" w:rsidRPr="00237E1E" w:rsidRDefault="00F13953" w:rsidP="00F13953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F1E16">
              <w:rPr>
                <w:rFonts w:asciiTheme="minorHAnsi" w:hAnsiTheme="minorHAnsi"/>
                <w:sz w:val="20"/>
                <w:szCs w:val="20"/>
              </w:rPr>
              <w:t>CzechInvest</w:t>
            </w:r>
            <w:proofErr w:type="spellEnd"/>
          </w:p>
        </w:tc>
        <w:tc>
          <w:tcPr>
            <w:tcW w:w="1276" w:type="dxa"/>
          </w:tcPr>
          <w:p w:rsidR="00F13953" w:rsidRPr="00EF1E16" w:rsidRDefault="00F13953" w:rsidP="00F13953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F1E16">
              <w:rPr>
                <w:rFonts w:asciiTheme="minorHAnsi" w:hAnsiTheme="minorHAnsi"/>
                <w:sz w:val="20"/>
                <w:szCs w:val="20"/>
              </w:rPr>
              <w:t>MPO 61000</w:t>
            </w:r>
          </w:p>
        </w:tc>
        <w:tc>
          <w:tcPr>
            <w:tcW w:w="1134" w:type="dxa"/>
          </w:tcPr>
          <w:p w:rsidR="00F13953" w:rsidRPr="00237E1E" w:rsidRDefault="007E3A9B" w:rsidP="00F13953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F13953" w:rsidRPr="00EF1E16">
              <w:rPr>
                <w:rFonts w:asciiTheme="minorHAnsi" w:hAnsiTheme="minorHAnsi"/>
                <w:sz w:val="20"/>
                <w:szCs w:val="20"/>
              </w:rPr>
              <w:t>/2016</w:t>
            </w:r>
          </w:p>
        </w:tc>
        <w:tc>
          <w:tcPr>
            <w:tcW w:w="1276" w:type="dxa"/>
          </w:tcPr>
          <w:p w:rsidR="00F13953" w:rsidRPr="00EF1E16" w:rsidRDefault="00E40966" w:rsidP="00E40966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F1E16">
              <w:rPr>
                <w:rFonts w:asciiTheme="minorHAnsi" w:hAnsiTheme="minorHAnsi"/>
                <w:sz w:val="20"/>
                <w:szCs w:val="20"/>
              </w:rPr>
              <w:t xml:space="preserve">Rozpočet </w:t>
            </w:r>
            <w:r w:rsidR="00F13953" w:rsidRPr="00EF1E16">
              <w:rPr>
                <w:rFonts w:asciiTheme="minorHAnsi" w:hAnsiTheme="minorHAnsi"/>
                <w:sz w:val="20"/>
                <w:szCs w:val="20"/>
              </w:rPr>
              <w:t>MPO, obrátkové fondy</w:t>
            </w:r>
          </w:p>
          <w:p w:rsidR="00F13953" w:rsidRPr="00EF1E16" w:rsidRDefault="00F13953" w:rsidP="00E40966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F1E16">
              <w:rPr>
                <w:rFonts w:asciiTheme="minorHAnsi" w:hAnsiTheme="minorHAnsi"/>
                <w:sz w:val="20"/>
                <w:szCs w:val="20"/>
              </w:rPr>
              <w:t>MD ČR prostřednictvím ESA,</w:t>
            </w:r>
          </w:p>
          <w:p w:rsidR="00F13953" w:rsidRPr="00237E1E" w:rsidRDefault="00F13953" w:rsidP="00E40966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F1E16">
              <w:rPr>
                <w:rFonts w:asciiTheme="minorHAnsi" w:hAnsiTheme="minorHAnsi"/>
                <w:sz w:val="20"/>
                <w:szCs w:val="20"/>
              </w:rPr>
              <w:t>Hl.m</w:t>
            </w:r>
            <w:proofErr w:type="spellEnd"/>
            <w:r w:rsidRPr="00EF1E16">
              <w:rPr>
                <w:rFonts w:asciiTheme="minorHAnsi" w:hAnsiTheme="minorHAnsi"/>
                <w:sz w:val="20"/>
                <w:szCs w:val="20"/>
              </w:rPr>
              <w:t>. Praha</w:t>
            </w:r>
          </w:p>
        </w:tc>
        <w:tc>
          <w:tcPr>
            <w:tcW w:w="3090" w:type="dxa"/>
          </w:tcPr>
          <w:p w:rsidR="00F13953" w:rsidRDefault="00F13953" w:rsidP="00F1395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F1E16">
              <w:rPr>
                <w:rFonts w:asciiTheme="minorHAnsi" w:hAnsiTheme="minorHAnsi"/>
                <w:sz w:val="20"/>
                <w:szCs w:val="20"/>
              </w:rPr>
              <w:t xml:space="preserve">ESA BIC </w:t>
            </w:r>
            <w:proofErr w:type="spellStart"/>
            <w:r w:rsidRPr="00EF1E16">
              <w:rPr>
                <w:rFonts w:asciiTheme="minorHAnsi" w:hAnsiTheme="minorHAnsi"/>
                <w:sz w:val="20"/>
                <w:szCs w:val="20"/>
              </w:rPr>
              <w:t>Prague</w:t>
            </w:r>
            <w:proofErr w:type="spellEnd"/>
            <w:r w:rsidRPr="00EF1E16">
              <w:rPr>
                <w:rFonts w:asciiTheme="minorHAnsi" w:hAnsiTheme="minorHAnsi"/>
                <w:sz w:val="20"/>
                <w:szCs w:val="20"/>
              </w:rPr>
              <w:t xml:space="preserve"> – projekt podnikatelského inkubátoru pro začínající firmy (start-</w:t>
            </w:r>
            <w:proofErr w:type="spellStart"/>
            <w:r w:rsidRPr="00EF1E16">
              <w:rPr>
                <w:rFonts w:asciiTheme="minorHAnsi" w:hAnsiTheme="minorHAnsi"/>
                <w:sz w:val="20"/>
                <w:szCs w:val="20"/>
              </w:rPr>
              <w:t>upy</w:t>
            </w:r>
            <w:proofErr w:type="spellEnd"/>
            <w:r w:rsidRPr="00EF1E16">
              <w:rPr>
                <w:rFonts w:asciiTheme="minorHAnsi" w:hAnsiTheme="minorHAnsi"/>
                <w:sz w:val="20"/>
                <w:szCs w:val="20"/>
              </w:rPr>
              <w:t xml:space="preserve">) zaměřené na přenos vesmírných technologií či systémů do </w:t>
            </w:r>
            <w:proofErr w:type="spellStart"/>
            <w:r w:rsidRPr="00EF1E16">
              <w:rPr>
                <w:rFonts w:asciiTheme="minorHAnsi" w:hAnsiTheme="minorHAnsi"/>
                <w:sz w:val="20"/>
                <w:szCs w:val="20"/>
              </w:rPr>
              <w:t>terestriálních</w:t>
            </w:r>
            <w:proofErr w:type="spellEnd"/>
            <w:r w:rsidRPr="00EF1E16">
              <w:rPr>
                <w:rFonts w:asciiTheme="minorHAnsi" w:hAnsiTheme="minorHAnsi"/>
                <w:sz w:val="20"/>
                <w:szCs w:val="20"/>
              </w:rPr>
              <w:t xml:space="preserve"> aplikací. ČR bude začleněna do sítě inkubátorů Evropské kosmické agentury. </w:t>
            </w:r>
          </w:p>
        </w:tc>
      </w:tr>
      <w:tr w:rsidR="00FE64E4" w:rsidRPr="00283744" w:rsidTr="00F21848">
        <w:tc>
          <w:tcPr>
            <w:tcW w:w="2269" w:type="dxa"/>
          </w:tcPr>
          <w:p w:rsidR="00FE64E4" w:rsidRPr="00237E1E" w:rsidRDefault="00FE64E4" w:rsidP="002A2FAD">
            <w:pPr>
              <w:pStyle w:val="Odstavecseseznamem"/>
              <w:numPr>
                <w:ilvl w:val="0"/>
                <w:numId w:val="13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 xml:space="preserve">Spolupráce na novele zákona o veřejných zakázkách s cílem usnadnit účast </w:t>
            </w:r>
            <w:r w:rsidR="002A2FAD" w:rsidRPr="00237E1E">
              <w:rPr>
                <w:rFonts w:asciiTheme="minorHAnsi" w:hAnsiTheme="minorHAnsi"/>
                <w:sz w:val="20"/>
                <w:szCs w:val="20"/>
              </w:rPr>
              <w:t>MSP</w:t>
            </w:r>
            <w:r w:rsidRPr="00237E1E">
              <w:rPr>
                <w:rFonts w:asciiTheme="minorHAnsi" w:hAnsiTheme="minorHAnsi"/>
                <w:sz w:val="20"/>
                <w:szCs w:val="20"/>
              </w:rPr>
              <w:t xml:space="preserve"> na veřejných zakázkách</w:t>
            </w:r>
          </w:p>
        </w:tc>
        <w:tc>
          <w:tcPr>
            <w:tcW w:w="850" w:type="dxa"/>
          </w:tcPr>
          <w:p w:rsidR="00FE64E4" w:rsidRPr="00237E1E" w:rsidRDefault="00B35C44" w:rsidP="008D22AE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MPO 10000</w:t>
            </w:r>
          </w:p>
        </w:tc>
        <w:tc>
          <w:tcPr>
            <w:tcW w:w="1276" w:type="dxa"/>
          </w:tcPr>
          <w:p w:rsidR="00B35C44" w:rsidRPr="00237E1E" w:rsidRDefault="00B35C44" w:rsidP="00B35C4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MPO 61000,</w:t>
            </w:r>
          </w:p>
          <w:p w:rsidR="00FE64E4" w:rsidRPr="00237E1E" w:rsidRDefault="00B35C44" w:rsidP="00B35C4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MMR</w:t>
            </w:r>
          </w:p>
        </w:tc>
        <w:tc>
          <w:tcPr>
            <w:tcW w:w="1134" w:type="dxa"/>
          </w:tcPr>
          <w:p w:rsidR="00FE64E4" w:rsidRPr="00237E1E" w:rsidRDefault="001A5617" w:rsidP="00F21848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  <w:r w:rsidR="00FE64E4" w:rsidRPr="00237E1E">
              <w:rPr>
                <w:rFonts w:asciiTheme="minorHAnsi" w:hAnsiTheme="minorHAnsi"/>
                <w:sz w:val="20"/>
                <w:szCs w:val="20"/>
              </w:rPr>
              <w:t>/</w:t>
            </w:r>
            <w:r w:rsidR="008B4850" w:rsidRPr="00237E1E">
              <w:rPr>
                <w:rFonts w:asciiTheme="minorHAnsi" w:hAnsiTheme="minorHAnsi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FE64E4" w:rsidRPr="00237E1E" w:rsidRDefault="00D13117" w:rsidP="008E2D37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13117">
              <w:rPr>
                <w:rFonts w:asciiTheme="minorHAnsi" w:hAnsiTheme="minorHAnsi"/>
                <w:sz w:val="20"/>
                <w:szCs w:val="20"/>
              </w:rPr>
              <w:t>Nevyžaduje se</w:t>
            </w:r>
          </w:p>
        </w:tc>
        <w:tc>
          <w:tcPr>
            <w:tcW w:w="3090" w:type="dxa"/>
            <w:shd w:val="clear" w:color="auto" w:fill="auto"/>
          </w:tcPr>
          <w:p w:rsidR="00FE64E4" w:rsidRPr="00237E1E" w:rsidRDefault="000361E9" w:rsidP="002A2FAD">
            <w:pPr>
              <w:spacing w:after="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 xml:space="preserve">Zavedení povinnosti užívání národního elektronického nástroje (NEN) pro usnadnění přístupu </w:t>
            </w:r>
            <w:r w:rsidR="002A2FAD" w:rsidRPr="00237E1E">
              <w:rPr>
                <w:rFonts w:asciiTheme="minorHAnsi" w:hAnsiTheme="minorHAnsi"/>
                <w:sz w:val="20"/>
                <w:szCs w:val="20"/>
              </w:rPr>
              <w:t>MSP</w:t>
            </w:r>
            <w:r w:rsidRPr="00237E1E">
              <w:rPr>
                <w:rFonts w:asciiTheme="minorHAnsi" w:hAnsiTheme="minorHAnsi"/>
                <w:sz w:val="20"/>
                <w:szCs w:val="20"/>
              </w:rPr>
              <w:t xml:space="preserve"> k veřejným zakázkám.</w:t>
            </w:r>
          </w:p>
        </w:tc>
      </w:tr>
      <w:tr w:rsidR="00AF6BF5" w:rsidRPr="00283744" w:rsidTr="00F21848">
        <w:trPr>
          <w:trHeight w:val="2582"/>
        </w:trPr>
        <w:tc>
          <w:tcPr>
            <w:tcW w:w="2269" w:type="dxa"/>
          </w:tcPr>
          <w:p w:rsidR="00AF6BF5" w:rsidRPr="00237E1E" w:rsidRDefault="00AF6BF5" w:rsidP="00B844E3">
            <w:pPr>
              <w:pStyle w:val="Odstavecseseznamem"/>
              <w:numPr>
                <w:ilvl w:val="0"/>
                <w:numId w:val="13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Podpora ochran</w:t>
            </w:r>
            <w:r w:rsidR="00B844E3">
              <w:rPr>
                <w:rFonts w:asciiTheme="minorHAnsi" w:hAnsiTheme="minorHAnsi"/>
                <w:sz w:val="20"/>
                <w:szCs w:val="20"/>
              </w:rPr>
              <w:t>y</w:t>
            </w:r>
            <w:r w:rsidRPr="00237E1E">
              <w:rPr>
                <w:rFonts w:asciiTheme="minorHAnsi" w:hAnsiTheme="minorHAnsi"/>
                <w:sz w:val="20"/>
                <w:szCs w:val="20"/>
              </w:rPr>
              <w:t xml:space="preserve"> práv průmyslového vlastnictví</w:t>
            </w:r>
          </w:p>
        </w:tc>
        <w:tc>
          <w:tcPr>
            <w:tcW w:w="850" w:type="dxa"/>
          </w:tcPr>
          <w:p w:rsidR="00AF6BF5" w:rsidRPr="00237E1E" w:rsidRDefault="007848D2" w:rsidP="008D22AE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MPO 61</w:t>
            </w:r>
            <w:r w:rsidR="00EA564E">
              <w:rPr>
                <w:rFonts w:asciiTheme="minorHAnsi" w:hAnsiTheme="minorHAnsi"/>
                <w:sz w:val="20"/>
                <w:szCs w:val="20"/>
              </w:rPr>
              <w:t>0</w:t>
            </w:r>
            <w:r w:rsidRPr="00237E1E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AF6BF5" w:rsidRPr="00237E1E" w:rsidRDefault="00051AB2" w:rsidP="008E2D3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0B84">
              <w:rPr>
                <w:sz w:val="20"/>
                <w:szCs w:val="20"/>
              </w:rPr>
              <w:t>CzechInvest</w:t>
            </w:r>
            <w:proofErr w:type="spellEnd"/>
            <w:r w:rsidRPr="00010B84">
              <w:rPr>
                <w:sz w:val="20"/>
                <w:szCs w:val="20"/>
              </w:rPr>
              <w:t xml:space="preserve"> (příp. API)</w:t>
            </w:r>
          </w:p>
        </w:tc>
        <w:tc>
          <w:tcPr>
            <w:tcW w:w="1134" w:type="dxa"/>
          </w:tcPr>
          <w:p w:rsidR="00AF6BF5" w:rsidRPr="00237E1E" w:rsidRDefault="001A5617" w:rsidP="00F21848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12</w:t>
            </w:r>
            <w:r w:rsidR="001579BB" w:rsidRPr="00237E1E">
              <w:rPr>
                <w:rFonts w:asciiTheme="minorHAnsi" w:hAnsiTheme="minorHAnsi"/>
                <w:sz w:val="20"/>
                <w:szCs w:val="20"/>
              </w:rPr>
              <w:t>/2016</w:t>
            </w:r>
          </w:p>
        </w:tc>
        <w:tc>
          <w:tcPr>
            <w:tcW w:w="1276" w:type="dxa"/>
          </w:tcPr>
          <w:p w:rsidR="00AF6BF5" w:rsidRPr="00237E1E" w:rsidRDefault="001579BB" w:rsidP="008E2D37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 xml:space="preserve">PO1 </w:t>
            </w:r>
            <w:r w:rsidR="007533FD" w:rsidRPr="007533FD">
              <w:rPr>
                <w:rFonts w:asciiTheme="minorHAnsi" w:hAnsiTheme="minorHAnsi"/>
                <w:sz w:val="20"/>
                <w:szCs w:val="20"/>
              </w:rPr>
              <w:t>OP PIK</w:t>
            </w:r>
          </w:p>
        </w:tc>
        <w:tc>
          <w:tcPr>
            <w:tcW w:w="3090" w:type="dxa"/>
            <w:shd w:val="clear" w:color="auto" w:fill="auto"/>
          </w:tcPr>
          <w:p w:rsidR="00AF6BF5" w:rsidRPr="00237E1E" w:rsidRDefault="00B844E3" w:rsidP="00B844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Vyhlášení výzvy p</w:t>
            </w:r>
            <w:r w:rsidR="007848D2" w:rsidRPr="00237E1E">
              <w:rPr>
                <w:rFonts w:asciiTheme="minorHAnsi" w:hAnsiTheme="minorHAnsi"/>
                <w:sz w:val="20"/>
                <w:szCs w:val="20"/>
              </w:rPr>
              <w:t>rogram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7848D2" w:rsidRPr="00237E1E">
              <w:rPr>
                <w:rFonts w:asciiTheme="minorHAnsi" w:hAnsiTheme="minorHAnsi"/>
                <w:sz w:val="20"/>
                <w:szCs w:val="20"/>
              </w:rPr>
              <w:t xml:space="preserve"> Inovace - Projekt na ochranu práv průmyslového vlastnictví podporuje získání průmyslově-právní ochrany nehmotných statků v podobě patentů, užitných vzorů, průmyslových vzorů a ochranných známek. Zájemci budou moci v rámci programu získat podporu na výdaje za patentové zástupc</w:t>
            </w:r>
            <w:r w:rsidR="003B424E" w:rsidRPr="00237E1E">
              <w:rPr>
                <w:rFonts w:asciiTheme="minorHAnsi" w:hAnsiTheme="minorHAnsi"/>
                <w:sz w:val="20"/>
                <w:szCs w:val="20"/>
              </w:rPr>
              <w:t>e, správní poplatky a překlady.</w:t>
            </w:r>
          </w:p>
        </w:tc>
      </w:tr>
      <w:tr w:rsidR="00A42432" w:rsidRPr="00283744" w:rsidTr="00F21848">
        <w:tc>
          <w:tcPr>
            <w:tcW w:w="2269" w:type="dxa"/>
          </w:tcPr>
          <w:p w:rsidR="00A42432" w:rsidRPr="00237E1E" w:rsidRDefault="005B431C" w:rsidP="005B431C">
            <w:pPr>
              <w:pStyle w:val="Odstavecseseznamem"/>
              <w:numPr>
                <w:ilvl w:val="0"/>
                <w:numId w:val="13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A42432" w:rsidRPr="00237E1E">
              <w:rPr>
                <w:rFonts w:asciiTheme="minorHAnsi" w:hAnsiTheme="minorHAnsi"/>
                <w:sz w:val="20"/>
                <w:szCs w:val="20"/>
              </w:rPr>
              <w:t>odpor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A42432" w:rsidRPr="00237E1E">
              <w:rPr>
                <w:rFonts w:asciiTheme="minorHAnsi" w:hAnsiTheme="minorHAnsi"/>
                <w:sz w:val="20"/>
                <w:szCs w:val="20"/>
              </w:rPr>
              <w:t xml:space="preserve"> inovačního potenciálu</w:t>
            </w:r>
            <w:r w:rsidR="008B4850" w:rsidRPr="00237E1E">
              <w:rPr>
                <w:rFonts w:asciiTheme="minorHAnsi" w:hAnsiTheme="minorHAnsi"/>
                <w:sz w:val="20"/>
                <w:szCs w:val="20"/>
              </w:rPr>
              <w:t xml:space="preserve"> a aktivity MSP</w:t>
            </w:r>
          </w:p>
        </w:tc>
        <w:tc>
          <w:tcPr>
            <w:tcW w:w="850" w:type="dxa"/>
          </w:tcPr>
          <w:p w:rsidR="00A42432" w:rsidRPr="00237E1E" w:rsidRDefault="007003A8" w:rsidP="00A42432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MPO 61</w:t>
            </w:r>
            <w:r w:rsidR="00EA564E">
              <w:rPr>
                <w:rFonts w:asciiTheme="minorHAnsi" w:hAnsiTheme="minorHAnsi"/>
                <w:sz w:val="20"/>
                <w:szCs w:val="20"/>
              </w:rPr>
              <w:t>0</w:t>
            </w:r>
            <w:r w:rsidRPr="00237E1E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A42432" w:rsidRPr="00237E1E" w:rsidRDefault="00051AB2" w:rsidP="008E2D3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0B84">
              <w:rPr>
                <w:sz w:val="20"/>
                <w:szCs w:val="20"/>
              </w:rPr>
              <w:t>CzechInvest</w:t>
            </w:r>
            <w:proofErr w:type="spellEnd"/>
            <w:r w:rsidRPr="00010B84">
              <w:rPr>
                <w:sz w:val="20"/>
                <w:szCs w:val="20"/>
              </w:rPr>
              <w:t xml:space="preserve"> (příp. API)</w:t>
            </w:r>
          </w:p>
        </w:tc>
        <w:tc>
          <w:tcPr>
            <w:tcW w:w="1134" w:type="dxa"/>
          </w:tcPr>
          <w:p w:rsidR="00A42432" w:rsidRPr="00237E1E" w:rsidRDefault="00A42432" w:rsidP="00F21848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Dle harmonogramu přípravy OP PIK</w:t>
            </w:r>
          </w:p>
        </w:tc>
        <w:tc>
          <w:tcPr>
            <w:tcW w:w="1276" w:type="dxa"/>
          </w:tcPr>
          <w:p w:rsidR="00A42432" w:rsidRPr="00237E1E" w:rsidRDefault="00A42432" w:rsidP="008E2D37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 xml:space="preserve">PO1 </w:t>
            </w:r>
            <w:r w:rsidR="007533FD" w:rsidRPr="007533FD">
              <w:rPr>
                <w:rFonts w:asciiTheme="minorHAnsi" w:hAnsiTheme="minorHAnsi"/>
                <w:sz w:val="20"/>
                <w:szCs w:val="20"/>
              </w:rPr>
              <w:t>OP PIK</w:t>
            </w:r>
          </w:p>
        </w:tc>
        <w:tc>
          <w:tcPr>
            <w:tcW w:w="3090" w:type="dxa"/>
            <w:shd w:val="clear" w:color="auto" w:fill="auto"/>
          </w:tcPr>
          <w:p w:rsidR="00A42432" w:rsidRPr="00237E1E" w:rsidRDefault="005B431C" w:rsidP="005B43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Vyhlášení výzvy p</w:t>
            </w:r>
            <w:r w:rsidR="00A42432" w:rsidRPr="00237E1E">
              <w:rPr>
                <w:rFonts w:asciiTheme="minorHAnsi" w:hAnsiTheme="minorHAnsi"/>
                <w:sz w:val="20"/>
                <w:szCs w:val="20"/>
              </w:rPr>
              <w:t>rogram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A42432" w:rsidRPr="00237E1E">
              <w:rPr>
                <w:rFonts w:asciiTheme="minorHAnsi" w:hAnsiTheme="minorHAnsi"/>
                <w:sz w:val="20"/>
                <w:szCs w:val="20"/>
              </w:rPr>
              <w:t xml:space="preserve"> Inovace - Cílem je posílení inovační výkonnosti domácích firem a zvýšení jejich konkurenceschopnosti prostřednictvím zvýšení využívání unikátních </w:t>
            </w:r>
            <w:proofErr w:type="spellStart"/>
            <w:r w:rsidR="00A42432" w:rsidRPr="00237E1E">
              <w:rPr>
                <w:rFonts w:asciiTheme="minorHAnsi" w:hAnsiTheme="minorHAnsi"/>
                <w:sz w:val="20"/>
                <w:szCs w:val="20"/>
              </w:rPr>
              <w:t>know</w:t>
            </w:r>
            <w:proofErr w:type="spellEnd"/>
            <w:r w:rsidR="00A42432" w:rsidRPr="00237E1E">
              <w:rPr>
                <w:rFonts w:asciiTheme="minorHAnsi" w:hAnsiTheme="minorHAnsi"/>
                <w:sz w:val="20"/>
                <w:szCs w:val="20"/>
              </w:rPr>
              <w:t>-</w:t>
            </w:r>
            <w:proofErr w:type="spellStart"/>
            <w:r w:rsidR="00A42432" w:rsidRPr="00237E1E">
              <w:rPr>
                <w:rFonts w:asciiTheme="minorHAnsi" w:hAnsiTheme="minorHAnsi"/>
                <w:sz w:val="20"/>
                <w:szCs w:val="20"/>
              </w:rPr>
              <w:t>how</w:t>
            </w:r>
            <w:proofErr w:type="spellEnd"/>
            <w:r w:rsidR="00A42432" w:rsidRPr="00237E1E">
              <w:rPr>
                <w:rFonts w:asciiTheme="minorHAnsi" w:hAnsiTheme="minorHAnsi"/>
                <w:sz w:val="20"/>
                <w:szCs w:val="20"/>
              </w:rPr>
              <w:t xml:space="preserve"> z větší či menší části vzniklých ve spolupráci s akademickým a výzkumným sektorem, rozšíření </w:t>
            </w:r>
            <w:proofErr w:type="spellStart"/>
            <w:r w:rsidR="00A42432" w:rsidRPr="00237E1E">
              <w:rPr>
                <w:rFonts w:asciiTheme="minorHAnsi" w:hAnsiTheme="minorHAnsi"/>
                <w:sz w:val="20"/>
                <w:szCs w:val="20"/>
              </w:rPr>
              <w:t>know</w:t>
            </w:r>
            <w:proofErr w:type="spellEnd"/>
            <w:r w:rsidR="00A42432" w:rsidRPr="00237E1E">
              <w:rPr>
                <w:rFonts w:asciiTheme="minorHAnsi" w:hAnsiTheme="minorHAnsi"/>
                <w:sz w:val="20"/>
                <w:szCs w:val="20"/>
              </w:rPr>
              <w:t>-</w:t>
            </w:r>
            <w:proofErr w:type="spellStart"/>
            <w:r w:rsidR="00A42432" w:rsidRPr="00237E1E">
              <w:rPr>
                <w:rFonts w:asciiTheme="minorHAnsi" w:hAnsiTheme="minorHAnsi"/>
                <w:sz w:val="20"/>
                <w:szCs w:val="20"/>
              </w:rPr>
              <w:t>how</w:t>
            </w:r>
            <w:proofErr w:type="spellEnd"/>
            <w:r w:rsidR="00A42432" w:rsidRPr="00237E1E">
              <w:rPr>
                <w:rFonts w:asciiTheme="minorHAnsi" w:hAnsiTheme="minorHAnsi"/>
                <w:sz w:val="20"/>
                <w:szCs w:val="20"/>
              </w:rPr>
              <w:t xml:space="preserve"> firem pro vlastní inovace, zvýšení efektivnosti interních procesů v oblasti řízení inovací, tak aby došlo k nárůstu počtu firem především místního původu v pozici technologických lídrů, k tvorbě a zavádění nových konkurenceschopných produktů na globální trh a posílení schopností </w:t>
            </w:r>
            <w:r w:rsidR="00A42432" w:rsidRPr="00237E1E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firem v oblasti </w:t>
            </w:r>
            <w:proofErr w:type="spellStart"/>
            <w:r w:rsidR="00A42432" w:rsidRPr="00237E1E">
              <w:rPr>
                <w:rFonts w:asciiTheme="minorHAnsi" w:hAnsiTheme="minorHAnsi"/>
                <w:sz w:val="20"/>
                <w:szCs w:val="20"/>
              </w:rPr>
              <w:t>high</w:t>
            </w:r>
            <w:proofErr w:type="spellEnd"/>
            <w:r w:rsidR="00A42432" w:rsidRPr="00237E1E">
              <w:rPr>
                <w:rFonts w:asciiTheme="minorHAnsi" w:hAnsiTheme="minorHAnsi"/>
                <w:sz w:val="20"/>
                <w:szCs w:val="20"/>
              </w:rPr>
              <w:t>-</w:t>
            </w:r>
            <w:proofErr w:type="spellStart"/>
            <w:r w:rsidR="00A42432" w:rsidRPr="00237E1E">
              <w:rPr>
                <w:rFonts w:asciiTheme="minorHAnsi" w:hAnsiTheme="minorHAnsi"/>
                <w:sz w:val="20"/>
                <w:szCs w:val="20"/>
              </w:rPr>
              <w:t>tech</w:t>
            </w:r>
            <w:proofErr w:type="spellEnd"/>
            <w:r w:rsidR="00A42432" w:rsidRPr="00237E1E">
              <w:rPr>
                <w:rFonts w:asciiTheme="minorHAnsi" w:hAnsiTheme="minorHAnsi"/>
                <w:sz w:val="20"/>
                <w:szCs w:val="20"/>
              </w:rPr>
              <w:t xml:space="preserve"> výroby. Podporovány budou inovace vyšších řádů, konkrétně pak inovace V. řádu a vyšší.</w:t>
            </w:r>
          </w:p>
        </w:tc>
      </w:tr>
      <w:tr w:rsidR="00A73A95" w:rsidRPr="00283744" w:rsidTr="00F21848">
        <w:tc>
          <w:tcPr>
            <w:tcW w:w="2269" w:type="dxa"/>
          </w:tcPr>
          <w:p w:rsidR="00A73A95" w:rsidRPr="00237E1E" w:rsidRDefault="006B30B0" w:rsidP="00687D3F">
            <w:pPr>
              <w:pStyle w:val="Odstavecseseznamem"/>
              <w:numPr>
                <w:ilvl w:val="0"/>
                <w:numId w:val="13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lastRenderedPageBreak/>
              <w:t>Podpora poradenských služeb</w:t>
            </w:r>
            <w:r w:rsidR="00A73A95" w:rsidRPr="00237E1E">
              <w:rPr>
                <w:rFonts w:asciiTheme="minorHAnsi" w:hAnsiTheme="minorHAnsi"/>
                <w:sz w:val="20"/>
                <w:szCs w:val="20"/>
              </w:rPr>
              <w:t xml:space="preserve"> pro</w:t>
            </w:r>
            <w:r w:rsidR="008B4850" w:rsidRPr="00237E1E">
              <w:rPr>
                <w:rFonts w:asciiTheme="minorHAnsi" w:hAnsiTheme="minorHAnsi"/>
                <w:sz w:val="20"/>
                <w:szCs w:val="20"/>
              </w:rPr>
              <w:t xml:space="preserve"> zlepšení</w:t>
            </w:r>
            <w:r w:rsidR="00A73A95" w:rsidRPr="00237E1E">
              <w:rPr>
                <w:rFonts w:asciiTheme="minorHAnsi" w:hAnsiTheme="minorHAnsi"/>
                <w:sz w:val="20"/>
                <w:szCs w:val="20"/>
              </w:rPr>
              <w:t xml:space="preserve"> strategické</w:t>
            </w:r>
            <w:r w:rsidR="008B4850" w:rsidRPr="00237E1E">
              <w:rPr>
                <w:rFonts w:asciiTheme="minorHAnsi" w:hAnsiTheme="minorHAnsi"/>
                <w:sz w:val="20"/>
                <w:szCs w:val="20"/>
              </w:rPr>
              <w:t>ho a ekonomického</w:t>
            </w:r>
            <w:r w:rsidR="00A73A95" w:rsidRPr="00237E1E">
              <w:rPr>
                <w:rFonts w:asciiTheme="minorHAnsi" w:hAnsiTheme="minorHAnsi"/>
                <w:sz w:val="20"/>
                <w:szCs w:val="20"/>
              </w:rPr>
              <w:t xml:space="preserve"> řízení </w:t>
            </w:r>
            <w:r w:rsidR="008B4850" w:rsidRPr="00237E1E">
              <w:rPr>
                <w:rFonts w:asciiTheme="minorHAnsi" w:hAnsiTheme="minorHAnsi"/>
                <w:sz w:val="20"/>
                <w:szCs w:val="20"/>
              </w:rPr>
              <w:t>MSP</w:t>
            </w:r>
          </w:p>
        </w:tc>
        <w:tc>
          <w:tcPr>
            <w:tcW w:w="850" w:type="dxa"/>
          </w:tcPr>
          <w:p w:rsidR="00A73A95" w:rsidRPr="00237E1E" w:rsidRDefault="006B30B0" w:rsidP="009424E9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M</w:t>
            </w:r>
            <w:r w:rsidR="007003A8" w:rsidRPr="00237E1E">
              <w:rPr>
                <w:rFonts w:asciiTheme="minorHAnsi" w:hAnsiTheme="minorHAnsi"/>
                <w:sz w:val="20"/>
                <w:szCs w:val="20"/>
              </w:rPr>
              <w:t xml:space="preserve">PO </w:t>
            </w:r>
            <w:r w:rsidR="003C7B36">
              <w:rPr>
                <w:rFonts w:asciiTheme="minorHAnsi" w:hAnsiTheme="minorHAnsi"/>
                <w:sz w:val="20"/>
                <w:szCs w:val="20"/>
              </w:rPr>
              <w:t>61</w:t>
            </w:r>
            <w:r w:rsidR="00EA564E">
              <w:rPr>
                <w:rFonts w:asciiTheme="minorHAnsi" w:hAnsiTheme="minorHAnsi"/>
                <w:sz w:val="20"/>
                <w:szCs w:val="20"/>
              </w:rPr>
              <w:t>0</w:t>
            </w:r>
            <w:r w:rsidR="003C7B3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A73A95" w:rsidRPr="00237E1E" w:rsidRDefault="00051AB2" w:rsidP="008E2D3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0B84">
              <w:rPr>
                <w:sz w:val="20"/>
                <w:szCs w:val="20"/>
              </w:rPr>
              <w:t>CzechInvest</w:t>
            </w:r>
            <w:proofErr w:type="spellEnd"/>
            <w:r w:rsidRPr="00010B84">
              <w:rPr>
                <w:sz w:val="20"/>
                <w:szCs w:val="20"/>
              </w:rPr>
              <w:t xml:space="preserve"> (příp. API)</w:t>
            </w:r>
          </w:p>
        </w:tc>
        <w:tc>
          <w:tcPr>
            <w:tcW w:w="1134" w:type="dxa"/>
          </w:tcPr>
          <w:p w:rsidR="00A73A95" w:rsidRPr="00237E1E" w:rsidRDefault="006B30B0" w:rsidP="00F21848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Dle harmonogramu přípravy OP PIK</w:t>
            </w:r>
          </w:p>
        </w:tc>
        <w:tc>
          <w:tcPr>
            <w:tcW w:w="1276" w:type="dxa"/>
          </w:tcPr>
          <w:p w:rsidR="00A73A95" w:rsidRPr="00237E1E" w:rsidRDefault="006B30B0" w:rsidP="008E2D37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 xml:space="preserve">PO2 </w:t>
            </w:r>
            <w:r w:rsidR="00F504BE" w:rsidRPr="00F504BE">
              <w:rPr>
                <w:rFonts w:asciiTheme="minorHAnsi" w:hAnsiTheme="minorHAnsi"/>
                <w:sz w:val="20"/>
                <w:szCs w:val="20"/>
              </w:rPr>
              <w:t>OP PIK</w:t>
            </w:r>
          </w:p>
        </w:tc>
        <w:tc>
          <w:tcPr>
            <w:tcW w:w="3090" w:type="dxa"/>
            <w:shd w:val="clear" w:color="auto" w:fill="auto"/>
          </w:tcPr>
          <w:p w:rsidR="00A73A95" w:rsidRPr="00237E1E" w:rsidRDefault="00F63D20" w:rsidP="00F63D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Vyhlášení výzvy p</w:t>
            </w:r>
            <w:r w:rsidR="00A73A95" w:rsidRPr="00237E1E">
              <w:rPr>
                <w:rFonts w:asciiTheme="minorHAnsi" w:hAnsiTheme="minorHAnsi"/>
                <w:sz w:val="20"/>
                <w:szCs w:val="20"/>
              </w:rPr>
              <w:t>rogram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A73A95" w:rsidRPr="00237E1E">
              <w:rPr>
                <w:rFonts w:asciiTheme="minorHAnsi" w:hAnsiTheme="minorHAnsi"/>
                <w:sz w:val="20"/>
                <w:szCs w:val="20"/>
              </w:rPr>
              <w:t xml:space="preserve"> Poradenství </w:t>
            </w:r>
            <w:r w:rsidR="002A2FAD" w:rsidRPr="00237E1E">
              <w:rPr>
                <w:rFonts w:asciiTheme="minorHAnsi" w:hAnsiTheme="minorHAnsi"/>
                <w:sz w:val="20"/>
                <w:szCs w:val="20"/>
              </w:rPr>
              <w:t>- C</w:t>
            </w:r>
            <w:r w:rsidR="00A73A95" w:rsidRPr="00237E1E">
              <w:rPr>
                <w:rFonts w:asciiTheme="minorHAnsi" w:hAnsiTheme="minorHAnsi"/>
                <w:sz w:val="20"/>
                <w:szCs w:val="20"/>
              </w:rPr>
              <w:t>ílem je poskytování základních poradenských služeb a služeb prostřednictvím externích poradců oprávněných k této činnosti podle platných právních předpisů. Poskytování základních poradenských služeb a služeb pro MSP bude zaměřeno na začínající firmy v oblasti výroby, stavebnictví, obchodu a služeb s cílem podpořit zvýšení počtu nových podnikatelů a konkurenceschopnosti začínajících MSP v hospodářsky problémových regionech.</w:t>
            </w:r>
          </w:p>
        </w:tc>
      </w:tr>
      <w:tr w:rsidR="007003A8" w:rsidRPr="00283744" w:rsidTr="00F21848">
        <w:tc>
          <w:tcPr>
            <w:tcW w:w="2269" w:type="dxa"/>
          </w:tcPr>
          <w:p w:rsidR="007003A8" w:rsidRPr="00237E1E" w:rsidRDefault="00F63D20" w:rsidP="006C6B3D">
            <w:pPr>
              <w:pStyle w:val="Odstavecseseznamem"/>
              <w:numPr>
                <w:ilvl w:val="0"/>
                <w:numId w:val="13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Podpora</w:t>
            </w:r>
            <w:r w:rsidR="007003A8" w:rsidRPr="00237E1E">
              <w:rPr>
                <w:rFonts w:asciiTheme="minorHAnsi" w:hAnsiTheme="minorHAnsi"/>
                <w:sz w:val="20"/>
                <w:szCs w:val="20"/>
              </w:rPr>
              <w:t xml:space="preserve"> zkvalitnění infrastruktury pro rozvoj lidských zdrojů s důrazem na technické vzdělávání</w:t>
            </w:r>
          </w:p>
        </w:tc>
        <w:tc>
          <w:tcPr>
            <w:tcW w:w="850" w:type="dxa"/>
          </w:tcPr>
          <w:p w:rsidR="007003A8" w:rsidRPr="00237E1E" w:rsidRDefault="007003A8" w:rsidP="006022E6">
            <w:pPr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 xml:space="preserve">MPO </w:t>
            </w:r>
            <w:r w:rsidR="003C7B36">
              <w:rPr>
                <w:rFonts w:asciiTheme="minorHAnsi" w:hAnsiTheme="minorHAnsi"/>
                <w:sz w:val="20"/>
                <w:szCs w:val="20"/>
              </w:rPr>
              <w:t>61</w:t>
            </w:r>
            <w:r w:rsidR="00EA564E">
              <w:rPr>
                <w:rFonts w:asciiTheme="minorHAnsi" w:hAnsiTheme="minorHAnsi"/>
                <w:sz w:val="20"/>
                <w:szCs w:val="20"/>
              </w:rPr>
              <w:t>0</w:t>
            </w:r>
            <w:r w:rsidR="003C7B3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7003A8" w:rsidRPr="00237E1E" w:rsidRDefault="00841EA8" w:rsidP="007003A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0B84">
              <w:rPr>
                <w:sz w:val="20"/>
                <w:szCs w:val="20"/>
              </w:rPr>
              <w:t>CzechInvest</w:t>
            </w:r>
            <w:proofErr w:type="spellEnd"/>
            <w:r w:rsidRPr="00010B84">
              <w:rPr>
                <w:sz w:val="20"/>
                <w:szCs w:val="20"/>
              </w:rPr>
              <w:t xml:space="preserve"> (příp. API)</w:t>
            </w:r>
          </w:p>
        </w:tc>
        <w:tc>
          <w:tcPr>
            <w:tcW w:w="1134" w:type="dxa"/>
          </w:tcPr>
          <w:p w:rsidR="007003A8" w:rsidRPr="00237E1E" w:rsidRDefault="007003A8" w:rsidP="00F21848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Dle harmonogramu přípravy OP PIK</w:t>
            </w:r>
          </w:p>
        </w:tc>
        <w:tc>
          <w:tcPr>
            <w:tcW w:w="1276" w:type="dxa"/>
          </w:tcPr>
          <w:p w:rsidR="007003A8" w:rsidRPr="00237E1E" w:rsidRDefault="007003A8" w:rsidP="007003A8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 xml:space="preserve">PO2 </w:t>
            </w:r>
            <w:r w:rsidR="00F504BE" w:rsidRPr="00F504BE">
              <w:rPr>
                <w:rFonts w:asciiTheme="minorHAnsi" w:hAnsiTheme="minorHAnsi"/>
                <w:sz w:val="20"/>
                <w:szCs w:val="20"/>
              </w:rPr>
              <w:t>OP PIK</w:t>
            </w:r>
          </w:p>
        </w:tc>
        <w:tc>
          <w:tcPr>
            <w:tcW w:w="3090" w:type="dxa"/>
            <w:shd w:val="clear" w:color="auto" w:fill="auto"/>
          </w:tcPr>
          <w:p w:rsidR="006C6B3D" w:rsidRPr="00237E1E" w:rsidRDefault="00F63D20" w:rsidP="006C6B3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Vyhlášení výzvy p</w:t>
            </w:r>
            <w:r w:rsidR="007003A8" w:rsidRPr="00237E1E">
              <w:rPr>
                <w:rFonts w:asciiTheme="minorHAnsi" w:hAnsiTheme="minorHAnsi"/>
                <w:sz w:val="20"/>
                <w:szCs w:val="20"/>
              </w:rPr>
              <w:t>rogram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7003A8" w:rsidRPr="00237E1E">
              <w:rPr>
                <w:rFonts w:asciiTheme="minorHAnsi" w:hAnsiTheme="minorHAnsi"/>
                <w:sz w:val="20"/>
                <w:szCs w:val="20"/>
              </w:rPr>
              <w:t xml:space="preserve"> Školicí střediska - Cílem programu je rozvoj nové a využití stávající infrastruktury pro vzdělávání a rozvoj lidských zdrojů v podnikatelském sektoru s možností využití té</w:t>
            </w:r>
            <w:r w:rsidR="007B3502" w:rsidRPr="00237E1E">
              <w:rPr>
                <w:rFonts w:asciiTheme="minorHAnsi" w:hAnsiTheme="minorHAnsi"/>
                <w:sz w:val="20"/>
                <w:szCs w:val="20"/>
              </w:rPr>
              <w:t>t</w:t>
            </w:r>
            <w:r w:rsidR="007003A8" w:rsidRPr="00237E1E">
              <w:rPr>
                <w:rFonts w:asciiTheme="minorHAnsi" w:hAnsiTheme="minorHAnsi"/>
                <w:sz w:val="20"/>
                <w:szCs w:val="20"/>
              </w:rPr>
              <w:t>o infrastruktury pro potřeby odborné přípravy v počátečním technickém vzdělávání. Prostřednictvím výše uvedeného dojde k vytvoření odpovídajících materiálních kapacit MSP pro zajištění činností souvisejících s odborným vzděláváním, ke zvýšení produktivity práce v sektoru MSP, ke zvýšení podílu osob v produktivním věku účastnících se dalšího odborného vzdělávání a dále ke zvýšení inovačních aktivit MSP v důsledku lepší dostupnosti kvalifikovaných lidských zdrojů.</w:t>
            </w:r>
          </w:p>
        </w:tc>
      </w:tr>
      <w:tr w:rsidR="001136B7" w:rsidRPr="00283744" w:rsidTr="00F21848">
        <w:tc>
          <w:tcPr>
            <w:tcW w:w="2269" w:type="dxa"/>
          </w:tcPr>
          <w:p w:rsidR="001136B7" w:rsidRPr="00237E1E" w:rsidRDefault="00F63D20" w:rsidP="00687D3F">
            <w:pPr>
              <w:pStyle w:val="Odstavecseseznamem"/>
              <w:numPr>
                <w:ilvl w:val="0"/>
                <w:numId w:val="13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Podpora </w:t>
            </w:r>
            <w:r w:rsidR="001136B7" w:rsidRPr="00237E1E">
              <w:rPr>
                <w:rFonts w:asciiTheme="minorHAnsi" w:hAnsiTheme="minorHAnsi"/>
                <w:sz w:val="20"/>
                <w:szCs w:val="20"/>
              </w:rPr>
              <w:t>zvýšení intenzity a účinnosti spolupráce ve výzkumu, vývoji a inovacích</w:t>
            </w:r>
          </w:p>
        </w:tc>
        <w:tc>
          <w:tcPr>
            <w:tcW w:w="850" w:type="dxa"/>
          </w:tcPr>
          <w:p w:rsidR="001136B7" w:rsidRPr="00237E1E" w:rsidRDefault="001136B7" w:rsidP="001136B7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MPO 61</w:t>
            </w:r>
            <w:r w:rsidR="00EA564E">
              <w:rPr>
                <w:rFonts w:asciiTheme="minorHAnsi" w:hAnsiTheme="minorHAnsi"/>
                <w:sz w:val="20"/>
                <w:szCs w:val="20"/>
              </w:rPr>
              <w:t>0</w:t>
            </w:r>
            <w:r w:rsidRPr="00237E1E">
              <w:rPr>
                <w:rFonts w:asciiTheme="minorHAnsi" w:hAnsiTheme="minorHAnsi"/>
                <w:sz w:val="20"/>
                <w:szCs w:val="20"/>
              </w:rPr>
              <w:t>00</w:t>
            </w:r>
          </w:p>
          <w:p w:rsidR="001136B7" w:rsidRPr="00237E1E" w:rsidRDefault="001136B7" w:rsidP="001136B7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6B7" w:rsidRPr="00237E1E" w:rsidRDefault="00841EA8" w:rsidP="001136B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0B84">
              <w:rPr>
                <w:sz w:val="20"/>
                <w:szCs w:val="20"/>
              </w:rPr>
              <w:t>CzechInvest</w:t>
            </w:r>
            <w:proofErr w:type="spellEnd"/>
            <w:r w:rsidRPr="00010B84">
              <w:rPr>
                <w:sz w:val="20"/>
                <w:szCs w:val="20"/>
              </w:rPr>
              <w:t xml:space="preserve"> (příp. API)</w:t>
            </w:r>
          </w:p>
        </w:tc>
        <w:tc>
          <w:tcPr>
            <w:tcW w:w="1134" w:type="dxa"/>
          </w:tcPr>
          <w:p w:rsidR="001136B7" w:rsidRPr="00237E1E" w:rsidRDefault="001136B7" w:rsidP="00F21848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Dle harmonogramu přípravy OP PIK</w:t>
            </w:r>
          </w:p>
        </w:tc>
        <w:tc>
          <w:tcPr>
            <w:tcW w:w="1276" w:type="dxa"/>
          </w:tcPr>
          <w:p w:rsidR="001136B7" w:rsidRPr="00237E1E" w:rsidRDefault="001136B7" w:rsidP="001136B7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 xml:space="preserve">PO1 </w:t>
            </w:r>
            <w:r w:rsidR="00F504BE" w:rsidRPr="00F504BE">
              <w:rPr>
                <w:rFonts w:asciiTheme="minorHAnsi" w:hAnsiTheme="minorHAnsi"/>
                <w:sz w:val="20"/>
                <w:szCs w:val="20"/>
              </w:rPr>
              <w:t>OP PIK</w:t>
            </w:r>
          </w:p>
        </w:tc>
        <w:tc>
          <w:tcPr>
            <w:tcW w:w="3090" w:type="dxa"/>
            <w:shd w:val="clear" w:color="auto" w:fill="auto"/>
          </w:tcPr>
          <w:p w:rsidR="001136B7" w:rsidRPr="00237E1E" w:rsidRDefault="00F63D20" w:rsidP="00F63D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Vyhlášení výzvy p</w:t>
            </w:r>
            <w:r w:rsidR="001136B7" w:rsidRPr="00237E1E">
              <w:rPr>
                <w:rFonts w:asciiTheme="minorHAnsi" w:hAnsiTheme="minorHAnsi"/>
                <w:sz w:val="20"/>
                <w:szCs w:val="20"/>
              </w:rPr>
              <w:t>rogram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1136B7" w:rsidRPr="00237E1E">
              <w:rPr>
                <w:rFonts w:asciiTheme="minorHAnsi" w:hAnsiTheme="minorHAnsi"/>
                <w:sz w:val="20"/>
                <w:szCs w:val="20"/>
              </w:rPr>
              <w:t xml:space="preserve"> Partn</w:t>
            </w:r>
            <w:r w:rsidR="002A2FAD" w:rsidRPr="00237E1E">
              <w:rPr>
                <w:rFonts w:asciiTheme="minorHAnsi" w:hAnsiTheme="minorHAnsi"/>
                <w:sz w:val="20"/>
                <w:szCs w:val="20"/>
              </w:rPr>
              <w:t>erství znalostního transferu - Vytvoření partnerství mezi MSP a výzkumnou organizací za účelem transferu znalostí, souvisejících technologií a dovedností, ke kterým podnik nemá přístup.</w:t>
            </w:r>
          </w:p>
        </w:tc>
      </w:tr>
      <w:tr w:rsidR="001136B7" w:rsidRPr="00283744" w:rsidTr="00F21848">
        <w:tc>
          <w:tcPr>
            <w:tcW w:w="2269" w:type="dxa"/>
          </w:tcPr>
          <w:p w:rsidR="001136B7" w:rsidRPr="00237E1E" w:rsidRDefault="00964DD1" w:rsidP="00964DD1">
            <w:pPr>
              <w:pStyle w:val="Odstavecseseznamem"/>
              <w:numPr>
                <w:ilvl w:val="0"/>
                <w:numId w:val="13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64DD1">
              <w:rPr>
                <w:rFonts w:asciiTheme="minorHAnsi" w:hAnsiTheme="minorHAnsi"/>
                <w:sz w:val="20"/>
                <w:szCs w:val="20"/>
              </w:rPr>
              <w:t xml:space="preserve">Propagace vyššího zapojení podniků do spolupráce se školami a zapojení aktuálních a zaměstnavateli skutečně </w:t>
            </w:r>
            <w:r w:rsidRPr="00964DD1">
              <w:rPr>
                <w:rFonts w:asciiTheme="minorHAnsi" w:hAnsiTheme="minorHAnsi"/>
                <w:sz w:val="20"/>
                <w:szCs w:val="20"/>
              </w:rPr>
              <w:lastRenderedPageBreak/>
              <w:t>využívaných technologií do výuky</w:t>
            </w:r>
          </w:p>
        </w:tc>
        <w:tc>
          <w:tcPr>
            <w:tcW w:w="850" w:type="dxa"/>
          </w:tcPr>
          <w:p w:rsidR="001136B7" w:rsidRPr="00237E1E" w:rsidRDefault="001136B7" w:rsidP="00964DD1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MPO </w:t>
            </w:r>
            <w:r w:rsidR="00964DD1">
              <w:rPr>
                <w:rFonts w:asciiTheme="minorHAnsi" w:hAnsiTheme="minorHAnsi"/>
                <w:sz w:val="20"/>
                <w:szCs w:val="20"/>
              </w:rPr>
              <w:t>31000</w:t>
            </w:r>
          </w:p>
        </w:tc>
        <w:tc>
          <w:tcPr>
            <w:tcW w:w="1276" w:type="dxa"/>
          </w:tcPr>
          <w:p w:rsidR="001136B7" w:rsidRPr="00237E1E" w:rsidRDefault="001136B7" w:rsidP="001136B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MF</w:t>
            </w:r>
            <w:r w:rsidR="00C57997">
              <w:rPr>
                <w:rFonts w:asciiTheme="minorHAnsi" w:hAnsiTheme="minorHAnsi"/>
                <w:sz w:val="20"/>
                <w:szCs w:val="20"/>
              </w:rPr>
              <w:t>, MŠMT</w:t>
            </w:r>
          </w:p>
        </w:tc>
        <w:tc>
          <w:tcPr>
            <w:tcW w:w="1134" w:type="dxa"/>
          </w:tcPr>
          <w:p w:rsidR="001136B7" w:rsidRPr="00237E1E" w:rsidRDefault="00964DD1" w:rsidP="00F21848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Průběžně</w:t>
            </w:r>
          </w:p>
        </w:tc>
        <w:tc>
          <w:tcPr>
            <w:tcW w:w="1276" w:type="dxa"/>
          </w:tcPr>
          <w:p w:rsidR="001136B7" w:rsidRPr="00237E1E" w:rsidRDefault="00F737A2" w:rsidP="001136B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Daňové úlevy</w:t>
            </w:r>
          </w:p>
        </w:tc>
        <w:tc>
          <w:tcPr>
            <w:tcW w:w="3090" w:type="dxa"/>
            <w:shd w:val="clear" w:color="auto" w:fill="auto"/>
          </w:tcPr>
          <w:p w:rsidR="001136B7" w:rsidRPr="00237E1E" w:rsidRDefault="00964DD1" w:rsidP="001136B7">
            <w:pPr>
              <w:rPr>
                <w:rFonts w:asciiTheme="minorHAnsi" w:hAnsiTheme="minorHAnsi"/>
                <w:sz w:val="20"/>
                <w:szCs w:val="20"/>
              </w:rPr>
            </w:pPr>
            <w:r w:rsidRPr="00964DD1">
              <w:rPr>
                <w:rFonts w:asciiTheme="minorHAnsi" w:hAnsiTheme="minorHAnsi"/>
                <w:sz w:val="20"/>
                <w:szCs w:val="20"/>
              </w:rPr>
              <w:t>Propagace spolupráce škol a zaměstnavatelů skrze sektorové dohody a využívání stávajících daňových úlev</w:t>
            </w:r>
          </w:p>
        </w:tc>
      </w:tr>
      <w:tr w:rsidR="00592FD0" w:rsidRPr="00283744" w:rsidTr="00F21848">
        <w:tc>
          <w:tcPr>
            <w:tcW w:w="2269" w:type="dxa"/>
          </w:tcPr>
          <w:p w:rsidR="00592FD0" w:rsidRPr="00237E1E" w:rsidRDefault="00F60F86" w:rsidP="00F60F86">
            <w:pPr>
              <w:pStyle w:val="Odstavecseseznamem"/>
              <w:numPr>
                <w:ilvl w:val="0"/>
                <w:numId w:val="13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Podpora</w:t>
            </w:r>
            <w:r w:rsidR="00592FD0" w:rsidRPr="00237E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B3502" w:rsidRPr="00237E1E">
              <w:rPr>
                <w:rFonts w:asciiTheme="minorHAnsi" w:hAnsiTheme="minorHAnsi"/>
                <w:sz w:val="20"/>
                <w:szCs w:val="20"/>
              </w:rPr>
              <w:t xml:space="preserve">podnikatelské </w:t>
            </w:r>
            <w:r w:rsidR="00592FD0" w:rsidRPr="00237E1E">
              <w:rPr>
                <w:rFonts w:asciiTheme="minorHAnsi" w:hAnsiTheme="minorHAnsi"/>
                <w:sz w:val="20"/>
                <w:szCs w:val="20"/>
              </w:rPr>
              <w:t xml:space="preserve">infrastruktury </w:t>
            </w:r>
            <w:r w:rsidR="007B3502" w:rsidRPr="00237E1E">
              <w:rPr>
                <w:rFonts w:asciiTheme="minorHAnsi" w:hAnsiTheme="minorHAnsi"/>
                <w:sz w:val="20"/>
                <w:szCs w:val="20"/>
              </w:rPr>
              <w:t xml:space="preserve">vč. </w:t>
            </w:r>
            <w:proofErr w:type="spellStart"/>
            <w:r w:rsidR="007B3502" w:rsidRPr="00237E1E">
              <w:rPr>
                <w:rFonts w:asciiTheme="minorHAnsi" w:hAnsiTheme="minorHAnsi"/>
                <w:sz w:val="20"/>
                <w:szCs w:val="20"/>
              </w:rPr>
              <w:t>brownfie</w:t>
            </w:r>
            <w:r w:rsidR="0062517E" w:rsidRPr="00237E1E">
              <w:rPr>
                <w:rFonts w:asciiTheme="minorHAnsi" w:hAnsiTheme="minorHAnsi"/>
                <w:sz w:val="20"/>
                <w:szCs w:val="20"/>
              </w:rPr>
              <w:t>l</w:t>
            </w:r>
            <w:r w:rsidR="007B3502" w:rsidRPr="00237E1E">
              <w:rPr>
                <w:rFonts w:asciiTheme="minorHAnsi" w:hAnsiTheme="minorHAnsi"/>
                <w:sz w:val="20"/>
                <w:szCs w:val="20"/>
              </w:rPr>
              <w:t>dů</w:t>
            </w:r>
            <w:proofErr w:type="spellEnd"/>
          </w:p>
        </w:tc>
        <w:tc>
          <w:tcPr>
            <w:tcW w:w="850" w:type="dxa"/>
          </w:tcPr>
          <w:p w:rsidR="00592FD0" w:rsidRPr="00237E1E" w:rsidRDefault="00592FD0" w:rsidP="00592FD0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MPO 61</w:t>
            </w:r>
            <w:r w:rsidR="00EA564E">
              <w:rPr>
                <w:rFonts w:asciiTheme="minorHAnsi" w:hAnsiTheme="minorHAnsi"/>
                <w:sz w:val="20"/>
                <w:szCs w:val="20"/>
              </w:rPr>
              <w:t>0</w:t>
            </w:r>
            <w:r w:rsidRPr="00237E1E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592FD0" w:rsidRPr="00237E1E" w:rsidRDefault="00841EA8" w:rsidP="00592FD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0B84">
              <w:rPr>
                <w:sz w:val="20"/>
                <w:szCs w:val="20"/>
              </w:rPr>
              <w:t>CzechInvest</w:t>
            </w:r>
            <w:proofErr w:type="spellEnd"/>
            <w:r w:rsidRPr="00010B84">
              <w:rPr>
                <w:sz w:val="20"/>
                <w:szCs w:val="20"/>
              </w:rPr>
              <w:t xml:space="preserve"> (příp. API)</w:t>
            </w:r>
          </w:p>
        </w:tc>
        <w:tc>
          <w:tcPr>
            <w:tcW w:w="1134" w:type="dxa"/>
          </w:tcPr>
          <w:p w:rsidR="00592FD0" w:rsidRPr="00237E1E" w:rsidRDefault="00592FD0" w:rsidP="00F21848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Dle harmonogramu přípravy OP PIK</w:t>
            </w:r>
          </w:p>
        </w:tc>
        <w:tc>
          <w:tcPr>
            <w:tcW w:w="1276" w:type="dxa"/>
          </w:tcPr>
          <w:p w:rsidR="00592FD0" w:rsidRPr="00237E1E" w:rsidRDefault="00592FD0" w:rsidP="00592FD0">
            <w:pPr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 xml:space="preserve">PO2 </w:t>
            </w:r>
            <w:r w:rsidR="00F504BE" w:rsidRPr="00F504BE">
              <w:rPr>
                <w:rFonts w:asciiTheme="minorHAnsi" w:hAnsiTheme="minorHAnsi"/>
                <w:sz w:val="20"/>
                <w:szCs w:val="20"/>
              </w:rPr>
              <w:t>OP PIK</w:t>
            </w:r>
          </w:p>
        </w:tc>
        <w:tc>
          <w:tcPr>
            <w:tcW w:w="3090" w:type="dxa"/>
            <w:shd w:val="clear" w:color="auto" w:fill="auto"/>
          </w:tcPr>
          <w:p w:rsidR="00592FD0" w:rsidRPr="00237E1E" w:rsidRDefault="00F60F86" w:rsidP="00F60F8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Vyhlášení výzvy p</w:t>
            </w:r>
            <w:r w:rsidR="00592FD0" w:rsidRPr="00237E1E">
              <w:rPr>
                <w:rFonts w:asciiTheme="minorHAnsi" w:hAnsiTheme="minorHAnsi"/>
                <w:sz w:val="20"/>
                <w:szCs w:val="20"/>
              </w:rPr>
              <w:t>rogram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592FD0" w:rsidRPr="00237E1E">
              <w:rPr>
                <w:rFonts w:asciiTheme="minorHAnsi" w:hAnsiTheme="minorHAnsi"/>
                <w:sz w:val="20"/>
                <w:szCs w:val="20"/>
              </w:rPr>
              <w:t xml:space="preserve"> Nemovitosti - Podporovanými aktivitami jsou modernizace výrobních provozů a rekonstrukce stávající zastaralé infrastruktury a rekonstrukce objektů typu </w:t>
            </w:r>
            <w:proofErr w:type="spellStart"/>
            <w:r w:rsidR="00592FD0" w:rsidRPr="00237E1E">
              <w:rPr>
                <w:rFonts w:asciiTheme="minorHAnsi" w:hAnsiTheme="minorHAnsi"/>
                <w:sz w:val="20"/>
                <w:szCs w:val="20"/>
              </w:rPr>
              <w:t>brownfield</w:t>
            </w:r>
            <w:proofErr w:type="spellEnd"/>
            <w:r w:rsidR="00592FD0" w:rsidRPr="00237E1E">
              <w:rPr>
                <w:rFonts w:asciiTheme="minorHAnsi" w:hAnsiTheme="minorHAnsi"/>
                <w:sz w:val="20"/>
                <w:szCs w:val="20"/>
              </w:rPr>
              <w:t xml:space="preserve"> a jejich přeměna na moderní podnikatelské objekty. V rámci programu bude možné podpořit investice do stavebních úprav včetně demolice původních staveb a výstavby novostaveb.</w:t>
            </w:r>
          </w:p>
        </w:tc>
      </w:tr>
      <w:tr w:rsidR="00D41A4A" w:rsidRPr="00283744" w:rsidTr="00F21848">
        <w:tc>
          <w:tcPr>
            <w:tcW w:w="2269" w:type="dxa"/>
          </w:tcPr>
          <w:p w:rsidR="00D41A4A" w:rsidRPr="00237E1E" w:rsidRDefault="00FC7A43" w:rsidP="00FC7A43">
            <w:pPr>
              <w:pStyle w:val="Odstavecseseznamem"/>
              <w:numPr>
                <w:ilvl w:val="0"/>
                <w:numId w:val="13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Podpora</w:t>
            </w:r>
            <w:r w:rsidR="00D41A4A" w:rsidRPr="00237E1E">
              <w:rPr>
                <w:rFonts w:asciiTheme="minorHAnsi" w:hAnsiTheme="minorHAnsi"/>
                <w:sz w:val="20"/>
                <w:szCs w:val="20"/>
              </w:rPr>
              <w:t xml:space="preserve"> zvýšení inovační výkonnosti podniků</w:t>
            </w:r>
          </w:p>
        </w:tc>
        <w:tc>
          <w:tcPr>
            <w:tcW w:w="850" w:type="dxa"/>
          </w:tcPr>
          <w:p w:rsidR="00D41A4A" w:rsidRPr="00237E1E" w:rsidRDefault="00D41A4A" w:rsidP="00D41A4A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MPO 61</w:t>
            </w:r>
            <w:r w:rsidR="00EA564E">
              <w:rPr>
                <w:rFonts w:asciiTheme="minorHAnsi" w:hAnsiTheme="minorHAnsi"/>
                <w:sz w:val="20"/>
                <w:szCs w:val="20"/>
              </w:rPr>
              <w:t>0</w:t>
            </w:r>
            <w:r w:rsidRPr="00237E1E">
              <w:rPr>
                <w:rFonts w:asciiTheme="minorHAnsi" w:hAnsiTheme="minorHAnsi"/>
                <w:sz w:val="20"/>
                <w:szCs w:val="20"/>
              </w:rPr>
              <w:t>00</w:t>
            </w:r>
          </w:p>
          <w:p w:rsidR="00D41A4A" w:rsidRPr="00237E1E" w:rsidRDefault="00D41A4A" w:rsidP="00D41A4A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A4A" w:rsidRPr="00237E1E" w:rsidRDefault="00841EA8" w:rsidP="00D41A4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0B84">
              <w:rPr>
                <w:sz w:val="20"/>
                <w:szCs w:val="20"/>
              </w:rPr>
              <w:t>CzechInvest</w:t>
            </w:r>
            <w:proofErr w:type="spellEnd"/>
            <w:r w:rsidRPr="00010B84">
              <w:rPr>
                <w:sz w:val="20"/>
                <w:szCs w:val="20"/>
              </w:rPr>
              <w:t xml:space="preserve"> (příp. API)</w:t>
            </w:r>
          </w:p>
        </w:tc>
        <w:tc>
          <w:tcPr>
            <w:tcW w:w="1134" w:type="dxa"/>
          </w:tcPr>
          <w:p w:rsidR="00D41A4A" w:rsidRPr="00237E1E" w:rsidRDefault="00D41A4A" w:rsidP="00F21848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Dle harmonogramu přípravy OP PIK</w:t>
            </w:r>
          </w:p>
        </w:tc>
        <w:tc>
          <w:tcPr>
            <w:tcW w:w="1276" w:type="dxa"/>
          </w:tcPr>
          <w:p w:rsidR="00D41A4A" w:rsidRPr="00237E1E" w:rsidRDefault="00D41A4A" w:rsidP="00D41A4A">
            <w:pPr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 xml:space="preserve">PO1 </w:t>
            </w:r>
            <w:r w:rsidR="00F504BE" w:rsidRPr="00F504BE">
              <w:rPr>
                <w:rFonts w:asciiTheme="minorHAnsi" w:hAnsiTheme="minorHAnsi"/>
                <w:sz w:val="20"/>
                <w:szCs w:val="20"/>
              </w:rPr>
              <w:t>OP PIK</w:t>
            </w:r>
          </w:p>
        </w:tc>
        <w:tc>
          <w:tcPr>
            <w:tcW w:w="3090" w:type="dxa"/>
          </w:tcPr>
          <w:p w:rsidR="00D41A4A" w:rsidRPr="00237E1E" w:rsidRDefault="00FC7A43" w:rsidP="007E3A9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Vyhlášení výzvy p</w:t>
            </w:r>
            <w:r w:rsidR="00D41A4A" w:rsidRPr="00237E1E">
              <w:rPr>
                <w:rFonts w:asciiTheme="minorHAnsi" w:hAnsiTheme="minorHAnsi"/>
                <w:sz w:val="20"/>
                <w:szCs w:val="20"/>
              </w:rPr>
              <w:t>rogram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D41A4A" w:rsidRPr="00237E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04B97" w:rsidRPr="00237E1E">
              <w:rPr>
                <w:rFonts w:asciiTheme="minorHAnsi" w:hAnsiTheme="minorHAnsi"/>
                <w:sz w:val="20"/>
                <w:szCs w:val="20"/>
              </w:rPr>
              <w:t>Potenciál - P</w:t>
            </w:r>
            <w:r w:rsidR="00D41A4A" w:rsidRPr="00237E1E">
              <w:rPr>
                <w:rFonts w:asciiTheme="minorHAnsi" w:hAnsiTheme="minorHAnsi"/>
                <w:sz w:val="20"/>
                <w:szCs w:val="20"/>
              </w:rPr>
              <w:t>odpor</w:t>
            </w:r>
            <w:r w:rsidR="007E3A9B">
              <w:rPr>
                <w:rFonts w:asciiTheme="minorHAnsi" w:hAnsiTheme="minorHAnsi"/>
                <w:sz w:val="20"/>
                <w:szCs w:val="20"/>
              </w:rPr>
              <w:t>a</w:t>
            </w:r>
            <w:r w:rsidR="00D41A4A" w:rsidRPr="00237E1E">
              <w:rPr>
                <w:rFonts w:asciiTheme="minorHAnsi" w:hAnsiTheme="minorHAnsi"/>
                <w:sz w:val="20"/>
                <w:szCs w:val="20"/>
              </w:rPr>
              <w:t xml:space="preserve"> založení nebo rozvoj</w:t>
            </w:r>
            <w:r w:rsidR="006C24E1">
              <w:rPr>
                <w:rFonts w:asciiTheme="minorHAnsi" w:hAnsiTheme="minorHAnsi"/>
                <w:sz w:val="20"/>
                <w:szCs w:val="20"/>
              </w:rPr>
              <w:t>e</w:t>
            </w:r>
            <w:r w:rsidR="00D41A4A" w:rsidRPr="00237E1E">
              <w:rPr>
                <w:rFonts w:asciiTheme="minorHAnsi" w:hAnsiTheme="minorHAnsi"/>
                <w:sz w:val="20"/>
                <w:szCs w:val="20"/>
              </w:rPr>
              <w:t xml:space="preserve"> center průmyslového výzkumu, vývoje a inovací spočívající v pořízení pozemků, budov, strojů/zařízení a jiného vybavení centra nezbytného pro zajištění aktivit tohoto centra; u MSP jsou předmětem podpory i vybrané provozní náklady centra</w:t>
            </w:r>
            <w:r w:rsidR="00904B97" w:rsidRPr="00237E1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5E43A7" w:rsidRPr="00283744" w:rsidTr="00F21848">
        <w:tc>
          <w:tcPr>
            <w:tcW w:w="2269" w:type="dxa"/>
          </w:tcPr>
          <w:p w:rsidR="005E43A7" w:rsidRDefault="005E43A7" w:rsidP="005E43A7">
            <w:pPr>
              <w:pStyle w:val="Odstavecseseznamem"/>
              <w:numPr>
                <w:ilvl w:val="0"/>
                <w:numId w:val="13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E43A7">
              <w:rPr>
                <w:rFonts w:asciiTheme="minorHAnsi" w:hAnsiTheme="minorHAnsi"/>
                <w:sz w:val="20"/>
                <w:szCs w:val="20"/>
              </w:rPr>
              <w:t>Podpora propagace technického vzdělávání, technických oborů a řemesel</w:t>
            </w:r>
          </w:p>
        </w:tc>
        <w:tc>
          <w:tcPr>
            <w:tcW w:w="850" w:type="dxa"/>
          </w:tcPr>
          <w:p w:rsidR="005E43A7" w:rsidRPr="00237E1E" w:rsidRDefault="005E43A7" w:rsidP="00D41A4A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E43A7">
              <w:rPr>
                <w:rFonts w:asciiTheme="minorHAnsi" w:hAnsiTheme="minorHAnsi"/>
                <w:sz w:val="20"/>
                <w:szCs w:val="20"/>
              </w:rPr>
              <w:t>MPO 31000</w:t>
            </w:r>
          </w:p>
        </w:tc>
        <w:tc>
          <w:tcPr>
            <w:tcW w:w="1276" w:type="dxa"/>
          </w:tcPr>
          <w:p w:rsidR="005E43A7" w:rsidRPr="00237E1E" w:rsidRDefault="005E43A7" w:rsidP="00D41A4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E43A7">
              <w:rPr>
                <w:rFonts w:asciiTheme="minorHAnsi" w:hAnsiTheme="minorHAnsi"/>
                <w:sz w:val="20"/>
                <w:szCs w:val="20"/>
              </w:rPr>
              <w:t>MPO 10</w:t>
            </w:r>
            <w:r w:rsidR="00EA564E">
              <w:rPr>
                <w:rFonts w:asciiTheme="minorHAnsi" w:hAnsiTheme="minorHAnsi"/>
                <w:sz w:val="20"/>
                <w:szCs w:val="20"/>
              </w:rPr>
              <w:t>0</w:t>
            </w:r>
            <w:r w:rsidRPr="005E43A7">
              <w:rPr>
                <w:rFonts w:asciiTheme="minorHAnsi" w:hAnsiTheme="minorHAnsi"/>
                <w:sz w:val="20"/>
                <w:szCs w:val="20"/>
              </w:rPr>
              <w:t>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t>MŠMT</w:t>
            </w:r>
          </w:p>
        </w:tc>
        <w:tc>
          <w:tcPr>
            <w:tcW w:w="1134" w:type="dxa"/>
          </w:tcPr>
          <w:p w:rsidR="005E43A7" w:rsidRPr="00237E1E" w:rsidRDefault="005E43A7" w:rsidP="00F21848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Průběžně</w:t>
            </w:r>
          </w:p>
        </w:tc>
        <w:tc>
          <w:tcPr>
            <w:tcW w:w="1276" w:type="dxa"/>
          </w:tcPr>
          <w:p w:rsidR="005E43A7" w:rsidRPr="00237E1E" w:rsidRDefault="005E43A7" w:rsidP="00D41A4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Státní rozpočet</w:t>
            </w:r>
            <w:r w:rsidR="00F45526">
              <w:rPr>
                <w:rFonts w:asciiTheme="minorHAnsi" w:hAnsiTheme="minorHAnsi"/>
                <w:sz w:val="20"/>
                <w:szCs w:val="20"/>
              </w:rPr>
              <w:t xml:space="preserve"> (nový nárok)</w:t>
            </w:r>
          </w:p>
        </w:tc>
        <w:tc>
          <w:tcPr>
            <w:tcW w:w="3090" w:type="dxa"/>
          </w:tcPr>
          <w:p w:rsidR="005E43A7" w:rsidRDefault="005E43A7" w:rsidP="00FC7A43">
            <w:pPr>
              <w:rPr>
                <w:rFonts w:asciiTheme="minorHAnsi" w:hAnsiTheme="minorHAnsi"/>
                <w:sz w:val="20"/>
                <w:szCs w:val="20"/>
              </w:rPr>
            </w:pPr>
            <w:r w:rsidRPr="005E43A7">
              <w:rPr>
                <w:rFonts w:asciiTheme="minorHAnsi" w:hAnsiTheme="minorHAnsi"/>
                <w:sz w:val="20"/>
                <w:szCs w:val="20"/>
              </w:rPr>
              <w:t>Podpora (finanční i nefinanční) různých soutěží, přehlídek v odborných dovednostech žáků, konferencí a dalších akcí, které propagují technické vzdělávání, technické obory a řemesla.</w:t>
            </w:r>
          </w:p>
        </w:tc>
      </w:tr>
      <w:tr w:rsidR="00B17AA1" w:rsidRPr="00283744" w:rsidTr="00F21848">
        <w:tc>
          <w:tcPr>
            <w:tcW w:w="2269" w:type="dxa"/>
          </w:tcPr>
          <w:p w:rsidR="00B17AA1" w:rsidRDefault="00B17AA1" w:rsidP="00B17AA1">
            <w:pPr>
              <w:pStyle w:val="Odstavecseseznamem"/>
              <w:numPr>
                <w:ilvl w:val="0"/>
                <w:numId w:val="13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Realizace prvních projektů v rámci programu TRIO</w:t>
            </w:r>
            <w:r w:rsidRPr="00B23F3B">
              <w:rPr>
                <w:sz w:val="20"/>
                <w:szCs w:val="20"/>
              </w:rPr>
              <w:t>- rozvoj potenciálu ČR v oblas</w:t>
            </w:r>
            <w:r>
              <w:rPr>
                <w:sz w:val="20"/>
                <w:szCs w:val="20"/>
              </w:rPr>
              <w:t>ti klíčových technologií „</w:t>
            </w:r>
            <w:proofErr w:type="spellStart"/>
            <w:r>
              <w:rPr>
                <w:sz w:val="20"/>
                <w:szCs w:val="20"/>
              </w:rPr>
              <w:t>KETs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850" w:type="dxa"/>
          </w:tcPr>
          <w:p w:rsidR="00B17AA1" w:rsidRPr="00237E1E" w:rsidRDefault="00B17AA1" w:rsidP="00B17AA1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F45DB">
              <w:rPr>
                <w:sz w:val="20"/>
                <w:szCs w:val="20"/>
              </w:rPr>
              <w:t>MPO 61</w:t>
            </w:r>
            <w:r w:rsidR="00EA564E">
              <w:rPr>
                <w:sz w:val="20"/>
                <w:szCs w:val="20"/>
              </w:rPr>
              <w:t>0</w:t>
            </w:r>
            <w:r w:rsidRPr="002F45DB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B17AA1" w:rsidRPr="00237E1E" w:rsidRDefault="00B17AA1" w:rsidP="00B17AA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7AA1" w:rsidRPr="00237E1E" w:rsidRDefault="00B17AA1" w:rsidP="00B17AA1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</w:t>
            </w:r>
          </w:p>
        </w:tc>
        <w:tc>
          <w:tcPr>
            <w:tcW w:w="1276" w:type="dxa"/>
          </w:tcPr>
          <w:p w:rsidR="00B17AA1" w:rsidRPr="00237E1E" w:rsidRDefault="00F45526" w:rsidP="00B17AA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B17AA1">
              <w:rPr>
                <w:sz w:val="20"/>
                <w:szCs w:val="20"/>
              </w:rPr>
              <w:t>ozpočet</w:t>
            </w:r>
            <w:r>
              <w:rPr>
                <w:sz w:val="20"/>
                <w:szCs w:val="20"/>
              </w:rPr>
              <w:t xml:space="preserve"> MPO</w:t>
            </w:r>
          </w:p>
        </w:tc>
        <w:tc>
          <w:tcPr>
            <w:tcW w:w="3090" w:type="dxa"/>
          </w:tcPr>
          <w:p w:rsidR="00B17AA1" w:rsidRDefault="00B17AA1" w:rsidP="00B17AA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5467B">
              <w:rPr>
                <w:sz w:val="20"/>
                <w:szCs w:val="20"/>
              </w:rPr>
              <w:t>rogram podpory apli</w:t>
            </w:r>
            <w:r>
              <w:rPr>
                <w:sz w:val="20"/>
                <w:szCs w:val="20"/>
              </w:rPr>
              <w:t>kovaného výzkumu s názvem TRIO byl vytvořen z</w:t>
            </w:r>
            <w:r w:rsidRPr="00B23F3B">
              <w:rPr>
                <w:sz w:val="20"/>
                <w:szCs w:val="20"/>
              </w:rPr>
              <w:t xml:space="preserve">a účelem podpory komercionalizace výsledků </w:t>
            </w:r>
            <w:proofErr w:type="spellStart"/>
            <w:r w:rsidRPr="00B23F3B">
              <w:rPr>
                <w:sz w:val="20"/>
                <w:szCs w:val="20"/>
              </w:rPr>
              <w:t>VaVaI</w:t>
            </w:r>
            <w:proofErr w:type="spellEnd"/>
            <w:r w:rsidRPr="00B23F3B">
              <w:rPr>
                <w:sz w:val="20"/>
                <w:szCs w:val="20"/>
              </w:rPr>
              <w:t xml:space="preserve"> a také s ohledem na strukturu a vývoj hospodářství ČR směrem k produkci s vyšší přidanou hodnotou</w:t>
            </w:r>
            <w:r>
              <w:rPr>
                <w:sz w:val="20"/>
                <w:szCs w:val="20"/>
              </w:rPr>
              <w:t>.</w:t>
            </w:r>
          </w:p>
          <w:p w:rsidR="00B17AA1" w:rsidRPr="0065467B" w:rsidRDefault="00B17AA1" w:rsidP="00B17AA1">
            <w:pPr>
              <w:spacing w:after="0"/>
              <w:rPr>
                <w:sz w:val="20"/>
                <w:szCs w:val="20"/>
              </w:rPr>
            </w:pPr>
          </w:p>
          <w:p w:rsidR="00B17AA1" w:rsidRDefault="00B17AA1" w:rsidP="00B17AA1">
            <w:pPr>
              <w:rPr>
                <w:rFonts w:asciiTheme="minorHAnsi" w:hAnsiTheme="minorHAnsi"/>
                <w:sz w:val="20"/>
                <w:szCs w:val="20"/>
              </w:rPr>
            </w:pPr>
            <w:r w:rsidRPr="0065467B">
              <w:rPr>
                <w:sz w:val="20"/>
                <w:szCs w:val="20"/>
              </w:rPr>
              <w:t xml:space="preserve">V roce 2016 proběhne vyhodnocení první veřejné soutěže programu TRIO, přičemž od počátku roku 2016 se začnou realizovat první projekty zaměřené na zvýšení aplikovatelnosti výsledků </w:t>
            </w:r>
            <w:proofErr w:type="spellStart"/>
            <w:r w:rsidRPr="0065467B">
              <w:rPr>
                <w:sz w:val="20"/>
                <w:szCs w:val="20"/>
              </w:rPr>
              <w:t>VaVaI</w:t>
            </w:r>
            <w:proofErr w:type="spellEnd"/>
            <w:r w:rsidRPr="0065467B">
              <w:rPr>
                <w:sz w:val="20"/>
                <w:szCs w:val="20"/>
              </w:rPr>
              <w:t xml:space="preserve"> v oblasti </w:t>
            </w:r>
            <w:proofErr w:type="spellStart"/>
            <w:r w:rsidRPr="0065467B">
              <w:rPr>
                <w:sz w:val="20"/>
                <w:szCs w:val="20"/>
              </w:rPr>
              <w:t>KETs</w:t>
            </w:r>
            <w:proofErr w:type="spellEnd"/>
            <w:r w:rsidRPr="0065467B">
              <w:rPr>
                <w:sz w:val="20"/>
                <w:szCs w:val="20"/>
              </w:rPr>
              <w:t xml:space="preserve"> v podnikové sféře. Alokace programu na rok 2016 činí 300 mil. Kč.</w:t>
            </w:r>
          </w:p>
        </w:tc>
      </w:tr>
      <w:tr w:rsidR="00B17AA1" w:rsidRPr="00283744" w:rsidTr="00F21848">
        <w:tc>
          <w:tcPr>
            <w:tcW w:w="2269" w:type="dxa"/>
          </w:tcPr>
          <w:p w:rsidR="00B17AA1" w:rsidRDefault="00B17AA1" w:rsidP="00B17AA1">
            <w:pPr>
              <w:pStyle w:val="Odstavecseseznamem"/>
              <w:numPr>
                <w:ilvl w:val="0"/>
                <w:numId w:val="13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Podpora</w:t>
            </w:r>
            <w:r w:rsidRPr="007B44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E6E5A">
              <w:rPr>
                <w:rFonts w:asciiTheme="minorHAnsi" w:hAnsiTheme="minorHAnsi"/>
                <w:sz w:val="20"/>
                <w:szCs w:val="20"/>
              </w:rPr>
              <w:t xml:space="preserve">zvýšení intenzity společných výzkumných, vývojových a inovačních aktivit </w:t>
            </w:r>
            <w:r w:rsidRPr="00AE6E5A">
              <w:rPr>
                <w:rFonts w:asciiTheme="minorHAnsi" w:hAnsiTheme="minorHAnsi"/>
                <w:sz w:val="20"/>
                <w:szCs w:val="20"/>
              </w:rPr>
              <w:lastRenderedPageBreak/>
              <w:t>mezi podnikatelskými subjekty a výzkumnou sférou</w:t>
            </w:r>
          </w:p>
        </w:tc>
        <w:tc>
          <w:tcPr>
            <w:tcW w:w="850" w:type="dxa"/>
          </w:tcPr>
          <w:p w:rsidR="00B17AA1" w:rsidRPr="00237E1E" w:rsidRDefault="00B17AA1" w:rsidP="00B17AA1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6E5A">
              <w:rPr>
                <w:rFonts w:asciiTheme="minorHAnsi" w:hAnsiTheme="minorHAnsi"/>
                <w:sz w:val="20"/>
                <w:szCs w:val="20"/>
              </w:rPr>
              <w:lastRenderedPageBreak/>
              <w:t>MPO 61</w:t>
            </w:r>
            <w:r w:rsidR="00EA564E">
              <w:rPr>
                <w:rFonts w:asciiTheme="minorHAnsi" w:hAnsiTheme="minorHAnsi"/>
                <w:sz w:val="20"/>
                <w:szCs w:val="20"/>
              </w:rPr>
              <w:t>0</w:t>
            </w:r>
            <w:r w:rsidRPr="00AE6E5A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B17AA1" w:rsidRPr="00237E1E" w:rsidRDefault="00841EA8" w:rsidP="00B17AA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0B84">
              <w:rPr>
                <w:sz w:val="20"/>
                <w:szCs w:val="20"/>
              </w:rPr>
              <w:t>CzechInvest</w:t>
            </w:r>
            <w:proofErr w:type="spellEnd"/>
            <w:r w:rsidRPr="00010B84">
              <w:rPr>
                <w:sz w:val="20"/>
                <w:szCs w:val="20"/>
              </w:rPr>
              <w:t xml:space="preserve"> (příp. API)</w:t>
            </w:r>
          </w:p>
        </w:tc>
        <w:tc>
          <w:tcPr>
            <w:tcW w:w="1134" w:type="dxa"/>
          </w:tcPr>
          <w:p w:rsidR="00B17AA1" w:rsidRPr="00237E1E" w:rsidRDefault="00B17AA1" w:rsidP="00B17AA1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6E5A">
              <w:rPr>
                <w:rFonts w:asciiTheme="minorHAnsi" w:hAnsiTheme="minorHAnsi"/>
                <w:sz w:val="20"/>
                <w:szCs w:val="20"/>
              </w:rPr>
              <w:t>Dle harmonogramu přípravy OP PIK</w:t>
            </w:r>
          </w:p>
        </w:tc>
        <w:tc>
          <w:tcPr>
            <w:tcW w:w="1276" w:type="dxa"/>
          </w:tcPr>
          <w:p w:rsidR="00B17AA1" w:rsidRPr="00237E1E" w:rsidRDefault="00B17AA1" w:rsidP="00B17AA1">
            <w:pPr>
              <w:rPr>
                <w:rFonts w:asciiTheme="minorHAnsi" w:hAnsiTheme="minorHAnsi"/>
                <w:sz w:val="20"/>
                <w:szCs w:val="20"/>
              </w:rPr>
            </w:pPr>
            <w:r w:rsidRPr="00AE6E5A">
              <w:rPr>
                <w:rFonts w:asciiTheme="minorHAnsi" w:hAnsiTheme="minorHAnsi"/>
                <w:sz w:val="20"/>
                <w:szCs w:val="20"/>
              </w:rPr>
              <w:t>PO1 OP PIK</w:t>
            </w:r>
          </w:p>
        </w:tc>
        <w:tc>
          <w:tcPr>
            <w:tcW w:w="3090" w:type="dxa"/>
          </w:tcPr>
          <w:p w:rsidR="00B17AA1" w:rsidRDefault="00B17AA1" w:rsidP="00B17AA1">
            <w:pPr>
              <w:rPr>
                <w:rFonts w:asciiTheme="minorHAnsi" w:hAnsiTheme="minorHAnsi"/>
                <w:sz w:val="20"/>
                <w:szCs w:val="20"/>
              </w:rPr>
            </w:pPr>
            <w:r w:rsidRPr="00AE6E5A">
              <w:rPr>
                <w:rFonts w:asciiTheme="minorHAnsi" w:hAnsiTheme="minorHAnsi"/>
                <w:sz w:val="20"/>
                <w:szCs w:val="20"/>
              </w:rPr>
              <w:t>Vyhlášení výzvy programu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Spolupráce – Cílem programu je </w:t>
            </w:r>
            <w:r w:rsidRPr="00AE6E5A">
              <w:rPr>
                <w:rFonts w:asciiTheme="minorHAnsi" w:hAnsiTheme="minorHAnsi"/>
                <w:sz w:val="20"/>
                <w:szCs w:val="20"/>
              </w:rPr>
              <w:t xml:space="preserve">rozvoj inovačních sítí – klastrů, technologických platforem a dalších typů kooperačních </w:t>
            </w:r>
            <w:r>
              <w:rPr>
                <w:rFonts w:asciiTheme="minorHAnsi" w:hAnsiTheme="minorHAnsi"/>
                <w:sz w:val="20"/>
                <w:szCs w:val="20"/>
              </w:rPr>
              <w:t>sítí,</w:t>
            </w:r>
            <w:r w:rsidRPr="00AE6E5A">
              <w:rPr>
                <w:rFonts w:asciiTheme="minorHAnsi" w:hAnsiTheme="minorHAnsi"/>
                <w:sz w:val="20"/>
                <w:szCs w:val="20"/>
              </w:rPr>
              <w:t xml:space="preserve"> jako </w:t>
            </w:r>
            <w:r w:rsidRPr="00AE6E5A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nástroje pro zvýšení intenzity společných výzkumných, vývojových a inovačních aktivit mezi podnikatelskými subjekty a výzkumnou sférou. Posilování vzájemných vazeb na regionální, </w:t>
            </w:r>
            <w:proofErr w:type="spellStart"/>
            <w:r w:rsidRPr="00AE6E5A">
              <w:rPr>
                <w:rFonts w:asciiTheme="minorHAnsi" w:hAnsiTheme="minorHAnsi"/>
                <w:sz w:val="20"/>
                <w:szCs w:val="20"/>
              </w:rPr>
              <w:t>nadregionální</w:t>
            </w:r>
            <w:proofErr w:type="spellEnd"/>
            <w:r w:rsidRPr="00AE6E5A">
              <w:rPr>
                <w:rFonts w:asciiTheme="minorHAnsi" w:hAnsiTheme="minorHAnsi"/>
                <w:sz w:val="20"/>
                <w:szCs w:val="20"/>
              </w:rPr>
              <w:t xml:space="preserve"> i mezinárodní úrovni povede k rozvoji ekonomiky založené na znalostech a inovacích a naplňování konceptu inteligentní specializace.</w:t>
            </w:r>
          </w:p>
        </w:tc>
      </w:tr>
      <w:tr w:rsidR="00B17AA1" w:rsidRPr="00283744" w:rsidTr="00F21848">
        <w:tc>
          <w:tcPr>
            <w:tcW w:w="2269" w:type="dxa"/>
          </w:tcPr>
          <w:p w:rsidR="00B17AA1" w:rsidRDefault="00B17AA1" w:rsidP="00B17AA1">
            <w:pPr>
              <w:pStyle w:val="Odstavecseseznamem"/>
              <w:numPr>
                <w:ilvl w:val="0"/>
                <w:numId w:val="13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Podpora </w:t>
            </w:r>
            <w:r w:rsidRPr="002E42C7">
              <w:rPr>
                <w:rFonts w:asciiTheme="minorHAnsi" w:hAnsiTheme="minorHAnsi"/>
                <w:sz w:val="20"/>
                <w:szCs w:val="20"/>
              </w:rPr>
              <w:t>realizace průmyslového výzkumu a experimentálního vývoje</w:t>
            </w:r>
          </w:p>
        </w:tc>
        <w:tc>
          <w:tcPr>
            <w:tcW w:w="850" w:type="dxa"/>
          </w:tcPr>
          <w:p w:rsidR="00B17AA1" w:rsidRPr="00237E1E" w:rsidRDefault="00B17AA1" w:rsidP="00B17AA1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MPO 61</w:t>
            </w:r>
            <w:r w:rsidR="00EA564E">
              <w:rPr>
                <w:rFonts w:asciiTheme="minorHAnsi" w:hAnsiTheme="minorHAnsi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B17AA1" w:rsidRPr="00237E1E" w:rsidRDefault="00841EA8" w:rsidP="00B17AA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0B84">
              <w:rPr>
                <w:sz w:val="20"/>
                <w:szCs w:val="20"/>
              </w:rPr>
              <w:t>CzechInvest</w:t>
            </w:r>
            <w:proofErr w:type="spellEnd"/>
            <w:r w:rsidRPr="00010B84">
              <w:rPr>
                <w:sz w:val="20"/>
                <w:szCs w:val="20"/>
              </w:rPr>
              <w:t xml:space="preserve"> (příp. API)</w:t>
            </w:r>
          </w:p>
        </w:tc>
        <w:tc>
          <w:tcPr>
            <w:tcW w:w="1134" w:type="dxa"/>
          </w:tcPr>
          <w:p w:rsidR="00B17AA1" w:rsidRPr="00237E1E" w:rsidRDefault="00B17AA1" w:rsidP="00B17AA1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Dle harmonogramu přípravy OP PIK</w:t>
            </w:r>
          </w:p>
        </w:tc>
        <w:tc>
          <w:tcPr>
            <w:tcW w:w="1276" w:type="dxa"/>
          </w:tcPr>
          <w:p w:rsidR="00B17AA1" w:rsidRPr="00237E1E" w:rsidRDefault="00B17AA1" w:rsidP="00B17AA1">
            <w:pPr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 xml:space="preserve">PO1 </w:t>
            </w:r>
            <w:r w:rsidRPr="00F504BE">
              <w:rPr>
                <w:rFonts w:asciiTheme="minorHAnsi" w:hAnsiTheme="minorHAnsi"/>
                <w:sz w:val="20"/>
                <w:szCs w:val="20"/>
              </w:rPr>
              <w:t>OP PIK</w:t>
            </w:r>
          </w:p>
        </w:tc>
        <w:tc>
          <w:tcPr>
            <w:tcW w:w="3090" w:type="dxa"/>
          </w:tcPr>
          <w:p w:rsidR="00B17AA1" w:rsidRDefault="00B17AA1" w:rsidP="00B17AA1">
            <w:pPr>
              <w:rPr>
                <w:rFonts w:asciiTheme="minorHAnsi" w:hAnsiTheme="minorHAnsi"/>
                <w:sz w:val="20"/>
                <w:szCs w:val="20"/>
              </w:rPr>
            </w:pPr>
            <w:r w:rsidRPr="002E42C7">
              <w:rPr>
                <w:rFonts w:asciiTheme="minorHAnsi" w:hAnsiTheme="minorHAnsi"/>
                <w:sz w:val="20"/>
                <w:szCs w:val="20"/>
              </w:rPr>
              <w:t>Vyhlášení výzvy programu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Aplikace – Cílem programu </w:t>
            </w:r>
            <w:r w:rsidRPr="002E42C7">
              <w:rPr>
                <w:rFonts w:asciiTheme="minorHAnsi" w:hAnsiTheme="minorHAnsi"/>
                <w:sz w:val="20"/>
                <w:szCs w:val="20"/>
              </w:rPr>
              <w:t>je získávání nových znalostí potřebných pro vývoj nových produktů, materiálů, technologií a služeb prostřednictvím realizace projektů průmyslového výzkumu a experimentálního vývoje. Výsledky těchto činností povedou k zavádění inovací vyšších řádů a k tvorbě produktů konkurenceschopných na světových trzích. Specifická pozornost bude věnována výzkumu v oblasti průmyslových výzev a klíčových technologií (</w:t>
            </w:r>
            <w:proofErr w:type="spellStart"/>
            <w:r w:rsidRPr="002E42C7">
              <w:rPr>
                <w:rFonts w:asciiTheme="minorHAnsi" w:hAnsiTheme="minorHAnsi"/>
                <w:sz w:val="20"/>
                <w:szCs w:val="20"/>
              </w:rPr>
              <w:t>KETs</w:t>
            </w:r>
            <w:proofErr w:type="spellEnd"/>
            <w:r w:rsidRPr="002E42C7">
              <w:rPr>
                <w:rFonts w:asciiTheme="minorHAnsi" w:hAnsiTheme="minorHAnsi"/>
                <w:sz w:val="20"/>
                <w:szCs w:val="20"/>
              </w:rPr>
              <w:t>), které mají značný potenciál pro urychlení modernizace firemní základny i pro vznik nových aplikačních oblastí a průmyslových odvětví.</w:t>
            </w:r>
          </w:p>
        </w:tc>
      </w:tr>
      <w:tr w:rsidR="008A5018" w:rsidRPr="00283744" w:rsidTr="00F21848">
        <w:tc>
          <w:tcPr>
            <w:tcW w:w="2269" w:type="dxa"/>
          </w:tcPr>
          <w:p w:rsidR="008A5018" w:rsidRDefault="008A5018" w:rsidP="005A4666">
            <w:pPr>
              <w:pStyle w:val="Odstavecseseznamem"/>
              <w:numPr>
                <w:ilvl w:val="0"/>
                <w:numId w:val="13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A5018">
              <w:rPr>
                <w:rFonts w:asciiTheme="minorHAnsi" w:hAnsiTheme="minorHAnsi"/>
                <w:sz w:val="20"/>
                <w:szCs w:val="20"/>
              </w:rPr>
              <w:t>Pokračování v rozvoji informačního portálu pro podnikatele Businessinfo.cz</w:t>
            </w:r>
            <w:r w:rsidR="005A4666">
              <w:rPr>
                <w:rFonts w:asciiTheme="minorHAnsi" w:hAnsiTheme="minorHAnsi"/>
                <w:sz w:val="20"/>
                <w:szCs w:val="20"/>
              </w:rPr>
              <w:t xml:space="preserve"> a webových stránek MPO</w:t>
            </w:r>
          </w:p>
        </w:tc>
        <w:tc>
          <w:tcPr>
            <w:tcW w:w="850" w:type="dxa"/>
          </w:tcPr>
          <w:p w:rsidR="008A5018" w:rsidRPr="002D0277" w:rsidRDefault="008A5018" w:rsidP="002D0277">
            <w:pPr>
              <w:spacing w:after="0"/>
              <w:rPr>
                <w:sz w:val="20"/>
                <w:szCs w:val="20"/>
              </w:rPr>
            </w:pPr>
            <w:proofErr w:type="spellStart"/>
            <w:r w:rsidRPr="002D0277">
              <w:rPr>
                <w:sz w:val="20"/>
                <w:szCs w:val="20"/>
              </w:rPr>
              <w:t>CzechTrade</w:t>
            </w:r>
            <w:proofErr w:type="spellEnd"/>
          </w:p>
        </w:tc>
        <w:tc>
          <w:tcPr>
            <w:tcW w:w="1276" w:type="dxa"/>
          </w:tcPr>
          <w:p w:rsidR="008A5018" w:rsidRPr="00010B84" w:rsidRDefault="005A4666" w:rsidP="00BD678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MPO</w:t>
            </w:r>
          </w:p>
        </w:tc>
        <w:tc>
          <w:tcPr>
            <w:tcW w:w="1134" w:type="dxa"/>
          </w:tcPr>
          <w:p w:rsidR="008A5018" w:rsidRPr="00237E1E" w:rsidRDefault="00A84484" w:rsidP="00A84484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D0277">
              <w:rPr>
                <w:rFonts w:asciiTheme="minorHAnsi" w:hAnsiTheme="minorHAnsi"/>
                <w:sz w:val="20"/>
                <w:szCs w:val="20"/>
              </w:rPr>
              <w:t>Průběžně</w:t>
            </w:r>
          </w:p>
        </w:tc>
        <w:tc>
          <w:tcPr>
            <w:tcW w:w="1276" w:type="dxa"/>
          </w:tcPr>
          <w:p w:rsidR="008A5018" w:rsidRPr="00237E1E" w:rsidRDefault="008A5018" w:rsidP="002D0277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D0277">
              <w:rPr>
                <w:rFonts w:asciiTheme="minorHAnsi" w:hAnsiTheme="minorHAnsi"/>
                <w:sz w:val="20"/>
                <w:szCs w:val="20"/>
              </w:rPr>
              <w:t>Vnitřní zdroje</w:t>
            </w:r>
          </w:p>
        </w:tc>
        <w:tc>
          <w:tcPr>
            <w:tcW w:w="3090" w:type="dxa"/>
          </w:tcPr>
          <w:p w:rsidR="008A5018" w:rsidRPr="002E42C7" w:rsidRDefault="008A5018" w:rsidP="005A46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Zajištění</w:t>
            </w:r>
            <w:r w:rsidRPr="003F6DE5">
              <w:rPr>
                <w:rFonts w:asciiTheme="minorHAnsi" w:hAnsiTheme="minorHAnsi"/>
                <w:sz w:val="20"/>
                <w:szCs w:val="20"/>
              </w:rPr>
              <w:t xml:space="preserve"> komplexní</w:t>
            </w:r>
            <w:r>
              <w:rPr>
                <w:rFonts w:asciiTheme="minorHAnsi" w:hAnsiTheme="minorHAnsi"/>
                <w:sz w:val="20"/>
                <w:szCs w:val="20"/>
              </w:rPr>
              <w:t>ch informací</w:t>
            </w:r>
            <w:r w:rsidRPr="003F6DE5">
              <w:rPr>
                <w:rFonts w:asciiTheme="minorHAnsi" w:hAnsiTheme="minorHAnsi"/>
                <w:sz w:val="20"/>
                <w:szCs w:val="20"/>
              </w:rPr>
              <w:t xml:space="preserve"> pro MSP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A4666">
              <w:rPr>
                <w:rFonts w:asciiTheme="minorHAnsi" w:hAnsiTheme="minorHAnsi"/>
                <w:sz w:val="20"/>
                <w:szCs w:val="20"/>
              </w:rPr>
              <w:t>na portálech</w:t>
            </w:r>
            <w:r w:rsidRPr="003F6DE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Pr="003F6DE5">
              <w:rPr>
                <w:rFonts w:asciiTheme="minorHAnsi" w:hAnsiTheme="minorHAnsi"/>
                <w:sz w:val="20"/>
                <w:szCs w:val="20"/>
              </w:rPr>
              <w:t xml:space="preserve">ww.BusinessInfo.cz </w:t>
            </w:r>
            <w:r w:rsidR="005A4666">
              <w:rPr>
                <w:rFonts w:asciiTheme="minorHAnsi" w:hAnsiTheme="minorHAnsi"/>
                <w:sz w:val="20"/>
                <w:szCs w:val="20"/>
              </w:rPr>
              <w:t>a www.mpo.cz.</w:t>
            </w:r>
          </w:p>
        </w:tc>
      </w:tr>
    </w:tbl>
    <w:p w:rsidR="00CE4791" w:rsidRDefault="00CE4791" w:rsidP="00AA1768"/>
    <w:p w:rsidR="00530CF4" w:rsidRPr="00AA1768" w:rsidRDefault="00530CF4" w:rsidP="00AA1768"/>
    <w:p w:rsidR="00663A94" w:rsidRDefault="00995926" w:rsidP="00663A94">
      <w:pPr>
        <w:pStyle w:val="Nadpis2"/>
        <w:numPr>
          <w:ilvl w:val="1"/>
          <w:numId w:val="17"/>
        </w:numPr>
      </w:pPr>
      <w:bookmarkStart w:id="9" w:name="_Toc433272197"/>
      <w:r>
        <w:t>Přístup k</w:t>
      </w:r>
      <w:r w:rsidR="00B30FF3">
        <w:t> </w:t>
      </w:r>
      <w:r>
        <w:t>financím</w:t>
      </w:r>
      <w:bookmarkEnd w:id="9"/>
    </w:p>
    <w:p w:rsidR="00B30FF3" w:rsidRPr="00B30FF3" w:rsidRDefault="00B30FF3" w:rsidP="00B30FF3"/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850"/>
        <w:gridCol w:w="1276"/>
        <w:gridCol w:w="1134"/>
        <w:gridCol w:w="1276"/>
        <w:gridCol w:w="3118"/>
      </w:tblGrid>
      <w:tr w:rsidR="00592FD0" w:rsidRPr="009C1CB4" w:rsidTr="0062517E">
        <w:tc>
          <w:tcPr>
            <w:tcW w:w="2269" w:type="dxa"/>
            <w:shd w:val="clear" w:color="auto" w:fill="E36C0A"/>
          </w:tcPr>
          <w:p w:rsidR="00592FD0" w:rsidRPr="009C1CB4" w:rsidRDefault="00592FD0" w:rsidP="008E2D37">
            <w:pPr>
              <w:spacing w:after="0"/>
              <w:rPr>
                <w:b/>
                <w:sz w:val="20"/>
                <w:szCs w:val="20"/>
              </w:rPr>
            </w:pPr>
            <w:r>
              <w:br w:type="page"/>
            </w:r>
            <w:r>
              <w:rPr>
                <w:b/>
                <w:sz w:val="20"/>
                <w:szCs w:val="20"/>
              </w:rPr>
              <w:t>Aktivita/</w:t>
            </w:r>
            <w:r w:rsidRPr="009C1CB4">
              <w:rPr>
                <w:b/>
                <w:sz w:val="20"/>
                <w:szCs w:val="20"/>
              </w:rPr>
              <w:t xml:space="preserve"> úkol</w:t>
            </w:r>
          </w:p>
        </w:tc>
        <w:tc>
          <w:tcPr>
            <w:tcW w:w="850" w:type="dxa"/>
            <w:shd w:val="clear" w:color="auto" w:fill="E36C0A"/>
          </w:tcPr>
          <w:p w:rsidR="00592FD0" w:rsidRPr="009C1CB4" w:rsidRDefault="00592FD0" w:rsidP="008E2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Gestor</w:t>
            </w:r>
          </w:p>
        </w:tc>
        <w:tc>
          <w:tcPr>
            <w:tcW w:w="1276" w:type="dxa"/>
            <w:shd w:val="clear" w:color="auto" w:fill="E36C0A"/>
          </w:tcPr>
          <w:p w:rsidR="00592FD0" w:rsidRPr="009C1CB4" w:rsidRDefault="00592FD0" w:rsidP="008E2D37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Spolugestor</w:t>
            </w:r>
            <w:proofErr w:type="spellEnd"/>
          </w:p>
        </w:tc>
        <w:tc>
          <w:tcPr>
            <w:tcW w:w="1134" w:type="dxa"/>
            <w:shd w:val="clear" w:color="auto" w:fill="E36C0A"/>
          </w:tcPr>
          <w:p w:rsidR="00592FD0" w:rsidRPr="009C1CB4" w:rsidRDefault="00592FD0" w:rsidP="008E2D37">
            <w:pPr>
              <w:spacing w:after="0"/>
              <w:rPr>
                <w:b/>
                <w:sz w:val="20"/>
                <w:szCs w:val="20"/>
              </w:rPr>
            </w:pPr>
            <w:r w:rsidRPr="009C1CB4">
              <w:rPr>
                <w:b/>
                <w:sz w:val="20"/>
                <w:szCs w:val="20"/>
              </w:rPr>
              <w:t>Termín</w:t>
            </w:r>
          </w:p>
        </w:tc>
        <w:tc>
          <w:tcPr>
            <w:tcW w:w="1276" w:type="dxa"/>
            <w:shd w:val="clear" w:color="auto" w:fill="E36C0A"/>
          </w:tcPr>
          <w:p w:rsidR="00592FD0" w:rsidRPr="009C1CB4" w:rsidRDefault="00592FD0" w:rsidP="008E2D37">
            <w:pPr>
              <w:spacing w:after="0"/>
              <w:rPr>
                <w:b/>
                <w:sz w:val="20"/>
                <w:szCs w:val="20"/>
              </w:rPr>
            </w:pPr>
            <w:r w:rsidRPr="009C1CB4">
              <w:rPr>
                <w:b/>
                <w:sz w:val="20"/>
                <w:szCs w:val="20"/>
              </w:rPr>
              <w:t>Financování</w:t>
            </w:r>
          </w:p>
        </w:tc>
        <w:tc>
          <w:tcPr>
            <w:tcW w:w="3118" w:type="dxa"/>
            <w:shd w:val="clear" w:color="auto" w:fill="E36C0A"/>
          </w:tcPr>
          <w:p w:rsidR="00592FD0" w:rsidRPr="009C1CB4" w:rsidRDefault="00592FD0" w:rsidP="008E2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Nástroj realizace opatření</w:t>
            </w:r>
          </w:p>
        </w:tc>
      </w:tr>
      <w:tr w:rsidR="00592FD0" w:rsidRPr="00283744" w:rsidTr="0062517E">
        <w:tc>
          <w:tcPr>
            <w:tcW w:w="2269" w:type="dxa"/>
          </w:tcPr>
          <w:p w:rsidR="00592FD0" w:rsidRPr="00406E86" w:rsidRDefault="00592FD0" w:rsidP="00AA1768">
            <w:pPr>
              <w:numPr>
                <w:ilvl w:val="0"/>
                <w:numId w:val="13"/>
              </w:numPr>
              <w:spacing w:after="0"/>
              <w:jc w:val="left"/>
              <w:rPr>
                <w:sz w:val="20"/>
                <w:szCs w:val="20"/>
              </w:rPr>
            </w:pPr>
            <w:r w:rsidRPr="00406E86">
              <w:rPr>
                <w:sz w:val="20"/>
                <w:szCs w:val="20"/>
              </w:rPr>
              <w:t>Posílení role ČMRZB</w:t>
            </w:r>
            <w:r w:rsidR="007B3502">
              <w:rPr>
                <w:sz w:val="20"/>
                <w:szCs w:val="20"/>
              </w:rPr>
              <w:t xml:space="preserve"> a akcelerace národních podpůrných mechanismů</w:t>
            </w:r>
          </w:p>
          <w:p w:rsidR="00592FD0" w:rsidRPr="00017BAC" w:rsidRDefault="00592FD0" w:rsidP="00982421">
            <w:pPr>
              <w:spacing w:after="0"/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92FD0" w:rsidRPr="00017BAC" w:rsidRDefault="00592FD0" w:rsidP="00592FD0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MPO 61000</w:t>
            </w:r>
          </w:p>
        </w:tc>
        <w:tc>
          <w:tcPr>
            <w:tcW w:w="1276" w:type="dxa"/>
          </w:tcPr>
          <w:p w:rsidR="00592FD0" w:rsidRDefault="00592FD0" w:rsidP="008E2D37">
            <w:pPr>
              <w:spacing w:after="0"/>
              <w:rPr>
                <w:sz w:val="20"/>
                <w:szCs w:val="20"/>
              </w:rPr>
            </w:pPr>
            <w:r w:rsidRPr="00592FD0">
              <w:rPr>
                <w:sz w:val="20"/>
                <w:szCs w:val="20"/>
              </w:rPr>
              <w:t>ČMRZB</w:t>
            </w:r>
          </w:p>
        </w:tc>
        <w:tc>
          <w:tcPr>
            <w:tcW w:w="1134" w:type="dxa"/>
          </w:tcPr>
          <w:p w:rsidR="00592FD0" w:rsidRPr="00017BAC" w:rsidRDefault="00592FD0" w:rsidP="008E2D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2FD0" w:rsidRPr="00017BAC" w:rsidRDefault="009560B6" w:rsidP="008E2D3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Státní rozpočet</w:t>
            </w:r>
            <w:r w:rsidR="000A29D0">
              <w:rPr>
                <w:sz w:val="20"/>
                <w:szCs w:val="20"/>
              </w:rPr>
              <w:t xml:space="preserve"> </w:t>
            </w:r>
            <w:r w:rsidR="00F45526">
              <w:rPr>
                <w:sz w:val="20"/>
                <w:szCs w:val="20"/>
              </w:rPr>
              <w:t>(nový nárok)</w:t>
            </w:r>
          </w:p>
        </w:tc>
        <w:tc>
          <w:tcPr>
            <w:tcW w:w="3118" w:type="dxa"/>
          </w:tcPr>
          <w:p w:rsidR="00592FD0" w:rsidRDefault="00592FD0" w:rsidP="00CE47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Uzavření</w:t>
            </w:r>
            <w:r w:rsidR="00CE4791">
              <w:rPr>
                <w:sz w:val="20"/>
                <w:szCs w:val="20"/>
              </w:rPr>
              <w:t xml:space="preserve"> smlouvy mezi</w:t>
            </w:r>
            <w:r>
              <w:rPr>
                <w:sz w:val="20"/>
                <w:szCs w:val="20"/>
              </w:rPr>
              <w:t xml:space="preserve"> ČMRZB</w:t>
            </w:r>
            <w:r w:rsidR="00CE4791">
              <w:rPr>
                <w:sz w:val="20"/>
                <w:szCs w:val="20"/>
              </w:rPr>
              <w:t xml:space="preserve"> a</w:t>
            </w:r>
            <w:r w:rsidRPr="00376BEB">
              <w:rPr>
                <w:sz w:val="20"/>
                <w:szCs w:val="20"/>
              </w:rPr>
              <w:t xml:space="preserve"> Evropským investičním fondem</w:t>
            </w:r>
            <w:r>
              <w:rPr>
                <w:sz w:val="20"/>
                <w:szCs w:val="20"/>
              </w:rPr>
              <w:t xml:space="preserve"> (EIF) o poskytnutí protizáruky – možnost českých podnikatelů</w:t>
            </w:r>
            <w:r w:rsidRPr="00376BEB">
              <w:rPr>
                <w:sz w:val="20"/>
                <w:szCs w:val="20"/>
              </w:rPr>
              <w:t xml:space="preserve"> čerpat úvěry v celkové výši 4,4 </w:t>
            </w:r>
            <w:r w:rsidR="0062517E" w:rsidRPr="0062517E">
              <w:rPr>
                <w:sz w:val="20"/>
                <w:szCs w:val="20"/>
              </w:rPr>
              <w:t>mld. Kč.</w:t>
            </w:r>
          </w:p>
          <w:p w:rsidR="007B3502" w:rsidRPr="00017BAC" w:rsidRDefault="00EA564E" w:rsidP="004C7F3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136B0" w:rsidRPr="004136B0">
              <w:rPr>
                <w:sz w:val="20"/>
                <w:szCs w:val="20"/>
              </w:rPr>
              <w:t>osílení finančních prostředků pro podporu MSP ze státního rozpočtu</w:t>
            </w:r>
            <w:r w:rsidRPr="006C24E1">
              <w:rPr>
                <w:sz w:val="20"/>
                <w:szCs w:val="20"/>
              </w:rPr>
              <w:t xml:space="preserve"> pro rok 2015 – 500 mil. Kč a dle </w:t>
            </w:r>
            <w:r w:rsidRPr="006C24E1">
              <w:rPr>
                <w:sz w:val="20"/>
                <w:szCs w:val="20"/>
              </w:rPr>
              <w:lastRenderedPageBreak/>
              <w:t>posledního návrhu MPO na usnesení vlády pro společný materiál MF a MPO by měla být banka v roce 2016 posílena dalšími 500 mil. Kč</w:t>
            </w:r>
            <w:r w:rsidR="004136B0" w:rsidRPr="004136B0">
              <w:rPr>
                <w:sz w:val="20"/>
                <w:szCs w:val="20"/>
              </w:rPr>
              <w:t xml:space="preserve"> (celkem</w:t>
            </w:r>
            <w:r w:rsidR="00A02D38">
              <w:rPr>
                <w:sz w:val="20"/>
                <w:szCs w:val="20"/>
              </w:rPr>
              <w:t xml:space="preserve"> v dalších letech až</w:t>
            </w:r>
            <w:r w:rsidR="004136B0" w:rsidRPr="004136B0">
              <w:rPr>
                <w:sz w:val="20"/>
                <w:szCs w:val="20"/>
              </w:rPr>
              <w:t xml:space="preserve"> 5 mld. Kč).</w:t>
            </w:r>
            <w:r w:rsidR="004C7F3E">
              <w:rPr>
                <w:sz w:val="20"/>
                <w:szCs w:val="20"/>
              </w:rPr>
              <w:t xml:space="preserve"> </w:t>
            </w:r>
          </w:p>
        </w:tc>
      </w:tr>
      <w:tr w:rsidR="00592FD0" w:rsidRPr="00283744" w:rsidTr="0062517E">
        <w:tc>
          <w:tcPr>
            <w:tcW w:w="2269" w:type="dxa"/>
          </w:tcPr>
          <w:p w:rsidR="00592FD0" w:rsidRDefault="00592FD0" w:rsidP="00E608DD">
            <w:pPr>
              <w:numPr>
                <w:ilvl w:val="0"/>
                <w:numId w:val="13"/>
              </w:numPr>
              <w:spacing w:after="0"/>
              <w:jc w:val="left"/>
              <w:rPr>
                <w:sz w:val="20"/>
                <w:szCs w:val="20"/>
              </w:rPr>
            </w:pPr>
            <w:r w:rsidRPr="000231B0">
              <w:rPr>
                <w:sz w:val="20"/>
                <w:szCs w:val="20"/>
              </w:rPr>
              <w:lastRenderedPageBreak/>
              <w:t>Příprava výzev programů poskytujících zvýhodněné úvěry a zvýhodněné záruky za úvěry p</w:t>
            </w:r>
            <w:r>
              <w:rPr>
                <w:sz w:val="20"/>
                <w:szCs w:val="20"/>
              </w:rPr>
              <w:t xml:space="preserve">ro MSP </w:t>
            </w:r>
          </w:p>
        </w:tc>
        <w:tc>
          <w:tcPr>
            <w:tcW w:w="850" w:type="dxa"/>
          </w:tcPr>
          <w:p w:rsidR="00592FD0" w:rsidRDefault="00592FD0" w:rsidP="00592FD0">
            <w:pPr>
              <w:spacing w:after="0"/>
              <w:jc w:val="left"/>
              <w:rPr>
                <w:sz w:val="20"/>
                <w:szCs w:val="20"/>
              </w:rPr>
            </w:pPr>
            <w:r w:rsidRPr="000231B0">
              <w:rPr>
                <w:sz w:val="20"/>
                <w:szCs w:val="20"/>
              </w:rPr>
              <w:t>MPO 61</w:t>
            </w:r>
            <w:r w:rsidR="00E46FFF">
              <w:rPr>
                <w:sz w:val="20"/>
                <w:szCs w:val="20"/>
              </w:rPr>
              <w:t>0</w:t>
            </w:r>
            <w:r w:rsidRPr="000231B0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592FD0" w:rsidRPr="000231B0" w:rsidRDefault="00592FD0" w:rsidP="008E2D37">
            <w:pPr>
              <w:spacing w:after="0"/>
              <w:rPr>
                <w:sz w:val="20"/>
                <w:szCs w:val="20"/>
              </w:rPr>
            </w:pPr>
            <w:r w:rsidRPr="00592FD0">
              <w:rPr>
                <w:sz w:val="20"/>
                <w:szCs w:val="20"/>
              </w:rPr>
              <w:t>ČMZRB</w:t>
            </w:r>
          </w:p>
        </w:tc>
        <w:tc>
          <w:tcPr>
            <w:tcW w:w="1134" w:type="dxa"/>
          </w:tcPr>
          <w:p w:rsidR="00592FD0" w:rsidRDefault="00592FD0" w:rsidP="008E2D37">
            <w:pPr>
              <w:spacing w:after="0"/>
              <w:rPr>
                <w:sz w:val="20"/>
                <w:szCs w:val="20"/>
              </w:rPr>
            </w:pPr>
            <w:r w:rsidRPr="000231B0">
              <w:rPr>
                <w:sz w:val="20"/>
                <w:szCs w:val="20"/>
              </w:rPr>
              <w:t>Dle harmonogramu přípravy OP PIK</w:t>
            </w:r>
          </w:p>
        </w:tc>
        <w:tc>
          <w:tcPr>
            <w:tcW w:w="1276" w:type="dxa"/>
          </w:tcPr>
          <w:p w:rsidR="00592FD0" w:rsidRPr="00283744" w:rsidRDefault="00592FD0" w:rsidP="008E2D37">
            <w:pPr>
              <w:spacing w:after="0"/>
              <w:jc w:val="left"/>
              <w:rPr>
                <w:sz w:val="20"/>
                <w:szCs w:val="20"/>
                <w:highlight w:val="yellow"/>
              </w:rPr>
            </w:pPr>
            <w:r w:rsidRPr="000231B0">
              <w:rPr>
                <w:sz w:val="20"/>
                <w:szCs w:val="20"/>
              </w:rPr>
              <w:t>PO2 OPPIK</w:t>
            </w:r>
          </w:p>
        </w:tc>
        <w:tc>
          <w:tcPr>
            <w:tcW w:w="3118" w:type="dxa"/>
          </w:tcPr>
          <w:p w:rsidR="00592FD0" w:rsidRPr="00781CFB" w:rsidRDefault="009560B6" w:rsidP="009560B6">
            <w:pPr>
              <w:spacing w:after="0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Vyhlášení výzvy p</w:t>
            </w:r>
            <w:r w:rsidR="00592FD0" w:rsidRPr="00E608DD">
              <w:rPr>
                <w:sz w:val="20"/>
                <w:szCs w:val="20"/>
              </w:rPr>
              <w:t>rogram</w:t>
            </w:r>
            <w:r>
              <w:rPr>
                <w:sz w:val="20"/>
                <w:szCs w:val="20"/>
              </w:rPr>
              <w:t>u</w:t>
            </w:r>
            <w:r w:rsidR="00592FD0" w:rsidRPr="00E608DD">
              <w:rPr>
                <w:sz w:val="20"/>
                <w:szCs w:val="20"/>
              </w:rPr>
              <w:t xml:space="preserve"> EXPANZE v rámci PO2 - Formou poskytnutí zvýhodněného úvěru s možností odkladu splátek jistiny, záruky za úvěr a finančního příspěvku na úhradu úroků MSP.</w:t>
            </w:r>
          </w:p>
        </w:tc>
      </w:tr>
      <w:tr w:rsidR="00592FD0" w:rsidRPr="00283744" w:rsidTr="0062517E">
        <w:tc>
          <w:tcPr>
            <w:tcW w:w="2269" w:type="dxa"/>
          </w:tcPr>
          <w:p w:rsidR="00592FD0" w:rsidRDefault="00592FD0" w:rsidP="007B3502">
            <w:pPr>
              <w:numPr>
                <w:ilvl w:val="0"/>
                <w:numId w:val="13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35ABD">
              <w:rPr>
                <w:sz w:val="20"/>
                <w:szCs w:val="20"/>
              </w:rPr>
              <w:t xml:space="preserve">odpora </w:t>
            </w:r>
            <w:r w:rsidR="000754AE">
              <w:rPr>
                <w:sz w:val="20"/>
                <w:szCs w:val="20"/>
              </w:rPr>
              <w:t>inovačních</w:t>
            </w:r>
            <w:r w:rsidR="007B3502" w:rsidRPr="00A35ABD">
              <w:rPr>
                <w:sz w:val="20"/>
                <w:szCs w:val="20"/>
              </w:rPr>
              <w:t xml:space="preserve"> </w:t>
            </w:r>
            <w:r w:rsidRPr="00A35ABD">
              <w:rPr>
                <w:sz w:val="20"/>
                <w:szCs w:val="20"/>
              </w:rPr>
              <w:t>projektů MSP prostřednictvím rizikového kapitálu</w:t>
            </w:r>
          </w:p>
        </w:tc>
        <w:tc>
          <w:tcPr>
            <w:tcW w:w="850" w:type="dxa"/>
          </w:tcPr>
          <w:p w:rsidR="00592FD0" w:rsidRDefault="00592FD0" w:rsidP="008E2D37">
            <w:pPr>
              <w:spacing w:after="0"/>
              <w:jc w:val="left"/>
              <w:rPr>
                <w:sz w:val="20"/>
                <w:szCs w:val="20"/>
              </w:rPr>
            </w:pPr>
            <w:r w:rsidRPr="00A35ABD">
              <w:rPr>
                <w:sz w:val="20"/>
                <w:szCs w:val="20"/>
              </w:rPr>
              <w:t>MPO 61</w:t>
            </w:r>
            <w:r w:rsidR="00E46FFF">
              <w:rPr>
                <w:sz w:val="20"/>
                <w:szCs w:val="20"/>
              </w:rPr>
              <w:t>0</w:t>
            </w:r>
            <w:r w:rsidRPr="00A35ABD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592FD0" w:rsidRPr="00A35ABD" w:rsidRDefault="00592FD0" w:rsidP="008E2D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2FD0" w:rsidRDefault="00592FD0" w:rsidP="008E2D37">
            <w:pPr>
              <w:spacing w:after="0"/>
              <w:rPr>
                <w:sz w:val="20"/>
                <w:szCs w:val="20"/>
              </w:rPr>
            </w:pPr>
            <w:r w:rsidRPr="00A35ABD">
              <w:rPr>
                <w:sz w:val="20"/>
                <w:szCs w:val="20"/>
              </w:rPr>
              <w:t>Dle harmonogramu přípravy OP PIK</w:t>
            </w:r>
          </w:p>
        </w:tc>
        <w:tc>
          <w:tcPr>
            <w:tcW w:w="1276" w:type="dxa"/>
          </w:tcPr>
          <w:p w:rsidR="00592FD0" w:rsidRPr="00A35ABD" w:rsidRDefault="00592FD0" w:rsidP="008E2D37">
            <w:pPr>
              <w:rPr>
                <w:sz w:val="20"/>
                <w:szCs w:val="20"/>
                <w:highlight w:val="yellow"/>
              </w:rPr>
            </w:pPr>
            <w:r w:rsidRPr="00A35ABD">
              <w:rPr>
                <w:sz w:val="20"/>
                <w:szCs w:val="20"/>
              </w:rPr>
              <w:t>PO2 OPPIK</w:t>
            </w:r>
          </w:p>
        </w:tc>
        <w:tc>
          <w:tcPr>
            <w:tcW w:w="3118" w:type="dxa"/>
          </w:tcPr>
          <w:p w:rsidR="00592FD0" w:rsidRPr="00781CFB" w:rsidRDefault="009560B6" w:rsidP="009560B6">
            <w:pPr>
              <w:spacing w:after="0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Vyhlášení výzvy p</w:t>
            </w:r>
            <w:r w:rsidR="00592FD0" w:rsidRPr="00A72770">
              <w:rPr>
                <w:sz w:val="20"/>
                <w:szCs w:val="20"/>
              </w:rPr>
              <w:t>rogram</w:t>
            </w:r>
            <w:r>
              <w:rPr>
                <w:sz w:val="20"/>
                <w:szCs w:val="20"/>
              </w:rPr>
              <w:t>u</w:t>
            </w:r>
            <w:r w:rsidR="00592FD0" w:rsidRPr="00A72770">
              <w:rPr>
                <w:sz w:val="20"/>
                <w:szCs w:val="20"/>
              </w:rPr>
              <w:t xml:space="preserve"> Rizikový kapitál v rámci PO2 - Formou poskytování rizikového kapitálu zlepšit přístup MSP k financování.</w:t>
            </w:r>
          </w:p>
        </w:tc>
      </w:tr>
      <w:tr w:rsidR="00592FD0" w:rsidRPr="00283744" w:rsidTr="0062517E">
        <w:trPr>
          <w:trHeight w:val="708"/>
        </w:trPr>
        <w:tc>
          <w:tcPr>
            <w:tcW w:w="2269" w:type="dxa"/>
          </w:tcPr>
          <w:p w:rsidR="00592FD0" w:rsidRPr="00B120D6" w:rsidRDefault="00A47BE0" w:rsidP="00A47BE0">
            <w:pPr>
              <w:pStyle w:val="Odstavecseseznamem"/>
              <w:numPr>
                <w:ilvl w:val="0"/>
                <w:numId w:val="1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92FD0">
              <w:rPr>
                <w:sz w:val="20"/>
                <w:szCs w:val="20"/>
              </w:rPr>
              <w:t>odpor</w:t>
            </w:r>
            <w:r>
              <w:rPr>
                <w:sz w:val="20"/>
                <w:szCs w:val="20"/>
              </w:rPr>
              <w:t>a</w:t>
            </w:r>
            <w:r w:rsidR="00592FD0">
              <w:rPr>
                <w:sz w:val="20"/>
                <w:szCs w:val="20"/>
              </w:rPr>
              <w:t xml:space="preserve"> </w:t>
            </w:r>
            <w:r w:rsidR="00592FD0" w:rsidRPr="007F6762">
              <w:rPr>
                <w:sz w:val="20"/>
                <w:szCs w:val="20"/>
              </w:rPr>
              <w:t xml:space="preserve">zvyšování počtu realizovaných nových podnikatelských záměrů začínajících </w:t>
            </w:r>
            <w:r w:rsidR="00592FD0">
              <w:rPr>
                <w:sz w:val="20"/>
                <w:szCs w:val="20"/>
              </w:rPr>
              <w:t>MSP</w:t>
            </w:r>
            <w:r w:rsidR="00592FD0" w:rsidRPr="007F6762">
              <w:rPr>
                <w:sz w:val="20"/>
                <w:szCs w:val="20"/>
              </w:rPr>
              <w:t xml:space="preserve"> v hospodářsky problémových regionech, přispívajících rozvoji těchto re</w:t>
            </w:r>
            <w:r w:rsidR="00592FD0">
              <w:rPr>
                <w:sz w:val="20"/>
                <w:szCs w:val="20"/>
              </w:rPr>
              <w:t>gionů a zvyšování zaměstnanosti</w:t>
            </w:r>
          </w:p>
        </w:tc>
        <w:tc>
          <w:tcPr>
            <w:tcW w:w="850" w:type="dxa"/>
          </w:tcPr>
          <w:p w:rsidR="00592FD0" w:rsidRPr="002F45DB" w:rsidRDefault="00B120D6" w:rsidP="008E2D3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MPO 61000</w:t>
            </w:r>
          </w:p>
        </w:tc>
        <w:tc>
          <w:tcPr>
            <w:tcW w:w="1276" w:type="dxa"/>
          </w:tcPr>
          <w:p w:rsidR="00592FD0" w:rsidRPr="00DE2827" w:rsidRDefault="00841EA8" w:rsidP="008E2D37">
            <w:pPr>
              <w:spacing w:after="0"/>
              <w:rPr>
                <w:sz w:val="20"/>
                <w:szCs w:val="20"/>
              </w:rPr>
            </w:pPr>
            <w:proofErr w:type="spellStart"/>
            <w:r w:rsidRPr="00010B84">
              <w:rPr>
                <w:sz w:val="20"/>
                <w:szCs w:val="20"/>
              </w:rPr>
              <w:t>CzechInvest</w:t>
            </w:r>
            <w:proofErr w:type="spellEnd"/>
            <w:r w:rsidRPr="00010B84">
              <w:rPr>
                <w:sz w:val="20"/>
                <w:szCs w:val="20"/>
              </w:rPr>
              <w:t xml:space="preserve"> (příp. API)</w:t>
            </w:r>
          </w:p>
        </w:tc>
        <w:tc>
          <w:tcPr>
            <w:tcW w:w="1134" w:type="dxa"/>
          </w:tcPr>
          <w:p w:rsidR="00592FD0" w:rsidRDefault="00592FD0" w:rsidP="008E2D37">
            <w:pPr>
              <w:spacing w:after="0"/>
              <w:rPr>
                <w:sz w:val="20"/>
                <w:szCs w:val="20"/>
              </w:rPr>
            </w:pPr>
            <w:r w:rsidRPr="00DE2827">
              <w:rPr>
                <w:sz w:val="20"/>
                <w:szCs w:val="20"/>
              </w:rPr>
              <w:t>Dle harmonogramu přípravy OP PIK</w:t>
            </w:r>
          </w:p>
        </w:tc>
        <w:tc>
          <w:tcPr>
            <w:tcW w:w="1276" w:type="dxa"/>
          </w:tcPr>
          <w:p w:rsidR="00592FD0" w:rsidRDefault="00592FD0" w:rsidP="008E2D37">
            <w:pPr>
              <w:spacing w:after="0"/>
              <w:jc w:val="left"/>
              <w:rPr>
                <w:sz w:val="20"/>
                <w:szCs w:val="20"/>
              </w:rPr>
            </w:pPr>
            <w:r w:rsidRPr="00DE2827">
              <w:rPr>
                <w:sz w:val="20"/>
                <w:szCs w:val="20"/>
              </w:rPr>
              <w:t xml:space="preserve">PO2 </w:t>
            </w:r>
            <w:r w:rsidR="00F504BE" w:rsidRPr="00F504BE">
              <w:rPr>
                <w:sz w:val="20"/>
                <w:szCs w:val="20"/>
              </w:rPr>
              <w:t>OP PIK</w:t>
            </w:r>
          </w:p>
        </w:tc>
        <w:tc>
          <w:tcPr>
            <w:tcW w:w="3118" w:type="dxa"/>
          </w:tcPr>
          <w:p w:rsidR="00592FD0" w:rsidRDefault="00A47BE0" w:rsidP="00A47BE0">
            <w:pPr>
              <w:spacing w:after="0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Vyhlášení výzvy p</w:t>
            </w:r>
            <w:r w:rsidR="00592FD0">
              <w:rPr>
                <w:sz w:val="20"/>
                <w:szCs w:val="20"/>
              </w:rPr>
              <w:t>rogram</w:t>
            </w:r>
            <w:r>
              <w:rPr>
                <w:sz w:val="20"/>
                <w:szCs w:val="20"/>
              </w:rPr>
              <w:t>u</w:t>
            </w:r>
            <w:r w:rsidR="00592FD0">
              <w:rPr>
                <w:sz w:val="20"/>
                <w:szCs w:val="20"/>
              </w:rPr>
              <w:t xml:space="preserve"> Technologie - </w:t>
            </w:r>
            <w:r w:rsidR="00592FD0" w:rsidRPr="00DE2827">
              <w:rPr>
                <w:sz w:val="20"/>
                <w:szCs w:val="20"/>
              </w:rPr>
              <w:t>Podporována bude podnikatelská činnost vymezená seznamem podporovaných ekono</w:t>
            </w:r>
            <w:r w:rsidR="00592FD0">
              <w:rPr>
                <w:sz w:val="20"/>
                <w:szCs w:val="20"/>
              </w:rPr>
              <w:t>mických činností podle CZ-NACE</w:t>
            </w:r>
            <w:r w:rsidR="00562D37">
              <w:rPr>
                <w:sz w:val="20"/>
                <w:szCs w:val="20"/>
              </w:rPr>
              <w:t>.</w:t>
            </w:r>
          </w:p>
        </w:tc>
      </w:tr>
      <w:tr w:rsidR="00592FD0" w:rsidRPr="00283744" w:rsidTr="0062517E">
        <w:trPr>
          <w:trHeight w:val="1546"/>
        </w:trPr>
        <w:tc>
          <w:tcPr>
            <w:tcW w:w="2269" w:type="dxa"/>
          </w:tcPr>
          <w:p w:rsidR="00592FD0" w:rsidRDefault="007B3502" w:rsidP="00835A4E">
            <w:pPr>
              <w:pStyle w:val="Odstavecseseznamem"/>
              <w:numPr>
                <w:ilvl w:val="0"/>
                <w:numId w:val="1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Příprava nového implementačního mechanismu pro realizaci finančních nástrojů</w:t>
            </w:r>
          </w:p>
        </w:tc>
        <w:tc>
          <w:tcPr>
            <w:tcW w:w="850" w:type="dxa"/>
          </w:tcPr>
          <w:p w:rsidR="00592FD0" w:rsidRPr="002F45DB" w:rsidRDefault="008B466F" w:rsidP="008B466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MPO 61000</w:t>
            </w:r>
          </w:p>
        </w:tc>
        <w:tc>
          <w:tcPr>
            <w:tcW w:w="1276" w:type="dxa"/>
          </w:tcPr>
          <w:p w:rsidR="00592FD0" w:rsidRDefault="00592FD0" w:rsidP="00BF6B1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2FD0" w:rsidRDefault="00936E28" w:rsidP="00BF6B1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92FD0">
              <w:rPr>
                <w:sz w:val="20"/>
                <w:szCs w:val="20"/>
              </w:rPr>
              <w:t>růběžně</w:t>
            </w:r>
          </w:p>
        </w:tc>
        <w:tc>
          <w:tcPr>
            <w:tcW w:w="1276" w:type="dxa"/>
          </w:tcPr>
          <w:p w:rsidR="00592FD0" w:rsidRDefault="00F504BE" w:rsidP="00BF6B19">
            <w:pPr>
              <w:spacing w:after="0"/>
              <w:jc w:val="left"/>
              <w:rPr>
                <w:sz w:val="20"/>
                <w:szCs w:val="20"/>
              </w:rPr>
            </w:pPr>
            <w:r w:rsidRPr="00F504BE">
              <w:rPr>
                <w:sz w:val="20"/>
                <w:szCs w:val="20"/>
              </w:rPr>
              <w:t>OP PIK</w:t>
            </w:r>
            <w:r w:rsidR="00964618">
              <w:rPr>
                <w:sz w:val="20"/>
                <w:szCs w:val="20"/>
              </w:rPr>
              <w:t xml:space="preserve">, </w:t>
            </w:r>
            <w:r w:rsidR="00E46FFF">
              <w:rPr>
                <w:sz w:val="20"/>
                <w:szCs w:val="20"/>
              </w:rPr>
              <w:t xml:space="preserve">rozpočet </w:t>
            </w:r>
            <w:r w:rsidR="00964618">
              <w:rPr>
                <w:sz w:val="20"/>
                <w:szCs w:val="20"/>
              </w:rPr>
              <w:t>MPO</w:t>
            </w:r>
          </w:p>
        </w:tc>
        <w:tc>
          <w:tcPr>
            <w:tcW w:w="3118" w:type="dxa"/>
          </w:tcPr>
          <w:p w:rsidR="00592FD0" w:rsidRDefault="00592FD0" w:rsidP="00835A4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Národní inovační fond (NIF) - </w:t>
            </w:r>
            <w:r w:rsidRPr="006B49A1">
              <w:rPr>
                <w:sz w:val="20"/>
                <w:szCs w:val="20"/>
              </w:rPr>
              <w:t xml:space="preserve">Účinnější využívání alternativních forem financování rozvoje </w:t>
            </w:r>
            <w:r>
              <w:rPr>
                <w:sz w:val="20"/>
                <w:szCs w:val="20"/>
              </w:rPr>
              <w:t>MSP</w:t>
            </w:r>
            <w:r w:rsidRPr="006B49A1">
              <w:rPr>
                <w:sz w:val="20"/>
                <w:szCs w:val="20"/>
              </w:rPr>
              <w:t xml:space="preserve"> a rozvoj nových návratných forem podpory podnikání za účasti soukromého sektoru</w:t>
            </w:r>
            <w:r w:rsidR="00562D37">
              <w:rPr>
                <w:sz w:val="20"/>
                <w:szCs w:val="20"/>
              </w:rPr>
              <w:t>.</w:t>
            </w:r>
          </w:p>
        </w:tc>
      </w:tr>
    </w:tbl>
    <w:p w:rsidR="00474606" w:rsidRDefault="00474606" w:rsidP="00AA1768"/>
    <w:p w:rsidR="00474606" w:rsidRPr="00AA1768" w:rsidRDefault="00474606" w:rsidP="00AA1768"/>
    <w:p w:rsidR="0018688A" w:rsidRDefault="00663A94" w:rsidP="0018688A">
      <w:pPr>
        <w:pStyle w:val="Nadpis2"/>
        <w:numPr>
          <w:ilvl w:val="1"/>
          <w:numId w:val="17"/>
        </w:numPr>
      </w:pPr>
      <w:bookmarkStart w:id="10" w:name="_Toc433272198"/>
      <w:r>
        <w:t>Internacionalizace podnikání MSP</w:t>
      </w:r>
      <w:bookmarkEnd w:id="10"/>
      <w:r w:rsidR="0018688A" w:rsidRPr="0018688A">
        <w:t xml:space="preserve"> </w:t>
      </w:r>
    </w:p>
    <w:p w:rsidR="00123AFE" w:rsidRDefault="00123AFE" w:rsidP="00123AFE"/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850"/>
        <w:gridCol w:w="1276"/>
        <w:gridCol w:w="1134"/>
        <w:gridCol w:w="1276"/>
        <w:gridCol w:w="3118"/>
      </w:tblGrid>
      <w:tr w:rsidR="008B466F" w:rsidRPr="009C1CB4" w:rsidTr="0032299A">
        <w:tc>
          <w:tcPr>
            <w:tcW w:w="2269" w:type="dxa"/>
            <w:shd w:val="clear" w:color="auto" w:fill="E36C0A"/>
          </w:tcPr>
          <w:p w:rsidR="008B466F" w:rsidRPr="009C1CB4" w:rsidRDefault="008B466F" w:rsidP="008E2D37">
            <w:pPr>
              <w:spacing w:after="0"/>
              <w:rPr>
                <w:b/>
                <w:sz w:val="20"/>
                <w:szCs w:val="20"/>
              </w:rPr>
            </w:pPr>
            <w:r>
              <w:br w:type="page"/>
            </w:r>
            <w:r>
              <w:rPr>
                <w:b/>
                <w:sz w:val="20"/>
                <w:szCs w:val="20"/>
              </w:rPr>
              <w:t>Aktivita/</w:t>
            </w:r>
            <w:r w:rsidRPr="009C1CB4">
              <w:rPr>
                <w:b/>
                <w:sz w:val="20"/>
                <w:szCs w:val="20"/>
              </w:rPr>
              <w:t xml:space="preserve"> úkol</w:t>
            </w:r>
          </w:p>
        </w:tc>
        <w:tc>
          <w:tcPr>
            <w:tcW w:w="850" w:type="dxa"/>
            <w:shd w:val="clear" w:color="auto" w:fill="E36C0A"/>
          </w:tcPr>
          <w:p w:rsidR="008B466F" w:rsidRDefault="008B466F" w:rsidP="008E2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Gestor</w:t>
            </w:r>
          </w:p>
        </w:tc>
        <w:tc>
          <w:tcPr>
            <w:tcW w:w="1276" w:type="dxa"/>
            <w:shd w:val="clear" w:color="auto" w:fill="E36C0A"/>
          </w:tcPr>
          <w:p w:rsidR="008B466F" w:rsidRPr="009C1CB4" w:rsidRDefault="008B466F" w:rsidP="008E2D37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Spolugestor</w:t>
            </w:r>
            <w:proofErr w:type="spellEnd"/>
          </w:p>
        </w:tc>
        <w:tc>
          <w:tcPr>
            <w:tcW w:w="1134" w:type="dxa"/>
            <w:shd w:val="clear" w:color="auto" w:fill="E36C0A"/>
          </w:tcPr>
          <w:p w:rsidR="008B466F" w:rsidRPr="009C1CB4" w:rsidRDefault="008B466F" w:rsidP="008E2D37">
            <w:pPr>
              <w:spacing w:after="0"/>
              <w:rPr>
                <w:b/>
                <w:sz w:val="20"/>
                <w:szCs w:val="20"/>
              </w:rPr>
            </w:pPr>
            <w:r w:rsidRPr="009C1CB4">
              <w:rPr>
                <w:b/>
                <w:sz w:val="20"/>
                <w:szCs w:val="20"/>
              </w:rPr>
              <w:t>Termín</w:t>
            </w:r>
          </w:p>
        </w:tc>
        <w:tc>
          <w:tcPr>
            <w:tcW w:w="1276" w:type="dxa"/>
            <w:shd w:val="clear" w:color="auto" w:fill="E36C0A"/>
          </w:tcPr>
          <w:p w:rsidR="008B466F" w:rsidRPr="009C1CB4" w:rsidRDefault="008B466F" w:rsidP="008E2D37">
            <w:pPr>
              <w:spacing w:after="0"/>
              <w:rPr>
                <w:b/>
                <w:sz w:val="20"/>
                <w:szCs w:val="20"/>
              </w:rPr>
            </w:pPr>
            <w:r w:rsidRPr="009C1CB4">
              <w:rPr>
                <w:b/>
                <w:sz w:val="20"/>
                <w:szCs w:val="20"/>
              </w:rPr>
              <w:t>Financování</w:t>
            </w:r>
          </w:p>
        </w:tc>
        <w:tc>
          <w:tcPr>
            <w:tcW w:w="3118" w:type="dxa"/>
            <w:shd w:val="clear" w:color="auto" w:fill="E36C0A"/>
          </w:tcPr>
          <w:p w:rsidR="008B466F" w:rsidRPr="009C1CB4" w:rsidRDefault="008B466F" w:rsidP="008E2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Nástroj realizace opatření</w:t>
            </w:r>
          </w:p>
        </w:tc>
      </w:tr>
      <w:tr w:rsidR="008B466F" w:rsidRPr="00283744" w:rsidTr="0032299A">
        <w:tc>
          <w:tcPr>
            <w:tcW w:w="2269" w:type="dxa"/>
          </w:tcPr>
          <w:p w:rsidR="008B466F" w:rsidRPr="00A35ABD" w:rsidRDefault="008B466F" w:rsidP="003B424E">
            <w:pPr>
              <w:numPr>
                <w:ilvl w:val="0"/>
                <w:numId w:val="13"/>
              </w:numPr>
              <w:spacing w:after="0"/>
              <w:jc w:val="left"/>
              <w:rPr>
                <w:sz w:val="20"/>
                <w:szCs w:val="20"/>
              </w:rPr>
            </w:pPr>
            <w:r w:rsidRPr="009123D2">
              <w:rPr>
                <w:sz w:val="20"/>
                <w:szCs w:val="20"/>
              </w:rPr>
              <w:t>Podpora internacionalizace MSP jejich zapojováním do mezinárodních programů, jako např. v oblasti výzkumné spolupráce (Horizont 2020, COSME</w:t>
            </w:r>
            <w:r w:rsidR="00481A4B">
              <w:rPr>
                <w:sz w:val="20"/>
                <w:szCs w:val="20"/>
              </w:rPr>
              <w:t xml:space="preserve">, </w:t>
            </w:r>
            <w:proofErr w:type="spellStart"/>
            <w:r w:rsidR="00481A4B">
              <w:rPr>
                <w:sz w:val="20"/>
                <w:szCs w:val="20"/>
              </w:rPr>
              <w:t>BISONet</w:t>
            </w:r>
            <w:proofErr w:type="spellEnd"/>
            <w:r w:rsidR="00481A4B">
              <w:rPr>
                <w:sz w:val="20"/>
                <w:szCs w:val="20"/>
              </w:rPr>
              <w:t xml:space="preserve"> Plus</w:t>
            </w:r>
            <w:r w:rsidRPr="009123D2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8B466F" w:rsidRPr="009123D2" w:rsidRDefault="008B466F" w:rsidP="008E2D3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MPO 61</w:t>
            </w:r>
            <w:r w:rsidR="00E46FF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8B466F" w:rsidRDefault="008B466F" w:rsidP="008E2D3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MPO </w:t>
            </w:r>
            <w:r w:rsidR="00F45526">
              <w:rPr>
                <w:sz w:val="20"/>
                <w:szCs w:val="20"/>
              </w:rPr>
              <w:t>610</w:t>
            </w:r>
            <w:r w:rsidRPr="009123D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 EEN</w:t>
            </w:r>
          </w:p>
        </w:tc>
        <w:tc>
          <w:tcPr>
            <w:tcW w:w="1134" w:type="dxa"/>
          </w:tcPr>
          <w:p w:rsidR="008B466F" w:rsidRDefault="001A5617" w:rsidP="002807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  <w:r w:rsidR="002807B8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8B466F" w:rsidRPr="00283744" w:rsidRDefault="00F45526" w:rsidP="007B3502">
            <w:pPr>
              <w:spacing w:after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R</w:t>
            </w:r>
            <w:r w:rsidR="005B1460">
              <w:rPr>
                <w:sz w:val="20"/>
                <w:szCs w:val="20"/>
              </w:rPr>
              <w:t>ozpočet</w:t>
            </w:r>
            <w:r>
              <w:rPr>
                <w:sz w:val="20"/>
                <w:szCs w:val="20"/>
              </w:rPr>
              <w:t xml:space="preserve"> MPO</w:t>
            </w:r>
            <w:r w:rsidR="000A29D0">
              <w:rPr>
                <w:sz w:val="20"/>
                <w:szCs w:val="20"/>
              </w:rPr>
              <w:t>, Evropská komise</w:t>
            </w:r>
          </w:p>
        </w:tc>
        <w:tc>
          <w:tcPr>
            <w:tcW w:w="3118" w:type="dxa"/>
          </w:tcPr>
          <w:p w:rsidR="008B466F" w:rsidRDefault="002807B8" w:rsidP="008E2D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MPO bude </w:t>
            </w:r>
            <w:r w:rsidR="005B1460">
              <w:rPr>
                <w:sz w:val="20"/>
                <w:szCs w:val="20"/>
              </w:rPr>
              <w:t xml:space="preserve">finančně </w:t>
            </w:r>
            <w:r>
              <w:rPr>
                <w:sz w:val="20"/>
                <w:szCs w:val="20"/>
              </w:rPr>
              <w:t>podporovat rozvoj</w:t>
            </w:r>
            <w:r w:rsidR="008B466F" w:rsidRPr="009123D2">
              <w:rPr>
                <w:sz w:val="20"/>
                <w:szCs w:val="20"/>
              </w:rPr>
              <w:t xml:space="preserve"> sítě EEN</w:t>
            </w:r>
            <w:r>
              <w:rPr>
                <w:sz w:val="20"/>
                <w:szCs w:val="20"/>
              </w:rPr>
              <w:t xml:space="preserve"> v ČR</w:t>
            </w:r>
            <w:r w:rsidR="008B466F" w:rsidRPr="009123D2">
              <w:rPr>
                <w:sz w:val="20"/>
                <w:szCs w:val="20"/>
              </w:rPr>
              <w:t xml:space="preserve">. </w:t>
            </w:r>
          </w:p>
          <w:p w:rsidR="008B466F" w:rsidRPr="009123D2" w:rsidRDefault="008B466F" w:rsidP="008E2D37">
            <w:pPr>
              <w:spacing w:after="0"/>
              <w:rPr>
                <w:sz w:val="20"/>
                <w:szCs w:val="20"/>
              </w:rPr>
            </w:pPr>
          </w:p>
          <w:p w:rsidR="008B466F" w:rsidRPr="00283744" w:rsidRDefault="008B466F" w:rsidP="008E2D37">
            <w:pPr>
              <w:spacing w:after="0"/>
              <w:rPr>
                <w:sz w:val="20"/>
                <w:szCs w:val="20"/>
                <w:highlight w:val="yellow"/>
              </w:rPr>
            </w:pPr>
            <w:r w:rsidRPr="00C05ED7">
              <w:rPr>
                <w:sz w:val="20"/>
                <w:szCs w:val="20"/>
              </w:rPr>
              <w:t xml:space="preserve">Síť EEN (i nadále kofinancováno MPO) - Formou poskytování odborných služeb zaměřených na podporu a zvyšování konkurenceschopnosti především MSP. Aktivity sítě se orientují na individuální poradenství pro firmy, odborné semináře, konference, zajištění účasti firem na </w:t>
            </w:r>
            <w:r w:rsidRPr="00C05ED7">
              <w:rPr>
                <w:sz w:val="20"/>
                <w:szCs w:val="20"/>
              </w:rPr>
              <w:lastRenderedPageBreak/>
              <w:t>mezinárodních obchodních burzách, zprostředkování kontaktů ze speciální mezinárodní databáze a vydávání odborně zaměřených publikací o podnikání v EU.</w:t>
            </w:r>
          </w:p>
        </w:tc>
      </w:tr>
      <w:tr w:rsidR="008B466F" w:rsidRPr="00283744" w:rsidTr="0032299A">
        <w:tc>
          <w:tcPr>
            <w:tcW w:w="2269" w:type="dxa"/>
          </w:tcPr>
          <w:p w:rsidR="008B466F" w:rsidRPr="00C05ED7" w:rsidRDefault="008B466F" w:rsidP="00311944">
            <w:pPr>
              <w:numPr>
                <w:ilvl w:val="0"/>
                <w:numId w:val="13"/>
              </w:numPr>
              <w:spacing w:after="0"/>
              <w:jc w:val="left"/>
              <w:rPr>
                <w:sz w:val="20"/>
                <w:szCs w:val="20"/>
              </w:rPr>
            </w:pPr>
            <w:r w:rsidRPr="00C05ED7">
              <w:rPr>
                <w:sz w:val="20"/>
                <w:szCs w:val="20"/>
              </w:rPr>
              <w:lastRenderedPageBreak/>
              <w:t>Zavedení resp. rozšíření vhodných forem exportního financování a pojištění pro MSP</w:t>
            </w:r>
          </w:p>
        </w:tc>
        <w:tc>
          <w:tcPr>
            <w:tcW w:w="850" w:type="dxa"/>
          </w:tcPr>
          <w:p w:rsidR="008B466F" w:rsidRPr="00C05ED7" w:rsidRDefault="008B466F" w:rsidP="00311944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MPO 51000</w:t>
            </w:r>
          </w:p>
        </w:tc>
        <w:tc>
          <w:tcPr>
            <w:tcW w:w="1276" w:type="dxa"/>
          </w:tcPr>
          <w:p w:rsidR="008B466F" w:rsidRPr="00C05ED7" w:rsidRDefault="008B466F" w:rsidP="00311944">
            <w:pPr>
              <w:spacing w:after="0"/>
              <w:jc w:val="left"/>
              <w:rPr>
                <w:sz w:val="20"/>
                <w:szCs w:val="20"/>
              </w:rPr>
            </w:pPr>
            <w:r w:rsidRPr="00C05ED7">
              <w:rPr>
                <w:sz w:val="20"/>
                <w:szCs w:val="20"/>
              </w:rPr>
              <w:t>ČEB, EGAP</w:t>
            </w:r>
          </w:p>
        </w:tc>
        <w:tc>
          <w:tcPr>
            <w:tcW w:w="1134" w:type="dxa"/>
          </w:tcPr>
          <w:p w:rsidR="008B466F" w:rsidRPr="00C05ED7" w:rsidRDefault="008B466F" w:rsidP="008E2D37">
            <w:pPr>
              <w:spacing w:after="0"/>
              <w:rPr>
                <w:sz w:val="20"/>
                <w:szCs w:val="20"/>
              </w:rPr>
            </w:pPr>
            <w:r w:rsidRPr="00C05ED7">
              <w:rPr>
                <w:sz w:val="20"/>
                <w:szCs w:val="20"/>
              </w:rPr>
              <w:t>Průběžně</w:t>
            </w:r>
          </w:p>
        </w:tc>
        <w:tc>
          <w:tcPr>
            <w:tcW w:w="1276" w:type="dxa"/>
          </w:tcPr>
          <w:p w:rsidR="008B466F" w:rsidRPr="00C05ED7" w:rsidRDefault="005B1460" w:rsidP="008E2D3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Státní rozpočet</w:t>
            </w:r>
            <w:r w:rsidR="00E46FFF">
              <w:rPr>
                <w:rFonts w:asciiTheme="minorHAnsi" w:hAnsiTheme="minorHAnsi"/>
                <w:sz w:val="20"/>
                <w:szCs w:val="20"/>
              </w:rPr>
              <w:t xml:space="preserve"> (VPS</w:t>
            </w:r>
            <w:r w:rsidR="0095424A">
              <w:rPr>
                <w:rStyle w:val="Znakapoznpodarou"/>
                <w:rFonts w:asciiTheme="minorHAnsi" w:hAnsiTheme="minorHAnsi"/>
                <w:sz w:val="20"/>
                <w:szCs w:val="20"/>
              </w:rPr>
              <w:footnoteReference w:id="2"/>
            </w:r>
            <w:r w:rsidR="00E46FFF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8B466F" w:rsidRPr="00C05ED7" w:rsidRDefault="008B466F" w:rsidP="00C05ED7">
            <w:pPr>
              <w:spacing w:after="0"/>
              <w:rPr>
                <w:sz w:val="20"/>
                <w:szCs w:val="20"/>
              </w:rPr>
            </w:pPr>
            <w:r w:rsidRPr="00C05ED7">
              <w:rPr>
                <w:sz w:val="20"/>
                <w:szCs w:val="20"/>
              </w:rPr>
              <w:t>V rámci nabídky produktů EGAP a ČEB zajistit finanční a marketingovou podporu exportních aktivit MSP poskytováním pojištění a záruk pro podporu vývozců a institucí financujících vývoz domácích výrobků a služeb.</w:t>
            </w:r>
          </w:p>
        </w:tc>
      </w:tr>
      <w:tr w:rsidR="00BC1385" w:rsidRPr="00283744" w:rsidTr="0032299A">
        <w:tc>
          <w:tcPr>
            <w:tcW w:w="2269" w:type="dxa"/>
          </w:tcPr>
          <w:p w:rsidR="00BC1385" w:rsidRPr="00167629" w:rsidRDefault="00BC1385" w:rsidP="00BC1385">
            <w:pPr>
              <w:numPr>
                <w:ilvl w:val="0"/>
                <w:numId w:val="13"/>
              </w:numPr>
              <w:spacing w:after="0"/>
              <w:jc w:val="left"/>
              <w:rPr>
                <w:sz w:val="20"/>
                <w:szCs w:val="20"/>
              </w:rPr>
            </w:pPr>
            <w:r w:rsidRPr="00D41A4A">
              <w:rPr>
                <w:sz w:val="20"/>
                <w:szCs w:val="20"/>
              </w:rPr>
              <w:t>Podpora individuálních účastí MSP na veletrzích a výstavách</w:t>
            </w:r>
          </w:p>
        </w:tc>
        <w:tc>
          <w:tcPr>
            <w:tcW w:w="850" w:type="dxa"/>
          </w:tcPr>
          <w:p w:rsidR="00BC1385" w:rsidRPr="00530CF4" w:rsidRDefault="00BC1385" w:rsidP="00E46FFF">
            <w:pPr>
              <w:spacing w:after="0"/>
              <w:jc w:val="left"/>
              <w:rPr>
                <w:sz w:val="20"/>
                <w:szCs w:val="20"/>
              </w:rPr>
            </w:pPr>
            <w:r w:rsidRPr="00530CF4">
              <w:rPr>
                <w:sz w:val="20"/>
                <w:szCs w:val="20"/>
              </w:rPr>
              <w:t>MPO 61</w:t>
            </w:r>
            <w:r w:rsidR="00E46FFF">
              <w:rPr>
                <w:sz w:val="20"/>
                <w:szCs w:val="20"/>
              </w:rPr>
              <w:t>0</w:t>
            </w:r>
            <w:r w:rsidRPr="00530CF4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BC1385" w:rsidRPr="00530CF4" w:rsidRDefault="00841EA8" w:rsidP="00D603E7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010B84">
              <w:rPr>
                <w:sz w:val="20"/>
                <w:szCs w:val="20"/>
              </w:rPr>
              <w:t>CzechInvest</w:t>
            </w:r>
            <w:proofErr w:type="spellEnd"/>
            <w:r w:rsidRPr="00010B84">
              <w:rPr>
                <w:sz w:val="20"/>
                <w:szCs w:val="20"/>
              </w:rPr>
              <w:t xml:space="preserve"> (příp. API)</w:t>
            </w:r>
          </w:p>
        </w:tc>
        <w:tc>
          <w:tcPr>
            <w:tcW w:w="1134" w:type="dxa"/>
          </w:tcPr>
          <w:p w:rsidR="00BC1385" w:rsidRPr="00530CF4" w:rsidRDefault="00BC1385" w:rsidP="00BC1385">
            <w:pPr>
              <w:spacing w:after="0"/>
              <w:rPr>
                <w:sz w:val="20"/>
                <w:szCs w:val="20"/>
              </w:rPr>
            </w:pPr>
            <w:r w:rsidRPr="00530CF4">
              <w:rPr>
                <w:sz w:val="20"/>
                <w:szCs w:val="20"/>
              </w:rPr>
              <w:t>Dle harmonogramu přípravy OP PIK</w:t>
            </w:r>
          </w:p>
        </w:tc>
        <w:tc>
          <w:tcPr>
            <w:tcW w:w="1276" w:type="dxa"/>
          </w:tcPr>
          <w:p w:rsidR="00BC1385" w:rsidRPr="00530CF4" w:rsidRDefault="00BC1385" w:rsidP="00BC1385">
            <w:pPr>
              <w:spacing w:after="0"/>
              <w:jc w:val="left"/>
              <w:rPr>
                <w:sz w:val="20"/>
                <w:szCs w:val="20"/>
              </w:rPr>
            </w:pPr>
            <w:r w:rsidRPr="00530CF4">
              <w:rPr>
                <w:sz w:val="20"/>
                <w:szCs w:val="20"/>
              </w:rPr>
              <w:t xml:space="preserve">PO2 </w:t>
            </w:r>
            <w:r w:rsidR="00F504BE" w:rsidRPr="00F504BE">
              <w:rPr>
                <w:sz w:val="20"/>
                <w:szCs w:val="20"/>
              </w:rPr>
              <w:t>OP PIK</w:t>
            </w:r>
          </w:p>
        </w:tc>
        <w:tc>
          <w:tcPr>
            <w:tcW w:w="3118" w:type="dxa"/>
          </w:tcPr>
          <w:p w:rsidR="00BC1385" w:rsidRPr="00B177DD" w:rsidRDefault="009829D7" w:rsidP="009829D7">
            <w:pPr>
              <w:spacing w:after="0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Vyhlášení výzvy p</w:t>
            </w:r>
            <w:r w:rsidR="00562D37">
              <w:rPr>
                <w:sz w:val="20"/>
                <w:szCs w:val="20"/>
              </w:rPr>
              <w:t>rogram</w:t>
            </w:r>
            <w:r>
              <w:rPr>
                <w:sz w:val="20"/>
                <w:szCs w:val="20"/>
              </w:rPr>
              <w:t>u</w:t>
            </w:r>
            <w:r w:rsidR="00562D37">
              <w:rPr>
                <w:sz w:val="20"/>
                <w:szCs w:val="20"/>
              </w:rPr>
              <w:t xml:space="preserve"> Marketing -</w:t>
            </w:r>
            <w:r w:rsidR="00237E1E">
              <w:rPr>
                <w:sz w:val="20"/>
                <w:szCs w:val="20"/>
              </w:rPr>
              <w:t xml:space="preserve"> </w:t>
            </w:r>
            <w:r w:rsidR="00562D37">
              <w:rPr>
                <w:sz w:val="20"/>
                <w:szCs w:val="20"/>
              </w:rPr>
              <w:t>U</w:t>
            </w:r>
            <w:r w:rsidR="00B177DD" w:rsidRPr="00B177DD">
              <w:rPr>
                <w:sz w:val="20"/>
                <w:szCs w:val="20"/>
              </w:rPr>
              <w:t>snadnění vstupu MSP na zahraniční trhy prostřednictvím jejich individuálních účastí na zahraničních výstavách a veletrzích. Služby pro MSP zaměřené na mezinárodní konkurenceschopnost (doprava exponátů, marketingové propagační materiály)</w:t>
            </w:r>
          </w:p>
        </w:tc>
      </w:tr>
      <w:tr w:rsidR="00D41A4A" w:rsidRPr="00283744" w:rsidTr="0032299A">
        <w:tc>
          <w:tcPr>
            <w:tcW w:w="2269" w:type="dxa"/>
          </w:tcPr>
          <w:p w:rsidR="00D41A4A" w:rsidRPr="00A05FD5" w:rsidRDefault="00D41A4A" w:rsidP="00D41A4A">
            <w:pPr>
              <w:numPr>
                <w:ilvl w:val="0"/>
                <w:numId w:val="13"/>
              </w:numPr>
              <w:spacing w:after="0"/>
              <w:jc w:val="left"/>
              <w:rPr>
                <w:sz w:val="20"/>
                <w:szCs w:val="20"/>
              </w:rPr>
            </w:pPr>
            <w:r w:rsidRPr="00D41A4A">
              <w:rPr>
                <w:sz w:val="20"/>
                <w:szCs w:val="20"/>
              </w:rPr>
              <w:t>Podpora společných účastí MSP na veletrzích a výstavách</w:t>
            </w:r>
          </w:p>
        </w:tc>
        <w:tc>
          <w:tcPr>
            <w:tcW w:w="850" w:type="dxa"/>
          </w:tcPr>
          <w:p w:rsidR="00D41A4A" w:rsidRPr="008B466F" w:rsidRDefault="00D41A4A" w:rsidP="00606F1B">
            <w:pPr>
              <w:spacing w:after="0"/>
              <w:jc w:val="left"/>
              <w:rPr>
                <w:sz w:val="20"/>
                <w:szCs w:val="20"/>
              </w:rPr>
            </w:pPr>
            <w:r w:rsidRPr="00D41A4A">
              <w:rPr>
                <w:sz w:val="20"/>
                <w:szCs w:val="20"/>
              </w:rPr>
              <w:t>MPO 51000</w:t>
            </w:r>
          </w:p>
        </w:tc>
        <w:tc>
          <w:tcPr>
            <w:tcW w:w="1276" w:type="dxa"/>
          </w:tcPr>
          <w:p w:rsidR="00D41A4A" w:rsidRPr="00606F1B" w:rsidRDefault="00D41A4A" w:rsidP="00606F1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CzechTrade</w:t>
            </w:r>
            <w:proofErr w:type="spellEnd"/>
          </w:p>
        </w:tc>
        <w:tc>
          <w:tcPr>
            <w:tcW w:w="1134" w:type="dxa"/>
          </w:tcPr>
          <w:p w:rsidR="00D41A4A" w:rsidRPr="00606F1B" w:rsidRDefault="00CA241A" w:rsidP="008E2D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</w:t>
            </w:r>
          </w:p>
        </w:tc>
        <w:tc>
          <w:tcPr>
            <w:tcW w:w="1276" w:type="dxa"/>
          </w:tcPr>
          <w:p w:rsidR="00D41A4A" w:rsidRDefault="00D41A4A" w:rsidP="00D41A4A">
            <w:pPr>
              <w:spacing w:after="0"/>
              <w:jc w:val="left"/>
              <w:rPr>
                <w:sz w:val="20"/>
                <w:szCs w:val="20"/>
              </w:rPr>
            </w:pPr>
            <w:r w:rsidRPr="00D41A4A">
              <w:rPr>
                <w:sz w:val="20"/>
                <w:szCs w:val="20"/>
              </w:rPr>
              <w:t>OP PIK</w:t>
            </w:r>
            <w:r w:rsidR="00CA241A">
              <w:rPr>
                <w:sz w:val="20"/>
                <w:szCs w:val="20"/>
              </w:rPr>
              <w:t>,</w:t>
            </w:r>
          </w:p>
          <w:p w:rsidR="00CA241A" w:rsidRPr="00F8463D" w:rsidRDefault="00CA241A" w:rsidP="00D41A4A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rozpočet MPO</w:t>
            </w:r>
          </w:p>
        </w:tc>
        <w:tc>
          <w:tcPr>
            <w:tcW w:w="3118" w:type="dxa"/>
          </w:tcPr>
          <w:p w:rsidR="00D41A4A" w:rsidRDefault="002E55F0" w:rsidP="00E5570F">
            <w:pPr>
              <w:spacing w:after="0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Vyhlášení výzvy p</w:t>
            </w:r>
            <w:r w:rsidR="000B15A7">
              <w:rPr>
                <w:sz w:val="20"/>
                <w:szCs w:val="20"/>
              </w:rPr>
              <w:t>rogram</w:t>
            </w:r>
            <w:r>
              <w:rPr>
                <w:sz w:val="20"/>
                <w:szCs w:val="20"/>
              </w:rPr>
              <w:t>u</w:t>
            </w:r>
            <w:r w:rsidR="000B15A7">
              <w:rPr>
                <w:sz w:val="20"/>
                <w:szCs w:val="20"/>
              </w:rPr>
              <w:t xml:space="preserve"> Marketing - </w:t>
            </w:r>
            <w:r w:rsidR="00E5570F">
              <w:rPr>
                <w:sz w:val="20"/>
                <w:szCs w:val="20"/>
              </w:rPr>
              <w:t>Interní</w:t>
            </w:r>
            <w:r w:rsidR="00E5570F" w:rsidRPr="003F7A06">
              <w:rPr>
                <w:sz w:val="20"/>
                <w:szCs w:val="20"/>
              </w:rPr>
              <w:t xml:space="preserve"> proj</w:t>
            </w:r>
            <w:r w:rsidR="00E5570F">
              <w:rPr>
                <w:sz w:val="20"/>
                <w:szCs w:val="20"/>
              </w:rPr>
              <w:t>ekt</w:t>
            </w:r>
            <w:r w:rsidR="00E5570F" w:rsidRPr="003F7A06">
              <w:rPr>
                <w:sz w:val="20"/>
                <w:szCs w:val="20"/>
              </w:rPr>
              <w:t xml:space="preserve"> agentury </w:t>
            </w:r>
            <w:proofErr w:type="spellStart"/>
            <w:r w:rsidR="00E5570F" w:rsidRPr="003F7A06">
              <w:rPr>
                <w:sz w:val="20"/>
                <w:szCs w:val="20"/>
              </w:rPr>
              <w:t>CzechTrade</w:t>
            </w:r>
            <w:proofErr w:type="spellEnd"/>
            <w:r w:rsidR="00E5570F" w:rsidRPr="003F7A06">
              <w:rPr>
                <w:sz w:val="20"/>
                <w:szCs w:val="20"/>
              </w:rPr>
              <w:t xml:space="preserve"> </w:t>
            </w:r>
            <w:r w:rsidR="00E5570F" w:rsidRPr="00BC1385">
              <w:rPr>
                <w:sz w:val="20"/>
                <w:szCs w:val="20"/>
              </w:rPr>
              <w:t xml:space="preserve">NOVUMM </w:t>
            </w:r>
            <w:r w:rsidR="00E5570F">
              <w:rPr>
                <w:sz w:val="20"/>
                <w:szCs w:val="20"/>
              </w:rPr>
              <w:t>k</w:t>
            </w:r>
            <w:r w:rsidR="00BC1385" w:rsidRPr="00BC1385">
              <w:rPr>
                <w:sz w:val="20"/>
                <w:szCs w:val="20"/>
              </w:rPr>
              <w:t xml:space="preserve"> podpoře účasti firem na zahraničních veletrzích a výstavách </w:t>
            </w:r>
            <w:r w:rsidR="00E5570F">
              <w:rPr>
                <w:sz w:val="20"/>
                <w:szCs w:val="20"/>
              </w:rPr>
              <w:t>v letech</w:t>
            </w:r>
            <w:r w:rsidR="00BC1385" w:rsidRPr="00BC1385">
              <w:rPr>
                <w:sz w:val="20"/>
                <w:szCs w:val="20"/>
              </w:rPr>
              <w:t xml:space="preserve"> 2016-2018</w:t>
            </w:r>
            <w:r w:rsidR="00E5570F">
              <w:rPr>
                <w:sz w:val="20"/>
                <w:szCs w:val="20"/>
              </w:rPr>
              <w:t>,</w:t>
            </w:r>
            <w:r w:rsidR="00BC1385" w:rsidRPr="00BC1385">
              <w:rPr>
                <w:sz w:val="20"/>
                <w:szCs w:val="20"/>
              </w:rPr>
              <w:t xml:space="preserve"> předpokládá </w:t>
            </w:r>
            <w:r w:rsidR="00E5570F">
              <w:rPr>
                <w:sz w:val="20"/>
                <w:szCs w:val="20"/>
              </w:rPr>
              <w:t xml:space="preserve">se </w:t>
            </w:r>
            <w:r w:rsidR="00BC1385" w:rsidRPr="00BC1385">
              <w:rPr>
                <w:sz w:val="20"/>
                <w:szCs w:val="20"/>
              </w:rPr>
              <w:t xml:space="preserve">podpora na 150 veletržních akcích. </w:t>
            </w:r>
          </w:p>
          <w:p w:rsidR="00391776" w:rsidRDefault="00391776" w:rsidP="00E5570F">
            <w:pPr>
              <w:spacing w:after="0"/>
              <w:rPr>
                <w:sz w:val="20"/>
                <w:szCs w:val="20"/>
              </w:rPr>
            </w:pPr>
          </w:p>
          <w:p w:rsidR="00391776" w:rsidRPr="00E81D4A" w:rsidRDefault="0089043E" w:rsidP="0089043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 podporu účasti MSP bude také možno využít </w:t>
            </w:r>
            <w:r w:rsidR="00391776" w:rsidRPr="00391776">
              <w:rPr>
                <w:sz w:val="20"/>
                <w:szCs w:val="20"/>
              </w:rPr>
              <w:t>program Českých oficiálních účastí na veletrz</w:t>
            </w:r>
            <w:r w:rsidR="005F68D7">
              <w:rPr>
                <w:sz w:val="20"/>
                <w:szCs w:val="20"/>
              </w:rPr>
              <w:t>ích a výstavách v zahraničí (ČOÚ</w:t>
            </w:r>
            <w:r w:rsidR="00391776" w:rsidRPr="00391776">
              <w:rPr>
                <w:sz w:val="20"/>
                <w:szCs w:val="20"/>
              </w:rPr>
              <w:t>) -  možnost zúčastnit se vybraných mezinárodních veletrhů podporovaných MPO (na rok 2016 se předpokládá podpora na 25 veletržních akcích).</w:t>
            </w:r>
          </w:p>
        </w:tc>
      </w:tr>
      <w:tr w:rsidR="008B466F" w:rsidRPr="00283744" w:rsidTr="0032299A">
        <w:tc>
          <w:tcPr>
            <w:tcW w:w="2269" w:type="dxa"/>
          </w:tcPr>
          <w:p w:rsidR="008B466F" w:rsidRPr="00A05FD5" w:rsidRDefault="008B466F" w:rsidP="003F7A06">
            <w:pPr>
              <w:numPr>
                <w:ilvl w:val="0"/>
                <w:numId w:val="13"/>
              </w:numPr>
              <w:spacing w:after="0"/>
              <w:jc w:val="left"/>
              <w:rPr>
                <w:sz w:val="20"/>
                <w:szCs w:val="20"/>
              </w:rPr>
            </w:pPr>
            <w:r w:rsidRPr="003F7A06">
              <w:rPr>
                <w:sz w:val="20"/>
                <w:szCs w:val="20"/>
              </w:rPr>
              <w:t xml:space="preserve">Podpora aktivit vedoucích ke </w:t>
            </w:r>
            <w:r>
              <w:rPr>
                <w:sz w:val="20"/>
                <w:szCs w:val="20"/>
              </w:rPr>
              <w:t>z</w:t>
            </w:r>
            <w:r w:rsidRPr="003F7A06">
              <w:rPr>
                <w:sz w:val="20"/>
                <w:szCs w:val="20"/>
              </w:rPr>
              <w:t>výšení mezinárodní konkurenceschopnosti MSP prostřednictvím kvalitního designu produktů a jejich propagace v zahraničí (</w:t>
            </w:r>
            <w:proofErr w:type="spellStart"/>
            <w:r w:rsidRPr="003F7A06">
              <w:rPr>
                <w:sz w:val="20"/>
                <w:szCs w:val="20"/>
              </w:rPr>
              <w:t>designov</w:t>
            </w:r>
            <w:r w:rsidR="0032299A">
              <w:rPr>
                <w:sz w:val="20"/>
                <w:szCs w:val="20"/>
              </w:rPr>
              <w:t>é</w:t>
            </w:r>
            <w:proofErr w:type="spellEnd"/>
            <w:r w:rsidR="0032299A">
              <w:rPr>
                <w:sz w:val="20"/>
                <w:szCs w:val="20"/>
              </w:rPr>
              <w:t xml:space="preserve"> veletrhy a přehlídky designu)</w:t>
            </w:r>
          </w:p>
        </w:tc>
        <w:tc>
          <w:tcPr>
            <w:tcW w:w="850" w:type="dxa"/>
          </w:tcPr>
          <w:p w:rsidR="008B466F" w:rsidRPr="003F7A06" w:rsidRDefault="008B466F" w:rsidP="00606F1B">
            <w:pPr>
              <w:spacing w:after="0"/>
              <w:jc w:val="left"/>
              <w:rPr>
                <w:sz w:val="20"/>
                <w:szCs w:val="20"/>
              </w:rPr>
            </w:pPr>
            <w:r w:rsidRPr="008B466F">
              <w:rPr>
                <w:sz w:val="20"/>
                <w:szCs w:val="20"/>
              </w:rPr>
              <w:t>MPO 61000</w:t>
            </w:r>
          </w:p>
        </w:tc>
        <w:tc>
          <w:tcPr>
            <w:tcW w:w="1276" w:type="dxa"/>
          </w:tcPr>
          <w:p w:rsidR="008B466F" w:rsidRPr="00606F1B" w:rsidRDefault="008B466F" w:rsidP="00606F1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3F7A06">
              <w:rPr>
                <w:sz w:val="20"/>
                <w:szCs w:val="20"/>
              </w:rPr>
              <w:t>CzechTrade</w:t>
            </w:r>
            <w:proofErr w:type="spellEnd"/>
          </w:p>
        </w:tc>
        <w:tc>
          <w:tcPr>
            <w:tcW w:w="1134" w:type="dxa"/>
          </w:tcPr>
          <w:p w:rsidR="008B466F" w:rsidRPr="00606F1B" w:rsidRDefault="008B466F" w:rsidP="008E2D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</w:t>
            </w:r>
          </w:p>
        </w:tc>
        <w:tc>
          <w:tcPr>
            <w:tcW w:w="1276" w:type="dxa"/>
          </w:tcPr>
          <w:p w:rsidR="008B466F" w:rsidRPr="00F8463D" w:rsidRDefault="00F504BE" w:rsidP="00606F1B">
            <w:pPr>
              <w:spacing w:after="0"/>
              <w:jc w:val="left"/>
              <w:rPr>
                <w:sz w:val="20"/>
                <w:szCs w:val="20"/>
              </w:rPr>
            </w:pPr>
            <w:r w:rsidRPr="00F504BE">
              <w:rPr>
                <w:sz w:val="20"/>
                <w:szCs w:val="20"/>
              </w:rPr>
              <w:t>OP PIK</w:t>
            </w:r>
          </w:p>
        </w:tc>
        <w:tc>
          <w:tcPr>
            <w:tcW w:w="3118" w:type="dxa"/>
          </w:tcPr>
          <w:p w:rsidR="008B466F" w:rsidRPr="003F7A06" w:rsidRDefault="00113839" w:rsidP="00E46FFF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Vyhlášení výzvy p</w:t>
            </w:r>
            <w:r>
              <w:rPr>
                <w:sz w:val="20"/>
                <w:szCs w:val="20"/>
              </w:rPr>
              <w:t xml:space="preserve">rogramu Marketing - </w:t>
            </w:r>
            <w:r w:rsidR="008B466F">
              <w:rPr>
                <w:sz w:val="20"/>
                <w:szCs w:val="20"/>
              </w:rPr>
              <w:t>Interní</w:t>
            </w:r>
            <w:r w:rsidR="008B466F" w:rsidRPr="003F7A06">
              <w:rPr>
                <w:sz w:val="20"/>
                <w:szCs w:val="20"/>
              </w:rPr>
              <w:t xml:space="preserve"> proj</w:t>
            </w:r>
            <w:r w:rsidR="008B466F">
              <w:rPr>
                <w:sz w:val="20"/>
                <w:szCs w:val="20"/>
              </w:rPr>
              <w:t>ekt</w:t>
            </w:r>
            <w:r w:rsidR="008B466F" w:rsidRPr="003F7A06">
              <w:rPr>
                <w:sz w:val="20"/>
                <w:szCs w:val="20"/>
              </w:rPr>
              <w:t xml:space="preserve"> agentury </w:t>
            </w:r>
            <w:proofErr w:type="spellStart"/>
            <w:r w:rsidR="008B466F" w:rsidRPr="003F7A06">
              <w:rPr>
                <w:sz w:val="20"/>
                <w:szCs w:val="20"/>
              </w:rPr>
              <w:t>CzechTrade</w:t>
            </w:r>
            <w:proofErr w:type="spellEnd"/>
            <w:r w:rsidR="008B466F" w:rsidRPr="003F7A06">
              <w:rPr>
                <w:sz w:val="20"/>
                <w:szCs w:val="20"/>
              </w:rPr>
              <w:t xml:space="preserve"> DESIGN 2</w:t>
            </w:r>
            <w:r w:rsidR="00220200">
              <w:rPr>
                <w:sz w:val="20"/>
                <w:szCs w:val="20"/>
              </w:rPr>
              <w:t>. P</w:t>
            </w:r>
            <w:r w:rsidR="008B466F" w:rsidRPr="003F7A06">
              <w:rPr>
                <w:sz w:val="20"/>
                <w:szCs w:val="20"/>
              </w:rPr>
              <w:t>odpora individuálních expozic s důrazem na design jednotlivých prezentací (stánků, produktů)</w:t>
            </w:r>
          </w:p>
        </w:tc>
      </w:tr>
      <w:tr w:rsidR="00481A4B" w:rsidRPr="00283744" w:rsidTr="0032299A">
        <w:tc>
          <w:tcPr>
            <w:tcW w:w="2269" w:type="dxa"/>
          </w:tcPr>
          <w:p w:rsidR="00481A4B" w:rsidRPr="003F7A06" w:rsidRDefault="00481A4B" w:rsidP="00481A4B">
            <w:pPr>
              <w:numPr>
                <w:ilvl w:val="0"/>
                <w:numId w:val="13"/>
              </w:numPr>
              <w:spacing w:after="0"/>
              <w:jc w:val="left"/>
              <w:rPr>
                <w:sz w:val="20"/>
                <w:szCs w:val="20"/>
              </w:rPr>
            </w:pPr>
            <w:r w:rsidRPr="006850CB">
              <w:rPr>
                <w:sz w:val="20"/>
                <w:szCs w:val="20"/>
              </w:rPr>
              <w:t xml:space="preserve">V rámci programů </w:t>
            </w:r>
            <w:proofErr w:type="spellStart"/>
            <w:r w:rsidRPr="006850CB">
              <w:rPr>
                <w:sz w:val="20"/>
                <w:szCs w:val="20"/>
              </w:rPr>
              <w:t>VaVaI</w:t>
            </w:r>
            <w:proofErr w:type="spellEnd"/>
            <w:r w:rsidRPr="006850CB">
              <w:rPr>
                <w:sz w:val="20"/>
                <w:szCs w:val="20"/>
              </w:rPr>
              <w:t xml:space="preserve"> zajištění podpory společným </w:t>
            </w:r>
            <w:r w:rsidRPr="006850CB">
              <w:rPr>
                <w:sz w:val="20"/>
                <w:szCs w:val="20"/>
              </w:rPr>
              <w:lastRenderedPageBreak/>
              <w:t xml:space="preserve">projektům výzkumu, vývoje a inovací českých a zahraničních výzkumných organizací a podnikatelů v rámci </w:t>
            </w:r>
            <w:r w:rsidR="0032299A">
              <w:rPr>
                <w:sz w:val="20"/>
                <w:szCs w:val="20"/>
              </w:rPr>
              <w:t>programů mezinárodní spolupráce</w:t>
            </w:r>
          </w:p>
        </w:tc>
        <w:tc>
          <w:tcPr>
            <w:tcW w:w="850" w:type="dxa"/>
          </w:tcPr>
          <w:p w:rsidR="00481A4B" w:rsidRPr="008B466F" w:rsidRDefault="00481A4B" w:rsidP="00027800">
            <w:pPr>
              <w:spacing w:after="0"/>
              <w:jc w:val="left"/>
              <w:rPr>
                <w:sz w:val="20"/>
                <w:szCs w:val="20"/>
              </w:rPr>
            </w:pPr>
            <w:r w:rsidRPr="006850CB">
              <w:rPr>
                <w:sz w:val="20"/>
                <w:szCs w:val="20"/>
              </w:rPr>
              <w:lastRenderedPageBreak/>
              <w:t xml:space="preserve">MPO </w:t>
            </w:r>
            <w:r w:rsidR="00E46FFF">
              <w:rPr>
                <w:sz w:val="20"/>
                <w:szCs w:val="20"/>
              </w:rPr>
              <w:t>610</w:t>
            </w:r>
            <w:r w:rsidR="00027800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481A4B" w:rsidRPr="003F7A06" w:rsidRDefault="00481A4B" w:rsidP="00481A4B">
            <w:pPr>
              <w:spacing w:after="0"/>
              <w:jc w:val="left"/>
              <w:rPr>
                <w:sz w:val="20"/>
                <w:szCs w:val="20"/>
              </w:rPr>
            </w:pPr>
            <w:r w:rsidRPr="006850CB">
              <w:rPr>
                <w:sz w:val="20"/>
                <w:szCs w:val="20"/>
              </w:rPr>
              <w:t>MŠMT</w:t>
            </w:r>
          </w:p>
        </w:tc>
        <w:tc>
          <w:tcPr>
            <w:tcW w:w="1134" w:type="dxa"/>
          </w:tcPr>
          <w:p w:rsidR="00481A4B" w:rsidRDefault="00481A4B" w:rsidP="00481A4B">
            <w:pPr>
              <w:spacing w:after="0"/>
              <w:rPr>
                <w:sz w:val="20"/>
                <w:szCs w:val="20"/>
              </w:rPr>
            </w:pPr>
            <w:r w:rsidRPr="006850CB">
              <w:rPr>
                <w:sz w:val="20"/>
                <w:szCs w:val="20"/>
              </w:rPr>
              <w:t>Průběžně</w:t>
            </w:r>
          </w:p>
        </w:tc>
        <w:tc>
          <w:tcPr>
            <w:tcW w:w="1276" w:type="dxa"/>
          </w:tcPr>
          <w:p w:rsidR="00481A4B" w:rsidRPr="003F7A06" w:rsidRDefault="0090031A" w:rsidP="00481A4B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Státní rozpočet</w:t>
            </w:r>
            <w:r w:rsidR="00F45526">
              <w:rPr>
                <w:sz w:val="20"/>
                <w:szCs w:val="20"/>
              </w:rPr>
              <w:t xml:space="preserve"> (nový nárok)</w:t>
            </w:r>
          </w:p>
        </w:tc>
        <w:tc>
          <w:tcPr>
            <w:tcW w:w="3118" w:type="dxa"/>
          </w:tcPr>
          <w:p w:rsidR="00481A4B" w:rsidRDefault="00481A4B" w:rsidP="00481A4B">
            <w:pPr>
              <w:spacing w:after="0"/>
              <w:rPr>
                <w:sz w:val="20"/>
                <w:szCs w:val="20"/>
              </w:rPr>
            </w:pPr>
            <w:r w:rsidRPr="001B4A64">
              <w:rPr>
                <w:sz w:val="20"/>
                <w:szCs w:val="20"/>
              </w:rPr>
              <w:t xml:space="preserve">Činnost specializovaných organizací a projektů zabývajících se mimo jiné i prezentací výsledků českého </w:t>
            </w:r>
            <w:proofErr w:type="spellStart"/>
            <w:r w:rsidRPr="001B4A64">
              <w:rPr>
                <w:sz w:val="20"/>
                <w:szCs w:val="20"/>
              </w:rPr>
              <w:lastRenderedPageBreak/>
              <w:t>VaVaI</w:t>
            </w:r>
            <w:proofErr w:type="spellEnd"/>
            <w:r w:rsidRPr="001B4A64">
              <w:rPr>
                <w:sz w:val="20"/>
                <w:szCs w:val="20"/>
              </w:rPr>
              <w:t xml:space="preserve"> v zahraničí (např. CZELO - Česká styčná kancelář pro výzkum a vývoj v Bruselu, nebo projekt Česká hlava).</w:t>
            </w:r>
          </w:p>
        </w:tc>
      </w:tr>
    </w:tbl>
    <w:p w:rsidR="00C752C7" w:rsidRDefault="00C752C7" w:rsidP="00C752C7">
      <w:pPr>
        <w:pStyle w:val="Nadpis2"/>
        <w:ind w:left="792"/>
      </w:pPr>
    </w:p>
    <w:p w:rsidR="00663A94" w:rsidRDefault="0018688A" w:rsidP="008E2D37">
      <w:pPr>
        <w:pStyle w:val="Nadpis2"/>
        <w:numPr>
          <w:ilvl w:val="1"/>
          <w:numId w:val="17"/>
        </w:numPr>
      </w:pPr>
      <w:bookmarkStart w:id="11" w:name="_Toc433272199"/>
      <w:r>
        <w:t>Energetické úspory v</w:t>
      </w:r>
      <w:r w:rsidR="00123AFE">
        <w:t> </w:t>
      </w:r>
      <w:r>
        <w:t>podnikání</w:t>
      </w:r>
      <w:bookmarkEnd w:id="11"/>
    </w:p>
    <w:p w:rsidR="00123AFE" w:rsidRDefault="00123AFE" w:rsidP="00123AFE"/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850"/>
        <w:gridCol w:w="1276"/>
        <w:gridCol w:w="1134"/>
        <w:gridCol w:w="1276"/>
        <w:gridCol w:w="3118"/>
      </w:tblGrid>
      <w:tr w:rsidR="008B466F" w:rsidRPr="009C1CB4" w:rsidTr="0094531A">
        <w:tc>
          <w:tcPr>
            <w:tcW w:w="2269" w:type="dxa"/>
            <w:shd w:val="clear" w:color="auto" w:fill="E36C0A"/>
          </w:tcPr>
          <w:p w:rsidR="008B466F" w:rsidRPr="009C1CB4" w:rsidRDefault="008B466F" w:rsidP="008E2D37">
            <w:pPr>
              <w:spacing w:after="0"/>
              <w:rPr>
                <w:b/>
                <w:sz w:val="20"/>
                <w:szCs w:val="20"/>
              </w:rPr>
            </w:pPr>
            <w:r>
              <w:br w:type="page"/>
            </w:r>
            <w:r>
              <w:rPr>
                <w:b/>
                <w:sz w:val="20"/>
                <w:szCs w:val="20"/>
              </w:rPr>
              <w:t>Aktivita/</w:t>
            </w:r>
            <w:r w:rsidRPr="009C1CB4">
              <w:rPr>
                <w:b/>
                <w:sz w:val="20"/>
                <w:szCs w:val="20"/>
              </w:rPr>
              <w:t xml:space="preserve"> úkol</w:t>
            </w:r>
          </w:p>
        </w:tc>
        <w:tc>
          <w:tcPr>
            <w:tcW w:w="850" w:type="dxa"/>
            <w:shd w:val="clear" w:color="auto" w:fill="E36C0A"/>
          </w:tcPr>
          <w:p w:rsidR="008B466F" w:rsidRDefault="008B466F" w:rsidP="008E2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Gestor</w:t>
            </w:r>
          </w:p>
        </w:tc>
        <w:tc>
          <w:tcPr>
            <w:tcW w:w="1276" w:type="dxa"/>
            <w:shd w:val="clear" w:color="auto" w:fill="E36C0A"/>
          </w:tcPr>
          <w:p w:rsidR="008B466F" w:rsidRPr="009C1CB4" w:rsidRDefault="008B466F" w:rsidP="008E2D37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Spolugestor</w:t>
            </w:r>
            <w:proofErr w:type="spellEnd"/>
          </w:p>
        </w:tc>
        <w:tc>
          <w:tcPr>
            <w:tcW w:w="1134" w:type="dxa"/>
            <w:shd w:val="clear" w:color="auto" w:fill="E36C0A"/>
          </w:tcPr>
          <w:p w:rsidR="008B466F" w:rsidRPr="009C1CB4" w:rsidRDefault="008B466F" w:rsidP="008E2D37">
            <w:pPr>
              <w:spacing w:after="0"/>
              <w:rPr>
                <w:b/>
                <w:sz w:val="20"/>
                <w:szCs w:val="20"/>
              </w:rPr>
            </w:pPr>
            <w:r w:rsidRPr="009C1CB4">
              <w:rPr>
                <w:b/>
                <w:sz w:val="20"/>
                <w:szCs w:val="20"/>
              </w:rPr>
              <w:t>Termín</w:t>
            </w:r>
          </w:p>
        </w:tc>
        <w:tc>
          <w:tcPr>
            <w:tcW w:w="1276" w:type="dxa"/>
            <w:shd w:val="clear" w:color="auto" w:fill="E36C0A"/>
          </w:tcPr>
          <w:p w:rsidR="008B466F" w:rsidRPr="009C1CB4" w:rsidRDefault="008B466F" w:rsidP="008E2D37">
            <w:pPr>
              <w:spacing w:after="0"/>
              <w:rPr>
                <w:b/>
                <w:sz w:val="20"/>
                <w:szCs w:val="20"/>
              </w:rPr>
            </w:pPr>
            <w:r w:rsidRPr="009C1CB4">
              <w:rPr>
                <w:b/>
                <w:sz w:val="20"/>
                <w:szCs w:val="20"/>
              </w:rPr>
              <w:t>Financování</w:t>
            </w:r>
          </w:p>
        </w:tc>
        <w:tc>
          <w:tcPr>
            <w:tcW w:w="3118" w:type="dxa"/>
            <w:shd w:val="clear" w:color="auto" w:fill="E36C0A"/>
          </w:tcPr>
          <w:p w:rsidR="008B466F" w:rsidRPr="009C1CB4" w:rsidRDefault="008B466F" w:rsidP="008E2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Nástroj realizace opatření</w:t>
            </w:r>
          </w:p>
        </w:tc>
      </w:tr>
      <w:tr w:rsidR="008B466F" w:rsidRPr="00283744" w:rsidTr="0094531A">
        <w:tc>
          <w:tcPr>
            <w:tcW w:w="2269" w:type="dxa"/>
          </w:tcPr>
          <w:p w:rsidR="008B466F" w:rsidRPr="00A35ABD" w:rsidRDefault="006571DC" w:rsidP="006571DC">
            <w:pPr>
              <w:numPr>
                <w:ilvl w:val="0"/>
                <w:numId w:val="13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D30BE" w:rsidRPr="009F17D2">
              <w:rPr>
                <w:sz w:val="20"/>
                <w:szCs w:val="20"/>
              </w:rPr>
              <w:t>odpo</w:t>
            </w:r>
            <w:r>
              <w:rPr>
                <w:sz w:val="20"/>
                <w:szCs w:val="20"/>
              </w:rPr>
              <w:t>ra</w:t>
            </w:r>
            <w:r w:rsidR="009D30BE" w:rsidRPr="009F17D2">
              <w:rPr>
                <w:sz w:val="20"/>
                <w:szCs w:val="20"/>
              </w:rPr>
              <w:t xml:space="preserve"> výroby a distribuce energie poc</w:t>
            </w:r>
            <w:r w:rsidR="0032299A" w:rsidRPr="009F17D2">
              <w:rPr>
                <w:sz w:val="20"/>
                <w:szCs w:val="20"/>
              </w:rPr>
              <w:t>házející z obnovitelných zdrojů</w:t>
            </w:r>
            <w:r w:rsidR="009D30BE" w:rsidRPr="009F17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8B466F" w:rsidRPr="00CC2604" w:rsidRDefault="008B466F" w:rsidP="00E46FF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MPO 61</w:t>
            </w:r>
            <w:r w:rsidR="00E46FF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8B466F" w:rsidRDefault="008B466F" w:rsidP="008E2D37">
            <w:pPr>
              <w:spacing w:after="0"/>
              <w:jc w:val="left"/>
              <w:rPr>
                <w:sz w:val="20"/>
                <w:szCs w:val="20"/>
              </w:rPr>
            </w:pPr>
            <w:r w:rsidRPr="00CC2604">
              <w:rPr>
                <w:sz w:val="20"/>
                <w:szCs w:val="20"/>
              </w:rPr>
              <w:t xml:space="preserve">MPO 32000, </w:t>
            </w:r>
            <w:proofErr w:type="spellStart"/>
            <w:r w:rsidR="00841EA8" w:rsidRPr="00010B84">
              <w:rPr>
                <w:sz w:val="20"/>
                <w:szCs w:val="20"/>
              </w:rPr>
              <w:t>CzechInvest</w:t>
            </w:r>
            <w:proofErr w:type="spellEnd"/>
            <w:r w:rsidR="00841EA8" w:rsidRPr="00010B84">
              <w:rPr>
                <w:sz w:val="20"/>
                <w:szCs w:val="20"/>
              </w:rPr>
              <w:t xml:space="preserve"> (příp. API)</w:t>
            </w:r>
          </w:p>
        </w:tc>
        <w:tc>
          <w:tcPr>
            <w:tcW w:w="1134" w:type="dxa"/>
          </w:tcPr>
          <w:p w:rsidR="008B466F" w:rsidRDefault="008B466F" w:rsidP="008E2D37">
            <w:pPr>
              <w:spacing w:after="0"/>
              <w:rPr>
                <w:sz w:val="20"/>
                <w:szCs w:val="20"/>
              </w:rPr>
            </w:pPr>
            <w:r w:rsidRPr="00CC2604">
              <w:rPr>
                <w:sz w:val="20"/>
                <w:szCs w:val="20"/>
              </w:rPr>
              <w:t>Dle harmonogramu přípravy OP PIK</w:t>
            </w:r>
          </w:p>
        </w:tc>
        <w:tc>
          <w:tcPr>
            <w:tcW w:w="1276" w:type="dxa"/>
          </w:tcPr>
          <w:p w:rsidR="008B466F" w:rsidRPr="00283744" w:rsidRDefault="008B466F" w:rsidP="008E2D37">
            <w:pPr>
              <w:spacing w:after="0"/>
              <w:jc w:val="left"/>
              <w:rPr>
                <w:sz w:val="20"/>
                <w:szCs w:val="20"/>
                <w:highlight w:val="yellow"/>
              </w:rPr>
            </w:pPr>
            <w:r w:rsidRPr="00CC2604">
              <w:rPr>
                <w:sz w:val="20"/>
                <w:szCs w:val="20"/>
              </w:rPr>
              <w:t>PO3 OP</w:t>
            </w:r>
            <w:r w:rsidR="006D7463">
              <w:rPr>
                <w:sz w:val="20"/>
                <w:szCs w:val="20"/>
              </w:rPr>
              <w:t xml:space="preserve"> </w:t>
            </w:r>
            <w:r w:rsidRPr="00CC2604">
              <w:rPr>
                <w:sz w:val="20"/>
                <w:szCs w:val="20"/>
              </w:rPr>
              <w:t>PIK</w:t>
            </w:r>
          </w:p>
        </w:tc>
        <w:tc>
          <w:tcPr>
            <w:tcW w:w="3118" w:type="dxa"/>
          </w:tcPr>
          <w:p w:rsidR="008B466F" w:rsidRPr="00283744" w:rsidRDefault="008B466F" w:rsidP="001B4A64">
            <w:pPr>
              <w:spacing w:after="0"/>
              <w:rPr>
                <w:sz w:val="20"/>
                <w:szCs w:val="20"/>
                <w:highlight w:val="yellow"/>
              </w:rPr>
            </w:pPr>
            <w:r w:rsidRPr="00CC2604">
              <w:rPr>
                <w:sz w:val="20"/>
                <w:szCs w:val="20"/>
              </w:rPr>
              <w:t>O</w:t>
            </w:r>
            <w:r w:rsidR="001B4A64">
              <w:rPr>
                <w:sz w:val="20"/>
                <w:szCs w:val="20"/>
              </w:rPr>
              <w:t>bnovitelné zdroje energie</w:t>
            </w:r>
            <w:r w:rsidRPr="00CC2604">
              <w:rPr>
                <w:sz w:val="20"/>
                <w:szCs w:val="20"/>
              </w:rPr>
              <w:t xml:space="preserve"> - </w:t>
            </w:r>
            <w:r w:rsidR="00237E1E">
              <w:rPr>
                <w:sz w:val="20"/>
                <w:szCs w:val="20"/>
              </w:rPr>
              <w:t>V</w:t>
            </w:r>
            <w:r w:rsidR="009F17D2" w:rsidRPr="009F17D2">
              <w:rPr>
                <w:sz w:val="20"/>
                <w:szCs w:val="20"/>
              </w:rPr>
              <w:t>ýstavba nových a rekonstrukce a modernizace stávajících výroben elektřiny a tepla z OZE s tím, že vyrobená energie bude určena primárně pro distribuci, nikoli vlastní spotřebu</w:t>
            </w:r>
            <w:r w:rsidR="009F17D2">
              <w:rPr>
                <w:sz w:val="20"/>
                <w:szCs w:val="20"/>
              </w:rPr>
              <w:t>.</w:t>
            </w:r>
          </w:p>
        </w:tc>
      </w:tr>
      <w:tr w:rsidR="0096312A" w:rsidRPr="00283744" w:rsidTr="0094531A">
        <w:tc>
          <w:tcPr>
            <w:tcW w:w="2269" w:type="dxa"/>
            <w:shd w:val="clear" w:color="auto" w:fill="auto"/>
          </w:tcPr>
          <w:p w:rsidR="0096312A" w:rsidRPr="0032299A" w:rsidRDefault="0096312A" w:rsidP="0032299A">
            <w:pPr>
              <w:pStyle w:val="Odstavecseseznamem"/>
              <w:numPr>
                <w:ilvl w:val="0"/>
                <w:numId w:val="13"/>
              </w:numPr>
              <w:jc w:val="left"/>
              <w:rPr>
                <w:sz w:val="20"/>
                <w:szCs w:val="20"/>
              </w:rPr>
            </w:pPr>
            <w:r w:rsidRPr="0032299A">
              <w:rPr>
                <w:sz w:val="20"/>
                <w:szCs w:val="20"/>
              </w:rPr>
              <w:t>Podpora výzku</w:t>
            </w:r>
            <w:r w:rsidR="00C752C7">
              <w:rPr>
                <w:sz w:val="20"/>
                <w:szCs w:val="20"/>
              </w:rPr>
              <w:t>mu, vývoje a projektů v MSP</w:t>
            </w:r>
            <w:r w:rsidRPr="0032299A">
              <w:rPr>
                <w:sz w:val="20"/>
                <w:szCs w:val="20"/>
              </w:rPr>
              <w:t xml:space="preserve"> v oblasti čisté mobility a využití alternativních paliv v dopravě</w:t>
            </w:r>
          </w:p>
        </w:tc>
        <w:tc>
          <w:tcPr>
            <w:tcW w:w="850" w:type="dxa"/>
          </w:tcPr>
          <w:p w:rsidR="0096312A" w:rsidRPr="0032299A" w:rsidRDefault="0096312A" w:rsidP="00A36BEB">
            <w:pPr>
              <w:rPr>
                <w:rFonts w:cs="Times New Roman"/>
                <w:sz w:val="20"/>
                <w:szCs w:val="20"/>
              </w:rPr>
            </w:pPr>
            <w:r w:rsidRPr="0032299A">
              <w:rPr>
                <w:sz w:val="20"/>
                <w:szCs w:val="20"/>
              </w:rPr>
              <w:t xml:space="preserve">MPO </w:t>
            </w:r>
            <w:r w:rsidR="00A36BEB">
              <w:rPr>
                <w:sz w:val="20"/>
                <w:szCs w:val="20"/>
              </w:rPr>
              <w:t>31000</w:t>
            </w:r>
          </w:p>
        </w:tc>
        <w:tc>
          <w:tcPr>
            <w:tcW w:w="1276" w:type="dxa"/>
          </w:tcPr>
          <w:p w:rsidR="0096312A" w:rsidRPr="0032299A" w:rsidRDefault="006850CB" w:rsidP="006850CB">
            <w:pPr>
              <w:jc w:val="left"/>
              <w:rPr>
                <w:sz w:val="20"/>
                <w:szCs w:val="20"/>
              </w:rPr>
            </w:pPr>
            <w:r w:rsidRPr="0032299A">
              <w:rPr>
                <w:sz w:val="20"/>
                <w:szCs w:val="20"/>
              </w:rPr>
              <w:t>MD, MŽP, MF, MMR</w:t>
            </w:r>
          </w:p>
        </w:tc>
        <w:tc>
          <w:tcPr>
            <w:tcW w:w="1134" w:type="dxa"/>
          </w:tcPr>
          <w:p w:rsidR="0096312A" w:rsidRPr="0032299A" w:rsidRDefault="006850CB" w:rsidP="0096312A">
            <w:pPr>
              <w:rPr>
                <w:sz w:val="20"/>
                <w:szCs w:val="20"/>
              </w:rPr>
            </w:pPr>
            <w:r w:rsidRPr="0032299A">
              <w:rPr>
                <w:sz w:val="20"/>
                <w:szCs w:val="20"/>
              </w:rPr>
              <w:t>Průběžně</w:t>
            </w:r>
          </w:p>
        </w:tc>
        <w:tc>
          <w:tcPr>
            <w:tcW w:w="1276" w:type="dxa"/>
          </w:tcPr>
          <w:p w:rsidR="0096312A" w:rsidRPr="0032299A" w:rsidRDefault="0096312A" w:rsidP="0096312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069D0" w:rsidRPr="0032299A" w:rsidRDefault="00D069D0" w:rsidP="009B74B8">
            <w:pPr>
              <w:rPr>
                <w:sz w:val="20"/>
                <w:szCs w:val="20"/>
              </w:rPr>
            </w:pPr>
            <w:r w:rsidRPr="0032299A">
              <w:rPr>
                <w:sz w:val="20"/>
                <w:szCs w:val="20"/>
              </w:rPr>
              <w:t>Národní akční plán čisté mobility (NAP CM) jako jeden z</w:t>
            </w:r>
            <w:r w:rsidRPr="0032299A">
              <w:t xml:space="preserve"> </w:t>
            </w:r>
            <w:r w:rsidRPr="0032299A">
              <w:rPr>
                <w:sz w:val="20"/>
                <w:szCs w:val="20"/>
              </w:rPr>
              <w:t>nelegislativních úkolů MPO,</w:t>
            </w:r>
            <w:r w:rsidR="0032299A">
              <w:rPr>
                <w:sz w:val="20"/>
                <w:szCs w:val="20"/>
              </w:rPr>
              <w:t xml:space="preserve"> </w:t>
            </w:r>
            <w:r w:rsidRPr="0032299A">
              <w:rPr>
                <w:sz w:val="20"/>
                <w:szCs w:val="20"/>
              </w:rPr>
              <w:t>vyplývajících z aktualizace Státní energetické koncepce.</w:t>
            </w:r>
          </w:p>
          <w:p w:rsidR="0096312A" w:rsidRPr="0032299A" w:rsidRDefault="009B74B8" w:rsidP="00D069D0">
            <w:pPr>
              <w:rPr>
                <w:rFonts w:cs="Times New Roman"/>
                <w:sz w:val="20"/>
                <w:szCs w:val="20"/>
              </w:rPr>
            </w:pPr>
            <w:r w:rsidRPr="0032299A">
              <w:rPr>
                <w:sz w:val="20"/>
                <w:szCs w:val="20"/>
              </w:rPr>
              <w:t xml:space="preserve">Národní akční plán čisté mobility   - </w:t>
            </w:r>
            <w:r w:rsidR="00D069D0" w:rsidRPr="0032299A">
              <w:rPr>
                <w:sz w:val="20"/>
                <w:szCs w:val="20"/>
              </w:rPr>
              <w:t>je zaměřen</w:t>
            </w:r>
            <w:r w:rsidRPr="0032299A">
              <w:rPr>
                <w:sz w:val="20"/>
                <w:szCs w:val="20"/>
              </w:rPr>
              <w:t xml:space="preserve"> na využití alternativních druhů paliv, lepší kvalitu ovzduší, snížení emisí znečišťujících látek a skleníkových plynů vznikajících z dopravy. Přijatý program má být také zaměřen na závazky vyplývající z Plánu jednotného evropského dopravního prostoru. </w:t>
            </w:r>
          </w:p>
        </w:tc>
      </w:tr>
      <w:tr w:rsidR="009D30BE" w:rsidRPr="00283744" w:rsidTr="0094531A">
        <w:tc>
          <w:tcPr>
            <w:tcW w:w="2269" w:type="dxa"/>
            <w:shd w:val="clear" w:color="auto" w:fill="auto"/>
          </w:tcPr>
          <w:p w:rsidR="009D30BE" w:rsidRPr="006850CB" w:rsidRDefault="009D30BE" w:rsidP="007C44BF">
            <w:pPr>
              <w:pStyle w:val="Odstavecseseznamem"/>
              <w:numPr>
                <w:ilvl w:val="0"/>
                <w:numId w:val="13"/>
              </w:numPr>
              <w:jc w:val="left"/>
              <w:rPr>
                <w:sz w:val="20"/>
                <w:szCs w:val="20"/>
              </w:rPr>
            </w:pPr>
            <w:r w:rsidRPr="009D30BE">
              <w:rPr>
                <w:sz w:val="20"/>
                <w:szCs w:val="20"/>
              </w:rPr>
              <w:t>Příprava a vyhlá</w:t>
            </w:r>
            <w:r>
              <w:rPr>
                <w:sz w:val="20"/>
                <w:szCs w:val="20"/>
              </w:rPr>
              <w:t xml:space="preserve">šení výzev programů podpory </w:t>
            </w:r>
            <w:r w:rsidRPr="009D30BE">
              <w:rPr>
                <w:sz w:val="20"/>
                <w:szCs w:val="20"/>
              </w:rPr>
              <w:t>směřujících</w:t>
            </w:r>
            <w:r w:rsidR="007C44BF">
              <w:rPr>
                <w:sz w:val="20"/>
                <w:szCs w:val="20"/>
              </w:rPr>
              <w:t xml:space="preserve"> ke</w:t>
            </w:r>
            <w:r w:rsidR="007C44BF" w:rsidRPr="002A001A">
              <w:rPr>
                <w:sz w:val="20"/>
                <w:szCs w:val="20"/>
              </w:rPr>
              <w:t xml:space="preserve"> zlepšení kvality, spolehlivosti, bezpečnosti a udržitelnosti dodávek elektřiny konečným zákazníkům</w:t>
            </w:r>
          </w:p>
        </w:tc>
        <w:tc>
          <w:tcPr>
            <w:tcW w:w="850" w:type="dxa"/>
          </w:tcPr>
          <w:p w:rsidR="009D30BE" w:rsidRPr="00CC2604" w:rsidRDefault="009D30BE" w:rsidP="009D30BE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MPO 61</w:t>
            </w:r>
            <w:r w:rsidR="00E46FF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9D30BE" w:rsidRDefault="009D30BE" w:rsidP="009D30BE">
            <w:pPr>
              <w:spacing w:after="0"/>
              <w:jc w:val="left"/>
              <w:rPr>
                <w:sz w:val="20"/>
                <w:szCs w:val="20"/>
              </w:rPr>
            </w:pPr>
            <w:r w:rsidRPr="00CC2604">
              <w:rPr>
                <w:sz w:val="20"/>
                <w:szCs w:val="20"/>
              </w:rPr>
              <w:t xml:space="preserve">MPO 32000, </w:t>
            </w:r>
            <w:proofErr w:type="spellStart"/>
            <w:r w:rsidR="00841EA8" w:rsidRPr="00010B84">
              <w:rPr>
                <w:sz w:val="20"/>
                <w:szCs w:val="20"/>
              </w:rPr>
              <w:t>CzechInvest</w:t>
            </w:r>
            <w:proofErr w:type="spellEnd"/>
            <w:r w:rsidR="00841EA8" w:rsidRPr="00010B84">
              <w:rPr>
                <w:sz w:val="20"/>
                <w:szCs w:val="20"/>
              </w:rPr>
              <w:t xml:space="preserve"> (příp. API)</w:t>
            </w:r>
          </w:p>
        </w:tc>
        <w:tc>
          <w:tcPr>
            <w:tcW w:w="1134" w:type="dxa"/>
          </w:tcPr>
          <w:p w:rsidR="009D30BE" w:rsidRDefault="009D30BE" w:rsidP="009D30BE">
            <w:pPr>
              <w:spacing w:after="0"/>
              <w:rPr>
                <w:sz w:val="20"/>
                <w:szCs w:val="20"/>
              </w:rPr>
            </w:pPr>
            <w:r w:rsidRPr="00CC2604">
              <w:rPr>
                <w:sz w:val="20"/>
                <w:szCs w:val="20"/>
              </w:rPr>
              <w:t>Dle harmonogramu přípravy OP PIK</w:t>
            </w:r>
          </w:p>
        </w:tc>
        <w:tc>
          <w:tcPr>
            <w:tcW w:w="1276" w:type="dxa"/>
          </w:tcPr>
          <w:p w:rsidR="009D30BE" w:rsidRPr="00283744" w:rsidRDefault="009D30BE" w:rsidP="009D30BE">
            <w:pPr>
              <w:spacing w:after="0"/>
              <w:jc w:val="left"/>
              <w:rPr>
                <w:sz w:val="20"/>
                <w:szCs w:val="20"/>
                <w:highlight w:val="yellow"/>
              </w:rPr>
            </w:pPr>
            <w:r w:rsidRPr="00CC2604">
              <w:rPr>
                <w:sz w:val="20"/>
                <w:szCs w:val="20"/>
              </w:rPr>
              <w:t>PO3 OP</w:t>
            </w:r>
            <w:r>
              <w:rPr>
                <w:sz w:val="20"/>
                <w:szCs w:val="20"/>
              </w:rPr>
              <w:t xml:space="preserve"> </w:t>
            </w:r>
            <w:r w:rsidRPr="00CC2604">
              <w:rPr>
                <w:sz w:val="20"/>
                <w:szCs w:val="20"/>
              </w:rPr>
              <w:t>PIK</w:t>
            </w:r>
          </w:p>
        </w:tc>
        <w:tc>
          <w:tcPr>
            <w:tcW w:w="3118" w:type="dxa"/>
          </w:tcPr>
          <w:p w:rsidR="009D30BE" w:rsidRPr="009D30BE" w:rsidRDefault="006571DC" w:rsidP="009F17D2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Vyhlášení výzvy</w:t>
            </w:r>
            <w:r w:rsidRPr="009D30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="009D30BE" w:rsidRPr="009D30BE">
              <w:rPr>
                <w:sz w:val="20"/>
                <w:szCs w:val="20"/>
              </w:rPr>
              <w:t>rogram</w:t>
            </w:r>
            <w:r>
              <w:rPr>
                <w:sz w:val="20"/>
                <w:szCs w:val="20"/>
              </w:rPr>
              <w:t>u</w:t>
            </w:r>
            <w:r w:rsidR="009D30BE" w:rsidRPr="009D30BE">
              <w:rPr>
                <w:sz w:val="20"/>
                <w:szCs w:val="20"/>
              </w:rPr>
              <w:t xml:space="preserve"> </w:t>
            </w:r>
            <w:proofErr w:type="spellStart"/>
            <w:r w:rsidR="009D30BE" w:rsidRPr="009D30BE">
              <w:rPr>
                <w:sz w:val="20"/>
                <w:szCs w:val="20"/>
              </w:rPr>
              <w:t>Smart</w:t>
            </w:r>
            <w:proofErr w:type="spellEnd"/>
            <w:r w:rsidR="009D30BE" w:rsidRPr="009D30BE">
              <w:rPr>
                <w:sz w:val="20"/>
                <w:szCs w:val="20"/>
              </w:rPr>
              <w:t xml:space="preserve"> </w:t>
            </w:r>
            <w:proofErr w:type="spellStart"/>
            <w:r w:rsidR="009D30BE" w:rsidRPr="009D30BE">
              <w:rPr>
                <w:sz w:val="20"/>
                <w:szCs w:val="20"/>
              </w:rPr>
              <w:t>grids</w:t>
            </w:r>
            <w:proofErr w:type="spellEnd"/>
            <w:r w:rsidR="009D30BE" w:rsidRPr="009D30BE">
              <w:rPr>
                <w:sz w:val="20"/>
                <w:szCs w:val="20"/>
              </w:rPr>
              <w:t xml:space="preserve"> I </w:t>
            </w:r>
            <w:r w:rsidR="009F17D2" w:rsidRPr="009F17D2">
              <w:rPr>
                <w:sz w:val="20"/>
                <w:szCs w:val="20"/>
              </w:rPr>
              <w:t xml:space="preserve">(distribuční sítě) </w:t>
            </w:r>
            <w:r w:rsidR="009D30BE" w:rsidRPr="009D30BE">
              <w:rPr>
                <w:sz w:val="20"/>
                <w:szCs w:val="20"/>
              </w:rPr>
              <w:t xml:space="preserve">- </w:t>
            </w:r>
            <w:r w:rsidR="00237E1E">
              <w:rPr>
                <w:sz w:val="20"/>
                <w:szCs w:val="20"/>
              </w:rPr>
              <w:t>P</w:t>
            </w:r>
            <w:r w:rsidR="002A001A">
              <w:rPr>
                <w:sz w:val="20"/>
                <w:szCs w:val="20"/>
              </w:rPr>
              <w:t>odpora</w:t>
            </w:r>
            <w:r w:rsidR="002A001A" w:rsidRPr="002A001A">
              <w:rPr>
                <w:sz w:val="20"/>
                <w:szCs w:val="20"/>
              </w:rPr>
              <w:t xml:space="preserve"> na nasazení automatizovaných dálkově ovládaných prvků v distribučních soustavách nebo na nasazení technologických prvků řízení napětí a výběrové osazení měření kvality elektrické energie v distribučních soustavách.</w:t>
            </w:r>
          </w:p>
          <w:p w:rsidR="009D30BE" w:rsidRPr="0032299A" w:rsidRDefault="0032299A" w:rsidP="009D30BE">
            <w:pPr>
              <w:rPr>
                <w:sz w:val="20"/>
                <w:szCs w:val="20"/>
              </w:rPr>
            </w:pPr>
            <w:r w:rsidRPr="0032299A">
              <w:rPr>
                <w:sz w:val="20"/>
                <w:szCs w:val="20"/>
              </w:rPr>
              <w:t xml:space="preserve">Program </w:t>
            </w:r>
            <w:proofErr w:type="spellStart"/>
            <w:r w:rsidR="009D30BE" w:rsidRPr="009D30BE">
              <w:rPr>
                <w:sz w:val="20"/>
                <w:szCs w:val="20"/>
              </w:rPr>
              <w:t>Smart</w:t>
            </w:r>
            <w:proofErr w:type="spellEnd"/>
            <w:r w:rsidR="009D30BE" w:rsidRPr="009D30BE">
              <w:rPr>
                <w:sz w:val="20"/>
                <w:szCs w:val="20"/>
              </w:rPr>
              <w:t xml:space="preserve"> </w:t>
            </w:r>
            <w:proofErr w:type="spellStart"/>
            <w:r w:rsidR="009D30BE" w:rsidRPr="009D30BE">
              <w:rPr>
                <w:sz w:val="20"/>
                <w:szCs w:val="20"/>
              </w:rPr>
              <w:t>grids</w:t>
            </w:r>
            <w:proofErr w:type="spellEnd"/>
            <w:r w:rsidR="009D30BE" w:rsidRPr="009D30BE">
              <w:rPr>
                <w:sz w:val="20"/>
                <w:szCs w:val="20"/>
              </w:rPr>
              <w:t xml:space="preserve"> II </w:t>
            </w:r>
            <w:r w:rsidR="002A001A" w:rsidRPr="002A001A">
              <w:rPr>
                <w:sz w:val="20"/>
                <w:szCs w:val="20"/>
              </w:rPr>
              <w:t xml:space="preserve">(přenosové soustavy) </w:t>
            </w:r>
            <w:r w:rsidR="00237E1E">
              <w:rPr>
                <w:sz w:val="20"/>
                <w:szCs w:val="20"/>
              </w:rPr>
              <w:t>– P</w:t>
            </w:r>
            <w:r w:rsidR="009D30BE" w:rsidRPr="009D30BE">
              <w:rPr>
                <w:sz w:val="20"/>
                <w:szCs w:val="20"/>
              </w:rPr>
              <w:t>odpora výstavby, posílení, modernizace a rekonstrukce vedení přenosové soustavy a transformoven (v soul</w:t>
            </w:r>
            <w:r>
              <w:rPr>
                <w:sz w:val="20"/>
                <w:szCs w:val="20"/>
              </w:rPr>
              <w:t>adu s konceptem chytrých sítí).</w:t>
            </w:r>
          </w:p>
        </w:tc>
      </w:tr>
      <w:tr w:rsidR="009D30BE" w:rsidRPr="00283744" w:rsidTr="0094531A">
        <w:tc>
          <w:tcPr>
            <w:tcW w:w="2269" w:type="dxa"/>
          </w:tcPr>
          <w:p w:rsidR="009D30BE" w:rsidRPr="0094341A" w:rsidRDefault="009D30BE" w:rsidP="0032299A">
            <w:pPr>
              <w:pStyle w:val="Odstavecseseznamem"/>
              <w:numPr>
                <w:ilvl w:val="0"/>
                <w:numId w:val="13"/>
              </w:numPr>
              <w:jc w:val="left"/>
              <w:rPr>
                <w:sz w:val="20"/>
                <w:szCs w:val="20"/>
              </w:rPr>
            </w:pPr>
            <w:r w:rsidRPr="006850CB">
              <w:rPr>
                <w:sz w:val="20"/>
                <w:szCs w:val="20"/>
              </w:rPr>
              <w:lastRenderedPageBreak/>
              <w:t>Podpora snižování energet</w:t>
            </w:r>
            <w:r w:rsidR="00C752C7">
              <w:rPr>
                <w:sz w:val="20"/>
                <w:szCs w:val="20"/>
              </w:rPr>
              <w:t>ické náročnosti budov u MSP</w:t>
            </w:r>
          </w:p>
        </w:tc>
        <w:tc>
          <w:tcPr>
            <w:tcW w:w="850" w:type="dxa"/>
          </w:tcPr>
          <w:p w:rsidR="009D30BE" w:rsidRPr="0019361B" w:rsidRDefault="009D30BE" w:rsidP="009D30BE">
            <w:pPr>
              <w:spacing w:after="0"/>
              <w:jc w:val="left"/>
              <w:rPr>
                <w:sz w:val="20"/>
                <w:szCs w:val="20"/>
                <w:highlight w:val="yellow"/>
              </w:rPr>
            </w:pPr>
            <w:r w:rsidRPr="006850CB">
              <w:rPr>
                <w:sz w:val="20"/>
                <w:szCs w:val="20"/>
              </w:rPr>
              <w:t>MPO 32000</w:t>
            </w:r>
          </w:p>
        </w:tc>
        <w:tc>
          <w:tcPr>
            <w:tcW w:w="1276" w:type="dxa"/>
          </w:tcPr>
          <w:p w:rsidR="009D30BE" w:rsidRDefault="00246299" w:rsidP="009D30BE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MPO </w:t>
            </w:r>
            <w:r w:rsidR="00F45526">
              <w:rPr>
                <w:sz w:val="20"/>
                <w:szCs w:val="20"/>
              </w:rPr>
              <w:t>610</w:t>
            </w:r>
            <w:r w:rsidRPr="00246299">
              <w:rPr>
                <w:sz w:val="20"/>
                <w:szCs w:val="20"/>
              </w:rPr>
              <w:t>00</w:t>
            </w:r>
            <w:r w:rsidR="006719AD">
              <w:rPr>
                <w:sz w:val="20"/>
                <w:szCs w:val="20"/>
              </w:rPr>
              <w:t xml:space="preserve">, </w:t>
            </w:r>
            <w:proofErr w:type="spellStart"/>
            <w:r w:rsidR="00841EA8" w:rsidRPr="003C7B36">
              <w:rPr>
                <w:sz w:val="20"/>
                <w:szCs w:val="20"/>
              </w:rPr>
              <w:t>CzechInvest</w:t>
            </w:r>
            <w:proofErr w:type="spellEnd"/>
            <w:r w:rsidR="00841EA8" w:rsidRPr="003C7B36">
              <w:rPr>
                <w:sz w:val="20"/>
                <w:szCs w:val="20"/>
              </w:rPr>
              <w:t xml:space="preserve"> (příp. API)</w:t>
            </w:r>
          </w:p>
        </w:tc>
        <w:tc>
          <w:tcPr>
            <w:tcW w:w="1134" w:type="dxa"/>
          </w:tcPr>
          <w:p w:rsidR="009D30BE" w:rsidRPr="006D7463" w:rsidRDefault="009D30BE" w:rsidP="009D30BE">
            <w:pPr>
              <w:spacing w:after="0"/>
              <w:rPr>
                <w:sz w:val="20"/>
                <w:szCs w:val="20"/>
              </w:rPr>
            </w:pPr>
            <w:r w:rsidRPr="006D7463">
              <w:rPr>
                <w:sz w:val="20"/>
                <w:szCs w:val="20"/>
              </w:rPr>
              <w:t>Dle harmonogramu přípravy OP PIK</w:t>
            </w:r>
          </w:p>
        </w:tc>
        <w:tc>
          <w:tcPr>
            <w:tcW w:w="1276" w:type="dxa"/>
          </w:tcPr>
          <w:p w:rsidR="009D30BE" w:rsidRDefault="009D30BE" w:rsidP="009D30BE">
            <w:pPr>
              <w:spacing w:after="0"/>
              <w:jc w:val="left"/>
              <w:rPr>
                <w:sz w:val="20"/>
                <w:szCs w:val="20"/>
              </w:rPr>
            </w:pPr>
            <w:r w:rsidRPr="006D7463">
              <w:rPr>
                <w:sz w:val="20"/>
                <w:szCs w:val="20"/>
              </w:rPr>
              <w:t>PO3 OP PIK</w:t>
            </w:r>
            <w:r w:rsidR="00C525AE">
              <w:rPr>
                <w:sz w:val="20"/>
                <w:szCs w:val="20"/>
              </w:rPr>
              <w:t>,</w:t>
            </w:r>
          </w:p>
          <w:p w:rsidR="00C525AE" w:rsidRPr="006D7463" w:rsidRDefault="0085246B" w:rsidP="009D30BE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Rozpočet MPO</w:t>
            </w:r>
          </w:p>
        </w:tc>
        <w:tc>
          <w:tcPr>
            <w:tcW w:w="3118" w:type="dxa"/>
          </w:tcPr>
          <w:p w:rsidR="009D30BE" w:rsidRDefault="006571DC" w:rsidP="006571DC">
            <w:pPr>
              <w:spacing w:after="0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Vyhlášení výzvy</w:t>
            </w:r>
            <w:r>
              <w:rPr>
                <w:sz w:val="20"/>
                <w:szCs w:val="20"/>
              </w:rPr>
              <w:t xml:space="preserve"> p</w:t>
            </w:r>
            <w:r w:rsidR="00C752C7">
              <w:rPr>
                <w:sz w:val="20"/>
                <w:szCs w:val="20"/>
              </w:rPr>
              <w:t>rogram</w:t>
            </w:r>
            <w:r>
              <w:rPr>
                <w:sz w:val="20"/>
                <w:szCs w:val="20"/>
              </w:rPr>
              <w:t>u</w:t>
            </w:r>
            <w:r w:rsidR="00C752C7">
              <w:rPr>
                <w:sz w:val="20"/>
                <w:szCs w:val="20"/>
              </w:rPr>
              <w:t xml:space="preserve"> Úspory energie - P</w:t>
            </w:r>
            <w:r w:rsidR="009D30BE" w:rsidRPr="006D7463">
              <w:rPr>
                <w:sz w:val="20"/>
                <w:szCs w:val="20"/>
              </w:rPr>
              <w:t>odpor</w:t>
            </w:r>
            <w:r w:rsidR="00A5779F">
              <w:rPr>
                <w:sz w:val="20"/>
                <w:szCs w:val="20"/>
              </w:rPr>
              <w:t>a</w:t>
            </w:r>
            <w:r w:rsidR="009D30BE" w:rsidRPr="006D7463">
              <w:rPr>
                <w:sz w:val="20"/>
                <w:szCs w:val="20"/>
              </w:rPr>
              <w:t xml:space="preserve"> realizac</w:t>
            </w:r>
            <w:r w:rsidR="00A5779F">
              <w:rPr>
                <w:sz w:val="20"/>
                <w:szCs w:val="20"/>
              </w:rPr>
              <w:t>e</w:t>
            </w:r>
            <w:r w:rsidR="009D30BE" w:rsidRPr="006D7463">
              <w:rPr>
                <w:sz w:val="20"/>
                <w:szCs w:val="20"/>
              </w:rPr>
              <w:t xml:space="preserve"> opatření k hospodárnému užití energie a snížení zátěže životního prostředí. Dotace směřují konkrétně na úspory energie ve veřejném osvětlení, na rekonstrukce otopné soustavy, na energetický management a metodu EPC, na poradenství EKIS, na vzdělávání, propagaci a na pilotní projekty.</w:t>
            </w:r>
          </w:p>
          <w:p w:rsidR="00C525AE" w:rsidRDefault="00C525AE" w:rsidP="006571DC">
            <w:pPr>
              <w:spacing w:after="0"/>
              <w:rPr>
                <w:sz w:val="20"/>
                <w:szCs w:val="20"/>
              </w:rPr>
            </w:pPr>
          </w:p>
          <w:p w:rsidR="00C525AE" w:rsidRPr="006D7463" w:rsidRDefault="00C525AE" w:rsidP="00C525AE">
            <w:pPr>
              <w:spacing w:after="0"/>
              <w:rPr>
                <w:sz w:val="20"/>
                <w:szCs w:val="20"/>
              </w:rPr>
            </w:pPr>
            <w:r w:rsidRPr="00C525AE">
              <w:rPr>
                <w:sz w:val="20"/>
                <w:szCs w:val="20"/>
              </w:rPr>
              <w:t>Státní program na podporu úspor energie a využití obnovitelných zdrojů energie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383B34"/>
                <w:sz w:val="17"/>
                <w:szCs w:val="17"/>
              </w:rPr>
              <w:t>EFEKT 2016 -</w:t>
            </w:r>
            <w:r w:rsidRPr="00C525AE">
              <w:rPr>
                <w:rFonts w:ascii="Tahoma" w:hAnsi="Tahoma" w:cs="Tahoma"/>
                <w:color w:val="383B34"/>
                <w:sz w:val="17"/>
                <w:szCs w:val="17"/>
              </w:rPr>
              <w:t xml:space="preserve"> D</w:t>
            </w:r>
            <w:r w:rsidRPr="00C525AE">
              <w:rPr>
                <w:rFonts w:ascii="Tahoma" w:hAnsi="Tahoma" w:cs="Tahoma"/>
                <w:bCs/>
                <w:color w:val="383B34"/>
                <w:sz w:val="17"/>
                <w:szCs w:val="17"/>
              </w:rPr>
              <w:t>otace na provoz</w:t>
            </w:r>
            <w:r>
              <w:rPr>
                <w:rFonts w:ascii="Tahoma" w:hAnsi="Tahoma" w:cs="Tahoma"/>
                <w:color w:val="383B34"/>
                <w:sz w:val="17"/>
                <w:szCs w:val="17"/>
              </w:rPr>
              <w:t xml:space="preserve"> energetických a konzultačních informačních středisek, tzv. EKIS.</w:t>
            </w:r>
          </w:p>
        </w:tc>
      </w:tr>
      <w:tr w:rsidR="009D30BE" w:rsidRPr="00283744" w:rsidTr="0094531A">
        <w:tc>
          <w:tcPr>
            <w:tcW w:w="2269" w:type="dxa"/>
          </w:tcPr>
          <w:p w:rsidR="009D30BE" w:rsidRPr="006850CB" w:rsidRDefault="00317B60" w:rsidP="0032299A">
            <w:pPr>
              <w:pStyle w:val="Odstavecseseznamem"/>
              <w:numPr>
                <w:ilvl w:val="0"/>
                <w:numId w:val="1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D30BE">
              <w:rPr>
                <w:sz w:val="20"/>
                <w:szCs w:val="20"/>
              </w:rPr>
              <w:t xml:space="preserve">odpory MSP směřujících </w:t>
            </w:r>
            <w:r w:rsidR="009D30BE" w:rsidRPr="00184F40">
              <w:rPr>
                <w:sz w:val="20"/>
                <w:szCs w:val="20"/>
              </w:rPr>
              <w:t>k zavádění nových technologií v oblasti nakládá</w:t>
            </w:r>
            <w:r w:rsidR="0032299A">
              <w:rPr>
                <w:sz w:val="20"/>
                <w:szCs w:val="20"/>
              </w:rPr>
              <w:t>ní energií a druhotných surovin</w:t>
            </w:r>
          </w:p>
        </w:tc>
        <w:tc>
          <w:tcPr>
            <w:tcW w:w="850" w:type="dxa"/>
          </w:tcPr>
          <w:p w:rsidR="009D30BE" w:rsidRPr="00CC2604" w:rsidRDefault="005F68D7" w:rsidP="009D30BE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MPO 610</w:t>
            </w:r>
            <w:r w:rsidR="009D30BE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9D30BE" w:rsidRDefault="009D30BE" w:rsidP="009D30BE">
            <w:pPr>
              <w:spacing w:after="0"/>
              <w:jc w:val="left"/>
              <w:rPr>
                <w:sz w:val="20"/>
                <w:szCs w:val="20"/>
              </w:rPr>
            </w:pPr>
            <w:r w:rsidRPr="00CC2604">
              <w:rPr>
                <w:sz w:val="20"/>
                <w:szCs w:val="20"/>
              </w:rPr>
              <w:t xml:space="preserve">MPO 32000, </w:t>
            </w:r>
            <w:proofErr w:type="spellStart"/>
            <w:r w:rsidR="00841EA8" w:rsidRPr="00010B84">
              <w:rPr>
                <w:sz w:val="20"/>
                <w:szCs w:val="20"/>
              </w:rPr>
              <w:t>CzechInvest</w:t>
            </w:r>
            <w:proofErr w:type="spellEnd"/>
            <w:r w:rsidR="00841EA8" w:rsidRPr="00010B84">
              <w:rPr>
                <w:sz w:val="20"/>
                <w:szCs w:val="20"/>
              </w:rPr>
              <w:t xml:space="preserve"> (příp. API)</w:t>
            </w:r>
          </w:p>
        </w:tc>
        <w:tc>
          <w:tcPr>
            <w:tcW w:w="1134" w:type="dxa"/>
          </w:tcPr>
          <w:p w:rsidR="009D30BE" w:rsidRDefault="009D30BE" w:rsidP="009D30BE">
            <w:pPr>
              <w:spacing w:after="0"/>
              <w:rPr>
                <w:sz w:val="20"/>
                <w:szCs w:val="20"/>
              </w:rPr>
            </w:pPr>
            <w:r w:rsidRPr="00CC2604">
              <w:rPr>
                <w:sz w:val="20"/>
                <w:szCs w:val="20"/>
              </w:rPr>
              <w:t>Dle harmonogramu přípravy OP PIK</w:t>
            </w:r>
          </w:p>
        </w:tc>
        <w:tc>
          <w:tcPr>
            <w:tcW w:w="1276" w:type="dxa"/>
          </w:tcPr>
          <w:p w:rsidR="009D30BE" w:rsidRPr="00283744" w:rsidRDefault="009D30BE" w:rsidP="009D30BE">
            <w:pPr>
              <w:spacing w:after="0"/>
              <w:jc w:val="left"/>
              <w:rPr>
                <w:sz w:val="20"/>
                <w:szCs w:val="20"/>
                <w:highlight w:val="yellow"/>
              </w:rPr>
            </w:pPr>
            <w:r w:rsidRPr="00CC2604">
              <w:rPr>
                <w:sz w:val="20"/>
                <w:szCs w:val="20"/>
              </w:rPr>
              <w:t>PO3 OP</w:t>
            </w:r>
            <w:r>
              <w:rPr>
                <w:sz w:val="20"/>
                <w:szCs w:val="20"/>
              </w:rPr>
              <w:t xml:space="preserve"> </w:t>
            </w:r>
            <w:r w:rsidRPr="00CC2604">
              <w:rPr>
                <w:sz w:val="20"/>
                <w:szCs w:val="20"/>
              </w:rPr>
              <w:t>PIK</w:t>
            </w:r>
          </w:p>
        </w:tc>
        <w:tc>
          <w:tcPr>
            <w:tcW w:w="3118" w:type="dxa"/>
          </w:tcPr>
          <w:p w:rsidR="009D30BE" w:rsidRPr="006D7463" w:rsidRDefault="00317B60" w:rsidP="00317B60">
            <w:pPr>
              <w:spacing w:after="0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Vyhlášení výzvy</w:t>
            </w:r>
            <w:r>
              <w:rPr>
                <w:sz w:val="20"/>
                <w:szCs w:val="20"/>
              </w:rPr>
              <w:t xml:space="preserve"> p</w:t>
            </w:r>
            <w:r w:rsidR="0032299A">
              <w:rPr>
                <w:sz w:val="20"/>
                <w:szCs w:val="20"/>
              </w:rPr>
              <w:t>rogram</w:t>
            </w:r>
            <w:r>
              <w:rPr>
                <w:sz w:val="20"/>
                <w:szCs w:val="20"/>
              </w:rPr>
              <w:t>u</w:t>
            </w:r>
            <w:r w:rsidR="0032299A">
              <w:rPr>
                <w:sz w:val="20"/>
                <w:szCs w:val="20"/>
              </w:rPr>
              <w:t xml:space="preserve"> </w:t>
            </w:r>
            <w:r w:rsidR="009D30BE" w:rsidRPr="001B4A64">
              <w:rPr>
                <w:sz w:val="20"/>
                <w:szCs w:val="20"/>
              </w:rPr>
              <w:t>N</w:t>
            </w:r>
            <w:r w:rsidR="009D30BE">
              <w:rPr>
                <w:sz w:val="20"/>
                <w:szCs w:val="20"/>
              </w:rPr>
              <w:t>ízkouhlíkové technologie</w:t>
            </w:r>
            <w:r w:rsidR="009F17D2">
              <w:rPr>
                <w:sz w:val="20"/>
                <w:szCs w:val="20"/>
              </w:rPr>
              <w:t xml:space="preserve"> – Cílem programu</w:t>
            </w:r>
            <w:r w:rsidR="009F17D2" w:rsidRPr="009F17D2">
              <w:rPr>
                <w:sz w:val="20"/>
                <w:szCs w:val="20"/>
              </w:rPr>
              <w:t xml:space="preserve"> je vyšší míra uplatnění nízkouhlíkových technologií v oblasti nakládání energií a tím zvýšení využívání druhotných surovin.</w:t>
            </w:r>
          </w:p>
        </w:tc>
      </w:tr>
    </w:tbl>
    <w:p w:rsidR="00357D4D" w:rsidRDefault="00357D4D" w:rsidP="00B85473">
      <w:pPr>
        <w:rPr>
          <w:b/>
          <w:sz w:val="24"/>
          <w:szCs w:val="24"/>
        </w:rPr>
      </w:pPr>
    </w:p>
    <w:p w:rsidR="0028577F" w:rsidRDefault="0028577F" w:rsidP="00B85473">
      <w:pPr>
        <w:rPr>
          <w:b/>
        </w:rPr>
      </w:pPr>
    </w:p>
    <w:p w:rsidR="00C53CE4" w:rsidRDefault="00C53CE4" w:rsidP="00B85473">
      <w:pPr>
        <w:rPr>
          <w:b/>
        </w:rPr>
      </w:pPr>
    </w:p>
    <w:p w:rsidR="004F0FA8" w:rsidRDefault="004F0FA8" w:rsidP="00B85473">
      <w:pPr>
        <w:rPr>
          <w:b/>
        </w:rPr>
      </w:pPr>
    </w:p>
    <w:p w:rsidR="004F0FA8" w:rsidRDefault="004F0FA8" w:rsidP="00B85473">
      <w:pPr>
        <w:rPr>
          <w:b/>
        </w:rPr>
      </w:pPr>
    </w:p>
    <w:p w:rsidR="004F0FA8" w:rsidRDefault="004F0FA8" w:rsidP="00B85473">
      <w:pPr>
        <w:rPr>
          <w:b/>
        </w:rPr>
      </w:pPr>
    </w:p>
    <w:p w:rsidR="004F0FA8" w:rsidRDefault="004F0FA8" w:rsidP="00B85473">
      <w:pPr>
        <w:rPr>
          <w:b/>
        </w:rPr>
      </w:pPr>
    </w:p>
    <w:p w:rsidR="004F0FA8" w:rsidRDefault="004F0FA8" w:rsidP="00B85473">
      <w:pPr>
        <w:rPr>
          <w:b/>
        </w:rPr>
      </w:pPr>
    </w:p>
    <w:p w:rsidR="004F0FA8" w:rsidRDefault="004F0FA8" w:rsidP="00B85473">
      <w:pPr>
        <w:rPr>
          <w:b/>
        </w:rPr>
      </w:pPr>
    </w:p>
    <w:p w:rsidR="004F0FA8" w:rsidRDefault="004F0FA8" w:rsidP="00B85473">
      <w:pPr>
        <w:rPr>
          <w:b/>
        </w:rPr>
      </w:pPr>
    </w:p>
    <w:p w:rsidR="004F0FA8" w:rsidRDefault="004F0FA8" w:rsidP="00B85473">
      <w:pPr>
        <w:rPr>
          <w:b/>
        </w:rPr>
      </w:pPr>
    </w:p>
    <w:p w:rsidR="004F0FA8" w:rsidRDefault="004F0FA8" w:rsidP="00B85473">
      <w:pPr>
        <w:rPr>
          <w:b/>
        </w:rPr>
      </w:pPr>
    </w:p>
    <w:p w:rsidR="004F0FA8" w:rsidRDefault="004F0FA8" w:rsidP="00B85473">
      <w:pPr>
        <w:rPr>
          <w:b/>
        </w:rPr>
      </w:pPr>
    </w:p>
    <w:p w:rsidR="004F0FA8" w:rsidRDefault="004F0FA8" w:rsidP="00B85473">
      <w:pPr>
        <w:rPr>
          <w:b/>
        </w:rPr>
      </w:pPr>
    </w:p>
    <w:p w:rsidR="004F0FA8" w:rsidRDefault="004F0FA8" w:rsidP="00B85473">
      <w:pPr>
        <w:rPr>
          <w:b/>
        </w:rPr>
      </w:pPr>
    </w:p>
    <w:p w:rsidR="004F0FA8" w:rsidRDefault="004F0FA8" w:rsidP="00B85473">
      <w:pPr>
        <w:rPr>
          <w:b/>
        </w:rPr>
      </w:pPr>
    </w:p>
    <w:p w:rsidR="004F0FA8" w:rsidRDefault="004F0FA8" w:rsidP="00B85473">
      <w:pPr>
        <w:rPr>
          <w:b/>
        </w:rPr>
      </w:pPr>
    </w:p>
    <w:p w:rsidR="004F0FA8" w:rsidRDefault="004F0FA8" w:rsidP="00B85473">
      <w:pPr>
        <w:rPr>
          <w:b/>
        </w:rPr>
      </w:pPr>
    </w:p>
    <w:p w:rsidR="004F0FA8" w:rsidRDefault="004F0FA8" w:rsidP="00B85473">
      <w:pPr>
        <w:rPr>
          <w:b/>
        </w:rPr>
      </w:pPr>
    </w:p>
    <w:p w:rsidR="002D0277" w:rsidRDefault="002D0277" w:rsidP="00B85473">
      <w:pPr>
        <w:rPr>
          <w:b/>
        </w:rPr>
      </w:pPr>
    </w:p>
    <w:p w:rsidR="002D0277" w:rsidRDefault="002D0277" w:rsidP="00B85473">
      <w:pPr>
        <w:rPr>
          <w:b/>
        </w:rPr>
      </w:pPr>
    </w:p>
    <w:p w:rsidR="00C53CE4" w:rsidRDefault="00C53CE4" w:rsidP="00B85473">
      <w:pPr>
        <w:rPr>
          <w:b/>
        </w:rPr>
      </w:pPr>
    </w:p>
    <w:p w:rsidR="00B85473" w:rsidRPr="00237E1E" w:rsidRDefault="003475BB" w:rsidP="00B85473">
      <w:pPr>
        <w:rPr>
          <w:b/>
        </w:rPr>
      </w:pPr>
      <w:r w:rsidRPr="00237E1E">
        <w:rPr>
          <w:b/>
        </w:rPr>
        <w:t>Seznam zkratek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7"/>
        <w:gridCol w:w="7145"/>
      </w:tblGrid>
      <w:tr w:rsidR="00A5066C" w:rsidRPr="0019711C" w:rsidTr="00545B97">
        <w:trPr>
          <w:trHeight w:val="340"/>
        </w:trPr>
        <w:tc>
          <w:tcPr>
            <w:tcW w:w="1927" w:type="dxa"/>
            <w:vAlign w:val="center"/>
          </w:tcPr>
          <w:p w:rsidR="00A5066C" w:rsidRPr="00237E1E" w:rsidRDefault="00A5066C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r w:rsidR="008B3E3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7145" w:type="dxa"/>
            <w:vAlign w:val="center"/>
          </w:tcPr>
          <w:p w:rsidR="00A5066C" w:rsidRPr="00237E1E" w:rsidRDefault="008B3E30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1FF2">
              <w:rPr>
                <w:rFonts w:asciiTheme="minorHAnsi" w:hAnsiTheme="minorHAnsi" w:cstheme="minorHAnsi"/>
                <w:sz w:val="20"/>
                <w:szCs w:val="20"/>
              </w:rPr>
              <w:t>Agentura pro podnikání a inovace</w:t>
            </w:r>
          </w:p>
        </w:tc>
      </w:tr>
      <w:tr w:rsidR="008B3E30" w:rsidRPr="0019711C" w:rsidTr="00545B97">
        <w:trPr>
          <w:trHeight w:val="340"/>
        </w:trPr>
        <w:tc>
          <w:tcPr>
            <w:tcW w:w="1927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AP MSP</w:t>
            </w:r>
          </w:p>
        </w:tc>
        <w:tc>
          <w:tcPr>
            <w:tcW w:w="7145" w:type="dxa"/>
            <w:vAlign w:val="center"/>
          </w:tcPr>
          <w:p w:rsidR="00DB42B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Akční plán podpory malého a středního podnikání na rok 2016</w:t>
            </w:r>
          </w:p>
        </w:tc>
      </w:tr>
      <w:tr w:rsidR="00DB42B0" w:rsidRPr="0019711C" w:rsidTr="00545B97">
        <w:trPr>
          <w:trHeight w:val="340"/>
        </w:trPr>
        <w:tc>
          <w:tcPr>
            <w:tcW w:w="1927" w:type="dxa"/>
            <w:vAlign w:val="center"/>
          </w:tcPr>
          <w:p w:rsidR="00DB42B0" w:rsidRPr="00237E1E" w:rsidRDefault="00DB42B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B42B0">
              <w:rPr>
                <w:rFonts w:asciiTheme="minorHAnsi" w:hAnsiTheme="minorHAnsi" w:cstheme="minorHAnsi"/>
                <w:sz w:val="20"/>
                <w:szCs w:val="20"/>
              </w:rPr>
              <w:t>B2C</w:t>
            </w:r>
          </w:p>
        </w:tc>
        <w:tc>
          <w:tcPr>
            <w:tcW w:w="7145" w:type="dxa"/>
            <w:vAlign w:val="center"/>
          </w:tcPr>
          <w:p w:rsidR="00DB42B0" w:rsidRPr="00237E1E" w:rsidRDefault="00DB42B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B42B0">
              <w:rPr>
                <w:rFonts w:asciiTheme="minorHAnsi" w:hAnsiTheme="minorHAnsi" w:cstheme="minorHAnsi"/>
                <w:sz w:val="20"/>
                <w:szCs w:val="20"/>
              </w:rPr>
              <w:t>Business-to-</w:t>
            </w:r>
            <w:proofErr w:type="spellStart"/>
            <w:r w:rsidRPr="00DB42B0">
              <w:rPr>
                <w:rFonts w:asciiTheme="minorHAnsi" w:hAnsiTheme="minorHAnsi" w:cstheme="minorHAnsi"/>
                <w:sz w:val="20"/>
                <w:szCs w:val="20"/>
              </w:rPr>
              <w:t>consumer</w:t>
            </w:r>
            <w:proofErr w:type="spellEnd"/>
          </w:p>
        </w:tc>
      </w:tr>
      <w:tr w:rsidR="008B3E30" w:rsidRPr="0019711C" w:rsidTr="00545B97">
        <w:trPr>
          <w:trHeight w:val="340"/>
        </w:trPr>
        <w:tc>
          <w:tcPr>
            <w:tcW w:w="1927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</w:p>
        </w:tc>
        <w:tc>
          <w:tcPr>
            <w:tcW w:w="7145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 xml:space="preserve">Agentura pro podporu podnikání a investic </w:t>
            </w: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CzechInvest</w:t>
            </w:r>
            <w:proofErr w:type="spellEnd"/>
          </w:p>
        </w:tc>
      </w:tr>
      <w:tr w:rsidR="008B3E30" w:rsidRPr="0019711C" w:rsidTr="00545B97">
        <w:trPr>
          <w:trHeight w:val="340"/>
        </w:trPr>
        <w:tc>
          <w:tcPr>
            <w:tcW w:w="1927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CT</w:t>
            </w:r>
          </w:p>
        </w:tc>
        <w:tc>
          <w:tcPr>
            <w:tcW w:w="7145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 xml:space="preserve">Agentura na podporu exportu </w:t>
            </w: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CzechTrade</w:t>
            </w:r>
            <w:proofErr w:type="spellEnd"/>
          </w:p>
        </w:tc>
      </w:tr>
      <w:tr w:rsidR="008B3E30" w:rsidRPr="0019711C" w:rsidTr="00545B97">
        <w:trPr>
          <w:trHeight w:val="340"/>
        </w:trPr>
        <w:tc>
          <w:tcPr>
            <w:tcW w:w="1927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COSME</w:t>
            </w:r>
          </w:p>
        </w:tc>
        <w:tc>
          <w:tcPr>
            <w:tcW w:w="7145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proofErr w:type="spellEnd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Competitiveness</w:t>
            </w:r>
            <w:proofErr w:type="spellEnd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Enterprises</w:t>
            </w:r>
            <w:proofErr w:type="spellEnd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small</w:t>
            </w:r>
            <w:proofErr w:type="spellEnd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 xml:space="preserve"> medium-</w:t>
            </w: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sized</w:t>
            </w:r>
            <w:proofErr w:type="spellEnd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enterprises</w:t>
            </w:r>
            <w:proofErr w:type="spellEnd"/>
          </w:p>
        </w:tc>
      </w:tr>
      <w:tr w:rsidR="008B3E30" w:rsidRPr="0019711C" w:rsidTr="00545B97">
        <w:trPr>
          <w:trHeight w:val="340"/>
        </w:trPr>
        <w:tc>
          <w:tcPr>
            <w:tcW w:w="1927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CZELO</w:t>
            </w:r>
          </w:p>
        </w:tc>
        <w:tc>
          <w:tcPr>
            <w:tcW w:w="7145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Česká styčná kancelář pro výzkum, vývoj a inovace</w:t>
            </w:r>
          </w:p>
        </w:tc>
      </w:tr>
      <w:tr w:rsidR="008B3E30" w:rsidRPr="0019711C" w:rsidTr="00545B97">
        <w:trPr>
          <w:trHeight w:val="340"/>
        </w:trPr>
        <w:tc>
          <w:tcPr>
            <w:tcW w:w="1927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ČEB</w:t>
            </w:r>
          </w:p>
        </w:tc>
        <w:tc>
          <w:tcPr>
            <w:tcW w:w="7145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Česká exportní banka</w:t>
            </w:r>
          </w:p>
        </w:tc>
      </w:tr>
      <w:tr w:rsidR="008B3E30" w:rsidRPr="0019711C" w:rsidTr="00545B97">
        <w:trPr>
          <w:trHeight w:val="340"/>
        </w:trPr>
        <w:tc>
          <w:tcPr>
            <w:tcW w:w="1927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ČMZRB</w:t>
            </w:r>
          </w:p>
        </w:tc>
        <w:tc>
          <w:tcPr>
            <w:tcW w:w="7145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Českomoravská záruční a rozvojová banka, a.s.</w:t>
            </w:r>
          </w:p>
        </w:tc>
      </w:tr>
      <w:tr w:rsidR="008B3E30" w:rsidRPr="0019711C" w:rsidTr="00545B97">
        <w:trPr>
          <w:trHeight w:val="340"/>
        </w:trPr>
        <w:tc>
          <w:tcPr>
            <w:tcW w:w="1927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ČSÚ</w:t>
            </w:r>
          </w:p>
        </w:tc>
        <w:tc>
          <w:tcPr>
            <w:tcW w:w="7145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Český statistický úřad</w:t>
            </w:r>
          </w:p>
        </w:tc>
      </w:tr>
      <w:tr w:rsidR="008B3E30" w:rsidRPr="0019711C" w:rsidTr="00545B97">
        <w:trPr>
          <w:trHeight w:val="340"/>
        </w:trPr>
        <w:tc>
          <w:tcPr>
            <w:tcW w:w="1927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EEN ČR</w:t>
            </w:r>
          </w:p>
        </w:tc>
        <w:tc>
          <w:tcPr>
            <w:tcW w:w="7145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Enterprise</w:t>
            </w:r>
            <w:proofErr w:type="spellEnd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Europe</w:t>
            </w:r>
            <w:proofErr w:type="spellEnd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 xml:space="preserve"> Network</w:t>
            </w:r>
          </w:p>
        </w:tc>
      </w:tr>
      <w:tr w:rsidR="008B3E30" w:rsidRPr="0019711C" w:rsidTr="00545B97">
        <w:trPr>
          <w:trHeight w:val="340"/>
        </w:trPr>
        <w:tc>
          <w:tcPr>
            <w:tcW w:w="1927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EGAP</w:t>
            </w:r>
          </w:p>
        </w:tc>
        <w:tc>
          <w:tcPr>
            <w:tcW w:w="7145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Exportní garanční a pojišťovací společnost, a.s.</w:t>
            </w:r>
          </w:p>
        </w:tc>
      </w:tr>
      <w:tr w:rsidR="008B3E30" w:rsidRPr="0019711C" w:rsidTr="00545B97">
        <w:trPr>
          <w:trHeight w:val="340"/>
        </w:trPr>
        <w:tc>
          <w:tcPr>
            <w:tcW w:w="1927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EIF</w:t>
            </w:r>
          </w:p>
        </w:tc>
        <w:tc>
          <w:tcPr>
            <w:tcW w:w="7145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Evropský investiční fond</w:t>
            </w:r>
          </w:p>
        </w:tc>
      </w:tr>
      <w:tr w:rsidR="008B3E30" w:rsidRPr="0019711C" w:rsidTr="00545B97">
        <w:trPr>
          <w:trHeight w:val="340"/>
        </w:trPr>
        <w:tc>
          <w:tcPr>
            <w:tcW w:w="1927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EKIS</w:t>
            </w:r>
          </w:p>
        </w:tc>
        <w:tc>
          <w:tcPr>
            <w:tcW w:w="7145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Energetická konzultační a informační střediska</w:t>
            </w:r>
          </w:p>
        </w:tc>
      </w:tr>
      <w:tr w:rsidR="008B3E30" w:rsidRPr="0019711C" w:rsidTr="00545B97">
        <w:trPr>
          <w:trHeight w:val="340"/>
        </w:trPr>
        <w:tc>
          <w:tcPr>
            <w:tcW w:w="1927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EPC</w:t>
            </w:r>
          </w:p>
        </w:tc>
        <w:tc>
          <w:tcPr>
            <w:tcW w:w="7145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Energy</w:t>
            </w:r>
            <w:proofErr w:type="spellEnd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 xml:space="preserve"> Performance </w:t>
            </w: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Contracting</w:t>
            </w:r>
            <w:proofErr w:type="spellEnd"/>
          </w:p>
        </w:tc>
      </w:tr>
      <w:tr w:rsidR="00857686" w:rsidRPr="0019711C" w:rsidTr="00545B97">
        <w:trPr>
          <w:trHeight w:val="340"/>
        </w:trPr>
        <w:tc>
          <w:tcPr>
            <w:tcW w:w="1927" w:type="dxa"/>
            <w:vAlign w:val="center"/>
          </w:tcPr>
          <w:p w:rsidR="00857686" w:rsidRPr="00237E1E" w:rsidRDefault="00857686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ESA BIC</w:t>
            </w:r>
          </w:p>
        </w:tc>
        <w:tc>
          <w:tcPr>
            <w:tcW w:w="7145" w:type="dxa"/>
            <w:vAlign w:val="center"/>
          </w:tcPr>
          <w:p w:rsidR="00857686" w:rsidRPr="00237E1E" w:rsidRDefault="00857686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57686">
              <w:rPr>
                <w:rFonts w:asciiTheme="minorHAnsi" w:hAnsiTheme="minorHAnsi" w:cstheme="minorHAnsi"/>
                <w:sz w:val="20"/>
                <w:szCs w:val="20"/>
              </w:rPr>
              <w:t>European</w:t>
            </w:r>
            <w:proofErr w:type="spellEnd"/>
            <w:r w:rsidRPr="008576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57686">
              <w:rPr>
                <w:rFonts w:asciiTheme="minorHAnsi" w:hAnsiTheme="minorHAnsi" w:cstheme="minorHAnsi"/>
                <w:sz w:val="20"/>
                <w:szCs w:val="20"/>
              </w:rPr>
              <w:t>Space</w:t>
            </w:r>
            <w:proofErr w:type="spellEnd"/>
            <w:r w:rsidRPr="008576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57686">
              <w:rPr>
                <w:rFonts w:asciiTheme="minorHAnsi" w:hAnsiTheme="minorHAnsi" w:cstheme="minorHAnsi"/>
                <w:sz w:val="20"/>
                <w:szCs w:val="20"/>
              </w:rPr>
              <w:t>Agency</w:t>
            </w:r>
            <w:proofErr w:type="spellEnd"/>
            <w:r w:rsidRPr="00857686">
              <w:rPr>
                <w:rFonts w:asciiTheme="minorHAnsi" w:hAnsiTheme="minorHAnsi" w:cstheme="minorHAnsi"/>
                <w:sz w:val="20"/>
                <w:szCs w:val="20"/>
              </w:rPr>
              <w:t xml:space="preserve"> - Business </w:t>
            </w:r>
            <w:proofErr w:type="spellStart"/>
            <w:r w:rsidRPr="00857686">
              <w:rPr>
                <w:rFonts w:asciiTheme="minorHAnsi" w:hAnsiTheme="minorHAnsi" w:cstheme="minorHAnsi"/>
                <w:sz w:val="20"/>
                <w:szCs w:val="20"/>
              </w:rPr>
              <w:t>Incubation</w:t>
            </w:r>
            <w:proofErr w:type="spellEnd"/>
            <w:r w:rsidRPr="00857686">
              <w:rPr>
                <w:rFonts w:asciiTheme="minorHAnsi" w:hAnsiTheme="minorHAnsi" w:cstheme="minorHAnsi"/>
                <w:sz w:val="20"/>
                <w:szCs w:val="20"/>
              </w:rPr>
              <w:t xml:space="preserve"> Centre</w:t>
            </w:r>
          </w:p>
        </w:tc>
      </w:tr>
      <w:tr w:rsidR="008B3E30" w:rsidRPr="0019711C" w:rsidTr="00545B97">
        <w:trPr>
          <w:trHeight w:val="340"/>
        </w:trPr>
        <w:tc>
          <w:tcPr>
            <w:tcW w:w="1927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EU</w:t>
            </w:r>
          </w:p>
        </w:tc>
        <w:tc>
          <w:tcPr>
            <w:tcW w:w="7145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Evropská Unie</w:t>
            </w:r>
          </w:p>
        </w:tc>
      </w:tr>
      <w:tr w:rsidR="00395BA1" w:rsidRPr="0019711C" w:rsidTr="00545B97">
        <w:trPr>
          <w:trHeight w:val="340"/>
        </w:trPr>
        <w:tc>
          <w:tcPr>
            <w:tcW w:w="1927" w:type="dxa"/>
            <w:vAlign w:val="center"/>
          </w:tcPr>
          <w:p w:rsidR="00395BA1" w:rsidRPr="00237E1E" w:rsidRDefault="00395BA1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95BA1">
              <w:rPr>
                <w:rFonts w:asciiTheme="minorHAnsi" w:hAnsiTheme="minorHAnsi" w:cstheme="minorHAnsi"/>
                <w:sz w:val="20"/>
                <w:szCs w:val="20"/>
              </w:rPr>
              <w:t>KETs</w:t>
            </w:r>
            <w:proofErr w:type="spellEnd"/>
          </w:p>
        </w:tc>
        <w:tc>
          <w:tcPr>
            <w:tcW w:w="7145" w:type="dxa"/>
            <w:vAlign w:val="center"/>
          </w:tcPr>
          <w:p w:rsidR="00395BA1" w:rsidRPr="00237E1E" w:rsidRDefault="00395BA1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95BA1">
              <w:rPr>
                <w:rFonts w:asciiTheme="minorHAnsi" w:hAnsiTheme="minorHAnsi" w:cstheme="minorHAnsi"/>
                <w:sz w:val="20"/>
                <w:szCs w:val="20"/>
              </w:rPr>
              <w:t>Key</w:t>
            </w:r>
            <w:proofErr w:type="spellEnd"/>
            <w:r w:rsidRPr="00395B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95BA1">
              <w:rPr>
                <w:rFonts w:asciiTheme="minorHAnsi" w:hAnsiTheme="minorHAnsi" w:cstheme="minorHAnsi"/>
                <w:sz w:val="20"/>
                <w:szCs w:val="20"/>
              </w:rPr>
              <w:t>Enabling</w:t>
            </w:r>
            <w:proofErr w:type="spellEnd"/>
            <w:r w:rsidRPr="00395BA1">
              <w:rPr>
                <w:rFonts w:asciiTheme="minorHAnsi" w:hAnsiTheme="minorHAnsi" w:cstheme="minorHAnsi"/>
                <w:sz w:val="20"/>
                <w:szCs w:val="20"/>
              </w:rPr>
              <w:t xml:space="preserve"> Technologies</w:t>
            </w:r>
          </w:p>
        </w:tc>
      </w:tr>
      <w:tr w:rsidR="00E018DB" w:rsidRPr="0019711C" w:rsidTr="00545B97">
        <w:trPr>
          <w:trHeight w:val="340"/>
        </w:trPr>
        <w:tc>
          <w:tcPr>
            <w:tcW w:w="1927" w:type="dxa"/>
            <w:vAlign w:val="center"/>
          </w:tcPr>
          <w:p w:rsidR="00E018DB" w:rsidRPr="00237E1E" w:rsidRDefault="00E018DB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MD</w:t>
            </w:r>
          </w:p>
        </w:tc>
        <w:tc>
          <w:tcPr>
            <w:tcW w:w="7145" w:type="dxa"/>
            <w:vAlign w:val="center"/>
          </w:tcPr>
          <w:p w:rsidR="00E018DB" w:rsidRPr="00237E1E" w:rsidRDefault="00E018DB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018DB">
              <w:rPr>
                <w:rFonts w:asciiTheme="minorHAnsi" w:hAnsiTheme="minorHAnsi" w:cstheme="minorHAnsi"/>
                <w:sz w:val="20"/>
                <w:szCs w:val="20"/>
              </w:rPr>
              <w:t>Ministerstvo dopravy</w:t>
            </w:r>
          </w:p>
        </w:tc>
      </w:tr>
      <w:tr w:rsidR="008B3E30" w:rsidRPr="0019711C" w:rsidTr="00545B97">
        <w:trPr>
          <w:trHeight w:val="340"/>
        </w:trPr>
        <w:tc>
          <w:tcPr>
            <w:tcW w:w="1927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MF</w:t>
            </w:r>
          </w:p>
        </w:tc>
        <w:tc>
          <w:tcPr>
            <w:tcW w:w="7145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Ministerstvo financí</w:t>
            </w:r>
          </w:p>
        </w:tc>
      </w:tr>
      <w:tr w:rsidR="008B3E30" w:rsidRPr="0019711C" w:rsidTr="00545B97">
        <w:trPr>
          <w:trHeight w:val="340"/>
        </w:trPr>
        <w:tc>
          <w:tcPr>
            <w:tcW w:w="1927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MMR</w:t>
            </w:r>
          </w:p>
        </w:tc>
        <w:tc>
          <w:tcPr>
            <w:tcW w:w="7145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Ministerstvo pro místní rozvoj</w:t>
            </w:r>
          </w:p>
        </w:tc>
      </w:tr>
      <w:tr w:rsidR="008B3E30" w:rsidRPr="0019711C" w:rsidTr="00545B97">
        <w:trPr>
          <w:trHeight w:val="340"/>
        </w:trPr>
        <w:tc>
          <w:tcPr>
            <w:tcW w:w="1927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MPO</w:t>
            </w:r>
          </w:p>
        </w:tc>
        <w:tc>
          <w:tcPr>
            <w:tcW w:w="7145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Ministerstvo průmyslu a obchodu</w:t>
            </w:r>
          </w:p>
        </w:tc>
      </w:tr>
      <w:tr w:rsidR="008B3E30" w:rsidRPr="0019711C" w:rsidTr="00545B97">
        <w:trPr>
          <w:trHeight w:val="340"/>
        </w:trPr>
        <w:tc>
          <w:tcPr>
            <w:tcW w:w="1927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MPSV</w:t>
            </w:r>
          </w:p>
        </w:tc>
        <w:tc>
          <w:tcPr>
            <w:tcW w:w="7145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Ministerstvo práce a sociálních věcí</w:t>
            </w:r>
          </w:p>
        </w:tc>
      </w:tr>
      <w:tr w:rsidR="008B3E30" w:rsidRPr="0019711C" w:rsidTr="00545B97">
        <w:trPr>
          <w:trHeight w:val="340"/>
        </w:trPr>
        <w:tc>
          <w:tcPr>
            <w:tcW w:w="1927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MSP</w:t>
            </w:r>
          </w:p>
        </w:tc>
        <w:tc>
          <w:tcPr>
            <w:tcW w:w="7145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Malé a střední podniky</w:t>
            </w:r>
          </w:p>
        </w:tc>
      </w:tr>
      <w:tr w:rsidR="008B3E30" w:rsidRPr="0019711C" w:rsidTr="00545B97">
        <w:trPr>
          <w:trHeight w:val="340"/>
        </w:trPr>
        <w:tc>
          <w:tcPr>
            <w:tcW w:w="1927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MSp</w:t>
            </w:r>
            <w:proofErr w:type="spellEnd"/>
          </w:p>
        </w:tc>
        <w:tc>
          <w:tcPr>
            <w:tcW w:w="7145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Ministerstvo spravedlnosti</w:t>
            </w:r>
          </w:p>
        </w:tc>
      </w:tr>
      <w:tr w:rsidR="008B3E30" w:rsidRPr="0019711C" w:rsidTr="00545B97">
        <w:trPr>
          <w:trHeight w:val="340"/>
        </w:trPr>
        <w:tc>
          <w:tcPr>
            <w:tcW w:w="1927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MŠMT</w:t>
            </w:r>
          </w:p>
        </w:tc>
        <w:tc>
          <w:tcPr>
            <w:tcW w:w="7145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Ministerstvo školství mládeže a tělovýchovy</w:t>
            </w:r>
          </w:p>
        </w:tc>
      </w:tr>
      <w:tr w:rsidR="008B3E30" w:rsidRPr="0019711C" w:rsidTr="00545B97">
        <w:trPr>
          <w:trHeight w:val="340"/>
        </w:trPr>
        <w:tc>
          <w:tcPr>
            <w:tcW w:w="1927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MV</w:t>
            </w:r>
          </w:p>
        </w:tc>
        <w:tc>
          <w:tcPr>
            <w:tcW w:w="7145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Ministerstvo vnitra</w:t>
            </w:r>
          </w:p>
        </w:tc>
      </w:tr>
      <w:tr w:rsidR="008B3E30" w:rsidRPr="0019711C" w:rsidTr="00545B97">
        <w:trPr>
          <w:trHeight w:val="340"/>
        </w:trPr>
        <w:tc>
          <w:tcPr>
            <w:tcW w:w="1927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MZV</w:t>
            </w:r>
          </w:p>
        </w:tc>
        <w:tc>
          <w:tcPr>
            <w:tcW w:w="7145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Ministerstvo zahraničních věcí</w:t>
            </w:r>
          </w:p>
        </w:tc>
      </w:tr>
      <w:tr w:rsidR="008B3E30" w:rsidRPr="0019711C" w:rsidTr="00545B97">
        <w:trPr>
          <w:trHeight w:val="340"/>
        </w:trPr>
        <w:tc>
          <w:tcPr>
            <w:tcW w:w="1927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 xml:space="preserve">MŽP </w:t>
            </w:r>
          </w:p>
        </w:tc>
        <w:tc>
          <w:tcPr>
            <w:tcW w:w="7145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Ministerstvo životního prostředí</w:t>
            </w:r>
          </w:p>
        </w:tc>
      </w:tr>
      <w:tr w:rsidR="008B3E30" w:rsidRPr="0019711C" w:rsidTr="00545B97">
        <w:trPr>
          <w:trHeight w:val="340"/>
        </w:trPr>
        <w:tc>
          <w:tcPr>
            <w:tcW w:w="1927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NAP CM</w:t>
            </w:r>
          </w:p>
        </w:tc>
        <w:tc>
          <w:tcPr>
            <w:tcW w:w="7145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Národní akční plán čisté mobility</w:t>
            </w:r>
          </w:p>
        </w:tc>
      </w:tr>
      <w:tr w:rsidR="008B3E30" w:rsidRPr="0019711C" w:rsidTr="00545B97">
        <w:trPr>
          <w:trHeight w:val="340"/>
        </w:trPr>
        <w:tc>
          <w:tcPr>
            <w:tcW w:w="1927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OP PIK</w:t>
            </w:r>
          </w:p>
        </w:tc>
        <w:tc>
          <w:tcPr>
            <w:tcW w:w="7145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Operační program Podnikání a inovace pro konkurenceschopnost</w:t>
            </w:r>
          </w:p>
        </w:tc>
      </w:tr>
      <w:tr w:rsidR="008B3E30" w:rsidRPr="0019711C" w:rsidTr="00545B97">
        <w:trPr>
          <w:trHeight w:val="340"/>
        </w:trPr>
        <w:tc>
          <w:tcPr>
            <w:tcW w:w="1927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PCP</w:t>
            </w:r>
          </w:p>
        </w:tc>
        <w:tc>
          <w:tcPr>
            <w:tcW w:w="7145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commercial</w:t>
            </w:r>
            <w:proofErr w:type="spellEnd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Procurement</w:t>
            </w:r>
            <w:proofErr w:type="spellEnd"/>
          </w:p>
        </w:tc>
      </w:tr>
      <w:tr w:rsidR="008B3E30" w:rsidRPr="0019711C" w:rsidTr="00545B97">
        <w:trPr>
          <w:trHeight w:val="340"/>
        </w:trPr>
        <w:tc>
          <w:tcPr>
            <w:tcW w:w="1927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</w:p>
        </w:tc>
        <w:tc>
          <w:tcPr>
            <w:tcW w:w="7145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Prioritní osa</w:t>
            </w:r>
          </w:p>
        </w:tc>
      </w:tr>
      <w:tr w:rsidR="008B3E30" w:rsidRPr="0019711C" w:rsidTr="00545B97">
        <w:trPr>
          <w:trHeight w:val="340"/>
        </w:trPr>
        <w:tc>
          <w:tcPr>
            <w:tcW w:w="1927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RHSD ČR</w:t>
            </w:r>
          </w:p>
        </w:tc>
        <w:tc>
          <w:tcPr>
            <w:tcW w:w="7145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Rada hospodářské a sociální dohody ČR</w:t>
            </w:r>
          </w:p>
        </w:tc>
      </w:tr>
      <w:tr w:rsidR="008B3E30" w:rsidRPr="0019711C" w:rsidTr="00545B97">
        <w:trPr>
          <w:trHeight w:val="340"/>
        </w:trPr>
        <w:tc>
          <w:tcPr>
            <w:tcW w:w="1927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RVKHR</w:t>
            </w:r>
          </w:p>
        </w:tc>
        <w:tc>
          <w:tcPr>
            <w:tcW w:w="7145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Rady vlády pro konkurenceschopnost a hospodářský růst</w:t>
            </w:r>
          </w:p>
        </w:tc>
      </w:tr>
      <w:tr w:rsidR="008B3E30" w:rsidRPr="0019711C" w:rsidTr="00545B97">
        <w:trPr>
          <w:trHeight w:val="340"/>
        </w:trPr>
        <w:tc>
          <w:tcPr>
            <w:tcW w:w="1927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SBA</w:t>
            </w:r>
          </w:p>
        </w:tc>
        <w:tc>
          <w:tcPr>
            <w:tcW w:w="7145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Small</w:t>
            </w:r>
            <w:proofErr w:type="spellEnd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 xml:space="preserve"> Business </w:t>
            </w: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Act</w:t>
            </w:r>
            <w:proofErr w:type="spellEnd"/>
          </w:p>
        </w:tc>
      </w:tr>
      <w:tr w:rsidR="008B3E30" w:rsidRPr="0019711C" w:rsidTr="00545B97">
        <w:trPr>
          <w:trHeight w:val="340"/>
        </w:trPr>
        <w:tc>
          <w:tcPr>
            <w:tcW w:w="1927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SVV</w:t>
            </w:r>
          </w:p>
        </w:tc>
        <w:tc>
          <w:tcPr>
            <w:tcW w:w="7145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Specializované výstavy a veletrhy</w:t>
            </w:r>
          </w:p>
        </w:tc>
      </w:tr>
      <w:tr w:rsidR="008B3E30" w:rsidRPr="0019711C" w:rsidTr="00545B97">
        <w:trPr>
          <w:trHeight w:val="340"/>
        </w:trPr>
        <w:tc>
          <w:tcPr>
            <w:tcW w:w="1927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 ČR</w:t>
            </w:r>
          </w:p>
        </w:tc>
        <w:tc>
          <w:tcPr>
            <w:tcW w:w="7145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Technologická agentura České republiky</w:t>
            </w:r>
          </w:p>
        </w:tc>
      </w:tr>
      <w:tr w:rsidR="008B3E30" w:rsidRPr="0019711C" w:rsidTr="00545B97">
        <w:trPr>
          <w:trHeight w:val="340"/>
        </w:trPr>
        <w:tc>
          <w:tcPr>
            <w:tcW w:w="1927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ÚNMZ</w:t>
            </w:r>
          </w:p>
        </w:tc>
        <w:tc>
          <w:tcPr>
            <w:tcW w:w="7145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Úřad pro technickou normalizaci, metrologii a státní zkušebnictví</w:t>
            </w:r>
          </w:p>
        </w:tc>
      </w:tr>
      <w:tr w:rsidR="008B3E30" w:rsidRPr="0019711C" w:rsidTr="00545B97">
        <w:trPr>
          <w:trHeight w:val="340"/>
        </w:trPr>
        <w:tc>
          <w:tcPr>
            <w:tcW w:w="1927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ÚV ČR</w:t>
            </w:r>
          </w:p>
        </w:tc>
        <w:tc>
          <w:tcPr>
            <w:tcW w:w="7145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Úřad vlády České republiky</w:t>
            </w:r>
          </w:p>
        </w:tc>
      </w:tr>
      <w:tr w:rsidR="008B3E30" w:rsidRPr="0019711C" w:rsidTr="00545B97">
        <w:trPr>
          <w:trHeight w:val="340"/>
        </w:trPr>
        <w:tc>
          <w:tcPr>
            <w:tcW w:w="1927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VaVaI</w:t>
            </w:r>
            <w:proofErr w:type="spellEnd"/>
          </w:p>
        </w:tc>
        <w:tc>
          <w:tcPr>
            <w:tcW w:w="7145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Výzkum, vývoj a inovace</w:t>
            </w:r>
          </w:p>
        </w:tc>
      </w:tr>
      <w:tr w:rsidR="008B3E30" w:rsidRPr="0019711C" w:rsidTr="00545B97">
        <w:trPr>
          <w:trHeight w:val="340"/>
        </w:trPr>
        <w:tc>
          <w:tcPr>
            <w:tcW w:w="1927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VD</w:t>
            </w:r>
          </w:p>
        </w:tc>
        <w:tc>
          <w:tcPr>
            <w:tcW w:w="7145" w:type="dxa"/>
            <w:vAlign w:val="center"/>
          </w:tcPr>
          <w:p w:rsidR="008B3E30" w:rsidRPr="00237E1E" w:rsidRDefault="008B3E30" w:rsidP="008B3E3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Výrobní družstva</w:t>
            </w:r>
          </w:p>
        </w:tc>
      </w:tr>
    </w:tbl>
    <w:p w:rsidR="00B4584B" w:rsidRPr="00B4584B" w:rsidRDefault="003475BB" w:rsidP="00B4584B">
      <w:pPr>
        <w:pStyle w:val="Titulek"/>
        <w:keepNext/>
        <w:rPr>
          <w:noProof/>
          <w:sz w:val="24"/>
        </w:rPr>
      </w:pPr>
      <w:r>
        <w:br w:type="page"/>
      </w:r>
      <w:r w:rsidR="00B85473" w:rsidRPr="003475BB">
        <w:rPr>
          <w:sz w:val="24"/>
        </w:rPr>
        <w:lastRenderedPageBreak/>
        <w:t xml:space="preserve">Příloha č. </w:t>
      </w:r>
      <w:r w:rsidR="00987BEA" w:rsidRPr="003475BB">
        <w:rPr>
          <w:sz w:val="24"/>
        </w:rPr>
        <w:fldChar w:fldCharType="begin"/>
      </w:r>
      <w:r w:rsidRPr="003475BB">
        <w:rPr>
          <w:sz w:val="24"/>
        </w:rPr>
        <w:instrText xml:space="preserve"> SEQ Příloha_č. \* ARABIC </w:instrText>
      </w:r>
      <w:r w:rsidR="00987BEA" w:rsidRPr="003475BB">
        <w:rPr>
          <w:sz w:val="24"/>
        </w:rPr>
        <w:fldChar w:fldCharType="separate"/>
      </w:r>
      <w:r w:rsidR="00237C31">
        <w:rPr>
          <w:noProof/>
          <w:sz w:val="24"/>
        </w:rPr>
        <w:t>1</w:t>
      </w:r>
      <w:r w:rsidR="00987BEA" w:rsidRPr="003475BB">
        <w:rPr>
          <w:noProof/>
          <w:sz w:val="24"/>
        </w:rPr>
        <w:fldChar w:fldCharType="end"/>
      </w:r>
    </w:p>
    <w:p w:rsidR="00B4584B" w:rsidRPr="00B4584B" w:rsidRDefault="00B4584B" w:rsidP="00B4584B">
      <w:pPr>
        <w:pStyle w:val="Titulek"/>
        <w:keepNext/>
        <w:spacing w:after="0"/>
        <w:jc w:val="center"/>
        <w:rPr>
          <w:sz w:val="24"/>
        </w:rPr>
      </w:pPr>
      <w:r w:rsidRPr="00B4584B">
        <w:rPr>
          <w:sz w:val="24"/>
        </w:rPr>
        <w:t>MALÉ A STŘEDNÍ PODNIKY V DATECH</w:t>
      </w:r>
    </w:p>
    <w:p w:rsidR="00B4584B" w:rsidRDefault="00B4584B" w:rsidP="00B4584B">
      <w:pPr>
        <w:pStyle w:val="Titulek"/>
        <w:keepNext/>
        <w:spacing w:after="0"/>
        <w:jc w:val="center"/>
        <w:rPr>
          <w:sz w:val="24"/>
        </w:rPr>
      </w:pPr>
      <w:r w:rsidRPr="00B4584B">
        <w:rPr>
          <w:sz w:val="24"/>
        </w:rPr>
        <w:t xml:space="preserve">2008 </w:t>
      </w:r>
      <w:r>
        <w:rPr>
          <w:sz w:val="24"/>
        </w:rPr>
        <w:t>–</w:t>
      </w:r>
      <w:r w:rsidRPr="00B4584B">
        <w:rPr>
          <w:sz w:val="24"/>
        </w:rPr>
        <w:t xml:space="preserve"> 2014</w:t>
      </w:r>
    </w:p>
    <w:p w:rsidR="00745F11" w:rsidRPr="00745F11" w:rsidRDefault="00745F11" w:rsidP="00745F11"/>
    <w:p w:rsidR="00745F11" w:rsidRDefault="00745F11" w:rsidP="00745F11">
      <w:r w:rsidRPr="00745F11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69635" cy="4871720"/>
            <wp:effectExtent l="0" t="0" r="0" b="508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487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5F11" w:rsidRDefault="00745F11" w:rsidP="00745F11"/>
    <w:p w:rsidR="00745F11" w:rsidRDefault="00745F11" w:rsidP="00745F11"/>
    <w:p w:rsidR="00745F11" w:rsidRDefault="00745F11" w:rsidP="00745F11"/>
    <w:p w:rsidR="00745F11" w:rsidRDefault="00745F11" w:rsidP="00745F11"/>
    <w:p w:rsidR="00745F11" w:rsidRDefault="00745F11" w:rsidP="00745F11"/>
    <w:p w:rsidR="00745F11" w:rsidRPr="00745F11" w:rsidRDefault="00745F11" w:rsidP="00745F11"/>
    <w:p w:rsidR="00745F11" w:rsidRDefault="00745F11" w:rsidP="00745F11"/>
    <w:p w:rsidR="00745F11" w:rsidRDefault="00745F11" w:rsidP="00745F11"/>
    <w:p w:rsidR="00745F11" w:rsidRDefault="00745F11" w:rsidP="00745F11"/>
    <w:p w:rsidR="00745F11" w:rsidRDefault="00745F11" w:rsidP="00745F11"/>
    <w:p w:rsidR="00745F11" w:rsidRDefault="00745F11" w:rsidP="00745F11"/>
    <w:p w:rsidR="00745F11" w:rsidRDefault="00745F11" w:rsidP="00745F11"/>
    <w:p w:rsidR="00745F11" w:rsidRDefault="00745F11" w:rsidP="00745F11"/>
    <w:p w:rsidR="00745F11" w:rsidRDefault="00745F11" w:rsidP="00745F11"/>
    <w:p w:rsidR="00745F11" w:rsidRDefault="00745F11" w:rsidP="00745F11"/>
    <w:p w:rsidR="00745F11" w:rsidRDefault="00745F11" w:rsidP="00745F11"/>
    <w:p w:rsidR="00745F11" w:rsidRDefault="00745F11" w:rsidP="00745F11"/>
    <w:p w:rsidR="00745F11" w:rsidRDefault="00745F11" w:rsidP="00745F11"/>
    <w:p w:rsidR="00745F11" w:rsidRDefault="00745F11" w:rsidP="00745F11"/>
    <w:p w:rsidR="000A04F1" w:rsidRDefault="000A04F1" w:rsidP="00B85473">
      <w:pPr>
        <w:rPr>
          <w:i/>
          <w:sz w:val="20"/>
        </w:rPr>
      </w:pPr>
    </w:p>
    <w:p w:rsidR="000A04F1" w:rsidRDefault="00B4584B" w:rsidP="00B85473">
      <w:pPr>
        <w:rPr>
          <w:i/>
          <w:sz w:val="20"/>
        </w:rPr>
      </w:pPr>
      <w:r w:rsidRPr="00B4584B">
        <w:rPr>
          <w:i/>
          <w:sz w:val="20"/>
        </w:rPr>
        <w:t xml:space="preserve">* dle statistiky ČSÚ (MSP = FO + PO do 250 </w:t>
      </w:r>
      <w:proofErr w:type="spellStart"/>
      <w:r w:rsidRPr="00B4584B">
        <w:rPr>
          <w:i/>
          <w:sz w:val="20"/>
        </w:rPr>
        <w:t>zam</w:t>
      </w:r>
      <w:proofErr w:type="spellEnd"/>
      <w:r w:rsidRPr="00B4584B">
        <w:rPr>
          <w:i/>
          <w:sz w:val="20"/>
        </w:rPr>
        <w:t>.)</w:t>
      </w:r>
    </w:p>
    <w:p w:rsidR="00B4584B" w:rsidRDefault="00B4584B" w:rsidP="00B85473">
      <w:pPr>
        <w:rPr>
          <w:i/>
          <w:sz w:val="20"/>
        </w:rPr>
      </w:pPr>
      <w:r w:rsidRPr="00B4584B">
        <w:rPr>
          <w:i/>
          <w:sz w:val="20"/>
        </w:rPr>
        <w:t>** PO + FO bez ohledu na velikost subjektu</w:t>
      </w:r>
    </w:p>
    <w:p w:rsidR="00B4584B" w:rsidRPr="00B4584B" w:rsidRDefault="00B4584B" w:rsidP="00B4584B">
      <w:pPr>
        <w:rPr>
          <w:i/>
          <w:sz w:val="20"/>
        </w:rPr>
      </w:pPr>
      <w:r w:rsidRPr="00B4584B">
        <w:rPr>
          <w:i/>
          <w:sz w:val="20"/>
        </w:rPr>
        <w:t>*** Od 2014 ČSÚ počítá s nepřímým zahraničním obchodem (NZO), NZO se pohybuje kolem 13 %, údaje za rok 2014 a 2013 nelze jednoznačně porovnat s lety 2008,2009,2010,2011,2012</w:t>
      </w:r>
    </w:p>
    <w:tbl>
      <w:tblPr>
        <w:tblW w:w="1841" w:type="dxa"/>
        <w:tblCellMar>
          <w:left w:w="70" w:type="dxa"/>
          <w:right w:w="70" w:type="dxa"/>
        </w:tblCellMar>
        <w:tblLook w:val="04A0"/>
      </w:tblPr>
      <w:tblGrid>
        <w:gridCol w:w="1841"/>
      </w:tblGrid>
      <w:tr w:rsidR="00B4584B" w:rsidRPr="00B4584B" w:rsidTr="00B4584B">
        <w:trPr>
          <w:trHeight w:val="24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4584B" w:rsidRPr="00B4584B" w:rsidRDefault="00B4584B" w:rsidP="00B4584B">
            <w:pPr>
              <w:spacing w:after="0"/>
              <w:jc w:val="left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B4584B">
              <w:rPr>
                <w:b/>
                <w:i/>
                <w:sz w:val="20"/>
              </w:rPr>
              <w:t>Pozitivní vývoj</w:t>
            </w:r>
          </w:p>
        </w:tc>
      </w:tr>
      <w:tr w:rsidR="00B4584B" w:rsidRPr="00B4584B" w:rsidTr="00B4584B">
        <w:trPr>
          <w:trHeight w:val="248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hideMark/>
          </w:tcPr>
          <w:p w:rsidR="00B4584B" w:rsidRPr="00B4584B" w:rsidRDefault="00B4584B" w:rsidP="00B4584B">
            <w:pPr>
              <w:spacing w:after="0"/>
              <w:jc w:val="left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B4584B">
              <w:rPr>
                <w:b/>
                <w:i/>
                <w:sz w:val="20"/>
              </w:rPr>
              <w:t>Negativní vývoj</w:t>
            </w:r>
          </w:p>
        </w:tc>
      </w:tr>
    </w:tbl>
    <w:p w:rsidR="00B4584B" w:rsidRPr="00B4584B" w:rsidRDefault="00B4584B" w:rsidP="00B4584B">
      <w:pPr>
        <w:rPr>
          <w:i/>
          <w:sz w:val="20"/>
        </w:rPr>
      </w:pPr>
    </w:p>
    <w:p w:rsidR="00B85473" w:rsidRPr="00B85473" w:rsidRDefault="00B85473" w:rsidP="00B85473">
      <w:pPr>
        <w:rPr>
          <w:i/>
          <w:sz w:val="20"/>
        </w:rPr>
      </w:pPr>
      <w:r w:rsidRPr="00B85473">
        <w:rPr>
          <w:i/>
          <w:sz w:val="20"/>
        </w:rPr>
        <w:t>Zdroj: data ČSÚ</w:t>
      </w:r>
    </w:p>
    <w:sectPr w:rsidR="00B85473" w:rsidRPr="00B85473" w:rsidSect="00D54FA6">
      <w:footerReference w:type="default" r:id="rId11"/>
      <w:pgSz w:w="11906" w:h="16838"/>
      <w:pgMar w:top="1417" w:right="1417" w:bottom="1417" w:left="1417" w:header="708" w:footer="520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AB1" w:rsidRDefault="005A0AB1" w:rsidP="00A53E91">
      <w:r>
        <w:separator/>
      </w:r>
    </w:p>
  </w:endnote>
  <w:endnote w:type="continuationSeparator" w:id="0">
    <w:p w:rsidR="005A0AB1" w:rsidRDefault="005A0AB1" w:rsidP="00A53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C2" w:rsidRDefault="00987BEA">
    <w:pPr>
      <w:pStyle w:val="Zpat"/>
      <w:jc w:val="center"/>
    </w:pPr>
    <w:r>
      <w:fldChar w:fldCharType="begin"/>
    </w:r>
    <w:r w:rsidR="00E870C2">
      <w:instrText>PAGE   \* MERGEFORMAT</w:instrText>
    </w:r>
    <w:r>
      <w:fldChar w:fldCharType="separate"/>
    </w:r>
    <w:r w:rsidR="00237C31">
      <w:rPr>
        <w:noProof/>
      </w:rPr>
      <w:t>2</w:t>
    </w:r>
    <w:r>
      <w:rPr>
        <w:noProof/>
      </w:rPr>
      <w:fldChar w:fldCharType="end"/>
    </w:r>
  </w:p>
  <w:p w:rsidR="00E870C2" w:rsidRDefault="00E870C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AB1" w:rsidRDefault="005A0AB1" w:rsidP="00A53E91">
      <w:r>
        <w:separator/>
      </w:r>
    </w:p>
  </w:footnote>
  <w:footnote w:type="continuationSeparator" w:id="0">
    <w:p w:rsidR="005A0AB1" w:rsidRDefault="005A0AB1" w:rsidP="00A53E91">
      <w:r>
        <w:continuationSeparator/>
      </w:r>
    </w:p>
  </w:footnote>
  <w:footnote w:id="1">
    <w:p w:rsidR="00E870C2" w:rsidRDefault="00E870C2" w:rsidP="00DA004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A3039">
        <w:t>Agentura pro podnikání a inovace</w:t>
      </w:r>
      <w:r>
        <w:t xml:space="preserve"> (API) vznikne za předpokladu, že bude schválena novela zákona, </w:t>
      </w:r>
      <w:r w:rsidRPr="004A3039">
        <w:t>kterým se</w:t>
      </w:r>
      <w:r>
        <w:t> </w:t>
      </w:r>
      <w:r w:rsidRPr="004A3039">
        <w:t>mění zákon č. 47/ 2002 Sb., o podpo</w:t>
      </w:r>
      <w:r>
        <w:t>ře malého a středního podnikání</w:t>
      </w:r>
    </w:p>
  </w:footnote>
  <w:footnote w:id="2">
    <w:p w:rsidR="00E870C2" w:rsidRDefault="00E870C2">
      <w:pPr>
        <w:pStyle w:val="Textpoznpodarou"/>
      </w:pPr>
      <w:r>
        <w:rPr>
          <w:rStyle w:val="Znakapoznpodarou"/>
        </w:rPr>
        <w:footnoteRef/>
      </w:r>
      <w:r>
        <w:t xml:space="preserve"> VPS – Všeobecná pokladní správa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8E2E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52B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8672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047C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5A3B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41A5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FB0BC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ACCFB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6CC7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CC3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1C0340"/>
    <w:multiLevelType w:val="hybridMultilevel"/>
    <w:tmpl w:val="704467C0"/>
    <w:lvl w:ilvl="0" w:tplc="E8CEDCA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59305A9"/>
    <w:multiLevelType w:val="multilevel"/>
    <w:tmpl w:val="8BA6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0DB8787B"/>
    <w:multiLevelType w:val="multilevel"/>
    <w:tmpl w:val="9E5E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B05BE4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>
    <w:nsid w:val="17345B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BE9708A"/>
    <w:multiLevelType w:val="hybridMultilevel"/>
    <w:tmpl w:val="B7409DE8"/>
    <w:lvl w:ilvl="0" w:tplc="BB56454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DD13C2"/>
    <w:multiLevelType w:val="multilevel"/>
    <w:tmpl w:val="3B38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2929357A"/>
    <w:multiLevelType w:val="hybridMultilevel"/>
    <w:tmpl w:val="7EA4F0AA"/>
    <w:lvl w:ilvl="0" w:tplc="CA7A49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5B0C2F"/>
    <w:multiLevelType w:val="hybridMultilevel"/>
    <w:tmpl w:val="C32273BC"/>
    <w:lvl w:ilvl="0" w:tplc="66042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3D06E8"/>
    <w:multiLevelType w:val="hybridMultilevel"/>
    <w:tmpl w:val="86AE53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F7290C"/>
    <w:multiLevelType w:val="hybridMultilevel"/>
    <w:tmpl w:val="CE02D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7687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33596B"/>
    <w:multiLevelType w:val="hybridMultilevel"/>
    <w:tmpl w:val="72603E2C"/>
    <w:lvl w:ilvl="0" w:tplc="3A18F8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62C79"/>
    <w:multiLevelType w:val="hybridMultilevel"/>
    <w:tmpl w:val="B8BA6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067988"/>
    <w:multiLevelType w:val="hybridMultilevel"/>
    <w:tmpl w:val="58C84C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831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9A56473"/>
    <w:multiLevelType w:val="hybridMultilevel"/>
    <w:tmpl w:val="A9C8EF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C753F"/>
    <w:multiLevelType w:val="hybridMultilevel"/>
    <w:tmpl w:val="8C8C5C72"/>
    <w:lvl w:ilvl="0" w:tplc="6760507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09E50DC"/>
    <w:multiLevelType w:val="hybridMultilevel"/>
    <w:tmpl w:val="A08ED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62A7B"/>
    <w:multiLevelType w:val="hybridMultilevel"/>
    <w:tmpl w:val="254E8442"/>
    <w:lvl w:ilvl="0" w:tplc="061CD4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191E69"/>
    <w:multiLevelType w:val="hybridMultilevel"/>
    <w:tmpl w:val="CD7A7C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07AE8"/>
    <w:multiLevelType w:val="hybridMultilevel"/>
    <w:tmpl w:val="E55EF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2397D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3">
    <w:nsid w:val="7C8677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8"/>
  </w:num>
  <w:num w:numId="14">
    <w:abstractNumId w:val="16"/>
  </w:num>
  <w:num w:numId="15">
    <w:abstractNumId w:val="11"/>
  </w:num>
  <w:num w:numId="16">
    <w:abstractNumId w:val="27"/>
  </w:num>
  <w:num w:numId="17">
    <w:abstractNumId w:val="21"/>
  </w:num>
  <w:num w:numId="18">
    <w:abstractNumId w:val="33"/>
  </w:num>
  <w:num w:numId="19">
    <w:abstractNumId w:val="14"/>
  </w:num>
  <w:num w:numId="20">
    <w:abstractNumId w:val="25"/>
  </w:num>
  <w:num w:numId="21">
    <w:abstractNumId w:val="25"/>
  </w:num>
  <w:num w:numId="22">
    <w:abstractNumId w:val="25"/>
  </w:num>
  <w:num w:numId="23">
    <w:abstractNumId w:val="25"/>
  </w:num>
  <w:num w:numId="24">
    <w:abstractNumId w:val="25"/>
  </w:num>
  <w:num w:numId="25">
    <w:abstractNumId w:val="25"/>
  </w:num>
  <w:num w:numId="26">
    <w:abstractNumId w:val="25"/>
  </w:num>
  <w:num w:numId="27">
    <w:abstractNumId w:val="25"/>
  </w:num>
  <w:num w:numId="28">
    <w:abstractNumId w:val="32"/>
  </w:num>
  <w:num w:numId="29">
    <w:abstractNumId w:val="13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30"/>
  </w:num>
  <w:num w:numId="33">
    <w:abstractNumId w:val="19"/>
  </w:num>
  <w:num w:numId="34">
    <w:abstractNumId w:val="24"/>
  </w:num>
  <w:num w:numId="35">
    <w:abstractNumId w:val="28"/>
  </w:num>
  <w:num w:numId="36">
    <w:abstractNumId w:val="31"/>
  </w:num>
  <w:num w:numId="37">
    <w:abstractNumId w:val="23"/>
  </w:num>
  <w:num w:numId="38">
    <w:abstractNumId w:val="20"/>
  </w:num>
  <w:num w:numId="39">
    <w:abstractNumId w:val="26"/>
  </w:num>
  <w:num w:numId="40">
    <w:abstractNumId w:val="12"/>
  </w:num>
  <w:num w:numId="41">
    <w:abstractNumId w:val="22"/>
  </w:num>
  <w:num w:numId="42">
    <w:abstractNumId w:val="29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F4FD0"/>
    <w:rsid w:val="0000041D"/>
    <w:rsid w:val="00001257"/>
    <w:rsid w:val="00001B28"/>
    <w:rsid w:val="000025D2"/>
    <w:rsid w:val="000041EF"/>
    <w:rsid w:val="00006669"/>
    <w:rsid w:val="000074BB"/>
    <w:rsid w:val="00010A26"/>
    <w:rsid w:val="000124D3"/>
    <w:rsid w:val="00012C50"/>
    <w:rsid w:val="00012EAB"/>
    <w:rsid w:val="000154A8"/>
    <w:rsid w:val="000205E9"/>
    <w:rsid w:val="000218DB"/>
    <w:rsid w:val="00025DC2"/>
    <w:rsid w:val="00027800"/>
    <w:rsid w:val="00030215"/>
    <w:rsid w:val="00032444"/>
    <w:rsid w:val="000340D3"/>
    <w:rsid w:val="000361E9"/>
    <w:rsid w:val="000363E1"/>
    <w:rsid w:val="000363FC"/>
    <w:rsid w:val="00040BCC"/>
    <w:rsid w:val="00041CA7"/>
    <w:rsid w:val="00042EF7"/>
    <w:rsid w:val="000439BB"/>
    <w:rsid w:val="00043AF2"/>
    <w:rsid w:val="00043DA6"/>
    <w:rsid w:val="00046D8F"/>
    <w:rsid w:val="000500EE"/>
    <w:rsid w:val="00050977"/>
    <w:rsid w:val="00051AB2"/>
    <w:rsid w:val="00052BD8"/>
    <w:rsid w:val="00054AFA"/>
    <w:rsid w:val="00060223"/>
    <w:rsid w:val="00062E69"/>
    <w:rsid w:val="00065FEE"/>
    <w:rsid w:val="0006683C"/>
    <w:rsid w:val="00067821"/>
    <w:rsid w:val="000754AE"/>
    <w:rsid w:val="00080B5F"/>
    <w:rsid w:val="00080C01"/>
    <w:rsid w:val="00080C44"/>
    <w:rsid w:val="000815AC"/>
    <w:rsid w:val="00082C72"/>
    <w:rsid w:val="00085453"/>
    <w:rsid w:val="000861F4"/>
    <w:rsid w:val="00087353"/>
    <w:rsid w:val="00091D67"/>
    <w:rsid w:val="0009201B"/>
    <w:rsid w:val="0009210E"/>
    <w:rsid w:val="000929BD"/>
    <w:rsid w:val="00093523"/>
    <w:rsid w:val="000970D8"/>
    <w:rsid w:val="000A04F1"/>
    <w:rsid w:val="000A0DF7"/>
    <w:rsid w:val="000A29D0"/>
    <w:rsid w:val="000A3EE1"/>
    <w:rsid w:val="000A5769"/>
    <w:rsid w:val="000A59FE"/>
    <w:rsid w:val="000B15A7"/>
    <w:rsid w:val="000B247F"/>
    <w:rsid w:val="000B7658"/>
    <w:rsid w:val="000C2629"/>
    <w:rsid w:val="000C60F7"/>
    <w:rsid w:val="000D2589"/>
    <w:rsid w:val="000D2E49"/>
    <w:rsid w:val="000D3346"/>
    <w:rsid w:val="000D5953"/>
    <w:rsid w:val="000D7DB4"/>
    <w:rsid w:val="000E00FD"/>
    <w:rsid w:val="000E074E"/>
    <w:rsid w:val="000E1492"/>
    <w:rsid w:val="000E185E"/>
    <w:rsid w:val="000E5FE0"/>
    <w:rsid w:val="000E74F3"/>
    <w:rsid w:val="000F0C94"/>
    <w:rsid w:val="000F266B"/>
    <w:rsid w:val="000F538E"/>
    <w:rsid w:val="000F5C7C"/>
    <w:rsid w:val="00103F6C"/>
    <w:rsid w:val="00105EE3"/>
    <w:rsid w:val="0010678F"/>
    <w:rsid w:val="0010799A"/>
    <w:rsid w:val="001136B7"/>
    <w:rsid w:val="00113839"/>
    <w:rsid w:val="001154F7"/>
    <w:rsid w:val="00123AFE"/>
    <w:rsid w:val="00124C60"/>
    <w:rsid w:val="00125834"/>
    <w:rsid w:val="00144932"/>
    <w:rsid w:val="001452B8"/>
    <w:rsid w:val="00150CB5"/>
    <w:rsid w:val="00150D9A"/>
    <w:rsid w:val="00151B43"/>
    <w:rsid w:val="00154BF7"/>
    <w:rsid w:val="00156D8D"/>
    <w:rsid w:val="001576B4"/>
    <w:rsid w:val="001579BB"/>
    <w:rsid w:val="0016172C"/>
    <w:rsid w:val="00163E11"/>
    <w:rsid w:val="00166A67"/>
    <w:rsid w:val="00167629"/>
    <w:rsid w:val="00173086"/>
    <w:rsid w:val="00173B31"/>
    <w:rsid w:val="001822F4"/>
    <w:rsid w:val="0018337D"/>
    <w:rsid w:val="00184F40"/>
    <w:rsid w:val="0018688A"/>
    <w:rsid w:val="00190111"/>
    <w:rsid w:val="00191C6C"/>
    <w:rsid w:val="0019361B"/>
    <w:rsid w:val="00194AF2"/>
    <w:rsid w:val="00194EC6"/>
    <w:rsid w:val="001959A4"/>
    <w:rsid w:val="0019711C"/>
    <w:rsid w:val="00197656"/>
    <w:rsid w:val="001A0C3D"/>
    <w:rsid w:val="001A5617"/>
    <w:rsid w:val="001B1CCE"/>
    <w:rsid w:val="001B4A64"/>
    <w:rsid w:val="001B4C9C"/>
    <w:rsid w:val="001B63DE"/>
    <w:rsid w:val="001B6DD4"/>
    <w:rsid w:val="001B71CF"/>
    <w:rsid w:val="001B7748"/>
    <w:rsid w:val="001C0635"/>
    <w:rsid w:val="001C16BA"/>
    <w:rsid w:val="001C28AE"/>
    <w:rsid w:val="001D43B1"/>
    <w:rsid w:val="001E0023"/>
    <w:rsid w:val="001E3363"/>
    <w:rsid w:val="001E56DC"/>
    <w:rsid w:val="001F1EB1"/>
    <w:rsid w:val="001F75E0"/>
    <w:rsid w:val="002009D0"/>
    <w:rsid w:val="00201486"/>
    <w:rsid w:val="00203241"/>
    <w:rsid w:val="00205AB5"/>
    <w:rsid w:val="00210010"/>
    <w:rsid w:val="00210FF4"/>
    <w:rsid w:val="00217402"/>
    <w:rsid w:val="00217520"/>
    <w:rsid w:val="00220200"/>
    <w:rsid w:val="00220DEC"/>
    <w:rsid w:val="00223AFF"/>
    <w:rsid w:val="00226C30"/>
    <w:rsid w:val="00230900"/>
    <w:rsid w:val="00231EBD"/>
    <w:rsid w:val="00235E23"/>
    <w:rsid w:val="00237C31"/>
    <w:rsid w:val="00237E1E"/>
    <w:rsid w:val="00241D62"/>
    <w:rsid w:val="00241DAA"/>
    <w:rsid w:val="00242CB3"/>
    <w:rsid w:val="00246299"/>
    <w:rsid w:val="002479E3"/>
    <w:rsid w:val="0025299A"/>
    <w:rsid w:val="002537DB"/>
    <w:rsid w:val="0025662E"/>
    <w:rsid w:val="00256728"/>
    <w:rsid w:val="00261C33"/>
    <w:rsid w:val="00262864"/>
    <w:rsid w:val="002703BB"/>
    <w:rsid w:val="00270E51"/>
    <w:rsid w:val="00271715"/>
    <w:rsid w:val="00273D53"/>
    <w:rsid w:val="00277C01"/>
    <w:rsid w:val="002801DC"/>
    <w:rsid w:val="002807B8"/>
    <w:rsid w:val="00281943"/>
    <w:rsid w:val="00281DDF"/>
    <w:rsid w:val="00282D04"/>
    <w:rsid w:val="0028577F"/>
    <w:rsid w:val="002868AB"/>
    <w:rsid w:val="0029239D"/>
    <w:rsid w:val="00293A0E"/>
    <w:rsid w:val="00293EC5"/>
    <w:rsid w:val="0029540C"/>
    <w:rsid w:val="002A001A"/>
    <w:rsid w:val="002A2580"/>
    <w:rsid w:val="002A2FAD"/>
    <w:rsid w:val="002A34D5"/>
    <w:rsid w:val="002A72EC"/>
    <w:rsid w:val="002B0C0C"/>
    <w:rsid w:val="002B0CA4"/>
    <w:rsid w:val="002B1BD3"/>
    <w:rsid w:val="002B2870"/>
    <w:rsid w:val="002B3201"/>
    <w:rsid w:val="002B43DB"/>
    <w:rsid w:val="002B50D4"/>
    <w:rsid w:val="002B64F2"/>
    <w:rsid w:val="002C3F25"/>
    <w:rsid w:val="002D0277"/>
    <w:rsid w:val="002D441A"/>
    <w:rsid w:val="002D4F23"/>
    <w:rsid w:val="002D6192"/>
    <w:rsid w:val="002D6F31"/>
    <w:rsid w:val="002E05DF"/>
    <w:rsid w:val="002E1E48"/>
    <w:rsid w:val="002E293E"/>
    <w:rsid w:val="002E33AE"/>
    <w:rsid w:val="002E42C7"/>
    <w:rsid w:val="002E47EB"/>
    <w:rsid w:val="002E55F0"/>
    <w:rsid w:val="002F1202"/>
    <w:rsid w:val="002F30E4"/>
    <w:rsid w:val="002F45DB"/>
    <w:rsid w:val="002F72B8"/>
    <w:rsid w:val="00302272"/>
    <w:rsid w:val="003100AE"/>
    <w:rsid w:val="00310102"/>
    <w:rsid w:val="00311944"/>
    <w:rsid w:val="003132CB"/>
    <w:rsid w:val="003167FB"/>
    <w:rsid w:val="00317B60"/>
    <w:rsid w:val="00317F22"/>
    <w:rsid w:val="00320812"/>
    <w:rsid w:val="0032299A"/>
    <w:rsid w:val="00325990"/>
    <w:rsid w:val="00327174"/>
    <w:rsid w:val="00331636"/>
    <w:rsid w:val="0033612F"/>
    <w:rsid w:val="00341ACE"/>
    <w:rsid w:val="003475BB"/>
    <w:rsid w:val="0035129B"/>
    <w:rsid w:val="003559F7"/>
    <w:rsid w:val="0035752D"/>
    <w:rsid w:val="00357B43"/>
    <w:rsid w:val="00357D4D"/>
    <w:rsid w:val="00361773"/>
    <w:rsid w:val="00361AE4"/>
    <w:rsid w:val="0036291B"/>
    <w:rsid w:val="00364E08"/>
    <w:rsid w:val="00365F1E"/>
    <w:rsid w:val="00370B91"/>
    <w:rsid w:val="00374726"/>
    <w:rsid w:val="00376BEB"/>
    <w:rsid w:val="0039138C"/>
    <w:rsid w:val="00391776"/>
    <w:rsid w:val="003930B8"/>
    <w:rsid w:val="00394F22"/>
    <w:rsid w:val="00395BA1"/>
    <w:rsid w:val="003965F9"/>
    <w:rsid w:val="003A1968"/>
    <w:rsid w:val="003A1E4E"/>
    <w:rsid w:val="003A2FD0"/>
    <w:rsid w:val="003B1B7D"/>
    <w:rsid w:val="003B24A4"/>
    <w:rsid w:val="003B4157"/>
    <w:rsid w:val="003B424E"/>
    <w:rsid w:val="003B7762"/>
    <w:rsid w:val="003C215C"/>
    <w:rsid w:val="003C7B36"/>
    <w:rsid w:val="003C7E76"/>
    <w:rsid w:val="003D4940"/>
    <w:rsid w:val="003D7E65"/>
    <w:rsid w:val="003E3F16"/>
    <w:rsid w:val="003F1B90"/>
    <w:rsid w:val="003F26CD"/>
    <w:rsid w:val="003F49F1"/>
    <w:rsid w:val="003F6BD0"/>
    <w:rsid w:val="003F7A06"/>
    <w:rsid w:val="00400D51"/>
    <w:rsid w:val="0040155B"/>
    <w:rsid w:val="00401829"/>
    <w:rsid w:val="00404D5D"/>
    <w:rsid w:val="00406955"/>
    <w:rsid w:val="00406A18"/>
    <w:rsid w:val="00406E86"/>
    <w:rsid w:val="004109CD"/>
    <w:rsid w:val="00413403"/>
    <w:rsid w:val="004136B0"/>
    <w:rsid w:val="0041696E"/>
    <w:rsid w:val="004233BD"/>
    <w:rsid w:val="00425273"/>
    <w:rsid w:val="004265B7"/>
    <w:rsid w:val="004273DF"/>
    <w:rsid w:val="00427A31"/>
    <w:rsid w:val="00432540"/>
    <w:rsid w:val="004337AF"/>
    <w:rsid w:val="00433FA1"/>
    <w:rsid w:val="004347FD"/>
    <w:rsid w:val="004359E0"/>
    <w:rsid w:val="00436D46"/>
    <w:rsid w:val="0044069B"/>
    <w:rsid w:val="0044361D"/>
    <w:rsid w:val="00446FC7"/>
    <w:rsid w:val="0045120E"/>
    <w:rsid w:val="0045202A"/>
    <w:rsid w:val="00455804"/>
    <w:rsid w:val="00460D57"/>
    <w:rsid w:val="0046328C"/>
    <w:rsid w:val="00466BC7"/>
    <w:rsid w:val="00474606"/>
    <w:rsid w:val="0047797C"/>
    <w:rsid w:val="00480F79"/>
    <w:rsid w:val="00481A4B"/>
    <w:rsid w:val="00482448"/>
    <w:rsid w:val="00484495"/>
    <w:rsid w:val="00497711"/>
    <w:rsid w:val="004A25DE"/>
    <w:rsid w:val="004A3039"/>
    <w:rsid w:val="004A7492"/>
    <w:rsid w:val="004B282F"/>
    <w:rsid w:val="004B7D13"/>
    <w:rsid w:val="004C1783"/>
    <w:rsid w:val="004C4F8B"/>
    <w:rsid w:val="004C6961"/>
    <w:rsid w:val="004C7D4D"/>
    <w:rsid w:val="004C7F3E"/>
    <w:rsid w:val="004D0E6A"/>
    <w:rsid w:val="004E0098"/>
    <w:rsid w:val="004E0A61"/>
    <w:rsid w:val="004E1E0E"/>
    <w:rsid w:val="004E63C8"/>
    <w:rsid w:val="004F08B7"/>
    <w:rsid w:val="004F0FA8"/>
    <w:rsid w:val="004F1A61"/>
    <w:rsid w:val="004F1DEB"/>
    <w:rsid w:val="004F20F8"/>
    <w:rsid w:val="004F223D"/>
    <w:rsid w:val="004F2CE8"/>
    <w:rsid w:val="004F372E"/>
    <w:rsid w:val="00502E90"/>
    <w:rsid w:val="0050722E"/>
    <w:rsid w:val="0051090A"/>
    <w:rsid w:val="005172FB"/>
    <w:rsid w:val="0052143B"/>
    <w:rsid w:val="005278C7"/>
    <w:rsid w:val="00530616"/>
    <w:rsid w:val="00530813"/>
    <w:rsid w:val="00530CF4"/>
    <w:rsid w:val="00531CB6"/>
    <w:rsid w:val="00531DDA"/>
    <w:rsid w:val="0053682E"/>
    <w:rsid w:val="0054098D"/>
    <w:rsid w:val="00544A41"/>
    <w:rsid w:val="00545B97"/>
    <w:rsid w:val="00546D94"/>
    <w:rsid w:val="005520F7"/>
    <w:rsid w:val="00552BF2"/>
    <w:rsid w:val="0055736C"/>
    <w:rsid w:val="00562D37"/>
    <w:rsid w:val="00570ED8"/>
    <w:rsid w:val="005710FB"/>
    <w:rsid w:val="005712C7"/>
    <w:rsid w:val="005725F5"/>
    <w:rsid w:val="00573239"/>
    <w:rsid w:val="005827D4"/>
    <w:rsid w:val="005865E3"/>
    <w:rsid w:val="005904C5"/>
    <w:rsid w:val="00591BFF"/>
    <w:rsid w:val="00592FD0"/>
    <w:rsid w:val="00594493"/>
    <w:rsid w:val="00594EFC"/>
    <w:rsid w:val="0059529F"/>
    <w:rsid w:val="00597D54"/>
    <w:rsid w:val="005A088E"/>
    <w:rsid w:val="005A0AB1"/>
    <w:rsid w:val="005A4666"/>
    <w:rsid w:val="005A4C88"/>
    <w:rsid w:val="005B0DF6"/>
    <w:rsid w:val="005B1460"/>
    <w:rsid w:val="005B28C9"/>
    <w:rsid w:val="005B3364"/>
    <w:rsid w:val="005B431C"/>
    <w:rsid w:val="005B436D"/>
    <w:rsid w:val="005B5451"/>
    <w:rsid w:val="005B6162"/>
    <w:rsid w:val="005C1020"/>
    <w:rsid w:val="005C34D5"/>
    <w:rsid w:val="005D1ADA"/>
    <w:rsid w:val="005D4D9B"/>
    <w:rsid w:val="005D4E2E"/>
    <w:rsid w:val="005D6E17"/>
    <w:rsid w:val="005D7EDE"/>
    <w:rsid w:val="005E0429"/>
    <w:rsid w:val="005E0458"/>
    <w:rsid w:val="005E06C7"/>
    <w:rsid w:val="005E43A7"/>
    <w:rsid w:val="005E5A89"/>
    <w:rsid w:val="005F2B0F"/>
    <w:rsid w:val="005F2BF5"/>
    <w:rsid w:val="005F58BC"/>
    <w:rsid w:val="005F68D7"/>
    <w:rsid w:val="00600171"/>
    <w:rsid w:val="006022E6"/>
    <w:rsid w:val="006059EA"/>
    <w:rsid w:val="006068B5"/>
    <w:rsid w:val="00606F1B"/>
    <w:rsid w:val="00617613"/>
    <w:rsid w:val="00621FE6"/>
    <w:rsid w:val="00623BD2"/>
    <w:rsid w:val="00624603"/>
    <w:rsid w:val="0062517E"/>
    <w:rsid w:val="00625F84"/>
    <w:rsid w:val="0063174B"/>
    <w:rsid w:val="006322B8"/>
    <w:rsid w:val="00633D3F"/>
    <w:rsid w:val="00636D08"/>
    <w:rsid w:val="006405F9"/>
    <w:rsid w:val="00640666"/>
    <w:rsid w:val="00641C32"/>
    <w:rsid w:val="00641FDF"/>
    <w:rsid w:val="00643E5D"/>
    <w:rsid w:val="006471D1"/>
    <w:rsid w:val="00651758"/>
    <w:rsid w:val="00651F0B"/>
    <w:rsid w:val="0065467B"/>
    <w:rsid w:val="006552E7"/>
    <w:rsid w:val="00655773"/>
    <w:rsid w:val="006571DC"/>
    <w:rsid w:val="0066129B"/>
    <w:rsid w:val="00663A94"/>
    <w:rsid w:val="006641DC"/>
    <w:rsid w:val="00667879"/>
    <w:rsid w:val="00667C15"/>
    <w:rsid w:val="00667F38"/>
    <w:rsid w:val="006719AD"/>
    <w:rsid w:val="00675736"/>
    <w:rsid w:val="0067666F"/>
    <w:rsid w:val="0067710F"/>
    <w:rsid w:val="00677A2D"/>
    <w:rsid w:val="00680BFF"/>
    <w:rsid w:val="00682929"/>
    <w:rsid w:val="0068396E"/>
    <w:rsid w:val="00684DFE"/>
    <w:rsid w:val="00684E31"/>
    <w:rsid w:val="006850CB"/>
    <w:rsid w:val="00687D3F"/>
    <w:rsid w:val="00696F45"/>
    <w:rsid w:val="006A21F1"/>
    <w:rsid w:val="006A6035"/>
    <w:rsid w:val="006A69DC"/>
    <w:rsid w:val="006B078C"/>
    <w:rsid w:val="006B30B0"/>
    <w:rsid w:val="006B34B1"/>
    <w:rsid w:val="006B49A1"/>
    <w:rsid w:val="006C0A28"/>
    <w:rsid w:val="006C24E1"/>
    <w:rsid w:val="006C30BA"/>
    <w:rsid w:val="006C6B3D"/>
    <w:rsid w:val="006C71BD"/>
    <w:rsid w:val="006D080E"/>
    <w:rsid w:val="006D6AC5"/>
    <w:rsid w:val="006D7463"/>
    <w:rsid w:val="006E0CED"/>
    <w:rsid w:val="006E35D2"/>
    <w:rsid w:val="006F05BE"/>
    <w:rsid w:val="006F1106"/>
    <w:rsid w:val="006F113B"/>
    <w:rsid w:val="006F1B5F"/>
    <w:rsid w:val="007003A8"/>
    <w:rsid w:val="007018A0"/>
    <w:rsid w:val="0070403E"/>
    <w:rsid w:val="00706D90"/>
    <w:rsid w:val="00707AA4"/>
    <w:rsid w:val="00713575"/>
    <w:rsid w:val="0071767A"/>
    <w:rsid w:val="00720B7D"/>
    <w:rsid w:val="00720CBF"/>
    <w:rsid w:val="00721C52"/>
    <w:rsid w:val="0072277E"/>
    <w:rsid w:val="00722EA6"/>
    <w:rsid w:val="0072394F"/>
    <w:rsid w:val="007362C8"/>
    <w:rsid w:val="00744A45"/>
    <w:rsid w:val="00745F11"/>
    <w:rsid w:val="00747C31"/>
    <w:rsid w:val="00750E7B"/>
    <w:rsid w:val="007533FD"/>
    <w:rsid w:val="00762A80"/>
    <w:rsid w:val="00765365"/>
    <w:rsid w:val="007671B4"/>
    <w:rsid w:val="007722C4"/>
    <w:rsid w:val="00774302"/>
    <w:rsid w:val="00776EFB"/>
    <w:rsid w:val="00781CFB"/>
    <w:rsid w:val="00784292"/>
    <w:rsid w:val="007848D2"/>
    <w:rsid w:val="00785DA4"/>
    <w:rsid w:val="00787F64"/>
    <w:rsid w:val="0079327C"/>
    <w:rsid w:val="00795954"/>
    <w:rsid w:val="00796D16"/>
    <w:rsid w:val="007A03FA"/>
    <w:rsid w:val="007A25DA"/>
    <w:rsid w:val="007A5740"/>
    <w:rsid w:val="007B1C8A"/>
    <w:rsid w:val="007B3502"/>
    <w:rsid w:val="007B4446"/>
    <w:rsid w:val="007C4462"/>
    <w:rsid w:val="007C44BF"/>
    <w:rsid w:val="007D6A02"/>
    <w:rsid w:val="007E36CC"/>
    <w:rsid w:val="007E3A9B"/>
    <w:rsid w:val="007F45CE"/>
    <w:rsid w:val="007F5BDD"/>
    <w:rsid w:val="007F63FC"/>
    <w:rsid w:val="007F6762"/>
    <w:rsid w:val="007F6979"/>
    <w:rsid w:val="007F6AFE"/>
    <w:rsid w:val="00810269"/>
    <w:rsid w:val="008102C0"/>
    <w:rsid w:val="008104B3"/>
    <w:rsid w:val="008175E4"/>
    <w:rsid w:val="0082716F"/>
    <w:rsid w:val="0083029B"/>
    <w:rsid w:val="00833118"/>
    <w:rsid w:val="00833B57"/>
    <w:rsid w:val="00835A4E"/>
    <w:rsid w:val="008368E5"/>
    <w:rsid w:val="00841EA8"/>
    <w:rsid w:val="00846867"/>
    <w:rsid w:val="00847CBC"/>
    <w:rsid w:val="00850583"/>
    <w:rsid w:val="0085246B"/>
    <w:rsid w:val="00855B6F"/>
    <w:rsid w:val="00857379"/>
    <w:rsid w:val="00857686"/>
    <w:rsid w:val="00857D5F"/>
    <w:rsid w:val="00861117"/>
    <w:rsid w:val="00862A16"/>
    <w:rsid w:val="00865D6D"/>
    <w:rsid w:val="00867CEA"/>
    <w:rsid w:val="00873A14"/>
    <w:rsid w:val="008754FE"/>
    <w:rsid w:val="0088102D"/>
    <w:rsid w:val="00882535"/>
    <w:rsid w:val="00885E5C"/>
    <w:rsid w:val="0089043E"/>
    <w:rsid w:val="00892459"/>
    <w:rsid w:val="0089252E"/>
    <w:rsid w:val="00893714"/>
    <w:rsid w:val="00893B7E"/>
    <w:rsid w:val="00895058"/>
    <w:rsid w:val="008A0FBB"/>
    <w:rsid w:val="008A1905"/>
    <w:rsid w:val="008A3BD1"/>
    <w:rsid w:val="008A5018"/>
    <w:rsid w:val="008A5217"/>
    <w:rsid w:val="008A6249"/>
    <w:rsid w:val="008A6DF3"/>
    <w:rsid w:val="008B3496"/>
    <w:rsid w:val="008B3E30"/>
    <w:rsid w:val="008B466F"/>
    <w:rsid w:val="008B4850"/>
    <w:rsid w:val="008C0213"/>
    <w:rsid w:val="008C2BFD"/>
    <w:rsid w:val="008D22AE"/>
    <w:rsid w:val="008D55D5"/>
    <w:rsid w:val="008D7058"/>
    <w:rsid w:val="008E15D4"/>
    <w:rsid w:val="008E2D37"/>
    <w:rsid w:val="008E44DB"/>
    <w:rsid w:val="008E4A76"/>
    <w:rsid w:val="008E5C10"/>
    <w:rsid w:val="008F08ED"/>
    <w:rsid w:val="008F1187"/>
    <w:rsid w:val="008F1B1A"/>
    <w:rsid w:val="008F3635"/>
    <w:rsid w:val="008F3867"/>
    <w:rsid w:val="008F5826"/>
    <w:rsid w:val="008F6472"/>
    <w:rsid w:val="008F67A8"/>
    <w:rsid w:val="0090031A"/>
    <w:rsid w:val="0090056F"/>
    <w:rsid w:val="009012B6"/>
    <w:rsid w:val="00903967"/>
    <w:rsid w:val="00904B97"/>
    <w:rsid w:val="00905190"/>
    <w:rsid w:val="00906642"/>
    <w:rsid w:val="00907F63"/>
    <w:rsid w:val="00913CAB"/>
    <w:rsid w:val="00914108"/>
    <w:rsid w:val="00914EF2"/>
    <w:rsid w:val="00917DC2"/>
    <w:rsid w:val="00926F6B"/>
    <w:rsid w:val="0093248F"/>
    <w:rsid w:val="00932C35"/>
    <w:rsid w:val="00933997"/>
    <w:rsid w:val="00933CD3"/>
    <w:rsid w:val="00934805"/>
    <w:rsid w:val="00936E28"/>
    <w:rsid w:val="00942332"/>
    <w:rsid w:val="009424E9"/>
    <w:rsid w:val="0094341A"/>
    <w:rsid w:val="0094531A"/>
    <w:rsid w:val="0094538A"/>
    <w:rsid w:val="00950A83"/>
    <w:rsid w:val="0095424A"/>
    <w:rsid w:val="00955E7B"/>
    <w:rsid w:val="009560B6"/>
    <w:rsid w:val="00960EE1"/>
    <w:rsid w:val="0096147E"/>
    <w:rsid w:val="0096312A"/>
    <w:rsid w:val="00964618"/>
    <w:rsid w:val="00964DD1"/>
    <w:rsid w:val="009731F0"/>
    <w:rsid w:val="00973E87"/>
    <w:rsid w:val="00974A03"/>
    <w:rsid w:val="00976A52"/>
    <w:rsid w:val="00981F3C"/>
    <w:rsid w:val="00982421"/>
    <w:rsid w:val="009829D7"/>
    <w:rsid w:val="00985788"/>
    <w:rsid w:val="009859F3"/>
    <w:rsid w:val="009870E6"/>
    <w:rsid w:val="00987BEA"/>
    <w:rsid w:val="009905A8"/>
    <w:rsid w:val="00995926"/>
    <w:rsid w:val="009A0DB9"/>
    <w:rsid w:val="009A15EC"/>
    <w:rsid w:val="009A44D3"/>
    <w:rsid w:val="009A647B"/>
    <w:rsid w:val="009A7BDF"/>
    <w:rsid w:val="009B0D3D"/>
    <w:rsid w:val="009B154E"/>
    <w:rsid w:val="009B19ED"/>
    <w:rsid w:val="009B56F0"/>
    <w:rsid w:val="009B57E5"/>
    <w:rsid w:val="009B5B7C"/>
    <w:rsid w:val="009B74B8"/>
    <w:rsid w:val="009C10B8"/>
    <w:rsid w:val="009C1CB4"/>
    <w:rsid w:val="009C2615"/>
    <w:rsid w:val="009C5F73"/>
    <w:rsid w:val="009C6646"/>
    <w:rsid w:val="009D30BE"/>
    <w:rsid w:val="009D62C4"/>
    <w:rsid w:val="009D64CE"/>
    <w:rsid w:val="009E0829"/>
    <w:rsid w:val="009E34D6"/>
    <w:rsid w:val="009E49A0"/>
    <w:rsid w:val="009E6C8F"/>
    <w:rsid w:val="009F17D2"/>
    <w:rsid w:val="009F1C08"/>
    <w:rsid w:val="009F2B70"/>
    <w:rsid w:val="009F4FD0"/>
    <w:rsid w:val="00A01958"/>
    <w:rsid w:val="00A0240A"/>
    <w:rsid w:val="00A02D38"/>
    <w:rsid w:val="00A03007"/>
    <w:rsid w:val="00A04C72"/>
    <w:rsid w:val="00A05FD5"/>
    <w:rsid w:val="00A07ED0"/>
    <w:rsid w:val="00A10350"/>
    <w:rsid w:val="00A10544"/>
    <w:rsid w:val="00A10927"/>
    <w:rsid w:val="00A11DF7"/>
    <w:rsid w:val="00A12F01"/>
    <w:rsid w:val="00A15134"/>
    <w:rsid w:val="00A15B43"/>
    <w:rsid w:val="00A1671A"/>
    <w:rsid w:val="00A200A7"/>
    <w:rsid w:val="00A212A9"/>
    <w:rsid w:val="00A23DFB"/>
    <w:rsid w:val="00A244F1"/>
    <w:rsid w:val="00A25497"/>
    <w:rsid w:val="00A300E2"/>
    <w:rsid w:val="00A35005"/>
    <w:rsid w:val="00A36BEB"/>
    <w:rsid w:val="00A406E2"/>
    <w:rsid w:val="00A40B01"/>
    <w:rsid w:val="00A42432"/>
    <w:rsid w:val="00A43948"/>
    <w:rsid w:val="00A45D4E"/>
    <w:rsid w:val="00A47BE0"/>
    <w:rsid w:val="00A5066C"/>
    <w:rsid w:val="00A53041"/>
    <w:rsid w:val="00A53E91"/>
    <w:rsid w:val="00A57563"/>
    <w:rsid w:val="00A5779F"/>
    <w:rsid w:val="00A63265"/>
    <w:rsid w:val="00A646FD"/>
    <w:rsid w:val="00A654F5"/>
    <w:rsid w:val="00A72770"/>
    <w:rsid w:val="00A7351D"/>
    <w:rsid w:val="00A73A95"/>
    <w:rsid w:val="00A81551"/>
    <w:rsid w:val="00A83F6E"/>
    <w:rsid w:val="00A84427"/>
    <w:rsid w:val="00A84484"/>
    <w:rsid w:val="00A921B4"/>
    <w:rsid w:val="00AA098D"/>
    <w:rsid w:val="00AA1768"/>
    <w:rsid w:val="00AA2B0A"/>
    <w:rsid w:val="00AA3DB3"/>
    <w:rsid w:val="00AA58F5"/>
    <w:rsid w:val="00AA6A8D"/>
    <w:rsid w:val="00AA799C"/>
    <w:rsid w:val="00AB1250"/>
    <w:rsid w:val="00AB1422"/>
    <w:rsid w:val="00AB1E92"/>
    <w:rsid w:val="00AC07FE"/>
    <w:rsid w:val="00AC325F"/>
    <w:rsid w:val="00AC5930"/>
    <w:rsid w:val="00AE6E5A"/>
    <w:rsid w:val="00AE7F95"/>
    <w:rsid w:val="00AF0193"/>
    <w:rsid w:val="00AF0B9F"/>
    <w:rsid w:val="00AF4201"/>
    <w:rsid w:val="00AF5AF0"/>
    <w:rsid w:val="00AF5FA3"/>
    <w:rsid w:val="00AF6BF5"/>
    <w:rsid w:val="00B0262D"/>
    <w:rsid w:val="00B02C52"/>
    <w:rsid w:val="00B03E40"/>
    <w:rsid w:val="00B057AD"/>
    <w:rsid w:val="00B05A01"/>
    <w:rsid w:val="00B062C6"/>
    <w:rsid w:val="00B07AE4"/>
    <w:rsid w:val="00B120D6"/>
    <w:rsid w:val="00B12FA8"/>
    <w:rsid w:val="00B139AD"/>
    <w:rsid w:val="00B16F6F"/>
    <w:rsid w:val="00B177DD"/>
    <w:rsid w:val="00B17AA1"/>
    <w:rsid w:val="00B17ABE"/>
    <w:rsid w:val="00B227D1"/>
    <w:rsid w:val="00B237DC"/>
    <w:rsid w:val="00B23A71"/>
    <w:rsid w:val="00B23F3B"/>
    <w:rsid w:val="00B30FF3"/>
    <w:rsid w:val="00B3304B"/>
    <w:rsid w:val="00B33211"/>
    <w:rsid w:val="00B35C44"/>
    <w:rsid w:val="00B4584B"/>
    <w:rsid w:val="00B46D18"/>
    <w:rsid w:val="00B549D5"/>
    <w:rsid w:val="00B54AC4"/>
    <w:rsid w:val="00B57178"/>
    <w:rsid w:val="00B6085E"/>
    <w:rsid w:val="00B60F56"/>
    <w:rsid w:val="00B63D79"/>
    <w:rsid w:val="00B64A35"/>
    <w:rsid w:val="00B6772D"/>
    <w:rsid w:val="00B67B9B"/>
    <w:rsid w:val="00B70A56"/>
    <w:rsid w:val="00B74BD5"/>
    <w:rsid w:val="00B75D37"/>
    <w:rsid w:val="00B84183"/>
    <w:rsid w:val="00B844E3"/>
    <w:rsid w:val="00B85473"/>
    <w:rsid w:val="00BA1558"/>
    <w:rsid w:val="00BA1781"/>
    <w:rsid w:val="00BA462C"/>
    <w:rsid w:val="00BA53C7"/>
    <w:rsid w:val="00BA58F3"/>
    <w:rsid w:val="00BA5BBA"/>
    <w:rsid w:val="00BA67AB"/>
    <w:rsid w:val="00BB4129"/>
    <w:rsid w:val="00BB4C39"/>
    <w:rsid w:val="00BC0ACB"/>
    <w:rsid w:val="00BC1385"/>
    <w:rsid w:val="00BC2CE2"/>
    <w:rsid w:val="00BC6CEC"/>
    <w:rsid w:val="00BC7E6D"/>
    <w:rsid w:val="00BD184E"/>
    <w:rsid w:val="00BD298C"/>
    <w:rsid w:val="00BD351A"/>
    <w:rsid w:val="00BD5DBE"/>
    <w:rsid w:val="00BD678C"/>
    <w:rsid w:val="00BD6E8F"/>
    <w:rsid w:val="00BE079C"/>
    <w:rsid w:val="00BE2986"/>
    <w:rsid w:val="00BE3134"/>
    <w:rsid w:val="00BE5FED"/>
    <w:rsid w:val="00BF155A"/>
    <w:rsid w:val="00BF272A"/>
    <w:rsid w:val="00BF41EB"/>
    <w:rsid w:val="00BF4B73"/>
    <w:rsid w:val="00BF6B19"/>
    <w:rsid w:val="00C007C1"/>
    <w:rsid w:val="00C01EDD"/>
    <w:rsid w:val="00C05ED7"/>
    <w:rsid w:val="00C14B3E"/>
    <w:rsid w:val="00C179A2"/>
    <w:rsid w:val="00C20444"/>
    <w:rsid w:val="00C254CE"/>
    <w:rsid w:val="00C258E0"/>
    <w:rsid w:val="00C274C1"/>
    <w:rsid w:val="00C307B6"/>
    <w:rsid w:val="00C31C10"/>
    <w:rsid w:val="00C32194"/>
    <w:rsid w:val="00C3300A"/>
    <w:rsid w:val="00C3392E"/>
    <w:rsid w:val="00C33F7D"/>
    <w:rsid w:val="00C343ED"/>
    <w:rsid w:val="00C415DC"/>
    <w:rsid w:val="00C45834"/>
    <w:rsid w:val="00C475EA"/>
    <w:rsid w:val="00C51D7D"/>
    <w:rsid w:val="00C525AE"/>
    <w:rsid w:val="00C53CE4"/>
    <w:rsid w:val="00C5581F"/>
    <w:rsid w:val="00C57997"/>
    <w:rsid w:val="00C61475"/>
    <w:rsid w:val="00C628D0"/>
    <w:rsid w:val="00C752C7"/>
    <w:rsid w:val="00C900FA"/>
    <w:rsid w:val="00C90868"/>
    <w:rsid w:val="00C923FE"/>
    <w:rsid w:val="00C930BC"/>
    <w:rsid w:val="00C9394A"/>
    <w:rsid w:val="00C978A2"/>
    <w:rsid w:val="00CA241A"/>
    <w:rsid w:val="00CA75FB"/>
    <w:rsid w:val="00CB715A"/>
    <w:rsid w:val="00CC09F5"/>
    <w:rsid w:val="00CC54E4"/>
    <w:rsid w:val="00CC6CC5"/>
    <w:rsid w:val="00CD0B70"/>
    <w:rsid w:val="00CD13C6"/>
    <w:rsid w:val="00CD17D0"/>
    <w:rsid w:val="00CD4094"/>
    <w:rsid w:val="00CE4791"/>
    <w:rsid w:val="00CE71F2"/>
    <w:rsid w:val="00CE7BED"/>
    <w:rsid w:val="00CF380B"/>
    <w:rsid w:val="00CF4527"/>
    <w:rsid w:val="00CF5A1C"/>
    <w:rsid w:val="00D02063"/>
    <w:rsid w:val="00D03123"/>
    <w:rsid w:val="00D069D0"/>
    <w:rsid w:val="00D06DB2"/>
    <w:rsid w:val="00D13117"/>
    <w:rsid w:val="00D13C5D"/>
    <w:rsid w:val="00D148B8"/>
    <w:rsid w:val="00D16DAF"/>
    <w:rsid w:val="00D20B9F"/>
    <w:rsid w:val="00D22480"/>
    <w:rsid w:val="00D229D8"/>
    <w:rsid w:val="00D237EB"/>
    <w:rsid w:val="00D27CA1"/>
    <w:rsid w:val="00D31980"/>
    <w:rsid w:val="00D3285E"/>
    <w:rsid w:val="00D36D30"/>
    <w:rsid w:val="00D370DF"/>
    <w:rsid w:val="00D379FA"/>
    <w:rsid w:val="00D41A4A"/>
    <w:rsid w:val="00D46B33"/>
    <w:rsid w:val="00D5080B"/>
    <w:rsid w:val="00D52C27"/>
    <w:rsid w:val="00D54FA6"/>
    <w:rsid w:val="00D56422"/>
    <w:rsid w:val="00D603E7"/>
    <w:rsid w:val="00D61021"/>
    <w:rsid w:val="00D629AF"/>
    <w:rsid w:val="00D6461C"/>
    <w:rsid w:val="00D67B18"/>
    <w:rsid w:val="00D70F06"/>
    <w:rsid w:val="00D718D1"/>
    <w:rsid w:val="00D7254D"/>
    <w:rsid w:val="00D75996"/>
    <w:rsid w:val="00D75D75"/>
    <w:rsid w:val="00D75E1D"/>
    <w:rsid w:val="00D77330"/>
    <w:rsid w:val="00D807D5"/>
    <w:rsid w:val="00D80F8A"/>
    <w:rsid w:val="00D83BA2"/>
    <w:rsid w:val="00D902A2"/>
    <w:rsid w:val="00D97DC0"/>
    <w:rsid w:val="00DA004B"/>
    <w:rsid w:val="00DA19FC"/>
    <w:rsid w:val="00DA1ACC"/>
    <w:rsid w:val="00DA1CB6"/>
    <w:rsid w:val="00DA3A5A"/>
    <w:rsid w:val="00DA7F48"/>
    <w:rsid w:val="00DB1D95"/>
    <w:rsid w:val="00DB42B0"/>
    <w:rsid w:val="00DB76A6"/>
    <w:rsid w:val="00DC1C05"/>
    <w:rsid w:val="00DC5D14"/>
    <w:rsid w:val="00DC65F1"/>
    <w:rsid w:val="00DD0FD4"/>
    <w:rsid w:val="00DD21F9"/>
    <w:rsid w:val="00DD29E8"/>
    <w:rsid w:val="00DD2FB0"/>
    <w:rsid w:val="00DD39E8"/>
    <w:rsid w:val="00DD3B47"/>
    <w:rsid w:val="00DD5A30"/>
    <w:rsid w:val="00DD5B8B"/>
    <w:rsid w:val="00DD72DA"/>
    <w:rsid w:val="00DE00B7"/>
    <w:rsid w:val="00DE2827"/>
    <w:rsid w:val="00DE41D4"/>
    <w:rsid w:val="00DF155C"/>
    <w:rsid w:val="00DF34D2"/>
    <w:rsid w:val="00DF7381"/>
    <w:rsid w:val="00E00C1E"/>
    <w:rsid w:val="00E018DB"/>
    <w:rsid w:val="00E03DF1"/>
    <w:rsid w:val="00E047C0"/>
    <w:rsid w:val="00E11330"/>
    <w:rsid w:val="00E12E29"/>
    <w:rsid w:val="00E153A5"/>
    <w:rsid w:val="00E1797C"/>
    <w:rsid w:val="00E26C02"/>
    <w:rsid w:val="00E40966"/>
    <w:rsid w:val="00E42398"/>
    <w:rsid w:val="00E4467F"/>
    <w:rsid w:val="00E46DD3"/>
    <w:rsid w:val="00E46FFF"/>
    <w:rsid w:val="00E476F9"/>
    <w:rsid w:val="00E5570F"/>
    <w:rsid w:val="00E608DD"/>
    <w:rsid w:val="00E627FC"/>
    <w:rsid w:val="00E65BD7"/>
    <w:rsid w:val="00E662B6"/>
    <w:rsid w:val="00E67D0F"/>
    <w:rsid w:val="00E711EF"/>
    <w:rsid w:val="00E81D4A"/>
    <w:rsid w:val="00E846B5"/>
    <w:rsid w:val="00E85FB8"/>
    <w:rsid w:val="00E870C2"/>
    <w:rsid w:val="00E872DF"/>
    <w:rsid w:val="00E8771C"/>
    <w:rsid w:val="00E8778C"/>
    <w:rsid w:val="00E90531"/>
    <w:rsid w:val="00E92C1F"/>
    <w:rsid w:val="00E96B88"/>
    <w:rsid w:val="00E974B5"/>
    <w:rsid w:val="00E97CAD"/>
    <w:rsid w:val="00EA07D5"/>
    <w:rsid w:val="00EA3331"/>
    <w:rsid w:val="00EA420B"/>
    <w:rsid w:val="00EA4BFC"/>
    <w:rsid w:val="00EA564E"/>
    <w:rsid w:val="00EB1675"/>
    <w:rsid w:val="00EB7A91"/>
    <w:rsid w:val="00EC0F36"/>
    <w:rsid w:val="00EC33E8"/>
    <w:rsid w:val="00EC3B5B"/>
    <w:rsid w:val="00EC4C56"/>
    <w:rsid w:val="00EC6F1F"/>
    <w:rsid w:val="00ED3047"/>
    <w:rsid w:val="00ED63CB"/>
    <w:rsid w:val="00EE7A41"/>
    <w:rsid w:val="00EF1E16"/>
    <w:rsid w:val="00EF3923"/>
    <w:rsid w:val="00EF4E61"/>
    <w:rsid w:val="00EF5E9F"/>
    <w:rsid w:val="00EF767B"/>
    <w:rsid w:val="00EF7A6D"/>
    <w:rsid w:val="00F015B8"/>
    <w:rsid w:val="00F07664"/>
    <w:rsid w:val="00F0786B"/>
    <w:rsid w:val="00F07CEC"/>
    <w:rsid w:val="00F100DF"/>
    <w:rsid w:val="00F10CED"/>
    <w:rsid w:val="00F13953"/>
    <w:rsid w:val="00F14AF1"/>
    <w:rsid w:val="00F2079F"/>
    <w:rsid w:val="00F21848"/>
    <w:rsid w:val="00F21A3D"/>
    <w:rsid w:val="00F23589"/>
    <w:rsid w:val="00F26A15"/>
    <w:rsid w:val="00F33791"/>
    <w:rsid w:val="00F337CD"/>
    <w:rsid w:val="00F433B1"/>
    <w:rsid w:val="00F45526"/>
    <w:rsid w:val="00F45D18"/>
    <w:rsid w:val="00F47547"/>
    <w:rsid w:val="00F47FAE"/>
    <w:rsid w:val="00F504BE"/>
    <w:rsid w:val="00F51003"/>
    <w:rsid w:val="00F53CBB"/>
    <w:rsid w:val="00F60CA5"/>
    <w:rsid w:val="00F60F86"/>
    <w:rsid w:val="00F61FF2"/>
    <w:rsid w:val="00F631FB"/>
    <w:rsid w:val="00F63D20"/>
    <w:rsid w:val="00F65321"/>
    <w:rsid w:val="00F66794"/>
    <w:rsid w:val="00F70EC9"/>
    <w:rsid w:val="00F737A2"/>
    <w:rsid w:val="00F77EEE"/>
    <w:rsid w:val="00F827A8"/>
    <w:rsid w:val="00F83A07"/>
    <w:rsid w:val="00F83C91"/>
    <w:rsid w:val="00F84486"/>
    <w:rsid w:val="00F8463D"/>
    <w:rsid w:val="00F866D4"/>
    <w:rsid w:val="00F93270"/>
    <w:rsid w:val="00F97D3E"/>
    <w:rsid w:val="00FA79F8"/>
    <w:rsid w:val="00FB1E0E"/>
    <w:rsid w:val="00FB3069"/>
    <w:rsid w:val="00FC0EB5"/>
    <w:rsid w:val="00FC3BEE"/>
    <w:rsid w:val="00FC7738"/>
    <w:rsid w:val="00FC7A43"/>
    <w:rsid w:val="00FD7A88"/>
    <w:rsid w:val="00FE5381"/>
    <w:rsid w:val="00FE5D55"/>
    <w:rsid w:val="00FE64E4"/>
    <w:rsid w:val="00FE66C6"/>
    <w:rsid w:val="00FE6993"/>
    <w:rsid w:val="00FF16DB"/>
    <w:rsid w:val="00FF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984806,#e36c0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qFormat="1"/>
  </w:latentStyles>
  <w:style w:type="paragraph" w:default="1" w:styleId="Normln">
    <w:name w:val="Normal"/>
    <w:qFormat/>
    <w:rsid w:val="003B424E"/>
    <w:pPr>
      <w:spacing w:after="1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12F01"/>
    <w:pPr>
      <w:keepNext/>
      <w:keepLines/>
      <w:spacing w:before="480"/>
      <w:outlineLvl w:val="0"/>
    </w:pPr>
    <w:rPr>
      <w:rFonts w:ascii="Cambria" w:hAnsi="Cambria" w:cs="Cambria"/>
      <w:b/>
      <w:bCs/>
      <w:color w:val="984806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82716F"/>
    <w:pPr>
      <w:keepNext/>
      <w:keepLines/>
      <w:spacing w:before="360"/>
      <w:outlineLvl w:val="1"/>
    </w:pPr>
    <w:rPr>
      <w:rFonts w:ascii="Cambria" w:hAnsi="Cambria" w:cs="Cambria"/>
      <w:b/>
      <w:bCs/>
      <w:color w:val="E36C0A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50977"/>
    <w:pPr>
      <w:keepNext/>
      <w:spacing w:before="360" w:after="60"/>
      <w:outlineLvl w:val="2"/>
    </w:pPr>
    <w:rPr>
      <w:rFonts w:ascii="Cambria" w:hAnsi="Cambria" w:cs="Cambria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45D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45D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45D18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F45D18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F45D18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F45D18"/>
    <w:pPr>
      <w:spacing w:before="240" w:after="60"/>
      <w:outlineLvl w:val="8"/>
    </w:pPr>
    <w:rPr>
      <w:rFonts w:ascii="Cambria" w:hAnsi="Cambria" w:cs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12F01"/>
    <w:rPr>
      <w:rFonts w:ascii="Cambria" w:hAnsi="Cambria" w:cs="Cambria"/>
      <w:b/>
      <w:bCs/>
      <w:color w:val="984806"/>
      <w:sz w:val="28"/>
      <w:szCs w:val="28"/>
      <w:lang w:eastAsia="en-US"/>
    </w:rPr>
  </w:style>
  <w:style w:type="character" w:customStyle="1" w:styleId="Nadpis2Char">
    <w:name w:val="Nadpis 2 Char"/>
    <w:link w:val="Nadpis2"/>
    <w:uiPriority w:val="99"/>
    <w:rsid w:val="0082716F"/>
    <w:rPr>
      <w:rFonts w:ascii="Cambria" w:hAnsi="Cambria" w:cs="Cambria"/>
      <w:b/>
      <w:bCs/>
      <w:color w:val="E36C0A"/>
      <w:sz w:val="26"/>
      <w:szCs w:val="26"/>
      <w:lang w:eastAsia="en-US"/>
    </w:rPr>
  </w:style>
  <w:style w:type="character" w:customStyle="1" w:styleId="Nadpis3Char">
    <w:name w:val="Nadpis 3 Char"/>
    <w:link w:val="Nadpis3"/>
    <w:uiPriority w:val="99"/>
    <w:rsid w:val="00050977"/>
    <w:rPr>
      <w:rFonts w:ascii="Cambria" w:hAnsi="Cambria" w:cs="Cambria"/>
      <w:b/>
      <w:bCs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rsid w:val="00F45D18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rsid w:val="00F45D18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9"/>
    <w:semiHidden/>
    <w:rsid w:val="00F45D18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9"/>
    <w:semiHidden/>
    <w:rsid w:val="00F45D18"/>
    <w:rPr>
      <w:rFonts w:ascii="Calibri" w:hAnsi="Calibri" w:cs="Calibri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9"/>
    <w:semiHidden/>
    <w:rsid w:val="00F45D18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9"/>
    <w:semiHidden/>
    <w:rsid w:val="00F45D18"/>
    <w:rPr>
      <w:rFonts w:ascii="Cambria" w:hAnsi="Cambria" w:cs="Cambria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9F4FD0"/>
    <w:pPr>
      <w:ind w:left="720"/>
    </w:pPr>
  </w:style>
  <w:style w:type="paragraph" w:styleId="Textvysvtlivek">
    <w:name w:val="endnote text"/>
    <w:basedOn w:val="Normln"/>
    <w:link w:val="TextvysvtlivekChar"/>
    <w:uiPriority w:val="99"/>
    <w:semiHidden/>
    <w:rsid w:val="00A53E91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A53E91"/>
    <w:rPr>
      <w:rFonts w:ascii="Calibri" w:hAnsi="Calibri" w:cs="Calibri"/>
      <w:lang w:eastAsia="en-US"/>
    </w:rPr>
  </w:style>
  <w:style w:type="character" w:styleId="Odkaznavysvtlivky">
    <w:name w:val="endnote reference"/>
    <w:uiPriority w:val="99"/>
    <w:semiHidden/>
    <w:rsid w:val="00A53E91"/>
    <w:rPr>
      <w:vertAlign w:val="superscript"/>
    </w:rPr>
  </w:style>
  <w:style w:type="character" w:styleId="Hypertextovodkaz">
    <w:name w:val="Hyperlink"/>
    <w:uiPriority w:val="99"/>
    <w:rsid w:val="00D237EB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667C15"/>
    <w:pPr>
      <w:pBdr>
        <w:bottom w:val="single" w:sz="8" w:space="4" w:color="4F81BD"/>
      </w:pBdr>
      <w:spacing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rsid w:val="00667C15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455804"/>
    <w:pPr>
      <w:overflowPunct w:val="0"/>
      <w:autoSpaceDE w:val="0"/>
      <w:autoSpaceDN w:val="0"/>
      <w:adjustRightInd w:val="0"/>
      <w:textAlignment w:val="baseline"/>
    </w:pPr>
    <w:rPr>
      <w:rFonts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5804"/>
  </w:style>
  <w:style w:type="character" w:styleId="Znakapoznpodarou">
    <w:name w:val="footnote reference"/>
    <w:uiPriority w:val="99"/>
    <w:semiHidden/>
    <w:rsid w:val="00455804"/>
    <w:rPr>
      <w:vertAlign w:val="superscript"/>
    </w:rPr>
  </w:style>
  <w:style w:type="paragraph" w:styleId="Normlnweb">
    <w:name w:val="Normal (Web)"/>
    <w:basedOn w:val="Normln"/>
    <w:uiPriority w:val="99"/>
    <w:rsid w:val="002B50D4"/>
    <w:pPr>
      <w:spacing w:before="100" w:beforeAutospacing="1" w:after="100" w:afterAutospacing="1"/>
    </w:pPr>
    <w:rPr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850583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99"/>
    <w:qFormat/>
    <w:rsid w:val="00974A03"/>
    <w:rPr>
      <w:b/>
      <w:bCs/>
    </w:rPr>
  </w:style>
  <w:style w:type="character" w:styleId="Zvraznn">
    <w:name w:val="Emphasis"/>
    <w:uiPriority w:val="99"/>
    <w:qFormat/>
    <w:rsid w:val="0029239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rsid w:val="00B677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772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rsid w:val="00B6772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B6772D"/>
    <w:rPr>
      <w:rFonts w:ascii="Calibri" w:hAnsi="Calibri" w:cs="Calibri"/>
      <w:lang w:eastAsia="en-US"/>
    </w:rPr>
  </w:style>
  <w:style w:type="paragraph" w:styleId="Zpat">
    <w:name w:val="footer"/>
    <w:basedOn w:val="Normln"/>
    <w:link w:val="ZpatChar"/>
    <w:uiPriority w:val="99"/>
    <w:rsid w:val="00B6772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B6772D"/>
    <w:rPr>
      <w:rFonts w:ascii="Calibri" w:hAnsi="Calibri" w:cs="Calibri"/>
      <w:lang w:eastAsia="en-US"/>
    </w:rPr>
  </w:style>
  <w:style w:type="paragraph" w:customStyle="1" w:styleId="detail-odstavec">
    <w:name w:val="detail-odstavec"/>
    <w:basedOn w:val="Normln"/>
    <w:uiPriority w:val="99"/>
    <w:rsid w:val="0044361D"/>
    <w:pPr>
      <w:spacing w:after="75"/>
    </w:pPr>
    <w:rPr>
      <w:rFonts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99"/>
    <w:qFormat/>
    <w:rsid w:val="00C3392E"/>
    <w:pPr>
      <w:spacing w:line="276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481A4B"/>
    <w:pPr>
      <w:tabs>
        <w:tab w:val="left" w:pos="440"/>
        <w:tab w:val="right" w:leader="dot" w:pos="9062"/>
      </w:tabs>
      <w:spacing w:before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C3392E"/>
    <w:pPr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C3392E"/>
    <w:pPr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99"/>
    <w:semiHidden/>
    <w:rsid w:val="00124C60"/>
    <w:pPr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semiHidden/>
    <w:rsid w:val="00124C60"/>
    <w:pPr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semiHidden/>
    <w:rsid w:val="00124C60"/>
    <w:pPr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semiHidden/>
    <w:rsid w:val="00124C60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semiHidden/>
    <w:rsid w:val="00124C60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semiHidden/>
    <w:rsid w:val="00124C60"/>
    <w:pPr>
      <w:ind w:left="1760"/>
    </w:pPr>
    <w:rPr>
      <w:sz w:val="18"/>
      <w:szCs w:val="18"/>
    </w:rPr>
  </w:style>
  <w:style w:type="paragraph" w:styleId="Revize">
    <w:name w:val="Revision"/>
    <w:hidden/>
    <w:uiPriority w:val="99"/>
    <w:semiHidden/>
    <w:rsid w:val="00B05A01"/>
    <w:rPr>
      <w:rFonts w:ascii="Calibri" w:hAnsi="Calibri" w:cs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B7D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B7D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B7D13"/>
    <w:rPr>
      <w:rFonts w:ascii="Calibri" w:hAnsi="Calibri"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7D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7D13"/>
    <w:rPr>
      <w:rFonts w:ascii="Calibri" w:hAnsi="Calibri" w:cs="Calibri"/>
      <w:b/>
      <w:bCs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B854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qFormat="1"/>
  </w:latentStyles>
  <w:style w:type="paragraph" w:default="1" w:styleId="Normln">
    <w:name w:val="Normal"/>
    <w:qFormat/>
    <w:rsid w:val="003B424E"/>
    <w:pPr>
      <w:spacing w:after="1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12F01"/>
    <w:pPr>
      <w:keepNext/>
      <w:keepLines/>
      <w:spacing w:before="480"/>
      <w:outlineLvl w:val="0"/>
    </w:pPr>
    <w:rPr>
      <w:rFonts w:ascii="Cambria" w:hAnsi="Cambria" w:cs="Cambria"/>
      <w:b/>
      <w:bCs/>
      <w:color w:val="984806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82716F"/>
    <w:pPr>
      <w:keepNext/>
      <w:keepLines/>
      <w:spacing w:before="360"/>
      <w:outlineLvl w:val="1"/>
    </w:pPr>
    <w:rPr>
      <w:rFonts w:ascii="Cambria" w:hAnsi="Cambria" w:cs="Cambria"/>
      <w:b/>
      <w:bCs/>
      <w:color w:val="E36C0A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50977"/>
    <w:pPr>
      <w:keepNext/>
      <w:spacing w:before="360" w:after="60"/>
      <w:outlineLvl w:val="2"/>
    </w:pPr>
    <w:rPr>
      <w:rFonts w:ascii="Cambria" w:hAnsi="Cambria" w:cs="Cambria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45D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45D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45D18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F45D18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F45D18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F45D18"/>
    <w:pPr>
      <w:spacing w:before="240" w:after="60"/>
      <w:outlineLvl w:val="8"/>
    </w:pPr>
    <w:rPr>
      <w:rFonts w:ascii="Cambria" w:hAnsi="Cambria" w:cs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12F01"/>
    <w:rPr>
      <w:rFonts w:ascii="Cambria" w:hAnsi="Cambria" w:cs="Cambria"/>
      <w:b/>
      <w:bCs/>
      <w:color w:val="984806"/>
      <w:sz w:val="28"/>
      <w:szCs w:val="28"/>
      <w:lang w:eastAsia="en-US"/>
    </w:rPr>
  </w:style>
  <w:style w:type="character" w:customStyle="1" w:styleId="Nadpis2Char">
    <w:name w:val="Nadpis 2 Char"/>
    <w:link w:val="Nadpis2"/>
    <w:uiPriority w:val="99"/>
    <w:rsid w:val="0082716F"/>
    <w:rPr>
      <w:rFonts w:ascii="Cambria" w:hAnsi="Cambria" w:cs="Cambria"/>
      <w:b/>
      <w:bCs/>
      <w:color w:val="E36C0A"/>
      <w:sz w:val="26"/>
      <w:szCs w:val="26"/>
      <w:lang w:eastAsia="en-US"/>
    </w:rPr>
  </w:style>
  <w:style w:type="character" w:customStyle="1" w:styleId="Nadpis3Char">
    <w:name w:val="Nadpis 3 Char"/>
    <w:link w:val="Nadpis3"/>
    <w:uiPriority w:val="99"/>
    <w:rsid w:val="00050977"/>
    <w:rPr>
      <w:rFonts w:ascii="Cambria" w:hAnsi="Cambria" w:cs="Cambria"/>
      <w:b/>
      <w:bCs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rsid w:val="00F45D18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rsid w:val="00F45D18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9"/>
    <w:semiHidden/>
    <w:rsid w:val="00F45D18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9"/>
    <w:semiHidden/>
    <w:rsid w:val="00F45D18"/>
    <w:rPr>
      <w:rFonts w:ascii="Calibri" w:hAnsi="Calibri" w:cs="Calibri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9"/>
    <w:semiHidden/>
    <w:rsid w:val="00F45D18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9"/>
    <w:semiHidden/>
    <w:rsid w:val="00F45D18"/>
    <w:rPr>
      <w:rFonts w:ascii="Cambria" w:hAnsi="Cambria" w:cs="Cambria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9F4FD0"/>
    <w:pPr>
      <w:ind w:left="720"/>
    </w:pPr>
  </w:style>
  <w:style w:type="paragraph" w:styleId="Textvysvtlivek">
    <w:name w:val="endnote text"/>
    <w:basedOn w:val="Normln"/>
    <w:link w:val="TextvysvtlivekChar"/>
    <w:uiPriority w:val="99"/>
    <w:semiHidden/>
    <w:rsid w:val="00A53E91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A53E91"/>
    <w:rPr>
      <w:rFonts w:ascii="Calibri" w:hAnsi="Calibri" w:cs="Calibri"/>
      <w:lang w:eastAsia="en-US"/>
    </w:rPr>
  </w:style>
  <w:style w:type="character" w:styleId="Odkaznavysvtlivky">
    <w:name w:val="endnote reference"/>
    <w:uiPriority w:val="99"/>
    <w:semiHidden/>
    <w:rsid w:val="00A53E91"/>
    <w:rPr>
      <w:vertAlign w:val="superscript"/>
    </w:rPr>
  </w:style>
  <w:style w:type="character" w:styleId="Hypertextovodkaz">
    <w:name w:val="Hyperlink"/>
    <w:uiPriority w:val="99"/>
    <w:rsid w:val="00D237EB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667C15"/>
    <w:pPr>
      <w:pBdr>
        <w:bottom w:val="single" w:sz="8" w:space="4" w:color="4F81BD"/>
      </w:pBdr>
      <w:spacing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rsid w:val="00667C15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455804"/>
    <w:pPr>
      <w:overflowPunct w:val="0"/>
      <w:autoSpaceDE w:val="0"/>
      <w:autoSpaceDN w:val="0"/>
      <w:adjustRightInd w:val="0"/>
      <w:textAlignment w:val="baseline"/>
    </w:pPr>
    <w:rPr>
      <w:rFonts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5804"/>
  </w:style>
  <w:style w:type="character" w:styleId="Znakapoznpodarou">
    <w:name w:val="footnote reference"/>
    <w:uiPriority w:val="99"/>
    <w:semiHidden/>
    <w:rsid w:val="00455804"/>
    <w:rPr>
      <w:vertAlign w:val="superscript"/>
    </w:rPr>
  </w:style>
  <w:style w:type="paragraph" w:styleId="Normlnweb">
    <w:name w:val="Normal (Web)"/>
    <w:basedOn w:val="Normln"/>
    <w:uiPriority w:val="99"/>
    <w:rsid w:val="002B50D4"/>
    <w:pPr>
      <w:spacing w:before="100" w:beforeAutospacing="1" w:after="100" w:afterAutospacing="1"/>
    </w:pPr>
    <w:rPr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850583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99"/>
    <w:qFormat/>
    <w:rsid w:val="00974A03"/>
    <w:rPr>
      <w:b/>
      <w:bCs/>
    </w:rPr>
  </w:style>
  <w:style w:type="character" w:styleId="Zvraznn">
    <w:name w:val="Emphasis"/>
    <w:uiPriority w:val="99"/>
    <w:qFormat/>
    <w:rsid w:val="0029239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rsid w:val="00B677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772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rsid w:val="00B6772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B6772D"/>
    <w:rPr>
      <w:rFonts w:ascii="Calibri" w:hAnsi="Calibri" w:cs="Calibri"/>
      <w:lang w:eastAsia="en-US"/>
    </w:rPr>
  </w:style>
  <w:style w:type="paragraph" w:styleId="Zpat">
    <w:name w:val="footer"/>
    <w:basedOn w:val="Normln"/>
    <w:link w:val="ZpatChar"/>
    <w:uiPriority w:val="99"/>
    <w:rsid w:val="00B6772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B6772D"/>
    <w:rPr>
      <w:rFonts w:ascii="Calibri" w:hAnsi="Calibri" w:cs="Calibri"/>
      <w:lang w:eastAsia="en-US"/>
    </w:rPr>
  </w:style>
  <w:style w:type="paragraph" w:customStyle="1" w:styleId="detail-odstavec">
    <w:name w:val="detail-odstavec"/>
    <w:basedOn w:val="Normln"/>
    <w:uiPriority w:val="99"/>
    <w:rsid w:val="0044361D"/>
    <w:pPr>
      <w:spacing w:after="75"/>
    </w:pPr>
    <w:rPr>
      <w:rFonts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99"/>
    <w:qFormat/>
    <w:rsid w:val="00C3392E"/>
    <w:pPr>
      <w:spacing w:line="276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481A4B"/>
    <w:pPr>
      <w:tabs>
        <w:tab w:val="left" w:pos="440"/>
        <w:tab w:val="right" w:leader="dot" w:pos="9062"/>
      </w:tabs>
      <w:spacing w:before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C3392E"/>
    <w:pPr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C3392E"/>
    <w:pPr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99"/>
    <w:semiHidden/>
    <w:rsid w:val="00124C60"/>
    <w:pPr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semiHidden/>
    <w:rsid w:val="00124C60"/>
    <w:pPr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semiHidden/>
    <w:rsid w:val="00124C60"/>
    <w:pPr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semiHidden/>
    <w:rsid w:val="00124C60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semiHidden/>
    <w:rsid w:val="00124C60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semiHidden/>
    <w:rsid w:val="00124C60"/>
    <w:pPr>
      <w:ind w:left="1760"/>
    </w:pPr>
    <w:rPr>
      <w:sz w:val="18"/>
      <w:szCs w:val="18"/>
    </w:rPr>
  </w:style>
  <w:style w:type="paragraph" w:styleId="Revize">
    <w:name w:val="Revision"/>
    <w:hidden/>
    <w:uiPriority w:val="99"/>
    <w:semiHidden/>
    <w:rsid w:val="00B05A01"/>
    <w:rPr>
      <w:rFonts w:ascii="Calibri" w:hAnsi="Calibri" w:cs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B7D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B7D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B7D13"/>
    <w:rPr>
      <w:rFonts w:ascii="Calibri" w:hAnsi="Calibri"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7D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7D13"/>
    <w:rPr>
      <w:rFonts w:ascii="Calibri" w:hAnsi="Calibri" w:cs="Calibri"/>
      <w:b/>
      <w:bCs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B8547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8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7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9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7A7A7"/>
            <w:bottom w:val="none" w:sz="0" w:space="0" w:color="auto"/>
            <w:right w:val="single" w:sz="6" w:space="0" w:color="A7A7A7"/>
          </w:divBdr>
          <w:divsChild>
            <w:div w:id="18257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98038-02D8-40F1-9867-912F36AC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4040</Words>
  <Characters>23841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Akční plán podpory malého a středního podnikání na období 2014 – 2015</vt:lpstr>
    </vt:vector>
  </TitlesOfParts>
  <Company>Ministerstvo průmyslu a obchodu</Company>
  <LinksUpToDate>false</LinksUpToDate>
  <CharactersWithSpaces>27826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Akční plán podpory malého a středního podnikání na období 2014 – 2015</dc:title>
  <dc:creator>Vránová Dagmar</dc:creator>
  <cp:lastModifiedBy>OSPZV3 ospzv3</cp:lastModifiedBy>
  <cp:revision>2</cp:revision>
  <cp:lastPrinted>2016-05-31T10:54:00Z</cp:lastPrinted>
  <dcterms:created xsi:type="dcterms:W3CDTF">2016-05-31T10:56:00Z</dcterms:created>
  <dcterms:modified xsi:type="dcterms:W3CDTF">2016-05-31T10:56:00Z</dcterms:modified>
</cp:coreProperties>
</file>