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4FF5" w:rsidRPr="007F0A74" w:rsidRDefault="00A24FF5" w:rsidP="005D27CB">
      <w:pPr>
        <w:spacing w:before="0" w:after="0" w:line="240" w:lineRule="auto"/>
        <w:ind w:firstLine="0"/>
        <w:jc w:val="left"/>
        <w:rPr>
          <w:szCs w:val="20"/>
        </w:rPr>
      </w:pPr>
      <w:bookmarkStart w:id="0" w:name="_Toc206999959"/>
      <w:bookmarkStart w:id="1" w:name="_Toc241917772"/>
      <w:r w:rsidRPr="007F0A74">
        <w:rPr>
          <w:szCs w:val="20"/>
        </w:rPr>
        <w:t>Ministerstvo financí</w:t>
      </w:r>
    </w:p>
    <w:p w:rsidR="00A24FF5" w:rsidRPr="00451C69" w:rsidRDefault="00A24FF5" w:rsidP="005D27CB">
      <w:pPr>
        <w:spacing w:line="240" w:lineRule="auto"/>
        <w:ind w:firstLine="0"/>
      </w:pPr>
      <w:r w:rsidRPr="007B351D">
        <w:t>č.</w:t>
      </w:r>
      <w:r w:rsidR="007B351D">
        <w:t xml:space="preserve"> </w:t>
      </w:r>
      <w:r w:rsidRPr="007B351D">
        <w:t>j. MF</w:t>
      </w:r>
      <w:r w:rsidR="00C53433">
        <w:t xml:space="preserve"> </w:t>
      </w:r>
      <w:r w:rsidRPr="007B351D">
        <w:t xml:space="preserve">- </w:t>
      </w:r>
      <w:r w:rsidRPr="008E78AA">
        <w:t>45 931/2014/11</w:t>
      </w: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Cs w:val="20"/>
        </w:rPr>
      </w:pPr>
    </w:p>
    <w:p w:rsidR="00A24FF5" w:rsidRPr="00DB2E39" w:rsidRDefault="00A24FF5" w:rsidP="00FF4A00">
      <w:pPr>
        <w:spacing w:before="0" w:after="0" w:line="240" w:lineRule="auto"/>
        <w:ind w:firstLine="0"/>
        <w:jc w:val="left"/>
        <w:rPr>
          <w:sz w:val="44"/>
          <w:szCs w:val="20"/>
        </w:rPr>
      </w:pPr>
    </w:p>
    <w:p w:rsidR="00A24FF5" w:rsidRPr="00DB2E39" w:rsidRDefault="00A24FF5" w:rsidP="00FF4A00">
      <w:pPr>
        <w:spacing w:before="0" w:after="0" w:line="240" w:lineRule="auto"/>
        <w:ind w:firstLine="0"/>
        <w:jc w:val="center"/>
        <w:rPr>
          <w:b/>
          <w:bCs/>
          <w:sz w:val="44"/>
          <w:szCs w:val="20"/>
        </w:rPr>
      </w:pPr>
      <w:r w:rsidRPr="00DB2E39">
        <w:rPr>
          <w:b/>
          <w:bCs/>
          <w:sz w:val="44"/>
          <w:szCs w:val="20"/>
        </w:rPr>
        <w:t>M.</w:t>
      </w:r>
    </w:p>
    <w:p w:rsidR="00A24FF5" w:rsidRPr="00DB2E39" w:rsidRDefault="00A24FF5" w:rsidP="00FF4A00">
      <w:pPr>
        <w:spacing w:before="0" w:after="0" w:line="240" w:lineRule="auto"/>
        <w:ind w:firstLine="0"/>
        <w:jc w:val="center"/>
        <w:rPr>
          <w:b/>
          <w:bCs/>
          <w:sz w:val="44"/>
          <w:szCs w:val="20"/>
        </w:rPr>
      </w:pPr>
    </w:p>
    <w:p w:rsidR="00A24FF5" w:rsidRDefault="00A24FF5" w:rsidP="00FF4A00">
      <w:pPr>
        <w:spacing w:before="0" w:after="0" w:line="240" w:lineRule="auto"/>
        <w:ind w:firstLine="0"/>
        <w:jc w:val="center"/>
        <w:rPr>
          <w:b/>
          <w:bCs/>
          <w:sz w:val="44"/>
          <w:szCs w:val="20"/>
        </w:rPr>
      </w:pPr>
      <w:r w:rsidRPr="00B64C76">
        <w:rPr>
          <w:b/>
          <w:bCs/>
          <w:sz w:val="44"/>
          <w:szCs w:val="20"/>
        </w:rPr>
        <w:t>Návrh střednědobého výhledu státního rozpočtu na léta 201</w:t>
      </w:r>
      <w:r>
        <w:rPr>
          <w:b/>
          <w:bCs/>
          <w:sz w:val="44"/>
          <w:szCs w:val="20"/>
        </w:rPr>
        <w:t>6</w:t>
      </w:r>
      <w:r w:rsidRPr="00B64C76">
        <w:rPr>
          <w:b/>
          <w:bCs/>
          <w:sz w:val="44"/>
          <w:szCs w:val="20"/>
        </w:rPr>
        <w:t xml:space="preserve"> a 201</w:t>
      </w:r>
      <w:r>
        <w:rPr>
          <w:b/>
          <w:bCs/>
          <w:sz w:val="44"/>
          <w:szCs w:val="20"/>
        </w:rPr>
        <w:t>7</w:t>
      </w:r>
    </w:p>
    <w:p w:rsidR="00A24FF5" w:rsidRPr="00DB2E39" w:rsidRDefault="00A24FF5" w:rsidP="00FF4A00">
      <w:pPr>
        <w:spacing w:before="0" w:after="0" w:line="240" w:lineRule="auto"/>
        <w:ind w:firstLine="0"/>
        <w:rPr>
          <w:b/>
          <w:bCs/>
          <w:sz w:val="44"/>
          <w:szCs w:val="20"/>
        </w:rPr>
      </w:pPr>
    </w:p>
    <w:p w:rsidR="00A24FF5" w:rsidRPr="00410549" w:rsidRDefault="00A24FF5" w:rsidP="005C0D6B">
      <w:pPr>
        <w:ind w:firstLine="0"/>
        <w:jc w:val="left"/>
        <w:sectPr w:rsidR="00A24FF5" w:rsidRPr="00410549" w:rsidSect="00AA700B">
          <w:footerReference w:type="even" r:id="rId9"/>
          <w:footerReference w:type="default" r:id="rId10"/>
          <w:footerReference w:type="first" r:id="rId11"/>
          <w:type w:val="continuous"/>
          <w:pgSz w:w="11906" w:h="16838"/>
          <w:pgMar w:top="1418" w:right="1106" w:bottom="1418" w:left="1418" w:header="709" w:footer="709" w:gutter="0"/>
          <w:cols w:space="708"/>
          <w:docGrid w:linePitch="360"/>
        </w:sectPr>
      </w:pPr>
    </w:p>
    <w:bookmarkEnd w:id="0"/>
    <w:bookmarkEnd w:id="1"/>
    <w:p w:rsidR="00A05F55" w:rsidRDefault="00A24FF5" w:rsidP="00FF00CE">
      <w:pPr>
        <w:rPr>
          <w:noProof/>
        </w:rPr>
      </w:pPr>
      <w:r>
        <w:lastRenderedPageBreak/>
        <w:t xml:space="preserve">                    </w:t>
      </w:r>
      <w:r>
        <w:fldChar w:fldCharType="begin"/>
      </w:r>
      <w:r>
        <w:instrText xml:space="preserve"> TOC \o "4-4" \f \h \z \t "Nadpis 1;2;Nadpis 2;3;Nadpis 3;4;Nadpis hlavní části;1;Styl Nadpis 2 + není Kurzíva1;2;Styl Nadpis hlavní části + Zarovnat do bloku První řádek:  095 cm;1" </w:instrText>
      </w:r>
      <w:r>
        <w:fldChar w:fldCharType="separate"/>
      </w:r>
    </w:p>
    <w:p w:rsidR="00A05F55" w:rsidRPr="005A0388" w:rsidRDefault="00A05F55">
      <w:pPr>
        <w:pStyle w:val="Obsah1"/>
        <w:rPr>
          <w:rFonts w:ascii="Calibri" w:hAnsi="Calibri"/>
          <w:b w:val="0"/>
          <w:sz w:val="22"/>
          <w:szCs w:val="22"/>
        </w:rPr>
      </w:pPr>
      <w:hyperlink w:anchor="_Toc397357448" w:history="1">
        <w:r w:rsidRPr="00906D58">
          <w:rPr>
            <w:rStyle w:val="Hypertextovodkaz"/>
          </w:rPr>
          <w:t>Úvod</w:t>
        </w:r>
        <w:r>
          <w:rPr>
            <w:webHidden/>
          </w:rPr>
          <w:tab/>
        </w:r>
        <w:r>
          <w:rPr>
            <w:webHidden/>
          </w:rPr>
          <w:fldChar w:fldCharType="begin"/>
        </w:r>
        <w:r>
          <w:rPr>
            <w:webHidden/>
          </w:rPr>
          <w:instrText xml:space="preserve"> PAGEREF _Toc397357448 \h </w:instrText>
        </w:r>
        <w:r>
          <w:rPr>
            <w:webHidden/>
          </w:rPr>
        </w:r>
        <w:r>
          <w:rPr>
            <w:webHidden/>
          </w:rPr>
          <w:fldChar w:fldCharType="separate"/>
        </w:r>
        <w:r w:rsidR="003B4B7F">
          <w:rPr>
            <w:webHidden/>
          </w:rPr>
          <w:t>3</w:t>
        </w:r>
        <w:r>
          <w:rPr>
            <w:webHidden/>
          </w:rPr>
          <w:fldChar w:fldCharType="end"/>
        </w:r>
      </w:hyperlink>
    </w:p>
    <w:p w:rsidR="00A05F55" w:rsidRPr="005A0388" w:rsidRDefault="00A05F55">
      <w:pPr>
        <w:pStyle w:val="Obsah1"/>
        <w:rPr>
          <w:rFonts w:ascii="Calibri" w:hAnsi="Calibri"/>
          <w:b w:val="0"/>
          <w:sz w:val="22"/>
          <w:szCs w:val="22"/>
        </w:rPr>
      </w:pPr>
      <w:hyperlink w:anchor="_Toc397357449" w:history="1">
        <w:r w:rsidRPr="00906D58">
          <w:rPr>
            <w:rStyle w:val="Hypertextovodkaz"/>
          </w:rPr>
          <w:t>A. Makroekonomický rámec na léta 2015 až 2017</w:t>
        </w:r>
        <w:r>
          <w:rPr>
            <w:webHidden/>
          </w:rPr>
          <w:tab/>
        </w:r>
        <w:r>
          <w:rPr>
            <w:webHidden/>
          </w:rPr>
          <w:fldChar w:fldCharType="begin"/>
        </w:r>
        <w:r>
          <w:rPr>
            <w:webHidden/>
          </w:rPr>
          <w:instrText xml:space="preserve"> PAGEREF _Toc397357449 \h </w:instrText>
        </w:r>
        <w:r>
          <w:rPr>
            <w:webHidden/>
          </w:rPr>
        </w:r>
        <w:r>
          <w:rPr>
            <w:webHidden/>
          </w:rPr>
          <w:fldChar w:fldCharType="separate"/>
        </w:r>
        <w:r w:rsidR="003B4B7F">
          <w:rPr>
            <w:webHidden/>
          </w:rPr>
          <w:t>4</w:t>
        </w:r>
        <w:r>
          <w:rPr>
            <w:webHidden/>
          </w:rPr>
          <w:fldChar w:fldCharType="end"/>
        </w:r>
      </w:hyperlink>
    </w:p>
    <w:p w:rsidR="00A05F55" w:rsidRPr="005A0388" w:rsidRDefault="00A05F55">
      <w:pPr>
        <w:pStyle w:val="Obsah2"/>
        <w:rPr>
          <w:rFonts w:ascii="Calibri" w:hAnsi="Calibri"/>
          <w:sz w:val="22"/>
          <w:szCs w:val="22"/>
        </w:rPr>
      </w:pPr>
      <w:hyperlink w:anchor="_Toc397357450" w:history="1">
        <w:r w:rsidRPr="00906D58">
          <w:rPr>
            <w:rStyle w:val="Hypertextovodkaz"/>
          </w:rPr>
          <w:t>1. Shrnutí makroekonomického rámce</w:t>
        </w:r>
        <w:r>
          <w:rPr>
            <w:webHidden/>
          </w:rPr>
          <w:tab/>
        </w:r>
        <w:r>
          <w:rPr>
            <w:webHidden/>
          </w:rPr>
          <w:fldChar w:fldCharType="begin"/>
        </w:r>
        <w:r>
          <w:rPr>
            <w:webHidden/>
          </w:rPr>
          <w:instrText xml:space="preserve"> PAGEREF _Toc397357450 \h </w:instrText>
        </w:r>
        <w:r>
          <w:rPr>
            <w:webHidden/>
          </w:rPr>
        </w:r>
        <w:r>
          <w:rPr>
            <w:webHidden/>
          </w:rPr>
          <w:fldChar w:fldCharType="separate"/>
        </w:r>
        <w:r w:rsidR="003B4B7F">
          <w:rPr>
            <w:webHidden/>
          </w:rPr>
          <w:t>4</w:t>
        </w:r>
        <w:r>
          <w:rPr>
            <w:webHidden/>
          </w:rPr>
          <w:fldChar w:fldCharType="end"/>
        </w:r>
      </w:hyperlink>
    </w:p>
    <w:p w:rsidR="00A05F55" w:rsidRPr="005A0388" w:rsidRDefault="00A05F55">
      <w:pPr>
        <w:pStyle w:val="Obsah2"/>
        <w:rPr>
          <w:rFonts w:ascii="Calibri" w:hAnsi="Calibri"/>
          <w:sz w:val="22"/>
          <w:szCs w:val="22"/>
        </w:rPr>
      </w:pPr>
      <w:hyperlink w:anchor="_Toc397357451" w:history="1">
        <w:r w:rsidRPr="00906D58">
          <w:rPr>
            <w:rStyle w:val="Hypertextovodkaz"/>
          </w:rPr>
          <w:t>2. Předpoklady budoucího vývoje</w:t>
        </w:r>
        <w:r>
          <w:rPr>
            <w:webHidden/>
          </w:rPr>
          <w:tab/>
        </w:r>
        <w:r>
          <w:rPr>
            <w:webHidden/>
          </w:rPr>
          <w:fldChar w:fldCharType="begin"/>
        </w:r>
        <w:r>
          <w:rPr>
            <w:webHidden/>
          </w:rPr>
          <w:instrText xml:space="preserve"> PAGEREF _Toc397357451 \h </w:instrText>
        </w:r>
        <w:r>
          <w:rPr>
            <w:webHidden/>
          </w:rPr>
        </w:r>
        <w:r>
          <w:rPr>
            <w:webHidden/>
          </w:rPr>
          <w:fldChar w:fldCharType="separate"/>
        </w:r>
        <w:r w:rsidR="003B4B7F">
          <w:rPr>
            <w:webHidden/>
          </w:rPr>
          <w:t>6</w:t>
        </w:r>
        <w:r>
          <w:rPr>
            <w:webHidden/>
          </w:rPr>
          <w:fldChar w:fldCharType="end"/>
        </w:r>
      </w:hyperlink>
    </w:p>
    <w:p w:rsidR="00A05F55" w:rsidRPr="005A0388" w:rsidRDefault="00A05F55">
      <w:pPr>
        <w:pStyle w:val="Obsah3"/>
        <w:rPr>
          <w:rFonts w:ascii="Calibri" w:hAnsi="Calibri"/>
          <w:noProof/>
          <w:sz w:val="22"/>
          <w:szCs w:val="22"/>
        </w:rPr>
      </w:pPr>
      <w:hyperlink w:anchor="_Toc397357452" w:history="1">
        <w:r w:rsidRPr="00906D58">
          <w:rPr>
            <w:rStyle w:val="Hypertextovodkaz"/>
            <w:noProof/>
          </w:rPr>
          <w:t>2.1. Vnější prostředí</w:t>
        </w:r>
        <w:r>
          <w:rPr>
            <w:noProof/>
            <w:webHidden/>
          </w:rPr>
          <w:tab/>
        </w:r>
        <w:r>
          <w:rPr>
            <w:noProof/>
            <w:webHidden/>
          </w:rPr>
          <w:fldChar w:fldCharType="begin"/>
        </w:r>
        <w:r>
          <w:rPr>
            <w:noProof/>
            <w:webHidden/>
          </w:rPr>
          <w:instrText xml:space="preserve"> PAGEREF _Toc397357452 \h </w:instrText>
        </w:r>
        <w:r>
          <w:rPr>
            <w:noProof/>
            <w:webHidden/>
          </w:rPr>
        </w:r>
        <w:r>
          <w:rPr>
            <w:noProof/>
            <w:webHidden/>
          </w:rPr>
          <w:fldChar w:fldCharType="separate"/>
        </w:r>
        <w:r w:rsidR="003B4B7F">
          <w:rPr>
            <w:noProof/>
            <w:webHidden/>
          </w:rPr>
          <w:t>6</w:t>
        </w:r>
        <w:r>
          <w:rPr>
            <w:noProof/>
            <w:webHidden/>
          </w:rPr>
          <w:fldChar w:fldCharType="end"/>
        </w:r>
      </w:hyperlink>
    </w:p>
    <w:p w:rsidR="00A05F55" w:rsidRPr="005A0388" w:rsidRDefault="00A05F55">
      <w:pPr>
        <w:pStyle w:val="Obsah4"/>
        <w:rPr>
          <w:rFonts w:ascii="Calibri" w:hAnsi="Calibri"/>
          <w:noProof/>
          <w:sz w:val="22"/>
          <w:szCs w:val="22"/>
        </w:rPr>
      </w:pPr>
      <w:hyperlink w:anchor="_Toc397357453" w:history="1">
        <w:r w:rsidRPr="00906D58">
          <w:rPr>
            <w:rStyle w:val="Hypertextovodkaz"/>
            <w:noProof/>
          </w:rPr>
          <w:t>2.1.1. Ekonomický výkon</w:t>
        </w:r>
        <w:r>
          <w:rPr>
            <w:noProof/>
            <w:webHidden/>
          </w:rPr>
          <w:tab/>
        </w:r>
        <w:r>
          <w:rPr>
            <w:noProof/>
            <w:webHidden/>
          </w:rPr>
          <w:fldChar w:fldCharType="begin"/>
        </w:r>
        <w:r>
          <w:rPr>
            <w:noProof/>
            <w:webHidden/>
          </w:rPr>
          <w:instrText xml:space="preserve"> PAGEREF _Toc397357453 \h </w:instrText>
        </w:r>
        <w:r>
          <w:rPr>
            <w:noProof/>
            <w:webHidden/>
          </w:rPr>
        </w:r>
        <w:r>
          <w:rPr>
            <w:noProof/>
            <w:webHidden/>
          </w:rPr>
          <w:fldChar w:fldCharType="separate"/>
        </w:r>
        <w:r w:rsidR="003B4B7F">
          <w:rPr>
            <w:noProof/>
            <w:webHidden/>
          </w:rPr>
          <w:t>6</w:t>
        </w:r>
        <w:r>
          <w:rPr>
            <w:noProof/>
            <w:webHidden/>
          </w:rPr>
          <w:fldChar w:fldCharType="end"/>
        </w:r>
      </w:hyperlink>
    </w:p>
    <w:p w:rsidR="00A05F55" w:rsidRPr="005A0388" w:rsidRDefault="00A05F55">
      <w:pPr>
        <w:pStyle w:val="Obsah4"/>
        <w:rPr>
          <w:rFonts w:ascii="Calibri" w:hAnsi="Calibri"/>
          <w:noProof/>
          <w:sz w:val="22"/>
          <w:szCs w:val="22"/>
        </w:rPr>
      </w:pPr>
      <w:hyperlink w:anchor="_Toc397357454" w:history="1">
        <w:r w:rsidRPr="00906D58">
          <w:rPr>
            <w:rStyle w:val="Hypertextovodkaz"/>
            <w:noProof/>
          </w:rPr>
          <w:t>2.1.2. Ropné suroviny</w:t>
        </w:r>
        <w:r>
          <w:rPr>
            <w:noProof/>
            <w:webHidden/>
          </w:rPr>
          <w:tab/>
        </w:r>
        <w:r>
          <w:rPr>
            <w:noProof/>
            <w:webHidden/>
          </w:rPr>
          <w:fldChar w:fldCharType="begin"/>
        </w:r>
        <w:r>
          <w:rPr>
            <w:noProof/>
            <w:webHidden/>
          </w:rPr>
          <w:instrText xml:space="preserve"> PAGEREF _Toc397357454 \h </w:instrText>
        </w:r>
        <w:r>
          <w:rPr>
            <w:noProof/>
            <w:webHidden/>
          </w:rPr>
        </w:r>
        <w:r>
          <w:rPr>
            <w:noProof/>
            <w:webHidden/>
          </w:rPr>
          <w:fldChar w:fldCharType="separate"/>
        </w:r>
        <w:r w:rsidR="003B4B7F">
          <w:rPr>
            <w:noProof/>
            <w:webHidden/>
          </w:rPr>
          <w:t>7</w:t>
        </w:r>
        <w:r>
          <w:rPr>
            <w:noProof/>
            <w:webHidden/>
          </w:rPr>
          <w:fldChar w:fldCharType="end"/>
        </w:r>
      </w:hyperlink>
    </w:p>
    <w:p w:rsidR="00A05F55" w:rsidRPr="005A0388" w:rsidRDefault="00A05F55">
      <w:pPr>
        <w:pStyle w:val="Obsah4"/>
        <w:rPr>
          <w:rFonts w:ascii="Calibri" w:hAnsi="Calibri"/>
          <w:noProof/>
          <w:sz w:val="22"/>
          <w:szCs w:val="22"/>
        </w:rPr>
      </w:pPr>
      <w:hyperlink w:anchor="_Toc397357455" w:history="1">
        <w:r w:rsidRPr="00906D58">
          <w:rPr>
            <w:rStyle w:val="Hypertextovodkaz"/>
            <w:noProof/>
          </w:rPr>
          <w:t>2.1.3. Situace v problémových ekonomikách eurozóny</w:t>
        </w:r>
        <w:r>
          <w:rPr>
            <w:noProof/>
            <w:webHidden/>
          </w:rPr>
          <w:tab/>
        </w:r>
        <w:r>
          <w:rPr>
            <w:noProof/>
            <w:webHidden/>
          </w:rPr>
          <w:fldChar w:fldCharType="begin"/>
        </w:r>
        <w:r>
          <w:rPr>
            <w:noProof/>
            <w:webHidden/>
          </w:rPr>
          <w:instrText xml:space="preserve"> PAGEREF _Toc397357455 \h </w:instrText>
        </w:r>
        <w:r>
          <w:rPr>
            <w:noProof/>
            <w:webHidden/>
          </w:rPr>
        </w:r>
        <w:r>
          <w:rPr>
            <w:noProof/>
            <w:webHidden/>
          </w:rPr>
          <w:fldChar w:fldCharType="separate"/>
        </w:r>
        <w:r w:rsidR="003B4B7F">
          <w:rPr>
            <w:noProof/>
            <w:webHidden/>
          </w:rPr>
          <w:t>8</w:t>
        </w:r>
        <w:r>
          <w:rPr>
            <w:noProof/>
            <w:webHidden/>
          </w:rPr>
          <w:fldChar w:fldCharType="end"/>
        </w:r>
      </w:hyperlink>
    </w:p>
    <w:p w:rsidR="00A05F55" w:rsidRPr="005A0388" w:rsidRDefault="00A05F55">
      <w:pPr>
        <w:pStyle w:val="Obsah3"/>
        <w:rPr>
          <w:rFonts w:ascii="Calibri" w:hAnsi="Calibri"/>
          <w:noProof/>
          <w:sz w:val="22"/>
          <w:szCs w:val="22"/>
        </w:rPr>
      </w:pPr>
      <w:hyperlink w:anchor="_Toc397357456" w:history="1">
        <w:r w:rsidRPr="00906D58">
          <w:rPr>
            <w:rStyle w:val="Hypertextovodkaz"/>
            <w:noProof/>
          </w:rPr>
          <w:t>2.2. Fiskální politika</w:t>
        </w:r>
        <w:r>
          <w:rPr>
            <w:noProof/>
            <w:webHidden/>
          </w:rPr>
          <w:tab/>
        </w:r>
        <w:r>
          <w:rPr>
            <w:noProof/>
            <w:webHidden/>
          </w:rPr>
          <w:fldChar w:fldCharType="begin"/>
        </w:r>
        <w:r>
          <w:rPr>
            <w:noProof/>
            <w:webHidden/>
          </w:rPr>
          <w:instrText xml:space="preserve"> PAGEREF _Toc397357456 \h </w:instrText>
        </w:r>
        <w:r>
          <w:rPr>
            <w:noProof/>
            <w:webHidden/>
          </w:rPr>
        </w:r>
        <w:r>
          <w:rPr>
            <w:noProof/>
            <w:webHidden/>
          </w:rPr>
          <w:fldChar w:fldCharType="separate"/>
        </w:r>
        <w:r w:rsidR="003B4B7F">
          <w:rPr>
            <w:noProof/>
            <w:webHidden/>
          </w:rPr>
          <w:t>10</w:t>
        </w:r>
        <w:r>
          <w:rPr>
            <w:noProof/>
            <w:webHidden/>
          </w:rPr>
          <w:fldChar w:fldCharType="end"/>
        </w:r>
      </w:hyperlink>
    </w:p>
    <w:p w:rsidR="00A05F55" w:rsidRPr="005A0388" w:rsidRDefault="00A05F55">
      <w:pPr>
        <w:pStyle w:val="Obsah3"/>
        <w:rPr>
          <w:rFonts w:ascii="Calibri" w:hAnsi="Calibri"/>
          <w:noProof/>
          <w:sz w:val="22"/>
          <w:szCs w:val="22"/>
        </w:rPr>
      </w:pPr>
      <w:hyperlink w:anchor="_Toc397357457" w:history="1">
        <w:r w:rsidRPr="00906D58">
          <w:rPr>
            <w:rStyle w:val="Hypertextovodkaz"/>
            <w:noProof/>
          </w:rPr>
          <w:t>2.3. Měnová politika a měnový kurz</w:t>
        </w:r>
        <w:r>
          <w:rPr>
            <w:noProof/>
            <w:webHidden/>
          </w:rPr>
          <w:tab/>
        </w:r>
        <w:r>
          <w:rPr>
            <w:noProof/>
            <w:webHidden/>
          </w:rPr>
          <w:fldChar w:fldCharType="begin"/>
        </w:r>
        <w:r>
          <w:rPr>
            <w:noProof/>
            <w:webHidden/>
          </w:rPr>
          <w:instrText xml:space="preserve"> PAGEREF _Toc397357457 \h </w:instrText>
        </w:r>
        <w:r>
          <w:rPr>
            <w:noProof/>
            <w:webHidden/>
          </w:rPr>
        </w:r>
        <w:r>
          <w:rPr>
            <w:noProof/>
            <w:webHidden/>
          </w:rPr>
          <w:fldChar w:fldCharType="separate"/>
        </w:r>
        <w:r w:rsidR="003B4B7F">
          <w:rPr>
            <w:noProof/>
            <w:webHidden/>
          </w:rPr>
          <w:t>11</w:t>
        </w:r>
        <w:r>
          <w:rPr>
            <w:noProof/>
            <w:webHidden/>
          </w:rPr>
          <w:fldChar w:fldCharType="end"/>
        </w:r>
      </w:hyperlink>
    </w:p>
    <w:p w:rsidR="00A05F55" w:rsidRPr="005A0388" w:rsidRDefault="00A05F55">
      <w:pPr>
        <w:pStyle w:val="Obsah3"/>
        <w:rPr>
          <w:rFonts w:ascii="Calibri" w:hAnsi="Calibri"/>
          <w:noProof/>
          <w:sz w:val="22"/>
          <w:szCs w:val="22"/>
        </w:rPr>
      </w:pPr>
      <w:hyperlink w:anchor="_Toc397357458" w:history="1">
        <w:r w:rsidRPr="00906D58">
          <w:rPr>
            <w:rStyle w:val="Hypertextovodkaz"/>
            <w:noProof/>
          </w:rPr>
          <w:t>2.4. Strukturální politiky</w:t>
        </w:r>
        <w:r>
          <w:rPr>
            <w:noProof/>
            <w:webHidden/>
          </w:rPr>
          <w:tab/>
        </w:r>
        <w:r>
          <w:rPr>
            <w:noProof/>
            <w:webHidden/>
          </w:rPr>
          <w:fldChar w:fldCharType="begin"/>
        </w:r>
        <w:r>
          <w:rPr>
            <w:noProof/>
            <w:webHidden/>
          </w:rPr>
          <w:instrText xml:space="preserve"> PAGEREF _Toc397357458 \h </w:instrText>
        </w:r>
        <w:r>
          <w:rPr>
            <w:noProof/>
            <w:webHidden/>
          </w:rPr>
        </w:r>
        <w:r>
          <w:rPr>
            <w:noProof/>
            <w:webHidden/>
          </w:rPr>
          <w:fldChar w:fldCharType="separate"/>
        </w:r>
        <w:r w:rsidR="003B4B7F">
          <w:rPr>
            <w:noProof/>
            <w:webHidden/>
          </w:rPr>
          <w:t>12</w:t>
        </w:r>
        <w:r>
          <w:rPr>
            <w:noProof/>
            <w:webHidden/>
          </w:rPr>
          <w:fldChar w:fldCharType="end"/>
        </w:r>
      </w:hyperlink>
    </w:p>
    <w:p w:rsidR="00A05F55" w:rsidRPr="005A0388" w:rsidRDefault="00A05F55">
      <w:pPr>
        <w:pStyle w:val="Obsah2"/>
        <w:rPr>
          <w:rFonts w:ascii="Calibri" w:hAnsi="Calibri"/>
          <w:sz w:val="22"/>
          <w:szCs w:val="22"/>
        </w:rPr>
      </w:pPr>
      <w:hyperlink w:anchor="_Toc397357459" w:history="1">
        <w:r w:rsidRPr="00906D58">
          <w:rPr>
            <w:rStyle w:val="Hypertextovodkaz"/>
          </w:rPr>
          <w:t>3. Makroekonomický vývoj v České republice</w:t>
        </w:r>
        <w:r>
          <w:rPr>
            <w:webHidden/>
          </w:rPr>
          <w:tab/>
        </w:r>
        <w:r>
          <w:rPr>
            <w:webHidden/>
          </w:rPr>
          <w:fldChar w:fldCharType="begin"/>
        </w:r>
        <w:r>
          <w:rPr>
            <w:webHidden/>
          </w:rPr>
          <w:instrText xml:space="preserve"> PAGEREF _Toc397357459 \h </w:instrText>
        </w:r>
        <w:r>
          <w:rPr>
            <w:webHidden/>
          </w:rPr>
        </w:r>
        <w:r>
          <w:rPr>
            <w:webHidden/>
          </w:rPr>
          <w:fldChar w:fldCharType="separate"/>
        </w:r>
        <w:r w:rsidR="003B4B7F">
          <w:rPr>
            <w:webHidden/>
          </w:rPr>
          <w:t>13</w:t>
        </w:r>
        <w:r>
          <w:rPr>
            <w:webHidden/>
          </w:rPr>
          <w:fldChar w:fldCharType="end"/>
        </w:r>
      </w:hyperlink>
    </w:p>
    <w:p w:rsidR="00A05F55" w:rsidRPr="005A0388" w:rsidRDefault="00A05F55">
      <w:pPr>
        <w:pStyle w:val="Obsah3"/>
        <w:rPr>
          <w:rFonts w:ascii="Calibri" w:hAnsi="Calibri"/>
          <w:noProof/>
          <w:sz w:val="22"/>
          <w:szCs w:val="22"/>
        </w:rPr>
      </w:pPr>
      <w:hyperlink w:anchor="_Toc397357460" w:history="1">
        <w:r w:rsidRPr="00906D58">
          <w:rPr>
            <w:rStyle w:val="Hypertextovodkaz"/>
            <w:noProof/>
          </w:rPr>
          <w:t>3.1. Ekonomický výkon</w:t>
        </w:r>
        <w:r>
          <w:rPr>
            <w:noProof/>
            <w:webHidden/>
          </w:rPr>
          <w:tab/>
        </w:r>
        <w:r>
          <w:rPr>
            <w:noProof/>
            <w:webHidden/>
          </w:rPr>
          <w:fldChar w:fldCharType="begin"/>
        </w:r>
        <w:r>
          <w:rPr>
            <w:noProof/>
            <w:webHidden/>
          </w:rPr>
          <w:instrText xml:space="preserve"> PAGEREF _Toc397357460 \h </w:instrText>
        </w:r>
        <w:r>
          <w:rPr>
            <w:noProof/>
            <w:webHidden/>
          </w:rPr>
        </w:r>
        <w:r>
          <w:rPr>
            <w:noProof/>
            <w:webHidden/>
          </w:rPr>
          <w:fldChar w:fldCharType="separate"/>
        </w:r>
        <w:r w:rsidR="003B4B7F">
          <w:rPr>
            <w:noProof/>
            <w:webHidden/>
          </w:rPr>
          <w:t>13</w:t>
        </w:r>
        <w:r>
          <w:rPr>
            <w:noProof/>
            <w:webHidden/>
          </w:rPr>
          <w:fldChar w:fldCharType="end"/>
        </w:r>
      </w:hyperlink>
    </w:p>
    <w:p w:rsidR="00A05F55" w:rsidRPr="005A0388" w:rsidRDefault="00A05F55">
      <w:pPr>
        <w:pStyle w:val="Obsah3"/>
        <w:rPr>
          <w:rFonts w:ascii="Calibri" w:hAnsi="Calibri"/>
          <w:noProof/>
          <w:sz w:val="22"/>
          <w:szCs w:val="22"/>
        </w:rPr>
      </w:pPr>
      <w:hyperlink w:anchor="_Toc397357461" w:history="1">
        <w:r w:rsidRPr="00906D58">
          <w:rPr>
            <w:rStyle w:val="Hypertextovodkaz"/>
            <w:noProof/>
          </w:rPr>
          <w:t>3.2. Ceny zboží a služeb</w:t>
        </w:r>
        <w:r>
          <w:rPr>
            <w:noProof/>
            <w:webHidden/>
          </w:rPr>
          <w:tab/>
        </w:r>
        <w:r>
          <w:rPr>
            <w:noProof/>
            <w:webHidden/>
          </w:rPr>
          <w:fldChar w:fldCharType="begin"/>
        </w:r>
        <w:r>
          <w:rPr>
            <w:noProof/>
            <w:webHidden/>
          </w:rPr>
          <w:instrText xml:space="preserve"> PAGEREF _Toc397357461 \h </w:instrText>
        </w:r>
        <w:r>
          <w:rPr>
            <w:noProof/>
            <w:webHidden/>
          </w:rPr>
        </w:r>
        <w:r>
          <w:rPr>
            <w:noProof/>
            <w:webHidden/>
          </w:rPr>
          <w:fldChar w:fldCharType="separate"/>
        </w:r>
        <w:r w:rsidR="003B4B7F">
          <w:rPr>
            <w:noProof/>
            <w:webHidden/>
          </w:rPr>
          <w:t>15</w:t>
        </w:r>
        <w:r>
          <w:rPr>
            <w:noProof/>
            <w:webHidden/>
          </w:rPr>
          <w:fldChar w:fldCharType="end"/>
        </w:r>
      </w:hyperlink>
    </w:p>
    <w:p w:rsidR="00A05F55" w:rsidRPr="005A0388" w:rsidRDefault="00A05F55">
      <w:pPr>
        <w:pStyle w:val="Obsah3"/>
        <w:rPr>
          <w:rFonts w:ascii="Calibri" w:hAnsi="Calibri"/>
          <w:noProof/>
          <w:sz w:val="22"/>
          <w:szCs w:val="22"/>
        </w:rPr>
      </w:pPr>
      <w:hyperlink w:anchor="_Toc397357462" w:history="1">
        <w:r w:rsidRPr="00906D58">
          <w:rPr>
            <w:rStyle w:val="Hypertextovodkaz"/>
            <w:noProof/>
          </w:rPr>
          <w:t>3.3. Trh práce</w:t>
        </w:r>
        <w:r>
          <w:rPr>
            <w:noProof/>
            <w:webHidden/>
          </w:rPr>
          <w:tab/>
        </w:r>
        <w:r>
          <w:rPr>
            <w:noProof/>
            <w:webHidden/>
          </w:rPr>
          <w:fldChar w:fldCharType="begin"/>
        </w:r>
        <w:r>
          <w:rPr>
            <w:noProof/>
            <w:webHidden/>
          </w:rPr>
          <w:instrText xml:space="preserve"> PAGEREF _Toc397357462 \h </w:instrText>
        </w:r>
        <w:r>
          <w:rPr>
            <w:noProof/>
            <w:webHidden/>
          </w:rPr>
        </w:r>
        <w:r>
          <w:rPr>
            <w:noProof/>
            <w:webHidden/>
          </w:rPr>
          <w:fldChar w:fldCharType="separate"/>
        </w:r>
        <w:r w:rsidR="003B4B7F">
          <w:rPr>
            <w:noProof/>
            <w:webHidden/>
          </w:rPr>
          <w:t>16</w:t>
        </w:r>
        <w:r>
          <w:rPr>
            <w:noProof/>
            <w:webHidden/>
          </w:rPr>
          <w:fldChar w:fldCharType="end"/>
        </w:r>
      </w:hyperlink>
    </w:p>
    <w:p w:rsidR="00A05F55" w:rsidRPr="005A0388" w:rsidRDefault="00A05F55">
      <w:pPr>
        <w:pStyle w:val="Obsah4"/>
        <w:rPr>
          <w:rFonts w:ascii="Calibri" w:hAnsi="Calibri"/>
          <w:noProof/>
          <w:sz w:val="22"/>
          <w:szCs w:val="22"/>
        </w:rPr>
      </w:pPr>
      <w:hyperlink w:anchor="_Toc397357463" w:history="1">
        <w:r w:rsidRPr="00906D58">
          <w:rPr>
            <w:rStyle w:val="Hypertextovodkaz"/>
            <w:noProof/>
          </w:rPr>
          <w:t>3.3.1. Zaměstnanost a nezaměstnanost (v metodice VŠPS)</w:t>
        </w:r>
        <w:r>
          <w:rPr>
            <w:noProof/>
            <w:webHidden/>
          </w:rPr>
          <w:tab/>
        </w:r>
        <w:r>
          <w:rPr>
            <w:noProof/>
            <w:webHidden/>
          </w:rPr>
          <w:fldChar w:fldCharType="begin"/>
        </w:r>
        <w:r>
          <w:rPr>
            <w:noProof/>
            <w:webHidden/>
          </w:rPr>
          <w:instrText xml:space="preserve"> PAGEREF _Toc397357463 \h </w:instrText>
        </w:r>
        <w:r>
          <w:rPr>
            <w:noProof/>
            <w:webHidden/>
          </w:rPr>
        </w:r>
        <w:r>
          <w:rPr>
            <w:noProof/>
            <w:webHidden/>
          </w:rPr>
          <w:fldChar w:fldCharType="separate"/>
        </w:r>
        <w:r w:rsidR="003B4B7F">
          <w:rPr>
            <w:noProof/>
            <w:webHidden/>
          </w:rPr>
          <w:t>16</w:t>
        </w:r>
        <w:r>
          <w:rPr>
            <w:noProof/>
            <w:webHidden/>
          </w:rPr>
          <w:fldChar w:fldCharType="end"/>
        </w:r>
      </w:hyperlink>
    </w:p>
    <w:p w:rsidR="00A05F55" w:rsidRPr="005A0388" w:rsidRDefault="00A05F55">
      <w:pPr>
        <w:pStyle w:val="Obsah4"/>
        <w:rPr>
          <w:rFonts w:ascii="Calibri" w:hAnsi="Calibri"/>
          <w:noProof/>
          <w:sz w:val="22"/>
          <w:szCs w:val="22"/>
        </w:rPr>
      </w:pPr>
      <w:hyperlink w:anchor="_Toc397357464" w:history="1">
        <w:r w:rsidRPr="00906D58">
          <w:rPr>
            <w:rStyle w:val="Hypertextovodkaz"/>
            <w:noProof/>
          </w:rPr>
          <w:t>3.3.2. Mzdy</w:t>
        </w:r>
        <w:r>
          <w:rPr>
            <w:noProof/>
            <w:webHidden/>
          </w:rPr>
          <w:tab/>
        </w:r>
        <w:r>
          <w:rPr>
            <w:noProof/>
            <w:webHidden/>
          </w:rPr>
          <w:fldChar w:fldCharType="begin"/>
        </w:r>
        <w:r>
          <w:rPr>
            <w:noProof/>
            <w:webHidden/>
          </w:rPr>
          <w:instrText xml:space="preserve"> PAGEREF _Toc397357464 \h </w:instrText>
        </w:r>
        <w:r>
          <w:rPr>
            <w:noProof/>
            <w:webHidden/>
          </w:rPr>
        </w:r>
        <w:r>
          <w:rPr>
            <w:noProof/>
            <w:webHidden/>
          </w:rPr>
          <w:fldChar w:fldCharType="separate"/>
        </w:r>
        <w:r w:rsidR="003B4B7F">
          <w:rPr>
            <w:noProof/>
            <w:webHidden/>
          </w:rPr>
          <w:t>18</w:t>
        </w:r>
        <w:r>
          <w:rPr>
            <w:noProof/>
            <w:webHidden/>
          </w:rPr>
          <w:fldChar w:fldCharType="end"/>
        </w:r>
      </w:hyperlink>
    </w:p>
    <w:p w:rsidR="00A05F55" w:rsidRPr="005A0388" w:rsidRDefault="00A05F55">
      <w:pPr>
        <w:pStyle w:val="Obsah3"/>
        <w:rPr>
          <w:rFonts w:ascii="Calibri" w:hAnsi="Calibri"/>
          <w:noProof/>
          <w:sz w:val="22"/>
          <w:szCs w:val="22"/>
        </w:rPr>
      </w:pPr>
      <w:hyperlink w:anchor="_Toc397357465" w:history="1">
        <w:r w:rsidRPr="00906D58">
          <w:rPr>
            <w:rStyle w:val="Hypertextovodkaz"/>
            <w:noProof/>
          </w:rPr>
          <w:t>3.4. Vztahy k zahraničí</w:t>
        </w:r>
        <w:r>
          <w:rPr>
            <w:noProof/>
            <w:webHidden/>
          </w:rPr>
          <w:tab/>
        </w:r>
        <w:r>
          <w:rPr>
            <w:noProof/>
            <w:webHidden/>
          </w:rPr>
          <w:fldChar w:fldCharType="begin"/>
        </w:r>
        <w:r>
          <w:rPr>
            <w:noProof/>
            <w:webHidden/>
          </w:rPr>
          <w:instrText xml:space="preserve"> PAGEREF _Toc397357465 \h </w:instrText>
        </w:r>
        <w:r>
          <w:rPr>
            <w:noProof/>
            <w:webHidden/>
          </w:rPr>
        </w:r>
        <w:r>
          <w:rPr>
            <w:noProof/>
            <w:webHidden/>
          </w:rPr>
          <w:fldChar w:fldCharType="separate"/>
        </w:r>
        <w:r w:rsidR="003B4B7F">
          <w:rPr>
            <w:noProof/>
            <w:webHidden/>
          </w:rPr>
          <w:t>19</w:t>
        </w:r>
        <w:r>
          <w:rPr>
            <w:noProof/>
            <w:webHidden/>
          </w:rPr>
          <w:fldChar w:fldCharType="end"/>
        </w:r>
      </w:hyperlink>
    </w:p>
    <w:p w:rsidR="00A05F55" w:rsidRPr="005A0388" w:rsidRDefault="00A05F55">
      <w:pPr>
        <w:pStyle w:val="Obsah2"/>
        <w:rPr>
          <w:rFonts w:ascii="Calibri" w:hAnsi="Calibri"/>
          <w:sz w:val="22"/>
          <w:szCs w:val="22"/>
        </w:rPr>
      </w:pPr>
      <w:hyperlink w:anchor="_Toc397357466" w:history="1">
        <w:r w:rsidRPr="00906D58">
          <w:rPr>
            <w:rStyle w:val="Hypertextovodkaz"/>
          </w:rPr>
          <w:t>4. Ověření makroekonomického rámce nezávislými prognózami</w:t>
        </w:r>
        <w:r>
          <w:rPr>
            <w:webHidden/>
          </w:rPr>
          <w:tab/>
        </w:r>
        <w:r>
          <w:rPr>
            <w:webHidden/>
          </w:rPr>
          <w:fldChar w:fldCharType="begin"/>
        </w:r>
        <w:r>
          <w:rPr>
            <w:webHidden/>
          </w:rPr>
          <w:instrText xml:space="preserve"> PAGEREF _Toc397357466 \h </w:instrText>
        </w:r>
        <w:r>
          <w:rPr>
            <w:webHidden/>
          </w:rPr>
        </w:r>
        <w:r>
          <w:rPr>
            <w:webHidden/>
          </w:rPr>
          <w:fldChar w:fldCharType="separate"/>
        </w:r>
        <w:r w:rsidR="003B4B7F">
          <w:rPr>
            <w:webHidden/>
          </w:rPr>
          <w:t>20</w:t>
        </w:r>
        <w:r>
          <w:rPr>
            <w:webHidden/>
          </w:rPr>
          <w:fldChar w:fldCharType="end"/>
        </w:r>
      </w:hyperlink>
    </w:p>
    <w:p w:rsidR="00A05F55" w:rsidRPr="005A0388" w:rsidRDefault="00A05F55">
      <w:pPr>
        <w:pStyle w:val="Obsah1"/>
        <w:rPr>
          <w:rFonts w:ascii="Calibri" w:hAnsi="Calibri"/>
          <w:b w:val="0"/>
          <w:sz w:val="22"/>
          <w:szCs w:val="22"/>
        </w:rPr>
      </w:pPr>
      <w:hyperlink w:anchor="_Toc397357467" w:history="1">
        <w:r w:rsidRPr="00906D58">
          <w:rPr>
            <w:rStyle w:val="Hypertextovodkaz"/>
          </w:rPr>
          <w:t>B. Fiskální cílení centrální vlády v letech 2015 až 2017</w:t>
        </w:r>
        <w:r>
          <w:rPr>
            <w:webHidden/>
          </w:rPr>
          <w:tab/>
        </w:r>
        <w:r>
          <w:rPr>
            <w:webHidden/>
          </w:rPr>
          <w:fldChar w:fldCharType="begin"/>
        </w:r>
        <w:r>
          <w:rPr>
            <w:webHidden/>
          </w:rPr>
          <w:instrText xml:space="preserve"> PAGEREF _Toc397357467 \h </w:instrText>
        </w:r>
        <w:r>
          <w:rPr>
            <w:webHidden/>
          </w:rPr>
        </w:r>
        <w:r>
          <w:rPr>
            <w:webHidden/>
          </w:rPr>
          <w:fldChar w:fldCharType="separate"/>
        </w:r>
        <w:r w:rsidR="003B4B7F">
          <w:rPr>
            <w:webHidden/>
          </w:rPr>
          <w:t>22</w:t>
        </w:r>
        <w:r>
          <w:rPr>
            <w:webHidden/>
          </w:rPr>
          <w:fldChar w:fldCharType="end"/>
        </w:r>
      </w:hyperlink>
    </w:p>
    <w:p w:rsidR="00A05F55" w:rsidRPr="005A0388" w:rsidRDefault="00A05F55">
      <w:pPr>
        <w:pStyle w:val="Obsah2"/>
        <w:rPr>
          <w:rFonts w:ascii="Calibri" w:hAnsi="Calibri"/>
          <w:sz w:val="22"/>
          <w:szCs w:val="22"/>
        </w:rPr>
      </w:pPr>
      <w:hyperlink w:anchor="_Toc397357468" w:history="1">
        <w:r w:rsidRPr="00906D58">
          <w:rPr>
            <w:rStyle w:val="Hypertextovodkaz"/>
          </w:rPr>
          <w:t>5. Schválený výdajový rámec pro roky 2015 a 2016</w:t>
        </w:r>
        <w:r>
          <w:rPr>
            <w:webHidden/>
          </w:rPr>
          <w:tab/>
        </w:r>
        <w:r>
          <w:rPr>
            <w:webHidden/>
          </w:rPr>
          <w:fldChar w:fldCharType="begin"/>
        </w:r>
        <w:r>
          <w:rPr>
            <w:webHidden/>
          </w:rPr>
          <w:instrText xml:space="preserve"> PAGEREF _Toc397357468 \h </w:instrText>
        </w:r>
        <w:r>
          <w:rPr>
            <w:webHidden/>
          </w:rPr>
        </w:r>
        <w:r>
          <w:rPr>
            <w:webHidden/>
          </w:rPr>
          <w:fldChar w:fldCharType="separate"/>
        </w:r>
        <w:r w:rsidR="003B4B7F">
          <w:rPr>
            <w:webHidden/>
          </w:rPr>
          <w:t>22</w:t>
        </w:r>
        <w:r>
          <w:rPr>
            <w:webHidden/>
          </w:rPr>
          <w:fldChar w:fldCharType="end"/>
        </w:r>
      </w:hyperlink>
    </w:p>
    <w:p w:rsidR="00A05F55" w:rsidRPr="005A0388" w:rsidRDefault="00A05F55">
      <w:pPr>
        <w:pStyle w:val="Obsah2"/>
        <w:rPr>
          <w:rFonts w:ascii="Calibri" w:hAnsi="Calibri"/>
          <w:sz w:val="22"/>
          <w:szCs w:val="22"/>
        </w:rPr>
      </w:pPr>
      <w:hyperlink w:anchor="_Toc397357469" w:history="1">
        <w:r w:rsidRPr="00906D58">
          <w:rPr>
            <w:rStyle w:val="Hypertextovodkaz"/>
          </w:rPr>
          <w:t>6. Nový výdajový rámec na léta 2015 až 2017</w:t>
        </w:r>
        <w:r>
          <w:rPr>
            <w:webHidden/>
          </w:rPr>
          <w:tab/>
        </w:r>
        <w:r>
          <w:rPr>
            <w:webHidden/>
          </w:rPr>
          <w:fldChar w:fldCharType="begin"/>
        </w:r>
        <w:r>
          <w:rPr>
            <w:webHidden/>
          </w:rPr>
          <w:instrText xml:space="preserve"> PAGEREF _Toc397357469 \h </w:instrText>
        </w:r>
        <w:r>
          <w:rPr>
            <w:webHidden/>
          </w:rPr>
        </w:r>
        <w:r>
          <w:rPr>
            <w:webHidden/>
          </w:rPr>
          <w:fldChar w:fldCharType="separate"/>
        </w:r>
        <w:r w:rsidR="003B4B7F">
          <w:rPr>
            <w:webHidden/>
          </w:rPr>
          <w:t>23</w:t>
        </w:r>
        <w:r>
          <w:rPr>
            <w:webHidden/>
          </w:rPr>
          <w:fldChar w:fldCharType="end"/>
        </w:r>
      </w:hyperlink>
    </w:p>
    <w:p w:rsidR="00A05F55" w:rsidRPr="005A0388" w:rsidRDefault="00A05F55">
      <w:pPr>
        <w:pStyle w:val="Obsah1"/>
        <w:rPr>
          <w:rFonts w:ascii="Calibri" w:hAnsi="Calibri"/>
          <w:b w:val="0"/>
          <w:sz w:val="22"/>
          <w:szCs w:val="22"/>
        </w:rPr>
      </w:pPr>
      <w:hyperlink w:anchor="_Toc397357470" w:history="1">
        <w:r w:rsidRPr="00906D58">
          <w:rPr>
            <w:rStyle w:val="Hypertextovodkaz"/>
          </w:rPr>
          <w:t>C. Vývoj základních ukazatelů střednědobého výhledu v letech 2016 až 2017</w:t>
        </w:r>
        <w:r>
          <w:rPr>
            <w:webHidden/>
          </w:rPr>
          <w:tab/>
        </w:r>
        <w:r>
          <w:rPr>
            <w:webHidden/>
          </w:rPr>
          <w:fldChar w:fldCharType="begin"/>
        </w:r>
        <w:r>
          <w:rPr>
            <w:webHidden/>
          </w:rPr>
          <w:instrText xml:space="preserve"> PAGEREF _Toc397357470 \h </w:instrText>
        </w:r>
        <w:r>
          <w:rPr>
            <w:webHidden/>
          </w:rPr>
        </w:r>
        <w:r>
          <w:rPr>
            <w:webHidden/>
          </w:rPr>
          <w:fldChar w:fldCharType="separate"/>
        </w:r>
        <w:r w:rsidR="003B4B7F">
          <w:rPr>
            <w:webHidden/>
          </w:rPr>
          <w:t>25</w:t>
        </w:r>
        <w:r>
          <w:rPr>
            <w:webHidden/>
          </w:rPr>
          <w:fldChar w:fldCharType="end"/>
        </w:r>
      </w:hyperlink>
    </w:p>
    <w:p w:rsidR="00A05F55" w:rsidRPr="005A0388" w:rsidRDefault="00A05F55">
      <w:pPr>
        <w:pStyle w:val="Obsah2"/>
        <w:rPr>
          <w:rFonts w:ascii="Calibri" w:hAnsi="Calibri"/>
          <w:sz w:val="22"/>
          <w:szCs w:val="22"/>
        </w:rPr>
      </w:pPr>
      <w:hyperlink w:anchor="_Toc397357471" w:history="1">
        <w:r w:rsidRPr="00906D58">
          <w:rPr>
            <w:rStyle w:val="Hypertextovodkaz"/>
          </w:rPr>
          <w:t>7. Základní ukazatele státního rozpočtu ve střednědobém výhledu</w:t>
        </w:r>
        <w:r>
          <w:rPr>
            <w:webHidden/>
          </w:rPr>
          <w:tab/>
        </w:r>
        <w:r>
          <w:rPr>
            <w:webHidden/>
          </w:rPr>
          <w:fldChar w:fldCharType="begin"/>
        </w:r>
        <w:r>
          <w:rPr>
            <w:webHidden/>
          </w:rPr>
          <w:instrText xml:space="preserve"> PAGEREF _Toc397357471 \h </w:instrText>
        </w:r>
        <w:r>
          <w:rPr>
            <w:webHidden/>
          </w:rPr>
        </w:r>
        <w:r>
          <w:rPr>
            <w:webHidden/>
          </w:rPr>
          <w:fldChar w:fldCharType="separate"/>
        </w:r>
        <w:r w:rsidR="003B4B7F">
          <w:rPr>
            <w:webHidden/>
          </w:rPr>
          <w:t>25</w:t>
        </w:r>
        <w:r>
          <w:rPr>
            <w:webHidden/>
          </w:rPr>
          <w:fldChar w:fldCharType="end"/>
        </w:r>
      </w:hyperlink>
    </w:p>
    <w:p w:rsidR="00A05F55" w:rsidRPr="005A0388" w:rsidRDefault="00A05F55">
      <w:pPr>
        <w:pStyle w:val="Obsah3"/>
        <w:rPr>
          <w:rFonts w:ascii="Calibri" w:hAnsi="Calibri"/>
          <w:noProof/>
          <w:sz w:val="22"/>
          <w:szCs w:val="22"/>
        </w:rPr>
      </w:pPr>
      <w:hyperlink w:anchor="_Toc397357472" w:history="1">
        <w:r w:rsidRPr="00906D58">
          <w:rPr>
            <w:rStyle w:val="Hypertextovodkaz"/>
            <w:noProof/>
          </w:rPr>
          <w:t>7.1. Východiska zpracování střednědobého výhledu</w:t>
        </w:r>
        <w:r>
          <w:rPr>
            <w:noProof/>
            <w:webHidden/>
          </w:rPr>
          <w:tab/>
        </w:r>
        <w:r>
          <w:rPr>
            <w:noProof/>
            <w:webHidden/>
          </w:rPr>
          <w:fldChar w:fldCharType="begin"/>
        </w:r>
        <w:r>
          <w:rPr>
            <w:noProof/>
            <w:webHidden/>
          </w:rPr>
          <w:instrText xml:space="preserve"> PAGEREF _Toc397357472 \h </w:instrText>
        </w:r>
        <w:r>
          <w:rPr>
            <w:noProof/>
            <w:webHidden/>
          </w:rPr>
        </w:r>
        <w:r>
          <w:rPr>
            <w:noProof/>
            <w:webHidden/>
          </w:rPr>
          <w:fldChar w:fldCharType="separate"/>
        </w:r>
        <w:r w:rsidR="003B4B7F">
          <w:rPr>
            <w:noProof/>
            <w:webHidden/>
          </w:rPr>
          <w:t>25</w:t>
        </w:r>
        <w:r>
          <w:rPr>
            <w:noProof/>
            <w:webHidden/>
          </w:rPr>
          <w:fldChar w:fldCharType="end"/>
        </w:r>
      </w:hyperlink>
    </w:p>
    <w:p w:rsidR="00A05F55" w:rsidRPr="005A0388" w:rsidRDefault="00A05F55">
      <w:pPr>
        <w:pStyle w:val="Obsah3"/>
        <w:rPr>
          <w:rFonts w:ascii="Calibri" w:hAnsi="Calibri"/>
          <w:noProof/>
          <w:sz w:val="22"/>
          <w:szCs w:val="22"/>
        </w:rPr>
      </w:pPr>
      <w:hyperlink w:anchor="_Toc397357473" w:history="1">
        <w:r w:rsidRPr="00906D58">
          <w:rPr>
            <w:rStyle w:val="Hypertextovodkaz"/>
            <w:noProof/>
          </w:rPr>
          <w:t>7.2. Predikce příjmů</w:t>
        </w:r>
        <w:r>
          <w:rPr>
            <w:noProof/>
            <w:webHidden/>
          </w:rPr>
          <w:tab/>
        </w:r>
        <w:r>
          <w:rPr>
            <w:noProof/>
            <w:webHidden/>
          </w:rPr>
          <w:fldChar w:fldCharType="begin"/>
        </w:r>
        <w:r>
          <w:rPr>
            <w:noProof/>
            <w:webHidden/>
          </w:rPr>
          <w:instrText xml:space="preserve"> PAGEREF _Toc397357473 \h </w:instrText>
        </w:r>
        <w:r>
          <w:rPr>
            <w:noProof/>
            <w:webHidden/>
          </w:rPr>
        </w:r>
        <w:r>
          <w:rPr>
            <w:noProof/>
            <w:webHidden/>
          </w:rPr>
          <w:fldChar w:fldCharType="separate"/>
        </w:r>
        <w:r w:rsidR="003B4B7F">
          <w:rPr>
            <w:noProof/>
            <w:webHidden/>
          </w:rPr>
          <w:t>26</w:t>
        </w:r>
        <w:r>
          <w:rPr>
            <w:noProof/>
            <w:webHidden/>
          </w:rPr>
          <w:fldChar w:fldCharType="end"/>
        </w:r>
      </w:hyperlink>
    </w:p>
    <w:p w:rsidR="00A05F55" w:rsidRPr="005A0388" w:rsidRDefault="00A05F55">
      <w:pPr>
        <w:pStyle w:val="Obsah4"/>
        <w:rPr>
          <w:rFonts w:ascii="Calibri" w:hAnsi="Calibri"/>
          <w:noProof/>
          <w:sz w:val="22"/>
          <w:szCs w:val="22"/>
        </w:rPr>
      </w:pPr>
      <w:hyperlink w:anchor="_Toc397357474" w:history="1">
        <w:r w:rsidRPr="00906D58">
          <w:rPr>
            <w:rStyle w:val="Hypertextovodkaz"/>
            <w:noProof/>
          </w:rPr>
          <w:t>7.2.1. Daňové příjmy státního rozpočtu</w:t>
        </w:r>
        <w:r>
          <w:rPr>
            <w:noProof/>
            <w:webHidden/>
          </w:rPr>
          <w:tab/>
        </w:r>
        <w:r>
          <w:rPr>
            <w:noProof/>
            <w:webHidden/>
          </w:rPr>
          <w:fldChar w:fldCharType="begin"/>
        </w:r>
        <w:r>
          <w:rPr>
            <w:noProof/>
            <w:webHidden/>
          </w:rPr>
          <w:instrText xml:space="preserve"> PAGEREF _Toc397357474 \h </w:instrText>
        </w:r>
        <w:r>
          <w:rPr>
            <w:noProof/>
            <w:webHidden/>
          </w:rPr>
        </w:r>
        <w:r>
          <w:rPr>
            <w:noProof/>
            <w:webHidden/>
          </w:rPr>
          <w:fldChar w:fldCharType="separate"/>
        </w:r>
        <w:r w:rsidR="003B4B7F">
          <w:rPr>
            <w:noProof/>
            <w:webHidden/>
          </w:rPr>
          <w:t>26</w:t>
        </w:r>
        <w:r>
          <w:rPr>
            <w:noProof/>
            <w:webHidden/>
          </w:rPr>
          <w:fldChar w:fldCharType="end"/>
        </w:r>
      </w:hyperlink>
    </w:p>
    <w:p w:rsidR="00A05F55" w:rsidRPr="005A0388" w:rsidRDefault="00A05F55">
      <w:pPr>
        <w:pStyle w:val="Obsah4"/>
        <w:rPr>
          <w:rFonts w:ascii="Calibri" w:hAnsi="Calibri"/>
          <w:noProof/>
          <w:sz w:val="22"/>
          <w:szCs w:val="22"/>
        </w:rPr>
      </w:pPr>
      <w:hyperlink w:anchor="_Toc397357475" w:history="1">
        <w:r w:rsidRPr="00906D58">
          <w:rPr>
            <w:rStyle w:val="Hypertextovodkaz"/>
            <w:noProof/>
          </w:rPr>
          <w:t>7.2.1.1. Vývoj daňové kvóty</w:t>
        </w:r>
        <w:r>
          <w:rPr>
            <w:noProof/>
            <w:webHidden/>
          </w:rPr>
          <w:tab/>
        </w:r>
        <w:r>
          <w:rPr>
            <w:noProof/>
            <w:webHidden/>
          </w:rPr>
          <w:fldChar w:fldCharType="begin"/>
        </w:r>
        <w:r>
          <w:rPr>
            <w:noProof/>
            <w:webHidden/>
          </w:rPr>
          <w:instrText xml:space="preserve"> PAGEREF _Toc397357475 \h </w:instrText>
        </w:r>
        <w:r>
          <w:rPr>
            <w:noProof/>
            <w:webHidden/>
          </w:rPr>
        </w:r>
        <w:r>
          <w:rPr>
            <w:noProof/>
            <w:webHidden/>
          </w:rPr>
          <w:fldChar w:fldCharType="separate"/>
        </w:r>
        <w:r w:rsidR="003B4B7F">
          <w:rPr>
            <w:noProof/>
            <w:webHidden/>
          </w:rPr>
          <w:t>26</w:t>
        </w:r>
        <w:r>
          <w:rPr>
            <w:noProof/>
            <w:webHidden/>
          </w:rPr>
          <w:fldChar w:fldCharType="end"/>
        </w:r>
      </w:hyperlink>
    </w:p>
    <w:p w:rsidR="00A05F55" w:rsidRPr="005A0388" w:rsidRDefault="00A05F55">
      <w:pPr>
        <w:pStyle w:val="Obsah4"/>
        <w:rPr>
          <w:rFonts w:ascii="Calibri" w:hAnsi="Calibri"/>
          <w:noProof/>
          <w:sz w:val="22"/>
          <w:szCs w:val="22"/>
        </w:rPr>
      </w:pPr>
      <w:hyperlink w:anchor="_Toc397357476" w:history="1">
        <w:r w:rsidRPr="00906D58">
          <w:rPr>
            <w:rStyle w:val="Hypertextovodkaz"/>
            <w:noProof/>
          </w:rPr>
          <w:t>7.2.1.2. Daňové příjmy podle jednotlivých daní</w:t>
        </w:r>
        <w:r>
          <w:rPr>
            <w:noProof/>
            <w:webHidden/>
          </w:rPr>
          <w:tab/>
        </w:r>
        <w:r>
          <w:rPr>
            <w:noProof/>
            <w:webHidden/>
          </w:rPr>
          <w:fldChar w:fldCharType="begin"/>
        </w:r>
        <w:r>
          <w:rPr>
            <w:noProof/>
            <w:webHidden/>
          </w:rPr>
          <w:instrText xml:space="preserve"> PAGEREF _Toc397357476 \h </w:instrText>
        </w:r>
        <w:r>
          <w:rPr>
            <w:noProof/>
            <w:webHidden/>
          </w:rPr>
        </w:r>
        <w:r>
          <w:rPr>
            <w:noProof/>
            <w:webHidden/>
          </w:rPr>
          <w:fldChar w:fldCharType="separate"/>
        </w:r>
        <w:r w:rsidR="003B4B7F">
          <w:rPr>
            <w:noProof/>
            <w:webHidden/>
          </w:rPr>
          <w:t>28</w:t>
        </w:r>
        <w:r>
          <w:rPr>
            <w:noProof/>
            <w:webHidden/>
          </w:rPr>
          <w:fldChar w:fldCharType="end"/>
        </w:r>
      </w:hyperlink>
    </w:p>
    <w:p w:rsidR="00A05F55" w:rsidRPr="005A0388" w:rsidRDefault="00A05F55">
      <w:pPr>
        <w:pStyle w:val="Obsah4"/>
        <w:rPr>
          <w:rFonts w:ascii="Calibri" w:hAnsi="Calibri"/>
          <w:noProof/>
          <w:sz w:val="22"/>
          <w:szCs w:val="22"/>
        </w:rPr>
      </w:pPr>
      <w:hyperlink w:anchor="_Toc397357477" w:history="1">
        <w:r w:rsidRPr="00906D58">
          <w:rPr>
            <w:rStyle w:val="Hypertextovodkaz"/>
            <w:noProof/>
          </w:rPr>
          <w:t>7.2.2. Příjmy z pojistného na sociální zabezpečení a příspěvku na státní politiku zaměstnanosti</w:t>
        </w:r>
        <w:r>
          <w:rPr>
            <w:noProof/>
            <w:webHidden/>
          </w:rPr>
          <w:tab/>
        </w:r>
        <w:r>
          <w:rPr>
            <w:noProof/>
            <w:webHidden/>
          </w:rPr>
          <w:fldChar w:fldCharType="begin"/>
        </w:r>
        <w:r>
          <w:rPr>
            <w:noProof/>
            <w:webHidden/>
          </w:rPr>
          <w:instrText xml:space="preserve"> PAGEREF _Toc397357477 \h </w:instrText>
        </w:r>
        <w:r>
          <w:rPr>
            <w:noProof/>
            <w:webHidden/>
          </w:rPr>
        </w:r>
        <w:r>
          <w:rPr>
            <w:noProof/>
            <w:webHidden/>
          </w:rPr>
          <w:fldChar w:fldCharType="separate"/>
        </w:r>
        <w:r w:rsidR="003B4B7F">
          <w:rPr>
            <w:noProof/>
            <w:webHidden/>
          </w:rPr>
          <w:t>30</w:t>
        </w:r>
        <w:r>
          <w:rPr>
            <w:noProof/>
            <w:webHidden/>
          </w:rPr>
          <w:fldChar w:fldCharType="end"/>
        </w:r>
      </w:hyperlink>
    </w:p>
    <w:p w:rsidR="00A05F55" w:rsidRPr="005A0388" w:rsidRDefault="00A05F55">
      <w:pPr>
        <w:pStyle w:val="Obsah4"/>
        <w:rPr>
          <w:rFonts w:ascii="Calibri" w:hAnsi="Calibri"/>
          <w:noProof/>
          <w:sz w:val="22"/>
          <w:szCs w:val="22"/>
        </w:rPr>
      </w:pPr>
      <w:hyperlink w:anchor="_Toc397357478" w:history="1">
        <w:r w:rsidRPr="00906D58">
          <w:rPr>
            <w:rStyle w:val="Hypertextovodkaz"/>
            <w:noProof/>
          </w:rPr>
          <w:t>7.2.3. Nedaňové příjmy, kapitálové příjmy a přijaté transfery</w:t>
        </w:r>
        <w:r>
          <w:rPr>
            <w:noProof/>
            <w:webHidden/>
          </w:rPr>
          <w:tab/>
        </w:r>
        <w:r>
          <w:rPr>
            <w:noProof/>
            <w:webHidden/>
          </w:rPr>
          <w:fldChar w:fldCharType="begin"/>
        </w:r>
        <w:r>
          <w:rPr>
            <w:noProof/>
            <w:webHidden/>
          </w:rPr>
          <w:instrText xml:space="preserve"> PAGEREF _Toc397357478 \h </w:instrText>
        </w:r>
        <w:r>
          <w:rPr>
            <w:noProof/>
            <w:webHidden/>
          </w:rPr>
        </w:r>
        <w:r>
          <w:rPr>
            <w:noProof/>
            <w:webHidden/>
          </w:rPr>
          <w:fldChar w:fldCharType="separate"/>
        </w:r>
        <w:r w:rsidR="003B4B7F">
          <w:rPr>
            <w:noProof/>
            <w:webHidden/>
          </w:rPr>
          <w:t>31</w:t>
        </w:r>
        <w:r>
          <w:rPr>
            <w:noProof/>
            <w:webHidden/>
          </w:rPr>
          <w:fldChar w:fldCharType="end"/>
        </w:r>
      </w:hyperlink>
    </w:p>
    <w:p w:rsidR="00A05F55" w:rsidRPr="005A0388" w:rsidRDefault="00A05F55">
      <w:pPr>
        <w:pStyle w:val="Obsah3"/>
        <w:rPr>
          <w:rFonts w:ascii="Calibri" w:hAnsi="Calibri"/>
          <w:noProof/>
          <w:sz w:val="22"/>
          <w:szCs w:val="22"/>
        </w:rPr>
      </w:pPr>
      <w:hyperlink w:anchor="_Toc397357479" w:history="1">
        <w:r w:rsidRPr="00906D58">
          <w:rPr>
            <w:rStyle w:val="Hypertextovodkaz"/>
            <w:noProof/>
          </w:rPr>
          <w:t>7.3. Predikce výdajů</w:t>
        </w:r>
        <w:r>
          <w:rPr>
            <w:noProof/>
            <w:webHidden/>
          </w:rPr>
          <w:tab/>
        </w:r>
        <w:r>
          <w:rPr>
            <w:noProof/>
            <w:webHidden/>
          </w:rPr>
          <w:fldChar w:fldCharType="begin"/>
        </w:r>
        <w:r>
          <w:rPr>
            <w:noProof/>
            <w:webHidden/>
          </w:rPr>
          <w:instrText xml:space="preserve"> PAGEREF _Toc397357479 \h </w:instrText>
        </w:r>
        <w:r>
          <w:rPr>
            <w:noProof/>
            <w:webHidden/>
          </w:rPr>
        </w:r>
        <w:r>
          <w:rPr>
            <w:noProof/>
            <w:webHidden/>
          </w:rPr>
          <w:fldChar w:fldCharType="separate"/>
        </w:r>
        <w:r w:rsidR="003B4B7F">
          <w:rPr>
            <w:noProof/>
            <w:webHidden/>
          </w:rPr>
          <w:t>31</w:t>
        </w:r>
        <w:r>
          <w:rPr>
            <w:noProof/>
            <w:webHidden/>
          </w:rPr>
          <w:fldChar w:fldCharType="end"/>
        </w:r>
      </w:hyperlink>
    </w:p>
    <w:p w:rsidR="00A05F55" w:rsidRPr="005A0388" w:rsidRDefault="00A05F55">
      <w:pPr>
        <w:pStyle w:val="Obsah4"/>
        <w:rPr>
          <w:rFonts w:ascii="Calibri" w:hAnsi="Calibri"/>
          <w:noProof/>
          <w:sz w:val="22"/>
          <w:szCs w:val="22"/>
        </w:rPr>
      </w:pPr>
      <w:hyperlink w:anchor="_Toc397357480" w:history="1">
        <w:r w:rsidRPr="00906D58">
          <w:rPr>
            <w:rStyle w:val="Hypertextovodkaz"/>
            <w:noProof/>
          </w:rPr>
          <w:t>7.3.1. Výdaje stanovené usnesením vlády a další vybrané výdaje, které byly promítnuty do návrhu výdajů kapitol v letech 2015 až 2017</w:t>
        </w:r>
        <w:r>
          <w:rPr>
            <w:noProof/>
            <w:webHidden/>
          </w:rPr>
          <w:tab/>
        </w:r>
        <w:r>
          <w:rPr>
            <w:noProof/>
            <w:webHidden/>
          </w:rPr>
          <w:fldChar w:fldCharType="begin"/>
        </w:r>
        <w:r>
          <w:rPr>
            <w:noProof/>
            <w:webHidden/>
          </w:rPr>
          <w:instrText xml:space="preserve"> PAGEREF _Toc397357480 \h </w:instrText>
        </w:r>
        <w:r>
          <w:rPr>
            <w:noProof/>
            <w:webHidden/>
          </w:rPr>
        </w:r>
        <w:r>
          <w:rPr>
            <w:noProof/>
            <w:webHidden/>
          </w:rPr>
          <w:fldChar w:fldCharType="separate"/>
        </w:r>
        <w:r w:rsidR="003B4B7F">
          <w:rPr>
            <w:noProof/>
            <w:webHidden/>
          </w:rPr>
          <w:t>32</w:t>
        </w:r>
        <w:r>
          <w:rPr>
            <w:noProof/>
            <w:webHidden/>
          </w:rPr>
          <w:fldChar w:fldCharType="end"/>
        </w:r>
      </w:hyperlink>
    </w:p>
    <w:p w:rsidR="00A05F55" w:rsidRPr="005A0388" w:rsidRDefault="00A05F55">
      <w:pPr>
        <w:pStyle w:val="Obsah4"/>
        <w:rPr>
          <w:rFonts w:ascii="Calibri" w:hAnsi="Calibri"/>
          <w:noProof/>
          <w:sz w:val="22"/>
          <w:szCs w:val="22"/>
        </w:rPr>
      </w:pPr>
      <w:hyperlink w:anchor="_Toc397357481" w:history="1">
        <w:r w:rsidRPr="00906D58">
          <w:rPr>
            <w:rStyle w:val="Hypertextovodkaz"/>
            <w:noProof/>
          </w:rPr>
          <w:t>7.3.2. Mandatorní sociální výdaje</w:t>
        </w:r>
        <w:r>
          <w:rPr>
            <w:noProof/>
            <w:webHidden/>
          </w:rPr>
          <w:tab/>
        </w:r>
        <w:r>
          <w:rPr>
            <w:noProof/>
            <w:webHidden/>
          </w:rPr>
          <w:fldChar w:fldCharType="begin"/>
        </w:r>
        <w:r>
          <w:rPr>
            <w:noProof/>
            <w:webHidden/>
          </w:rPr>
          <w:instrText xml:space="preserve"> PAGEREF _Toc397357481 \h </w:instrText>
        </w:r>
        <w:r>
          <w:rPr>
            <w:noProof/>
            <w:webHidden/>
          </w:rPr>
        </w:r>
        <w:r>
          <w:rPr>
            <w:noProof/>
            <w:webHidden/>
          </w:rPr>
          <w:fldChar w:fldCharType="separate"/>
        </w:r>
        <w:r w:rsidR="003B4B7F">
          <w:rPr>
            <w:noProof/>
            <w:webHidden/>
          </w:rPr>
          <w:t>35</w:t>
        </w:r>
        <w:r>
          <w:rPr>
            <w:noProof/>
            <w:webHidden/>
          </w:rPr>
          <w:fldChar w:fldCharType="end"/>
        </w:r>
      </w:hyperlink>
    </w:p>
    <w:p w:rsidR="00A05F55" w:rsidRPr="005A0388" w:rsidRDefault="00A05F55">
      <w:pPr>
        <w:pStyle w:val="Obsah4"/>
        <w:rPr>
          <w:rFonts w:ascii="Calibri" w:hAnsi="Calibri"/>
          <w:noProof/>
          <w:sz w:val="22"/>
          <w:szCs w:val="22"/>
        </w:rPr>
      </w:pPr>
      <w:hyperlink w:anchor="_Toc397357482" w:history="1">
        <w:r w:rsidRPr="00906D58">
          <w:rPr>
            <w:rStyle w:val="Hypertextovodkaz"/>
            <w:noProof/>
          </w:rPr>
          <w:t>7.3.2.1. Odvody vlastních zdrojů do rozpočtu EU</w:t>
        </w:r>
        <w:r>
          <w:rPr>
            <w:noProof/>
            <w:webHidden/>
          </w:rPr>
          <w:tab/>
        </w:r>
        <w:r>
          <w:rPr>
            <w:noProof/>
            <w:webHidden/>
          </w:rPr>
          <w:fldChar w:fldCharType="begin"/>
        </w:r>
        <w:r>
          <w:rPr>
            <w:noProof/>
            <w:webHidden/>
          </w:rPr>
          <w:instrText xml:space="preserve"> PAGEREF _Toc397357482 \h </w:instrText>
        </w:r>
        <w:r>
          <w:rPr>
            <w:noProof/>
            <w:webHidden/>
          </w:rPr>
        </w:r>
        <w:r>
          <w:rPr>
            <w:noProof/>
            <w:webHidden/>
          </w:rPr>
          <w:fldChar w:fldCharType="separate"/>
        </w:r>
        <w:r w:rsidR="003B4B7F">
          <w:rPr>
            <w:noProof/>
            <w:webHidden/>
          </w:rPr>
          <w:t>37</w:t>
        </w:r>
        <w:r>
          <w:rPr>
            <w:noProof/>
            <w:webHidden/>
          </w:rPr>
          <w:fldChar w:fldCharType="end"/>
        </w:r>
      </w:hyperlink>
    </w:p>
    <w:p w:rsidR="00A05F55" w:rsidRPr="005A0388" w:rsidRDefault="00A05F55">
      <w:pPr>
        <w:pStyle w:val="Obsah4"/>
        <w:rPr>
          <w:rFonts w:ascii="Calibri" w:hAnsi="Calibri"/>
          <w:noProof/>
          <w:sz w:val="22"/>
          <w:szCs w:val="22"/>
        </w:rPr>
      </w:pPr>
      <w:hyperlink w:anchor="_Toc397357483" w:history="1">
        <w:r w:rsidRPr="00906D58">
          <w:rPr>
            <w:rStyle w:val="Hypertextovodkaz"/>
            <w:noProof/>
          </w:rPr>
          <w:t>7.3.2.2. Výdaje na platy a ostatní platby za provedenou práci</w:t>
        </w:r>
        <w:r>
          <w:rPr>
            <w:noProof/>
            <w:webHidden/>
          </w:rPr>
          <w:tab/>
        </w:r>
        <w:r>
          <w:rPr>
            <w:noProof/>
            <w:webHidden/>
          </w:rPr>
          <w:fldChar w:fldCharType="begin"/>
        </w:r>
        <w:r>
          <w:rPr>
            <w:noProof/>
            <w:webHidden/>
          </w:rPr>
          <w:instrText xml:space="preserve"> PAGEREF _Toc397357483 \h </w:instrText>
        </w:r>
        <w:r>
          <w:rPr>
            <w:noProof/>
            <w:webHidden/>
          </w:rPr>
        </w:r>
        <w:r>
          <w:rPr>
            <w:noProof/>
            <w:webHidden/>
          </w:rPr>
          <w:fldChar w:fldCharType="separate"/>
        </w:r>
        <w:r w:rsidR="003B4B7F">
          <w:rPr>
            <w:noProof/>
            <w:webHidden/>
          </w:rPr>
          <w:t>37</w:t>
        </w:r>
        <w:r>
          <w:rPr>
            <w:noProof/>
            <w:webHidden/>
          </w:rPr>
          <w:fldChar w:fldCharType="end"/>
        </w:r>
      </w:hyperlink>
    </w:p>
    <w:p w:rsidR="00A05F55" w:rsidRPr="005A0388" w:rsidRDefault="00A05F55">
      <w:pPr>
        <w:pStyle w:val="Obsah4"/>
        <w:rPr>
          <w:rFonts w:ascii="Calibri" w:hAnsi="Calibri"/>
          <w:noProof/>
          <w:sz w:val="22"/>
          <w:szCs w:val="22"/>
        </w:rPr>
      </w:pPr>
      <w:hyperlink w:anchor="_Toc397357484" w:history="1">
        <w:r w:rsidRPr="00906D58">
          <w:rPr>
            <w:rStyle w:val="Hypertextovodkaz"/>
            <w:noProof/>
          </w:rPr>
          <w:t>7.3.2.3. Výdaje na výzkum, vývoj a inovace</w:t>
        </w:r>
        <w:r>
          <w:rPr>
            <w:noProof/>
            <w:webHidden/>
          </w:rPr>
          <w:tab/>
        </w:r>
        <w:r>
          <w:rPr>
            <w:noProof/>
            <w:webHidden/>
          </w:rPr>
          <w:fldChar w:fldCharType="begin"/>
        </w:r>
        <w:r>
          <w:rPr>
            <w:noProof/>
            <w:webHidden/>
          </w:rPr>
          <w:instrText xml:space="preserve"> PAGEREF _Toc397357484 \h </w:instrText>
        </w:r>
        <w:r>
          <w:rPr>
            <w:noProof/>
            <w:webHidden/>
          </w:rPr>
        </w:r>
        <w:r>
          <w:rPr>
            <w:noProof/>
            <w:webHidden/>
          </w:rPr>
          <w:fldChar w:fldCharType="separate"/>
        </w:r>
        <w:r w:rsidR="003B4B7F">
          <w:rPr>
            <w:noProof/>
            <w:webHidden/>
          </w:rPr>
          <w:t>38</w:t>
        </w:r>
        <w:r>
          <w:rPr>
            <w:noProof/>
            <w:webHidden/>
          </w:rPr>
          <w:fldChar w:fldCharType="end"/>
        </w:r>
      </w:hyperlink>
    </w:p>
    <w:p w:rsidR="00A05F55" w:rsidRPr="005A0388" w:rsidRDefault="00A05F55">
      <w:pPr>
        <w:pStyle w:val="Obsah3"/>
        <w:rPr>
          <w:rFonts w:ascii="Calibri" w:hAnsi="Calibri"/>
          <w:noProof/>
          <w:sz w:val="22"/>
          <w:szCs w:val="22"/>
        </w:rPr>
      </w:pPr>
      <w:hyperlink w:anchor="_Toc397357485" w:history="1">
        <w:r w:rsidRPr="00906D58">
          <w:rPr>
            <w:rStyle w:val="Hypertextovodkaz"/>
            <w:noProof/>
          </w:rPr>
          <w:t>7.4. Předpokládaný způsob financování deficitu</w:t>
        </w:r>
        <w:r>
          <w:rPr>
            <w:noProof/>
            <w:webHidden/>
          </w:rPr>
          <w:tab/>
        </w:r>
        <w:r>
          <w:rPr>
            <w:noProof/>
            <w:webHidden/>
          </w:rPr>
          <w:fldChar w:fldCharType="begin"/>
        </w:r>
        <w:r>
          <w:rPr>
            <w:noProof/>
            <w:webHidden/>
          </w:rPr>
          <w:instrText xml:space="preserve"> PAGEREF _Toc397357485 \h </w:instrText>
        </w:r>
        <w:r>
          <w:rPr>
            <w:noProof/>
            <w:webHidden/>
          </w:rPr>
        </w:r>
        <w:r>
          <w:rPr>
            <w:noProof/>
            <w:webHidden/>
          </w:rPr>
          <w:fldChar w:fldCharType="separate"/>
        </w:r>
        <w:r w:rsidR="003B4B7F">
          <w:rPr>
            <w:noProof/>
            <w:webHidden/>
          </w:rPr>
          <w:t>38</w:t>
        </w:r>
        <w:r>
          <w:rPr>
            <w:noProof/>
            <w:webHidden/>
          </w:rPr>
          <w:fldChar w:fldCharType="end"/>
        </w:r>
      </w:hyperlink>
    </w:p>
    <w:p w:rsidR="00A05F55" w:rsidRPr="005A0388" w:rsidRDefault="00A05F55">
      <w:pPr>
        <w:pStyle w:val="Obsah2"/>
        <w:rPr>
          <w:rFonts w:ascii="Calibri" w:hAnsi="Calibri"/>
          <w:sz w:val="22"/>
          <w:szCs w:val="22"/>
        </w:rPr>
      </w:pPr>
      <w:hyperlink w:anchor="_Toc397357486" w:history="1">
        <w:r w:rsidRPr="00906D58">
          <w:rPr>
            <w:rStyle w:val="Hypertextovodkaz"/>
          </w:rPr>
          <w:t>8. Základní ukazatele státních fondů ve střednědobém výhledu</w:t>
        </w:r>
        <w:r>
          <w:rPr>
            <w:webHidden/>
          </w:rPr>
          <w:tab/>
        </w:r>
        <w:r>
          <w:rPr>
            <w:webHidden/>
          </w:rPr>
          <w:fldChar w:fldCharType="begin"/>
        </w:r>
        <w:r>
          <w:rPr>
            <w:webHidden/>
          </w:rPr>
          <w:instrText xml:space="preserve"> PAGEREF _Toc397357486 \h </w:instrText>
        </w:r>
        <w:r>
          <w:rPr>
            <w:webHidden/>
          </w:rPr>
        </w:r>
        <w:r>
          <w:rPr>
            <w:webHidden/>
          </w:rPr>
          <w:fldChar w:fldCharType="separate"/>
        </w:r>
        <w:r w:rsidR="003B4B7F">
          <w:rPr>
            <w:webHidden/>
          </w:rPr>
          <w:t>39</w:t>
        </w:r>
        <w:r>
          <w:rPr>
            <w:webHidden/>
          </w:rPr>
          <w:fldChar w:fldCharType="end"/>
        </w:r>
      </w:hyperlink>
    </w:p>
    <w:p w:rsidR="00A05F55" w:rsidRPr="005A0388" w:rsidRDefault="00A05F55">
      <w:pPr>
        <w:pStyle w:val="Obsah3"/>
        <w:rPr>
          <w:rFonts w:ascii="Calibri" w:hAnsi="Calibri"/>
          <w:noProof/>
          <w:sz w:val="22"/>
          <w:szCs w:val="22"/>
        </w:rPr>
      </w:pPr>
      <w:hyperlink w:anchor="_Toc397357487" w:history="1">
        <w:r w:rsidRPr="00906D58">
          <w:rPr>
            <w:rStyle w:val="Hypertextovodkaz"/>
            <w:noProof/>
          </w:rPr>
          <w:t>8.1. Státní fond dopravní infrastruktury</w:t>
        </w:r>
        <w:r>
          <w:rPr>
            <w:noProof/>
            <w:webHidden/>
          </w:rPr>
          <w:tab/>
        </w:r>
        <w:r>
          <w:rPr>
            <w:noProof/>
            <w:webHidden/>
          </w:rPr>
          <w:fldChar w:fldCharType="begin"/>
        </w:r>
        <w:r>
          <w:rPr>
            <w:noProof/>
            <w:webHidden/>
          </w:rPr>
          <w:instrText xml:space="preserve"> PAGEREF _Toc397357487 \h </w:instrText>
        </w:r>
        <w:r>
          <w:rPr>
            <w:noProof/>
            <w:webHidden/>
          </w:rPr>
        </w:r>
        <w:r>
          <w:rPr>
            <w:noProof/>
            <w:webHidden/>
          </w:rPr>
          <w:fldChar w:fldCharType="separate"/>
        </w:r>
        <w:r w:rsidR="003B4B7F">
          <w:rPr>
            <w:noProof/>
            <w:webHidden/>
          </w:rPr>
          <w:t>39</w:t>
        </w:r>
        <w:r>
          <w:rPr>
            <w:noProof/>
            <w:webHidden/>
          </w:rPr>
          <w:fldChar w:fldCharType="end"/>
        </w:r>
      </w:hyperlink>
    </w:p>
    <w:p w:rsidR="00A05F55" w:rsidRPr="005A0388" w:rsidRDefault="00A05F55">
      <w:pPr>
        <w:pStyle w:val="Obsah3"/>
        <w:rPr>
          <w:rFonts w:ascii="Calibri" w:hAnsi="Calibri"/>
          <w:noProof/>
          <w:sz w:val="22"/>
          <w:szCs w:val="22"/>
        </w:rPr>
      </w:pPr>
      <w:hyperlink w:anchor="_Toc397357488" w:history="1">
        <w:r w:rsidRPr="00906D58">
          <w:rPr>
            <w:rStyle w:val="Hypertextovodkaz"/>
            <w:noProof/>
          </w:rPr>
          <w:t>8.2. Státní zemědělský intervenční fond</w:t>
        </w:r>
        <w:r>
          <w:rPr>
            <w:noProof/>
            <w:webHidden/>
          </w:rPr>
          <w:tab/>
        </w:r>
        <w:r>
          <w:rPr>
            <w:noProof/>
            <w:webHidden/>
          </w:rPr>
          <w:fldChar w:fldCharType="begin"/>
        </w:r>
        <w:r>
          <w:rPr>
            <w:noProof/>
            <w:webHidden/>
          </w:rPr>
          <w:instrText xml:space="preserve"> PAGEREF _Toc397357488 \h </w:instrText>
        </w:r>
        <w:r>
          <w:rPr>
            <w:noProof/>
            <w:webHidden/>
          </w:rPr>
        </w:r>
        <w:r>
          <w:rPr>
            <w:noProof/>
            <w:webHidden/>
          </w:rPr>
          <w:fldChar w:fldCharType="separate"/>
        </w:r>
        <w:r w:rsidR="003B4B7F">
          <w:rPr>
            <w:noProof/>
            <w:webHidden/>
          </w:rPr>
          <w:t>40</w:t>
        </w:r>
        <w:r>
          <w:rPr>
            <w:noProof/>
            <w:webHidden/>
          </w:rPr>
          <w:fldChar w:fldCharType="end"/>
        </w:r>
      </w:hyperlink>
    </w:p>
    <w:p w:rsidR="00A05F55" w:rsidRPr="005A0388" w:rsidRDefault="00A05F55">
      <w:pPr>
        <w:pStyle w:val="Obsah3"/>
        <w:rPr>
          <w:rFonts w:ascii="Calibri" w:hAnsi="Calibri"/>
          <w:noProof/>
          <w:sz w:val="22"/>
          <w:szCs w:val="22"/>
        </w:rPr>
      </w:pPr>
      <w:hyperlink w:anchor="_Toc397357489" w:history="1">
        <w:r w:rsidRPr="00906D58">
          <w:rPr>
            <w:rStyle w:val="Hypertextovodkaz"/>
            <w:noProof/>
          </w:rPr>
          <w:t>8.3. Státní fond kinematografie</w:t>
        </w:r>
        <w:r>
          <w:rPr>
            <w:noProof/>
            <w:webHidden/>
          </w:rPr>
          <w:tab/>
        </w:r>
        <w:r>
          <w:rPr>
            <w:noProof/>
            <w:webHidden/>
          </w:rPr>
          <w:fldChar w:fldCharType="begin"/>
        </w:r>
        <w:r>
          <w:rPr>
            <w:noProof/>
            <w:webHidden/>
          </w:rPr>
          <w:instrText xml:space="preserve"> PAGEREF _Toc397357489 \h </w:instrText>
        </w:r>
        <w:r>
          <w:rPr>
            <w:noProof/>
            <w:webHidden/>
          </w:rPr>
        </w:r>
        <w:r>
          <w:rPr>
            <w:noProof/>
            <w:webHidden/>
          </w:rPr>
          <w:fldChar w:fldCharType="separate"/>
        </w:r>
        <w:r w:rsidR="003B4B7F">
          <w:rPr>
            <w:noProof/>
            <w:webHidden/>
          </w:rPr>
          <w:t>41</w:t>
        </w:r>
        <w:r>
          <w:rPr>
            <w:noProof/>
            <w:webHidden/>
          </w:rPr>
          <w:fldChar w:fldCharType="end"/>
        </w:r>
      </w:hyperlink>
    </w:p>
    <w:p w:rsidR="00A05F55" w:rsidRPr="005A0388" w:rsidRDefault="00A05F55">
      <w:pPr>
        <w:pStyle w:val="Obsah3"/>
        <w:rPr>
          <w:rFonts w:ascii="Calibri" w:hAnsi="Calibri"/>
          <w:noProof/>
          <w:sz w:val="22"/>
          <w:szCs w:val="22"/>
        </w:rPr>
      </w:pPr>
      <w:hyperlink w:anchor="_Toc397357490" w:history="1">
        <w:r w:rsidRPr="00906D58">
          <w:rPr>
            <w:rStyle w:val="Hypertextovodkaz"/>
            <w:noProof/>
          </w:rPr>
          <w:t>8.4. Státní fond kultury České republiky</w:t>
        </w:r>
        <w:r>
          <w:rPr>
            <w:noProof/>
            <w:webHidden/>
          </w:rPr>
          <w:tab/>
        </w:r>
        <w:r>
          <w:rPr>
            <w:noProof/>
            <w:webHidden/>
          </w:rPr>
          <w:fldChar w:fldCharType="begin"/>
        </w:r>
        <w:r>
          <w:rPr>
            <w:noProof/>
            <w:webHidden/>
          </w:rPr>
          <w:instrText xml:space="preserve"> PAGEREF _Toc397357490 \h </w:instrText>
        </w:r>
        <w:r>
          <w:rPr>
            <w:noProof/>
            <w:webHidden/>
          </w:rPr>
        </w:r>
        <w:r>
          <w:rPr>
            <w:noProof/>
            <w:webHidden/>
          </w:rPr>
          <w:fldChar w:fldCharType="separate"/>
        </w:r>
        <w:r w:rsidR="003B4B7F">
          <w:rPr>
            <w:noProof/>
            <w:webHidden/>
          </w:rPr>
          <w:t>41</w:t>
        </w:r>
        <w:r>
          <w:rPr>
            <w:noProof/>
            <w:webHidden/>
          </w:rPr>
          <w:fldChar w:fldCharType="end"/>
        </w:r>
      </w:hyperlink>
    </w:p>
    <w:p w:rsidR="00A05F55" w:rsidRPr="005A0388" w:rsidRDefault="00A05F55">
      <w:pPr>
        <w:pStyle w:val="Obsah3"/>
        <w:rPr>
          <w:rFonts w:ascii="Calibri" w:hAnsi="Calibri"/>
          <w:noProof/>
          <w:sz w:val="22"/>
          <w:szCs w:val="22"/>
        </w:rPr>
      </w:pPr>
      <w:hyperlink w:anchor="_Toc397357491" w:history="1">
        <w:r w:rsidRPr="00906D58">
          <w:rPr>
            <w:rStyle w:val="Hypertextovodkaz"/>
            <w:noProof/>
          </w:rPr>
          <w:t>8.5. Státní fond rozvoje bydlení</w:t>
        </w:r>
        <w:r>
          <w:rPr>
            <w:noProof/>
            <w:webHidden/>
          </w:rPr>
          <w:tab/>
        </w:r>
        <w:r>
          <w:rPr>
            <w:noProof/>
            <w:webHidden/>
          </w:rPr>
          <w:fldChar w:fldCharType="begin"/>
        </w:r>
        <w:r>
          <w:rPr>
            <w:noProof/>
            <w:webHidden/>
          </w:rPr>
          <w:instrText xml:space="preserve"> PAGEREF _Toc397357491 \h </w:instrText>
        </w:r>
        <w:r>
          <w:rPr>
            <w:noProof/>
            <w:webHidden/>
          </w:rPr>
        </w:r>
        <w:r>
          <w:rPr>
            <w:noProof/>
            <w:webHidden/>
          </w:rPr>
          <w:fldChar w:fldCharType="separate"/>
        </w:r>
        <w:r w:rsidR="003B4B7F">
          <w:rPr>
            <w:noProof/>
            <w:webHidden/>
          </w:rPr>
          <w:t>42</w:t>
        </w:r>
        <w:r>
          <w:rPr>
            <w:noProof/>
            <w:webHidden/>
          </w:rPr>
          <w:fldChar w:fldCharType="end"/>
        </w:r>
      </w:hyperlink>
    </w:p>
    <w:p w:rsidR="00A05F55" w:rsidRPr="005A0388" w:rsidRDefault="00A05F55">
      <w:pPr>
        <w:pStyle w:val="Obsah3"/>
        <w:rPr>
          <w:rFonts w:ascii="Calibri" w:hAnsi="Calibri"/>
          <w:noProof/>
          <w:sz w:val="22"/>
          <w:szCs w:val="22"/>
        </w:rPr>
      </w:pPr>
      <w:hyperlink w:anchor="_Toc397357492" w:history="1">
        <w:r w:rsidRPr="00906D58">
          <w:rPr>
            <w:rStyle w:val="Hypertextovodkaz"/>
            <w:noProof/>
          </w:rPr>
          <w:t>8.6. Státní fond životního prostředí České republiky</w:t>
        </w:r>
        <w:r>
          <w:rPr>
            <w:noProof/>
            <w:webHidden/>
          </w:rPr>
          <w:tab/>
        </w:r>
        <w:r>
          <w:rPr>
            <w:noProof/>
            <w:webHidden/>
          </w:rPr>
          <w:fldChar w:fldCharType="begin"/>
        </w:r>
        <w:r>
          <w:rPr>
            <w:noProof/>
            <w:webHidden/>
          </w:rPr>
          <w:instrText xml:space="preserve"> PAGEREF _Toc397357492 \h </w:instrText>
        </w:r>
        <w:r>
          <w:rPr>
            <w:noProof/>
            <w:webHidden/>
          </w:rPr>
        </w:r>
        <w:r>
          <w:rPr>
            <w:noProof/>
            <w:webHidden/>
          </w:rPr>
          <w:fldChar w:fldCharType="separate"/>
        </w:r>
        <w:r w:rsidR="003B4B7F">
          <w:rPr>
            <w:noProof/>
            <w:webHidden/>
          </w:rPr>
          <w:t>42</w:t>
        </w:r>
        <w:r>
          <w:rPr>
            <w:noProof/>
            <w:webHidden/>
          </w:rPr>
          <w:fldChar w:fldCharType="end"/>
        </w:r>
      </w:hyperlink>
    </w:p>
    <w:p w:rsidR="00A05F55" w:rsidRPr="005A0388" w:rsidRDefault="00A05F55">
      <w:pPr>
        <w:pStyle w:val="Obsah3"/>
        <w:rPr>
          <w:rFonts w:ascii="Calibri" w:hAnsi="Calibri"/>
          <w:noProof/>
          <w:sz w:val="22"/>
          <w:szCs w:val="22"/>
        </w:rPr>
      </w:pPr>
      <w:hyperlink w:anchor="_Toc397357493" w:history="1">
        <w:r w:rsidRPr="00906D58">
          <w:rPr>
            <w:rStyle w:val="Hypertextovodkaz"/>
            <w:noProof/>
          </w:rPr>
          <w:t>8.7. Úhrnná bilance státních fondů</w:t>
        </w:r>
        <w:r>
          <w:rPr>
            <w:noProof/>
            <w:webHidden/>
          </w:rPr>
          <w:tab/>
        </w:r>
        <w:r>
          <w:rPr>
            <w:noProof/>
            <w:webHidden/>
          </w:rPr>
          <w:fldChar w:fldCharType="begin"/>
        </w:r>
        <w:r>
          <w:rPr>
            <w:noProof/>
            <w:webHidden/>
          </w:rPr>
          <w:instrText xml:space="preserve"> PAGEREF _Toc397357493 \h </w:instrText>
        </w:r>
        <w:r>
          <w:rPr>
            <w:noProof/>
            <w:webHidden/>
          </w:rPr>
        </w:r>
        <w:r>
          <w:rPr>
            <w:noProof/>
            <w:webHidden/>
          </w:rPr>
          <w:fldChar w:fldCharType="separate"/>
        </w:r>
        <w:r w:rsidR="003B4B7F">
          <w:rPr>
            <w:noProof/>
            <w:webHidden/>
          </w:rPr>
          <w:t>43</w:t>
        </w:r>
        <w:r>
          <w:rPr>
            <w:noProof/>
            <w:webHidden/>
          </w:rPr>
          <w:fldChar w:fldCharType="end"/>
        </w:r>
      </w:hyperlink>
    </w:p>
    <w:p w:rsidR="00A05F55" w:rsidRPr="005A0388" w:rsidRDefault="00A05F55">
      <w:pPr>
        <w:pStyle w:val="Obsah1"/>
        <w:rPr>
          <w:rFonts w:ascii="Calibri" w:hAnsi="Calibri"/>
          <w:b w:val="0"/>
          <w:sz w:val="22"/>
          <w:szCs w:val="22"/>
        </w:rPr>
      </w:pPr>
      <w:hyperlink w:anchor="_Toc397357494" w:history="1">
        <w:r w:rsidRPr="00906D58">
          <w:rPr>
            <w:rStyle w:val="Hypertextovodkaz"/>
          </w:rPr>
          <w:t>D. Další vybrané údaje střednědobého výhledu na léta 2016 a 2017</w:t>
        </w:r>
        <w:r>
          <w:rPr>
            <w:webHidden/>
          </w:rPr>
          <w:tab/>
        </w:r>
        <w:r>
          <w:rPr>
            <w:webHidden/>
          </w:rPr>
          <w:fldChar w:fldCharType="begin"/>
        </w:r>
        <w:r>
          <w:rPr>
            <w:webHidden/>
          </w:rPr>
          <w:instrText xml:space="preserve"> PAGEREF _Toc397357494 \h </w:instrText>
        </w:r>
        <w:r>
          <w:rPr>
            <w:webHidden/>
          </w:rPr>
        </w:r>
        <w:r>
          <w:rPr>
            <w:webHidden/>
          </w:rPr>
          <w:fldChar w:fldCharType="separate"/>
        </w:r>
        <w:r w:rsidR="003B4B7F">
          <w:rPr>
            <w:webHidden/>
          </w:rPr>
          <w:t>45</w:t>
        </w:r>
        <w:r>
          <w:rPr>
            <w:webHidden/>
          </w:rPr>
          <w:fldChar w:fldCharType="end"/>
        </w:r>
      </w:hyperlink>
    </w:p>
    <w:p w:rsidR="00A05F55" w:rsidRPr="005A0388" w:rsidRDefault="00A05F55">
      <w:pPr>
        <w:pStyle w:val="Obsah2"/>
        <w:rPr>
          <w:rFonts w:ascii="Calibri" w:hAnsi="Calibri"/>
          <w:sz w:val="22"/>
          <w:szCs w:val="22"/>
        </w:rPr>
      </w:pPr>
      <w:hyperlink w:anchor="_Toc397357495" w:history="1">
        <w:r w:rsidRPr="00906D58">
          <w:rPr>
            <w:rStyle w:val="Hypertextovodkaz"/>
          </w:rPr>
          <w:t>9. Výdaje na programy nebo projekty spolufinancované z rozpočtu Evropské unie v letech 2016 až 2017</w:t>
        </w:r>
        <w:r>
          <w:rPr>
            <w:webHidden/>
          </w:rPr>
          <w:tab/>
        </w:r>
        <w:r>
          <w:rPr>
            <w:webHidden/>
          </w:rPr>
          <w:fldChar w:fldCharType="begin"/>
        </w:r>
        <w:r>
          <w:rPr>
            <w:webHidden/>
          </w:rPr>
          <w:instrText xml:space="preserve"> PAGEREF _Toc397357495 \h </w:instrText>
        </w:r>
        <w:r>
          <w:rPr>
            <w:webHidden/>
          </w:rPr>
        </w:r>
        <w:r>
          <w:rPr>
            <w:webHidden/>
          </w:rPr>
          <w:fldChar w:fldCharType="separate"/>
        </w:r>
        <w:r w:rsidR="003B4B7F">
          <w:rPr>
            <w:webHidden/>
          </w:rPr>
          <w:t>45</w:t>
        </w:r>
        <w:r>
          <w:rPr>
            <w:webHidden/>
          </w:rPr>
          <w:fldChar w:fldCharType="end"/>
        </w:r>
      </w:hyperlink>
    </w:p>
    <w:p w:rsidR="00A05F55" w:rsidRPr="005A0388" w:rsidRDefault="00A05F55">
      <w:pPr>
        <w:pStyle w:val="Obsah2"/>
        <w:rPr>
          <w:rFonts w:ascii="Calibri" w:hAnsi="Calibri"/>
          <w:sz w:val="22"/>
          <w:szCs w:val="22"/>
        </w:rPr>
      </w:pPr>
      <w:hyperlink w:anchor="_Toc397357496" w:history="1">
        <w:r w:rsidRPr="00906D58">
          <w:rPr>
            <w:rStyle w:val="Hypertextovodkaz"/>
          </w:rPr>
          <w:t>10. Výdaje na Finanční mechanismy EHP/ Norska 2009 - 2014 a Program švýcarsko-české spolupráce v letech 2016 až 2017</w:t>
        </w:r>
        <w:r>
          <w:rPr>
            <w:webHidden/>
          </w:rPr>
          <w:tab/>
        </w:r>
        <w:r>
          <w:rPr>
            <w:webHidden/>
          </w:rPr>
          <w:fldChar w:fldCharType="begin"/>
        </w:r>
        <w:r>
          <w:rPr>
            <w:webHidden/>
          </w:rPr>
          <w:instrText xml:space="preserve"> PAGEREF _Toc397357496 \h </w:instrText>
        </w:r>
        <w:r>
          <w:rPr>
            <w:webHidden/>
          </w:rPr>
        </w:r>
        <w:r>
          <w:rPr>
            <w:webHidden/>
          </w:rPr>
          <w:fldChar w:fldCharType="separate"/>
        </w:r>
        <w:r w:rsidR="003B4B7F">
          <w:rPr>
            <w:webHidden/>
          </w:rPr>
          <w:t>47</w:t>
        </w:r>
        <w:r>
          <w:rPr>
            <w:webHidden/>
          </w:rPr>
          <w:fldChar w:fldCharType="end"/>
        </w:r>
      </w:hyperlink>
    </w:p>
    <w:p w:rsidR="00A05F55" w:rsidRPr="005A0388" w:rsidRDefault="00A05F55">
      <w:pPr>
        <w:pStyle w:val="Obsah2"/>
        <w:rPr>
          <w:rFonts w:ascii="Calibri" w:hAnsi="Calibri"/>
          <w:sz w:val="22"/>
          <w:szCs w:val="22"/>
        </w:rPr>
      </w:pPr>
      <w:hyperlink w:anchor="_Toc397357497" w:history="1">
        <w:r w:rsidRPr="00906D58">
          <w:rPr>
            <w:rStyle w:val="Hypertextovodkaz"/>
          </w:rPr>
          <w:t>11. Přehled závazků fyzických a právnických osob, za které se zaručily jménem státu jeho organizační složky</w:t>
        </w:r>
        <w:r>
          <w:rPr>
            <w:webHidden/>
          </w:rPr>
          <w:tab/>
        </w:r>
        <w:r>
          <w:rPr>
            <w:webHidden/>
          </w:rPr>
          <w:fldChar w:fldCharType="begin"/>
        </w:r>
        <w:r>
          <w:rPr>
            <w:webHidden/>
          </w:rPr>
          <w:instrText xml:space="preserve"> PAGEREF _Toc397357497 \h </w:instrText>
        </w:r>
        <w:r>
          <w:rPr>
            <w:webHidden/>
          </w:rPr>
        </w:r>
        <w:r>
          <w:rPr>
            <w:webHidden/>
          </w:rPr>
          <w:fldChar w:fldCharType="separate"/>
        </w:r>
        <w:r w:rsidR="003B4B7F">
          <w:rPr>
            <w:webHidden/>
          </w:rPr>
          <w:t>48</w:t>
        </w:r>
        <w:r>
          <w:rPr>
            <w:webHidden/>
          </w:rPr>
          <w:fldChar w:fldCharType="end"/>
        </w:r>
      </w:hyperlink>
    </w:p>
    <w:p w:rsidR="00A05F55" w:rsidRPr="005A0388" w:rsidRDefault="00A05F55">
      <w:pPr>
        <w:pStyle w:val="Obsah2"/>
        <w:rPr>
          <w:rFonts w:ascii="Calibri" w:hAnsi="Calibri"/>
          <w:sz w:val="22"/>
          <w:szCs w:val="22"/>
        </w:rPr>
      </w:pPr>
      <w:hyperlink w:anchor="_Toc397357498" w:history="1">
        <w:r w:rsidRPr="00906D58">
          <w:rPr>
            <w:rStyle w:val="Hypertextovodkaz"/>
          </w:rPr>
          <w:t>12. Vývoj státního dluhu, příjmů a výdajů kapitoly Státní dluh</w:t>
        </w:r>
        <w:r>
          <w:rPr>
            <w:webHidden/>
          </w:rPr>
          <w:tab/>
        </w:r>
        <w:r>
          <w:rPr>
            <w:webHidden/>
          </w:rPr>
          <w:fldChar w:fldCharType="begin"/>
        </w:r>
        <w:r>
          <w:rPr>
            <w:webHidden/>
          </w:rPr>
          <w:instrText xml:space="preserve"> PAGEREF _Toc397357498 \h </w:instrText>
        </w:r>
        <w:r>
          <w:rPr>
            <w:webHidden/>
          </w:rPr>
        </w:r>
        <w:r>
          <w:rPr>
            <w:webHidden/>
          </w:rPr>
          <w:fldChar w:fldCharType="separate"/>
        </w:r>
        <w:r w:rsidR="003B4B7F">
          <w:rPr>
            <w:webHidden/>
          </w:rPr>
          <w:t>50</w:t>
        </w:r>
        <w:r>
          <w:rPr>
            <w:webHidden/>
          </w:rPr>
          <w:fldChar w:fldCharType="end"/>
        </w:r>
      </w:hyperlink>
    </w:p>
    <w:p w:rsidR="00A05F55" w:rsidRPr="005A0388" w:rsidRDefault="00A05F55">
      <w:pPr>
        <w:pStyle w:val="Obsah2"/>
        <w:rPr>
          <w:rFonts w:ascii="Calibri" w:hAnsi="Calibri"/>
          <w:sz w:val="22"/>
          <w:szCs w:val="22"/>
        </w:rPr>
      </w:pPr>
      <w:hyperlink w:anchor="_Toc397357499" w:history="1">
        <w:r w:rsidRPr="00906D58">
          <w:rPr>
            <w:rStyle w:val="Hypertextovodkaz"/>
          </w:rPr>
          <w:t>13. Závazky státu vyplývajících z víceletých významných veřejných zakázek a z koncesních smluv</w:t>
        </w:r>
        <w:r>
          <w:rPr>
            <w:webHidden/>
          </w:rPr>
          <w:tab/>
        </w:r>
        <w:r>
          <w:rPr>
            <w:webHidden/>
          </w:rPr>
          <w:fldChar w:fldCharType="begin"/>
        </w:r>
        <w:r>
          <w:rPr>
            <w:webHidden/>
          </w:rPr>
          <w:instrText xml:space="preserve"> PAGEREF _Toc397357499 \h </w:instrText>
        </w:r>
        <w:r>
          <w:rPr>
            <w:webHidden/>
          </w:rPr>
        </w:r>
        <w:r>
          <w:rPr>
            <w:webHidden/>
          </w:rPr>
          <w:fldChar w:fldCharType="separate"/>
        </w:r>
        <w:r w:rsidR="003B4B7F">
          <w:rPr>
            <w:webHidden/>
          </w:rPr>
          <w:t>53</w:t>
        </w:r>
        <w:r>
          <w:rPr>
            <w:webHidden/>
          </w:rPr>
          <w:fldChar w:fldCharType="end"/>
        </w:r>
      </w:hyperlink>
    </w:p>
    <w:p w:rsidR="00A05F55" w:rsidRPr="005A0388" w:rsidRDefault="00A05F55">
      <w:pPr>
        <w:pStyle w:val="Obsah1"/>
        <w:rPr>
          <w:rFonts w:ascii="Calibri" w:hAnsi="Calibri"/>
          <w:b w:val="0"/>
          <w:sz w:val="22"/>
          <w:szCs w:val="22"/>
        </w:rPr>
      </w:pPr>
      <w:hyperlink w:anchor="_Toc397357500" w:history="1">
        <w:r w:rsidRPr="00906D58">
          <w:rPr>
            <w:rStyle w:val="Hypertextovodkaz"/>
          </w:rPr>
          <w:t>E. Tabulková část</w:t>
        </w:r>
        <w:r>
          <w:rPr>
            <w:webHidden/>
          </w:rPr>
          <w:tab/>
        </w:r>
        <w:r>
          <w:rPr>
            <w:webHidden/>
          </w:rPr>
          <w:fldChar w:fldCharType="begin"/>
        </w:r>
        <w:r>
          <w:rPr>
            <w:webHidden/>
          </w:rPr>
          <w:instrText xml:space="preserve"> PAGEREF _Toc397357500 \h </w:instrText>
        </w:r>
        <w:r>
          <w:rPr>
            <w:webHidden/>
          </w:rPr>
        </w:r>
        <w:r>
          <w:rPr>
            <w:webHidden/>
          </w:rPr>
          <w:fldChar w:fldCharType="separate"/>
        </w:r>
        <w:r w:rsidR="003B4B7F">
          <w:rPr>
            <w:webHidden/>
          </w:rPr>
          <w:t>54</w:t>
        </w:r>
        <w:r>
          <w:rPr>
            <w:webHidden/>
          </w:rPr>
          <w:fldChar w:fldCharType="end"/>
        </w:r>
      </w:hyperlink>
    </w:p>
    <w:p w:rsidR="00A24FF5" w:rsidRDefault="00A24FF5" w:rsidP="00C5501D">
      <w:pPr>
        <w:pStyle w:val="Nadpishlavnsti"/>
        <w:pageBreakBefore w:val="0"/>
      </w:pPr>
      <w:r>
        <w:fldChar w:fldCharType="end"/>
      </w:r>
    </w:p>
    <w:p w:rsidR="00A24FF5" w:rsidRDefault="00A24FF5" w:rsidP="00B24F7C">
      <w:pPr>
        <w:spacing w:before="0" w:after="0" w:line="240" w:lineRule="auto"/>
        <w:ind w:firstLine="0"/>
        <w:jc w:val="left"/>
      </w:pPr>
    </w:p>
    <w:p w:rsidR="00A24FF5" w:rsidRDefault="00A24FF5" w:rsidP="00B24F7C">
      <w:pPr>
        <w:spacing w:before="0" w:after="0" w:line="240" w:lineRule="auto"/>
        <w:ind w:firstLine="0"/>
        <w:jc w:val="left"/>
        <w:rPr>
          <w:sz w:val="40"/>
          <w:szCs w:val="40"/>
        </w:rPr>
      </w:pPr>
    </w:p>
    <w:p w:rsidR="00A24FF5" w:rsidRPr="00AA700B" w:rsidRDefault="00A24FF5" w:rsidP="00AA700B">
      <w:pPr>
        <w:spacing w:before="0" w:after="0" w:line="240" w:lineRule="auto"/>
        <w:ind w:left="180" w:firstLine="0"/>
        <w:jc w:val="left"/>
      </w:pPr>
    </w:p>
    <w:p w:rsidR="00A24FF5" w:rsidRDefault="00A24FF5" w:rsidP="00C11890">
      <w:pPr>
        <w:spacing w:before="0" w:after="0" w:line="240" w:lineRule="auto"/>
        <w:ind w:left="180" w:firstLine="0"/>
        <w:jc w:val="left"/>
      </w:pPr>
    </w:p>
    <w:p w:rsidR="00A24FF5" w:rsidRDefault="00A24FF5" w:rsidP="00C11890">
      <w:pPr>
        <w:spacing w:before="0" w:after="0" w:line="240" w:lineRule="auto"/>
        <w:ind w:left="540" w:firstLine="0"/>
        <w:jc w:val="left"/>
      </w:pPr>
      <w:bookmarkStart w:id="2" w:name="_GoBack"/>
      <w:bookmarkEnd w:id="2"/>
    </w:p>
    <w:p w:rsidR="00A24FF5" w:rsidRPr="00D819EA" w:rsidRDefault="00A24FF5" w:rsidP="006120DF">
      <w:pPr>
        <w:pStyle w:val="Nadpishlavnsti"/>
      </w:pPr>
      <w:bookmarkStart w:id="3" w:name="_Toc206999960"/>
      <w:bookmarkStart w:id="4" w:name="_Toc241917773"/>
      <w:bookmarkStart w:id="5" w:name="_Toc333680158"/>
      <w:bookmarkStart w:id="6" w:name="_Toc397357448"/>
      <w:r w:rsidRPr="00D819EA">
        <w:lastRenderedPageBreak/>
        <w:t>Úvod</w:t>
      </w:r>
      <w:bookmarkEnd w:id="3"/>
      <w:bookmarkEnd w:id="4"/>
      <w:bookmarkEnd w:id="5"/>
      <w:bookmarkEnd w:id="6"/>
    </w:p>
    <w:p w:rsidR="00A24FF5" w:rsidRPr="002A711C" w:rsidRDefault="00A24FF5" w:rsidP="002A711C">
      <w:pPr>
        <w:ind w:firstLine="720"/>
      </w:pPr>
      <w:r w:rsidRPr="002A711C">
        <w:t xml:space="preserve">Povinnost předložit Poslanecké sněmovně schválený střednědobý výhled ukládá vládě zákon o rozpočtových pravidlech. </w:t>
      </w:r>
    </w:p>
    <w:p w:rsidR="006A0A7F" w:rsidRPr="002A711C" w:rsidRDefault="006A0A7F" w:rsidP="006A0A7F">
      <w:pPr>
        <w:ind w:firstLine="720"/>
      </w:pPr>
      <w:r w:rsidRPr="002A711C">
        <w:t xml:space="preserve">Střednědobý výhled se zpracovává zároveň s návrhem státního rozpočtu na příslušný rok a jeho obsah tvoří příjmy a výdaje státního rozpočtu a státních fondů na dvouleté období následující po roce, na který je sestavován a zpracováván návrh státního rozpočtu.  Výhled poskytuje přehled o klíčových aspektech budoucího vývoje ve fiskální oblasti. </w:t>
      </w:r>
    </w:p>
    <w:p w:rsidR="00A24FF5" w:rsidRDefault="00A24FF5" w:rsidP="00FC1CF1">
      <w:pPr>
        <w:autoSpaceDE w:val="0"/>
        <w:autoSpaceDN w:val="0"/>
        <w:adjustRightInd w:val="0"/>
        <w:ind w:firstLine="720"/>
      </w:pPr>
    </w:p>
    <w:p w:rsidR="00A24FF5" w:rsidRPr="00B64C76" w:rsidRDefault="00A24FF5" w:rsidP="00FC1CF1">
      <w:pPr>
        <w:autoSpaceDE w:val="0"/>
        <w:autoSpaceDN w:val="0"/>
        <w:adjustRightInd w:val="0"/>
        <w:ind w:firstLine="720"/>
      </w:pPr>
    </w:p>
    <w:p w:rsidR="00A24FF5" w:rsidRPr="00B64C76" w:rsidRDefault="00A24FF5" w:rsidP="000E1DA5"/>
    <w:p w:rsidR="00A24FF5" w:rsidRPr="00D819EA" w:rsidRDefault="00A24FF5" w:rsidP="000E1DA5"/>
    <w:p w:rsidR="00A24FF5" w:rsidRPr="00BE375B" w:rsidRDefault="00A24FF5" w:rsidP="00E90FB0">
      <w:pPr>
        <w:pStyle w:val="Nadpishlavnsti"/>
      </w:pPr>
      <w:bookmarkStart w:id="7" w:name="_Toc267549780"/>
      <w:bookmarkStart w:id="8" w:name="_Toc268781552"/>
      <w:bookmarkStart w:id="9" w:name="_Toc268781580"/>
      <w:bookmarkStart w:id="10" w:name="_Toc302128550"/>
      <w:bookmarkStart w:id="11" w:name="_Toc333680159"/>
      <w:bookmarkStart w:id="12" w:name="_Toc267549781"/>
      <w:bookmarkStart w:id="13" w:name="_Toc268781553"/>
      <w:bookmarkStart w:id="14" w:name="_Toc268781581"/>
      <w:bookmarkStart w:id="15" w:name="_Toc270672635"/>
      <w:bookmarkStart w:id="16" w:name="_Toc397357449"/>
      <w:r w:rsidRPr="0078640E">
        <w:lastRenderedPageBreak/>
        <w:t xml:space="preserve">A. </w:t>
      </w:r>
      <w:r w:rsidRPr="00BE375B">
        <w:t>Ma</w:t>
      </w:r>
      <w:r w:rsidR="00E85B23">
        <w:t>kroekonomický rámec na léta 2015</w:t>
      </w:r>
      <w:r w:rsidRPr="00BE375B">
        <w:t xml:space="preserve"> až 201</w:t>
      </w:r>
      <w:bookmarkEnd w:id="7"/>
      <w:bookmarkEnd w:id="8"/>
      <w:bookmarkEnd w:id="9"/>
      <w:bookmarkEnd w:id="10"/>
      <w:bookmarkEnd w:id="11"/>
      <w:r w:rsidR="00E85B23">
        <w:t>7</w:t>
      </w:r>
      <w:bookmarkEnd w:id="16"/>
    </w:p>
    <w:p w:rsidR="00A24FF5" w:rsidRPr="00D77888" w:rsidRDefault="00A24FF5" w:rsidP="0057161A">
      <w:pPr>
        <w:pStyle w:val="Nadpis1"/>
      </w:pPr>
      <w:bookmarkStart w:id="17" w:name="_Toc361667770"/>
      <w:bookmarkStart w:id="18" w:name="_Toc206999976"/>
      <w:bookmarkStart w:id="19" w:name="_Toc241917793"/>
      <w:bookmarkStart w:id="20" w:name="_Toc333680173"/>
      <w:bookmarkStart w:id="21" w:name="_Toc397357450"/>
      <w:bookmarkEnd w:id="12"/>
      <w:bookmarkEnd w:id="13"/>
      <w:bookmarkEnd w:id="14"/>
      <w:bookmarkEnd w:id="15"/>
      <w:r w:rsidRPr="00D77888">
        <w:t>Shrnutí makroekonomického rámce</w:t>
      </w:r>
      <w:bookmarkEnd w:id="17"/>
      <w:bookmarkEnd w:id="21"/>
    </w:p>
    <w:p w:rsidR="00E85B23" w:rsidRDefault="00E85B23" w:rsidP="0084476D">
      <w:pPr>
        <w:spacing w:after="0"/>
      </w:pPr>
      <w:r>
        <w:t>Makroekonomický rámec výhledu státního rozpočtu na léta 2016 a 2017 vychází z Makroekonomické predikce MF z července 2014</w:t>
      </w:r>
      <w:r w:rsidRPr="00353BA0">
        <w:t xml:space="preserve"> </w:t>
      </w:r>
      <w:r w:rsidR="00C400E6">
        <w:t>(zpracované na základě dat k </w:t>
      </w:r>
      <w:proofErr w:type="gramStart"/>
      <w:r w:rsidR="00C400E6">
        <w:t>4.</w:t>
      </w:r>
      <w:r>
        <w:t>7.2014</w:t>
      </w:r>
      <w:proofErr w:type="gramEnd"/>
      <w:r>
        <w:t>) a navazuje na makroekonomický rámec státního rozpočtu na rok 2015 (viz Část D. rozpočtové dokumentace).</w:t>
      </w:r>
    </w:p>
    <w:p w:rsidR="00E85B23" w:rsidRDefault="00E85B23" w:rsidP="0084476D">
      <w:pPr>
        <w:spacing w:after="0"/>
      </w:pPr>
      <w:r w:rsidRPr="002B4723">
        <w:t>Česká ekonomika se na počátku roku 2014 nacházela ve fázi oživení po již čtvrté recesi v historii tržní ekonomiky v ČR, která byla co do doby trvání (6 čtvrtletí) tou nejdelší.</w:t>
      </w:r>
      <w:r w:rsidRPr="009D56E0">
        <w:t xml:space="preserve"> </w:t>
      </w:r>
      <w:r>
        <w:t xml:space="preserve">Oživení nabralo na intenzitě v období na přelomu let 2013 a 2014, kdy byla vykázána mezičtvrtletní tempa růstu reálné hrubé přidané hodnoty přesahující 1 %. </w:t>
      </w:r>
      <w:r w:rsidRPr="009D56E0">
        <w:t>Makroekonomický rámec počítá s</w:t>
      </w:r>
      <w:r>
        <w:t> pokračováním ekonomického růstu</w:t>
      </w:r>
      <w:r w:rsidRPr="009D56E0">
        <w:t xml:space="preserve">, </w:t>
      </w:r>
      <w:r>
        <w:t xml:space="preserve">jeho </w:t>
      </w:r>
      <w:r w:rsidRPr="009D56E0">
        <w:t>projektovaná tempa by však měla silně zaostávat za</w:t>
      </w:r>
      <w:r w:rsidR="00993EC6">
        <w:t> </w:t>
      </w:r>
      <w:r w:rsidRPr="009D56E0">
        <w:t>úspěšným obdobím let 200</w:t>
      </w:r>
      <w:r>
        <w:t>3</w:t>
      </w:r>
      <w:r w:rsidR="00321AE6">
        <w:t xml:space="preserve"> - </w:t>
      </w:r>
      <w:r w:rsidRPr="009D56E0">
        <w:t xml:space="preserve">2008. </w:t>
      </w:r>
      <w:r>
        <w:t>Udržitelnost a intenzita růstu budou kriticky závislé jak na</w:t>
      </w:r>
      <w:r w:rsidR="00993EC6">
        <w:t> </w:t>
      </w:r>
      <w:r>
        <w:t>stabilitě vnějšího okolí české ekonomiky a jeho ekonomické dynamice, tak i na adekvátních hospodářských politikách respektujících průběh ekonomického cyklu. Makroekonomický rámec přitom předpokládá, že postupně dojde k uzavření záporné produkční mezery, přičemž v letech výhledu by ekonomika dokonce mohla operovat nad svým potenciálem.</w:t>
      </w:r>
    </w:p>
    <w:p w:rsidR="00E85B23" w:rsidRDefault="00E85B23" w:rsidP="0084476D">
      <w:pPr>
        <w:spacing w:after="0"/>
      </w:pPr>
      <w:r w:rsidRPr="009D56E0">
        <w:t xml:space="preserve">Ve vnějším prostředí, na jehož vývoji je česká ekonomika značně závislá, </w:t>
      </w:r>
      <w:r>
        <w:t xml:space="preserve">stále </w:t>
      </w:r>
      <w:r w:rsidRPr="009D56E0">
        <w:t>přetrváv</w:t>
      </w:r>
      <w:r>
        <w:t>ají</w:t>
      </w:r>
      <w:r w:rsidRPr="009D56E0">
        <w:t xml:space="preserve"> </w:t>
      </w:r>
      <w:r>
        <w:t>značné</w:t>
      </w:r>
      <w:r w:rsidRPr="009D56E0">
        <w:t xml:space="preserve"> nejistot</w:t>
      </w:r>
      <w:r>
        <w:t>y</w:t>
      </w:r>
      <w:r w:rsidRPr="009D56E0">
        <w:t xml:space="preserve">. </w:t>
      </w:r>
      <w:r>
        <w:t>S</w:t>
      </w:r>
      <w:r w:rsidRPr="009D56E0">
        <w:t>větová ekonomika pokračuje v mírném růstu</w:t>
      </w:r>
      <w:r>
        <w:t xml:space="preserve"> a v rozvinutých zemích dochází ke zklidnění situace po otřesech, k nimž došlo v posledních šesti letech</w:t>
      </w:r>
      <w:r w:rsidRPr="009D56E0">
        <w:t xml:space="preserve">. </w:t>
      </w:r>
      <w:r>
        <w:t>To se týká i eurozóny, kde však stále ještě přetrvávají nepříznivé fundamentální faktory, např. vysoké zadlužení vládního sektoru. Vedle toho vzrůstá riziko stupňování nepříznivých geopolitických událostí (nejnověji např. Ukrajina či Irák), které by mohly narušit průběh globální konjunktury či mít specificky negativní dopady na ekonomiky ČR a ostatních zemí EU</w:t>
      </w:r>
      <w:r>
        <w:rPr>
          <w:rStyle w:val="Znakapoznpodarou"/>
        </w:rPr>
        <w:footnoteReference w:id="1"/>
      </w:r>
      <w:r>
        <w:t>.</w:t>
      </w:r>
    </w:p>
    <w:p w:rsidR="00E85B23" w:rsidRDefault="00993EC6" w:rsidP="0084476D">
      <w:pPr>
        <w:spacing w:after="0"/>
      </w:pPr>
      <w:r>
        <w:t>Očekává s</w:t>
      </w:r>
      <w:r w:rsidR="00E85B23">
        <w:t>e, že ČNB bude používat směnný kurz jako další nástroj měnové politiky i</w:t>
      </w:r>
      <w:r>
        <w:t> v roce 2015.</w:t>
      </w:r>
      <w:r w:rsidR="00E85B23">
        <w:t xml:space="preserve"> </w:t>
      </w:r>
      <w:r>
        <w:t>O</w:t>
      </w:r>
      <w:r w:rsidR="00E85B23">
        <w:t xml:space="preserve">puštění tohoto režimu bude záviset na pominutí rizika soustavného </w:t>
      </w:r>
      <w:proofErr w:type="spellStart"/>
      <w:r w:rsidR="00E85B23">
        <w:t>podstřelování</w:t>
      </w:r>
      <w:proofErr w:type="spellEnd"/>
      <w:r w:rsidR="00E85B23">
        <w:t xml:space="preserve"> inflačního cíle ČNB. V celém horizontu makroekonomického rámce </w:t>
      </w:r>
      <w:r>
        <w:t>se předpokládá</w:t>
      </w:r>
      <w:r w:rsidR="00E85B23">
        <w:t xml:space="preserve"> umírněný</w:t>
      </w:r>
      <w:r w:rsidR="00E85B23" w:rsidRPr="00C844E8">
        <w:t xml:space="preserve"> </w:t>
      </w:r>
      <w:r w:rsidR="00E85B23">
        <w:lastRenderedPageBreak/>
        <w:t xml:space="preserve">růst spotřebitelských cen, přičemž </w:t>
      </w:r>
      <w:r w:rsidR="00A735AD">
        <w:t>zhruba</w:t>
      </w:r>
      <w:r w:rsidR="00E85B23">
        <w:t xml:space="preserve"> od poloviny roku 2015 by se meziroční inflace měla přiblížit </w:t>
      </w:r>
      <w:r w:rsidR="00E85B23" w:rsidRPr="009D56E0">
        <w:t>inflační</w:t>
      </w:r>
      <w:r w:rsidR="00E85B23">
        <w:t>mu</w:t>
      </w:r>
      <w:r w:rsidR="00E85B23" w:rsidRPr="009D56E0">
        <w:t xml:space="preserve"> cíl</w:t>
      </w:r>
      <w:r w:rsidR="00E85B23">
        <w:t>i</w:t>
      </w:r>
      <w:r w:rsidR="00E85B23" w:rsidRPr="009D56E0">
        <w:t xml:space="preserve"> ČNB</w:t>
      </w:r>
      <w:r w:rsidR="00E85B23">
        <w:t>.</w:t>
      </w:r>
      <w:r w:rsidR="00E85B23" w:rsidRPr="009D56E0">
        <w:t xml:space="preserve"> </w:t>
      </w:r>
    </w:p>
    <w:p w:rsidR="00E85B23" w:rsidRDefault="00E85B23" w:rsidP="0084476D">
      <w:pPr>
        <w:spacing w:after="0"/>
      </w:pPr>
      <w:r>
        <w:t>Stav t</w:t>
      </w:r>
      <w:r w:rsidRPr="009D56E0">
        <w:t>rh</w:t>
      </w:r>
      <w:r>
        <w:t>u</w:t>
      </w:r>
      <w:r w:rsidRPr="009D56E0">
        <w:t xml:space="preserve"> práce</w:t>
      </w:r>
      <w:r>
        <w:t xml:space="preserve">, který po nedávné krizi prokazuje překvapivou flexibilitu, </w:t>
      </w:r>
      <w:r w:rsidRPr="009D56E0">
        <w:t xml:space="preserve">by </w:t>
      </w:r>
      <w:r>
        <w:t xml:space="preserve">se </w:t>
      </w:r>
      <w:r w:rsidRPr="009D56E0">
        <w:t xml:space="preserve">měl </w:t>
      </w:r>
      <w:r>
        <w:t>nadále zlepšovat. Při mírném růstu zaměstnanosti a postupně se snižující</w:t>
      </w:r>
      <w:r w:rsidRPr="00120ED5">
        <w:t xml:space="preserve"> </w:t>
      </w:r>
      <w:r>
        <w:t xml:space="preserve">míře nezaměstnanosti by se měla dále zvyšovat míra ekonomické aktivity. </w:t>
      </w:r>
      <w:r w:rsidRPr="002B4723">
        <w:t>Ta bude podporována prodlužováním statutárního věku odchodu do starobního důchodu a demografickým vývojem.</w:t>
      </w:r>
    </w:p>
    <w:p w:rsidR="00E85B23" w:rsidRDefault="00E85B23" w:rsidP="0084476D">
      <w:pPr>
        <w:spacing w:after="0"/>
      </w:pPr>
      <w:r>
        <w:t>B</w:t>
      </w:r>
      <w:r w:rsidRPr="009D56E0">
        <w:t>ěžn</w:t>
      </w:r>
      <w:r>
        <w:t>ý</w:t>
      </w:r>
      <w:r w:rsidRPr="009D56E0">
        <w:t xml:space="preserve"> úč</w:t>
      </w:r>
      <w:r>
        <w:t>e</w:t>
      </w:r>
      <w:r w:rsidRPr="009D56E0">
        <w:t xml:space="preserve">t </w:t>
      </w:r>
      <w:r>
        <w:t>platební bilance by měl v roce 2014 dosáhnout prvního přebytku od roku 1993</w:t>
      </w:r>
      <w:r w:rsidRPr="009D56E0">
        <w:t>.</w:t>
      </w:r>
      <w:r>
        <w:t xml:space="preserve"> V horizontu výhledu by pak měl běžný účet zůstat víceméně vyrovnaný.</w:t>
      </w:r>
    </w:p>
    <w:p w:rsidR="00E85B23" w:rsidRPr="003C35FD" w:rsidRDefault="00E85B23" w:rsidP="0084476D">
      <w:pPr>
        <w:spacing w:after="0"/>
      </w:pPr>
      <w:r w:rsidRPr="003C35FD">
        <w:t xml:space="preserve">Rizika tohoto makroekonomického rámce </w:t>
      </w:r>
      <w:r w:rsidR="00993EC6">
        <w:t>se považují</w:t>
      </w:r>
      <w:r w:rsidRPr="003C35FD">
        <w:t xml:space="preserve"> za přibližně vyrovnaná</w:t>
      </w:r>
      <w:r>
        <w:t>,</w:t>
      </w:r>
      <w:r w:rsidRPr="0040658D">
        <w:t xml:space="preserve"> </w:t>
      </w:r>
      <w:r>
        <w:t>případná eskalace napětí v mezinárodních obchodních vztazích by je však vychýlila negativním směrem</w:t>
      </w:r>
      <w:r w:rsidRPr="003C35FD">
        <w:t>.</w:t>
      </w:r>
    </w:p>
    <w:p w:rsidR="00E85B23" w:rsidRDefault="00E85B23" w:rsidP="00FB6908">
      <w:pPr>
        <w:pStyle w:val="Titulek"/>
        <w:spacing w:before="240" w:after="0"/>
        <w:jc w:val="left"/>
      </w:pPr>
      <w:bookmarkStart w:id="22" w:name="_Ref238698767"/>
      <w:bookmarkStart w:id="23" w:name="_Ref238698802"/>
      <w:r>
        <w:t xml:space="preserve">Tabulka č. </w:t>
      </w:r>
      <w:fldSimple w:instr=" SEQ Tabulka_č._ \* ARABIC ">
        <w:r w:rsidR="003B4B7F">
          <w:rPr>
            <w:noProof/>
          </w:rPr>
          <w:t>1</w:t>
        </w:r>
      </w:fldSimple>
      <w:r>
        <w:rPr>
          <w:noProof/>
        </w:rPr>
        <w:t xml:space="preserve"> Hlavní makroekonomické indiátory</w:t>
      </w:r>
      <w:r w:rsidRPr="00D9259E">
        <w:rPr>
          <w:rStyle w:val="Znakapoznpodarou"/>
          <w:b w:val="0"/>
          <w:noProof/>
        </w:rPr>
        <w:footnoteReference w:id="2"/>
      </w:r>
    </w:p>
    <w:p w:rsidR="00E85B23" w:rsidRPr="009D56E0" w:rsidRDefault="00E85B23" w:rsidP="00D63E6A">
      <w:pPr>
        <w:pStyle w:val="Titulek"/>
        <w:spacing w:before="0" w:after="0"/>
        <w:jc w:val="left"/>
        <w:rPr>
          <w:b w:val="0"/>
          <w:i/>
          <w:iCs/>
        </w:rPr>
      </w:pPr>
      <w:bookmarkStart w:id="24" w:name="_Ref238698776"/>
      <w:bookmarkEnd w:id="22"/>
      <w:r w:rsidRPr="009D56E0">
        <w:rPr>
          <w:b w:val="0"/>
          <w:i/>
        </w:rPr>
        <w:t>(</w:t>
      </w:r>
      <w:r>
        <w:rPr>
          <w:b w:val="0"/>
          <w:i/>
        </w:rPr>
        <w:t>červenec</w:t>
      </w:r>
      <w:r w:rsidRPr="009D56E0">
        <w:rPr>
          <w:b w:val="0"/>
          <w:i/>
          <w:iCs/>
        </w:rPr>
        <w:t xml:space="preserve"> 201</w:t>
      </w:r>
      <w:r>
        <w:rPr>
          <w:b w:val="0"/>
          <w:i/>
          <w:iCs/>
        </w:rPr>
        <w:t>4</w:t>
      </w:r>
      <w:r w:rsidRPr="009D56E0">
        <w:rPr>
          <w:b w:val="0"/>
          <w:i/>
          <w:iCs/>
        </w:rPr>
        <w:t xml:space="preserve"> na základě dat k </w:t>
      </w:r>
      <w:r>
        <w:rPr>
          <w:b w:val="0"/>
          <w:i/>
          <w:iCs/>
        </w:rPr>
        <w:t>4</w:t>
      </w:r>
      <w:r w:rsidRPr="009D56E0">
        <w:rPr>
          <w:b w:val="0"/>
          <w:i/>
          <w:iCs/>
        </w:rPr>
        <w:t xml:space="preserve">. </w:t>
      </w:r>
      <w:r>
        <w:rPr>
          <w:b w:val="0"/>
          <w:i/>
          <w:iCs/>
        </w:rPr>
        <w:t>7</w:t>
      </w:r>
      <w:r w:rsidRPr="009D56E0">
        <w:rPr>
          <w:b w:val="0"/>
          <w:i/>
          <w:iCs/>
        </w:rPr>
        <w:t>. 201</w:t>
      </w:r>
      <w:r>
        <w:rPr>
          <w:b w:val="0"/>
          <w:i/>
          <w:iCs/>
        </w:rPr>
        <w:t>4</w:t>
      </w:r>
      <w:r w:rsidRPr="009D56E0">
        <w:rPr>
          <w:b w:val="0"/>
          <w:i/>
          <w:iCs/>
        </w:rPr>
        <w:t>)</w:t>
      </w:r>
      <w:bookmarkEnd w:id="23"/>
      <w:bookmarkEnd w:id="24"/>
    </w:p>
    <w:p w:rsidR="00E85B23" w:rsidRPr="009D56E0" w:rsidRDefault="008E78AA" w:rsidP="00D63E6A">
      <w:pPr>
        <w:keepNext/>
        <w:spacing w:line="240" w:lineRule="auto"/>
        <w:ind w:right="-108" w:firstLine="0"/>
        <w:jc w:val="left"/>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75pt;height:256.5pt">
            <v:imagedata r:id="rId12" o:title=""/>
          </v:shape>
        </w:pict>
      </w:r>
    </w:p>
    <w:p w:rsidR="00E85B23" w:rsidRPr="009D56E0" w:rsidRDefault="00E85B23" w:rsidP="00E85B23">
      <w:pPr>
        <w:spacing w:before="0" w:after="600" w:line="240" w:lineRule="auto"/>
        <w:ind w:right="-108" w:firstLine="0"/>
        <w:rPr>
          <w:i/>
          <w:iCs/>
          <w:sz w:val="20"/>
          <w:szCs w:val="20"/>
        </w:rPr>
      </w:pPr>
      <w:r w:rsidRPr="009D56E0">
        <w:rPr>
          <w:i/>
          <w:iCs/>
          <w:sz w:val="20"/>
          <w:szCs w:val="20"/>
        </w:rPr>
        <w:t xml:space="preserve">Pramen: ČSÚ, ČNB, </w:t>
      </w:r>
      <w:proofErr w:type="spellStart"/>
      <w:r w:rsidRPr="009D56E0">
        <w:rPr>
          <w:i/>
          <w:iCs/>
          <w:sz w:val="20"/>
          <w:szCs w:val="20"/>
        </w:rPr>
        <w:t>Eurostat</w:t>
      </w:r>
      <w:proofErr w:type="spellEnd"/>
      <w:r w:rsidRPr="009D56E0">
        <w:rPr>
          <w:i/>
          <w:iCs/>
          <w:sz w:val="20"/>
          <w:szCs w:val="20"/>
        </w:rPr>
        <w:t>, MMF, propočty MF ČR</w:t>
      </w:r>
    </w:p>
    <w:p w:rsidR="00A24FF5" w:rsidRPr="00D77888" w:rsidRDefault="00A24FF5" w:rsidP="00B65077">
      <w:pPr>
        <w:pStyle w:val="Nadpis1"/>
        <w:spacing w:before="600"/>
      </w:pPr>
      <w:bookmarkStart w:id="25" w:name="_Toc302128552"/>
      <w:bookmarkStart w:id="26" w:name="_Toc333680162"/>
      <w:bookmarkStart w:id="27" w:name="_Toc361667771"/>
      <w:bookmarkStart w:id="28" w:name="_Toc397357451"/>
      <w:r w:rsidRPr="00D77888">
        <w:lastRenderedPageBreak/>
        <w:t>Předpoklady budoucího vývoje</w:t>
      </w:r>
      <w:bookmarkEnd w:id="25"/>
      <w:bookmarkEnd w:id="26"/>
      <w:bookmarkEnd w:id="27"/>
      <w:bookmarkEnd w:id="28"/>
    </w:p>
    <w:p w:rsidR="00A24FF5" w:rsidRPr="00D77888" w:rsidRDefault="00A24FF5" w:rsidP="00B65077">
      <w:pPr>
        <w:pStyle w:val="Nadpis2"/>
      </w:pPr>
      <w:bookmarkStart w:id="29" w:name="_Toc302128553"/>
      <w:bookmarkStart w:id="30" w:name="_Toc333680163"/>
      <w:bookmarkStart w:id="31" w:name="_Toc361667772"/>
      <w:bookmarkStart w:id="32" w:name="_Toc397357452"/>
      <w:r w:rsidRPr="00D77888">
        <w:t>Vnější prostředí</w:t>
      </w:r>
      <w:bookmarkEnd w:id="29"/>
      <w:bookmarkEnd w:id="30"/>
      <w:bookmarkEnd w:id="31"/>
      <w:bookmarkEnd w:id="32"/>
    </w:p>
    <w:p w:rsidR="00A24FF5" w:rsidRPr="00D77888" w:rsidRDefault="00A24FF5" w:rsidP="00B65077">
      <w:pPr>
        <w:pStyle w:val="Nadpis3"/>
      </w:pPr>
      <w:bookmarkStart w:id="33" w:name="_Toc361667773"/>
      <w:bookmarkStart w:id="34" w:name="_Toc397357453"/>
      <w:r w:rsidRPr="00D77888">
        <w:t>Ekonomický výkon</w:t>
      </w:r>
      <w:bookmarkEnd w:id="33"/>
      <w:bookmarkEnd w:id="34"/>
    </w:p>
    <w:p w:rsidR="006C773D" w:rsidRDefault="006C773D" w:rsidP="0084476D">
      <w:pPr>
        <w:spacing w:after="0"/>
      </w:pPr>
      <w:r w:rsidRPr="009D56E0">
        <w:t xml:space="preserve">Růst světové ekonomiky </w:t>
      </w:r>
      <w:r>
        <w:t xml:space="preserve">se pomalu stabilizuje. V horizontu makroekonomického rámce </w:t>
      </w:r>
      <w:r w:rsidR="00730BD2">
        <w:t xml:space="preserve">se </w:t>
      </w:r>
      <w:r>
        <w:t xml:space="preserve">počítá s postupným zlepšováním kondice globální ekonomiky, avšak </w:t>
      </w:r>
      <w:r w:rsidRPr="009D56E0">
        <w:t>výhled je</w:t>
      </w:r>
      <w:r>
        <w:t xml:space="preserve"> stále</w:t>
      </w:r>
      <w:r w:rsidRPr="009D56E0">
        <w:t xml:space="preserve"> zatížen řadou nejistot. </w:t>
      </w:r>
      <w:r>
        <w:t>Hlavními tahouny</w:t>
      </w:r>
      <w:r w:rsidRPr="004C4DDB">
        <w:t xml:space="preserve"> </w:t>
      </w:r>
      <w:r>
        <w:t xml:space="preserve">světového ekonomického </w:t>
      </w:r>
      <w:r w:rsidRPr="004C4DDB">
        <w:t>růst</w:t>
      </w:r>
      <w:r>
        <w:t>u by přitom měly být rozvinuté ekonomiky. Přestože růst v rozvíjejících se ekonomikách kvůli strukturálním problémům mírně zpomaluje, stále si drží vysokou dynamiku.</w:t>
      </w:r>
    </w:p>
    <w:p w:rsidR="006C773D" w:rsidRDefault="006C773D" w:rsidP="0084476D">
      <w:pPr>
        <w:spacing w:after="0"/>
      </w:pPr>
      <w:r>
        <w:t>E</w:t>
      </w:r>
      <w:r w:rsidRPr="009D56E0">
        <w:t xml:space="preserve">konomika </w:t>
      </w:r>
      <w:r w:rsidRPr="00FB6908">
        <w:t>USA</w:t>
      </w:r>
      <w:r>
        <w:t xml:space="preserve"> </w:t>
      </w:r>
      <w:r w:rsidRPr="009D56E0">
        <w:t xml:space="preserve">pokračuje v růstu, který by měl v příštích letech dále posílit především v souvislosti s </w:t>
      </w:r>
      <w:r>
        <w:t>očekávaným</w:t>
      </w:r>
      <w:r w:rsidRPr="009D56E0">
        <w:t xml:space="preserve"> </w:t>
      </w:r>
      <w:r>
        <w:t xml:space="preserve">zlepšováním </w:t>
      </w:r>
      <w:r w:rsidRPr="009D56E0">
        <w:t>situac</w:t>
      </w:r>
      <w:r>
        <w:t>e</w:t>
      </w:r>
      <w:r w:rsidRPr="009D56E0">
        <w:t xml:space="preserve"> na </w:t>
      </w:r>
      <w:r>
        <w:t>trhu práce. Ekonomika, kterou by měla i </w:t>
      </w:r>
      <w:r w:rsidRPr="009D56E0">
        <w:t xml:space="preserve">nadále táhnout </w:t>
      </w:r>
      <w:r>
        <w:t>spotřeba domácností a investice, je</w:t>
      </w:r>
      <w:r w:rsidRPr="004C4DDB">
        <w:t xml:space="preserve"> </w:t>
      </w:r>
      <w:r>
        <w:t xml:space="preserve">stále </w:t>
      </w:r>
      <w:r w:rsidRPr="004C4DDB">
        <w:t>podpor</w:t>
      </w:r>
      <w:r>
        <w:t>ována</w:t>
      </w:r>
      <w:r w:rsidRPr="004C4DDB">
        <w:t xml:space="preserve"> </w:t>
      </w:r>
      <w:proofErr w:type="spellStart"/>
      <w:r w:rsidRPr="004C4DDB">
        <w:t>akomodativní</w:t>
      </w:r>
      <w:proofErr w:type="spellEnd"/>
      <w:r w:rsidRPr="004C4DDB">
        <w:t xml:space="preserve"> měnov</w:t>
      </w:r>
      <w:r>
        <w:t>ou</w:t>
      </w:r>
      <w:r w:rsidRPr="004C4DDB">
        <w:t xml:space="preserve"> politik</w:t>
      </w:r>
      <w:r>
        <w:t xml:space="preserve">ou </w:t>
      </w:r>
      <w:proofErr w:type="spellStart"/>
      <w:r>
        <w:t>Fedu</w:t>
      </w:r>
      <w:proofErr w:type="spellEnd"/>
      <w:r>
        <w:t>. Nicméně se očekává postupné ukončování podpůrných opatření, neboť výhled je pro americkou ekonomiku příznivý. Rizika</w:t>
      </w:r>
      <w:r w:rsidRPr="004C4DDB">
        <w:t xml:space="preserve"> spojen</w:t>
      </w:r>
      <w:r>
        <w:t>á</w:t>
      </w:r>
      <w:r w:rsidRPr="004C4DDB">
        <w:t xml:space="preserve"> s</w:t>
      </w:r>
      <w:r>
        <w:t> </w:t>
      </w:r>
      <w:r w:rsidRPr="004C4DDB">
        <w:t xml:space="preserve">krátkodobou nejistotou </w:t>
      </w:r>
      <w:r>
        <w:t>v oblasti fiskální politiky sice ustoupila do pozadí, ve</w:t>
      </w:r>
      <w:r w:rsidRPr="004C4DDB">
        <w:t xml:space="preserve"> střednědob</w:t>
      </w:r>
      <w:r>
        <w:t>é</w:t>
      </w:r>
      <w:r w:rsidRPr="004C4DDB">
        <w:t xml:space="preserve">m </w:t>
      </w:r>
      <w:r>
        <w:t>horizontu však bude</w:t>
      </w:r>
      <w:r w:rsidRPr="004C4DDB">
        <w:t xml:space="preserve"> fiskální konsolidace </w:t>
      </w:r>
      <w:r>
        <w:t>nezbytná</w:t>
      </w:r>
      <w:r w:rsidRPr="004C4DDB">
        <w:t>.</w:t>
      </w:r>
    </w:p>
    <w:p w:rsidR="006C773D" w:rsidRDefault="006C773D" w:rsidP="0084476D">
      <w:pPr>
        <w:spacing w:after="0"/>
      </w:pPr>
      <w:r>
        <w:t>Recesi v</w:t>
      </w:r>
      <w:r>
        <w:rPr>
          <w:b/>
        </w:rPr>
        <w:t> </w:t>
      </w:r>
      <w:r w:rsidRPr="00FB6908">
        <w:t>eurozóně</w:t>
      </w:r>
      <w:r>
        <w:rPr>
          <w:b/>
        </w:rPr>
        <w:t xml:space="preserve"> </w:t>
      </w:r>
      <w:r>
        <w:t>vystřídalo pozvolné oživování hospodářské aktivity,</w:t>
      </w:r>
      <w:r w:rsidRPr="009D56E0">
        <w:t xml:space="preserve"> </w:t>
      </w:r>
      <w:r>
        <w:t>které je ale v řadě</w:t>
      </w:r>
      <w:r w:rsidRPr="004C4DDB">
        <w:t xml:space="preserve"> případ</w:t>
      </w:r>
      <w:r>
        <w:t>ů</w:t>
      </w:r>
      <w:r w:rsidRPr="004C4DDB">
        <w:t xml:space="preserve"> </w:t>
      </w:r>
      <w:r>
        <w:t>brzděno</w:t>
      </w:r>
      <w:r w:rsidRPr="004C4DDB">
        <w:t xml:space="preserve"> strukturální</w:t>
      </w:r>
      <w:r>
        <w:t>mi</w:t>
      </w:r>
      <w:r w:rsidRPr="004C4DDB">
        <w:t xml:space="preserve"> problémy a nízk</w:t>
      </w:r>
      <w:r>
        <w:t>ou</w:t>
      </w:r>
      <w:r w:rsidRPr="004C4DDB">
        <w:t xml:space="preserve"> konkurenceschopnost</w:t>
      </w:r>
      <w:r>
        <w:t>í. Vývoj v jednotlivých zemích eurozóny zůstává rozdílný, v horizontu výhledu by se však tempa růstu měla sbližovat</w:t>
      </w:r>
      <w:r w:rsidRPr="009D56E0">
        <w:t>.</w:t>
      </w:r>
      <w:r w:rsidRPr="009D56E0">
        <w:rPr>
          <w:b/>
        </w:rPr>
        <w:t xml:space="preserve"> </w:t>
      </w:r>
      <w:r>
        <w:t xml:space="preserve">Značné rozdíly lze pozorovat i na trhu práce, byť se již míra nezaměstnanosti v eurozóně jako celku stabilizovala. Ekonomiku eurozóny nadále podporuje vysoce </w:t>
      </w:r>
      <w:proofErr w:type="spellStart"/>
      <w:r>
        <w:t>akomodativní</w:t>
      </w:r>
      <w:proofErr w:type="spellEnd"/>
      <w:r>
        <w:t xml:space="preserve"> monetární politika ECB, která byla v reakci na přetrvávající nízkou inflaci dále uvolněna.</w:t>
      </w:r>
    </w:p>
    <w:p w:rsidR="006C773D" w:rsidRDefault="006C773D" w:rsidP="0084476D">
      <w:pPr>
        <w:spacing w:after="0"/>
      </w:pPr>
      <w:r>
        <w:t>Růst HDP v eurozóně</w:t>
      </w:r>
      <w:r w:rsidRPr="009D56E0">
        <w:t xml:space="preserve"> je nadále tažen zejména </w:t>
      </w:r>
      <w:r w:rsidRPr="00FB6908">
        <w:t>Německem</w:t>
      </w:r>
      <w:r>
        <w:t>. E</w:t>
      </w:r>
      <w:r w:rsidRPr="004C4DDB">
        <w:t xml:space="preserve">konomiku </w:t>
      </w:r>
      <w:r>
        <w:t xml:space="preserve">kromě nízkých sazeb ECB příznivě ovlivňuje také </w:t>
      </w:r>
      <w:r w:rsidRPr="004C4DDB">
        <w:t>ve</w:t>
      </w:r>
      <w:r>
        <w:t>lmi dobrá situace na trhu práce, jež posiluje spotřebu domácností</w:t>
      </w:r>
      <w:r w:rsidRPr="009D56E0">
        <w:t xml:space="preserve">. </w:t>
      </w:r>
      <w:r w:rsidRPr="004C4DDB">
        <w:t>Očekávan</w:t>
      </w:r>
      <w:r>
        <w:t>ý růst aktivity</w:t>
      </w:r>
      <w:r w:rsidRPr="004C4DDB">
        <w:t xml:space="preserve"> </w:t>
      </w:r>
      <w:r>
        <w:t xml:space="preserve">v </w:t>
      </w:r>
      <w:r w:rsidRPr="004C4DDB">
        <w:t>rozvinutých ekonomik</w:t>
      </w:r>
      <w:r>
        <w:t>ách by spolu</w:t>
      </w:r>
      <w:r w:rsidRPr="004C4DDB">
        <w:t xml:space="preserve"> </w:t>
      </w:r>
      <w:r>
        <w:t>s </w:t>
      </w:r>
      <w:r w:rsidRPr="004C4DDB">
        <w:t>vysok</w:t>
      </w:r>
      <w:r>
        <w:t>ou</w:t>
      </w:r>
      <w:r w:rsidRPr="004C4DDB">
        <w:t xml:space="preserve"> konkurenceschopnost</w:t>
      </w:r>
      <w:r>
        <w:t>í</w:t>
      </w:r>
      <w:r w:rsidRPr="004C4DDB">
        <w:t xml:space="preserve"> německých firem měl </w:t>
      </w:r>
      <w:r w:rsidRPr="009D56E0">
        <w:t xml:space="preserve">příznivě působit na </w:t>
      </w:r>
      <w:r>
        <w:t xml:space="preserve">německý </w:t>
      </w:r>
      <w:r w:rsidRPr="009D56E0">
        <w:t>export</w:t>
      </w:r>
      <w:r>
        <w:t>,</w:t>
      </w:r>
      <w:r w:rsidRPr="009D56E0">
        <w:t xml:space="preserve"> a přinést tak nové příležitosti i pro české vývozce.</w:t>
      </w:r>
      <w:r w:rsidRPr="0002307B">
        <w:t xml:space="preserve"> </w:t>
      </w:r>
    </w:p>
    <w:p w:rsidR="006C773D" w:rsidRDefault="006C773D" w:rsidP="0084476D">
      <w:pPr>
        <w:spacing w:after="0"/>
      </w:pPr>
      <w:r w:rsidRPr="009D56E0">
        <w:t xml:space="preserve">Méně příznivá situace panuje v ostatních velkých ekonomikách eurozóny. </w:t>
      </w:r>
      <w:r>
        <w:t xml:space="preserve">Ve </w:t>
      </w:r>
      <w:r w:rsidRPr="00FB6908">
        <w:t>Francii</w:t>
      </w:r>
      <w:r w:rsidRPr="009D56E0">
        <w:t xml:space="preserve"> </w:t>
      </w:r>
      <w:r>
        <w:t>stále nepřichází výraznější oživení, v </w:t>
      </w:r>
      <w:r w:rsidRPr="00FB6908">
        <w:t>Itálii</w:t>
      </w:r>
      <w:r>
        <w:t xml:space="preserve"> se po vleklé recesi ekonomika teprve stabilizuje </w:t>
      </w:r>
      <w:r>
        <w:lastRenderedPageBreak/>
        <w:t>a </w:t>
      </w:r>
      <w:r w:rsidRPr="00FB6908">
        <w:t>Španělsko</w:t>
      </w:r>
      <w:r>
        <w:t xml:space="preserve"> navzdory pozvolnému oživování ekonomiky stále tíží extrémně vysoká míra nezaměstnanosti. Všechny uvedené ekonomiky navíc trápí rozličné strukturální problémy.</w:t>
      </w:r>
    </w:p>
    <w:p w:rsidR="006C773D" w:rsidRDefault="006C773D" w:rsidP="00FB6908">
      <w:pPr>
        <w:pStyle w:val="Titulek"/>
        <w:spacing w:before="240"/>
        <w:jc w:val="left"/>
        <w:rPr>
          <w:noProof/>
        </w:rPr>
      </w:pPr>
      <w:r>
        <w:t xml:space="preserve">Graf č. </w:t>
      </w:r>
      <w:fldSimple w:instr=" SEQ Graf_č._ \* ARABIC ">
        <w:r w:rsidR="003B4B7F">
          <w:rPr>
            <w:noProof/>
          </w:rPr>
          <w:t>1</w:t>
        </w:r>
      </w:fldSimple>
      <w:r>
        <w:rPr>
          <w:noProof/>
        </w:rPr>
        <w:t xml:space="preserve"> </w:t>
      </w:r>
      <w:r w:rsidRPr="003B5BB1">
        <w:rPr>
          <w:noProof/>
        </w:rPr>
        <w:t>Reálný hrubý domácí produkt EA12 (růst proti předchozímu roku v %)</w:t>
      </w:r>
    </w:p>
    <w:p w:rsidR="006C773D" w:rsidRPr="009D56E0" w:rsidRDefault="006C773D" w:rsidP="00FB6908">
      <w:pPr>
        <w:spacing w:after="0" w:line="240" w:lineRule="auto"/>
        <w:ind w:firstLine="0"/>
        <w:jc w:val="left"/>
        <w:rPr>
          <w:color w:val="000000"/>
        </w:rPr>
      </w:pPr>
      <w:r>
        <w:rPr>
          <w:color w:val="000000"/>
        </w:rPr>
        <w:object w:dxaOrig="7351" w:dyaOrig="4207">
          <v:shape id="_x0000_i1026" type="#_x0000_t75" style="width:367.5pt;height:210pt" o:ole="">
            <v:imagedata r:id="rId13" o:title=""/>
          </v:shape>
          <o:OLEObject Type="Embed" ProgID="Word.Document.12" ShapeID="_x0000_i1026" DrawAspect="Content" ObjectID="_1471101692" r:id="rId14">
            <o:FieldCodes>\s</o:FieldCodes>
          </o:OLEObject>
        </w:object>
      </w:r>
    </w:p>
    <w:p w:rsidR="006C773D" w:rsidRPr="009D56E0" w:rsidRDefault="006C773D" w:rsidP="006C773D">
      <w:pPr>
        <w:spacing w:before="0" w:after="480" w:line="240" w:lineRule="auto"/>
        <w:ind w:firstLine="0"/>
        <w:jc w:val="left"/>
        <w:rPr>
          <w:i/>
          <w:iCs/>
          <w:color w:val="000000"/>
          <w:sz w:val="20"/>
          <w:szCs w:val="20"/>
        </w:rPr>
      </w:pPr>
      <w:r w:rsidRPr="009D56E0">
        <w:rPr>
          <w:i/>
          <w:iCs/>
          <w:color w:val="000000"/>
          <w:sz w:val="20"/>
          <w:szCs w:val="20"/>
        </w:rPr>
        <w:t xml:space="preserve">Pramen: </w:t>
      </w:r>
      <w:proofErr w:type="spellStart"/>
      <w:r w:rsidRPr="009D56E0">
        <w:rPr>
          <w:i/>
          <w:iCs/>
          <w:color w:val="000000"/>
          <w:sz w:val="20"/>
          <w:szCs w:val="20"/>
        </w:rPr>
        <w:t>Eurostat</w:t>
      </w:r>
      <w:proofErr w:type="spellEnd"/>
      <w:r w:rsidRPr="009D56E0">
        <w:rPr>
          <w:i/>
          <w:iCs/>
          <w:color w:val="000000"/>
          <w:sz w:val="20"/>
          <w:szCs w:val="20"/>
        </w:rPr>
        <w:t>, propočty MF ČR</w:t>
      </w:r>
    </w:p>
    <w:p w:rsidR="00A24FF5" w:rsidRPr="009D56E0" w:rsidRDefault="006C773D" w:rsidP="0084476D">
      <w:pPr>
        <w:spacing w:after="0"/>
      </w:pPr>
      <w:r w:rsidRPr="009D56E0">
        <w:t xml:space="preserve">Makroekonomický rámec </w:t>
      </w:r>
      <w:r>
        <w:t>počítá s pozvolným zrychlováním</w:t>
      </w:r>
      <w:r w:rsidRPr="009D56E0">
        <w:t xml:space="preserve"> </w:t>
      </w:r>
      <w:r>
        <w:t xml:space="preserve">růstu reálného HDP </w:t>
      </w:r>
      <w:proofErr w:type="gramStart"/>
      <w:r>
        <w:t>eurozóny z 1,1</w:t>
      </w:r>
      <w:proofErr w:type="gramEnd"/>
      <w:r>
        <w:t> % v roce 2014 až na 2,1 % v roce 2017</w:t>
      </w:r>
      <w:r w:rsidR="00730BD2">
        <w:t>. Předpokládá se</w:t>
      </w:r>
      <w:r w:rsidRPr="009D56E0">
        <w:t>, že v</w:t>
      </w:r>
      <w:r>
        <w:t> </w:t>
      </w:r>
      <w:r w:rsidRPr="009D56E0">
        <w:t>důsledku</w:t>
      </w:r>
      <w:r>
        <w:t xml:space="preserve"> stabilizace trhu práce a</w:t>
      </w:r>
      <w:r w:rsidRPr="009D56E0">
        <w:t xml:space="preserve"> zlepšení sentimentu spotřebitelů dojde k posílení soukromé spotřeby</w:t>
      </w:r>
      <w:r>
        <w:t xml:space="preserve"> a pozitivně by se měly vyvíjet i investice. Předpokládá</w:t>
      </w:r>
      <w:r w:rsidR="00730BD2">
        <w:t xml:space="preserve"> se také pokračující stabilizace</w:t>
      </w:r>
      <w:r w:rsidRPr="009D56E0">
        <w:t xml:space="preserve"> v bankovním sektoru.</w:t>
      </w:r>
      <w:r w:rsidRPr="005E4AF9">
        <w:t xml:space="preserve"> </w:t>
      </w:r>
      <w:r>
        <w:t>Ve výhledu lze spatřovat rizika v podobě přetrvávající strukturálních problémů, zejména na trhu práce, dlouhodobě problematického stavu veřejných financí a eventuálního stupňování napětí v obchodních vztazích s Ruskou federací.</w:t>
      </w:r>
      <w:r w:rsidR="00A24FF5" w:rsidRPr="009D56E0">
        <w:t xml:space="preserve"> </w:t>
      </w:r>
    </w:p>
    <w:p w:rsidR="00A24FF5" w:rsidRPr="00D77888" w:rsidRDefault="00A24FF5" w:rsidP="00B65077">
      <w:pPr>
        <w:pStyle w:val="Nadpis3"/>
      </w:pPr>
      <w:bookmarkStart w:id="35" w:name="_Toc361667774"/>
      <w:bookmarkStart w:id="36" w:name="_Toc397357454"/>
      <w:r w:rsidRPr="00D77888">
        <w:t>Rop</w:t>
      </w:r>
      <w:bookmarkEnd w:id="35"/>
      <w:r w:rsidR="006C773D" w:rsidRPr="00D77888">
        <w:t>né suroviny</w:t>
      </w:r>
      <w:bookmarkEnd w:id="36"/>
    </w:p>
    <w:p w:rsidR="006C773D" w:rsidRDefault="006C773D" w:rsidP="0084476D">
      <w:pPr>
        <w:spacing w:after="0"/>
      </w:pPr>
      <w:r>
        <w:t>Navzdory geopolitickému napětí v některých regionech (Irák, Ukrajina), které v</w:t>
      </w:r>
      <w:r w:rsidR="00730BD2">
        <w:t>yvolalo tlaky na růst ceny ropy, se předpokládá</w:t>
      </w:r>
      <w:r>
        <w:t>, že vlivem působení fundamentálních faktorů bude cena ropy v horizontu makroekonomického rámce pozvolna klesat. Díky</w:t>
      </w:r>
      <w:r w:rsidRPr="004C4DDB">
        <w:t xml:space="preserve"> rozšiřování produkčn</w:t>
      </w:r>
      <w:r>
        <w:t>ích kapacit, rostoucí substituci</w:t>
      </w:r>
      <w:r w:rsidRPr="004C4DDB">
        <w:t xml:space="preserve"> importů v USA a Kanadě domácí p</w:t>
      </w:r>
      <w:r>
        <w:t>rodukcí a nízké míře inflace by tak cena ropy Brent v průměru za celý rok</w:t>
      </w:r>
      <w:r w:rsidR="00FE1080">
        <w:t xml:space="preserve"> 2014</w:t>
      </w:r>
      <w:r>
        <w:t xml:space="preserve"> mohla dosáhnout 108 </w:t>
      </w:r>
      <w:r w:rsidRPr="004C4DDB">
        <w:t>USD</w:t>
      </w:r>
      <w:r>
        <w:t>/barel. Rovněž i </w:t>
      </w:r>
      <w:r w:rsidRPr="004C4DDB">
        <w:t>v</w:t>
      </w:r>
      <w:r>
        <w:t> dalších letech</w:t>
      </w:r>
      <w:r w:rsidRPr="004C4DDB">
        <w:t xml:space="preserve"> by růst nabídky měl pře</w:t>
      </w:r>
      <w:r>
        <w:t xml:space="preserve">výšit růst globální poptávky, a </w:t>
      </w:r>
      <w:r w:rsidRPr="004C4DDB">
        <w:t xml:space="preserve">cena </w:t>
      </w:r>
      <w:r>
        <w:t>by tak měla dále klesat až</w:t>
      </w:r>
      <w:r w:rsidR="00730BD2">
        <w:t> </w:t>
      </w:r>
      <w:r>
        <w:t>na</w:t>
      </w:r>
      <w:r w:rsidR="00730BD2">
        <w:t> </w:t>
      </w:r>
      <w:r>
        <w:t>96</w:t>
      </w:r>
      <w:r w:rsidRPr="004C4DDB">
        <w:t> USD/barel</w:t>
      </w:r>
      <w:r>
        <w:t xml:space="preserve"> v roce 2017</w:t>
      </w:r>
      <w:r w:rsidRPr="004C4DDB">
        <w:t>.</w:t>
      </w:r>
      <w:r>
        <w:t xml:space="preserve"> Cena zemního plynu by měla v souvislosti z rostoucí produkcí ve</w:t>
      </w:r>
      <w:r w:rsidR="00730BD2">
        <w:t> </w:t>
      </w:r>
      <w:r>
        <w:t xml:space="preserve">výhledu následovat obdobnou klesající trajektorii, v případě plynu je však nutno počítat </w:t>
      </w:r>
      <w:r>
        <w:lastRenderedPageBreak/>
        <w:t>s výraznými sezonními výkyvy cen. Rizika růstu cen ropy a plynu spojená s eskalací geopolitických konfliktů zůstávají</w:t>
      </w:r>
      <w:r w:rsidR="00E47F7A">
        <w:t xml:space="preserve"> však</w:t>
      </w:r>
      <w:r>
        <w:t xml:space="preserve"> vážná. </w:t>
      </w:r>
    </w:p>
    <w:p w:rsidR="006C773D" w:rsidRDefault="006C773D" w:rsidP="0084476D">
      <w:pPr>
        <w:spacing w:after="0"/>
      </w:pPr>
      <w:r>
        <w:t>Soudě dle situace na derivátových trzích by ceny komodit obecně měly ve výhledu stagnovat, popř. být na sestupné tendenci. Vývoj cen bude vedle sezonních vlivů odvislý od</w:t>
      </w:r>
      <w:r w:rsidR="00730BD2">
        <w:t> </w:t>
      </w:r>
      <w:r>
        <w:t>tempa a charakteru oživení světové ekonomiky.</w:t>
      </w:r>
    </w:p>
    <w:p w:rsidR="006C773D" w:rsidRPr="009D56E0" w:rsidRDefault="006C773D" w:rsidP="00FB6908">
      <w:pPr>
        <w:pStyle w:val="Titulek"/>
        <w:spacing w:before="240"/>
        <w:jc w:val="left"/>
        <w:rPr>
          <w:color w:val="000000"/>
        </w:rPr>
      </w:pPr>
      <w:r>
        <w:t xml:space="preserve">Graf </w:t>
      </w:r>
      <w:proofErr w:type="gramStart"/>
      <w:r>
        <w:t xml:space="preserve">č. </w:t>
      </w:r>
      <w:fldSimple w:instr=" SEQ Graf_č._ \* ARABIC ">
        <w:r w:rsidR="003B4B7F">
          <w:rPr>
            <w:noProof/>
          </w:rPr>
          <w:t>2</w:t>
        </w:r>
      </w:fldSimple>
      <w:r>
        <w:rPr>
          <w:noProof/>
        </w:rPr>
        <w:t xml:space="preserve"> </w:t>
      </w:r>
      <w:r w:rsidRPr="0081405D">
        <w:rPr>
          <w:noProof/>
        </w:rPr>
        <w:t>Cena</w:t>
      </w:r>
      <w:proofErr w:type="gramEnd"/>
      <w:r w:rsidRPr="0081405D">
        <w:rPr>
          <w:noProof/>
        </w:rPr>
        <w:t xml:space="preserve"> ropy Brent (USD/barel)</w:t>
      </w:r>
    </w:p>
    <w:p w:rsidR="006C773D" w:rsidRPr="009D56E0" w:rsidRDefault="006C773D" w:rsidP="00FB6908">
      <w:pPr>
        <w:spacing w:after="0" w:line="240" w:lineRule="auto"/>
        <w:ind w:firstLine="0"/>
        <w:jc w:val="left"/>
      </w:pPr>
      <w:r>
        <w:object w:dxaOrig="7352" w:dyaOrig="4207">
          <v:shape id="_x0000_i1027" type="#_x0000_t75" style="width:367.5pt;height:210pt" o:ole="">
            <v:imagedata r:id="rId15" o:title=""/>
          </v:shape>
          <o:OLEObject Type="Embed" ProgID="Word.Document.12" ShapeID="_x0000_i1027" DrawAspect="Content" ObjectID="_1471101693" r:id="rId16">
            <o:FieldCodes>\s</o:FieldCodes>
          </o:OLEObject>
        </w:object>
      </w:r>
    </w:p>
    <w:p w:rsidR="006C773D" w:rsidRPr="00D77888" w:rsidRDefault="006C773D" w:rsidP="006C773D">
      <w:pPr>
        <w:spacing w:before="0" w:after="480" w:line="240" w:lineRule="auto"/>
        <w:ind w:firstLine="0"/>
      </w:pPr>
      <w:r w:rsidRPr="009D56E0">
        <w:rPr>
          <w:i/>
          <w:iCs/>
          <w:color w:val="000000"/>
          <w:sz w:val="20"/>
          <w:szCs w:val="20"/>
        </w:rPr>
        <w:t>Pramen: MMF</w:t>
      </w:r>
      <w:r w:rsidRPr="00D77888">
        <w:rPr>
          <w:i/>
          <w:iCs/>
          <w:color w:val="000000"/>
          <w:sz w:val="20"/>
          <w:szCs w:val="20"/>
        </w:rPr>
        <w:t>, propočty MF ČR</w:t>
      </w:r>
    </w:p>
    <w:p w:rsidR="00A24FF5" w:rsidRPr="00D77888" w:rsidRDefault="006C773D" w:rsidP="00B65077">
      <w:pPr>
        <w:pStyle w:val="Nadpis3"/>
      </w:pPr>
      <w:bookmarkStart w:id="37" w:name="_Toc397357455"/>
      <w:r w:rsidRPr="00D77888">
        <w:t>Situace v problémových ekonomikách eurozóny</w:t>
      </w:r>
      <w:bookmarkEnd w:id="37"/>
    </w:p>
    <w:p w:rsidR="006C773D" w:rsidRDefault="006C773D" w:rsidP="0084476D">
      <w:pPr>
        <w:spacing w:after="0"/>
      </w:pPr>
      <w:bookmarkStart w:id="38" w:name="_Toc302128555"/>
      <w:bookmarkStart w:id="39" w:name="_Toc333680164"/>
      <w:bookmarkStart w:id="40" w:name="_Toc361667776"/>
      <w:r>
        <w:t>Ekonomiky problémových zemí eurozóny (Irsko, Portugalsko, Španělsko, Itálie, Řecko) pozvolna oživují nebo se přinejmenším stabilizují. Navzdory jistému zlepšení však míra nezaměstnanosti v regionu zůstává velmi vysoká a do budoucna bude představovat významný nejen ekonomický problém. Tržní sentiment vůči periferii eurozóny se od poloviny roku 2012 zlepšoval</w:t>
      </w:r>
      <w:r w:rsidRPr="009D56E0">
        <w:t xml:space="preserve">. </w:t>
      </w:r>
      <w:r>
        <w:t xml:space="preserve">Výrazný pokles výnosů </w:t>
      </w:r>
      <w:r w:rsidRPr="00A04D29">
        <w:t>státních dluhopisů, jež se v případě Irska, Itálie, Portugalska a</w:t>
      </w:r>
      <w:r>
        <w:t> </w:t>
      </w:r>
      <w:r w:rsidRPr="00A04D29">
        <w:t xml:space="preserve">Španělska </w:t>
      </w:r>
      <w:r>
        <w:t xml:space="preserve">koncem června </w:t>
      </w:r>
      <w:r w:rsidRPr="00A04D29">
        <w:t>nacháze</w:t>
      </w:r>
      <w:r>
        <w:t>ly</w:t>
      </w:r>
      <w:r w:rsidRPr="00A04D29">
        <w:t xml:space="preserve"> na dlouhodobých minimech či v jejich blízkosti, však zjevně neodráží ekonomické fundamenty. Za růstem cen dluhopisů </w:t>
      </w:r>
      <w:r>
        <w:t>pozorovaným v první polovině letošního roku pravděpodobně</w:t>
      </w:r>
      <w:r w:rsidRPr="00A04D29">
        <w:t xml:space="preserve"> stojí </w:t>
      </w:r>
      <w:r>
        <w:t xml:space="preserve">pokles rizikové přirážky daný přesunem kreditního rizika v rámci záchranných programů a snížení averze k riziku v podmínkách bezprecedentně nízkých reálných úrokových sazeb. </w:t>
      </w:r>
    </w:p>
    <w:p w:rsidR="006C773D" w:rsidRDefault="006C773D" w:rsidP="0084476D">
      <w:pPr>
        <w:spacing w:after="0"/>
      </w:pPr>
      <w:r>
        <w:t xml:space="preserve">Pozitivní sentiment finančních trhů patrně podpořilo také ukončení záchranných programů pro Irsko a Portugalsko, stejně jako úspěšné završení programu </w:t>
      </w:r>
      <w:r w:rsidRPr="00481D78">
        <w:t xml:space="preserve">finanční pomoci </w:t>
      </w:r>
      <w:r w:rsidRPr="00481D78">
        <w:lastRenderedPageBreak/>
        <w:t>na</w:t>
      </w:r>
      <w:r w:rsidR="00730BD2">
        <w:t> </w:t>
      </w:r>
      <w:r w:rsidRPr="00481D78">
        <w:t>rekapitalizaci španělských finančních institucí</w:t>
      </w:r>
      <w:r>
        <w:t>. Svou roli však mohl sehrát také pokrok, jehož bylo dosaženo při vytváření tzv. bankovní unie. ECB v závěru letošního roku převezme plnou zodpovědnost za dohled nad finančními institucemi v rámci jednotného mechanismu dohledu a proces schvalování legislativy související s jednotným mechanismem pro řešení problémů bank byl téměř završen.</w:t>
      </w:r>
    </w:p>
    <w:p w:rsidR="006C773D" w:rsidRPr="009D56E0" w:rsidRDefault="006C773D" w:rsidP="00FB6908">
      <w:pPr>
        <w:pStyle w:val="Titulek"/>
        <w:spacing w:before="240"/>
        <w:jc w:val="left"/>
        <w:rPr>
          <w:b w:val="0"/>
          <w:i/>
        </w:rPr>
      </w:pPr>
      <w:r>
        <w:t xml:space="preserve">Graf č. </w:t>
      </w:r>
      <w:fldSimple w:instr=" SEQ Graf_č._ \* ARABIC ">
        <w:r w:rsidR="003B4B7F">
          <w:rPr>
            <w:noProof/>
          </w:rPr>
          <w:t>3</w:t>
        </w:r>
      </w:fldSimple>
      <w:r>
        <w:rPr>
          <w:noProof/>
        </w:rPr>
        <w:t xml:space="preserve"> </w:t>
      </w:r>
      <w:r w:rsidRPr="006D6D60">
        <w:rPr>
          <w:noProof/>
        </w:rPr>
        <w:t>Výnosy 10R státních dluhopisů (v % p. a., průměr měsíce)</w:t>
      </w:r>
    </w:p>
    <w:p w:rsidR="006C773D" w:rsidRPr="00D94915" w:rsidRDefault="008E78AA" w:rsidP="00FB6908">
      <w:pPr>
        <w:spacing w:before="0" w:after="0"/>
        <w:ind w:firstLine="0"/>
        <w:jc w:val="left"/>
        <w:rPr>
          <w:i/>
          <w:iCs/>
          <w:color w:val="FF0000"/>
          <w:sz w:val="20"/>
          <w:szCs w:val="20"/>
        </w:rPr>
      </w:pPr>
      <w:r>
        <w:rPr>
          <w:noProof/>
        </w:rPr>
        <w:pict>
          <v:shape id="Graf 1" o:spid="_x0000_i1028" type="#_x0000_t75" style="width:368.25pt;height:198.75pt;visibility:visible">
            <v:imagedata r:id="rId17" o:title=""/>
            <o:lock v:ext="edit" aspectratio="f"/>
          </v:shape>
        </w:pict>
      </w:r>
    </w:p>
    <w:p w:rsidR="006C773D" w:rsidRPr="009D56E0" w:rsidRDefault="006C773D" w:rsidP="006C773D">
      <w:pPr>
        <w:spacing w:before="0" w:after="240"/>
        <w:ind w:firstLine="0"/>
        <w:jc w:val="left"/>
        <w:rPr>
          <w:i/>
          <w:iCs/>
          <w:sz w:val="20"/>
          <w:szCs w:val="20"/>
        </w:rPr>
      </w:pPr>
      <w:r w:rsidRPr="009D56E0">
        <w:rPr>
          <w:i/>
          <w:iCs/>
          <w:sz w:val="20"/>
          <w:szCs w:val="20"/>
        </w:rPr>
        <w:t xml:space="preserve">Pramen: </w:t>
      </w:r>
      <w:proofErr w:type="spellStart"/>
      <w:r w:rsidRPr="009D56E0">
        <w:rPr>
          <w:i/>
          <w:iCs/>
          <w:sz w:val="20"/>
          <w:szCs w:val="20"/>
        </w:rPr>
        <w:t>E</w:t>
      </w:r>
      <w:r>
        <w:rPr>
          <w:i/>
          <w:iCs/>
          <w:sz w:val="20"/>
          <w:szCs w:val="20"/>
        </w:rPr>
        <w:t>urostat</w:t>
      </w:r>
      <w:proofErr w:type="spellEnd"/>
    </w:p>
    <w:p w:rsidR="006C773D" w:rsidRDefault="006C773D" w:rsidP="0084476D">
      <w:pPr>
        <w:spacing w:after="0"/>
      </w:pPr>
      <w:r>
        <w:t>Významné riziko pro další vývoj představuje kvalita bilancí bank. Komplexní hodnocení bank, které v rámci příprav na převzetí zodpovědnosti za dohled v rámci jednotného mechanismu dohledu provádí ECB, by přitom mohlo poukázat na takové nedostatky kapitálu, které by se příslušným bankám ve stanovené lhůtě nemuselo podařit pokrýt. V této souvislosti je pak potřeba zmínit dosažení předběžné dohody zástupců členských států eurozóny o nástroji ESM pro přímou rekapitalizaci bank.</w:t>
      </w:r>
    </w:p>
    <w:p w:rsidR="006C773D" w:rsidRDefault="006C773D" w:rsidP="0084476D">
      <w:pPr>
        <w:spacing w:after="0"/>
      </w:pPr>
      <w:r>
        <w:t xml:space="preserve">I přes jisté zlepšení situace je proto předčasné považovat krizi v eurozóně za ukončenou. </w:t>
      </w:r>
      <w:r w:rsidRPr="00676C80">
        <w:t xml:space="preserve">Pokud by převládl klamný dojem, že se již nejzásadnější problémy eurozóny podařilo vyřešit, mohlo by dojít ke zpomalení prosazování potřebných </w:t>
      </w:r>
      <w:r>
        <w:t>strukturálních</w:t>
      </w:r>
      <w:r w:rsidRPr="00676C80">
        <w:t xml:space="preserve"> reforem, které jsou nutnou podmínkou trvalého zlepšení situace v eurozóně.</w:t>
      </w:r>
    </w:p>
    <w:p w:rsidR="006C773D" w:rsidRDefault="006C773D" w:rsidP="0084476D">
      <w:pPr>
        <w:spacing w:after="0"/>
      </w:pPr>
      <w:r>
        <w:t>Budoucí vývoj ekonomik na periferii eurozóny zůstává zatížen riziky směrem dolů. Případná eskalace krize v eurozóně by pro ČR, coby malou otevřenou ekonomiku se silnými obchodními vazbami na eurozónu, znamenala snížení zahraniční poptávky po našich vývozech. Zprostředkovaně by pak mohla být zasažena také investiční aktivita a spotřeba domácností.</w:t>
      </w:r>
    </w:p>
    <w:p w:rsidR="00A24FF5" w:rsidRPr="00D77888" w:rsidRDefault="00A24FF5" w:rsidP="00B65077">
      <w:pPr>
        <w:pStyle w:val="Nadpis2"/>
      </w:pPr>
      <w:bookmarkStart w:id="41" w:name="_Toc397357456"/>
      <w:r w:rsidRPr="00D77888">
        <w:lastRenderedPageBreak/>
        <w:t>Fiskální politika</w:t>
      </w:r>
      <w:bookmarkEnd w:id="38"/>
      <w:bookmarkEnd w:id="39"/>
      <w:bookmarkEnd w:id="40"/>
      <w:bookmarkEnd w:id="41"/>
    </w:p>
    <w:p w:rsidR="00E86F9D" w:rsidRDefault="00E86F9D" w:rsidP="0084476D">
      <w:pPr>
        <w:spacing w:after="0"/>
      </w:pPr>
      <w:r w:rsidRPr="00C03F31">
        <w:t>Defi</w:t>
      </w:r>
      <w:r>
        <w:t>cit vládního sektoru za rok 2013</w:t>
      </w:r>
      <w:r w:rsidRPr="00C03F31">
        <w:t xml:space="preserve"> dosáhl podle současného odhadu ČSÚ </w:t>
      </w:r>
      <w:r>
        <w:t>1,5</w:t>
      </w:r>
      <w:r w:rsidRPr="00C03F31">
        <w:t> % HDP.</w:t>
      </w:r>
      <w:r>
        <w:t xml:space="preserve"> Oproti roku 2012 se i po očištění o jednorázové operace (finanční kompenzace majetkového vyrovnání s církvemi a neuznané refundace prostředků EU) jednalo o zlepšení ve výši 1 % HDP. Strukturální saldo (saldo očištěné o vliv hospodářského cyklu a jednorázových a přechodných operací) v roce 2013 dosáhlo -0,3 % HDP. Fiskální úsilí (meziroční změna strukturálního salda), které v roce 2013 činilo 1,4 p. b., tak již třetím rokem v řadě přesáhlo 1 p. b. Na příjmové straně za tímto vývojem stojí především zvýšení sazeb DPH či úpravy v dani z příjmu fyzických osob (solidární přirážka k daňové sazbě ve výši 7 %, zrušení základní slevy na pracující důchodce atd.). Na výdajové straně došlo k výrazným úsporám především v oblasti vládních investic</w:t>
      </w:r>
      <w:r w:rsidR="00F44888">
        <w:t>,</w:t>
      </w:r>
      <w:r>
        <w:t xml:space="preserve"> resp. tvorby hrubého fixního kapitálu, a to zejména u místních rozpočtů. Vzhledem k tomu, že se jednalo o investice převážně z domácích zdrojů, vliv tohoto poklesu se v deficitu vládního sektoru projevil plně.</w:t>
      </w:r>
    </w:p>
    <w:p w:rsidR="00E86F9D" w:rsidRDefault="00E86F9D" w:rsidP="0084476D">
      <w:pPr>
        <w:spacing w:after="0"/>
      </w:pPr>
      <w:r>
        <w:t xml:space="preserve">Aktualizovaný odhad výsledku hospodaření vládního sektoru pro rok 2014 počítá s deficitem ve výši 1,5 % HDP. Cyklická složka deficitu by z této sumy měla tvořit cca 0,4 % HDP. Po započtení jednorázových opatření v rozsahu 0,1 % HDP očekáváme strukturální saldo v roce 2014 na úrovni -1,2 % HDP. Dluh by měl meziročně poklesnout o 2 p. b., a to ze 46 % HDP na 44 % HDP, především v důsledku stagnace výše zadlužení státního rozpočtu. </w:t>
      </w:r>
    </w:p>
    <w:p w:rsidR="00E86F9D" w:rsidRDefault="00E86F9D" w:rsidP="0084476D">
      <w:pPr>
        <w:spacing w:after="0"/>
      </w:pPr>
      <w:r>
        <w:t xml:space="preserve">Deficit vládního sektoru by </w:t>
      </w:r>
      <w:proofErr w:type="gramStart"/>
      <w:r>
        <w:t>měl</w:t>
      </w:r>
      <w:proofErr w:type="gramEnd"/>
      <w:r>
        <w:t xml:space="preserve"> v roce 2015 vzrůst na 2,3 % HDP V souladu se svým programovým prohlášením vláda </w:t>
      </w:r>
      <w:proofErr w:type="gramStart"/>
      <w:r>
        <w:t>zavádí</w:t>
      </w:r>
      <w:proofErr w:type="gramEnd"/>
      <w:r>
        <w:t xml:space="preserve"> od roku 2015 druhou sníženou sazbu DPH, valorizační vzorec starobních důchodů podle součtu indexu spotřebitelských cen a jedné třetiny růstu reálných mezd a zvyšuje prostředky na investice. Dluh by se měl v roce 2015 stabilizovat na</w:t>
      </w:r>
      <w:r w:rsidR="00730BD2">
        <w:t> </w:t>
      </w:r>
      <w:r>
        <w:t>úrovni roku 2014.</w:t>
      </w:r>
    </w:p>
    <w:p w:rsidR="00E86F9D" w:rsidRDefault="00E86F9D" w:rsidP="0084476D">
      <w:pPr>
        <w:spacing w:after="0"/>
      </w:pPr>
      <w:r>
        <w:t>V následujících letech by měl deficit mít sestupnou tendenci. V roce 2016 by měl dosáhnout 1,5 % HDP a v roce 2017 potom 0,7 % HDP. Pro tyto roky rámec předpokládá roční fiskální úsilí v rozsahu 0,5 p. b., jak vyžaduje Pakt stability a růstu. V důsledku toho by se v roce 2017 mělo strukturální saldo vládního sektoru blížit svému střednědobému cíli, který je stanoven ve výši</w:t>
      </w:r>
      <w:r w:rsidR="00C11E7B">
        <w:t xml:space="preserve"> -</w:t>
      </w:r>
      <w:r>
        <w:t>1</w:t>
      </w:r>
      <w:r w:rsidR="00C11E7B">
        <w:t> </w:t>
      </w:r>
      <w:r>
        <w:t>% HDP. Tento vývoj by měl být podpořen zejména nabytím účinnosti opatření na</w:t>
      </w:r>
      <w:r w:rsidR="00730BD2">
        <w:t> </w:t>
      </w:r>
      <w:r>
        <w:t>zefektivnění daňové správy a zlepšení výběru daní, což je jednou z priorit vlády.</w:t>
      </w:r>
    </w:p>
    <w:p w:rsidR="00E86F9D" w:rsidRDefault="00E86F9D" w:rsidP="00FB6908">
      <w:pPr>
        <w:pStyle w:val="Titulek"/>
        <w:spacing w:before="240"/>
        <w:jc w:val="left"/>
        <w:rPr>
          <w:b w:val="0"/>
          <w:i/>
          <w:color w:val="000000"/>
        </w:rPr>
      </w:pPr>
      <w:r>
        <w:lastRenderedPageBreak/>
        <w:t xml:space="preserve">Graf </w:t>
      </w:r>
      <w:proofErr w:type="gramStart"/>
      <w:r>
        <w:t xml:space="preserve">č. </w:t>
      </w:r>
      <w:fldSimple w:instr=" SEQ Graf_č._ \* ARABIC ">
        <w:r w:rsidR="003B4B7F">
          <w:rPr>
            <w:noProof/>
          </w:rPr>
          <w:t>4</w:t>
        </w:r>
      </w:fldSimple>
      <w:r>
        <w:rPr>
          <w:noProof/>
        </w:rPr>
        <w:t xml:space="preserve"> </w:t>
      </w:r>
      <w:r w:rsidRPr="0012205D">
        <w:rPr>
          <w:noProof/>
        </w:rPr>
        <w:t>Saldo</w:t>
      </w:r>
      <w:proofErr w:type="gramEnd"/>
      <w:r w:rsidRPr="0012205D">
        <w:rPr>
          <w:noProof/>
        </w:rPr>
        <w:t xml:space="preserve"> vládního sektoru (v % HDP)</w:t>
      </w:r>
    </w:p>
    <w:p w:rsidR="00E86F9D" w:rsidRDefault="00E86F9D" w:rsidP="00D63E6A">
      <w:pPr>
        <w:spacing w:after="0" w:line="240" w:lineRule="auto"/>
        <w:ind w:firstLine="0"/>
        <w:jc w:val="left"/>
      </w:pPr>
      <w:r>
        <w:rPr>
          <w:noProof/>
        </w:rPr>
        <w:object w:dxaOrig="9528" w:dyaOrig="5077">
          <v:shape id="_x0000_i1029" type="#_x0000_t75" style="width:369pt;height:196.5pt" o:ole="">
            <v:imagedata r:id="rId18" o:title=""/>
          </v:shape>
          <o:OLEObject Type="Embed" ProgID="Excel.Sheet.12" ShapeID="_x0000_i1029" DrawAspect="Content" ObjectID="_1471101694" r:id="rId19"/>
        </w:object>
      </w:r>
    </w:p>
    <w:p w:rsidR="00E86F9D" w:rsidRDefault="00E86F9D" w:rsidP="00E86F9D">
      <w:pPr>
        <w:ind w:firstLine="0"/>
        <w:rPr>
          <w:i/>
          <w:iCs/>
          <w:color w:val="000000"/>
          <w:sz w:val="20"/>
          <w:szCs w:val="20"/>
        </w:rPr>
      </w:pPr>
      <w:r w:rsidRPr="00E13A21">
        <w:rPr>
          <w:i/>
          <w:iCs/>
          <w:color w:val="000000"/>
          <w:sz w:val="20"/>
          <w:szCs w:val="20"/>
        </w:rPr>
        <w:t xml:space="preserve">Pramen: </w:t>
      </w:r>
      <w:r w:rsidR="00FB6908">
        <w:rPr>
          <w:i/>
          <w:iCs/>
          <w:color w:val="000000"/>
          <w:sz w:val="20"/>
          <w:szCs w:val="20"/>
        </w:rPr>
        <w:t>propočty MF ČR</w:t>
      </w:r>
    </w:p>
    <w:p w:rsidR="00A24FF5" w:rsidRPr="00D77888" w:rsidRDefault="00A24FF5" w:rsidP="00B65077">
      <w:pPr>
        <w:pStyle w:val="Nadpis2"/>
      </w:pPr>
      <w:bookmarkStart w:id="42" w:name="_Toc302128556"/>
      <w:bookmarkStart w:id="43" w:name="_Toc333680165"/>
      <w:bookmarkStart w:id="44" w:name="_Toc361667777"/>
      <w:bookmarkStart w:id="45" w:name="_Toc397357457"/>
      <w:r w:rsidRPr="00D77888">
        <w:t xml:space="preserve">Měnová </w:t>
      </w:r>
      <w:bookmarkEnd w:id="42"/>
      <w:bookmarkEnd w:id="43"/>
      <w:bookmarkEnd w:id="44"/>
      <w:r w:rsidR="00E86F9D" w:rsidRPr="00D77888">
        <w:t>politika a měnový kurz</w:t>
      </w:r>
      <w:bookmarkEnd w:id="45"/>
    </w:p>
    <w:p w:rsidR="00E86F9D" w:rsidRDefault="00E86F9D" w:rsidP="0084476D">
      <w:pPr>
        <w:spacing w:after="0"/>
      </w:pPr>
      <w:r w:rsidRPr="00F218C1">
        <w:t xml:space="preserve">I poté, co v listopadu 2012 ČNB snížila limitní úrokovou sazbu pro 2T (dvoutýdenní) </w:t>
      </w:r>
      <w:proofErr w:type="spellStart"/>
      <w:r w:rsidRPr="00F218C1">
        <w:t>repo</w:t>
      </w:r>
      <w:proofErr w:type="spellEnd"/>
      <w:r w:rsidRPr="00F218C1">
        <w:t xml:space="preserve"> operace na </w:t>
      </w:r>
      <w:r>
        <w:t xml:space="preserve">technické minimum </w:t>
      </w:r>
      <w:r w:rsidRPr="00F218C1">
        <w:t>0,05</w:t>
      </w:r>
      <w:r>
        <w:t> </w:t>
      </w:r>
      <w:r w:rsidRPr="00F218C1">
        <w:t>%, docházelo v souvislosti s vývojem domácí ekonomi</w:t>
      </w:r>
      <w:r>
        <w:t>ky a dalšími faktory (např. cenami</w:t>
      </w:r>
      <w:r w:rsidRPr="00F218C1">
        <w:t xml:space="preserve"> komodit) k pokračování dezinflace. </w:t>
      </w:r>
      <w:r>
        <w:t>S cílem zamezit</w:t>
      </w:r>
      <w:r w:rsidRPr="00F218C1">
        <w:t xml:space="preserve"> dlouhodobému </w:t>
      </w:r>
      <w:proofErr w:type="spellStart"/>
      <w:r w:rsidRPr="00F218C1">
        <w:t>podstřelování</w:t>
      </w:r>
      <w:proofErr w:type="spellEnd"/>
      <w:r w:rsidRPr="00F218C1">
        <w:t xml:space="preserve"> inflačního cíle </w:t>
      </w:r>
      <w:r>
        <w:t xml:space="preserve">(meziroční růst indexu spotřebitelských cen ve výši 2 % s tolerančním pásmem </w:t>
      </w:r>
      <w:r w:rsidRPr="009D56E0">
        <w:t>± 1 p. b.</w:t>
      </w:r>
      <w:r>
        <w:t xml:space="preserve">) </w:t>
      </w:r>
      <w:r w:rsidRPr="00F218C1">
        <w:t>a urychl</w:t>
      </w:r>
      <w:r>
        <w:t>it</w:t>
      </w:r>
      <w:r w:rsidRPr="00F218C1">
        <w:t xml:space="preserve"> návrat do situace, kdy opět bude moci využívat svůj standardní nástroj, rozhodla Bankovní rada ČNB dne 7.</w:t>
      </w:r>
      <w:r>
        <w:t> listopadu 2013 o </w:t>
      </w:r>
      <w:r w:rsidRPr="00F218C1">
        <w:t>používání měnového kurzu jako dalšího nástroje monetární politiky. K samotným intervencím na</w:t>
      </w:r>
      <w:r w:rsidR="00F44888">
        <w:t> </w:t>
      </w:r>
      <w:r w:rsidRPr="00F218C1">
        <w:t>devizovém trhu (v objemu přibližně 7,5</w:t>
      </w:r>
      <w:r>
        <w:t> </w:t>
      </w:r>
      <w:r w:rsidRPr="00F218C1">
        <w:t>mld. eur) přitom došlo pouze v</w:t>
      </w:r>
      <w:r>
        <w:t> </w:t>
      </w:r>
      <w:r w:rsidRPr="00F218C1">
        <w:t>listopadu</w:t>
      </w:r>
      <w:r>
        <w:t xml:space="preserve"> 2013</w:t>
      </w:r>
      <w:r w:rsidRPr="00F218C1">
        <w:t>, od té doby stačí na udržení kurzu nad hladinou 27</w:t>
      </w:r>
      <w:r>
        <w:t> </w:t>
      </w:r>
      <w:r w:rsidRPr="00F218C1">
        <w:t xml:space="preserve">korun za euro </w:t>
      </w:r>
      <w:proofErr w:type="gramStart"/>
      <w:r w:rsidRPr="00F218C1">
        <w:t>pouhá</w:t>
      </w:r>
      <w:proofErr w:type="gramEnd"/>
      <w:r>
        <w:t xml:space="preserve"> </w:t>
      </w:r>
      <w:r w:rsidRPr="00F218C1">
        <w:t>existence kurzového závazku a</w:t>
      </w:r>
      <w:r>
        <w:t> </w:t>
      </w:r>
      <w:r w:rsidRPr="00F218C1">
        <w:t>deklarované odhodlání ČNB tento závazek dodržet.</w:t>
      </w:r>
    </w:p>
    <w:p w:rsidR="00E86F9D" w:rsidRDefault="00E86F9D" w:rsidP="0084476D">
      <w:pPr>
        <w:spacing w:after="0"/>
      </w:pPr>
      <w:r w:rsidRPr="00FB6908">
        <w:t>Nominální měnový kurz</w:t>
      </w:r>
      <w:r>
        <w:t xml:space="preserve"> koruny vůči euru v reakci na oznámení ČNB a provedené intervence na devizovém trhu skokově oslabil. V závěru roku 2013 byl kurz v porovnání s úrovní před intervencemi téměř o 7 % slabší. V roce 2014 se zatím kurz pohybuje bez výrazných výkyvů okolo hladiny 27,50 CZK/EUR.</w:t>
      </w:r>
    </w:p>
    <w:p w:rsidR="00E86F9D" w:rsidRDefault="00E86F9D" w:rsidP="00E86F9D">
      <w:pPr>
        <w:spacing w:after="0"/>
        <w:ind w:firstLine="0"/>
      </w:pPr>
      <w:r>
        <w:t xml:space="preserve">Na základě dostupných informací byl pro predikci zvolen technický předpoklad stability kurzu na hladině 27,45 CZK/EUR. Po obnovení standardního instrumentária měnové politiky by měla </w:t>
      </w:r>
      <w:r>
        <w:lastRenderedPageBreak/>
        <w:t>koruna proti euru znovu začít velmi mírně posilovat. Na konci horizontu výhledu v roce 2017 by směnný kurz neměl posílit nad hladinu 26 CZK/EUR.</w:t>
      </w:r>
    </w:p>
    <w:p w:rsidR="00E86F9D" w:rsidRPr="009D56E0" w:rsidRDefault="00E86F9D" w:rsidP="00FB6908">
      <w:pPr>
        <w:pStyle w:val="Titulek"/>
        <w:spacing w:before="240"/>
        <w:jc w:val="left"/>
      </w:pPr>
      <w:r>
        <w:t xml:space="preserve">Graf č. </w:t>
      </w:r>
      <w:fldSimple w:instr=" SEQ Graf_č._ \* ARABIC ">
        <w:r w:rsidR="003B4B7F">
          <w:rPr>
            <w:noProof/>
          </w:rPr>
          <w:t>5</w:t>
        </w:r>
      </w:fldSimple>
      <w:r>
        <w:rPr>
          <w:noProof/>
        </w:rPr>
        <w:t xml:space="preserve"> </w:t>
      </w:r>
      <w:r w:rsidRPr="00F32EAE">
        <w:rPr>
          <w:noProof/>
        </w:rPr>
        <w:t>Měnový kurz CZK/EUR</w:t>
      </w:r>
    </w:p>
    <w:p w:rsidR="00E86F9D" w:rsidRPr="009D56E0" w:rsidRDefault="00E86F9D" w:rsidP="00FB6908">
      <w:pPr>
        <w:spacing w:after="0" w:line="240" w:lineRule="auto"/>
        <w:ind w:firstLine="0"/>
        <w:jc w:val="left"/>
        <w:rPr>
          <w:szCs w:val="20"/>
        </w:rPr>
      </w:pPr>
      <w:r>
        <w:rPr>
          <w:szCs w:val="20"/>
        </w:rPr>
        <w:object w:dxaOrig="7351" w:dyaOrig="4207">
          <v:shape id="_x0000_i1030" type="#_x0000_t75" style="width:367.5pt;height:210pt" o:ole="">
            <v:imagedata r:id="rId20" o:title=""/>
          </v:shape>
          <o:OLEObject Type="Embed" ProgID="Word.Document.12" ShapeID="_x0000_i1030" DrawAspect="Content" ObjectID="_1471101695" r:id="rId21">
            <o:FieldCodes>\s</o:FieldCodes>
          </o:OLEObject>
        </w:object>
      </w:r>
    </w:p>
    <w:p w:rsidR="00E86F9D" w:rsidRPr="009D56E0" w:rsidRDefault="00E86F9D" w:rsidP="00E86F9D">
      <w:pPr>
        <w:tabs>
          <w:tab w:val="left" w:pos="8647"/>
        </w:tabs>
        <w:spacing w:before="0" w:after="480" w:line="240" w:lineRule="auto"/>
        <w:ind w:right="28" w:firstLine="0"/>
        <w:jc w:val="left"/>
        <w:rPr>
          <w:i/>
          <w:iCs/>
          <w:sz w:val="20"/>
          <w:szCs w:val="20"/>
        </w:rPr>
      </w:pPr>
      <w:r w:rsidRPr="009D56E0">
        <w:rPr>
          <w:i/>
          <w:iCs/>
          <w:sz w:val="20"/>
          <w:szCs w:val="20"/>
        </w:rPr>
        <w:t>Pramen: ČNB, propočty MF ČR</w:t>
      </w:r>
    </w:p>
    <w:p w:rsidR="00E86F9D" w:rsidRDefault="00E86F9D" w:rsidP="00AA026D">
      <w:pPr>
        <w:spacing w:after="0"/>
      </w:pPr>
      <w:r>
        <w:t xml:space="preserve">V dokumentu </w:t>
      </w:r>
      <w:r w:rsidRPr="00FD03C8">
        <w:t>Vyhodnocení plnění maastrichtských konvergenčních kritérií a stupně ekonomické sladěnosti ČR s</w:t>
      </w:r>
      <w:r>
        <w:t> </w:t>
      </w:r>
      <w:r w:rsidRPr="00FD03C8">
        <w:t>eurozónou</w:t>
      </w:r>
      <w:r>
        <w:t xml:space="preserve">, schváleném vládou v prosinci 2013, MF ČR a ČNB vládě doporučily prozatím nestanovovat cílové datum </w:t>
      </w:r>
      <w:r w:rsidRPr="00FB6908">
        <w:t>vstupu do eurozóny</w:t>
      </w:r>
      <w:r>
        <w:t>. Z toho zároveň vyplývá doporučení, aby ČR v průběhu roku 2014 neusilovala o vstup do mechanismu směnných kurzů ERM II.</w:t>
      </w:r>
    </w:p>
    <w:p w:rsidR="00A24FF5" w:rsidRPr="00D77888" w:rsidRDefault="00A24FF5" w:rsidP="00B65077">
      <w:pPr>
        <w:pStyle w:val="Nadpis2"/>
      </w:pPr>
      <w:bookmarkStart w:id="46" w:name="_Toc302128557"/>
      <w:bookmarkStart w:id="47" w:name="_Toc333680166"/>
      <w:bookmarkStart w:id="48" w:name="_Toc361667778"/>
      <w:bookmarkStart w:id="49" w:name="_Toc397357458"/>
      <w:r w:rsidRPr="00D77888">
        <w:t>Strukturální politiky</w:t>
      </w:r>
      <w:bookmarkEnd w:id="46"/>
      <w:bookmarkEnd w:id="47"/>
      <w:bookmarkEnd w:id="48"/>
      <w:bookmarkEnd w:id="49"/>
    </w:p>
    <w:p w:rsidR="00E86F9D" w:rsidRDefault="00AA026D" w:rsidP="00E86F9D">
      <w:pPr>
        <w:tabs>
          <w:tab w:val="num" w:pos="720"/>
        </w:tabs>
        <w:spacing w:after="0"/>
        <w:ind w:firstLine="0"/>
      </w:pPr>
      <w:r>
        <w:tab/>
      </w:r>
      <w:r w:rsidR="00E86F9D">
        <w:t xml:space="preserve">Dne 12. února 2014 schválila vláda své </w:t>
      </w:r>
      <w:r w:rsidR="00E86F9D" w:rsidRPr="00FB6908">
        <w:t>programové prohlášení</w:t>
      </w:r>
      <w:r w:rsidR="00E86F9D">
        <w:t>, v němž si stanovila 10 prioritních oblastí:</w:t>
      </w:r>
    </w:p>
    <w:p w:rsidR="00E86F9D" w:rsidRDefault="00E86F9D" w:rsidP="00D9259E">
      <w:pPr>
        <w:numPr>
          <w:ilvl w:val="0"/>
          <w:numId w:val="22"/>
        </w:numPr>
        <w:tabs>
          <w:tab w:val="num" w:pos="709"/>
        </w:tabs>
        <w:spacing w:before="0" w:after="0"/>
        <w:ind w:left="709" w:hanging="709"/>
      </w:pPr>
      <w:r>
        <w:t xml:space="preserve">Rozvoj </w:t>
      </w:r>
      <w:r w:rsidRPr="0022201D">
        <w:t>podmínek pro podnikání, nastartová</w:t>
      </w:r>
      <w:r w:rsidR="00D9259E">
        <w:t xml:space="preserve">ní udržitelného růstu, </w:t>
      </w:r>
      <w:r w:rsidR="00D9259E">
        <w:tab/>
        <w:t xml:space="preserve">zvýšení </w:t>
      </w:r>
      <w:r w:rsidRPr="0022201D">
        <w:t>konkurenceschopnosti, tvorba pracovních míst</w:t>
      </w:r>
      <w:r>
        <w:t>.</w:t>
      </w:r>
    </w:p>
    <w:p w:rsidR="00E86F9D" w:rsidRPr="0022201D" w:rsidRDefault="00E86F9D" w:rsidP="00D9259E">
      <w:pPr>
        <w:numPr>
          <w:ilvl w:val="0"/>
          <w:numId w:val="22"/>
        </w:numPr>
        <w:tabs>
          <w:tab w:val="num" w:pos="709"/>
        </w:tabs>
        <w:spacing w:before="0" w:after="0"/>
        <w:ind w:left="426" w:hanging="426"/>
      </w:pPr>
      <w:r>
        <w:t xml:space="preserve">Efektivní </w:t>
      </w:r>
      <w:r w:rsidRPr="0022201D">
        <w:t>čerpání evropských dotací.</w:t>
      </w:r>
    </w:p>
    <w:p w:rsidR="00E86F9D" w:rsidRDefault="00E86F9D" w:rsidP="00D9259E">
      <w:pPr>
        <w:numPr>
          <w:ilvl w:val="0"/>
          <w:numId w:val="22"/>
        </w:numPr>
        <w:tabs>
          <w:tab w:val="num" w:pos="709"/>
        </w:tabs>
        <w:spacing w:before="0" w:after="0"/>
        <w:ind w:left="426" w:hanging="426"/>
      </w:pPr>
      <w:r>
        <w:t>Inventura a rekonstrukce státu, racionalizace hospodaření státu.</w:t>
      </w:r>
    </w:p>
    <w:p w:rsidR="00E86F9D" w:rsidRDefault="00E86F9D" w:rsidP="00D9259E">
      <w:pPr>
        <w:numPr>
          <w:ilvl w:val="0"/>
          <w:numId w:val="22"/>
        </w:numPr>
        <w:tabs>
          <w:tab w:val="num" w:pos="709"/>
        </w:tabs>
        <w:spacing w:before="0" w:after="0"/>
        <w:ind w:left="426" w:hanging="426"/>
      </w:pPr>
      <w:r>
        <w:t>Boj proti korupci, závažné hospodářské kriminalitě a lichvě.</w:t>
      </w:r>
    </w:p>
    <w:p w:rsidR="00E86F9D" w:rsidRDefault="00E86F9D" w:rsidP="00D9259E">
      <w:pPr>
        <w:numPr>
          <w:ilvl w:val="0"/>
          <w:numId w:val="22"/>
        </w:numPr>
        <w:tabs>
          <w:tab w:val="num" w:pos="709"/>
        </w:tabs>
        <w:spacing w:before="0" w:after="0"/>
        <w:ind w:left="709" w:hanging="709"/>
      </w:pPr>
      <w:r>
        <w:t>Rozvoj veřejných služeb v oblasti školství, zdravotnictví, sociálního systému, dopravy a</w:t>
      </w:r>
      <w:r w:rsidR="00F44888">
        <w:t> </w:t>
      </w:r>
      <w:r>
        <w:t>bezpečnosti.</w:t>
      </w:r>
    </w:p>
    <w:p w:rsidR="00E86F9D" w:rsidRDefault="00E86F9D" w:rsidP="00D9259E">
      <w:pPr>
        <w:numPr>
          <w:ilvl w:val="0"/>
          <w:numId w:val="22"/>
        </w:numPr>
        <w:tabs>
          <w:tab w:val="num" w:pos="709"/>
        </w:tabs>
        <w:spacing w:before="0" w:after="0"/>
        <w:ind w:left="426" w:hanging="426"/>
      </w:pPr>
      <w:r>
        <w:lastRenderedPageBreak/>
        <w:t>Rozvoj občanské společnosti.</w:t>
      </w:r>
    </w:p>
    <w:p w:rsidR="00E86F9D" w:rsidRDefault="00E86F9D" w:rsidP="00D9259E">
      <w:pPr>
        <w:numPr>
          <w:ilvl w:val="0"/>
          <w:numId w:val="22"/>
        </w:numPr>
        <w:tabs>
          <w:tab w:val="num" w:pos="709"/>
        </w:tabs>
        <w:spacing w:before="0" w:after="0"/>
        <w:ind w:left="426" w:hanging="426"/>
      </w:pPr>
      <w:r>
        <w:t>Aktivní členství v EU a NATO.</w:t>
      </w:r>
    </w:p>
    <w:p w:rsidR="00E86F9D" w:rsidRDefault="00E86F9D" w:rsidP="00D9259E">
      <w:pPr>
        <w:numPr>
          <w:ilvl w:val="0"/>
          <w:numId w:val="22"/>
        </w:numPr>
        <w:tabs>
          <w:tab w:val="num" w:pos="709"/>
        </w:tabs>
        <w:spacing w:before="0" w:after="0"/>
        <w:ind w:left="426" w:hanging="426"/>
      </w:pPr>
      <w:r>
        <w:t>Přijetí zákona o státní službě.</w:t>
      </w:r>
    </w:p>
    <w:p w:rsidR="00E86F9D" w:rsidRDefault="00E86F9D" w:rsidP="00D9259E">
      <w:pPr>
        <w:numPr>
          <w:ilvl w:val="0"/>
          <w:numId w:val="22"/>
        </w:numPr>
        <w:tabs>
          <w:tab w:val="num" w:pos="709"/>
        </w:tabs>
        <w:spacing w:before="0" w:after="0"/>
        <w:ind w:left="426" w:hanging="426"/>
      </w:pPr>
      <w:r>
        <w:t>Efektivní využití informačních a komunikačních technologií ve veřejné správě.</w:t>
      </w:r>
    </w:p>
    <w:p w:rsidR="00E86F9D" w:rsidRDefault="00E86F9D" w:rsidP="00D9259E">
      <w:pPr>
        <w:numPr>
          <w:ilvl w:val="0"/>
          <w:numId w:val="22"/>
        </w:numPr>
        <w:tabs>
          <w:tab w:val="num" w:pos="709"/>
        </w:tabs>
        <w:spacing w:before="0" w:after="0"/>
        <w:ind w:left="426" w:hanging="426"/>
      </w:pPr>
      <w:r>
        <w:t>Posílení parlamentní kontroly zpravodajských služeb ČR.</w:t>
      </w:r>
    </w:p>
    <w:p w:rsidR="00E86F9D" w:rsidRDefault="00AA026D" w:rsidP="00E86F9D">
      <w:pPr>
        <w:tabs>
          <w:tab w:val="num" w:pos="720"/>
        </w:tabs>
        <w:spacing w:before="240" w:after="0"/>
        <w:ind w:firstLine="0"/>
      </w:pPr>
      <w:r>
        <w:tab/>
      </w:r>
      <w:r w:rsidR="00E86F9D">
        <w:t>Priority budou naplňovány</w:t>
      </w:r>
      <w:r w:rsidR="00E86F9D" w:rsidRPr="007C4862">
        <w:t xml:space="preserve"> </w:t>
      </w:r>
      <w:r w:rsidR="00E86F9D">
        <w:t>postupně během volebního období 2013</w:t>
      </w:r>
      <w:r w:rsidR="00321AE6">
        <w:t xml:space="preserve"> - </w:t>
      </w:r>
      <w:r w:rsidR="00E86F9D">
        <w:t xml:space="preserve">2017. V současné době je již projednáván zákon o státní službě a také řada novel či zákonů, jejichž účelem je podpora podnikání, zefektivnění trhu práce, rozvoj </w:t>
      </w:r>
      <w:r w:rsidR="00E86F9D" w:rsidRPr="00F350FC">
        <w:t>kvalitních a všeobecně dostupných veřejných služeb v</w:t>
      </w:r>
      <w:r w:rsidR="00E86F9D">
        <w:t> </w:t>
      </w:r>
      <w:r w:rsidR="00E86F9D" w:rsidRPr="00F350FC">
        <w:t>oblasti školství</w:t>
      </w:r>
      <w:r w:rsidR="00E86F9D">
        <w:t xml:space="preserve"> a</w:t>
      </w:r>
      <w:r w:rsidR="00E86F9D" w:rsidRPr="00F350FC">
        <w:t xml:space="preserve"> zdravotnictví</w:t>
      </w:r>
      <w:r w:rsidR="00E86F9D">
        <w:t xml:space="preserve"> a zajištění </w:t>
      </w:r>
      <w:r w:rsidR="00E86F9D" w:rsidRPr="006D252D">
        <w:t>sociální</w:t>
      </w:r>
      <w:r w:rsidR="00E86F9D">
        <w:t>ho</w:t>
      </w:r>
      <w:r w:rsidR="00E86F9D" w:rsidRPr="006D252D">
        <w:t xml:space="preserve"> smír</w:t>
      </w:r>
      <w:r w:rsidR="00FB6908">
        <w:t>u ve společnosti.</w:t>
      </w:r>
    </w:p>
    <w:p w:rsidR="00A24FF5" w:rsidRPr="00D77888" w:rsidRDefault="00A24FF5" w:rsidP="00B65077">
      <w:pPr>
        <w:pStyle w:val="Nadpis1"/>
      </w:pPr>
      <w:bookmarkStart w:id="50" w:name="_Toc302128558"/>
      <w:bookmarkStart w:id="51" w:name="_Toc333680167"/>
      <w:bookmarkStart w:id="52" w:name="_Toc361667779"/>
      <w:bookmarkStart w:id="53" w:name="_Toc397357459"/>
      <w:r w:rsidRPr="00D77888">
        <w:t>Makroekonomický vývoj</w:t>
      </w:r>
      <w:bookmarkEnd w:id="50"/>
      <w:bookmarkEnd w:id="51"/>
      <w:r w:rsidRPr="00D77888">
        <w:t xml:space="preserve"> v České republice</w:t>
      </w:r>
      <w:bookmarkEnd w:id="52"/>
      <w:bookmarkEnd w:id="53"/>
    </w:p>
    <w:p w:rsidR="00A24FF5" w:rsidRPr="00D77888" w:rsidRDefault="00A24FF5" w:rsidP="00B65077">
      <w:pPr>
        <w:pStyle w:val="Nadpis2"/>
      </w:pPr>
      <w:bookmarkStart w:id="54" w:name="_Toc361667780"/>
      <w:bookmarkStart w:id="55" w:name="_Toc397357460"/>
      <w:r w:rsidRPr="00D77888">
        <w:t>Ekonomi</w:t>
      </w:r>
      <w:bookmarkEnd w:id="54"/>
      <w:r w:rsidRPr="00D77888">
        <w:t>cký výkon</w:t>
      </w:r>
      <w:bookmarkEnd w:id="55"/>
    </w:p>
    <w:p w:rsidR="00E86F9D" w:rsidRDefault="00E86F9D" w:rsidP="00AA026D">
      <w:pPr>
        <w:spacing w:after="0"/>
      </w:pPr>
      <w:bookmarkStart w:id="56" w:name="_Toc302128560"/>
      <w:bookmarkStart w:id="57" w:name="_Toc333680169"/>
      <w:bookmarkStart w:id="58" w:name="_Toc361667781"/>
      <w:r w:rsidRPr="00BB4A21">
        <w:t>Zotavování české ekonomiky z propadu na přelomu let 2008 a 2009 bylo přerušeno koncem roku 2011</w:t>
      </w:r>
      <w:r>
        <w:t xml:space="preserve"> nástupem další</w:t>
      </w:r>
      <w:r w:rsidRPr="00BB4A21">
        <w:t xml:space="preserve"> recese. V </w:t>
      </w:r>
      <w:r>
        <w:t>letech</w:t>
      </w:r>
      <w:r w:rsidRPr="00BB4A21">
        <w:t xml:space="preserve"> 2012 a 2013 došlo </w:t>
      </w:r>
      <w:r>
        <w:t>k poklesu</w:t>
      </w:r>
      <w:r w:rsidRPr="00BB4A21">
        <w:t xml:space="preserve"> </w:t>
      </w:r>
      <w:r w:rsidRPr="00FB6908">
        <w:t>HDP</w:t>
      </w:r>
      <w:r>
        <w:t xml:space="preserve"> o 1,0 </w:t>
      </w:r>
      <w:r w:rsidRPr="00BB4A21">
        <w:t>%</w:t>
      </w:r>
      <w:r>
        <w:t xml:space="preserve">, respektive o 0,9 %. </w:t>
      </w:r>
    </w:p>
    <w:p w:rsidR="00E86F9D" w:rsidRDefault="00E86F9D" w:rsidP="00AA026D">
      <w:pPr>
        <w:spacing w:after="0"/>
      </w:pPr>
      <w:r>
        <w:t>Z recese ekonomika vystoupila v 1. polovině roku 2013. Ekonomické oživení nabralo na</w:t>
      </w:r>
      <w:r w:rsidR="00F44888">
        <w:t> </w:t>
      </w:r>
      <w:r>
        <w:t>intenzitě v období na přelomu let 2013 a 2014, kdy byla vykázána mezičtvrtletní tempa růstu reálné hrubé přidané hodnoty přesahující 1 %. Tento pozitivní vývoj byl však do značné míry ovlivněn jednorázovými či dočasnými faktory (nízká srovnávací základna, mimořádně teplá zima, zlepšení čerpání prostředků z fondů EU či pozitivní vliv oslabení kurzu koruny na export).</w:t>
      </w:r>
      <w:r w:rsidRPr="00D1043A">
        <w:t xml:space="preserve"> </w:t>
      </w:r>
    </w:p>
    <w:p w:rsidR="00E86F9D" w:rsidRPr="00BB4A21" w:rsidRDefault="00E86F9D" w:rsidP="00AA026D">
      <w:pPr>
        <w:spacing w:after="0"/>
      </w:pPr>
      <w:r w:rsidRPr="00BB4A21">
        <w:t xml:space="preserve">Pro </w:t>
      </w:r>
      <w:r>
        <w:t xml:space="preserve">zbývající část </w:t>
      </w:r>
      <w:r w:rsidRPr="00BB4A21">
        <w:t>rok</w:t>
      </w:r>
      <w:r>
        <w:t>u</w:t>
      </w:r>
      <w:r w:rsidRPr="00BB4A21">
        <w:t xml:space="preserve"> 2014 makroekonomický rámec počítá s pokračujícím oživováním ekonomické aktivity, za celý rok by měl HDP reálně vzrůst o 2,7 %. Růst by měl být tažen </w:t>
      </w:r>
      <w:r>
        <w:t>zhruba ze tří čtvrtin</w:t>
      </w:r>
      <w:r w:rsidRPr="00BB4A21">
        <w:t xml:space="preserve"> domácí poptávkou</w:t>
      </w:r>
      <w:r>
        <w:t>, zbylou čtvrtinou by měl přispět zahraniční obchod</w:t>
      </w:r>
      <w:r w:rsidRPr="00BB4A21">
        <w:t xml:space="preserve">. </w:t>
      </w:r>
      <w:r>
        <w:t>V</w:t>
      </w:r>
      <w:r w:rsidRPr="00BB4A21">
        <w:t> průběhu roku 2014</w:t>
      </w:r>
      <w:r>
        <w:t xml:space="preserve"> by </w:t>
      </w:r>
      <w:r w:rsidRPr="00BB4A21">
        <w:t xml:space="preserve">měla být předstižena úroveň vrcholu </w:t>
      </w:r>
      <w:r>
        <w:t>hospodářského</w:t>
      </w:r>
      <w:r w:rsidRPr="00BB4A21">
        <w:t xml:space="preserve"> cyklu z roku 2008.</w:t>
      </w:r>
      <w:r>
        <w:t xml:space="preserve"> V dalších třech letech výhledu pak očekáváme hospodářský růst ve výši kolem 2,5 %.</w:t>
      </w:r>
    </w:p>
    <w:p w:rsidR="00E86F9D" w:rsidRPr="009D56E0" w:rsidRDefault="00E86F9D" w:rsidP="00D96317">
      <w:pPr>
        <w:pStyle w:val="Titulek"/>
        <w:spacing w:before="240"/>
        <w:jc w:val="left"/>
      </w:pPr>
      <w:r>
        <w:lastRenderedPageBreak/>
        <w:t xml:space="preserve">Graf č. </w:t>
      </w:r>
      <w:fldSimple w:instr=" SEQ Graf_č._ \* ARABIC ">
        <w:r w:rsidR="003B4B7F">
          <w:rPr>
            <w:noProof/>
          </w:rPr>
          <w:t>6</w:t>
        </w:r>
      </w:fldSimple>
      <w:r>
        <w:rPr>
          <w:noProof/>
        </w:rPr>
        <w:t xml:space="preserve"> </w:t>
      </w:r>
      <w:r w:rsidRPr="006C62DB">
        <w:rPr>
          <w:noProof/>
        </w:rPr>
        <w:t>Reálný hrubý domácí produkt (růst proti předchozímu roku v %)</w:t>
      </w:r>
    </w:p>
    <w:p w:rsidR="00E86F9D" w:rsidRPr="006C55A1" w:rsidRDefault="00E86F9D" w:rsidP="00FB6908">
      <w:pPr>
        <w:spacing w:after="0"/>
        <w:ind w:firstLine="0"/>
        <w:jc w:val="left"/>
      </w:pPr>
      <w:r>
        <w:object w:dxaOrig="7352" w:dyaOrig="4202">
          <v:shape id="_x0000_i1031" type="#_x0000_t75" style="width:367.5pt;height:210pt" o:ole="">
            <v:imagedata r:id="rId22" o:title=""/>
          </v:shape>
          <o:OLEObject Type="Embed" ProgID="Word.Document.12" ShapeID="_x0000_i1031" DrawAspect="Content" ObjectID="_1471101696" r:id="rId23">
            <o:FieldCodes>\s</o:FieldCodes>
          </o:OLEObject>
        </w:object>
      </w:r>
    </w:p>
    <w:p w:rsidR="00E86F9D" w:rsidRPr="009D56E0" w:rsidRDefault="00E86F9D" w:rsidP="00E86F9D">
      <w:pPr>
        <w:numPr>
          <w:ilvl w:val="12"/>
          <w:numId w:val="0"/>
        </w:numPr>
        <w:tabs>
          <w:tab w:val="left" w:pos="8647"/>
        </w:tabs>
        <w:spacing w:before="0" w:after="480" w:line="240" w:lineRule="auto"/>
        <w:ind w:right="28"/>
        <w:jc w:val="left"/>
        <w:rPr>
          <w:i/>
          <w:iCs/>
          <w:sz w:val="20"/>
          <w:szCs w:val="20"/>
        </w:rPr>
      </w:pPr>
      <w:r w:rsidRPr="009D56E0">
        <w:rPr>
          <w:i/>
          <w:iCs/>
          <w:sz w:val="20"/>
          <w:szCs w:val="20"/>
        </w:rPr>
        <w:t>Pramen: ČSÚ, propočty MF ČR</w:t>
      </w:r>
    </w:p>
    <w:p w:rsidR="00E86F9D" w:rsidRDefault="00E86F9D" w:rsidP="00AA026D">
      <w:pPr>
        <w:spacing w:after="0"/>
      </w:pPr>
      <w:r>
        <w:t xml:space="preserve">Česká ekonomika by se měla v roce 2014 nacházet 1,2 % pod potenciálním produktem. Již v roce 2015 by měla </w:t>
      </w:r>
      <w:r w:rsidRPr="00FB6908">
        <w:t>produkční mezera</w:t>
      </w:r>
      <w:r>
        <w:t xml:space="preserve"> opustit záporné hodnoty a v dalších letech by ekonomika dokonce mohla operovat nad svým potenciálem</w:t>
      </w:r>
    </w:p>
    <w:p w:rsidR="00E86F9D" w:rsidRDefault="00E86F9D" w:rsidP="00AA026D">
      <w:pPr>
        <w:spacing w:after="0"/>
      </w:pPr>
      <w:r w:rsidRPr="00BB4A21">
        <w:t xml:space="preserve">Růst </w:t>
      </w:r>
      <w:r w:rsidRPr="00FB6908">
        <w:t>nominálního HDP</w:t>
      </w:r>
      <w:r w:rsidRPr="00BB4A21">
        <w:t xml:space="preserve"> je dán vývojem reálného ekonomického výkonu a cenové složky HDP. </w:t>
      </w:r>
      <w:r>
        <w:t>R</w:t>
      </w:r>
      <w:r w:rsidRPr="00BB4A21">
        <w:t>ůst deflátoru hrubých domácích výdajů by měl být proti vývoji spotřebitelské inflace mírně nižší</w:t>
      </w:r>
      <w:r>
        <w:t xml:space="preserve"> (</w:t>
      </w:r>
      <w:r w:rsidRPr="00B17D08">
        <w:t>k</w:t>
      </w:r>
      <w:r>
        <w:t> </w:t>
      </w:r>
      <w:r w:rsidRPr="00B17D08">
        <w:t xml:space="preserve">tomuto </w:t>
      </w:r>
      <w:r>
        <w:t>výsledku by měly přispět deflátory spotřeby vlády a fixních investic)</w:t>
      </w:r>
      <w:r w:rsidRPr="00BB4A21">
        <w:t xml:space="preserve">, </w:t>
      </w:r>
      <w:r>
        <w:t xml:space="preserve">zatímco </w:t>
      </w:r>
      <w:r w:rsidRPr="00BB4A21">
        <w:t xml:space="preserve">směnné relace by po vzestupu o 1,1 % v roce 2014 měly </w:t>
      </w:r>
      <w:r>
        <w:t xml:space="preserve">postupně </w:t>
      </w:r>
      <w:r w:rsidRPr="00BB4A21">
        <w:t>přejít do stagnace</w:t>
      </w:r>
      <w:r>
        <w:t>. V roce</w:t>
      </w:r>
      <w:r w:rsidRPr="00BB4A21">
        <w:t xml:space="preserve"> </w:t>
      </w:r>
      <w:r>
        <w:t xml:space="preserve">2014 </w:t>
      </w:r>
      <w:r w:rsidRPr="00BB4A21">
        <w:t>by nominální HDP mohl vzrůst</w:t>
      </w:r>
      <w:r>
        <w:t xml:space="preserve"> o </w:t>
      </w:r>
      <w:r w:rsidRPr="00BB4A21">
        <w:t xml:space="preserve">4,6 %, v dalších letech by </w:t>
      </w:r>
      <w:r>
        <w:t>se jeho růst mohl pohybovat mírně pod hranicí 4 %</w:t>
      </w:r>
      <w:r w:rsidRPr="00BB4A21">
        <w:t>.</w:t>
      </w:r>
    </w:p>
    <w:p w:rsidR="00E86F9D" w:rsidRDefault="00E86F9D" w:rsidP="00AA026D">
      <w:pPr>
        <w:spacing w:after="0"/>
      </w:pPr>
      <w:r w:rsidRPr="00FB6908">
        <w:t>Růst spotřeby domácností</w:t>
      </w:r>
      <w:r w:rsidRPr="00BB4A21">
        <w:t xml:space="preserve"> </w:t>
      </w:r>
      <w:r>
        <w:t>by měl odrážet očekávané zlepšování situace na trhu práce a nárůst reálného disponibilního důchodu, na nějž by měla příznivě působit nízká inflace. Přinejmenším v krátkém období by se pak mohlo projevit i výrazné zlepšení spotřebitelského sentimentu. V letech 2014 a 2015 by se spotřeba domácností mohla zvýšit o cca 1,5 %, v letech výhledu by se růst mohl mírně zrychlit na necelá 2 %. U </w:t>
      </w:r>
      <w:r w:rsidRPr="00BB4A21">
        <w:t>nominálních výdajů domácností na</w:t>
      </w:r>
      <w:r w:rsidR="00E863AD">
        <w:t> </w:t>
      </w:r>
      <w:r w:rsidRPr="00BB4A21">
        <w:t xml:space="preserve">konečnou spotřebu by mělo dojít ke zrychlení růstu z 2,3 % v roce 2014 </w:t>
      </w:r>
      <w:r>
        <w:t>až k hranici 4 % v letech výhledu</w:t>
      </w:r>
      <w:r w:rsidRPr="00BB4A21">
        <w:t>.</w:t>
      </w:r>
    </w:p>
    <w:p w:rsidR="00E86F9D" w:rsidRDefault="00E86F9D" w:rsidP="00AA026D">
      <w:pPr>
        <w:spacing w:after="0"/>
      </w:pPr>
      <w:r w:rsidRPr="00BB4A21">
        <w:t>V souladu s</w:t>
      </w:r>
      <w:r>
        <w:t> </w:t>
      </w:r>
      <w:r w:rsidRPr="00BB4A21">
        <w:t>fiskální</w:t>
      </w:r>
      <w:r>
        <w:t xml:space="preserve">m výhledem </w:t>
      </w:r>
      <w:r w:rsidRPr="00BB4A21">
        <w:t xml:space="preserve">očekáváme, že po zvýšení o 1,9 % v roce 2014 bude </w:t>
      </w:r>
      <w:r>
        <w:t xml:space="preserve">růst </w:t>
      </w:r>
      <w:r w:rsidRPr="00FB6908">
        <w:t>reálné spotřeby vlády v</w:t>
      </w:r>
      <w:r w:rsidRPr="00BB4A21">
        <w:t xml:space="preserve"> dalších </w:t>
      </w:r>
      <w:r>
        <w:t xml:space="preserve">letech </w:t>
      </w:r>
      <w:r w:rsidRPr="00BB4A21">
        <w:t>postupně zpomalovat k 1,2</w:t>
      </w:r>
      <w:r>
        <w:t xml:space="preserve"> </w:t>
      </w:r>
      <w:r w:rsidRPr="00BB4A21">
        <w:t>% v roce 2017.</w:t>
      </w:r>
    </w:p>
    <w:p w:rsidR="00E86F9D" w:rsidRDefault="00E86F9D" w:rsidP="00AA026D">
      <w:pPr>
        <w:spacing w:after="0"/>
      </w:pPr>
      <w:r>
        <w:rPr>
          <w:rStyle w:val="Tuntext"/>
          <w:b w:val="0"/>
        </w:rPr>
        <w:lastRenderedPageBreak/>
        <w:t xml:space="preserve">Predikce růstu </w:t>
      </w:r>
      <w:r w:rsidRPr="00D96317">
        <w:rPr>
          <w:rStyle w:val="Tuntext"/>
          <w:b w:val="0"/>
        </w:rPr>
        <w:t>tvorby hrubého fixního kapitálu</w:t>
      </w:r>
      <w:r>
        <w:rPr>
          <w:rStyle w:val="Tuntext"/>
          <w:b w:val="0"/>
        </w:rPr>
        <w:t xml:space="preserve"> odráží očekávaný vývoj domácí spotřeby a zahraničního obchodu, předpokládané intenzivní čerpání prostředků z evropských fondů z finanční perspektivy 2007</w:t>
      </w:r>
      <w:r w:rsidR="00A07768">
        <w:rPr>
          <w:rStyle w:val="Tuntext"/>
          <w:b w:val="0"/>
        </w:rPr>
        <w:t xml:space="preserve"> </w:t>
      </w:r>
      <w:r w:rsidR="00A07768">
        <w:t xml:space="preserve">- </w:t>
      </w:r>
      <w:r>
        <w:rPr>
          <w:rStyle w:val="Tuntext"/>
          <w:b w:val="0"/>
        </w:rPr>
        <w:t xml:space="preserve">2013 zejména vládním sektorem, růst interních zdrojů pro financování investic (na základě vývoje hrubého provozního přebytku) </w:t>
      </w:r>
      <w:r w:rsidR="004602B6">
        <w:rPr>
          <w:rStyle w:val="Tuntext"/>
          <w:b w:val="0"/>
        </w:rPr>
        <w:t>a uvolněnou měnovou politiku. V </w:t>
      </w:r>
      <w:r>
        <w:rPr>
          <w:rStyle w:val="Tuntext"/>
          <w:b w:val="0"/>
        </w:rPr>
        <w:t>roce</w:t>
      </w:r>
      <w:r w:rsidR="004602B6">
        <w:rPr>
          <w:rStyle w:val="Tuntext"/>
          <w:b w:val="0"/>
        </w:rPr>
        <w:t xml:space="preserve"> 2014</w:t>
      </w:r>
      <w:r>
        <w:rPr>
          <w:rStyle w:val="Tuntext"/>
          <w:b w:val="0"/>
        </w:rPr>
        <w:t xml:space="preserve"> by se tak tvorba hrubého fixního kapitálu mohla zvýšit o 4,1 %,</w:t>
      </w:r>
      <w:r w:rsidRPr="00B75F55">
        <w:rPr>
          <w:rStyle w:val="Tuntext"/>
          <w:b w:val="0"/>
        </w:rPr>
        <w:t xml:space="preserve"> </w:t>
      </w:r>
      <w:r>
        <w:rPr>
          <w:rStyle w:val="Tuntext"/>
          <w:b w:val="0"/>
        </w:rPr>
        <w:t>přitom se objem investic bude stále pohybovat 13,5 % pod jejich vrcholem v roce 2008. V dalších letech by se měl růst mírně zpomalovat až na 3,2 % v roce 2017.</w:t>
      </w:r>
      <w:r w:rsidRPr="00BB4A21">
        <w:t xml:space="preserve"> </w:t>
      </w:r>
    </w:p>
    <w:p w:rsidR="00E86F9D" w:rsidRDefault="00E86F9D" w:rsidP="00AA026D">
      <w:pPr>
        <w:spacing w:after="0"/>
      </w:pPr>
      <w:r>
        <w:t>V celém horizontu makroekonomického rámce</w:t>
      </w:r>
      <w:r w:rsidRPr="00AD5C8D">
        <w:t xml:space="preserve"> </w:t>
      </w:r>
      <w:r>
        <w:t>by se p</w:t>
      </w:r>
      <w:r w:rsidRPr="00AD5C8D">
        <w:t xml:space="preserve">říspěvek </w:t>
      </w:r>
      <w:r>
        <w:t xml:space="preserve">salda </w:t>
      </w:r>
      <w:r w:rsidRPr="00D96317">
        <w:t>zahraničního</w:t>
      </w:r>
      <w:r w:rsidRPr="00BB4A21">
        <w:rPr>
          <w:b/>
        </w:rPr>
        <w:t xml:space="preserve"> </w:t>
      </w:r>
      <w:r w:rsidRPr="00D96317">
        <w:t>obchodu</w:t>
      </w:r>
      <w:r w:rsidRPr="00BB4A21">
        <w:t xml:space="preserve"> </w:t>
      </w:r>
      <w:r>
        <w:t>k růstu reálného HDP mohl při mírném předstihu růstu vývozu před růstem dovozu pohybovat okolo 0,6 p. b. Pro roky 2014 a 2015 přitom počítáme s dalším zlepšením směnných relací.</w:t>
      </w:r>
    </w:p>
    <w:p w:rsidR="00A24FF5" w:rsidRPr="00D77888" w:rsidRDefault="00A24FF5" w:rsidP="00B65077">
      <w:pPr>
        <w:pStyle w:val="Nadpis2"/>
      </w:pPr>
      <w:bookmarkStart w:id="59" w:name="_Toc397357461"/>
      <w:r w:rsidRPr="00D77888">
        <w:t>Ceny zboží a služeb</w:t>
      </w:r>
      <w:bookmarkEnd w:id="56"/>
      <w:bookmarkEnd w:id="57"/>
      <w:bookmarkEnd w:id="58"/>
      <w:bookmarkEnd w:id="59"/>
    </w:p>
    <w:p w:rsidR="003D6289" w:rsidRDefault="003D6289" w:rsidP="00AA026D">
      <w:pPr>
        <w:spacing w:after="0"/>
      </w:pPr>
      <w:bookmarkStart w:id="60" w:name="_Toc302128561"/>
      <w:bookmarkStart w:id="61" w:name="_Toc333680170"/>
      <w:bookmarkStart w:id="62" w:name="_Toc361667782"/>
      <w:r w:rsidRPr="009D56E0">
        <w:t xml:space="preserve">Českou ekonomiku lze z dlouhodobého pohledu charakterizovat jako </w:t>
      </w:r>
      <w:proofErr w:type="spellStart"/>
      <w:r w:rsidRPr="009D56E0">
        <w:t>nízkoinflační</w:t>
      </w:r>
      <w:proofErr w:type="spellEnd"/>
      <w:r>
        <w:t xml:space="preserve">. Nejinak by tomu </w:t>
      </w:r>
      <w:r w:rsidRPr="009D56E0">
        <w:t xml:space="preserve">mělo být i v následujících letech, </w:t>
      </w:r>
      <w:r>
        <w:t xml:space="preserve">k čemuž by měla přispívat </w:t>
      </w:r>
      <w:r w:rsidRPr="009D56E0">
        <w:t>vysok</w:t>
      </w:r>
      <w:r>
        <w:t>á kredibilita</w:t>
      </w:r>
      <w:r w:rsidRPr="009D56E0">
        <w:t xml:space="preserve"> ČNB, </w:t>
      </w:r>
      <w:r>
        <w:t xml:space="preserve">střednědobá </w:t>
      </w:r>
      <w:r w:rsidRPr="009D56E0">
        <w:t>inflační očekávání</w:t>
      </w:r>
      <w:r>
        <w:t xml:space="preserve"> pevně ukotvená v blízkosti inflačního cíle či</w:t>
      </w:r>
      <w:r w:rsidRPr="009D56E0">
        <w:t xml:space="preserve"> </w:t>
      </w:r>
      <w:r>
        <w:t xml:space="preserve">očekávaný pozvolný růst jednotkových nákladů práce. </w:t>
      </w:r>
      <w:r w:rsidRPr="009D56E0">
        <w:t>Dolarové ceny ropy, stejně jako vývoj měnového kurzu, by neměly představovat proinflační faktor</w:t>
      </w:r>
      <w:r>
        <w:t xml:space="preserve"> (výjimkou je rok 2014, kdy kurz koruny bude pravděpodobně jediným významnějším proinflačním faktorem)</w:t>
      </w:r>
      <w:r w:rsidRPr="009D56E0">
        <w:t>.</w:t>
      </w:r>
      <w:r>
        <w:t xml:space="preserve"> V letech výhledu by naopak inflaci do jisté míry mohly podporovat poptávkové tlaky (předpoklad kladné produkční mezery).</w:t>
      </w:r>
    </w:p>
    <w:p w:rsidR="003D6289" w:rsidRPr="009D56E0" w:rsidRDefault="003D6289" w:rsidP="00AA026D">
      <w:pPr>
        <w:spacing w:after="0"/>
      </w:pPr>
      <w:r w:rsidRPr="00A11E77">
        <w:t xml:space="preserve">Navzdory oslabení koruny vlivem devizových intervencí ČNB by se rok 2014 měl vyznačovat velmi nízkou inflací. Na rozdíl od předchozích let by totiž během celého letošního roku měly administrativní vlivy (zejména pak snížení cen elektřiny) působit protiinflačně. </w:t>
      </w:r>
      <w:r w:rsidRPr="00D96317">
        <w:t>Průměrná míra inflace</w:t>
      </w:r>
      <w:r w:rsidRPr="00A11E77">
        <w:t xml:space="preserve"> by tak mohla dosáhnout jen 0,6</w:t>
      </w:r>
      <w:r>
        <w:t> </w:t>
      </w:r>
      <w:r w:rsidRPr="00A11E77">
        <w:t xml:space="preserve">%. </w:t>
      </w:r>
      <w:r>
        <w:t>V průběhu druhé poloviny roku 2014 a</w:t>
      </w:r>
      <w:r w:rsidR="008D1D10">
        <w:t> </w:t>
      </w:r>
      <w:r>
        <w:t xml:space="preserve">v roce </w:t>
      </w:r>
      <w:r w:rsidRPr="00A11E77">
        <w:t>2015 by se růst s</w:t>
      </w:r>
      <w:r>
        <w:t>potřebitelských cen měl postupně zrychlovat k 2% inflačnímu cíli ČNB</w:t>
      </w:r>
      <w:r w:rsidRPr="00A11E77">
        <w:t xml:space="preserve">, </w:t>
      </w:r>
      <w:r>
        <w:t>v jehož blízkosti by se inflace měla držet i nadále.</w:t>
      </w:r>
    </w:p>
    <w:p w:rsidR="003D6289" w:rsidRPr="009D56E0" w:rsidRDefault="003D6289" w:rsidP="00D96317">
      <w:pPr>
        <w:pStyle w:val="Titulek"/>
        <w:spacing w:before="240"/>
        <w:jc w:val="left"/>
      </w:pPr>
      <w:r>
        <w:lastRenderedPageBreak/>
        <w:t xml:space="preserve">Graf č. </w:t>
      </w:r>
      <w:fldSimple w:instr=" SEQ Graf_č._ \* ARABIC ">
        <w:r w:rsidR="003B4B7F">
          <w:rPr>
            <w:noProof/>
          </w:rPr>
          <w:t>7</w:t>
        </w:r>
      </w:fldSimple>
      <w:r>
        <w:rPr>
          <w:noProof/>
        </w:rPr>
        <w:t xml:space="preserve"> </w:t>
      </w:r>
      <w:r w:rsidRPr="00C87A11">
        <w:rPr>
          <w:noProof/>
        </w:rPr>
        <w:t>Spotřebitelské ceny (průměrná míra inflace v %)</w:t>
      </w:r>
    </w:p>
    <w:p w:rsidR="003D6289" w:rsidRPr="009D56E0" w:rsidRDefault="003D6289" w:rsidP="00D96317">
      <w:pPr>
        <w:tabs>
          <w:tab w:val="left" w:pos="8647"/>
        </w:tabs>
        <w:spacing w:after="0" w:line="240" w:lineRule="auto"/>
        <w:ind w:firstLine="0"/>
        <w:jc w:val="left"/>
        <w:rPr>
          <w:sz w:val="16"/>
          <w:szCs w:val="20"/>
        </w:rPr>
      </w:pPr>
      <w:r>
        <w:rPr>
          <w:sz w:val="16"/>
          <w:szCs w:val="20"/>
        </w:rPr>
        <w:object w:dxaOrig="7351" w:dyaOrig="4211">
          <v:shape id="_x0000_i1032" type="#_x0000_t75" style="width:367.5pt;height:210.75pt" o:ole="">
            <v:imagedata r:id="rId24" o:title=""/>
          </v:shape>
          <o:OLEObject Type="Embed" ProgID="Word.Document.12" ShapeID="_x0000_i1032" DrawAspect="Content" ObjectID="_1471101697" r:id="rId25">
            <o:FieldCodes>\s</o:FieldCodes>
          </o:OLEObject>
        </w:object>
      </w:r>
    </w:p>
    <w:p w:rsidR="003D6289" w:rsidRPr="009D56E0" w:rsidRDefault="003D6289" w:rsidP="003D6289">
      <w:pPr>
        <w:tabs>
          <w:tab w:val="left" w:pos="8647"/>
        </w:tabs>
        <w:spacing w:before="0" w:after="480" w:line="240" w:lineRule="auto"/>
        <w:ind w:right="28" w:firstLine="0"/>
        <w:jc w:val="left"/>
        <w:rPr>
          <w:i/>
          <w:sz w:val="20"/>
          <w:szCs w:val="20"/>
        </w:rPr>
      </w:pPr>
      <w:r w:rsidRPr="009D56E0">
        <w:rPr>
          <w:i/>
          <w:sz w:val="20"/>
          <w:szCs w:val="20"/>
        </w:rPr>
        <w:t>Pramen: ČSÚ, propočty MF ČR</w:t>
      </w:r>
    </w:p>
    <w:p w:rsidR="00A24FF5" w:rsidRPr="00D77888" w:rsidRDefault="00A24FF5" w:rsidP="00B65077">
      <w:pPr>
        <w:pStyle w:val="Nadpis2"/>
      </w:pPr>
      <w:bookmarkStart w:id="63" w:name="_Toc397357462"/>
      <w:r w:rsidRPr="00D77888">
        <w:t>Trh práce</w:t>
      </w:r>
      <w:bookmarkEnd w:id="60"/>
      <w:bookmarkEnd w:id="61"/>
      <w:bookmarkEnd w:id="62"/>
      <w:bookmarkEnd w:id="63"/>
    </w:p>
    <w:p w:rsidR="00A24FF5" w:rsidRPr="00D77888" w:rsidRDefault="00A24FF5" w:rsidP="00B65077">
      <w:pPr>
        <w:pStyle w:val="Nadpis3"/>
      </w:pPr>
      <w:bookmarkStart w:id="64" w:name="_Toc361667783"/>
      <w:bookmarkStart w:id="65" w:name="_Toc397357463"/>
      <w:r w:rsidRPr="00D77888">
        <w:t>Zaměstnanost a nezaměstnanost (v metodice VŠPS)</w:t>
      </w:r>
      <w:bookmarkEnd w:id="64"/>
      <w:bookmarkEnd w:id="65"/>
    </w:p>
    <w:p w:rsidR="003D6289" w:rsidRDefault="003D6289" w:rsidP="00AA026D">
      <w:pPr>
        <w:spacing w:after="0"/>
      </w:pPr>
      <w:bookmarkStart w:id="66" w:name="_Toc361667784"/>
      <w:r w:rsidRPr="009D56E0">
        <w:t xml:space="preserve">Ve srovnání s obdobím před rokem </w:t>
      </w:r>
      <w:r>
        <w:t xml:space="preserve">2009 </w:t>
      </w:r>
      <w:r w:rsidRPr="009D56E0">
        <w:t>se trh práce chová odlišně</w:t>
      </w:r>
      <w:r>
        <w:t>. Narůstá míra</w:t>
      </w:r>
      <w:r w:rsidRPr="009D56E0">
        <w:t xml:space="preserve"> participace (podíl nezaměstnaných a</w:t>
      </w:r>
      <w:r>
        <w:t> </w:t>
      </w:r>
      <w:r w:rsidRPr="009D56E0">
        <w:t>zaměstnaných na populaci v produktivním věku)</w:t>
      </w:r>
      <w:r>
        <w:t>, což</w:t>
      </w:r>
      <w:r w:rsidRPr="009D56E0">
        <w:t xml:space="preserve"> </w:t>
      </w:r>
      <w:r>
        <w:t>je rovněž</w:t>
      </w:r>
      <w:r w:rsidRPr="009D56E0">
        <w:t xml:space="preserve"> </w:t>
      </w:r>
      <w:r>
        <w:t xml:space="preserve">podpořeno </w:t>
      </w:r>
      <w:r w:rsidRPr="009D56E0">
        <w:t>změnami demografické struktury.</w:t>
      </w:r>
      <w:r w:rsidRPr="001D3DAB">
        <w:t xml:space="preserve"> </w:t>
      </w:r>
      <w:r w:rsidRPr="009D56E0">
        <w:t xml:space="preserve">Významně se </w:t>
      </w:r>
      <w:r>
        <w:t xml:space="preserve">totiž </w:t>
      </w:r>
      <w:r w:rsidRPr="009D56E0">
        <w:t>zv</w:t>
      </w:r>
      <w:r w:rsidR="00A07768">
        <w:t xml:space="preserve">yšuje podíl obyvatel ve věku 40 - </w:t>
      </w:r>
      <w:r w:rsidRPr="009D56E0">
        <w:t xml:space="preserve">49 let, </w:t>
      </w:r>
      <w:r>
        <w:t>jejichž míra ekonomické aktivity je obvykle vysoká</w:t>
      </w:r>
      <w:r w:rsidRPr="009D56E0">
        <w:t>.</w:t>
      </w:r>
      <w:r>
        <w:t xml:space="preserve"> Z dlouhodobého pohledu k růstu nabídky práce přispívá zvyšování statutárního věku odchodu do důchodu, což se promítá i</w:t>
      </w:r>
      <w:r w:rsidR="008D1D10">
        <w:t> </w:t>
      </w:r>
      <w:r>
        <w:t>do skutečného věku odchodu do důchodu.</w:t>
      </w:r>
    </w:p>
    <w:p w:rsidR="003D6289" w:rsidRDefault="003D6289" w:rsidP="00AA026D">
      <w:pPr>
        <w:spacing w:after="0"/>
      </w:pPr>
      <w:r w:rsidRPr="009D56E0">
        <w:t>Navzdory</w:t>
      </w:r>
      <w:r>
        <w:t xml:space="preserve"> nedávné</w:t>
      </w:r>
      <w:r w:rsidRPr="009D56E0">
        <w:t xml:space="preserve"> hospodářské recesi a snižující se populaci v produktivním věku </w:t>
      </w:r>
      <w:r>
        <w:t xml:space="preserve">tak </w:t>
      </w:r>
      <w:r w:rsidRPr="00D96317">
        <w:t>zaměstnanost</w:t>
      </w:r>
      <w:r w:rsidRPr="00FC359A">
        <w:rPr>
          <w:b/>
        </w:rPr>
        <w:t xml:space="preserve"> </w:t>
      </w:r>
      <w:r w:rsidRPr="009D56E0">
        <w:t>od roku 201</w:t>
      </w:r>
      <w:r>
        <w:t>1 roste. Tento n</w:t>
      </w:r>
      <w:r w:rsidRPr="009D56E0">
        <w:t xml:space="preserve">árůst </w:t>
      </w:r>
      <w:r>
        <w:t>však byl dán</w:t>
      </w:r>
      <w:r w:rsidRPr="009D56E0">
        <w:t xml:space="preserve"> zvýšením podílu částečných úvazků</w:t>
      </w:r>
      <w:r w:rsidRPr="009D56E0" w:rsidDel="00CF6648">
        <w:t xml:space="preserve"> </w:t>
      </w:r>
      <w:r w:rsidRPr="009D56E0">
        <w:t xml:space="preserve">a snížením </w:t>
      </w:r>
      <w:r w:rsidRPr="009D56E0" w:rsidDel="00CF6648">
        <w:t>počtu odpracovaných hodin na pracovníka.</w:t>
      </w:r>
      <w:r>
        <w:t xml:space="preserve"> Existují navíc náznaky, že pracovní místa vytvořená v průběhu recese byla v nezanedbatelné míře koncentrována v neformální části ekonomiky. </w:t>
      </w:r>
      <w:r w:rsidRPr="001D0999">
        <w:t>Tomu odpovídá historicky nejvyšší rozdíl mezi počtem nezaměstnaných registrovaných na úřadech práce a podle metodiky VŠPS</w:t>
      </w:r>
      <w:r>
        <w:rPr>
          <w:rStyle w:val="Znakapoznpodarou"/>
        </w:rPr>
        <w:footnoteReference w:id="3"/>
      </w:r>
      <w:r>
        <w:t xml:space="preserve">. ČR také nadále </w:t>
      </w:r>
      <w:r w:rsidRPr="009D56E0">
        <w:t xml:space="preserve">v rámci zemí EU </w:t>
      </w:r>
      <w:r w:rsidRPr="009D56E0">
        <w:lastRenderedPageBreak/>
        <w:t>dosahuje jednoho z</w:t>
      </w:r>
      <w:r>
        <w:t> </w:t>
      </w:r>
      <w:r w:rsidRPr="009D56E0">
        <w:t xml:space="preserve">nejvyšších podílů </w:t>
      </w:r>
      <w:proofErr w:type="spellStart"/>
      <w:r w:rsidRPr="009D56E0">
        <w:t>sebezaměstnaných</w:t>
      </w:r>
      <w:proofErr w:type="spellEnd"/>
      <w:r>
        <w:t xml:space="preserve">, což může souviset s </w:t>
      </w:r>
      <w:r w:rsidRPr="009D56E0">
        <w:t>„daňov</w:t>
      </w:r>
      <w:r>
        <w:t>ou optimalizací</w:t>
      </w:r>
      <w:r w:rsidRPr="009D56E0">
        <w:t>“</w:t>
      </w:r>
      <w:r>
        <w:t xml:space="preserve"> prostřednictvím </w:t>
      </w:r>
      <w:proofErr w:type="spellStart"/>
      <w:r>
        <w:t>švarcsystému</w:t>
      </w:r>
      <w:proofErr w:type="spellEnd"/>
      <w:r>
        <w:t xml:space="preserve">. Flexibilnější nastavení pracovního práva oproti minulé dekádě tedy rovněž sehrálo svou roli. </w:t>
      </w:r>
    </w:p>
    <w:p w:rsidR="003D6289" w:rsidRDefault="003D6289" w:rsidP="00AA026D">
      <w:pPr>
        <w:spacing w:after="0"/>
      </w:pPr>
      <w:r>
        <w:t>Hospodářské oživení by spolu s výše uvedenými faktory působícími na počet osob participujících na trhu práce mělo v letošním roce vést k růstu</w:t>
      </w:r>
      <w:r w:rsidRPr="009D56E0">
        <w:t xml:space="preserve"> </w:t>
      </w:r>
      <w:r w:rsidRPr="00D96317">
        <w:t>zaměstnanosti</w:t>
      </w:r>
      <w:r w:rsidRPr="009D56E0">
        <w:rPr>
          <w:b/>
        </w:rPr>
        <w:t xml:space="preserve"> </w:t>
      </w:r>
      <w:r w:rsidRPr="009D56E0">
        <w:t>o 0,5 %</w:t>
      </w:r>
      <w:r>
        <w:t xml:space="preserve">. V následujících letech by se zaměstnanost měla zvyšovat </w:t>
      </w:r>
      <w:r w:rsidRPr="009D56E0">
        <w:t>o 0,2 %</w:t>
      </w:r>
      <w:r>
        <w:t xml:space="preserve"> ročně. Tento vývoj bude brzděn zejména poklesem počtu osob v produktivním věku, který by se měl v horizontu rámce ustálit na 0,9 % ročně.</w:t>
      </w:r>
    </w:p>
    <w:p w:rsidR="003D6289" w:rsidRPr="009D56E0" w:rsidRDefault="003D6289" w:rsidP="00D96317">
      <w:pPr>
        <w:pStyle w:val="Titulek"/>
        <w:spacing w:before="240"/>
        <w:jc w:val="left"/>
      </w:pPr>
      <w:r>
        <w:t xml:space="preserve">Graf č. </w:t>
      </w:r>
      <w:fldSimple w:instr=" SEQ Graf_č._ \* ARABIC ">
        <w:r w:rsidR="003B4B7F">
          <w:rPr>
            <w:noProof/>
          </w:rPr>
          <w:t>8</w:t>
        </w:r>
      </w:fldSimple>
      <w:r>
        <w:rPr>
          <w:noProof/>
        </w:rPr>
        <w:t xml:space="preserve"> </w:t>
      </w:r>
      <w:r w:rsidRPr="002B4723">
        <w:rPr>
          <w:noProof/>
        </w:rPr>
        <w:t>Zaměstnanost</w:t>
      </w:r>
      <w:r w:rsidRPr="008225FC">
        <w:rPr>
          <w:noProof/>
        </w:rPr>
        <w:t xml:space="preserve"> (podle metodiky VŠPS, růst proti předchozímu roku v %)</w:t>
      </w:r>
    </w:p>
    <w:p w:rsidR="003D6289" w:rsidRPr="009D56E0" w:rsidRDefault="003D6289" w:rsidP="00D96317">
      <w:pPr>
        <w:keepNext/>
        <w:tabs>
          <w:tab w:val="left" w:pos="8647"/>
        </w:tabs>
        <w:spacing w:after="0" w:line="240" w:lineRule="auto"/>
        <w:ind w:firstLine="0"/>
        <w:jc w:val="left"/>
        <w:rPr>
          <w:sz w:val="16"/>
          <w:szCs w:val="16"/>
        </w:rPr>
      </w:pPr>
      <w:r>
        <w:rPr>
          <w:sz w:val="16"/>
          <w:szCs w:val="16"/>
        </w:rPr>
        <w:object w:dxaOrig="7351" w:dyaOrig="4208">
          <v:shape id="_x0000_i1033" type="#_x0000_t75" style="width:367.5pt;height:210.75pt" o:ole="">
            <v:imagedata r:id="rId26" o:title=""/>
          </v:shape>
          <o:OLEObject Type="Embed" ProgID="Word.Document.12" ShapeID="_x0000_i1033" DrawAspect="Content" ObjectID="_1471101698" r:id="rId27">
            <o:FieldCodes>\s</o:FieldCodes>
          </o:OLEObject>
        </w:object>
      </w:r>
    </w:p>
    <w:p w:rsidR="003D6289" w:rsidRPr="009D56E0" w:rsidRDefault="003D6289" w:rsidP="003D6289">
      <w:pPr>
        <w:keepNext/>
        <w:tabs>
          <w:tab w:val="left" w:pos="8647"/>
        </w:tabs>
        <w:spacing w:before="0" w:after="0" w:line="240" w:lineRule="auto"/>
        <w:ind w:firstLine="0"/>
        <w:jc w:val="left"/>
        <w:rPr>
          <w:i/>
          <w:iCs/>
          <w:sz w:val="20"/>
          <w:szCs w:val="20"/>
        </w:rPr>
      </w:pPr>
      <w:r w:rsidRPr="009D56E0">
        <w:rPr>
          <w:i/>
          <w:iCs/>
          <w:sz w:val="20"/>
          <w:szCs w:val="20"/>
        </w:rPr>
        <w:t>Pramen: ČSÚ, propočty MF ČR</w:t>
      </w:r>
    </w:p>
    <w:p w:rsidR="003D6289" w:rsidRPr="009D56E0" w:rsidRDefault="003D6289" w:rsidP="003D6289">
      <w:pPr>
        <w:tabs>
          <w:tab w:val="left" w:pos="8647"/>
        </w:tabs>
        <w:spacing w:before="0" w:after="240" w:line="240" w:lineRule="auto"/>
        <w:ind w:right="28" w:firstLine="0"/>
        <w:rPr>
          <w:i/>
          <w:iCs/>
          <w:sz w:val="20"/>
          <w:szCs w:val="20"/>
        </w:rPr>
      </w:pPr>
      <w:r w:rsidRPr="009D56E0">
        <w:rPr>
          <w:i/>
          <w:iCs/>
          <w:sz w:val="20"/>
          <w:szCs w:val="20"/>
        </w:rPr>
        <w:t>Poznámka: Vykázaný růst zaměstnanosti v roce 2002 byl ovlivněn metodickou změnou VŠPS</w:t>
      </w:r>
    </w:p>
    <w:p w:rsidR="003D6289" w:rsidRDefault="003D6289" w:rsidP="00AA026D">
      <w:pPr>
        <w:spacing w:after="0"/>
      </w:pPr>
      <w:r>
        <w:t xml:space="preserve">V důsledku popsaných změn na trhu práce postačuje pro snížení </w:t>
      </w:r>
      <w:r w:rsidRPr="00D96317">
        <w:t>míry nezaměstnanosti</w:t>
      </w:r>
      <w:r>
        <w:t xml:space="preserve"> stále mírnější růst reálného HDP.</w:t>
      </w:r>
    </w:p>
    <w:p w:rsidR="003D6289" w:rsidRDefault="003D6289" w:rsidP="00AA026D">
      <w:pPr>
        <w:spacing w:after="0"/>
      </w:pPr>
      <w:r>
        <w:t xml:space="preserve">Vzhledem k pokračujícímu hospodářskému oživení (začíná se zvyšovat i počet volných pracovních míst) by tak měla </w:t>
      </w:r>
      <w:r w:rsidRPr="00DC79D1">
        <w:t>míra nezaměstnanosti</w:t>
      </w:r>
      <w:r w:rsidRPr="009D56E0">
        <w:t xml:space="preserve"> </w:t>
      </w:r>
      <w:r>
        <w:t>v roce 2014</w:t>
      </w:r>
      <w:r w:rsidRPr="009D56E0">
        <w:t xml:space="preserve"> </w:t>
      </w:r>
      <w:r>
        <w:t xml:space="preserve">nadále klesat a v ročním průměru </w:t>
      </w:r>
      <w:r w:rsidRPr="009D56E0">
        <w:t xml:space="preserve">dosáhnout </w:t>
      </w:r>
      <w:r>
        <w:t>6</w:t>
      </w:r>
      <w:r w:rsidRPr="009D56E0">
        <w:t>,</w:t>
      </w:r>
      <w:r>
        <w:t>4</w:t>
      </w:r>
      <w:r w:rsidRPr="009D56E0">
        <w:t xml:space="preserve"> %. </w:t>
      </w:r>
      <w:r>
        <w:t xml:space="preserve">Pozitivním faktorem je snižující se míra dlouhodobé nezaměstnanosti, což indikuje klesající riziko přelití vyšší míry nezaměstnanosti do nezaměstnanosti strukturální. I z tohoto důvodu pro další roky očekáváme další snižování míry nezaměstnanosti až na 5,7 % v roce 2017. </w:t>
      </w:r>
    </w:p>
    <w:p w:rsidR="003D6289" w:rsidRPr="009D56E0" w:rsidRDefault="003D6289" w:rsidP="00D96317">
      <w:pPr>
        <w:pStyle w:val="Titulek"/>
        <w:spacing w:before="240"/>
        <w:jc w:val="left"/>
      </w:pPr>
      <w:r>
        <w:lastRenderedPageBreak/>
        <w:t xml:space="preserve">Graf č. </w:t>
      </w:r>
      <w:fldSimple w:instr=" SEQ Graf_č._ \* ARABIC ">
        <w:r w:rsidR="003B4B7F">
          <w:rPr>
            <w:noProof/>
          </w:rPr>
          <w:t>9</w:t>
        </w:r>
      </w:fldSimple>
      <w:r>
        <w:rPr>
          <w:noProof/>
        </w:rPr>
        <w:t xml:space="preserve"> </w:t>
      </w:r>
      <w:r w:rsidRPr="008350CD">
        <w:rPr>
          <w:noProof/>
        </w:rPr>
        <w:t>Míra nezaměstnanosti (podle metodiky VŠPS, v %)</w:t>
      </w:r>
    </w:p>
    <w:p w:rsidR="003D6289" w:rsidRPr="009D56E0" w:rsidRDefault="003D6289" w:rsidP="00D96317">
      <w:pPr>
        <w:keepNext/>
        <w:tabs>
          <w:tab w:val="left" w:pos="8647"/>
        </w:tabs>
        <w:spacing w:after="0" w:line="240" w:lineRule="auto"/>
        <w:ind w:firstLine="0"/>
        <w:jc w:val="left"/>
        <w:rPr>
          <w:szCs w:val="16"/>
        </w:rPr>
      </w:pPr>
      <w:r>
        <w:rPr>
          <w:szCs w:val="16"/>
        </w:rPr>
        <w:object w:dxaOrig="7351" w:dyaOrig="4211">
          <v:shape id="_x0000_i1034" type="#_x0000_t75" style="width:367.5pt;height:210.75pt" o:ole="">
            <v:imagedata r:id="rId28" o:title=""/>
          </v:shape>
          <o:OLEObject Type="Embed" ProgID="Word.Document.12" ShapeID="_x0000_i1034" DrawAspect="Content" ObjectID="_1471101699" r:id="rId29">
            <o:FieldCodes>\s</o:FieldCodes>
          </o:OLEObject>
        </w:object>
      </w:r>
    </w:p>
    <w:p w:rsidR="003D6289" w:rsidRPr="009D56E0" w:rsidRDefault="003D6289" w:rsidP="003D6289">
      <w:pPr>
        <w:tabs>
          <w:tab w:val="left" w:pos="8647"/>
        </w:tabs>
        <w:spacing w:before="0" w:after="480" w:line="240" w:lineRule="auto"/>
        <w:ind w:right="28" w:firstLine="0"/>
        <w:jc w:val="left"/>
        <w:rPr>
          <w:i/>
          <w:iCs/>
          <w:sz w:val="20"/>
          <w:szCs w:val="20"/>
        </w:rPr>
      </w:pPr>
      <w:r w:rsidRPr="009D56E0">
        <w:rPr>
          <w:i/>
          <w:iCs/>
          <w:sz w:val="20"/>
          <w:szCs w:val="20"/>
        </w:rPr>
        <w:t>Pramen: ČSÚ, propočty MF ČR</w:t>
      </w:r>
    </w:p>
    <w:p w:rsidR="00A24FF5" w:rsidRPr="00D77888" w:rsidRDefault="00A24FF5" w:rsidP="00B65077">
      <w:pPr>
        <w:pStyle w:val="Nadpis3"/>
      </w:pPr>
      <w:bookmarkStart w:id="67" w:name="_Toc397357464"/>
      <w:r w:rsidRPr="00D77888">
        <w:t>Mzdy</w:t>
      </w:r>
      <w:bookmarkEnd w:id="66"/>
      <w:bookmarkEnd w:id="67"/>
    </w:p>
    <w:p w:rsidR="003D6289" w:rsidRDefault="003D6289" w:rsidP="00AA026D">
      <w:pPr>
        <w:spacing w:after="0"/>
      </w:pPr>
      <w:bookmarkStart w:id="68" w:name="_Toc302128562"/>
      <w:bookmarkStart w:id="69" w:name="_Toc333680171"/>
      <w:bookmarkStart w:id="70" w:name="_Toc361667785"/>
      <w:r>
        <w:t xml:space="preserve">Růst objemu nominálních mezd a platů je v roce 2014 deformován vlivem statistického efektu přesunu </w:t>
      </w:r>
      <w:r w:rsidRPr="009D56E0">
        <w:t>velkého objemu mimořádných odměn</w:t>
      </w:r>
      <w:r>
        <w:t xml:space="preserve"> z roku 2013 do roku 2012</w:t>
      </w:r>
      <w:r w:rsidRPr="009D56E0">
        <w:t xml:space="preserve">, </w:t>
      </w:r>
      <w:r>
        <w:t xml:space="preserve">který byl dán </w:t>
      </w:r>
      <w:r w:rsidRPr="009D56E0">
        <w:t xml:space="preserve">snahou pracovníků </w:t>
      </w:r>
      <w:r>
        <w:t xml:space="preserve">s vysokými příjmy </w:t>
      </w:r>
      <w:r w:rsidRPr="009D56E0">
        <w:t>vyhnout se „solidární dani“ účinné od 1. ledna 2013.</w:t>
      </w:r>
      <w:r>
        <w:t xml:space="preserve"> I vzhledem ke zlepšující se situaci soukromého sektoru předpokládáme pro rok</w:t>
      </w:r>
      <w:r w:rsidR="00941CFE">
        <w:t xml:space="preserve"> 2014</w:t>
      </w:r>
      <w:r>
        <w:t xml:space="preserve"> meziroční růst </w:t>
      </w:r>
      <w:r w:rsidRPr="00D96317">
        <w:t>objemu nominálních mezd a platů</w:t>
      </w:r>
      <w:r>
        <w:rPr>
          <w:b/>
        </w:rPr>
        <w:t xml:space="preserve"> </w:t>
      </w:r>
      <w:r>
        <w:t>o 2,8 %.</w:t>
      </w:r>
    </w:p>
    <w:p w:rsidR="003D6289" w:rsidRPr="009D56E0" w:rsidRDefault="003D6289" w:rsidP="00D96317">
      <w:pPr>
        <w:pStyle w:val="Titulek"/>
        <w:spacing w:before="240"/>
        <w:jc w:val="left"/>
      </w:pPr>
      <w:r>
        <w:t xml:space="preserve">Graf č. </w:t>
      </w:r>
      <w:fldSimple w:instr=" SEQ Graf_č._ \* ARABIC ">
        <w:r w:rsidR="003B4B7F">
          <w:rPr>
            <w:noProof/>
          </w:rPr>
          <w:t>10</w:t>
        </w:r>
      </w:fldSimple>
      <w:r>
        <w:rPr>
          <w:noProof/>
        </w:rPr>
        <w:t xml:space="preserve"> </w:t>
      </w:r>
      <w:r w:rsidRPr="00576B35">
        <w:rPr>
          <w:noProof/>
        </w:rPr>
        <w:t>Objem mezd a platů (domácí koncept, růst proti předchozímu roku v %)</w:t>
      </w:r>
    </w:p>
    <w:p w:rsidR="003D6289" w:rsidRPr="009D56E0" w:rsidRDefault="003D6289" w:rsidP="00D96317">
      <w:pPr>
        <w:keepNext/>
        <w:tabs>
          <w:tab w:val="left" w:pos="8647"/>
        </w:tabs>
        <w:spacing w:after="0" w:line="240" w:lineRule="auto"/>
        <w:ind w:right="28" w:firstLine="0"/>
        <w:jc w:val="left"/>
        <w:rPr>
          <w:i/>
          <w:iCs/>
          <w:sz w:val="20"/>
          <w:szCs w:val="20"/>
        </w:rPr>
      </w:pPr>
      <w:r>
        <w:rPr>
          <w:i/>
          <w:iCs/>
          <w:sz w:val="20"/>
          <w:szCs w:val="20"/>
        </w:rPr>
        <w:object w:dxaOrig="7352" w:dyaOrig="4211">
          <v:shape id="_x0000_i1035" type="#_x0000_t75" style="width:367.5pt;height:210.75pt" o:ole="">
            <v:imagedata r:id="rId30" o:title=""/>
          </v:shape>
          <o:OLEObject Type="Embed" ProgID="Word.Document.12" ShapeID="_x0000_i1035" DrawAspect="Content" ObjectID="_1471101700" r:id="rId31">
            <o:FieldCodes>\s</o:FieldCodes>
          </o:OLEObject>
        </w:object>
      </w:r>
    </w:p>
    <w:p w:rsidR="003D6289" w:rsidRPr="009D56E0" w:rsidRDefault="003D6289" w:rsidP="003D6289">
      <w:pPr>
        <w:tabs>
          <w:tab w:val="left" w:pos="8647"/>
        </w:tabs>
        <w:spacing w:before="0" w:after="480" w:line="240" w:lineRule="auto"/>
        <w:ind w:right="28" w:firstLine="0"/>
        <w:jc w:val="left"/>
      </w:pPr>
      <w:r w:rsidRPr="009D56E0">
        <w:rPr>
          <w:i/>
          <w:iCs/>
          <w:sz w:val="20"/>
          <w:szCs w:val="20"/>
        </w:rPr>
        <w:t>Pramen: ČSÚ, propočty MF ČR</w:t>
      </w:r>
    </w:p>
    <w:p w:rsidR="003D6289" w:rsidRPr="009D56E0" w:rsidRDefault="003D6289" w:rsidP="00AA026D">
      <w:pPr>
        <w:spacing w:after="0"/>
      </w:pPr>
      <w:r w:rsidRPr="00E16B20">
        <w:rPr>
          <w:szCs w:val="20"/>
        </w:rPr>
        <w:lastRenderedPageBreak/>
        <w:t>Pozitivním impulz</w:t>
      </w:r>
      <w:r>
        <w:rPr>
          <w:szCs w:val="20"/>
        </w:rPr>
        <w:t>em</w:t>
      </w:r>
      <w:r w:rsidRPr="00E16B20">
        <w:rPr>
          <w:szCs w:val="20"/>
        </w:rPr>
        <w:t xml:space="preserve"> pro budoucí vývoj by kromě situace </w:t>
      </w:r>
      <w:r>
        <w:rPr>
          <w:szCs w:val="20"/>
        </w:rPr>
        <w:t xml:space="preserve">v soukromém </w:t>
      </w:r>
      <w:r w:rsidRPr="00E16B20">
        <w:rPr>
          <w:szCs w:val="20"/>
        </w:rPr>
        <w:t>sektoru měl být pokračuj</w:t>
      </w:r>
      <w:r>
        <w:rPr>
          <w:szCs w:val="20"/>
        </w:rPr>
        <w:t xml:space="preserve">ící mírný nárůst objemu platů v </w:t>
      </w:r>
      <w:r w:rsidRPr="00E16B20">
        <w:rPr>
          <w:szCs w:val="20"/>
        </w:rPr>
        <w:t>rozpočtové sféře, byť se signalizační efekty pro</w:t>
      </w:r>
      <w:r>
        <w:rPr>
          <w:szCs w:val="20"/>
        </w:rPr>
        <w:t xml:space="preserve"> </w:t>
      </w:r>
      <w:r w:rsidRPr="00E16B20">
        <w:rPr>
          <w:szCs w:val="20"/>
        </w:rPr>
        <w:t xml:space="preserve">soukromý sektor zdají být na základě analýzy minulých let relativně slabé. Naopak rizikem pro </w:t>
      </w:r>
      <w:r>
        <w:rPr>
          <w:szCs w:val="20"/>
        </w:rPr>
        <w:t xml:space="preserve">budoucnost </w:t>
      </w:r>
      <w:r w:rsidRPr="00E16B20">
        <w:rPr>
          <w:szCs w:val="20"/>
        </w:rPr>
        <w:t xml:space="preserve">je </w:t>
      </w:r>
      <w:r>
        <w:rPr>
          <w:szCs w:val="20"/>
        </w:rPr>
        <w:t xml:space="preserve">již zmíněný </w:t>
      </w:r>
      <w:r w:rsidRPr="00E16B20">
        <w:rPr>
          <w:szCs w:val="20"/>
        </w:rPr>
        <w:t xml:space="preserve">zvýšený podíl neformálních </w:t>
      </w:r>
      <w:r w:rsidRPr="00021230">
        <w:rPr>
          <w:szCs w:val="20"/>
        </w:rPr>
        <w:t>(a méně placených)</w:t>
      </w:r>
      <w:r>
        <w:rPr>
          <w:szCs w:val="20"/>
        </w:rPr>
        <w:t xml:space="preserve"> </w:t>
      </w:r>
      <w:r w:rsidRPr="00E16B20">
        <w:rPr>
          <w:szCs w:val="20"/>
        </w:rPr>
        <w:t>pracovních úvazků.</w:t>
      </w:r>
      <w:r>
        <w:rPr>
          <w:szCs w:val="20"/>
        </w:rPr>
        <w:t xml:space="preserve"> Z celkového pohledu by však s</w:t>
      </w:r>
      <w:r w:rsidRPr="009D56E0">
        <w:t> hospodářským oživením a růstem reálné produktivity práce měl růst mezd a platů postupně akcelerovat</w:t>
      </w:r>
      <w:r>
        <w:t xml:space="preserve"> až na 4,3 % v roce 2017.</w:t>
      </w:r>
    </w:p>
    <w:p w:rsidR="00A24FF5" w:rsidRPr="00D77888" w:rsidRDefault="00A24FF5" w:rsidP="00B65077">
      <w:pPr>
        <w:pStyle w:val="Nadpis2"/>
      </w:pPr>
      <w:bookmarkStart w:id="71" w:name="_Toc397357465"/>
      <w:r w:rsidRPr="00D77888">
        <w:t>Vztahy k zahraničí</w:t>
      </w:r>
      <w:bookmarkEnd w:id="68"/>
      <w:bookmarkEnd w:id="69"/>
      <w:bookmarkEnd w:id="70"/>
      <w:bookmarkEnd w:id="71"/>
    </w:p>
    <w:p w:rsidR="003D6289" w:rsidRDefault="003D6289" w:rsidP="00AA026D">
      <w:pPr>
        <w:spacing w:after="0"/>
      </w:pPr>
      <w:bookmarkStart w:id="72" w:name="_Toc302128563"/>
      <w:bookmarkStart w:id="73" w:name="_Toc333680172"/>
      <w:bookmarkStart w:id="74" w:name="_Toc361667786"/>
      <w:r>
        <w:t xml:space="preserve">Deficit </w:t>
      </w:r>
      <w:r w:rsidRPr="00D96317">
        <w:t>běžného účtu (BÚ)</w:t>
      </w:r>
      <w:r w:rsidRPr="009D56E0">
        <w:t xml:space="preserve"> platební bilance</w:t>
      </w:r>
      <w:r>
        <w:t xml:space="preserve"> se od roku 2010, kdy dosáhl 3,9 % HDP, postupně snižuje. V roce 2013 činil 1,4 % HDP a stejně jako v předešlých letech byl </w:t>
      </w:r>
      <w:r w:rsidRPr="009D56E0">
        <w:t>bez problémů financ</w:t>
      </w:r>
      <w:r>
        <w:t>ován přebytky na finančním účtu.</w:t>
      </w:r>
    </w:p>
    <w:p w:rsidR="003D6289" w:rsidRPr="009D56E0" w:rsidRDefault="003D6289" w:rsidP="00D96317">
      <w:pPr>
        <w:pStyle w:val="Titulek"/>
        <w:spacing w:before="240"/>
        <w:jc w:val="left"/>
      </w:pPr>
      <w:r>
        <w:t xml:space="preserve">Graf č. </w:t>
      </w:r>
      <w:fldSimple w:instr=" SEQ Graf_č._ \* ARABIC ">
        <w:r w:rsidR="003B4B7F">
          <w:rPr>
            <w:noProof/>
          </w:rPr>
          <w:t>11</w:t>
        </w:r>
      </w:fldSimple>
      <w:r>
        <w:rPr>
          <w:noProof/>
        </w:rPr>
        <w:t xml:space="preserve"> </w:t>
      </w:r>
      <w:r w:rsidRPr="0071748A">
        <w:rPr>
          <w:noProof/>
        </w:rPr>
        <w:t>Saldo běžného účtu platební bilance (poměr k HDP v %)</w:t>
      </w:r>
    </w:p>
    <w:p w:rsidR="003D6289" w:rsidRPr="009D56E0" w:rsidRDefault="003D6289" w:rsidP="00D96317">
      <w:pPr>
        <w:keepNext/>
        <w:tabs>
          <w:tab w:val="left" w:pos="8647"/>
        </w:tabs>
        <w:spacing w:after="0" w:line="240" w:lineRule="auto"/>
        <w:ind w:firstLine="0"/>
        <w:jc w:val="left"/>
        <w:rPr>
          <w:rFonts w:ascii="Arial" w:hAnsi="Arial" w:cs="Arial"/>
          <w:sz w:val="21"/>
          <w:szCs w:val="21"/>
        </w:rPr>
      </w:pPr>
      <w:r>
        <w:rPr>
          <w:rFonts w:ascii="Arial" w:hAnsi="Arial" w:cs="Arial"/>
          <w:sz w:val="21"/>
          <w:szCs w:val="21"/>
        </w:rPr>
        <w:object w:dxaOrig="7352" w:dyaOrig="4207">
          <v:shape id="_x0000_i1036" type="#_x0000_t75" style="width:367.5pt;height:210pt" o:ole="">
            <v:imagedata r:id="rId32" o:title=""/>
          </v:shape>
          <o:OLEObject Type="Embed" ProgID="Word.Document.12" ShapeID="_x0000_i1036" DrawAspect="Content" ObjectID="_1471101701" r:id="rId33">
            <o:FieldCodes>\s</o:FieldCodes>
          </o:OLEObject>
        </w:object>
      </w:r>
    </w:p>
    <w:p w:rsidR="003D6289" w:rsidRPr="009D56E0" w:rsidRDefault="003D6289" w:rsidP="003D6289">
      <w:pPr>
        <w:keepNext/>
        <w:tabs>
          <w:tab w:val="left" w:pos="8647"/>
        </w:tabs>
        <w:spacing w:before="0" w:after="480" w:line="240" w:lineRule="auto"/>
        <w:ind w:right="28" w:firstLine="0"/>
        <w:jc w:val="left"/>
        <w:rPr>
          <w:i/>
          <w:iCs/>
          <w:sz w:val="20"/>
          <w:szCs w:val="20"/>
        </w:rPr>
      </w:pPr>
      <w:r w:rsidRPr="009D56E0">
        <w:rPr>
          <w:i/>
          <w:iCs/>
          <w:sz w:val="20"/>
          <w:szCs w:val="20"/>
        </w:rPr>
        <w:t>Pramen: ČNB, ČSÚ, propočty MF ČR</w:t>
      </w:r>
    </w:p>
    <w:p w:rsidR="003D6289" w:rsidRDefault="003D6289" w:rsidP="00AA026D">
      <w:pPr>
        <w:spacing w:after="0"/>
      </w:pPr>
      <w:r w:rsidRPr="009D56E0">
        <w:t xml:space="preserve">V rámci </w:t>
      </w:r>
      <w:r>
        <w:t>jednotlivých složek</w:t>
      </w:r>
      <w:r w:rsidRPr="009D56E0">
        <w:t xml:space="preserve"> se saldo obchodu se zbožím zvýšilo o 1,</w:t>
      </w:r>
      <w:r>
        <w:t>0</w:t>
      </w:r>
      <w:r w:rsidRPr="009D56E0">
        <w:t xml:space="preserve"> p. b. </w:t>
      </w:r>
      <w:proofErr w:type="gramStart"/>
      <w:r w:rsidRPr="009D56E0">
        <w:t>na</w:t>
      </w:r>
      <w:proofErr w:type="gramEnd"/>
      <w:r>
        <w:t xml:space="preserve"> 4</w:t>
      </w:r>
      <w:r w:rsidRPr="009D56E0">
        <w:t xml:space="preserve">,8 % HDP, což byl nejlepší výsledek v historii ČR. Při deficitu </w:t>
      </w:r>
      <w:r>
        <w:t xml:space="preserve">bilance </w:t>
      </w:r>
      <w:r w:rsidRPr="009D56E0">
        <w:t>paliv a </w:t>
      </w:r>
      <w:r>
        <w:t>energií (SITC 3) ve výši 5,2</w:t>
      </w:r>
      <w:r w:rsidRPr="009D56E0">
        <w:t xml:space="preserve"> % HDP tak </w:t>
      </w:r>
      <w:r>
        <w:t>přebytek ostatních komodit činil</w:t>
      </w:r>
      <w:r w:rsidRPr="009D56E0">
        <w:t xml:space="preserve"> dokonce </w:t>
      </w:r>
      <w:r>
        <w:t>10,0</w:t>
      </w:r>
      <w:r w:rsidRPr="009D56E0">
        <w:t> % HDP. Přebytek obchodu se službami se snížil o 0,2 </w:t>
      </w:r>
      <w:r>
        <w:t xml:space="preserve">p. b. </w:t>
      </w:r>
      <w:proofErr w:type="gramStart"/>
      <w:r>
        <w:t>na</w:t>
      </w:r>
      <w:proofErr w:type="gramEnd"/>
      <w:r>
        <w:t xml:space="preserve"> 1,4</w:t>
      </w:r>
      <w:r w:rsidRPr="009D56E0">
        <w:t> % HDP. Setrvale deficitní bilance výnosů, která obsahuje zejména transfery zisků z přímých zahraničn</w:t>
      </w:r>
      <w:r>
        <w:t>ích investic, se zhoršila o 1</w:t>
      </w:r>
      <w:r w:rsidRPr="009D56E0">
        <w:t>,</w:t>
      </w:r>
      <w:r>
        <w:t>2 </w:t>
      </w:r>
      <w:proofErr w:type="gramStart"/>
      <w:r>
        <w:t>p. </w:t>
      </w:r>
      <w:r w:rsidR="00C16DA4">
        <w:t>b. a dosáhla</w:t>
      </w:r>
      <w:proofErr w:type="gramEnd"/>
      <w:r w:rsidR="00C16DA4">
        <w:t xml:space="preserve"> tak</w:t>
      </w:r>
      <w:r w:rsidR="00883700">
        <w:t xml:space="preserve"> deficitu </w:t>
      </w:r>
      <w:r>
        <w:t>8,0</w:t>
      </w:r>
      <w:r w:rsidR="00883700">
        <w:t xml:space="preserve"> % </w:t>
      </w:r>
      <w:r w:rsidRPr="009D56E0">
        <w:t xml:space="preserve">HDP. Bilance běžných převodů </w:t>
      </w:r>
      <w:r>
        <w:t>skončila s mírným přebytkem ve výši 0,4 % HDP</w:t>
      </w:r>
      <w:r w:rsidRPr="009D56E0">
        <w:t>.</w:t>
      </w:r>
    </w:p>
    <w:p w:rsidR="003D6289" w:rsidRDefault="003D6289" w:rsidP="00AA026D">
      <w:pPr>
        <w:spacing w:after="0"/>
      </w:pPr>
      <w:r>
        <w:lastRenderedPageBreak/>
        <w:t xml:space="preserve">Očekávané oživení domácí poptávky v ekonomikách hlavních obchodních partnerů by mělo příznivě ovlivnit dynamiku exportních trhů (vážený průměr růstu dovozu šesti nejvýznamnějších obchodních partnerů ČR). Díky </w:t>
      </w:r>
      <w:r w:rsidRPr="00326C9D">
        <w:t>větší cenov</w:t>
      </w:r>
      <w:r>
        <w:t>é</w:t>
      </w:r>
      <w:r w:rsidRPr="00326C9D">
        <w:t xml:space="preserve"> konkurenceschopnost</w:t>
      </w:r>
      <w:r>
        <w:t>i</w:t>
      </w:r>
      <w:r w:rsidRPr="00326C9D">
        <w:t xml:space="preserve"> českých exportérů</w:t>
      </w:r>
      <w:r>
        <w:t xml:space="preserve"> dané oslabením kurzu koruny vůči euru počítáme také s nárůstem</w:t>
      </w:r>
      <w:r w:rsidRPr="00326C9D">
        <w:t xml:space="preserve"> exportní výkonnosti</w:t>
      </w:r>
      <w:r>
        <w:t>, která zachycuje změnu podílu ČR na exportních trzích</w:t>
      </w:r>
      <w:r w:rsidRPr="00326C9D">
        <w:t>.</w:t>
      </w:r>
      <w:r>
        <w:t xml:space="preserve"> P</w:t>
      </w:r>
      <w:r w:rsidRPr="002F4CCD">
        <w:t>ředpokládáme,</w:t>
      </w:r>
      <w:r>
        <w:t xml:space="preserve"> že v roce 2014 dojde k výraznému</w:t>
      </w:r>
      <w:r w:rsidRPr="002F4CCD">
        <w:t xml:space="preserve"> zlepšení salda </w:t>
      </w:r>
      <w:r>
        <w:t>BÚ</w:t>
      </w:r>
      <w:r w:rsidRPr="002F4CCD">
        <w:t xml:space="preserve"> na 0,4 % HDP</w:t>
      </w:r>
      <w:r w:rsidRPr="002F4CCD">
        <w:rPr>
          <w:i/>
        </w:rPr>
        <w:t>.</w:t>
      </w:r>
      <w:r w:rsidRPr="002F4CCD">
        <w:t xml:space="preserve"> </w:t>
      </w:r>
      <w:r>
        <w:t xml:space="preserve">BÚ by tak poprvé od roku 1993 za celý kalendářní rok vykázal přebytek. </w:t>
      </w:r>
      <w:r w:rsidRPr="002F4CCD">
        <w:t>Očekáváme, že v roce 2015</w:t>
      </w:r>
      <w:r>
        <w:t xml:space="preserve">, kdy již kurzový efekt pomine, </w:t>
      </w:r>
      <w:r w:rsidRPr="002F4CCD">
        <w:t xml:space="preserve">by </w:t>
      </w:r>
      <w:r>
        <w:t>BÚ</w:t>
      </w:r>
      <w:r w:rsidRPr="002F4CCD">
        <w:t xml:space="preserve"> </w:t>
      </w:r>
      <w:r>
        <w:t>mohl</w:t>
      </w:r>
      <w:r w:rsidRPr="002F4CCD">
        <w:t xml:space="preserve"> být vyrovnaný</w:t>
      </w:r>
      <w:r>
        <w:t>, v dalších letech výhledu pak velmi mírně deficitní</w:t>
      </w:r>
      <w:r w:rsidRPr="002F4CCD">
        <w:t>.</w:t>
      </w:r>
    </w:p>
    <w:p w:rsidR="00A24FF5" w:rsidRPr="00D77888" w:rsidRDefault="00A24FF5" w:rsidP="004E52C3">
      <w:pPr>
        <w:pStyle w:val="Nadpis1"/>
      </w:pPr>
      <w:bookmarkStart w:id="75" w:name="_Toc397357466"/>
      <w:r w:rsidRPr="00D77888">
        <w:t>Ověření makroekonomického rámce nezávislými prognózami</w:t>
      </w:r>
      <w:bookmarkEnd w:id="72"/>
      <w:bookmarkEnd w:id="73"/>
      <w:bookmarkEnd w:id="74"/>
      <w:bookmarkEnd w:id="75"/>
    </w:p>
    <w:p w:rsidR="003D6289" w:rsidRDefault="003D6289" w:rsidP="00AA026D">
      <w:pPr>
        <w:pStyle w:val="ZKDvouslopcovpozn"/>
        <w:spacing w:before="120" w:after="0" w:line="360" w:lineRule="auto"/>
        <w:ind w:firstLine="709"/>
        <w:rPr>
          <w:rFonts w:ascii="Times New Roman" w:hAnsi="Times New Roman"/>
          <w:i w:val="0"/>
          <w:iCs/>
          <w:kern w:val="0"/>
        </w:rPr>
      </w:pPr>
      <w:r w:rsidRPr="009D56E0">
        <w:rPr>
          <w:rFonts w:ascii="Times New Roman" w:hAnsi="Times New Roman"/>
          <w:i w:val="0"/>
          <w:iCs/>
          <w:kern w:val="0"/>
        </w:rPr>
        <w:t>MF ČR monitoruje makroekonomické predikce ostatních institucí zabývajících se předpovídáním budoucího vývoje české ekonomiky. Z veřejně přístupných datových zdrojů jsou průběžně sledovány prognózy 11 institucí, z čehož 6 institucí je tuzemských (ČNB, MPSV, domácí banky a investiční společnosti)</w:t>
      </w:r>
      <w:r>
        <w:rPr>
          <w:rFonts w:ascii="Times New Roman" w:hAnsi="Times New Roman"/>
          <w:i w:val="0"/>
          <w:iCs/>
          <w:kern w:val="0"/>
        </w:rPr>
        <w:t>,</w:t>
      </w:r>
      <w:r w:rsidRPr="009D56E0">
        <w:rPr>
          <w:rFonts w:ascii="Times New Roman" w:hAnsi="Times New Roman"/>
          <w:i w:val="0"/>
          <w:iCs/>
          <w:kern w:val="0"/>
        </w:rPr>
        <w:t xml:space="preserve"> ostatní jsou zahraniční (Evropská komise, OECD, MMF aj.). Výsledky jsou shrnuty v následující tabulce.</w:t>
      </w:r>
    </w:p>
    <w:p w:rsidR="003D6289" w:rsidRPr="009D56E0" w:rsidRDefault="003D6289" w:rsidP="00D96317">
      <w:pPr>
        <w:pStyle w:val="Titulek"/>
        <w:spacing w:before="240"/>
        <w:jc w:val="left"/>
      </w:pPr>
      <w:r>
        <w:t xml:space="preserve">Tabulka č. </w:t>
      </w:r>
      <w:fldSimple w:instr=" SEQ Tabulka_č._ \* ARABIC ">
        <w:r w:rsidR="003B4B7F">
          <w:rPr>
            <w:noProof/>
          </w:rPr>
          <w:t>2</w:t>
        </w:r>
      </w:fldSimple>
      <w:r>
        <w:rPr>
          <w:noProof/>
        </w:rPr>
        <w:t xml:space="preserve"> </w:t>
      </w:r>
      <w:r w:rsidRPr="006B7212">
        <w:rPr>
          <w:noProof/>
        </w:rPr>
        <w:t>Ověření makroekonomického rámce nezávislými prognózami</w:t>
      </w:r>
    </w:p>
    <w:p w:rsidR="003D6289" w:rsidRPr="009D56E0" w:rsidRDefault="008E78AA" w:rsidP="003D6289">
      <w:pPr>
        <w:tabs>
          <w:tab w:val="left" w:pos="8647"/>
        </w:tabs>
        <w:spacing w:line="240" w:lineRule="auto"/>
        <w:ind w:right="28" w:firstLine="0"/>
        <w:jc w:val="left"/>
      </w:pPr>
      <w:r>
        <w:pict>
          <v:shape id="_x0000_i1037" type="#_x0000_t75" style="width:453.75pt;height:123.75pt">
            <v:imagedata r:id="rId34" o:title=""/>
          </v:shape>
        </w:pict>
      </w:r>
    </w:p>
    <w:p w:rsidR="003D6289" w:rsidRDefault="003D6289" w:rsidP="003D6289">
      <w:pPr>
        <w:tabs>
          <w:tab w:val="left" w:pos="8647"/>
        </w:tabs>
        <w:spacing w:before="0" w:after="480" w:line="240" w:lineRule="auto"/>
        <w:ind w:right="28" w:firstLine="0"/>
        <w:jc w:val="left"/>
        <w:rPr>
          <w:i/>
          <w:iCs/>
          <w:sz w:val="20"/>
          <w:szCs w:val="20"/>
        </w:rPr>
      </w:pPr>
      <w:r w:rsidRPr="009D56E0">
        <w:rPr>
          <w:i/>
          <w:iCs/>
          <w:sz w:val="20"/>
          <w:szCs w:val="20"/>
        </w:rPr>
        <w:t>Pramen: prognózy jednotlivých institucí</w:t>
      </w:r>
      <w:r>
        <w:rPr>
          <w:i/>
          <w:iCs/>
          <w:sz w:val="20"/>
          <w:szCs w:val="20"/>
        </w:rPr>
        <w:t xml:space="preserve"> k začátku srpna 2014</w:t>
      </w:r>
      <w:r w:rsidRPr="009D56E0">
        <w:rPr>
          <w:i/>
          <w:iCs/>
          <w:sz w:val="20"/>
          <w:szCs w:val="20"/>
        </w:rPr>
        <w:t>, propočty MF ČR</w:t>
      </w:r>
    </w:p>
    <w:p w:rsidR="003D6289" w:rsidRDefault="003D6289" w:rsidP="00AA026D">
      <w:pPr>
        <w:pStyle w:val="ZKDvouslopcovpozn"/>
        <w:spacing w:line="360" w:lineRule="auto"/>
        <w:ind w:firstLine="709"/>
        <w:rPr>
          <w:rFonts w:ascii="Times New Roman" w:hAnsi="Times New Roman"/>
          <w:i w:val="0"/>
          <w:iCs/>
          <w:kern w:val="0"/>
        </w:rPr>
      </w:pPr>
      <w:r>
        <w:rPr>
          <w:rFonts w:ascii="Times New Roman" w:hAnsi="Times New Roman"/>
          <w:i w:val="0"/>
          <w:iCs/>
          <w:kern w:val="0"/>
        </w:rPr>
        <w:t xml:space="preserve">Prognóza MF ČR pro rok 2015 je z pohledu růstu HDP, průměrné míry inflace a růstu průměrné mzdy konzervativní, neboť predikované hodnoty těchto ukazatelů se nacházejí v 1. polovině intervalů daných minimálními a </w:t>
      </w:r>
      <w:proofErr w:type="spellStart"/>
      <w:r>
        <w:rPr>
          <w:rFonts w:ascii="Times New Roman" w:hAnsi="Times New Roman"/>
          <w:i w:val="0"/>
          <w:iCs/>
          <w:kern w:val="0"/>
        </w:rPr>
        <w:t>maximalními</w:t>
      </w:r>
      <w:proofErr w:type="spellEnd"/>
      <w:r>
        <w:rPr>
          <w:rFonts w:ascii="Times New Roman" w:hAnsi="Times New Roman"/>
          <w:i w:val="0"/>
          <w:iCs/>
          <w:kern w:val="0"/>
        </w:rPr>
        <w:t xml:space="preserve"> predikovanými hodnotami zvažovaných institucí. Současně je v tomto smyslu i konzistentní, neboť všechny tři veličiny jsou spolu úzce provázány. Predikce poměru deficitu běžného účtu k HDP je ve srovnání s ostatními optimistická, jedná se však o ukazatel s nejnižší vazbou k problematice návrhu rozpočtu na rok </w:t>
      </w:r>
      <w:r>
        <w:rPr>
          <w:rFonts w:ascii="Times New Roman" w:hAnsi="Times New Roman"/>
          <w:i w:val="0"/>
          <w:iCs/>
          <w:kern w:val="0"/>
        </w:rPr>
        <w:lastRenderedPageBreak/>
        <w:t>2015. Ani minimální predikovaná hodnota tohoto ukazatele nepředstavuje pro vývoj české ekonomiky žádná rizika.</w:t>
      </w:r>
    </w:p>
    <w:p w:rsidR="00A24FF5" w:rsidRPr="009D56E0" w:rsidRDefault="00A24FF5" w:rsidP="00B65077"/>
    <w:p w:rsidR="00A24FF5" w:rsidRPr="00D77888" w:rsidRDefault="00A24FF5" w:rsidP="00E90FB0">
      <w:pPr>
        <w:pStyle w:val="Nadpishlavnsti"/>
        <w:rPr>
          <w:highlight w:val="yellow"/>
        </w:rPr>
      </w:pPr>
      <w:bookmarkStart w:id="76" w:name="_Toc397357467"/>
      <w:r w:rsidRPr="0078640E">
        <w:lastRenderedPageBreak/>
        <w:t>B</w:t>
      </w:r>
      <w:r w:rsidRPr="005C2AC1">
        <w:t>. Fiskální cíle</w:t>
      </w:r>
      <w:r w:rsidR="00DB689E" w:rsidRPr="005C2AC1">
        <w:t>ní centrální vlády v letech 2015</w:t>
      </w:r>
      <w:r w:rsidRPr="005C2AC1">
        <w:t xml:space="preserve"> až 201</w:t>
      </w:r>
      <w:bookmarkEnd w:id="18"/>
      <w:bookmarkEnd w:id="19"/>
      <w:bookmarkEnd w:id="20"/>
      <w:r w:rsidR="00201EAA" w:rsidRPr="005C2AC1">
        <w:t>7</w:t>
      </w:r>
      <w:bookmarkEnd w:id="76"/>
    </w:p>
    <w:p w:rsidR="00DB689E" w:rsidRPr="00D562DC" w:rsidRDefault="00DB689E" w:rsidP="00DB689E">
      <w:bookmarkStart w:id="77" w:name="_Toc333680174"/>
      <w:r w:rsidRPr="00D562DC">
        <w:t xml:space="preserve">Významným systémovým prvkem rozpočtového procesu je povinnost vlády prezentovat střednědobé fiskální cíle a </w:t>
      </w:r>
      <w:r>
        <w:t>s nimi provázaný</w:t>
      </w:r>
      <w:r w:rsidRPr="00D562DC">
        <w:t xml:space="preserve"> střednědobý výdajový rámec. Operativním kritériem, z jehož plnění se vláda zodpovídá, je dodržování limitů výdajů státního rozpočtu a</w:t>
      </w:r>
      <w:r w:rsidR="00635BE3">
        <w:t> </w:t>
      </w:r>
      <w:r w:rsidRPr="00D562DC">
        <w:t>státních fondů v jednotlivých letech střednědobého výdajového rámce.</w:t>
      </w:r>
    </w:p>
    <w:p w:rsidR="00A24FF5" w:rsidRPr="00D77888" w:rsidRDefault="00DB689E" w:rsidP="00DB689E">
      <w:pPr>
        <w:rPr>
          <w:highlight w:val="yellow"/>
        </w:rPr>
      </w:pPr>
      <w:r w:rsidRPr="00D562DC">
        <w:t>Závaznost střednědobého výdajového rámce vyplývá ze zákona č. 218/2000 Sb., o</w:t>
      </w:r>
      <w:r>
        <w:t> </w:t>
      </w:r>
      <w:r w:rsidRPr="00D562DC">
        <w:t>rozpočtových pravidlech.</w:t>
      </w:r>
      <w:r>
        <w:t xml:space="preserve"> V roce 2012 vstoupila v platnost novela </w:t>
      </w:r>
      <w:r w:rsidRPr="00D562DC">
        <w:t xml:space="preserve">zákona č. 218/2000 Sb. </w:t>
      </w:r>
      <w:r>
        <w:t>(zákon č. 501/2012 Sb.), která upravuje náplň částek výdajového rámce tak, že jsou nyní plně konzistentní s metodikou sestavování státního rozpočtu a rozpočtů státních fondů.</w:t>
      </w:r>
      <w:r>
        <w:rPr>
          <w:rStyle w:val="Znakapoznpodarou"/>
        </w:rPr>
        <w:footnoteReference w:id="4"/>
      </w:r>
    </w:p>
    <w:p w:rsidR="00A24FF5" w:rsidRPr="005C2AC1" w:rsidRDefault="005C2AC1" w:rsidP="00E0574E">
      <w:pPr>
        <w:pStyle w:val="Nadpis1"/>
      </w:pPr>
      <w:bookmarkStart w:id="78" w:name="_Toc397357468"/>
      <w:r w:rsidRPr="005C2AC1">
        <w:t>Schválený výdajový</w:t>
      </w:r>
      <w:r w:rsidR="00A24FF5" w:rsidRPr="005C2AC1">
        <w:t xml:space="preserve"> rám</w:t>
      </w:r>
      <w:r w:rsidRPr="005C2AC1">
        <w:t>ec</w:t>
      </w:r>
      <w:r w:rsidR="00A24FF5" w:rsidRPr="005C2AC1">
        <w:t xml:space="preserve"> pro roky 2</w:t>
      </w:r>
      <w:r w:rsidR="00DB689E" w:rsidRPr="005C2AC1">
        <w:t>015</w:t>
      </w:r>
      <w:r w:rsidR="00A24FF5" w:rsidRPr="005C2AC1">
        <w:t xml:space="preserve"> a 201</w:t>
      </w:r>
      <w:bookmarkEnd w:id="77"/>
      <w:r w:rsidR="00DB689E" w:rsidRPr="005C2AC1">
        <w:t>6</w:t>
      </w:r>
      <w:bookmarkEnd w:id="78"/>
    </w:p>
    <w:p w:rsidR="00A24FF5" w:rsidRPr="00DB689E" w:rsidRDefault="00DB689E" w:rsidP="00DB689E">
      <w:r w:rsidRPr="00D562DC">
        <w:t>Poslanecká sněmovna schválila dne 1</w:t>
      </w:r>
      <w:r>
        <w:t>9</w:t>
      </w:r>
      <w:r w:rsidRPr="00D562DC">
        <w:t>. prosince 201</w:t>
      </w:r>
      <w:r>
        <w:t>3</w:t>
      </w:r>
      <w:r w:rsidRPr="00D562DC">
        <w:t xml:space="preserve"> usnesením č. </w:t>
      </w:r>
      <w:r>
        <w:t>71</w:t>
      </w:r>
      <w:r w:rsidRPr="00D562DC">
        <w:t>/201</w:t>
      </w:r>
      <w:r>
        <w:t>3</w:t>
      </w:r>
      <w:r w:rsidRPr="00D562DC">
        <w:t xml:space="preserve"> částky střednědobého výdajového rámce na </w:t>
      </w:r>
      <w:r w:rsidRPr="00EF46BF">
        <w:rPr>
          <w:snapToGrid w:val="0"/>
        </w:rPr>
        <w:t>1 153,0</w:t>
      </w:r>
      <w:r>
        <w:rPr>
          <w:snapToGrid w:val="0"/>
        </w:rPr>
        <w:t> </w:t>
      </w:r>
      <w:r w:rsidRPr="00D562DC">
        <w:t>mld. Kč pro rok 201</w:t>
      </w:r>
      <w:r>
        <w:t>5</w:t>
      </w:r>
      <w:r w:rsidRPr="00D562DC">
        <w:t xml:space="preserve"> a </w:t>
      </w:r>
      <w:r>
        <w:rPr>
          <w:snapToGrid w:val="0"/>
        </w:rPr>
        <w:t xml:space="preserve">1 163,5 </w:t>
      </w:r>
      <w:r w:rsidRPr="00D562DC">
        <w:t>mld. Kč pro rok 201</w:t>
      </w:r>
      <w:r>
        <w:t>6 (</w:t>
      </w:r>
      <w:r w:rsidRPr="00D562DC">
        <w:t>v</w:t>
      </w:r>
      <w:r>
        <w:t> </w:t>
      </w:r>
      <w:r w:rsidRPr="00D562DC">
        <w:t>konsolidovaném vyjádření</w:t>
      </w:r>
      <w:r>
        <w:t>), které svým usnesením č. 385/2014 navýšila o 16 mld. Kč pro rok 2015 a 27,5 mld. Kč pro rok 2016. Na</w:t>
      </w:r>
      <w:r w:rsidRPr="00D562DC">
        <w:t xml:space="preserve"> rok 201</w:t>
      </w:r>
      <w:r>
        <w:t>5</w:t>
      </w:r>
      <w:r w:rsidRPr="00D562DC">
        <w:t xml:space="preserve"> </w:t>
      </w:r>
      <w:r>
        <w:t xml:space="preserve">je dále </w:t>
      </w:r>
      <w:r w:rsidRPr="00D562DC">
        <w:t>částka rámce</w:t>
      </w:r>
      <w:r>
        <w:t xml:space="preserve"> v souladu s </w:t>
      </w:r>
      <w:r w:rsidRPr="00D562DC">
        <w:t>§8a zákona č. 218/2000 Sb.</w:t>
      </w:r>
      <w:r>
        <w:t xml:space="preserve">, </w:t>
      </w:r>
      <w:r w:rsidRPr="00D562DC">
        <w:t>o</w:t>
      </w:r>
      <w:r>
        <w:t> </w:t>
      </w:r>
      <w:r w:rsidRPr="00D562DC">
        <w:t>rozpočtových pravidlech</w:t>
      </w:r>
      <w:r>
        <w:t xml:space="preserve">, </w:t>
      </w:r>
      <w:r w:rsidRPr="00D562DC">
        <w:t>zvýšena o</w:t>
      </w:r>
      <w:r>
        <w:t> 88,7</w:t>
      </w:r>
      <w:r w:rsidRPr="00D562DC">
        <w:t xml:space="preserve"> mld. Kč v důsledku očekávaných výdajů spolufinancovaných z</w:t>
      </w:r>
      <w:r>
        <w:t> </w:t>
      </w:r>
      <w:r w:rsidRPr="00D562DC">
        <w:t>fondů Evropské unie a z finančních mechanismů</w:t>
      </w:r>
      <w:r>
        <w:t>. P</w:t>
      </w:r>
      <w:r w:rsidRPr="00D562DC">
        <w:t xml:space="preserve">o aktualizaci výše dotačních vztahů mezi státním rozpočtem a státními fondy (konsolidace) </w:t>
      </w:r>
      <w:r>
        <w:t xml:space="preserve">dosahují částky </w:t>
      </w:r>
      <w:r w:rsidRPr="00D562DC">
        <w:t>schválené</w:t>
      </w:r>
      <w:r>
        <w:t>ho</w:t>
      </w:r>
      <w:r w:rsidRPr="00D562DC">
        <w:t xml:space="preserve"> výdajové</w:t>
      </w:r>
      <w:r>
        <w:t>ho</w:t>
      </w:r>
      <w:r w:rsidRPr="00D562DC">
        <w:t xml:space="preserve"> rámce hodnot </w:t>
      </w:r>
      <w:r w:rsidRPr="00BC1BE9">
        <w:t>1 257,7</w:t>
      </w:r>
      <w:r>
        <w:t xml:space="preserve"> </w:t>
      </w:r>
      <w:r w:rsidRPr="00D562DC">
        <w:t>mld. Kč pro rok 201</w:t>
      </w:r>
      <w:r>
        <w:t>5</w:t>
      </w:r>
      <w:r w:rsidRPr="00D562DC">
        <w:t xml:space="preserve"> a</w:t>
      </w:r>
      <w:r w:rsidR="00635BE3">
        <w:t> </w:t>
      </w:r>
      <w:r w:rsidRPr="00BC1BE9">
        <w:t>1</w:t>
      </w:r>
      <w:r>
        <w:t> </w:t>
      </w:r>
      <w:r w:rsidRPr="00BC1BE9">
        <w:t>191,0</w:t>
      </w:r>
      <w:r>
        <w:t xml:space="preserve"> mld. Kč </w:t>
      </w:r>
      <w:r w:rsidRPr="00D562DC">
        <w:t>pro rok 201</w:t>
      </w:r>
      <w:r>
        <w:t>6</w:t>
      </w:r>
      <w:r w:rsidRPr="00D562DC">
        <w:t xml:space="preserve"> (viz </w:t>
      </w:r>
      <w:r w:rsidR="00090B79">
        <w:t xml:space="preserve">tabulka </w:t>
      </w:r>
      <w:r>
        <w:t>3).</w:t>
      </w:r>
    </w:p>
    <w:p w:rsidR="00A24FF5" w:rsidRPr="005C2AC1" w:rsidRDefault="005D56DE" w:rsidP="00605E1F">
      <w:pPr>
        <w:pStyle w:val="Titulek"/>
        <w:spacing w:before="240"/>
        <w:jc w:val="left"/>
      </w:pPr>
      <w:r w:rsidRPr="005C2AC1">
        <w:t xml:space="preserve">Tabulka </w:t>
      </w:r>
      <w:proofErr w:type="gramStart"/>
      <w:r w:rsidRPr="005C2AC1">
        <w:t xml:space="preserve">č. </w:t>
      </w:r>
      <w:fldSimple w:instr=" SEQ Tabulka_č._ \* ARABIC ">
        <w:r w:rsidR="003B4B7F">
          <w:rPr>
            <w:noProof/>
          </w:rPr>
          <w:t>3</w:t>
        </w:r>
      </w:fldSimple>
      <w:r w:rsidRPr="005C2AC1">
        <w:rPr>
          <w:noProof/>
        </w:rPr>
        <w:t xml:space="preserve"> </w:t>
      </w:r>
      <w:r w:rsidR="00A24FF5" w:rsidRPr="005C2AC1">
        <w:t>Úprava</w:t>
      </w:r>
      <w:proofErr w:type="gramEnd"/>
      <w:r w:rsidR="00A24FF5" w:rsidRPr="005C2AC1">
        <w:t xml:space="preserve"> </w:t>
      </w:r>
      <w:r w:rsidR="00DB689E" w:rsidRPr="005C2AC1">
        <w:t xml:space="preserve">původního </w:t>
      </w:r>
      <w:r w:rsidR="00A24FF5" w:rsidRPr="005C2AC1">
        <w:t xml:space="preserve">střednědobého výdajového rámce (SDVR) </w:t>
      </w:r>
      <w:r w:rsidR="00A24FF5" w:rsidRPr="005C2AC1">
        <w:rPr>
          <w:b w:val="0"/>
          <w:i/>
        </w:rPr>
        <w:t>v</w:t>
      </w:r>
      <w:r w:rsidR="00A24FF5" w:rsidRPr="005C2AC1">
        <w:t> </w:t>
      </w:r>
      <w:r w:rsidR="00A24FF5" w:rsidRPr="005C2AC1">
        <w:rPr>
          <w:b w:val="0"/>
          <w:i/>
        </w:rPr>
        <w:t>mld. Kč</w:t>
      </w:r>
    </w:p>
    <w:p w:rsidR="00DB689E" w:rsidRDefault="00165919" w:rsidP="00DB689E">
      <w:pPr>
        <w:spacing w:after="0" w:line="240" w:lineRule="auto"/>
        <w:ind w:firstLine="0"/>
        <w:jc w:val="left"/>
      </w:pPr>
      <w:bookmarkStart w:id="79" w:name="_Toc333680175"/>
      <w:r>
        <w:pict>
          <v:shape id="_x0000_i1038" type="#_x0000_t75" style="width:453pt;height:65.25pt">
            <v:imagedata r:id="rId35" o:title=""/>
          </v:shape>
        </w:pict>
      </w:r>
    </w:p>
    <w:p w:rsidR="00DB689E" w:rsidRDefault="00DB689E" w:rsidP="00DB689E">
      <w:pPr>
        <w:ind w:firstLine="0"/>
        <w:rPr>
          <w:i/>
          <w:sz w:val="20"/>
        </w:rPr>
      </w:pPr>
      <w:r w:rsidRPr="00DA4C15">
        <w:rPr>
          <w:i/>
          <w:sz w:val="20"/>
        </w:rPr>
        <w:t>Pozn.:</w:t>
      </w:r>
      <w:r>
        <w:rPr>
          <w:i/>
          <w:sz w:val="20"/>
        </w:rPr>
        <w:t xml:space="preserve"> SDVR označuje střednědobý výdajový rámec pro státní rozpočet a státní fondy. Částky SDVR jsou na konsolidované bázi.</w:t>
      </w:r>
    </w:p>
    <w:p w:rsidR="00A24FF5" w:rsidRPr="005C2AC1" w:rsidRDefault="00090B79" w:rsidP="00041E99">
      <w:pPr>
        <w:pStyle w:val="Nadpis1"/>
      </w:pPr>
      <w:bookmarkStart w:id="80" w:name="_Toc397357469"/>
      <w:r w:rsidRPr="005C2AC1">
        <w:lastRenderedPageBreak/>
        <w:t>Nový výdajový rámec na léta 2015</w:t>
      </w:r>
      <w:r w:rsidR="00A24FF5" w:rsidRPr="005C2AC1">
        <w:t xml:space="preserve"> až 201</w:t>
      </w:r>
      <w:bookmarkEnd w:id="79"/>
      <w:r w:rsidRPr="005C2AC1">
        <w:t>7</w:t>
      </w:r>
      <w:bookmarkEnd w:id="80"/>
    </w:p>
    <w:p w:rsidR="00201EAA" w:rsidRDefault="00201EAA" w:rsidP="00201EAA">
      <w:r>
        <w:t xml:space="preserve">Dne </w:t>
      </w:r>
      <w:r w:rsidRPr="0029657C">
        <w:t xml:space="preserve">20. června </w:t>
      </w:r>
      <w:r>
        <w:t xml:space="preserve">2014 ukončila </w:t>
      </w:r>
      <w:r w:rsidRPr="0029657C">
        <w:t xml:space="preserve">Rada EU s ohledem na </w:t>
      </w:r>
      <w:r>
        <w:t xml:space="preserve">výsledek hospodaření vládního sektoru za rok 2013 (deficit 1,5 % HDP) a očekávaný výhled hospodaření v letech následujících </w:t>
      </w:r>
      <w:r w:rsidRPr="0029657C">
        <w:t>postup při nadměrném schodku</w:t>
      </w:r>
      <w:r>
        <w:t xml:space="preserve">, který vedla </w:t>
      </w:r>
      <w:r w:rsidRPr="0029657C">
        <w:t>s ČR od prosince 2009. Jeho cílem bylo důvěryhodným a udržitelným způsobem snížit poměr deficitu vládního sektoru k HDP (metodika ESA 95, EDP) pod referenční hranici 3 %</w:t>
      </w:r>
      <w:r>
        <w:t>.</w:t>
      </w:r>
    </w:p>
    <w:p w:rsidR="00A24FF5" w:rsidRDefault="00201EAA" w:rsidP="00201EAA">
      <w:r>
        <w:t xml:space="preserve">Aktualizace strategie fiskální politiky ČR, která vychází z červencové Makroekonomické predikce MF ČR, je založena na postupném snižování strukturálního deficitu vládního sektoru každoročně o 0,5 </w:t>
      </w:r>
      <w:proofErr w:type="spellStart"/>
      <w:proofErr w:type="gramStart"/>
      <w:r>
        <w:t>p.b</w:t>
      </w:r>
      <w:proofErr w:type="spellEnd"/>
      <w:r>
        <w:t>. z plánovaných</w:t>
      </w:r>
      <w:proofErr w:type="gramEnd"/>
      <w:r>
        <w:t xml:space="preserve"> 2,2 % HDP v roce 2015</w:t>
      </w:r>
      <w:r w:rsidR="00090B79">
        <w:t xml:space="preserve"> (viz g</w:t>
      </w:r>
      <w:r>
        <w:t>raf 12). S ohledem na</w:t>
      </w:r>
      <w:r w:rsidR="00635BE3">
        <w:t> </w:t>
      </w:r>
      <w:r>
        <w:t xml:space="preserve">očekávané ekonomické oživení by tím fiskální politika měla působit </w:t>
      </w:r>
      <w:proofErr w:type="spellStart"/>
      <w:r>
        <w:t>proticyklicky</w:t>
      </w:r>
      <w:proofErr w:type="spellEnd"/>
      <w:r>
        <w:t>. Celkový schodek vládního sektoru by tak měl v letech výhledu při zabezpečení dostatku prostředků na</w:t>
      </w:r>
      <w:r w:rsidR="00635BE3">
        <w:t> </w:t>
      </w:r>
      <w:r>
        <w:t xml:space="preserve">sociálně a </w:t>
      </w:r>
      <w:proofErr w:type="spellStart"/>
      <w:r>
        <w:t>prorůstově</w:t>
      </w:r>
      <w:proofErr w:type="spellEnd"/>
      <w:r>
        <w:t xml:space="preserve"> orientovanou hospodářskou politiku nastoupit trajektorii snižování.</w:t>
      </w:r>
    </w:p>
    <w:p w:rsidR="00BA4871" w:rsidRDefault="00BA4871" w:rsidP="00201EAA">
      <w:r>
        <w:t xml:space="preserve">Strategie počítá s příjmy z plánovaných opatření zamezujících daňovým únikům. </w:t>
      </w:r>
    </w:p>
    <w:p w:rsidR="00F33F39" w:rsidRDefault="00F33F39" w:rsidP="00F8263A">
      <w:pPr>
        <w:pStyle w:val="Titulek"/>
        <w:spacing w:before="240" w:after="0"/>
        <w:jc w:val="left"/>
        <w:rPr>
          <w:noProof/>
        </w:rPr>
      </w:pPr>
      <w:r>
        <w:t xml:space="preserve">Graf č. </w:t>
      </w:r>
      <w:fldSimple w:instr=" SEQ Graf_č._ \* ARABIC ">
        <w:r w:rsidR="003B4B7F">
          <w:rPr>
            <w:noProof/>
          </w:rPr>
          <w:t>12</w:t>
        </w:r>
      </w:fldSimple>
      <w:r>
        <w:rPr>
          <w:noProof/>
        </w:rPr>
        <w:t xml:space="preserve"> </w:t>
      </w:r>
      <w:r w:rsidR="00F8263A">
        <w:rPr>
          <w:noProof/>
        </w:rPr>
        <w:t>Vývoj celkového a strukturálního salda vládního sektoru v letech 2009 – 2017</w:t>
      </w:r>
    </w:p>
    <w:p w:rsidR="00F8263A" w:rsidRPr="00F8263A" w:rsidRDefault="00F8263A" w:rsidP="004A67B7">
      <w:pPr>
        <w:spacing w:before="0"/>
        <w:rPr>
          <w:bCs/>
          <w:i/>
          <w:sz w:val="18"/>
          <w:szCs w:val="18"/>
        </w:rPr>
      </w:pPr>
      <w:r>
        <w:rPr>
          <w:bCs/>
          <w:i/>
          <w:sz w:val="18"/>
          <w:szCs w:val="18"/>
        </w:rPr>
        <w:t xml:space="preserve">        </w:t>
      </w:r>
      <w:r w:rsidRPr="00F8263A">
        <w:rPr>
          <w:bCs/>
          <w:i/>
          <w:sz w:val="18"/>
          <w:szCs w:val="18"/>
        </w:rPr>
        <w:t>(akruální metodika ESA 95, v % HDP)</w:t>
      </w:r>
    </w:p>
    <w:p w:rsidR="00F33F39" w:rsidRDefault="00165919" w:rsidP="00F8263A">
      <w:pPr>
        <w:ind w:firstLine="0"/>
      </w:pPr>
      <w:r>
        <w:pict>
          <v:shape id="_x0000_i1039" type="#_x0000_t75" style="width:320.25pt;height:204pt">
            <v:imagedata r:id="rId36" o:title=""/>
          </v:shape>
        </w:pict>
      </w:r>
    </w:p>
    <w:p w:rsidR="00F8263A" w:rsidRDefault="00F8263A" w:rsidP="00F8263A">
      <w:pPr>
        <w:spacing w:before="360"/>
      </w:pPr>
      <w:r>
        <w:t>Při odvození částek střednědobého výdajového rámce z celkového salda vládního sektoru v akruální metodice bylo zapotřebí vyjít z předpokladů o výsledku hospodaření ostatních složek vládního sektoru vyjma hospodaření státního rozpočtu a státních fondů (viz tabulka 4). Tabulka však uvádí hodnoty pouze v akruální metodice ESA 95.</w:t>
      </w:r>
    </w:p>
    <w:p w:rsidR="00F8263A" w:rsidRDefault="00F8263A" w:rsidP="00F8263A">
      <w:pPr>
        <w:ind w:firstLine="0"/>
      </w:pPr>
    </w:p>
    <w:p w:rsidR="005D56DE" w:rsidRDefault="005D56DE" w:rsidP="005C2AC1">
      <w:pPr>
        <w:pStyle w:val="Titulek"/>
        <w:spacing w:before="240"/>
        <w:ind w:left="1418" w:hanging="1418"/>
        <w:jc w:val="left"/>
        <w:rPr>
          <w:b w:val="0"/>
          <w:bCs/>
          <w:i/>
          <w:sz w:val="18"/>
          <w:szCs w:val="18"/>
        </w:rPr>
      </w:pPr>
      <w:r w:rsidRPr="005C2AC1">
        <w:lastRenderedPageBreak/>
        <w:t xml:space="preserve">Tabulka č. </w:t>
      </w:r>
      <w:fldSimple w:instr=" SEQ Tabulka_č._ \* ARABIC ">
        <w:r w:rsidR="003B4B7F">
          <w:rPr>
            <w:noProof/>
          </w:rPr>
          <w:t>4</w:t>
        </w:r>
      </w:fldSimple>
      <w:r w:rsidRPr="005C2AC1">
        <w:rPr>
          <w:noProof/>
        </w:rPr>
        <w:t xml:space="preserve"> </w:t>
      </w:r>
      <w:r w:rsidR="005C2AC1" w:rsidRPr="005C2AC1">
        <w:rPr>
          <w:noProof/>
        </w:rPr>
        <w:t xml:space="preserve"> </w:t>
      </w:r>
      <w:r w:rsidR="00090B79" w:rsidRPr="005C2AC1">
        <w:rPr>
          <w:noProof/>
        </w:rPr>
        <w:t>Odvození</w:t>
      </w:r>
      <w:r w:rsidR="00090B79" w:rsidRPr="005C2AC1">
        <w:t xml:space="preserve"> akruální výše salda státního rozpočtu a státních fondů z celkového salda vládního sektoru</w:t>
      </w:r>
      <w:r w:rsidR="00090B79" w:rsidRPr="005C2AC1">
        <w:rPr>
          <w:bCs/>
        </w:rPr>
        <w:br/>
      </w:r>
      <w:r w:rsidR="00090B79" w:rsidRPr="005C2AC1">
        <w:rPr>
          <w:b w:val="0"/>
          <w:bCs/>
          <w:i/>
          <w:sz w:val="18"/>
          <w:szCs w:val="18"/>
        </w:rPr>
        <w:t>(akruální metodika ESA 95, v % HDP)</w:t>
      </w:r>
    </w:p>
    <w:p w:rsidR="005C2AC1" w:rsidRPr="005C2AC1" w:rsidRDefault="00165919" w:rsidP="005C2AC1">
      <w:pPr>
        <w:spacing w:after="0"/>
        <w:ind w:firstLine="0"/>
        <w:jc w:val="left"/>
        <w:rPr>
          <w:highlight w:val="yellow"/>
        </w:rPr>
      </w:pPr>
      <w:r>
        <w:pict>
          <v:shape id="_x0000_i1040" type="#_x0000_t75" style="width:453pt;height:129.75pt">
            <v:imagedata r:id="rId37" o:title=""/>
          </v:shape>
        </w:pict>
      </w:r>
    </w:p>
    <w:p w:rsidR="00A24FF5" w:rsidRDefault="005C2AC1" w:rsidP="00B8574D">
      <w:pPr>
        <w:spacing w:before="0" w:after="0" w:line="240" w:lineRule="auto"/>
        <w:ind w:firstLine="0"/>
        <w:rPr>
          <w:i/>
          <w:sz w:val="20"/>
        </w:rPr>
      </w:pPr>
      <w:r w:rsidRPr="00DA4C15">
        <w:rPr>
          <w:i/>
          <w:sz w:val="20"/>
        </w:rPr>
        <w:t>Pozn.:</w:t>
      </w:r>
      <w:r>
        <w:rPr>
          <w:i/>
          <w:sz w:val="20"/>
        </w:rPr>
        <w:t xml:space="preserve"> SR označuje státní rozpočet, SF státní fondy.</w:t>
      </w:r>
    </w:p>
    <w:p w:rsidR="005C2AC1" w:rsidRPr="00090B79" w:rsidRDefault="005C2AC1" w:rsidP="00B8574D">
      <w:pPr>
        <w:spacing w:before="0" w:after="0" w:line="240" w:lineRule="auto"/>
        <w:ind w:firstLine="0"/>
      </w:pPr>
    </w:p>
    <w:p w:rsidR="005C2AC1" w:rsidRDefault="005C2AC1" w:rsidP="005C2AC1">
      <w:r w:rsidRPr="00E30A1B">
        <w:t xml:space="preserve">Nově navržené </w:t>
      </w:r>
      <w:r>
        <w:t xml:space="preserve">částky </w:t>
      </w:r>
      <w:r w:rsidRPr="00E30A1B">
        <w:t>střednědobé</w:t>
      </w:r>
      <w:r>
        <w:t>ho</w:t>
      </w:r>
      <w:r w:rsidRPr="00E30A1B">
        <w:t xml:space="preserve"> výdajové</w:t>
      </w:r>
      <w:r>
        <w:t>ho</w:t>
      </w:r>
      <w:r w:rsidRPr="00E30A1B">
        <w:t xml:space="preserve"> rámce státn</w:t>
      </w:r>
      <w:r>
        <w:t>ího rozpočtu a státních fondů v </w:t>
      </w:r>
      <w:r w:rsidRPr="00E30A1B">
        <w:t xml:space="preserve">konsolidovaném vyjádření tedy činí </w:t>
      </w:r>
      <w:r>
        <w:t>1249,1</w:t>
      </w:r>
      <w:r w:rsidRPr="00E30A1B">
        <w:t xml:space="preserve"> </w:t>
      </w:r>
      <w:r>
        <w:t>mld. Kč pro rok 2015</w:t>
      </w:r>
      <w:r w:rsidRPr="00E30A1B">
        <w:t>, d</w:t>
      </w:r>
      <w:r>
        <w:t xml:space="preserve">ále 1182,3 mld. Kč pro rok 2016 a 1214,9 mld. Kč pro rok 2017. </w:t>
      </w:r>
      <w:r w:rsidRPr="00731280">
        <w:t>Výdajový rámec na rok 201</w:t>
      </w:r>
      <w:r>
        <w:t>5</w:t>
      </w:r>
      <w:r w:rsidRPr="00731280">
        <w:t xml:space="preserve"> byl </w:t>
      </w:r>
      <w:r>
        <w:t xml:space="preserve">snížen </w:t>
      </w:r>
      <w:r w:rsidRPr="00731280">
        <w:t>o </w:t>
      </w:r>
      <w:r>
        <w:t>8,6</w:t>
      </w:r>
      <w:r w:rsidRPr="00731280">
        <w:t xml:space="preserve"> mld. Kč, </w:t>
      </w:r>
      <w:r>
        <w:t>na rok 2016 o 8,7 mld. Kč (viz tabulka 5</w:t>
      </w:r>
      <w:r w:rsidRPr="00731280">
        <w:t>).</w:t>
      </w:r>
    </w:p>
    <w:p w:rsidR="00A24FF5" w:rsidRPr="00090B79" w:rsidRDefault="001966AF" w:rsidP="005C2AC1">
      <w:pPr>
        <w:pStyle w:val="Titulek"/>
        <w:spacing w:before="240"/>
        <w:ind w:left="1418" w:hanging="1418"/>
        <w:jc w:val="left"/>
        <w:rPr>
          <w:rStyle w:val="Kurzva"/>
          <w:b w:val="0"/>
        </w:rPr>
      </w:pPr>
      <w:r w:rsidRPr="005C2AC1">
        <w:t xml:space="preserve">Tabulka č. </w:t>
      </w:r>
      <w:fldSimple w:instr=" SEQ Tabulka_č._ \* ARABIC ">
        <w:r w:rsidR="003B4B7F">
          <w:rPr>
            <w:noProof/>
          </w:rPr>
          <w:t>5</w:t>
        </w:r>
      </w:fldSimple>
      <w:r w:rsidRPr="005C2AC1">
        <w:rPr>
          <w:noProof/>
        </w:rPr>
        <w:t xml:space="preserve"> </w:t>
      </w:r>
      <w:r w:rsidR="00A11C09" w:rsidRPr="005C2AC1">
        <w:rPr>
          <w:noProof/>
        </w:rPr>
        <w:t xml:space="preserve"> </w:t>
      </w:r>
      <w:r w:rsidR="00A24FF5" w:rsidRPr="005C2AC1">
        <w:t>Rozdíly mezi upraveným SDVR schvá</w:t>
      </w:r>
      <w:r w:rsidR="005C2AC1" w:rsidRPr="005C2AC1">
        <w:t>leným v roce 2013, upravené v roce 2014 a</w:t>
      </w:r>
      <w:r w:rsidR="00A24FF5" w:rsidRPr="005C2AC1">
        <w:t xml:space="preserve"> nově navrž</w:t>
      </w:r>
      <w:r w:rsidR="005C2AC1" w:rsidRPr="005C2AC1">
        <w:t>ené částky  SDVR až do roku 2017</w:t>
      </w:r>
      <w:r w:rsidR="00A24FF5" w:rsidRPr="005C2AC1">
        <w:t xml:space="preserve"> </w:t>
      </w:r>
      <w:r w:rsidR="00A24FF5" w:rsidRPr="005C2AC1">
        <w:rPr>
          <w:rStyle w:val="Kurzva"/>
          <w:b w:val="0"/>
        </w:rPr>
        <w:t>(v mld. Kč)</w:t>
      </w:r>
    </w:p>
    <w:p w:rsidR="00A24FF5" w:rsidRPr="00090B79" w:rsidRDefault="00165919" w:rsidP="005C2AC1">
      <w:pPr>
        <w:ind w:firstLine="0"/>
        <w:jc w:val="left"/>
      </w:pPr>
      <w:r>
        <w:pict>
          <v:shape id="_x0000_i1041" type="#_x0000_t75" style="width:453pt;height:52.5pt">
            <v:imagedata r:id="rId38" o:title=""/>
          </v:shape>
        </w:pict>
      </w:r>
    </w:p>
    <w:p w:rsidR="00A24FF5" w:rsidRPr="00090B79" w:rsidRDefault="00A24FF5" w:rsidP="009963F9">
      <w:pPr>
        <w:spacing w:after="0"/>
      </w:pPr>
    </w:p>
    <w:p w:rsidR="00A24FF5" w:rsidRPr="00BE375B" w:rsidRDefault="00A24FF5" w:rsidP="00037457">
      <w:pPr>
        <w:pStyle w:val="Nadpishlavnsti"/>
        <w:ind w:left="540" w:hanging="540"/>
      </w:pPr>
      <w:bookmarkStart w:id="81" w:name="_Toc206999977"/>
      <w:bookmarkStart w:id="82" w:name="_Toc241917796"/>
      <w:bookmarkStart w:id="83" w:name="_Toc333680176"/>
      <w:bookmarkStart w:id="84" w:name="_Toc397357470"/>
      <w:r w:rsidRPr="00381D61">
        <w:lastRenderedPageBreak/>
        <w:t xml:space="preserve">C. </w:t>
      </w:r>
      <w:r w:rsidRPr="00BE375B">
        <w:t>Vývoj základních ukazatelů střednědobého výhledu v letech 201</w:t>
      </w:r>
      <w:r w:rsidR="00D922BC">
        <w:t>6</w:t>
      </w:r>
      <w:r w:rsidRPr="00BE375B">
        <w:t xml:space="preserve"> až 201</w:t>
      </w:r>
      <w:bookmarkEnd w:id="81"/>
      <w:bookmarkEnd w:id="82"/>
      <w:bookmarkEnd w:id="83"/>
      <w:r w:rsidR="00D922BC">
        <w:t>7</w:t>
      </w:r>
      <w:bookmarkEnd w:id="84"/>
    </w:p>
    <w:p w:rsidR="00A24FF5" w:rsidRPr="00D77888" w:rsidRDefault="00A24FF5" w:rsidP="00DF76C5">
      <w:pPr>
        <w:pStyle w:val="Nadpis1"/>
        <w:ind w:left="360" w:hanging="360"/>
      </w:pPr>
      <w:bookmarkStart w:id="85" w:name="_Toc206999979"/>
      <w:bookmarkStart w:id="86" w:name="_Toc241917798"/>
      <w:bookmarkStart w:id="87" w:name="_Toc333680177"/>
      <w:bookmarkStart w:id="88" w:name="_Toc397357471"/>
      <w:r w:rsidRPr="00D77888">
        <w:t>Základní ukazatele státního rozpočtu</w:t>
      </w:r>
      <w:bookmarkEnd w:id="85"/>
      <w:bookmarkEnd w:id="86"/>
      <w:r w:rsidRPr="00D77888">
        <w:t xml:space="preserve"> ve střednědobém výhledu</w:t>
      </w:r>
      <w:bookmarkEnd w:id="87"/>
      <w:bookmarkEnd w:id="88"/>
    </w:p>
    <w:p w:rsidR="00A24FF5" w:rsidRPr="00D77888" w:rsidRDefault="00A24FF5" w:rsidP="00074A51">
      <w:pPr>
        <w:pStyle w:val="Nadpis2"/>
      </w:pPr>
      <w:bookmarkStart w:id="89" w:name="_Toc206999980"/>
      <w:bookmarkStart w:id="90" w:name="_Toc241917799"/>
      <w:bookmarkStart w:id="91" w:name="_Toc333680178"/>
      <w:bookmarkStart w:id="92" w:name="_Toc397357472"/>
      <w:r w:rsidRPr="00D77888">
        <w:t>Východiska zpracování střednědobého výhledu</w:t>
      </w:r>
      <w:bookmarkEnd w:id="89"/>
      <w:bookmarkEnd w:id="90"/>
      <w:bookmarkEnd w:id="91"/>
      <w:bookmarkEnd w:id="92"/>
    </w:p>
    <w:p w:rsidR="00A534CC" w:rsidRPr="00D9259E" w:rsidRDefault="00A534CC" w:rsidP="00D9259E">
      <w:pPr>
        <w:numPr>
          <w:ilvl w:val="0"/>
          <w:numId w:val="20"/>
        </w:numPr>
        <w:tabs>
          <w:tab w:val="clear" w:pos="170"/>
          <w:tab w:val="num" w:pos="720"/>
        </w:tabs>
        <w:spacing w:before="0" w:after="0"/>
        <w:ind w:left="720" w:hanging="720"/>
      </w:pPr>
      <w:r w:rsidRPr="00D9259E">
        <w:t>Programové prohlášení vlády České republiky</w:t>
      </w:r>
      <w:r w:rsidR="00D9259E">
        <w:t>.</w:t>
      </w:r>
    </w:p>
    <w:p w:rsidR="00A534CC" w:rsidRPr="00D9259E" w:rsidRDefault="00A534CC" w:rsidP="00D9259E">
      <w:pPr>
        <w:numPr>
          <w:ilvl w:val="0"/>
          <w:numId w:val="20"/>
        </w:numPr>
        <w:tabs>
          <w:tab w:val="clear" w:pos="170"/>
          <w:tab w:val="num" w:pos="720"/>
        </w:tabs>
        <w:spacing w:before="0" w:after="0"/>
        <w:ind w:left="720" w:hanging="720"/>
      </w:pPr>
      <w:r w:rsidRPr="00D9259E">
        <w:t xml:space="preserve">Zvýšené výdajové rámce na rok </w:t>
      </w:r>
      <w:smartTag w:uri="urn:schemas-microsoft-com:office:smarttags" w:element="metricconverter">
        <w:smartTagPr>
          <w:attr w:name="ProductID" w:val="2015 a"/>
        </w:smartTagPr>
        <w:r w:rsidRPr="00D9259E">
          <w:t>2015 a</w:t>
        </w:r>
      </w:smartTag>
      <w:r w:rsidRPr="00D9259E">
        <w:t xml:space="preserve"> 2016 schválené usnesením vlády č. 385 ze dne 28. května </w:t>
      </w:r>
      <w:smartTag w:uri="urn:schemas-microsoft-com:office:smarttags" w:element="metricconverter">
        <w:smartTagPr>
          <w:attr w:name="ProductID" w:val="2014 a"/>
        </w:smartTagPr>
        <w:r w:rsidRPr="00D9259E">
          <w:t>2014 a</w:t>
        </w:r>
      </w:smartTag>
      <w:r w:rsidRPr="00D9259E">
        <w:t xml:space="preserve"> předložené Poslanecké sněmovně Parlamentu ČR ke schválení v září 2014</w:t>
      </w:r>
      <w:r w:rsidR="00D9259E">
        <w:t>.</w:t>
      </w:r>
    </w:p>
    <w:p w:rsidR="00A24FF5" w:rsidRPr="00D9259E" w:rsidRDefault="00A534CC" w:rsidP="00D9259E">
      <w:pPr>
        <w:numPr>
          <w:ilvl w:val="0"/>
          <w:numId w:val="20"/>
        </w:numPr>
        <w:tabs>
          <w:tab w:val="clear" w:pos="170"/>
          <w:tab w:val="num" w:pos="720"/>
        </w:tabs>
        <w:spacing w:before="0" w:after="0"/>
        <w:ind w:left="720" w:hanging="720"/>
      </w:pPr>
      <w:r w:rsidRPr="00D9259E">
        <w:t>S</w:t>
      </w:r>
      <w:r w:rsidR="00A24FF5" w:rsidRPr="00D9259E">
        <w:t>třednědobý výhled s</w:t>
      </w:r>
      <w:r w:rsidR="00A43288" w:rsidRPr="00D9259E">
        <w:t>tátního rozpočtu ČR na léta 2015 a 2016</w:t>
      </w:r>
      <w:r w:rsidR="00A24FF5" w:rsidRPr="00D9259E">
        <w:t xml:space="preserve"> schválený usnesením vlády </w:t>
      </w:r>
      <w:r w:rsidRPr="00D9259E">
        <w:t>č. 729/2013 a předložený PSP ČR na vědomí</w:t>
      </w:r>
      <w:r w:rsidR="00D9259E">
        <w:t>.</w:t>
      </w:r>
    </w:p>
    <w:p w:rsidR="00A24FF5" w:rsidRPr="00D9259E" w:rsidRDefault="00A534CC" w:rsidP="00D9259E">
      <w:pPr>
        <w:numPr>
          <w:ilvl w:val="0"/>
          <w:numId w:val="20"/>
        </w:numPr>
        <w:tabs>
          <w:tab w:val="clear" w:pos="170"/>
          <w:tab w:val="num" w:pos="720"/>
        </w:tabs>
        <w:spacing w:before="0" w:after="0"/>
        <w:ind w:left="720" w:hanging="720"/>
      </w:pPr>
      <w:r w:rsidRPr="00D9259E">
        <w:t>N</w:t>
      </w:r>
      <w:r w:rsidR="00A24FF5" w:rsidRPr="00D9259E">
        <w:t>ávrhy příjmů a výdajů rozpočtových kapitol a státních fondů schválených usnesením vlády č. 43</w:t>
      </w:r>
      <w:r w:rsidR="00A43288" w:rsidRPr="00D9259E">
        <w:t>7</w:t>
      </w:r>
      <w:r w:rsidR="00A24FF5" w:rsidRPr="00D9259E">
        <w:t xml:space="preserve"> ze dne </w:t>
      </w:r>
      <w:r w:rsidRPr="00D9259E">
        <w:t>16</w:t>
      </w:r>
      <w:r w:rsidR="00A24FF5" w:rsidRPr="00D9259E">
        <w:t>. června</w:t>
      </w:r>
      <w:r w:rsidR="00A43288" w:rsidRPr="00D9259E">
        <w:t xml:space="preserve"> 2014</w:t>
      </w:r>
      <w:r w:rsidR="00D9259E">
        <w:t>.</w:t>
      </w:r>
    </w:p>
    <w:p w:rsidR="00A24FF5" w:rsidRPr="00D9259E" w:rsidRDefault="00A534CC" w:rsidP="00D9259E">
      <w:pPr>
        <w:numPr>
          <w:ilvl w:val="0"/>
          <w:numId w:val="20"/>
        </w:numPr>
        <w:tabs>
          <w:tab w:val="clear" w:pos="170"/>
          <w:tab w:val="num" w:pos="720"/>
        </w:tabs>
        <w:spacing w:before="0" w:after="0"/>
        <w:ind w:left="720" w:hanging="720"/>
      </w:pPr>
      <w:r w:rsidRPr="00D9259E">
        <w:t>V</w:t>
      </w:r>
      <w:r w:rsidR="00A24FF5" w:rsidRPr="00D9259E">
        <w:t> příjmech a ve výdajích na rok 201</w:t>
      </w:r>
      <w:r w:rsidR="00A43288" w:rsidRPr="00D9259E">
        <w:t>6</w:t>
      </w:r>
      <w:r w:rsidR="00A24FF5" w:rsidRPr="00D9259E">
        <w:t xml:space="preserve"> a 201</w:t>
      </w:r>
      <w:r w:rsidR="00A43288" w:rsidRPr="00D9259E">
        <w:t>7</w:t>
      </w:r>
      <w:r w:rsidR="00A24FF5" w:rsidRPr="00D9259E">
        <w:t xml:space="preserve"> nejsou zahrnut</w:t>
      </w:r>
      <w:r w:rsidR="00A43288" w:rsidRPr="00D9259E">
        <w:t>y prostředky z rozpočtu EU a</w:t>
      </w:r>
      <w:r w:rsidR="008D1D10">
        <w:t> </w:t>
      </w:r>
      <w:r w:rsidR="00A43288" w:rsidRPr="00D9259E">
        <w:t>FM</w:t>
      </w:r>
      <w:r w:rsidR="00D9259E">
        <w:t>.</w:t>
      </w:r>
    </w:p>
    <w:p w:rsidR="00A24FF5" w:rsidRPr="00D9259E" w:rsidRDefault="00A534CC" w:rsidP="00D9259E">
      <w:pPr>
        <w:numPr>
          <w:ilvl w:val="0"/>
          <w:numId w:val="20"/>
        </w:numPr>
        <w:tabs>
          <w:tab w:val="clear" w:pos="170"/>
          <w:tab w:val="num" w:pos="720"/>
        </w:tabs>
        <w:spacing w:before="0" w:after="0"/>
        <w:ind w:left="720" w:hanging="720"/>
      </w:pPr>
      <w:r w:rsidRPr="00D9259E">
        <w:t>P</w:t>
      </w:r>
      <w:r w:rsidR="00A24FF5" w:rsidRPr="00D9259E">
        <w:t>redikce základních makroekonomických indikátorů do roku 201</w:t>
      </w:r>
      <w:r w:rsidR="00A43288" w:rsidRPr="00D9259E">
        <w:t>7</w:t>
      </w:r>
      <w:r w:rsidR="00A24FF5" w:rsidRPr="00D9259E">
        <w:t xml:space="preserve"> zpracovaná Ministerstvem financí v </w:t>
      </w:r>
      <w:r w:rsidR="00A43288" w:rsidRPr="00D9259E">
        <w:t>červenci 2014</w:t>
      </w:r>
      <w:r w:rsidR="00D9259E">
        <w:t>.</w:t>
      </w:r>
    </w:p>
    <w:p w:rsidR="00A24FF5" w:rsidRPr="003A12C7" w:rsidRDefault="004E52C3" w:rsidP="003A12C7">
      <w:pPr>
        <w:pStyle w:val="Titulek"/>
        <w:spacing w:line="360" w:lineRule="auto"/>
        <w:ind w:firstLine="720"/>
        <w:jc w:val="both"/>
        <w:rPr>
          <w:b w:val="0"/>
        </w:rPr>
      </w:pPr>
      <w:r>
        <w:rPr>
          <w:b w:val="0"/>
        </w:rPr>
        <w:t>Na léta 2016 a 2017</w:t>
      </w:r>
      <w:r w:rsidR="00A24FF5" w:rsidRPr="003A12C7">
        <w:rPr>
          <w:b w:val="0"/>
        </w:rPr>
        <w:t xml:space="preserve"> jsou navrženy střednědobé výdajové rámce státního rozpočtu a</w:t>
      </w:r>
      <w:r w:rsidR="008D1D10">
        <w:rPr>
          <w:b w:val="0"/>
        </w:rPr>
        <w:t> </w:t>
      </w:r>
      <w:r w:rsidR="00A24FF5" w:rsidRPr="003A12C7">
        <w:rPr>
          <w:b w:val="0"/>
        </w:rPr>
        <w:t>státních</w:t>
      </w:r>
      <w:r w:rsidR="00A24FF5">
        <w:t xml:space="preserve"> </w:t>
      </w:r>
      <w:r w:rsidR="00A24FF5" w:rsidRPr="003A12C7">
        <w:rPr>
          <w:b w:val="0"/>
        </w:rPr>
        <w:t xml:space="preserve">fondů </w:t>
      </w:r>
      <w:r w:rsidR="00A24FF5">
        <w:rPr>
          <w:b w:val="0"/>
        </w:rPr>
        <w:t>(v metodice sestavování stá</w:t>
      </w:r>
      <w:r w:rsidR="00A977A5">
        <w:rPr>
          <w:b w:val="0"/>
        </w:rPr>
        <w:t>tního rozpočtu a konsolidované) v následující výši.</w:t>
      </w:r>
    </w:p>
    <w:p w:rsidR="00A24FF5" w:rsidRPr="00BE375B" w:rsidRDefault="00BA31C6" w:rsidP="0069338F">
      <w:pPr>
        <w:pStyle w:val="Titulek"/>
        <w:spacing w:before="240"/>
        <w:jc w:val="left"/>
      </w:pPr>
      <w:r>
        <w:t xml:space="preserve">Tabulka č. </w:t>
      </w:r>
      <w:fldSimple w:instr=" SEQ Tabulka_č._ \* ARABIC ">
        <w:r w:rsidR="003B4B7F">
          <w:rPr>
            <w:noProof/>
          </w:rPr>
          <w:t>6</w:t>
        </w:r>
      </w:fldSimple>
      <w:r>
        <w:rPr>
          <w:noProof/>
        </w:rPr>
        <w:t xml:space="preserve"> </w:t>
      </w:r>
      <w:r w:rsidR="00A24FF5" w:rsidRPr="0069338F">
        <w:t>Středně</w:t>
      </w:r>
      <w:r w:rsidR="00A977A5" w:rsidRPr="0069338F">
        <w:t>dobé výdajové rámce na léta 2016 – 2017</w:t>
      </w:r>
      <w:r w:rsidR="00A24FF5" w:rsidRPr="0069338F">
        <w:t xml:space="preserve"> </w:t>
      </w:r>
      <w:r w:rsidR="00A24FF5" w:rsidRPr="0069338F">
        <w:rPr>
          <w:b w:val="0"/>
          <w:i/>
        </w:rPr>
        <w:t>(v mld. Kč)</w:t>
      </w:r>
    </w:p>
    <w:p w:rsidR="00A24FF5" w:rsidRPr="00BE375B" w:rsidRDefault="00165919" w:rsidP="001966AF">
      <w:pPr>
        <w:ind w:firstLine="0"/>
        <w:jc w:val="left"/>
      </w:pPr>
      <w:r>
        <w:pict>
          <v:shape id="_x0000_i1042" type="#_x0000_t75" style="width:294.75pt;height:116.25pt">
            <v:imagedata r:id="rId39" o:title=""/>
          </v:shape>
        </w:pict>
      </w:r>
    </w:p>
    <w:p w:rsidR="00A24FF5" w:rsidRPr="00BE375B" w:rsidRDefault="00A24FF5" w:rsidP="00543635">
      <w:pPr>
        <w:ind w:firstLine="720"/>
      </w:pPr>
    </w:p>
    <w:p w:rsidR="00A24FF5" w:rsidRPr="00BE375B" w:rsidRDefault="00A24FF5" w:rsidP="00543635">
      <w:pPr>
        <w:ind w:firstLine="720"/>
      </w:pPr>
      <w:r>
        <w:lastRenderedPageBreak/>
        <w:t>Souhrnn</w:t>
      </w:r>
      <w:r w:rsidR="00A977A5">
        <w:t>ou</w:t>
      </w:r>
      <w:r>
        <w:t xml:space="preserve"> bilanc</w:t>
      </w:r>
      <w:r w:rsidR="00A977A5">
        <w:t>i</w:t>
      </w:r>
      <w:r>
        <w:t xml:space="preserve"> základních ukazatelů</w:t>
      </w:r>
      <w:r w:rsidR="00A977A5">
        <w:t xml:space="preserve"> státního rozpočtu v letech 2015 až 2017</w:t>
      </w:r>
      <w:r>
        <w:t xml:space="preserve"> </w:t>
      </w:r>
      <w:r w:rsidR="00A977A5">
        <w:t>demonstruje</w:t>
      </w:r>
      <w:r>
        <w:t xml:space="preserve"> následující tabulka. </w:t>
      </w:r>
    </w:p>
    <w:p w:rsidR="00A24FF5" w:rsidRPr="00BE375B" w:rsidRDefault="00BA31C6" w:rsidP="0069338F">
      <w:pPr>
        <w:pStyle w:val="Titulek"/>
        <w:spacing w:before="240"/>
        <w:jc w:val="left"/>
      </w:pPr>
      <w:r>
        <w:t xml:space="preserve">Tabulka č. </w:t>
      </w:r>
      <w:fldSimple w:instr=" SEQ Tabulka_č._ \* ARABIC ">
        <w:r w:rsidR="003B4B7F">
          <w:rPr>
            <w:noProof/>
          </w:rPr>
          <w:t>7</w:t>
        </w:r>
      </w:fldSimple>
      <w:r>
        <w:rPr>
          <w:noProof/>
        </w:rPr>
        <w:t xml:space="preserve"> </w:t>
      </w:r>
      <w:r w:rsidR="00A24FF5" w:rsidRPr="0069338F">
        <w:t>Souhrnné veličiny celkových příjmů, celkových výdajů a salda</w:t>
      </w:r>
      <w:r w:rsidR="00E62EC2" w:rsidRPr="0069338F">
        <w:t xml:space="preserve"> státní</w:t>
      </w:r>
      <w:r w:rsidRPr="0069338F">
        <w:t xml:space="preserve">ho </w:t>
      </w:r>
      <w:r w:rsidR="00E62EC2" w:rsidRPr="0069338F">
        <w:t>rozpočtu v letech 2011</w:t>
      </w:r>
      <w:r w:rsidR="007302B3" w:rsidRPr="0069338F">
        <w:t xml:space="preserve"> až 2017</w:t>
      </w:r>
      <w:r w:rsidR="00A24FF5" w:rsidRPr="0069338F">
        <w:t xml:space="preserve"> </w:t>
      </w:r>
      <w:r w:rsidR="00A24FF5" w:rsidRPr="0069338F">
        <w:rPr>
          <w:b w:val="0"/>
          <w:i/>
        </w:rPr>
        <w:t>(v mld. Kč)</w:t>
      </w:r>
    </w:p>
    <w:p w:rsidR="00A24FF5" w:rsidRPr="00037457" w:rsidRDefault="008E78AA" w:rsidP="00BA31C6">
      <w:pPr>
        <w:spacing w:line="240" w:lineRule="auto"/>
        <w:ind w:firstLine="0"/>
        <w:jc w:val="left"/>
      </w:pPr>
      <w:r>
        <w:pict>
          <v:shape id="_x0000_i1043" type="#_x0000_t75" style="width:468.75pt;height:134.25pt">
            <v:imagedata r:id="rId40" o:title=""/>
          </v:shape>
        </w:pict>
      </w:r>
    </w:p>
    <w:p w:rsidR="00A24FF5" w:rsidRPr="00D77888" w:rsidRDefault="00A24FF5" w:rsidP="00DF76C5">
      <w:pPr>
        <w:pStyle w:val="Nadpis2"/>
        <w:ind w:left="360" w:hanging="360"/>
      </w:pPr>
      <w:bookmarkStart w:id="93" w:name="_Toc206999981"/>
      <w:bookmarkStart w:id="94" w:name="_Toc241917800"/>
      <w:bookmarkStart w:id="95" w:name="_Toc333680179"/>
      <w:bookmarkStart w:id="96" w:name="_Toc397357473"/>
      <w:r w:rsidRPr="00D77888">
        <w:t>Predikce příjmů</w:t>
      </w:r>
      <w:bookmarkEnd w:id="93"/>
      <w:bookmarkEnd w:id="94"/>
      <w:bookmarkEnd w:id="95"/>
      <w:bookmarkEnd w:id="96"/>
    </w:p>
    <w:p w:rsidR="00A24FF5" w:rsidRPr="00BE375B" w:rsidRDefault="00BA31C6" w:rsidP="0069338F">
      <w:pPr>
        <w:pStyle w:val="Titulek"/>
        <w:spacing w:before="240"/>
        <w:jc w:val="left"/>
      </w:pPr>
      <w:r>
        <w:t xml:space="preserve">Tabulka č. </w:t>
      </w:r>
      <w:fldSimple w:instr=" SEQ Tabulka_č._ \* ARABIC ">
        <w:r w:rsidR="003B4B7F">
          <w:rPr>
            <w:noProof/>
          </w:rPr>
          <w:t>8</w:t>
        </w:r>
      </w:fldSimple>
      <w:r>
        <w:rPr>
          <w:noProof/>
        </w:rPr>
        <w:t xml:space="preserve"> </w:t>
      </w:r>
      <w:r w:rsidR="00D922BC" w:rsidRPr="0069338F">
        <w:t>V</w:t>
      </w:r>
      <w:r w:rsidR="00A24FF5" w:rsidRPr="0069338F">
        <w:t>ývoj příjmů</w:t>
      </w:r>
      <w:r w:rsidR="00D922BC" w:rsidRPr="0069338F">
        <w:t xml:space="preserve"> státního rozpočtu v letech 2011 až 2017</w:t>
      </w:r>
      <w:r w:rsidR="00A24FF5" w:rsidRPr="0069338F">
        <w:t xml:space="preserve"> </w:t>
      </w:r>
      <w:r w:rsidR="00A24FF5" w:rsidRPr="0069338F">
        <w:rPr>
          <w:b w:val="0"/>
          <w:i/>
        </w:rPr>
        <w:t>(v mld. Kč)</w:t>
      </w:r>
    </w:p>
    <w:p w:rsidR="00A24FF5" w:rsidRPr="001F226C" w:rsidRDefault="008E78AA" w:rsidP="00D922BC">
      <w:pPr>
        <w:ind w:firstLine="0"/>
      </w:pPr>
      <w:r>
        <w:pict>
          <v:shape id="_x0000_i1044" type="#_x0000_t75" style="width:468.75pt;height:187.5pt">
            <v:imagedata r:id="rId41" o:title=""/>
          </v:shape>
        </w:pict>
      </w:r>
    </w:p>
    <w:p w:rsidR="00A24FF5" w:rsidRPr="00D77888" w:rsidRDefault="00A24FF5" w:rsidP="002B04B6">
      <w:pPr>
        <w:pStyle w:val="Nadpis3"/>
      </w:pPr>
      <w:bookmarkStart w:id="97" w:name="_Toc206999982"/>
      <w:bookmarkStart w:id="98" w:name="_Toc241917801"/>
      <w:bookmarkStart w:id="99" w:name="_Toc333680180"/>
      <w:bookmarkStart w:id="100" w:name="_Toc397357474"/>
      <w:r w:rsidRPr="00D77888">
        <w:t>Daňové příjmy státního rozpočtu</w:t>
      </w:r>
      <w:bookmarkEnd w:id="97"/>
      <w:bookmarkEnd w:id="98"/>
      <w:bookmarkEnd w:id="99"/>
      <w:bookmarkEnd w:id="100"/>
    </w:p>
    <w:p w:rsidR="00A24FF5" w:rsidRPr="00D77888" w:rsidRDefault="00A24FF5" w:rsidP="00E359DA">
      <w:pPr>
        <w:pStyle w:val="Nadpis4"/>
      </w:pPr>
      <w:bookmarkStart w:id="101" w:name="_Toc397357475"/>
      <w:r w:rsidRPr="00D77888">
        <w:t>Vývoj daňové kvóty</w:t>
      </w:r>
      <w:bookmarkEnd w:id="101"/>
    </w:p>
    <w:p w:rsidR="006B3E8F" w:rsidRDefault="006B3E8F" w:rsidP="00AA026D">
      <w:r>
        <w:t xml:space="preserve">Jednoduchá daňová kvóta zahrnuje pouze daňové příjmy veřejných rozpočtů, které se jako daně skutečně označují. Naproti tomu složená daňová kvóta zahrnuje kromě výše zmíněných daňových příjmů i příjmy z povinného pojistného na sociální zabezpečení a příspěvek </w:t>
      </w:r>
      <w:r>
        <w:lastRenderedPageBreak/>
        <w:t>na státní politiku zaměstnanosti i příjmy z povinného pojistného na zdravotní pojištění. Tato kvóta je komplexnějším ukazatelem daňového zatížení.</w:t>
      </w:r>
    </w:p>
    <w:p w:rsidR="006B3E8F" w:rsidRDefault="006B3E8F" w:rsidP="006B3E8F">
      <w:r>
        <w:t>Pro všechny metodiky výpočtů daňových kvót je společné, že jmenovatelem vždy zůstává hodnota nominálního HDP a liší se tedy pouze hodnoty v čitateli podle toho, co jednotlivé metodiky definují jako daňové příjmy. Daňové příjmy v čitateli mohou být na hotovostním nebo na akruálním principu. Akruální princip je založen na tom, že příjmy jsou evidovány v době, kdy nastaly ekonomické skutečnosti, které zavdaly příčinu zdanění, a nikoli v okamžiku, kdy jsou peníze přijaty na účet.</w:t>
      </w:r>
    </w:p>
    <w:p w:rsidR="00A24FF5" w:rsidRPr="0013306D" w:rsidRDefault="006B3E8F" w:rsidP="006B3E8F">
      <w:r>
        <w:t>Národní metodika dle rozpočtové skladby je založena na hotovostním základě, stejně jako státní rozpočet a vychází z rozpočtové skladby daňových příjmů platných v ČR.</w:t>
      </w:r>
    </w:p>
    <w:p w:rsidR="00A24FF5" w:rsidRPr="00BE375B" w:rsidRDefault="00BA31C6" w:rsidP="0069338F">
      <w:pPr>
        <w:pStyle w:val="Titulek"/>
        <w:spacing w:before="240"/>
        <w:jc w:val="left"/>
      </w:pPr>
      <w:r>
        <w:t xml:space="preserve">Tabulka č. </w:t>
      </w:r>
      <w:fldSimple w:instr=" SEQ Tabulka_č._ \* ARABIC ">
        <w:r w:rsidR="003B4B7F">
          <w:rPr>
            <w:noProof/>
          </w:rPr>
          <w:t>9</w:t>
        </w:r>
      </w:fldSimple>
      <w:r>
        <w:rPr>
          <w:noProof/>
        </w:rPr>
        <w:t xml:space="preserve"> </w:t>
      </w:r>
      <w:r w:rsidR="00A24FF5" w:rsidRPr="0069338F">
        <w:t xml:space="preserve">Daňová kvóta dle rozpočtové skladby v ČR </w:t>
      </w:r>
      <w:r w:rsidR="00A24FF5" w:rsidRPr="0069338F">
        <w:rPr>
          <w:b w:val="0"/>
          <w:i/>
        </w:rPr>
        <w:t>(v %)</w:t>
      </w:r>
    </w:p>
    <w:p w:rsidR="00A24FF5" w:rsidRPr="00BE375B" w:rsidRDefault="008E78AA" w:rsidP="00C104F7">
      <w:pPr>
        <w:ind w:firstLine="0"/>
        <w:jc w:val="center"/>
        <w:rPr>
          <w:rStyle w:val="Tuntext"/>
          <w:b w:val="0"/>
        </w:rPr>
      </w:pPr>
      <w:r>
        <w:rPr>
          <w:rStyle w:val="Tuntext"/>
          <w:b w:val="0"/>
        </w:rPr>
        <w:pict>
          <v:shape id="_x0000_i1045" type="#_x0000_t75" style="width:468.75pt;height:72.75pt">
            <v:imagedata r:id="rId42" o:title=""/>
          </v:shape>
        </w:pict>
      </w:r>
    </w:p>
    <w:p w:rsidR="00A24FF5" w:rsidRPr="00D77888" w:rsidRDefault="00A24FF5" w:rsidP="00E00C93">
      <w:pPr>
        <w:pStyle w:val="Nadpis4"/>
      </w:pPr>
      <w:bookmarkStart w:id="102" w:name="_Toc397357476"/>
      <w:r w:rsidRPr="00D77888">
        <w:lastRenderedPageBreak/>
        <w:t>Daňové příjmy podle jednotlivých daní</w:t>
      </w:r>
      <w:bookmarkEnd w:id="102"/>
    </w:p>
    <w:p w:rsidR="00A24FF5" w:rsidRPr="00D819EA" w:rsidRDefault="00BA31C6" w:rsidP="0069338F">
      <w:pPr>
        <w:pStyle w:val="Titulek"/>
        <w:spacing w:before="240"/>
        <w:jc w:val="left"/>
      </w:pPr>
      <w:r>
        <w:t xml:space="preserve">Tabulka č. </w:t>
      </w:r>
      <w:fldSimple w:instr=" SEQ Tabulka_č._ \* ARABIC ">
        <w:r w:rsidR="003B4B7F">
          <w:rPr>
            <w:noProof/>
          </w:rPr>
          <w:t>10</w:t>
        </w:r>
      </w:fldSimple>
      <w:r>
        <w:rPr>
          <w:noProof/>
        </w:rPr>
        <w:t xml:space="preserve"> </w:t>
      </w:r>
      <w:r w:rsidR="00A24FF5" w:rsidRPr="0069338F">
        <w:t>Výv</w:t>
      </w:r>
      <w:r w:rsidR="00335285" w:rsidRPr="0069338F">
        <w:t>oj daňových příjmů v letech 2011 až 2017</w:t>
      </w:r>
      <w:r w:rsidR="00A24FF5" w:rsidRPr="0069338F">
        <w:t xml:space="preserve"> </w:t>
      </w:r>
      <w:r w:rsidR="00A24FF5" w:rsidRPr="0069338F">
        <w:rPr>
          <w:b w:val="0"/>
          <w:i/>
        </w:rPr>
        <w:t>(v mld. Kč)</w:t>
      </w:r>
    </w:p>
    <w:p w:rsidR="00A24FF5" w:rsidRPr="000066E9" w:rsidRDefault="008E78AA" w:rsidP="00BA31C6">
      <w:pPr>
        <w:pStyle w:val="Zkladntextodsazen21"/>
        <w:ind w:firstLine="0"/>
        <w:jc w:val="left"/>
      </w:pPr>
      <w:r>
        <w:pict>
          <v:shape id="_x0000_i1046" type="#_x0000_t75" style="width:468.75pt;height:461.25pt">
            <v:imagedata r:id="rId43" o:title=""/>
          </v:shape>
        </w:pict>
      </w:r>
    </w:p>
    <w:p w:rsidR="00A24FF5" w:rsidRPr="007D5161" w:rsidRDefault="00A24FF5" w:rsidP="007D5161">
      <w:pPr>
        <w:pStyle w:val="Zkladntextodsazen"/>
        <w:spacing w:line="240" w:lineRule="auto"/>
        <w:ind w:left="992" w:firstLine="426"/>
        <w:rPr>
          <w:i/>
          <w:sz w:val="20"/>
          <w:szCs w:val="20"/>
        </w:rPr>
      </w:pPr>
    </w:p>
    <w:p w:rsidR="00A24FF5" w:rsidRPr="00BE375B" w:rsidRDefault="00A24FF5" w:rsidP="00BA31C6">
      <w:pPr>
        <w:ind w:firstLine="0"/>
        <w:rPr>
          <w:b/>
        </w:rPr>
      </w:pPr>
      <w:r w:rsidRPr="0069338F">
        <w:rPr>
          <w:b/>
        </w:rPr>
        <w:t>Daň z přidané hodnoty</w:t>
      </w:r>
    </w:p>
    <w:p w:rsidR="000F70D3" w:rsidRDefault="000F70D3" w:rsidP="000F70D3">
      <w:r>
        <w:t xml:space="preserve">V roce 2016 je předpokládané inkaso DPH na úrovni 233,1 mld. Kč. Meziročně tak dojde k nárůstu inkasa o 1,7 %, tj. o 3,8 mld. Kč. Inkaso daně v roce 2016 bude ovlivněno zejména návrhem, který počítá se zachováním stávajících sazeb DPH, tj. 21 % a 15 %. Zachováním stávajících sazeb DPH dojde ke zrušení platného opatření, které </w:t>
      </w:r>
      <w:proofErr w:type="gramStart"/>
      <w:r>
        <w:t>počítá s  aplikací</w:t>
      </w:r>
      <w:proofErr w:type="gramEnd"/>
      <w:r>
        <w:t xml:space="preserve"> jednotné sazby daně 17,5 % od roku 2016. Zároveň se v roce 2016 plně promítne zavedení druhé snížené sazby, </w:t>
      </w:r>
      <w:r>
        <w:lastRenderedPageBreak/>
        <w:t>které bude činit -2,9 mld. Kč. Od roku 2016 také návrh počítá se změnou rozpočtového určení daní, kdy dojde k navýšení podílu krajů na úkor státního rozpočtu.</w:t>
      </w:r>
    </w:p>
    <w:p w:rsidR="00A24FF5" w:rsidRPr="00513022" w:rsidRDefault="000F70D3" w:rsidP="000F70D3">
      <w:r>
        <w:t>V roce 2017 je předpokládané inkaso DPH na úrovni 240,8 mld. Kč. Meziročně tak dojde k nárůstu inkasa o 3,3 %, tj. o 7,7 mld. Kč.</w:t>
      </w:r>
    </w:p>
    <w:p w:rsidR="00A24FF5" w:rsidRPr="0013306D" w:rsidRDefault="00A24FF5" w:rsidP="00BA31C6">
      <w:pPr>
        <w:ind w:firstLine="0"/>
        <w:rPr>
          <w:b/>
        </w:rPr>
      </w:pPr>
      <w:r w:rsidRPr="0069338F">
        <w:rPr>
          <w:b/>
        </w:rPr>
        <w:t>Spotřební daně</w:t>
      </w:r>
    </w:p>
    <w:p w:rsidR="00A24FF5" w:rsidRDefault="005B42AB" w:rsidP="000F70D3">
      <w:r>
        <w:t xml:space="preserve">Příjmy ze spotřebních daní jsou v roce 2016 rozpočtovány ve výši 233,1 mld. Kč a v roce 2017 ve výši 240,8 mld. Kč. </w:t>
      </w:r>
      <w:r w:rsidR="000F70D3">
        <w:t>V rozpočtu není zohledněn víceletý plán na zvyšování sazeb z</w:t>
      </w:r>
      <w:r w:rsidR="008D1D10">
        <w:t> </w:t>
      </w:r>
      <w:r w:rsidR="000F70D3">
        <w:t xml:space="preserve">tabákových výrobků, který </w:t>
      </w:r>
      <w:r w:rsidR="00951947">
        <w:t>nebyl předložen k projednání v P</w:t>
      </w:r>
      <w:r w:rsidR="000F70D3">
        <w:t>oslanecké sněmovně. V roce 2016 však bude pravděpodobně potřeba učinit opatření ke zvýšení alespoň minimální sazby spotřební daně z tabákových výrobků, a to z důvodu naplnění podmínek minimálního zdanění stanovené ve</w:t>
      </w:r>
      <w:r w:rsidR="008D1D10">
        <w:t> </w:t>
      </w:r>
      <w:r w:rsidR="000F70D3">
        <w:t>směrnici Rady 2011/64/EU, o struktuře a sazbách spotřební daně z tabákových výrobků.</w:t>
      </w:r>
    </w:p>
    <w:p w:rsidR="00A24FF5" w:rsidRDefault="00A24FF5" w:rsidP="00BA31C6">
      <w:pPr>
        <w:ind w:firstLine="0"/>
        <w:rPr>
          <w:b/>
          <w:szCs w:val="20"/>
        </w:rPr>
      </w:pPr>
      <w:r w:rsidRPr="0069338F">
        <w:rPr>
          <w:b/>
          <w:szCs w:val="20"/>
        </w:rPr>
        <w:t xml:space="preserve">Odvod z elektřiny ze </w:t>
      </w:r>
      <w:r w:rsidRPr="0069338F">
        <w:rPr>
          <w:b/>
          <w:color w:val="000000"/>
          <w:szCs w:val="20"/>
        </w:rPr>
        <w:t>slunečního záření</w:t>
      </w:r>
    </w:p>
    <w:p w:rsidR="000F70D3" w:rsidRDefault="000F70D3" w:rsidP="0007035D">
      <w:r w:rsidRPr="000F70D3">
        <w:t>Na období 201</w:t>
      </w:r>
      <w:r w:rsidR="005B42AB">
        <w:t>6</w:t>
      </w:r>
      <w:r w:rsidR="00A07768">
        <w:t xml:space="preserve"> -</w:t>
      </w:r>
      <w:r w:rsidRPr="000F70D3">
        <w:t xml:space="preserve"> 2017 nejsou plánovány žádné legislativní změny, které by měly bezprostřední vliv na inkaso odvodu. </w:t>
      </w:r>
      <w:r w:rsidR="001D44A2">
        <w:t>Je předpokládán konstantní vývoj ve výši inkasa těchto daní.</w:t>
      </w:r>
      <w:r w:rsidRPr="000F70D3">
        <w:t xml:space="preserve"> </w:t>
      </w:r>
    </w:p>
    <w:p w:rsidR="00A24FF5" w:rsidRPr="00110B58" w:rsidRDefault="00A24FF5" w:rsidP="00BA31C6">
      <w:pPr>
        <w:ind w:firstLine="0"/>
        <w:rPr>
          <w:b/>
        </w:rPr>
      </w:pPr>
      <w:r w:rsidRPr="0069338F">
        <w:rPr>
          <w:b/>
        </w:rPr>
        <w:t>Daň z příjmů právnických osob</w:t>
      </w:r>
    </w:p>
    <w:p w:rsidR="000F70D3" w:rsidRDefault="000F70D3" w:rsidP="00CA7FDC">
      <w:r>
        <w:t>V roce 2016 je předpokládané inkaso DPPO ve výši 92,5 mld. Kč. Meziročně tak dojde k</w:t>
      </w:r>
      <w:r w:rsidR="008D1D10">
        <w:t> </w:t>
      </w:r>
      <w:r>
        <w:t xml:space="preserve">nárůstu inkasa </w:t>
      </w:r>
      <w:r w:rsidR="00CA7FDC">
        <w:t xml:space="preserve">o cca 3,9 %, tj. o 3,5 mld. Kč. </w:t>
      </w:r>
      <w:r>
        <w:t>V roce 2017 je předpokládané inkaso DPPO ve</w:t>
      </w:r>
      <w:r w:rsidR="008D1D10">
        <w:t> </w:t>
      </w:r>
      <w:r>
        <w:t>výši 96 mld. Kč. Meziročně tak dojde k nárůstu inkasa o 3,8 %, tj. o 3,5 mld. Kč. V letech 2016 a</w:t>
      </w:r>
      <w:r w:rsidR="008D1D10">
        <w:t> </w:t>
      </w:r>
      <w:r>
        <w:t xml:space="preserve">2017 výhled po změnách obsahuje předpoklad, že dojde ke zrušení platnosti legislativy spojené se zákonem </w:t>
      </w:r>
      <w:r w:rsidR="001D44A2">
        <w:t xml:space="preserve">č. </w:t>
      </w:r>
      <w:r>
        <w:t>458/2011</w:t>
      </w:r>
      <w:r w:rsidR="00B16A69">
        <w:t xml:space="preserve"> Sb. (zřízení</w:t>
      </w:r>
      <w:r w:rsidR="001D44A2">
        <w:t xml:space="preserve"> jedno</w:t>
      </w:r>
      <w:r w:rsidR="00B16A69">
        <w:t>ho</w:t>
      </w:r>
      <w:r w:rsidR="001D44A2">
        <w:t xml:space="preserve"> inkasní</w:t>
      </w:r>
      <w:r w:rsidR="00B16A69">
        <w:t>ho místa)</w:t>
      </w:r>
      <w:r>
        <w:t>.</w:t>
      </w:r>
    </w:p>
    <w:p w:rsidR="000F70D3" w:rsidRPr="0069338F" w:rsidRDefault="000F70D3" w:rsidP="000F70D3">
      <w:r>
        <w:t xml:space="preserve">Negativním rizikem pro výši inkasa DPPO v letech 2015 až 2017 je zavedení národních </w:t>
      </w:r>
      <w:r w:rsidRPr="0069338F">
        <w:t>rezolučních fondů.</w:t>
      </w:r>
    </w:p>
    <w:p w:rsidR="00A24FF5" w:rsidRPr="009E19BC" w:rsidRDefault="00A24FF5" w:rsidP="00BA31C6">
      <w:pPr>
        <w:ind w:firstLine="0"/>
        <w:rPr>
          <w:b/>
        </w:rPr>
      </w:pPr>
      <w:r w:rsidRPr="0069338F">
        <w:rPr>
          <w:b/>
        </w:rPr>
        <w:t>Daň z příjmů fyzických osob</w:t>
      </w:r>
    </w:p>
    <w:p w:rsidR="000F70D3" w:rsidRDefault="005B42AB" w:rsidP="000F70D3">
      <w:r>
        <w:t>Výhled na roky 2016</w:t>
      </w:r>
      <w:r w:rsidR="0080212A">
        <w:t xml:space="preserve"> </w:t>
      </w:r>
      <w:r w:rsidR="000F70D3">
        <w:t>-</w:t>
      </w:r>
      <w:r w:rsidR="0080212A">
        <w:t xml:space="preserve"> </w:t>
      </w:r>
      <w:r w:rsidR="000F70D3">
        <w:t>2017 u daně z příjmů fyzických osob je ovlivněn především plánovanými změnami, kterými jsou: opětovné umožnění uplatnění slevy na poplatníka pro pracující důchodce, navýšení daňového zvýhodnění na dítě a omezení paušálních výdajů.</w:t>
      </w:r>
    </w:p>
    <w:p w:rsidR="008D1D10" w:rsidRDefault="008D1D10" w:rsidP="00BA31C6">
      <w:pPr>
        <w:ind w:firstLine="0"/>
        <w:rPr>
          <w:b/>
        </w:rPr>
      </w:pPr>
    </w:p>
    <w:p w:rsidR="008D1D10" w:rsidRDefault="008D1D10" w:rsidP="00BA31C6">
      <w:pPr>
        <w:ind w:firstLine="0"/>
        <w:rPr>
          <w:b/>
        </w:rPr>
      </w:pPr>
    </w:p>
    <w:p w:rsidR="00A24FF5" w:rsidRPr="00A076F8" w:rsidRDefault="00A24FF5" w:rsidP="00BA31C6">
      <w:pPr>
        <w:ind w:firstLine="0"/>
        <w:rPr>
          <w:b/>
        </w:rPr>
      </w:pPr>
      <w:r w:rsidRPr="0069338F">
        <w:rPr>
          <w:b/>
        </w:rPr>
        <w:lastRenderedPageBreak/>
        <w:t xml:space="preserve">Majetkové a </w:t>
      </w:r>
      <w:r w:rsidRPr="0069338F">
        <w:rPr>
          <w:b/>
          <w:color w:val="000000"/>
        </w:rPr>
        <w:t>ostatní daně</w:t>
      </w:r>
    </w:p>
    <w:p w:rsidR="008D1D10" w:rsidRDefault="0080212A" w:rsidP="0080212A">
      <w:bookmarkStart w:id="103" w:name="_Toc206999983"/>
      <w:bookmarkStart w:id="104" w:name="_Toc241917802"/>
      <w:bookmarkStart w:id="105" w:name="_Toc333680181"/>
      <w:r>
        <w:t>Inkaso majetkových da</w:t>
      </w:r>
      <w:r w:rsidR="00CA7FDC">
        <w:t>ní by mělo v průběhu období 2016</w:t>
      </w:r>
      <w:r>
        <w:t xml:space="preserve"> </w:t>
      </w:r>
      <w:r w:rsidR="00EC602A">
        <w:t>-</w:t>
      </w:r>
      <w:r>
        <w:t xml:space="preserve"> 2017 růst mírným tempem. V</w:t>
      </w:r>
      <w:r w:rsidR="00CA7FDC">
        <w:t> </w:t>
      </w:r>
      <w:r>
        <w:t>roce</w:t>
      </w:r>
      <w:r w:rsidR="00CA7FDC">
        <w:t xml:space="preserve"> 2016</w:t>
      </w:r>
      <w:r>
        <w:t xml:space="preserve"> by mělo dosáhnout hodnoty 9,6 mld. Kč a v roce 2017 cca 9,7 mld. Kč. </w:t>
      </w:r>
    </w:p>
    <w:p w:rsidR="00CE0CA0" w:rsidRDefault="00CE0CA0" w:rsidP="0080212A">
      <w:r>
        <w:t>V</w:t>
      </w:r>
      <w:r w:rsidR="0080212A">
        <w:t>e sledovaném</w:t>
      </w:r>
      <w:r>
        <w:t xml:space="preserve"> období se nepočítá s žádnými legislativními změnami, které by měly mít zásadní dopad na inkaso daně. </w:t>
      </w:r>
    </w:p>
    <w:p w:rsidR="00A24FF5" w:rsidRPr="00D77888" w:rsidRDefault="00A24FF5" w:rsidP="00944855">
      <w:pPr>
        <w:pStyle w:val="Nadpis3"/>
      </w:pPr>
      <w:bookmarkStart w:id="106" w:name="_Toc397357477"/>
      <w:r w:rsidRPr="00D77888">
        <w:t>Příjmy z pojistného na sociální zabezpečení a příspěvku na státní politiku zaměstnanosti</w:t>
      </w:r>
      <w:bookmarkEnd w:id="103"/>
      <w:bookmarkEnd w:id="104"/>
      <w:bookmarkEnd w:id="105"/>
      <w:bookmarkEnd w:id="106"/>
      <w:r w:rsidRPr="00D77888">
        <w:t xml:space="preserve"> </w:t>
      </w:r>
    </w:p>
    <w:p w:rsidR="00A24FF5" w:rsidRPr="00110B58" w:rsidRDefault="00BA31C6" w:rsidP="0069338F">
      <w:pPr>
        <w:pStyle w:val="Titulek"/>
        <w:spacing w:before="240"/>
        <w:jc w:val="left"/>
      </w:pPr>
      <w:r>
        <w:t xml:space="preserve">Tabulka č. </w:t>
      </w:r>
      <w:fldSimple w:instr=" SEQ Tabulka_č._ \* ARABIC ">
        <w:r w:rsidR="003B4B7F">
          <w:rPr>
            <w:noProof/>
          </w:rPr>
          <w:t>11</w:t>
        </w:r>
      </w:fldSimple>
      <w:r>
        <w:rPr>
          <w:noProof/>
        </w:rPr>
        <w:t xml:space="preserve"> </w:t>
      </w:r>
      <w:r w:rsidR="00A24FF5" w:rsidRPr="0069338F">
        <w:t>P</w:t>
      </w:r>
      <w:r w:rsidR="00497508" w:rsidRPr="0069338F">
        <w:t>říjmy z pojistného v letech 2015 až 2017</w:t>
      </w:r>
      <w:r w:rsidR="00A24FF5" w:rsidRPr="0069338F">
        <w:t xml:space="preserve"> </w:t>
      </w:r>
      <w:r w:rsidR="00A24FF5" w:rsidRPr="0069338F">
        <w:rPr>
          <w:b w:val="0"/>
          <w:i/>
        </w:rPr>
        <w:t>(v mld. Kč)</w:t>
      </w:r>
    </w:p>
    <w:p w:rsidR="00264F63" w:rsidRDefault="008E78AA" w:rsidP="00264F63">
      <w:pPr>
        <w:ind w:firstLine="0"/>
        <w:jc w:val="left"/>
      </w:pPr>
      <w:r>
        <w:pict>
          <v:shape id="_x0000_i1047" type="#_x0000_t75" style="width:468.75pt;height:73.5pt">
            <v:imagedata r:id="rId44" o:title=""/>
          </v:shape>
        </w:pict>
      </w:r>
      <w:bookmarkStart w:id="107" w:name="_Toc206999984"/>
      <w:bookmarkStart w:id="108" w:name="_Toc241917803"/>
      <w:bookmarkStart w:id="109" w:name="_Toc333680182"/>
    </w:p>
    <w:p w:rsidR="00497508" w:rsidRPr="00497508" w:rsidRDefault="00497508" w:rsidP="00264F63">
      <w:pPr>
        <w:spacing w:before="240"/>
        <w:ind w:firstLine="708"/>
      </w:pPr>
      <w:r w:rsidRPr="00497508">
        <w:t>Výhled příjmů z pojistného pro roky 2016 a 2017 se opírá o makroekonomickou predikci z července 2014, ve které se v odhadu vývoje mezd, platů a zaměstnanosti promítají zlepšené výsledky ekonomiky i očekávaný nárůst platů v rozpočtové sféře. V aktualizaci inkasa pojistného je dále zohledněno snížení dopadu důchodového spoření na příjmy státního rozpočtu na zhruba 0,8 mld. Kč v každém roce výhledu.  Predikce pojistného v letech výhledu nepočítá se změnami sazeb, vyměřovacích základů a správy pojistného. To znamená, že je zachována struktura stávajících správců pojistného a roz</w:t>
      </w:r>
      <w:r>
        <w:t>počtování příjmů z pojistného v</w:t>
      </w:r>
      <w:r w:rsidRPr="00497508">
        <w:t xml:space="preserve"> kapitolách státního rozpočtu</w:t>
      </w:r>
      <w:r>
        <w:t xml:space="preserve"> ministerstev</w:t>
      </w:r>
      <w:r w:rsidRPr="00497508">
        <w:t xml:space="preserve"> </w:t>
      </w:r>
      <w:r>
        <w:t>práce a sociálních věcí</w:t>
      </w:r>
      <w:r w:rsidRPr="00497508">
        <w:t xml:space="preserve">, </w:t>
      </w:r>
      <w:r>
        <w:t>obrany</w:t>
      </w:r>
      <w:r w:rsidRPr="00497508">
        <w:t xml:space="preserve">, </w:t>
      </w:r>
      <w:r>
        <w:t>vnitra</w:t>
      </w:r>
      <w:r w:rsidRPr="00497508">
        <w:t xml:space="preserve">, </w:t>
      </w:r>
      <w:r>
        <w:t>financí (Generální ředitelství cel)</w:t>
      </w:r>
      <w:r w:rsidRPr="00497508">
        <w:t xml:space="preserve">, </w:t>
      </w:r>
      <w:r>
        <w:t>spravedlnosti (</w:t>
      </w:r>
      <w:r w:rsidRPr="00497508">
        <w:t>Vězeňská služba</w:t>
      </w:r>
      <w:r>
        <w:t>)</w:t>
      </w:r>
      <w:r w:rsidRPr="00497508">
        <w:t xml:space="preserve"> a GIBS. Za těchto předpokladů dosahuje predikce příjmů z</w:t>
      </w:r>
      <w:r w:rsidR="008D1D10">
        <w:t> </w:t>
      </w:r>
      <w:r w:rsidRPr="00497508">
        <w:t>povinných odvodů pojistného 419,5 mld. Kč v roce 2016 (meziroční nárůst o 4,7 %) a</w:t>
      </w:r>
      <w:r w:rsidR="008D1D10">
        <w:t> </w:t>
      </w:r>
      <w:r w:rsidRPr="00497508">
        <w:t>435,8</w:t>
      </w:r>
      <w:r w:rsidR="008D1D10">
        <w:t> </w:t>
      </w:r>
      <w:r w:rsidRPr="00497508">
        <w:t>mld. Kč v roce 2017 (meziroční nárůst o 3,9 %). Podíl příjmů z pojistného na celkových příjmech státního rozpočtu dosahuje v obou letech výhledu na roky 2016 a 2017 zhruba 40 %.</w:t>
      </w:r>
    </w:p>
    <w:p w:rsidR="00A24FF5" w:rsidRDefault="00497508" w:rsidP="00497508">
      <w:pPr>
        <w:ind w:firstLine="708"/>
      </w:pPr>
      <w:r w:rsidRPr="00497508">
        <w:t xml:space="preserve"> Při splnění předpokládaných celkových příjmů a výdajů na důchodové pojištění, včetně započtení odhadovaných výdajů na správu důchodové služby, činí odhad deficitu hospodaření důchodového pojištění 44,8 mld. Kč v roce 2016 a 42,3 mld. Kč v roce 2017.  Po připočtení 7,2</w:t>
      </w:r>
      <w:r w:rsidR="008D1D10">
        <w:t> </w:t>
      </w:r>
      <w:r w:rsidRPr="00497508">
        <w:t>% výnosu DPH v souladu s § 36 rozpočtových pravidel se jeho výše s</w:t>
      </w:r>
      <w:r w:rsidR="00F56166">
        <w:t>nižuje na 28 mld. Kč v roce 2016 a</w:t>
      </w:r>
      <w:r w:rsidR="008D1D10">
        <w:t xml:space="preserve"> na</w:t>
      </w:r>
      <w:r w:rsidR="00F56166">
        <w:t xml:space="preserve"> 25 mld. Kč v roce 2017</w:t>
      </w:r>
      <w:r w:rsidRPr="00497508">
        <w:t xml:space="preserve">.  Je zřejmé, že zapojení části výnosu DPH sice deficit </w:t>
      </w:r>
      <w:r w:rsidRPr="00497508">
        <w:lastRenderedPageBreak/>
        <w:t>sníží, ale zcela jej neeliminuje, a to ani po případném rozhodnutí vlády o zapojení prostředků privatizačního účtu ve prospěch základního systému důchodového pojištění obhospodařovaného ve státním rozpočtu v předpokládané výši 11,7 mld. Kč v každém roce výhledu</w:t>
      </w:r>
      <w:r w:rsidR="008D1D10">
        <w:t xml:space="preserve">, </w:t>
      </w:r>
      <w:proofErr w:type="gramStart"/>
      <w:r w:rsidR="008D1D10">
        <w:t>t.j.</w:t>
      </w:r>
      <w:r w:rsidRPr="00497508">
        <w:t xml:space="preserve"> na</w:t>
      </w:r>
      <w:proofErr w:type="gramEnd"/>
      <w:r w:rsidRPr="00497508">
        <w:t xml:space="preserve"> roky 2016 a 2017.</w:t>
      </w:r>
    </w:p>
    <w:p w:rsidR="00B67FAE" w:rsidRPr="009C4F7F" w:rsidRDefault="00B67FAE" w:rsidP="00B67FAE">
      <w:pPr>
        <w:pStyle w:val="Nadpis3"/>
      </w:pPr>
      <w:bookmarkStart w:id="110" w:name="_Toc397357478"/>
      <w:r w:rsidRPr="009C4F7F">
        <w:t>Nedaňové příjmy, kapitálové příjmy a přijaté transfery</w:t>
      </w:r>
      <w:bookmarkEnd w:id="110"/>
    </w:p>
    <w:p w:rsidR="00B67FAE" w:rsidRDefault="00B67FAE" w:rsidP="00B67FAE">
      <w:r>
        <w:t xml:space="preserve">V rámci těchto příjmů jsou mj. rozpočtovány: </w:t>
      </w:r>
      <w:r w:rsidRPr="00F21F7B">
        <w:t>odvod</w:t>
      </w:r>
      <w:r>
        <w:t>y</w:t>
      </w:r>
      <w:r w:rsidRPr="00F21F7B">
        <w:t xml:space="preserve"> prostředků ze státních podniků v působnosti Ministerstva zemědělství </w:t>
      </w:r>
      <w:r>
        <w:t xml:space="preserve">(částka </w:t>
      </w:r>
      <w:r w:rsidRPr="00F21F7B">
        <w:t>6,9 mld. Kč</w:t>
      </w:r>
      <w:r>
        <w:t xml:space="preserve"> v roce 2015, částka 5,6 mld. Kč v roce </w:t>
      </w:r>
      <w:smartTag w:uri="urn:schemas-microsoft-com:office:smarttags" w:element="metricconverter">
        <w:smartTagPr>
          <w:attr w:name="ProductID" w:val="2016 a"/>
        </w:smartTagPr>
        <w:r>
          <w:t>2016 a</w:t>
        </w:r>
      </w:smartTag>
      <w:r>
        <w:t xml:space="preserve"> částka 5,1 mld. Kč v roce 2017),</w:t>
      </w:r>
      <w:r w:rsidRPr="00F21F7B">
        <w:t xml:space="preserve"> v kapitole Ministerstva průmyslu a obchodu předpokládané navýšení příjmů z úhrad dobývacího prostoru a z vydobytých nerostů (+2,4</w:t>
      </w:r>
      <w:r w:rsidR="00D547DD">
        <w:t> </w:t>
      </w:r>
      <w:r w:rsidRPr="00F21F7B">
        <w:t>mld.</w:t>
      </w:r>
      <w:r w:rsidR="00D547DD">
        <w:t> </w:t>
      </w:r>
      <w:r w:rsidRPr="00F21F7B">
        <w:t>Kč</w:t>
      </w:r>
      <w:r>
        <w:t xml:space="preserve"> ročně</w:t>
      </w:r>
      <w:r w:rsidRPr="00F21F7B">
        <w:t>)</w:t>
      </w:r>
      <w:r>
        <w:t xml:space="preserve"> a</w:t>
      </w:r>
      <w:r w:rsidRPr="00F21F7B">
        <w:t xml:space="preserve"> příjmy z dividend (Česká energetická přenosová soustava - ČEPS, a.s.) ve</w:t>
      </w:r>
      <w:r w:rsidR="00D547DD">
        <w:t> </w:t>
      </w:r>
      <w:r w:rsidRPr="00F21F7B">
        <w:t>výši 0,9 mld. Kč</w:t>
      </w:r>
      <w:r w:rsidRPr="000D6E05">
        <w:t xml:space="preserve"> </w:t>
      </w:r>
      <w:r>
        <w:t xml:space="preserve">v roce </w:t>
      </w:r>
      <w:smartTag w:uri="urn:schemas-microsoft-com:office:smarttags" w:element="metricconverter">
        <w:smartTagPr>
          <w:attr w:name="ProductID" w:val="2015 a"/>
        </w:smartTagPr>
        <w:r>
          <w:t>2015 a</w:t>
        </w:r>
      </w:smartTag>
      <w:r>
        <w:t xml:space="preserve"> ve výši 0,6 mld. Kč v letech </w:t>
      </w:r>
      <w:smartTag w:uri="urn:schemas-microsoft-com:office:smarttags" w:element="metricconverter">
        <w:smartTagPr>
          <w:attr w:name="ProductID" w:val="2016 a"/>
        </w:smartTagPr>
        <w:r>
          <w:t>2016 a</w:t>
        </w:r>
      </w:smartTag>
      <w:r>
        <w:t xml:space="preserve"> 2017. V kapitole Ministerstva životního prostředí </w:t>
      </w:r>
      <w:r w:rsidRPr="00822EFE">
        <w:t>jsou zahrnuty mj.</w:t>
      </w:r>
      <w:r>
        <w:t xml:space="preserve"> i</w:t>
      </w:r>
      <w:r w:rsidRPr="00822EFE">
        <w:t xml:space="preserve"> příjmy z obchodování s povolenkami na</w:t>
      </w:r>
      <w:r w:rsidR="00D547DD">
        <w:t> </w:t>
      </w:r>
      <w:r w:rsidRPr="00822EFE">
        <w:t xml:space="preserve">emise skleníkových plynů </w:t>
      </w:r>
      <w:r w:rsidRPr="00330C75">
        <w:t>(</w:t>
      </w:r>
      <w:r>
        <w:t xml:space="preserve">částka </w:t>
      </w:r>
      <w:r w:rsidRPr="00330C75">
        <w:t>2 mld. Kč</w:t>
      </w:r>
      <w:r>
        <w:t xml:space="preserve"> v roce 2015, částka 2,4 mld. Kč v roce 2016 a</w:t>
      </w:r>
      <w:r w:rsidR="00D547DD">
        <w:t> </w:t>
      </w:r>
      <w:r>
        <w:t>ve</w:t>
      </w:r>
      <w:r w:rsidR="00D547DD">
        <w:t> </w:t>
      </w:r>
      <w:r>
        <w:t>výši 4,4 mld. Kč v roce 2017</w:t>
      </w:r>
      <w:r w:rsidRPr="00330C75">
        <w:t>).</w:t>
      </w:r>
      <w:r>
        <w:t xml:space="preserve"> V </w:t>
      </w:r>
      <w:r w:rsidRPr="00243390">
        <w:t xml:space="preserve"> kapitole Všeobecná pokladní správa </w:t>
      </w:r>
      <w:r>
        <w:t>jsou zahrnuty příjmy</w:t>
      </w:r>
      <w:r w:rsidRPr="00243390">
        <w:t xml:space="preserve"> z privatizačního účtu na kompenzaci deficitu důchodového systému </w:t>
      </w:r>
      <w:r>
        <w:t xml:space="preserve">(rok 2015 </w:t>
      </w:r>
      <w:r w:rsidRPr="00243390">
        <w:t>ve výši 16,5</w:t>
      </w:r>
      <w:r w:rsidR="00D547DD">
        <w:t> </w:t>
      </w:r>
      <w:r w:rsidRPr="00243390">
        <w:t>mld.</w:t>
      </w:r>
      <w:r w:rsidR="00D547DD">
        <w:t> </w:t>
      </w:r>
      <w:r w:rsidRPr="00243390">
        <w:t>Kč</w:t>
      </w:r>
      <w:r>
        <w:t xml:space="preserve">, léta </w:t>
      </w:r>
      <w:smartTag w:uri="urn:schemas-microsoft-com:office:smarttags" w:element="metricconverter">
        <w:smartTagPr>
          <w:attr w:name="ProductID" w:val="2016 a"/>
        </w:smartTagPr>
        <w:r>
          <w:t>2016 a</w:t>
        </w:r>
      </w:smartTag>
      <w:r>
        <w:t xml:space="preserve"> 2017 částky 11,7 mld. KČ. Zdrojem těchto příjmů by měly být dividendy ze společností s účastí státu – ČEZ, a.s., MERO a.s. a ČEPRO a.s.). Rozpočet kapitoly Ministerstva zdravotnictví zahrnuje pro rok 2015</w:t>
      </w:r>
      <w:r w:rsidRPr="0072224E">
        <w:t xml:space="preserve"> odvod prostředků Státního úřadu pro kontrolu léčiv ve výši 1,7 mld. Kč</w:t>
      </w:r>
      <w:r>
        <w:t>.</w:t>
      </w:r>
    </w:p>
    <w:p w:rsidR="00A24FF5" w:rsidRPr="00D77888" w:rsidRDefault="00A24FF5" w:rsidP="00074A51">
      <w:pPr>
        <w:pStyle w:val="Nadpis2"/>
      </w:pPr>
      <w:bookmarkStart w:id="111" w:name="_Toc397357479"/>
      <w:r w:rsidRPr="00D77888">
        <w:t>Predikce výdajů</w:t>
      </w:r>
      <w:bookmarkEnd w:id="107"/>
      <w:bookmarkEnd w:id="108"/>
      <w:bookmarkEnd w:id="109"/>
      <w:bookmarkEnd w:id="111"/>
    </w:p>
    <w:p w:rsidR="00A24FF5" w:rsidRPr="00110B58" w:rsidRDefault="00BA31C6" w:rsidP="00D56543">
      <w:pPr>
        <w:pStyle w:val="Titulek"/>
        <w:spacing w:before="240"/>
        <w:jc w:val="left"/>
      </w:pPr>
      <w:r>
        <w:t xml:space="preserve">Tabulka č. </w:t>
      </w:r>
      <w:fldSimple w:instr=" SEQ Tabulka_č._ \* ARABIC ">
        <w:r w:rsidR="003B4B7F">
          <w:rPr>
            <w:noProof/>
          </w:rPr>
          <w:t>12</w:t>
        </w:r>
      </w:fldSimple>
      <w:r>
        <w:rPr>
          <w:noProof/>
        </w:rPr>
        <w:t xml:space="preserve"> </w:t>
      </w:r>
      <w:r w:rsidR="00434995">
        <w:rPr>
          <w:noProof/>
        </w:rPr>
        <w:t>Vývoj</w:t>
      </w:r>
      <w:r w:rsidR="00434995">
        <w:t xml:space="preserve"> celkových výdajů v letech 2011 až 2017</w:t>
      </w:r>
      <w:r w:rsidR="00A24FF5" w:rsidRPr="00434995">
        <w:t xml:space="preserve"> </w:t>
      </w:r>
      <w:r w:rsidR="00A24FF5" w:rsidRPr="00434995">
        <w:rPr>
          <w:b w:val="0"/>
        </w:rPr>
        <w:t>(</w:t>
      </w:r>
      <w:r w:rsidR="00A24FF5" w:rsidRPr="00434995">
        <w:rPr>
          <w:b w:val="0"/>
          <w:i/>
        </w:rPr>
        <w:t>v mld. Kč</w:t>
      </w:r>
      <w:r w:rsidR="00A24FF5" w:rsidRPr="00434995">
        <w:rPr>
          <w:b w:val="0"/>
        </w:rPr>
        <w:t>)</w:t>
      </w:r>
    </w:p>
    <w:p w:rsidR="00A24FF5" w:rsidRPr="009F1102" w:rsidRDefault="008E78AA" w:rsidP="00077E31">
      <w:pPr>
        <w:ind w:firstLine="0"/>
        <w:jc w:val="center"/>
      </w:pPr>
      <w:r>
        <w:pict>
          <v:shape id="_x0000_i1048" type="#_x0000_t75" style="width:468.75pt;height:87.75pt">
            <v:imagedata r:id="rId45" o:title=""/>
          </v:shape>
        </w:pict>
      </w:r>
    </w:p>
    <w:p w:rsidR="00A24FF5" w:rsidRPr="00D77888" w:rsidRDefault="00A24FF5" w:rsidP="00A63962">
      <w:pPr>
        <w:pStyle w:val="Nadpis3"/>
        <w:rPr>
          <w:rStyle w:val="Tuntext"/>
          <w:b/>
          <w:sz w:val="26"/>
        </w:rPr>
      </w:pPr>
      <w:bookmarkStart w:id="112" w:name="_Toc333680183"/>
      <w:bookmarkStart w:id="113" w:name="_Toc397357480"/>
      <w:r w:rsidRPr="00D77888">
        <w:rPr>
          <w:rStyle w:val="Tuntext"/>
          <w:b/>
          <w:sz w:val="26"/>
        </w:rPr>
        <w:lastRenderedPageBreak/>
        <w:t>Výdaje stanovené usnesením vlády a další vybrané výdaje, které byly promítnuty do návrhu výdajů kapitol v </w:t>
      </w:r>
      <w:r w:rsidR="00FD7CB0" w:rsidRPr="00D77888">
        <w:rPr>
          <w:rStyle w:val="Tuntext"/>
          <w:b/>
          <w:sz w:val="26"/>
        </w:rPr>
        <w:t>letech 2015</w:t>
      </w:r>
      <w:r w:rsidRPr="00D77888">
        <w:rPr>
          <w:rStyle w:val="Tuntext"/>
          <w:b/>
          <w:sz w:val="26"/>
        </w:rPr>
        <w:t xml:space="preserve"> až 201</w:t>
      </w:r>
      <w:bookmarkEnd w:id="112"/>
      <w:r w:rsidR="00FD7CB0" w:rsidRPr="00D77888">
        <w:rPr>
          <w:rStyle w:val="Tuntext"/>
          <w:b/>
          <w:sz w:val="26"/>
        </w:rPr>
        <w:t>7</w:t>
      </w:r>
      <w:bookmarkEnd w:id="113"/>
    </w:p>
    <w:p w:rsidR="00FD7CB0" w:rsidRPr="005719E1" w:rsidRDefault="00FD7CB0" w:rsidP="00FD7CB0">
      <w:pPr>
        <w:rPr>
          <w:highlight w:val="cyan"/>
        </w:rPr>
      </w:pPr>
      <w:r w:rsidRPr="005A055A">
        <w:t>Ve výdajové straně návrhu rozpočtu bylo částečně zrušeno dočasné plošné snížení výdajů rozpočtových kapitol obsažené ve výhledu pro rok 2016</w:t>
      </w:r>
      <w:r>
        <w:rPr>
          <w:rStyle w:val="Znakapoznpodarou"/>
        </w:rPr>
        <w:footnoteReference w:id="5"/>
      </w:r>
      <w:r w:rsidRPr="005A055A">
        <w:t>, tzn., že výdaje kapitol byly zvýšeny o</w:t>
      </w:r>
      <w:r w:rsidR="005A149A">
        <w:t> </w:t>
      </w:r>
      <w:r w:rsidRPr="005A055A">
        <w:t xml:space="preserve">6,6 mld. Kč v roce 2016 ve srovnání se schváleným střednědobým výhledem na léta </w:t>
      </w:r>
      <w:smartTag w:uri="urn:schemas-microsoft-com:office:smarttags" w:element="metricconverter">
        <w:smartTagPr>
          <w:attr w:name="ProductID" w:val="㿸氮栐睯蠀װዲ倠㿸氪栐言Ꙁ氂2016 aa氶栐蠀200 mil氲栐䄪谀Ꙁ氂8 mila氾栐p蠀ָሲ倠㿸氺栐F耀Key1ll氆栐ꀀ言ᗐ71ﾠmil氂栐言URAD\10018Ѕ氎栐言&#10;ᗐ2016 aЅ氊栐䉻蠀盨睞605 mil氖栐蠀620 mil氒栐敳蠀떬Ѕ떬Ѕﾲ'氞栐蠀냨睜厸)퀸/똨Ѕ氚栐氀蠀냨睜印)汦栐䠀蠀Өྒ倠㿸汢栐굒蠀냨睜叨)퀸/)汮栐㄀蠀냨睜叨)))汪栐܀耀40 mill汶栐耀毭Ꙁ氂첸ልꆠ氂㧤ҨaЅ汲栐⅄耀.keValue2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耀睜 a涾栐蠀2015, a涺栐蠀裘-涆栐耀~癖ᗐ垨Ҹ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ᇪ錈ሎ汜栐n蠀ꚨ毭믰03뀄Ѓ䎠Ҹ汙栐8蠀㹰І鏠Ћ뜰І汢栐c蠀焤消뱨Ѕ뫘Ѕ汯栐蠀Ministerstva汨栐谀 1ﾠ373 milnl汵栐蠀Ổ့함ဴ嚀ံ汾栐n谀āĀt汻栐5蠀WQL12栐耀¤Ѕ氄栐c谀ԁԀ⬻㶸퀪尷ᚽ耀氁栐谀 1ﾠ000 milr氊栐耀煐ᇧ嶠Ѓ気栐谀0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lt;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밉ĺ䉱 䒰)區Ҹ￼￼￼￼￼￼￼￼￼￼￼￼￼￼￼￼￼￼￼￼￼￼￼￼￼￼￼￼￼￼￼￼￼￼￼￼￼￼￼￼￼￼￼￼￼￼￼￼￼￼￼￼￼￼￼￼￼￼￼￼￼￼￼￼￼￼￼￼￼￼￼￼￼￼￼￼￼￼￼￼￼￼￼￼￼￼￼￼￼￼￼￼￼￼￼￼￼￼￼￼￼￼￼￼￼￼￼￼￼￼￼￼￼￼￼￼￼￼￼￼￼￼￼￼&#10;ऀ䈁 ࠀ䈂 ㊨)緰1Ѐ䈆 揸(ڰ*Ȁ䈈 呐)Ä&quot;밈Ļ䈊ࠉ垤瘜췯覫䀀霤瘚쪌Ѕ쪌Ѕ1쪰Ѕ䒠ІΈ뿐Ѕ͑1 mF͓:\缞쬠Ѕ쬠Ѕ쭄Ѕ쭄Ѕ쭐Ѕ쭐Ѕinwe쮀Ѕ쮀Ѕ\v쮐Ѕ쮐Ѕdu쮠Ѕ쮠Ѕ쫄ЅC=ڨ백㠻䈋ਉC:\Program Files\Common Files\Microsoft Shared\OFFICE11\msxml5.dll藔밡⤺䈲 '呐)밡⠻䈢ࠉᗰҺᕐҺ베ꤻ䈢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뱣戳䊣ࠉᇇҷ 타瓲秦蠀.瓱秦蠀&#10;瓼秦蠀byly瓻秦蠀jak瓆秦蠀v瓅秦蠀 瓀秦蠀,瓏秦蠀tak瓊秦蠀a瓉秦蠀na瓔秦蠀a瓓秦蠀&#10;celní瓞秦蠀.笈Ҵ筘Ҵ瓝秦簠蠀V絠Ҵ綰Ҵ瓘秦繐蠀&#10;罨Ҵ翠Ҵ璧秦肀蠀byly璢秦茀蠀jak葀Ҵ璡秦蓠蠀v藐Ҵ蘠Ҵ璬秦蛀蠀 螰Ҵ蠀Ҵ璫秦袠蠀,覐Ҵ觠Ҵ訰Ҵ誀Ҵ박᰻䉠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밹ㄺ䈌 ҫ뼘-금̺깨̺꺨̺껨̺꼨̺꽈̺꾈̺꿨̺ 끨̺&#10;남̺냨̺뀨̺&#10;Ԁ䈵 ￀Ќퟘ,껨̺̮꼨̺̮뱼画䈺ࠉ백㠻䉿ఉ₠1₴1몭A耀　ÿ'ÿ寓ﴐ0뮀1&amp;鳘1뮘1밬ܙ䈲ᐉd䈭 4̮밧⸻䈯ࠉ攀&amp;朰&amp;歀&amp;枀&amp;樀&amp;뿚퀻䈤ဉHP LaserJet 5000 Series PCL 5Ё؀ÜỜｃހ ச࠴dɘɘA4Ė䥄啎&quot;ѐڌᡐﳃ솨'ѐ䵓䩔рHP LaserJet 5000 Series PCL 5湉異䉴湩䄀瑵o䕒䑓䱌唀楮敲䑳䱌刀獥汯瑵潩n〶搰楰伀楲湥慴楴湯倀剏剔䥁T偈牏敩瑮潒慴整㠱0慆獬e畄汰硥一乏E慐数卲穩e䕌呔剅䠀䍐湯畳敭䍲獵潴偭灡牥吀畲e敍楤呡灹e啁佔䌀汯慬整伀䙆伀瑵異䉴湩䄀瑵o偈畏灴瑵楂佮楲湥慴楴湯䘀䍁啅P瑓灡楬杮一湯e偈瑓灡楬杮灏潰敳d慆獬e敔瑸獁求捡k慆獬e片灡楨獣潍敤䠀䝐㉌位䕄䠀卐慭瑲畈b湉瑥卟䑉㉟㌶䉟䑉㕟㐱䡟䑉㉟㔶䠀䑐捯牐灯敒潳牵散慄慴栀穰汨桬⹮慣b牐湩兴慵楬祴片畯p児片畯彰1偈潃潬䵲摯e位低䡃佒䕍䵟䑏E偈䑐呌灹e䑐彌䍐㕌䠀䵐硡敒潳畬楴湯倀䵄㙟〰偄I偈䩐䕌据摯湩g呕㡆䠀䩐扯捁潣湵楴杮䠀䩐䉏䍁呃䩟䉏䍁呎䠀䉐牯佮䑮瑡e偈佂D偈潊䉢䩹扯癏牥楲敤䨀䩂O偈䵘䙌汩啥敳d灨捭摰㕰砮汭䠀卐慭瑲畄汰硥楓杮敬慐敧潊b牔敵䠀䍐獵潴䑭灕敬慸汢剥湡敧㌀㕸㡟㔮ㅸ4偈潃敶獲䘀潲瑮䍟癯牥䠀䑐灵楬慣整潊乢浡佥敶牲摩e坓坆䔀桮湡散偤䱃䔵慮汢e牔敵䠀䕐慮汢剥坁灓潯楬杮吀畲e削潃獮牴楡瑮s削䡃䙄汵l削䑈湉瑳污敬d削䑈晏f削䑈潎䥴獮慴汬摥䨀䡒佄晦倀䅓楬湧敭瑮楆敬䠀婐卌桬n慈晬潴敮䠀䑐瑩敨䵲瑡楲x呔獁楂浴灡即瑥楴杮吀䵔摯佥瑵楬敮ᡐ啉䡐dA4 ச࠴ [none] [none]4P샀À샀À d㾀10018ĖĖĖĖ࠴࠴dMicrosoft Office Word䥗坎剏⹄塅EĖĖĖĖȀ鰀C:\Program Files\Microsoft Office\OFFICE11\WINWORD.EXE뻯밤ⴻ䇙ࠉ綏憄⧿ᇔꦗက❚떙㞃坟烈䟈嶮ꂑἚ鉵봣⌳䈧ࠉﲨ1宸Ї타敒栐蠀ꎠҷHLAVSOVAV敞栐l蠀ꎠҷHLAVSOVAV敚栐i蠀ꎠҷHLAVSOVAV敦栐蠀ꎠҷHLAVSOVAV敢栐l蠀ꎠҷHLAVSOVAV敮栐i蠀ꎠҷHLAVSOVAV敪栐蠀ꎠҷHLAVSOVAV敶栐d蠀ꎠҷHLAVSOVAV敲栐i蠀ꎠҷHLAVSOVAV敾栐蠀ꎠҷHLAVSOVAV敺栐x蠀ꎠҷHLAVSOVAV斆栐i蠀ꎠҷHLAVSOVAV斂栐蠀ꎠҷHLAVSOVAV斎栐.蠀ꎠҷHLAVSOVAV斊栐i蠀ꎠҷHLAVSOVAV斖栐蠀ꎠҷHLAVSOVAV斒栐.蠀ꎠҷHLAVSOVAV斞栐i蠀ꎠҷHLAVSOVAV斚栐蠀ꎠҷHLAVSOVAV斦栐d蠀ꎠҷHLAVSOVAV斢栐i蠀ꎠҷHLAVSOVAV斮栐蠀ꎠҷHLAVSOVAV斪栐.蠀ꎠҷHLAVSOVAV斶栐i蠀ꎠҷHLAVSOVAV斲栐蠀ꎠҷHLAVSOVAV斾栐d蠀ꎠҷHLAVSOVAV斺栐i蠀ꎠҷHLAVSOVAV旆栐蠀ꎠҷHLAVSOVAV旂栐d蠀ꎠҷHLAVSOVAV旎栐i蠀ꎠҷHLAVSOVAV旊栐蠀ꎠҷHLAVSOVAV旖栐.蠀ꎠҷHLAVSOVAV旒栐i谀멠І&#10;Ȍ&#10;l旞栐蠀WINWORD.EXE旚栐d蠀㏸皌⠝掆1⮁旦栐i谀ﻨЅ䀼ІﾈЅ既栐蠀about:blank旮栐l蠀about:blank旪栐i蠀㏸皌桁癗1⮀时栐谀ｨЅↄІ（Ѕ￨Ѕfl旲栐.蠀dummy://url旾栐i蠀㏸皌䆱ᐑ1⮀旺栐谀￈Ѕ研1ﾈЅ(Іamᨆ栐d蠀㏸皌瞥斉1⮁ᨂ栐i谀І搤(￨ЅhІᨎ栐蠀㏸皌䏙撇'⮁ᨊ栐.谀HІ攄((Іᨖ栐i蠀㏸皌ᆠ䥐'⮀ᨒ栐谀І䋼)èІtu᨞栐d蠀㏸皌ᆠ䥐'ꮠᨚ栐i谀ÈІ䏜)¨ІĨІlᨦ栐蠀㏸皌ᆠ䥐'⪐ᨢ栐i谀ĈІ唔)èІᨮ栐i蠀냨睜厈)ᨪ栐蠀냨睜叨)))ᨶ栐.谀栰睜䳔睜灰Їᨲ栐i蠀냨睜厸)ᨾ栐蠀냨睜厸)))ᨺ栐.耀睜2ᩆ栐i耀ê睜䳔睜浠ЇǨІᩂ栐谀Documentserᩎ栐l踀Personal鴰ᩊ栐i蠀My Pictures봣⌳䌠ࠊ行1宸Ї타ᳲ栐蠀р䎒W䎒WV㨔WІ᳄栐蠀с䢐W䢐WV㨔WІ㸠Ѓ᳖栐￘蠀т䤢W䤢WﲴV㨔WІ퍘І᳘栐蠀у䨔W䨔WV㨔Wᰪ栐蠀ф䦀W䦀WV㨔WਘІ᰼栐蠀х㰖W㰖WV㨔WힸІІᰎ栐￘蠀ц䕾W䕾WV㨔W틨Іᰐ栐蠀ч䄊W䄊WV㨔WІ憨Ҳᱢ栐k蠀ш䕨W䕨WﮄV㨔W흈І捨Ҳᱴ栐蠀щ䣀W䣀WV㨔WІ᱆栐￘蠀ъ䣖W䣖WV㨔WІ᱈栐蠀ы䍌W䍌WV㨔WࣈІᱚ栐i蠀ь䐬W䐬WV㨔W큈Іᶬ栐蠀э㭒W㭒WᑴW㨔Wᶾ栐￘蠀ю䒊W䒊WV㨔WІᶀ栐蠀я䛪W䛪WV㨔W攨Ҳᶒ栐l蠀ѐ䑂W䑂WV㨔Wᷤ栐蠀ё㰬W㰬WDW㨔WІ杘Ҳ뻾䌠ࠊ䮰Ї왫분窜䈚֤爧碢ᗐဈဈ䕍坏ƢÀ䘀̸À䘀࿘࿐ခ쳌쳌°࿐ÀƹÀ䘀ƫÀ䘀ƥÀ䘀ƤÀ䘀ƦÀ䘀ƪÀ䘀hX  ඀ခ쳌쳌Xခ쳌쳌H뱺첌䣒₨옛뀅쟓Xힴ楹䪊ꦨ쓺洘숎ခ쳌쳌``䕍坏ǀÀ䘀̻À䘀0啘諯ⳑ䐣憰㒛॥炚ခ쳌쳌ခ쳌쳌ခ쳌쳌൰ᗐ◘ǠڎWinSta0\Defaultڎ=::=::\ALLUSERSPROFILE=C:\ProgramDataAPPDATA=C:\Users\10018\AppData\RoamingCommonProgramFiles=C:\Program Files\Common FilesCOMPUTERNAME=10018-PC2ComSpec=C:\Windows\system32\cmd.exeDFSTRACINGON=FALSEFP_NO_HOST_CHECK=NOHOMEDRIVE=U:HOMEPATH=\HOMESHARE=\\MF10FS01\Users\10018INFORMIXDIR=C:\Informix\Client-SDK\LOCALAPPDATA=C:\Users\10018\AppData\LocalLOGONSERVER=\\MF10AS02NUMBER_OF_PROCESSORS=2OS=Windows_NTPath=C:\Program Files\SAP\FrontEnd\SapGui;C:\Program Files\Microsoft Office\OFFICE11\;C:\Windows\system32;C:\Windows;C:\Windows\System32\Wbem;C:\Windows\System32\WindowsPowerShell\v1.0\;C:\Program Files\Windows Imaging\;C:\Informix\Client-SDK\bin;C:\Program Files\Gemalto\Classic Client\BIN;C:\Program Files\Enterprise Vault\EVClient\;c:\program files\enterprise vault\evclient\;C:\Program Files\Microsoft Office\OFFICE11\PATHEXT=.COM;.EXE;.BAT;.CMD;.VBS;.VBE;.JS;.JSE;.WSF;.WSH;.MSCPROCESSOR_ARCHITECTURE=x86PROCESSOR_IDENTIFIER=x86 Family 16 Model 6 Stepping 2, AuthenticAMDPROCESSOR_LEVEL=16PROCESSOR_REVISION=0602ProgramData=C:\ProgramDataProgramFiles=C:\Program FilesPSModulePath=C:\Windows\system32\WindowsPowerShell\v1.0\Modules\PUBLIC=C:\Users\PublicSESSIONNAME=ConsoleSystemDrive=C:SystemRoot=C:\WindowsTEMP=C:\Users\10018\AppData\Local\TempTMP=C:\Users\10018\AppData\Local\TempTRACE_FORMAT_SEARCH_PATH=\\winseqfe\release\Windows6.0\lh_sp2rtm\6002.18005.090410-1830\x86fre\symbols.pri\TraceFormatUATDATA=C:\Windows\system32\CCM\UATData\D9F8C395-CAB8-491d-B8AC-179A1FE1BE77USERDNSDOMAIN=URAD.MFCR.CZUSERDOMAIN=URADUSERNAME=10018USERPROFILE=C:\Users\10018WecVersionForRosebud.14C0=2WecVersionForRosebud.15CC=2windir=C:\Windows氦敥耀,І帐Іmigautoplay.exe敥敥氦敥耀Іmiguiresource.dll氦敥耀᭜І彐Іmsctfmonitor.dll敥氦敥耀ÛІ໐(msdtcvsp1res.dll敥氦敥耀І耘Їmsfeedssync.exe敥敥氦敥耀ÆІmsjetoledb40.dll敥氦敥耀]І⛠Іmsralegacy.tlb敥敥敥氦敥耀 Іmuifontsetup.dll敥氦敥耀І冠(muiunattend.exe敥敥氦敥耀rІ槸Їnativehooks.dll敥敥氦敥耀£Іဠ(ndfeventview.xml敥氦敥耀ÔІndproxystub.dll敥敥氦敥耀dІ'networkmap.dll敥敥敥氦敥耀VІnetwork_llu.log敥敥氦敥耀ªІnlsdata0000.dll敥敥氦敥耀éІᜈЇnlsdata0001.dll敥敥氦敥耀ðІ欘Їnlsdata0002.dll敥敥氦敥耀÷Іnlsdata0003.dll敥敥氦敥耀ÍІІnlsdata0007.dll敥敥氦敥耀HІᔰ(nlsdata0009.dll敥敥氦敥耀kІ൸Їnlsdata000a.dll敥敥氦敥耀yІnlsdata000c.dll敥敥氦敥耀Іnlsdata000d.dll敥敥氦敥耀Іnlsdata000f.dll敥敥氦敥耀OІnlsdata0010.dll敥敥氦敥耀Іnlsdata0011.dll敥敥氦敥耀:Іႀ(nlsdata0013.dll敥敥氦敥耀3Іnlsdata0018.dll敥敥氦敥耀І╀(nlsdata0019.dll敥敥氦敥耀±І଀(nlsdata001a.dll敥敥氦敥耀밿㘻䃽ఊ嵰皌ㆨ皌嵴皌䜤皌嶘皌嶬皌⮀耀鬅判ᨈЇ᧰ЇｈЅ᧘ЇｈЅＨЅ밤ⴻ䈼ࠊ᠛륟䫱嚀㉼묚醰ᅘ&quot;呣踱ᇒ䚿က❚떙븣″䈧ࠊﴈ1隸1타ῲ栐蠀*urn:schemas-microsoft-com:office:smarttagsῆ栐￘谀ꎠҷꟜ졀䋀ᨐ릴⼫苡伯䴽䍆⽒問䴽䍆䱒呅䌯㵎䕒䥃䥐久協䌯㵎ㄱ䌯㵎䱈噁体䅖VῊ栐d耀釨ဗ銰ဗ銈ဗ鉠ဗ鋘ဗ錀ဗ錨ဗ鈸ဗ됈Ѕ뢨Ѕ둈Ѕ뙨Ѕ껐ဏ딨Ѕ鍐ဗ囨ယ醘ဗ῞栐￘谀ꎠҷꟜ졀䋀ᨐ릴⼫苡伯䴽䍆⽒問䴽䍆䱒呅䌯㵎䕒䥃䥐久協䌯㵎ㄱ䌯㵎䱈噁体䅖Vdeἢ栐c輀온-Ƛ졀䋀ᨐ릴⼫苡漯䴽䍆⽒畯䴽䍆䱒呅振㵮敒楣楰湥獴振㵮㈱振㵮䥓䅍䩎roἶ栐￘輀온-Ƛ졀䋀ᨐ릴⼫苡漯䴽䍆⽒畯䴽䍆䱒呅振㵮敒楣楰湥獴振㵮㈱振㵮䥓䅍䩎Ἲ栐蠀'/o=MFCR/ou=MFCRLET/cn=Recipients/cn=TYLLKἎ栐￘謀婘.Ƛ졀䋀ᨐ릴⼫苡伯䴽䍆⽒問䴽䍆䱒呅䌯㵎䕒䥃䥐久協䌯㵎〲䌯㵎䅂佌乕噏噁_ἒ栐-謀婘.Ƛ졀䋀ᨐ릴⼫苡伯䴽䍆⽒問䴽䍆䱒呅䌯㵎䕒䥃䥐久協䌯㵎〲䌯㵎䅂佌乕噏噁ὦ栐￘蠀笨ЇKulhánek Stanislav Ing. Mgr.  &lt;KulhanekS&gt;Ὢ栐d蠀䚨ҪDana Bakesova  &lt;Dana.Bakesova@bohnice.cz&gt;὾栐￘谀ᖈ/Frýdmanová Marie Ing. CSc.  &lt;FRYDMANOM&gt;ὂ栐谀໠.Ƛ졀䋀ᨐ릴⼫苡伯䴽䍆⽒問䴽䍆䱒呅振㵮敒楣楰湥獴振㵮㈱振㵮呓乒䑁噏Jpeὖ栐￘谀໠.Ƛ졀䋀ᨐ릴⼫苡漯䴽䍆⽒畯䴽䍆䱒呅振㵮敒楣楰湥獴振㵮㈱振㵮呓乒䑁噏Jah὚栐d踀縸ЇꟜ졀䋀ᨐ릴⼫苡漯䴽䍆⽒畯䴽䍆䱒呅振㵮敒楣楰湥獴振㵮㐳振㵮啈䵌乁AẮ栐￘踀縸ЇꟜ졀䋀ᨐ릴⼫苡漯䴽䍆⽒畯䴽䍆䱒呅振㵮敒楣楰湥獴振㵮㐳振㵮啈䵌乁AprẲ栐e蠀빘-/O=MFCR/OU=MFCRLET/cn=Recipients/cn=13181Ẇ栐￘贀䠀ҪꟜ졀䋀ᨐ릴⼫苡漯䴽䍆⽒畯䴽䍆䱒呅振㵮敒楣楰湥獴振㵮㐱振㵮䕈則噏䥁Ẋ栐贀䠀ҪꟜ졀䋀ᨐ릴⼫苡漯䴽䍆⽒畯䴽䍆䱒呅振㵮敒楣楰湥獴振㵮㐱振㵮䕈則噏䥁ruẞ栐￘輀⣐ҫꟜ졀䋀ᨐ릴⼫苡伯䴽䍆⽒問䴽䍆䱒呅䌯㵎䕒䥃䥐久協䌯㵎㌱䌯㵎䱓䭕十olỢ栐s輀⣐ҫꟜ졀䋀ᨐ릴⼫苡伯䴽䍆⽒問䴽䍆䱒呅䌯㵎䕒䥃䥐久協䌯㵎㌱䌯㵎䱓䭕十Ỷ栐￘言Ԉ/Lucie Joujová  &lt;lucie.joujova@flycom.cz&gt;tỺ栐c贀ظ/Ƛ졀䋀ᨐ릴⼫苡伯䴽䍆⽒問䴽䍆䱒呅䌯㵎䕒䥃䥐久協䌯㵎㤱䌯㵎佖䙌噏偁alỎ栐￘贀ظ/Ƛ졀䋀ᨐ릴⼫苡伯䴽䍆⽒問䴽䍆䱒呅䌯㵎䕒䥃䥐久協䌯㵎㤱䌯㵎佖䙌噏偁Ồ栐蠀탰ҫ/O=MFCR/OU=MFCRLET/cn=Recipients/cn=13551Ḧ栐￘輀헀ҫꟜ졀䋀ᨐ릴⼫苡伯䴽䍆⽒問䴽䍆䱒呅䌯㵎䥍則䍁⽅乃䴽㉆⼰乃䴽䭉噏䡁meḪ栐g輀헀ҫꟜ졀䋀ᨐ릴⼫苡伯䴽䍆⽒問䴽䍆䱒呅䌯㵎䥍則䍁⽅乃䴽㉆⼰乃䴽䭉噏䡁Ḿ栐￘谀ҫꟜ졀䋀ᨐ릴⼫苡漯䴽䍆⽒畯䴽䍆䱒呅振㵮敒楣楰湥獴振㵮㐱振㵮䥈䵍䱅噏JdoḂ栐\谀ҫꟜ졀䋀ᨐ릴⼫苡漯䴽䍆⽒畯䴽䍆䱒呅振㵮敒楣楰湥獴振㵮㐱振㵮䥈䵍䱅噏JḖ栐￘踀ҫŠoltová Drahomíra Ing.  &lt;user7d838009&gt;Ḛ栐谀ҫꟜ졀䋀ᨐ릴⼫苡伯䴽䍆⽒問䴽䍆䱒呅䌯㵎䕒䥃䥐久協䌯㵎ㄱ䌯㵎之䉅䥌佋JṮ栐￘谀ҫꟜ졀䋀ᨐ릴⼫苡伯䴽䍆⽒問䴽䍆䱒呅䌯㵎䕒䥃䥐久協䌯㵎ㄱ䌯㵎之䉅䥌佋JṲ栐谀ҫꟜ졀䋀ᨐ릴⼫苡漯䴽䍆⽒畯䴽䍆䱒呅振㵮敒楣楰湥獴振㵮㐱振㵮低䅖佋䅖OṆ栐￘谀ҫꟜ졀䋀ᨐ릴⼫苡漯䴽䍆⽒畯䴽䍆䱒呅振㵮敒楣楰湥獴振㵮㐱振㵮低䅖佋䅖OṊ栐谀⯠ҫꟜ졀䋀ᨐ릴⼫苡伯䴽䍆⽒問䴽䍆䱒呅䌯㵎䕒䥃䥐久協䌯㵎㜳䌯㵎商䡃体䅖JṞ栐￘谀⯠ҫꟜ졀䋀ᨐ릴⼫苡伯䴽䍆⽒問䴽䍆䱒呅䌯㵎䕒䥃䥐久協䌯㵎㜳䌯㵎商䡃体䅖Jᶢ栐踀鸞ҫHelena Menouskova  &lt;menouskova@psp.cz&gt;ᶶ栐￘谀敖ҫWildová Vlasta  &lt;Vlasta.Wildova@mze.cz&gt;ᶺ栐谀｠ҫꟜ졀䋀ᨐ릴⼫苡漯䴽䍆⽒畯䴽䍆䱒呅振㵮敒楣楰湥獴振㵮㤹振㵮䅋䥌低䅖Hᶎ栐￘谀｠ҫꟜ졀䋀ᨐ릴⼫苡漯䴽䍆⽒畯䴽䍆䱒呅振㵮敒楣楰湥獴振㵮㤹振㵮䅋䥌低䅖Hᶒ栐谀ҬꟜ졀䋀ᨐ릴⼫苡漯䴽䍆⽒畯䴽䍆䱒呅振㵮敒楣楰湥獴振㵮㤱振㵮佖告卉佋Zᷦ栐￘谀ҬꟜ졀䋀ᨐ릴⼫苡漯䴽䍆⽒畯䴽䍆䱒呅振㵮敒楣楰湥獴振㵮㤱振㵮佖告卉佋Z봣⌳䀠ࠊﭨ1ﶸ1타ᮒ栐言ProgramFilesCommonᮜ栐谀Ꮸ&amp;谐ЋᏨ&amp;齭䞢꺪팩옗曰⋐1Mᮦ栐谀ᆸ&amp;豀Ћᆸ&amp;齭䞢꺪팩옗曰푀0ᮠ栐谀賰睜히0훈&amp;Ѕ᮪栐言SAX XML Reader 5.0᮴栐言粰ЇŠátek David Ing.ᮾ栐谀䉎厞ð1䉎厞䐹➻摫ᅭڔ᮸栐踀䚨Ҫ䵓偔䐺乁⹁䅂䕋体䅖䉀䡏䥎䕃䌮Zᭂ栐踀온-+420 603870061ᭌ栐谀㒈ІРၰ1РÀ䘀᭖栐谀㟨І짐秪׈1짐秪뫹ᇎ芌ꨀ䬀னr᭐栐踀Převod jednotek᭚栐谀꾘&amp;Фླྀ1ФÀ䘀᭤栐谀ˢЀ翿ϠϨ᭮栐踀相ҭ+420 603222009᭨栐蠀慀Ѓdanabak@seznam.cz᭲栐蠀ᐘ/Štika Ondřej Ing.᭼栐踀笨Ї+420 733675066ᬆ栐谀뱺￸0뱺첌䣒₨옛뀅쟓nᬀ栐谀㡸І຀1À䘀ᬊ栐踀窘'+420 725356052Mᬔ栐谀鸁篒ﰘ0鸁篒盁ᇏ킝ꀀω㍉ᬞ栐踀Telefonní čísloᬘ栐谀온-Šiman Jiří Ing.ᬢ栐言粰ЇŠátek David Ing.ᬬ栐谀'Tyll Karel Ing.ᬶ栐蠀NT Authority\SYSTEMᬰ栐言相ҭRucká Karla Ing.ᬺ栐谀께&amp;㩐㏅Ӑ1㩐㏅䢄䦰ﶅ㹤᫄栐言相ҭRucká Karla Ing.ᫎ栐谀槬裙Ϙ1槬裙讋䰽麅沯壑྾᫈栐谀눈&amp;ぐۀ1ぐ颵ᇏ芻ꨀ봀௎᫒栐谀온-Šiman Jiří Ing.䏸Ҫ᫜栐踀꯰ҷ+420 728130002᫦栐耀Převod jednotekЅ蛐-᫠栐蠀䕐ҪAdamec Pavel Ing.᫪栐蠀慀Ѓdanabak@seznam.cz᫴栐踀'+420 725001121᫾栐蠀䕐ҪAdamec Pavel Ing.᫸栐谀䮠＀0䮠方ᇎ목ꨀ䨀㟨&#10;᪂栐蠀ᐘ/Štika Ondřej Ing.᪌栐谀'Tyll Karel Ing.뱵簻䌠ఊ௛ชam䀀䀀䀀䀀ffice\OFFICE11;C:\Windows\system32;C:\Windows\system;C:\Windows;.;C:\Program Files\SAP\FrontEnd\SapGui;C:\Program Files\Microsoft Office\OFFICE11\;C:\Windows\system32;C:\Windows;C:\Windows\System32\Wbem;C:\Windows\System32\WindowsPowerShell\v1.0\;C:\Program Files\WindƐ``&#10;﻿&#10;✀鴽늮鹑＋ഌă翽@î\P밾㜻䉶ࠊdC:\PROGRA~1\COMMON~1\MICROS~1\SMARTT~1\FPERSON.DLLorary Internet Files\OLK8E7A\Polsko 11 10 2014.docxindows;밽㐻䈽ఊ䫘癔䯔癔枰*㸨І'뜴痜癔ᢰ癢褰ÿ봀ЅǴ럀*劘)劘)冤癓㸨І剬癓㸨І㻌І剜癓剌癓ꚜ癒Ꚍ癒㻌Іĸɭギꮣ쪝羋㤖ꢿ柞뙌ᗐ銐ІÄ&quot;밀ऻ䈾ఊ&amp;C擖癔DÀ䘀崄誈ᳫᇉါ恈뒀癓-171Ӓ㾔Іnterface\{0000000c-0000-0000-C00翿䀐Іt밿㘻䈃ఊ嵰皌ㆨ皌嵴皌䜤皌嶘皌嶬皌⮁耀 謅偤11111밓ᬺ䈼&#10;疨1Ќ牀ҿ牨ҿ猰ҿ玀ҿ珐ҿ瑈ҿ璘ҿ甐ҿ疈ҿ痘ҿ癐ҿ盈ҿ着ҿ瞸ҿ砈ҿ碀ҿ磸ҿ祈ҿ禘ҿ稐ҿ穠ҿ窰ҿ笀ҿ筐ҿ箠ҿ篰ҿ籀ҿ粐ҿ糠ҿ細ҿ綀ҿ緸ҿ繰ҿ绀ҿ缐ҿ羈ҿ翘ҿ聐ҿ胈ҿ脘ҿ腨ҿ膸ҿ興ҿ艘ҿ芨ҿ苸ҿ荈ҿ莘ҿ菨ҿ萸ҿ蒈ҿ蓘ҿ蔨ҿ蕸ҿ藈ҿ蘘ҿ虨ҿ蚸ҿ蜈ҿ蝘ҿ螨ҿ蟸ҿ衈ҿ袘ҿ裨ҿ褸ҿ覈ҿ觘ҿ訨ҿ詸ҿ諈ҿ謘ҿ譨ҿ许ҿ谈ҿ豘ҿ貨ҿ賸ҿ赈ҿ趘ҿ跨ҿ踸ҿ躈ҿ輀ҿ轸ҿ述ҿ遀ҿ邸ҿ鄈ҿ醀ҿ븣″䈐ࠊЀЇ᪐І타氦傪蠀ĶÀ䘀崄誈ᳫᇉါ恈氦0谀ꎠ氂꙼毭Ꜵ氂믰0毦ұl氦n谀ꎠ氂꙼毭Ꜵ氂믰0毦ұ氦0谀ꎠ氂꙼毭Ꜵ氂믰0毦ұ8氦p谀ꎠ氂꙼毭Ꜵ氂믰0毦쉐Ѕ8氦0谀ꎠ氂꙼毭Ꜵ氂믰0毦숨Ѕ氦X谀ꎠ氂꙼毭Ꜵ氂믰0毦숀Ѕ氦2蠀噸ሴሴꯍï⌁杅ꮉ崄誈ᳫᇉါ恈氦L蠀C:\Windows\system32\MSIMG32.dll氦n谀ꎠ氂꙼毭Ꜵ氂믰0毦닰І氦s谀C:\Windows\system32\HLINK.dlll氦u蠀C:\Windows\system32\msctf.dlll氦V蠀栜睜䳔睜砘Ї䡤睜⪸睜ᢈЇ⪸睜氦4谀C:\Windows\system32\hlink.dll3\氦M蠀暠睜杄睜蒘睜蒄睜葴睜⪸睜䏀ҪƋᷨˬ破Ї砘Ї氦a言C:\Windows\system32\mshtml.dll\氦n谀ꎠ氂꙼毭Ꜵ氂믰0毦홀ұi氦s谀mailto:Iva.Borkovcova@mfcr.cz32氦p谀mailto:Iva.Borkovcova@mfcr.czmi氦f谀mailto:Iva.Borkovcova@mfcr.cz\W氦X谀mailto:Iva.Borkovcova@mfcr.czmm氦d谀mailto:Iva.Borkovcova@mfcr.cz2氦L谀mailto:Iva.Borkovcova@mfcr.czmm氦s蠀QueryInterfacen.11lika).cz氦s谀mailto:Iva.Borkovcova@mfcr.czmo氦m谀mailto:Iva.Borkovcova@mfcr.czD氦V谀mailto:Iva.Borkovcova@mfcr.czmo氦t谀ꎠ氂꙼毭Ꜵ氂믰0毦솰Ѕ삘Ѕ氦Z谀ꎠ氂꙼毭Ꜵ氂믰0毦혘ұ氦d蠀暠睜杄睜蒘睜蒄睜葴睜⪸睜⻠̹棤Ї棈Ї氦n蠀C:\Windows\System32\msctf.dlll氦d蠀C:\Windows\System32\msctf.dlll氦p蠀栜睜䳔睜棈Ї䡤睜⪸睜⪸睜氦d谀ꯠ睠贰睟贬睟&amp;埛ᇒက❚떙Z঵í௼ᗐᗌW3氦8谀ꯠ睠贰睟贬睟&amp;埛ᇒက❚떙Y঵í௼ᗐᗌmp氦g谀ꯠ睠贰睟贬睟&amp;埛ᇒက❚떙B঵íහᗐᗌDL氦C谀ꯠ睠贰睟贬睟&amp;埛ᇒက❚떙A঵íහᗐᗌms氦t蠀丰)氦2蠀C:\Windows\system32\ntshrui.dll氦p言C:\Windows\system32\cscapi.dll氦W蠀C:\Users\10018\Documents氦n蠀C:\Users\Public\Documents氦D蠀C:\Users\Public\Pictures氦m蠀C:\Users\10018\Favorites氦y蠀C:\Users\10018\Music\Playlists氦n蠀C:\Users\10018\AppData\Roaming氦I蠀C:\Users\Public\Downloads氦r蠀C:\Users\10018\Downloads氦T蠀C:\Users\10018\Saved Games氦f蠀C:\Program Files\Common Files氦n蠀C:\Windows\resources\0405氦d踀Microsoft\Windows\Start Menu氦p言Microsoft\Windows\GameExplorer氦t言Microsoft\Windows\GameExplorer氦X蠀C:\Users\10018\AppData\LocalLow氦c踀Microsoft\Windows\Start Menu 曮됣⨳䀠ࠊﶈ1'타ᅲ栐摤ꐀఌЊ‰汜䀀䀀䀀䀀ㄠ䄠捣湥⁴㬴汜摳敳業楨摤湥‰汜摳湵楨敤獵摥‰汜摳牰潩楲祴㘶尠獬汤捯敫つ䴠摥畩⁭楌瑳㈠䄠捣湥⁴㬴汜摳敳業楨摤湥‰汜摳湵楨敤獵摥‰汜摳牰潩楲祴㜶尠獬汤捯敫つ䴠摥畩⁭片摩ㄠ䄠捣湥⁴㬴汜摳敳業楨摤湥‰汜摳湵楨敤獵摥‰汜摳牰潩楲祴㠶尠獬汤捯敫つ䴠摥畩⁭片摩㈠䄠捣湥⁴㬴汜摳敳業楨摤湥‰汜摳湵楨敤獵摥‰汜摳牰潩楲祴㤶尠獬汤捯敫つ䴠摥畩⁭片摩㌠䄠捣湥⁴㬴汜摳敳業楨摤湥‰汜摳湵楨敤獵摥‰汜摳牰潩楲祴〷尠獬汤捯敫つ䐠牡"/>
        </w:smartTagPr>
        <w:r w:rsidRPr="005A055A">
          <w:t>2015 a</w:t>
        </w:r>
        <w:r w:rsidR="005A149A">
          <w:t> </w:t>
        </w:r>
      </w:smartTag>
      <w:r w:rsidRPr="005A055A">
        <w:t xml:space="preserve">2016 (usnesení vlády č. 729/2013). </w:t>
      </w:r>
    </w:p>
    <w:p w:rsidR="00FD7CB0" w:rsidRPr="00EB73B7" w:rsidRDefault="00FD7CB0" w:rsidP="00FD7CB0">
      <w:pPr>
        <w:ind w:firstLine="720"/>
      </w:pPr>
      <w:r w:rsidRPr="00EB73B7">
        <w:t xml:space="preserve">V předloženém návrhu výdajů státního rozpočtu na rok </w:t>
      </w:r>
      <w:smartTag w:uri="urn:schemas-microsoft-com:office:smarttags" w:element="metricconverter">
        <w:smartTagPr>
          <w:attr w:name="ProductID" w:val="2015 a"/>
        </w:smartTagPr>
        <w:r w:rsidRPr="00EB73B7">
          <w:t>2015 a</w:t>
        </w:r>
      </w:smartTag>
      <w:r w:rsidRPr="00EB73B7">
        <w:t xml:space="preserve"> výhledu na léta </w:t>
      </w:r>
      <w:smartTag w:uri="urn:schemas-microsoft-com:office:smarttags" w:element="metricconverter">
        <w:smartTagPr>
          <w:attr w:name="ProductID" w:val="2016 a"/>
        </w:smartTagPr>
        <w:r w:rsidRPr="00EB73B7">
          <w:t>2016 a</w:t>
        </w:r>
        <w:r w:rsidR="005A149A">
          <w:t> </w:t>
        </w:r>
      </w:smartTag>
      <w:r w:rsidRPr="00EB73B7">
        <w:t>2017 jsou obsaženy i výdaje dlouhodobějšího charakteru vyplývající z příslušných usnesení vlády a někt</w:t>
      </w:r>
      <w:r w:rsidR="002C41F0">
        <w:t>eré další výdaje. Jedná se například</w:t>
      </w:r>
      <w:r w:rsidRPr="00EB73B7">
        <w:t xml:space="preserve"> o následující výdaje.</w:t>
      </w:r>
    </w:p>
    <w:p w:rsidR="00FD7CB0" w:rsidRPr="00EB73B7" w:rsidRDefault="00FD7CB0" w:rsidP="00FD7CB0">
      <w:pPr>
        <w:ind w:firstLine="720"/>
      </w:pPr>
      <w:r w:rsidRPr="00EB73B7">
        <w:rPr>
          <w:b/>
        </w:rPr>
        <w:t>Výdaje na zahraniční rozvojovou spolupráci a humanitární pomoc</w:t>
      </w:r>
      <w:r w:rsidRPr="00EB73B7">
        <w:t xml:space="preserve"> pro léta 2015 až 2017 vychází z rozpočtu na tuto oblast, který byl schválen usnesením vlády č. 4</w:t>
      </w:r>
      <w:r>
        <w:t>80</w:t>
      </w:r>
      <w:r w:rsidRPr="00EB73B7">
        <w:t>/201</w:t>
      </w:r>
      <w:r>
        <w:t>4</w:t>
      </w:r>
      <w:r w:rsidRPr="00EB73B7">
        <w:t>.</w:t>
      </w:r>
    </w:p>
    <w:p w:rsidR="00FD7CB0" w:rsidRPr="00EB73B7" w:rsidRDefault="00FD7CB0" w:rsidP="00FD7CB0">
      <w:pPr>
        <w:ind w:firstLine="720"/>
      </w:pPr>
      <w:r w:rsidRPr="00EB73B7">
        <w:t xml:space="preserve"> Podle usnesení vlády č. 262/2010 jsou v návrhu rozpočtu kapitol Ministerstva školství, mládeže a tělovýchovy, Ministerstva zahraničních věcí a Ministerstva zdravotnictví rozpočtovány prostředky na pokračování </w:t>
      </w:r>
      <w:r w:rsidRPr="00EB73B7">
        <w:rPr>
          <w:b/>
        </w:rPr>
        <w:t>Programu podpory českého kulturního dědictví v</w:t>
      </w:r>
      <w:r w:rsidR="005A149A">
        <w:rPr>
          <w:b/>
        </w:rPr>
        <w:t> </w:t>
      </w:r>
      <w:r w:rsidRPr="00EB73B7">
        <w:rPr>
          <w:b/>
        </w:rPr>
        <w:t>zahraničí na léta 2011 až 2015</w:t>
      </w:r>
      <w:r w:rsidRPr="00EB73B7">
        <w:t>.</w:t>
      </w:r>
    </w:p>
    <w:p w:rsidR="00FD7CB0" w:rsidRDefault="00FD7CB0" w:rsidP="00FD7CB0">
      <w:pPr>
        <w:ind w:firstLine="720"/>
      </w:pPr>
      <w:r w:rsidRPr="008B0D16">
        <w:rPr>
          <w:b/>
        </w:rPr>
        <w:t>V kapitole Ministerstva průmyslu a obchodu</w:t>
      </w:r>
      <w:r w:rsidRPr="009E0B12">
        <w:t xml:space="preserve"> je uvažováno pro léta 2015 až 2017 s </w:t>
      </w:r>
      <w:r w:rsidRPr="009E0B12">
        <w:rPr>
          <w:b/>
        </w:rPr>
        <w:t>dotacemi na obnovitelné zdroje energie</w:t>
      </w:r>
      <w:r w:rsidRPr="009E0B12">
        <w:t xml:space="preserve"> ve výši 15,7 mld. Kč v každém roce výhledu.  </w:t>
      </w:r>
      <w:r>
        <w:t>Na</w:t>
      </w:r>
      <w:r w:rsidR="005A149A">
        <w:t> </w:t>
      </w:r>
      <w:r>
        <w:t xml:space="preserve">zahlazování důsledků hornické činnosti byly výdaje zvýšeny o 0,2 mld. Kč ročně. </w:t>
      </w:r>
    </w:p>
    <w:p w:rsidR="00FD7CB0" w:rsidRPr="009E0B12" w:rsidRDefault="00FD7CB0" w:rsidP="00FD7CB0">
      <w:pPr>
        <w:ind w:firstLine="720"/>
      </w:pPr>
      <w:r w:rsidRPr="00D67E45">
        <w:rPr>
          <w:b/>
        </w:rPr>
        <w:t>V kapitole Úřad vlády ČR</w:t>
      </w:r>
      <w:r>
        <w:t xml:space="preserve"> byly posíleny výdaje na protidrogovou politiku a oblast lidských práv (každoročně o </w:t>
      </w:r>
      <w:smartTag w:uri="urn:schemas-microsoft-com:office:smarttags" w:element="metricconverter">
        <w:smartTagPr>
          <w:attr w:name="ProductID" w:val="40 mil"/>
        </w:smartTagPr>
        <w:r>
          <w:t>40 mil</w:t>
        </w:r>
      </w:smartTag>
      <w:r>
        <w:t>. Kč).</w:t>
      </w:r>
    </w:p>
    <w:p w:rsidR="00FD7CB0" w:rsidRPr="00A17D65" w:rsidRDefault="00FD7CB0" w:rsidP="00FD7CB0">
      <w:pPr>
        <w:ind w:firstLine="720"/>
      </w:pPr>
      <w:r w:rsidRPr="00A17D65">
        <w:t>V </w:t>
      </w:r>
      <w:r w:rsidRPr="00A17D65">
        <w:rPr>
          <w:b/>
        </w:rPr>
        <w:t>kapitole Ministerstva zahraničních věcí</w:t>
      </w:r>
      <w:r w:rsidRPr="00A17D65">
        <w:t xml:space="preserve"> jsou zajištěny výdaje na Světovou výstavu EXPO 2015 v Miláně podle usnesení vlády č. 964/2012. Byl posílen rozpočet na příspěvky </w:t>
      </w:r>
      <w:r w:rsidRPr="00A17D65">
        <w:lastRenderedPageBreak/>
        <w:t xml:space="preserve">mezinárodním organizacím (ročně +0,12 mld. Kč) a prostředky na činnost a zabezpečení zastupitelských úřadů (0,3 mld. Kč v roce </w:t>
      </w:r>
      <w:smartTag w:uri="urn:schemas-microsoft-com:office:smarttags" w:element="metricconverter">
        <w:smartTagPr>
          <w:attr w:name="ProductID" w:val="2015 a"/>
        </w:smartTagPr>
        <w:r w:rsidRPr="00A17D65">
          <w:t>2015 a</w:t>
        </w:r>
      </w:smartTag>
      <w:r>
        <w:t xml:space="preserve"> ve výši </w:t>
      </w:r>
      <w:r w:rsidRPr="00A17D65">
        <w:t xml:space="preserve"> 0,1 mld. Kč pro roky </w:t>
      </w:r>
      <w:smartTag w:uri="urn:schemas-microsoft-com:office:smarttags" w:element="metricconverter">
        <w:smartTagPr>
          <w:attr w:name="ProductID" w:val="2016 a"/>
        </w:smartTagPr>
        <w:r w:rsidRPr="00A17D65">
          <w:t>2016 a</w:t>
        </w:r>
      </w:smartTag>
      <w:r w:rsidRPr="00A17D65">
        <w:t xml:space="preserve"> </w:t>
      </w:r>
      <w:proofErr w:type="gramStart"/>
      <w:r w:rsidRPr="00A17D65">
        <w:t>2017) .</w:t>
      </w:r>
      <w:proofErr w:type="gramEnd"/>
    </w:p>
    <w:p w:rsidR="00FD7CB0" w:rsidRPr="009F0377" w:rsidRDefault="00FD7CB0" w:rsidP="00FD7CB0">
      <w:pPr>
        <w:ind w:firstLine="720"/>
      </w:pPr>
      <w:r w:rsidRPr="009F0377">
        <w:rPr>
          <w:b/>
        </w:rPr>
        <w:t>V kapitole Ministerstva práce a sociálních věcí</w:t>
      </w:r>
      <w:r w:rsidRPr="009F0377">
        <w:t xml:space="preserve"> jsou mj. rozpočtovány výdaje na</w:t>
      </w:r>
      <w:r w:rsidR="005A149A">
        <w:t> </w:t>
      </w:r>
      <w:r w:rsidRPr="009F0377">
        <w:t xml:space="preserve">neinvestiční nedávkové transfery (bez prostředků EU a FM) ve </w:t>
      </w:r>
      <w:r w:rsidR="002C41F0">
        <w:t>výši 10,3 mld. Kč v roce 2015,</w:t>
      </w:r>
      <w:r w:rsidRPr="009F0377">
        <w:t xml:space="preserve"> v částce 10 mld. Kč v roce </w:t>
      </w:r>
      <w:smartTag w:uri="urn:schemas-microsoft-com:office:smarttags" w:element="metricconverter">
        <w:smartTagPr>
          <w:attr w:name="ProductID" w:val=" ListЅ氊栐䉻耀&amp;毭Ꙁ氂ꃠҩꆠ氂ꄴҩaӁ氖栐言2016 aa氒栐敳蠀떬Ѕ떬Ѕﾲ'氞栐蠀냨睜厸)퀸/똨Ѕ氚栐氀蠀냨睜큨ላ汦栐䠀蠀匰Ҩ레Ѕ汢栐굒蠀냨睜叨"/>
        </w:smartTagPr>
        <w:r w:rsidRPr="009F0377">
          <w:t>2016 a</w:t>
        </w:r>
      </w:smartTag>
      <w:r w:rsidRPr="009F0377">
        <w:t xml:space="preserve"> 2017.  Z uvedeného objemu připadá na transfery podle z</w:t>
      </w:r>
      <w:r w:rsidR="002C41F0">
        <w:t xml:space="preserve">ákona </w:t>
      </w:r>
      <w:r w:rsidRPr="009F0377">
        <w:t>č. 108/200 Sb., o sociálních službách částka 7,8</w:t>
      </w:r>
      <w:r w:rsidR="005A149A">
        <w:t xml:space="preserve"> mld. Kč</w:t>
      </w:r>
      <w:r w:rsidRPr="009F0377">
        <w:t xml:space="preserve"> v roce </w:t>
      </w:r>
      <w:smartTag w:uri="urn:schemas-microsoft-com:office:smarttags" w:element="metricconverter">
        <w:smartTagPr>
          <w:attr w:name="ProductID" w:val="㿸氮栐睯蠀װዲ倠㿸氪栐言Ꙁ氂2016 aa氶栐蠀200 mil氲栐䄪谀Ꙁ氂8 mila氾栐p蠀ָሲ倠㿸氺栐F耀Key1ll氆栐ꀀ言ᗐ71ﾠmil氂栐言URAD\10018Ѕ氎栐言&#10;ᗐ2016 aЅ氊栐䉻蠀盨睞605 mil氖栐蠀620 mil氒栐敳蠀떬Ѕ떬Ѕﾲ'氞栐蠀냨睜厸)퀸/똨Ѕ氚栐氀蠀냨睜印)汦栐䠀蠀Өྒ倠㿸汢栐굒蠀냨睜叨)퀸/)汮栐㄀蠀냨睜叨)))汪栐܀耀40 mill汶栐言Ꙁ氂2016 aЅ汲栐⅄言ke40 mil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耀睜 a涾栐蠀2015, a涺栐蠀裘-涆栐言ᗐ2015 a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ᇪ錈ሎ汜栐n蠀ꚨ毭믰03뀄Ѓ䎠Ҹ汙栐8蠀㹰І鏠Ћ뜰І汢栐c蠀焤消뱨Ѕ뫘Ѕ汯栐蠀Ministerstva汨栐谀 1ﾠ373 milnl汵栐蠀Ổ့함ဴ嚀ံ汾栐n谀āĀt汻栐5蠀WQL12栐耀¤Ѕ氄栐c谀ԁԀ⬻㶸퀪尷ᚽ耀氁栐谀 1ﾠ000 milr氊栐耀煐ᇧ嶠Ѓ気栐谀0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lt;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밉ĺ䉱 䒰)區Ҹ￼￼￼￼￼￼￼￼￼￼￼￼￼￼￼￼￼￼￼￼￼￼￼￼￼￼￼￼￼￼￼￼￼￼￼￼￼￼￼￼￼￼￼￼￼￼￼￼￼￼￼￼￼￼￼￼￼￼￼￼￼￼￼￼￼￼￼￼￼￼￼￼￼￼￼￼￼￼￼￼￼￼￼￼￼￼￼￼￼￼￼￼￼￼￼￼￼￼￼￼￼￼￼￼￼￼￼￼￼￼￼￼￼￼￼￼￼￼￼￼￼￼￼￼&#10;ऀ䈁 ࠀ䈂 ㊨)緰1Ѐ䈆 揸(ڰ*Ȁ䈈 呐)Ä&quot;밈Ļ䈊ࠉ垤瘜췯覫䀀霤瘚쪌Ѕ쪌Ѕ1쪰Ѕ䒠ІΈ뿐Ѕ͑1 mF͓:\缞쬠Ѕ쬠Ѕ쭄Ѕ쭄Ѕ쭐Ѕ쭐Ѕinwe쮀Ѕ쮀Ѕ\v쮐Ѕ쮐Ѕdu쮠Ѕ쮠Ѕ쫄ЅC=ڨ백㠻䈋ਉC:\Program Files\Common Files\Microsoft Shared\OFFICE11\msxml5.dll藔밡⤺䈲 '呐)밡⠻䈢ࠉᗰҺᕐҺ베ꤻ䈢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뱣戳䊣ࠉᇇҷ 타瓲秦蠀.瓱秦蠀&#10;瓼秦蠀byly瓻秦蠀jak瓆秦蠀v瓅秦蠀 瓀秦蠀,瓏秦蠀tak瓊秦蠀a瓉秦蠀na瓔秦蠀a瓓秦蠀&#10;celní瓞秦蠀.笈Ҵ筘Ҵ瓝秦簠蠀V絠Ҵ綰Ҵ瓘秦繐蠀&#10;罨Ҵ翠Ҵ璧秦肀蠀byly璢秦茀蠀jak葀Ҵ璡秦蓠蠀v藐Ҵ蘠Ҵ璬秦蛀蠀 螰Ҵ蠀Ҵ璫秦袠蠀,覐Ҵ觠Ҵ訰Ҵ誀Ҵ박᰻䉠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밹ㄺ䈌 ҫ뼘-금̺깨̺꺨̺껨̺꼨̺꽈̺꾈̺꿨̺ 끨̺&#10;남̺냨̺뀨̺&#10;Ԁ䈵 ￀Ќퟘ,껨̺̮꼨̺̮뱼画䈺ࠉ백㠻䉿ఉ₠1₴1몭A耀　ÿ'ÿ寓ﴐ0뮀1&amp;鳘1뮘1밬ܙ䈲ᐉd䈭 4̮밧⸻䈯ࠉ攀&amp;朰&amp;歀&amp;枀&amp;樀&amp;뿚퀻䈤ဉHP LaserJet 5000 Series PCL 5Ё؀ÜỜｃހ ச࠴dɘɘA4Ė䥄啎&quot;ѐڌᡐﳃ솨'ѐ䵓䩔рHP LaserJet 5000 Series PCL 5湉異䉴湩䄀瑵o䕒䑓䱌唀楮敲䑳䱌刀獥汯瑵潩n〶搰楰伀楲湥慴楴湯倀剏剔䥁T偈牏敩瑮潒慴整㠱0慆獬e畄汰硥一乏E慐数卲穩e䕌呔剅䠀䍐湯畳敭䍲獵潴偭灡牥吀畲e敍楤呡灹e啁佔䌀汯慬整伀䙆伀瑵異䉴湩䄀瑵o偈畏灴瑵楂佮楲湥慴楴湯䘀䍁啅P瑓灡楬杮一湯e偈瑓灡楬杮灏潰敳d慆獬e敔瑸獁求捡k慆獬e片灡楨獣潍敤䠀䝐㉌位䕄䠀卐慭瑲畈b湉瑥卟䑉㉟㌶䉟䑉㕟㐱䡟䑉㉟㔶䠀䑐捯牐灯敒潳牵散慄慴栀穰汨桬⹮慣b牐湩兴慵楬祴片畯p児片畯彰1偈潃潬䵲摯e位低䡃佒䕍䵟䑏E偈䑐呌灹e䑐彌䍐㕌䠀䵐硡敒潳畬楴湯倀䵄㙟〰偄I偈䩐䕌据摯湩g呕㡆䠀䩐扯捁潣湵楴杮䠀䩐䉏䍁呃䩟䉏䍁呎䠀䉐牯佮䑮瑡e偈佂D偈潊䉢䩹扯癏牥楲敤䨀䩂O偈䵘䙌汩啥敳d灨捭摰㕰砮汭䠀卐慭瑲畄汰硥楓杮敬慐敧潊b牔敵䠀䍐獵潴䑭灕敬慸汢剥湡敧㌀㕸㡟㔮ㅸ4偈潃敶獲䘀潲瑮䍟癯牥䠀䑐灵楬慣整潊乢浡佥敶牲摩e坓坆䔀桮湡散偤䱃䔵慮汢e牔敵䠀䕐慮汢剥坁灓潯楬杮吀畲e削潃獮牴楡瑮s削䡃䙄汵l削䑈湉瑳污敬d削䑈晏f削䑈潎䥴獮慴汬摥䨀䡒佄晦倀䅓楬湧敭瑮楆敬䠀婐卌桬n慈晬潴敮䠀䑐瑩敨䵲瑡楲x呔獁楂浴灡即瑥楴杮吀䵔摯佥瑵楬敮ᡐ啉䡐dA4 ச࠴ [none] [none]4P샀À샀À d㾀10018ĖĖĖĖ࠴࠴dMicrosoft Office Word䥗坎剏⹄塅EĖĖĖĖȀ鰀C:\Program Files\Microsoft Office\OFFICE11\WINWORD.EXE뻯밤ⴻ䇙ࠉ綏憄⧿ᇔꦗက❚떙㞃坟烈䟈嶮ꂑἚ鉵봣⌳䈧ࠉﲨ1宸Ї타敒栐蠀ꎠҷHLAVSOVAV敞栐l蠀ꎠҷHLAVSOVAV敚栐i蠀ꎠҷHLAVSOVAV敦栐蠀ꎠҷHLAVSOVAV敢栐l蠀ꎠҷHLAVSOVAV敮栐i蠀ꎠҷHLAVSOVAV敪栐蠀ꎠҷHLAVSOVAV敶栐d蠀ꎠҷHLAVSOVAV敲栐i蠀ꎠҷHLAVSOVAV敾栐蠀ꎠҷHLAVSOVAV敺栐x蠀ꎠҷHLAVSOVAV斆栐i蠀ꎠҷHLAVSOVAV斂栐蠀ꎠҷHLAVSOVAV斎栐.蠀ꎠҷHLAVSOVAV斊栐i蠀ꎠҷHLAVSOVAV斖栐蠀ꎠҷHLAVSOVAV斒栐.蠀ꎠҷHLAVSOVAV斞栐i蠀ꎠҷHLAVSOVAV斚栐蠀ꎠҷHLAVSOVAV斦栐d蠀ꎠҷHLAVSOVAV斢栐i蠀ꎠҷHLAVSOVAV斮栐蠀ꎠҷHLAVSOVAV斪栐.蠀ꎠҷHLAVSOVAV斶栐i蠀ꎠҷHLAVSOVAV斲栐蠀ꎠҷHLAVSOVAV斾栐d蠀ꎠҷHLAVSOVAV斺栐i蠀ꎠҷHLAVSOVAV旆栐蠀ꎠҷHLAVSOVAV旂栐d蠀ꎠҷHLAVSOVAV旎栐i蠀ꎠҷHLAVSOVAV旊栐蠀ꎠҷHLAVSOVAV旖栐.蠀ꎠҷHLAVSOVAV旒栐i谀멠І&#10;Ȍ&#10;l旞栐蠀WINWORD.EXE旚栐d蠀㏸皌⠝掆1⮁旦栐i谀ﻨЅ䀼ІﾈЅ既栐蠀about:blank旮栐l蠀about:blank旪栐i蠀㏸皌桁癗1⮀时栐谀ｨЅↄІ（Ѕ￨Ѕfl旲栐.蠀dummy://url旾栐i蠀㏸皌䆱ᐑ1⮀旺栐谀￈Ѕ研1ﾈЅ(Іamᨆ栐d蠀㏸皌瞥斉1⮁ᨂ栐i谀І搤(￨ЅhІᨎ栐蠀㏸皌䏙撇'⮁ᨊ栐.谀HІ攄((Іᨖ栐i蠀㏸皌ᆠ䥐'⮀ᨒ栐谀І䋼)èІtu᨞栐d蠀㏸皌ᆠ䥐'ꮠᨚ栐i谀ÈІ䏜)¨ІĨІlᨦ栐蠀㏸皌ᆠ䥐'⪐ᨢ栐i谀ĈІ唔)èІᨮ栐i蠀냨睜厈)ᨪ栐蠀냨睜叨)))ᨶ栐.谀栰睜䳔睜灰Їᨲ栐i蠀냨睜厸)ᨾ栐蠀냨睜厸)))ᨺ栐.耀睜2ᩆ栐i耀ê睜䳔睜浠ЇǨІᩂ栐谀Documentserᩎ栐l踀Personal鴰ᩊ栐i蠀My Pictures봣⌳䌠ࠊ行1宸Ї타ᳲ栐蠀р䎒W䎒WV㨔WІ᳄栐蠀с䢐W䢐WV㨔WІ㸠Ѓ᳖栐￘蠀т䤢W䤢WﲴV㨔WІ퍘І᳘栐蠀у䨔W䨔WV㨔Wᰪ栐蠀ф䦀W䦀WV㨔WਘІ᰼栐蠀х㰖W㰖WV㨔WힸІІᰎ栐￘蠀ц䕾W䕾WV㨔W틨Іᰐ栐蠀ч䄊W䄊WV㨔WІ憨Ҳᱢ栐k蠀ш䕨W䕨WﮄV㨔W흈І捨Ҳᱴ栐蠀щ䣀W䣀WV㨔WІ᱆栐￘蠀ъ䣖W䣖WV㨔WІ᱈栐蠀ы䍌W䍌WV㨔WࣈІᱚ栐i蠀ь䐬W䐬WV㨔W큈Іᶬ栐蠀э㭒W㭒WᑴW㨔Wᶾ栐￘蠀ю䒊W䒊WV㨔WІᶀ栐蠀я䛪W䛪WV㨔W攨Ҳᶒ栐l蠀ѐ䑂W䑂WV㨔Wᷤ栐蠀ё㰬W㰬WDW㨔WІ杘Ҳ뻾䌠ࠊ䮰Ї왫분窜䈚֤爧碢ᗐဈဈ䕍坏ƢÀ䘀̸À䘀࿘࿐ခ쳌쳌°࿐ÀƹÀ䘀ƫÀ䘀ƥÀ䘀ƤÀ䘀ƦÀ䘀ƪÀ䘀hX  ඀ခ쳌쳌Xခ쳌쳌H뱺첌䣒₨옛뀅쟓Xힴ楹䪊ꦨ쓺洘숎ခ쳌쳌``䕍坏ǀÀ䘀̻À䘀0啘諯ⳑ䐣憰㒛॥炚ခ쳌쳌ခ쳌쳌ခ쳌쳌൰ᗐ◘ǠڎWinSta0\Defaultڎ=::=::\ALLUSERSPROFILE=C:\ProgramDataAPPDATA=C:\Users\10018\AppData\RoamingCommonProgramFiles=C:\Program Files\Common FilesCOMPUTERNAME=10018-PC2ComSpec=C:\Windows\system32\cmd.exeDFSTRACINGON=FALSEFP_NO_HOST_CHECK=NOHOMEDRIVE=U:HOMEPATH=\HOMESHARE=\\MF10FS01\Users\10018INFORMIXDIR=C:\Informix\Client-SDK\LOCALAPPDATA=C:\Users\10018\AppData\LocalLOGONSERVER=\\MF10AS02NUMBER_OF_PROCESSORS=2OS=Windows_NTPath=C:\Program Files\SAP\FrontEnd\SapGui;C:\Program Files\Microsoft Office\OFFICE11\;C:\Windows\system32;C:\Windows;C:\Windows\System32\Wbem;C:\Windows\System32\WindowsPowerShell\v1.0\;C:\Program Files\Windows Imaging\;C:\Informix\Client-SDK\bin;C:\Program Files\Gemalto\Classic Client\BIN;C:\Program Files\Enterprise Vault\EVClient\;c:\program files\enterprise vault\evclient\;C:\Program Files\Microsoft Office\OFFICE11\PATHEXT=.COM;.EXE;.BAT;.CMD;.VBS;.VBE;.JS;.JSE;.WSF;.WSH;.MSCPROCESSOR_ARCHITECTURE=x86PROCESSOR_IDENTIFIER=x86 Family 16 Model 6 Stepping 2, AuthenticAMDPROCESSOR_LEVEL=16PROCESSOR_REVISION=0602ProgramData=C:\ProgramDataProgramFiles=C:\Program FilesPSModulePath=C:\Windows\system32\WindowsPowerShell\v1.0\Modules\PUBLIC=C:\Users\PublicSESSIONNAME=ConsoleSystemDrive=C:SystemRoot=C:\WindowsTEMP=C:\Users\10018\AppData\Local\TempTMP=C:\Users\10018\AppData\Local\TempTRACE_FORMAT_SEARCH_PATH=\\winseqfe\release\Windows6.0\lh_sp2rtm\6002.18005.090410-1830\x86fre\symbols.pri\TraceFormatUATDATA=C:\Windows\system32\CCM\UATData\D9F8C395-CAB8-491d-B8AC-179A1FE1BE77USERDNSDOMAIN=URAD.MFCR.CZUSERDOMAIN=URADUSERNAME=10018USERPROFILE=C:\Users\10018WecVersionForRosebud.14C0=2WecVersionForRosebud.15CC=2windir=C:\Windows氦敥耀,І帐Іmigautoplay.exe敥敥氦敥耀Іmiguiresource.dll氦敥耀᭜І彐Іmsctfmonitor.dll敥氦敥耀ÛІ໐(msdtcvsp1res.dll敥氦敥耀І耘Їmsfeedssync.exe敥敥氦敥耀ÆІmsjetoledb40.dll敥氦敥耀]І⛠Іmsralegacy.tlb敥敥敥氦敥耀 Іmuifontsetup.dll敥氦敥耀І冠(muiunattend.exe敥敥氦敥耀rІ槸Їnativehooks.dll敥敥氦敥耀£Іဠ(ndfeventview.xml敥氦敥耀ÔІndproxystub.dll敥敥氦敥耀dІ'networkmap.dll敥敥敥氦敥耀VІnetwork_llu.log敥敥氦敥耀ªІnlsdata0000.dll敥敥氦敥耀éІᜈЇnlsdata0001.dll敥敥氦敥耀ðІ欘Їnlsdata0002.dll敥敥氦敥耀÷Іnlsdata0003.dll敥敥氦敥耀ÍІІnlsdata0007.dll敥敥氦敥耀HІᔰ(nlsdata0009.dll敥敥氦敥耀kІ൸Їnlsdata000a.dll敥敥氦敥耀yІnlsdata000c.dll敥敥氦敥耀Іnlsdata000d.dll敥敥氦敥耀Іnlsdata000f.dll敥敥氦敥耀OІnlsdata0010.dll敥敥氦敥耀Іnlsdata0011.dll敥敥氦敥耀:Іႀ(nlsdata0013.dll敥敥氦敥耀3Іnlsdata0018.dll敥敥氦敥耀І╀(nlsdata0019.dll敥敥氦敥耀±І଀(nlsdata001a.dll敥敥氦敥耀밿㘻䃽ఊ嵰皌ㆨ皌嵴皌䜤皌嶘皌嶬皌⮀耀鬅判ᨈЇ᧰ЇｈЅ᧘ЇｈЅＨЅ밤ⴻ䈼ࠊ᠛륟䫱嚀㉼묚醰ᅘ&quot;呣踱ᇒ䚿က❚떙븣″䈧ࠊﴈ1隸1타ῲ栐蠀*urn:schemas-microsoft-com:office:smarttagsῆ栐￘谀ꎠҷꟜ졀䋀ᨐ릴⼫苡伯䴽䍆⽒問䴽䍆䱒呅䌯㵎䕒䥃䥐久協䌯㵎ㄱ䌯㵎䱈噁体䅖VῊ栐d耀釨ဗ銰ဗ銈ဗ鉠ဗ鋘ဗ錀ဗ錨ဗ鈸ဗ됈Ѕ뢨Ѕ둈Ѕ뙨Ѕ껐ဏ딨Ѕ鍐ဗ囨ယ醘ဗ῞栐￘谀ꎠҷꟜ졀䋀ᨐ릴⼫苡伯䴽䍆⽒問䴽䍆䱒呅䌯㵎䕒䥃䥐久協䌯㵎ㄱ䌯㵎䱈噁体䅖Vdeἢ栐c輀온-Ƛ졀䋀ᨐ릴⼫苡漯䴽䍆⽒畯䴽䍆䱒呅振㵮敒楣楰湥獴振㵮㈱振㵮䥓䅍䩎roἶ栐￘輀온-Ƛ졀䋀ᨐ릴⼫苡漯䴽䍆⽒畯䴽䍆䱒呅振㵮敒楣楰湥獴振㵮㈱振㵮䥓䅍䩎Ἲ栐蠀'/o=MFCR/ou=MFCRLET/cn=Recipients/cn=TYLLKἎ栐￘謀婘.Ƛ졀䋀ᨐ릴⼫苡伯䴽䍆⽒問䴽䍆䱒呅䌯㵎䕒䥃䥐久協䌯㵎〲䌯㵎䅂佌乕噏噁_ἒ栐-謀婘.Ƛ졀䋀ᨐ릴⼫苡伯䴽䍆⽒問䴽䍆䱒呅䌯㵎䕒䥃䥐久協䌯㵎〲䌯㵎䅂佌乕噏噁ὦ栐￘蠀笨ЇKulhánek Stanislav Ing. Mgr.  &lt;KulhanekS&gt;Ὢ栐d蠀䚨ҪDana Bakesova  &lt;Dana.Bakesova@bohnice.cz&gt;὾栐￘谀ᖈ/Frýdmanová Marie Ing. CSc.  &lt;FRYDMANOM&gt;ὂ栐谀໠.Ƛ졀䋀ᨐ릴⼫苡伯䴽䍆⽒問䴽䍆䱒呅振㵮敒楣楰湥獴振㵮㈱振㵮呓乒䑁噏Jpeὖ栐￘谀໠.Ƛ졀䋀ᨐ릴⼫苡漯䴽䍆⽒畯䴽䍆䱒呅振㵮敒楣楰湥獴振㵮㈱振㵮呓乒䑁噏Jah὚栐d踀縸ЇꟜ졀䋀ᨐ릴⼫苡漯䴽䍆⽒畯䴽䍆䱒呅振㵮敒楣楰湥獴振㵮㐳振㵮啈䵌乁AẮ栐￘踀縸ЇꟜ졀䋀ᨐ릴⼫苡漯䴽䍆⽒畯䴽䍆䱒呅振㵮敒楣楰湥獴振㵮㐳振㵮啈䵌乁AprẲ栐e蠀빘-/O=MFCR/OU=MFCRLET/cn=Recipients/cn=13181Ẇ栐￘贀䠀ҪꟜ졀䋀ᨐ릴⼫苡漯䴽䍆⽒畯䴽䍆䱒呅振㵮敒楣楰湥獴振㵮㐱振㵮䕈則噏䥁Ẋ栐贀䠀ҪꟜ졀䋀ᨐ릴⼫苡漯䴽䍆⽒畯䴽䍆䱒呅振㵮敒楣楰湥獴振㵮㐱振㵮䕈則噏䥁ruẞ栐￘輀⣐ҫꟜ졀䋀ᨐ릴⼫苡伯䴽䍆⽒問䴽䍆䱒呅䌯㵎䕒䥃䥐久協䌯㵎㌱䌯㵎䱓䭕十olỢ栐s輀⣐ҫꟜ졀䋀ᨐ릴⼫苡伯䴽䍆⽒問䴽䍆䱒呅䌯㵎䕒䥃䥐久協䌯㵎㌱䌯㵎䱓䭕十Ỷ栐￘言Ԉ/Lucie Joujová  &lt;lucie.joujova@flycom.cz&gt;tỺ栐c贀ظ/Ƛ졀䋀ᨐ릴⼫苡伯䴽䍆⽒問䴽䍆䱒呅䌯㵎䕒䥃䥐久協䌯㵎㤱䌯㵎佖䙌噏偁alỎ栐￘贀ظ/Ƛ졀䋀ᨐ릴⼫苡伯䴽䍆⽒問䴽䍆䱒呅䌯㵎䕒䥃䥐久協䌯㵎㤱䌯㵎佖䙌噏偁Ồ栐蠀탰ҫ/O=MFCR/OU=MFCRLET/cn=Recipients/cn=13551Ḧ栐￘輀헀ҫꟜ졀䋀ᨐ릴⼫苡伯䴽䍆⽒問䴽䍆䱒呅䌯㵎䥍則䍁⽅乃䴽㉆⼰乃䴽䭉噏䡁meḪ栐g輀헀ҫꟜ졀䋀ᨐ릴⼫苡伯䴽䍆⽒問䴽䍆䱒呅䌯㵎䥍則䍁⽅乃䴽㉆⼰乃䴽䭉噏䡁Ḿ栐￘谀ҫꟜ졀䋀ᨐ릴⼫苡漯䴽䍆⽒畯䴽䍆䱒呅振㵮敒楣楰湥獴振㵮㐱振㵮䥈䵍䱅噏JdoḂ栐\谀ҫꟜ졀䋀ᨐ릴⼫苡漯䴽䍆⽒畯䴽䍆䱒呅振㵮敒楣楰湥獴振㵮㐱振㵮䥈䵍䱅噏JḖ栐￘踀ҫŠoltová Drahomíra Ing.  &lt;user7d838009&gt;Ḛ栐谀ҫꟜ졀䋀ᨐ릴⼫苡伯䴽䍆⽒問䴽䍆䱒呅䌯㵎䕒䥃䥐久協䌯㵎ㄱ䌯㵎之䉅䥌佋JṮ栐￘谀ҫꟜ졀䋀ᨐ릴⼫苡伯䴽䍆⽒問䴽䍆䱒呅䌯㵎䕒䥃䥐久協䌯㵎ㄱ䌯㵎之䉅䥌佋JṲ栐谀ҫꟜ졀䋀ᨐ릴⼫苡漯䴽䍆⽒畯䴽䍆䱒呅振㵮敒楣楰湥獴振㵮㐱振㵮低䅖佋䅖OṆ栐￘谀ҫꟜ졀䋀ᨐ릴⼫苡漯䴽䍆⽒畯䴽䍆䱒呅振㵮敒楣楰湥獴振㵮㐱振㵮低䅖佋䅖OṊ栐谀⯠ҫꟜ졀䋀ᨐ릴⼫苡伯䴽䍆⽒問䴽䍆䱒呅䌯㵎䕒䥃䥐久協䌯㵎㜳䌯㵎商䡃体䅖JṞ栐￘谀⯠ҫꟜ졀䋀ᨐ릴⼫苡伯䴽䍆⽒問䴽䍆䱒呅䌯㵎䕒䥃䥐久協䌯㵎㜳䌯㵎商䡃体䅖Jᶢ栐踀鸞ҫHelena Menouskova  &lt;menouskova@psp.cz&gt;ᶶ栐￘谀敖ҫWildová Vlasta  &lt;Vlasta.Wildova@mze.cz&gt;ᶺ栐谀｠ҫꟜ졀䋀ᨐ릴⼫苡漯䴽䍆⽒畯䴽䍆䱒呅振㵮敒楣楰湥獴振㵮㤹振㵮䅋䥌低䅖Hᶎ栐￘谀｠ҫꟜ졀䋀ᨐ릴⼫苡漯䴽䍆⽒畯䴽䍆䱒呅振㵮敒楣楰湥獴振㵮㤹振㵮䅋䥌低䅖Hᶒ栐谀ҬꟜ졀䋀ᨐ릴⼫苡漯䴽䍆⽒畯䴽䍆䱒呅振㵮敒楣楰湥獴振㵮㤱振㵮佖告卉佋Zᷦ栐￘谀ҬꟜ졀䋀ᨐ릴⼫苡漯䴽䍆⽒畯䴽䍆䱒呅振㵮敒楣楰湥獴振㵮㤱振㵮佖告卉佋Z봣⌳䀠ࠊﭨ1ﶸ1타ᮒ栐言ProgramFilesCommonᮜ栐谀Ꮸ&amp;谐ЋᏨ&amp;齭䞢꺪팩옗曰⋐1Mᮦ栐谀ᆸ&amp;豀Ћᆸ&amp;齭䞢꺪팩옗曰푀0ᮠ栐谀賰睜히0훈&amp;Ѕ᮪栐言SAX XML Reader 5.0᮴栐言粰ЇŠátek David Ing.ᮾ栐谀䉎厞ð1䉎厞䐹➻摫ᅭڔ᮸栐踀䚨Ҫ䵓偔䐺乁⹁䅂䕋体䅖䉀䡏䥎䕃䌮Zᭂ栐踀온-+420 603870061ᭌ栐谀㒈ІРၰ1РÀ䘀᭖栐谀㟨І짐秪׈1짐秪뫹ᇎ芌ꨀ䬀னr᭐栐踀Převod jednotek᭚栐谀꾘&amp;Фླྀ1ФÀ䘀᭤栐谀ˢЀ翿ϠϨ᭮栐踀相ҭ+420 603222009᭨栐蠀慀Ѓdanabak@seznam.cz᭲栐蠀ᐘ/Štika Ondřej Ing.᭼栐踀笨Ї+420 733675066ᬆ栐谀뱺￸0뱺첌䣒₨옛뀅쟓nᬀ栐谀㡸І຀1À䘀ᬊ栐踀窘'+420 725356052Mᬔ栐谀鸁篒ﰘ0鸁篒盁ᇏ킝ꀀω㍉ᬞ栐踀Telefonní čísloᬘ栐谀온-Šiman Jiří Ing.ᬢ栐言粰ЇŠátek David Ing.ᬬ栐谀'Tyll Karel Ing.ᬶ栐蠀NT Authority\SYSTEMᬰ栐言相ҭRucká Karla Ing.ᬺ栐谀께&amp;㩐㏅Ӑ1㩐㏅䢄䦰ﶅ㹤᫄栐言相ҭRucká Karla Ing.ᫎ栐谀槬裙Ϙ1槬裙讋䰽麅沯壑྾᫈栐谀눈&amp;ぐۀ1ぐ颵ᇏ芻ꨀ봀௎᫒栐谀온-Šiman Jiří Ing.䏸Ҫ᫜栐踀꯰ҷ+420 728130002᫦栐耀Převod jednotekЅ蛐-᫠栐蠀䕐ҪAdamec Pavel Ing.᫪栐蠀慀Ѓdanabak@seznam.cz᫴栐踀'+420 725001121᫾栐蠀䕐ҪAdamec Pavel Ing.᫸栐谀䮠＀0䮠方ᇎ목ꨀ䨀㟨&#10;᪂栐蠀ᐘ/Štika Ondřej Ing.᪌栐谀'Tyll Karel Ing.뱵簻䌠ఊ௛ชam䀀䀀䀀䀀ffice\OFFICE11;C:\Windows\system32;C:\Windows\system;C:\Windows;.;C:\Program Files\SAP\FrontEnd\SapGui;C:\Program Files\Microsoft Office\OFFICE11\;C:\Windows\system32;C:\Windows;C:\Windows\System32\Wbem;C:\Windows\System32\WindowsPowerShell\v1.0\;C:\Program Files\WindƐ``&#10;﻿&#10;✀鴽늮鹑＋ഌă翽@î\P밾㜻䉶ࠊdC:\PROGRA~1\COMMON~1\MICROS~1\SMARTT~1\FPERSON.DLLorary Internet Files\OLK8E7A\Polsko 11 10 2014.docxindows;밽㐻䈽ఊ䫘癔䯔癔枰*㸨І'뜴痜癔ᢰ癢褰ÿ봀ЅǴ럀*劘)劘)冤癓㸨І剬癓㸨І㻌І剜癓剌癓ꚜ癒Ꚍ癒㻌Іĸɭギꮣ쪝羋㤖ꢿ柞뙌ᗐ銐ІÄ&quot;밀ऻ䈾ఊ&amp;C擖癔DÀ䘀崄誈ᳫᇉါ恈뒀癓-171Ӓ㾔Іnterface\{0000000c-0000-0000-C00翿䀐Іt밿㘻䈃ఊ嵰皌ㆨ皌嵴皌䜤皌嶘皌嶬皌⮁耀 謅偤11111밓ᬺ䈼&#10;疨1Ќ牀ҿ牨ҿ猰ҿ玀ҿ珐ҿ瑈ҿ璘ҿ甐ҿ疈ҿ痘ҿ癐ҿ盈ҿ着ҿ瞸ҿ砈ҿ碀ҿ磸ҿ祈ҿ禘ҿ稐ҿ穠ҿ窰ҿ笀ҿ筐ҿ箠ҿ篰ҿ籀ҿ粐ҿ糠ҿ細ҿ綀ҿ緸ҿ繰ҿ绀ҿ缐ҿ羈ҿ翘ҿ聐ҿ胈ҿ脘ҿ腨ҿ膸ҿ興ҿ艘ҿ芨ҿ苸ҿ荈ҿ莘ҿ菨ҿ萸ҿ蒈ҿ蓘ҿ蔨ҿ蕸ҿ藈ҿ蘘ҿ虨ҿ蚸ҿ蜈ҿ蝘ҿ螨ҿ蟸ҿ衈ҿ袘ҿ裨ҿ褸ҿ覈ҿ觘ҿ訨ҿ詸ҿ諈ҿ謘ҿ譨ҿ许ҿ谈ҿ豘ҿ貨ҿ賸ҿ赈ҿ趘ҿ跨ҿ踸ҿ躈ҿ輀ҿ轸ҿ述ҿ遀ҿ邸ҿ鄈ҿ醀ҿ븣″䈐ࠊЀЇ᪐І타氦傪蠀ĶÀ䘀崄誈ᳫᇉါ恈氦0谀ꎠ氂꙼毭Ꜵ氂믰0毦ұl氦n谀ꎠ氂꙼毭Ꜵ氂믰0毦ұ氦0谀ꎠ氂꙼毭Ꜵ氂믰0毦ұ8氦p谀ꎠ氂꙼毭Ꜵ氂믰0毦쉐Ѕ8氦0谀ꎠ氂꙼毭Ꜵ氂믰0毦숨Ѕ氦X谀ꎠ氂꙼毭Ꜵ氂믰0毦숀Ѕ氦2蠀噸ሴሴꯍï⌁杅ꮉ崄誈ᳫᇉါ恈氦L蠀C:\Windows\system32\MSIMG32.dll氦n谀ꎠ氂꙼毭Ꜵ氂믰0毦닰І氦s谀C:\Windows\system32\HLINK.dlll氦u蠀C:\Windows\system32\msctf.dlll氦V蠀栜睜䳔睜砘Ї䡤睜⪸睜ᢈЇ⪸睜氦4谀C:\Windows\system32\hlink.dll3\氦M蠀暠睜杄睜蒘睜蒄睜葴睜⪸睜䏀ҪƋᷨˬ破Ї砘Ї氦a言C:\Windows\system32\mshtml.dll\氦n谀ꎠ氂꙼毭Ꜵ氂믰0毦홀ұi氦s谀mailto:Iva.Borkovcova@mfcr.cz32氦p谀mailto:Iva.Borkovcova@mfcr.czmi氦f谀mailto:Iva.Borkovcova@mfcr.cz\W氦X谀mailto:Iva.Borkovcova@mfcr.czmm氦d谀mailto:Iva.Borkovcova@mfcr.cz2氦L谀mailto:Iva.Borkovcova@mfcr.czmm氦s蠀QueryInterfacen.11lika).cz氦s谀mailto:Iva.Borkovcova@mfcr.czmo氦m谀mailto:Iva.Borkovcova@mfcr.czD氦V谀mailto:Iva.Borkovcova@mfcr.czmo氦t谀ꎠ氂꙼毭Ꜵ氂믰0毦솰Ѕ삘Ѕ氦Z谀ꎠ氂꙼毭Ꜵ氂믰0毦혘ұ氦d蠀暠睜杄睜蒘睜蒄睜葴睜⪸睜⻠̹棤Ї棈Ї氦n蠀C:\Windows\System32\msctf.dlll氦d蠀C:\Windows\System32\msctf.dlll氦p蠀栜睜䳔睜棈Ї䡤睜⪸睜⪸睜氦d谀ꯠ睠贰睟贬睟&amp;埛ᇒက❚떙Z঵í௼ᗐᗌW3氦8谀ꯠ睠贰睟贬睟&amp;埛ᇒက❚떙Y঵í௼ᗐᗌmp氦g谀ꯠ睠贰睟贬睟&amp;埛ᇒက❚떙B঵íහᗐᗌDL氦C谀ꯠ睠贰睟贬睟&amp;埛ᇒက❚떙A঵íහᗐᗌms氦t蠀丰)氦2蠀C:\Windows\system32\ntshrui.dll氦p言C:\Windows\system32\cscapi.dll氦W蠀C:\Users\10018\Documents氦n蠀C:\Users\Public\Documents氦D蠀C:\Users\Public\Pictures氦m蠀C:\Users\10018\Favorites氦y蠀C:\Users\10018\Music\Playlists氦n蠀C:\Users\10018\AppData\Roaming氦I蠀C:\Users\Public\Downloads氦r蠀C:\Users\10018\Downloads氦T蠀C:\Users\10018\Saved Games氦f蠀C:\Program Files\Common Files氦n蠀C:\Windows\resources\0405氦d踀Microsoft\Windows\Start Menu氦p言Microsoft\Windows\GameExplorer氦t言Microsoft\Windows\GameExplorer氦X蠀C:\Users\10018\AppData\LocalLow氦c踀Microsoft\Windows\Start Menu 曮됣⨳䀠ࠊﶈ1'타ᅲ栐摤ꐀఌЊ‰汜䀀䀀䀀䀀ㄠ䄠捣湥⁴㬴汜摳敳業楨摤湥‰汜摳湵楨敤獵摥‰汜摳牰潩楲祴㘶尠獬汤捯敫つ䴠摥畩⁭楌瑳㈠䄠捣湥⁴㬴汜摳敳業楨摤湥‰汜摳湵楨敤獵摥‰汜摳牰潩楲祴㜶尠獬汤捯敫つ䴠摥畩⁭片摩ㄠ䄠捣湥⁴㬴汜摳敳業楨摤湥‰汜摳湵楨敤獵摥‰汜摳牰潩楲祴㠶尠獬汤捯敫つ䴠摥畩⁭片摩㈠䄠捣湥⁴㬴汜摳敳業楨摤湥‰汜摳湵楨敤獵摥‰汜摳牰潩楲祴㤶尠獬汤捯敫つ䴠摥畩⁭片摩㌠䄠捣湥⁴㬴汜摳敳業楨摤湥‰汜摳湵楨敤獵摥‰汜摳牰潩楲祴〷尠獬汤捯敫つ䐠牡"/>
        </w:smartTagPr>
        <w:r w:rsidRPr="009F0377">
          <w:t>2015 a</w:t>
        </w:r>
      </w:smartTag>
      <w:r w:rsidRPr="009F0377">
        <w:t xml:space="preserve"> v letech </w:t>
      </w:r>
      <w:smartTag w:uri="urn:schemas-microsoft-com:office:smarttags" w:element="metricconverter">
        <w:smartTagPr>
          <w:attr w:name="ProductID" w:val="50 mil"/>
        </w:smartTagPr>
        <w:r w:rsidRPr="009F0377">
          <w:t>2016 a</w:t>
        </w:r>
      </w:smartTag>
      <w:r w:rsidRPr="009F0377">
        <w:t xml:space="preserve"> 2017 ve</w:t>
      </w:r>
      <w:r w:rsidR="005A149A">
        <w:t> </w:t>
      </w:r>
      <w:r w:rsidRPr="009F0377">
        <w:t>výši 7,7</w:t>
      </w:r>
      <w:r w:rsidR="005A149A">
        <w:t> </w:t>
      </w:r>
      <w:r w:rsidRPr="009F0377">
        <w:t xml:space="preserve">mld. Kč ročně (v roce 2014 rozpočet 7,4 mld. Kč). Dále na transfery </w:t>
      </w:r>
      <w:r>
        <w:t xml:space="preserve">na činnosti vykonávané obcemi s rozšířenou působností v oblasti </w:t>
      </w:r>
      <w:r w:rsidRPr="009F0377">
        <w:t>sociálně právní ochran</w:t>
      </w:r>
      <w:r>
        <w:t>y</w:t>
      </w:r>
      <w:r w:rsidRPr="009F0377">
        <w:t xml:space="preserve"> dětí připadá částka </w:t>
      </w:r>
      <w:r>
        <w:t xml:space="preserve">1,2 </w:t>
      </w:r>
      <w:r w:rsidRPr="009F0377">
        <w:t xml:space="preserve">mld. Kč v roce </w:t>
      </w:r>
      <w:smartTag w:uri="urn:schemas-microsoft-com:office:smarttags" w:element="metricconverter">
        <w:smartTagPr>
          <w:attr w:name="ProductID" w:val="㿸氮栐睯蠀װዲ倠㿸氪栐言Ꙁ氂2016 aa氶栐蠀200 mil氲栐䄪谀Ꙁ氂8 mila氾栐p蠀ָሲ倠㿸氺栐F耀Key1ll氆栐ꀀ言ᗐ71ﾠmil氂栐言URAD\10018Ѕ氎栐言&#10;ᗐ2016 aЅ氊栐䉻蠀盨睞605 mil氖栐蠀620 mil氒栐敳蠀떬Ѕ떬Ѕﾲ'氞栐蠀냨睜厸)퀸/똨Ѕ氚栐氀蠀냨睜印)汦栐䠀蠀Өྒ倠㿸汢栐굒蠀냨睜叨)퀸/)汮栐㄀蠀냨睜叨)))汪栐܀耀40 mill汶栐言Ꙁ氂2016 aЅ汲栐⅄言ke40 mil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耀睜 a涾栐蠀2015, a涺栐蠀裘-涆栐言ᗐ2015 a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ᇪ錈ሎ汜栐n蠀ꚨ毭믰03뀄Ѓ䎠Ҹ汙栐8蠀㹰І鏠Ћ뜰І汢栐c蠀焤消뱨Ѕ뫘Ѕ汯栐蠀Ministerstva汨栐谀 1ﾠ373 milnl汵栐蠀Ổ့함ဴ嚀ံ汾栐n谀āĀt汻栐5蠀WQL12栐耀¤Ѕ氄栐c谀ԁԀ⬻㶸퀪尷ᚽ耀氁栐谀 1ﾠ000 milr氊栐耀煐ᇧ嶠Ѓ気栐谀0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lt;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밉ĺ䉱 䒰)區Ҹ￼￼￼￼￼￼￼￼￼￼￼￼￼￼￼￼￼￼￼￼￼￼￼￼￼￼￼￼￼￼￼￼￼￼￼￼￼￼￼￼￼￼￼￼￼￼￼￼￼￼￼￼￼￼￼￼￼￼￼￼￼￼￼￼￼￼￼￼￼￼￼￼￼￼￼￼￼￼￼￼￼￼￼￼￼￼￼￼￼￼￼￼￼￼￼￼￼￼￼￼￼￼￼￼￼￼￼￼￼￼￼￼￼￼￼￼￼￼￼￼￼￼￼￼&#10;ऀ䈁 ࠀ䈂 ㊨)緰1Ѐ䈆 揸(ڰ*Ȁ䈈 呐)Ä&quot;밈Ļ䈊ࠉ垤瘜췯覫䀀霤瘚쪌Ѕ쪌Ѕ1쪰Ѕ䒠ІΈ뿐Ѕ͑1 mF͓:\缞쬠Ѕ쬠Ѕ쭄Ѕ쭄Ѕ쭐Ѕ쭐Ѕinwe쮀Ѕ쮀Ѕ\v쮐Ѕ쮐Ѕdu쮠Ѕ쮠Ѕ쫄ЅC=ڨ백㠻䈋ਉC:\Program Files\Common Files\Microsoft Shared\OFFICE11\msxml5.dll藔밡⤺䈲 '呐)밡⠻䈢ࠉᗰҺᕐҺ베ꤻ䈢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뱣戳䊣ࠉᇇҷ 타瓲秦蠀.瓱秦蠀&#10;瓼秦蠀byly瓻秦蠀jak瓆秦蠀v瓅秦蠀 瓀秦蠀,瓏秦蠀tak瓊秦蠀a瓉秦蠀na瓔秦蠀a瓓秦蠀&#10;celní瓞秦蠀.笈Ҵ筘Ҵ瓝秦簠蠀V絠Ҵ綰Ҵ瓘秦繐蠀&#10;罨Ҵ翠Ҵ璧秦肀蠀byly璢秦茀蠀jak葀Ҵ璡秦蓠蠀v藐Ҵ蘠Ҵ璬秦蛀蠀 螰Ҵ蠀Ҵ璫秦袠蠀,覐Ҵ觠Ҵ訰Ҵ誀Ҵ박᰻䉠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밹ㄺ䈌 ҫ뼘-금̺깨̺꺨̺껨̺꼨̺꽈̺꾈̺꿨̺ 끨̺&#10;남̺냨̺뀨̺&#10;Ԁ䈵 ￀Ќퟘ,껨̺̮꼨̺̮뱼画䈺ࠉ백㠻䉿ఉ₠1₴1몭A耀　ÿ'ÿ寓ﴐ0뮀1&amp;鳘1뮘1밬ܙ䈲ᐉd䈭 4̮밧⸻䈯ࠉ攀&amp;朰&amp;歀&amp;枀&amp;樀&amp;뿚퀻䈤ဉHP LaserJet 5000 Series PCL 5Ё؀ÜỜｃހ ச࠴dɘɘA4Ė䥄啎&quot;ѐڌᡐﳃ솨'ѐ䵓䩔рHP LaserJet 5000 Series PCL 5湉異䉴湩䄀瑵o䕒䑓䱌唀楮敲䑳䱌刀獥汯瑵潩n〶搰楰伀楲湥慴楴湯倀剏剔䥁T偈牏敩瑮潒慴整㠱0慆獬e畄汰硥一乏E慐数卲穩e䕌呔剅䠀䍐湯畳敭䍲獵潴偭灡牥吀畲e敍楤呡灹e啁佔䌀汯慬整伀䙆伀瑵異䉴湩䄀瑵o偈畏灴瑵楂佮楲湥慴楴湯䘀䍁啅P瑓灡楬杮一湯e偈瑓灡楬杮灏潰敳d慆獬e敔瑸獁求捡k慆獬e片灡楨獣潍敤䠀䝐㉌位䕄䠀卐慭瑲畈b湉瑥卟䑉㉟㌶䉟䑉㕟㐱䡟䑉㉟㔶䠀䑐捯牐灯敒潳牵散慄慴栀穰汨桬⹮慣b牐湩兴慵楬祴片畯p児片畯彰1偈潃潬䵲摯e位低䡃佒䕍䵟䑏E偈䑐呌灹e䑐彌䍐㕌䠀䵐硡敒潳畬楴湯倀䵄㙟〰偄I偈䩐䕌据摯湩g呕㡆䠀䩐扯捁潣湵楴杮䠀䩐䉏䍁呃䩟䉏䍁呎䠀䉐牯佮䑮瑡e偈佂D偈潊䉢䩹扯癏牥楲敤䨀䩂O偈䵘䙌汩啥敳d灨捭摰㕰砮汭䠀卐慭瑲畄汰硥楓杮敬慐敧潊b牔敵䠀䍐獵潴䑭灕敬慸汢剥湡敧㌀㕸㡟㔮ㅸ4偈潃敶獲䘀潲瑮䍟癯牥䠀䑐灵楬慣整潊乢浡佥敶牲摩e坓坆䔀桮湡散偤䱃䔵慮汢e牔敵䠀䕐慮汢剥坁灓潯楬杮吀畲e削潃獮牴楡瑮s削䡃䙄汵l削䑈湉瑳污敬d削䑈晏f削䑈潎䥴獮慴汬摥䨀䡒佄晦倀䅓楬湧敭瑮楆敬䠀婐卌桬n慈晬潴敮䠀䑐瑩敨䵲瑡楲x呔獁楂浴灡即瑥楴杮吀䵔摯佥瑵楬敮ᡐ啉䡐dA4 ச࠴ [none] [none]4P샀À샀À d㾀10018ĖĖĖĖ࠴࠴dMicrosoft Office Word䥗坎剏⹄塅EĖĖĖĖȀ鰀C:\Program Files\Microsoft Office\OFFICE11\WINWORD.EXE뻯밤ⴻ䇙ࠉ綏憄⧿ᇔꦗက❚떙㞃坟烈䟈嶮ꂑἚ鉵봣⌳䈧ࠉﲨ1宸Ї타敒栐蠀ꎠҷHLAVSOVAV敞栐l蠀ꎠҷHLAVSOVAV敚栐i蠀ꎠҷHLAVSOVAV敦栐蠀ꎠҷHLAVSOVAV敢栐l蠀ꎠҷHLAVSOVAV敮栐i蠀ꎠҷHLAVSOVAV敪栐蠀ꎠҷHLAVSOVAV敶栐d蠀ꎠҷHLAVSOVAV敲栐i蠀ꎠҷHLAVSOVAV敾栐蠀ꎠҷHLAVSOVAV敺栐x蠀ꎠҷHLAVSOVAV斆栐i蠀ꎠҷHLAVSOVAV斂栐蠀ꎠҷHLAVSOVAV斎栐.蠀ꎠҷHLAVSOVAV斊栐i蠀ꎠҷHLAVSOVAV斖栐蠀ꎠҷHLAVSOVAV斒栐.蠀ꎠҷHLAVSOVAV斞栐i蠀ꎠҷHLAVSOVAV斚栐蠀ꎠҷHLAVSOVAV斦栐d蠀ꎠҷHLAVSOVAV斢栐i蠀ꎠҷHLAVSOVAV斮栐蠀ꎠҷHLAVSOVAV斪栐.蠀ꎠҷHLAVSOVAV斶栐i蠀ꎠҷHLAVSOVAV斲栐蠀ꎠҷHLAVSOVAV斾栐d蠀ꎠҷHLAVSOVAV斺栐i蠀ꎠҷHLAVSOVAV旆栐蠀ꎠҷHLAVSOVAV旂栐d蠀ꎠҷHLAVSOVAV旎栐i蠀ꎠҷHLAVSOVAV旊栐蠀ꎠҷHLAVSOVAV旖栐.蠀ꎠҷHLAVSOVAV旒栐i谀멠І&#10;Ȍ&#10;l旞栐蠀WINWORD.EXE旚栐d蠀㏸皌⠝掆1⮁旦栐i谀ﻨЅ䀼ІﾈЅ既栐蠀about:blank旮栐l蠀about:blank旪栐i蠀㏸皌桁癗1⮀时栐谀ｨЅↄІ（Ѕ￨Ѕfl旲栐.蠀dummy://url旾栐i蠀㏸皌䆱ᐑ1⮀旺栐谀￈Ѕ研1ﾈЅ(Іamᨆ栐d蠀㏸皌瞥斉1⮁ᨂ栐i谀І搤(￨ЅhІᨎ栐蠀㏸皌䏙撇'⮁ᨊ栐.谀HІ攄((Іᨖ栐i蠀㏸皌ᆠ䥐'⮀ᨒ栐谀І䋼)èІtu᨞栐d蠀㏸皌ᆠ䥐'ꮠᨚ栐i谀ÈІ䏜)¨ІĨІlᨦ栐蠀㏸皌ᆠ䥐'⪐ᨢ栐i谀ĈІ唔)èІᨮ栐i蠀냨睜厈)ᨪ栐蠀냨睜叨)))ᨶ栐.谀栰睜䳔睜灰Їᨲ栐i蠀냨睜厸)ᨾ栐蠀냨睜厸)))ᨺ栐.耀睜2ᩆ栐i耀ê睜䳔睜浠ЇǨІᩂ栐谀Documentserᩎ栐l踀Personal鴰ᩊ栐i蠀My Pictures봣⌳䌠ࠊ行1宸Ї타ᳲ栐蠀р䎒W䎒WV㨔WІ᳄栐蠀с䢐W䢐WV㨔WІ㸠Ѓ᳖栐￘蠀т䤢W䤢WﲴV㨔WІ퍘І᳘栐蠀у䨔W䨔WV㨔Wᰪ栐蠀ф䦀W䦀WV㨔WਘІ᰼栐蠀х㰖W㰖WV㨔WힸІІᰎ栐￘蠀ц䕾W䕾WV㨔W틨Іᰐ栐蠀ч䄊W䄊WV㨔WІ憨Ҳᱢ栐k蠀ш䕨W䕨WﮄV㨔W흈І捨Ҳᱴ栐蠀щ䣀W䣀WV㨔WІ᱆栐￘蠀ъ䣖W䣖WV㨔WІ᱈栐蠀ы䍌W䍌WV㨔WࣈІᱚ栐i蠀ь䐬W䐬WV㨔W큈Іᶬ栐蠀э㭒W㭒WᑴW㨔Wᶾ栐￘蠀ю䒊W䒊WV㨔WІᶀ栐蠀я䛪W䛪WV㨔W攨Ҳᶒ栐l蠀ѐ䑂W䑂WV㨔Wᷤ栐蠀ё㰬W㰬WDW㨔WІ杘Ҳ뻾䌠ࠊ䮰Ї왫분窜䈚֤爧碢ᗐဈဈ䕍坏ƢÀ䘀̸À䘀࿘࿐ခ쳌쳌°࿐ÀƹÀ䘀ƫÀ䘀ƥÀ䘀ƤÀ䘀ƦÀ䘀ƪÀ䘀hX  ඀ခ쳌쳌Xခ쳌쳌H뱺첌䣒₨옛뀅쟓Xힴ楹䪊ꦨ쓺洘숎ခ쳌쳌``䕍坏ǀÀ䘀̻À䘀0啘諯ⳑ䐣憰㒛॥炚ခ쳌쳌ခ쳌쳌ခ쳌쳌൰ᗐ◘ǠڎWinSta0\Defaultڎ=::=::\ALLUSERSPROFILE=C:\ProgramDataAPPDATA=C:\Users\10018\AppData\RoamingCommonProgramFiles=C:\Program Files\Common FilesCOMPUTERNAME=10018-PC2ComSpec=C:\Windows\system32\cmd.exeDFSTRACINGON=FALSEFP_NO_HOST_CHECK=NOHOMEDRIVE=U:HOMEPATH=\HOMESHARE=\\MF10FS01\Users\10018INFORMIXDIR=C:\Informix\Client-SDK\LOCALAPPDATA=C:\Users\10018\AppData\LocalLOGONSERVER=\\MF10AS02NUMBER_OF_PROCESSORS=2OS=Windows_NTPath=C:\Program Files\SAP\FrontEnd\SapGui;C:\Program Files\Microsoft Office\OFFICE11\;C:\Windows\system32;C:\Windows;C:\Windows\System32\Wbem;C:\Windows\System32\WindowsPowerShell\v1.0\;C:\Program Files\Windows Imaging\;C:\Informix\Client-SDK\bin;C:\Program Files\Gemalto\Classic Client\BIN;C:\Program Files\Enterprise Vault\EVClient\;c:\program files\enterprise vault\evclient\;C:\Program Files\Microsoft Office\OFFICE11\PATHEXT=.COM;.EXE;.BAT;.CMD;.VBS;.VBE;.JS;.JSE;.WSF;.WSH;.MSCPROCESSOR_ARCHITECTURE=x86PROCESSOR_IDENTIFIER=x86 Family 16 Model 6 Stepping 2, AuthenticAMDPROCESSOR_LEVEL=16PROCESSOR_REVISION=0602ProgramData=C:\ProgramDataProgramFiles=C:\Program FilesPSModulePath=C:\Windows\system32\WindowsPowerShell\v1.0\Modules\PUBLIC=C:\Users\PublicSESSIONNAME=ConsoleSystemDrive=C:SystemRoot=C:\WindowsTEMP=C:\Users\10018\AppData\Local\TempTMP=C:\Users\10018\AppData\Local\TempTRACE_FORMAT_SEARCH_PATH=\\winseqfe\release\Windows6.0\lh_sp2rtm\6002.18005.090410-1830\x86fre\symbols.pri\TraceFormatUATDATA=C:\Windows\system32\CCM\UATData\D9F8C395-CAB8-491d-B8AC-179A1FE1BE77USERDNSDOMAIN=URAD.MFCR.CZUSERDOMAIN=URADUSERNAME=10018USERPROFILE=C:\Users\10018WecVersionForRosebud.14C0=2WecVersionForRosebud.15CC=2windir=C:\Windows氦敥耀,І帐Іmigautoplay.exe敥敥氦敥耀Іmiguiresource.dll氦敥耀᭜І彐Іmsctfmonitor.dll敥氦敥耀ÛІ໐(msdtcvsp1res.dll敥氦敥耀І耘Їmsfeedssync.exe敥敥氦敥耀ÆІmsjetoledb40.dll敥氦敥耀]І⛠Іmsralegacy.tlb敥敥敥氦敥耀 Іmuifontsetup.dll敥氦敥耀І冠(muiunattend.exe敥敥氦敥耀rІ槸Їnativehooks.dll敥敥氦敥耀£Іဠ(ndfeventview.xml敥氦敥耀ÔІndproxystub.dll敥敥氦敥耀dІ'networkmap.dll敥敥敥氦敥耀VІnetwork_llu.log敥敥氦敥耀ªІnlsdata0000.dll敥敥氦敥耀éІᜈЇnlsdata0001.dll敥敥氦敥耀ðІ欘Їnlsdata0002.dll敥敥氦敥耀÷Іnlsdata0003.dll敥敥氦敥耀ÍІІnlsdata0007.dll敥敥氦敥耀HІᔰ(nlsdata0009.dll敥敥氦敥耀kІ൸Їnlsdata000a.dll敥敥氦敥耀yІnlsdata000c.dll敥敥氦敥耀Іnlsdata000d.dll敥敥氦敥耀Іnlsdata000f.dll敥敥氦敥耀OІnlsdata0010.dll敥敥氦敥耀Іnlsdata0011.dll敥敥氦敥耀:Іႀ(nlsdata0013.dll敥敥氦敥耀3Іnlsdata0018.dll敥敥氦敥耀І╀(nlsdata0019.dll敥敥氦敥耀±І଀(nlsdata001a.dll敥敥氦敥耀밿㘻䃽ఊ嵰皌ㆨ皌嵴皌䜤皌嶘皌嶬皌⮀耀鬅判ᨈЇ᧰ЇｈЅ᧘ЇｈЅＨЅ밤ⴻ䈼ࠊ᠛륟䫱嚀㉼묚醰ᅘ&quot;呣踱ᇒ䚿က❚떙븣″䈧ࠊﴈ1隸1타ῲ栐蠀*urn:schemas-microsoft-com:office:smarttagsῆ栐￘谀ꎠҷꟜ졀䋀ᨐ릴⼫苡伯䴽䍆⽒問䴽䍆䱒呅䌯㵎䕒䥃䥐久協䌯㵎ㄱ䌯㵎䱈噁体䅖VῊ栐d耀釨ဗ銰ဗ銈ဗ鉠ဗ鋘ဗ錀ဗ錨ဗ鈸ဗ됈Ѕ뢨Ѕ둈Ѕ뙨Ѕ껐ဏ딨Ѕ鍐ဗ囨ယ醘ဗ῞栐￘谀ꎠҷꟜ졀䋀ᨐ릴⼫苡伯䴽䍆⽒問䴽䍆䱒呅䌯㵎䕒䥃䥐久協䌯㵎ㄱ䌯㵎䱈噁体䅖Vdeἢ栐c輀온-Ƛ졀䋀ᨐ릴⼫苡漯䴽䍆⽒畯䴽䍆䱒呅振㵮敒楣楰湥獴振㵮㈱振㵮䥓䅍䩎roἶ栐￘輀온-Ƛ졀䋀ᨐ릴⼫苡漯䴽䍆⽒畯䴽䍆䱒呅振㵮敒楣楰湥獴振㵮㈱振㵮䥓䅍䩎Ἲ栐蠀'/o=MFCR/ou=MFCRLET/cn=Recipients/cn=TYLLKἎ栐￘謀婘.Ƛ졀䋀ᨐ릴⼫苡伯䴽䍆⽒問䴽䍆䱒呅䌯㵎䕒䥃䥐久協䌯㵎〲䌯㵎䅂佌乕噏噁_ἒ栐-謀婘.Ƛ졀䋀ᨐ릴⼫苡伯䴽䍆⽒問䴽䍆䱒呅䌯㵎䕒䥃䥐久協䌯㵎〲䌯㵎䅂佌乕噏噁ὦ栐￘蠀笨ЇKulhánek Stanislav Ing. Mgr.  &lt;KulhanekS&gt;Ὢ栐d蠀䚨ҪDana Bakesova  &lt;Dana.Bakesova@bohnice.cz&gt;὾栐￘谀ᖈ/Frýdmanová Marie Ing. CSc.  &lt;FRYDMANOM&gt;ὂ栐谀໠.Ƛ졀䋀ᨐ릴⼫苡伯䴽䍆⽒問䴽䍆䱒呅振㵮敒楣楰湥獴振㵮㈱振㵮呓乒䑁噏Jpeὖ栐￘谀໠.Ƛ졀䋀ᨐ릴⼫苡漯䴽䍆⽒畯䴽䍆䱒呅振㵮敒楣楰湥獴振㵮㈱振㵮呓乒䑁噏Jah὚栐d踀縸ЇꟜ졀䋀ᨐ릴⼫苡漯䴽䍆⽒畯䴽䍆䱒呅振㵮敒楣楰湥獴振㵮㐳振㵮啈䵌乁AẮ栐￘踀縸ЇꟜ졀䋀ᨐ릴⼫苡漯䴽䍆⽒畯䴽䍆䱒呅振㵮敒楣楰湥獴振㵮㐳振㵮啈䵌乁AprẲ栐e蠀빘-/O=MFCR/OU=MFCRLET/cn=Recipients/cn=13181Ẇ栐￘贀䠀ҪꟜ졀䋀ᨐ릴⼫苡漯䴽䍆⽒畯䴽䍆䱒呅振㵮敒楣楰湥獴振㵮㐱振㵮䕈則噏䥁Ẋ栐贀䠀ҪꟜ졀䋀ᨐ릴⼫苡漯䴽䍆⽒畯䴽䍆䱒呅振㵮敒楣楰湥獴振㵮㐱振㵮䕈則噏䥁ruẞ栐￘輀⣐ҫꟜ졀䋀ᨐ릴⼫苡伯䴽䍆⽒問䴽䍆䱒呅䌯㵎䕒䥃䥐久協䌯㵎㌱䌯㵎䱓䭕十olỢ栐s輀⣐ҫꟜ졀䋀ᨐ릴⼫苡伯䴽䍆⽒問䴽䍆䱒呅䌯㵎䕒䥃䥐久協䌯㵎㌱䌯㵎䱓䭕十Ỷ栐￘言Ԉ/Lucie Joujová  &lt;lucie.joujova@flycom.cz&gt;tỺ栐c贀ظ/Ƛ졀䋀ᨐ릴⼫苡伯䴽䍆⽒問䴽䍆䱒呅䌯㵎䕒䥃䥐久協䌯㵎㤱䌯㵎佖䙌噏偁alỎ栐￘贀ظ/Ƛ졀䋀ᨐ릴⼫苡伯䴽䍆⽒問䴽䍆䱒呅䌯㵎䕒䥃䥐久協䌯㵎㤱䌯㵎佖䙌噏偁Ồ栐蠀탰ҫ/O=MFCR/OU=MFCRLET/cn=Recipients/cn=13551Ḧ栐￘輀헀ҫꟜ졀䋀ᨐ릴⼫苡伯䴽䍆⽒問䴽䍆䱒呅䌯㵎䥍則䍁⽅乃䴽㉆⼰乃䴽䭉噏䡁meḪ栐g輀헀ҫꟜ졀䋀ᨐ릴⼫苡伯䴽䍆⽒問䴽䍆䱒呅䌯㵎䥍則䍁⽅乃䴽㉆⼰乃䴽䭉噏䡁Ḿ栐￘谀ҫꟜ졀䋀ᨐ릴⼫苡漯䴽䍆⽒畯䴽䍆䱒呅振㵮敒楣楰湥獴振㵮㐱振㵮䥈䵍䱅噏JdoḂ栐\谀ҫꟜ졀䋀ᨐ릴⼫苡漯䴽䍆⽒畯䴽䍆䱒呅振㵮敒楣楰湥獴振㵮㐱振㵮䥈䵍䱅噏JḖ栐￘踀ҫŠoltová Drahomíra Ing.  &lt;user7d838009&gt;Ḛ栐谀ҫꟜ졀䋀ᨐ릴⼫苡伯䴽䍆⽒問䴽䍆䱒呅䌯㵎䕒䥃䥐久協䌯㵎ㄱ䌯㵎之䉅䥌佋JṮ栐￘谀ҫꟜ졀䋀ᨐ릴⼫苡伯䴽䍆⽒問䴽䍆䱒呅䌯㵎䕒䥃䥐久協䌯㵎ㄱ䌯㵎之䉅䥌佋JṲ栐谀ҫꟜ졀䋀ᨐ릴⼫苡漯䴽䍆⽒畯䴽䍆䱒呅振㵮敒楣楰湥獴振㵮㐱振㵮低䅖佋䅖OṆ栐￘谀ҫꟜ졀䋀ᨐ릴⼫苡漯䴽䍆⽒畯䴽䍆䱒呅振㵮敒楣楰湥獴振㵮㐱振㵮低䅖佋䅖OṊ栐谀⯠ҫꟜ졀䋀ᨐ릴⼫苡伯䴽䍆⽒問䴽䍆䱒呅䌯㵎䕒䥃䥐久協䌯㵎㜳䌯㵎商䡃体䅖JṞ栐￘谀⯠ҫꟜ졀䋀ᨐ릴⼫苡伯䴽䍆⽒問䴽䍆䱒呅䌯㵎䕒䥃䥐久協䌯㵎㜳䌯㵎商䡃体䅖Jᶢ栐踀鸞ҫHelena Menouskova  &lt;menouskova@psp.cz&gt;ᶶ栐￘谀敖ҫWildová Vlasta  &lt;Vlasta.Wildova@mze.cz&gt;ᶺ栐谀｠ҫꟜ졀䋀ᨐ릴⼫苡漯䴽䍆⽒畯䴽䍆䱒呅振㵮敒楣楰湥獴振㵮㤹振㵮䅋䥌低䅖Hᶎ栐￘谀｠ҫꟜ졀䋀ᨐ릴⼫苡漯䴽䍆⽒畯䴽䍆䱒呅振㵮敒楣楰湥獴振㵮㤹振㵮䅋䥌低䅖Hᶒ栐谀ҬꟜ졀䋀ᨐ릴⼫苡漯䴽䍆⽒畯䴽䍆䱒呅振㵮敒楣楰湥獴振㵮㤱振㵮佖告卉佋Zᷦ栐￘谀ҬꟜ졀䋀ᨐ릴⼫苡漯䴽䍆⽒畯䴽䍆䱒呅振㵮敒楣楰湥獴振㵮㤱振㵮佖告卉佋Z봣⌳䀠ࠊﭨ1ﶸ1타ᮒ栐言ProgramFilesCommonᮜ栐谀Ꮸ&amp;谐ЋᏨ&amp;齭䞢꺪팩옗曰⋐1Mᮦ栐谀ᆸ&amp;豀Ћᆸ&amp;齭䞢꺪팩옗曰푀0ᮠ栐谀賰睜히0훈&amp;Ѕ᮪栐言SAX XML Reader 5.0᮴栐言粰ЇŠátek David Ing.ᮾ栐谀䉎厞ð1䉎厞䐹➻摫ᅭڔ᮸栐踀䚨Ҫ䵓偔䐺乁⹁䅂䕋体䅖䉀䡏䥎䕃䌮Zᭂ栐踀온-+420 603870061ᭌ栐谀㒈ІРၰ1РÀ䘀᭖栐谀㟨І짐秪׈1짐秪뫹ᇎ芌ꨀ䬀னr᭐栐踀Převod jednotek᭚栐谀꾘&amp;Фླྀ1ФÀ䘀᭤栐谀ˢЀ翿ϠϨ᭮栐踀相ҭ+420 603222009᭨栐蠀慀Ѓdanabak@seznam.cz᭲栐蠀ᐘ/Štika Ondřej Ing.᭼栐踀笨Ї+420 733675066ᬆ栐谀뱺￸0뱺첌䣒₨옛뀅쟓nᬀ栐谀㡸І຀1À䘀ᬊ栐踀窘'+420 725356052Mᬔ栐谀鸁篒ﰘ0鸁篒盁ᇏ킝ꀀω㍉ᬞ栐踀Telefonní čísloᬘ栐谀온-Šiman Jiří Ing.ᬢ栐言粰ЇŠátek David Ing.ᬬ栐谀'Tyll Karel Ing.ᬶ栐蠀NT Authority\SYSTEMᬰ栐言相ҭRucká Karla Ing.ᬺ栐谀께&amp;㩐㏅Ӑ1㩐㏅䢄䦰ﶅ㹤᫄栐言相ҭRucká Karla Ing.ᫎ栐谀槬裙Ϙ1槬裙讋䰽麅沯壑྾᫈栐谀눈&amp;ぐۀ1ぐ颵ᇏ芻ꨀ봀௎᫒栐谀온-Šiman Jiří Ing.䏸Ҫ᫜栐踀꯰ҷ+420 728130002᫦栐耀Převod jednotekЅ蛐-᫠栐蠀䕐ҪAdamec Pavel Ing.᫪栐蠀慀Ѓdanabak@seznam.cz᫴栐踀'+420 725001121᫾栐蠀䕐ҪAdamec Pavel Ing.᫸栐谀䮠＀0䮠方ᇎ목ꨀ䨀㟨&#10;᪂栐蠀ᐘ/Štika Ondřej Ing.᪌栐谀'Tyll Karel Ing.뱵簻䌠ఊ௛ชam䀀䀀䀀䀀ffice\OFFICE11;C:\Windows\system32;C:\Windows\system;C:\Windows;.;C:\Program Files\SAP\FrontEnd\SapGui;C:\Program Files\Microsoft Office\OFFICE11\;C:\Windows\system32;C:\Windows;C:\Windows\System32\Wbem;C:\Windows\System32\WindowsPowerShell\v1.0\;C:\Program Files\WindƐ``&#10;﻿&#10;✀鴽늮鹑＋ഌă翽@î\P밾㜻䉶ࠊdC:\PROGRA~1\COMMON~1\MICROS~1\SMARTT~1\FPERSON.DLLorary Internet Files\OLK8E7A\Polsko 11 10 2014.docxindows;밽㐻䈽ఊ䫘癔䯔癔枰*㸨І'뜴痜癔ᢰ癢褰ÿ봀ЅǴ럀*劘)劘)冤癓㸨І剬癓㸨І㻌І剜癓剌癓ꚜ癒Ꚍ癒㻌Іĸɭギꮣ쪝羋㤖ꢿ柞뙌ᗐ銐ІÄ&quot;밀ऻ䈾ఊ&amp;C擖癔DÀ䘀崄誈ᳫᇉါ恈뒀癓-171Ӓ㾔Іnterface\{0000000c-0000-0000-C00翿䀐Іt밿㘻䈃ఊ嵰皌ㆨ皌嵴皌䜤皌嶘皌嶬皌⮁耀 謅偤11111밓ᬺ䈼&#10;疨1Ќ牀ҿ牨ҿ猰ҿ玀ҿ珐ҿ瑈ҿ璘ҿ甐ҿ疈ҿ痘ҿ癐ҿ盈ҿ着ҿ瞸ҿ砈ҿ碀ҿ磸ҿ祈ҿ禘ҿ稐ҿ穠ҿ窰ҿ笀ҿ筐ҿ箠ҿ篰ҿ籀ҿ粐ҿ糠ҿ細ҿ綀ҿ緸ҿ繰ҿ绀ҿ缐ҿ羈ҿ翘ҿ聐ҿ胈ҿ脘ҿ腨ҿ膸ҿ興ҿ艘ҿ芨ҿ苸ҿ荈ҿ莘ҿ菨ҿ萸ҿ蒈ҿ蓘ҿ蔨ҿ蕸ҿ藈ҿ蘘ҿ虨ҿ蚸ҿ蜈ҿ蝘ҿ螨ҿ蟸ҿ衈ҿ袘ҿ裨ҿ褸ҿ覈ҿ觘ҿ訨ҿ詸ҿ諈ҿ謘ҿ譨ҿ许ҿ谈ҿ豘ҿ貨ҿ賸ҿ赈ҿ趘ҿ跨ҿ踸ҿ躈ҿ輀ҿ轸ҿ述ҿ遀ҿ邸ҿ鄈ҿ醀ҿ븣″䈐ࠊЀЇ᪐І타氦傪蠀ĶÀ䘀崄誈ᳫᇉါ恈氦0谀ꎠ氂꙼毭Ꜵ氂믰0毦ұl氦n谀ꎠ氂꙼毭Ꜵ氂믰0毦ұ氦0谀ꎠ氂꙼毭Ꜵ氂믰0毦ұ8氦p谀ꎠ氂꙼毭Ꜵ氂믰0毦쉐Ѕ8氦0谀ꎠ氂꙼毭Ꜵ氂믰0毦숨Ѕ氦X谀ꎠ氂꙼毭Ꜵ氂믰0毦숀Ѕ氦2蠀噸ሴሴꯍï⌁杅ꮉ崄誈ᳫᇉါ恈氦L蠀C:\Windows\system32\MSIMG32.dll氦n谀ꎠ氂꙼毭Ꜵ氂믰0毦닰І氦s谀C:\Windows\system32\HLINK.dlll氦u蠀C:\Windows\system32\msctf.dlll氦V蠀栜睜䳔睜砘Ї䡤睜⪸睜ᢈЇ⪸睜氦4谀C:\Windows\system32\hlink.dll3\氦M蠀暠睜杄睜蒘睜蒄睜葴睜⪸睜䏀ҪƋᷨˬ破Ї砘Ї氦a言C:\Windows\system32\mshtml.dll\氦n谀ꎠ氂꙼毭Ꜵ氂믰0毦홀ұi氦s谀mailto:Iva.Borkovcova@mfcr.cz32氦p谀mailto:Iva.Borkovcova@mfcr.czmi氦f谀mailto:Iva.Borkovcova@mfcr.cz\W氦X谀mailto:Iva.Borkovcova@mfcr.czmm氦d谀mailto:Iva.Borkovcova@mfcr.cz2氦L谀mailto:Iva.Borkovcova@mfcr.czmm氦s蠀QueryInterfacen.11lika).cz氦s谀mailto:Iva.Borkovcova@mfcr.czmo氦m谀mailto:Iva.Borkovcova@mfcr.czD氦V谀mailto:Iva.Borkovcova@mfcr.czmo氦t谀ꎠ氂꙼毭Ꜵ氂믰0毦솰Ѕ삘Ѕ氦Z谀ꎠ氂꙼毭Ꜵ氂믰0毦혘ұ氦d蠀暠睜杄睜蒘睜蒄睜葴睜⪸睜⻠̹棤Ї棈Ї氦n蠀C:\Windows\System32\msctf.dlll氦d蠀C:\Windows\System32\msctf.dlll氦p蠀栜睜䳔睜棈Ї䡤睜⪸睜⪸睜氦d谀ꯠ睠贰睟贬睟&amp;埛ᇒက❚떙Z঵í௼ᗐᗌW3氦8谀ꯠ睠贰睟贬睟&amp;埛ᇒက❚떙Y঵í௼ᗐᗌmp氦g谀ꯠ睠贰睟贬睟&amp;埛ᇒက❚떙B঵íහᗐᗌDL氦C谀ꯠ睠贰睟贬睟&amp;埛ᇒက❚떙A঵íහᗐᗌms氦t蠀丰)氦2蠀C:\Windows\system32\ntshrui.dll氦p言C:\Windows\system32\cscapi.dll氦W蠀C:\Users\10018\Documents氦n蠀C:\Users\Public\Documents氦D蠀C:\Users\Public\Pictures氦m蠀C:\Users\10018\Favorites氦y蠀C:\Users\10018\Music\Playlists氦n蠀C:\Users\10018\AppData\Roaming氦I蠀C:\Users\Public\Downloads氦r蠀C:\Users\10018\Downloads氦T蠀C:\Users\10018\Saved Games氦f蠀C:\Program Files\Common Files氦n蠀C:\Windows\resources\0405氦d踀Microsoft\Windows\Start Menu氦p言Microsoft\Windows\GameExplorer氦t言Microsoft\Windows\GameExplorer氦X蠀C:\Users\10018\AppData\LocalLow氦c踀Microsoft\Windows\Start Menu 曮됣⨳䀠ࠊﶈ1'타ᅲ栐摤ꐀఌЊ‰汜䀀䀀䀀䀀ㄠ䄠捣湥⁴㬴汜摳敳業楨摤湥‰汜摳湵楨敤獵摥‰汜摳牰潩楲祴㘶尠獬汤捯敫つ䴠摥畩⁭楌瑳㈠䄠捣湥⁴㬴汜摳敳業楨摤湥‰汜摳湵楨敤獵摥‰汜摳牰潩楲祴㜶尠獬汤捯敫つ䴠摥畩⁭片摩ㄠ䄠捣湥⁴㬴汜摳敳業楨摤湥‰汜摳湵楨敤獵摥‰汜摳牰潩楲祴㠶尠獬汤捯敫つ䴠摥畩⁭片摩㈠䄠捣湥⁴㬴汜摳敳業楨摤湥‰汜摳湵楨敤獵摥‰汜摳牰潩楲祴㤶尠獬汤捯敫つ䴠摥畩⁭片摩㌠䄠捣湥⁴㬴汜摳敳業楨摤湥‰汜摳湵楨敤獵摥‰汜摳牰潩楲祴〷尠獬汤捯敫つ䐠牡"/>
        </w:smartTagPr>
        <w:r w:rsidRPr="009F0377">
          <w:t>2015 a</w:t>
        </w:r>
      </w:smartTag>
      <w:r w:rsidRPr="009F0377">
        <w:t xml:space="preserve"> částka </w:t>
      </w:r>
      <w:r>
        <w:t>0,98</w:t>
      </w:r>
      <w:r w:rsidRPr="009F0377">
        <w:t xml:space="preserve"> mld. Kč ročně pro léta </w:t>
      </w:r>
      <w:smartTag w:uri="urn:schemas-microsoft-com:office:smarttags" w:element="metricconverter">
        <w:smartTagPr>
          <w:attr w:name="ProductID" w:val="ҩꆠ氂ꄴҩaӁ氖栐言2016 aa氒栐敳蠀떬Ѕ떬Ѕﾲ'氞栐蠀냨睜厸)퀸/똨Ѕ氚栐氀蠀냨睜큨ላ汦栐䠀蠀匰Ҩ레Ѕ汢栐굒蠀냨睜叨)퀸/)汮栐㄀蠀냨睜叨)))汪栐܀蠀&#10;200 mil汶栐蠀匰Ҩ咘Ҩ汲栐⅄蠀匰Ҩ哀Ҩ汾栐ƀ谀栰睜䳔睜燸ЇЅ決栐㄀蠀ම皰뽱쁨Ǐ䔰Ќ汆栐崾蠀匰Ҩ叐Ҩ求栐挀蠀ම皰뽱쁨Ǐ票ұ汎栐圠蠀匰Ҩ厀Ҩ汊栐言䐟ᩇ夃㽲䒧얉镕毾猀汖栐蠀匰Ҩ厀Ҩ汒栐⎾蠀匰Ҩ뒨Ѕ汞栐攀蠀匰Ҩ레Ѕ汚栐琀耀Z2015, a润栐콶言&#10;2016 al涢栐蟰谀ole32.dll皲涮栐蠀匰Ҩ뒈Ѕ涪栐耀ª2015 aЅ涶栐耀º2016 aል液栐蠀匰Ҩ됨Ѕ涾栐蠀ڴӈ怠㿸涺栐蠀裘-涆栐蠀匰Ҩ呰Ҩ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뿘Ѕ沥栐8蠀PSFactoryBuffer沮栐c蠀ꚨ毭믰0b㜄ဵẰ့沫栐耀\ 1ﾠ200 mil沴栐耀 2ﾠ677 mil沱栐o蠀䏄Ҹ끘Ѓ譨Һ沺栐n蠀煜消뻀Ѕ반Ѕ1汇栐9蠀礠消믰Ѕ뱨Ѕ汀栐c蠀ᵌ(뾈Ѕ묀Ѕ汍栐蠀熤消반Ѕ봰Ѕ汖栐蠀ﮈ&amp;룀І루І汓栐耀M汜栐n蠀ꚨ毭믰03뀄Ѓ䎠Ҹ汙栐8耀Ù汢栐c蠀焤消뱨Ѕ뫘Ѕ汯栐蠀Ministerstva汨栐耀  1ﾠ373 milnl汵栐蠀Ổ့함ဴ嚀ံ汾栐n谀āĀt汻栐5蠀WQL12栐耀¤Ѕ氄栐c谀ԁԀ⬻㶸퀪尷ᚽ耀氁栐耀 1ﾠ000 milr氊栐耀煐ᇧ嶠Ѓ気栐耀C ProductID氐栐n蠀籠消鎸Ћ믰Ѕ'氝栐6耀z嫠砫䕥څ傛໋氦栐c蠀ሃ뽠Ѕᇪ氣栐蠀吀̧쀨Ѕ쁸Ѕ氬栐蠀崴Ќ磐ᇪ뼐Ѕ氩栐蠀ᵼ(똘І뱀Ѕ氲栐d踀Jméno osoby氿栐0蠀쫄Ѕ묀Ѕ몰Ѕ永栐d耀leaut32.dll揅栐蠀吘̧샰Ѕ뼸Ѕ揎栐 蠀厸̧새Ѕ딨І揋栐i蠀叨̧뼸Ѕ새Ѕ揔栐.耀¬ﶸ1 ProductID쐠揑栐a蠀叐̧쁸Ѕ쁐Ѕ揚栐d蠀吰̧섘Ѕ쀨Ѕ揧栐蠀全ˮ셀Ѕ샰Ѕ揠栐蠀䕀ˮ쇠Ѕ섘Ѕ揭栐耀À揶栐l蠀譠́솸Ѕ쇠Ѕ揳栐e蠀䩤І홈ұ손Ѕ揼栐d蠀毀ˮ손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밃ȳ䉱ࠉ坸)ਐҸ타죰栈￼蠀/￼￼￼￼죿栈￼蠀2012￼죺栈￼蠀a￼￼￼￼죹栈￼蠀na￼￼￼죤栈￼蠀)￼￼￼￼죣栈￼蠀.￼￼￼￼죮栈￼蠀&#10;￼￼￼￼죭栈￼蠀&#10;práce죨栈￼蠀Vy1￼￼￼￼￼￼￼￼방℺䈀 呀Ҹp*ࠀ䈂 ㊨)緰1Ѐ䈆 揸(ڰ*Ȁ䈈 呐)Ä&quot;밈Ļ䈪ࠉ垤瘜췯覫䀀霤瘚쪌Ѕ쪌Ѕ1쪰Ѕ䒠ІΈ뿐Ѕ֝1 mF֟:\缞쬠Ѕ쬠Ѕ쭄Ѕ쭄Ѕ쭐Ѕ쭐Ѕinwe쮀Ѕ쮀Ѕ\v쮐Ѕ쮐Ѕdu쮠Ѕ쮠Ѕ쫄ЅC=ڨ백㠻䈋ਉC:\Program Files\Common Files\Microsoft Shared\OFFICE11\msxml5.dll藔밧⼺䈲 쌸)揸(́䈢ࠉᗰҺᕐҺ베ꤻ䈤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뱣戳䊣ࠉᇇҷ 타瓲秦蠀.瓱秦蠀&#10;瓼秦蠀byly瓻秦蠀jak瓆秦蠀v瓅秦蠀 瓀秦蠀,瓏秦蠀tak瓊秦蠀a瓉秦蠀na瓔秦蠀a瓓秦蠀&#10;celní瓞秦蠀.笈Ҵ筘Ҵ瓝秦簠蠀V絠Ҵ綰Ҵ瓘秦繐蠀&#10;罨Ҵ翠Ҵ璧秦肀蠀byly璢秦茀蠀jak葀Ҵ璡秦蓠蠀v藐Ҵ蘠Ҵ璬秦蛀蠀 螰Ҵ蠀Ҵ璫秦袠蠀,覐Ҵ觠Ҵ訰Ҵ誀Ҵ박᰻䉠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밹ㄺ䈌 ҫ뼘-금̺깨̺꺨̺껨̺꼨̺꽈̺꾈̺꿨̺ 끨̺&#10;남̺냨̺뀨̺&#10;Ԁ䈵 ￀Ќퟘ,껨̺̮꼨̺̮뱼画䈺ࠉ백㠻䉿ఉ₠1₴1몭A耀　ÿ'ÿ寓ﴐ0뮀1&amp;鳘1뮘1밬ܙ䈲ᐉd䈭 4̮밧⸻䈯ࠉ攀&amp;朰&amp;歀&amp;枀&amp;樀&amp;봣⌳䈤ࠉ塘)⎨ሒ타얢栈t蠀镴ላЅላ 얯栈蠀ꚨ毭믰0Ï리ҩ閘ላ얨栈蠀閼ላЅЅ얕栈蠀ꚨ毭믰0Ñ맄ҩ闠ላ얞栈蠀阄ላЅЅ얛栈䥄蠀ꚨ毭믰0Ò맜ҩ阨ላ얄栈蠀陌ላЅЅ얁栈蠀ꚨ毭믰0Ó맴ҩ陰ላ얊栈蠀隔ላЅЅ앷栈蠀ꚨ毭믰0Ø먌ҩ隸ላ앰栈蠀雜ላЅЅ약栈蠀ꚨ毭믰0Ü먤ҩ需ላ앦栈蠀霤ላЅЅ앣栈蠀ꚨ毭믰0ß먼ҩ靈ላ앬栈蠀靬ላЅЅ앩栈蠀ꚨ毭믰0à메ҩ鞐ላ앒栈蠀鞴ላЅЅ앟栈蠀ꚨ毭믰0á Ѕ韘ላ았栈蠀韼ላЅЅ악栈蠀uvedenéhoHP L앎栈e蠀ꚨ毭믰0ëЅ頠ላ앋栈L蠀顄ላЅЅ䑳씴栈獥蠀objemu慴楴湯倀剏剔䥁씱栈牏蠀ꚨ毭믰0òЅ顨ላ씺栈穩蠀颌ላЅЅ畲씧栈楤蠀připadá伀瑵異䉴湩䄀씠栈偈蠀ꚨ毭믰0ú멬ҩ颰ላ씭栈湯蠀飔ላЅЅ求씖栈慆蠀ꚨ毭믰0ý Ѕ飸ላ씓栈湉蠀餜ላЅЅ牐씜栈潳蠀transfery兴慵楬祴씙栈p蠀ꚨ毭믰0ć몄ҩ饀ላ씂栈偈蠀饤ላЅЅ倀씏栈〰蠀ꚨ毭믰0čላ馈ላ씈栈䠀蠀馬ላЅЅ佂싵栈潊蠀ꚨ毭믰0Ďላ駐ላ싾栈摰蠀駴ላЅЅb싻栈䠀蠀ꚨ毭믰0ďላ騘ላ실栈敶蠀騼ላЅЅ佥싡栈摩蠀ꚨ毭믰0Ã䙴ሒ쉐ላ싪栈剥蠀骄ላꆰҩꈨІ싗栈l蠀ꚨ毭믰0Ēላ骨ላ싐栈䨀蠀髌ላЅЅ慈식栈敮蠀ꚨ毭믰0ĕላ髰ላ싆栈摯蠀鬔ላЅЅ싃栈蠀ꚨ毭믰0Ėላ鬸ላ싌栈蠀魜ላЅЅ싉栈啉蠀ꚨ毭믰0Ěላ鮀ላ슲栈蠀鮤ላЅЅ슿栈蠀ꚨ毭믰0Ĝላ鯈ላ봣⌳䌠ࠉ墘)⎨ሒ타쉢栈蠀鯬ላЅЅ쉯栈蠀ꚨ毭믰0ĝላ鰐ላ쉨栈蠀鰴ላЅЅ쉕栈蠀ꚨ毭믰0ğላ鱘ላ쉞栈蠀鱼ላЅЅ쉛栈蠀ꚨ毭믰0ġ&#10;Ѕ鲠ላ쉄栈蠀鳄ላЅЅ쉁栈蠀sociálních쉊栈蠀ꚨ毭믰0ĬЅ鳨ላ슷栈蠀鴌ላЅЅ슰栈蠀službách슽栈蠀ꚨ毭믰0ĵЅ鴰ላ슦栈蠀鵔ላЅЅ슣栈蠀částka슬栈蠀ꚨ毭믰0ļላ鵸ላ슩栈蠀鶜ላЅЅ슒栈蠀ꚨ毭믰0Ľላ鷀ላ슟栈蠀鷤ላЅЅ슘栈蠀ꚨ毭믰0ľላ鸈ላ슅栈蠀鸬ላЅЅ슎栈蠀ꚨ毭믰0ŀላ鹐ላ슋栈蠀鹴ላЅЅ싴栈蠀ꚨ毭믰0Łላ麘ላ싱栈蠀麼ላЅЅ싺栈蠀ꚨ毭믰0łላ黠ላ싧栈蠀鼄ላЅЅ신栈蠀ꚨ毭믰0Ňላ鼨ላ십栈蠀齌ላЅЅ싖栈蠀ꚨ毭믰0Ōላ齰ላ싓栈蠀龔ላЅЅ시栈蠀ꚨ毭믰0Ŏላ龸ላ싙栈蠀鿜ላЅЅ싂栈蠀ꚨ毭믰0ŏ⠜Їꀀላ싏栈蠀ꀤላЅЅ싈栈蠀ꚨ毭믰0ŐЅꁈላ쌵栈蠀ꁬላЅЅ쌾栈蠀letech쌻栈蠀ꚨ毭믰0ŗ⠴Їꂐላ쌤栈蠀ꂴላЅЅ쌡栈蠀ꚨ毭믰0Ŝ⡌Їꃘላ쌪栈4蠀ꃼላЅЅ쌗栈蠀ꚨ毭믰0Ş⡤Їꄠላ쌐栈蠀ꅄላЅЅ쌝栈蠀ꚨ毭믰0ţ⡼Їꅨላ쌆栈0蠀ꆌላЅЅ쌃栈蠀ꚨ毭믰0Ŧ⢔Їꆰላ쌌栈蠀ꇔላЅЅ쌉栈蠀ꚨ毭믰0ū⢬Їꇸላ썲栈蠀ꈜላЅЅ썿栈蠀ꚨ毭믰0Ŭ⣄Їꉀላ봣⌳䌠ࠉ壘)⎨ሒ타쌢栈蠀ꉤላЅЅ쌯栈蠀ꚨ毭믰0ŭ⣜Їꊈላ쌨栈蠀ꊬላЅЅ쌕栈蠀ꚨ毭믰0ů⣴Їꋐላ쌞栈蠀ꋴላЅЅ쌛栈蠀ꚨ毭믰0Ų⤌Їꌘላ쌄栈蠀ꌼላЅЅ쌁栈蠀ꚨ毭믰0Ŵ⤤Їꍠላ쌊栈蠀ꎄላЅЅ쏷栈蠀ꚨ毭믰0ŷ⤼Їꎨላ쏰栈蠀ꏌላЅЅ쏽栈蠀ꚨ毭믰0Ž⥔Їꏰላ쏦栈蠀ꐔላЅЅ쏣栈蠀ꚨ毭믰0ž⥬Їꐸላ쏬栈蠀ꑜላЅЅ쏩栈蠀ꚨ毭믰0ƀ⦄Їꒀላ쏒栈蠀꒤ላЅЅ쏟栈蠀ꚨ毭믰0ƅ⦜Ї꓈ላ쏘栈蠀ꓬላЅЅ쏅栈蠀ꚨ毭믰0ƊЅꔐላ쏎栈蠀ꔴላЅЅ쏋栈蠀rozpočet쎴栈Ė蠀ꚨ毭믰0Ɠ⦴Їꕘላ쎱栈蠀ꕼላЅЅ쎺栈蠀ꚨ毭믰0Ɣ⧌Їꖠላ쎧栈蠀ꗄላЅЅ쎠栈蠀ꚨ毭믰0ƕ⧤Їꗨላ쎭栈蠀ꘌላЅЅ쎖栈蠀ꚨ毭믰0Ɨ⏄ሒ꘰ላ쎓栈蠀ꙔላЅЅ쎜栈蠀ꚨ毭믰0ƚ⏜ሒꙸላ쎙栈蠀ꚜላЅЅ쎂栈蠀ꚨ毭믰0Ɯ⏴ሒꛀላ쎏栈蠀ꛤላЅЅ쎈栈蠀ꚨ毭믰0ƞ␌ሒ꜈ላ쁵栈蠀ꜬላЅЅ쁾栈蠀ꚨ毭믰0Ɵ␤ሒꝐላ쁻栈蠀ꝴላЅЅ쁤栈蠀ꚨ毭믰0ơ␼ሒꞘላ쁡栈蠀ꞼላЅЅ쁪栈蠀ꚨ毭믰0Ʀ⑔ሒ꟠ላ쁗栈蠀ꠄላЅЅ쁐栈蠀ꚨ毭믰0Ʃ Ѕ꠨ላ쁝栈蠀ꡌላЅЅ쁆栈蠀transfery쁃栈蠀ꚨ毭믰0Ƴ⑬ሒꡰላ쁌栈蠀ꢔላЅЅ쁉栈蠀ꚨ毭믰0ȳЅꢸላ쀲栈蠀꣜ላ鋘ІЅ쀿栈蠀územním뱣戳䌠ࠉ夸)ҷ 타쇂栈蠀a쇁栈蠀0쇌栈蠀,쇋栈蠀27쇶栈蠀mld쇵栈蠀.쇰栈蠀Kč쇿栈蠀&#10;ročně쇺栈蠀pro쇹栈蠀léta쇤栈蠀2016쇣栈蠀aosof쇮栈O蠀2017r쇭栈蠀(쇨栈蠀v섗栈蠀roce섒栈蠀2014섑栈蠀0서栈蠀,섛栈蠀27뱣戳䉠ࠉ奘)ҷ 타셢栈蠀mld셡栈蠀.셬栈蠀Kč셫栈蠀)셖栈蠀.셕栈蠀&#10;셐栈蠀V셟栈蠀&#10;práce셚栈蠀 .셙栈蠀věcí셄栈蠀jsou셃栈蠀mj셎栈蠀.셍栈蠀na셈栈蠀(섷栈蠀bez섲栈蠀EU성栈蠀a센栈蠀FM섻栈蠀)뱣戳䉠ࠉ妘)ҷ 타쇢栈蠀ve쇡栈蠀výši쇬栈蠀10쇫栈蠀,쇖栈蠀3쇕栈蠀mld쇐"/>
        </w:smartTagPr>
        <w:r w:rsidRPr="009F0377">
          <w:t>2016 a</w:t>
        </w:r>
      </w:smartTag>
      <w:r w:rsidRPr="009F0377">
        <w:t xml:space="preserve"> 2017 (v roce 2014 rozpočet </w:t>
      </w:r>
      <w:r>
        <w:t>0,85</w:t>
      </w:r>
      <w:r w:rsidRPr="009F0377">
        <w:t xml:space="preserve"> mld. Kč).</w:t>
      </w:r>
      <w:r>
        <w:t xml:space="preserve"> Oproti původnímu výhledu byly posíleny výdaje o 2 mld. Kč zejména v oblasti správy v sociálním zabezpečení a politice zaměstnanosti</w:t>
      </w:r>
    </w:p>
    <w:p w:rsidR="00FD7CB0" w:rsidRDefault="00FD7CB0" w:rsidP="00FD7CB0">
      <w:pPr>
        <w:ind w:firstLine="720"/>
        <w:rPr>
          <w:highlight w:val="cyan"/>
        </w:rPr>
      </w:pPr>
      <w:r w:rsidRPr="00E4371F">
        <w:t>V </w:t>
      </w:r>
      <w:r w:rsidRPr="00E4371F">
        <w:rPr>
          <w:b/>
        </w:rPr>
        <w:t>kapitole Ministerstva životního prostředí</w:t>
      </w:r>
      <w:r w:rsidRPr="00E4371F">
        <w:t xml:space="preserve"> jsou rozpočtovány mj. v návaznosti na</w:t>
      </w:r>
      <w:r w:rsidR="005A149A">
        <w:t> </w:t>
      </w:r>
      <w:r w:rsidRPr="00E4371F">
        <w:t xml:space="preserve">příjmy z prodeje emisních povolenek výdaje ve výši </w:t>
      </w:r>
      <w:smartTag w:uri="urn:schemas-microsoft-com:office:smarttags" w:element="metricconverter">
        <w:smartTagPr>
          <w:attr w:name="ProductID" w:val="1ﾠ000 mil"/>
        </w:smartTagPr>
        <w:r w:rsidRPr="00E4371F">
          <w:t>1 000 mil</w:t>
        </w:r>
      </w:smartTag>
      <w:r w:rsidRPr="00E4371F">
        <w:t xml:space="preserve">. Kč pro rok </w:t>
      </w:r>
      <w:proofErr w:type="gramStart"/>
      <w:r w:rsidRPr="00E4371F">
        <w:t>2015,  1</w:t>
      </w:r>
      <w:r w:rsidR="00D547DD">
        <w:t> </w:t>
      </w:r>
      <w:r w:rsidRPr="00E4371F">
        <w:t>200</w:t>
      </w:r>
      <w:proofErr w:type="gramEnd"/>
      <w:r w:rsidR="00D547DD">
        <w:t> </w:t>
      </w:r>
      <w:r w:rsidRPr="00E4371F">
        <w:t>mil.</w:t>
      </w:r>
      <w:r w:rsidR="00D547DD">
        <w:t> </w:t>
      </w:r>
      <w:r w:rsidRPr="00E4371F">
        <w:t xml:space="preserve">Kč pro rok </w:t>
      </w:r>
      <w:smartTag w:uri="urn:schemas-microsoft-com:office:smarttags" w:element="metricconverter">
        <w:smartTagPr>
          <w:attr w:name="ProductID" w:val="2016 a"/>
        </w:smartTagPr>
        <w:r w:rsidRPr="00E4371F">
          <w:t>2016 a</w:t>
        </w:r>
      </w:smartTag>
      <w:r w:rsidRPr="00E4371F">
        <w:t xml:space="preserve"> ve výši </w:t>
      </w:r>
      <w:smartTag w:uri="urn:schemas-microsoft-com:office:smarttags" w:element="metricconverter">
        <w:smartTagPr>
          <w:attr w:name="ProductID" w:val="2ﾠ200 mil"/>
        </w:smartTagPr>
        <w:r w:rsidRPr="00E4371F">
          <w:t>2 200 mil</w:t>
        </w:r>
      </w:smartTag>
      <w:r w:rsidRPr="00E4371F">
        <w:t>. Kč v roce 2017.</w:t>
      </w:r>
    </w:p>
    <w:p w:rsidR="00FD7CB0" w:rsidRPr="009E4E47" w:rsidRDefault="00FD7CB0" w:rsidP="00FD7CB0">
      <w:pPr>
        <w:ind w:firstLine="720"/>
      </w:pPr>
      <w:r w:rsidRPr="009E4E47">
        <w:rPr>
          <w:b/>
        </w:rPr>
        <w:t>V kapitole Ministerstva školství, mládeže a tělovýchovy</w:t>
      </w:r>
      <w:r w:rsidRPr="009E4E47">
        <w:t xml:space="preserve"> jsou rozpočtovány </w:t>
      </w:r>
      <w:r>
        <w:t xml:space="preserve">mj. </w:t>
      </w:r>
      <w:r w:rsidRPr="009E4E47">
        <w:t xml:space="preserve">prostředky ve výši </w:t>
      </w:r>
      <w:smartTag w:uri="urn:schemas-microsoft-com:office:smarttags" w:element="metricconverter">
        <w:smartTagPr>
          <w:attr w:name="ProductID" w:val="2016 a"/>
        </w:smartTagPr>
        <w:r w:rsidRPr="009E4E47">
          <w:t>200 mil</w:t>
        </w:r>
      </w:smartTag>
      <w:r w:rsidRPr="009E4E47">
        <w:t>. Kč ročně na program Rozvoj výukových kapacit základních a</w:t>
      </w:r>
      <w:r w:rsidR="005A149A">
        <w:t> </w:t>
      </w:r>
      <w:r w:rsidRPr="009E4E47">
        <w:t>mateřských škol zřizovaných územně samosprávními celky</w:t>
      </w:r>
      <w:r w:rsidR="00D074C5">
        <w:t>.</w:t>
      </w:r>
    </w:p>
    <w:p w:rsidR="00FD7CB0" w:rsidRDefault="00FD7CB0" w:rsidP="00FD7CB0">
      <w:pPr>
        <w:ind w:firstLine="720"/>
        <w:rPr>
          <w:highlight w:val="cyan"/>
        </w:rPr>
      </w:pPr>
      <w:r w:rsidRPr="009E4E47">
        <w:t>V </w:t>
      </w:r>
      <w:r w:rsidRPr="009E4E47">
        <w:rPr>
          <w:b/>
        </w:rPr>
        <w:t>kapitole Ministerstva kultury</w:t>
      </w:r>
      <w:r w:rsidRPr="009E4E47">
        <w:t xml:space="preserve"> je rozpočtován příspěvek na podporu činnosti</w:t>
      </w:r>
      <w:r w:rsidRPr="009B7239">
        <w:t xml:space="preserve"> dotčených církví a náboženských společností v návaznosti na zákon č. 428/2012 Sb., o</w:t>
      </w:r>
      <w:r w:rsidR="00D547DD">
        <w:t> </w:t>
      </w:r>
      <w:r w:rsidRPr="009B7239">
        <w:t xml:space="preserve">majetkovém vyrovnání s církvemi a náboženskými společnostmi ve výši </w:t>
      </w:r>
      <w:smartTag w:uri="urn:schemas-microsoft-com:office:smarttags" w:element="metricconverter">
        <w:smartTagPr>
          <w:attr w:name="ProductID" w:val="1ﾠ444,7 mil"/>
        </w:smartTagPr>
        <w:r w:rsidRPr="009B7239">
          <w:t>1</w:t>
        </w:r>
        <w:r>
          <w:t> </w:t>
        </w:r>
        <w:r w:rsidRPr="009B7239">
          <w:t>444</w:t>
        </w:r>
        <w:r>
          <w:t>,</w:t>
        </w:r>
        <w:r w:rsidRPr="009B7239">
          <w:t>7</w:t>
        </w:r>
        <w:r>
          <w:t xml:space="preserve"> mil</w:t>
        </w:r>
      </w:smartTag>
      <w:r>
        <w:t>.</w:t>
      </w:r>
      <w:r w:rsidRPr="009B7239">
        <w:t xml:space="preserve"> Kč </w:t>
      </w:r>
      <w:r>
        <w:t xml:space="preserve">pro </w:t>
      </w:r>
      <w:proofErr w:type="gramStart"/>
      <w:r>
        <w:t xml:space="preserve">rok </w:t>
      </w:r>
      <w:r w:rsidRPr="009B7239">
        <w:t xml:space="preserve"> 2015</w:t>
      </w:r>
      <w:proofErr w:type="gramEnd"/>
      <w:r w:rsidRPr="009B7239">
        <w:t xml:space="preserve">, ve výši  </w:t>
      </w:r>
      <w:smartTag w:uri="urn:schemas-microsoft-com:office:smarttags" w:element="metricconverter">
        <w:smartTagPr>
          <w:attr w:name="ProductID" w:val="1ﾠ372,5 mil"/>
        </w:smartTagPr>
        <w:r w:rsidRPr="009B7239">
          <w:t>1</w:t>
        </w:r>
        <w:r>
          <w:t> </w:t>
        </w:r>
        <w:r w:rsidRPr="009B7239">
          <w:t>372</w:t>
        </w:r>
        <w:r>
          <w:t>,</w:t>
        </w:r>
        <w:r w:rsidRPr="009B7239">
          <w:t>5</w:t>
        </w:r>
        <w:r>
          <w:t xml:space="preserve"> mil</w:t>
        </w:r>
      </w:smartTag>
      <w:r>
        <w:t xml:space="preserve">. </w:t>
      </w:r>
      <w:r w:rsidRPr="009B7239">
        <w:t xml:space="preserve">Kč pro rok </w:t>
      </w:r>
      <w:smartTag w:uri="urn:schemas-microsoft-com:office:smarttags" w:element="metricconverter">
        <w:smartTagPr>
          <w:attr w:name="ProductID" w:val="ˮL氶栐耀n&#10;900 mil氲栐䄪蠀뺐Ѕ털/氾栐p耀뺐Ѕ턘/氺栐F耀F뺐Ѕ뮘Ѕ氆栐ꀀ耀JarentFolder氂栐蠀ӈྒ倠㿸氎栐言ᗐ2016 aЅ氊栐䉻蠀盨睞605 mil氖栐蠀620 mil氒栐敳蠀떬Ѕ떬Ѕﾲ'氞栐蠀냨睜尘Ӏ)뗨Ѕ氚栐氀蠀냨睜尘ӀǈІ汦栐䠀耀Nྒ㿸㿸汢栐굒蠀냨睜屠Ӏ뙈Ѕ뗈Ѕ汮栐㄀蠀냨睜屠Ӏ뗈Ѕ汪栐܀耀ÎValue2l汶栐蠀뺐Ѕ)汲栐⅄蠀뺐Ѕ)汾栐ƀ蠀뺐Ѕ)決栐㄀蠀ම皰反곔쁁Ǐ䏰Ќ汆栐崾蠀흸1470 mil求栐挀蠀ම皰反곔쁁Ǐ票ұ汎栐圠言䳔睜20 milЅ汊栐言䐟ᩇ夃㽲䒧얉镕毾猀汖栐言10 milr汒"/>
        </w:smartTagPr>
        <w:r w:rsidRPr="009B7239">
          <w:t>2016 a</w:t>
        </w:r>
      </w:smartTag>
      <w:r w:rsidRPr="009B7239">
        <w:t xml:space="preserve">  ve výši  </w:t>
      </w:r>
      <w:smartTag w:uri="urn:schemas-microsoft-com:office:smarttags" w:element="metricconverter">
        <w:smartTagPr>
          <w:attr w:name="ProductID" w:val="1ﾠ300,3 mil"/>
        </w:smartTagPr>
        <w:r w:rsidRPr="009B7239">
          <w:t>1</w:t>
        </w:r>
        <w:r>
          <w:t> </w:t>
        </w:r>
        <w:r w:rsidRPr="009B7239">
          <w:t>300</w:t>
        </w:r>
        <w:r>
          <w:t>,3 mil</w:t>
        </w:r>
      </w:smartTag>
      <w:r w:rsidRPr="009B7239">
        <w:t>. Kč pro rok 2017.  Dále</w:t>
      </w:r>
      <w:r w:rsidRPr="003D10C6">
        <w:t xml:space="preserve"> rozpočet kapitoly</w:t>
      </w:r>
      <w:r>
        <w:t xml:space="preserve"> obsahuje</w:t>
      </w:r>
      <w:r w:rsidRPr="003D10C6">
        <w:t xml:space="preserve"> prostředky na finanční náhrady poskytované církvím podle výše citovaného zákona (pro rok 2015 částka </w:t>
      </w:r>
      <w:smartTag w:uri="urn:schemas-microsoft-com:office:smarttags" w:element="metricconverter">
        <w:smartTagPr>
          <w:attr w:name="ProductID" w:val="2ﾠ052 mil"/>
        </w:smartTagPr>
        <w:r w:rsidRPr="003D10C6">
          <w:t>2</w:t>
        </w:r>
        <w:r>
          <w:t> </w:t>
        </w:r>
        <w:r w:rsidRPr="003D10C6">
          <w:t>052</w:t>
        </w:r>
        <w:r>
          <w:t xml:space="preserve"> mil</w:t>
        </w:r>
      </w:smartTag>
      <w:r>
        <w:t>.</w:t>
      </w:r>
      <w:r w:rsidRPr="003D10C6">
        <w:t xml:space="preserve"> Kč, pro rok 2016 částka </w:t>
      </w:r>
      <w:smartTag w:uri="urn:schemas-microsoft-com:office:smarttags" w:element="metricconverter">
        <w:smartTagPr>
          <w:attr w:name="ProductID" w:val="2ﾠ093 mil"/>
        </w:smartTagPr>
        <w:r w:rsidRPr="003D10C6">
          <w:t>2</w:t>
        </w:r>
        <w:r>
          <w:t> </w:t>
        </w:r>
        <w:r w:rsidRPr="003D10C6">
          <w:t>093</w:t>
        </w:r>
        <w:r>
          <w:t xml:space="preserve"> </w:t>
        </w:r>
        <w:proofErr w:type="gramStart"/>
        <w:r>
          <w:t>mil</w:t>
        </w:r>
      </w:smartTag>
      <w:r>
        <w:t xml:space="preserve">. </w:t>
      </w:r>
      <w:r w:rsidRPr="003D10C6">
        <w:t xml:space="preserve"> Kč</w:t>
      </w:r>
      <w:proofErr w:type="gramEnd"/>
      <w:r w:rsidRPr="003D10C6">
        <w:t xml:space="preserve"> a pro rok 2017  částka </w:t>
      </w:r>
      <w:smartTag w:uri="urn:schemas-microsoft-com:office:smarttags" w:element="metricconverter">
        <w:smartTagPr>
          <w:attr w:name="ProductID" w:val="2ﾠ135 mil"/>
        </w:smartTagPr>
        <w:r w:rsidRPr="003D10C6">
          <w:t>2</w:t>
        </w:r>
        <w:r>
          <w:t> </w:t>
        </w:r>
        <w:r w:rsidRPr="003D10C6">
          <w:t>13</w:t>
        </w:r>
        <w:r>
          <w:t>5 mil</w:t>
        </w:r>
      </w:smartTag>
      <w:r>
        <w:t xml:space="preserve">. </w:t>
      </w:r>
      <w:r w:rsidRPr="003D10C6">
        <w:t>Kč).</w:t>
      </w:r>
      <w:r>
        <w:t xml:space="preserve"> Dále byly výdaje navýšeny o 1 mld. Kč ročně na Program péče o Národní kulturní poklad a o </w:t>
      </w:r>
      <w:smartTag w:uri="urn:schemas-microsoft-com:office:smarttags" w:element="metricconverter">
        <w:smartTagPr>
          <w:attr w:name="ProductID" w:val="500 mil"/>
        </w:smartTagPr>
        <w:r>
          <w:t>500 mil</w:t>
        </w:r>
      </w:smartTag>
      <w:r>
        <w:t xml:space="preserve">. Kč ročně na filmové pobídky.  Rovněž byly posíleny výdaje na investice příspěvkových organizací a na obnovu kulturních památek a provoz příspěvkových organizací (celkem 0,29 mld. Kč v roce </w:t>
      </w:r>
      <w:smartTag w:uri="urn:schemas-microsoft-com:office:smarttags" w:element="metricconverter">
        <w:smartTagPr>
          <w:attr w:name="ProductID" w:val="Key1"/>
        </w:smartTagPr>
        <w:r>
          <w:t>2015 a</w:t>
        </w:r>
      </w:smartTag>
      <w:r w:rsidR="00B67FAE">
        <w:t xml:space="preserve"> 0,24 mld. Kč pro rok</w:t>
      </w:r>
      <w:r>
        <w:t xml:space="preserve"> </w:t>
      </w:r>
      <w:smartTag w:uri="urn:schemas-microsoft-com:office:smarttags" w:element="metricconverter">
        <w:smartTagPr>
          <w:attr w:name="ProductID" w:val="Key1"/>
        </w:smartTagPr>
        <w:r>
          <w:t>2016 a</w:t>
        </w:r>
      </w:smartTag>
      <w:r>
        <w:t xml:space="preserve"> </w:t>
      </w:r>
      <w:r w:rsidR="00B67FAE">
        <w:t xml:space="preserve">rok </w:t>
      </w:r>
      <w:r>
        <w:t>2017).</w:t>
      </w:r>
      <w:r w:rsidRPr="005719E1">
        <w:rPr>
          <w:highlight w:val="cyan"/>
        </w:rPr>
        <w:t xml:space="preserve"> </w:t>
      </w:r>
    </w:p>
    <w:p w:rsidR="00FD7CB0" w:rsidRPr="00DA2116" w:rsidRDefault="00FD7CB0" w:rsidP="00FD7CB0">
      <w:pPr>
        <w:ind w:firstLine="720"/>
      </w:pPr>
      <w:r w:rsidRPr="00DA2116">
        <w:rPr>
          <w:b/>
        </w:rPr>
        <w:t xml:space="preserve">V kapitole Ministerstva dopravy </w:t>
      </w:r>
      <w:r>
        <w:t>jsou rozpočtovány výdaje na úhradu ztráty ze závazku veřejné služby ve</w:t>
      </w:r>
      <w:r w:rsidR="00D074C5">
        <w:t xml:space="preserve"> veřejné drážní osobní dopravě </w:t>
      </w:r>
      <w:r>
        <w:t xml:space="preserve">ve výši </w:t>
      </w:r>
      <w:smartTag w:uri="urn:schemas-microsoft-com:office:smarttags" w:element="metricconverter">
        <w:smartTagPr>
          <w:attr w:name="ProductID" w:val="Ҩᇪ귦秞谀 2ﾠ052 mil귣秞蠀1ﾠ444,7 mil근秞蠀1ﾠ372,5 mil극秞蠀1ﾠ300,3 mil귲秞谀 1ﾠ155 mil귏秞谀ࢰ-몘ﻜ볯ᩁ䰃⒜놫勩辕귈秞蠀탠ላﵠ၅큨ላྨһ귅秞谀鏸皲⑧%-Ā 귞秞蠀嫴Ќ嘈Ҩ磐ᇪ귛秞蠀ऴ-喰ယሃ귔秞谀ﶸ1 2ﾠ135 milil귑秞蠀嬼Ќ噘Ҩ喐Ҩ궪秞蠀 m龜ȑÊDᗐ쾨ላ궧秞蠀宄Ќ嚨Ҩ嘈Ҩ궠秞耀૏7041 mill궽秞蠀嵼ЌӁ噘Ҩ궶秞耀૔ 2ﾠ135 mil'궳秞耀૙ 2ﾠ093 milil권秞耀૞&#10; 2ﾠ052 milil궉秞耀ૣ1ﾠ300,3 mil궂秞耀૨1ﾠ372,5 mil궟秞耀૭1ﾠ444,7 mil궘秞耀૲&#10; 2ﾠ200 mil궕秞耀ଆ 1ﾠ000 milퟘ1걮秞蠀꼼ም嬘ᆹ娀ᆹ걫秞谀䳔睜 2ﾠ093 mil퟈1걤秞耀ૅ:\Users\10018걡秞耀କ癔呓䵒勀(壸Ҩ걺秞蠀඄ም壘Ҩ⤐ᇦ걷秞蠀ดምᇪ墰Ҩ거秞耀ତ걍秞蠀Ƥሞ奐Ҩ吨Ҩ걆秞蠀ȴሞᇪ夨Ҩ걃秞耀଩martTagInstall걜秞耀ମ걙秞耀ଳ걒秞耀ସ갯秞耀ଽ갨秞耀ୂ갥秞耀େ갾秞耀ୌ갻秞耀୑갴秞耀ୖ갱秞耀୛갊秞耀ୠ갇秞耀୥가秞耀୪객秞耀୯갖秞耀୴갓秞耀୹곬秞耀୾곩秞耀ஃ곢秞耀ஈ곿秞耀஍곸秞耀ஒ공秞耀஗곎秞耀ஜ곋秞耀஡계秞耀஦곁秞耀஫곚秞耀ர곗秞耀வ곐秞耀஺겭秞耀ி겦秞耀௄겣秞耀௉겼秞耀௎겹秞耀௓겲秞耀௘겏秞耀௝겈秞耀௢겅秞耀௧겞秞耀௬겛秞耀௱겔秞耀௶겑秞耀௻꭪秞耀ఀꭧ秞耀అꭠ秞耀ఊꭽ秞耀ఏꭶ秞耀ఔꭳ秞耀ఙꭌ秞耀ఞꭉ秞耀ణꭂ秞耀నꭟ秞耀భꭘ秞耀లꭕ秞耀షꬮ秞耀఼ꬫ秞耀ుꬤ秞耀ెꬡ秞耀ోꬺ秞耀౐ꬷ秞耀ౕꬰ秞耀ౚꬍ秞耀౟ꬆ秞耀౤ꬃ秞耀౩꬜秞耀౮꬙秞耀౳ꬒ秞耀౸꯯秞耀౽ꯨ秞耀ಂꯥ秞耀ಇ꯾秞耀ಌ꯻秞耀಑꯴秞耀ಖ꯱秞耀ಛꯊ秞耀ಠꯇ秞耀ಥꯀ秞耀ಪꯝ秞耀ಯꯖ秞耀಴ꯓ秞耀ಹꮬ秞耀ಾꮩ秞耀ೃꮢ秞耀ೈꮿ秞耀್ꮸ秞耀೒ꮵ秞耀೗ꮎ秞耀೜ꮋ秞耀ೡꮄ秞耀೦ꮁ秞耀೫ꮚ秞耀೰ꮗ秞耀೵ꮐ秞耀೺ꩭ秞耀೿ꩦ秞耀ഄꩣ秞耀ഉꩼ秞耀എ꩹秞耀ഓꩲ秞耀ഘ꩏秞耀ഝꩈ秞耀ഢꩅ秞耀ധ꩞秞耀ബ꩛秞耀റ꩔秞耀ശ꩑秞耀഻ꨪ秞耀ീꨧ秞耀൅ꨠ秞耀ൊ꨽秞耀൏ꨶ秞耀ൔꨳ秞耀൙ꨌ秞耀൞ꨉ秞耀ൣꨂ秞耀൨ꨟ秞耀൭ꨘ秞耀൲ꨕ秞耀൷ꫮ秞耀ർꫫ秞耀ඁꫤ秞耀ආꫡ秞耀උ꫺秞耀ඐ꫷秞耀ඕ꫰秞耀ක꫍秞耀ඟ꫆秞耀ඤ꫃秞耀ඩꫜ秞耀ථ꫙秞耀ඳ꫒秞耀මꪯ秞耀ලꪨ秞耀ෂꪥ秞耀෇ꪾ秞耀෌ꪻ秞耀ෑꪴ秞耀ූꪱ秞耀ෛꪊ秞耀෠ꪇ秞耀෥ꪀ秞耀෪ꪝ秞耀෯ꪖ秞耀෴ꪓ秞耀෹ꥬ秞耀෾ꥩ秞耀ฃꥢ秞耀จ꥿秞耀ญꥸ秞耀ฒꥵ秞耀ทꥎ秞耀ผꥋ秞耀มꥄ秞耀ฦꥁ秞耀ห꥚秞耀ะ꥗秞耀ีꥐ秞耀ฺ꤭秞耀฿ꤦ秞耀ไꤣ秞耀้ꤼ秞耀๎ꤹ秞耀๓ꤲ秞耀๘ꤏ秞耀๝꤈秞耀๢꤅秞耀๧ꤞ秞耀๬ꤛ秞耀๱ꤔ秞耀๶ꤑ秞耀๻ꧪ秞耀຀ꧧ秞耀຅ꧠ秞耀ຊꧽ秞耀ຏ꧶秞耀ດ꧳秞耀ນ꧌秞耀ພ꧉秞耀ຣ꧂秞耀ຨ꧟秞耀ອ꧘秞耀າ꧕秞耀ືꦮ秞耀ຼꦫ秞耀ແꦤ秞耀ໆꦡ秞耀໋ꦺ秞耀໐ꦷ秞耀໕ꦰ秞耀໚ꦍ秞耀ໟꦆ秞耀໤ꦃ秞耀໩ꦜ秞耀໮ꦙ秞耀໳ꦒ秞耀໸ꡯ秞耀໽ꡨ秞耀༂ꡥ秞耀༇꡾秞耀༌꡻秞耀༑꡴秞耀༖ꡱ秞耀༛ꡊ秞耀༠ꡇ秞耀༥ꡀ秞耀༪ꡝ秞耀༯ꡖ秞耀༴ꡓ秞耀꠬༹秞耀༾꠩秞耀གྷꠢ秞耀཈꠿秞耀ཌྷ꠸秞耀དྷ꠵秞耀བྷꠎ秞耀ཛྷꠋ秞耀ཡꠄ秞耀སꠁ秞耀ཫꠚ秞耀཰ꠗ秞耀ཱུꠐ秞耀ེ꣭秞耀ཿ꣦秞耀྄꣣秞耀ྉ꣼秞耀ྎ꣹秞耀ྒྷꣲ秞耀྘꣏秞耀ྜྷ꣈秞耀ྡྷꣅ秞耀ྦྷ꣞秞耀ྫྷ꣛秞耀ྱ꣔秞耀ྶ꣑秞耀ྻꢪ秞耀࿀ꢧ秞耀࿅ꢠ秞耀࿊ꢽ秞耀࿏ꢶ秞耀࿔ꢳ秞耀࿙ꢌ秞耀࿞ꢉ秞耀࿣ꢂ秞耀࿨ꢟ秞耀࿭ꢘ秞耀࿲ꢕ秞耀࿷띮秞耀࿼띫秞耀ခ띤秞耀ဆ띡秞耀ဋ띺秞耀တ띷秞耀ပ띰秞耀ယ띍秞耀ဟ띆秞耀ဤ띃秞耀ဩ띜秞耀ီ띙秞耀ဳ띒秞耀း뜯秞耀ွ뜨秞耀၂뜥秞耀၇뜾秞耀၌뜻秞耀ၑ뜴秞耀ၖ뜱秞耀ၛ뜊秞耀ၠ뜇秞耀ၥ뜀秞耀ၪ뜝秞耀ၯ뜖秞耀ၴ뜓秞耀ၹ러秞耀ၾ럩秞耀ႃ럢秞耀ႈ럿秞耀ႍ럸秞耀႒럵秞耀႗럎秞耀ႜ럋秞耀Ⴁ럄秞耀Ⴆ럁秞耀Ⴋ럚秞耀Ⴐ럗秞耀Ⴕ럐秞耀Ⴚ랭秞耀Ⴟ랦秞耀Ⴤ랣秞耀჉랼秞耀჎랹秞耀დ랲秞耀ი랏秞耀ო랈秞耀ტ랅秞耀ყ랞秞耀წ랛秞耀ჱ랔秞耀ჶ랑秞耀჻뙪秞耀ᄀ뙧秞耀ᄅ뙠秞耀ᄊ뙽秞耀ᄏ뙶秞耀ᄔ뙳秞耀ᄙ뙌秞耀ᄞ뙉秞耀ᄣ뙂秞耀ᄨ뙟秞耀ᄭ뙘秞耀ᄲ뙕秞耀ᄷ똮秞耀ᄼ똫秞耀ᅁ똤秞耀ᅆ똡秞耀ᅋ똺秞耀ᅐ똷秞耀ᅕ똰秞耀ᅚ똍秞耀ᅟ똆秞耀ᅤ똃秞耀ᅩ똜秞耀ᅮ똙秞耀ᅳ똒秞耀ᅸ뛯秞耀ᅽ뛨秞耀ᆂ뛥秞耀ᆇ뛾秞耀ᆌ뛻秞耀ᆑ뛴秞耀ᆖ뛱秞耀ᆛ뛊秞耀ᆠ뛇秞耀ᆥ뛀秞耀ᆪ뛝秞耀ᆯ뛖秞耀ᆴ뛓秞耀ᆹ뚬秞耀ᆾ뚩秞耀ᇃ뚢秞耀ᇈ뚿秞耀ᇍ뚸秞耀ᇒ뚵秞耀ᇗ뚎秞耀ᇜ뚋秞耀ᇡ뚄秞耀ᇦ뚁秞耀ᇫ뚚秞耀ᇰ뚗秞耀ᇵ뚐秞耀ᇺ땭秞耀ᇿ땦秞耀ሄ땣秞耀ሉ땼秞耀ሎ땹秞耀ሓ땲秞耀መ땏秞耀ም땈秞耀ሢ땅秞耀ሧ땞秞耀ሬ땛秞耀ሱ땔秞耀ሶ땑秞耀ሻ딪秞耀ቀ딧秞耀ቅ딠秞耀ቊ딽秞耀቏딶秞耀ቔ딳秞耀቙딌秞耀቞딉秞耀ባ딂秞耀ቨ딟秞耀ቭ딘秞耀ቲ딕秞耀ቷ뗮秞耀ቼ뗫秞耀ኁ뗤秞耀ኆ뗡秞耀ኋ뗺秞耀ነ뗷秞耀ን뗰秞耀ኚ뗍秞耀ኟ뗆秞耀ኤ뗃秞耀ኩ뗜秞耀ኮ뗙秞耀ኳ뗒秞耀ኸ떯秞耀ኽ떨秞耀ዂ떥秞耀዇떾秞耀ዌ떻秞耀ዑ떴秞耀ዖ떱秞耀ዛ떊秞耀ዠ떇秞耀ዥ떀秞耀ዪ떝秞耀ዯ떖秞耀ዴ떓秞耀ዹ둬秞耀ዾ둩秞耀ጃ둢秞耀ገ둿秞耀ግ둸秞耀ጒ둵秞耀጗둎秞耀ጜ둋秞耀ጡ둄秞耀ጦ둁秞耀ጫ둚秞耀ጰ둗秞耀ጵ두秞耀ጺ됭秞耀ጿ됦秞耀ፄ됣秞耀ፉ됼秞耀ፎ됹秞耀ፓ됲秞耀ፘ됏秞耀፝됈秞耀።됅秞耀፧됞秞耀፬됛秞耀፱됔秞耀፶됑秞耀፻듪秞耀ᎀ듧秞耀ᎅ든秞耀ᎊ듽秞耀ᎏ듶秞耀᎔듳秞耀᎙듌秞耀᎞듉秞耀Ꭳ듂秞耀Ꭸ듟秞耀Ꭽ듘秞耀Ꮂ듕秞耀Ꮇ뒮秞耀Ꮌ뒫秞耀Ꮑ뒤秞耀Ꮖ뒡秞耀Ꮛ뒺秞耀Ꮠ뒷秞耀Ꮥ뒰秞耀Ꮪ뒍秞耀Ꮯ뒆秞耀Ꮴ뒃秞耀Ꮹ뒜秞耀Ꮾ뒙秞耀Ᏻ뒒秞耀ᏸ덯秞耀ᏽ덨秞耀ᐂ덥秞耀ᐇ덾秞耀ᐌ덻秞耀ᐑ덴秞耀ᐖ덱秞耀ᐛ덊秞耀ᐠ덇秞耀ᐥ덀秞耀ᐪ덝秞耀ᐯ덖秞耀ᐴ덓秞耀ᐹ댬秞耀ᐾ댩秞耀ᑃ댢秞耀ᑈ댿秞耀ᑍ댸秞耀ᑒ댵秞耀ᑗ댎秞耀ᑜ댋秞耀ᑡ댄秞耀ᑦ댁秞耀ᑫ댚秞耀ᑰ댗秞耀ᑵ댐秞耀ᑺ돭秞耀ᑿ돦秞耀ᒄ돣秞耀ᒉ돼秞耀ᒎ돹秞耀ᒓ돲秞耀ᒘ돏秞耀ᒝ돈秞耀ᒢ독秞耀ᒧ돞秞耀ᒬ돛秞耀ᒱ돔秞耀ᒶ돑秞耀ᒻ뎪秞耀ᓀ뎧秞耀ᓅ뎠秞耀ᓊ뎽秞耀ᓏ뎶秞耀ᓔ뎳秞耀ᓙ뎌秞耀ᓞ뎉秞耀ᓣ뎂秞耀ᓨ뎟秞耀ᓭ뎘秞耀ᓲ뎕秞耀ᓷ뉮秞耀ᓼ뉫秞耀ᔁ뉤秞耀ᔆ뉡秞耀ᔋ뉺秞耀ᔐ뉷秞耀ᔕ뉰秞耀ᔚ뉍秞耀ᔟ뉆秞耀ᔤ뉃秞耀ᔩ뉜秞耀ᔮ뉙秞耀ᔳ뉒秞耀ᔸ눯秞耀ᔽ눨秞耀ᕂ눥秞耀ᕇ눾秞耀ᕌ눻秞耀ᕑ눴秞耀ᕖ눱秞耀ᕛ눊秞耀ᕠ눇秞耀ᕥ눀秞耀ᕪ눝秞耀ᕯ눖秞耀ᕴ눓秞耀ᕹ달秞耀ᕾ닩秞耀ᖃ닢秞耀ᖈ닿秞耀ᖍ닸秞耀ᖒ답秞耀ᖗ닎秞耀ᖜ닋秞耀ᖡ닄秞耀ᖦ닁秞耀ᖫ닚秞耀ᖰ닗秞耀ᖵ닐秞耀ᖺ늭秞耀ᖿ늦秞耀ᗄ늣秞耀ᗉ늼秞耀ᗎ늹秞耀ᗓ늲秞耀ᗘ늏秞耀ᗝ늈秞耀ᗢ늅秞耀ᗧ늞秞耀ᗬ늛秞耀ᗱ는秞耀ᗶ늑秞耀ᗻ녪秞耀ᘀ녧秞耀ᘅ녠秞耀ᘊ녽秞耀ᘏ녶秞耀ᘔ녳秞耀ᘙ녌秞耀ᘞ녉秞耀ᘣ녂秞耀ᘨ녟秞耀ᘭ녘秞耀ᘲ녕秞耀ᘷ넮秞耀ᘼ넫秞耀ᙁ네秞耀ᙆ넡秞耀ᙋ넺秞耀ᙐ넷秞耀ᙕ넰秞耀ᙚ넍秞耀ᙟ넆秞耀ᙤ넃秞耀ᙩ넜秞耀᙮넙秞耀ᙳ넒秞耀ᙸ뇯秞耀ᙽ뇨秞耀ᚂ뇥秞耀ᚇ뇾秞耀ᚌ뇻秞耀ᚑ뇴秞耀ᚖ뇱秞耀᚛뇊秞耀ᚠ뇇秞耀ᚥ뇀秞耀ᚪ뇝秞耀ᚯ뇖秞耀ᚴ뇓秞耀ᚹ놬秞耀ᚾ놩秞耀ᛃ놢秞耀ᛈ놿秞耀ᛍ놸秞耀ᛒ놵秞耀ᛗ놎秞耀ᛜ놋秞耀ᛡ놄秞耀ᛦ놁秞耀᛫놚秞耀ᛰ놗秞耀ᛵ놐秞耀᛺끭秞耀᛿끦秞耀ᜄ끣秞耀ᜉ끼秞耀ᜎ끹秞耀ᜓ끲秞耀᜘끏秞耀᜝끈秞耀ᜢ끅秞耀ᜧ끞秞耀ᜬ끛秞耀ᜱ끔秞耀᜶끑秞耀᜻뀪秞耀ᝀ뀧秞耀ᝅ뀠秞耀ᝊ뀽秞耀ᝏ뀶秞耀᝔뀳秞耀᝙뀌秞耀᝞뀉秞耀ᝣ뀂秞耀ᝨ뀟秞耀᝭뀘秞耀ᝲ뀕秞耀᝷냮秞耀᝼냫秞耀ខ냤秞耀ឆ냡秞耀ឋ냺秞耀ថ냷秞耀ផ냰秞耀រ냍秞耀ស냆秞耀ឤ냃秞耀ឩ냜秞耀ឮ냙秞耀ឳ냒秞耀ី낯秞耀ួ남秞耀ែ낥秞耀ះ낾秞耀៌낻秞耀៑내秞耀៖낱秞耀៛낊秞耀០낇秞耀៥낀秞耀៪낝秞耀៯낖秞耀៴낓秞耀៹뽬秞耀៾뽩秞耀᠃뽢秞耀᠈뽿秞耀᠍뽸秞耀᠒뽵秞耀᠗뽎秞耀᠜뽋秞耀ᠡ뽄秞耀ᠦ뽁秞耀ᠫ뽚秞耀ᠰ뽗秞耀ᠵ뽐秞耀ᠺ뼭秞耀ᠿ뼦秞耀ᡄ뼣秞耀ᡉ뼼秞耀ᡎ뼹秞耀ᡓ뼲秞耀ᡘ뼏秞耀ᡝ뼈秞耀ᡢ뼅秞耀ᡧ뼞秞耀ᡬ뼛秞耀ᡱ뼔秞耀ᡶ뼑秞耀᡻뿪秞耀ᢀ뿧秞耀ᢅ뿠秞耀ᢊ뿽秞耀ᢏ뿶秞耀ᢔ뿳秞耀ᢙ뿌秞耀ᢞ뿉秞耀ᢣ뿂秞耀ᢨ뿟秞耀᢭뿘秞耀ᢲ뿕秞耀ᢷ뾮秞耀ᢼ뾫秞耀ᣁ뾤秞耀ᣆ뾡秞耀ᣋ뾺秞耀ᣐ뾷秞耀ᣕ뾰秞耀ᣚ뾍秞耀ᣟ뾆秞耀ᣤ뾃秞耀ᣩ뾜秞耀ᣮ뾙秞耀ᣳ뾒秞耀᣸빯秞耀᣽빨秞耀ᤂ빥秞耀ᤇ빾秞耀ᤌ빻秞耀ᤑ빴秞耀ᤖ빱秞耀ᤛ빊秞耀ᤠ빇秞耀ᤥ빀秞耀ᤪ빝秞耀᤯빖秞耀ᤴ빓秞耀᤹븬秞耀᤾븩秞耀᥃븢秞耀᥈븿秞耀᥍븸秞耀ᥒ븵秞耀ᥗ븎秞耀ᥜ븋秞耀ᥡ븄秞耀ᥦ븁秞耀ᥫ븚秞耀ᥰ븗秞耀᥵븐秞耀᥺뻭秞耀᥿뻦秞耀ᦄ뻣秞耀ᦉ뻼秞耀ᦎ뻹秞耀ᦓ뻲秞耀ᦘ뻏秞耀ᦝ뻈秞耀ᦢ뻅秞耀ᦧ뻞秞耀᦬뻛秞耀ᦱ뻔秞耀ᦶ뻑秞耀ᦻ뺪秞耀ᧀ뺧秞耀ᧅ뺠秞耀᧊뺽秞耀᧏뺶秞耀᧔뺳秞耀᧙뺌秞耀᧞뺉秞耀᧣뺂秞耀᧨뺟秞耀᧭뺘秞耀᧲뺕秞耀᧷뵮秞耀᧼뵫秞耀ᨁ뵤秞耀ᨆ뵡秞耀ᨋ뵺秞耀ᨐ뵷秞耀ᨕ뵰秞耀ᨚ뵍秞耀᨟뵆秞耀ᨤ뵃秞耀ᨩ뵜秞耀ᨮ뵙秞耀ᨳ뵒秞耀ᨸ봯秞耀ᨽ봨秞耀ᩂ봥秞耀ᩇ봾秞耀ᩌ봻秞耀ᩑ봴秞耀ᩖ봱秞耀ᩛ봊秞耀᩠봇秞耀ᩥ봀秞耀ᩪ봝秞耀ᩯ봖秞耀ᩴ봓秞耀᩹뷬秞耀᩾뷩秞耀᪃뷢秞耀᪈뷿秞耀᪍뷸秞耀᪒뷵秞耀᪗뷎秞耀᪜뷋秞耀᪡뷄秞耀᪦뷁秞耀᪫뷚秞耀᪰뷗秞耀᪵뷐秞耀᪺붭秞耀ᪿ붦秞耀᫄붣秞耀᫉붼秞耀ᫎ붹秞耀᫓붲秞耀᫘붏秞耀᫝불秞耀᫢붅秞耀᫧붞秞耀᫬붛秞耀᫱붔秞耀᫶붑秞耀᫻뱪秞耀ᬀ뱧秞耀ᬅ뱠秞耀ᬊ뱽秞耀ᬏ뱶秞耀ᬔ뱳秞耀ᬙ뱌秞耀ᬞ뱉秞耀ᬣ뱂秞耀ᬨ뱟秞耀ᬭ뱘秞耀ᬲ뱕秞耀ᬷ밮秞耀ᬼ밫秞耀ᭁ밤秞耀ᭆ밡秞耀ᭋ밺秞耀᭐밷秞耀᭕배秞耀᭚밍秞耀᭟밆秞耀᭤밃秞耀᭩발秞耀᭮밙秞耀᭳밒秞耀᭸볯秞耀᭽볨秞耀ᮂ볥秞耀ᮇ볾秞耀ᮌ볻秞耀ᮑ보秞耀ᮖ볱秞耀ᮛ볊秞耀ᮠ볇秞耀ᮥ변秞耀᮪볝秞耀ᮯ볖秞耀᮴볓秞耀᮹벬秞耀ᮾ벩秞耀ᯃ벢秞耀ᯈ벿秞耀ᯍ벸秞耀ᯒ벵秞耀ᯗ벎秞耀ᯜ벋秞耀ᯡ버秞耀᯦벁秞耀ᯫ벚秞耀ᯰ벗秞耀᯵벐秞耀᯺뭭秞耀᯿뭦秞耀ᰄ뭣秞耀ᰉ뭼秞耀ᰎ뭹秞耀ᰓ뭲秞耀ᰘ뭏秞耀ᰝ뭈秞耀ᰢ뭅秞耀ᰧ뭞秞耀ᰬ뭛秞耀ᰱ뭔秞耀ᰶ뭑秞耀᰻묪秞耀᱀묧秞耀᱅묠秞耀᱊묽秞耀ᱏ묶秞耀᱔묳秞耀᱙묌秞耀ᱞ묉秞耀ᱣ묂秞耀ᱨ묟秞耀ᱭ묘秞耀ᱲ묕秞耀ᱷ믮秞耀ᱼ믫秞耀ᲁ믤秞耀ᲆ믡秞耀᲋믺秞耀Ა믷秞耀Ვ믰秞耀Ლ믍秞耀Ჟ믆秞耀Ფ믃秞耀Ჩ믜秞耀Ხ믙秞耀Ჳ믒秞耀Ჸ뮯秞耀Ჽ뮨秞耀᳂뮥秞耀᳇뮾秞耀᳌뮻秞耀᳑뮴秞耀᳖뮱秞耀᳛뮊秞耀᳠뮇秞耀᳥뮀秞耀ᳪ뮝秞耀ᳯ뮖秞耀᳴뮓秞耀᳹멬秞耀᳾멩秞耀ᴃ멢秞耀ᴈ멿秞耀ᴍ멸秞耀ᴒ멵秞耀ᴗ멎秞耀ᴜ멋秞耀ᴡ멄秞耀ᴦ멁秞耀ᴫ멚秞耀ᴰ멗秞耀ᴵ멐秞耀ᴺ먭秞耀ᴿ먦秞耀ᵄ먣秞耀ᵉ먼秞耀ᵎ먹秞耀ᵓ먲秞耀ᵘ먏秞耀ᵝ먈秞耀ᵢ먅秞耀ᵧ먞秞耀ᵬ먛秞耀ᵱ먔秞耀ᵶ먑秞耀ᵻ뫪秞耀ᶀ뫧秞耀ᶅ뫠秞耀ᶊ뫽秞耀ᶏ뫶秞耀ᶔ뫳秞耀ᶙ뫌秞耀ᶞ뫉秞耀ᶣ뫂秞耀ᶨ뫟秞耀ᶭ뫘秞耀ᶲ뫕秞耀ᶷ몮秞耀ᶼ몫秞耀᷁몤秞耀᷆몡秞耀᷋몺秞耀᷐몷秞耀ᷕ몰秞耀ᷚ몍秞耀ᷟ몆秞耀ᷤ몃秞耀ᷩ몜秞耀ᷮ몙秞耀ᷳ몒秞耀᷸륯秞耀᷽륨秞耀Ḃ륥秞耀ḇ륾秞耀Ḍ륻秞耀ḑ르秞耀Ḗ륱秞耀ḛ륊秞耀Ḡ륇秞耀ḥ륀秞耀Ḫ륝秞耀ḯ륖秞耀Ḵ륓秞耀ḹ뤬秞耀Ḿ뤩秞耀ṃ뤢秞耀Ṉ뤿秞耀ṍ뤸秞耀Ṓ뤵秞耀ṗ뤎秞耀Ṝ뤋秞耀ṡ뤄秞耀Ṧ뤁秞耀ṫ뤚秞耀Ṱ뤗秞耀ṵ뤐秞耀Ṻ맭秞耀ṿ맦秞耀Ẅ맣秞耀ẉ맼秞耀Ẏ맹秞耀ẓ맲秞耀ẘ맏秞耀ẝ마秞耀Ả맅秞耀ầ맞秞耀Ậ맛秞耀ằ맔秞耀Ặ맑秞耀ẻ릪秞耀Ề릧秞耀ễ릠秞耀Ị립秞耀ỏ릶秞耀Ổ릳秞耀ộ릌秞耀Ở릉秞耀ợ릂秞耀Ứ릟秞耀ử릘秞耀Ỳ릕秞耀ỷ롮秞耀Ỽ롫秞耀ἁ롤秞耀ἆ롡秞耀Ἃ롺秞耀ἐ롷秞耀ἕ롰秞耀Ἒ롍秞耀἟롆秞耀ἤ롃秞耀Ἡ로秞耀Ἦ롙秞耀ἳ롒秞耀Ἰ렯秞耀Ἵ련秞耀ὂ력秞耀὇렾秞耀Ὄ렻秞耀ὑ렴秞耀ὖ렱秞耀Ὓ렊秞耀ὠ렇秞耀ὥ렀秞耀Ὢ렝秞耀Ὧ렖秞耀ὴ렓秞耀ό룬秞耀὾룩秞耀ᾃ룢秞耀ᾈ룿秞耀ᾍ룸秞耀ᾒ룵秞耀ᾗ룎秞耀ᾜ룋秞耀ᾡ룄秞耀ᾦ룁秞耀ᾫ룚秞耀ᾰ룗秞耀᾵룐秞耀Ὰ뢭秞耀᾿뢦秞耀ῄ뢣秞耀Έ뢼秞耀῎뢹秞耀ΐ뢲秞耀Ῐ뢏秞耀῝뢈秞耀ῢ뢅秞耀ῧ뢞秞耀Ῥ뢛秞耀῱뢔秞耀ῶ뢑秞耀꠨㔻戠ข倠㿸氮栐睯蠀װዲ倠㿸氪栐言Ꙁ氂2016 aa氶栐蠀200 mil氲栐䄪谀Ꙁ氂8 mila氾栐p蠀ָሲ倠㿸氺栐F耀Key1ll氆栐ꀀ言ᗐ71ﾠmil氂栐言URAD\10018Ѕ氎栐言&#10;ᗐ2016 aЅ氊栐䉻蠀盨睞605 mil氖栐蠀620 mil氒栐敳蠀떬Ѕ떬Ѕﾲ'氞栐蠀냨睜厸)퀸/똨Ѕ氚栐氀蠀냨睜印)汦栐䠀蠀Өྒ倠㿸汢栐굒蠀냨睜叨)퀸/)汮栐㄀蠀냨睜叨)))汪栐܀耀40 mill汶栐耀毭Ꙁ氂첸ልꆠ氂㧤ҨaЅ汲栐⅄耀.keValue2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耀睜 a涾栐蠀2015, a涺栐蠀裘-涆栐耀~癖ᗐ垨Ҹ涂栐 言PSDispatch涎栐蠀ꎠҷHLAVSOVAV涊栐蠀ꎠҷHLAVSOVAV涖栐햠蠀ꎠҷHLAVSOVAV涒栐1蠀ꎠҷHLAVSOVAV涞栐蠀ꎠҷHLAVSOVAV涚栐F蠀ꎠҷHLAVSOVAV淦栐먘蠀ꎠҷHLAVSOVAV淢栐m蠀ꎠҷHLAVSOVAV淮栐蛘蠀ꎠҷHLAVSOV"/>
        </w:smartTagPr>
        <w:r>
          <w:t>7 140 mil</w:t>
        </w:r>
      </w:smartTag>
      <w:r>
        <w:t>. Kč ročně v letech 2015</w:t>
      </w:r>
      <w:r w:rsidR="00D074C5">
        <w:t xml:space="preserve"> </w:t>
      </w:r>
      <w:r w:rsidR="00D547DD">
        <w:t>až</w:t>
      </w:r>
      <w:r w:rsidR="00D074C5">
        <w:t xml:space="preserve"> </w:t>
      </w:r>
      <w:r>
        <w:t>2017 (v roce 2014 částka 7</w:t>
      </w:r>
      <w:r w:rsidR="00D074C5">
        <w:t xml:space="preserve"> </w:t>
      </w:r>
      <w:r>
        <w:t xml:space="preserve">041 mil. Kč). Dále je rozpočtována dotace pro Státní fond dopravní </w:t>
      </w:r>
      <w:r>
        <w:lastRenderedPageBreak/>
        <w:t>infrastruktury ve výši 19,1</w:t>
      </w:r>
      <w:r w:rsidR="005A149A">
        <w:t xml:space="preserve"> mld. Kč pro rok 2015</w:t>
      </w:r>
      <w:r>
        <w:t xml:space="preserve"> a v částkách 17,9 mld. Kč a 17,8 mld. Kč </w:t>
      </w:r>
      <w:proofErr w:type="gramStart"/>
      <w:r>
        <w:t>pro  léta</w:t>
      </w:r>
      <w:proofErr w:type="gramEnd"/>
      <w:r>
        <w:t xml:space="preserve"> </w:t>
      </w:r>
      <w:smartTag w:uri="urn:schemas-microsoft-com:office:smarttags" w:element="metricconverter">
        <w:smartTagPr>
          <w:attr w:name="ProductID" w:val="40 mil"/>
        </w:smartTagPr>
        <w:r>
          <w:t>2016 a</w:t>
        </w:r>
      </w:smartTag>
      <w:r>
        <w:t xml:space="preserve"> 2017. Posíleny byly výdaje na dopravně správní agendy o 0,1 mld. Kč ročně. </w:t>
      </w:r>
    </w:p>
    <w:p w:rsidR="00FD7CB0" w:rsidRPr="00436058" w:rsidRDefault="00FD7CB0" w:rsidP="00FD7CB0">
      <w:pPr>
        <w:ind w:firstLine="720"/>
      </w:pPr>
      <w:r w:rsidRPr="00436058">
        <w:t>V </w:t>
      </w:r>
      <w:r w:rsidRPr="00436058">
        <w:rPr>
          <w:b/>
        </w:rPr>
        <w:t>kapitole Ministerstva spravedlnosti</w:t>
      </w:r>
      <w:r w:rsidRPr="00436058">
        <w:t xml:space="preserve"> jsou rozpočtovány příjmy a výdaje ve výši </w:t>
      </w:r>
      <w:smartTag w:uri="urn:schemas-microsoft-com:office:smarttags" w:element="metricconverter">
        <w:smartTagPr>
          <w:attr w:name="ProductID" w:val="ᇊꆠ氂쾴ᇊla櫎V耀^200 mil櫎^耀2Key1, a櫎f耀*500 mil櫎n蠀匰Ҩ뒨Ѕ櫎v蠀匰Ҩ돨Ѕ櫎~蠀匰Ҩ둨Ѕ櫎蠀匰Ҩ哨Ҩ櫎蠀匰Ҩ䁈ᆸ櫎蠀匰Ҩ뎨Ѕ櫎蠀匰Ҩ레Ѕ櫎¦蠀匰Ҩ레Ѕ櫎®谀栰睜䳔睜甈ЇЅ櫎¶耀vKey1e2ሒ櫎¾耀r40 mil櫎Æ言Token Lista櫎Î耀&amp;71 mil櫎Ö耀&quot;keValue2ሒ櫎Þ谀쀓ʟe垨Ҹa櫎æ耀借俠⃐㫪ၩ〫鴰ሒ櫎î耀.Key1l2ሒ櫎ö蠀ٴӈ倠㿸櫎þ蠀و٬倠㿸櫎Ć蠀ـ຾怠㿸櫎Ď耀ZKey1e2櫎Ė耀keValue1櫎Ğ耀arentFolder櫎Ħ耀ĨĩĪīĬ櫎Į耀İıĲĳĴ櫎Ķ耀ĸĹĺĻļ櫎ľ耀¢ŀŁłŃń櫎ņ耀¦ňŉŊŋŌ櫎Ŏ耀ªŐőŒœŔ櫎Ŗ耀®ŘřŚśŜ櫎Ş耀²ŠšŢţŤ櫎Ŧ耀¶ŨũŪūŬ櫎Ů耀ºŰűŲųŴ櫎Ŷ耀¾ŸŹźŻż櫎ž耀ÂƀƁƂƃƄ櫎Ɔ耀ÆƈƉƊƋƌ櫎Ǝ耀ÊƐƑƒƓƔ櫎Ɩ耀ÎƘƙƚƛƜ櫎ƞ耀ÒƠơƢƣƤ櫎Ʀ耀ÖƨƩƪƫƬ櫎Ʈ耀ÚưƲƳƴ櫎ƶ耀ÞƸƺƻƼ櫎ƾ耀âǀ���櫎ǆ耀æ櫎耀ê櫎耀î櫎耀ò櫎耀ö櫎耀ú櫎耀뱣戳䌠ࡡ퍠ᇨҷ 타뇹笋䟠蠀ꚨ毭믰0^Ӂ嶠ላ뇲笋u蠀巄ላ≀ሒ눈І-놏笋v蠀ꚨ毭믰0bӁ巨ላ놈笋l蠀希ላ⊐ሒ⇰ሒ놅笋蠀ꚨ毭믰0gӁ帰ላ놞笋蠀幔ላ⋠ሒ≀ሒ놛笋蠀ꚨ毭믰0i&#10;⌄ሒ幸ላ놔笋蠀府ላ⍘ሒ⊐ሒ놑笋蠀střednědobého놪笋蠀ꚨ毭믰0w⍼ሒ廀ላ놧笋蠀廤ላ嵰Ѓ⋠ሒ놠笋蠀výhledu뱣戳䉠ࡡ壸)ҷ 타㨡櫊蠀mld㨬櫊䡑蠀.쁧Ǐꦱ㉫㨫櫊蠀Kč~$㫖櫊j蠀)nove㫕櫊 蠀.ením㫐櫊l蠀Dálel㫟櫊 蠀naé v㫚櫊a蠀na㫙櫊蠀na㫄櫊蠀dětí㫃櫊蠀0㫎櫊蠀,㫍櫊蠀29㫈櫊蠀mld㫷櫊蠀.㫲櫊蠀Kč㫱櫊蠀v㫼櫊蠀 㫻櫊蠀roce㫦櫊蠀2015밵㴺䉠aॠ/繘ሒ~$DAJE~1.DOCÝ븣″䈶ࡡЌ璘ᇩ타룓滯退褨皲蟰皲̀Ќ赌皲裘皲賸皲뫬皰묐皰赬皲묤皰뫼皰䑐㠹̀Ќ̌ЌՈ皵֮皵rﵐ၅ᗐᗐሃ룠滯耀÷І⻐(⾐(ꂸІ২(ꆨІ⽠(餈ІꅸІ駈І⼰(ꅈІ鹸І鲘І龘І⹀(⺠(ꁘІ駸І鿸І風ІꃨІ⸐(韨Іᙈ(阈І饨І鵘ІꈸІ鰸І⹰(鶸І뤱滯鐀轘瘜췯覫ကࢰ-쩰ЅࠀӸ怀 ־　Έ⦀ሒӺͬ⯾喨ယȼȜȤ5Ẩ狢륏滯ဘ쀂䒠І륾滯蠀ꝧ敆漤(刮敆漤(橿敆漤(渑敆漤(曱敆漤(澍敆漤(俉敆漤(剳敆漤(ੇ敆漤(઱敆漤(ꐙ敆漤(๴敆漤(ొ敆漤(྇敆漤(Ⴤ敆漤(ᄟ敆漤(偂敆漤(吿敆漤(嚺敆漤(嫘敆漤(冤敆漤(尰敆漤(凬敆漤(漤(漤(漤(漤(漤(漤(漤(漤(릏滯耀3敆朤(刮敆朤(橿敆朤(渑敆朤(曱敆朤(澍敆朤(俉敆朤(剳敆朤(ੇ敆朤(઱敆朤(ꐙ敆朤(๴敆朤(ొ敆朤(྇敆朤(Ⴤ敆朤(ᄟ敆朤(偂敆朤(吿敆朤(嚺敆朤(嫘敆朤(冤敆朤(尰敆朤(凬敆朤(朤(朤(朤(朤(朤(朤(朤(朤(맜滯耀Ĩ瘜궙駞က২-쩰Ѕࠀ֊怀 ̭⁘Έ⸘ሒ֌ͬⲤĠ⁘ZẨ狢ဘ쀂䒠І耀Ķ맭滯耀ř먟滯耀Ō먉滯耀Ţ먺滯耀Ɗ먳滯耀Ÿ멝滯耀Ǝ멋滯耀ƻ멇滯耀Ƥ멱滯耀ƺ몛滯耀몘滯耀명滯耀Ǧ몯滯耀븣″䀠ࡡπЇ璘ᇩ타掣滤蠀匰ҨӁ掻滤蠀匰Ҩ됨Ѕ掳滤耀Ĳ氁氁ꔰ毭悈1掋滤蠀氁诈Ќ氁ꔰ毭㟰ሒ헀Ӂ䅈ҹ悈1掃滤耀Ś氁氁ꔰ毭悈1掛滤蠀氁譸Ќ氁ꔰ毭㡰ሒ㟰ሒ䅈ҹ悈1掓滤蠀氁豸Ќ氁ꔰ毭㞰ሒ㜰ሒ䅈ҹ悈1扫滤蠀氁谘Ќ氁ꔰ毭㣰ሒ㡰ሒ䅈ҹ悈1扣滤.蠀氁觘Ќ氁ꔰ毭㠰ሒ㞰ሒ䅈ҹ悈1扻滤蠀氁誈Ќ氁ꔰ毭㥰ሒ㣰ሒ䅈ҹ悈1扳滤蠀氁誘Ќ氁ꔰ毭㢰ሒ㠰ሒ䅈ҹ悈1手滤蠀氁諘Ќ氁ꔰ毭㧰ሒ㥰ሒ䅈ҹ悈1扃滤蠀氁詘Ќ氁ꔰ毭㤰ሒ㢰ሒ䅈ҹ悈1扛滤耀ƪ氁氁ꔰ毭打滤蠀氁賘Ќ氁ꔰ毭埸&amp;㤰ሒ䅈ҹ悈1戫滤耀司Ҩ댨ᇊ戣滤耀z氁氁ꔰ毭悈1戻滤蠀氁'氁ꔰ毭ဏ䅈ҹ悈1戳滤耀jᇊ᳠ሒ戋滤蠀氁詸Ќ氁ꔰ毭䋰ሒဏ䅈ҹ悈1戃滤蠀匰Ҩ咘Ҩ戛滤谀㉸癐㊼癐㊘癐À䘀᳀ሒꀈЋ戓滤耀氁氁ꔰ毭悈1拫滤蠀匰Ҩᷠሒ拣滤蠀匰Ҩᷠሒ拻滤耀&quot;司Ҩሃ拳滤蠀匰Ҩ祐ሑ拋滤耀ê司Ҩ厀ᇋ拃滤蠀匰Ҩ쿘ላ招滤耀Ê氁氁ꔰ毭悈1拓滤蠀匰Ҩߨሌ披滤蠀匰Ҩ哀Ҩ抣滤蠀匰Ҩᶠሒ抻滤蠀匰Ҩᵘል抳滤蠀匰Ҩߨሌ抋滤蠀匰Ҩ呈Ҩ抃滤蠀氁賨Ќ氁ꔰ毭䁰ሒ䋰ሒ䅈ҹ悈1抛滤蠀匰Ҩ堰Ҩ抓滤耀ǒ司ҨᲠሒ浫滤谀瀟†⇬㫪ၩ〫鴰⵱ꊀ∧㫪ၩ〫鴰浣滤蠀氁訨Ќ氁ꔰ毭䑰ሒ㽰ሒ䅈ҹ悈1浻滤谀瀟†⇬㫪ၩ〫鴰⵱ꊀ∧㫪ၩ〫鴰浳滤蠀匰Ҩሃ测滤耀ź司Ҩᬠሒ浃滤耀司Ҩᫀሒ浛滤蠀匰Ҩᲀሒ浓滤耀ƺ司Ҩ᫠ሒ洫滤耀Ų氁氁ꔰ毭悈1洣滤蠀匰Ҩ嗘Ҩ活滤蠀匰Ҩ䟠ᇑ洳滤蠀氁諈Ќ氁ꔰ毭㽰ሒ㬰ሒ䅈ҹ悈1洋滤蠀氁1氁ꔰ毭ဏ䖰ሒ䅈ҹ悈1洃滤蠀匰Ҩ᪠ሒ洛滤耀ÚᷠሒḀሒ洓滤耀ǲ司Ҩ᫠ሒ淫滤耀Ţ氁氁ꔰ毭悈1淣滤蠀氁觨Ќ氁ꔰ毭䔰ሒ䁰ሒ䅈ҹ悈1添滤蠀匰Ҩ萐ᇪ淳滤耀Ʋ氁氁ꔰ毭悈1淋滤蠀氁힘1氁ꔰ毭䖰ሒ䑰ሒ䅈ҹ悈1淃滤耀司Ҩᫀሒ淛滤蠀氁ힸ1氁ꔰ毭䌰ሒ䔰ሒ䅈ҹ悈1淓滤耀Ǣ氁氁ꔰ毭悈1뱣戳䀠ࡡ妸)ҷ 타㟛櫊蠀v㟆櫊蠀 㟅櫊 蠀roce㟀櫊蠀2016㟏櫊蠀a㟊櫊蠀v㟉櫊蠀 㟴櫊蠀roce㟳櫊蠀2017㟾櫊蠀. 㟽櫊!蠀Z#㟸櫊$蠀 &amp;㟧櫊'蠀na)㟢櫊*蠀&#10;podle㟡櫊-蠀z/㟬櫊0蠀.2㟫櫊3蠀č5㘖櫊6蠀a8㘕櫊9蠀108;㘐櫊&lt;蠀/&gt;?븣″䉠ࡡ塨ሒҷ타㟋磱C蠀ꚨ毭믰0Ä䚌ሒ슘ላ㟔磱H蠀슼ላ䣰ሒላ㟑磱M蠀ꚨ毭믰0Å䚤ሒ신ላ㟚磱R蠀쌄ላ䥀ሒ䢠ሒ㟧磱W蠀ꚨ毭믰0Ê䚼ሒ쌨ላ㟠磱\蠀썌ላ䦐ሒ䣰ሒ㟭磱a蠀ꚨ毭믰0Ï䛔ሒ썰ላ㟶磱f蠀쎔ላ䧠ሒ䥀ሒ㟳磱k蠀ꚨ毭믰0Ñ䛬ሒ쎸ላ㟼磱p蠀쏜ላ䨰ሒ䦐ሒ㟹磱u蠀ꚨ毭믰0Ò䜄ሒ쐀ላ㞂磱z蠀쐤ላ䪀ሒ䧠ሒ㞏磱蠀ꚨ毭믰0Ó䜜ሒ쑈ላ㞈磱蠀쑬ላ䫐ሒ䨰ሒ㞕磱蠀ꚨ毭믰0Ø䜴ሒ쒐ላ㞞磱蠀쒴ላ䬠ሒ䪀ሒ㞛磱蠀ꚨ毭믰0Ü䝌ሒ쓘ላ㞤磱蠀쓼ላ䭰ሒ䫐ሒ㞡磱蠀ꚨ毭믰0ß䝤ሒ씠ላ㞪磱¢蠀아ላ䯀ሒ䬠ሒ㞷磱§蠀ꚨ毭믰0à䝼ሒ앨ላ㞰磱¬蠀얌ላ䰐ሒ䭰ሒ㞽磱±蠀ꚨ毭믰0á 䰴ሒ얰ላ㝆磱¶蠀엔ላ䲈ሒ䯀ሒ㝃磱»蠀uvedeného¿㝌磱À蠀ꚨ毭믰0ë䲬ሒ엸ላ㝉磱Å蠀옜ላ䴀ሒ䰐ሒ㝒磱Ê蠀objemuÍÎ㝟磱Ï蠀ꚨ毭믰0ò䴤ሒ와ላ㝘磱Ô蠀왤ላ䵸ሒ䲈ሒ㝥磱Ù蠀připadáÜÝ㝮磱Þ蠀ꚨ毭믰0ú䞔ሒ욈ላ㝫磱ã蠀욬ላ䷈ሒ䴀ሒ㝴磱è蠀ꚨ毭믰0ý ䷬ሒ원ላ㝱磱í蠀웴ላ乀ሒ䵸ሒ㝺磱ò蠀transferyö㜇磱÷蠀ꚨ毭믰0ć䞬ሒ윘ላ㜀磱ü蠀으ላ亐ሒ䷈ሒ㜍磱ā蠀ꚨ毭믰0č䟄ሒ읠ላ㜖磱Ć蠀임ላ仠ሒ乀ሒ㜓磱ċ蠀ꚨ毭믰0Ď䟜ሒ잨ላ㜜磱Đ蠀쟌ላ估ሒ亐ሒ㜙磱ĕ蠀ꚨ毭믰0ď䟴ሒ쟰ላ㜢磱Ě蠀젔ላ俐ሒ仠ሒ㜯磱ğ蠀ۜᇈ觘ᇒ妐ሚላ㜨磱Ĥ蠀졜ላ吘ሚ勘ሚ㜵磱ĩ蠀ꚨ毭믰0Ē䠤ሒ좀ላ㜾磱Į蠀좤ላ倠ሒ估ሒ㜻磱ĳ蠀ꚨ毭믰0ĕ䠼ሒ죈ላ㓄磱ĸ蠀죬ላ偰ሒ俐ሒ㓁磱Ľ蠀ꚨ毭믰0Ė屴ሒ줐ላ㓊磱ł蠀줴ላ僀ሒ倠ሒ㓗磱Ň蠀ꚨ毭믰0Ě岌ሒ䫐І㓐磱Ō蠀䫴І儐ሒ偰ሒ㓝磱ő蠀ꚨ毭믰0Ĝ岤ሒ䮨І㓦磱Ŗ蠀䯌І兠ሒ僀ሒ㓣磱ś蠀ꚨ毭믰0ĝ岼ሒ䚘І㓬磱Š蠀䚼І冰ሒ儐ሒ㓩磱ť蠀ꚨ毭믰0ğ峔ሒ䘈І㓲磱Ū蠀䘬І刀ሒ兠ሒ㓿磱ů蠀ꚨ毭믰0ġ&#10;判ሒ䢀ᇃ㓸磱Ŵ蠀䢤ᇃ剸ሒ冰ሒ㒅磱Ź蠀sociálníchŽ㒎磱ž蠀ꚨ毭믰0Ĭ劜ሒ䣈ᇃ㒋磱ƃ蠀䣬ᇃ勰ሒ刀ሒ㒔磱ƈ蠀službáchƌ㒑磱ƍ蠀ꚨ毭믰0ĵ匔ሒᇇ㒚磱ƒ蠀ᇇ卨ሒ剸ሒ㒧磱Ɨ蠀částkaƚƛ㒠磱Ɯ蠀ꚨ毭믰0ļ峬ሒᇇ㒭磱ơ蠀ᇇ厸ሒ勰ሒ㒶磱Ʀ蠀ꚨ毭믰0Ľ崄ሒᇇ㒳磱ƫ蠀ᇇ合ሒ卨ሒ㒼磱ư蠀ꚨ毭믰0ľ崜ሒᇇ㒹磱Ƶ蠀ᇇ员ሒ厸ሒ㑂磱ƺ蠀ꚨ毭믰0ŀ崴ሒᇇ㑏磱ƿ蠀ᇇ咨ሒ合ሒ㑈磱Ǆ蠀ꚨ毭믰0Ł嵌ሒᇇ㑕磱ǉ蠀ᇇ哸ሒ员ሒ㑞磱ǎ蠀ꚨ毭믰0ł嵤ሒᇇ㑛磱Ǔ蠀ᇇ啈ሒ咨ሒ㑤磱ǘ蠀ꚨ毭믰0Ň嵼ሒᇇ㑡磱ǝ蠀ᇇ喘ሒ哸ሒ㑪磱Ǣ蠀ꚨ毭믰0Ō嶔ሒᇇ㑷磱ǧ蠀ᇇ嗨ሒ啈ሒ㑰磱Ǭ蠀ꚨ毭믰0Ŏ嶬ሒᇇ㑽磱Ǳ蠀ᇇ嘸ሒ喘ሒ㐆磱Ƕ蠀ꚨ毭믰0ŏ巄ሒᇇ㐃磱ǻ蠀ᇇ嚈ሒ嗨ሒ㐌磱Ȁ蠀ꚨ毭믰0Ő嚬ሒᇇ㐉磱ȅ蠀ᇇ圀ሒ嘸ሒ㐒磱Ȋ蠀letechȍȎ㐟磱ȏ蠀ꚨ毭믰0ŗ巜ሒᇇ㐘磱Ȕ蠀ᇇ坐ሒ嚈ሒ㐥磱ș蠀ꚨ毭믰0Ŝ巴ሒᇇ㐮磱Ȟ蠀ᇇ垠ሒ圀ሒ㐫磱ȣ蠀ꚨ毭믰0Ş希ሒᇇ㐴磱Ȩ蠀ᇇ埰ሒ坐ሒ㐱磱ȭ蠀ꚨ毭믰0ţ帤ሒᇇ㐺磱Ȳ蠀ᇇ幸ሒ垠ሒ㗇磱ȷ蠀ꚨ毭믰0Ŧ帼ሒᇇȼȽȾȿ벣ꈳ䀠ࡡ∰Ї嗨)屈ሒ屐ሒᖸ#䡘ሒɆēᓨ#屘ሒɉ̂ᖸ#幘ሒɍēᓨ#湘ሒɑ)̂ᖸ#䨠ሚɘēᓨ#牘ሒə)̂ᖸ#覸ᇒɝēᓨ#癘ሒɢ)̂ᖸ#娠ሚɦēᓨ#穘ሒɩ)̂ᖸ#樠ሚɭēᓨ#稠ሚɱ)̂ᖸ#츈ሑɸēᓨ#縠ሚɺ)̂ᖸ#萐ᇩɾÌ̄ᓨ#舠ሚʁ)̂ᓨ#蘠ሚʅ)̂ᖸ#풘ᇨʌÌ̄ᓨ#ሑʍ)̂ᓨ#ሑʒT̂ᖸ#ᲘᇧʖÌ̄ᖸ#ҸʝÌ̄ᓨ#ሑʞT̂ᖸ#粘ᇦʤÌ̄ᓨ#ሑʥT̂ᖸ#ҘᇩʪÌ̄ᓨ#0ሒʮT̂ᖸ#鲘ᇨʴÌ̄ᓨ#࠰ሒʶT̂ᖸ#錘ӂʺÌ̄ᓨ#ူሒʽT̂ʿ뱣戳䊠ࡡ墈ሒҷ 타㖫磱˃蠀200˅㖶磱ˆ蠀Sbˈ㖵磱ˉ蠀.ˋ㖰磱ˌ蠀,ˎ㖿磱ˏ蠀oˑ㖺磱˒蠀7˔㖹磱˕蠀,˗㖄磱˘蠀8˚㖃磱˛蠀v˝㖎磱˞蠀 ˠ㖍磱ˡ蠀roce㖈磱ˤ蠀2015㖗磱˧蠀a˩㖒磱˪蠀vˬ㖑磱˭蠀 ˯㖜磱˰蠀2016㖛磱˳蠀a˵㗦磱˶蠀2017㗥磱˹蠀ve˻㗠磱˼蠀výši˿븣″䉠ࡡ墨ሒҷ타㗋磱̃蠀ᇇ廈ሒ埰ሒ㗔磱̈蠀ꚨ毭믰0ū湴ሒᇇ㗑磱̍蠀ᇇ弘ሒ幸ሒ㗚磱̒蠀ꚨ毭믰0Ŭ溌ሒᇇ㗧磱̗蠀ᇇ彨ሒ廈ሒ㗠磱̜蠀ꚨ毭믰0ŭ溤ሒᇇ㗭磱̡蠀ᇇ徸ሒ弘ሒ㗶磱̦蠀ꚨ毭믰0ů溼ሒᇇ㗳磱̫蠀ᇇ怈ሒ彨ሒ㗼磱̰蠀ꚨ毭믰0Ų滔ሒᇇ㗹磱̵蠀ᇇ恘ሒ徸ሒ㈂磱̺蠀ꚨ毭믰0Ŵ滬ሒᇇ㈏磱̿蠀ᇇ您ሒ怈ሒ㈈磱̈́蠀ꚨ毭믰0ŷ漄ሒᇇ㈕磱͉蠀ᇇ惸ሒ恘ሒ㈞磱͎蠀ꚨ毭믰0Ž漜ሒᇇ㈛磱͓蠀ᇇ慈ሒ您ሒ㈤磱͘蠀ꚨ毭믰0ž漴ሒᇇ㈡磱͝蠀ᇇ憘ሒ惸ሒ㈪磱͢蠀ꚨ毭믰0ƀ潌ሒᇇ㈷磱ͧ蠀ᇇ懨ሒ慈ሒ㈰磱ͬ蠀ꚨ毭믰0ƅ潤ሒᇇ㈽磱ͱ蠀ᇇ戸ሒ憘ሒ㉆磱Ͷ蠀ꚨ毭믰0Ɗ扜ሒᇇ㉃磱ͻ蠀ᇇ抰ሒ懨ሒ㉌磱΀蠀rozpočet΄㉉磱΅蠀ꚨ毭믰0Ɠ潼ሒᇇ㉒磱Ί蠀ᇇ挀ሒ戸ሒ㉟磱Ώ蠀ꚨ毭믰0Ɣ澔ሒᇇ㉘磱Δ蠀ᇇ捐ሒ抰ሒ㉥磱Ι蠀ꚨ毭믰0ƕ澬ሒᇇ㉮磱Ξ蠀ᇇ掠ሒ挀ሒ㉫磱Σ蠀ꚨ毭믰0Ɨ濄ሒᇇ㉴磱Ψ蠀ᇇ揰ሒ捐ሒ㉱磱έ蠀ꚨ毭믰0ƚ濜ሒᇇ㉺磱β蠀ᇇ摀ሒ掠ሒ㊇磱η蠀ꚨ毭믰0Ɯ濴ሒᇇ㊀磱μ蠀ᇇ撐ሒ揰ሒ㊍磱ρ蠀ꚨ毭믰0ƞ瀌ሒᇇ㊖磱φ蠀ᇇ擠ሒ摀ሒ㊓磱ϋ蠀ꚨ毭믰0Ɵ瀤ሒᇇ㊜磱ϐ蠀ᇇ攰ሒ撐ሒ㊙磱ϕ蠀ꚨ毭믰0ơ瀼ሒᇇ㊢磱Ϛ蠀ᇇ斀ሒ擠ሒ㊯磱ϟ蠀ꚨ毭믰0Ʀ灔ሒᇇ㊨磱Ϥ蠀ᇇ旐ሒ攰ሒ㊵磱ϩ蠀ꚨ毭믰0Ʃ 旴ሒᇇ㊾磱Ϯ蠀ᇇ晈ሒ斀ሒ㊻磱ϳ蠀transferyϷ㋄磱ϸ蠀ꚨ毭믰0Ƴ灬ሒᇇ㋁磱Ͻ蠀ᇇ暘ሒ旐ሒౡ㋊磱蠀ꚨ毭믰0ƶ暼ሒᇇ㋗磱蠀ᇇ朐ሒ晈ሒ㋐磱蠀činnost㋝磱蠀ꚨ毭믰0ȳ朴ሒᇇ㋦磱蠀ᇇ枈ሒ暘ሒ㋣磱蠀územním㋬磱蠀ꚨ毭믰0Ȼ 枬ሒᇇ㋩磱蠀ᇇ栀ሒ朐ሒ㋲磱蠀rozpočtům㋿磱蠀ꚨ毭믰0Ʌ炄ሒᇇ㋸磱蠀ᇇ桐ሒ枈ሒ㌅磱蠀ꚨ毭믰0Ɉ桴ሒᇇ㌎磱蠀ᇇ棈ሒ栀ሒ㌋磱蠀sociálně㌔磱蠀ꚨ毭믰0ɑ棬ሒᇇ㌑磱蠀ᇇ楀ሒ桐ሒ㌚磱蠀právní㌧磱蠀ꚨ毭믰0ɘ楤ሒᇇ㌠磱蠀ᇇ榸ሒ棈ሒ㌭磱蠀ochranu㌶磱蠀ꚨ毭믰0ɠ炜ሒᇇ㌳磱蠀ᇇ樈ሒ楀ሒ㌼磱蠀ꚨ毭믰0ɥ樬ሒᇇ㌹磱蠀ᇇ檀ሒ榸ሒ㍂磱蠀připadá㍏磱蠀ꚨ毭믰0ɭ檤ሒᇇ㍈磱蠀ᇇ櫸ሒ樈ሒ㍕磱蠀částka㍞磱씠蠀ꚨ毭믰0ɴ炴ሒᇇ㍛磱蠀ᇇ歈ሒ檀ሒ㍤磱蠀ꚨ毭믰0ɵ烌ሒᇇ㍡磱朤蠀ᇇ殘ሒ櫸ሒ㍪磱蠀ꚨ毭믰0ɶ烤ሒᇇ㍷磱蠀ᇇ毨ሒ歈ሒ㍰磱蠀ꚨ毭믰0ɹ烼ሒᇇ㍽磱蠀ᇇ永ሒ殘ሒ㎆磱蠀ꚨ毭믰0ɼ焔ሒᇇ㎃磱蠀ᇇ沈ሒ毨ሒ㎌磱蠀ꚨ毭믰0ɾ焬ሒᇇ㎉磱蠀樂ᇇ泘ሒ永ሒ㎒磱蠀ꚨ毭믰0ʁ煄ሒ露ᇇ㎟磱蠀樂ᇇ洨ሒ沈ሒ㎘磱蠀ꚨ毭믰0ʂ煜ሒ呂ᇇ㎥磱蠀捻ᇇ浸ሒ泘ሒ㎮磱蠀ꚨ毭믰0ʃ煴ሒ杻ᇇ㎫磱蠀溺ᇇ淈ሒ洨ሒ㎴磱蠀ꚨ毭믰0ʈ熌ሒ塚ᇇ㎱磱蠀勤ᇇ渘ሒ浸ሒሒ㎺磱灌蠀ꚨ毭믰0ʍ熤ሒ縉ᇇ㏇磱灔蠀塚ᇇ䩨ሚ淈ሒሒ灰ሒ灴ሒ炴ሒ炰ሒ炬ሒ炨ሒ瀌ሒ瀠ሒ벣ꈳ䀠ࡡ壈ሒҷ&#10;타㎫磱焔蠀7㎶磱蠀,㎵磱蠀7㎰磱蠀mld㎿磱蠀.㎺磱蠀Kč㎹磱蠀&#10;ročně㎄磱蠀(㎃磱蠀v㎎磱蠀roce㎍磱蠀2014㎈磱蠀7㎗磱蠀,㎒磱蠀4㎑磱蠀mld㎜磱蠀.㎛磱蠀Kčて磱蠀)づ磱蠀.だ磱蠀Dáleは磱蠀naな磱蠀naど磱蠀naぴ磱蠀dětíび磱ɘ蠀0ま磱蠀,ぽ磱蠀29へ磱蠀mld⒈ぇ磱Ĝ蠀.፠あ磱ቄ蠀Kčぁ磱蠀vӍが磱蠀 鏈Һꔀ曭か磱Ꙉ蠀roceざ磱蠀2015さ磱蠀aぐ磱蠀0た磱蠀,ず磱ѐ蠀27ሒ\sす磱䝕蠀mld〤磱蠀.〣磱蠀Kč벣ꈳ䊠ࡡ夈ሒҷ&#10;타㇫磱蠀&#10;ročněㇶ磱蠀pro2Xㇵ磱\蠀létaEㇰ磱G蠀2016nㇿ磱w蠀atem3ㇺ磱s蠀2017Vㇹ磱S蠀(86\3㇄磱T蠀vE.GD㇃磱C蠀roces㇎磱y蠀2014p㇍磱l蠀0ERS\㇈磱2蠀,\STD㇗磱H蠀27C:㇒磱i蠀mldys㇑磱m蠀.ool\㇜磱I蠀Kč32X㇛磱\蠀)SCHMㄦ磱G蠀.:\Wiㄥ磱o蠀&#10;stemㄠ磱\蠀Vㄯ磱R蠀&#10;práceㄪ磱U蠀 .Pㄩ磱:蠀věcí\ㄴ磱s蠀jsouoㄳ磱\蠀mjS\Wㄾ磱X蠀.UNIDㄽ磱U蠀naC:\ㄸ磱n蠀(systㄇ磱3蠀bez\D㄂磱V蠀EU2X8㄁磱3蠀aPL25ㄌ磱P蠀FMindㄋ磱s蠀)em32ㄖ磱p蠀veIVEㄕ磱\蠀výši\ㄐ磱I蠀10LWㄟ磱d蠀,T x8ㄚ磱H蠀3erJeㄙ磱5蠀mldㅤ磱蠀.ㅣ磱蠀Kč벣ꈳ䊠ࡡ奈ሒ馸ᇒ&#10;타ㄫ磱蠀vㄶ磱蠀 좤曬ㄵ磱Ő蠀roce曬㄰磱蠀2015ㄿ磱蠀,4ㄺ磱敥蠀a敥敥敥敥ㄹ磱敥蠀vt㄄磱蠀 ㄃磱 蠀10曬ㄎ磱Ü蠀mld敥敥ㄍ磱蠀.敥敥敥敥ㄈ磱蠀Kčㄗ磱젰蠀vĈㄒ磱蠀 Ęㄑ磱蠀roceㄜ磱$蠀2016ㄛ磱Ġ蠀a쟠曬ユ磱蠀vュ磱蠀 ム磱잼蠀roceワ磱蠀2017リ磱蠀.ラ磱 蠀Z잔曬ヴ磱Ĩ蠀 임曬ン磱蠀naヾ磱蠀&#10;podleヽ磱읨蠀zĴヸ磱蠀.ĸデ磱蠀čヂ磱蠀a을曬チ磱ń蠀108윴曬ヌ磱蠀/ニ磱蠀200ブ磱윌蠀Sbフ磱蠀.¨バ磱蠀,ミ磱蠀o웠曬ペ磱¸蠀7월曬ベ磱蠀,イ磱蠀8ィ磱蠀v벣ꈳ䊠ࡡ妈ሒ馸ᇒ&#10;타に磱蠀 ぶ磱蠀roceふ磱蠀2015ば磱蠀aみ磱蠀vぺ磱䌽蠀 온曬べ磱è蠀2016曬い磱蠀aぃ磱蠀2017ぎ磱엨蠀velき磱蠀výši敥え磱敥蠀7敥敥し磱敥蠀,엌曬げ磱蠀7얰曬け磱蠀mldぜ磱蠀.Ȁせ磱얐蠀Kčウ磱蠀&#10;ročněゥ磱蠀(敥敥゠磱敥蠀v敥敥敥敥ク磱敥蠀roce敥オ磱敥蠀2014敥ォ磱敥蠀7敥敥敥敥ゴ磱敥蠀,敥敥敥敥コ磱敥蠀4敥敥敥敥ゾ磱敥蠀mld敥敥ソ磱敥蠀.敥敥敥敥ジ磱敥蠀Kč敥敥敥ょ磱敥蠀)敥敥敥敥も磱敥蠀.敥敥敥敥め磱敥蠀Dále敥れ磱敥蠀na敥敥敥る磱敥蠀na敥敥敥ゖ磱敥蠀na敥敥敥ゕ磱敥蠀dětí敥ゐ磱敥蠀0敥敥敥敥ゟ磱敥蠀,敥敥敥敥゚磱敥蠀29敥敥敥゙磱敥蠀mld敥敥ヤ磱敥蠀.敥敥敥敥ャ磱敥蠀Kč敥敥敥敥敥敥敥敥敥敥敥밵㴺䊠a▨ሒ巨Ҭ敥敥敥敥敥敥敥敥敥敥敥敥敥敥敥敥敥敥敥敥敥敥敥敥敥敥敥敥敥敥敥敥敥敥敥敥敥敥敥敥敥敥敥敥敥敥敥敥敥敥敥敥敥敥敥敥敥敥敥敥敥敥敥敥敥敥敥敥敥敥敥敥敥敥敥敥敥敥敥敥븢⤻䈶ࡡ븻〻䀡ౡ龈ሒ齪ሒ黾ሒ麎ሒ鸞ሒ鶲ሒ轠ሒ耀ꎌ铅ǆ䙐᝱鶬ሒ鴪ሒ鳸ሒ鳤ሒC:\Windows\system32\spool\DRIVERS\W32X86\3\HPZENLHN.CHMC:\Windows\system32\spool\DRIVERS\W32X86\3\HPZLSLHN.DLLC:\Windows\system32\spool\DRIVERS\W32X86\3\HPZSSLHN.DLLC:\Windows\system32\spool\DRIVERS\W32X86\3\HPZUILHN.DLLC:\Windows\system32\spool\DRIVERS\W32X86\3\HPCDMCLH.DLLC:\Windows\system32\spool\DRIVERS\W32X86\3\HPZ5RLHN.DLLC:\Windows\system32\spool\DRIVERS\W32X86\3\HPZSMLHN.GPDC:\Windows\system32\spool\DRIVERS\W32X86\3\HPZSTLHN.DLLC:\Windows\system32\spool\DRIVERS\W32X86\3\HPMCPD25.CFGC:\Windows\system32\spool\DRIVERS\W32X86\3\HPZ5CLHN.INIC:\Windows\system32\spool\DRIVERS\W32X86\3\HPMCPDP5.XMLC:\Windows\system32\spool\DRIVERS\W32X86\3\HPZSCLHN.DTDC:\Windows\system32\spool\DRIVERS\W32X86\3\HPZEVLHN.DLLC:\Windows\system32\spool\DRIVERS\W32X86\3\HPZIDR12.DLLC:\Windows\system32\spool\DRIVERS\W32X86\3\HPZINW12.DLLC:\Windows\system32\spool\DRIVERS\W32X86\3\HPZIPM12.DLLC:\Windows\system32\spool\DRIVERS\W32X86\3\HPZIPR12.DLLC:\Windows\system32\spool\DRIVERS\W32X86\3\HPZIPT12.DLLC:\Windows\system32\spool\DRIVERS\W32X86\3\HPZISN12.DLLC:\Windows\system32\spool\DRIVERS\W32X86\3\HPBMIAPI.DLLC:\Windows\system32\spool\DRIVERS\W32X86\3\HPBMINI.DLLC:\Windows\system32\spool\DRIVERS\W32X86\3\HPBOID.DLLC:\Windows\system32\spool\DRIVERS\W32X86\3\HPBOIDPS.DLLC:\Windows\system32\spool\DRIVERS\W32X86\3\HPBPRO.DLLC:\Windows\system32\spool\DRIVERS\W32X86\3\HPBPROPS.DLLC:\Windows\system32\spool\DRIVERS\W32X86\3\HPEACLHN.HPIC:\Windows\system32\spool\DRIVERS\W32X86\3\UNIRES.DLLC:\Windows\system32\spool\DRIVERS\W32X86\3\STDNAMES.GPDC:\Windows\system32\spool\DRIVERS\W32X86\3\STDDTYPE.GDLC:\Windows\system32\spool\DRIVERS\W32X86\3\STDSCHEM.GDLC:\Windows\system32\spool\DRIVERS\W32X86\3\STDSCHMX.GDLMicrosofthewlett-packardhp_lae3bfhttp://go.microsoft.com/fwlink/?LinkID=37&amp;prd=10798&amp;sbp=PrintersHPC:\Windows\system32\spool\DRIVERS\W32X86\3\UNIDRV.HLPC:\Windows\system32\spool\DRIVERS\W32X86\3\UNIDRVUI.DLLC:\Windows\system32\spool\DRIVERS\W32X86\3\HPMCPL25.GPDC:\Windows\system32\spool\DRIVERS\W32X86\3\UNIDRV.DLLWindows NT x86HP LaserJet 5000 Series PCL 5䵱蠺䀸aÄ&quot;ਸሟ倠㿸氮栐睯蠀װዲ倠㿸氪栐言Ꙁ氂2016 aa氶栐蠀200 mil氲栐䄪谀Ꙁ氂8 mila氾栐p蠀ָሲ倠㿸氺栐F耀Key1ll氆栐ꀀ言ᗐ71ﾠmil氂栐言URAD\10018Ѕ氎栐言&#10;ᗐ2016 aЅ氊栐䉻蠀盨睞605 mil氖栐蠀620 mil氒栐敳蠀떬Ѕ떬Ѕﾲ'氞栐蠀냨睜厸)퀸/똨Ѕ氚栐氀蠀냨睜印)汦栐䠀蠀Өྒ倠㿸汢栐굒蠀냨睜叨)퀸/)汮栐㄀蠀냨睜叨)))汪栐܀耀40 mill汶栐言Ꙁ氂2016 aЅ汲栐⅄言ke40 mil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耀睜 a涾栐蠀2015, a涺栐蠀裘-涆栐言ᗐ2015 a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ᇪ錈ሎ汜栐n蠀ꚨ毭믰03뀄Ѓ䎠Ҹ汙栐8蠀㹰І鏠Ћ뜰І汢栐c蠀焤消뱨Ѕ뫘Ѕ汯栐蠀Ministerstva汨栐谀 1ﾠ373 milnl汵栐蠀Ổ့함ဴ嚀ံ汾栐n谀āĀt汻栐5蠀WQL12栐耀¤Ѕ氄栐c谀ԁԀ⬻㶸퀪尷ᚽ耀氁栐谀 1ﾠ000 milr氊栐耀煐ᇧ嶠Ѓ気栐谀0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lt;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밉ĺ䉱 䒰)區Ҹ￼￼￼￼￼￼￼￼￼￼￼￼￼￼￼￼￼￼￼￼￼￼￼￼￼￼￼￼￼￼￼￼￼￼￼￼￼￼￼￼￼￼￼￼￼￼￼￼￼￼￼￼￼￼￼￼￼￼￼￼￼￼￼￼￼￼￼￼￼￼￼￼￼￼￼￼￼￼￼￼￼￼￼￼￼￼￼￼￼￼￼￼￼￼￼￼￼￼￼￼￼￼￼￼￼￼￼￼￼￼￼￼￼￼￼￼￼￼￼￼￼￼￼￼&#10;ऀ䈁 ࠀ䈂 ㊨)緰1Ѐ䈆 揸(ڰ*Ȁ䈈 呐)Ä&quot;밈Ļ䈊ࠉ垤瘜췯覫䀀霤瘚쪌Ѕ쪌Ѕ1쪰Ѕ䒠ІΈ뿐Ѕ͑1 mF͓:\缞쬠Ѕ쬠Ѕ쭄Ѕ쭄Ѕ쭐Ѕ쭐Ѕinwe쮀Ѕ쮀Ѕ\v쮐Ѕ쮐Ѕdu쮠Ѕ쮠Ѕ쫄ЅC=ڨ백㠻䈋ਉC:\Program Files\Common Files\Microsoft Shared\OFFICE11\msxml5.dll藔밡⤺䈲 '呐)밡⠻䈢ࠉᗰҺᕐҺ베ꤻ䈢ࠉⅈ&quot;̂0ꔀЋꔌЋURADЁԀ⬻㶸퀪尷聨0聸0ԁԀ⬻㶸퀪尷ᚽrelease\Windows6.0\lh_sp2rtm\6002.18005.090410-1830\x86fre\symbols.pri\TraceFormatUATDATA=C:\Windows\syste"/>
        </w:smartTagPr>
        <w:r w:rsidRPr="00436058">
          <w:t>71 mil</w:t>
        </w:r>
      </w:smartTag>
      <w:r w:rsidRPr="00436058">
        <w:t>. Kč na problematiku poštovného (sleva poskytovaná Českou poštou, a.s. na příjmový účet Ústředí Ministerstva spravedlnosti) ve všech letech. Výhled počítá s výstavbou nové budovy Krajského soudu v Ústí nad Labem. Výdaje kapitoly byly ročně posíleny o 0,5 mld. Kč na běžné a kapitálové výdaje</w:t>
      </w:r>
      <w:r>
        <w:t xml:space="preserve"> oproti původnímu výhledu</w:t>
      </w:r>
      <w:r w:rsidRPr="00436058">
        <w:t xml:space="preserve">. </w:t>
      </w:r>
    </w:p>
    <w:p w:rsidR="00FD7CB0" w:rsidRDefault="00FD7CB0" w:rsidP="00FD7CB0">
      <w:pPr>
        <w:ind w:firstLine="0"/>
      </w:pPr>
      <w:r w:rsidRPr="0046287F">
        <w:tab/>
        <w:t>V </w:t>
      </w:r>
      <w:r w:rsidRPr="0046287F">
        <w:rPr>
          <w:b/>
        </w:rPr>
        <w:t>kapitole Český telekomunikační úřad</w:t>
      </w:r>
      <w:r w:rsidRPr="0046287F">
        <w:t xml:space="preserve"> jsou zabezpečeny prostředky na výstavbu Stacionární obsluhované monitorovací stanice a řídí</w:t>
      </w:r>
      <w:r w:rsidR="00DC0E83">
        <w:t xml:space="preserve">cího centra ASMKS Karlovice (po </w:t>
      </w:r>
      <w:r w:rsidRPr="0046287F">
        <w:t>50</w:t>
      </w:r>
      <w:r w:rsidR="00DC0E83">
        <w:t> </w:t>
      </w:r>
      <w:r w:rsidRPr="0046287F">
        <w:t>mil.</w:t>
      </w:r>
      <w:r w:rsidR="00DC0E83">
        <w:t> </w:t>
      </w:r>
      <w:r w:rsidRPr="0046287F">
        <w:t xml:space="preserve">Kč v roce </w:t>
      </w:r>
      <w:smartTag w:uri="urn:schemas-microsoft-com:office:smarttags" w:element="metricconverter">
        <w:smartTagPr>
          <w:attr w:name="ProductID" w:val="2015 a"/>
        </w:smartTagPr>
        <w:r w:rsidRPr="0046287F">
          <w:t>2015 a</w:t>
        </w:r>
      </w:smartTag>
      <w:r w:rsidR="00DC0E83">
        <w:t xml:space="preserve"> 2016),</w:t>
      </w:r>
      <w:r w:rsidRPr="0046287F">
        <w:t xml:space="preserve"> v </w:t>
      </w:r>
      <w:r w:rsidRPr="0046287F">
        <w:rPr>
          <w:b/>
        </w:rPr>
        <w:t xml:space="preserve">kapitole Český úřad zeměměřický a </w:t>
      </w:r>
      <w:proofErr w:type="gramStart"/>
      <w:r w:rsidRPr="0046287F">
        <w:rPr>
          <w:b/>
        </w:rPr>
        <w:t xml:space="preserve">katastrální </w:t>
      </w:r>
      <w:r w:rsidRPr="0046287F">
        <w:t xml:space="preserve"> pak</w:t>
      </w:r>
      <w:proofErr w:type="gramEnd"/>
      <w:r w:rsidRPr="0046287F">
        <w:t xml:space="preserve"> posílení</w:t>
      </w:r>
      <w:r w:rsidRPr="00635803">
        <w:t xml:space="preserve"> provozních výdajů a výdaje na služby pošt v návaznosti na úkoly stanovené novým katastrálním zákonem</w:t>
      </w:r>
      <w:r>
        <w:t xml:space="preserve"> a v </w:t>
      </w:r>
      <w:r w:rsidRPr="00635803">
        <w:rPr>
          <w:b/>
        </w:rPr>
        <w:t>kapitole Český báňský úřad</w:t>
      </w:r>
      <w:r>
        <w:t xml:space="preserve"> prostředky na opravu budovy v Mostě (částka 8</w:t>
      </w:r>
      <w:r w:rsidR="00DC0E83">
        <w:t> </w:t>
      </w:r>
      <w:r>
        <w:t>mil.</w:t>
      </w:r>
      <w:r w:rsidR="00DC0E83">
        <w:t> </w:t>
      </w:r>
      <w:r>
        <w:t xml:space="preserve">Kč v roce  </w:t>
      </w:r>
      <w:smartTag w:uri="urn:schemas-microsoft-com:office:smarttags" w:element="metricconverter">
        <w:smartTagPr>
          <w:attr w:name="ProductID" w:val="2015 a"/>
        </w:smartTagPr>
        <w:r>
          <w:t>2015 a</w:t>
        </w:r>
      </w:smartTag>
      <w:r>
        <w:t xml:space="preserve"> </w:t>
      </w:r>
      <w:smartTag w:uri="urn:schemas-microsoft-com:office:smarttags" w:element="metricconverter">
        <w:smartTagPr>
          <w:attr w:name="ProductID" w:val="11 mil"/>
        </w:smartTagPr>
        <w:r>
          <w:t>11 mil</w:t>
        </w:r>
      </w:smartTag>
      <w:r>
        <w:t>. Kč v roce 2016).</w:t>
      </w:r>
    </w:p>
    <w:p w:rsidR="00FD7CB0" w:rsidRPr="00635803" w:rsidRDefault="00FD7CB0" w:rsidP="00FD7CB0">
      <w:pPr>
        <w:ind w:firstLine="0"/>
      </w:pPr>
      <w:r>
        <w:tab/>
        <w:t xml:space="preserve">Oproti původnímu výhledu z roku 2013 byly posíleny výdaje </w:t>
      </w:r>
      <w:r w:rsidRPr="00501C72">
        <w:rPr>
          <w:b/>
        </w:rPr>
        <w:t>kapitoly Ministerstva vnitra</w:t>
      </w:r>
      <w:r>
        <w:t xml:space="preserve"> jak v provozní, tak kapitálové oblasti a rovněž </w:t>
      </w:r>
      <w:r w:rsidRPr="00501C72">
        <w:t>výdaje</w:t>
      </w:r>
      <w:r w:rsidRPr="00501C72">
        <w:rPr>
          <w:b/>
        </w:rPr>
        <w:t xml:space="preserve"> kapitoly Ministerstva financí</w:t>
      </w:r>
      <w:r>
        <w:t xml:space="preserve"> na</w:t>
      </w:r>
      <w:r w:rsidR="005A149A">
        <w:t> </w:t>
      </w:r>
      <w:r>
        <w:t>činnost finanční a celní správy. V </w:t>
      </w:r>
      <w:r w:rsidRPr="00403D82">
        <w:rPr>
          <w:b/>
        </w:rPr>
        <w:t>kapitole Ministerstva zemědělství</w:t>
      </w:r>
      <w:r>
        <w:t xml:space="preserve"> byly posíleny výdaje na</w:t>
      </w:r>
      <w:r w:rsidR="005A149A">
        <w:t> </w:t>
      </w:r>
      <w:r>
        <w:t>kofina</w:t>
      </w:r>
      <w:r w:rsidR="005A149A">
        <w:t>ncování, výdaje podporu lesního</w:t>
      </w:r>
      <w:r>
        <w:t xml:space="preserve"> a vodního hospodářství a agropotravinářského komplexu, výdaje na národní </w:t>
      </w:r>
      <w:proofErr w:type="gramStart"/>
      <w:r>
        <w:t>dotace  a přímé</w:t>
      </w:r>
      <w:proofErr w:type="gramEnd"/>
      <w:r>
        <w:t xml:space="preserve"> platby. </w:t>
      </w:r>
    </w:p>
    <w:p w:rsidR="00FD7CB0" w:rsidRPr="00DE07CC" w:rsidRDefault="00FD7CB0" w:rsidP="00FD7CB0">
      <w:pPr>
        <w:ind w:firstLine="0"/>
      </w:pPr>
      <w:r w:rsidRPr="00DE07CC">
        <w:tab/>
        <w:t>V </w:t>
      </w:r>
      <w:r w:rsidRPr="00DE07CC">
        <w:rPr>
          <w:b/>
        </w:rPr>
        <w:t>kapitole Všeobecná pokladní správa</w:t>
      </w:r>
      <w:r w:rsidRPr="00DE07CC">
        <w:t xml:space="preserve"> se rozpočtují mj. </w:t>
      </w:r>
      <w:r w:rsidRPr="00DE07CC">
        <w:rPr>
          <w:b/>
        </w:rPr>
        <w:t xml:space="preserve">prostředky na odstraňování škod a obnovy částí území ČR poškozených povodněmi v květnu a v červnu </w:t>
      </w:r>
      <w:proofErr w:type="gramStart"/>
      <w:r w:rsidRPr="00DE07CC">
        <w:rPr>
          <w:b/>
        </w:rPr>
        <w:t>2013</w:t>
      </w:r>
      <w:r w:rsidRPr="00DE07CC">
        <w:t xml:space="preserve">  ve</w:t>
      </w:r>
      <w:proofErr w:type="gramEnd"/>
      <w:r w:rsidRPr="00DE07CC">
        <w:t xml:space="preserve"> výši </w:t>
      </w:r>
      <w:smartTag w:uri="urn:schemas-microsoft-com:office:smarttags" w:element="metricconverter">
        <w:smartTagPr>
          <w:attr w:name="ProductID" w:val="1ﾠ155 mil"/>
        </w:smartTagPr>
        <w:r w:rsidRPr="00DE07CC">
          <w:t>1 155 mil</w:t>
        </w:r>
      </w:smartTag>
      <w:r w:rsidRPr="00DE07CC">
        <w:t xml:space="preserve">. Kč  pro rok </w:t>
      </w:r>
      <w:smartTag w:uri="urn:schemas-microsoft-com:office:smarttags" w:element="metricconverter">
        <w:smartTagPr>
          <w:attr w:name="ProductID" w:val="㿸氮栐睯蠀װዲ倠㿸氪栐言Ꙁ氂2016 aa氶栐蠀200 mil氲栐䄪谀Ꙁ氂8 mila氾栐p蠀ָሲ倠㿸氺栐F蠀500 mil氆栐ꀀ言ᗐ71ﾠmil氂栐言URAD\10018Ѕ氎栐言&#10;ᗐ2016 aЅ氊栐䉻蠀盨睞605 mil氖栐蠀620 mil氒栐敳蠀떬Ѕ떬Ѕﾲ'氞栐蠀냨睜厸)퀸/똨Ѕ氚栐氀蠀냨睜印)汦栐䠀蠀Өྒ倠㿸汢栐굒蠀냨睜叨)퀸/)汮栐㄀蠀냨睜叨)))汪栐܀言11 mill汶栐言Ꙁ氂2016 aЅ汲栐⅄言ke40 milЅ汾栐ƀ谀栰睜䳔睜杀ЇЅ決栐㄀蠀ම皰﷓쁠Ǐ㶰Ќ汆栐崾蠀흸1470 mil求栐挀蠀ම皰﷓쁠Ǐ票ұ汎栐圠言䳔睜20 milЅ汊栐言䐟ᩇ夃㽲䒧얉镕毾猀汖栐言10 milr汒栐⎾言䳔睜2015 aЅ汞栐攀言ퟘ140 mil爀汚栐琀蠀氀攀300 mil润栐콶蠀500 mil涢栐蟰谀ole32.dll皲涮栐蠀ҔԲ倠㿸涪栐蠀ᗐ2015, a涶栐蠀ᗐ200 mil液栐言50 mila涾栐蠀2015, a涺栐蠀裘-涆栐言ᗐ2015 a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ᇪ錈ሎ汜栐n蠀ꚨ毭믰03뀄Ѓ䎠Ҹ汙栐8蠀㹰І鏠Ћ뜰І汢栐c蠀焤消뱨Ѕ뫘Ѕ汯栐蠀Ministerstva汨栐谀 1ﾠ373 milnl汵栐蠀Ổ့함ဴ嚀ံ汾栐n谀āĀt汻栐5蠀WQL12栐耀¤Ѕ氄栐c谀ԁԀ⬻㶸퀪尷ᚽ耀氁栐谀 1ﾠ000 milr氊栐耀煐ᇧ嶠Ѓ気栐谀0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lt;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10;ȸ*桐*櫰&amp;綠ᇧ뀰癔ᓄᗐ윘Ѕȸ*槠*줠Ѕ뀰癔ᓄᗼ잘Ѕȸ*樰*㓀/줠Ѕ뀰癔ᓄᗼ瓠1ȸ*윘-뀰癔ᓄᗼ쟘Ѕ젘Ѕ졘Ѕ좘Ѕ죘Ѕ밉ĺ䉱 䒰)區Ҹ￼￼￼￼￼￼￼￼￼￼￼￼￼￼￼￼￼￼￼￼￼￼￼￼￼￼￼￼￼￼￼￼￼￼￼￼￼￼￼￼￼￼￼￼￼￼￼￼￼￼￼￼￼￼￼￼￼￼￼￼￼￼￼￼￼￼￼￼￼￼￼￼￼￼￼￼￼￼￼￼￼￼￼￼￼￼￼￼￼￼￼￼￼￼￼￼￼￼￼￼￼￼￼￼￼￼￼￼￼￼￼￼￼￼￼￼￼￼￼￼￼￼￼￼&#10;ऀ䈁 ࠀ䈂 ㊨)緰1Ѐ䈆 揸(ڰ*Ȁ䈈 呐)Ä&quot;밈Ļ䈊ࠉ垤瘜췯覫䀀霤瘚쪌Ѕ쪌Ѕ1쪰Ѕ䒠ІΈ뿐Ѕ͑1 mF͓:\缞쬠Ѕ쬠Ѕ쭄Ѕ쭄Ѕ쭐Ѕ쭐Ѕinwe쮀Ѕ쮀Ѕ\v쮐Ѕ쮐Ѕdu쮠Ѕ쮠Ѕ쫄ЅC=ڨ백㠻䈋ਉC:\Program Files\Common Files\Microsoft Shared\OFFICE11\msxml5.dll藔밡⤺䈲 '呐)밡⠻䈢ࠉᗰҺᕐҺ베ꤻ䈢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뱣戳䊣ࠉᇇҷ 타瓲秦蠀.瓱秦蠀&#10;瓼秦蠀byly瓻秦蠀jak瓆秦蠀v瓅秦蠀 瓀秦蠀,瓏秦蠀tak瓊秦蠀a瓉秦蠀na瓔秦蠀a瓓秦蠀&#10;celní瓞秦蠀.笈Ҵ筘Ҵ瓝秦簠蠀V絠Ҵ綰Ҵ瓘秦繐蠀&#10;罨Ҵ翠Ҵ璧秦肀蠀byly璢秦茀蠀jak葀Ҵ璡秦蓠蠀v藐Ҵ蘠Ҵ璬秦蛀蠀 螰Ҵ蠀Ҵ璫秦袠蠀,覐Ҵ觠Ҵ訰Ҵ誀Ҵ박᰻䉠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밹ㄺ䈌 ҫ뼘-금̺깨̺꺨̺껨̺꼨̺꽈̺꾈̺꿨̺ 끨̺&#10;남̺냨̺뀨̺&#10;Ԁ䈵 ￀Ќퟘ,껨̺̮꼨̺̮뱼画䈺ࠉ백㠻䉿ఉ₠1₴1몭A耀　ÿ'ÿ寓ﴐ0뮀1&amp;鳘1뮘1밬ܙ䈲ᐉd䈭 4̮밧⸻䈯ࠉ攀&amp;朰&amp;歀&amp;枀&amp;樀&amp;뿚퀻䈤ဉHP LaserJet 5000 Series PCL 5Ё؀ÜỜｃހ ச࠴dɘɘA4Ė䥄啎&quot;ѐڌᡐﳃ솨'ѐ䵓䩔рHP LaserJet 5000 Series PCL 5湉異䉴湩䄀瑵o䕒䑓䱌唀楮敲䑳䱌刀獥汯瑵潩n〶搰楰伀楲湥慴楴湯倀剏剔䥁T偈牏敩瑮潒慴整㠱0慆獬e畄汰硥一乏E慐数卲穩e䕌呔剅䠀䍐湯畳敭䍲獵潴偭灡牥吀畲e敍楤呡灹e啁佔䌀汯慬整伀䙆伀瑵異䉴湩䄀瑵o偈畏灴瑵楂佮楲湥慴楴湯䘀䍁啅P瑓灡楬杮一湯e偈瑓灡楬杮灏潰敳d慆獬e敔瑸獁求捡k慆獬e片灡楨獣潍敤䠀䝐㉌位䕄䠀卐慭瑲畈b湉瑥卟䑉㉟㌶䉟䑉㕟㐱䡟䑉㉟㔶䠀䑐捯牐灯敒潳牵散慄慴栀穰汨桬⹮慣b牐湩兴慵楬祴片畯p児片畯彰1偈潃潬䵲摯e位低䡃佒䕍䵟䑏E偈䑐呌灹e䑐彌䍐㕌䠀䵐硡敒潳畬楴湯倀䵄㙟〰偄I偈䩐䕌据摯湩g呕㡆䠀䩐扯捁潣湵楴杮䠀䩐䉏䍁呃䩟䉏䍁呎䠀䉐牯佮䑮瑡e偈佂D偈潊䉢䩹扯癏牥楲敤䨀䩂O偈䵘䙌汩啥敳d灨捭摰㕰砮汭䠀卐慭瑲畄汰硥楓杮敬慐敧潊b牔敵䠀䍐獵潴䑭灕敬慸汢剥湡敧㌀㕸㡟㔮ㅸ4偈潃敶獲䘀潲瑮䍟癯牥䠀䑐灵楬慣整潊乢浡佥敶牲摩e坓坆䔀桮湡散偤䱃䔵慮汢e牔敵䠀䕐慮汢剥坁灓潯楬杮吀畲e削潃獮牴楡瑮s削䡃䙄汵l削䑈湉瑳污敬d削䑈晏f削䑈潎䥴獮慴汬摥䨀䡒佄晦倀䅓楬湧敭瑮楆敬䠀婐卌桬n慈晬潴敮䠀䑐瑩敨䵲瑡楲x呔獁楂浴灡即瑥楴杮吀䵔摯佥瑵楬敮ᡐ啉䡐dA4 ச࠴ [none] [none]4P샀À샀À d㾀10018ĖĖĖĖ࠴࠴dMicrosoft Office Word䥗坎剏⹄塅EĖĖĖĖȀ鰀C:\Program Files\Microsoft Office\OFFICE11\WINWORD.EXE뻯밤ⴻ䇙ࠉ綏憄⧿ᇔꦗက❚떙㞃坟烈䟈嶮ꂑἚ鉵봣⌳䈧ࠉﲨ1宸Ї타敒栐蠀ꎠҷHLAVSOVAV敞栐l蠀ꎠҷHLAVSOVAV敚栐i蠀ꎠҷHLAVSOVAV敦栐蠀ꎠҷHLAVSOVAV敢栐l蠀ꎠҷHLAVSOVAV敮栐i蠀ꎠҷHLAVSOVAV敪栐蠀ꎠҷHLAVSOVAV敶栐d蠀ꎠҷHLAVSOVAV敲栐i蠀ꎠҷHLAVSOVAV敾栐蠀ꎠҷHLAVSOVAV敺栐x蠀ꎠҷHLAVSOVAV斆栐i蠀ꎠҷHLAVSOVAV斂栐蠀ꎠҷHLAVSOVAV斎栐.蠀ꎠҷHLAVSOVAV斊栐i蠀ꎠҷHLAVSOVAV斖栐蠀ꎠҷHLAVSOVAV斒栐.蠀ꎠҷHLAVSOVAV斞栐i蠀ꎠҷHLAVSOVAV斚栐蠀ꎠҷHLAVSOVAV斦栐d蠀ꎠҷHLAVSOVAV斢栐i蠀ꎠҷHLAVSOVAV斮栐蠀ꎠҷHLAVSOVAV斪栐.蠀ꎠҷHLAVSOVAV斶栐i蠀ꎠҷHLAVSOVAV斲栐蠀ꎠҷHLAVSOVAV斾栐d蠀ꎠҷHLAVSOVAV斺栐i蠀ꎠҷHLAVSOVAV旆栐蠀ꎠҷHLAVSOVAV旂栐d蠀ꎠҷHLAVSOVAV旎栐i蠀ꎠҷHLAVSOVAV旊栐蠀ꎠҷHLAVSOVAV旖栐.蠀ꎠҷHLAVSOVAV旒栐i谀멠І&#10;Ȍ&#10;l旞栐蠀WINWORD.EXE旚栐d蠀㏸皌⠝掆1⮁旦栐i谀ﻨЅ䀼ІﾈЅ既栐蠀about:blank旮栐l蠀about:blank旪栐i蠀㏸皌桁癗1⮀时栐谀ｨЅↄІ（Ѕ￨Ѕfl旲栐.蠀dummy://url旾栐i蠀㏸皌䆱ᐑ1⮀旺栐谀￈Ѕ研1ﾈЅ(Іamᨆ栐d蠀㏸皌瞥斉1⮁ᨂ栐i谀І搤(￨ЅhІᨎ栐蠀㏸皌䏙撇'⮁ᨊ栐.谀HІ攄((Іᨖ栐i蠀㏸皌ᆠ䥐'⮀ᨒ栐谀І䋼)èІtu᨞栐d蠀㏸皌ᆠ䥐'ꮠᨚ栐i谀ÈІ䏜)¨ІĨІlᨦ栐蠀㏸皌ᆠ䥐'⪐ᨢ栐i谀ĈІ唔)èІᨮ栐i蠀냨睜厈)ᨪ栐蠀냨睜叨)))ᨶ栐.谀栰睜䳔睜灰Їᨲ栐i蠀냨睜厸)ᨾ栐蠀냨睜厸)))ᨺ栐.耀睜2ᩆ栐i耀ê睜䳔睜浠ЇǨІᩂ栐谀Documentserᩎ栐l踀Personal鴰ᩊ栐i蠀My Pictures봣⌳䌠ࠊ行1宸Ї타ᳲ栐蠀р䎒W䎒WV㨔WІ᳄栐蠀с䢐W䢐WV㨔WІ㸠Ѓ᳖栐￘蠀т䤢W䤢WﲴV㨔WІ퍘І᳘栐蠀у䨔W䨔WV㨔Wᰪ栐蠀ф䦀W䦀WV㨔WਘІ᰼栐蠀х㰖W㰖WV㨔WힸІІᰎ栐￘蠀ц䕾W䕾WV㨔W틨Іᰐ栐蠀ч䄊W䄊WV㨔WІ憨Ҳᱢ栐k蠀ш䕨W䕨WﮄV㨔W흈І捨Ҳᱴ栐蠀щ䣀W䣀WV㨔WІ᱆栐￘蠀ъ䣖W䣖WV㨔WІ᱈栐蠀ы䍌W䍌WV㨔WࣈІᱚ栐i蠀ь䐬W䐬WV㨔W큈Іᶬ栐蠀э㭒W㭒WᑴW㨔Wᶾ栐￘蠀ю䒊W䒊WV㨔WІᶀ栐蠀я䛪W䛪WV㨔W攨Ҳᶒ栐l蠀ѐ䑂W䑂WV㨔Wᷤ栐蠀ё㰬W㰬WDW㨔WІ杘Ҳ뻾䌠ࠊ䮰Ї왫분窜䈚֤爧碢ᗐဈဈ䕍坏ƢÀ䘀̸À䘀࿘࿐ခ쳌쳌°࿐ÀƹÀ䘀ƫÀ䘀ƥÀ䘀ƤÀ䘀ƦÀ䘀ƪÀ䘀hX  ඀ခ쳌쳌Xခ쳌쳌H뱺첌䣒₨옛뀅쟓Xힴ楹䪊ꦨ쓺洘숎ခ쳌쳌``䕍坏ǀÀ䘀̻À䘀0啘諯ⳑ䐣憰㒛॥炚ခ쳌쳌ခ쳌쳌ခ쳌쳌൰ᗐ◘ǠڎWinSta0\Defaultڎ=::=::\ALLUSERSPROFILE=C:\ProgramDataAPPDATA=C:\Users\10018\AppData\RoamingCommonProgramFiles=C:\Program Files\Common FilesCOMPUTERNAME=10018-PC2ComSpec=C:\Windows\system32\cmd.exeDFSTRACINGON=FALSEFP_NO_HOST_CHECK=NOHOMEDRIVE=U:HOMEPATH=\HOMESHARE=\\MF10FS01\Users\10018INFORMIXDIR=C:\Informix\Client-SDK\LOCALAPPDATA=C:\Users\10018\AppData\LocalLOGONSERVER=\\MF10AS02NUMBER_OF_PROCESSORS=2OS=Windows_NTPath=C:\Program Files\SAP\FrontEnd\SapGui;C:\Program Files\Microsoft Office\OFFICE11\;C:\Windows\system32;C:\Windows;C:\Windows\System32\Wbem;C:\Windows\System32\WindowsPowerShell\v1.0\;C:\Program Files\Windows Imaging\;C:\Informix\Client-SDK\bin;C:\Program Files\Gemalto\Classic Client\BIN;C:\Program Files\Enterprise Vault\EVClient\;c:\program files\enterprise vault\evclient\;C:\Program Files\Microsoft Office\OFFICE11\PATHEXT=.COM;.EXE;.BAT;.CMD;.VBS;.VBE;.JS;.JSE;.WSF;.WSH;.MSCPROCESSOR_ARCHITECTURE=x86PROCESSOR_IDENTIFIER=x86 Family 16 Model 6 Stepping 2, AuthenticAMDPROCESSOR_LEVEL=16PROCESSOR_REVISION=0602ProgramData=C:\ProgramDataProgramFiles=C:\Program FilesPSModulePath=C:\Windows\system32\WindowsPowerShell\v1.0\Modules\PUBLIC=C:\Users\PublicSESSIONNAME=ConsoleSystemDrive=C:SystemRoot=C:\WindowsTEMP=C:\Users\10018\AppData\Local\TempTMP=C:\Users\10018\AppData\Local\TempTRACE_FORMAT_SEARCH_PATH=\\winseqfe\release\Windows6.0\lh_sp2rtm\6002.18005.090410-1830\x86fre\symbols.pri\TraceFormatUATDATA=C:\Windows\system32\CCM\UATData\D9F8C395-CAB8-491d-B8AC-179A1FE1BE77USERDNSDOMAIN=URAD.MFCR.CZUSERDOMAIN=URADUSERNAME=10018USERPROFILE=C:\Users\10018WecVersionForRosebud.14C0=2WecVersionForRosebud.15CC=2windir=C:\Windows氦敥耀,І帐Іmigautoplay.exe敥敥氦敥耀Іmiguiresource.dll氦敥耀᭜І彐Іmsctfmonitor.dll敥氦敥耀ÛІ໐(msdtcvsp1res.dll敥氦敥耀І耘Їmsfeedssync.exe敥敥氦敥耀ÆІmsjetoledb40.dll敥氦敥耀]І⛠Іmsralegacy.tlb敥敥敥氦敥耀 Іmuifontsetup.dll敥氦敥耀І冠(muiunattend.exe敥敥氦敥耀rІ槸Їnativehooks.dll敥敥氦敥耀£Іဠ(ndfeventview.xml敥氦敥耀ÔІndproxystub.dll敥敥氦敥耀dІ'networkmap.dll敥敥敥氦敥耀VІnetwork_llu.log敥敥氦敥耀ªІnlsdata0000.dll敥敥氦敥耀éІᜈЇnlsdata0001.dll敥敥氦敥耀ðІ欘Їnlsdata0002.dll敥敥氦敥耀÷Іnlsdata0003.dll敥敥氦敥耀ÍІІnlsdata0007.dll敥敥氦敥耀HІᔰ(nlsdata0009.dll敥敥氦敥耀kІ൸Їnlsdata000a.dll敥敥氦敥耀yІnlsdata000c.dll敥敥氦敥耀Іnlsdata000d.dll敥敥氦敥耀Іnlsdata000f.dll敥敥氦敥耀OІnlsdata0010.dll敥敥氦敥耀Іnlsdata0011.dll敥敥氦敥耀:Іႀ(nlsdata0013.dll敥敥氦敥耀3Іnlsdata0018.dll敥敥氦敥耀І╀(nlsdata0019.dll敥敥氦敥耀±І଀(nlsdata001a.dll敥敥氦敥耀밿㘻䃽ఊ嵰皌ㆨ皌嵴皌䜤皌嶘皌嶬皌⮀耀鬅判ᨈЇ᧰ЇｈЅ᧘ЇｈЅＨЅ밤ⴻ䈼ࠊ᠛륟䫱嚀㉼묚醰ᅘ&quot;呣踱ᇒ䚿က❚떙븣″䈧ࠊﴈ1隸1타ῲ栐蠀*urn:schemas-microsoft-com:office:smarttagsῆ栐￘谀ꎠҷꟜ졀䋀ᨐ릴⼫苡伯䴽䍆⽒問䴽䍆䱒呅䌯㵎䕒䥃䥐久協䌯㵎ㄱ䌯㵎䱈噁体䅖VῊ栐d耀釨ဗ銰ဗ銈ဗ鉠ဗ鋘ဗ錀ဗ錨ဗ鈸ဗ됈Ѕ뢨Ѕ둈Ѕ뙨Ѕ껐ဏ딨Ѕ鍐ဗ囨ယ醘ဗ῞栐￘谀ꎠҷꟜ졀䋀ᨐ릴⼫苡伯䴽䍆⽒問䴽䍆䱒呅䌯㵎䕒䥃䥐久協䌯㵎ㄱ䌯㵎䱈噁体䅖Vdeἢ栐c輀온-Ƛ졀䋀ᨐ릴⼫苡漯䴽䍆⽒畯䴽䍆䱒呅振㵮敒楣楰湥獴振㵮㈱振㵮䥓䅍䩎roἶ栐￘輀온-Ƛ졀䋀ᨐ릴⼫苡漯䴽䍆⽒畯䴽䍆䱒呅振㵮敒楣楰湥獴振㵮㈱振㵮䥓䅍䩎Ἲ栐蠀'/o=MFCR/ou=MFCRLET/cn=Recipients/cn=TYLLKἎ栐￘謀婘.Ƛ졀䋀ᨐ릴⼫苡伯䴽䍆⽒問䴽䍆䱒呅䌯㵎䕒䥃䥐久協䌯㵎〲䌯㵎䅂佌乕噏噁_ἒ栐-謀婘.Ƛ졀䋀ᨐ릴⼫苡伯䴽䍆⽒問䴽䍆䱒呅䌯㵎䕒䥃䥐久協䌯㵎〲䌯㵎䅂佌乕噏噁ὦ栐￘蠀笨ЇKulhánek Stanislav Ing. Mgr.  &lt;KulhanekS&gt;Ὢ栐d蠀䚨ҪDana Bakesova  &lt;Dana.Bakesova@bohnice.cz&gt;὾栐￘谀ᖈ/Frýdmanová Marie Ing. CSc.  &lt;FRYDMANOM&gt;ὂ栐谀໠.Ƛ졀䋀ᨐ릴⼫苡伯䴽䍆⽒問䴽䍆䱒呅振㵮敒楣楰湥獴振㵮㈱振㵮呓乒䑁噏Jpeὖ栐￘谀໠.Ƛ졀䋀ᨐ릴⼫苡漯䴽䍆⽒畯䴽䍆䱒呅振㵮敒楣楰湥獴振㵮㈱振㵮呓乒䑁噏Jah὚栐d踀縸ЇꟜ졀䋀ᨐ릴⼫苡漯䴽䍆⽒畯䴽䍆䱒呅振㵮敒楣楰湥獴振㵮㐳振㵮啈䵌乁AẮ栐￘踀縸ЇꟜ졀䋀ᨐ릴⼫苡漯䴽䍆⽒畯䴽䍆䱒呅振㵮敒楣楰湥獴振㵮㐳振㵮啈䵌乁AprẲ栐e蠀빘-/O=MFCR/OU=MFCRLET/cn=Recipients/cn=13181Ẇ栐￘贀䠀ҪꟜ졀䋀ᨐ릴⼫苡漯䴽䍆⽒畯䴽䍆䱒呅振㵮敒楣楰湥獴振㵮㐱振㵮䕈則噏䥁Ẋ栐贀䠀ҪꟜ졀䋀ᨐ릴⼫苡漯䴽䍆⽒畯䴽䍆䱒呅振㵮敒楣楰湥獴振㵮㐱振㵮䕈則噏䥁ruẞ栐￘輀⣐ҫꟜ졀䋀ᨐ릴⼫苡伯䴽䍆⽒問䴽䍆䱒呅䌯㵎䕒䥃䥐久協䌯㵎㌱䌯㵎䱓䭕十olỢ栐s輀⣐ҫꟜ졀䋀ᨐ릴⼫苡伯䴽䍆⽒問䴽䍆䱒呅䌯㵎䕒䥃䥐久協䌯㵎㌱䌯㵎䱓䭕十Ỷ栐￘言Ԉ/Lucie Joujová  &lt;lucie.joujova@flycom.cz&gt;tỺ栐c贀ظ/Ƛ졀䋀ᨐ릴⼫苡伯䴽䍆⽒問䴽䍆䱒呅䌯㵎䕒䥃䥐久協䌯㵎㤱䌯㵎佖䙌噏偁alỎ栐￘贀ظ/Ƛ졀䋀ᨐ릴⼫苡伯䴽䍆⽒問䴽䍆䱒呅䌯㵎䕒䥃䥐久協䌯㵎㤱䌯㵎佖䙌噏偁Ồ栐蠀탰ҫ/O=MFCR/OU=MFCRLET/cn=Recipients/cn=13551Ḧ栐￘輀헀ҫꟜ졀䋀ᨐ릴⼫苡伯䴽䍆⽒問䴽䍆䱒呅䌯㵎䥍則䍁⽅乃䴽㉆⼰乃䴽䭉噏䡁meḪ栐g輀헀ҫꟜ졀䋀ᨐ릴⼫苡伯䴽䍆⽒問䴽䍆䱒呅䌯㵎䥍則䍁⽅乃䴽㉆⼰乃䴽䭉噏䡁Ḿ栐￘谀ҫꟜ졀䋀ᨐ릴⼫苡漯䴽䍆⽒畯䴽䍆䱒呅振㵮敒楣楰湥獴振㵮㐱振㵮䥈䵍䱅噏JdoḂ栐\谀ҫꟜ졀䋀ᨐ릴⼫苡漯䴽䍆⽒畯䴽䍆䱒呅振㵮敒楣楰湥獴振㵮㐱振㵮䥈䵍䱅噏JḖ栐￘踀ҫŠoltová Drahomíra Ing.  &lt;user7d838009&gt;Ḛ栐谀ҫꟜ졀䋀ᨐ릴⼫苡伯䴽䍆⽒問䴽䍆䱒呅䌯㵎䕒䥃䥐久協䌯㵎ㄱ䌯㵎之䉅䥌佋JṮ栐￘谀ҫꟜ졀䋀ᨐ릴⼫苡伯䴽䍆⽒問䴽䍆䱒呅䌯㵎䕒䥃䥐久協䌯㵎ㄱ䌯㵎之䉅䥌佋JṲ栐谀ҫꟜ졀䋀ᨐ릴⼫苡漯䴽䍆⽒畯䴽䍆䱒呅振㵮敒楣楰湥獴振㵮㐱振㵮低䅖佋䅖OṆ栐￘谀ҫꟜ졀䋀ᨐ릴⼫苡漯䴽䍆⽒畯䴽䍆䱒呅振㵮敒楣楰湥獴振㵮㐱振㵮低䅖佋䅖OṊ栐谀⯠ҫꟜ졀䋀ᨐ릴⼫苡伯䴽䍆⽒問䴽䍆䱒呅䌯㵎䕒䥃䥐久協䌯㵎㜳䌯㵎商䡃体䅖JṞ栐￘谀⯠ҫꟜ졀䋀ᨐ릴⼫苡伯䴽䍆⽒問䴽䍆䱒呅䌯㵎䕒䥃䥐久協䌯㵎㜳䌯㵎商䡃体䅖Jᶢ栐踀鸞ҫHelena Menouskova  &lt;menouskova@psp.cz&gt;ᶶ栐￘谀敖ҫWildová Vlasta  &lt;Vlasta.Wildova@mze.cz&gt;ᶺ栐谀｠ҫꟜ졀䋀ᨐ릴⼫苡漯䴽䍆⽒畯䴽䍆䱒呅振㵮敒楣楰湥獴振㵮㤹振㵮䅋䥌低䅖Hᶎ栐￘谀｠ҫꟜ졀䋀ᨐ릴⼫苡漯䴽䍆⽒畯䴽䍆䱒呅振㵮敒楣楰湥獴振㵮㤹振㵮䅋䥌低䅖Hᶒ栐谀ҬꟜ졀䋀ᨐ릴⼫苡漯䴽䍆⽒畯䴽䍆䱒呅振㵮敒楣楰湥獴振㵮㤱振㵮佖告卉佋Zᷦ栐￘谀ҬꟜ졀䋀ᨐ릴⼫苡漯䴽䍆⽒畯䴽䍆䱒呅振㵮敒楣楰湥獴振㵮㤱振㵮佖告卉佋Z봣⌳䀠ࠊﭨ1ﶸ1타ᮒ栐言ProgramFilesCommonᮜ栐谀Ꮸ&amp;谐ЋᏨ&amp;齭䞢꺪팩옗曰⋐1Mᮦ栐谀ᆸ&amp;豀Ћᆸ&amp;齭䞢꺪팩옗曰푀0ᮠ栐谀賰睜히0훈&amp;Ѕ᮪栐言SAX XML Reader 5.0᮴栐言粰ЇŠátek David Ing.ᮾ栐谀䉎厞ð1䉎厞䐹➻摫ᅭڔ᮸栐踀䚨Ҫ䵓偔䐺乁⹁䅂䕋体䅖䉀䡏䥎䕃䌮Zᭂ栐踀온-+420 603870061ᭌ栐谀㒈ІРၰ1РÀ䘀᭖栐谀㟨І짐秪׈1짐秪뫹ᇎ芌ꨀ䬀னr᭐栐踀Převod jednotek᭚栐谀꾘&amp;Фླྀ1ФÀ䘀᭤栐谀ˢЀ翿ϠϨ᭮栐踀相ҭ+420 603222009᭨栐蠀慀Ѓdanabak@seznam.cz᭲栐蠀ᐘ/Štika Ondřej Ing.᭼栐踀笨Ї+420 733675066ᬆ栐谀뱺￸0뱺첌䣒₨옛뀅쟓nᬀ栐谀㡸І຀1À䘀ᬊ栐踀窘'+420 725356052Mᬔ栐谀鸁篒ﰘ0鸁篒盁ᇏ킝ꀀω㍉ᬞ栐踀Telefonní čísloᬘ栐谀온-Šiman Jiří Ing.ᬢ栐言粰ЇŠátek David Ing.ᬬ栐谀'Tyll Karel Ing.ᬶ栐蠀NT Authority\SYSTEMᬰ栐言相ҭRucká Karla Ing.ᬺ栐谀께&amp;㩐㏅Ӑ1㩐㏅䢄䦰ﶅ㹤᫄栐言相ҭRucká Karla Ing.ᫎ栐谀槬裙Ϙ1槬裙讋䰽麅沯壑྾᫈栐谀눈&amp;ぐۀ1ぐ颵ᇏ芻ꨀ봀௎᫒栐谀온-Šiman Jiří Ing.䏸Ҫ᫜栐踀꯰ҷ+420 728130002᫦栐耀Převod jednotekЅ蛐-᫠栐蠀䕐ҪAdamec Pavel Ing.᫪栐蠀慀Ѓdanabak@seznam.cz᫴栐踀'+420 725001121᫾栐蠀䕐ҪAdamec Pavel Ing.᫸栐谀䮠＀0䮠方ᇎ목ꨀ䨀㟨&#10;᪂栐蠀ᐘ/Štika Ondřej Ing.᪌栐谀'Tyll Karel Ing.뱵簻䌠ఊ௛ชam䀀䀀䀀䀀ffice\OFFICE11;C:\Windows\system32;C:\Windows\system;C:\Windows;.;C:\Program Files\SAP\FrontEnd\SapGui;C:\Program Files\Microsoft Office\OFFICE11\;C:\Windows\system32;C:\Windows;C:\Windows\System32\Wbem;C:\Windows\System32\WindowsPowerShell\v1.0\;C:\Program Files\WindƐ``&#10;﻿&#10;✀鴽늮鹑＋ഌă翽@î\P밾㜻䉶ࠊdC:\PROGRA~1\COMMON~1\MICROS~1\SMARTT~1\FPERSON.DLLorary Internet Files\OLK8E7A\Polsko 11 10 2014.docxindows;밽㐻䈽ఊ䫘癔䯔癔枰*㸨І'뜴痜癔ᢰ癢褰ÿ봀ЅǴ럀*劘)劘)冤癓㸨І剬癓㸨І㻌І剜癓剌癓ꚜ癒Ꚍ癒㻌Іĸɭギꮣ쪝羋㤖ꢿ柞뙌ᗐ銐ІÄ&quot;밀ऻ䈾ఊ&amp;C擖癔DÀ䘀崄誈ᳫᇉါ恈뒀癓-171Ӓ㾔Іnterface\{0000000c-0000-0000-C00翿䀐Іt밿㘻䈃ఊ嵰皌ㆨ皌嵴皌䜤皌嶘皌嶬皌⮁耀 謅偤11111밓ᬺ䈼&#10;疨1Ќ牀ҿ牨ҿ猰ҿ玀ҿ珐ҿ瑈ҿ璘ҿ甐ҿ疈ҿ痘ҿ癐ҿ盈ҿ着ҿ瞸ҿ砈ҿ碀ҿ磸ҿ祈ҿ禘ҿ稐ҿ穠ҿ窰ҿ笀ҿ筐ҿ箠ҿ篰ҿ籀ҿ粐ҿ糠ҿ細ҿ綀ҿ緸ҿ繰ҿ绀ҿ缐ҿ羈ҿ翘ҿ聐ҿ胈ҿ脘ҿ腨ҿ膸ҿ興ҿ艘ҿ芨ҿ苸ҿ荈ҿ莘ҿ菨ҿ萸ҿ蒈ҿ蓘ҿ蔨ҿ蕸ҿ藈ҿ蘘ҿ虨ҿ蚸ҿ蜈ҿ蝘ҿ螨ҿ蟸ҿ衈ҿ袘ҿ裨ҿ褸ҿ覈ҿ觘ҿ訨ҿ詸ҿ諈ҿ謘ҿ譨ҿ许ҿ谈ҿ豘ҿ貨ҿ賸ҿ赈ҿ趘ҿ跨ҿ踸ҿ躈ҿ輀ҿ轸ҿ述ҿ遀ҿ邸ҿ鄈ҿ醀ҿ븣″䈐ࠊЀЇ᪐І타氦傪蠀ĶÀ䘀崄誈ᳫᇉါ恈氦0谀ꎠ氂꙼毭Ꜵ氂믰0毦ұl氦n谀ꎠ氂꙼毭Ꜵ氂믰0毦ұ氦0谀ꎠ氂꙼毭Ꜵ氂믰0毦ұ8氦p谀ꎠ氂꙼毭Ꜵ氂믰0毦쉐Ѕ8氦0谀ꎠ氂꙼毭Ꜵ氂믰0毦숨Ѕ氦X谀ꎠ氂꙼毭Ꜵ氂믰0毦숀Ѕ氦2蠀噸ሴሴꯍï⌁杅ꮉ崄誈ᳫᇉါ恈氦L蠀C:\Windows\system32\MSIMG32.dll氦n谀ꎠ氂꙼毭Ꜵ氂믰0毦닰І氦s谀C:\Windows\system32\HLINK.dlll氦u蠀C:\Windows\system32\msctf.dlll氦V蠀栜睜䳔睜砘Ї䡤睜⪸睜ᢈЇ⪸睜氦4谀C:\Windows\system32\hlink.dll3\氦M蠀暠睜杄睜蒘睜蒄睜葴睜⪸睜䏀ҪƋᷨˬ破Ї砘Ї氦a言C:\Windows\system32\mshtml.dll\氦n谀ꎠ氂꙼毭Ꜵ氂믰0毦홀ұi氦s谀mailto:Iva.Borkovcova@mfcr.cz32氦p谀mailto:Iva.Borkovcova@mfcr.czmi氦f谀mailto:Iva.Borkovcova@mfcr.cz\W氦X谀mailto:Iva.Borkovcova@mfcr.czmm氦d谀mailto:Iva.Borkovcova@mfcr.cz2氦L谀mailto:Iva.Borkovcova@mfcr.czmm氦s蠀QueryInterfacen.11lika).cz氦s谀mailto:Iva.Borkovcova@mfcr.czmo氦m谀mailto:Iva.Borkovcova@mfcr.czD氦V谀mailto:Iva.Borkovcova@mfcr.czmo氦t谀ꎠ氂꙼毭Ꜵ氂믰0毦솰Ѕ삘Ѕ氦Z谀ꎠ氂꙼毭Ꜵ氂믰0毦혘ұ氦d蠀暠睜杄睜蒘睜蒄睜葴睜⪸睜⻠̹棤Ї棈Ї氦n蠀C:\Windows\System32\msctf.dlll氦d蠀C:\Windows\System32\msctf.dlll氦p蠀栜睜䳔睜棈Ї䡤睜⪸睜⪸睜氦d谀ꯠ睠贰睟贬睟&amp;埛ᇒက❚떙Z঵í௼ᗐᗌW3氦8谀ꯠ睠贰睟贬睟&amp;埛ᇒက❚떙Y঵í௼ᗐᗌmp氦g谀ꯠ睠贰睟贬睟&amp;埛ᇒက❚떙B঵íහᗐᗌDL氦C谀ꯠ睠贰睟贬睟&amp;埛ᇒက❚떙A঵íහᗐᗌms氦t蠀丰)氦2蠀C:\Windows\system32\ntshrui.dll氦p言C:\Windows\system32\cscapi.dll氦W蠀C:\Users\10018\Documents氦n蠀C:\Users\Public\Documents氦D蠀C:\Users\Public\Pictures氦m蠀C:\Users\10018\Favorites氦y蠀C:\Users\10018\Music\Playlists氦n蠀C:\Users\10018\AppData\Roaming氦I蠀C:\Users\Public\Downloads氦r蠀C:\Users\10018\Downloads氦T蠀C:\Users\10018\Saved Games氦f蠀C:\Program Files\Common Files氦n蠀C:\Windows\resources\0405氦d踀Microsoft\Windows\Start Menu氦p言Microsoft\Windows\GameExplorer氦t言Microsoft\Windows\GameExplorer氦X蠀C:\Users\10018\AppData\LocalLow氦c踀Microsoft\Windows\Start Menu 曮됣⨳䀠ࠊﶈ1'타ᅲ栐摤ꐀఌЊ‰汜䀀䀀䀀䀀ㄠ䄠捣湥⁴㬴汜摳敳業楨摤湥‰汜摳湵楨敤獵摥‰汜摳牰潩楲祴㘶尠獬汤捯敫つ䴠摥畩⁭楌瑳㈠䄠捣湥⁴㬴汜摳敳業楨摤湥‰汜摳湵楨敤獵摥‰汜摳牰潩楲祴㜶尠獬汤捯敫つ䴠摥畩⁭片摩ㄠ䄠捣湥⁴㬴汜摳敳業楨摤湥‰汜摳湵楨敤獵摥‰汜摳牰潩楲祴㠶尠獬汤捯敫つ䴠摥畩⁭片摩㈠䄠捣湥⁴㬴汜摳敳業楨摤湥‰汜摳湵楨敤獵摥‰汜摳牰潩楲祴㤶尠獬汤捯敫つ䴠摥畩⁭片摩㌠䄠捣湥⁴㬴汜摳敳業楨摤湥‰汜摳湵楨敤獵摥‰汜摳牰潩楲祴〷尠獬汤捯敫つ䐠牡"/>
        </w:smartTagPr>
        <w:r w:rsidRPr="00DE07CC">
          <w:t>2015 a</w:t>
        </w:r>
      </w:smartTag>
      <w:r w:rsidRPr="00DE07CC">
        <w:t xml:space="preserve"> ve výši </w:t>
      </w:r>
      <w:smartTag w:uri="urn:schemas-microsoft-com:office:smarttags" w:element="metricconverter">
        <w:smartTagPr>
          <w:attr w:name="ProductID" w:val="400 mil"/>
        </w:smartTagPr>
        <w:r w:rsidRPr="00DE07CC">
          <w:t>400 mil</w:t>
        </w:r>
      </w:smartTag>
      <w:r w:rsidRPr="00DE07CC">
        <w:t>. Kč pro 2016.</w:t>
      </w:r>
      <w:r>
        <w:t xml:space="preserve"> Zvýšeny byly výdaje na platbu státu do veřejného zdravotního pojištění o 4,2 mld. Kč ročně a tyto výdaje dosahují 62,2 mld. Kč ročně. V letech 2015 až 2017 jsou zajištěny prostředky na pokračování podprogramu Podpora rozvoje a obnovy materiálně technické základny regionálních š</w:t>
      </w:r>
      <w:r w:rsidR="00420DD2">
        <w:t xml:space="preserve">kol v okolí velkých měst (částka 0,4 mld. Kč pro rok 2015, </w:t>
      </w:r>
      <w:r>
        <w:t xml:space="preserve">částky 0,3 mld. Kč pro léta </w:t>
      </w:r>
      <w:smartTag w:uri="urn:schemas-microsoft-com:office:smarttags" w:element="metricconverter">
        <w:smartTagPr>
          <w:attr w:name="ProductID" w:val="2016 a"/>
        </w:smartTagPr>
        <w:r>
          <w:t>2016 a</w:t>
        </w:r>
      </w:smartTag>
      <w:r>
        <w:t xml:space="preserve"> 2017 v každém roce).</w:t>
      </w:r>
    </w:p>
    <w:p w:rsidR="00A24FF5" w:rsidRPr="00AA4C4B" w:rsidRDefault="00FD7CB0" w:rsidP="00FD7CB0">
      <w:r w:rsidRPr="004B56C4">
        <w:rPr>
          <w:b/>
        </w:rPr>
        <w:t>Výdaje kapitoly Ministerstva obrany</w:t>
      </w:r>
      <w:r w:rsidRPr="004B56C4">
        <w:t xml:space="preserve"> jsou navrženy v letech 2015 až 2017 ve výši 43,5 mld. Kč pro rok 2015 (bez EU), ve výši 43,7 mld. Kč pro rok </w:t>
      </w:r>
      <w:smartTag w:uri="urn:schemas-microsoft-com:office:smarttags" w:element="metricconverter">
        <w:smartTagPr>
          <w:attr w:name="ProductID" w:val="2016 a"/>
        </w:smartTagPr>
        <w:r w:rsidRPr="004B56C4">
          <w:t>2016 a</w:t>
        </w:r>
      </w:smartTag>
      <w:r w:rsidRPr="004B56C4">
        <w:t xml:space="preserve"> ve výši téměř 44</w:t>
      </w:r>
      <w:r w:rsidR="005A149A">
        <w:t> </w:t>
      </w:r>
      <w:r w:rsidRPr="004B56C4">
        <w:t>mld.</w:t>
      </w:r>
      <w:r w:rsidR="005A149A">
        <w:t> </w:t>
      </w:r>
      <w:r w:rsidRPr="004B56C4">
        <w:t xml:space="preserve">Kč pro rok 2017. Podíl těchto výdajů na HDP (dle makroekonomické predikce </w:t>
      </w:r>
      <w:proofErr w:type="gramStart"/>
      <w:r w:rsidRPr="004B56C4">
        <w:t>ze</w:t>
      </w:r>
      <w:proofErr w:type="gramEnd"/>
      <w:r w:rsidRPr="004B56C4">
        <w:t> července 2014) činí cca  1 % .</w:t>
      </w:r>
      <w:r w:rsidR="00A24FF5">
        <w:t xml:space="preserve"> </w:t>
      </w:r>
    </w:p>
    <w:p w:rsidR="00A24FF5" w:rsidRPr="00D77888" w:rsidRDefault="00A24FF5" w:rsidP="00944855">
      <w:pPr>
        <w:pStyle w:val="Nadpis3"/>
        <w:rPr>
          <w:rStyle w:val="Tuntext"/>
          <w:b/>
        </w:rPr>
      </w:pPr>
      <w:bookmarkStart w:id="114" w:name="_Toc241917804"/>
      <w:bookmarkStart w:id="115" w:name="_Toc333680184"/>
      <w:bookmarkStart w:id="116" w:name="_Toc397357481"/>
      <w:r w:rsidRPr="00D77888">
        <w:rPr>
          <w:rStyle w:val="Tuntext"/>
          <w:b/>
        </w:rPr>
        <w:lastRenderedPageBreak/>
        <w:t>Mandatorní sociální výdaje</w:t>
      </w:r>
      <w:bookmarkEnd w:id="114"/>
      <w:bookmarkEnd w:id="115"/>
      <w:bookmarkEnd w:id="116"/>
    </w:p>
    <w:p w:rsidR="00045F0E" w:rsidRDefault="00045F0E" w:rsidP="00045F0E">
      <w:pPr>
        <w:ind w:firstLine="708"/>
      </w:pPr>
      <w:bookmarkStart w:id="117" w:name="OLE_LINK1"/>
      <w:r>
        <w:t>Aktualizace schváleného výhledu na rok 2016 a návrh výhledu na rok 2017 vychází z</w:t>
      </w:r>
      <w:r w:rsidR="005A149A">
        <w:t> </w:t>
      </w:r>
      <w:r>
        <w:t>legislativních a metodických úprav, které byly promítnuty již do odhadů jednotlivých výdajových položek v návrhu státního rozpočtu na rok 2015 spolu s uvážením vlivu predikcí makroekon</w:t>
      </w:r>
      <w:r w:rsidR="0069338F">
        <w:t xml:space="preserve">omických </w:t>
      </w:r>
      <w:proofErr w:type="gramStart"/>
      <w:r w:rsidR="0069338F">
        <w:t>ukazatelů  v roce</w:t>
      </w:r>
      <w:proofErr w:type="gramEnd"/>
      <w:r w:rsidR="0069338F">
        <w:t xml:space="preserve"> 2014</w:t>
      </w:r>
      <w:r>
        <w:t xml:space="preserve">. </w:t>
      </w:r>
    </w:p>
    <w:p w:rsidR="00045F0E" w:rsidRDefault="00045F0E" w:rsidP="00045F0E">
      <w:pPr>
        <w:ind w:firstLine="708"/>
      </w:pPr>
      <w:r>
        <w:t xml:space="preserve">Do návrhu rozpočtového výhledu na roky 2016 a 2017 bylo dále  promítnuto posunutí účinnosti zákona č. 266/2006 Sb., o úrazovém pojištění zaměstnanců na </w:t>
      </w:r>
      <w:proofErr w:type="gramStart"/>
      <w:r>
        <w:t>1.1.2017</w:t>
      </w:r>
      <w:proofErr w:type="gramEnd"/>
      <w:r>
        <w:t>, založeném na</w:t>
      </w:r>
      <w:r w:rsidR="005A149A">
        <w:t> </w:t>
      </w:r>
      <w:r>
        <w:t xml:space="preserve">dávkovém principu sociálního pojištění.  Podle vývoje indexu spotřebitelských cen se očekává valorizace částek životního a existenčního minima k </w:t>
      </w:r>
      <w:proofErr w:type="gramStart"/>
      <w:r>
        <w:t>1.1.2015</w:t>
      </w:r>
      <w:proofErr w:type="gramEnd"/>
      <w:r>
        <w:t xml:space="preserve"> o 5,3 %. Tato skutečnost je do</w:t>
      </w:r>
      <w:r w:rsidR="005A149A">
        <w:t> </w:t>
      </w:r>
      <w:r>
        <w:t xml:space="preserve">výhledu promítnuta, protože má vliv zejména na objem výdajů na dávky pomoci v hmotné nouzi a dávky státní sociální podpory. </w:t>
      </w:r>
      <w:r w:rsidR="00A71E8A">
        <w:t>Ve</w:t>
      </w:r>
      <w:r>
        <w:t xml:space="preserve"> výhledu </w:t>
      </w:r>
      <w:r w:rsidR="00A71E8A">
        <w:t xml:space="preserve">je </w:t>
      </w:r>
      <w:r>
        <w:t>promítnut</w:t>
      </w:r>
      <w:r w:rsidR="00A71E8A">
        <w:t>o</w:t>
      </w:r>
      <w:r>
        <w:t xml:space="preserve"> zvýšení platby za státní pojištěnce</w:t>
      </w:r>
      <w:r w:rsidR="00A71E8A">
        <w:t>.</w:t>
      </w:r>
      <w:r>
        <w:t xml:space="preserve"> </w:t>
      </w:r>
    </w:p>
    <w:p w:rsidR="00045F0E" w:rsidRDefault="00045F0E" w:rsidP="00045F0E">
      <w:pPr>
        <w:ind w:firstLine="708"/>
      </w:pPr>
      <w:r>
        <w:t xml:space="preserve">Výhled sledovaného souboru sociálních výdajů na rok 2016 byl aktualizován a </w:t>
      </w:r>
      <w:proofErr w:type="gramStart"/>
      <w:r>
        <w:t>snížen        o 5,3</w:t>
      </w:r>
      <w:proofErr w:type="gramEnd"/>
      <w:r>
        <w:t xml:space="preserve"> mld. Kč oproti schválenému výhledu na roky 2015 a 2016, zejména z důvodu odsunu  účinnosti zákona č. 266/2006 Sb., o úrazovém pojištění zaměstnanců, odhad výdajů na ostatní  dávkové tituly byl zpřesněn na základě očekávané skutečnosti roku 2014 a návrhu  rozpočtu   na</w:t>
      </w:r>
      <w:r w:rsidR="005A149A">
        <w:t> </w:t>
      </w:r>
      <w:r>
        <w:t xml:space="preserve">rok 2015. </w:t>
      </w:r>
      <w:r w:rsidRPr="00BC40C2">
        <w:t>V absolutním vyjádření nejvyšší zvýšení oproti návrhu rozpočtu na rok 2015 vykazují v roce 2016 výdaje na dávky důchodového pojištění a jsou vyšší o 18,1 mld. Kč, což znamená navýšení o 4,6 procentního bodu.</w:t>
      </w:r>
      <w:r>
        <w:t xml:space="preserve"> V tomto navýšení je zohledněna plná valorizace důchodů, zvyšování průměrné výše důchodu, zvyšování počtu důchodců a obměna důchodců. </w:t>
      </w:r>
    </w:p>
    <w:p w:rsidR="00150815" w:rsidRDefault="00045F0E" w:rsidP="00045F0E">
      <w:pPr>
        <w:ind w:firstLine="708"/>
      </w:pPr>
      <w:r>
        <w:t>Odhad výdajů na sociální transfery a služby zaměstnanosti je ve výhledu na rok 2016 zapracován v celkové výši 613,4 mld. Kč s meziročním tempem růstu 3,4 %, z toho výdaje na</w:t>
      </w:r>
      <w:r w:rsidR="005A149A">
        <w:t> </w:t>
      </w:r>
      <w:r>
        <w:t xml:space="preserve">sociální dávky činí 534,2 mld. Kč, což je 87,1 % sociálních transferů obyvatelstvu. Sociální </w:t>
      </w:r>
      <w:proofErr w:type="gramStart"/>
      <w:r>
        <w:t>transfery  pro</w:t>
      </w:r>
      <w:proofErr w:type="gramEnd"/>
      <w:r>
        <w:t xml:space="preserve"> rok 2017 se navrhují v částce 633,4  mld. Kč, což je o 3,2 % více, než je výhled  pro rok 2016, z toho 553,9 mld. Kč  tvoří výdaje na sociální dávky, tj. 87,5 %  sociálních transferů. Tyto výdaje představují více než 53 % disponib</w:t>
      </w:r>
      <w:r w:rsidR="00150815">
        <w:t xml:space="preserve">ilních výdajů státního rozpočtu </w:t>
      </w:r>
      <w:r>
        <w:t>uvažovaných ve výhledu na roky 2016 a 2017.</w:t>
      </w:r>
    </w:p>
    <w:p w:rsidR="00150815" w:rsidRDefault="00150815" w:rsidP="00045F0E">
      <w:pPr>
        <w:ind w:firstLine="708"/>
        <w:sectPr w:rsidR="00150815" w:rsidSect="00B03A64">
          <w:footerReference w:type="default" r:id="rId46"/>
          <w:footerReference w:type="first" r:id="rId47"/>
          <w:pgSz w:w="11906" w:h="16838"/>
          <w:pgMar w:top="1418" w:right="1106" w:bottom="1418" w:left="1418" w:header="709" w:footer="709" w:gutter="0"/>
          <w:pgNumType w:start="1"/>
          <w:cols w:space="708"/>
          <w:docGrid w:linePitch="360"/>
        </w:sectPr>
      </w:pPr>
    </w:p>
    <w:p w:rsidR="00A24FF5" w:rsidRDefault="00A24FF5" w:rsidP="00045F0E">
      <w:pPr>
        <w:ind w:firstLine="708"/>
      </w:pPr>
    </w:p>
    <w:p w:rsidR="00A24FF5" w:rsidRPr="00110B58" w:rsidRDefault="00B76B04" w:rsidP="0069338F">
      <w:pPr>
        <w:pStyle w:val="Titulek"/>
        <w:spacing w:before="240"/>
        <w:ind w:left="1560" w:hanging="1560"/>
        <w:jc w:val="left"/>
      </w:pPr>
      <w:r>
        <w:t xml:space="preserve">Tabulka č. </w:t>
      </w:r>
      <w:fldSimple w:instr=" SEQ Tabulka_č._ \* ARABIC ">
        <w:r w:rsidR="003B4B7F">
          <w:rPr>
            <w:noProof/>
          </w:rPr>
          <w:t>13</w:t>
        </w:r>
      </w:fldSimple>
      <w:r>
        <w:rPr>
          <w:noProof/>
        </w:rPr>
        <w:t xml:space="preserve"> </w:t>
      </w:r>
      <w:r w:rsidR="0069338F">
        <w:rPr>
          <w:noProof/>
        </w:rPr>
        <w:t xml:space="preserve"> </w:t>
      </w:r>
      <w:r w:rsidR="00A24FF5" w:rsidRPr="0069338F">
        <w:t xml:space="preserve">Přehled výhledu sociálních mandatorních výdajů podle jednotlivých výdajových segmentů </w:t>
      </w:r>
      <w:r w:rsidR="00A24FF5" w:rsidRPr="0069338F">
        <w:rPr>
          <w:b w:val="0"/>
          <w:i/>
        </w:rPr>
        <w:t>(v mil. Kč)</w:t>
      </w:r>
    </w:p>
    <w:p w:rsidR="00150815" w:rsidRDefault="008E78AA" w:rsidP="00D56543">
      <w:pPr>
        <w:ind w:firstLine="0"/>
        <w:jc w:val="left"/>
        <w:sectPr w:rsidR="00150815" w:rsidSect="00150815">
          <w:pgSz w:w="16838" w:h="11906" w:orient="landscape"/>
          <w:pgMar w:top="1418" w:right="1418" w:bottom="1106" w:left="1418" w:header="709" w:footer="709" w:gutter="0"/>
          <w:cols w:space="708"/>
          <w:docGrid w:linePitch="360"/>
        </w:sectPr>
      </w:pPr>
      <w:r>
        <w:pict>
          <v:shape id="_x0000_i1049" type="#_x0000_t75" style="width:705.75pt;height:324pt">
            <v:imagedata r:id="rId48" o:title=""/>
          </v:shape>
        </w:pict>
      </w:r>
    </w:p>
    <w:p w:rsidR="00A24FF5" w:rsidRPr="00D77888" w:rsidRDefault="00A24FF5" w:rsidP="00E00C93">
      <w:pPr>
        <w:pStyle w:val="Nadpis4"/>
      </w:pPr>
      <w:bookmarkStart w:id="118" w:name="_Toc397357482"/>
      <w:bookmarkEnd w:id="117"/>
      <w:r w:rsidRPr="00D77888">
        <w:lastRenderedPageBreak/>
        <w:t>Odvody vlastních zdrojů do rozpočtu EU</w:t>
      </w:r>
      <w:bookmarkEnd w:id="118"/>
    </w:p>
    <w:p w:rsidR="00A24FF5" w:rsidRDefault="00A24FF5" w:rsidP="00E41618">
      <w:pPr>
        <w:ind w:firstLine="538"/>
      </w:pPr>
      <w:r>
        <w:t>V návaznosti na přípravu r</w:t>
      </w:r>
      <w:r w:rsidR="00777173">
        <w:t>ozpočtového výhledu na roky 2016 - 2017</w:t>
      </w:r>
      <w:r>
        <w:t xml:space="preserve"> byla pro výši vlastních zdrojů EU, které jsou financovány </w:t>
      </w:r>
      <w:r w:rsidR="00777173">
        <w:t>ze státního rozpočtu (tj. zdrojů</w:t>
      </w:r>
      <w:r>
        <w:t xml:space="preserve"> dle </w:t>
      </w:r>
      <w:r w:rsidR="00777173">
        <w:t xml:space="preserve">DPH, </w:t>
      </w:r>
      <w:r>
        <w:t>HND</w:t>
      </w:r>
      <w:r w:rsidR="00777173">
        <w:t>, korekci UK,</w:t>
      </w:r>
      <w:r>
        <w:t xml:space="preserve"> hrubé</w:t>
      </w:r>
      <w:r w:rsidR="00777173">
        <w:t>ho</w:t>
      </w:r>
      <w:r>
        <w:t xml:space="preserve"> snížení),</w:t>
      </w:r>
      <w:r w:rsidR="00D56543">
        <w:t xml:space="preserve"> použita následující východiska.</w:t>
      </w:r>
    </w:p>
    <w:p w:rsidR="00C3271F" w:rsidRDefault="00D56543" w:rsidP="00D56543">
      <w:pPr>
        <w:numPr>
          <w:ilvl w:val="0"/>
          <w:numId w:val="23"/>
        </w:numPr>
        <w:spacing w:before="60" w:after="0"/>
        <w:ind w:hanging="720"/>
      </w:pPr>
      <w:r>
        <w:t>O</w:t>
      </w:r>
      <w:r w:rsidR="00C3271F">
        <w:t>dhady za rok 2016</w:t>
      </w:r>
      <w:r w:rsidR="00C3271F" w:rsidRPr="00C3271F">
        <w:t xml:space="preserve"> a 2017 vychází ze stropů plateb</w:t>
      </w:r>
      <w:r w:rsidR="00D547DD">
        <w:t xml:space="preserve"> finančního rámce na roky 2014 až</w:t>
      </w:r>
      <w:r w:rsidR="00C3271F">
        <w:t> 2020</w:t>
      </w:r>
      <w:r w:rsidR="00C3271F">
        <w:rPr>
          <w:rStyle w:val="Znakapoznpodarou"/>
        </w:rPr>
        <w:footnoteReference w:id="6"/>
      </w:r>
      <w:r w:rsidR="00C3271F" w:rsidRPr="00C3271F">
        <w:t>, z možné mobilizace a financování nástrojů, které jsou uvedeny mimo finanční rámec ve výši roku 2015 a z nové legislativy (tj. rozhodnutí Rady č.</w:t>
      </w:r>
      <w:r w:rsidR="00165919">
        <w:t> </w:t>
      </w:r>
      <w:r w:rsidR="00C3271F" w:rsidRPr="00C3271F">
        <w:t>2014/335/EU, Euratom) vz</w:t>
      </w:r>
      <w:r>
        <w:t>tahující se k vlastním zdrojům.</w:t>
      </w:r>
      <w:r w:rsidR="00C3271F" w:rsidRPr="00C3271F">
        <w:t xml:space="preserve"> </w:t>
      </w:r>
    </w:p>
    <w:p w:rsidR="00C3271F" w:rsidRPr="00C3271F" w:rsidRDefault="00D56543" w:rsidP="00D56543">
      <w:pPr>
        <w:numPr>
          <w:ilvl w:val="0"/>
          <w:numId w:val="23"/>
        </w:numPr>
        <w:ind w:hanging="720"/>
      </w:pPr>
      <w:r>
        <w:t>J</w:t>
      </w:r>
      <w:r w:rsidR="00C3271F" w:rsidRPr="00C3271F">
        <w:t>sou zahrnuty dopady na vlastní zdroje v případě dokončení ratifikace rozho</w:t>
      </w:r>
      <w:r>
        <w:t>dnutí až</w:t>
      </w:r>
      <w:r w:rsidR="00FF1E01">
        <w:t> </w:t>
      </w:r>
      <w:r>
        <w:t>v</w:t>
      </w:r>
      <w:r w:rsidR="00FF1E01">
        <w:t> </w:t>
      </w:r>
      <w:r>
        <w:t>roce 2016.</w:t>
      </w:r>
    </w:p>
    <w:p w:rsidR="00C3271F" w:rsidRPr="00C3271F" w:rsidRDefault="00D56543" w:rsidP="00D56543">
      <w:pPr>
        <w:numPr>
          <w:ilvl w:val="0"/>
          <w:numId w:val="23"/>
        </w:numPr>
        <w:ind w:hanging="720"/>
      </w:pPr>
      <w:r>
        <w:t>V</w:t>
      </w:r>
      <w:r w:rsidR="00C3271F" w:rsidRPr="00C3271F">
        <w:t xml:space="preserve"> uvedených letech se předpokládá stejný podíl vlastních zdrojů ČR</w:t>
      </w:r>
      <w:r w:rsidR="00C3271F">
        <w:t xml:space="preserve"> hrazených ze</w:t>
      </w:r>
      <w:r w:rsidR="00FF1E01">
        <w:t> </w:t>
      </w:r>
      <w:r w:rsidR="00C3271F">
        <w:t>státního rozpočtu</w:t>
      </w:r>
      <w:r w:rsidR="00C3271F" w:rsidRPr="00C3271F">
        <w:t xml:space="preserve"> na celkových vlastních zdrojích EU hrazených z národních rozpočtů členských zemí. Tento podíl vychází z rozpočtu Unie na rok 2015, z údajů předchozích let a z výše  HND </w:t>
      </w:r>
      <w:r>
        <w:t>ve stávající struktuře (ESA 95).</w:t>
      </w:r>
    </w:p>
    <w:p w:rsidR="00A24FF5" w:rsidRPr="00D77888" w:rsidRDefault="00A24FF5" w:rsidP="003A2721">
      <w:pPr>
        <w:pStyle w:val="Nadpis4"/>
      </w:pPr>
      <w:bookmarkStart w:id="119" w:name="_Toc397357483"/>
      <w:r w:rsidRPr="00D77888">
        <w:t>Výdaje na platy a ostatní platby za provedenou práci</w:t>
      </w:r>
      <w:bookmarkEnd w:id="119"/>
    </w:p>
    <w:p w:rsidR="00F37E9A" w:rsidRPr="001C4DE5" w:rsidRDefault="00F37E9A" w:rsidP="00F37E9A">
      <w:pPr>
        <w:ind w:firstLine="708"/>
      </w:pPr>
      <w:r w:rsidRPr="001C4DE5">
        <w:t>Součástí celkových výdajů jsou výdaje na platy a ostatní platby za provedenou práci, které vycházejí z níže uvedených předpokladů a záměrů.</w:t>
      </w:r>
    </w:p>
    <w:p w:rsidR="00F37E9A" w:rsidRDefault="00F37E9A" w:rsidP="00F37E9A">
      <w:pPr>
        <w:ind w:firstLine="708"/>
      </w:pPr>
      <w:r>
        <w:t>Ve mzdové</w:t>
      </w:r>
      <w:r w:rsidRPr="00A859CF">
        <w:t xml:space="preserve"> oblasti je </w:t>
      </w:r>
      <w:r w:rsidRPr="004019C8">
        <w:t>pro roky</w:t>
      </w:r>
      <w:r>
        <w:t xml:space="preserve"> 2016</w:t>
      </w:r>
      <w:r w:rsidRPr="004019C8">
        <w:t xml:space="preserve"> i 201</w:t>
      </w:r>
      <w:r>
        <w:t>7</w:t>
      </w:r>
      <w:r w:rsidRPr="00A859CF">
        <w:t xml:space="preserve"> uvažováno s</w:t>
      </w:r>
      <w:r>
        <w:t> </w:t>
      </w:r>
      <w:r w:rsidRPr="00A859CF">
        <w:t xml:space="preserve">1 % meziročním nárůstem </w:t>
      </w:r>
      <w:r>
        <w:t xml:space="preserve">prostředků na ostatní platby za provedenou práci (ostatní osobní náklady) a </w:t>
      </w:r>
      <w:r w:rsidRPr="00A859CF">
        <w:t xml:space="preserve">platů jak u </w:t>
      </w:r>
      <w:r>
        <w:t xml:space="preserve">všech </w:t>
      </w:r>
      <w:r w:rsidRPr="00A859CF">
        <w:t>zaměstnanců</w:t>
      </w:r>
      <w:r>
        <w:t xml:space="preserve"> (odměňovaných podle zákona č. 262/2006 Sb., zákoník práce i podle zákona č.</w:t>
      </w:r>
      <w:r w:rsidR="00FF1E01">
        <w:t> </w:t>
      </w:r>
      <w:r>
        <w:t xml:space="preserve">218/2002 Sb., služební zákon), vojáků z povolání, tak u příslušníků bezpečnostních sborů. Stejný nárůst platů je aplikován rovněž u </w:t>
      </w:r>
      <w:r w:rsidRPr="0055390E">
        <w:t>rozpočtových kapitol, které podléhají ve smyslu §</w:t>
      </w:r>
      <w:r w:rsidR="00FF1E01">
        <w:t> </w:t>
      </w:r>
      <w:r w:rsidRPr="0055390E">
        <w:t>8</w:t>
      </w:r>
      <w:r w:rsidR="00FF1E01">
        <w:t> </w:t>
      </w:r>
      <w:r w:rsidRPr="0055390E">
        <w:t>zákona č. 218/2000 Sb., o rozpočtových pravidlech, odlišnému režimu přípravy státního rozpočtu (Kancelář prezidenta republiky, Poslanecká sněmovna Parlamentu, Senát Parlamentu, Ústavní soud, Nejv</w:t>
      </w:r>
      <w:r w:rsidR="00B67FAE">
        <w:t>yšší kontrolní úřad a Kancelář v</w:t>
      </w:r>
      <w:r w:rsidRPr="0055390E">
        <w:t>eřejného ochránce práv)</w:t>
      </w:r>
      <w:r>
        <w:t xml:space="preserve">. </w:t>
      </w:r>
    </w:p>
    <w:p w:rsidR="00F37E9A" w:rsidRPr="00A859CF" w:rsidRDefault="00F37E9A" w:rsidP="00F37E9A">
      <w:pPr>
        <w:ind w:firstLine="708"/>
      </w:pPr>
      <w:r>
        <w:lastRenderedPageBreak/>
        <w:t>U ústavních činitelů a dalších zaměstnanců a funkcionářů s výjimkou soudců a státních zástupců, jejichž odměňování se řídí zákonem č. 236/1995 Sb., o platu a dalších náležitostech spojených s výkonem funkce představitelů státní moci a některých státních orgánů a soudců a</w:t>
      </w:r>
      <w:r w:rsidR="00FF1E01">
        <w:t> </w:t>
      </w:r>
      <w:r>
        <w:t xml:space="preserve">zákonem č. </w:t>
      </w:r>
      <w:r w:rsidRPr="004019C8">
        <w:t>201/1997 Sb</w:t>
      </w:r>
      <w:r>
        <w:t>., o platu a některých dalších náležitostech státních zástupců, respektive se od těchto předpisů odvíjí, dochází v roce 2016 a 2017 k meziročnímu navýšení objemu prostředků platů o 1</w:t>
      </w:r>
      <w:r w:rsidRPr="00AB6930">
        <w:t xml:space="preserve"> %</w:t>
      </w:r>
      <w:r>
        <w:t>. Nárůst objemu prostředků na platy soudců a státních zástupců je</w:t>
      </w:r>
      <w:r w:rsidR="00FF1E01">
        <w:t> </w:t>
      </w:r>
      <w:r>
        <w:t>v souvislosti s navýšením platové základny rozpočtován s cca 2 % navýšením proti roku 2015 v</w:t>
      </w:r>
      <w:r w:rsidR="00FF1E01">
        <w:t> </w:t>
      </w:r>
      <w:r>
        <w:t>letech 2016 i 2017.</w:t>
      </w:r>
    </w:p>
    <w:p w:rsidR="00F37E9A" w:rsidRDefault="00F37E9A" w:rsidP="00F37E9A">
      <w:pPr>
        <w:tabs>
          <w:tab w:val="left" w:pos="709"/>
        </w:tabs>
      </w:pPr>
      <w:r>
        <w:t>Mezi roky 2015 a 2016</w:t>
      </w:r>
      <w:r w:rsidRPr="00C40FDA">
        <w:t xml:space="preserve"> dochází k nárůstu objemu prostředků na platy a ostatní platby za</w:t>
      </w:r>
      <w:r w:rsidR="00FF1E01">
        <w:t> </w:t>
      </w:r>
      <w:r w:rsidRPr="00C40FDA">
        <w:t xml:space="preserve">provedenou práci bez započtení prostředků EU/FM o </w:t>
      </w:r>
      <w:r>
        <w:t>1,44</w:t>
      </w:r>
      <w:r w:rsidRPr="00C40FDA">
        <w:t xml:space="preserve"> mld. Kč. Nejvýraznějšími vlivy jsou</w:t>
      </w:r>
      <w:r>
        <w:t xml:space="preserve"> </w:t>
      </w:r>
      <w:r w:rsidRPr="00C40FDA">
        <w:t>1 % meziroční nárůst v celkové výši</w:t>
      </w:r>
      <w:r>
        <w:t xml:space="preserve"> 1,31</w:t>
      </w:r>
      <w:r w:rsidRPr="00C40FDA">
        <w:t xml:space="preserve"> mld. Kč,  nárůst platů</w:t>
      </w:r>
      <w:r>
        <w:t xml:space="preserve"> ústavních činitelů ve výši 0,11</w:t>
      </w:r>
      <w:r w:rsidRPr="00C40FDA">
        <w:t xml:space="preserve"> mld. Kč a další celkové </w:t>
      </w:r>
      <w:r>
        <w:t>zvýšení</w:t>
      </w:r>
      <w:r w:rsidRPr="00C40FDA">
        <w:t xml:space="preserve"> ve výši 0,0</w:t>
      </w:r>
      <w:r>
        <w:t>2</w:t>
      </w:r>
      <w:r w:rsidRPr="00C40FDA">
        <w:t xml:space="preserve"> mld. Kč</w:t>
      </w:r>
      <w:r>
        <w:t xml:space="preserve"> (</w:t>
      </w:r>
      <w:r w:rsidRPr="00D07A64">
        <w:t xml:space="preserve">z toho </w:t>
      </w:r>
      <w:r>
        <w:t>0,0</w:t>
      </w:r>
      <w:r w:rsidRPr="00D07A64">
        <w:t>1</w:t>
      </w:r>
      <w:r>
        <w:t xml:space="preserve"> mld</w:t>
      </w:r>
      <w:r w:rsidRPr="00D07A64">
        <w:t>. Kč na odchodné a</w:t>
      </w:r>
      <w:r w:rsidR="00FF1E01">
        <w:t> </w:t>
      </w:r>
      <w:r w:rsidRPr="00D07A64">
        <w:t>platy senátorů v kapitole Senát Parlamentu</w:t>
      </w:r>
      <w:r>
        <w:t xml:space="preserve"> a další individuální vlivy jednotlivých kapitol).</w:t>
      </w:r>
    </w:p>
    <w:p w:rsidR="00A24FF5" w:rsidRPr="00AB6930" w:rsidRDefault="00AA026D" w:rsidP="00AA026D">
      <w:pPr>
        <w:tabs>
          <w:tab w:val="left" w:pos="426"/>
        </w:tabs>
        <w:ind w:firstLine="0"/>
      </w:pPr>
      <w:r>
        <w:tab/>
      </w:r>
      <w:r>
        <w:tab/>
      </w:r>
      <w:r w:rsidR="00F37E9A">
        <w:t>Mezi roky 2016 a 2017</w:t>
      </w:r>
      <w:r w:rsidR="00F37E9A" w:rsidRPr="009E5A08">
        <w:t xml:space="preserve"> dochází k nárůstu objemu prostředků na platy a ostatní platby za</w:t>
      </w:r>
      <w:r w:rsidR="00FF1E01">
        <w:t> </w:t>
      </w:r>
      <w:r w:rsidR="00F37E9A" w:rsidRPr="009E5A08">
        <w:t>p</w:t>
      </w:r>
      <w:r w:rsidR="00F37E9A">
        <w:t>rovedenou práci o 1,43</w:t>
      </w:r>
      <w:r w:rsidR="00F37E9A" w:rsidRPr="009E5A08">
        <w:t xml:space="preserve"> mld. Kč. Nejvýraznějšími vlivy jsou 1 % meziroční nárůst v celkové </w:t>
      </w:r>
      <w:r w:rsidR="00F37E9A">
        <w:t>výši 1,32</w:t>
      </w:r>
      <w:r w:rsidR="00F37E9A" w:rsidRPr="009E5A08">
        <w:t xml:space="preserve"> mld. Kč,  nárůst platů</w:t>
      </w:r>
      <w:r w:rsidR="00F37E9A">
        <w:t xml:space="preserve"> ústavních činitelů ve výši 0,11</w:t>
      </w:r>
      <w:r w:rsidR="00F37E9A" w:rsidRPr="009E5A08">
        <w:t xml:space="preserve"> mld. Kč a další </w:t>
      </w:r>
      <w:r w:rsidR="00F37E9A">
        <w:t>snížení</w:t>
      </w:r>
      <w:r w:rsidR="00F37E9A" w:rsidRPr="009E5A08">
        <w:t xml:space="preserve"> ve výši 0,01 mld. Kč (</w:t>
      </w:r>
      <w:r w:rsidR="00F37E9A" w:rsidRPr="00AB6930">
        <w:t xml:space="preserve">z toho </w:t>
      </w:r>
      <w:r w:rsidR="00F37E9A">
        <w:t>0,01 m</w:t>
      </w:r>
      <w:r w:rsidR="00F37E9A" w:rsidRPr="00AB6930">
        <w:t>l</w:t>
      </w:r>
      <w:r w:rsidR="00F37E9A">
        <w:t>d</w:t>
      </w:r>
      <w:r w:rsidR="00F37E9A" w:rsidRPr="00AB6930">
        <w:t>. Kč na odchodné senátorů v kapitole Senát Parlamentu</w:t>
      </w:r>
      <w:r w:rsidR="00F37E9A">
        <w:t xml:space="preserve"> a další individuální vlivy jednotlivých kapitol).</w:t>
      </w:r>
    </w:p>
    <w:p w:rsidR="00A24FF5" w:rsidRPr="00D77888" w:rsidRDefault="00A24FF5" w:rsidP="007C52C7">
      <w:pPr>
        <w:pStyle w:val="Nadpis4"/>
      </w:pPr>
      <w:bookmarkStart w:id="120" w:name="_Toc397357484"/>
      <w:r w:rsidRPr="00D77888">
        <w:t>Výdaje na výzkum, vývoj a inovace</w:t>
      </w:r>
      <w:bookmarkEnd w:id="120"/>
    </w:p>
    <w:p w:rsidR="00A24FF5" w:rsidRDefault="00A24FF5" w:rsidP="00610278">
      <w:pPr>
        <w:ind w:firstLine="720"/>
      </w:pPr>
      <w:bookmarkStart w:id="121" w:name="_Toc206999985"/>
      <w:bookmarkStart w:id="122" w:name="_Toc241917806"/>
      <w:r w:rsidRPr="0092508E">
        <w:t>Prostředky v této oblasti jsou rozpočtovány ve v</w:t>
      </w:r>
      <w:r w:rsidR="00890094">
        <w:t>ýši 26,6</w:t>
      </w:r>
      <w:r w:rsidRPr="0092508E">
        <w:t xml:space="preserve"> mld. Kč (bez EU)</w:t>
      </w:r>
      <w:r w:rsidRPr="00BE375B">
        <w:t xml:space="preserve"> každoročně. Podíl výdajů na výzkum, vývoj a inovace na celkových výdajích státního rozpočtu se v letech střednědobého výhledu pohybuje na úrovni </w:t>
      </w:r>
      <w:r w:rsidR="00890094">
        <w:t>okolo</w:t>
      </w:r>
      <w:r w:rsidRPr="00BE375B">
        <w:t xml:space="preserve"> 2,3 %.</w:t>
      </w:r>
    </w:p>
    <w:p w:rsidR="00A24FF5" w:rsidRPr="00D77888" w:rsidRDefault="00A24FF5" w:rsidP="00323167">
      <w:pPr>
        <w:pStyle w:val="Nadpis2"/>
      </w:pPr>
      <w:bookmarkStart w:id="123" w:name="_Toc333680185"/>
      <w:bookmarkStart w:id="124" w:name="_Toc397357485"/>
      <w:r w:rsidRPr="00D77888">
        <w:t>Předpokládaný způsob financování</w:t>
      </w:r>
      <w:bookmarkEnd w:id="121"/>
      <w:r w:rsidRPr="00D77888">
        <w:t xml:space="preserve"> deficitu</w:t>
      </w:r>
      <w:bookmarkEnd w:id="122"/>
      <w:bookmarkEnd w:id="123"/>
      <w:bookmarkEnd w:id="124"/>
    </w:p>
    <w:p w:rsidR="00A24FF5" w:rsidRPr="00D819EA" w:rsidRDefault="00A24FF5" w:rsidP="004E71E9">
      <w:pPr>
        <w:ind w:firstLine="720"/>
      </w:pPr>
      <w:r w:rsidRPr="00D819EA">
        <w:t xml:space="preserve">V předloženém střednědobém výhledu státního rozpočtu se předpokládá, že schodky státního rozpočtu budou </w:t>
      </w:r>
      <w:r>
        <w:t>vypořádány</w:t>
      </w:r>
      <w:r w:rsidRPr="00D819EA">
        <w:t xml:space="preserve"> emisemi státních </w:t>
      </w:r>
      <w:r>
        <w:t xml:space="preserve">dluhopisů na finančních trzích a </w:t>
      </w:r>
      <w:r w:rsidRPr="00D819EA">
        <w:t xml:space="preserve">změnou stavu na účtech státních finančních aktiv.  </w:t>
      </w:r>
    </w:p>
    <w:p w:rsidR="00A24FF5" w:rsidRPr="00D77888" w:rsidRDefault="00A24FF5" w:rsidP="00323167">
      <w:pPr>
        <w:pStyle w:val="Nadpis1"/>
      </w:pPr>
      <w:bookmarkStart w:id="125" w:name="_Toc206999986"/>
      <w:bookmarkStart w:id="126" w:name="_Toc241917807"/>
      <w:bookmarkStart w:id="127" w:name="_Toc333680186"/>
      <w:bookmarkStart w:id="128" w:name="_Toc397357486"/>
      <w:r w:rsidRPr="00D77888">
        <w:lastRenderedPageBreak/>
        <w:t>Základní ukazatele státních fondů</w:t>
      </w:r>
      <w:bookmarkEnd w:id="125"/>
      <w:bookmarkEnd w:id="126"/>
      <w:r w:rsidRPr="00D77888">
        <w:t xml:space="preserve"> ve střednědobém výhledu</w:t>
      </w:r>
      <w:bookmarkEnd w:id="127"/>
      <w:bookmarkEnd w:id="128"/>
    </w:p>
    <w:p w:rsidR="009633B2" w:rsidRPr="009633B2" w:rsidRDefault="00AF3DEE" w:rsidP="00543635">
      <w:pPr>
        <w:pStyle w:val="Zkladntext"/>
        <w:numPr>
          <w:ilvl w:val="12"/>
          <w:numId w:val="0"/>
        </w:numPr>
        <w:spacing w:before="120" w:after="120" w:line="360" w:lineRule="auto"/>
        <w:ind w:firstLine="720"/>
        <w:jc w:val="both"/>
        <w:rPr>
          <w:sz w:val="24"/>
        </w:rPr>
      </w:pPr>
      <w:bookmarkStart w:id="129" w:name="_Toc206999987"/>
      <w:bookmarkStart w:id="130" w:name="_Toc241917808"/>
      <w:r w:rsidRPr="009633B2">
        <w:rPr>
          <w:sz w:val="24"/>
        </w:rPr>
        <w:t>Státní fondy jsou samostatné právnické osoby zřízené příslušnými zákony</w:t>
      </w:r>
      <w:r w:rsidR="009633B2" w:rsidRPr="009633B2">
        <w:rPr>
          <w:sz w:val="24"/>
        </w:rPr>
        <w:t xml:space="preserve">. </w:t>
      </w:r>
      <w:r w:rsidR="00CC4845" w:rsidRPr="009633B2">
        <w:rPr>
          <w:sz w:val="24"/>
        </w:rPr>
        <w:t xml:space="preserve">Střednědobý výhled </w:t>
      </w:r>
      <w:r w:rsidR="009633B2" w:rsidRPr="009633B2">
        <w:rPr>
          <w:sz w:val="24"/>
        </w:rPr>
        <w:t xml:space="preserve">státních fondů obsahuje </w:t>
      </w:r>
      <w:r w:rsidR="00CC4845" w:rsidRPr="009633B2">
        <w:rPr>
          <w:sz w:val="24"/>
        </w:rPr>
        <w:t>očekávané příjmy a výdaje státních fondů na</w:t>
      </w:r>
      <w:r w:rsidR="009633B2" w:rsidRPr="009633B2">
        <w:rPr>
          <w:sz w:val="24"/>
        </w:rPr>
        <w:t xml:space="preserve"> rok, </w:t>
      </w:r>
      <w:r w:rsidR="008E78AA">
        <w:rPr>
          <w:sz w:val="24"/>
        </w:rPr>
        <w:t xml:space="preserve">na </w:t>
      </w:r>
      <w:r w:rsidR="009633B2" w:rsidRPr="009633B2">
        <w:rPr>
          <w:sz w:val="24"/>
        </w:rPr>
        <w:t>který je předkládán návrh státního rozpočtu a na</w:t>
      </w:r>
      <w:r w:rsidR="00CC4845" w:rsidRPr="009633B2">
        <w:rPr>
          <w:sz w:val="24"/>
        </w:rPr>
        <w:t xml:space="preserve"> dva roky bezprostředně následující po </w:t>
      </w:r>
      <w:r w:rsidR="009633B2" w:rsidRPr="009633B2">
        <w:rPr>
          <w:sz w:val="24"/>
        </w:rPr>
        <w:t>tomto roce.</w:t>
      </w:r>
      <w:r w:rsidR="00CC4845" w:rsidRPr="009633B2">
        <w:rPr>
          <w:sz w:val="24"/>
        </w:rPr>
        <w:t xml:space="preserve"> </w:t>
      </w:r>
    </w:p>
    <w:p w:rsidR="00A24FF5" w:rsidRDefault="009633B2" w:rsidP="00543635">
      <w:pPr>
        <w:pStyle w:val="Zkladntext"/>
        <w:numPr>
          <w:ilvl w:val="12"/>
          <w:numId w:val="0"/>
        </w:numPr>
        <w:spacing w:before="120" w:after="120" w:line="360" w:lineRule="auto"/>
        <w:ind w:firstLine="720"/>
        <w:jc w:val="both"/>
        <w:rPr>
          <w:sz w:val="24"/>
        </w:rPr>
      </w:pPr>
      <w:r w:rsidRPr="009633B2">
        <w:rPr>
          <w:sz w:val="24"/>
        </w:rPr>
        <w:t>V České republice jsou zřízeny následující státní fondy</w:t>
      </w:r>
      <w:r w:rsidR="00AD6594" w:rsidRPr="009633B2">
        <w:rPr>
          <w:sz w:val="24"/>
        </w:rPr>
        <w:t>.</w:t>
      </w:r>
    </w:p>
    <w:p w:rsidR="00A24FF5" w:rsidRDefault="00A24FF5" w:rsidP="00D56543">
      <w:pPr>
        <w:numPr>
          <w:ilvl w:val="0"/>
          <w:numId w:val="3"/>
        </w:numPr>
        <w:tabs>
          <w:tab w:val="clear" w:pos="284"/>
          <w:tab w:val="num" w:pos="709"/>
        </w:tabs>
        <w:spacing w:line="240" w:lineRule="auto"/>
        <w:ind w:left="709" w:hanging="709"/>
      </w:pPr>
      <w:r w:rsidRPr="00D819EA">
        <w:t>Stát</w:t>
      </w:r>
      <w:r w:rsidR="00AD6594">
        <w:t>ní fond dopravní infrastruktury</w:t>
      </w:r>
    </w:p>
    <w:p w:rsidR="00CC4845" w:rsidRDefault="00CC4845" w:rsidP="00D56543">
      <w:pPr>
        <w:numPr>
          <w:ilvl w:val="0"/>
          <w:numId w:val="3"/>
        </w:numPr>
        <w:tabs>
          <w:tab w:val="clear" w:pos="284"/>
          <w:tab w:val="num" w:pos="709"/>
        </w:tabs>
        <w:spacing w:line="240" w:lineRule="auto"/>
        <w:ind w:left="709" w:hanging="709"/>
      </w:pPr>
      <w:r w:rsidRPr="00D819EA">
        <w:t>Státní zemědělský intervenční fond</w:t>
      </w:r>
    </w:p>
    <w:p w:rsidR="00AD6594" w:rsidRDefault="00AD6594" w:rsidP="00D56543">
      <w:pPr>
        <w:numPr>
          <w:ilvl w:val="0"/>
          <w:numId w:val="3"/>
        </w:numPr>
        <w:tabs>
          <w:tab w:val="clear" w:pos="284"/>
          <w:tab w:val="num" w:pos="709"/>
        </w:tabs>
        <w:spacing w:line="240" w:lineRule="auto"/>
        <w:ind w:left="709" w:hanging="709"/>
      </w:pPr>
      <w:r>
        <w:t>Státní fond kinematografie</w:t>
      </w:r>
    </w:p>
    <w:p w:rsidR="00AD6594" w:rsidRPr="00D819EA" w:rsidRDefault="00AD6594" w:rsidP="00D56543">
      <w:pPr>
        <w:numPr>
          <w:ilvl w:val="0"/>
          <w:numId w:val="3"/>
        </w:numPr>
        <w:tabs>
          <w:tab w:val="clear" w:pos="284"/>
          <w:tab w:val="num" w:pos="709"/>
        </w:tabs>
        <w:spacing w:line="240" w:lineRule="auto"/>
        <w:ind w:left="709" w:hanging="709"/>
      </w:pPr>
      <w:r>
        <w:t>Státní fond kultury</w:t>
      </w:r>
      <w:r w:rsidR="002B4723">
        <w:t xml:space="preserve"> České republiky</w:t>
      </w:r>
    </w:p>
    <w:p w:rsidR="00A24FF5" w:rsidRPr="00D819EA" w:rsidRDefault="00AD6594" w:rsidP="00D56543">
      <w:pPr>
        <w:numPr>
          <w:ilvl w:val="0"/>
          <w:numId w:val="3"/>
        </w:numPr>
        <w:tabs>
          <w:tab w:val="clear" w:pos="284"/>
          <w:tab w:val="num" w:pos="709"/>
        </w:tabs>
        <w:spacing w:line="240" w:lineRule="auto"/>
        <w:ind w:left="709" w:hanging="709"/>
      </w:pPr>
      <w:r>
        <w:t>Státní fond rozvoje bydlení</w:t>
      </w:r>
    </w:p>
    <w:p w:rsidR="00F02E9F" w:rsidRPr="00D819EA" w:rsidRDefault="00A24FF5" w:rsidP="00D56543">
      <w:pPr>
        <w:numPr>
          <w:ilvl w:val="0"/>
          <w:numId w:val="3"/>
        </w:numPr>
        <w:tabs>
          <w:tab w:val="clear" w:pos="284"/>
          <w:tab w:val="num" w:pos="709"/>
        </w:tabs>
        <w:spacing w:line="240" w:lineRule="auto"/>
        <w:ind w:left="709" w:hanging="709"/>
      </w:pPr>
      <w:r w:rsidRPr="00D819EA">
        <w:t>Státní fond životního prostř</w:t>
      </w:r>
      <w:r w:rsidR="00AD6594">
        <w:t>edí</w:t>
      </w:r>
      <w:r w:rsidR="002B4723">
        <w:t xml:space="preserve"> České republiky</w:t>
      </w:r>
    </w:p>
    <w:p w:rsidR="00F02E9F" w:rsidRPr="00D77888" w:rsidRDefault="00F02E9F" w:rsidP="00D56543">
      <w:pPr>
        <w:pStyle w:val="Nadpis2"/>
        <w:spacing w:before="480"/>
        <w:rPr>
          <w:rStyle w:val="Tuntext"/>
          <w:b/>
          <w:sz w:val="28"/>
        </w:rPr>
      </w:pPr>
      <w:bookmarkStart w:id="131" w:name="_Toc397357487"/>
      <w:r w:rsidRPr="00D77888">
        <w:rPr>
          <w:rStyle w:val="Tuntext"/>
          <w:b/>
          <w:sz w:val="28"/>
        </w:rPr>
        <w:t>Státní fond dopr</w:t>
      </w:r>
      <w:r w:rsidR="00F43885" w:rsidRPr="00D77888">
        <w:rPr>
          <w:rStyle w:val="Tuntext"/>
          <w:b/>
          <w:sz w:val="28"/>
        </w:rPr>
        <w:t>avní infrastruktury</w:t>
      </w:r>
      <w:bookmarkEnd w:id="131"/>
      <w:r w:rsidR="00F43885" w:rsidRPr="00D77888">
        <w:rPr>
          <w:rStyle w:val="Tuntext"/>
          <w:b/>
          <w:sz w:val="28"/>
        </w:rPr>
        <w:t xml:space="preserve"> </w:t>
      </w:r>
    </w:p>
    <w:p w:rsidR="00F02E9F" w:rsidRPr="00F02E9F" w:rsidRDefault="00F02E9F" w:rsidP="00F02E9F">
      <w:r w:rsidRPr="00F02E9F">
        <w:t>Návrh rozpočtu na rok 2015 i oba následující roky střednědobého výhledu jsou sestaveny jako vyrovnané. Celkové příjmy a výdaje jsou pro rok 2015 rozpočtovány ve výši 49,8 mld. Kč a</w:t>
      </w:r>
      <w:r w:rsidR="002B4723">
        <w:t> </w:t>
      </w:r>
      <w:r w:rsidRPr="00F02E9F">
        <w:t xml:space="preserve">pro roky </w:t>
      </w:r>
      <w:r w:rsidR="00DA1671">
        <w:t>2016 a 2017 ve výši 43 mld. Kč, resp.</w:t>
      </w:r>
      <w:r w:rsidRPr="00F02E9F">
        <w:t xml:space="preserve"> 46 mld. Kč. Hlavní zdroje příjmů v návrhu na</w:t>
      </w:r>
      <w:r w:rsidR="008E78AA">
        <w:t> </w:t>
      </w:r>
      <w:r w:rsidRPr="00F02E9F">
        <w:t>rok 2015 tvoří spotřební daň z minerálních olejů ve výši 7,2 mld. Kč, silniční daň v</w:t>
      </w:r>
      <w:r w:rsidR="00DA1671">
        <w:t>e výši 5,4 </w:t>
      </w:r>
      <w:r w:rsidR="0002580A">
        <w:t>mld.</w:t>
      </w:r>
      <w:r w:rsidR="00DA1671">
        <w:t> </w:t>
      </w:r>
      <w:r w:rsidR="0002580A">
        <w:t xml:space="preserve">Kč, poplatek za </w:t>
      </w:r>
      <w:r w:rsidRPr="00F02E9F">
        <w:t>užíván</w:t>
      </w:r>
      <w:r w:rsidR="0002580A">
        <w:t xml:space="preserve">í dálnic a rychlostních silnic </w:t>
      </w:r>
      <w:r w:rsidRPr="00F02E9F">
        <w:t>ve výš</w:t>
      </w:r>
      <w:r w:rsidR="0002580A">
        <w:t>i 4</w:t>
      </w:r>
      <w:r w:rsidR="007B569B">
        <w:t>,1</w:t>
      </w:r>
      <w:r w:rsidR="0002580A">
        <w:t xml:space="preserve"> mld. Kč a mýtné ve výši 8,2 </w:t>
      </w:r>
      <w:r w:rsidRPr="00F02E9F">
        <w:t>mld.</w:t>
      </w:r>
      <w:r w:rsidR="0002580A">
        <w:t xml:space="preserve"> </w:t>
      </w:r>
      <w:r w:rsidRPr="00F02E9F">
        <w:t>Kč.  Přijaté tr</w:t>
      </w:r>
      <w:r w:rsidR="0002580A">
        <w:t>ansfery (dotace) jsou v </w:t>
      </w:r>
      <w:proofErr w:type="gramStart"/>
      <w:r w:rsidR="0002580A">
        <w:t xml:space="preserve">návrhu  </w:t>
      </w:r>
      <w:r w:rsidRPr="00F02E9F">
        <w:t>na</w:t>
      </w:r>
      <w:proofErr w:type="gramEnd"/>
      <w:r w:rsidRPr="00F02E9F">
        <w:t xml:space="preserve"> rok 2015 rozpočtovány v celkové výši 24,9 mld. Kč, z toho dotace ze státního rozpočtu z kapitoly Ministerstva dopravy určené na</w:t>
      </w:r>
      <w:r w:rsidR="008E78AA">
        <w:t> </w:t>
      </w:r>
      <w:r w:rsidRPr="00F02E9F">
        <w:t>společné programy EU a ČR ve výši 5,8 mld. Kč. Dotace ze státního rozpočtu určené na krytí deficitu jsou</w:t>
      </w:r>
      <w:r w:rsidR="0002580A">
        <w:t xml:space="preserve"> pro rok 2015 stanoveny na 19,1 </w:t>
      </w:r>
      <w:r w:rsidRPr="00F02E9F">
        <w:t>mld.</w:t>
      </w:r>
      <w:r w:rsidR="0002580A">
        <w:t> </w:t>
      </w:r>
      <w:r w:rsidRPr="00F02E9F">
        <w:t>Kč.  Přijaté transf</w:t>
      </w:r>
      <w:r w:rsidR="0002580A">
        <w:t xml:space="preserve">ery na rok 2016 jsou plánovány  </w:t>
      </w:r>
      <w:r w:rsidRPr="00F02E9F">
        <w:t>ve výši 17,9 mld. Kč a na rok 2017 ve výši 20,8 mld. Kč, z toho dotace ze státního rozpočtu určené na krytí deficitu jsou stanoveny na 17,9 mld. Kč v roce 2016 a na 17,8 mld. Kč v roce 2017.</w:t>
      </w:r>
    </w:p>
    <w:p w:rsidR="00F02E9F" w:rsidRPr="00F02E9F" w:rsidRDefault="00F02E9F" w:rsidP="00F02E9F">
      <w:r w:rsidRPr="00F02E9F">
        <w:t xml:space="preserve">Na výdajové straně v roce 2015 z celkových výdajů ve výši 49,8 mld. Kč tvoří rozhodující část </w:t>
      </w:r>
      <w:r w:rsidR="00DA1671">
        <w:t>výdaj</w:t>
      </w:r>
      <w:r w:rsidR="00B03E03">
        <w:t>e</w:t>
      </w:r>
      <w:r w:rsidR="00DA1671">
        <w:t xml:space="preserve"> ve výši 44,9 mld. Kč určen</w:t>
      </w:r>
      <w:r w:rsidR="00B03E03">
        <w:t>é</w:t>
      </w:r>
      <w:r w:rsidRPr="00F02E9F">
        <w:t xml:space="preserve"> na investice na výstavbu, modernizaci, opravy a údržbu silnic, dálnic a celostátních i regionálních drah.</w:t>
      </w:r>
      <w:r w:rsidR="005B4B3E">
        <w:t xml:space="preserve"> Výdaje na roky 2016 a 2017 jsou rozpočtovány ve výši 43 mld. Kč, resp. 46 mld. Kč. </w:t>
      </w:r>
    </w:p>
    <w:p w:rsidR="00A24FF5" w:rsidRPr="00BE375B" w:rsidRDefault="0052449E" w:rsidP="00D56543">
      <w:pPr>
        <w:pStyle w:val="Titulek"/>
        <w:spacing w:before="240"/>
        <w:jc w:val="left"/>
        <w:rPr>
          <w:rStyle w:val="Tuntext"/>
          <w:b/>
        </w:rPr>
      </w:pPr>
      <w:r>
        <w:lastRenderedPageBreak/>
        <w:t xml:space="preserve">Tabulka č. </w:t>
      </w:r>
      <w:fldSimple w:instr=" SEQ Tabulka_č._ \* ARABIC ">
        <w:r w:rsidR="003B4B7F">
          <w:rPr>
            <w:noProof/>
          </w:rPr>
          <w:t>14</w:t>
        </w:r>
      </w:fldSimple>
      <w:r>
        <w:rPr>
          <w:noProof/>
        </w:rPr>
        <w:t xml:space="preserve"> </w:t>
      </w:r>
      <w:r w:rsidR="0002580A">
        <w:t>Státní fond dopravní infrastruktury</w:t>
      </w:r>
      <w:r w:rsidR="00A24FF5" w:rsidRPr="00BE375B">
        <w:t xml:space="preserve"> </w:t>
      </w:r>
      <w:r w:rsidR="00A24FF5" w:rsidRPr="00BE375B">
        <w:rPr>
          <w:b w:val="0"/>
          <w:i/>
        </w:rPr>
        <w:t>(v Kč)</w:t>
      </w:r>
    </w:p>
    <w:p w:rsidR="00A24FF5" w:rsidRPr="00971C36" w:rsidRDefault="00DB27FE" w:rsidP="0052449E">
      <w:pPr>
        <w:ind w:firstLine="0"/>
        <w:jc w:val="left"/>
        <w:rPr>
          <w:rStyle w:val="Tuntext"/>
          <w:b w:val="0"/>
        </w:rPr>
      </w:pPr>
      <w:r w:rsidRPr="00DB27FE">
        <w:rPr>
          <w:rStyle w:val="Tuntext"/>
          <w:b w:val="0"/>
        </w:rPr>
        <w:pict>
          <v:shape id="_x0000_i1058" type="#_x0000_t75" style="width:446.25pt;height:127.5pt">
            <v:imagedata r:id="rId49" o:title=""/>
          </v:shape>
        </w:pict>
      </w:r>
    </w:p>
    <w:p w:rsidR="0002580A" w:rsidRPr="00D77888" w:rsidRDefault="0002580A" w:rsidP="0002580A">
      <w:pPr>
        <w:pStyle w:val="Nadpis2"/>
        <w:rPr>
          <w:rStyle w:val="Tuntext"/>
          <w:b/>
          <w:sz w:val="28"/>
        </w:rPr>
      </w:pPr>
      <w:bookmarkStart w:id="132" w:name="_Toc397357488"/>
      <w:r w:rsidRPr="00D77888">
        <w:rPr>
          <w:rStyle w:val="Tuntext"/>
          <w:b/>
          <w:sz w:val="28"/>
        </w:rPr>
        <w:t>Státní zemědělský intervenční fond</w:t>
      </w:r>
      <w:bookmarkEnd w:id="132"/>
      <w:r w:rsidRPr="00D77888">
        <w:rPr>
          <w:rStyle w:val="Tuntext"/>
          <w:b/>
          <w:sz w:val="28"/>
        </w:rPr>
        <w:t xml:space="preserve"> </w:t>
      </w:r>
    </w:p>
    <w:p w:rsidR="0002580A" w:rsidRPr="0002580A" w:rsidRDefault="0002580A" w:rsidP="0002580A">
      <w:r w:rsidRPr="0002580A">
        <w:t>V návrhu příjmů rozpočtu na rok 2015 v celkové výši 40,5 mld. Kč tvoří nejvýznamnější příjmovou položku dotace na Společnou zemědělskou politiku z kapitoly Ministerstva zemědělství ve výši 38,8 mld. Kč. Součástí příjmů fondu je i dotace ze státního rozpočtu na</w:t>
      </w:r>
      <w:r w:rsidR="002B4723">
        <w:t> </w:t>
      </w:r>
      <w:r w:rsidR="00187BA2">
        <w:t>činnost fondu ve výši 1,3 mld. Kč, a</w:t>
      </w:r>
      <w:r w:rsidRPr="0002580A">
        <w:t xml:space="preserve"> 0,2 mld. Kč je vyčleněno na marketing. </w:t>
      </w:r>
      <w:r w:rsidR="00187BA2">
        <w:t xml:space="preserve">Celkové přijaté transfery ze státního rozpočtu tak činí </w:t>
      </w:r>
      <w:r w:rsidRPr="0002580A">
        <w:t xml:space="preserve">40,3 mld. Kč.  </w:t>
      </w:r>
    </w:p>
    <w:p w:rsidR="0002580A" w:rsidRPr="0002580A" w:rsidRDefault="0002580A" w:rsidP="0002580A">
      <w:r w:rsidRPr="0002580A">
        <w:t xml:space="preserve">Celkové výdaje fondu na rok 2015 jsou rozpočtovány ve výši 40,5 mld. Kč. Fond provádí administraci řady podpor, které jsou v rámci Společné zemědělské politiky poskytovány. Jedná se zejména o přímé platby, opatření Společné organizace trhu (finanční podpory, vývozní subvence, dotace, intervenční nákupy aj.) a další výdaje spojené s účastí </w:t>
      </w:r>
      <w:r w:rsidRPr="0002580A">
        <w:br/>
        <w:t xml:space="preserve">v Programu rozvoje venkova. </w:t>
      </w:r>
    </w:p>
    <w:p w:rsidR="00A24FF5" w:rsidRPr="0002580A" w:rsidRDefault="0002580A" w:rsidP="00AA026D">
      <w:pPr>
        <w:spacing w:before="0" w:after="240"/>
        <w:jc w:val="left"/>
        <w:rPr>
          <w:i/>
          <w:iCs/>
          <w:sz w:val="20"/>
          <w:szCs w:val="20"/>
        </w:rPr>
      </w:pPr>
      <w:r>
        <w:t>V letech střednědobého</w:t>
      </w:r>
      <w:r w:rsidRPr="0002580A">
        <w:t xml:space="preserve"> výhledu</w:t>
      </w:r>
      <w:r>
        <w:t xml:space="preserve"> </w:t>
      </w:r>
      <w:r w:rsidR="002B4723">
        <w:t>se předpokládá</w:t>
      </w:r>
      <w:r w:rsidRPr="0002580A">
        <w:t xml:space="preserve"> vyrovnaná</w:t>
      </w:r>
      <w:r w:rsidR="00BC0109">
        <w:t xml:space="preserve"> bilance ve výši 3,4 mld. Kč</w:t>
      </w:r>
      <w:r w:rsidRPr="0002580A">
        <w:t xml:space="preserve"> na</w:t>
      </w:r>
      <w:r w:rsidR="0011364B">
        <w:t> </w:t>
      </w:r>
      <w:r w:rsidRPr="0002580A">
        <w:t>straně příjmů</w:t>
      </w:r>
      <w:r w:rsidR="00BC0109">
        <w:t xml:space="preserve"> i</w:t>
      </w:r>
      <w:r w:rsidRPr="0002580A">
        <w:t xml:space="preserve"> výdajů</w:t>
      </w:r>
      <w:r w:rsidR="00E73D8F">
        <w:t xml:space="preserve"> fondu</w:t>
      </w:r>
      <w:r w:rsidRPr="0002580A">
        <w:t>.</w:t>
      </w:r>
    </w:p>
    <w:p w:rsidR="00F02E9F" w:rsidRDefault="0052449E" w:rsidP="00D56543">
      <w:pPr>
        <w:pStyle w:val="Titulek"/>
        <w:spacing w:before="240"/>
        <w:jc w:val="left"/>
        <w:rPr>
          <w:b w:val="0"/>
          <w:i/>
        </w:rPr>
      </w:pPr>
      <w:r>
        <w:t xml:space="preserve">Tabulka č. </w:t>
      </w:r>
      <w:fldSimple w:instr=" SEQ Tabulka_č._ \* ARABIC ">
        <w:r w:rsidR="003B4B7F">
          <w:rPr>
            <w:noProof/>
          </w:rPr>
          <w:t>15</w:t>
        </w:r>
      </w:fldSimple>
      <w:r>
        <w:rPr>
          <w:noProof/>
        </w:rPr>
        <w:t xml:space="preserve"> </w:t>
      </w:r>
      <w:r w:rsidR="00556D96">
        <w:t>Státní zemědělský intervenční fond</w:t>
      </w:r>
      <w:r w:rsidR="00F02E9F" w:rsidRPr="00BE375B">
        <w:t xml:space="preserve"> </w:t>
      </w:r>
      <w:r w:rsidR="00F02E9F" w:rsidRPr="00BE375B">
        <w:rPr>
          <w:b w:val="0"/>
          <w:i/>
        </w:rPr>
        <w:t>(v Kč)</w:t>
      </w:r>
    </w:p>
    <w:p w:rsidR="0002580A" w:rsidRDefault="00947974" w:rsidP="0052449E">
      <w:pPr>
        <w:ind w:firstLine="0"/>
        <w:jc w:val="left"/>
      </w:pPr>
      <w:r w:rsidRPr="00947974">
        <w:pict>
          <v:shape id="_x0000_i1059" type="#_x0000_t75" style="width:446.25pt;height:130.5pt">
            <v:imagedata r:id="rId50" o:title=""/>
          </v:shape>
        </w:pict>
      </w:r>
    </w:p>
    <w:p w:rsidR="00556D96" w:rsidRPr="00D77888" w:rsidRDefault="00556D96" w:rsidP="00556D96">
      <w:pPr>
        <w:pStyle w:val="Nadpis2"/>
        <w:rPr>
          <w:rStyle w:val="Tuntext"/>
          <w:b/>
          <w:sz w:val="28"/>
        </w:rPr>
      </w:pPr>
      <w:bookmarkStart w:id="133" w:name="_Toc397357489"/>
      <w:r w:rsidRPr="00D77888">
        <w:rPr>
          <w:rStyle w:val="Tuntext"/>
          <w:b/>
          <w:sz w:val="28"/>
        </w:rPr>
        <w:lastRenderedPageBreak/>
        <w:t xml:space="preserve">Státní </w:t>
      </w:r>
      <w:r w:rsidR="00F43885" w:rsidRPr="00D77888">
        <w:rPr>
          <w:rStyle w:val="Tuntext"/>
          <w:b/>
          <w:sz w:val="28"/>
        </w:rPr>
        <w:t>fond kinematografie</w:t>
      </w:r>
      <w:bookmarkEnd w:id="133"/>
      <w:r w:rsidR="00F43885" w:rsidRPr="00D77888">
        <w:rPr>
          <w:rStyle w:val="Tuntext"/>
          <w:b/>
          <w:sz w:val="28"/>
        </w:rPr>
        <w:t xml:space="preserve"> </w:t>
      </w:r>
    </w:p>
    <w:p w:rsidR="00556D96" w:rsidRPr="00556D96" w:rsidRDefault="00556D96" w:rsidP="00556D96">
      <w:r w:rsidRPr="00556D96">
        <w:t>Příjmy Státního fondu kinematografie pro rok 2015 jsou rozpočtovány ve výši 747,9</w:t>
      </w:r>
      <w:r w:rsidR="002B4723">
        <w:t> </w:t>
      </w:r>
      <w:r w:rsidRPr="00556D96">
        <w:t>mil.</w:t>
      </w:r>
      <w:r w:rsidR="002B4723">
        <w:t> </w:t>
      </w:r>
      <w:r w:rsidRPr="00556D96">
        <w:t xml:space="preserve">Kč. Z vlastních příjmů fondu tvoří největší část příjmy od provozovatelů televizního vysílání, příjmy z poskytování licencí k užití filmů, k nimž fond vykonává práva výrobce, příjmy od pořadatelů kinematografických představení a příjmy od provozovatelů převzatého vysílání. Celková výše dotace ze státního rozpočtu na rok 2015 je pro fond určena </w:t>
      </w:r>
      <w:r w:rsidRPr="00556D96">
        <w:br/>
        <w:t>ve výši 501,9 mil. Kč, z toho dotace na filmové pobídky činí 500 mil Kč.</w:t>
      </w:r>
    </w:p>
    <w:p w:rsidR="00556D96" w:rsidRPr="00556D96" w:rsidRDefault="00556D96" w:rsidP="00556D96">
      <w:pPr>
        <w:pStyle w:val="Zkladntextodsazen"/>
        <w:ind w:left="0"/>
      </w:pPr>
      <w:r w:rsidRPr="00556D96">
        <w:t>Výdaje pro rok 2015 jsou navrhovány ve výši 772,8 mil. Kč. Výdaje jsou určeny především na poskytování podpor projektů v oblasti kinematografie a podporu filmových pobídek.</w:t>
      </w:r>
    </w:p>
    <w:p w:rsidR="00556D96" w:rsidRPr="0002580A" w:rsidRDefault="00556D96" w:rsidP="00556D96">
      <w:pPr>
        <w:ind w:firstLine="708"/>
      </w:pPr>
      <w:r w:rsidRPr="00556D96">
        <w:t xml:space="preserve">V roce 2016 jsou Státním fondem kinematografie plánovány příjmy ve výši 746,8 mil. Kč a výdaje ve </w:t>
      </w:r>
      <w:r w:rsidRPr="00392E1D">
        <w:t>výši</w:t>
      </w:r>
      <w:r w:rsidR="00970287" w:rsidRPr="00392E1D">
        <w:t xml:space="preserve"> </w:t>
      </w:r>
      <w:r w:rsidRPr="00392E1D">
        <w:t>74</w:t>
      </w:r>
      <w:r w:rsidR="00392E1D" w:rsidRPr="00392E1D">
        <w:t>6,9</w:t>
      </w:r>
      <w:r w:rsidRPr="00556D96">
        <w:t xml:space="preserve"> mil. Kč, v roce 2017</w:t>
      </w:r>
      <w:r w:rsidR="00970287">
        <w:t xml:space="preserve"> pak</w:t>
      </w:r>
      <w:r w:rsidRPr="00556D96">
        <w:t xml:space="preserve"> příjmy i výdaje ve výši 776,7 mil. Kč.</w:t>
      </w:r>
    </w:p>
    <w:p w:rsidR="00F02E9F" w:rsidRDefault="0052449E" w:rsidP="00D56543">
      <w:pPr>
        <w:pStyle w:val="Titulek"/>
        <w:spacing w:before="240"/>
        <w:jc w:val="left"/>
        <w:rPr>
          <w:b w:val="0"/>
          <w:i/>
        </w:rPr>
      </w:pPr>
      <w:r>
        <w:t xml:space="preserve">Tabulka č. </w:t>
      </w:r>
      <w:fldSimple w:instr=" SEQ Tabulka_č._ \* ARABIC ">
        <w:r w:rsidR="003B4B7F">
          <w:rPr>
            <w:noProof/>
          </w:rPr>
          <w:t>16</w:t>
        </w:r>
      </w:fldSimple>
      <w:r>
        <w:rPr>
          <w:noProof/>
        </w:rPr>
        <w:t xml:space="preserve"> </w:t>
      </w:r>
      <w:r w:rsidR="00556D96">
        <w:t>Státní fond kinematografie</w:t>
      </w:r>
      <w:r w:rsidR="00F02E9F" w:rsidRPr="00BE375B">
        <w:t xml:space="preserve"> </w:t>
      </w:r>
      <w:r w:rsidR="00F02E9F" w:rsidRPr="00BE375B">
        <w:rPr>
          <w:b w:val="0"/>
          <w:i/>
        </w:rPr>
        <w:t>(v Kč)</w:t>
      </w:r>
    </w:p>
    <w:p w:rsidR="00556D96" w:rsidRDefault="00165919" w:rsidP="0052449E">
      <w:pPr>
        <w:ind w:firstLine="0"/>
        <w:jc w:val="left"/>
      </w:pPr>
      <w:r>
        <w:pict>
          <v:shape id="_x0000_i1050" type="#_x0000_t75" style="width:446.25pt;height:75.75pt">
            <v:imagedata r:id="rId51" o:title=""/>
          </v:shape>
        </w:pict>
      </w:r>
    </w:p>
    <w:p w:rsidR="00F43885" w:rsidRPr="00D77888" w:rsidRDefault="00F43885" w:rsidP="00F43885">
      <w:pPr>
        <w:pStyle w:val="Nadpis2"/>
        <w:rPr>
          <w:rStyle w:val="Tuntext"/>
          <w:b/>
          <w:sz w:val="28"/>
        </w:rPr>
      </w:pPr>
      <w:bookmarkStart w:id="134" w:name="_Toc397357490"/>
      <w:r w:rsidRPr="00D77888">
        <w:rPr>
          <w:rStyle w:val="Tuntext"/>
          <w:b/>
          <w:sz w:val="28"/>
        </w:rPr>
        <w:t>Státní fond kultury České republiky</w:t>
      </w:r>
      <w:bookmarkEnd w:id="134"/>
      <w:r w:rsidRPr="00D77888">
        <w:rPr>
          <w:rStyle w:val="Tuntext"/>
          <w:b/>
          <w:sz w:val="28"/>
        </w:rPr>
        <w:t xml:space="preserve"> </w:t>
      </w:r>
    </w:p>
    <w:p w:rsidR="00F43885" w:rsidRDefault="00F43885" w:rsidP="00F43885">
      <w:r w:rsidRPr="00F43885">
        <w:t>Celkové příjmy fondu jsou na rok 2015 rozpočtovány ve výši 63</w:t>
      </w:r>
      <w:r w:rsidR="004B3294">
        <w:t xml:space="preserve">,5 mil. Kč. </w:t>
      </w:r>
    </w:p>
    <w:p w:rsidR="0061048C" w:rsidRPr="00AC120F" w:rsidRDefault="0061048C" w:rsidP="0061048C">
      <w:pPr>
        <w:rPr>
          <w:color w:val="000000"/>
        </w:rPr>
      </w:pPr>
      <w:r w:rsidRPr="00AC120F">
        <w:rPr>
          <w:color w:val="000000"/>
        </w:rPr>
        <w:t xml:space="preserve">Hlavní příjmy v roce 2015 i v následujících letech tvoří výnosy z reklam vysílaných </w:t>
      </w:r>
      <w:r w:rsidRPr="00AC120F">
        <w:rPr>
          <w:color w:val="000000"/>
        </w:rPr>
        <w:br/>
        <w:t>na ČT2 v předpokládané výši 27 mil. Kč a příjmy z pronájmu nemovitostí ve výši 33 mil. Kč.</w:t>
      </w:r>
    </w:p>
    <w:p w:rsidR="00F43885" w:rsidRPr="00F43885" w:rsidRDefault="00F43885" w:rsidP="00F43885">
      <w:r w:rsidRPr="00F43885">
        <w:t>Výdaje fondu pro rok 2015 jsou rozpočtovány ve výši 52,6 mil. Kč. Největší výdajové položky představuj</w:t>
      </w:r>
      <w:r w:rsidR="008E78AA">
        <w:t>í</w:t>
      </w:r>
      <w:r w:rsidRPr="00F43885">
        <w:t xml:space="preserve"> zákonem stanoven</w:t>
      </w:r>
      <w:r w:rsidR="008E78AA">
        <w:t>é</w:t>
      </w:r>
      <w:r w:rsidRPr="00F43885">
        <w:t xml:space="preserve"> podpor</w:t>
      </w:r>
      <w:r w:rsidR="008E78AA">
        <w:t>y poskytované</w:t>
      </w:r>
      <w:r w:rsidRPr="00F43885">
        <w:t xml:space="preserve"> na projekty v oblasti kultury v předpokládané výši 18 mil. Kč a technické zhodnocení objektů U Hybernů a Národního domu Vinohrady v Praze v předpokládané výši 15,6 mil. Kč. </w:t>
      </w:r>
    </w:p>
    <w:p w:rsidR="00F43885" w:rsidRPr="00556D96" w:rsidRDefault="00C007A4" w:rsidP="00F43885">
      <w:r>
        <w:t>Rozpočty na rok 2015 i léta</w:t>
      </w:r>
      <w:r w:rsidR="00F43885" w:rsidRPr="00F43885">
        <w:t xml:space="preserve"> výhled</w:t>
      </w:r>
      <w:r>
        <w:t>u</w:t>
      </w:r>
      <w:r w:rsidR="00F43885" w:rsidRPr="00F43885">
        <w:t xml:space="preserve"> 2016 a 2017 jsou navrhovány jako přebytkové. Příjmy jsou</w:t>
      </w:r>
      <w:r w:rsidR="00B01945">
        <w:t xml:space="preserve"> na rok 2016 stanoveny ve výši</w:t>
      </w:r>
      <w:r w:rsidR="001B2B88">
        <w:t xml:space="preserve"> </w:t>
      </w:r>
      <w:r w:rsidR="00F43885" w:rsidRPr="00F43885">
        <w:t>63,5 mil</w:t>
      </w:r>
      <w:r w:rsidR="001B2B88">
        <w:t>. Kč a výdaje ve výši 52,6 mil. </w:t>
      </w:r>
      <w:r w:rsidR="00F43885" w:rsidRPr="00F43885">
        <w:t>Kč</w:t>
      </w:r>
      <w:r w:rsidR="00B01945">
        <w:t>,</w:t>
      </w:r>
      <w:r w:rsidR="00F43885" w:rsidRPr="00F43885">
        <w:t xml:space="preserve"> na rok  20</w:t>
      </w:r>
      <w:r w:rsidR="00392B6B">
        <w:t>17 příjmy ve výši 63,8 mil. Kč</w:t>
      </w:r>
      <w:r w:rsidR="001B2B88">
        <w:t xml:space="preserve"> </w:t>
      </w:r>
      <w:r w:rsidR="00F43885" w:rsidRPr="00F43885">
        <w:t xml:space="preserve">a výdaje ve </w:t>
      </w:r>
      <w:r w:rsidR="00B01945">
        <w:t>výši 52</w:t>
      </w:r>
      <w:r w:rsidR="00F43885" w:rsidRPr="00F43885">
        <w:t>,6 mil. Kč.</w:t>
      </w:r>
    </w:p>
    <w:p w:rsidR="00F02E9F" w:rsidRDefault="0052449E" w:rsidP="00D56543">
      <w:pPr>
        <w:pStyle w:val="Titulek"/>
        <w:spacing w:before="240"/>
        <w:jc w:val="left"/>
        <w:rPr>
          <w:b w:val="0"/>
          <w:i/>
        </w:rPr>
      </w:pPr>
      <w:r>
        <w:lastRenderedPageBreak/>
        <w:t xml:space="preserve">Tabulka č. </w:t>
      </w:r>
      <w:fldSimple w:instr=" SEQ Tabulka_č._ \* ARABIC ">
        <w:r w:rsidR="003B4B7F">
          <w:rPr>
            <w:noProof/>
          </w:rPr>
          <w:t>17</w:t>
        </w:r>
      </w:fldSimple>
      <w:r>
        <w:rPr>
          <w:noProof/>
        </w:rPr>
        <w:t xml:space="preserve"> </w:t>
      </w:r>
      <w:r w:rsidR="00F43885">
        <w:t>Státní fond kultury ČR</w:t>
      </w:r>
      <w:r w:rsidR="00F02E9F" w:rsidRPr="00BE375B">
        <w:t xml:space="preserve"> </w:t>
      </w:r>
      <w:r w:rsidR="00F02E9F" w:rsidRPr="00BE375B">
        <w:rPr>
          <w:b w:val="0"/>
          <w:i/>
        </w:rPr>
        <w:t>(v Kč)</w:t>
      </w:r>
    </w:p>
    <w:p w:rsidR="00F43885" w:rsidRDefault="00165919" w:rsidP="0052449E">
      <w:pPr>
        <w:ind w:firstLine="0"/>
        <w:jc w:val="left"/>
      </w:pPr>
      <w:r>
        <w:pict>
          <v:shape id="_x0000_i1051" type="#_x0000_t75" style="width:446.25pt;height:75.75pt">
            <v:imagedata r:id="rId52" o:title=""/>
          </v:shape>
        </w:pict>
      </w:r>
    </w:p>
    <w:p w:rsidR="00F43885" w:rsidRPr="00D77888" w:rsidRDefault="00F43885" w:rsidP="00F43885">
      <w:pPr>
        <w:pStyle w:val="Nadpis2"/>
        <w:rPr>
          <w:rStyle w:val="Tuntext"/>
          <w:b/>
          <w:sz w:val="28"/>
        </w:rPr>
      </w:pPr>
      <w:bookmarkStart w:id="135" w:name="_Toc397357491"/>
      <w:r w:rsidRPr="00D77888">
        <w:rPr>
          <w:rStyle w:val="Tuntext"/>
          <w:b/>
          <w:sz w:val="28"/>
        </w:rPr>
        <w:t>Státní fond rozvoje bydlení</w:t>
      </w:r>
      <w:bookmarkEnd w:id="135"/>
      <w:r w:rsidRPr="00D77888">
        <w:rPr>
          <w:rStyle w:val="Tuntext"/>
          <w:b/>
          <w:sz w:val="28"/>
        </w:rPr>
        <w:t xml:space="preserve"> </w:t>
      </w:r>
    </w:p>
    <w:p w:rsidR="00F43885" w:rsidRPr="00F43885" w:rsidRDefault="00F43885" w:rsidP="00F43885">
      <w:pPr>
        <w:rPr>
          <w:color w:val="FF0000"/>
        </w:rPr>
      </w:pPr>
      <w:r w:rsidRPr="00F43885">
        <w:t xml:space="preserve">Pro rok 2015 jsou příjmy rozpočtovány ve výši 757 mil. Kč, ve výhledu na rok 2016 </w:t>
      </w:r>
      <w:r w:rsidRPr="00F43885">
        <w:br/>
        <w:t xml:space="preserve">ve výši 839 mil. Kč a na rok 2017 ve výši 829 mil. Kč.  Příjmy fondu jsou tvořeny především splátkami úvěrů, které fond poskytl.  Roční splátky úvěrů činí 656 mil. Kč. Úroky z těchto úvěrů </w:t>
      </w:r>
      <w:r w:rsidRPr="00F43885">
        <w:br/>
      </w:r>
      <w:r w:rsidR="002B4723">
        <w:t xml:space="preserve">činí </w:t>
      </w:r>
      <w:r w:rsidRPr="00F43885">
        <w:t xml:space="preserve">100 mil. Kč. S dotacemi ze státního rozpočtu na rok 2015 i na další roky se nekalkuluje. </w:t>
      </w:r>
    </w:p>
    <w:p w:rsidR="00F43885" w:rsidRPr="00F43885" w:rsidRDefault="00F43885" w:rsidP="00F43885">
      <w:r w:rsidRPr="00F43885">
        <w:t xml:space="preserve">Výdaje na rok 2015 jsou stanoveny na 2,2 mld. Kč a jsou především určeny  </w:t>
      </w:r>
      <w:r w:rsidRPr="00F43885">
        <w:br/>
        <w:t xml:space="preserve">na úvěry fyzickým a </w:t>
      </w:r>
      <w:r w:rsidR="004F1BA0">
        <w:t>právnickým osobám ve výši 1,04</w:t>
      </w:r>
      <w:r w:rsidRPr="00F43885">
        <w:t xml:space="preserve"> mld. Kč, na výplatu úrokových dotací k úvěrům na rekonstrukce a modernizace bytových domů 2001 - 2010 ve výši 790,3 mil. Kč, </w:t>
      </w:r>
      <w:r w:rsidRPr="00F43885">
        <w:br/>
        <w:t>na výplatu úrokových dotací k úvěrům na rekonstrukce a modernizace bytových domů z roku 2011 ve výši 69 mil. Kč, na výdaje zajišťování podpor ve výši 154,7 mil. Kč, na snižování jistiny úvěrů mladým lidem na výstavbu ve výši 60 mil. Kč a na správní výdaje fondu ve výši 73,3</w:t>
      </w:r>
      <w:r w:rsidR="002B4723">
        <w:t> </w:t>
      </w:r>
      <w:r w:rsidRPr="00F43885">
        <w:t>mil.</w:t>
      </w:r>
      <w:r w:rsidR="002B4723">
        <w:t> </w:t>
      </w:r>
      <w:r w:rsidRPr="00F43885">
        <w:t xml:space="preserve">Kč. </w:t>
      </w:r>
    </w:p>
    <w:p w:rsidR="00F43885" w:rsidRPr="00F43885" w:rsidRDefault="00F43885" w:rsidP="00F43885">
      <w:r w:rsidRPr="00F43885">
        <w:t xml:space="preserve">V roce 2016 jsou příjmy plánovány ve výši 839 mil. Kč a výdaje ve výši </w:t>
      </w:r>
      <w:r w:rsidRPr="00F43885">
        <w:br/>
        <w:t>2,2 mld. Kč, v roce 2017 příjmy ve výši 829 mil. Kč a výdaje ve výši 2,1 mld. Kč.</w:t>
      </w:r>
    </w:p>
    <w:p w:rsidR="00F02E9F" w:rsidRDefault="0052449E" w:rsidP="00D56543">
      <w:pPr>
        <w:pStyle w:val="Titulek"/>
        <w:spacing w:before="240"/>
        <w:jc w:val="left"/>
        <w:rPr>
          <w:b w:val="0"/>
          <w:i/>
        </w:rPr>
      </w:pPr>
      <w:r>
        <w:t xml:space="preserve">Tabulka č. </w:t>
      </w:r>
      <w:fldSimple w:instr=" SEQ Tabulka_č._ \* ARABIC ">
        <w:r w:rsidR="003B4B7F">
          <w:rPr>
            <w:noProof/>
          </w:rPr>
          <w:t>18</w:t>
        </w:r>
      </w:fldSimple>
      <w:r>
        <w:rPr>
          <w:noProof/>
        </w:rPr>
        <w:t xml:space="preserve"> </w:t>
      </w:r>
      <w:r w:rsidR="00F43885">
        <w:t>Státní fond rozvoje bydlení</w:t>
      </w:r>
      <w:r w:rsidR="00F02E9F" w:rsidRPr="00BE375B">
        <w:t xml:space="preserve"> </w:t>
      </w:r>
      <w:r w:rsidR="00F02E9F" w:rsidRPr="00BE375B">
        <w:rPr>
          <w:b w:val="0"/>
          <w:i/>
        </w:rPr>
        <w:t>(v Kč)</w:t>
      </w:r>
    </w:p>
    <w:p w:rsidR="00F43885" w:rsidRDefault="00165919" w:rsidP="0052449E">
      <w:pPr>
        <w:ind w:firstLine="0"/>
        <w:jc w:val="left"/>
      </w:pPr>
      <w:r>
        <w:pict>
          <v:shape id="_x0000_i1052" type="#_x0000_t75" style="width:446.25pt;height:75.75pt">
            <v:imagedata r:id="rId53" o:title=""/>
          </v:shape>
        </w:pict>
      </w:r>
    </w:p>
    <w:p w:rsidR="0048025C" w:rsidRPr="00D77888" w:rsidRDefault="0048025C" w:rsidP="0048025C">
      <w:pPr>
        <w:pStyle w:val="Nadpis2"/>
        <w:rPr>
          <w:rStyle w:val="Tuntext"/>
          <w:b/>
          <w:sz w:val="28"/>
        </w:rPr>
      </w:pPr>
      <w:bookmarkStart w:id="136" w:name="_Toc397357492"/>
      <w:r w:rsidRPr="00D77888">
        <w:rPr>
          <w:rStyle w:val="Tuntext"/>
          <w:b/>
          <w:sz w:val="28"/>
        </w:rPr>
        <w:t>Státní fond životního prostředí České republiky</w:t>
      </w:r>
      <w:bookmarkEnd w:id="136"/>
      <w:r w:rsidRPr="00D77888">
        <w:rPr>
          <w:rStyle w:val="Tuntext"/>
          <w:b/>
          <w:sz w:val="28"/>
        </w:rPr>
        <w:t xml:space="preserve"> </w:t>
      </w:r>
    </w:p>
    <w:p w:rsidR="0048025C" w:rsidRPr="0048025C" w:rsidRDefault="0048025C" w:rsidP="0048025C">
      <w:r w:rsidRPr="0048025C">
        <w:t xml:space="preserve">Příjmy </w:t>
      </w:r>
      <w:r w:rsidR="00E05B5E">
        <w:t>fondu</w:t>
      </w:r>
      <w:r w:rsidRPr="0048025C">
        <w:t xml:space="preserve"> jsou pro rok 2015 rozpočtovány ve výši 1,7 mld. Kč, přičemž převážnou část příjmů tvoří poplatky za znečišťování životního prostředí ve výši 1,3 mld. Kč.  Zbývající část příjmů tvoří dotace ze státního rozpočtu na úhradu výdajů vynaložených z technické </w:t>
      </w:r>
      <w:r w:rsidRPr="0048025C">
        <w:lastRenderedPageBreak/>
        <w:t>asistence programů EU ve výši 208,7 mil. Kč, z toho programy Ministerstva životního prostředí  TA-OPŽP ve výši 190,2 mil. Kč a programy Ministerstva vnitra TA-OP LZZ ve výši 18,5</w:t>
      </w:r>
      <w:r w:rsidR="008D60E3">
        <w:t> </w:t>
      </w:r>
      <w:r w:rsidRPr="0048025C">
        <w:t>mil.</w:t>
      </w:r>
      <w:r w:rsidR="008D60E3">
        <w:t> </w:t>
      </w:r>
      <w:r w:rsidRPr="0048025C">
        <w:t xml:space="preserve">Kč, dále splátky půjček poskytnutých příjemcům podpor ve výši 187,9 mil. Kč a platby úroků z těchto půjček ve výši 14,5 mil. Kč. </w:t>
      </w:r>
    </w:p>
    <w:p w:rsidR="0048025C" w:rsidRPr="0048025C" w:rsidRDefault="0048025C" w:rsidP="0048025C">
      <w:r w:rsidRPr="0048025C">
        <w:t>Výdaje fondu na rok 2015 jsou stanoveny ve výši 3,3 mld. Kč. Největší výdaje představuje kofinancován</w:t>
      </w:r>
      <w:r w:rsidR="00B31724">
        <w:t>í závazků v rámci programu OPŽP</w:t>
      </w:r>
      <w:r w:rsidRPr="0048025C">
        <w:t xml:space="preserve"> ve výši 1,951 mld. Kč, výdaje na</w:t>
      </w:r>
      <w:r w:rsidR="008D60E3">
        <w:t> </w:t>
      </w:r>
      <w:r w:rsidR="008E78AA">
        <w:t>akce národních programů</w:t>
      </w:r>
      <w:r w:rsidRPr="0048025C">
        <w:t xml:space="preserve"> ve výši 254 mil. Kč, financování programu Nová Zelená úsporám 2013 (NZÚ</w:t>
      </w:r>
      <w:r w:rsidR="00B31724">
        <w:t xml:space="preserve"> </w:t>
      </w:r>
      <w:r w:rsidRPr="0048025C">
        <w:t xml:space="preserve">2013) ve výši 197,5 mil. Kč a úhrada nákladů spojených s činností kanceláře fondu včetně technické asistence ve výši 797,4 mil. Kč.  </w:t>
      </w:r>
    </w:p>
    <w:p w:rsidR="0048025C" w:rsidRPr="0048025C" w:rsidRDefault="0048025C" w:rsidP="0048025C">
      <w:r w:rsidRPr="0048025C">
        <w:t>V roce 2016 jsou příjmy fondu navrženy ve výši 1,4 ml</w:t>
      </w:r>
      <w:r w:rsidR="00B31724">
        <w:t>d. Kč a výdaje ve výši 1,9 mld. </w:t>
      </w:r>
      <w:r w:rsidRPr="0048025C">
        <w:t>Kč</w:t>
      </w:r>
      <w:r w:rsidR="00B31724">
        <w:t>,</w:t>
      </w:r>
      <w:r w:rsidRPr="0048025C">
        <w:t xml:space="preserve"> v roce 2017 příjmy ve výši 1,3 mld. Kč a výdaje ve výši 1,5 mld. Kč.</w:t>
      </w:r>
    </w:p>
    <w:p w:rsidR="00F02E9F" w:rsidRDefault="0052449E" w:rsidP="00D56543">
      <w:pPr>
        <w:pStyle w:val="Titulek"/>
        <w:spacing w:before="240"/>
        <w:jc w:val="left"/>
        <w:rPr>
          <w:b w:val="0"/>
          <w:i/>
        </w:rPr>
      </w:pPr>
      <w:r>
        <w:t xml:space="preserve">Tabulka č. </w:t>
      </w:r>
      <w:fldSimple w:instr=" SEQ Tabulka_č._ \* ARABIC ">
        <w:r w:rsidR="003B4B7F">
          <w:rPr>
            <w:noProof/>
          </w:rPr>
          <w:t>19</w:t>
        </w:r>
      </w:fldSimple>
      <w:r>
        <w:rPr>
          <w:noProof/>
        </w:rPr>
        <w:t xml:space="preserve"> </w:t>
      </w:r>
      <w:r w:rsidR="0048025C">
        <w:t>Státní fond životního prostředí ČR</w:t>
      </w:r>
      <w:r w:rsidR="00F02E9F" w:rsidRPr="00BE375B">
        <w:t xml:space="preserve"> </w:t>
      </w:r>
      <w:r w:rsidR="00F02E9F" w:rsidRPr="00BE375B">
        <w:rPr>
          <w:b w:val="0"/>
          <w:i/>
        </w:rPr>
        <w:t>(v Kč)</w:t>
      </w:r>
    </w:p>
    <w:p w:rsidR="0048025C" w:rsidRDefault="00165919" w:rsidP="0052449E">
      <w:pPr>
        <w:ind w:firstLine="0"/>
        <w:jc w:val="left"/>
      </w:pPr>
      <w:r>
        <w:pict>
          <v:shape id="_x0000_i1053" type="#_x0000_t75" style="width:446.25pt;height:75.75pt">
            <v:imagedata r:id="rId54" o:title=""/>
          </v:shape>
        </w:pict>
      </w:r>
    </w:p>
    <w:p w:rsidR="006C55C7" w:rsidRPr="00D77888" w:rsidRDefault="006C55C7" w:rsidP="006C55C7">
      <w:pPr>
        <w:pStyle w:val="Nadpis2"/>
        <w:rPr>
          <w:rStyle w:val="Tuntext"/>
          <w:b/>
          <w:sz w:val="28"/>
        </w:rPr>
      </w:pPr>
      <w:bookmarkStart w:id="137" w:name="_Toc397357493"/>
      <w:r w:rsidRPr="00D77888">
        <w:rPr>
          <w:rStyle w:val="Tuntext"/>
          <w:b/>
          <w:sz w:val="28"/>
        </w:rPr>
        <w:t>Úhrnná bilance státních fondů</w:t>
      </w:r>
      <w:bookmarkEnd w:id="137"/>
      <w:r w:rsidRPr="00D77888">
        <w:rPr>
          <w:rStyle w:val="Tuntext"/>
          <w:b/>
          <w:sz w:val="28"/>
        </w:rPr>
        <w:t xml:space="preserve"> </w:t>
      </w:r>
    </w:p>
    <w:p w:rsidR="006C55C7" w:rsidRPr="0048025C" w:rsidRDefault="006C55C7" w:rsidP="00D56543">
      <w:pPr>
        <w:spacing w:after="0"/>
      </w:pPr>
      <w:r w:rsidRPr="007F7C0A">
        <w:t xml:space="preserve">Úhrnná celková bilance základních ukazatelů státních fondů je v rámci střednědobého </w:t>
      </w:r>
      <w:r>
        <w:t>výhledu</w:t>
      </w:r>
      <w:r w:rsidRPr="007F7C0A">
        <w:t xml:space="preserve"> na roky 2016 a 2017 uvedena spolu s návrhem rozpočtu na rok 2015 v následující tabulce</w:t>
      </w:r>
      <w:r>
        <w:t>.</w:t>
      </w:r>
    </w:p>
    <w:p w:rsidR="00F02E9F" w:rsidRPr="00BE375B" w:rsidRDefault="0052449E" w:rsidP="00D56543">
      <w:pPr>
        <w:pStyle w:val="Titulek"/>
        <w:spacing w:before="240"/>
        <w:jc w:val="left"/>
        <w:rPr>
          <w:rStyle w:val="Tuntext"/>
          <w:b/>
        </w:rPr>
      </w:pPr>
      <w:r>
        <w:lastRenderedPageBreak/>
        <w:t xml:space="preserve">Tabulka č. </w:t>
      </w:r>
      <w:fldSimple w:instr=" SEQ Tabulka_č._ \* ARABIC ">
        <w:r w:rsidR="003B4B7F">
          <w:rPr>
            <w:noProof/>
          </w:rPr>
          <w:t>20</w:t>
        </w:r>
      </w:fldSimple>
      <w:r>
        <w:rPr>
          <w:noProof/>
        </w:rPr>
        <w:t xml:space="preserve"> </w:t>
      </w:r>
      <w:r w:rsidR="00F02E9F" w:rsidRPr="00BE375B">
        <w:t>Úhrnná bila</w:t>
      </w:r>
      <w:r w:rsidR="00F02E9F">
        <w:t>nce státních fondů v letech 2015 až 2017</w:t>
      </w:r>
      <w:r w:rsidR="00F02E9F" w:rsidRPr="00BE375B">
        <w:t xml:space="preserve"> </w:t>
      </w:r>
      <w:r w:rsidR="00F02E9F" w:rsidRPr="00BE375B">
        <w:rPr>
          <w:b w:val="0"/>
          <w:i/>
        </w:rPr>
        <w:t>(v Kč)</w:t>
      </w:r>
    </w:p>
    <w:p w:rsidR="00A24FF5" w:rsidRDefault="008E78AA" w:rsidP="005620AE">
      <w:pPr>
        <w:ind w:firstLine="0"/>
        <w:jc w:val="left"/>
      </w:pPr>
      <w:r>
        <w:pict>
          <v:shape id="_x0000_i1054" type="#_x0000_t75" style="width:468.75pt;height:248.25pt">
            <v:imagedata r:id="rId55" o:title=""/>
          </v:shape>
        </w:pict>
      </w:r>
    </w:p>
    <w:p w:rsidR="00A24FF5" w:rsidRPr="00BE375B" w:rsidRDefault="00A24FF5" w:rsidP="00E90FB0">
      <w:pPr>
        <w:pStyle w:val="Nadpishlavnsti"/>
      </w:pPr>
      <w:bookmarkStart w:id="138" w:name="_Toc333680188"/>
      <w:bookmarkStart w:id="139" w:name="_Toc397357494"/>
      <w:r w:rsidRPr="006D5435">
        <w:lastRenderedPageBreak/>
        <w:t xml:space="preserve">D. </w:t>
      </w:r>
      <w:r w:rsidRPr="00BE375B">
        <w:t>Další vybrané údaje střednědobého výhledu na léta 201</w:t>
      </w:r>
      <w:r w:rsidR="00AD3E98">
        <w:t>6</w:t>
      </w:r>
      <w:r w:rsidRPr="00BE375B">
        <w:t xml:space="preserve"> a 201</w:t>
      </w:r>
      <w:bookmarkEnd w:id="129"/>
      <w:bookmarkEnd w:id="130"/>
      <w:bookmarkEnd w:id="138"/>
      <w:r w:rsidR="00AD3E98">
        <w:t>7</w:t>
      </w:r>
      <w:bookmarkEnd w:id="139"/>
    </w:p>
    <w:p w:rsidR="00A24FF5" w:rsidRPr="00D77888" w:rsidRDefault="00A24FF5" w:rsidP="002A1868">
      <w:pPr>
        <w:pStyle w:val="Nadpis1"/>
        <w:spacing w:line="240" w:lineRule="auto"/>
        <w:ind w:left="360" w:hanging="360"/>
      </w:pPr>
      <w:bookmarkStart w:id="140" w:name="_Toc239326968"/>
      <w:bookmarkStart w:id="141" w:name="_Toc333680189"/>
      <w:bookmarkStart w:id="142" w:name="_Toc206999989"/>
      <w:bookmarkStart w:id="143" w:name="_Toc241917810"/>
      <w:bookmarkStart w:id="144" w:name="_Toc397357495"/>
      <w:r w:rsidRPr="00D77888">
        <w:t>Výdaje na programy nebo projekty spolufinancované z rozp</w:t>
      </w:r>
      <w:r w:rsidR="00AD3E98" w:rsidRPr="00D77888">
        <w:t>očtu Evropské unie v letech 2016</w:t>
      </w:r>
      <w:r w:rsidRPr="00D77888">
        <w:t xml:space="preserve"> až </w:t>
      </w:r>
      <w:bookmarkEnd w:id="140"/>
      <w:r w:rsidRPr="00D77888">
        <w:t>201</w:t>
      </w:r>
      <w:bookmarkEnd w:id="141"/>
      <w:r w:rsidR="00AD3E98" w:rsidRPr="00D77888">
        <w:t>7</w:t>
      </w:r>
      <w:bookmarkEnd w:id="144"/>
    </w:p>
    <w:p w:rsidR="00A24FF5" w:rsidRPr="002A1868" w:rsidRDefault="00A24FF5" w:rsidP="002A1868"/>
    <w:p w:rsidR="00AD3E98" w:rsidRDefault="00AD3E98" w:rsidP="00AD3E98">
      <w:r>
        <w:t xml:space="preserve">Skutečné výdaje státního rozpočtu na předfinancování prostředků EU v letech </w:t>
      </w:r>
      <w:smartTag w:uri="urn:schemas-microsoft-com:office:smarttags" w:element="metricconverter">
        <w:smartTagPr>
          <w:attr w:name="ProductID" w:val="2016 a"/>
        </w:smartTagPr>
        <w:r>
          <w:t>2016 a</w:t>
        </w:r>
        <w:r w:rsidR="009633B2">
          <w:t> </w:t>
        </w:r>
      </w:smartTag>
      <w:r w:rsidR="000370B7">
        <w:t>2017 na programy období 2007 -</w:t>
      </w:r>
      <w:r>
        <w:t xml:space="preserve"> 2013 by měly mít oproti skutečnosti roku 2015 výrazně klesající trend. Tento vývoj plyne z uplatnění pravidla n+2, podle něhož příjemci pomoci  z EU budou muset uhradit faktury svým dodavatelům do 31. prosince </w:t>
      </w:r>
      <w:smartTag w:uri="urn:schemas-microsoft-com:office:smarttags" w:element="metricconverter">
        <w:smartTagPr>
          <w:attr w:name="ProductID" w:val="2015 a"/>
        </w:smartTagPr>
        <w:r>
          <w:t>2015 a</w:t>
        </w:r>
      </w:smartTag>
      <w:r>
        <w:t xml:space="preserve"> pouze tyto výdaje bude možno nárokovat k proplacení z evropských strukturálních fondů a Fondu soudržnosti.  V roce 2016 by tak mohly být </w:t>
      </w:r>
      <w:r w:rsidRPr="00CB67A3">
        <w:t>zaznamenány pou</w:t>
      </w:r>
      <w:r w:rsidR="007B569B">
        <w:t>ze ty výdaje prostředků EU ze státního rozpočtu</w:t>
      </w:r>
      <w:r w:rsidRPr="00CB67A3">
        <w:t>, pokud příjemce</w:t>
      </w:r>
      <w:r>
        <w:t xml:space="preserve"> bude přijímat prostředky předfinan</w:t>
      </w:r>
      <w:r w:rsidR="007B569B">
        <w:t>cování ze státního rozpočtu</w:t>
      </w:r>
      <w:r>
        <w:t xml:space="preserve"> formou ex-post plateb a tudíž nejprve do 31.12.2015 musí uskutečnit příslušnou platbu svými prostředky, které mu budou dodatečně po 31.12.2015 ze</w:t>
      </w:r>
      <w:r w:rsidR="009633B2">
        <w:t> </w:t>
      </w:r>
      <w:r w:rsidR="007B569B">
        <w:t>státního rozpočtu</w:t>
      </w:r>
      <w:r>
        <w:t xml:space="preserve"> proplaceny. Tento postup by však neměl převažovat a v roce 2017 by se již prakticky žádné plat</w:t>
      </w:r>
      <w:r w:rsidR="007B569B">
        <w:t>by ze státního rozpočtu</w:t>
      </w:r>
      <w:r>
        <w:t xml:space="preserve"> </w:t>
      </w:r>
      <w:r w:rsidR="009633B2">
        <w:t>v tomto</w:t>
      </w:r>
      <w:r>
        <w:t xml:space="preserve"> programové</w:t>
      </w:r>
      <w:r w:rsidR="009633B2">
        <w:t>m</w:t>
      </w:r>
      <w:r>
        <w:t xml:space="preserve"> období neměly vyskytovat. </w:t>
      </w:r>
    </w:p>
    <w:p w:rsidR="00AD3E98" w:rsidRDefault="00AD3E98" w:rsidP="00AD3E98">
      <w:r>
        <w:t xml:space="preserve">Odlišný od vývoje výdajů bude v letech </w:t>
      </w:r>
      <w:smartTag w:uri="urn:schemas-microsoft-com:office:smarttags" w:element="metricconverter">
        <w:smartTagPr>
          <w:attr w:name="ProductID" w:val="2016 a"/>
        </w:smartTagPr>
        <w:r>
          <w:t>2016 a</w:t>
        </w:r>
      </w:smartTag>
      <w:r>
        <w:t xml:space="preserve"> 2017 skutečný vývoj příjmů prostředků za</w:t>
      </w:r>
      <w:r w:rsidR="009633B2">
        <w:t> </w:t>
      </w:r>
      <w:r>
        <w:t>programy fondů EU období 2007 - 2013 do státního rozpočtu</w:t>
      </w:r>
      <w:r>
        <w:rPr>
          <w:rStyle w:val="Znakapoznpodarou"/>
        </w:rPr>
        <w:footnoteReference w:id="7"/>
      </w:r>
      <w:r>
        <w:t xml:space="preserve">. Ten by měl </w:t>
      </w:r>
      <w:r w:rsidR="00933A7E">
        <w:t xml:space="preserve">být </w:t>
      </w:r>
      <w:r>
        <w:t>odvozen od</w:t>
      </w:r>
      <w:r w:rsidR="009633B2">
        <w:t> </w:t>
      </w:r>
      <w:r>
        <w:t xml:space="preserve">průběhu realizovaných rozpočtových příjmů v letech </w:t>
      </w:r>
      <w:smartTag w:uri="urn:schemas-microsoft-com:office:smarttags" w:element="metricconverter">
        <w:smartTagPr>
          <w:attr w:name="ProductID" w:val="2014 a"/>
        </w:smartTagPr>
        <w:r>
          <w:t>2014 a</w:t>
        </w:r>
      </w:smartTag>
      <w:r>
        <w:t xml:space="preserve"> 2015 (pochopitelně i za předešlé roky), ve kterých by tyto příjmové položky měly kulminovat. Záporný vliv na výši příjmů bude představovat objem prostředků za programy, které se nepodaří do konce roku 2015 vyčerpat  (výše nevyčerpaných prostředků bude dána kumulací částek za nečerpané alokace let 2011 až 2013 projevujících se s ohledem na pravidlo n+2 s 2-letým zpožděním) a Česká republika o tyto evropské prostředky nenávratně přijde. V současnosti lze zaznamenat zvýšenou snahu řídících orgánů v maximální míře eliminovat dopady negativního vývoje, který p</w:t>
      </w:r>
      <w:r w:rsidR="007B569B">
        <w:t>oznamenal i výdajovou stránku státního rozpočtu</w:t>
      </w:r>
      <w:r>
        <w:t xml:space="preserve">, a realizovat minimální ztrátu na alokovaných prostředcích. </w:t>
      </w:r>
    </w:p>
    <w:p w:rsidR="00AD3E98" w:rsidRDefault="001B3C16" w:rsidP="00AD3E98">
      <w:r>
        <w:lastRenderedPageBreak/>
        <w:t xml:space="preserve">V rámci </w:t>
      </w:r>
      <w:r w:rsidR="00AD3E98" w:rsidRPr="000A0996">
        <w:t xml:space="preserve">nového programového období 2014 </w:t>
      </w:r>
      <w:r w:rsidR="000370B7">
        <w:t>-</w:t>
      </w:r>
      <w:r w:rsidR="00AD3E98" w:rsidRPr="000A0996">
        <w:t xml:space="preserve"> 2020</w:t>
      </w:r>
      <w:r>
        <w:t xml:space="preserve"> má</w:t>
      </w:r>
      <w:r w:rsidR="00AD3E98">
        <w:t xml:space="preserve"> Česká republika nárok vyčerpat alokaci ve výši 23,1 mld. EUR</w:t>
      </w:r>
      <w:r>
        <w:t xml:space="preserve"> na Politiku soudržnosti</w:t>
      </w:r>
      <w:r w:rsidR="00AD3E98">
        <w:t>. Tato částka obsahuje i převod prostředků ve výši 1,1 mld. EUR do Nástroje pro propojení Evropy. Zásadním dokumentem v oblasti čerpání prostředků Politiky soudržnosti je Dohoda o partnerství, která definuje rozdělení prostředků na jednotlivé operační programy a stanoví rámec pro budoucí charakter intervencí. Dohoda o partnerství byla předložena Evropské komisi ke schválení</w:t>
      </w:r>
      <w:r>
        <w:t xml:space="preserve"> na začátku srpna 2014</w:t>
      </w:r>
      <w:r w:rsidR="00AD3E98">
        <w:t xml:space="preserve">. Současně probíhá projednávání nových operačních programů, jejichž schválení  se očekává ke konci roku </w:t>
      </w:r>
      <w:smartTag w:uri="urn:schemas-microsoft-com:office:smarttags" w:element="metricconverter">
        <w:smartTagPr>
          <w:attr w:name="ProductID" w:val="2014 a"/>
        </w:smartTagPr>
        <w:r w:rsidR="00AD3E98">
          <w:t>2014 a</w:t>
        </w:r>
      </w:smartTag>
      <w:r w:rsidR="00AD3E98">
        <w:t xml:space="preserve">  na začátku roku 2015.</w:t>
      </w:r>
    </w:p>
    <w:p w:rsidR="00AD3E98" w:rsidRDefault="00AD3E98" w:rsidP="00AD3E98">
      <w:r>
        <w:t xml:space="preserve">S ohledem na vývoj přípravy operačních programů a jejich schvalování předpokládáme, že významnější náběh předfinancování programů období 2014 - 2020 zůstává reálný až od roku 2016. </w:t>
      </w:r>
      <w:r w:rsidR="009633B2">
        <w:t>Je nutno podotknout</w:t>
      </w:r>
      <w:r w:rsidR="005620AE">
        <w:t>, že beze změn zůstává</w:t>
      </w:r>
      <w:r>
        <w:t xml:space="preserve"> způsob př</w:t>
      </w:r>
      <w:r w:rsidR="007B569B">
        <w:t>edfinancování výdajů ze státního rozpočtu</w:t>
      </w:r>
      <w:r w:rsidR="00C83E6C">
        <w:t xml:space="preserve"> i při</w:t>
      </w:r>
      <w:r w:rsidR="007B569B">
        <w:t>jímání prostředků z EU do státního rozpočtu</w:t>
      </w:r>
      <w:r>
        <w:t xml:space="preserve"> prostřednictvím Národního fondu, takže realizace rozpočtových příjmů bude opět probíhat s určitým odstupem od uskutečněných výdajů. </w:t>
      </w:r>
    </w:p>
    <w:p w:rsidR="00AD3E98" w:rsidRDefault="00AD3E98" w:rsidP="00AD3E98">
      <w:r>
        <w:t>Pokud jde o míru podílu ČR na financování programů, byly usnesením vlády ČR č. 583 z</w:t>
      </w:r>
      <w:r w:rsidR="00DC0E83">
        <w:t>e</w:t>
      </w:r>
      <w:r w:rsidR="0011364B">
        <w:t> </w:t>
      </w:r>
      <w:r>
        <w:t xml:space="preserve">14. července 2014 stanoveny minimální procentní hodnoty účasti příjemců pomoci a současně maximální výše podílu státního rozpočtu. Obě tyto hodnoty by měly být respektovány při přípravě návrhů státního rozpočtu do budoucna.  </w:t>
      </w:r>
    </w:p>
    <w:p w:rsidR="00AD3E98" w:rsidRDefault="00AD3E98" w:rsidP="00AD3E98">
      <w:r w:rsidRPr="00FA101E">
        <w:t xml:space="preserve">Financování </w:t>
      </w:r>
      <w:r w:rsidRPr="0057283D">
        <w:t>Společné zemědělské politiky je tvořeno dvěma hlavními zdroji: přímými platbami a prostředky na rozvoj venkova. Předfinancování přímých plateb</w:t>
      </w:r>
      <w:r w:rsidRPr="00FA101E">
        <w:t xml:space="preserve"> ze státního rozpočtu je na období roku </w:t>
      </w:r>
      <w:smartTag w:uri="urn:schemas-microsoft-com:office:smarttags" w:element="metricconverter">
        <w:smartTagPr>
          <w:attr w:name="ProductID" w:val="2016 a"/>
        </w:smartTagPr>
        <w:r w:rsidRPr="00FA101E">
          <w:t>201</w:t>
        </w:r>
        <w:r>
          <w:t>6</w:t>
        </w:r>
        <w:r w:rsidRPr="00FA101E">
          <w:t xml:space="preserve"> a</w:t>
        </w:r>
      </w:smartTag>
      <w:r w:rsidRPr="00FA101E">
        <w:t xml:space="preserve"> 201</w:t>
      </w:r>
      <w:r>
        <w:t>7</w:t>
      </w:r>
      <w:r w:rsidRPr="00FA101E">
        <w:t xml:space="preserve"> stanoveno na základě schválených alokací</w:t>
      </w:r>
      <w:r>
        <w:t>, které</w:t>
      </w:r>
      <w:r w:rsidRPr="00FA101E">
        <w:t xml:space="preserve"> ČR na přímé platby a na rozvoj venkova </w:t>
      </w:r>
      <w:r>
        <w:t>v</w:t>
      </w:r>
      <w:r w:rsidRPr="00FA101E">
        <w:t xml:space="preserve"> období 2014 </w:t>
      </w:r>
      <w:r w:rsidR="00C83E6C">
        <w:t>-</w:t>
      </w:r>
      <w:r w:rsidRPr="00FA101E">
        <w:t xml:space="preserve"> 2020</w:t>
      </w:r>
      <w:r>
        <w:t xml:space="preserve"> může čerpat</w:t>
      </w:r>
      <w:r w:rsidRPr="00FA101E">
        <w:t xml:space="preserve">.  Z rozpočtu EU jsou přímé platby propláceny vždy až v roce následujícím po roce jejich vyplacení ze státního rozpočtu. </w:t>
      </w:r>
      <w:r>
        <w:t>Co se týká míry spolufinancování EU,  v případě Evropského zemědělského fondu pro rozvoj venkova a</w:t>
      </w:r>
      <w:r w:rsidR="009633B2">
        <w:t> </w:t>
      </w:r>
      <w:r>
        <w:t>Evropského námořního a rybářského fondu je míra evropského spolufinancování stanovena na</w:t>
      </w:r>
      <w:r w:rsidR="009633B2">
        <w:t> </w:t>
      </w:r>
      <w:r>
        <w:t xml:space="preserve">75 %. </w:t>
      </w:r>
    </w:p>
    <w:p w:rsidR="00AD3E98" w:rsidRDefault="00AD3E98" w:rsidP="00AD3E98">
      <w:r>
        <w:t>Pro přepočet částek do Kč je použit kurz dle Makroekonomické predikce MF z července 2014.</w:t>
      </w:r>
    </w:p>
    <w:p w:rsidR="00AD3E98" w:rsidRDefault="00AD3E98" w:rsidP="00AD3E98">
      <w:r>
        <w:t xml:space="preserve">Předpokládané financování politik EU vyvolávajících předfinancování prostředků fondů EU v letech </w:t>
      </w:r>
      <w:smartTag w:uri="urn:schemas-microsoft-com:office:smarttags" w:element="metricconverter">
        <w:smartTagPr>
          <w:attr w:name="ProductID" w:val="2016 a"/>
        </w:smartTagPr>
        <w:r>
          <w:t>2016 a</w:t>
        </w:r>
      </w:smartTag>
      <w:r>
        <w:t xml:space="preserve"> 2017 je obsaženo v následující tabulce, přičemž v těchto letech již </w:t>
      </w:r>
      <w:r>
        <w:lastRenderedPageBreak/>
        <w:t>neočekáváme významnější dopad z hlediska výdajů program</w:t>
      </w:r>
      <w:r w:rsidR="000370B7">
        <w:t>ového období 2007 -</w:t>
      </w:r>
      <w:r>
        <w:t xml:space="preserve"> </w:t>
      </w:r>
      <w:smartTag w:uri="urn:schemas-microsoft-com:office:smarttags" w:element="metricconverter">
        <w:smartTagPr>
          <w:attr w:name="ProductID" w:val="2013, a"/>
        </w:smartTagPr>
        <w:r>
          <w:t>2013, a</w:t>
        </w:r>
      </w:smartTag>
      <w:r>
        <w:t xml:space="preserve"> proto není tento vliv v</w:t>
      </w:r>
      <w:r w:rsidR="0057283D">
        <w:t xml:space="preserve"> tabulce již blíže specifikován.</w:t>
      </w:r>
      <w:r>
        <w:t xml:space="preserve">  </w:t>
      </w:r>
    </w:p>
    <w:p w:rsidR="00A24FF5" w:rsidRPr="006E35BF" w:rsidRDefault="0052449E" w:rsidP="0057283D">
      <w:pPr>
        <w:pStyle w:val="Titulek"/>
        <w:spacing w:before="240"/>
        <w:ind w:left="1560" w:hanging="1560"/>
        <w:jc w:val="left"/>
        <w:rPr>
          <w:b w:val="0"/>
          <w:i/>
        </w:rPr>
      </w:pPr>
      <w:r>
        <w:t xml:space="preserve">Tabulka č. </w:t>
      </w:r>
      <w:fldSimple w:instr=" SEQ Tabulka_č._ \* ARABIC ">
        <w:r w:rsidR="003B4B7F">
          <w:rPr>
            <w:noProof/>
          </w:rPr>
          <w:t>21</w:t>
        </w:r>
      </w:fldSimple>
      <w:r>
        <w:rPr>
          <w:noProof/>
        </w:rPr>
        <w:t xml:space="preserve"> </w:t>
      </w:r>
      <w:r w:rsidR="0057283D">
        <w:rPr>
          <w:noProof/>
        </w:rPr>
        <w:t xml:space="preserve"> </w:t>
      </w:r>
      <w:r w:rsidR="00A24FF5" w:rsidRPr="00BE375B">
        <w:t>Odhad skutečných výdajů státního rozpočtu na předfina</w:t>
      </w:r>
      <w:r w:rsidR="00AD3E98">
        <w:t>ncování politik EU v letech 2016 a 2017</w:t>
      </w:r>
      <w:r w:rsidR="00A24FF5" w:rsidRPr="00BE375B">
        <w:t xml:space="preserve"> </w:t>
      </w:r>
      <w:r w:rsidR="00A24FF5" w:rsidRPr="00BE375B">
        <w:rPr>
          <w:b w:val="0"/>
          <w:i/>
        </w:rPr>
        <w:t>(v mil. Kč)</w:t>
      </w:r>
    </w:p>
    <w:tbl>
      <w:tblPr>
        <w:tblpPr w:leftFromText="141" w:rightFromText="141" w:vertAnchor="text" w:tblpY="1"/>
        <w:tblOverlap w:val="never"/>
        <w:tblW w:w="7780" w:type="dxa"/>
        <w:tblCellMar>
          <w:left w:w="70" w:type="dxa"/>
          <w:right w:w="70" w:type="dxa"/>
        </w:tblCellMar>
        <w:tblLook w:val="0000" w:firstRow="0" w:lastRow="0" w:firstColumn="0" w:lastColumn="0" w:noHBand="0" w:noVBand="0"/>
      </w:tblPr>
      <w:tblGrid>
        <w:gridCol w:w="4748"/>
        <w:gridCol w:w="1252"/>
        <w:gridCol w:w="1780"/>
      </w:tblGrid>
      <w:tr w:rsidR="00AD3E98" w:rsidRPr="00EC3BC0" w:rsidTr="0052449E">
        <w:trPr>
          <w:trHeight w:val="270"/>
        </w:trPr>
        <w:tc>
          <w:tcPr>
            <w:tcW w:w="4748" w:type="dxa"/>
            <w:tcBorders>
              <w:top w:val="single" w:sz="8" w:space="0" w:color="auto"/>
              <w:left w:val="single" w:sz="8" w:space="0" w:color="auto"/>
              <w:bottom w:val="single" w:sz="8" w:space="0" w:color="auto"/>
              <w:right w:val="single" w:sz="4" w:space="0" w:color="auto"/>
            </w:tcBorders>
            <w:shd w:val="clear" w:color="auto" w:fill="CCFFCC"/>
            <w:noWrap/>
            <w:vAlign w:val="bottom"/>
          </w:tcPr>
          <w:p w:rsidR="00AD3E98" w:rsidRPr="009963F9" w:rsidRDefault="00AD3E98" w:rsidP="00AD3E98">
            <w:pPr>
              <w:spacing w:before="0" w:after="0" w:line="240" w:lineRule="auto"/>
              <w:ind w:firstLine="0"/>
              <w:jc w:val="left"/>
              <w:rPr>
                <w:b/>
                <w:bCs/>
                <w:sz w:val="22"/>
                <w:szCs w:val="22"/>
              </w:rPr>
            </w:pPr>
            <w:r w:rsidRPr="009963F9">
              <w:rPr>
                <w:b/>
                <w:sz w:val="22"/>
                <w:szCs w:val="22"/>
              </w:rPr>
              <w:t>Programové období 2014 - 2020</w:t>
            </w:r>
          </w:p>
        </w:tc>
        <w:tc>
          <w:tcPr>
            <w:tcW w:w="1252" w:type="dxa"/>
            <w:tcBorders>
              <w:top w:val="single" w:sz="8" w:space="0" w:color="auto"/>
              <w:left w:val="nil"/>
              <w:bottom w:val="single" w:sz="8" w:space="0" w:color="auto"/>
              <w:right w:val="single" w:sz="4" w:space="0" w:color="auto"/>
            </w:tcBorders>
            <w:shd w:val="clear" w:color="auto" w:fill="CCFFCC"/>
            <w:noWrap/>
            <w:vAlign w:val="bottom"/>
          </w:tcPr>
          <w:p w:rsidR="00AD3E98" w:rsidRPr="009963F9" w:rsidRDefault="00AD3E98" w:rsidP="00AD3E98">
            <w:pPr>
              <w:spacing w:before="0" w:after="0" w:line="240" w:lineRule="auto"/>
              <w:ind w:firstLine="0"/>
              <w:jc w:val="center"/>
              <w:rPr>
                <w:b/>
                <w:bCs/>
                <w:sz w:val="22"/>
                <w:szCs w:val="22"/>
              </w:rPr>
            </w:pPr>
            <w:r w:rsidRPr="009963F9">
              <w:rPr>
                <w:b/>
                <w:sz w:val="22"/>
                <w:szCs w:val="22"/>
              </w:rPr>
              <w:t>2016</w:t>
            </w:r>
          </w:p>
        </w:tc>
        <w:tc>
          <w:tcPr>
            <w:tcW w:w="1780" w:type="dxa"/>
            <w:tcBorders>
              <w:top w:val="single" w:sz="8" w:space="0" w:color="auto"/>
              <w:left w:val="nil"/>
              <w:bottom w:val="single" w:sz="8" w:space="0" w:color="auto"/>
              <w:right w:val="single" w:sz="8" w:space="0" w:color="auto"/>
            </w:tcBorders>
            <w:shd w:val="clear" w:color="auto" w:fill="CCFFCC"/>
            <w:noWrap/>
            <w:vAlign w:val="bottom"/>
          </w:tcPr>
          <w:p w:rsidR="00AD3E98" w:rsidRPr="009963F9" w:rsidRDefault="00AD3E98" w:rsidP="00AD3E98">
            <w:pPr>
              <w:spacing w:before="0" w:after="0" w:line="240" w:lineRule="auto"/>
              <w:ind w:firstLine="0"/>
              <w:jc w:val="center"/>
              <w:rPr>
                <w:b/>
                <w:bCs/>
                <w:sz w:val="22"/>
                <w:szCs w:val="22"/>
              </w:rPr>
            </w:pPr>
            <w:r w:rsidRPr="009963F9">
              <w:rPr>
                <w:b/>
                <w:sz w:val="22"/>
                <w:szCs w:val="22"/>
              </w:rPr>
              <w:t>2017</w:t>
            </w:r>
          </w:p>
        </w:tc>
      </w:tr>
      <w:tr w:rsidR="00AD3E98" w:rsidRPr="00EC3BC0" w:rsidTr="0052449E">
        <w:trPr>
          <w:trHeight w:val="255"/>
        </w:trPr>
        <w:tc>
          <w:tcPr>
            <w:tcW w:w="4748" w:type="dxa"/>
            <w:tcBorders>
              <w:top w:val="nil"/>
              <w:left w:val="single" w:sz="8" w:space="0" w:color="auto"/>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sz w:val="22"/>
                <w:szCs w:val="22"/>
              </w:rPr>
            </w:pPr>
            <w:r>
              <w:rPr>
                <w:sz w:val="22"/>
                <w:szCs w:val="22"/>
              </w:rPr>
              <w:t>Strukturální fondy</w:t>
            </w:r>
          </w:p>
        </w:tc>
        <w:tc>
          <w:tcPr>
            <w:tcW w:w="1252" w:type="dxa"/>
            <w:tcBorders>
              <w:top w:val="nil"/>
              <w:left w:val="nil"/>
              <w:bottom w:val="single" w:sz="4" w:space="0" w:color="auto"/>
              <w:right w:val="single" w:sz="4"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r>
              <w:rPr>
                <w:sz w:val="22"/>
                <w:szCs w:val="22"/>
              </w:rPr>
              <w:t>38 000</w:t>
            </w:r>
          </w:p>
        </w:tc>
        <w:tc>
          <w:tcPr>
            <w:tcW w:w="1780" w:type="dxa"/>
            <w:tcBorders>
              <w:top w:val="nil"/>
              <w:left w:val="nil"/>
              <w:bottom w:val="single" w:sz="4" w:space="0" w:color="auto"/>
              <w:right w:val="single" w:sz="8"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r>
              <w:rPr>
                <w:sz w:val="22"/>
                <w:szCs w:val="22"/>
              </w:rPr>
              <w:t>47 500</w:t>
            </w:r>
          </w:p>
        </w:tc>
      </w:tr>
      <w:tr w:rsidR="00AD3E98" w:rsidRPr="00EC3BC0" w:rsidTr="0052449E">
        <w:trPr>
          <w:trHeight w:val="255"/>
        </w:trPr>
        <w:tc>
          <w:tcPr>
            <w:tcW w:w="4748" w:type="dxa"/>
            <w:tcBorders>
              <w:top w:val="nil"/>
              <w:left w:val="single" w:sz="8" w:space="0" w:color="auto"/>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sz w:val="22"/>
                <w:szCs w:val="22"/>
              </w:rPr>
            </w:pPr>
            <w:r>
              <w:rPr>
                <w:sz w:val="22"/>
                <w:szCs w:val="22"/>
              </w:rPr>
              <w:t>Fond soudržnosti</w:t>
            </w:r>
          </w:p>
        </w:tc>
        <w:tc>
          <w:tcPr>
            <w:tcW w:w="1252" w:type="dxa"/>
            <w:tcBorders>
              <w:top w:val="nil"/>
              <w:left w:val="nil"/>
              <w:bottom w:val="single" w:sz="4" w:space="0" w:color="auto"/>
              <w:right w:val="single" w:sz="4"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r>
              <w:rPr>
                <w:sz w:val="22"/>
                <w:szCs w:val="22"/>
              </w:rPr>
              <w:t>15 500</w:t>
            </w:r>
          </w:p>
        </w:tc>
        <w:tc>
          <w:tcPr>
            <w:tcW w:w="1780" w:type="dxa"/>
            <w:tcBorders>
              <w:top w:val="nil"/>
              <w:left w:val="nil"/>
              <w:bottom w:val="single" w:sz="4" w:space="0" w:color="auto"/>
              <w:right w:val="single" w:sz="8"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r>
              <w:rPr>
                <w:sz w:val="22"/>
                <w:szCs w:val="22"/>
              </w:rPr>
              <w:t>19 000</w:t>
            </w:r>
          </w:p>
        </w:tc>
      </w:tr>
      <w:tr w:rsidR="00AD3E98" w:rsidRPr="00EC3BC0" w:rsidTr="0052449E">
        <w:trPr>
          <w:trHeight w:val="255"/>
        </w:trPr>
        <w:tc>
          <w:tcPr>
            <w:tcW w:w="4748" w:type="dxa"/>
            <w:tcBorders>
              <w:top w:val="nil"/>
              <w:left w:val="single" w:sz="8" w:space="0" w:color="auto"/>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sz w:val="22"/>
                <w:szCs w:val="22"/>
              </w:rPr>
            </w:pPr>
            <w:r w:rsidRPr="00EC3BC0">
              <w:rPr>
                <w:b/>
                <w:bCs/>
                <w:sz w:val="22"/>
                <w:szCs w:val="22"/>
              </w:rPr>
              <w:t xml:space="preserve">Celkem strukturální fondy a </w:t>
            </w:r>
            <w:r>
              <w:rPr>
                <w:b/>
                <w:bCs/>
                <w:sz w:val="22"/>
                <w:szCs w:val="22"/>
              </w:rPr>
              <w:t>Fond soudržnosti</w:t>
            </w:r>
          </w:p>
        </w:tc>
        <w:tc>
          <w:tcPr>
            <w:tcW w:w="1252" w:type="dxa"/>
            <w:tcBorders>
              <w:top w:val="nil"/>
              <w:left w:val="nil"/>
              <w:bottom w:val="single" w:sz="4" w:space="0" w:color="auto"/>
              <w:right w:val="single" w:sz="4" w:space="0" w:color="auto"/>
            </w:tcBorders>
            <w:shd w:val="clear" w:color="auto" w:fill="auto"/>
            <w:noWrap/>
            <w:vAlign w:val="bottom"/>
          </w:tcPr>
          <w:p w:rsidR="00AD3E98" w:rsidRPr="007E5862" w:rsidRDefault="00AD3E98" w:rsidP="00AD3E98">
            <w:pPr>
              <w:spacing w:before="0" w:after="0" w:line="240" w:lineRule="auto"/>
              <w:ind w:firstLine="0"/>
              <w:jc w:val="right"/>
              <w:rPr>
                <w:b/>
                <w:sz w:val="22"/>
                <w:szCs w:val="22"/>
              </w:rPr>
            </w:pPr>
            <w:r>
              <w:rPr>
                <w:b/>
                <w:sz w:val="22"/>
                <w:szCs w:val="22"/>
              </w:rPr>
              <w:t>53</w:t>
            </w:r>
            <w:r w:rsidRPr="007E5862">
              <w:rPr>
                <w:b/>
                <w:sz w:val="22"/>
                <w:szCs w:val="22"/>
              </w:rPr>
              <w:t xml:space="preserve"> </w:t>
            </w:r>
            <w:r>
              <w:rPr>
                <w:b/>
                <w:sz w:val="22"/>
                <w:szCs w:val="22"/>
              </w:rPr>
              <w:t>5</w:t>
            </w:r>
            <w:r w:rsidRPr="007E5862">
              <w:rPr>
                <w:b/>
                <w:sz w:val="22"/>
                <w:szCs w:val="22"/>
              </w:rPr>
              <w:t>00</w:t>
            </w:r>
          </w:p>
        </w:tc>
        <w:tc>
          <w:tcPr>
            <w:tcW w:w="1780" w:type="dxa"/>
            <w:tcBorders>
              <w:top w:val="nil"/>
              <w:left w:val="nil"/>
              <w:bottom w:val="single" w:sz="4" w:space="0" w:color="auto"/>
              <w:right w:val="single" w:sz="8" w:space="0" w:color="auto"/>
            </w:tcBorders>
            <w:shd w:val="clear" w:color="auto" w:fill="auto"/>
            <w:noWrap/>
            <w:vAlign w:val="bottom"/>
          </w:tcPr>
          <w:p w:rsidR="00AD3E98" w:rsidRPr="007E5862" w:rsidRDefault="00AD3E98" w:rsidP="00AD3E98">
            <w:pPr>
              <w:spacing w:before="0" w:after="0" w:line="240" w:lineRule="auto"/>
              <w:ind w:firstLine="0"/>
              <w:jc w:val="right"/>
              <w:rPr>
                <w:b/>
                <w:sz w:val="22"/>
                <w:szCs w:val="22"/>
              </w:rPr>
            </w:pPr>
            <w:r>
              <w:rPr>
                <w:b/>
                <w:sz w:val="22"/>
                <w:szCs w:val="22"/>
              </w:rPr>
              <w:t>66</w:t>
            </w:r>
            <w:r w:rsidRPr="007E5862">
              <w:rPr>
                <w:b/>
                <w:sz w:val="22"/>
                <w:szCs w:val="22"/>
              </w:rPr>
              <w:t xml:space="preserve"> </w:t>
            </w:r>
            <w:r>
              <w:rPr>
                <w:b/>
                <w:sz w:val="22"/>
                <w:szCs w:val="22"/>
              </w:rPr>
              <w:t>5</w:t>
            </w:r>
            <w:r w:rsidRPr="007E5862">
              <w:rPr>
                <w:b/>
                <w:sz w:val="22"/>
                <w:szCs w:val="22"/>
              </w:rPr>
              <w:t>00</w:t>
            </w:r>
          </w:p>
        </w:tc>
      </w:tr>
      <w:tr w:rsidR="00AD3E98" w:rsidRPr="00EC3BC0" w:rsidTr="0052449E">
        <w:trPr>
          <w:trHeight w:val="255"/>
        </w:trPr>
        <w:tc>
          <w:tcPr>
            <w:tcW w:w="4748" w:type="dxa"/>
            <w:tcBorders>
              <w:top w:val="single" w:sz="4" w:space="0" w:color="auto"/>
              <w:left w:val="single" w:sz="4" w:space="0" w:color="auto"/>
              <w:bottom w:val="single" w:sz="4" w:space="0" w:color="auto"/>
            </w:tcBorders>
            <w:shd w:val="clear" w:color="auto" w:fill="auto"/>
            <w:noWrap/>
            <w:vAlign w:val="bottom"/>
          </w:tcPr>
          <w:p w:rsidR="00AD3E98" w:rsidRPr="007E5862" w:rsidRDefault="00AD3E98" w:rsidP="00AD3E98">
            <w:pPr>
              <w:spacing w:before="0" w:after="0" w:line="240" w:lineRule="auto"/>
              <w:ind w:firstLine="0"/>
              <w:jc w:val="left"/>
              <w:rPr>
                <w:b/>
                <w:sz w:val="22"/>
                <w:szCs w:val="22"/>
              </w:rPr>
            </w:pPr>
          </w:p>
        </w:tc>
        <w:tc>
          <w:tcPr>
            <w:tcW w:w="1252" w:type="dxa"/>
            <w:tcBorders>
              <w:top w:val="single" w:sz="4" w:space="0" w:color="auto"/>
              <w:bottom w:val="single" w:sz="4"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p>
        </w:tc>
        <w:tc>
          <w:tcPr>
            <w:tcW w:w="1780" w:type="dxa"/>
            <w:tcBorders>
              <w:top w:val="single" w:sz="4" w:space="0" w:color="auto"/>
              <w:bottom w:val="single" w:sz="4" w:space="0" w:color="auto"/>
              <w:right w:val="single" w:sz="4"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p>
        </w:tc>
      </w:tr>
      <w:tr w:rsidR="00AD3E98" w:rsidRPr="00EC3BC0" w:rsidTr="0052449E">
        <w:trPr>
          <w:trHeight w:val="255"/>
        </w:trPr>
        <w:tc>
          <w:tcPr>
            <w:tcW w:w="4748" w:type="dxa"/>
            <w:tcBorders>
              <w:top w:val="single" w:sz="4" w:space="0" w:color="auto"/>
              <w:left w:val="single" w:sz="8" w:space="0" w:color="auto"/>
              <w:bottom w:val="single" w:sz="4" w:space="0" w:color="auto"/>
              <w:right w:val="single" w:sz="4" w:space="0" w:color="auto"/>
            </w:tcBorders>
            <w:shd w:val="clear" w:color="auto" w:fill="auto"/>
            <w:noWrap/>
            <w:vAlign w:val="bottom"/>
          </w:tcPr>
          <w:p w:rsidR="00AD3E98" w:rsidRPr="007E5862" w:rsidRDefault="00AD3E98" w:rsidP="00AD3E98">
            <w:pPr>
              <w:spacing w:before="0" w:after="0" w:line="240" w:lineRule="auto"/>
              <w:ind w:firstLine="0"/>
              <w:jc w:val="left"/>
              <w:rPr>
                <w:b/>
                <w:sz w:val="22"/>
                <w:szCs w:val="22"/>
              </w:rPr>
            </w:pPr>
            <w:r w:rsidRPr="007E5862">
              <w:rPr>
                <w:b/>
                <w:sz w:val="22"/>
                <w:szCs w:val="22"/>
              </w:rPr>
              <w:t>Společná zemědělská politika</w:t>
            </w:r>
          </w:p>
        </w:tc>
        <w:tc>
          <w:tcPr>
            <w:tcW w:w="1252" w:type="dxa"/>
            <w:tcBorders>
              <w:top w:val="single" w:sz="4" w:space="0" w:color="auto"/>
              <w:left w:val="nil"/>
              <w:bottom w:val="single" w:sz="4" w:space="0" w:color="auto"/>
              <w:right w:val="single" w:sz="4"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p>
        </w:tc>
        <w:tc>
          <w:tcPr>
            <w:tcW w:w="1780" w:type="dxa"/>
            <w:tcBorders>
              <w:top w:val="single" w:sz="4" w:space="0" w:color="auto"/>
              <w:left w:val="nil"/>
              <w:bottom w:val="single" w:sz="4" w:space="0" w:color="auto"/>
              <w:right w:val="single" w:sz="8" w:space="0" w:color="auto"/>
            </w:tcBorders>
            <w:shd w:val="clear" w:color="auto" w:fill="auto"/>
            <w:noWrap/>
            <w:vAlign w:val="bottom"/>
          </w:tcPr>
          <w:p w:rsidR="00AD3E98" w:rsidRDefault="00AD3E98" w:rsidP="00AD3E98">
            <w:pPr>
              <w:spacing w:before="0" w:after="0" w:line="240" w:lineRule="auto"/>
              <w:ind w:firstLine="0"/>
              <w:jc w:val="right"/>
              <w:rPr>
                <w:sz w:val="22"/>
                <w:szCs w:val="22"/>
              </w:rPr>
            </w:pPr>
          </w:p>
        </w:tc>
      </w:tr>
      <w:tr w:rsidR="00AD3E98" w:rsidRPr="00EC3BC0" w:rsidTr="0052449E">
        <w:trPr>
          <w:trHeight w:val="255"/>
        </w:trPr>
        <w:tc>
          <w:tcPr>
            <w:tcW w:w="4748" w:type="dxa"/>
            <w:tcBorders>
              <w:top w:val="nil"/>
              <w:left w:val="single" w:sz="8" w:space="0" w:color="auto"/>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sz w:val="22"/>
                <w:szCs w:val="22"/>
              </w:rPr>
            </w:pPr>
            <w:r w:rsidRPr="00EC3BC0">
              <w:rPr>
                <w:sz w:val="22"/>
                <w:szCs w:val="22"/>
              </w:rPr>
              <w:t>I. pilíř *</w:t>
            </w:r>
          </w:p>
        </w:tc>
        <w:tc>
          <w:tcPr>
            <w:tcW w:w="1252" w:type="dxa"/>
            <w:tcBorders>
              <w:top w:val="nil"/>
              <w:left w:val="nil"/>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right"/>
              <w:rPr>
                <w:sz w:val="22"/>
                <w:szCs w:val="22"/>
              </w:rPr>
            </w:pPr>
            <w:r>
              <w:rPr>
                <w:sz w:val="22"/>
                <w:szCs w:val="22"/>
              </w:rPr>
              <w:t>23 000</w:t>
            </w:r>
          </w:p>
        </w:tc>
        <w:tc>
          <w:tcPr>
            <w:tcW w:w="1780" w:type="dxa"/>
            <w:tcBorders>
              <w:top w:val="nil"/>
              <w:left w:val="nil"/>
              <w:bottom w:val="single" w:sz="4" w:space="0" w:color="auto"/>
              <w:right w:val="single" w:sz="8" w:space="0" w:color="auto"/>
            </w:tcBorders>
            <w:shd w:val="clear" w:color="auto" w:fill="auto"/>
            <w:noWrap/>
            <w:vAlign w:val="bottom"/>
          </w:tcPr>
          <w:p w:rsidR="00AD3E98" w:rsidRPr="00EC3BC0" w:rsidRDefault="00AD3E98" w:rsidP="00AD3E98">
            <w:pPr>
              <w:spacing w:before="0" w:after="0" w:line="240" w:lineRule="auto"/>
              <w:ind w:firstLine="0"/>
              <w:jc w:val="right"/>
              <w:rPr>
                <w:sz w:val="22"/>
                <w:szCs w:val="22"/>
              </w:rPr>
            </w:pPr>
            <w:r>
              <w:rPr>
                <w:sz w:val="22"/>
                <w:szCs w:val="22"/>
              </w:rPr>
              <w:t>23 000</w:t>
            </w:r>
          </w:p>
        </w:tc>
      </w:tr>
      <w:tr w:rsidR="00AD3E98" w:rsidRPr="00EC3BC0" w:rsidTr="0052449E">
        <w:trPr>
          <w:trHeight w:val="255"/>
        </w:trPr>
        <w:tc>
          <w:tcPr>
            <w:tcW w:w="4748" w:type="dxa"/>
            <w:tcBorders>
              <w:top w:val="nil"/>
              <w:left w:val="single" w:sz="8" w:space="0" w:color="auto"/>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sz w:val="22"/>
                <w:szCs w:val="22"/>
              </w:rPr>
            </w:pPr>
            <w:proofErr w:type="spellStart"/>
            <w:r w:rsidRPr="00EC3BC0">
              <w:rPr>
                <w:sz w:val="22"/>
                <w:szCs w:val="22"/>
              </w:rPr>
              <w:t>II.pilíř</w:t>
            </w:r>
            <w:proofErr w:type="spellEnd"/>
            <w:r w:rsidRPr="00EC3BC0">
              <w:rPr>
                <w:sz w:val="22"/>
                <w:szCs w:val="22"/>
              </w:rPr>
              <w:t xml:space="preserve"> **</w:t>
            </w:r>
          </w:p>
        </w:tc>
        <w:tc>
          <w:tcPr>
            <w:tcW w:w="1252" w:type="dxa"/>
            <w:tcBorders>
              <w:top w:val="nil"/>
              <w:left w:val="nil"/>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right"/>
              <w:rPr>
                <w:sz w:val="22"/>
                <w:szCs w:val="22"/>
              </w:rPr>
            </w:pPr>
            <w:r>
              <w:rPr>
                <w:sz w:val="22"/>
                <w:szCs w:val="22"/>
              </w:rPr>
              <w:t>5 000</w:t>
            </w:r>
          </w:p>
        </w:tc>
        <w:tc>
          <w:tcPr>
            <w:tcW w:w="1780" w:type="dxa"/>
            <w:tcBorders>
              <w:top w:val="nil"/>
              <w:left w:val="nil"/>
              <w:bottom w:val="single" w:sz="4" w:space="0" w:color="auto"/>
              <w:right w:val="single" w:sz="8" w:space="0" w:color="auto"/>
            </w:tcBorders>
            <w:shd w:val="clear" w:color="auto" w:fill="auto"/>
            <w:noWrap/>
            <w:vAlign w:val="bottom"/>
          </w:tcPr>
          <w:p w:rsidR="00AD3E98" w:rsidRPr="00EC3BC0" w:rsidRDefault="00AD3E98" w:rsidP="00AD3E98">
            <w:pPr>
              <w:spacing w:before="0" w:after="0" w:line="240" w:lineRule="auto"/>
              <w:ind w:firstLine="0"/>
              <w:jc w:val="right"/>
              <w:rPr>
                <w:sz w:val="22"/>
                <w:szCs w:val="22"/>
              </w:rPr>
            </w:pPr>
            <w:r>
              <w:rPr>
                <w:sz w:val="22"/>
                <w:szCs w:val="22"/>
              </w:rPr>
              <w:t>7 000</w:t>
            </w:r>
          </w:p>
        </w:tc>
      </w:tr>
      <w:tr w:rsidR="00AD3E98" w:rsidRPr="00EC3BC0" w:rsidTr="0052449E">
        <w:trPr>
          <w:trHeight w:val="142"/>
        </w:trPr>
        <w:tc>
          <w:tcPr>
            <w:tcW w:w="4748" w:type="dxa"/>
            <w:tcBorders>
              <w:top w:val="nil"/>
              <w:left w:val="single" w:sz="8" w:space="0" w:color="auto"/>
              <w:bottom w:val="nil"/>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b/>
                <w:bCs/>
                <w:sz w:val="22"/>
                <w:szCs w:val="22"/>
              </w:rPr>
            </w:pPr>
            <w:r w:rsidRPr="00EC3BC0">
              <w:rPr>
                <w:b/>
                <w:bCs/>
                <w:sz w:val="22"/>
                <w:szCs w:val="22"/>
              </w:rPr>
              <w:t xml:space="preserve">Celkem </w:t>
            </w:r>
            <w:r>
              <w:rPr>
                <w:b/>
                <w:bCs/>
                <w:sz w:val="22"/>
                <w:szCs w:val="22"/>
              </w:rPr>
              <w:t>SZP</w:t>
            </w:r>
          </w:p>
        </w:tc>
        <w:tc>
          <w:tcPr>
            <w:tcW w:w="1252" w:type="dxa"/>
            <w:tcBorders>
              <w:top w:val="nil"/>
              <w:left w:val="nil"/>
              <w:bottom w:val="single" w:sz="4"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right"/>
              <w:rPr>
                <w:b/>
                <w:bCs/>
                <w:sz w:val="22"/>
                <w:szCs w:val="22"/>
              </w:rPr>
            </w:pPr>
            <w:r>
              <w:rPr>
                <w:b/>
                <w:bCs/>
                <w:sz w:val="22"/>
                <w:szCs w:val="22"/>
              </w:rPr>
              <w:t>28 000</w:t>
            </w:r>
          </w:p>
        </w:tc>
        <w:tc>
          <w:tcPr>
            <w:tcW w:w="1780" w:type="dxa"/>
            <w:tcBorders>
              <w:top w:val="nil"/>
              <w:left w:val="nil"/>
              <w:bottom w:val="single" w:sz="4" w:space="0" w:color="auto"/>
              <w:right w:val="single" w:sz="8" w:space="0" w:color="auto"/>
            </w:tcBorders>
            <w:shd w:val="clear" w:color="auto" w:fill="auto"/>
            <w:noWrap/>
            <w:vAlign w:val="bottom"/>
          </w:tcPr>
          <w:p w:rsidR="00AD3E98" w:rsidRPr="00EC3BC0" w:rsidRDefault="00AD3E98" w:rsidP="00AD3E98">
            <w:pPr>
              <w:spacing w:before="0" w:after="0" w:line="240" w:lineRule="auto"/>
              <w:ind w:firstLine="0"/>
              <w:jc w:val="right"/>
              <w:rPr>
                <w:b/>
                <w:bCs/>
                <w:sz w:val="22"/>
                <w:szCs w:val="22"/>
              </w:rPr>
            </w:pPr>
            <w:r>
              <w:rPr>
                <w:b/>
                <w:bCs/>
                <w:sz w:val="22"/>
                <w:szCs w:val="22"/>
              </w:rPr>
              <w:t>30 000</w:t>
            </w:r>
          </w:p>
        </w:tc>
      </w:tr>
      <w:tr w:rsidR="00AD3E98" w:rsidRPr="00EC3BC0" w:rsidTr="0052449E">
        <w:trPr>
          <w:trHeight w:val="270"/>
        </w:trPr>
        <w:tc>
          <w:tcPr>
            <w:tcW w:w="4748" w:type="dxa"/>
            <w:tcBorders>
              <w:top w:val="single" w:sz="4" w:space="0" w:color="auto"/>
              <w:left w:val="single" w:sz="8" w:space="0" w:color="auto"/>
              <w:bottom w:val="single" w:sz="8"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left"/>
              <w:rPr>
                <w:b/>
                <w:bCs/>
                <w:sz w:val="22"/>
                <w:szCs w:val="22"/>
              </w:rPr>
            </w:pPr>
            <w:r w:rsidRPr="00EC3BC0">
              <w:rPr>
                <w:b/>
                <w:bCs/>
                <w:sz w:val="22"/>
                <w:szCs w:val="22"/>
              </w:rPr>
              <w:t>Celkem</w:t>
            </w:r>
            <w:r>
              <w:rPr>
                <w:b/>
                <w:bCs/>
                <w:sz w:val="22"/>
                <w:szCs w:val="22"/>
              </w:rPr>
              <w:t xml:space="preserve"> fondy Politiky soudržnosti a SZP</w:t>
            </w:r>
          </w:p>
        </w:tc>
        <w:tc>
          <w:tcPr>
            <w:tcW w:w="1252" w:type="dxa"/>
            <w:tcBorders>
              <w:top w:val="nil"/>
              <w:left w:val="nil"/>
              <w:bottom w:val="single" w:sz="8" w:space="0" w:color="auto"/>
              <w:right w:val="single" w:sz="4" w:space="0" w:color="auto"/>
            </w:tcBorders>
            <w:shd w:val="clear" w:color="auto" w:fill="auto"/>
            <w:noWrap/>
            <w:vAlign w:val="bottom"/>
          </w:tcPr>
          <w:p w:rsidR="00AD3E98" w:rsidRPr="00EC3BC0" w:rsidRDefault="00AD3E98" w:rsidP="00AD3E98">
            <w:pPr>
              <w:spacing w:before="0" w:after="0" w:line="240" w:lineRule="auto"/>
              <w:ind w:firstLine="0"/>
              <w:jc w:val="right"/>
              <w:rPr>
                <w:b/>
                <w:bCs/>
                <w:sz w:val="22"/>
                <w:szCs w:val="22"/>
              </w:rPr>
            </w:pPr>
            <w:r>
              <w:rPr>
                <w:b/>
                <w:bCs/>
                <w:sz w:val="22"/>
                <w:szCs w:val="22"/>
              </w:rPr>
              <w:t>81 500</w:t>
            </w:r>
          </w:p>
        </w:tc>
        <w:tc>
          <w:tcPr>
            <w:tcW w:w="1780" w:type="dxa"/>
            <w:tcBorders>
              <w:top w:val="nil"/>
              <w:left w:val="nil"/>
              <w:bottom w:val="single" w:sz="8" w:space="0" w:color="auto"/>
              <w:right w:val="single" w:sz="8" w:space="0" w:color="auto"/>
            </w:tcBorders>
            <w:shd w:val="clear" w:color="auto" w:fill="auto"/>
            <w:noWrap/>
            <w:vAlign w:val="bottom"/>
          </w:tcPr>
          <w:p w:rsidR="00AD3E98" w:rsidRPr="00EC3BC0" w:rsidRDefault="00AD3E98" w:rsidP="00AD3E98">
            <w:pPr>
              <w:spacing w:before="0" w:after="0" w:line="240" w:lineRule="auto"/>
              <w:ind w:firstLine="0"/>
              <w:jc w:val="right"/>
              <w:rPr>
                <w:b/>
                <w:bCs/>
                <w:sz w:val="22"/>
                <w:szCs w:val="22"/>
              </w:rPr>
            </w:pPr>
            <w:r>
              <w:rPr>
                <w:b/>
                <w:bCs/>
                <w:sz w:val="22"/>
                <w:szCs w:val="22"/>
              </w:rPr>
              <w:t>96 500</w:t>
            </w:r>
          </w:p>
        </w:tc>
      </w:tr>
      <w:tr w:rsidR="00AD3E98" w:rsidRPr="00EC3BC0" w:rsidTr="0052449E">
        <w:trPr>
          <w:trHeight w:val="255"/>
        </w:trPr>
        <w:tc>
          <w:tcPr>
            <w:tcW w:w="4748" w:type="dxa"/>
            <w:tcBorders>
              <w:top w:val="nil"/>
              <w:left w:val="nil"/>
              <w:bottom w:val="nil"/>
              <w:right w:val="nil"/>
            </w:tcBorders>
            <w:shd w:val="clear" w:color="auto" w:fill="auto"/>
            <w:noWrap/>
            <w:vAlign w:val="bottom"/>
          </w:tcPr>
          <w:p w:rsidR="00AD3E98" w:rsidRPr="00564500" w:rsidRDefault="00AD3E98" w:rsidP="00AD3E98">
            <w:pPr>
              <w:spacing w:before="0" w:after="0" w:line="240" w:lineRule="auto"/>
              <w:ind w:firstLine="0"/>
              <w:jc w:val="left"/>
              <w:rPr>
                <w:sz w:val="20"/>
                <w:szCs w:val="20"/>
              </w:rPr>
            </w:pPr>
            <w:r w:rsidRPr="00564500">
              <w:rPr>
                <w:sz w:val="20"/>
                <w:szCs w:val="20"/>
              </w:rPr>
              <w:t>* I. pilíř zahrnuje přímé platby</w:t>
            </w:r>
          </w:p>
          <w:p w:rsidR="00AD3E98" w:rsidRPr="00564500" w:rsidRDefault="00AD3E98" w:rsidP="00AD3E98">
            <w:pPr>
              <w:numPr>
                <w:ilvl w:val="0"/>
                <w:numId w:val="6"/>
              </w:numPr>
              <w:tabs>
                <w:tab w:val="clear" w:pos="720"/>
              </w:tabs>
              <w:spacing w:before="0" w:after="0" w:line="240" w:lineRule="auto"/>
              <w:ind w:hanging="900"/>
              <w:jc w:val="left"/>
              <w:rPr>
                <w:sz w:val="20"/>
                <w:szCs w:val="20"/>
              </w:rPr>
            </w:pPr>
            <w:r>
              <w:rPr>
                <w:sz w:val="20"/>
                <w:szCs w:val="20"/>
              </w:rPr>
              <w:t>* II. p</w:t>
            </w:r>
            <w:r w:rsidRPr="00564500">
              <w:rPr>
                <w:sz w:val="20"/>
                <w:szCs w:val="20"/>
              </w:rPr>
              <w:t>ilíř zahrnuje rozvoj</w:t>
            </w:r>
            <w:r>
              <w:rPr>
                <w:sz w:val="20"/>
                <w:szCs w:val="20"/>
              </w:rPr>
              <w:t xml:space="preserve"> </w:t>
            </w:r>
            <w:r w:rsidRPr="00564500">
              <w:rPr>
                <w:sz w:val="20"/>
                <w:szCs w:val="20"/>
              </w:rPr>
              <w:t>venkova</w:t>
            </w:r>
          </w:p>
        </w:tc>
        <w:tc>
          <w:tcPr>
            <w:tcW w:w="1252" w:type="dxa"/>
            <w:tcBorders>
              <w:top w:val="nil"/>
              <w:left w:val="nil"/>
              <w:bottom w:val="nil"/>
              <w:right w:val="nil"/>
            </w:tcBorders>
            <w:shd w:val="clear" w:color="auto" w:fill="auto"/>
            <w:noWrap/>
            <w:vAlign w:val="bottom"/>
          </w:tcPr>
          <w:p w:rsidR="00AD3E98" w:rsidRPr="00EC3BC0" w:rsidRDefault="00AD3E98" w:rsidP="00AD3E98">
            <w:pPr>
              <w:spacing w:before="0" w:after="0" w:line="240" w:lineRule="auto"/>
              <w:ind w:firstLine="0"/>
              <w:jc w:val="left"/>
              <w:rPr>
                <w:sz w:val="22"/>
                <w:szCs w:val="22"/>
              </w:rPr>
            </w:pPr>
          </w:p>
        </w:tc>
        <w:tc>
          <w:tcPr>
            <w:tcW w:w="1780" w:type="dxa"/>
            <w:tcBorders>
              <w:top w:val="nil"/>
              <w:left w:val="nil"/>
              <w:bottom w:val="nil"/>
              <w:right w:val="nil"/>
            </w:tcBorders>
            <w:shd w:val="clear" w:color="auto" w:fill="auto"/>
            <w:noWrap/>
            <w:vAlign w:val="bottom"/>
          </w:tcPr>
          <w:p w:rsidR="00AD3E98" w:rsidRPr="00EC3BC0" w:rsidRDefault="00AD3E98" w:rsidP="00AD3E98">
            <w:pPr>
              <w:spacing w:before="0" w:after="0" w:line="240" w:lineRule="auto"/>
              <w:ind w:firstLine="0"/>
              <w:jc w:val="left"/>
              <w:rPr>
                <w:sz w:val="22"/>
                <w:szCs w:val="22"/>
              </w:rPr>
            </w:pPr>
          </w:p>
        </w:tc>
      </w:tr>
    </w:tbl>
    <w:p w:rsidR="00A24FF5" w:rsidRDefault="00A24FF5" w:rsidP="0052449E">
      <w:pPr>
        <w:ind w:firstLine="0"/>
      </w:pPr>
    </w:p>
    <w:p w:rsidR="00A24FF5" w:rsidRDefault="00A24FF5" w:rsidP="00DD6C0C">
      <w:pPr>
        <w:rPr>
          <w:b/>
          <w:sz w:val="22"/>
          <w:szCs w:val="22"/>
        </w:rPr>
      </w:pPr>
    </w:p>
    <w:p w:rsidR="006E35BF" w:rsidRDefault="006E35BF" w:rsidP="006E35BF">
      <w:pPr>
        <w:pStyle w:val="Nadpis1"/>
        <w:numPr>
          <w:ilvl w:val="0"/>
          <w:numId w:val="0"/>
        </w:numPr>
        <w:ind w:left="540"/>
        <w:rPr>
          <w:highlight w:val="green"/>
        </w:rPr>
      </w:pPr>
      <w:bookmarkStart w:id="145" w:name="_Toc333680190"/>
    </w:p>
    <w:p w:rsidR="006E35BF" w:rsidRDefault="006E35BF" w:rsidP="006E35BF">
      <w:pPr>
        <w:pStyle w:val="Nadpis1"/>
        <w:numPr>
          <w:ilvl w:val="0"/>
          <w:numId w:val="0"/>
        </w:numPr>
        <w:ind w:left="540"/>
        <w:rPr>
          <w:highlight w:val="green"/>
        </w:rPr>
      </w:pPr>
    </w:p>
    <w:p w:rsidR="006E35BF" w:rsidRDefault="006E35BF" w:rsidP="006E35BF">
      <w:pPr>
        <w:pStyle w:val="Nadpis1"/>
        <w:numPr>
          <w:ilvl w:val="0"/>
          <w:numId w:val="0"/>
        </w:numPr>
        <w:rPr>
          <w:highlight w:val="green"/>
        </w:rPr>
      </w:pPr>
    </w:p>
    <w:p w:rsidR="00A24FF5" w:rsidRPr="007B351D" w:rsidRDefault="00A24FF5" w:rsidP="002A1868">
      <w:pPr>
        <w:pStyle w:val="Nadpis1"/>
        <w:ind w:left="540" w:hanging="540"/>
      </w:pPr>
      <w:bookmarkStart w:id="146" w:name="_Toc397357496"/>
      <w:r w:rsidRPr="007B351D">
        <w:t>Výdaje na Finanční mechanismy EHP/ Norska 2009 - 2014 a Program švýcarsk</w:t>
      </w:r>
      <w:r w:rsidR="0057283D" w:rsidRPr="007B351D">
        <w:t>o-</w:t>
      </w:r>
      <w:r w:rsidR="00D762AD" w:rsidRPr="007B351D">
        <w:t>české spolupráce v letech 2016</w:t>
      </w:r>
      <w:r w:rsidRPr="007B351D">
        <w:t xml:space="preserve"> až 201</w:t>
      </w:r>
      <w:bookmarkEnd w:id="145"/>
      <w:r w:rsidR="00D762AD" w:rsidRPr="007B351D">
        <w:t>7</w:t>
      </w:r>
      <w:bookmarkEnd w:id="146"/>
    </w:p>
    <w:bookmarkEnd w:id="142"/>
    <w:bookmarkEnd w:id="143"/>
    <w:p w:rsidR="00D762AD" w:rsidRDefault="00D762AD" w:rsidP="00D762AD">
      <w:pPr>
        <w:ind w:firstLine="708"/>
      </w:pPr>
      <w:r w:rsidRPr="004532B9">
        <w:t xml:space="preserve">V ČR </w:t>
      </w:r>
      <w:r>
        <w:t>je</w:t>
      </w:r>
      <w:r w:rsidRPr="004532B9">
        <w:t xml:space="preserve"> </w:t>
      </w:r>
      <w:r>
        <w:t xml:space="preserve">za oblast </w:t>
      </w:r>
      <w:r w:rsidRPr="004532B9">
        <w:t xml:space="preserve">EHP a Norské fondy pro programovací období 2009 </w:t>
      </w:r>
      <w:r w:rsidR="00C83E6C">
        <w:t>-</w:t>
      </w:r>
      <w:r w:rsidRPr="004532B9">
        <w:t xml:space="preserve"> 2014 realizováno 1</w:t>
      </w:r>
      <w:r>
        <w:t>5</w:t>
      </w:r>
      <w:r w:rsidRPr="004532B9">
        <w:t xml:space="preserve"> programů zahrnujících 21 prioritních oblastí. </w:t>
      </w:r>
      <w:r>
        <w:t xml:space="preserve">V druhé polovině roku </w:t>
      </w:r>
      <w:r w:rsidRPr="004532B9">
        <w:t xml:space="preserve">2013 </w:t>
      </w:r>
      <w:r>
        <w:t>byla</w:t>
      </w:r>
      <w:r w:rsidRPr="004532B9">
        <w:t xml:space="preserve"> </w:t>
      </w:r>
      <w:r>
        <w:t xml:space="preserve">spuštěna </w:t>
      </w:r>
      <w:r w:rsidRPr="004532B9">
        <w:t xml:space="preserve">implementace </w:t>
      </w:r>
      <w:r>
        <w:t xml:space="preserve">programů a následně v první polovině roku 2014 byly vyhlášeny výzvy ve většině programů. V dubnu 2014 bylo rozhodnuto o úpravě fixního kurzu pro přepočet alokací programů z EUR do Kč z 24,80 Kč/EUR na 26,50 Kč/EUR. V důsledku toho došlo k navýšení rozpočtů programů v Kč. V případě programů CZ07 a CZ09, v jejichž rámci je z kapitoly MŠMT poskytováno spolufinancování na programové úrovni, bylo dohromady třeba zajistit dodatečné prostředky spolufinancování </w:t>
      </w:r>
      <w:r w:rsidRPr="00783BE3">
        <w:t>ve výši přibližně</w:t>
      </w:r>
      <w:r>
        <w:t xml:space="preserve"> </w:t>
      </w:r>
      <w:smartTag w:uri="urn:schemas-microsoft-com:office:smarttags" w:element="metricconverter">
        <w:smartTagPr>
          <w:attr w:name="ProductID" w:val="4,5 mil"/>
        </w:smartTagPr>
        <w:r>
          <w:t>4,5 mil</w:t>
        </w:r>
      </w:smartTag>
      <w:r>
        <w:t>. Kč. Implementace projektů</w:t>
      </w:r>
      <w:r w:rsidRPr="004532B9">
        <w:t xml:space="preserve"> </w:t>
      </w:r>
      <w:r>
        <w:t xml:space="preserve">bude probíhat od posledního čtvrtletí roku 2014 do </w:t>
      </w:r>
      <w:r w:rsidRPr="00FE6482">
        <w:t>první polovin</w:t>
      </w:r>
      <w:r>
        <w:t>y</w:t>
      </w:r>
      <w:r w:rsidRPr="00FE6482">
        <w:t xml:space="preserve"> roku 2016</w:t>
      </w:r>
      <w:r>
        <w:t xml:space="preserve">. </w:t>
      </w:r>
      <w:r w:rsidRPr="004532B9">
        <w:t xml:space="preserve">Programy </w:t>
      </w:r>
      <w:r>
        <w:t>jsou</w:t>
      </w:r>
      <w:r w:rsidRPr="004532B9">
        <w:t xml:space="preserve"> zaměřeny zejména na ochranu a management životního prostředí, zachycování a ukládání uhlíku (CCS), ochranu kulturního dědictví, zdravotnictví, vědu a výzkum, na rozvoj občanské společnosti, uplatňování hlediska rovných příležitostí žen</w:t>
      </w:r>
      <w:r>
        <w:t xml:space="preserve"> </w:t>
      </w:r>
      <w:r w:rsidRPr="004532B9">
        <w:t>a mužů, na ochranu ohrožených dětí a mladistvých</w:t>
      </w:r>
      <w:r>
        <w:t>,</w:t>
      </w:r>
      <w:r w:rsidRPr="004532B9">
        <w:t xml:space="preserve"> na spolupráci škol</w:t>
      </w:r>
      <w:r>
        <w:t xml:space="preserve"> a na podporu justice</w:t>
      </w:r>
      <w:r w:rsidRPr="004532B9">
        <w:t xml:space="preserve">. Do programů jsou zapojeny Ministerstvo životního prostředí, Ministerstvo vnitra, Ministerstvo kultury, Ministerstvo práce a sociálních věci, Ministerstvo školství, mládeže a tělovýchovy, </w:t>
      </w:r>
      <w:r>
        <w:t xml:space="preserve">Ministerstvo zdravotnictví, </w:t>
      </w:r>
      <w:r w:rsidRPr="004532B9">
        <w:t>Ministerstvo spravedlnosti a také Ministerstvo financí. Kraje zapojeny nejsou.</w:t>
      </w:r>
      <w:r>
        <w:t xml:space="preserve"> </w:t>
      </w:r>
      <w:r w:rsidRPr="004532B9">
        <w:t>V</w:t>
      </w:r>
      <w:r>
        <w:t xml:space="preserve"> první polovině roku 2016 </w:t>
      </w:r>
      <w:r>
        <w:lastRenderedPageBreak/>
        <w:t>dojde k</w:t>
      </w:r>
      <w:r w:rsidRPr="004532B9">
        <w:t xml:space="preserve"> ukončování většiny projektů a </w:t>
      </w:r>
      <w:r>
        <w:t xml:space="preserve">v druhé polovině tohoto roku k </w:t>
      </w:r>
      <w:r w:rsidRPr="004532B9">
        <w:t xml:space="preserve">proplácení závěrečných výdajů, nicméně i v tomto roce lze, vzhledem k charakteru některých projektů, </w:t>
      </w:r>
      <w:r w:rsidRPr="00857734">
        <w:t xml:space="preserve">předpokládat </w:t>
      </w:r>
      <w:r>
        <w:t xml:space="preserve">výši </w:t>
      </w:r>
      <w:r w:rsidRPr="00857734">
        <w:t>výdaj</w:t>
      </w:r>
      <w:r>
        <w:t>ů</w:t>
      </w:r>
      <w:r w:rsidRPr="00857734">
        <w:t xml:space="preserve"> na úrovni předchozích dvou let</w:t>
      </w:r>
      <w:r w:rsidRPr="004532B9">
        <w:t>.</w:t>
      </w:r>
      <w:r>
        <w:t xml:space="preserve"> </w:t>
      </w:r>
      <w:r w:rsidRPr="002665C4">
        <w:t>V odůvodněných případech může dojít k prodloužení implementační fáze některých projektů až do dubna 2017.</w:t>
      </w:r>
      <w:r>
        <w:t xml:space="preserve"> V takovém případě by byly příslušné programy ukončeny až na konci roku 2017. </w:t>
      </w:r>
    </w:p>
    <w:p w:rsidR="00D762AD" w:rsidRPr="0057283D" w:rsidRDefault="00D762AD" w:rsidP="0057283D">
      <w:pPr>
        <w:ind w:firstLine="708"/>
      </w:pPr>
      <w:r>
        <w:t>Pokud jde o Program š</w:t>
      </w:r>
      <w:r w:rsidRPr="004532B9">
        <w:t xml:space="preserve">výcarsko-české spolupráce </w:t>
      </w:r>
      <w:r>
        <w:t>k jeho nejvyššímu</w:t>
      </w:r>
      <w:r w:rsidR="00D26534">
        <w:t xml:space="preserve"> </w:t>
      </w:r>
      <w:r w:rsidR="009633B2">
        <w:t>rozvoji</w:t>
      </w:r>
      <w:r w:rsidR="00D26534">
        <w:t xml:space="preserve"> by mělo dojít v roce</w:t>
      </w:r>
      <w:r w:rsidRPr="004532B9">
        <w:t xml:space="preserve"> 201</w:t>
      </w:r>
      <w:r>
        <w:t>6, v kterém mj.</w:t>
      </w:r>
      <w:r w:rsidRPr="004532B9">
        <w:t xml:space="preserve"> započne tzv. „</w:t>
      </w:r>
      <w:proofErr w:type="spellStart"/>
      <w:r w:rsidRPr="004532B9">
        <w:t>phasing</w:t>
      </w:r>
      <w:proofErr w:type="spellEnd"/>
      <w:r w:rsidRPr="004532B9">
        <w:t xml:space="preserve"> </w:t>
      </w:r>
      <w:proofErr w:type="spellStart"/>
      <w:r w:rsidRPr="004532B9">
        <w:t>out</w:t>
      </w:r>
      <w:proofErr w:type="spellEnd"/>
      <w:r w:rsidRPr="004532B9">
        <w:t xml:space="preserve">“ fáze programu, tj. ukončování většiny projektů </w:t>
      </w:r>
      <w:r>
        <w:t>a proplácení závěrečných výdajů. V počátku roku 2017 by mělo být</w:t>
      </w:r>
      <w:r w:rsidRPr="004532B9">
        <w:t xml:space="preserve"> </w:t>
      </w:r>
      <w:r>
        <w:t>všech zhruba</w:t>
      </w:r>
      <w:r w:rsidRPr="004532B9">
        <w:t xml:space="preserve"> 3</w:t>
      </w:r>
      <w:r>
        <w:t>7</w:t>
      </w:r>
      <w:r w:rsidR="009633B2">
        <w:t> </w:t>
      </w:r>
      <w:r>
        <w:t>projektů, programů, fondů a 1 blokový grant uzavřeno nebo bezprostředně v závěrečné fázi.</w:t>
      </w:r>
      <w:r w:rsidRPr="004532B9">
        <w:t xml:space="preserve"> </w:t>
      </w:r>
      <w:r>
        <w:t>Na principech realizace programu se pro uvedené roky nic nemění, neboť se stále</w:t>
      </w:r>
      <w:r w:rsidRPr="004532B9">
        <w:t xml:space="preserve"> počítá s předfinancováním a spolufinancováním na úrovni jednotlivých resortů. Největší toky jsou předpokládány u Ministerstva životního prostředí, Ministerstva práce a sociálních věcí, Ministerst</w:t>
      </w:r>
      <w:r w:rsidR="00D26534">
        <w:t>va z</w:t>
      </w:r>
      <w:r w:rsidRPr="004532B9">
        <w:t xml:space="preserve">dravotnictví, Ministerstva průmyslu a obchodu, Ministerstva vnitra a v omezené míře také Ministerstva financí a Ministerstva spravedlnosti. </w:t>
      </w:r>
      <w:r>
        <w:t xml:space="preserve">Ani </w:t>
      </w:r>
      <w:r w:rsidRPr="004532B9">
        <w:t>do</w:t>
      </w:r>
      <w:r>
        <w:t xml:space="preserve"> tohoto</w:t>
      </w:r>
      <w:r w:rsidRPr="004532B9">
        <w:t xml:space="preserve"> Programu </w:t>
      </w:r>
      <w:r>
        <w:t xml:space="preserve">kraje </w:t>
      </w:r>
      <w:r w:rsidRPr="004532B9">
        <w:t>zapojeny nejsou. V rámci Programu švýcarsko-české spolupráce jsou podporovány projekty v oblasti životního prostředí, sdílení know</w:t>
      </w:r>
      <w:r w:rsidR="000370B7">
        <w:t>-</w:t>
      </w:r>
      <w:r w:rsidRPr="004532B9">
        <w:t>how a lepší praxe mezi institucemi ČR a Švýcarska, modernizace soudnictví a probačních programů, zavádění nových metod sociální práce pro seniory</w:t>
      </w:r>
      <w:r>
        <w:t>, podpora začínajících podnikatelů</w:t>
      </w:r>
      <w:r w:rsidRPr="004532B9">
        <w:t xml:space="preserve"> a zlepšení regulace ve finančním sektoru.</w:t>
      </w:r>
      <w:r>
        <w:t xml:space="preserve"> </w:t>
      </w:r>
    </w:p>
    <w:p w:rsidR="00A24FF5" w:rsidRPr="007B351D" w:rsidRDefault="00A24FF5" w:rsidP="002A1868">
      <w:pPr>
        <w:pStyle w:val="Nadpis1"/>
        <w:ind w:left="540" w:hanging="540"/>
      </w:pPr>
      <w:bookmarkStart w:id="147" w:name="_Toc397357497"/>
      <w:r w:rsidRPr="007B351D">
        <w:t xml:space="preserve">Přehled závazků fyzických a právnických osob, za které se zaručily </w:t>
      </w:r>
      <w:bookmarkStart w:id="148" w:name="_Toc241917811"/>
      <w:bookmarkStart w:id="149" w:name="_Toc333680192"/>
      <w:bookmarkStart w:id="150" w:name="_Toc206999990"/>
      <w:r w:rsidRPr="007B351D">
        <w:t>jménem státu jeho organizační složky</w:t>
      </w:r>
      <w:bookmarkEnd w:id="147"/>
      <w:bookmarkEnd w:id="148"/>
      <w:bookmarkEnd w:id="149"/>
      <w:r w:rsidRPr="007B351D">
        <w:t xml:space="preserve"> </w:t>
      </w:r>
      <w:bookmarkEnd w:id="150"/>
    </w:p>
    <w:p w:rsidR="00F82AC2" w:rsidRDefault="00F82AC2" w:rsidP="00F82AC2">
      <w:r>
        <w:t>Objem poskytnutých státních záruk za úvěry a emitované dluhopisy se posledních osm let postupně snižoval, až k objemu ve výši 181,5 mld. Kč v roce 2012.  K přerušení tohoto trendu došlo až ve druhém pololetí roku 2013. Česká republika vyhověla požadavku Rady EU a</w:t>
      </w:r>
      <w:r w:rsidR="009633B2">
        <w:t> </w:t>
      </w:r>
      <w:r>
        <w:t>poskytla půjčku Mezinárodnímu měnovému fondu. Půjčku ve výši 2,53 mld. EUR poskytla Česká národní banka ze svých  devizových rezerv. Státní záruka za tuto půjčku je zakotvena v</w:t>
      </w:r>
      <w:r w:rsidR="009633B2">
        <w:t> </w:t>
      </w:r>
      <w:r>
        <w:t xml:space="preserve">zákoně č. 216/2013 Sb. </w:t>
      </w:r>
    </w:p>
    <w:p w:rsidR="00F82AC2" w:rsidRDefault="00F82AC2" w:rsidP="00F82AC2">
      <w:r>
        <w:t xml:space="preserve">Přehled všech  poskytnutých státních záruk do doby jejich konečné splatnosti obsahuje </w:t>
      </w:r>
      <w:r w:rsidR="00DC39F8" w:rsidRPr="00DC39F8">
        <w:t>tabulka č. 8</w:t>
      </w:r>
      <w:r w:rsidR="005620AE">
        <w:t xml:space="preserve"> v tabulkové části E</w:t>
      </w:r>
      <w:r w:rsidR="006E35BF">
        <w:t>.</w:t>
      </w:r>
      <w:r>
        <w:t xml:space="preserve"> V nejbližších letech se další nárůst objemu záruk o nově poskytnuté úvěry neočekává. Probíhající splátky stávajících garantovaných závazků  podle </w:t>
      </w:r>
      <w:r>
        <w:lastRenderedPageBreak/>
        <w:t xml:space="preserve">platných splátkových kalendářů ze smluvní dokumentace celkový objem záruk budou dále snižovat.  </w:t>
      </w:r>
    </w:p>
    <w:p w:rsidR="00F82AC2" w:rsidRDefault="00F82AC2" w:rsidP="00F82AC2">
      <w:r>
        <w:t xml:space="preserve">Celkový objem garancí  nejvíce zatěžují státní záruky směřující do bankovního sektoru, tzv. nestandardní, včetně výše uvedené nově poskytnuté státní záruky. Z roku 2000 pochází záruka ve prospěch České národní banky, určená k pokrytí některých ztrát, které ČNB vzniknou v souvislosti se </w:t>
      </w:r>
      <w:r w:rsidR="00DC39F8">
        <w:t xml:space="preserve">„Smlouvou a slibem odškodnění“ </w:t>
      </w:r>
      <w:r>
        <w:t>a záruka ve prospěch Československé obchodní banky „Smlouva a státní záruka“ v kauze převzetí Investiční a Poštovní banky bankou ČSOB. Jako zásadní pro tuto státní záruku se jeví jednostranné prohlášení ČSOB, ve kterém svůj požadavek na plnění ze záruky omezila maximálním objemem 160 mld. Kč a časovým limitem splatnosti do roku 2016. Platby z</w:t>
      </w:r>
      <w:r w:rsidR="00DC39F8">
        <w:t xml:space="preserve"> těchto záruk byly od roku 2003</w:t>
      </w:r>
      <w:r>
        <w:t xml:space="preserve"> doposud, ve vztahu k</w:t>
      </w:r>
      <w:r w:rsidR="009633B2">
        <w:t> </w:t>
      </w:r>
      <w:r>
        <w:t xml:space="preserve">zaručenému objemu, minimální (5,840 mld. Kč). Úhrady jsou navázány na průběh projednávání a rozhodování jednotlivých kauz soudy.  V nejbližší době </w:t>
      </w:r>
      <w:r w:rsidR="009633B2">
        <w:t xml:space="preserve">však </w:t>
      </w:r>
      <w:r>
        <w:t>není avizováno  žádné významné plnění z těchto záruk.</w:t>
      </w:r>
    </w:p>
    <w:p w:rsidR="00F82AC2" w:rsidRDefault="00F82AC2" w:rsidP="00F82AC2">
      <w:r>
        <w:t xml:space="preserve">Správa železniční dopravní cesty, </w:t>
      </w:r>
      <w:proofErr w:type="spellStart"/>
      <w:r>
        <w:t>s.o</w:t>
      </w:r>
      <w:proofErr w:type="spellEnd"/>
      <w:r>
        <w:t>. (resp. bývalé  České dráhy) patřila již od roku 1998 k dlužníkům státního rozpočtu z titulu plnění z poskytnutých  záruk.</w:t>
      </w:r>
      <w:r w:rsidR="00DC39F8">
        <w:t xml:space="preserve">  Garance byly SŽDC poskytovány</w:t>
      </w:r>
      <w:r>
        <w:t xml:space="preserve"> jednak podle zákona o rozpočtových pravidlech a od roku 2003 ještě podle zvláštního z</w:t>
      </w:r>
      <w:r w:rsidR="00DC39F8">
        <w:t>ákona č. 77/2002 Sb. Výše dluhu</w:t>
      </w:r>
      <w:r>
        <w:t xml:space="preserve"> této státní organizace vůči státnímu rozpočtu a</w:t>
      </w:r>
      <w:r w:rsidR="009633B2">
        <w:t> </w:t>
      </w:r>
      <w:r>
        <w:t>vývoj jejího hospodaření nedává dosud předpoklady, že by byla schopna svým závazkům v</w:t>
      </w:r>
      <w:r w:rsidR="009633B2">
        <w:t> </w:t>
      </w:r>
      <w:r>
        <w:t>nejbližších letech dostát. Příjmy a úhrady za použití železniční dopravní cesty  SŽDC nepostačují na pokrytí nákladů na její správu, provoz, údržbu a další rozvoj. SŽDC proto nevytváří volné zdroje, ze kterých by byla schopna plnit své závazky z dluhové služby.</w:t>
      </w:r>
    </w:p>
    <w:p w:rsidR="00F82AC2" w:rsidRPr="00B00B93" w:rsidRDefault="00F82AC2" w:rsidP="00F82AC2">
      <w:r>
        <w:t>Na základě usnesení vlády byly v minulých letech provedeny  vzájemné zápočty závazků a pohledávek SŽDC a České republiky a od roku 2005 jsou každoročně částečně promíjeny dluhy tét</w:t>
      </w:r>
      <w:r w:rsidRPr="00B00B93">
        <w:t xml:space="preserve">o státní organizace vůči státnímu rozpočtu. Celkově byly dosud  prominuty závazky  SŽDC za 49,5 mld. Kč. </w:t>
      </w:r>
    </w:p>
    <w:p w:rsidR="00F82AC2" w:rsidRDefault="00F82AC2" w:rsidP="00F82AC2">
      <w:r w:rsidRPr="00B00B93">
        <w:t>Celková pohledávka státního rozpočtu za SŽDC se tak k 1. 1. 2014 snížila na částku 1,054 mld. Kč. Zároveň se však za I. pololetí 2014 dluh SŽDC opět navýšil o 1,034 mld. Kč za</w:t>
      </w:r>
      <w:r w:rsidR="00436461">
        <w:t> </w:t>
      </w:r>
      <w:r w:rsidRPr="00B00B93">
        <w:t>v</w:t>
      </w:r>
      <w:r w:rsidR="00436461">
        <w:t> </w:t>
      </w:r>
      <w:r w:rsidRPr="00B00B93">
        <w:t>tomto období realizované státní záruky. Rovněž v roce 2014 se počítá s částečným prominutím dluhu.  Je předpoklad, že tento nástroj bude používán  k oddlužování SŽDC vůči státu i</w:t>
      </w:r>
      <w:r w:rsidR="00436461">
        <w:t> </w:t>
      </w:r>
      <w:r w:rsidRPr="00B00B93">
        <w:t>v</w:t>
      </w:r>
      <w:r w:rsidR="00436461">
        <w:t> </w:t>
      </w:r>
      <w:r w:rsidRPr="00B00B93">
        <w:t>následujících letech.</w:t>
      </w:r>
    </w:p>
    <w:p w:rsidR="00F82AC2" w:rsidRDefault="00F82AC2" w:rsidP="00F82AC2">
      <w:r>
        <w:lastRenderedPageBreak/>
        <w:t>Většina úvěrů SŽDC je dlouhodobých, jejichž konečná postupná spla</w:t>
      </w:r>
      <w:r w:rsidR="000370B7">
        <w:t>tnost  je v horizontu let 2015 -</w:t>
      </w:r>
      <w:r>
        <w:t xml:space="preserve"> 2020. Z toho vyplývá, že zatížení výdajové stránky státního rozpočtu rizikem vyplývajícím z poskytnutých státních záruk tomuto subjektu je trvalejšího charakteru, i když má sestupný trend. </w:t>
      </w:r>
    </w:p>
    <w:p w:rsidR="00F82AC2" w:rsidRDefault="00F82AC2" w:rsidP="00F82AC2">
      <w:r>
        <w:t>Dlouhodobé investiční úvěry poskytnuté Evropskou i</w:t>
      </w:r>
      <w:r w:rsidR="0011364B">
        <w:t>nvestiční bankou v letech 1996 až</w:t>
      </w:r>
      <w:r>
        <w:t xml:space="preserve"> 2000, určené na infrastrukturální programy (silnice, dálnice, odstranění povodňových škod, vodohospodářské stavby) jsou všechny již vyčerpány a dochází pouze k jejich splácení.  Zdrojem splátek je státní rozpočet, který se již při jejich přijetí ke splácení přímo zavázal. Příjemcem a</w:t>
      </w:r>
      <w:r w:rsidR="00436461">
        <w:t> </w:t>
      </w:r>
      <w:r>
        <w:t>zároveň finančním manažerem úvěrů je Českomoravská záruční a rozvojová banka, a.s.. Od roku 2003 jsou úvěry na financování obdobných programů financovány přímými úvěry státu a</w:t>
      </w:r>
      <w:r w:rsidR="00436461">
        <w:t> </w:t>
      </w:r>
      <w:r>
        <w:t>instrument státních záruk již z tohoto titulu není využíván.</w:t>
      </w:r>
    </w:p>
    <w:p w:rsidR="00F82AC2" w:rsidRDefault="00F82AC2" w:rsidP="00F82AC2">
      <w:r>
        <w:t>Od roku 2003 financují České dráhy, a.s. nákup nových železničních vozů  i</w:t>
      </w:r>
      <w:r w:rsidR="00436461">
        <w:t> </w:t>
      </w:r>
      <w:r>
        <w:t>prostřednictvím státem garantovaných úvěrů od společnosti EUROFIMA.  Jednalo se  o pět úvěrů v hodnotě 165 mil. EUR, z nichž byly již dva v letech 2013 a 2014 splaceny (15 mil.</w:t>
      </w:r>
      <w:r w:rsidR="0011364B">
        <w:t xml:space="preserve"> EUR</w:t>
      </w:r>
      <w:r>
        <w:t xml:space="preserve">  a</w:t>
      </w:r>
      <w:r w:rsidR="0011364B">
        <w:t> </w:t>
      </w:r>
      <w:r>
        <w:t>45</w:t>
      </w:r>
      <w:r w:rsidR="0011364B">
        <w:t> </w:t>
      </w:r>
      <w:r>
        <w:t>mil. EUR). Zdrojem úhrady nebyly prostředky státního rozpočtu. Rizikem těchto úvěrů zůstává  jednorázová splatnost</w:t>
      </w:r>
      <w:r w:rsidR="000370B7">
        <w:t xml:space="preserve">  jejich jistin v letech  2015 -</w:t>
      </w:r>
      <w:r>
        <w:t xml:space="preserve"> 2017 a vysoké dluhové zatížení a.s. České dráhy.</w:t>
      </w:r>
    </w:p>
    <w:p w:rsidR="000927A6" w:rsidRPr="00C142FB" w:rsidRDefault="00F82AC2" w:rsidP="00AA026D">
      <w:r>
        <w:t>Nové impulzy, které by vedly k požadavkům na úvěrové financování za podpory státních záruk od nových subjektů nebyly zaznamenány.</w:t>
      </w:r>
      <w:r w:rsidR="00AA026D">
        <w:t xml:space="preserve">  </w:t>
      </w:r>
    </w:p>
    <w:p w:rsidR="00A24FF5" w:rsidRPr="007B351D" w:rsidRDefault="00A24FF5" w:rsidP="00052D9E">
      <w:pPr>
        <w:pStyle w:val="Nadpis1"/>
        <w:ind w:left="360" w:hanging="360"/>
      </w:pPr>
      <w:bookmarkStart w:id="151" w:name="_Toc206999991"/>
      <w:bookmarkStart w:id="152" w:name="_Toc241917812"/>
      <w:bookmarkStart w:id="153" w:name="_Toc333680193"/>
      <w:bookmarkStart w:id="154" w:name="_Toc397357498"/>
      <w:r w:rsidRPr="007B351D">
        <w:t>Vývoj státního dluhu</w:t>
      </w:r>
      <w:bookmarkEnd w:id="151"/>
      <w:bookmarkEnd w:id="152"/>
      <w:bookmarkEnd w:id="153"/>
      <w:r w:rsidR="001D1803" w:rsidRPr="007B351D">
        <w:t>, příjmů a výdajů kapitoly Státní dluh</w:t>
      </w:r>
      <w:bookmarkEnd w:id="154"/>
    </w:p>
    <w:p w:rsidR="001D1803" w:rsidRDefault="001D1803" w:rsidP="001D1803">
      <w:r>
        <w:t>Střednědobý výhled pro kapitolu Státní dluh na léta 2015 až 2017, doplněný o výhled vývoje státního dluhu a jeho splátek, byl zpracován na základě následujících předpokladů.</w:t>
      </w:r>
    </w:p>
    <w:p w:rsidR="001D1803" w:rsidRDefault="001D1803" w:rsidP="001D1803">
      <w:r>
        <w:t>Stávající státní dluh bude refinancován prostředky získanými z emisí státních dluhopisů. Vládou přijímané reformní kroky, stabilní ratingová hodnocení a v letech 2014 a 2015 i</w:t>
      </w:r>
      <w:r w:rsidR="0011364B">
        <w:t> </w:t>
      </w:r>
      <w:r>
        <w:t>stabilizace stavu státního dluhu podporují zájem investorů nakupovat české státní dluhopisy i</w:t>
      </w:r>
      <w:r w:rsidR="0011364B">
        <w:t> </w:t>
      </w:r>
      <w:r>
        <w:t xml:space="preserve">při relativně nízkých výnosech, což dále přispívá k úsporám výdajů na obsluhu státního dluhu. Rozpočtová salda budou ve střednědobém výhledu nadále dosahovat záporných hodnot. </w:t>
      </w:r>
      <w:r w:rsidR="00165919" w:rsidRPr="00165919">
        <w:t>Zatímco v letech 2015 a 2016 se v současnosti nepředpokládá přijímání nových úvěrů od Evropské investiční banky, v roce 2017 je plánováno přijetí úvěru pro potřeby resortu Ministerstva dopravy ve výši 3,0 mld. Kč.</w:t>
      </w:r>
    </w:p>
    <w:p w:rsidR="001D1803" w:rsidRDefault="001D1803" w:rsidP="0093523C">
      <w:pPr>
        <w:spacing w:after="0"/>
      </w:pPr>
      <w:r>
        <w:lastRenderedPageBreak/>
        <w:t>V roce 2014 se předpokládá pokračování zapojování rezervy peněžních prostředků do</w:t>
      </w:r>
      <w:r w:rsidR="00436461">
        <w:t> </w:t>
      </w:r>
      <w:r>
        <w:t>financování schodku státního rozpočtu a splátek státního dluhu, které bylo zahájeno již v roce 2013, a dále případné využití systému refinancování ze státní pokladny, čehož důsledkem bude stabilizace výše korunové hodnoty státního dluhu na úrovni ke</w:t>
      </w:r>
      <w:r w:rsidR="00745D54">
        <w:t xml:space="preserve"> konci roku 2013 ve výši 1 </w:t>
      </w:r>
      <w:r>
        <w:t>683,0</w:t>
      </w:r>
      <w:r w:rsidR="00745D54">
        <w:t> </w:t>
      </w:r>
      <w:r>
        <w:t>mld. Kč nejméně v letech 2014 a 2015 a vzhledem k předpokládanému oživení české ekonomiky i snížení podílu státního dluhu na HDP. Vzhledem k předpokládanému růstu HDP pak plánované navýšení dluhového financování v letech 2016 a 2017 nebude spojeno s tak vysokým růstem podílu dluhu na HDP jako v uplynulých letech, tj. začne se odvíjet v</w:t>
      </w:r>
      <w:r w:rsidR="00436461">
        <w:t> </w:t>
      </w:r>
      <w:r>
        <w:t xml:space="preserve">požadovaných intencích omezení růstu zadlužování. </w:t>
      </w:r>
    </w:p>
    <w:p w:rsidR="001D1803" w:rsidRDefault="006E35BF" w:rsidP="0093523C">
      <w:pPr>
        <w:pStyle w:val="Titulek"/>
        <w:spacing w:before="240"/>
        <w:jc w:val="left"/>
      </w:pPr>
      <w:r>
        <w:t xml:space="preserve">Tabulka č. </w:t>
      </w:r>
      <w:fldSimple w:instr=" SEQ Tabulka_č._ \* ARABIC ">
        <w:r w:rsidR="003B4B7F">
          <w:rPr>
            <w:noProof/>
          </w:rPr>
          <w:t>22</w:t>
        </w:r>
      </w:fldSimple>
      <w:r>
        <w:rPr>
          <w:noProof/>
        </w:rPr>
        <w:t xml:space="preserve"> </w:t>
      </w:r>
      <w:r w:rsidR="001D1803">
        <w:t>Vývoj státního dluhu a jeho podíl na HDP v letech 2004</w:t>
      </w:r>
      <w:r w:rsidR="00DF5968">
        <w:t xml:space="preserve"> </w:t>
      </w:r>
      <w:r w:rsidR="001D1803">
        <w:t>-</w:t>
      </w:r>
      <w:r w:rsidR="00DF5968">
        <w:t xml:space="preserve"> </w:t>
      </w:r>
      <w:r w:rsidR="001D1803">
        <w:t>2017</w:t>
      </w:r>
    </w:p>
    <w:p w:rsidR="0093523C" w:rsidRDefault="008E78AA" w:rsidP="0093523C">
      <w:pPr>
        <w:ind w:firstLine="0"/>
        <w:jc w:val="left"/>
      </w:pPr>
      <w:r>
        <w:rPr>
          <w:noProof/>
        </w:rPr>
        <w:pict>
          <v:shape id="Obrázek 3" o:spid="_x0000_i1055" type="#_x0000_t75" style="width:453.75pt;height:99pt;visibility:visible;mso-wrap-style:square">
            <v:imagedata r:id="rId56" o:title=""/>
          </v:shape>
        </w:pict>
      </w:r>
    </w:p>
    <w:p w:rsidR="001D1803" w:rsidRDefault="0093523C" w:rsidP="0093523C">
      <w:pPr>
        <w:pStyle w:val="Titulek"/>
        <w:spacing w:before="240"/>
        <w:jc w:val="left"/>
      </w:pPr>
      <w:r w:rsidRPr="0093523C">
        <w:t xml:space="preserve">Graf č. </w:t>
      </w:r>
      <w:fldSimple w:instr=" SEQ Graf_č._ \* ARABIC ">
        <w:r w:rsidR="003B4B7F">
          <w:rPr>
            <w:noProof/>
          </w:rPr>
          <w:t>13</w:t>
        </w:r>
      </w:fldSimple>
      <w:r w:rsidRPr="0093523C">
        <w:rPr>
          <w:noProof/>
        </w:rPr>
        <w:t xml:space="preserve"> </w:t>
      </w:r>
      <w:r w:rsidR="001D1803" w:rsidRPr="0093523C">
        <w:t>Vývoj</w:t>
      </w:r>
      <w:r w:rsidR="001D1803">
        <w:t xml:space="preserve"> státního dluhu a jeho střednědobý výhled</w:t>
      </w:r>
    </w:p>
    <w:p w:rsidR="009963F9" w:rsidRDefault="008E78AA" w:rsidP="0057283D">
      <w:pPr>
        <w:ind w:firstLine="0"/>
        <w:jc w:val="left"/>
      </w:pPr>
      <w:r>
        <w:rPr>
          <w:noProof/>
        </w:rPr>
        <w:pict>
          <v:shape id="Obrázek 6" o:spid="_x0000_i1056" type="#_x0000_t75" style="width:329.25pt;height:173.25pt;visibility:visible;mso-wrap-style:square">
            <v:imagedata r:id="rId57" o:title=""/>
          </v:shape>
        </w:pict>
      </w:r>
    </w:p>
    <w:p w:rsidR="001D1803" w:rsidRDefault="001D1803" w:rsidP="0093523C">
      <w:r>
        <w:t>Nezbytné kroky ke stabilizaci rozpočtů a optimalizace procesu financování státu umožňují významný pokles rozpočtovaných výdajů na obsluhu státního dluhu v letech 2015 a</w:t>
      </w:r>
      <w:r w:rsidR="00436461">
        <w:t> </w:t>
      </w:r>
      <w:r>
        <w:t>2016 oproti původním střednědobým výdajovým rámcům z minulých let.</w:t>
      </w:r>
    </w:p>
    <w:p w:rsidR="001D1803" w:rsidRPr="0057283D" w:rsidRDefault="006E35BF" w:rsidP="0057283D">
      <w:pPr>
        <w:pStyle w:val="Titulek"/>
        <w:spacing w:before="240"/>
        <w:ind w:left="1560" w:hanging="1560"/>
        <w:jc w:val="left"/>
        <w:rPr>
          <w:highlight w:val="yellow"/>
        </w:rPr>
      </w:pPr>
      <w:r>
        <w:lastRenderedPageBreak/>
        <w:t xml:space="preserve">Tabulka č. </w:t>
      </w:r>
      <w:fldSimple w:instr=" SEQ Tabulka_č._ \* ARABIC ">
        <w:r w:rsidR="003B4B7F">
          <w:rPr>
            <w:noProof/>
          </w:rPr>
          <w:t>23</w:t>
        </w:r>
      </w:fldSimple>
      <w:r>
        <w:rPr>
          <w:noProof/>
        </w:rPr>
        <w:t xml:space="preserve"> </w:t>
      </w:r>
      <w:r w:rsidR="0057283D">
        <w:rPr>
          <w:noProof/>
        </w:rPr>
        <w:t xml:space="preserve"> </w:t>
      </w:r>
      <w:r w:rsidR="001D1803" w:rsidRPr="0057283D">
        <w:t xml:space="preserve">Základní ukazatele státního rozpočtu </w:t>
      </w:r>
      <w:r w:rsidR="0057283D" w:rsidRPr="0057283D">
        <w:t xml:space="preserve">v kapitole Státní dluh v letech      </w:t>
      </w:r>
      <w:r w:rsidR="001D1803" w:rsidRPr="0057283D">
        <w:t>2011</w:t>
      </w:r>
      <w:r w:rsidR="0057283D" w:rsidRPr="0057283D">
        <w:t> </w:t>
      </w:r>
      <w:r w:rsidR="001D1803" w:rsidRPr="0057283D">
        <w:t>-</w:t>
      </w:r>
      <w:r w:rsidR="0057283D" w:rsidRPr="0057283D">
        <w:t> </w:t>
      </w:r>
      <w:r w:rsidR="001D1803" w:rsidRPr="0057283D">
        <w:t>2017 (mil. Kč)</w:t>
      </w:r>
    </w:p>
    <w:p w:rsidR="001D1803" w:rsidRDefault="008E78AA" w:rsidP="006E35BF">
      <w:pPr>
        <w:ind w:firstLine="0"/>
        <w:jc w:val="left"/>
      </w:pPr>
      <w:r>
        <w:rPr>
          <w:noProof/>
        </w:rPr>
        <w:pict>
          <v:shape id="Obrázek 1" o:spid="_x0000_i1057" type="#_x0000_t75" style="width:453.75pt;height:84.75pt;visibility:visible;mso-wrap-style:square">
            <v:imagedata r:id="rId58" o:title=""/>
          </v:shape>
        </w:pict>
      </w:r>
    </w:p>
    <w:p w:rsidR="0057283D" w:rsidRDefault="0057283D" w:rsidP="001D1803"/>
    <w:p w:rsidR="001D1803" w:rsidRDefault="001D1803" w:rsidP="001D1803">
      <w:r>
        <w:t>Pokles rozpočtovaných příjmů v letech 2015 až 2017 je dán především předpokladem postupného vyčerpání zákonných limitů emisí střednědobých a dlouhodobých státních dluhopisů s vyššími kupony s datem emise v předchozích letech, které generují v situaci současných nízkých úrokových sazeb vysoké prémie při prodeji na finančním trhu a podle platné rozpočtové skladby také hotovostní příjmy státního rozpočtu. Za předpokladu postupného nárůstu úrokových sazeb již nelze do budoucna takto vysokých prémií dosáhnout, resp. v případě nových emisí na</w:t>
      </w:r>
      <w:r w:rsidR="00436461">
        <w:t> </w:t>
      </w:r>
      <w:r>
        <w:t>primárním trhu s nižšími kupony nebudou tyto prémie generovány ani v případě přetrvání prostředí aktuálně nízkých úrokových sazeb.</w:t>
      </w:r>
    </w:p>
    <w:p w:rsidR="001D1803" w:rsidRDefault="001D1803" w:rsidP="001D1803">
      <w:r>
        <w:t xml:space="preserve">Výdaje na obsluhu státního dluhu se odvíjely od dlouhodobého trendu růstu státního dluhu. Ve výhledu by měl být státní dluh v letech 2014 a 2015 stabilizován, přičemž jeho další nárůst v letech 2016 až 2017 povede po související stabilizaci výdajů státního dluhu v roce 2015 na úrovni 65,8 mld. Kč k dalšímu růstu těchto výdajů až na 80,3 mld. Kč v roce 2017. </w:t>
      </w:r>
      <w:r w:rsidRPr="00CB67A3">
        <w:t>Skutečný vývoj státního dluhu a výdajů na obsluhu státního dluhu v letech 2016 až 2017 však bude záviset zejména na dalším rozvoji systému státní pokladny a</w:t>
      </w:r>
      <w:r>
        <w:t xml:space="preserve"> zapojování dalších peněžních prostředků státních a veřejných institucí do centrálního systému refinancování státu.</w:t>
      </w:r>
    </w:p>
    <w:p w:rsidR="00A24FF5" w:rsidRPr="000552D0" w:rsidRDefault="001D1803" w:rsidP="00810FA4">
      <w:r>
        <w:t>V letech 2015 až 2017 budou splaceny emise střednědobých a dlouhodobých státních dluhopisů včetně plánovaných zpětných odkupů nebo výměn před datem splatnosti a</w:t>
      </w:r>
      <w:r w:rsidR="00436461">
        <w:t> </w:t>
      </w:r>
      <w:r>
        <w:t>jmenovitých hodnot nebo jistin derivátů souvisejících s úhradou jmenovitých hodnot nebo jistin státního dluhu v celkové výši 489,4 mld. Kč, tj. podle jednotlivých let: 145,8 mld. Kč v roce 2015, 183,8 mld. Kč v roce 2016 a 159,8 mld. Kč v roce 2017. Dále budou spláceny jistiny úvěrů od Evropské investiční banky v letech 2015 až 2017 v předpokládané celkové hodnotě 5,4</w:t>
      </w:r>
      <w:r w:rsidR="00436461">
        <w:t> </w:t>
      </w:r>
      <w:r>
        <w:t>mld.</w:t>
      </w:r>
      <w:r w:rsidR="00436461">
        <w:t> </w:t>
      </w:r>
      <w:r>
        <w:t>Kč.</w:t>
      </w:r>
    </w:p>
    <w:p w:rsidR="00A24FF5" w:rsidRPr="007B351D" w:rsidRDefault="00D14007" w:rsidP="002A1868">
      <w:pPr>
        <w:pStyle w:val="Nadpis1"/>
        <w:ind w:left="540" w:hanging="540"/>
      </w:pPr>
      <w:bookmarkStart w:id="155" w:name="_Toc206999992"/>
      <w:bookmarkStart w:id="156" w:name="_Toc241917813"/>
      <w:bookmarkStart w:id="157" w:name="_Toc333680194"/>
      <w:bookmarkStart w:id="158" w:name="_Toc397357499"/>
      <w:r w:rsidRPr="007B351D">
        <w:lastRenderedPageBreak/>
        <w:t>Závazky</w:t>
      </w:r>
      <w:r w:rsidR="00A24FF5" w:rsidRPr="007B351D">
        <w:t xml:space="preserve"> státu vyplývajících </w:t>
      </w:r>
      <w:bookmarkEnd w:id="155"/>
      <w:bookmarkEnd w:id="156"/>
      <w:bookmarkEnd w:id="157"/>
      <w:r w:rsidRPr="007B351D">
        <w:t xml:space="preserve">z víceletých </w:t>
      </w:r>
      <w:r w:rsidR="00A24FF5" w:rsidRPr="007B351D">
        <w:t>významných veřejných zakázek</w:t>
      </w:r>
      <w:r w:rsidRPr="007B351D">
        <w:t xml:space="preserve"> a z koncesních smluv</w:t>
      </w:r>
      <w:bookmarkEnd w:id="158"/>
    </w:p>
    <w:p w:rsidR="00D14007" w:rsidRDefault="00D14007" w:rsidP="00D14007">
      <w:pPr>
        <w:rPr>
          <w:bCs/>
        </w:rPr>
      </w:pPr>
      <w:r>
        <w:t xml:space="preserve">Správci rozpočtových kapitol </w:t>
      </w:r>
      <w:r>
        <w:rPr>
          <w:bCs/>
        </w:rPr>
        <w:t>ministerstev obrany, práce a sociálních věcí, vnitra, kultury a spravedlnosti</w:t>
      </w:r>
      <w:r w:rsidRPr="00F00084">
        <w:t xml:space="preserve"> </w:t>
      </w:r>
      <w:r>
        <w:t xml:space="preserve">předpokládají na léta </w:t>
      </w:r>
      <w:smartTag w:uri="urn:schemas-microsoft-com:office:smarttags" w:element="metricconverter">
        <w:smartTagPr>
          <w:attr w:name="ProductID" w:val="2016 a"/>
        </w:smartTagPr>
        <w:r>
          <w:t>2016 a</w:t>
        </w:r>
      </w:smartTag>
      <w:r>
        <w:t xml:space="preserve"> 2017 realizaci 23 již uzavřených nebo připravených smluv</w:t>
      </w:r>
      <w:r w:rsidRPr="00183496">
        <w:rPr>
          <w:bCs/>
        </w:rPr>
        <w:t xml:space="preserve"> </w:t>
      </w:r>
      <w:r>
        <w:rPr>
          <w:bCs/>
        </w:rPr>
        <w:t xml:space="preserve">na víceleté významné veřejné zakázky. Celková hodnota výdajů na realizaci těchto smluv v období od roku 2016 do roku 2027 </w:t>
      </w:r>
      <w:r w:rsidRPr="00754062">
        <w:t xml:space="preserve">dosáhne </w:t>
      </w:r>
      <w:r>
        <w:t>42 242</w:t>
      </w:r>
      <w:r w:rsidRPr="00754062">
        <w:rPr>
          <w:bCs/>
        </w:rPr>
        <w:t xml:space="preserve"> </w:t>
      </w:r>
      <w:r>
        <w:rPr>
          <w:bCs/>
        </w:rPr>
        <w:t xml:space="preserve">mil. Kč. Z toho v letech </w:t>
      </w:r>
      <w:smartTag w:uri="urn:schemas-microsoft-com:office:smarttags" w:element="metricconverter">
        <w:smartTagPr>
          <w:attr w:name="ProductID" w:val="2016 a"/>
        </w:smartTagPr>
        <w:r>
          <w:rPr>
            <w:bCs/>
          </w:rPr>
          <w:t>2016 a</w:t>
        </w:r>
      </w:smartTag>
      <w:r>
        <w:rPr>
          <w:bCs/>
        </w:rPr>
        <w:t xml:space="preserve"> 2017 budou výdaje činit </w:t>
      </w:r>
      <w:smartTag w:uri="urn:schemas-microsoft-com:office:smarttags" w:element="metricconverter">
        <w:smartTagPr>
          <w:attr w:name="ProductID" w:val="8ﾠ477 mil"/>
        </w:smartTagPr>
        <w:r>
          <w:rPr>
            <w:bCs/>
          </w:rPr>
          <w:t>8 477 mil</w:t>
        </w:r>
      </w:smartTag>
      <w:r>
        <w:rPr>
          <w:bCs/>
        </w:rPr>
        <w:t xml:space="preserve">. Kč, resp. </w:t>
      </w:r>
      <w:smartTag w:uri="urn:schemas-microsoft-com:office:smarttags" w:element="metricconverter">
        <w:smartTagPr>
          <w:attr w:name="ProductID" w:val="8ﾠ554 mil"/>
        </w:smartTagPr>
        <w:r>
          <w:rPr>
            <w:bCs/>
          </w:rPr>
          <w:t>8 554 mil</w:t>
        </w:r>
      </w:smartTag>
      <w:r>
        <w:rPr>
          <w:bCs/>
        </w:rPr>
        <w:t xml:space="preserve">. Kč. </w:t>
      </w:r>
    </w:p>
    <w:p w:rsidR="00D14007" w:rsidRPr="00754062" w:rsidRDefault="00D14007" w:rsidP="00D14007">
      <w:pPr>
        <w:rPr>
          <w:bCs/>
        </w:rPr>
      </w:pPr>
      <w:r>
        <w:rPr>
          <w:bCs/>
        </w:rPr>
        <w:t xml:space="preserve">Nejvyšších hodnot v jednotlivých případech dosahují víceleté zakázky Ministerstva obrany, a to zejména na udržení a rozvoj schopností nadzvukového letectva, na mobilní 3D radiolokátor, na strategickou leteckou přepravu a na technické střežení muničních skladů. Ministerstvo práce a sociálních věcí předpokládá v období do roku 2018 realizaci víceleté významné zakázky na implementaci a podporu </w:t>
      </w:r>
      <w:proofErr w:type="spellStart"/>
      <w:r>
        <w:rPr>
          <w:bCs/>
        </w:rPr>
        <w:t>agendového</w:t>
      </w:r>
      <w:proofErr w:type="spellEnd"/>
      <w:r>
        <w:rPr>
          <w:bCs/>
        </w:rPr>
        <w:t xml:space="preserve"> informačního systému pro zpracování nepojistných sociálních dávek a dávek z oblasti státní politiky zaměstnanosti, Ministerstvo vnitra realizaci zakázek na výrobu osobních dokladů a bezhotovostní odběr pohonných hmot a realizaci rámcových smluv v oblasti informačních a komunikačních technologií. Ministerstvo kultury touto formou pořizuje služby fyzické ostrahy a pultu centralizované ochrany v objektech Ministerstva kultury a jeho příspěvkových organizací a</w:t>
      </w:r>
      <w:r w:rsidR="00436461">
        <w:rPr>
          <w:bCs/>
        </w:rPr>
        <w:t> </w:t>
      </w:r>
      <w:r>
        <w:rPr>
          <w:bCs/>
        </w:rPr>
        <w:t xml:space="preserve">fondů, Ministerstvo spravedlnosti zajištění provozovatele poštovních služeb. </w:t>
      </w:r>
    </w:p>
    <w:p w:rsidR="00A24FF5" w:rsidRPr="00EA0614" w:rsidRDefault="00D14007" w:rsidP="00EA0614">
      <w:pPr>
        <w:ind w:firstLine="540"/>
        <w:rPr>
          <w:bCs/>
        </w:rPr>
      </w:pPr>
      <w:r>
        <w:rPr>
          <w:bCs/>
        </w:rPr>
        <w:t>Koncesní smlouvy jsou u organizačních složek státu, státních příspěvkových organizací a</w:t>
      </w:r>
      <w:r w:rsidR="00436461">
        <w:rPr>
          <w:bCs/>
        </w:rPr>
        <w:t> </w:t>
      </w:r>
      <w:r>
        <w:rPr>
          <w:bCs/>
        </w:rPr>
        <w:t>státních fondů spíše výjimečně využívanou formou zadání a realizace služeb či dodávek. V současné době se realizují koncesní smlouvy, které uzavřelo v roce 2011 Ministerstvo pro místní rozvoj, a to na vytvoření a provoz Informačního systému o veřejných zakázkách a</w:t>
      </w:r>
      <w:r w:rsidR="00436461">
        <w:rPr>
          <w:bCs/>
        </w:rPr>
        <w:t> </w:t>
      </w:r>
      <w:r>
        <w:rPr>
          <w:bCs/>
        </w:rPr>
        <w:t>na</w:t>
      </w:r>
      <w:r w:rsidR="00436461">
        <w:rPr>
          <w:bCs/>
        </w:rPr>
        <w:t> </w:t>
      </w:r>
      <w:r>
        <w:rPr>
          <w:bCs/>
        </w:rPr>
        <w:t xml:space="preserve">vytvoření a zajištění běžného provozu </w:t>
      </w:r>
      <w:r w:rsidRPr="00F00084">
        <w:t>elektronických tržišť veřejné správy. Předpokládan</w:t>
      </w:r>
      <w:r>
        <w:t xml:space="preserve">á hodnota těchto koncesních smluv, platných do srpna 2016, resp. března 2017, činí v případě Informačního systému o veřejných zakázkách </w:t>
      </w:r>
      <w:smartTag w:uri="urn:schemas-microsoft-com:office:smarttags" w:element="metricconverter">
        <w:smartTagPr>
          <w:attr w:name="ProductID" w:val="100 mil"/>
        </w:smartTagPr>
        <w:r>
          <w:t>100 mil</w:t>
        </w:r>
      </w:smartTag>
      <w:r>
        <w:t xml:space="preserve">. Kč a v případě elektronických tržišť 352 mil. Kč. </w:t>
      </w:r>
    </w:p>
    <w:p w:rsidR="00A24FF5" w:rsidRPr="00D819EA" w:rsidRDefault="00A24FF5" w:rsidP="004066E5">
      <w:pPr>
        <w:sectPr w:rsidR="00A24FF5" w:rsidRPr="00D819EA" w:rsidSect="00150815">
          <w:pgSz w:w="11906" w:h="16838"/>
          <w:pgMar w:top="1418" w:right="1106" w:bottom="1418" w:left="1418" w:header="709" w:footer="709" w:gutter="0"/>
          <w:cols w:space="708"/>
          <w:docGrid w:linePitch="360"/>
        </w:sectPr>
      </w:pPr>
    </w:p>
    <w:p w:rsidR="00A24FF5" w:rsidRPr="006D5435" w:rsidRDefault="00A24FF5" w:rsidP="00E90FB0">
      <w:pPr>
        <w:pStyle w:val="Nadpishlavnsti"/>
      </w:pPr>
      <w:bookmarkStart w:id="159" w:name="_Toc206999993"/>
      <w:bookmarkStart w:id="160" w:name="_Toc241917814"/>
      <w:bookmarkStart w:id="161" w:name="_Toc333680195"/>
      <w:bookmarkStart w:id="162" w:name="_Toc397357500"/>
      <w:r w:rsidRPr="006D5435">
        <w:lastRenderedPageBreak/>
        <w:t>E</w:t>
      </w:r>
      <w:r w:rsidRPr="007B351D">
        <w:t xml:space="preserve">. </w:t>
      </w:r>
      <w:bookmarkEnd w:id="159"/>
      <w:bookmarkEnd w:id="160"/>
      <w:r w:rsidRPr="007B351D">
        <w:t>Tabulková část</w:t>
      </w:r>
      <w:bookmarkEnd w:id="161"/>
      <w:bookmarkEnd w:id="162"/>
    </w:p>
    <w:p w:rsidR="006120DF" w:rsidRPr="00BE0DA9" w:rsidRDefault="006120DF" w:rsidP="006120DF">
      <w:pPr>
        <w:spacing w:after="0" w:line="240" w:lineRule="auto"/>
        <w:ind w:firstLine="0"/>
      </w:pPr>
      <w:r>
        <w:t xml:space="preserve">Tabulka č.  </w:t>
      </w:r>
      <w:r w:rsidRPr="00BE0DA9">
        <w:t xml:space="preserve">1 - Střednědobé výdajové rámce v letech </w:t>
      </w:r>
      <w:smartTag w:uri="urn:schemas-microsoft-com:office:smarttags" w:element="metricconverter">
        <w:smartTagPr>
          <w:attr w:name="ProductID" w:val="2016 a"/>
        </w:smartTagPr>
        <w:r>
          <w:t>2016</w:t>
        </w:r>
        <w:r w:rsidRPr="00BE0DA9">
          <w:t xml:space="preserve"> a</w:t>
        </w:r>
      </w:smartTag>
      <w:r w:rsidRPr="00BE0DA9">
        <w:t xml:space="preserve"> 201</w:t>
      </w:r>
      <w:r>
        <w:t>7</w:t>
      </w:r>
    </w:p>
    <w:p w:rsidR="006120DF" w:rsidRDefault="006120DF" w:rsidP="006120DF">
      <w:pPr>
        <w:spacing w:before="0" w:after="0" w:line="240" w:lineRule="auto"/>
        <w:ind w:left="1800" w:hanging="1800"/>
        <w:jc w:val="left"/>
      </w:pPr>
      <w:r>
        <w:t xml:space="preserve">Tabulka č.  </w:t>
      </w:r>
      <w:r w:rsidRPr="00BE0DA9">
        <w:t>2</w:t>
      </w:r>
      <w:r>
        <w:t xml:space="preserve"> - Celkové příjmy státního rozpočtu na léta 2015 až 2017 podle kapitol</w:t>
      </w:r>
    </w:p>
    <w:p w:rsidR="006120DF" w:rsidRDefault="006120DF" w:rsidP="006120DF">
      <w:pPr>
        <w:spacing w:before="0" w:after="0" w:line="240" w:lineRule="auto"/>
        <w:ind w:left="1800" w:hanging="1800"/>
        <w:jc w:val="left"/>
      </w:pPr>
      <w:r>
        <w:t>Tabulka č.  3 - Celkové výdaje státního rozpočtu na léta 2015 až 2017 podle kapitol</w:t>
      </w:r>
    </w:p>
    <w:p w:rsidR="006120DF" w:rsidRDefault="006120DF" w:rsidP="006120DF">
      <w:pPr>
        <w:spacing w:before="0" w:after="0" w:line="240" w:lineRule="auto"/>
        <w:ind w:left="1440" w:hanging="1440"/>
        <w:jc w:val="left"/>
      </w:pPr>
      <w:r>
        <w:t xml:space="preserve">Tabulka č.  4 - Výdaje na zahraniční rozvojovou spolupráci a humanitární pomoc na léta 2015 až 2017 </w:t>
      </w:r>
    </w:p>
    <w:p w:rsidR="006120DF" w:rsidRDefault="006120DF" w:rsidP="006120DF">
      <w:pPr>
        <w:spacing w:before="0" w:after="0" w:line="240" w:lineRule="auto"/>
        <w:ind w:left="1440" w:hanging="1440"/>
        <w:jc w:val="left"/>
      </w:pPr>
      <w:r>
        <w:t>Tabulka č.  5</w:t>
      </w:r>
      <w:r w:rsidRPr="00BE0DA9">
        <w:t xml:space="preserve"> </w:t>
      </w:r>
      <w:r>
        <w:t xml:space="preserve">- </w:t>
      </w:r>
      <w:r w:rsidRPr="00BE0DA9">
        <w:t>Výdaje státního rozpočtu na výzkum</w:t>
      </w:r>
      <w:r>
        <w:t>,</w:t>
      </w:r>
      <w:r w:rsidRPr="00BE0DA9">
        <w:t xml:space="preserve"> vývoj</w:t>
      </w:r>
      <w:r>
        <w:t xml:space="preserve"> a inovace</w:t>
      </w:r>
      <w:r w:rsidRPr="00BE0DA9">
        <w:t xml:space="preserve"> </w:t>
      </w:r>
      <w:r>
        <w:t xml:space="preserve">na léta 2015 až 2017 </w:t>
      </w:r>
      <w:r w:rsidRPr="00BE0DA9">
        <w:t xml:space="preserve">podle kapitol </w:t>
      </w:r>
    </w:p>
    <w:p w:rsidR="006120DF" w:rsidRPr="00BE0DA9" w:rsidRDefault="00EA0614" w:rsidP="006120DF">
      <w:pPr>
        <w:spacing w:before="0" w:after="0" w:line="240" w:lineRule="auto"/>
        <w:ind w:left="1440" w:hanging="1440"/>
        <w:jc w:val="left"/>
      </w:pPr>
      <w:r>
        <w:t>Tabulka č.  6 -</w:t>
      </w:r>
      <w:r w:rsidR="006120DF">
        <w:t xml:space="preserve"> Objem prostředků na platy, ostatní platby za provedenou práci (ostatní osob</w:t>
      </w:r>
      <w:r>
        <w:t>ní náklady) a počty zaměstnanců</w:t>
      </w:r>
      <w:r w:rsidR="006120DF">
        <w:t xml:space="preserve"> v organizačních složkách státu a příspěvkových organizacích v letech 2015</w:t>
      </w:r>
      <w:r>
        <w:t xml:space="preserve"> až </w:t>
      </w:r>
      <w:r w:rsidR="006120DF">
        <w:t>2017</w:t>
      </w:r>
    </w:p>
    <w:p w:rsidR="006120DF" w:rsidRPr="00BE0DA9" w:rsidRDefault="006120DF" w:rsidP="006120DF">
      <w:pPr>
        <w:spacing w:before="0" w:after="0" w:line="240" w:lineRule="auto"/>
        <w:ind w:firstLine="0"/>
        <w:jc w:val="left"/>
      </w:pPr>
      <w:r>
        <w:t>Tabulka č.  7</w:t>
      </w:r>
      <w:r w:rsidRPr="00BE0DA9">
        <w:t xml:space="preserve"> - Výdajové limity státních fondů v letech </w:t>
      </w:r>
      <w:r>
        <w:t>2015</w:t>
      </w:r>
      <w:r w:rsidRPr="00BE0DA9">
        <w:t xml:space="preserve"> až </w:t>
      </w:r>
      <w:r>
        <w:t>2017</w:t>
      </w:r>
    </w:p>
    <w:p w:rsidR="006120DF" w:rsidRPr="00BE0DA9" w:rsidRDefault="006120DF" w:rsidP="006120DF">
      <w:pPr>
        <w:spacing w:before="0" w:after="0" w:line="240" w:lineRule="auto"/>
        <w:ind w:left="1440" w:hanging="1440"/>
        <w:jc w:val="left"/>
      </w:pPr>
      <w:r>
        <w:t xml:space="preserve">Tabulka č.  8 </w:t>
      </w:r>
      <w:r w:rsidRPr="00BE0DA9">
        <w:t>- Státní záruky za úvěry a rozložení splátek úvěrů podle roků do konce jejich splatnosti</w:t>
      </w:r>
    </w:p>
    <w:p w:rsidR="006120DF" w:rsidRPr="00BE0DA9" w:rsidRDefault="006120DF" w:rsidP="006120DF">
      <w:pPr>
        <w:spacing w:before="0" w:after="0" w:line="240" w:lineRule="auto"/>
        <w:ind w:firstLine="0"/>
        <w:jc w:val="left"/>
      </w:pPr>
      <w:r>
        <w:t>Tabulka č.   9</w:t>
      </w:r>
      <w:r w:rsidRPr="00BE0DA9">
        <w:t xml:space="preserve"> </w:t>
      </w:r>
      <w:r>
        <w:t>-</w:t>
      </w:r>
      <w:r w:rsidRPr="00BE0DA9">
        <w:t xml:space="preserve"> Příjmy a výdaje státních fondů na rok </w:t>
      </w:r>
      <w:r>
        <w:t>2015</w:t>
      </w:r>
    </w:p>
    <w:p w:rsidR="006120DF" w:rsidRPr="00BE0DA9" w:rsidRDefault="006120DF" w:rsidP="006120DF">
      <w:pPr>
        <w:spacing w:before="0" w:after="0" w:line="240" w:lineRule="auto"/>
        <w:ind w:firstLine="0"/>
        <w:jc w:val="left"/>
      </w:pPr>
      <w:r>
        <w:t>Tabulka č. 10</w:t>
      </w:r>
      <w:r w:rsidRPr="00BE0DA9">
        <w:t xml:space="preserve"> - Příjmy a výdaje státních fondů na rok </w:t>
      </w:r>
      <w:r>
        <w:t>2016</w:t>
      </w:r>
    </w:p>
    <w:p w:rsidR="006120DF" w:rsidRDefault="006120DF" w:rsidP="006120DF">
      <w:pPr>
        <w:spacing w:before="0" w:after="0" w:line="240" w:lineRule="auto"/>
        <w:ind w:firstLine="0"/>
        <w:jc w:val="left"/>
      </w:pPr>
      <w:r>
        <w:t>Tabulka č. 11</w:t>
      </w:r>
      <w:r w:rsidRPr="00BE0DA9">
        <w:t xml:space="preserve"> - Příjmy a výdaje státních fondů na rok </w:t>
      </w:r>
      <w:r>
        <w:t>2017</w:t>
      </w:r>
    </w:p>
    <w:p w:rsidR="006120DF" w:rsidRDefault="006120DF" w:rsidP="006120DF">
      <w:pPr>
        <w:spacing w:before="0" w:after="0"/>
        <w:ind w:firstLine="0"/>
        <w:jc w:val="left"/>
      </w:pPr>
      <w:r>
        <w:t>Tabulka č. 12 - Specifické ukazatele rozpočtových kapitol v letech 2015 až 2017</w:t>
      </w:r>
    </w:p>
    <w:p w:rsidR="00A24FF5" w:rsidRDefault="00A24FF5" w:rsidP="00F83A99">
      <w:pPr>
        <w:spacing w:before="0" w:after="0" w:line="240" w:lineRule="auto"/>
        <w:ind w:firstLine="0"/>
        <w:jc w:val="left"/>
        <w:rPr>
          <w:sz w:val="40"/>
          <w:szCs w:val="40"/>
        </w:rPr>
      </w:pPr>
    </w:p>
    <w:p w:rsidR="00A24FF5" w:rsidRDefault="00A24FF5" w:rsidP="00D20A6E">
      <w:pPr>
        <w:pStyle w:val="Nadpisobsahu"/>
      </w:pPr>
    </w:p>
    <w:p w:rsidR="00A24FF5" w:rsidRDefault="00A24FF5"/>
    <w:p w:rsidR="00A24FF5" w:rsidRPr="009C63A5" w:rsidRDefault="00A24FF5" w:rsidP="00F83A99">
      <w:pPr>
        <w:spacing w:before="0" w:after="0" w:line="240" w:lineRule="auto"/>
        <w:ind w:firstLine="0"/>
        <w:jc w:val="left"/>
        <w:rPr>
          <w:sz w:val="40"/>
          <w:szCs w:val="40"/>
        </w:rPr>
      </w:pPr>
    </w:p>
    <w:sectPr w:rsidR="00A24FF5" w:rsidRPr="009C63A5" w:rsidSect="00356FF3">
      <w:footerReference w:type="default" r:id="rId59"/>
      <w:pgSz w:w="11906" w:h="16838"/>
      <w:pgMar w:top="1418" w:right="128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A0388" w:rsidRDefault="005A0388">
      <w:r>
        <w:separator/>
      </w:r>
    </w:p>
  </w:endnote>
  <w:endnote w:type="continuationSeparator" w:id="0">
    <w:p w:rsidR="005A0388" w:rsidRDefault="005A03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5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rsidP="00004BAB">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A05F55" w:rsidRDefault="00A05F5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rsidP="00B03A64">
    <w:pPr>
      <w:pStyle w:val="Zpat"/>
    </w:pPr>
  </w:p>
  <w:p w:rsidR="00A05F55" w:rsidRDefault="00A05F55" w:rsidP="00B03A64">
    <w:pPr>
      <w:pStyle w:val="Zpat"/>
      <w:tabs>
        <w:tab w:val="clear" w:pos="4536"/>
        <w:tab w:val="clear" w:pos="9072"/>
        <w:tab w:val="left" w:pos="4230"/>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pPr>
      <w:pStyle w:val="Zpat"/>
      <w:jc w:val="center"/>
    </w:pPr>
  </w:p>
  <w:p w:rsidR="00A05F55" w:rsidRDefault="00A05F55">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rsidP="00B03A64">
    <w:pPr>
      <w:pStyle w:val="Zpat"/>
      <w:jc w:val="center"/>
    </w:pPr>
    <w:r>
      <w:fldChar w:fldCharType="begin"/>
    </w:r>
    <w:r>
      <w:instrText>PAGE   \* MERGEFORMAT</w:instrText>
    </w:r>
    <w:r>
      <w:fldChar w:fldCharType="separate"/>
    </w:r>
    <w:r w:rsidR="008D5E9E">
      <w:rPr>
        <w:noProof/>
      </w:rPr>
      <w:t>1</w:t>
    </w:r>
    <w:r>
      <w:rPr>
        <w:noProof/>
      </w:rPr>
      <w:fldChar w:fldCharType="end"/>
    </w:r>
  </w:p>
  <w:p w:rsidR="00A05F55" w:rsidRDefault="00A05F55" w:rsidP="00B03A64">
    <w:pPr>
      <w:pStyle w:val="Zpat"/>
      <w:tabs>
        <w:tab w:val="clear" w:pos="4536"/>
        <w:tab w:val="clear" w:pos="9072"/>
        <w:tab w:val="left" w:pos="4230"/>
      </w:tabs>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pPr>
      <w:pStyle w:val="Zpat"/>
      <w:jc w:val="center"/>
    </w:pPr>
    <w:r>
      <w:fldChar w:fldCharType="begin"/>
    </w:r>
    <w:r>
      <w:instrText>PAGE   \* MERGEFORMAT</w:instrText>
    </w:r>
    <w:r>
      <w:fldChar w:fldCharType="separate"/>
    </w:r>
    <w:r>
      <w:rPr>
        <w:noProof/>
      </w:rPr>
      <w:t>1</w:t>
    </w:r>
    <w:r>
      <w:rPr>
        <w:noProof/>
      </w:rPr>
      <w:fldChar w:fldCharType="end"/>
    </w:r>
  </w:p>
  <w:p w:rsidR="00A05F55" w:rsidRDefault="00A05F55">
    <w:pPr>
      <w:pStyle w:val="Zpa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5F55" w:rsidRDefault="00A05F55" w:rsidP="00004BAB">
    <w:pPr>
      <w:pStyle w:val="Zpat"/>
      <w:framePr w:wrap="around" w:vAnchor="text" w:hAnchor="margin" w:xAlign="center" w:y="1"/>
      <w:jc w:val="center"/>
      <w:rPr>
        <w:rStyle w:val="slostrnky"/>
      </w:rPr>
    </w:pPr>
    <w:r>
      <w:rPr>
        <w:rStyle w:val="slostrnky"/>
      </w:rPr>
      <w:fldChar w:fldCharType="begin"/>
    </w:r>
    <w:r>
      <w:rPr>
        <w:rStyle w:val="slostrnky"/>
      </w:rPr>
      <w:instrText xml:space="preserve">PAGE  </w:instrText>
    </w:r>
    <w:r>
      <w:rPr>
        <w:rStyle w:val="slostrnky"/>
      </w:rPr>
      <w:fldChar w:fldCharType="separate"/>
    </w:r>
    <w:r w:rsidR="003B4B7F">
      <w:rPr>
        <w:rStyle w:val="slostrnky"/>
        <w:noProof/>
      </w:rPr>
      <w:t>54</w:t>
    </w:r>
    <w:r>
      <w:rPr>
        <w:rStyle w:val="slostrnky"/>
      </w:rPr>
      <w:fldChar w:fldCharType="end"/>
    </w:r>
  </w:p>
  <w:p w:rsidR="00A05F55" w:rsidRDefault="00A05F55" w:rsidP="00B44F34">
    <w:pPr>
      <w:pStyle w:val="Zpat"/>
      <w:framePr w:wrap="around" w:vAnchor="text" w:hAnchor="margin" w:xAlign="center" w:y="1"/>
      <w:rPr>
        <w:rStyle w:val="slostrnky"/>
      </w:rPr>
    </w:pPr>
  </w:p>
  <w:p w:rsidR="00A05F55" w:rsidRDefault="00A05F5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A0388" w:rsidRDefault="005A0388">
      <w:r>
        <w:separator/>
      </w:r>
    </w:p>
  </w:footnote>
  <w:footnote w:type="continuationSeparator" w:id="0">
    <w:p w:rsidR="005A0388" w:rsidRDefault="005A0388">
      <w:r>
        <w:continuationSeparator/>
      </w:r>
    </w:p>
  </w:footnote>
  <w:footnote w:id="1">
    <w:p w:rsidR="00A05F55" w:rsidRDefault="00A05F55" w:rsidP="00E85B23">
      <w:pPr>
        <w:pStyle w:val="Textpoznpodarou"/>
      </w:pPr>
      <w:r>
        <w:rPr>
          <w:rStyle w:val="Znakapoznpodarou"/>
        </w:rPr>
        <w:footnoteRef/>
      </w:r>
      <w:r>
        <w:t xml:space="preserve"> Počátkem srpna 2014 byly vyhlášeny obchodní</w:t>
      </w:r>
      <w:r w:rsidRPr="00100B94">
        <w:t xml:space="preserve"> sankce </w:t>
      </w:r>
      <w:r>
        <w:t xml:space="preserve">EU </w:t>
      </w:r>
      <w:r w:rsidRPr="00100B94">
        <w:t>vůči Ruské federaci a ruská odvetná embarga</w:t>
      </w:r>
      <w:r>
        <w:t>,</w:t>
      </w:r>
      <w:r w:rsidRPr="00100B94">
        <w:t xml:space="preserve"> </w:t>
      </w:r>
      <w:r>
        <w:t xml:space="preserve">která </w:t>
      </w:r>
      <w:r w:rsidRPr="00100B94">
        <w:t xml:space="preserve">negativně zasáhnou některé české producenty na straně exportu. I když by dosud </w:t>
      </w:r>
      <w:r>
        <w:t xml:space="preserve">(do </w:t>
      </w:r>
      <w:proofErr w:type="gramStart"/>
      <w:r>
        <w:t>22.8.2014</w:t>
      </w:r>
      <w:proofErr w:type="gramEnd"/>
      <w:r>
        <w:t xml:space="preserve">) </w:t>
      </w:r>
      <w:r w:rsidRPr="00100B94">
        <w:t>odhadované dopady neměly mít na makroekonomické úrovni zásadní vliv (do úrovně 0,1 % HDP), eventuální další stupňování vzájemných sankcí by již pro českou ekonomiku mohlo být citelné</w:t>
      </w:r>
    </w:p>
  </w:footnote>
  <w:footnote w:id="2">
    <w:p w:rsidR="00A05F55" w:rsidRDefault="00A05F55" w:rsidP="00E85B23">
      <w:pPr>
        <w:pStyle w:val="Textpoznpodarou"/>
      </w:pPr>
      <w:r>
        <w:rPr>
          <w:rStyle w:val="Znakapoznpodarou"/>
        </w:rPr>
        <w:footnoteRef/>
      </w:r>
      <w:r>
        <w:t xml:space="preserve"> V souladu s požadavky </w:t>
      </w:r>
      <w:proofErr w:type="spellStart"/>
      <w:r>
        <w:t>EUROSTATu</w:t>
      </w:r>
      <w:proofErr w:type="spellEnd"/>
      <w:r>
        <w:t xml:space="preserve"> </w:t>
      </w:r>
      <w:r w:rsidRPr="0088402A">
        <w:t>pře</w:t>
      </w:r>
      <w:r>
        <w:t>jde ČSÚ od konce 3. čtvrtletí 2014</w:t>
      </w:r>
      <w:r w:rsidRPr="0088402A">
        <w:t xml:space="preserve"> na nový evropský metodický standard ESA 2010, který vychází z celosvětového standardu </w:t>
      </w:r>
      <w:r>
        <w:t xml:space="preserve">systému národních účtů </w:t>
      </w:r>
      <w:r w:rsidRPr="0088402A">
        <w:t>SNA 2008</w:t>
      </w:r>
      <w:r>
        <w:t>. Počínaje 2. čtvrtletím 2014 (zveřejnění na konci září 2014) budou data vykazována již v této nové metodice. Implementace ESA 2010 spolu se změnou zdrojů a metod odhadu zvýší nominální úroveň HDP až o cca 5 %, tempa růstu reálného HDP by se však neměla zásadněji měnit.</w:t>
      </w:r>
    </w:p>
  </w:footnote>
  <w:footnote w:id="3">
    <w:p w:rsidR="00A05F55" w:rsidRDefault="00A05F55" w:rsidP="003D6289">
      <w:pPr>
        <w:pStyle w:val="Textpoznpodarou"/>
      </w:pPr>
      <w:r>
        <w:rPr>
          <w:rStyle w:val="Znakapoznpodarou"/>
        </w:rPr>
        <w:footnoteRef/>
      </w:r>
      <w:r>
        <w:t xml:space="preserve"> Nezaměstnanost podle VŠPS je nižší též z metodických důvodů. Pro to, aby se dotyčný mohl označit za zaměstnaného, stačí odpracovat 1 hodinu během referenčního týdne.</w:t>
      </w:r>
    </w:p>
    <w:p w:rsidR="00A05F55" w:rsidRDefault="00A05F55" w:rsidP="003D6289">
      <w:pPr>
        <w:pStyle w:val="Textpoznpodarou"/>
      </w:pPr>
    </w:p>
  </w:footnote>
  <w:footnote w:id="4">
    <w:p w:rsidR="00A05F55" w:rsidRDefault="00A05F55" w:rsidP="00DB689E">
      <w:pPr>
        <w:pStyle w:val="Textpoznpodarou"/>
      </w:pPr>
      <w:r>
        <w:rPr>
          <w:rStyle w:val="Znakapoznpodarou"/>
        </w:rPr>
        <w:footnoteRef/>
      </w:r>
      <w:r>
        <w:t xml:space="preserve"> Tím byla zrušena „metodika fiskálního cílení“ závazná pro sestavení střednědobého výdajového rámce, nikoliv však samotný způsob odvození částek výdajového rámce od cílů deficitů vládního sektoru.</w:t>
      </w:r>
    </w:p>
  </w:footnote>
  <w:footnote w:id="5">
    <w:p w:rsidR="00A05F55" w:rsidRPr="008B16EE" w:rsidRDefault="00A05F55" w:rsidP="00CD307A">
      <w:pPr>
        <w:spacing w:line="240" w:lineRule="auto"/>
        <w:ind w:firstLine="0"/>
        <w:rPr>
          <w:sz w:val="20"/>
          <w:szCs w:val="20"/>
        </w:rPr>
      </w:pPr>
      <w:r w:rsidRPr="008B16EE">
        <w:rPr>
          <w:rStyle w:val="Znakapoznpodarou"/>
          <w:sz w:val="20"/>
          <w:szCs w:val="20"/>
        </w:rPr>
        <w:footnoteRef/>
      </w:r>
      <w:r w:rsidRPr="008B16EE">
        <w:rPr>
          <w:sz w:val="20"/>
          <w:szCs w:val="20"/>
        </w:rPr>
        <w:t xml:space="preserve"> V návaznosti na usnesení vlády č. 433/2013 k přípravě státního rozpočtu České republiky na rok </w:t>
      </w:r>
      <w:smartTag w:uri="urn:schemas-microsoft-com:office:smarttags" w:element="metricconverter">
        <w:smartTagPr>
          <w:attr w:name="ProductID" w:val="e垨Ҹa櫎æ耀zkeKey2e1ሒ櫎î耀ðKey1ô櫎ö耀keValue1櫎þ言Ā2014 a櫎Ć耀vĈKey1e2櫎Ď耀rĐValue2櫎Ė耀ĘęĚěĜ櫎Ğ耀ĠġĢģĤ櫎Ħ耀ĨĩĪīĬ櫎Į耀İıĲĳĴ櫎Ķ耀ĸĹĺĻļ櫎ľ耀¢ŀŁłŃń櫎ņ耀¦ňŉŊŋŌ櫎Ŏ耀ªŐőŒœŔ櫎Ŗ耀®ŘřŚśŜ櫎Ş耀²ŠšŢţŤ櫎Ŧ耀¶ŨũŪūŬ櫎Ů耀ºŰűŲųŴ櫎Ŷ耀¾ŸŹźŻż櫎ž耀ÂƀƁƂƃƄ櫎Ɔ耀ÆƈƉƊƋƌ櫎Ǝ耀ÊƐƑƒƓƔ櫎Ɩ耀ÎƘƙƚƛƜ櫎ƞ耀ÒƠơƢƣƤ櫎Ʀ耀ÖƨƩƪƫƬ櫎Ʈ耀ÚưƲƳƴ櫎ƶ耀ÞƸƺƻƼ櫎ƾ耀âǀ���櫎ǆ耀æ櫎耀ê櫎耀î櫎耀ò櫎耀ö櫎耀ú櫎耀뱣戳䌠ࡡ퍠ᇨҷ 타뇹笋䟠蠀ꚨ毭믰0^Ӂ嶠ላ뇲笋u蠀巄ላ≀ሒ눈І-놏笋v蠀ꚨ毭믰0bӁ巨ላ놈笋l蠀希ላ⊐ሒ⇰ሒ놅笋蠀ꚨ毭믰0"/>
        </w:smartTagPr>
        <w:r w:rsidRPr="008B16EE">
          <w:rPr>
            <w:sz w:val="20"/>
            <w:szCs w:val="20"/>
          </w:rPr>
          <w:t>2014 a</w:t>
        </w:r>
        <w:r>
          <w:rPr>
            <w:sz w:val="20"/>
            <w:szCs w:val="20"/>
          </w:rPr>
          <w:t> </w:t>
        </w:r>
      </w:smartTag>
      <w:r w:rsidRPr="008B16EE">
        <w:rPr>
          <w:sz w:val="20"/>
          <w:szCs w:val="20"/>
        </w:rPr>
        <w:t xml:space="preserve">střednědobého výhledu na léta </w:t>
      </w:r>
      <w:smartTag w:uri="urn:schemas-microsoft-com:office:smarttags" w:element="metricconverter">
        <w:smartTagPr>
          <w:attr w:name="ProductID" w:val="e垨Ҹa櫎æ耀zkeKey2e1ሒ櫎î耀ðKey1ô櫎ö耀keValue1櫎þ言Ā2014 a櫎Ć耀vĈKey1e2櫎Ď耀rĐValue2櫎Ė耀ĘęĚěĜ櫎Ğ耀ĠġĢģĤ櫎Ħ耀ĨĩĪīĬ櫎Į耀İıĲĳĴ櫎Ķ耀ĸĹĺĻļ櫎ľ耀¢ŀŁłŃń櫎ņ耀¦ňŉŊŋŌ櫎Ŏ耀ªŐőŒœŔ櫎Ŗ耀®ŘřŚśŜ櫎Ş耀²ŠšŢţŤ櫎Ŧ耀¶ŨũŪūŬ櫎Ů耀ºŰűŲųŴ櫎Ŷ耀¾ŸŹźŻż櫎ž耀ÂƀƁƂƃƄ櫎Ɔ耀ÆƈƉƊƋƌ櫎Ǝ耀ÊƐƑƒƓƔ櫎Ɩ耀ÎƘƙƚƛƜ櫎ƞ耀ÒƠơƢƣƤ櫎Ʀ耀ÖƨƩƪƫƬ櫎Ʈ耀ÚưƲƳƴ櫎ƶ耀ÞƸƺƻƼ櫎ƾ耀âǀ���櫎ǆ耀æ櫎耀ê櫎耀î櫎耀ò櫎耀ö櫎耀ú櫎耀뱣戳䌠ࡡ퍠ᇨҷ 타뇹笋䟠蠀ꚨ毭믰0^Ӂ嶠ላ뇲笋u蠀巄ላ≀ሒ눈І-놏笋v蠀ꚨ毭믰0bӁ巨ላ놈笋l蠀希ላ⊐ሒ⇰ሒ놅笋蠀ꚨ毭믰0"/>
        </w:smartTagPr>
        <w:r w:rsidRPr="008B16EE">
          <w:rPr>
            <w:sz w:val="20"/>
            <w:szCs w:val="20"/>
          </w:rPr>
          <w:t>2015 a</w:t>
        </w:r>
      </w:smartTag>
      <w:r w:rsidRPr="008B16EE">
        <w:rPr>
          <w:sz w:val="20"/>
          <w:szCs w:val="20"/>
        </w:rPr>
        <w:t xml:space="preserve"> </w:t>
      </w:r>
      <w:smartTag w:uri="urn:schemas-microsoft-com:office:smarttags" w:element="metricconverter">
        <w:smartTagPr>
          <w:attr w:name="ProductID" w:val="㿸櫎Ć耀*၆怠㿸櫎Ď耀&quot;Key1e2櫎Ė耀rValue1櫎Ğ耀arentFolder櫎Ħ耀ĨĩĪīĬ櫎Į耀İıĲĳĴ櫎Ķ耀ĸĹĺĻļ櫎ľ耀¢ŀŁłŃń櫎ņ耀¦ňŉŊŋŌ櫎Ŏ耀ªŐőŒœŔ櫎Ŗ耀®ŘřŚśŜ櫎Ş耀²ŠšŢţŤ櫎Ŧ耀¶ŨũŪūŬ櫎Ů耀ºŰűŲųŴ櫎Ŷ耀¾ŸŹźŻż櫎ž耀ÂƀƁƂƃƄ櫎Ɔ耀ÆƈƉƊƋƌ櫎Ǝ耀ÊƐƑƒƓƔ櫎Ɩ耀ÎƘƙƚƛƜ櫎ƞ耀ÒƠơƢƣƤ櫎Ʀ耀ÖƨƩƪƫƬ櫎Ʈ耀ÚưƲƳƴ櫎ƶ耀ÞƸƺƻƼ櫎ƾ耀âǀ���櫎ǆ耀æ櫎耀ê櫎耀î櫎耀ò櫎耀ö櫎耀ú櫎耀뱣戳䌠ࡡ퍠ᇨҷ 타뇹笋䟠蠀ꚨ毭믰0^Ӂ嶠ላ뇲笋u蠀巄ላ≀ሒ눈І-놏笋v蠀ꚨ毭믰0bӁ巨ላ놈笋l蠀希ላ⊐ሒ⇰ሒ놅笋蠀ꚨ毭믰0gӁ帰ላ놞笋蠀幔ላ⋠ሒ≀ሒ놛笋蠀ꚨ毭믰0i&#10;⌄ሒ幸ላ놔笋蠀府ላ⍘ሒ⊐ሒ놑笋蠀střednědobého놪笋蠀ꚨ毭믰0w⍼ሒ廀ላ놧笋蠀廤ላ嵰Ѓ⋠ሒ놠笋蠀výhledu뱣戳䉠ࡡ壸)ҷ 타㨡櫊蠀mld㨬櫊䡑蠀.쁧Ǐꦱ㉫㨫櫊蠀Kč~$㫖櫊j蠀)nove㫕櫊 蠀.ením㫐櫊l蠀Dálel㫟櫊 蠀naé v㫚櫊a蠀na㫙櫊蠀na㫄櫊蠀dětí㫃櫊蠀0㫎櫊蠀,㫍櫊蠀29㫈櫊蠀mld㫷櫊蠀.㫲櫊蠀Kč㫱櫊蠀v㫼櫊蠀 㫻櫊蠀roce㫦櫊蠀2015밵㴺䉠aॠ/繘ሒ~$DAJE~1.DOCÝ븣″䈶ࡡЌ璘ᇩ타룓滯退褨皲蟰皲̀Ќ赌皲裘皲賸皲뫬皰묐皰赬皲묤皰뫼皰䑐㠹̀Ќ̌ЌՈ皵֮皵rﵐ၅ᗐᗐሃ룠滯耀÷І⻐(⾐(ꂸІ২(ꆨІ⽠(餈ІꅸІ駈І⼰(ꅈІ鹸І鲘І龘І⹀(⺠(ꁘІ駸І鿸І風ІꃨІ⸐(韨Іᙈ(阈І饨І鵘ІꈸІ鰸І⹰(鶸І뤱滯鐀轘瘜췯覫ကࢰ-쩰ЅࠀӸ怀 ־　Έ⦀ሒӺͬ⯾喨ယȼȜȤ5Ẩ狢륏滯ဘ쀂䒠І륾滯蠀ꝧ敆漤(刮敆漤(橿敆漤(渑敆漤(曱敆漤(澍敆漤(俉敆漤(剳敆漤(ੇ敆漤(઱敆漤(ꐙ敆漤(๴敆漤(ొ敆漤(྇敆漤(Ⴤ敆漤(ᄟ敆漤(偂敆漤(吿敆漤(嚺敆漤(嫘敆漤(冤敆漤(尰敆漤(凬敆漤(漤(漤(漤(漤(漤(漤(漤(漤(릏滯耀3敆朤(刮敆朤(橿敆朤(渑敆朤(曱敆朤(澍敆朤(俉敆朤(剳敆朤(ੇ敆朤(઱敆朤(ꐙ敆朤(๴敆朤(ొ敆朤(྇敆朤(Ⴤ敆朤(ᄟ敆朤(偂敆朤(吿敆朤(嚺敆朤(嫘敆朤(冤敆朤(尰敆朤(凬敆朤(朤(朤(朤(朤(朤(朤(朤(朤(맜滯耀Ĩ瘜궙駞က২-쩰Ѕࠀ֊怀 ̭⁘Έ⸘ሒ֌ͬⲤĠ⁘ZẨ狢ဘ쀂䒠І耀Ķ맭滯耀ř먟滯耀Ō먉滯耀Ţ먺滯耀Ɗ먳滯耀Ÿ멝滯耀Ǝ멋滯耀ƻ멇滯耀Ƥ멱滯耀ƺ몛滯耀몘滯耀명滯耀Ǧ몯滯耀븣″䀠ࡡπЇ璘ᇩ타掣滤耀Ū匰ҨӁ掻滤蠀匰Ҩ됨Ѕ掳滤耀Ĳ氁氁ꔰ毭悈1掋滤蠀氁诈Ќ氁ꔰ毭㟰ሒ헀Ӂ䅈ҹ悈1掃滤耀Ś氁氁ꔰ毭悈1掛滤蠀氁譸Ќ氁ꔰ毭㡰ሒ㟰ሒ䅈ҹ悈1掓滤蠀氁豸Ќ氁ꔰ毭㞰ሒ㜰ሒ䅈ҹ悈1扫滤蠀氁谘Ќ氁ꔰ毭㣰ሒ㡰ሒ䅈ҹ悈1扣滤.蠀氁觘Ќ氁ꔰ毭㠰ሒ㞰ሒ䅈ҹ悈1扻滤蠀氁誈Ќ氁ꔰ毭㥰ሒ㣰ሒ䅈ҹ悈1扳滤蠀氁誘Ќ氁ꔰ毭㢰ሒ㠰ሒ䅈ҹ悈1手滤蠀氁諘Ќ氁ꔰ毭㧰ሒ㥰ሒ䅈ҹ悈1扃滤蠀氁詘Ќ氁ꔰ毭㤰ሒ㢰ሒ䅈ҹ悈1扛滤耀ª単Ҩ᫠ሒ打滤蠀氁賘Ќ氁ꔰ毭愸&amp;㤰ሒ䅈ҹ悈1戫滤耀ǲ氁氁ꔰ毭悈1戣滤耀ǒ単Ҩሓ戻滤耀Ƣ氁氁ꔰ毭悈1戳滤耀j氁氁ꔰ毭悈1戋滤蠀氁詸Ќ氁ꔰ毭䋰ሒဏ䅈ҹ悈1戃滤蠀匰Ҩ咘Ҩ戛滤耀²氁氁ꔰ毭悈1戓滤耀単Ҩ᪠ሒ拫滤蠀匰Ҩᷠሒ拣滤蠀匰Ҩᷠሒ拻滤耀ƪ単Ҩ᪠ሒ拳滤蠀匰Ҩ祐ሑ拋滤耀単Ҩ᳠ሒ拃滤蠀匰Ҩ쿘ላ招滤耀Ê氁氁ꔰ毭悈1拓滤蠀匰Ҩߨሌ披滤蠀匰Ҩ哀Ҩ抣滤蠀匰Ҩᶠሒ抻滤耀Œ匰Ҩᵘል抳滤蠀匰Ҩߨሌ抋滤蠀匰Ҩ呈Ҩ抃滤蠀氁賨Ќ氁ꔰ毭䁰ሒ䋰ሒ䅈ҹ悈1抛滤蠀匰Ҩ堰Ҩ抓滤耀ƺ単Ҩ䀨ሓ浫滤谀瀟†⇬㫪ၩ〫鴰⵱ꊀ∧㫪ၩ〫鴰浣滤蠀氁訨Ќ氁ꔰ毭䑰ሒ㽰ሒ䅈ҹ悈1浻滤谀瀟†⇬㫪ၩ〫鴰⵱ꊀ∧㫪ၩ〫鴰浳滤耀z匰Ҩሃ测滤耀ê単Ҩ᫠ሒ浃滤耀ź単Ҩሃ浛滤耀Ċ匰Ҩᲀሒ浓滤耀&quot;単ҨḀሒ洫滤耀Ų氁氁ꔰ毭悈1洣滤蠀匰Ҩ嗘Ҩ活滤耀匰Ҩ䟠ᇑ洳滤蠀氁諈Ќ氁ꔰ毭㽰ሒ㬰ሒ䅈ҹ悈1洋滤蠀氁1氁ꔰ毭픀Ӂ䖰ሒ䅈ҹ悈1洃滤耀単Ҩ鿐ሒ洛滤耀Ú氁氁ꔰ毭悈1洓滤耀単Ҩᷠሒ淫滤耀Ţ氁氁ꔰ毭悈1淣滤蠀氁觨Ќ氁ꔰ毭䔰ሒ䁰ሒ䅈ҹ悈1添滤蠀匰Ҩ萐ᇪ淳滤耀Ʋ氁氁ꔰ毭悈1淋滤蠀氁힘1氁ꔰ毭䖰ሒ䑰ሒ䅈ҹ悈1淃滤耀氁氁ꔰ毭悈1淛滤蠀氁ힸ1氁ꔰ毭䌰ሒ䔰ሒ䅈ҹ悈1淓滤耀Ǣ氁氁ꔰ毭悈1뱣戳䀠ࡡ妸)ҷ 타㟛櫊蠀v㟆櫊蠀 㟅櫊 蠀roce㟀櫊蠀2016㟏櫊蠀a㟊櫊蠀v㟉櫊蠀 㟴櫊蠀roce㟳櫊蠀2017㟾櫊蠀. 㟽櫊!蠀Z#㟸櫊$蠀 &amp;㟧櫊'蠀na)㟢櫊*蠀&#10;podle㟡櫊-蠀z/㟬櫊0蠀.2㟫櫊3蠀č5㘖櫊6蠀a8㘕櫊9蠀108;㘐櫊&lt;蠀/&gt;?븣″䉠ࡡ塨ሒҷ타㟋磱C蠀ꚨ毭믰0Ä䚌ሒ슘ላ㟔磱H蠀슼ላ䣰ሒላ㟑磱M蠀ꚨ毭믰0Å䚤ሒ신ላ㟚磱R蠀쌄ላ䥀ሒ䢠ሒ㟧磱W蠀ꚨ毭믰0Ê䚼ሒ쌨ላ㟠磱\蠀썌ላ䦐ሒ䣰ሒ㟭磱a蠀ꚨ毭믰0Ï䛔ሒ썰ላ㟶磱f蠀쎔ላ䧠ሒ䥀ሒ㟳磱k蠀ꚨ毭믰0Ñ䛬ሒ쎸ላ㟼磱p蠀쏜ላ䨰ሒ䦐ሒ㟹磱u蠀ꚨ毭믰0Ò䜄ሒ쐀ላ㞂磱z蠀쐤ላ䪀ሒ䧠ሒ㞏磱蠀ꚨ毭믰0Ó䜜ሒ쑈ላ㞈磱蠀쑬ላ䫐ሒ䨰ሒ㞕磱蠀ꚨ毭믰0Ø䜴ሒ쒐ላ㞞磱蠀쒴ላ䬠ሒ䪀ሒ㞛磱蠀ꚨ毭믰0Ü䝌ሒ쓘ላ㞤磱蠀쓼ላ䭰ሒ䫐ሒ㞡磱蠀ꚨ毭믰0ß䝤ሒ씠ላ㞪磱¢蠀아ላ䯀ሒ䬠ሒ㞷磱§蠀ꚨ毭믰0à䝼ሒ앨ላ㞰磱¬蠀얌ላ䰐ሒ䭰ሒ㞽磱±蠀ꚨ毭믰0á 䰴ሒ얰ላ㝆磱¶蠀엔ላ䲈ሒ䯀ሒ㝃磱»蠀uvedeného¿㝌磱À蠀ꚨ毭믰0ë䲬ሒ엸ላ㝉磱Å蠀옜ላ䴀ሒ䰐ሒ㝒磱Ê蠀objemuÍÎ㝟磱Ï蠀ꚨ毭믰0ò䴤ሒ와ላ㝘磱Ô蠀왤ላ䵸ሒ䲈ሒ㝥磱Ù蠀připadáÜÝ㝮磱Þ蠀ꚨ毭믰0ú䞔ሒ욈ላ㝫磱ã蠀욬ላ䷈ሒ䴀ሒ㝴磱è蠀ꚨ毭믰0ý ䷬ሒ원ላ㝱磱í蠀웴ላ乀ሒ䵸ሒ㝺磱ò蠀transferyö㜇磱÷蠀ꚨ毭믰0ć䞬ሒ윘ላ㜀磱ü蠀으ላ亐ሒ䷈ሒ㜍磱ā蠀ꚨ毭믰0č䟄ሒ읠ላ㜖磱Ć蠀임ላ仠ሒ乀ሒ㜓磱ċ蠀ꚨ毭믰0Ď䟜ሒ잨ላ㜜磱Đ蠀쟌ላ估ሒ亐ሒ㜙磱ĕ蠀ꚨ毭믰0ď䟴ሒ쟰ላ㜢磱Ě蠀젔ላ俐ሒ仠ሒ㜯磱ğ蠀ۜᇈ觘ᇒ妐ሚላ㜨磱Ĥ蠀졜ላ吘ሚ勘ሚ㜵磱ĩ蠀ꚨ毭믰0Ē䠤ሒ좀ላ㜾磱Į蠀좤ላ倠ሒ估ሒ㜻磱ĳ蠀ꚨ毭믰0ĕ䠼ሒ죈ላ㓄磱ĸ蠀죬ላ偰ሒ俐ሒ㓁磱Ľ蠀ꚨ毭믰0Ė屴ሒ줐ላ㓊磱ł蠀줴ላ僀ሒ倠ሒ㓗磱Ň蠀ꚨ毭믰0Ě岌ሒ䫐І㓐磱Ō蠀䫴І儐ሒ偰ሒ㓝磱ő蠀ꚨ毭믰0Ĝ岤ሒ䮨І㓦磱Ŗ蠀䯌І兠ሒ僀ሒ㓣磱ś蠀ꚨ毭믰0ĝ岼ሒ䚘І㓬磱Š蠀䚼І冰ሒ儐ሒ㓩磱ť蠀ꚨ毭믰0ğ峔ሒ䘈І㓲磱Ū蠀䘬І刀ሒ兠ሒ㓿磱ů蠀ꚨ毭믰0ġ&#10;判ሒ䢀ᇃ㓸磱Ŵ蠀䢤ᇃ剸ሒ冰ሒ㒅磱Ź蠀sociálníchŽ㒎磱ž蠀ꚨ毭믰0Ĭ劜ሒ䣈ᇃ㒋磱ƃ蠀䣬ᇃ勰ሒ刀ሒ㒔磱ƈ蠀službáchƌ㒑磱ƍ蠀ꚨ毭믰0ĵ匔ሒᇇ㒚磱ƒ蠀ᇇ卨ሒ剸ሒ㒧磱Ɨ蠀částkaƚƛ㒠磱Ɯ蠀ꚨ毭믰0ļ峬ሒᇇ㒭磱ơ蠀ᇇ厸ሒ勰ሒ㒶磱Ʀ蠀ꚨ毭믰0Ľ崄ሒᇇ㒳磱ƫ蠀ᇇ合ሒ卨ሒ㒼磱ư蠀ꚨ毭믰0ľ崜ሒᇇ㒹磱Ƶ蠀ᇇ员ሒ厸ሒ㑂磱ƺ蠀ꚨ毭믰0ŀ崴ሒᇇ㑏磱ƿ蠀ᇇ咨ሒ合ሒ㑈磱Ǆ蠀ꚨ毭믰0Ł嵌ሒᇇ㑕磱ǉ蠀ᇇ哸ሒ员ሒ㑞磱ǎ蠀ꚨ毭믰0ł嵤ሒᇇ㑛磱Ǔ蠀ᇇ啈ሒ咨ሒ㑤磱ǘ蠀ꚨ毭믰0Ň嵼ሒᇇ㑡磱ǝ蠀ᇇ喘ሒ哸ሒ㑪磱Ǣ蠀ꚨ毭믰0Ō嶔ሒᇇ㑷磱ǧ蠀ᇇ嗨ሒ啈ሒ㑰磱Ǭ蠀ꚨ毭믰0Ŏ嶬ሒᇇ㑽磱Ǳ蠀ᇇ嘸ሒ喘ሒ㐆磱Ƕ蠀ꚨ毭믰0ŏ巄ሒᇇ㐃磱ǻ蠀ᇇ嚈ሒ嗨ሒ㐌磱Ȁ蠀ꚨ毭믰0Ő嚬ሒᇇ㐉磱ȅ蠀ᇇ圀ሒ嘸ሒ㐒磱Ȋ蠀letechȍȎ㐟磱ȏ蠀ꚨ毭믰0ŗ巜ሒᇇ㐘磱Ȕ蠀ᇇ坐ሒ嚈ሒ㐥磱ș蠀ꚨ毭믰0Ŝ巴ሒᇇ㐮磱Ȟ蠀ᇇ垠ሒ圀ሒ㐫磱ȣ蠀ꚨ毭믰0Ş希ሒᇇ㐴磱Ȩ蠀ᇇ埰ሒ坐ሒ㐱磱ȭ蠀ꚨ毭믰0ţ帤ሒᇇ㐺磱Ȳ蠀ᇇ幸ሒ垠ሒ㗇磱ȷ蠀ꚨ毭믰0Ŧ帼ሒᇇȼȽȾȿ벣ꈳ䀠ࡡ∰Ї嗨)屈ሒ屐ሒᖸ#䡘ሒɆēᓨ#屘ሒɉ̂ᖸ#幘ሒɍēᓨ#湘ሒɑ)̂ᖸ#䨠ሚɘēᓨ#牘ሒə)̂ᖸ#覸ᇒɝēᓨ#癘ሒɢ)̂ᖸ#娠ሚɦēᓨ#穘ሒɩ)̂ᖸ#樠ሚɭēᓨ#稠ሚɱ)̂ᖸ#츈ሑɸēᓨ#縠ሚɺ)̂ᖸ#萐ᇩɾÌ̄ᓨ#舠ሚʁ)̂ᓨ#蘠ሚʅ)̂ᖸ#풘ᇨʌÌ̄ᓨ#ሑʍ)̂ᓨ#ሑʒT̂ᖸ#ᲘᇧʖÌ̄ᖸ#ҸʝÌ̄ᓨ#ሑʞT̂ᖸ#粘ᇦʤÌ̄ᓨ#ሑʥT̂ᖸ#ҘᇩʪÌ̄ᓨ#0ሒʮT̂ᖸ#鲘ᇨʴÌ̄ᓨ#࠰ሒʶT̂ᖸ#錘ӂʺÌ̄ᓨ#ူሒʽT̂ʿ뱣戳䊠ࡡ墈ሒҷ 타㖫磱˃蠀200˅㖶磱ˆ蠀Sbˈ㖵磱ˉ蠀.ˋ㖰磱ˌ蠀,ˎ㖿磱ˏ蠀oˑ㖺磱˒蠀7˔㖹磱˕蠀,˗㖄磱˘蠀8˚㖃磱˛蠀v˝㖎磱˞蠀 ˠ㖍磱ˡ蠀roce㖈磱ˤ蠀2015㖗磱˧蠀a˩㖒磱˪蠀vˬ㖑磱˭蠀 ˯㖜磱˰蠀2016㖛磱˳蠀a˵㗦磱˶蠀2017㗥磱˹蠀ve˻㗠磱˼蠀výši˿븣″䉠ࡡ墨ሒҷ타㗋磱̃蠀ᇇ廈ሒ埰ሒ㗔磱̈蠀ꚨ毭믰0ū湴ሒᇇ㗑磱̍蠀ᇇ弘ሒ幸ሒ㗚磱̒蠀ꚨ毭믰0Ŭ溌ሒᇇ㗧磱̗蠀ᇇ彨ሒ廈ሒ㗠磱̜蠀ꚨ毭믰0ŭ溤ሒᇇ㗭磱̡蠀ᇇ徸ሒ弘ሒ㗶磱̦蠀ꚨ毭믰0ů溼ሒᇇ㗳磱̫蠀ᇇ怈ሒ彨ሒ㗼磱̰蠀ꚨ毭믰0Ų滔ሒᇇ㗹磱̵蠀ᇇ恘ሒ徸ሒ㈂磱̺蠀ꚨ毭믰0Ŵ滬ሒᇇ㈏磱̿蠀ᇇ您ሒ怈ሒ㈈磱̈́蠀ꚨ毭믰0ŷ漄ሒᇇ㈕磱͉蠀ᇇ惸ሒ恘ሒ㈞磱͎蠀ꚨ毭믰0Ž漜ሒᇇ㈛磱͓蠀ᇇ慈ሒ您ሒ㈤磱͘蠀ꚨ毭믰0ž漴ሒᇇ㈡磱͝蠀ᇇ憘ሒ惸ሒ㈪磱͢蠀ꚨ毭믰0ƀ潌ሒᇇ㈷磱ͧ蠀ᇇ懨ሒ慈ሒ㈰磱ͬ蠀ꚨ毭믰0ƅ潤ሒᇇ㈽磱ͱ蠀ᇇ戸ሒ憘ሒ㉆磱Ͷ蠀ꚨ毭믰0Ɗ扜ሒᇇ㉃磱ͻ蠀ᇇ抰ሒ懨ሒ㉌磱΀蠀rozpočet΄㉉磱΅蠀ꚨ毭믰0Ɠ潼ሒᇇ㉒磱Ί蠀ᇇ挀ሒ戸ሒ㉟磱Ώ蠀ꚨ毭믰0Ɣ澔ሒᇇ㉘磱Δ蠀ᇇ捐ሒ抰ሒ㉥磱Ι蠀ꚨ毭믰0ƕ澬ሒᇇ㉮磱Ξ蠀ᇇ掠ሒ挀ሒ㉫磱Σ蠀ꚨ毭믰0Ɨ濄ሒᇇ㉴磱Ψ蠀ᇇ揰ሒ捐ሒ㉱磱έ蠀ꚨ毭믰0ƚ濜ሒᇇ㉺磱β蠀ᇇ摀ሒ掠ሒ㊇磱η蠀ꚨ毭믰0Ɯ濴ሒᇇ㊀磱μ蠀ᇇ撐ሒ揰ሒ㊍磱ρ蠀ꚨ毭믰0ƞ瀌ሒᇇ㊖磱φ蠀ᇇ擠ሒ摀ሒ㊓磱ϋ蠀ꚨ毭믰0Ɵ瀤ሒᇇ㊜磱ϐ蠀ᇇ攰ሒ撐ሒ㊙磱ϕ蠀ꚨ毭믰0ơ瀼ሒᇇ㊢磱Ϛ蠀ᇇ斀ሒ擠ሒ㊯磱ϟ蠀ꚨ毭믰0Ʀ灔ሒᇇ㊨磱Ϥ蠀ᇇ旐ሒ攰ሒ㊵磱ϩ蠀ꚨ毭믰0Ʃ 旴ሒᇇ㊾磱Ϯ蠀ᇇ晈ሒ斀ሒ㊻磱ϳ蠀transferyϷ㋄磱ϸ蠀ꚨ毭믰0Ƴ灬ሒᇇ㋁磱Ͻ蠀ᇇ暘ሒ旐ሒౡ㋊磱蠀ꚨ毭믰0ƶ暼ሒᇇ㋗磱蠀ᇇ朐ሒ晈ሒ㋐磱蠀činnost㋝磱蠀ꚨ毭믰0ȳ朴ሒᇇ㋦磱蠀ᇇ枈ሒ暘ሒ㋣磱蠀územním㋬磱蠀ꚨ毭믰0Ȼ 枬ሒᇇ㋩磱蠀ᇇ栀ሒ朐ሒ㋲磱蠀rozpočtům㋿磱蠀ꚨ毭믰0Ʌ炄ሒᇇ㋸磱蠀ᇇ桐ሒ枈ሒ㌅磱蠀ꚨ毭믰0Ɉ桴ሒᇇ㌎磱蠀ᇇ棈ሒ栀ሒ㌋磱蠀sociálně㌔磱蠀ꚨ毭믰0ɑ棬ሒᇇ㌑磱蠀ᇇ楀ሒ桐ሒ㌚磱蠀právní㌧磱蠀ꚨ毭믰0ɘ楤ሒᇇ㌠磱蠀ᇇ榸ሒ棈ሒ㌭磱蠀ochranu㌶磱蠀ꚨ毭믰0ɠ炜ሒᇇ㌳磱蠀ᇇ樈ሒ楀ሒ㌼磱蠀ꚨ毭믰0ɥ樬ሒᇇ㌹磱蠀ᇇ檀ሒ榸ሒ㍂磱蠀připadá㍏磱蠀ꚨ毭믰0ɭ檤ሒᇇ㍈磱蠀ᇇ櫸ሒ樈ሒ㍕磱蠀částka㍞磱씠蠀ꚨ毭믰0ɴ炴ሒᇇ㍛磱蠀ᇇ歈ሒ檀ሒ㍤磱蠀ꚨ毭믰0ɵ烌ሒᇇ㍡磱朤蠀ᇇ殘ሒ櫸ሒ㍪磱蠀ꚨ毭믰0ɶ烤ሒᇇ㍷磱蠀ᇇ毨ሒ歈ሒ㍰磱蠀ꚨ毭믰0ɹ烼ሒᇇ㍽磱蠀ᇇ永ሒ殘ሒ㎆磱蠀ꚨ毭믰0ɼ焔ሒᇇ㎃磱蠀ᇇ沈ሒ毨ሒ㎌磱蠀ꚨ毭믰0ɾ焬ሒᇇ㎉磱蠀樂ᇇ泘ሒ永ሒ㎒磱蠀ꚨ毭믰0ʁ煄ሒ露ᇇ㎟磱蠀樂ᇇ洨ሒ沈ሒ㎘磱蠀ꚨ毭믰0ʂ煜ሒ呂ᇇ㎥磱蠀捻ᇇ浸ሒ泘ሒ㎮磱蠀ꚨ毭믰0ʃ煴ሒ杻ᇇ㎫磱蠀溺ᇇ淈ሒ洨ሒ㎴磱蠀ꚨ毭믰0ʈ熌ሒ塚ᇇ㎱磱蠀勤ᇇ渘ሒ浸ሒሒ㎺磱灌蠀ꚨ毭믰0ʍ熤ሒ縉ᇇ㏇磱灔蠀塚ᇇ䩨ሚ淈ሒሒ灰ሒ灴ሒ炴ሒ炰ሒ炬ሒ炨ሒ瀌ሒ瀠ሒ벣ꈳ䀠ࡡ壈ሒҷ&#10;타㎫磱焔蠀7㎶磱蠀,㎵磱蠀7㎰磱蠀mld㎿磱蠀.㎺磱蠀Kč㎹磱蠀&#10;ročně㎄磱蠀(㎃磱蠀v㎎磱蠀roce㎍磱蠀2014㎈磱蠀7㎗磱蠀,㎒磱蠀4㎑磱蠀mld㎜磱蠀.㎛磱蠀Kčて磱蠀)づ磱蠀.だ磱蠀Dáleは磱蠀naな磱蠀naど磱蠀naぴ磱蠀dětíび磱ɘ蠀0ま磱蠀,ぽ磱蠀29へ磱蠀mld⒈ぇ磱Ĝ蠀.፠あ磱ቄ蠀Kčぁ磱蠀vӍが磱蠀 鏈Һꔀ曭か磱Ꙉ蠀roceざ磱蠀2015さ磱蠀aぐ磱蠀0た磱蠀,ず磱ѐ蠀27ሒ\sす磱䝕蠀mld〤磱蠀.〣磱蠀Kč벣ꈳ䊠ࡡ夈ሒҷ&#10;타㇫磱蠀&#10;ročněㇶ磱蠀pro2Xㇵ磱\蠀létaEㇰ磱G蠀2016nㇿ磱w蠀atem3ㇺ磱s蠀2017Vㇹ磱S蠀(86\3㇄磱T蠀vE.GD㇃磱C蠀roces㇎磱y蠀2014p㇍磱l蠀0ERS\㇈磱2蠀,\STD㇗磱H蠀27C:㇒磱i蠀mldys㇑磱m蠀.ool\㇜磱I蠀Kč32X㇛磱\蠀)SCHMㄦ磱G蠀.:\Wiㄥ磱o蠀&#10;stemㄠ磱\蠀Vㄯ磱R蠀&#10;práceㄪ磱U蠀 .Pㄩ磱:蠀věcí\ㄴ磱s蠀jsouoㄳ磱\蠀mjS\Wㄾ磱X蠀.UNIDㄽ磱U蠀naC:\ㄸ磱n蠀(systㄇ磱3蠀bez\D㄂磱V蠀EU2X8㄁磱3蠀aPL25ㄌ磱P蠀FMindㄋ磱s蠀)em32ㄖ磱p蠀veIVEㄕ磱\蠀výši\ㄐ磱I蠀10LWㄟ磱d蠀,T x8ㄚ磱H蠀3erJeㄙ磱5蠀mldㅤ磱蠀.ㅣ磱蠀Kč벣ꈳ䊠ࡡ奈ሒ馸ᇒ&#10;타ㄫ磱蠀vㄶ磱蠀 좤曬ㄵ磱Ő蠀roce曬㄰磱蠀2015ㄿ磱蠀,4ㄺ磱敥蠀a敥敥敥敥ㄹ磱敥蠀vt㄄磱蠀 ㄃磱 蠀10曬ㄎ磱Ü蠀mld敥敥ㄍ磱蠀.敥敥敥敥ㄈ磱蠀Kčㄗ磱젰蠀vĈㄒ磱蠀 Ęㄑ磱蠀roceㄜ磱$蠀2016ㄛ磱Ġ蠀a쟠曬ユ磱蠀vュ磱蠀 ム磱잼蠀roceワ磱蠀2017リ磱蠀.ラ磱 蠀Z잔曬ヴ磱Ĩ蠀 임曬ン磱蠀naヾ磱蠀&#10;podleヽ磱읨蠀zĴヸ磱蠀.ĸデ磱蠀čヂ磱蠀a을曬チ磱ń蠀108윴曬ヌ磱蠀/ニ磱蠀200ブ磱윌蠀Sbフ磱蠀.¨バ磱蠀,ミ磱蠀o웠曬ペ磱¸蠀7월曬ベ磱蠀,イ磱蠀8ィ磱蠀v벣ꈳ䊠ࡡ妈ሒ馸ᇒ&#10;타に磱蠀 ぶ磱蠀roceふ磱蠀2015ば磱蠀aみ磱蠀vぺ磱䌽蠀 온曬べ磱è蠀2016曬い磱蠀aぃ磱蠀2017ぎ磱엨蠀velき磱蠀výši敥え磱敥蠀7敥敥し磱敥蠀,엌曬げ磱蠀7얰曬け磱蠀mldぜ磱蠀.Ȁせ磱얐蠀Kčウ磱蠀&#10;ročněゥ磱蠀(敥敥゠磱敥蠀v敥敥敥敥ク磱敥蠀roce敥オ磱敥蠀2014敥ォ磱敥蠀7敥敥敥敥ゴ磱敥蠀,敥敥敥敥コ磱敥蠀4敥敥敥敥ゾ磱敥蠀mld敥敥ソ磱敥蠀.敥敥敥敥ジ磱敥蠀Kč敥敥敥ょ磱敥蠀)敥敥敥敥も磱敥蠀.敥敥敥敥め磱敥蠀Dále敥れ磱敥蠀na敥敥敥る磱敥蠀na敥敥敥ゖ磱敥蠀na敥敥敥ゕ磱敥蠀dětí敥ゐ磱敥蠀0敥敥敥敥ゟ磱敥蠀,敥敥敥敥゚磱敥蠀29敥敥敥゙磱敥蠀mld敥敥ヤ磱敥蠀.敥敥敥敥ャ磱敥蠀Kč敥敥敥敥敥敥敥敥敥敥敥밵㴺䊠a▨ሒ巨Ҭ풒ꕴ⁩ᙜЅ띻좴䤏ﺥ뮛邴蘓타䅡ྫྷ툝㉖벆Ѕ䈷덽贚䄮⚐轓淡ᛲ澨̯ᇓ놵쀀썏ꄤЅ㳑떧荕䉫憡頥ᑫ乢樑䑿墚㔭屏Ғ븢⤻䈶ࡡ븻〻䀡ౡ龈ሒ齪ሒ黾ሒ麎ሒ鸞ሒ鶲ሒ轠ሒ耀ꎌ铅ǆ䙐᝱鶬ሒ鴪ሒ鳸ሒ鳤ሒC:\Windows\system32\spool\DRIVERS\W32X86\3\HPZENLHN.CHMC:\Windows\system32\spool\DRIVERS\W32X86\3\HPZLSLHN.DLLC:\Windows\system32\spool\DRIVERS\W32X86\3\HPZSSLHN.DLLC:\Windows\system32\spool\DRIVERS\W32X86\3\HPZUILHN.DLLC:\Windows\system32\spool\DRIVERS\W32X86\3\HPCDMCLH.DLLC:\Windows\system32\spool\DRIVERS\W32X86\3\HPZ5RLHN.DLLC:\Windows\system32\spool\DRIVERS\W32X86\3\HPZSMLHN.GPDC:\Windows\system32\spool\DRIVERS\W32X86\3\HPZSTLHN.DLLC:\Windows\system32\spool\DRIVERS\W32X86\3\HPMCPD25.CFGC:\Windows\system32\spool\DRIVERS\W32X86\3\HPZ5CLHN.INIC:\Windows\system32\spool\DRIVERS\W32X86\3\HPMCPDP5.XMLC:\Windows\system32\spool\DRIVERS\W32X86\3\HPZSCLHN.DTDC:\Windows\system32\spool\DRIVERS\W32X86\3\HPZEVLHN.DLLC:\Windows\system32\spool\DRIVERS\W32X86\3\HPZIDR12.DLLC:\Windows\system32\spool\DRIVERS\W32X86\3\HPZINW12.DLLC:\Windows\system32\spool\DRIVERS\W32X86\3\HPZIPM12.DLLC:\Windows\system32\spool\DRIVERS\W32X86\3\HPZIPR12.DLLC:\Windows\system32\spool\DRIVERS\W32X86\3\HPZIPT12.DLLC:\Windows\system32\spool\DRIVERS\W32X86\3\HPZISN12.DLLC:\Windows\system32\spool\DRIVERS\W32X86\3\HPBMIAPI.DLLC:\Windows\system32\spool\DRIVERS\W32X86\3\HPBMINI.DLLC:\Windows\system32\spool\DRIVERS\W32X86\3\HPBOID.DLLC:\Windows\system32\spool\DRIVERS\W32X86\3\HPBOIDPS.DLLC:\Windows\system32\spool\DRIVERS\W32X86\3\HPBPRO.DLLC:\Windows\system32\spool\DRIVERS\W32X86\3\HPBPROPS.DLLC:\Windows\system32\spool\DRIVERS\W32X86\3\HPEACLHN.HPIC:\Windows\system32\spool\DRIVERS\W32X86\3\UNIRES.DLLC:\Windows\system32\spool\DRIVERS\W32X86\3\STDNAMES.GPDC:\Windows\system32\spool\DRIVERS\W32X86\3\STDDTYPE.GDLC:\Windows\system32\spool\DRIVERS\W32X86\3\STDSCHEM.GDLC:\Windows\system32\spool\DRIVERS\W32X86\3\STDSCHMX.GDLMicrosofthewlett-packardhp_lae3bfhttp://go.microsoft.com/fwlink/?LinkID=37&amp;prd=10798&amp;sbp=PrintersHPC:\Windows\system32\spool\DRIVERS\W32X86\3\UNIDRV.HLPC:\Windows\system32\spool\DRIVERS\W32X86\3\UNIDRVUI.DLLC:\Windows\system32\spool\DRIVERS\W32X86\3\HPMCPL25.GPDC:\Windows\system32\spool\DRIVERS\W32X86\3\UNIDRV.DLLWindows NT x86HP LaserJet 5000 Series PCL 5갣㈳䀸ࡡ☀Ї嶸ሐ타卒滤蠀ꉴሢꁀሒ뽠,咯滤蠀ꚨ毭믰0ƶ慤ሣꊘሢ咨滤蠀ꊼሢꂐሒ鿰ሒ氂咥滤 蠀ꚨ毭믰0ƹ慼ሣꋠሢ咾滤蠀ꌄሢꃠሒꁀሒl咻滤ꀀ蠀ꚨ毭믰0ƻ憔ሣꌨሢ咴滤A蠀ꍌሢꄰሒꂐሒ咱滤0蠀ꚨ毭믰0ƾ憬ሣꍰሢ咊滤i蠀ꎔሢꆀሒꃠሒl咇滤敳蠀ꚨ毭믰0ǃ懄ሣꎸሢ咀滤厸蠀ꏜሢꇐሒꄰሒ)咝滤蠀ꚨ毭믰0ǅ懜ሣꐀሢ咖滤蠀ꐤሢꉈሒꆀሒ咓滤㄀蠀Vken Lista耀哬滤蠀-techány哩滤0蠀ꑬሢꌸሒꇐሒ 哢滤l蠀톄ሔ恀ሖὀሔЅ哿滤㄀蠀ꚨ毭믰0鯤,ꑈሢ哸滤흸蠀Ministerstva哵滤쁠蠀kapitole睜20 哎滤l蠀ꚨ毭믰0戌ሣ꒐ሢ哋滤蠀꒴ሢꎈሒꉈሒ言哄滤䳔蠀ꚨ毭믰0ꋤሒꓘሢ品滤0蠀ꓼሢꏘሒꌸሒ0哚滤i蠀ꚨ毭믰0ꊼሒꔠሢ哗滤蟰蠀ꕄሢꐨሒꎈሒ蠀哐滤蠀ꚨ毭믰0ꑌሒꕨሢ吭滤0蠀ꖌሢ꒠ሒꏘሒ0否滤i蠀průmyslu a吣滤蠀ꚨ毭믰0&quot;戤ሣꖰሢ吼滤蠀ꗔሢꓰሒꐨሒ吹滤0蠀ꚨ毭믰0$ꔔሒꗸሢ吲滤蠀ꘜሢꕨሒ꒠ሒ吏滤蠀obchoduV涖栐햠蠀合滤H蠀ꚨ毭믰0,懴ሣꙀሢ吅滤S蠀ꙤሢꖸሒꓰሒO吞滤V蠀ꚨ毭믰0/ ꗜሒꚈሢ君滤먘蠀ꚬሢ꘰ሒꕨሒ蠀吔滤H蠀uvažovánoꎠҷHL向滤S蠀ꚨ毭믰09戼ሣꛐሢ呪滤V蠀꛴ሢꚀሒꖸሒ呧滤蠀ꚨ毭믰0=扔ሣꜘሢ呠滤蠀Ꜽሢꛐሒ꘰ሒ命滤n蠀ꚨ毭믰0B扬ሣꝠሢ呶滤8蠀Ꞅሢ꜠ሒꚀሒ味滤c蠀ꚨ毭믰0G抄ሣꞨሢ呌滤蠀Ꟍሢꝰሒꛐሒ呉滤蠀ꚨ毭믰0J抜ሣ꟰ሢ呂滤o蠀ꠔሢꟀሒ꜠ሒ呟滤n蠀ꚨ毭믰0O抴ሣ꠸ሢ员滤9蠀ꡜሢꠐሒꝰሒ呕滤c蠀ꚨ毭믰0P拌ሣꢀሢ單滤蠀ꢤሢꡠሒꟀሒ喫滤蠀ꚨ毭믰0Qꢄሒ꣈ሢ喤滤蠀꣬ሢ꣘ሒꠐሒ喡滤n蠀dotacemi뀄Ѓ䎠Ҹ喺滤8蠀ꚨ毭믰0Z拤ሣꤐሢ喷滤c蠀ꤴሢꤨሒꡠሒ喰滤蠀ꚨ毭믰0]ꥌሒ꥘ሢ喍滤蠀ꥼሢꦠሒ꣘ሒl喆滤蠀obnovitelné喃滤n蠀ꚨ毭믰0i꧄ሒꦠሢ喜滤5蠀꧄ሢꨘሒꤨሒ喙滤c蠀zdroje㶸퀪尷ᚽ耀喒滤蠀ꚨ毭믰0p꨼ሒꧨሢ嗯滤蠀ꨌሢꪐሒꦠሒ嗨滤蠀energiectID嗥滤n蠀ꚨ毭믰0x拼ሣꨰሢ嗾滤6蠀꩔ሢꫠሒꨘሒ嗻滤c蠀ꚨ毭믰0{挔ሣ꩸ሢ嗴滤蠀ꪜሢꬰሒꪐሒ嗱滤蠀ꚨ毭믰0挬ሣꫀሢ嗊滤蠀ꫤሢꮀሒꫠሒ嗇滤d蠀ꚨ毭믰0捄ሣ꬈ሢ嗀滤0蠀ꬬሢꯐሒꬰሒ嗝滤d蠀ꚨ毭믰0捜ሣꭐሢ嗖滤蠀ꭴሢ갠ሒꮀሒ嗓滤 蠀ꚨ毭믰0捴ሣꮘሢ唬滤i蠀ꮼሢ거ሒꯐሒ唩滤.蠀ꚨ毭믰0掌ሣꯠሢ唢滤a蠀간ሢ곀ሒ갠ሒ唿滤d蠀ꚨ毭믰0掤ሣ갨ሢ唸滤蠀걌ሢ괐ሒ거ሒ唵滤蠀ꚨ毭믰0掼ሣ거ሢ唎滤蠀겔ሢ굠ሒ곀ሒ唋滤l蠀ꚨ毭믰0揔ሣ겸ሢ唄滤e蠀곜ሢ궰ሒ괐ሒ唁滤d蠀ꚨ毭믰0귔ሒ관ሢ唚滤蠀괤ሢ긨ሒ굠ሒ唗滤蠀každém唐滤蠀ꚨ毭믰0揬ሣ굈ሢ啭滤.蠀구ሢ깸ሒ궰ሒ啦滤Ȕ蠀ꚨ毭믰0꺜ሒ궐ሢ啣滤ϴ蠀궴ሢ껰ሒ긨ሒ啼滤ތ蠀výhleduǴȈ啹滤׌蠀ꚨ毭믰0¢搄ሣ귘ሢ啲滤ೈ蠀근ሢ꽀ሒ깸ሒ問滤ᘘ蠀ꚨ毭믰0¥搜ሣ긠ሢ啈滤t蠀깄ሢ꾐ሒ껰ሒd啅滤s蠀ꚨ毭믰0ĥ搴ሣ깨ሢ啞滤w蠀꺌ሢ끘ሒ꽀ሒ\啛滤o蠀kapitolenéw啔滤I蠀Vken List啑滤\蠀Ministerstva:嚪滤r蠀ꚨ毭믰0ꇴሒ꺰ሢ嚧滤\蠀껔ሢ남ሒ꾐ሒI嚠滤C蠀ꚨ毭믰0摼ሣ껸ሢ嚽滤e蠀꼜ሢ냸ሒ끘ሒl嚶滤n蠀ꚨ毭믰0꾴ሒ꽀ሢ嚳滤\蠀꽤ሢ녈ሒ남ሒ\嚌滤c蠀ꚨ毭믰0뀄ሒ꾈ሢ嚉滤i蠀꾬ሢ놘ሒ냸ሒf嚂滤e蠀ꚨ毭믰0놼ሒ꿐ሢ嚟滤\蠀꿴ሢ눐ሒ녈ሒc嚘滤s蠀průmysluFFICE嚕滤;蠀ꚨ毭믰0&quot;摌ሣ뀘ሢ囮滤;蠀뀼ሢ뉠ሒ놘ሒm囫滤:蠀ꚨ毭믰0$늄ሒ끠ሢ囤滤蠀낄ሢ님ሒ눐ሒ囡滤蠀obchoduȸ*槠*固滤줠蠀ꚨ毭믰0,摤ሣ남ሢ囷滤蠀냌ሢ댨ሒ뉠ሒ困滤ᓄ蠀ꚨ毭믰0/ 덌ሒ냰ሢ囍滤蠀넔ሢ뎠ሒ님ሒ囆滤蠀uvažováno囃滤蠀ꚨ毭믰09撔ሣ넸ሢ囜滤蠀녜ሢ돰ሒ댨ሒ囙滤蠀ꚨ毭믰0=撬ሣ놀ሢ囒滤蠀놤ሢ둀ሒ뎠ሒ嘯滤蠀ꚨ毭믰0B擄ሣ뇈ሢ嘨滤蠀뇬ሢ뒐ሒ돰ሒ嘥滤蠀ꚨ毭믰0G擜ሣ눐ሢ嘾滤蠀눴ሢ든ሒ둀ሒ嘻滤蠀ꚨ毭믰0J擴ሣ뉘ሢ嘴滤￼蠀뉼ሢ따ሒ뒐ሒ￼嘱滤￼蠀ꚨ毭믰0O攌ሣ늠ሢ嘊滤￼蠀닄ሢ떀ሒ든ሒ￼嘇滤￼蠀ꚨ毭믰0P攤ሣ단ሢ嘀滤￼蠀댌ሢ뗐ሒ따ሒ￼嘝滤￼蠀ꚨ毭믰0Q뗴ሒ댰ሢ嘖滤￼蠀더ሢ뙈ሒ떀ሒ嘓滤蠀dotacemi 呐)Ä&quot;噬滤䈊蠀ꚨ毭믰0Z攼ሣ델ሢ噩滤蠀뎜ሢ뚘ሒ뗐ሒ噢滤蠀ꚨ毭믰0]뚼ሒ돀ሢ噿滤蠀돤ሢ뜐ሒ뙈ሒ噸滤蠀obnovitelné噵滤蠀ꚨ毭믰0i뜴ሒ됈ሢ噎滤蠀됬ሢ랈ሒ뚘ሒe噋滤쮀蠀zdrojedu쮠Ѕ쮠Ѕ噄滤蠀ꚨ毭믰0p랬ሒ두ሢ噁滤g蠀둴ሢ렀ሒ뜐ሒ 噚滤l蠀energiet Shar噗滤\蠀ꚨ毭믰0x敔ሣ뒘ሢ噐滤蠀뒼ሢ롐ሒ랈ሒҺ垭滤䈢蠀ꚨ毭믰0{敬ሣ든ሢ垦滤蠀딄ሢ뢠ሒ렀ሒ垣滤U蠀ꚨ毭믰0斄ሣ딨ሢ垼滤聨蠀때ሢ룰ሒ롐ሒԀ垹滤蠀ꚨ毭믰0斜ሣ땰ሢ垲滤W蠀떔ሢ륀ሒ뢠ሒr垏滤\蠀ꚨ毭믰0斴ሣ떸ሢ垈滤8蠀뗜ሢ릐ሒ룰ሒs垅滤r蠀ꚨ毭믰0旌ሣ똀ሢ垞滤T蠀똤ሢ맠ሒ륀ሒt垛滤3蠀ꚨ毭믰0旤ሣ뙈ሢ垔滤3蠀뙬ሢ먰ሒ릐ሒC垑滤7蠀ꚨ毭믰0旼ሣ뚐ሢ埪滤O蠀뚴ሢ몀ሒ맠ሒZ埧滤S蠀ꚨ毭믰0昔ሣ뛘ሢ埠滤A蠀뛼ሢ뫐ሒ먰ሒF埽滤E蠀ꚨ毭믰0昬ሣ뜠ሢ埶滤V蠀띄ሢ묠ሒ몀ሒ.埳滤C蠀ꚨ毭믰0뭄ሒ띨ሢ埌滤s蠀람ሢ뮘ሒ뫐ሒi埉滤C蠀každémW嘁䎅ఉ埂滤榤蠀ꚨ毭믰0晄ሣ랰ሢ域滤蠀럔ሢ믨ሒ묠ሒ埘滤蠀ꚨ毭믰0밌ሒ럸ሢ埕滤蠀렜ሢ뱠ሒ뮘ሒ圮滤텨蠀výhledu圫滤蠀ꚨ毭믰0¢晜ሣ례ሢ圤滤.蠀롤ሢ벰ሒ믨ሒ圡滤蠀ꚨ毭믰0¥晴ሣ뢈ሢ场滤蠀뢬ሢ봀ሒ뱠ሒ蠀圷滤 蠀ꚨ毭믰0ĥ暌ሣ룐ሢ地滤蠀룴ሢ뷈ሒ벰ሒ圍滤蠀Vken List蠀圆滤a蠀Ministerstva圃滤蠀kapitole蠀V圜滤綰蠀ꚨ毭믰0꿜ሒ뤘ሢ圙滤b蠀뤼ሢ븘ሒ봀ሒҴ園滤蓠蠀ꚨ"/>
        </w:smartTagPr>
        <w:r w:rsidRPr="008B16EE">
          <w:rPr>
            <w:sz w:val="20"/>
            <w:szCs w:val="20"/>
          </w:rPr>
          <w:t>2016 a</w:t>
        </w:r>
      </w:smartTag>
      <w:r w:rsidRPr="008B16EE">
        <w:rPr>
          <w:sz w:val="20"/>
          <w:szCs w:val="20"/>
        </w:rPr>
        <w:t xml:space="preserve"> k návrhu zvýšených střednědobých výdajových rámců vlády na léta </w:t>
      </w:r>
      <w:smartTag w:uri="urn:schemas-microsoft-com:office:smarttags" w:element="metricconverter">
        <w:smartTagPr>
          <w:attr w:name="ProductID" w:val="e垨Ҹa櫎æ耀zkeKey2e1ሒ櫎î耀ðKey1ô櫎ö耀keValue1櫎þ言Ā2014 a櫎Ć耀vĈKey1e2櫎Ď耀rĐValue2櫎Ė耀ĘęĚěĜ櫎Ğ耀ĠġĢģĤ櫎Ħ耀ĨĩĪīĬ櫎Į耀İıĲĳĴ櫎Ķ耀ĸĹĺĻļ櫎ľ耀¢ŀŁłŃń櫎ņ耀¦ňŉŊŋŌ櫎Ŏ耀ªŐőŒœŔ櫎Ŗ耀®ŘřŚśŜ櫎Ş耀²ŠšŢţŤ櫎Ŧ耀¶ŨũŪūŬ櫎Ů耀ºŰűŲųŴ櫎Ŷ耀¾ŸŹźŻż櫎ž耀ÂƀƁƂƃƄ櫎Ɔ耀ÆƈƉƊƋƌ櫎Ǝ耀ÊƐƑƒƓƔ櫎Ɩ耀ÎƘƙƚƛƜ櫎ƞ耀ÒƠơƢƣƤ櫎Ʀ耀ÖƨƩƪƫƬ櫎Ʈ耀ÚưƲƳƴ櫎ƶ耀ÞƸƺƻƼ櫎ƾ耀âǀ���櫎ǆ耀æ櫎耀ê櫎耀î櫎耀ò櫎耀ö櫎耀ú櫎耀뱣戳䌠ࡡ퍠ᇨҷ 타뇹笋䟠蠀ꚨ毭믰0^Ӂ嶠ላ뇲笋u蠀巄ላ≀ሒ눈І-놏笋v蠀ꚨ毭믰0bӁ巨ላ놈笋l蠀希ላ⊐ሒ⇰ሒ놅笋蠀ꚨ毭믰0"/>
        </w:smartTagPr>
        <w:r w:rsidRPr="008B16EE">
          <w:rPr>
            <w:sz w:val="20"/>
            <w:szCs w:val="20"/>
          </w:rPr>
          <w:t>2014 a</w:t>
        </w:r>
      </w:smartTag>
      <w:r w:rsidRPr="008B16EE">
        <w:rPr>
          <w:sz w:val="20"/>
          <w:szCs w:val="20"/>
        </w:rPr>
        <w:t xml:space="preserve"> 2015, kterým byl stanoven nový fiskální cíl pro deficit veřejných </w:t>
      </w:r>
      <w:proofErr w:type="gramStart"/>
      <w:r w:rsidRPr="008B16EE">
        <w:rPr>
          <w:sz w:val="20"/>
          <w:szCs w:val="20"/>
        </w:rPr>
        <w:t>rozpočtů,  bylo</w:t>
      </w:r>
      <w:proofErr w:type="gramEnd"/>
      <w:r w:rsidRPr="008B16EE">
        <w:rPr>
          <w:sz w:val="20"/>
          <w:szCs w:val="20"/>
        </w:rPr>
        <w:t xml:space="preserve"> na výdajové straně rozpočtu zahrnuto plošné snížení výdajů  ve výši 8,93 % ze základny roku 2012 pro rok 2016 (celkem 13,2 mld. Kč). Toto snížení nezahrnovalo kapitoly s odlišným režimem rozpočtování podle § 8 odst. </w:t>
      </w:r>
      <w:smartTag w:uri="urn:schemas-microsoft-com:office:smarttags" w:element="metricconverter">
        <w:smartTagPr>
          <w:attr w:name="ProductID" w:val="3 a"/>
        </w:smartTagPr>
        <w:r w:rsidRPr="008B16EE">
          <w:rPr>
            <w:sz w:val="20"/>
            <w:szCs w:val="20"/>
          </w:rPr>
          <w:t>3 a</w:t>
        </w:r>
      </w:smartTag>
      <w:r w:rsidRPr="008B16EE">
        <w:rPr>
          <w:sz w:val="20"/>
          <w:szCs w:val="20"/>
        </w:rPr>
        <w:t xml:space="preserve"> 4 rozpočtových pravidel, dále kapitoly Ministerstvo obrany, Ministerstvo školství, mládeže a tělovýchovy, Grantová agentura ČR, Akademie věd ČR a Technologická agentura ČR. Základna 2012 byla uvedena v materiálu „Nový střednědobý výhled státního rozpočtu ČR na léta </w:t>
      </w:r>
      <w:smartTag w:uri="urn:schemas-microsoft-com:office:smarttags" w:element="metricconverter">
        <w:smartTagPr>
          <w:attr w:name="ProductID" w:val="ᆵꆠ氂ꨄᆵa)泊栐뻯耀2014 a泖栐A蠀뺐Ѕ)泒栐潌蠀뺐Ѕ)泞栐耀zKey2 a泚栐耀N&#10;2016 aЅ氦栐䵈谀냘ဵ&quot;er氢栐o言2015 aЅ氮栐睯耀J2015, a氪栐言Ꙁ氂2016 aa氶栐蠀200 mil氲栐䄪蠀뺐Ѕ털/氾栐p耀&amp;&#10;Value2氺栐F耀500 mil氆栐ꀀ耀671ﾠmil氂栐耀* Key1mil氎栐言ᗐ2016 aЅ氊栐䉻蠀盨睞605 mil氖栐蠀620 mil氒栐敳蠀떬Ѕ떬Ѕﾲ'氞栐蠀냨睜ꚰ၅))氚栐氀蠀냨睜ꚰ၅)汦栐䠀蠀Өྒ倠㿸汢栐굒蠀냨睜ꛈ၅)汮栐㄀蠀냨睜ꛈ၅똨Ѕ)汪栐܀耀RkeValue1Ѕ汶栐蠀뺐Ѕ)汲栐⅄蠀뺐Ѕ)汾栐ƀ蠀뺐Ѕ)決栐㄀蠀ම皰ᐽꠋ쁍Ǐ㻰Ќ汆栐崾蠀흸1470 mil求栐挀蠀ම皰ᐽꠋ쁍Ǐ票ұ汎栐圠言䳔睜20 milЅ汊栐言䐟ᩇ夃㽲䒧얉镕毾猀汖栐言10 milr汒栐⎾言䳔睜2015 aЅ汞栐攀言ퟘ140 mil爀汚栐琀蠀氀攀300 mil润栐콶蠀500 mil涢栐蟰谀ole32.dll皲涮栐蠀ҔԲ倠㿸涪栐蠀ᗐ2015, a涶栐蠀ᗐ200 mil液栐谀꼠ဵ&quot;a涾栐蠀2015, a涺栐蠀裘-涆栐言URAD\10018涂栐 言PSDispatch涎栐蠀ꎠҷHLAVSOVAV涊栐蠀ꎠҷHLAVSOVAV涖栐햠蠀ꎠҷHLAVSOVAV涒栐1蠀ꎠҷHLAVSOVAV涞栐蠀ꎠҷHLAVSOVAV涚栐F蠀ꎠҷHLAVSOVAV淦栐먘蠀ꎠҷHLAVSOVAV淢栐m蠀ꎠҷHLAVSOVAV淮栐蛘蠀ꎠҷHLAVSOVAV淪栐戀蠀ꎠҷHLAVSOVAV봣⌳䌠ࠉﵨ1宸Ї타沒栐蠀혀,뿘Ѕ샰'l沟栐蠀烼消봰Ѕ韰Ћ沘栐n蠀ᴠ(뱀Ѕ뼐Ѕ沥栐8蠀PSFactoryBuffer沮栐c蠀ꚨ毭믰0b㜄ဵẰ့沫栐谀 1ﾠ200 mil沴栐谀 2ﾠ677 mil沱栐o蠀䏄Ҹ끘Ѓ譨Һ沺栐n蠀煜消뻀Ѕ반Ѕ1汇栐9蠀礠消믰Ѕ뱨Ѕ汀栐c蠀ᵌ(뾈Ѕ묀Ѕ汍栐蠀熤消반Ѕ봰Ѕ汖栐蠀ﮈ&amp;뢘І루І汓栐蠀曬(ᆴ䲘ᆵ汜栐n蠀ꚨ毭믰03뀄Ѓ䎠Ҹ汙栐8蠀㹰І鏠Ћ뜰І汢栐c蠀焤消뱨Ѕ뫘Ѕ汯栐蠀Ministerstva汨栐谀 1ﾠ373 milnl汵栐蠀Ổ့함ဴ嚀ံ汾栐n谀āĀt汻栐5蠀WQL12栐耀¤Ѕ氄栐c谀ԁԀ⬻㶸퀪尷ᚽ耀氁栐谀 1ﾠ000 milr氊栐蠀mᭈǫÊᗐﲠ)気栐谀* ProductID氐栐n蠀籠消鎸Ћ믰Ѕ'氝栐6谀,몘ﻜ嫠砫䕥څ傛໋氦栐c蠀捐Ї묀Ѕ뽠Ѕ氣栐蠀吀̧쀨Ѕ쁸Ѕ氬栐蠀樂,뼐Ѕ뿘Ѕ氩栐蠀ᵼ(똘І뱀Ѕ氲栐d踀Jméno osoby氿栐0蠀쫄Ѕ뽠Ѕ몰Ѕ永栐d蠀1휨11盈0揅栐蠀吘̧샰Ѕ뼸Ѕ揎栐 蠀厸̧새Ѕ딨І揋栐i蠀叨̧뼸Ѕ새Ѕ揔栐.谀ﶸ1 ProductID쐠揑栐a蠀叐̧쁸Ѕ쁐Ѕ揚栐d蠀吰̧섘Ѕ쀨Ѕ揧栐蠀全ˮ셀Ѕ샰Ѕ揠栐蠀䕀ˮ쇠Ѕ섘Ѕ揭栐蠀♸1손Ѕ쇠Ѕ揶栐l蠀譠́솸Ѕ셨Ѕ揳栐e蠀䩤І홈ұ손Ѕ揼栐d蠀毀ˮ셨Ѕ셀Ѕ揹栐蠀䑼І숰Ѕ쉘Ѕ掂栐蠀䐴Іұ숈Ѕ掏栐蠀䏬І숈Ѕ혠ұfg.exeԀ⬻벢ꬻ䌠ࠉǐȔɔɠʀʌʔ˴͘ΔμϴИдѼҠҰӠհڨۈތޘ߈ߠÌŔǴȈ˘׌ܰȜठनজ୨స౼ศೈռ઄໰྘а࿄ऐᓀᗌᘘᙐЈቼጰindows\System32\Wbem;C:\Windows\System32\WindowsPowerShell\v1.0\;C:\Program Files\Windows Imaging\;C:\Informix\Client-SDK\bin;C:\Program Files\Gemalto\Classic Client\BIN;C:\Program Files\Enterprise Vault\EVClient\;c:\program files\enterprise vault\evclient\;C:\Program Files\Microsoft Office\OFFICE11\老䉊ࠉC:\Program Files\Microsoft Office\OFFICE11;C:\Windows\system32;C:\Windows\system;C:\Wind뱲笻䊡ࠉ獠1&#10;ȸ*栀*櫰&amp;ᇨҹ뀰癔ᓄᗐ윘Ѕȸ*槠*줠Ѕ뀰癔ᓄᗼ잘Ѕȸ*樰*㓀/줠Ѕ뀰癔ᓄᗼ瓠1ȸ*윘-뀰癔ᓄᗼ쟘Ѕ젘Ѕ졘Ѕ좘Ѕ죘Ѕ밉ĺ䉱 궠ҷ區Ҹ￼￼￼￼￼￼￼￼￼￼￼￼￼￼￼￼￼￼￼￼￼￼￼￼￼￼￼￼￼￼￼￼￼￼￼￼￼￼￼￼￼￼￼￼￼￼￼￼￼￼￼￼￼￼￼￼￼￼￼￼￼￼￼￼￼￼￼￼￼￼￼￼￼￼￼￼￼￼￼￼￼￼￼￼￼￼￼￼￼￼￼￼￼￼￼￼￼￼￼￼￼￼￼￼￼￼￼￼￼￼￼￼￼￼￼￼￼￼￼￼￼￼￼￼&#10;ऀ䈁 ࠀ䈂 ㊨)緰1Ѐ䈆 揸(ڰ*Ȁ䈈 呐)Ä&quot;밈Ļ䈊ࠉ垤瘜췯覫䀀霤瘚쪌Ѕ쪌Ѕ1쪰Ѕ䒠ІΈ뿐Ѕˊ1 mFˌ:\缞쬠Ѕ쬠Ѕ쭄Ѕ쭄Ѕ쭐Ѕ쭐Ѕinwe쮀Ѕ쮀Ѕ\v쮐Ѕ쮐Ѕdu쮠Ѕ쮠Ѕ쫄ЅC=ڨ백㠻䈋ਉC:\Program Files\Common Files\Microsoft Shared\OFFICE11\msxml5.dll藔밡⠻䈲ఉ묠၅뮀၅밡⤺䈢 ꛈЅÄ&quot;베ꤻ䈢ࠉⅈ&quot;̂0ꔀЋꔌЋURADЁԀ⬻㶸퀪尷聨0聸0ԁԀ⬻㶸퀪尷ᚽrelease\Windows6.0\lh_sp2rtm\6002.18005.090410-1830\x86fre\symbols.pri\TraceFormatUATDATA=C:\Windows\system32\CCM\UATData\D9F8C395-CAB8-491d-B8AC-179A1FE1BE77USERDNSDOMAIN=URAD.MFCR.CZUSERDOMAIN=URADUSERNAME=10018USERPROFILE=C:\Users\10018WecVersionForRosebud.14C0=2WecVersionForRosebud.15CC=2windir=C:\WindowsW嘁䎅ఉ䮈癓榤癒榔癒̹À䘀ʘp효0툸/⩠텨Ѕ퉄Ѕ밆༻䊣ࠉ밸〺䈅 ⨰Ҭ䯨ҭ穨Ҵ搸Ҵ笈Ҵ筘Ҵ箨Ҵ簠Ҵ粘Ҵ糨Ҵ絠Ҵ綰Ҵ縀Ҵ繐Ҵ纠Ҵ缘Ҵ罨Ҵ翠Ҵ耰Ҵ肀Ҵ胸Ҵ腰Ҵ臨Ҵ艠Ҵ芰Ҵ茀Ҵ荐Ҵ莠Ҵ菰Ҵ葀Ҵ蒐Ҵ蓠Ҵ蔰Ҵ薀Ҵ藐Ҵ蘠Ҵ虰Ҵ蛀Ҵ蜐Ҵ蝠Ҵ螰Ҵ蠀Ҵ衐Ҵ袠Ҵ裰Ҵ襀Ҵ覐Ҵ觠Ҵ訰Ҵ誀Ҵ박᰻䈻ఉ몘ﻜꕸ1曨鬀曨辑曨ꄝ曨ꓗ曨ꄍ曨麉曨㢣曬컓曨췋曨曨曨曨曨ힳ曨햘曨曨쟂曨싑曨뤾曨멊曨뭟曨曨吝曨曨ﬡ曨曨뺔曨뱕曨붬曨曨ﰱ曨迌曨遴曨曨曨曨曨曨輻曨웯曨in및ػ䈖ࠉ皲蟰皲푄Ѕ皲皲皲皲皲皲皲皲皲皲皲皲皲皲皲皲皲皲皲皲皲皲皲皲皲&amp;㐍쒪䡣绸►휦絉㰡伅ꪙ싽䟉噆 皲밶㼻䈌ఉ⿘̹금̺깨̺꺨̺껨̺꼨̺꽈̺꾈̺꿨̺ 냨̺&#10;냨̺&#10;냨̺&#10;냨̺&#10;밦⸺䈵 ￀Ќퟘ,껨̺|̮꼨̺t̮뱼画䈥ࠉ백㠻䉿ఉ₠1₴1몭A耀　ÿ'ÿ寓ﴐ0뮀1&amp;鳘1뮘1밬ܙ䈲ᐉd䈭 4̮밧⸻䈯ࠉ攀&amp;朰&amp;歀&amp;枀&amp;樀&amp;뿚퀻䈤ဉЁ؀ÜỜｃށ ச࠴dɘɘA4ĖĀ䥄啎&quot;ѐڌᡐﳃ솨'ѐ䵓䩔рᡐ啉䡐dA4 ச࠴ [none] [none]4P샀À샀À d㾀10018ĖĖĖĖ࠴࠴dMicrosoft Office Word䥗坎剏⹄塅EĖĖĖĖȀ鰀C:\Program Files\Microsoft Office\OFFICE11\WINWORD.EXE뻯밤ⴻ䇙ࠉ綏憄⧿ᇔꦗက❚떙㞃坟烈䟈嶮ꂑἚ鉵봣⌳䈧ࠉﲨ1宸Ї타敒栐蠀ꎠҷHLAVSOVAV敞栐l蠀ꎠҷHLAVSOVAV敚栐i蠀ꎠҷHLAVSOVAV敦栐蠀ꎠҷHLAVSOVAV敢栐l蠀ꎠҷHLAVSOVAV敮栐i蠀ꎠҷHLAVSOVAV敪栐蠀ꎠҷHLAVSOVAV敶栐d蠀ꎠҷHLAVSOVAV敲栐i蠀ꎠҷHLAVSOVAV敾栐蠀ꎠҷHLAVSOVAV敺栐x蠀ꎠҷHLAVSOVAV斆栐i蠀ꎠҷHLAVSOVAV斂栐蠀ꎠҷHLAVSOVAV斎栐.蠀ꎠҷHLAVSOVAV斊栐i蠀ꎠҷHLAVSOVAV斖栐蠀ꎠҷHLAVSOVAV斒栐.蠀ꎠҷHLAVSOVAV斞栐i蠀ꎠҷHLAVSOVAV斚栐蠀ꎠҷHLAVSOVAV斦栐d蠀ꎠҷHLAVSOVAV斢栐i蠀ꎠҷHLAVSOVAV斮栐蠀ꎠҷHLAVSOVAV斪栐.蠀ꎠҷHLAVSOVAV斶栐i蠀ꎠҷHLAVSOVAV斲栐蠀ꎠҷHLAVSOVAV斾栐d蠀ꎠҷHLAVSOVAV斺栐i蠀ꎠҷHLAVSOVAV旆栐蠀ꎠҷHLAVSOVAV旂栐d蠀ꎠҷHLAVSOVAV旎栐i蠀ꎠҷHLAVSOVAV旊栐蠀ꎠҷHLAVSOVAV旖栐.蠀ꎠҷHLAVSOVAV旒栐i谀멠І&#10;Ȍ&#10;l旞栐蠀WINWORD.EXE旚栐d蠀㏸皌⠝掆1⮁旦栐i谀ﻨЅ䀼ІﾈЅ既栐蠀about:blank旮栐l蠀about:blank旪栐i蠀㏸皌桁癗1⮀时栐谀ｨЅↄІ（Ѕ￨Ѕfl旲栐.蠀dummy://url旾栐i蠀㏸皌䆱ᐑ1⮀旺栐谀￈Ѕ研1ﾈЅ(Іamᨆ栐d蠀㏸皌瞥斉1⮁ᨂ栐i谀І搤(￨ЅhІᨎ栐蠀㏸皌䏙撇'⮁ᨊ栐.谀HІ攄((Іᨖ栐i蠀㏸皌ᆠ䥐'⮀ᨒ栐谀І䋼)èІtu᨞栐d蠀㏸皌ᆠ䥐'ꮠᨚ栐i谀ÈІ䏜)¨ІĨІlᨦ栐蠀㏸皌ᆠ䥐'⪐ᨢ栐i谀ĈІ唔)èІᨮ栐i蠀냨睜꬀၅ᨪ栐蠀냨睜ꚰ၅ǈІňІᨶ栐.谀栰睜䳔睜灰Їᨲ栐i蠀냨睜ꚰ၅뗨Ѕ)ᨾ栐蠀냨睜ꚰ၅ňІᨺ栐.耀arentFolderᩆ栐i谀栰睜䳔睜燸ЇWᩂ栐谀Documentserᩎ栐l踀Personal鴰ᩊ栐i蠀My Pictures봣⌳䌠ࠊ行1宸Ї타ᳲ栐蠀р䎒W䎒WV㨔WІ᳄栐蠀с䢐W䢐WV㨔WІ㸠Ѓ᳖栐￘蠀т䤢W䤢WﲴV㨔WІ퍘І᳘栐蠀у䨔W䨔WV㨔Wᰪ栐蠀ф䦀W䦀WV㨔WਘІ᰼栐蠀х㰖W㰖WV㨔WힸІІᰎ栐￘蠀ц䕾W䕾WV㨔W틨Іᰐ栐蠀ч䄊W䄊WV㨔WІ憨Ҳᱢ栐k蠀ш䕨W䕨WﮄV㨔W흈І捨Ҳᱴ栐蠀щ䣀W䣀WV㨔WІ᱆栐￘蠀ъ䣖W䣖WV㨔WІ᱈栐蠀ы䍌W䍌WV㨔WࣈІᱚ栐i蠀ь䐬W䐬"/>
        </w:smartTagPr>
        <w:r w:rsidRPr="008B16EE">
          <w:rPr>
            <w:sz w:val="20"/>
            <w:szCs w:val="20"/>
          </w:rPr>
          <w:t>2014 a</w:t>
        </w:r>
      </w:smartTag>
      <w:r w:rsidRPr="008B16EE">
        <w:rPr>
          <w:sz w:val="20"/>
          <w:szCs w:val="20"/>
        </w:rPr>
        <w:t xml:space="preserve"> 2015“ (schváleno usnesením vlády č. 848/2012 a předloženo na vědomí Poslanecké sněmovně).</w:t>
      </w:r>
    </w:p>
    <w:p w:rsidR="00A05F55" w:rsidRDefault="00A05F55" w:rsidP="00FD7CB0">
      <w:pPr>
        <w:pStyle w:val="Textpoznpodarou"/>
      </w:pPr>
    </w:p>
  </w:footnote>
  <w:footnote w:id="6">
    <w:p w:rsidR="00A05F55" w:rsidRDefault="00A05F55" w:rsidP="00C3271F">
      <w:pPr>
        <w:pStyle w:val="Textpoznpodarou"/>
      </w:pPr>
      <w:r>
        <w:rPr>
          <w:rStyle w:val="Znakapoznpodarou"/>
        </w:rPr>
        <w:footnoteRef/>
      </w:r>
      <w:r>
        <w:t xml:space="preserve"> Finanční rámec stanoví maximální strop, který lze čerpat. Cca 13 % vlastních zdrojů představují příjmy z tradičních vlastních zdrojů, které nejsou financovány prostřednictvím národních rozpočtů. Rozpočet EU má navíc vedle vlastních zdrojů EU své vlastní příjmy.</w:t>
      </w:r>
    </w:p>
  </w:footnote>
  <w:footnote w:id="7">
    <w:p w:rsidR="00A05F55" w:rsidRPr="00AC67AE" w:rsidRDefault="00A05F55" w:rsidP="00AD3E98">
      <w:pPr>
        <w:spacing w:line="240" w:lineRule="auto"/>
        <w:ind w:firstLine="0"/>
        <w:rPr>
          <w:sz w:val="20"/>
          <w:szCs w:val="20"/>
        </w:rPr>
      </w:pPr>
      <w:r>
        <w:rPr>
          <w:rStyle w:val="Znakapoznpodarou"/>
        </w:rPr>
        <w:footnoteRef/>
      </w:r>
      <w:r>
        <w:rPr>
          <w:sz w:val="20"/>
          <w:szCs w:val="20"/>
        </w:rPr>
        <w:t xml:space="preserve"> N</w:t>
      </w:r>
      <w:r w:rsidRPr="00AC67AE">
        <w:rPr>
          <w:sz w:val="20"/>
          <w:szCs w:val="20"/>
        </w:rPr>
        <w:t xml:space="preserve">ávrh rozpočtu příjmů SR za prostředky EU </w:t>
      </w:r>
      <w:r>
        <w:rPr>
          <w:sz w:val="20"/>
          <w:szCs w:val="20"/>
        </w:rPr>
        <w:t>na operační programy navazuje na použitou metodiku rozpočtování prostředků EU, kdy navrhované příjmy se rovnají navržených výdajům, avšak ve skutečnosti se částky příjmů a výdajů v některých letech výrazně odlišují, a to i vlivem využití nároků na výdaje, které se berou v úvahu při navrhování výše SR pro příslušný rok.</w:t>
      </w:r>
    </w:p>
    <w:p w:rsidR="00A05F55" w:rsidRDefault="00A05F55" w:rsidP="00AD3E98">
      <w:pPr>
        <w:pStyle w:val="Textpoznpodarou"/>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630FB"/>
    <w:multiLevelType w:val="multilevel"/>
    <w:tmpl w:val="CBA06C60"/>
    <w:lvl w:ilvl="0">
      <w:start w:val="1"/>
      <w:numFmt w:val="decimal"/>
      <w:suff w:val="space"/>
      <w:lvlText w:val="%1."/>
      <w:lvlJc w:val="left"/>
      <w:pPr>
        <w:ind w:left="709"/>
      </w:pPr>
      <w:rPr>
        <w:rFonts w:cs="Times New Roman" w:hint="default"/>
        <w:b/>
        <w:i w:val="0"/>
        <w:sz w:val="32"/>
      </w:rPr>
    </w:lvl>
    <w:lvl w:ilvl="1">
      <w:start w:val="1"/>
      <w:numFmt w:val="decimal"/>
      <w:suff w:val="space"/>
      <w:lvlText w:val="%1.%2."/>
      <w:lvlJc w:val="left"/>
      <w:pPr>
        <w:ind w:left="709"/>
      </w:pPr>
      <w:rPr>
        <w:rFonts w:cs="Times New Roman" w:hint="default"/>
        <w:b/>
        <w:i/>
      </w:rPr>
    </w:lvl>
    <w:lvl w:ilvl="2">
      <w:start w:val="1"/>
      <w:numFmt w:val="decimal"/>
      <w:suff w:val="space"/>
      <w:lvlText w:val="%1.%2.%3."/>
      <w:lvlJc w:val="left"/>
      <w:pPr>
        <w:ind w:left="709"/>
      </w:pPr>
      <w:rPr>
        <w:rFonts w:cs="Times New Roman" w:hint="default"/>
        <w:b/>
        <w:i w:val="0"/>
      </w:rPr>
    </w:lvl>
    <w:lvl w:ilvl="3">
      <w:start w:val="1"/>
      <w:numFmt w:val="decimal"/>
      <w:suff w:val="space"/>
      <w:lvlText w:val="%1.%2.%3.%4."/>
      <w:lvlJc w:val="left"/>
      <w:pPr>
        <w:ind w:left="540"/>
      </w:pPr>
      <w:rPr>
        <w:rFonts w:ascii="Times New Roman" w:hAnsi="Times New Roman" w:cs="Times New Roman" w:hint="default"/>
        <w:b/>
        <w:i w:val="0"/>
        <w:sz w:val="24"/>
      </w:rPr>
    </w:lvl>
    <w:lvl w:ilvl="4">
      <w:start w:val="1"/>
      <w:numFmt w:val="decimal"/>
      <w:lvlText w:val="%1.%2.%3.%4.%5."/>
      <w:lvlJc w:val="left"/>
      <w:pPr>
        <w:tabs>
          <w:tab w:val="num" w:pos="8044"/>
        </w:tabs>
        <w:ind w:left="6316" w:hanging="792"/>
      </w:pPr>
      <w:rPr>
        <w:rFonts w:cs="Times New Roman" w:hint="default"/>
      </w:rPr>
    </w:lvl>
    <w:lvl w:ilvl="5">
      <w:start w:val="1"/>
      <w:numFmt w:val="decimal"/>
      <w:lvlText w:val="%1.%2.%3.%4.%5.%6."/>
      <w:lvlJc w:val="left"/>
      <w:pPr>
        <w:tabs>
          <w:tab w:val="num" w:pos="8764"/>
        </w:tabs>
        <w:ind w:left="6820" w:hanging="936"/>
      </w:pPr>
      <w:rPr>
        <w:rFonts w:cs="Times New Roman" w:hint="default"/>
      </w:rPr>
    </w:lvl>
    <w:lvl w:ilvl="6">
      <w:start w:val="1"/>
      <w:numFmt w:val="decimal"/>
      <w:lvlText w:val="%1.%2.%3.%4.%5.%6.%7."/>
      <w:lvlJc w:val="left"/>
      <w:pPr>
        <w:tabs>
          <w:tab w:val="num" w:pos="9484"/>
        </w:tabs>
        <w:ind w:left="7324" w:hanging="1080"/>
      </w:pPr>
      <w:rPr>
        <w:rFonts w:cs="Times New Roman" w:hint="default"/>
      </w:rPr>
    </w:lvl>
    <w:lvl w:ilvl="7">
      <w:start w:val="1"/>
      <w:numFmt w:val="decimal"/>
      <w:lvlText w:val="%1.%2.%3.%4.%5.%6.%7.%8."/>
      <w:lvlJc w:val="left"/>
      <w:pPr>
        <w:tabs>
          <w:tab w:val="num" w:pos="10204"/>
        </w:tabs>
        <w:ind w:left="7828" w:hanging="1224"/>
      </w:pPr>
      <w:rPr>
        <w:rFonts w:cs="Times New Roman" w:hint="default"/>
      </w:rPr>
    </w:lvl>
    <w:lvl w:ilvl="8">
      <w:start w:val="1"/>
      <w:numFmt w:val="decimal"/>
      <w:lvlText w:val="%1.%2.%3.%4.%5.%6.%7.%8.%9."/>
      <w:lvlJc w:val="left"/>
      <w:pPr>
        <w:tabs>
          <w:tab w:val="num" w:pos="10924"/>
        </w:tabs>
        <w:ind w:left="8404" w:hanging="1440"/>
      </w:pPr>
      <w:rPr>
        <w:rFonts w:cs="Times New Roman" w:hint="default"/>
      </w:rPr>
    </w:lvl>
  </w:abstractNum>
  <w:abstractNum w:abstractNumId="1">
    <w:nsid w:val="05CD267D"/>
    <w:multiLevelType w:val="multilevel"/>
    <w:tmpl w:val="6B68D65C"/>
    <w:lvl w:ilvl="0">
      <w:start w:val="1"/>
      <w:numFmt w:val="bullet"/>
      <w:suff w:val="space"/>
      <w:lvlText w:val=""/>
      <w:lvlJc w:val="left"/>
      <w:rPr>
        <w:rFonts w:ascii="Wingdings" w:hAnsi="Wingdings" w:hint="default"/>
      </w:rPr>
    </w:lvl>
    <w:lvl w:ilvl="1">
      <w:start w:val="1"/>
      <w:numFmt w:val="bullet"/>
      <w:suff w:val="space"/>
      <w:lvlText w:val=""/>
      <w:lvlJc w:val="left"/>
      <w:pPr>
        <w:ind w:left="992"/>
      </w:pPr>
      <w:rPr>
        <w:rFonts w:ascii="Symbol" w:hAnsi="Symbol" w:hint="default"/>
      </w:rPr>
    </w:lvl>
    <w:lvl w:ilvl="2">
      <w:start w:val="1"/>
      <w:numFmt w:val="bullet"/>
      <w:suff w:val="space"/>
      <w:lvlText w:val=""/>
      <w:lvlJc w:val="left"/>
      <w:pPr>
        <w:ind w:left="1276"/>
      </w:pPr>
      <w:rPr>
        <w:rFonts w:ascii="Wingdings" w:hAnsi="Wingdings" w:hint="default"/>
        <w:b/>
        <w:i w:val="0"/>
        <w:sz w:val="24"/>
      </w:rPr>
    </w:lvl>
    <w:lvl w:ilvl="3">
      <w:start w:val="1"/>
      <w:numFmt w:val="bullet"/>
      <w:suff w:val="space"/>
      <w:lvlText w:val=""/>
      <w:lvlJc w:val="left"/>
      <w:pPr>
        <w:ind w:left="1559"/>
      </w:pPr>
      <w:rPr>
        <w:rFonts w:ascii="Wingdings 2" w:hAnsi="Wingdings 2"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2">
    <w:nsid w:val="0A0A43D7"/>
    <w:multiLevelType w:val="hybridMultilevel"/>
    <w:tmpl w:val="06729D62"/>
    <w:lvl w:ilvl="0" w:tplc="04050001">
      <w:start w:val="1"/>
      <w:numFmt w:val="bullet"/>
      <w:lvlText w:val=""/>
      <w:lvlJc w:val="left"/>
      <w:pPr>
        <w:tabs>
          <w:tab w:val="num" w:pos="2520"/>
        </w:tabs>
        <w:ind w:left="2520" w:hanging="360"/>
      </w:pPr>
      <w:rPr>
        <w:rFonts w:ascii="Symbol" w:hAnsi="Symbol" w:hint="default"/>
      </w:rPr>
    </w:lvl>
    <w:lvl w:ilvl="1" w:tplc="04050003" w:tentative="1">
      <w:start w:val="1"/>
      <w:numFmt w:val="bullet"/>
      <w:lvlText w:val="o"/>
      <w:lvlJc w:val="left"/>
      <w:pPr>
        <w:tabs>
          <w:tab w:val="num" w:pos="3240"/>
        </w:tabs>
        <w:ind w:left="3240" w:hanging="360"/>
      </w:pPr>
      <w:rPr>
        <w:rFonts w:ascii="Courier New" w:hAnsi="Courier New" w:hint="default"/>
      </w:rPr>
    </w:lvl>
    <w:lvl w:ilvl="2" w:tplc="04050005" w:tentative="1">
      <w:start w:val="1"/>
      <w:numFmt w:val="bullet"/>
      <w:lvlText w:val=""/>
      <w:lvlJc w:val="left"/>
      <w:pPr>
        <w:tabs>
          <w:tab w:val="num" w:pos="3960"/>
        </w:tabs>
        <w:ind w:left="3960" w:hanging="360"/>
      </w:pPr>
      <w:rPr>
        <w:rFonts w:ascii="Wingdings" w:hAnsi="Wingdings" w:hint="default"/>
      </w:rPr>
    </w:lvl>
    <w:lvl w:ilvl="3" w:tplc="04050001" w:tentative="1">
      <w:start w:val="1"/>
      <w:numFmt w:val="bullet"/>
      <w:lvlText w:val=""/>
      <w:lvlJc w:val="left"/>
      <w:pPr>
        <w:tabs>
          <w:tab w:val="num" w:pos="4680"/>
        </w:tabs>
        <w:ind w:left="4680" w:hanging="360"/>
      </w:pPr>
      <w:rPr>
        <w:rFonts w:ascii="Symbol" w:hAnsi="Symbol" w:hint="default"/>
      </w:rPr>
    </w:lvl>
    <w:lvl w:ilvl="4" w:tplc="04050003" w:tentative="1">
      <w:start w:val="1"/>
      <w:numFmt w:val="bullet"/>
      <w:lvlText w:val="o"/>
      <w:lvlJc w:val="left"/>
      <w:pPr>
        <w:tabs>
          <w:tab w:val="num" w:pos="5400"/>
        </w:tabs>
        <w:ind w:left="5400" w:hanging="360"/>
      </w:pPr>
      <w:rPr>
        <w:rFonts w:ascii="Courier New" w:hAnsi="Courier New" w:hint="default"/>
      </w:rPr>
    </w:lvl>
    <w:lvl w:ilvl="5" w:tplc="04050005" w:tentative="1">
      <w:start w:val="1"/>
      <w:numFmt w:val="bullet"/>
      <w:lvlText w:val=""/>
      <w:lvlJc w:val="left"/>
      <w:pPr>
        <w:tabs>
          <w:tab w:val="num" w:pos="6120"/>
        </w:tabs>
        <w:ind w:left="6120" w:hanging="360"/>
      </w:pPr>
      <w:rPr>
        <w:rFonts w:ascii="Wingdings" w:hAnsi="Wingdings" w:hint="default"/>
      </w:rPr>
    </w:lvl>
    <w:lvl w:ilvl="6" w:tplc="04050001" w:tentative="1">
      <w:start w:val="1"/>
      <w:numFmt w:val="bullet"/>
      <w:lvlText w:val=""/>
      <w:lvlJc w:val="left"/>
      <w:pPr>
        <w:tabs>
          <w:tab w:val="num" w:pos="6840"/>
        </w:tabs>
        <w:ind w:left="6840" w:hanging="360"/>
      </w:pPr>
      <w:rPr>
        <w:rFonts w:ascii="Symbol" w:hAnsi="Symbol" w:hint="default"/>
      </w:rPr>
    </w:lvl>
    <w:lvl w:ilvl="7" w:tplc="04050003" w:tentative="1">
      <w:start w:val="1"/>
      <w:numFmt w:val="bullet"/>
      <w:lvlText w:val="o"/>
      <w:lvlJc w:val="left"/>
      <w:pPr>
        <w:tabs>
          <w:tab w:val="num" w:pos="7560"/>
        </w:tabs>
        <w:ind w:left="7560" w:hanging="360"/>
      </w:pPr>
      <w:rPr>
        <w:rFonts w:ascii="Courier New" w:hAnsi="Courier New" w:hint="default"/>
      </w:rPr>
    </w:lvl>
    <w:lvl w:ilvl="8" w:tplc="04050005" w:tentative="1">
      <w:start w:val="1"/>
      <w:numFmt w:val="bullet"/>
      <w:lvlText w:val=""/>
      <w:lvlJc w:val="left"/>
      <w:pPr>
        <w:tabs>
          <w:tab w:val="num" w:pos="8280"/>
        </w:tabs>
        <w:ind w:left="8280" w:hanging="360"/>
      </w:pPr>
      <w:rPr>
        <w:rFonts w:ascii="Wingdings" w:hAnsi="Wingdings" w:hint="default"/>
      </w:rPr>
    </w:lvl>
  </w:abstractNum>
  <w:abstractNum w:abstractNumId="3">
    <w:nsid w:val="0B04516C"/>
    <w:multiLevelType w:val="hybridMultilevel"/>
    <w:tmpl w:val="CA3E4E36"/>
    <w:lvl w:ilvl="0" w:tplc="3BD83D1E">
      <w:start w:val="1"/>
      <w:numFmt w:val="bullet"/>
      <w:lvlText w:val=""/>
      <w:lvlJc w:val="left"/>
      <w:pPr>
        <w:tabs>
          <w:tab w:val="num" w:pos="170"/>
        </w:tabs>
        <w:ind w:left="1078" w:hanging="1078"/>
      </w:pPr>
      <w:rPr>
        <w:rFonts w:ascii="Symbol" w:hAnsi="Symbol" w:hint="default"/>
      </w:rPr>
    </w:lvl>
    <w:lvl w:ilvl="1" w:tplc="7DC8EA06">
      <w:start w:val="5"/>
      <w:numFmt w:val="upperLetter"/>
      <w:lvlText w:val="%2."/>
      <w:lvlJc w:val="left"/>
      <w:pPr>
        <w:tabs>
          <w:tab w:val="num" w:pos="1080"/>
        </w:tabs>
        <w:ind w:left="1080" w:hanging="360"/>
      </w:pPr>
      <w:rPr>
        <w:rFonts w:cs="Times New Roman" w:hint="default"/>
      </w:rPr>
    </w:lvl>
    <w:lvl w:ilvl="2" w:tplc="0405001B" w:tentative="1">
      <w:start w:val="1"/>
      <w:numFmt w:val="lowerRoman"/>
      <w:lvlText w:val="%3."/>
      <w:lvlJc w:val="right"/>
      <w:pPr>
        <w:tabs>
          <w:tab w:val="num" w:pos="1800"/>
        </w:tabs>
        <w:ind w:left="1800" w:hanging="180"/>
      </w:pPr>
      <w:rPr>
        <w:rFonts w:cs="Times New Roman"/>
      </w:rPr>
    </w:lvl>
    <w:lvl w:ilvl="3" w:tplc="0405000F" w:tentative="1">
      <w:start w:val="1"/>
      <w:numFmt w:val="decimal"/>
      <w:lvlText w:val="%4."/>
      <w:lvlJc w:val="left"/>
      <w:pPr>
        <w:tabs>
          <w:tab w:val="num" w:pos="2520"/>
        </w:tabs>
        <w:ind w:left="2520" w:hanging="360"/>
      </w:pPr>
      <w:rPr>
        <w:rFonts w:cs="Times New Roman"/>
      </w:rPr>
    </w:lvl>
    <w:lvl w:ilvl="4" w:tplc="04050019" w:tentative="1">
      <w:start w:val="1"/>
      <w:numFmt w:val="lowerLetter"/>
      <w:lvlText w:val="%5."/>
      <w:lvlJc w:val="left"/>
      <w:pPr>
        <w:tabs>
          <w:tab w:val="num" w:pos="3240"/>
        </w:tabs>
        <w:ind w:left="3240" w:hanging="360"/>
      </w:pPr>
      <w:rPr>
        <w:rFonts w:cs="Times New Roman"/>
      </w:rPr>
    </w:lvl>
    <w:lvl w:ilvl="5" w:tplc="0405001B" w:tentative="1">
      <w:start w:val="1"/>
      <w:numFmt w:val="lowerRoman"/>
      <w:lvlText w:val="%6."/>
      <w:lvlJc w:val="right"/>
      <w:pPr>
        <w:tabs>
          <w:tab w:val="num" w:pos="3960"/>
        </w:tabs>
        <w:ind w:left="3960" w:hanging="180"/>
      </w:pPr>
      <w:rPr>
        <w:rFonts w:cs="Times New Roman"/>
      </w:rPr>
    </w:lvl>
    <w:lvl w:ilvl="6" w:tplc="0405000F" w:tentative="1">
      <w:start w:val="1"/>
      <w:numFmt w:val="decimal"/>
      <w:lvlText w:val="%7."/>
      <w:lvlJc w:val="left"/>
      <w:pPr>
        <w:tabs>
          <w:tab w:val="num" w:pos="4680"/>
        </w:tabs>
        <w:ind w:left="4680" w:hanging="360"/>
      </w:pPr>
      <w:rPr>
        <w:rFonts w:cs="Times New Roman"/>
      </w:rPr>
    </w:lvl>
    <w:lvl w:ilvl="7" w:tplc="04050019" w:tentative="1">
      <w:start w:val="1"/>
      <w:numFmt w:val="lowerLetter"/>
      <w:lvlText w:val="%8."/>
      <w:lvlJc w:val="left"/>
      <w:pPr>
        <w:tabs>
          <w:tab w:val="num" w:pos="5400"/>
        </w:tabs>
        <w:ind w:left="5400" w:hanging="360"/>
      </w:pPr>
      <w:rPr>
        <w:rFonts w:cs="Times New Roman"/>
      </w:rPr>
    </w:lvl>
    <w:lvl w:ilvl="8" w:tplc="0405001B" w:tentative="1">
      <w:start w:val="1"/>
      <w:numFmt w:val="lowerRoman"/>
      <w:lvlText w:val="%9."/>
      <w:lvlJc w:val="right"/>
      <w:pPr>
        <w:tabs>
          <w:tab w:val="num" w:pos="6120"/>
        </w:tabs>
        <w:ind w:left="6120" w:hanging="180"/>
      </w:pPr>
      <w:rPr>
        <w:rFonts w:cs="Times New Roman"/>
      </w:rPr>
    </w:lvl>
  </w:abstractNum>
  <w:abstractNum w:abstractNumId="4">
    <w:nsid w:val="10717508"/>
    <w:multiLevelType w:val="singleLevel"/>
    <w:tmpl w:val="04050001"/>
    <w:lvl w:ilvl="0">
      <w:start w:val="1"/>
      <w:numFmt w:val="bullet"/>
      <w:lvlText w:val=""/>
      <w:lvlJc w:val="left"/>
      <w:pPr>
        <w:tabs>
          <w:tab w:val="num" w:pos="284"/>
        </w:tabs>
      </w:pPr>
      <w:rPr>
        <w:rFonts w:ascii="Symbol" w:hAnsi="Symbol" w:hint="default"/>
      </w:rPr>
    </w:lvl>
  </w:abstractNum>
  <w:abstractNum w:abstractNumId="5">
    <w:nsid w:val="112C02AB"/>
    <w:multiLevelType w:val="multilevel"/>
    <w:tmpl w:val="F5405C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5A91C9F"/>
    <w:multiLevelType w:val="singleLevel"/>
    <w:tmpl w:val="535EAF96"/>
    <w:lvl w:ilvl="0">
      <w:start w:val="2"/>
      <w:numFmt w:val="upperRoman"/>
      <w:lvlText w:val="%1. "/>
      <w:legacy w:legacy="1" w:legacySpace="0" w:legacyIndent="283"/>
      <w:lvlJc w:val="left"/>
      <w:pPr>
        <w:ind w:left="343" w:hanging="283"/>
      </w:pPr>
      <w:rPr>
        <w:rFonts w:cs="Times New Roman"/>
        <w:b w:val="0"/>
        <w:i w:val="0"/>
        <w:sz w:val="24"/>
      </w:rPr>
    </w:lvl>
  </w:abstractNum>
  <w:abstractNum w:abstractNumId="7">
    <w:nsid w:val="20EE0D80"/>
    <w:multiLevelType w:val="hybridMultilevel"/>
    <w:tmpl w:val="E4D8C472"/>
    <w:lvl w:ilvl="0" w:tplc="A2AC13E6">
      <w:numFmt w:val="bullet"/>
      <w:lvlText w:val="-"/>
      <w:lvlJc w:val="left"/>
      <w:pPr>
        <w:tabs>
          <w:tab w:val="num" w:pos="720"/>
        </w:tabs>
        <w:ind w:left="720" w:hanging="360"/>
      </w:pPr>
      <w:rPr>
        <w:rFonts w:ascii="Times New Roman" w:eastAsia="Times New Roman" w:hAnsi="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DE72124"/>
    <w:multiLevelType w:val="hybridMultilevel"/>
    <w:tmpl w:val="3020A274"/>
    <w:lvl w:ilvl="0" w:tplc="01186ACA">
      <w:start w:val="1"/>
      <w:numFmt w:val="lowerLetter"/>
      <w:lvlText w:val="%1)"/>
      <w:lvlJc w:val="left"/>
      <w:pPr>
        <w:tabs>
          <w:tab w:val="num" w:pos="510"/>
        </w:tabs>
        <w:ind w:left="851" w:hanging="511"/>
      </w:pPr>
      <w:rPr>
        <w:rFonts w:cs="Times New Roman"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9">
    <w:nsid w:val="2F3E2B64"/>
    <w:multiLevelType w:val="multilevel"/>
    <w:tmpl w:val="23221686"/>
    <w:lvl w:ilvl="0">
      <w:start w:val="1"/>
      <w:numFmt w:val="decimal"/>
      <w:pStyle w:val="Nadpis1"/>
      <w:suff w:val="space"/>
      <w:lvlText w:val="%1."/>
      <w:lvlJc w:val="left"/>
      <w:pPr>
        <w:ind w:left="1446"/>
      </w:pPr>
      <w:rPr>
        <w:rFonts w:cs="Times New Roman" w:hint="default"/>
        <w:b/>
        <w:i w:val="0"/>
        <w:sz w:val="32"/>
      </w:rPr>
    </w:lvl>
    <w:lvl w:ilvl="1">
      <w:start w:val="1"/>
      <w:numFmt w:val="decimal"/>
      <w:pStyle w:val="Nadpis2"/>
      <w:suff w:val="space"/>
      <w:lvlText w:val="%1.%2."/>
      <w:lvlJc w:val="left"/>
      <w:rPr>
        <w:rFonts w:cs="Times New Roman" w:hint="default"/>
        <w:b/>
        <w:i/>
      </w:rPr>
    </w:lvl>
    <w:lvl w:ilvl="2">
      <w:start w:val="1"/>
      <w:numFmt w:val="decimal"/>
      <w:pStyle w:val="Nadpis3"/>
      <w:suff w:val="space"/>
      <w:lvlText w:val="%1.%2.%3."/>
      <w:lvlJc w:val="left"/>
      <w:pPr>
        <w:ind w:left="1440"/>
      </w:pPr>
      <w:rPr>
        <w:rFonts w:cs="Times New Roman" w:hint="default"/>
        <w:b/>
        <w:i w:val="0"/>
      </w:rPr>
    </w:lvl>
    <w:lvl w:ilvl="3">
      <w:start w:val="1"/>
      <w:numFmt w:val="decimal"/>
      <w:pStyle w:val="Nadpis4"/>
      <w:suff w:val="space"/>
      <w:lvlText w:val="%1.%2.%3.%4."/>
      <w:lvlJc w:val="left"/>
      <w:pPr>
        <w:ind w:left="1440"/>
      </w:pPr>
      <w:rPr>
        <w:rFonts w:ascii="Times New Roman" w:hAnsi="Times New Roman" w:cs="Times New Roman" w:hint="default"/>
        <w:b/>
        <w:i w:val="0"/>
        <w:sz w:val="24"/>
      </w:rPr>
    </w:lvl>
    <w:lvl w:ilvl="4">
      <w:start w:val="1"/>
      <w:numFmt w:val="decimal"/>
      <w:lvlText w:val="%1.%2.%3.%4.%5."/>
      <w:lvlJc w:val="left"/>
      <w:pPr>
        <w:tabs>
          <w:tab w:val="num" w:pos="8781"/>
        </w:tabs>
        <w:ind w:left="7053" w:hanging="792"/>
      </w:pPr>
      <w:rPr>
        <w:rFonts w:cs="Times New Roman" w:hint="default"/>
      </w:rPr>
    </w:lvl>
    <w:lvl w:ilvl="5">
      <w:start w:val="1"/>
      <w:numFmt w:val="decimal"/>
      <w:lvlText w:val="%1.%2.%3.%4.%5.%6."/>
      <w:lvlJc w:val="left"/>
      <w:pPr>
        <w:tabs>
          <w:tab w:val="num" w:pos="9501"/>
        </w:tabs>
        <w:ind w:left="7557" w:hanging="936"/>
      </w:pPr>
      <w:rPr>
        <w:rFonts w:cs="Times New Roman" w:hint="default"/>
      </w:rPr>
    </w:lvl>
    <w:lvl w:ilvl="6">
      <w:start w:val="1"/>
      <w:numFmt w:val="decimal"/>
      <w:lvlText w:val="%1.%2.%3.%4.%5.%6.%7."/>
      <w:lvlJc w:val="left"/>
      <w:pPr>
        <w:tabs>
          <w:tab w:val="num" w:pos="10221"/>
        </w:tabs>
        <w:ind w:left="8061" w:hanging="1080"/>
      </w:pPr>
      <w:rPr>
        <w:rFonts w:cs="Times New Roman" w:hint="default"/>
      </w:rPr>
    </w:lvl>
    <w:lvl w:ilvl="7">
      <w:start w:val="1"/>
      <w:numFmt w:val="decimal"/>
      <w:lvlText w:val="%1.%2.%3.%4.%5.%6.%7.%8."/>
      <w:lvlJc w:val="left"/>
      <w:pPr>
        <w:tabs>
          <w:tab w:val="num" w:pos="10941"/>
        </w:tabs>
        <w:ind w:left="8565" w:hanging="1224"/>
      </w:pPr>
      <w:rPr>
        <w:rFonts w:cs="Times New Roman" w:hint="default"/>
      </w:rPr>
    </w:lvl>
    <w:lvl w:ilvl="8">
      <w:start w:val="1"/>
      <w:numFmt w:val="decimal"/>
      <w:lvlText w:val="%1.%2.%3.%4.%5.%6.%7.%8.%9."/>
      <w:lvlJc w:val="left"/>
      <w:pPr>
        <w:tabs>
          <w:tab w:val="num" w:pos="11661"/>
        </w:tabs>
        <w:ind w:left="9141" w:hanging="1440"/>
      </w:pPr>
      <w:rPr>
        <w:rFonts w:cs="Times New Roman" w:hint="default"/>
      </w:rPr>
    </w:lvl>
  </w:abstractNum>
  <w:abstractNum w:abstractNumId="10">
    <w:nsid w:val="3C0D08CC"/>
    <w:multiLevelType w:val="hybridMultilevel"/>
    <w:tmpl w:val="49C47A1A"/>
    <w:lvl w:ilvl="0" w:tplc="D97888D6">
      <w:start w:val="1"/>
      <w:numFmt w:val="bullet"/>
      <w:pStyle w:val="odrkynae"/>
      <w:lvlText w:val=""/>
      <w:lvlJc w:val="left"/>
      <w:pPr>
        <w:tabs>
          <w:tab w:val="num" w:pos="567"/>
        </w:tabs>
        <w:ind w:left="567" w:hanging="283"/>
      </w:pPr>
      <w:rPr>
        <w:rFonts w:ascii="Symbol" w:hAnsi="Symbol" w:hint="default"/>
      </w:rPr>
    </w:lvl>
    <w:lvl w:ilvl="1" w:tplc="16563824" w:tentative="1">
      <w:start w:val="1"/>
      <w:numFmt w:val="bullet"/>
      <w:lvlText w:val="o"/>
      <w:lvlJc w:val="left"/>
      <w:pPr>
        <w:tabs>
          <w:tab w:val="num" w:pos="1440"/>
        </w:tabs>
        <w:ind w:left="1440" w:hanging="360"/>
      </w:pPr>
      <w:rPr>
        <w:rFonts w:ascii="Courier New" w:hAnsi="Courier New" w:hint="default"/>
      </w:rPr>
    </w:lvl>
    <w:lvl w:ilvl="2" w:tplc="2FFADDFA" w:tentative="1">
      <w:start w:val="1"/>
      <w:numFmt w:val="bullet"/>
      <w:lvlText w:val=""/>
      <w:lvlJc w:val="left"/>
      <w:pPr>
        <w:tabs>
          <w:tab w:val="num" w:pos="2160"/>
        </w:tabs>
        <w:ind w:left="2160" w:hanging="360"/>
      </w:pPr>
      <w:rPr>
        <w:rFonts w:ascii="Wingdings" w:hAnsi="Wingdings" w:hint="default"/>
      </w:rPr>
    </w:lvl>
    <w:lvl w:ilvl="3" w:tplc="55228AE6" w:tentative="1">
      <w:start w:val="1"/>
      <w:numFmt w:val="bullet"/>
      <w:lvlText w:val=""/>
      <w:lvlJc w:val="left"/>
      <w:pPr>
        <w:tabs>
          <w:tab w:val="num" w:pos="2880"/>
        </w:tabs>
        <w:ind w:left="2880" w:hanging="360"/>
      </w:pPr>
      <w:rPr>
        <w:rFonts w:ascii="Symbol" w:hAnsi="Symbol" w:hint="default"/>
      </w:rPr>
    </w:lvl>
    <w:lvl w:ilvl="4" w:tplc="FDC4CEE2" w:tentative="1">
      <w:start w:val="1"/>
      <w:numFmt w:val="bullet"/>
      <w:lvlText w:val="o"/>
      <w:lvlJc w:val="left"/>
      <w:pPr>
        <w:tabs>
          <w:tab w:val="num" w:pos="3600"/>
        </w:tabs>
        <w:ind w:left="3600" w:hanging="360"/>
      </w:pPr>
      <w:rPr>
        <w:rFonts w:ascii="Courier New" w:hAnsi="Courier New" w:hint="default"/>
      </w:rPr>
    </w:lvl>
    <w:lvl w:ilvl="5" w:tplc="2B7A2EFE" w:tentative="1">
      <w:start w:val="1"/>
      <w:numFmt w:val="bullet"/>
      <w:lvlText w:val=""/>
      <w:lvlJc w:val="left"/>
      <w:pPr>
        <w:tabs>
          <w:tab w:val="num" w:pos="4320"/>
        </w:tabs>
        <w:ind w:left="4320" w:hanging="360"/>
      </w:pPr>
      <w:rPr>
        <w:rFonts w:ascii="Wingdings" w:hAnsi="Wingdings" w:hint="default"/>
      </w:rPr>
    </w:lvl>
    <w:lvl w:ilvl="6" w:tplc="4B22E9B6" w:tentative="1">
      <w:start w:val="1"/>
      <w:numFmt w:val="bullet"/>
      <w:lvlText w:val=""/>
      <w:lvlJc w:val="left"/>
      <w:pPr>
        <w:tabs>
          <w:tab w:val="num" w:pos="5040"/>
        </w:tabs>
        <w:ind w:left="5040" w:hanging="360"/>
      </w:pPr>
      <w:rPr>
        <w:rFonts w:ascii="Symbol" w:hAnsi="Symbol" w:hint="default"/>
      </w:rPr>
    </w:lvl>
    <w:lvl w:ilvl="7" w:tplc="70201FBE" w:tentative="1">
      <w:start w:val="1"/>
      <w:numFmt w:val="bullet"/>
      <w:lvlText w:val="o"/>
      <w:lvlJc w:val="left"/>
      <w:pPr>
        <w:tabs>
          <w:tab w:val="num" w:pos="5760"/>
        </w:tabs>
        <w:ind w:left="5760" w:hanging="360"/>
      </w:pPr>
      <w:rPr>
        <w:rFonts w:ascii="Courier New" w:hAnsi="Courier New" w:hint="default"/>
      </w:rPr>
    </w:lvl>
    <w:lvl w:ilvl="8" w:tplc="1F0C7644" w:tentative="1">
      <w:start w:val="1"/>
      <w:numFmt w:val="bullet"/>
      <w:lvlText w:val=""/>
      <w:lvlJc w:val="left"/>
      <w:pPr>
        <w:tabs>
          <w:tab w:val="num" w:pos="6480"/>
        </w:tabs>
        <w:ind w:left="6480" w:hanging="360"/>
      </w:pPr>
      <w:rPr>
        <w:rFonts w:ascii="Wingdings" w:hAnsi="Wingdings" w:hint="default"/>
      </w:rPr>
    </w:lvl>
  </w:abstractNum>
  <w:abstractNum w:abstractNumId="11">
    <w:nsid w:val="40F6667A"/>
    <w:multiLevelType w:val="multilevel"/>
    <w:tmpl w:val="8814E3E8"/>
    <w:styleLink w:val="Odrky"/>
    <w:lvl w:ilvl="0">
      <w:start w:val="1"/>
      <w:numFmt w:val="bullet"/>
      <w:lvlText w:val=""/>
      <w:lvlJc w:val="left"/>
      <w:pPr>
        <w:tabs>
          <w:tab w:val="num" w:pos="284"/>
        </w:tabs>
      </w:pPr>
      <w:rPr>
        <w:rFonts w:ascii="Wingdings" w:hAnsi="Wingdings" w:hint="default"/>
      </w:rPr>
    </w:lvl>
    <w:lvl w:ilvl="1">
      <w:start w:val="1"/>
      <w:numFmt w:val="bullet"/>
      <w:suff w:val="space"/>
      <w:lvlText w:val=""/>
      <w:lvlJc w:val="left"/>
      <w:pPr>
        <w:ind w:left="992"/>
      </w:pPr>
      <w:rPr>
        <w:rFonts w:ascii="Symbol" w:hAnsi="Symbol" w:hint="default"/>
      </w:rPr>
    </w:lvl>
    <w:lvl w:ilvl="2">
      <w:start w:val="1"/>
      <w:numFmt w:val="bullet"/>
      <w:suff w:val="space"/>
      <w:lvlText w:val=""/>
      <w:lvlJc w:val="left"/>
      <w:pPr>
        <w:ind w:left="1276"/>
      </w:pPr>
      <w:rPr>
        <w:rFonts w:ascii="Symbol" w:hAnsi="Symbol" w:hint="default"/>
      </w:rPr>
    </w:lvl>
    <w:lvl w:ilvl="3">
      <w:start w:val="1"/>
      <w:numFmt w:val="bullet"/>
      <w:suff w:val="space"/>
      <w:lvlText w:val=""/>
      <w:lvlJc w:val="left"/>
      <w:pPr>
        <w:ind w:left="1559"/>
      </w:pPr>
      <w:rPr>
        <w:rFonts w:ascii="Wingdings 2" w:hAnsi="Wingdings 2"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2">
    <w:nsid w:val="4AA557B2"/>
    <w:multiLevelType w:val="hybridMultilevel"/>
    <w:tmpl w:val="41387476"/>
    <w:lvl w:ilvl="0" w:tplc="D1A062C4">
      <w:start w:val="1"/>
      <w:numFmt w:val="bullet"/>
      <w:lvlText w:val=""/>
      <w:lvlJc w:val="left"/>
      <w:pPr>
        <w:tabs>
          <w:tab w:val="num" w:pos="340"/>
        </w:tabs>
        <w:ind w:left="340" w:hanging="340"/>
      </w:pPr>
      <w:rPr>
        <w:rFonts w:ascii="Symbol" w:hAnsi="Symbol" w:hint="default"/>
      </w:rPr>
    </w:lvl>
    <w:lvl w:ilvl="1" w:tplc="6A06D490" w:tentative="1">
      <w:start w:val="1"/>
      <w:numFmt w:val="bullet"/>
      <w:lvlText w:val="o"/>
      <w:lvlJc w:val="left"/>
      <w:pPr>
        <w:tabs>
          <w:tab w:val="num" w:pos="3240"/>
        </w:tabs>
        <w:ind w:left="3240" w:hanging="360"/>
      </w:pPr>
      <w:rPr>
        <w:rFonts w:ascii="Courier New" w:hAnsi="Courier New" w:hint="default"/>
      </w:rPr>
    </w:lvl>
    <w:lvl w:ilvl="2" w:tplc="16369AE8" w:tentative="1">
      <w:start w:val="1"/>
      <w:numFmt w:val="bullet"/>
      <w:lvlText w:val=""/>
      <w:lvlJc w:val="left"/>
      <w:pPr>
        <w:tabs>
          <w:tab w:val="num" w:pos="3960"/>
        </w:tabs>
        <w:ind w:left="3960" w:hanging="360"/>
      </w:pPr>
      <w:rPr>
        <w:rFonts w:ascii="Wingdings" w:hAnsi="Wingdings" w:hint="default"/>
      </w:rPr>
    </w:lvl>
    <w:lvl w:ilvl="3" w:tplc="2A7C359A" w:tentative="1">
      <w:start w:val="1"/>
      <w:numFmt w:val="bullet"/>
      <w:lvlText w:val=""/>
      <w:lvlJc w:val="left"/>
      <w:pPr>
        <w:tabs>
          <w:tab w:val="num" w:pos="4680"/>
        </w:tabs>
        <w:ind w:left="4680" w:hanging="360"/>
      </w:pPr>
      <w:rPr>
        <w:rFonts w:ascii="Symbol" w:hAnsi="Symbol" w:hint="default"/>
      </w:rPr>
    </w:lvl>
    <w:lvl w:ilvl="4" w:tplc="A90A8C9A" w:tentative="1">
      <w:start w:val="1"/>
      <w:numFmt w:val="bullet"/>
      <w:lvlText w:val="o"/>
      <w:lvlJc w:val="left"/>
      <w:pPr>
        <w:tabs>
          <w:tab w:val="num" w:pos="5400"/>
        </w:tabs>
        <w:ind w:left="5400" w:hanging="360"/>
      </w:pPr>
      <w:rPr>
        <w:rFonts w:ascii="Courier New" w:hAnsi="Courier New" w:hint="default"/>
      </w:rPr>
    </w:lvl>
    <w:lvl w:ilvl="5" w:tplc="8C1818F2" w:tentative="1">
      <w:start w:val="1"/>
      <w:numFmt w:val="bullet"/>
      <w:lvlText w:val=""/>
      <w:lvlJc w:val="left"/>
      <w:pPr>
        <w:tabs>
          <w:tab w:val="num" w:pos="6120"/>
        </w:tabs>
        <w:ind w:left="6120" w:hanging="360"/>
      </w:pPr>
      <w:rPr>
        <w:rFonts w:ascii="Wingdings" w:hAnsi="Wingdings" w:hint="default"/>
      </w:rPr>
    </w:lvl>
    <w:lvl w:ilvl="6" w:tplc="49C69C9A" w:tentative="1">
      <w:start w:val="1"/>
      <w:numFmt w:val="bullet"/>
      <w:lvlText w:val=""/>
      <w:lvlJc w:val="left"/>
      <w:pPr>
        <w:tabs>
          <w:tab w:val="num" w:pos="6840"/>
        </w:tabs>
        <w:ind w:left="6840" w:hanging="360"/>
      </w:pPr>
      <w:rPr>
        <w:rFonts w:ascii="Symbol" w:hAnsi="Symbol" w:hint="default"/>
      </w:rPr>
    </w:lvl>
    <w:lvl w:ilvl="7" w:tplc="6B7E35DA" w:tentative="1">
      <w:start w:val="1"/>
      <w:numFmt w:val="bullet"/>
      <w:lvlText w:val="o"/>
      <w:lvlJc w:val="left"/>
      <w:pPr>
        <w:tabs>
          <w:tab w:val="num" w:pos="7560"/>
        </w:tabs>
        <w:ind w:left="7560" w:hanging="360"/>
      </w:pPr>
      <w:rPr>
        <w:rFonts w:ascii="Courier New" w:hAnsi="Courier New" w:hint="default"/>
      </w:rPr>
    </w:lvl>
    <w:lvl w:ilvl="8" w:tplc="69EA92BC" w:tentative="1">
      <w:start w:val="1"/>
      <w:numFmt w:val="bullet"/>
      <w:lvlText w:val=""/>
      <w:lvlJc w:val="left"/>
      <w:pPr>
        <w:tabs>
          <w:tab w:val="num" w:pos="8280"/>
        </w:tabs>
        <w:ind w:left="8280" w:hanging="360"/>
      </w:pPr>
      <w:rPr>
        <w:rFonts w:ascii="Wingdings" w:hAnsi="Wingdings" w:hint="default"/>
      </w:rPr>
    </w:lvl>
  </w:abstractNum>
  <w:abstractNum w:abstractNumId="13">
    <w:nsid w:val="567E5B38"/>
    <w:multiLevelType w:val="hybridMultilevel"/>
    <w:tmpl w:val="639604E2"/>
    <w:lvl w:ilvl="0" w:tplc="D3C02060">
      <w:start w:val="1"/>
      <w:numFmt w:val="bullet"/>
      <w:lvlText w:val=""/>
      <w:lvlJc w:val="left"/>
      <w:pPr>
        <w:tabs>
          <w:tab w:val="num" w:pos="340"/>
        </w:tabs>
        <w:ind w:left="340" w:hanging="34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57285335"/>
    <w:multiLevelType w:val="hybridMultilevel"/>
    <w:tmpl w:val="CDDADF8C"/>
    <w:lvl w:ilvl="0" w:tplc="427C1CCA">
      <w:start w:val="1"/>
      <w:numFmt w:val="bullet"/>
      <w:lvlText w:val=""/>
      <w:lvlJc w:val="left"/>
      <w:pPr>
        <w:tabs>
          <w:tab w:val="num" w:pos="587"/>
        </w:tabs>
        <w:ind w:left="587" w:hanging="227"/>
      </w:pPr>
      <w:rPr>
        <w:rFonts w:ascii="Wingdings" w:hAnsi="Wingdings" w:hint="default"/>
      </w:rPr>
    </w:lvl>
    <w:lvl w:ilvl="1" w:tplc="04050003">
      <w:start w:val="1"/>
      <w:numFmt w:val="bullet"/>
      <w:lvlText w:val=""/>
      <w:lvlJc w:val="left"/>
      <w:pPr>
        <w:tabs>
          <w:tab w:val="num" w:pos="1440"/>
        </w:tabs>
        <w:ind w:left="1440" w:hanging="360"/>
      </w:pPr>
      <w:rPr>
        <w:rFonts w:ascii="Wingdings" w:hAnsi="Wingdings" w:hint="default"/>
      </w:rPr>
    </w:lvl>
    <w:lvl w:ilvl="2" w:tplc="04050005" w:tentative="1">
      <w:start w:val="1"/>
      <w:numFmt w:val="lowerRoman"/>
      <w:lvlText w:val="%3."/>
      <w:lvlJc w:val="right"/>
      <w:pPr>
        <w:tabs>
          <w:tab w:val="num" w:pos="2160"/>
        </w:tabs>
        <w:ind w:left="2160" w:hanging="180"/>
      </w:pPr>
      <w:rPr>
        <w:rFonts w:cs="Times New Roman"/>
      </w:rPr>
    </w:lvl>
    <w:lvl w:ilvl="3" w:tplc="04050001" w:tentative="1">
      <w:start w:val="1"/>
      <w:numFmt w:val="decimal"/>
      <w:lvlText w:val="%4."/>
      <w:lvlJc w:val="left"/>
      <w:pPr>
        <w:tabs>
          <w:tab w:val="num" w:pos="2880"/>
        </w:tabs>
        <w:ind w:left="2880" w:hanging="360"/>
      </w:pPr>
      <w:rPr>
        <w:rFonts w:cs="Times New Roman"/>
      </w:rPr>
    </w:lvl>
    <w:lvl w:ilvl="4" w:tplc="04050003" w:tentative="1">
      <w:start w:val="1"/>
      <w:numFmt w:val="lowerLetter"/>
      <w:lvlText w:val="%5."/>
      <w:lvlJc w:val="left"/>
      <w:pPr>
        <w:tabs>
          <w:tab w:val="num" w:pos="3600"/>
        </w:tabs>
        <w:ind w:left="3600" w:hanging="360"/>
      </w:pPr>
      <w:rPr>
        <w:rFonts w:cs="Times New Roman"/>
      </w:rPr>
    </w:lvl>
    <w:lvl w:ilvl="5" w:tplc="04050005" w:tentative="1">
      <w:start w:val="1"/>
      <w:numFmt w:val="lowerRoman"/>
      <w:lvlText w:val="%6."/>
      <w:lvlJc w:val="right"/>
      <w:pPr>
        <w:tabs>
          <w:tab w:val="num" w:pos="4320"/>
        </w:tabs>
        <w:ind w:left="4320" w:hanging="180"/>
      </w:pPr>
      <w:rPr>
        <w:rFonts w:cs="Times New Roman"/>
      </w:rPr>
    </w:lvl>
    <w:lvl w:ilvl="6" w:tplc="04050001" w:tentative="1">
      <w:start w:val="1"/>
      <w:numFmt w:val="decimal"/>
      <w:lvlText w:val="%7."/>
      <w:lvlJc w:val="left"/>
      <w:pPr>
        <w:tabs>
          <w:tab w:val="num" w:pos="5040"/>
        </w:tabs>
        <w:ind w:left="5040" w:hanging="360"/>
      </w:pPr>
      <w:rPr>
        <w:rFonts w:cs="Times New Roman"/>
      </w:rPr>
    </w:lvl>
    <w:lvl w:ilvl="7" w:tplc="04050003" w:tentative="1">
      <w:start w:val="1"/>
      <w:numFmt w:val="lowerLetter"/>
      <w:lvlText w:val="%8."/>
      <w:lvlJc w:val="left"/>
      <w:pPr>
        <w:tabs>
          <w:tab w:val="num" w:pos="5760"/>
        </w:tabs>
        <w:ind w:left="5760" w:hanging="360"/>
      </w:pPr>
      <w:rPr>
        <w:rFonts w:cs="Times New Roman"/>
      </w:rPr>
    </w:lvl>
    <w:lvl w:ilvl="8" w:tplc="04050005" w:tentative="1">
      <w:start w:val="1"/>
      <w:numFmt w:val="lowerRoman"/>
      <w:lvlText w:val="%9."/>
      <w:lvlJc w:val="right"/>
      <w:pPr>
        <w:tabs>
          <w:tab w:val="num" w:pos="6480"/>
        </w:tabs>
        <w:ind w:left="6480" w:hanging="180"/>
      </w:pPr>
      <w:rPr>
        <w:rFonts w:cs="Times New Roman"/>
      </w:rPr>
    </w:lvl>
  </w:abstractNum>
  <w:abstractNum w:abstractNumId="15">
    <w:nsid w:val="57762462"/>
    <w:multiLevelType w:val="hybridMultilevel"/>
    <w:tmpl w:val="B32C2EE2"/>
    <w:lvl w:ilvl="0" w:tplc="D34ED274">
      <w:start w:val="1"/>
      <w:numFmt w:val="bullet"/>
      <w:pStyle w:val="Styl1mmmmm"/>
      <w:lvlText w:val=""/>
      <w:lvlJc w:val="left"/>
      <w:pPr>
        <w:tabs>
          <w:tab w:val="num" w:pos="1560"/>
        </w:tabs>
        <w:ind w:left="1758" w:hanging="197"/>
      </w:pPr>
      <w:rPr>
        <w:rFonts w:ascii="Symbol" w:hAnsi="Symbol" w:hint="default"/>
      </w:rPr>
    </w:lvl>
    <w:lvl w:ilvl="1" w:tplc="0405000B" w:tentative="1">
      <w:start w:val="1"/>
      <w:numFmt w:val="bullet"/>
      <w:lvlText w:val="o"/>
      <w:lvlJc w:val="left"/>
      <w:pPr>
        <w:tabs>
          <w:tab w:val="num" w:pos="1724"/>
        </w:tabs>
        <w:ind w:left="1724" w:hanging="360"/>
      </w:pPr>
      <w:rPr>
        <w:rFonts w:ascii="Courier New" w:hAnsi="Courier New" w:hint="default"/>
      </w:rPr>
    </w:lvl>
    <w:lvl w:ilvl="2" w:tplc="0405001B" w:tentative="1">
      <w:start w:val="1"/>
      <w:numFmt w:val="bullet"/>
      <w:lvlText w:val=""/>
      <w:lvlJc w:val="left"/>
      <w:pPr>
        <w:tabs>
          <w:tab w:val="num" w:pos="2444"/>
        </w:tabs>
        <w:ind w:left="2444" w:hanging="360"/>
      </w:pPr>
      <w:rPr>
        <w:rFonts w:ascii="Wingdings" w:hAnsi="Wingdings" w:hint="default"/>
      </w:rPr>
    </w:lvl>
    <w:lvl w:ilvl="3" w:tplc="0405000F" w:tentative="1">
      <w:start w:val="1"/>
      <w:numFmt w:val="bullet"/>
      <w:lvlText w:val=""/>
      <w:lvlJc w:val="left"/>
      <w:pPr>
        <w:tabs>
          <w:tab w:val="num" w:pos="3164"/>
        </w:tabs>
        <w:ind w:left="3164" w:hanging="360"/>
      </w:pPr>
      <w:rPr>
        <w:rFonts w:ascii="Symbol" w:hAnsi="Symbol" w:hint="default"/>
      </w:rPr>
    </w:lvl>
    <w:lvl w:ilvl="4" w:tplc="04050019" w:tentative="1">
      <w:start w:val="1"/>
      <w:numFmt w:val="bullet"/>
      <w:lvlText w:val="o"/>
      <w:lvlJc w:val="left"/>
      <w:pPr>
        <w:tabs>
          <w:tab w:val="num" w:pos="3884"/>
        </w:tabs>
        <w:ind w:left="3884" w:hanging="360"/>
      </w:pPr>
      <w:rPr>
        <w:rFonts w:ascii="Courier New" w:hAnsi="Courier New" w:hint="default"/>
      </w:rPr>
    </w:lvl>
    <w:lvl w:ilvl="5" w:tplc="0405001B" w:tentative="1">
      <w:start w:val="1"/>
      <w:numFmt w:val="bullet"/>
      <w:lvlText w:val=""/>
      <w:lvlJc w:val="left"/>
      <w:pPr>
        <w:tabs>
          <w:tab w:val="num" w:pos="4604"/>
        </w:tabs>
        <w:ind w:left="4604" w:hanging="360"/>
      </w:pPr>
      <w:rPr>
        <w:rFonts w:ascii="Wingdings" w:hAnsi="Wingdings" w:hint="default"/>
      </w:rPr>
    </w:lvl>
    <w:lvl w:ilvl="6" w:tplc="0405000F" w:tentative="1">
      <w:start w:val="1"/>
      <w:numFmt w:val="bullet"/>
      <w:lvlText w:val=""/>
      <w:lvlJc w:val="left"/>
      <w:pPr>
        <w:tabs>
          <w:tab w:val="num" w:pos="5324"/>
        </w:tabs>
        <w:ind w:left="5324" w:hanging="360"/>
      </w:pPr>
      <w:rPr>
        <w:rFonts w:ascii="Symbol" w:hAnsi="Symbol" w:hint="default"/>
      </w:rPr>
    </w:lvl>
    <w:lvl w:ilvl="7" w:tplc="04050019" w:tentative="1">
      <w:start w:val="1"/>
      <w:numFmt w:val="bullet"/>
      <w:lvlText w:val="o"/>
      <w:lvlJc w:val="left"/>
      <w:pPr>
        <w:tabs>
          <w:tab w:val="num" w:pos="6044"/>
        </w:tabs>
        <w:ind w:left="6044" w:hanging="360"/>
      </w:pPr>
      <w:rPr>
        <w:rFonts w:ascii="Courier New" w:hAnsi="Courier New" w:hint="default"/>
      </w:rPr>
    </w:lvl>
    <w:lvl w:ilvl="8" w:tplc="0405001B" w:tentative="1">
      <w:start w:val="1"/>
      <w:numFmt w:val="bullet"/>
      <w:lvlText w:val=""/>
      <w:lvlJc w:val="left"/>
      <w:pPr>
        <w:tabs>
          <w:tab w:val="num" w:pos="6764"/>
        </w:tabs>
        <w:ind w:left="6764" w:hanging="360"/>
      </w:pPr>
      <w:rPr>
        <w:rFonts w:ascii="Wingdings" w:hAnsi="Wingdings" w:hint="default"/>
      </w:rPr>
    </w:lvl>
  </w:abstractNum>
  <w:abstractNum w:abstractNumId="16">
    <w:nsid w:val="5FB97938"/>
    <w:multiLevelType w:val="hybridMultilevel"/>
    <w:tmpl w:val="77FEEB76"/>
    <w:lvl w:ilvl="0" w:tplc="D34ED274">
      <w:start w:val="1"/>
      <w:numFmt w:val="bullet"/>
      <w:lvlText w:val=""/>
      <w:lvlJc w:val="left"/>
      <w:pPr>
        <w:tabs>
          <w:tab w:val="num" w:pos="340"/>
        </w:tabs>
        <w:ind w:left="340" w:hanging="340"/>
      </w:pPr>
      <w:rPr>
        <w:rFonts w:ascii="Wingdings" w:hAnsi="Wingdings" w:hint="default"/>
      </w:rPr>
    </w:lvl>
    <w:lvl w:ilvl="1" w:tplc="0405000B" w:tentative="1">
      <w:start w:val="1"/>
      <w:numFmt w:val="bullet"/>
      <w:lvlText w:val="o"/>
      <w:lvlJc w:val="left"/>
      <w:pPr>
        <w:tabs>
          <w:tab w:val="num" w:pos="1440"/>
        </w:tabs>
        <w:ind w:left="1440" w:hanging="360"/>
      </w:pPr>
      <w:rPr>
        <w:rFonts w:ascii="Courier New" w:hAnsi="Courier New" w:hint="default"/>
      </w:rPr>
    </w:lvl>
    <w:lvl w:ilvl="2" w:tplc="0405001B"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7">
    <w:nsid w:val="656A595C"/>
    <w:multiLevelType w:val="hybridMultilevel"/>
    <w:tmpl w:val="E48A0AD8"/>
    <w:lvl w:ilvl="0" w:tplc="93F6BDCA">
      <w:start w:val="1"/>
      <w:numFmt w:val="bullet"/>
      <w:lvlText w:val=""/>
      <w:lvlJc w:val="left"/>
      <w:pPr>
        <w:ind w:left="3133" w:hanging="360"/>
      </w:pPr>
      <w:rPr>
        <w:rFonts w:ascii="Symbol" w:hAnsi="Symbol" w:hint="default"/>
      </w:rPr>
    </w:lvl>
    <w:lvl w:ilvl="1" w:tplc="04050003" w:tentative="1">
      <w:start w:val="1"/>
      <w:numFmt w:val="bullet"/>
      <w:lvlText w:val="o"/>
      <w:lvlJc w:val="left"/>
      <w:pPr>
        <w:ind w:left="3853" w:hanging="360"/>
      </w:pPr>
      <w:rPr>
        <w:rFonts w:ascii="Courier New" w:hAnsi="Courier New" w:cs="Courier New" w:hint="default"/>
      </w:rPr>
    </w:lvl>
    <w:lvl w:ilvl="2" w:tplc="04050005" w:tentative="1">
      <w:start w:val="1"/>
      <w:numFmt w:val="bullet"/>
      <w:lvlText w:val=""/>
      <w:lvlJc w:val="left"/>
      <w:pPr>
        <w:ind w:left="4573" w:hanging="360"/>
      </w:pPr>
      <w:rPr>
        <w:rFonts w:ascii="Wingdings" w:hAnsi="Wingdings" w:hint="default"/>
      </w:rPr>
    </w:lvl>
    <w:lvl w:ilvl="3" w:tplc="04050001" w:tentative="1">
      <w:start w:val="1"/>
      <w:numFmt w:val="bullet"/>
      <w:lvlText w:val=""/>
      <w:lvlJc w:val="left"/>
      <w:pPr>
        <w:ind w:left="5293" w:hanging="360"/>
      </w:pPr>
      <w:rPr>
        <w:rFonts w:ascii="Symbol" w:hAnsi="Symbol" w:hint="default"/>
      </w:rPr>
    </w:lvl>
    <w:lvl w:ilvl="4" w:tplc="04050003" w:tentative="1">
      <w:start w:val="1"/>
      <w:numFmt w:val="bullet"/>
      <w:lvlText w:val="o"/>
      <w:lvlJc w:val="left"/>
      <w:pPr>
        <w:ind w:left="6013" w:hanging="360"/>
      </w:pPr>
      <w:rPr>
        <w:rFonts w:ascii="Courier New" w:hAnsi="Courier New" w:cs="Courier New" w:hint="default"/>
      </w:rPr>
    </w:lvl>
    <w:lvl w:ilvl="5" w:tplc="04050005" w:tentative="1">
      <w:start w:val="1"/>
      <w:numFmt w:val="bullet"/>
      <w:lvlText w:val=""/>
      <w:lvlJc w:val="left"/>
      <w:pPr>
        <w:ind w:left="6733" w:hanging="360"/>
      </w:pPr>
      <w:rPr>
        <w:rFonts w:ascii="Wingdings" w:hAnsi="Wingdings" w:hint="default"/>
      </w:rPr>
    </w:lvl>
    <w:lvl w:ilvl="6" w:tplc="04050001" w:tentative="1">
      <w:start w:val="1"/>
      <w:numFmt w:val="bullet"/>
      <w:lvlText w:val=""/>
      <w:lvlJc w:val="left"/>
      <w:pPr>
        <w:ind w:left="7453" w:hanging="360"/>
      </w:pPr>
      <w:rPr>
        <w:rFonts w:ascii="Symbol" w:hAnsi="Symbol" w:hint="default"/>
      </w:rPr>
    </w:lvl>
    <w:lvl w:ilvl="7" w:tplc="04050003" w:tentative="1">
      <w:start w:val="1"/>
      <w:numFmt w:val="bullet"/>
      <w:lvlText w:val="o"/>
      <w:lvlJc w:val="left"/>
      <w:pPr>
        <w:ind w:left="8173" w:hanging="360"/>
      </w:pPr>
      <w:rPr>
        <w:rFonts w:ascii="Courier New" w:hAnsi="Courier New" w:cs="Courier New" w:hint="default"/>
      </w:rPr>
    </w:lvl>
    <w:lvl w:ilvl="8" w:tplc="04050005" w:tentative="1">
      <w:start w:val="1"/>
      <w:numFmt w:val="bullet"/>
      <w:lvlText w:val=""/>
      <w:lvlJc w:val="left"/>
      <w:pPr>
        <w:ind w:left="8893" w:hanging="360"/>
      </w:pPr>
      <w:rPr>
        <w:rFonts w:ascii="Wingdings" w:hAnsi="Wingdings" w:hint="default"/>
      </w:rPr>
    </w:lvl>
  </w:abstractNum>
  <w:abstractNum w:abstractNumId="18">
    <w:nsid w:val="67D81C19"/>
    <w:multiLevelType w:val="hybridMultilevel"/>
    <w:tmpl w:val="345883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9497580"/>
    <w:multiLevelType w:val="singleLevel"/>
    <w:tmpl w:val="86747D02"/>
    <w:lvl w:ilvl="0">
      <w:start w:val="1"/>
      <w:numFmt w:val="bullet"/>
      <w:lvlText w:val=""/>
      <w:lvlJc w:val="left"/>
      <w:pPr>
        <w:ind w:left="720" w:hanging="360"/>
      </w:pPr>
      <w:rPr>
        <w:rFonts w:ascii="Symbol" w:hAnsi="Symbol" w:hint="default"/>
        <w:sz w:val="20"/>
      </w:rPr>
    </w:lvl>
  </w:abstractNum>
  <w:abstractNum w:abstractNumId="20">
    <w:nsid w:val="6A410DEF"/>
    <w:multiLevelType w:val="hybridMultilevel"/>
    <w:tmpl w:val="944C9E32"/>
    <w:lvl w:ilvl="0" w:tplc="D28A8C10">
      <w:start w:val="1"/>
      <w:numFmt w:val="bullet"/>
      <w:lvlText w:val=""/>
      <w:lvlJc w:val="left"/>
      <w:pPr>
        <w:tabs>
          <w:tab w:val="num" w:pos="720"/>
        </w:tabs>
        <w:ind w:left="720" w:hanging="360"/>
      </w:pPr>
      <w:rPr>
        <w:rFonts w:ascii="Symbol" w:hAnsi="Symbol" w:hint="default"/>
      </w:rPr>
    </w:lvl>
    <w:lvl w:ilvl="1" w:tplc="ADF2C1C2" w:tentative="1">
      <w:start w:val="1"/>
      <w:numFmt w:val="bullet"/>
      <w:lvlText w:val="o"/>
      <w:lvlJc w:val="left"/>
      <w:pPr>
        <w:tabs>
          <w:tab w:val="num" w:pos="1440"/>
        </w:tabs>
        <w:ind w:left="1440" w:hanging="360"/>
      </w:pPr>
      <w:rPr>
        <w:rFonts w:ascii="Courier New" w:hAnsi="Courier New" w:hint="default"/>
      </w:rPr>
    </w:lvl>
    <w:lvl w:ilvl="2" w:tplc="B34A9792" w:tentative="1">
      <w:start w:val="1"/>
      <w:numFmt w:val="bullet"/>
      <w:lvlText w:val=""/>
      <w:lvlJc w:val="left"/>
      <w:pPr>
        <w:tabs>
          <w:tab w:val="num" w:pos="2160"/>
        </w:tabs>
        <w:ind w:left="2160" w:hanging="360"/>
      </w:pPr>
      <w:rPr>
        <w:rFonts w:ascii="Wingdings" w:hAnsi="Wingdings" w:hint="default"/>
      </w:rPr>
    </w:lvl>
    <w:lvl w:ilvl="3" w:tplc="516C02F8" w:tentative="1">
      <w:start w:val="1"/>
      <w:numFmt w:val="bullet"/>
      <w:lvlText w:val=""/>
      <w:lvlJc w:val="left"/>
      <w:pPr>
        <w:tabs>
          <w:tab w:val="num" w:pos="2880"/>
        </w:tabs>
        <w:ind w:left="2880" w:hanging="360"/>
      </w:pPr>
      <w:rPr>
        <w:rFonts w:ascii="Symbol" w:hAnsi="Symbol" w:hint="default"/>
      </w:rPr>
    </w:lvl>
    <w:lvl w:ilvl="4" w:tplc="4C70CD8C" w:tentative="1">
      <w:start w:val="1"/>
      <w:numFmt w:val="bullet"/>
      <w:lvlText w:val="o"/>
      <w:lvlJc w:val="left"/>
      <w:pPr>
        <w:tabs>
          <w:tab w:val="num" w:pos="3600"/>
        </w:tabs>
        <w:ind w:left="3600" w:hanging="360"/>
      </w:pPr>
      <w:rPr>
        <w:rFonts w:ascii="Courier New" w:hAnsi="Courier New" w:hint="default"/>
      </w:rPr>
    </w:lvl>
    <w:lvl w:ilvl="5" w:tplc="2DEAF828" w:tentative="1">
      <w:start w:val="1"/>
      <w:numFmt w:val="bullet"/>
      <w:lvlText w:val=""/>
      <w:lvlJc w:val="left"/>
      <w:pPr>
        <w:tabs>
          <w:tab w:val="num" w:pos="4320"/>
        </w:tabs>
        <w:ind w:left="4320" w:hanging="360"/>
      </w:pPr>
      <w:rPr>
        <w:rFonts w:ascii="Wingdings" w:hAnsi="Wingdings" w:hint="default"/>
      </w:rPr>
    </w:lvl>
    <w:lvl w:ilvl="6" w:tplc="D38AEA08" w:tentative="1">
      <w:start w:val="1"/>
      <w:numFmt w:val="bullet"/>
      <w:lvlText w:val=""/>
      <w:lvlJc w:val="left"/>
      <w:pPr>
        <w:tabs>
          <w:tab w:val="num" w:pos="5040"/>
        </w:tabs>
        <w:ind w:left="5040" w:hanging="360"/>
      </w:pPr>
      <w:rPr>
        <w:rFonts w:ascii="Symbol" w:hAnsi="Symbol" w:hint="default"/>
      </w:rPr>
    </w:lvl>
    <w:lvl w:ilvl="7" w:tplc="F0C0A8AA" w:tentative="1">
      <w:start w:val="1"/>
      <w:numFmt w:val="bullet"/>
      <w:lvlText w:val="o"/>
      <w:lvlJc w:val="left"/>
      <w:pPr>
        <w:tabs>
          <w:tab w:val="num" w:pos="5760"/>
        </w:tabs>
        <w:ind w:left="5760" w:hanging="360"/>
      </w:pPr>
      <w:rPr>
        <w:rFonts w:ascii="Courier New" w:hAnsi="Courier New" w:hint="default"/>
      </w:rPr>
    </w:lvl>
    <w:lvl w:ilvl="8" w:tplc="20ACD670" w:tentative="1">
      <w:start w:val="1"/>
      <w:numFmt w:val="bullet"/>
      <w:lvlText w:val=""/>
      <w:lvlJc w:val="left"/>
      <w:pPr>
        <w:tabs>
          <w:tab w:val="num" w:pos="6480"/>
        </w:tabs>
        <w:ind w:left="6480" w:hanging="360"/>
      </w:pPr>
      <w:rPr>
        <w:rFonts w:ascii="Wingdings" w:hAnsi="Wingdings" w:hint="default"/>
      </w:rPr>
    </w:lvl>
  </w:abstractNum>
  <w:abstractNum w:abstractNumId="21">
    <w:nsid w:val="6C1A7206"/>
    <w:multiLevelType w:val="hybridMultilevel"/>
    <w:tmpl w:val="668466E2"/>
    <w:lvl w:ilvl="0" w:tplc="04050001">
      <w:start w:val="1"/>
      <w:numFmt w:val="bullet"/>
      <w:lvlText w:val=""/>
      <w:lvlJc w:val="left"/>
      <w:pPr>
        <w:tabs>
          <w:tab w:val="num" w:pos="1428"/>
        </w:tabs>
        <w:ind w:left="1428" w:hanging="360"/>
      </w:pPr>
      <w:rPr>
        <w:rFonts w:ascii="Symbol" w:hAnsi="Symbol" w:hint="default"/>
      </w:rPr>
    </w:lvl>
    <w:lvl w:ilvl="1" w:tplc="04050003" w:tentative="1">
      <w:start w:val="1"/>
      <w:numFmt w:val="bullet"/>
      <w:lvlText w:val="o"/>
      <w:lvlJc w:val="left"/>
      <w:pPr>
        <w:tabs>
          <w:tab w:val="num" w:pos="2148"/>
        </w:tabs>
        <w:ind w:left="2148" w:hanging="360"/>
      </w:pPr>
      <w:rPr>
        <w:rFonts w:ascii="Courier New" w:hAnsi="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22">
    <w:nsid w:val="6EB6150A"/>
    <w:multiLevelType w:val="hybridMultilevel"/>
    <w:tmpl w:val="CCD21E1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790B7947"/>
    <w:multiLevelType w:val="hybridMultilevel"/>
    <w:tmpl w:val="D3DA0A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1"/>
  </w:num>
  <w:num w:numId="3">
    <w:abstractNumId w:val="4"/>
  </w:num>
  <w:num w:numId="4">
    <w:abstractNumId w:val="21"/>
  </w:num>
  <w:num w:numId="5">
    <w:abstractNumId w:val="12"/>
  </w:num>
  <w:num w:numId="6">
    <w:abstractNumId w:val="20"/>
  </w:num>
  <w:num w:numId="7">
    <w:abstractNumId w:val="19"/>
  </w:num>
  <w:num w:numId="8">
    <w:abstractNumId w:val="22"/>
  </w:num>
  <w:num w:numId="9">
    <w:abstractNumId w:val="10"/>
  </w:num>
  <w:num w:numId="10">
    <w:abstractNumId w:val="14"/>
  </w:num>
  <w:num w:numId="11">
    <w:abstractNumId w:val="13"/>
  </w:num>
  <w:num w:numId="12">
    <w:abstractNumId w:val="16"/>
  </w:num>
  <w:num w:numId="13">
    <w:abstractNumId w:val="1"/>
  </w:num>
  <w:num w:numId="14">
    <w:abstractNumId w:val="2"/>
  </w:num>
  <w:num w:numId="15">
    <w:abstractNumId w:val="6"/>
  </w:num>
  <w:num w:numId="16">
    <w:abstractNumId w:val="9"/>
  </w:num>
  <w:num w:numId="17">
    <w:abstractNumId w:val="7"/>
  </w:num>
  <w:num w:numId="18">
    <w:abstractNumId w:val="23"/>
  </w:num>
  <w:num w:numId="19">
    <w:abstractNumId w:val="15"/>
  </w:num>
  <w:num w:numId="20">
    <w:abstractNumId w:val="3"/>
  </w:num>
  <w:num w:numId="21">
    <w:abstractNumId w:val="8"/>
  </w:num>
  <w:num w:numId="22">
    <w:abstractNumId w:val="17"/>
  </w:num>
  <w:num w:numId="23">
    <w:abstractNumId w:val="18"/>
  </w:num>
  <w:num w:numId="2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09"/>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40091"/>
    <w:rsid w:val="00000BBB"/>
    <w:rsid w:val="000015DF"/>
    <w:rsid w:val="00003CE8"/>
    <w:rsid w:val="00003ECB"/>
    <w:rsid w:val="00004BAB"/>
    <w:rsid w:val="000050D6"/>
    <w:rsid w:val="0000537C"/>
    <w:rsid w:val="000066E9"/>
    <w:rsid w:val="00007035"/>
    <w:rsid w:val="0001074C"/>
    <w:rsid w:val="00012922"/>
    <w:rsid w:val="00012ECA"/>
    <w:rsid w:val="00016C85"/>
    <w:rsid w:val="00017882"/>
    <w:rsid w:val="000205F9"/>
    <w:rsid w:val="00021CB8"/>
    <w:rsid w:val="000239AC"/>
    <w:rsid w:val="0002580A"/>
    <w:rsid w:val="00025DCF"/>
    <w:rsid w:val="00026677"/>
    <w:rsid w:val="00027AE1"/>
    <w:rsid w:val="000312C9"/>
    <w:rsid w:val="00031BE9"/>
    <w:rsid w:val="00032716"/>
    <w:rsid w:val="000348AD"/>
    <w:rsid w:val="0003670E"/>
    <w:rsid w:val="000370B7"/>
    <w:rsid w:val="00037457"/>
    <w:rsid w:val="00037477"/>
    <w:rsid w:val="000409BD"/>
    <w:rsid w:val="000410D4"/>
    <w:rsid w:val="00041E99"/>
    <w:rsid w:val="000431BA"/>
    <w:rsid w:val="00043C88"/>
    <w:rsid w:val="000440EF"/>
    <w:rsid w:val="000449D0"/>
    <w:rsid w:val="0004501C"/>
    <w:rsid w:val="00045F0E"/>
    <w:rsid w:val="00046CB7"/>
    <w:rsid w:val="000473C4"/>
    <w:rsid w:val="000476B1"/>
    <w:rsid w:val="00050FA7"/>
    <w:rsid w:val="00051CF4"/>
    <w:rsid w:val="00051F0C"/>
    <w:rsid w:val="00052079"/>
    <w:rsid w:val="00052D9E"/>
    <w:rsid w:val="00053051"/>
    <w:rsid w:val="000540F6"/>
    <w:rsid w:val="00054324"/>
    <w:rsid w:val="0005441D"/>
    <w:rsid w:val="000552D0"/>
    <w:rsid w:val="00055F60"/>
    <w:rsid w:val="000573B4"/>
    <w:rsid w:val="00057893"/>
    <w:rsid w:val="000578CF"/>
    <w:rsid w:val="000579A3"/>
    <w:rsid w:val="000615BB"/>
    <w:rsid w:val="000656A9"/>
    <w:rsid w:val="00066331"/>
    <w:rsid w:val="000678C3"/>
    <w:rsid w:val="0007035D"/>
    <w:rsid w:val="000703A1"/>
    <w:rsid w:val="00071866"/>
    <w:rsid w:val="00071934"/>
    <w:rsid w:val="0007293D"/>
    <w:rsid w:val="0007348F"/>
    <w:rsid w:val="000740E0"/>
    <w:rsid w:val="00074A51"/>
    <w:rsid w:val="00076045"/>
    <w:rsid w:val="000777B9"/>
    <w:rsid w:val="00077847"/>
    <w:rsid w:val="00077E31"/>
    <w:rsid w:val="00077EA4"/>
    <w:rsid w:val="00080059"/>
    <w:rsid w:val="00080404"/>
    <w:rsid w:val="000804EC"/>
    <w:rsid w:val="0008092C"/>
    <w:rsid w:val="00080CC8"/>
    <w:rsid w:val="00080CF0"/>
    <w:rsid w:val="00081957"/>
    <w:rsid w:val="00081DD4"/>
    <w:rsid w:val="000823F0"/>
    <w:rsid w:val="000840CE"/>
    <w:rsid w:val="00084C5A"/>
    <w:rsid w:val="00086618"/>
    <w:rsid w:val="00087D6A"/>
    <w:rsid w:val="000907CE"/>
    <w:rsid w:val="00090B79"/>
    <w:rsid w:val="0009116A"/>
    <w:rsid w:val="000917D0"/>
    <w:rsid w:val="00091B7B"/>
    <w:rsid w:val="000927A6"/>
    <w:rsid w:val="00092C12"/>
    <w:rsid w:val="000936C7"/>
    <w:rsid w:val="00094393"/>
    <w:rsid w:val="0009447E"/>
    <w:rsid w:val="00095C1B"/>
    <w:rsid w:val="0009735C"/>
    <w:rsid w:val="000A0996"/>
    <w:rsid w:val="000A293E"/>
    <w:rsid w:val="000A2D8A"/>
    <w:rsid w:val="000A363F"/>
    <w:rsid w:val="000A47D4"/>
    <w:rsid w:val="000A760E"/>
    <w:rsid w:val="000B7196"/>
    <w:rsid w:val="000C125B"/>
    <w:rsid w:val="000C195E"/>
    <w:rsid w:val="000C2DEA"/>
    <w:rsid w:val="000C6501"/>
    <w:rsid w:val="000D03C2"/>
    <w:rsid w:val="000D0479"/>
    <w:rsid w:val="000D0B9E"/>
    <w:rsid w:val="000D0C35"/>
    <w:rsid w:val="000D134E"/>
    <w:rsid w:val="000D2174"/>
    <w:rsid w:val="000D3C00"/>
    <w:rsid w:val="000D576D"/>
    <w:rsid w:val="000D66C1"/>
    <w:rsid w:val="000D7DA1"/>
    <w:rsid w:val="000E1DA5"/>
    <w:rsid w:val="000E37DB"/>
    <w:rsid w:val="000E4BA1"/>
    <w:rsid w:val="000E50D4"/>
    <w:rsid w:val="000E5433"/>
    <w:rsid w:val="000E709F"/>
    <w:rsid w:val="000E72C8"/>
    <w:rsid w:val="000F1E03"/>
    <w:rsid w:val="000F2216"/>
    <w:rsid w:val="000F3952"/>
    <w:rsid w:val="000F3A61"/>
    <w:rsid w:val="000F70D3"/>
    <w:rsid w:val="0010158B"/>
    <w:rsid w:val="00104291"/>
    <w:rsid w:val="00110618"/>
    <w:rsid w:val="00110B58"/>
    <w:rsid w:val="001114C9"/>
    <w:rsid w:val="00113247"/>
    <w:rsid w:val="0011364B"/>
    <w:rsid w:val="00114331"/>
    <w:rsid w:val="001204FF"/>
    <w:rsid w:val="00122C93"/>
    <w:rsid w:val="001250E4"/>
    <w:rsid w:val="00127E7A"/>
    <w:rsid w:val="00130A4E"/>
    <w:rsid w:val="00132E9E"/>
    <w:rsid w:val="0013306D"/>
    <w:rsid w:val="0013684E"/>
    <w:rsid w:val="001372B6"/>
    <w:rsid w:val="00137C39"/>
    <w:rsid w:val="001408B4"/>
    <w:rsid w:val="0014094F"/>
    <w:rsid w:val="00142131"/>
    <w:rsid w:val="001422DA"/>
    <w:rsid w:val="00143846"/>
    <w:rsid w:val="00144EEB"/>
    <w:rsid w:val="00144FCE"/>
    <w:rsid w:val="0014602E"/>
    <w:rsid w:val="001474ED"/>
    <w:rsid w:val="00150815"/>
    <w:rsid w:val="001515B3"/>
    <w:rsid w:val="0015498D"/>
    <w:rsid w:val="001559D8"/>
    <w:rsid w:val="00157023"/>
    <w:rsid w:val="00160305"/>
    <w:rsid w:val="0016154B"/>
    <w:rsid w:val="00161BD2"/>
    <w:rsid w:val="00163176"/>
    <w:rsid w:val="001635C0"/>
    <w:rsid w:val="00163E10"/>
    <w:rsid w:val="00164384"/>
    <w:rsid w:val="00164821"/>
    <w:rsid w:val="00165919"/>
    <w:rsid w:val="0016655D"/>
    <w:rsid w:val="0017007E"/>
    <w:rsid w:val="00170467"/>
    <w:rsid w:val="00170DA9"/>
    <w:rsid w:val="0017486E"/>
    <w:rsid w:val="001812EF"/>
    <w:rsid w:val="00183156"/>
    <w:rsid w:val="001845CA"/>
    <w:rsid w:val="00184C79"/>
    <w:rsid w:val="00185D5A"/>
    <w:rsid w:val="00187611"/>
    <w:rsid w:val="00187BA2"/>
    <w:rsid w:val="00190D12"/>
    <w:rsid w:val="001920A8"/>
    <w:rsid w:val="0019394D"/>
    <w:rsid w:val="0019543C"/>
    <w:rsid w:val="00195A14"/>
    <w:rsid w:val="00195AFC"/>
    <w:rsid w:val="00196407"/>
    <w:rsid w:val="001966AF"/>
    <w:rsid w:val="00197C6D"/>
    <w:rsid w:val="001A06DF"/>
    <w:rsid w:val="001A2079"/>
    <w:rsid w:val="001A276A"/>
    <w:rsid w:val="001A5375"/>
    <w:rsid w:val="001A5B68"/>
    <w:rsid w:val="001A649D"/>
    <w:rsid w:val="001A65A8"/>
    <w:rsid w:val="001A6A90"/>
    <w:rsid w:val="001A7035"/>
    <w:rsid w:val="001A795D"/>
    <w:rsid w:val="001B0653"/>
    <w:rsid w:val="001B2B88"/>
    <w:rsid w:val="001B3C16"/>
    <w:rsid w:val="001B4986"/>
    <w:rsid w:val="001B5835"/>
    <w:rsid w:val="001B6042"/>
    <w:rsid w:val="001B7317"/>
    <w:rsid w:val="001C0589"/>
    <w:rsid w:val="001C2BAB"/>
    <w:rsid w:val="001C4774"/>
    <w:rsid w:val="001C688C"/>
    <w:rsid w:val="001C701B"/>
    <w:rsid w:val="001D0893"/>
    <w:rsid w:val="001D0999"/>
    <w:rsid w:val="001D15F8"/>
    <w:rsid w:val="001D1803"/>
    <w:rsid w:val="001D30E2"/>
    <w:rsid w:val="001D44A2"/>
    <w:rsid w:val="001D56D9"/>
    <w:rsid w:val="001D6093"/>
    <w:rsid w:val="001D703C"/>
    <w:rsid w:val="001D7C4A"/>
    <w:rsid w:val="001E33C3"/>
    <w:rsid w:val="001E35CD"/>
    <w:rsid w:val="001E370B"/>
    <w:rsid w:val="001E3C31"/>
    <w:rsid w:val="001E66C2"/>
    <w:rsid w:val="001E7036"/>
    <w:rsid w:val="001E716F"/>
    <w:rsid w:val="001E74CC"/>
    <w:rsid w:val="001F0483"/>
    <w:rsid w:val="001F226C"/>
    <w:rsid w:val="001F31F8"/>
    <w:rsid w:val="001F4931"/>
    <w:rsid w:val="001F4FCC"/>
    <w:rsid w:val="001F5071"/>
    <w:rsid w:val="001F71DC"/>
    <w:rsid w:val="001F7643"/>
    <w:rsid w:val="001F7ECA"/>
    <w:rsid w:val="00200AAB"/>
    <w:rsid w:val="00200D10"/>
    <w:rsid w:val="00201EAA"/>
    <w:rsid w:val="00201FE2"/>
    <w:rsid w:val="002025F9"/>
    <w:rsid w:val="0020262C"/>
    <w:rsid w:val="00203E2D"/>
    <w:rsid w:val="00204015"/>
    <w:rsid w:val="00205731"/>
    <w:rsid w:val="00205F36"/>
    <w:rsid w:val="00206C49"/>
    <w:rsid w:val="0020729E"/>
    <w:rsid w:val="00210AEF"/>
    <w:rsid w:val="0021491B"/>
    <w:rsid w:val="00216FDC"/>
    <w:rsid w:val="00217763"/>
    <w:rsid w:val="00217A8C"/>
    <w:rsid w:val="0022352E"/>
    <w:rsid w:val="0022554D"/>
    <w:rsid w:val="00225ED6"/>
    <w:rsid w:val="0022749A"/>
    <w:rsid w:val="00227CE1"/>
    <w:rsid w:val="00227D92"/>
    <w:rsid w:val="0023052C"/>
    <w:rsid w:val="002319AC"/>
    <w:rsid w:val="002344C7"/>
    <w:rsid w:val="00234F60"/>
    <w:rsid w:val="0024044B"/>
    <w:rsid w:val="00240658"/>
    <w:rsid w:val="00242843"/>
    <w:rsid w:val="00245F59"/>
    <w:rsid w:val="00246FB0"/>
    <w:rsid w:val="00246FD3"/>
    <w:rsid w:val="0025045F"/>
    <w:rsid w:val="00254B62"/>
    <w:rsid w:val="0025506C"/>
    <w:rsid w:val="00256794"/>
    <w:rsid w:val="00256E14"/>
    <w:rsid w:val="00257A76"/>
    <w:rsid w:val="00261190"/>
    <w:rsid w:val="002624A6"/>
    <w:rsid w:val="00263323"/>
    <w:rsid w:val="00264DCC"/>
    <w:rsid w:val="00264F63"/>
    <w:rsid w:val="0026628D"/>
    <w:rsid w:val="00267181"/>
    <w:rsid w:val="002730A5"/>
    <w:rsid w:val="00274438"/>
    <w:rsid w:val="00274689"/>
    <w:rsid w:val="0027578E"/>
    <w:rsid w:val="002762D7"/>
    <w:rsid w:val="00276646"/>
    <w:rsid w:val="00277EAF"/>
    <w:rsid w:val="00280B88"/>
    <w:rsid w:val="00281136"/>
    <w:rsid w:val="00281715"/>
    <w:rsid w:val="0028458A"/>
    <w:rsid w:val="00285781"/>
    <w:rsid w:val="00287253"/>
    <w:rsid w:val="00287F06"/>
    <w:rsid w:val="00292F6C"/>
    <w:rsid w:val="00294195"/>
    <w:rsid w:val="002943E4"/>
    <w:rsid w:val="00297CE2"/>
    <w:rsid w:val="002A09C0"/>
    <w:rsid w:val="002A0A63"/>
    <w:rsid w:val="002A0E47"/>
    <w:rsid w:val="002A0FBB"/>
    <w:rsid w:val="002A127F"/>
    <w:rsid w:val="002A1868"/>
    <w:rsid w:val="002A1ECA"/>
    <w:rsid w:val="002A3F88"/>
    <w:rsid w:val="002A5C3A"/>
    <w:rsid w:val="002A5D7D"/>
    <w:rsid w:val="002A6754"/>
    <w:rsid w:val="002A711C"/>
    <w:rsid w:val="002A71AF"/>
    <w:rsid w:val="002B04B6"/>
    <w:rsid w:val="002B1B73"/>
    <w:rsid w:val="002B2FBD"/>
    <w:rsid w:val="002B3337"/>
    <w:rsid w:val="002B3343"/>
    <w:rsid w:val="002B3F97"/>
    <w:rsid w:val="002B4559"/>
    <w:rsid w:val="002B4723"/>
    <w:rsid w:val="002C013E"/>
    <w:rsid w:val="002C12AB"/>
    <w:rsid w:val="002C1735"/>
    <w:rsid w:val="002C29BC"/>
    <w:rsid w:val="002C41F0"/>
    <w:rsid w:val="002C4BD7"/>
    <w:rsid w:val="002C55E8"/>
    <w:rsid w:val="002C7809"/>
    <w:rsid w:val="002D1138"/>
    <w:rsid w:val="002D324B"/>
    <w:rsid w:val="002D4376"/>
    <w:rsid w:val="002D4B44"/>
    <w:rsid w:val="002D6FFD"/>
    <w:rsid w:val="002E1C03"/>
    <w:rsid w:val="002E3208"/>
    <w:rsid w:val="002E360F"/>
    <w:rsid w:val="002E365B"/>
    <w:rsid w:val="002E4498"/>
    <w:rsid w:val="002E6981"/>
    <w:rsid w:val="002F0428"/>
    <w:rsid w:val="002F1522"/>
    <w:rsid w:val="002F1CCE"/>
    <w:rsid w:val="002F24DB"/>
    <w:rsid w:val="002F378F"/>
    <w:rsid w:val="00301A0E"/>
    <w:rsid w:val="00301D93"/>
    <w:rsid w:val="00302BF0"/>
    <w:rsid w:val="003054C7"/>
    <w:rsid w:val="0030662E"/>
    <w:rsid w:val="003101A9"/>
    <w:rsid w:val="0031022A"/>
    <w:rsid w:val="00311D08"/>
    <w:rsid w:val="00311F36"/>
    <w:rsid w:val="0031213C"/>
    <w:rsid w:val="00312D9A"/>
    <w:rsid w:val="00312DE8"/>
    <w:rsid w:val="00315FDD"/>
    <w:rsid w:val="00321AE6"/>
    <w:rsid w:val="003226EC"/>
    <w:rsid w:val="00323167"/>
    <w:rsid w:val="003234AD"/>
    <w:rsid w:val="00323EC6"/>
    <w:rsid w:val="00324B7C"/>
    <w:rsid w:val="00326BBA"/>
    <w:rsid w:val="00334A21"/>
    <w:rsid w:val="00335169"/>
    <w:rsid w:val="00335285"/>
    <w:rsid w:val="003360DE"/>
    <w:rsid w:val="00336B77"/>
    <w:rsid w:val="00341588"/>
    <w:rsid w:val="003417EC"/>
    <w:rsid w:val="00342F5C"/>
    <w:rsid w:val="0034366C"/>
    <w:rsid w:val="003440AF"/>
    <w:rsid w:val="0034510E"/>
    <w:rsid w:val="0034553E"/>
    <w:rsid w:val="00345FF3"/>
    <w:rsid w:val="0035054D"/>
    <w:rsid w:val="00351A09"/>
    <w:rsid w:val="00351A10"/>
    <w:rsid w:val="0035266E"/>
    <w:rsid w:val="003526EA"/>
    <w:rsid w:val="00352896"/>
    <w:rsid w:val="0035304D"/>
    <w:rsid w:val="00353D57"/>
    <w:rsid w:val="003548BA"/>
    <w:rsid w:val="00356FF3"/>
    <w:rsid w:val="00363C5B"/>
    <w:rsid w:val="00364F36"/>
    <w:rsid w:val="00365909"/>
    <w:rsid w:val="00365A15"/>
    <w:rsid w:val="003667D4"/>
    <w:rsid w:val="00366E8E"/>
    <w:rsid w:val="00367E23"/>
    <w:rsid w:val="00370A62"/>
    <w:rsid w:val="00370A75"/>
    <w:rsid w:val="00371256"/>
    <w:rsid w:val="00373C19"/>
    <w:rsid w:val="00374D26"/>
    <w:rsid w:val="00375686"/>
    <w:rsid w:val="00375BFC"/>
    <w:rsid w:val="00376087"/>
    <w:rsid w:val="00381D61"/>
    <w:rsid w:val="00382BFA"/>
    <w:rsid w:val="003849BE"/>
    <w:rsid w:val="00385396"/>
    <w:rsid w:val="00387591"/>
    <w:rsid w:val="00392B6B"/>
    <w:rsid w:val="00392E1D"/>
    <w:rsid w:val="003935B7"/>
    <w:rsid w:val="0039455B"/>
    <w:rsid w:val="0039479A"/>
    <w:rsid w:val="003952E2"/>
    <w:rsid w:val="00396892"/>
    <w:rsid w:val="003A0A74"/>
    <w:rsid w:val="003A12C7"/>
    <w:rsid w:val="003A18E9"/>
    <w:rsid w:val="003A2721"/>
    <w:rsid w:val="003A2B5E"/>
    <w:rsid w:val="003A39F0"/>
    <w:rsid w:val="003A6C7E"/>
    <w:rsid w:val="003A6E78"/>
    <w:rsid w:val="003A752F"/>
    <w:rsid w:val="003A7C5D"/>
    <w:rsid w:val="003B225E"/>
    <w:rsid w:val="003B307D"/>
    <w:rsid w:val="003B38F4"/>
    <w:rsid w:val="003B4970"/>
    <w:rsid w:val="003B4B7F"/>
    <w:rsid w:val="003B57F4"/>
    <w:rsid w:val="003B6358"/>
    <w:rsid w:val="003B6AF1"/>
    <w:rsid w:val="003C0392"/>
    <w:rsid w:val="003C1038"/>
    <w:rsid w:val="003C3330"/>
    <w:rsid w:val="003C542E"/>
    <w:rsid w:val="003C5619"/>
    <w:rsid w:val="003D3853"/>
    <w:rsid w:val="003D45E3"/>
    <w:rsid w:val="003D5FF7"/>
    <w:rsid w:val="003D6289"/>
    <w:rsid w:val="003D6F3E"/>
    <w:rsid w:val="003E2A75"/>
    <w:rsid w:val="003E39D4"/>
    <w:rsid w:val="003E4563"/>
    <w:rsid w:val="003E483C"/>
    <w:rsid w:val="003E70A5"/>
    <w:rsid w:val="003F0FB1"/>
    <w:rsid w:val="003F16EB"/>
    <w:rsid w:val="003F1BC7"/>
    <w:rsid w:val="003F45DC"/>
    <w:rsid w:val="003F7017"/>
    <w:rsid w:val="00400598"/>
    <w:rsid w:val="004006ED"/>
    <w:rsid w:val="00401E1D"/>
    <w:rsid w:val="004027E6"/>
    <w:rsid w:val="004061CE"/>
    <w:rsid w:val="00406689"/>
    <w:rsid w:val="004066E5"/>
    <w:rsid w:val="00410549"/>
    <w:rsid w:val="00416720"/>
    <w:rsid w:val="00417BC1"/>
    <w:rsid w:val="0042061A"/>
    <w:rsid w:val="00420DD2"/>
    <w:rsid w:val="004210BC"/>
    <w:rsid w:val="004213FB"/>
    <w:rsid w:val="0042186A"/>
    <w:rsid w:val="00421A8B"/>
    <w:rsid w:val="00423232"/>
    <w:rsid w:val="004238FC"/>
    <w:rsid w:val="00424763"/>
    <w:rsid w:val="00425B7E"/>
    <w:rsid w:val="00426A79"/>
    <w:rsid w:val="00426F0E"/>
    <w:rsid w:val="004309F6"/>
    <w:rsid w:val="004313E3"/>
    <w:rsid w:val="00434995"/>
    <w:rsid w:val="00435EDA"/>
    <w:rsid w:val="00436461"/>
    <w:rsid w:val="0043725E"/>
    <w:rsid w:val="00437EE0"/>
    <w:rsid w:val="004428D6"/>
    <w:rsid w:val="004432CF"/>
    <w:rsid w:val="00443DEC"/>
    <w:rsid w:val="00444764"/>
    <w:rsid w:val="00446FAD"/>
    <w:rsid w:val="0045064F"/>
    <w:rsid w:val="00451C69"/>
    <w:rsid w:val="00452C1D"/>
    <w:rsid w:val="004532B9"/>
    <w:rsid w:val="00455945"/>
    <w:rsid w:val="004602B6"/>
    <w:rsid w:val="00460475"/>
    <w:rsid w:val="00461726"/>
    <w:rsid w:val="004654A3"/>
    <w:rsid w:val="004665A8"/>
    <w:rsid w:val="00467388"/>
    <w:rsid w:val="00470A8E"/>
    <w:rsid w:val="00475B9A"/>
    <w:rsid w:val="00476423"/>
    <w:rsid w:val="00477C0E"/>
    <w:rsid w:val="0048025C"/>
    <w:rsid w:val="004806F6"/>
    <w:rsid w:val="00480FCE"/>
    <w:rsid w:val="004814F1"/>
    <w:rsid w:val="004818C5"/>
    <w:rsid w:val="00481B5A"/>
    <w:rsid w:val="00482068"/>
    <w:rsid w:val="00483046"/>
    <w:rsid w:val="00485B40"/>
    <w:rsid w:val="00487384"/>
    <w:rsid w:val="00491239"/>
    <w:rsid w:val="00493E53"/>
    <w:rsid w:val="004954A0"/>
    <w:rsid w:val="00496414"/>
    <w:rsid w:val="004969C5"/>
    <w:rsid w:val="00497508"/>
    <w:rsid w:val="004A0437"/>
    <w:rsid w:val="004A250D"/>
    <w:rsid w:val="004A405B"/>
    <w:rsid w:val="004A428A"/>
    <w:rsid w:val="004A4420"/>
    <w:rsid w:val="004A4AC4"/>
    <w:rsid w:val="004A4D60"/>
    <w:rsid w:val="004A5819"/>
    <w:rsid w:val="004A6236"/>
    <w:rsid w:val="004A67B7"/>
    <w:rsid w:val="004A693A"/>
    <w:rsid w:val="004A7E25"/>
    <w:rsid w:val="004A7E29"/>
    <w:rsid w:val="004B1A14"/>
    <w:rsid w:val="004B2C87"/>
    <w:rsid w:val="004B2E35"/>
    <w:rsid w:val="004B3294"/>
    <w:rsid w:val="004B3FCB"/>
    <w:rsid w:val="004B5851"/>
    <w:rsid w:val="004B6FCA"/>
    <w:rsid w:val="004B75B4"/>
    <w:rsid w:val="004B7899"/>
    <w:rsid w:val="004B7C8D"/>
    <w:rsid w:val="004C295A"/>
    <w:rsid w:val="004C56CB"/>
    <w:rsid w:val="004C7394"/>
    <w:rsid w:val="004C7F50"/>
    <w:rsid w:val="004D1061"/>
    <w:rsid w:val="004D10EA"/>
    <w:rsid w:val="004D3458"/>
    <w:rsid w:val="004D3ABE"/>
    <w:rsid w:val="004D3C6E"/>
    <w:rsid w:val="004D4266"/>
    <w:rsid w:val="004D7341"/>
    <w:rsid w:val="004D77FF"/>
    <w:rsid w:val="004D7AF7"/>
    <w:rsid w:val="004D7D49"/>
    <w:rsid w:val="004E1A81"/>
    <w:rsid w:val="004E2149"/>
    <w:rsid w:val="004E2530"/>
    <w:rsid w:val="004E2AD0"/>
    <w:rsid w:val="004E2D35"/>
    <w:rsid w:val="004E475E"/>
    <w:rsid w:val="004E479B"/>
    <w:rsid w:val="004E4C8B"/>
    <w:rsid w:val="004E52C3"/>
    <w:rsid w:val="004E60ED"/>
    <w:rsid w:val="004E71E9"/>
    <w:rsid w:val="004E7228"/>
    <w:rsid w:val="004E7F0F"/>
    <w:rsid w:val="004F019E"/>
    <w:rsid w:val="004F0330"/>
    <w:rsid w:val="004F0CEC"/>
    <w:rsid w:val="004F1B23"/>
    <w:rsid w:val="004F1BA0"/>
    <w:rsid w:val="004F208A"/>
    <w:rsid w:val="004F47AF"/>
    <w:rsid w:val="004F5E7E"/>
    <w:rsid w:val="004F6815"/>
    <w:rsid w:val="004F7251"/>
    <w:rsid w:val="00501893"/>
    <w:rsid w:val="00501E21"/>
    <w:rsid w:val="00503774"/>
    <w:rsid w:val="00504A30"/>
    <w:rsid w:val="0050696D"/>
    <w:rsid w:val="00510247"/>
    <w:rsid w:val="005114F7"/>
    <w:rsid w:val="005122B1"/>
    <w:rsid w:val="00512E75"/>
    <w:rsid w:val="00513022"/>
    <w:rsid w:val="005156A5"/>
    <w:rsid w:val="00520C12"/>
    <w:rsid w:val="005212E1"/>
    <w:rsid w:val="00521580"/>
    <w:rsid w:val="00521A7A"/>
    <w:rsid w:val="00523417"/>
    <w:rsid w:val="00523721"/>
    <w:rsid w:val="0052438E"/>
    <w:rsid w:val="0052449E"/>
    <w:rsid w:val="00524DB2"/>
    <w:rsid w:val="00526AF4"/>
    <w:rsid w:val="00527871"/>
    <w:rsid w:val="00527E45"/>
    <w:rsid w:val="00532058"/>
    <w:rsid w:val="00533915"/>
    <w:rsid w:val="00533A41"/>
    <w:rsid w:val="00534270"/>
    <w:rsid w:val="005346A2"/>
    <w:rsid w:val="005346D2"/>
    <w:rsid w:val="0053523D"/>
    <w:rsid w:val="00535C45"/>
    <w:rsid w:val="00540666"/>
    <w:rsid w:val="005429CC"/>
    <w:rsid w:val="00543635"/>
    <w:rsid w:val="0054367A"/>
    <w:rsid w:val="00544B94"/>
    <w:rsid w:val="00546D01"/>
    <w:rsid w:val="00551206"/>
    <w:rsid w:val="00552321"/>
    <w:rsid w:val="00552791"/>
    <w:rsid w:val="00553DB2"/>
    <w:rsid w:val="00554420"/>
    <w:rsid w:val="00556C86"/>
    <w:rsid w:val="00556D96"/>
    <w:rsid w:val="005603B9"/>
    <w:rsid w:val="005620AE"/>
    <w:rsid w:val="00562753"/>
    <w:rsid w:val="00564500"/>
    <w:rsid w:val="00564B9B"/>
    <w:rsid w:val="00570938"/>
    <w:rsid w:val="00571168"/>
    <w:rsid w:val="0057156E"/>
    <w:rsid w:val="0057161A"/>
    <w:rsid w:val="0057225C"/>
    <w:rsid w:val="00572363"/>
    <w:rsid w:val="0057283D"/>
    <w:rsid w:val="00573FE4"/>
    <w:rsid w:val="00575FA0"/>
    <w:rsid w:val="00582C42"/>
    <w:rsid w:val="00583A84"/>
    <w:rsid w:val="00584C8D"/>
    <w:rsid w:val="00584EA1"/>
    <w:rsid w:val="00586AB2"/>
    <w:rsid w:val="00587069"/>
    <w:rsid w:val="0059063E"/>
    <w:rsid w:val="0059278F"/>
    <w:rsid w:val="00592C21"/>
    <w:rsid w:val="005977F9"/>
    <w:rsid w:val="005A0388"/>
    <w:rsid w:val="005A149A"/>
    <w:rsid w:val="005A159F"/>
    <w:rsid w:val="005A184C"/>
    <w:rsid w:val="005A216D"/>
    <w:rsid w:val="005A2CDD"/>
    <w:rsid w:val="005A311F"/>
    <w:rsid w:val="005A405E"/>
    <w:rsid w:val="005A4260"/>
    <w:rsid w:val="005A6365"/>
    <w:rsid w:val="005B0CDF"/>
    <w:rsid w:val="005B2957"/>
    <w:rsid w:val="005B42AB"/>
    <w:rsid w:val="005B4B3E"/>
    <w:rsid w:val="005B672E"/>
    <w:rsid w:val="005C05B5"/>
    <w:rsid w:val="005C0D6B"/>
    <w:rsid w:val="005C1AFB"/>
    <w:rsid w:val="005C2AC1"/>
    <w:rsid w:val="005C2E19"/>
    <w:rsid w:val="005C420A"/>
    <w:rsid w:val="005C4315"/>
    <w:rsid w:val="005C4B8F"/>
    <w:rsid w:val="005C6658"/>
    <w:rsid w:val="005C6B22"/>
    <w:rsid w:val="005C7EFB"/>
    <w:rsid w:val="005D18CA"/>
    <w:rsid w:val="005D19D3"/>
    <w:rsid w:val="005D2286"/>
    <w:rsid w:val="005D23E4"/>
    <w:rsid w:val="005D27CB"/>
    <w:rsid w:val="005D3188"/>
    <w:rsid w:val="005D56DE"/>
    <w:rsid w:val="005D5986"/>
    <w:rsid w:val="005D6B15"/>
    <w:rsid w:val="005D7040"/>
    <w:rsid w:val="005D710D"/>
    <w:rsid w:val="005E3746"/>
    <w:rsid w:val="005E3EE6"/>
    <w:rsid w:val="005E402B"/>
    <w:rsid w:val="005E41A6"/>
    <w:rsid w:val="005E71DE"/>
    <w:rsid w:val="005F1450"/>
    <w:rsid w:val="005F392A"/>
    <w:rsid w:val="0060107F"/>
    <w:rsid w:val="006010C9"/>
    <w:rsid w:val="006013C6"/>
    <w:rsid w:val="00602A9C"/>
    <w:rsid w:val="00602D8C"/>
    <w:rsid w:val="00604115"/>
    <w:rsid w:val="0060417B"/>
    <w:rsid w:val="00604AC5"/>
    <w:rsid w:val="0060552A"/>
    <w:rsid w:val="00605C58"/>
    <w:rsid w:val="00605E1F"/>
    <w:rsid w:val="00610278"/>
    <w:rsid w:val="0061048C"/>
    <w:rsid w:val="00610B0E"/>
    <w:rsid w:val="00611FB7"/>
    <w:rsid w:val="006120DF"/>
    <w:rsid w:val="0061332D"/>
    <w:rsid w:val="00614505"/>
    <w:rsid w:val="00615196"/>
    <w:rsid w:val="00615FEB"/>
    <w:rsid w:val="00621417"/>
    <w:rsid w:val="00621425"/>
    <w:rsid w:val="006228B5"/>
    <w:rsid w:val="00622BA4"/>
    <w:rsid w:val="00623DC8"/>
    <w:rsid w:val="00623F94"/>
    <w:rsid w:val="006249C4"/>
    <w:rsid w:val="00624FC1"/>
    <w:rsid w:val="006254A9"/>
    <w:rsid w:val="00625F26"/>
    <w:rsid w:val="0062601D"/>
    <w:rsid w:val="00626F73"/>
    <w:rsid w:val="00627DEF"/>
    <w:rsid w:val="00631E22"/>
    <w:rsid w:val="00633FA2"/>
    <w:rsid w:val="006344F1"/>
    <w:rsid w:val="0063503E"/>
    <w:rsid w:val="00635BE3"/>
    <w:rsid w:val="0063693E"/>
    <w:rsid w:val="00637C40"/>
    <w:rsid w:val="00640091"/>
    <w:rsid w:val="0064051F"/>
    <w:rsid w:val="00641C04"/>
    <w:rsid w:val="00643F6B"/>
    <w:rsid w:val="006447A6"/>
    <w:rsid w:val="006508B5"/>
    <w:rsid w:val="006508F8"/>
    <w:rsid w:val="00650E50"/>
    <w:rsid w:val="006526BA"/>
    <w:rsid w:val="00652E69"/>
    <w:rsid w:val="006548AD"/>
    <w:rsid w:val="00655C71"/>
    <w:rsid w:val="00657CA2"/>
    <w:rsid w:val="00661546"/>
    <w:rsid w:val="006615C4"/>
    <w:rsid w:val="00661887"/>
    <w:rsid w:val="00665359"/>
    <w:rsid w:val="00665A7A"/>
    <w:rsid w:val="00667D68"/>
    <w:rsid w:val="00670034"/>
    <w:rsid w:val="00670643"/>
    <w:rsid w:val="00672548"/>
    <w:rsid w:val="0067275D"/>
    <w:rsid w:val="006727F9"/>
    <w:rsid w:val="00672F46"/>
    <w:rsid w:val="00674300"/>
    <w:rsid w:val="00674FE8"/>
    <w:rsid w:val="00682B48"/>
    <w:rsid w:val="00682F4B"/>
    <w:rsid w:val="006830E1"/>
    <w:rsid w:val="00683149"/>
    <w:rsid w:val="00683908"/>
    <w:rsid w:val="00683B3E"/>
    <w:rsid w:val="00683FFE"/>
    <w:rsid w:val="006862A2"/>
    <w:rsid w:val="006868D3"/>
    <w:rsid w:val="0068708C"/>
    <w:rsid w:val="006914A6"/>
    <w:rsid w:val="00691DEE"/>
    <w:rsid w:val="0069272F"/>
    <w:rsid w:val="00692B31"/>
    <w:rsid w:val="0069338F"/>
    <w:rsid w:val="00693B22"/>
    <w:rsid w:val="00696C13"/>
    <w:rsid w:val="00696E64"/>
    <w:rsid w:val="0069798B"/>
    <w:rsid w:val="006A039E"/>
    <w:rsid w:val="006A065C"/>
    <w:rsid w:val="006A0A7F"/>
    <w:rsid w:val="006A21A3"/>
    <w:rsid w:val="006A263E"/>
    <w:rsid w:val="006A358E"/>
    <w:rsid w:val="006A450A"/>
    <w:rsid w:val="006A66A6"/>
    <w:rsid w:val="006B1E55"/>
    <w:rsid w:val="006B2C1A"/>
    <w:rsid w:val="006B3E8F"/>
    <w:rsid w:val="006B4DBA"/>
    <w:rsid w:val="006B5420"/>
    <w:rsid w:val="006B5A1A"/>
    <w:rsid w:val="006B5DAE"/>
    <w:rsid w:val="006B6A92"/>
    <w:rsid w:val="006B6D97"/>
    <w:rsid w:val="006B7600"/>
    <w:rsid w:val="006B79E6"/>
    <w:rsid w:val="006C16CC"/>
    <w:rsid w:val="006C1A15"/>
    <w:rsid w:val="006C1B1E"/>
    <w:rsid w:val="006C4201"/>
    <w:rsid w:val="006C4D3C"/>
    <w:rsid w:val="006C554F"/>
    <w:rsid w:val="006C55C7"/>
    <w:rsid w:val="006C5A8F"/>
    <w:rsid w:val="006C69DB"/>
    <w:rsid w:val="006C766F"/>
    <w:rsid w:val="006C773D"/>
    <w:rsid w:val="006C7897"/>
    <w:rsid w:val="006C7A72"/>
    <w:rsid w:val="006D001C"/>
    <w:rsid w:val="006D2308"/>
    <w:rsid w:val="006D3A73"/>
    <w:rsid w:val="006D4B68"/>
    <w:rsid w:val="006D51FA"/>
    <w:rsid w:val="006D5435"/>
    <w:rsid w:val="006E00B2"/>
    <w:rsid w:val="006E1781"/>
    <w:rsid w:val="006E35BF"/>
    <w:rsid w:val="006E47A6"/>
    <w:rsid w:val="006E569B"/>
    <w:rsid w:val="006E5F2F"/>
    <w:rsid w:val="006E6528"/>
    <w:rsid w:val="006E7180"/>
    <w:rsid w:val="006E7518"/>
    <w:rsid w:val="006F1FB7"/>
    <w:rsid w:val="006F5053"/>
    <w:rsid w:val="006F7369"/>
    <w:rsid w:val="0070029D"/>
    <w:rsid w:val="0070049C"/>
    <w:rsid w:val="00700F22"/>
    <w:rsid w:val="00703EA1"/>
    <w:rsid w:val="0070579F"/>
    <w:rsid w:val="0070593D"/>
    <w:rsid w:val="00705A0A"/>
    <w:rsid w:val="0070608A"/>
    <w:rsid w:val="00707B9B"/>
    <w:rsid w:val="007106B8"/>
    <w:rsid w:val="00711F9D"/>
    <w:rsid w:val="007138CE"/>
    <w:rsid w:val="00713D1B"/>
    <w:rsid w:val="00714042"/>
    <w:rsid w:val="00716271"/>
    <w:rsid w:val="00716D75"/>
    <w:rsid w:val="00717C56"/>
    <w:rsid w:val="007207BB"/>
    <w:rsid w:val="00720877"/>
    <w:rsid w:val="0072285E"/>
    <w:rsid w:val="0072468A"/>
    <w:rsid w:val="007254C4"/>
    <w:rsid w:val="007259DA"/>
    <w:rsid w:val="00726181"/>
    <w:rsid w:val="007302B3"/>
    <w:rsid w:val="00730BD2"/>
    <w:rsid w:val="00731280"/>
    <w:rsid w:val="0073200A"/>
    <w:rsid w:val="0073381F"/>
    <w:rsid w:val="00733DCF"/>
    <w:rsid w:val="00733E25"/>
    <w:rsid w:val="007346F9"/>
    <w:rsid w:val="007348D4"/>
    <w:rsid w:val="007352AD"/>
    <w:rsid w:val="00737F7C"/>
    <w:rsid w:val="00740681"/>
    <w:rsid w:val="007406EF"/>
    <w:rsid w:val="00745D54"/>
    <w:rsid w:val="00746648"/>
    <w:rsid w:val="00746F70"/>
    <w:rsid w:val="00746FE7"/>
    <w:rsid w:val="0075034B"/>
    <w:rsid w:val="00750F4E"/>
    <w:rsid w:val="007513EB"/>
    <w:rsid w:val="0075164B"/>
    <w:rsid w:val="00751902"/>
    <w:rsid w:val="00752081"/>
    <w:rsid w:val="00754C6E"/>
    <w:rsid w:val="00760E76"/>
    <w:rsid w:val="00761AE3"/>
    <w:rsid w:val="0076230F"/>
    <w:rsid w:val="007629FA"/>
    <w:rsid w:val="00762AC7"/>
    <w:rsid w:val="00765987"/>
    <w:rsid w:val="00767612"/>
    <w:rsid w:val="007720FD"/>
    <w:rsid w:val="00775106"/>
    <w:rsid w:val="0077685B"/>
    <w:rsid w:val="00777173"/>
    <w:rsid w:val="0077765B"/>
    <w:rsid w:val="00781737"/>
    <w:rsid w:val="00784932"/>
    <w:rsid w:val="007856AC"/>
    <w:rsid w:val="00785D66"/>
    <w:rsid w:val="0078640E"/>
    <w:rsid w:val="00790E19"/>
    <w:rsid w:val="00791797"/>
    <w:rsid w:val="0079226D"/>
    <w:rsid w:val="007924D3"/>
    <w:rsid w:val="00793310"/>
    <w:rsid w:val="007934BE"/>
    <w:rsid w:val="0079372E"/>
    <w:rsid w:val="0079382E"/>
    <w:rsid w:val="00793B53"/>
    <w:rsid w:val="00796037"/>
    <w:rsid w:val="007969F9"/>
    <w:rsid w:val="007A0636"/>
    <w:rsid w:val="007A1511"/>
    <w:rsid w:val="007A280C"/>
    <w:rsid w:val="007A444F"/>
    <w:rsid w:val="007A4D8A"/>
    <w:rsid w:val="007A539E"/>
    <w:rsid w:val="007B03D5"/>
    <w:rsid w:val="007B1DD7"/>
    <w:rsid w:val="007B351D"/>
    <w:rsid w:val="007B3521"/>
    <w:rsid w:val="007B4309"/>
    <w:rsid w:val="007B4703"/>
    <w:rsid w:val="007B4FA5"/>
    <w:rsid w:val="007B4FE3"/>
    <w:rsid w:val="007B569B"/>
    <w:rsid w:val="007B7FA2"/>
    <w:rsid w:val="007C0165"/>
    <w:rsid w:val="007C133E"/>
    <w:rsid w:val="007C14C6"/>
    <w:rsid w:val="007C46BF"/>
    <w:rsid w:val="007C4F64"/>
    <w:rsid w:val="007C52C7"/>
    <w:rsid w:val="007C61A6"/>
    <w:rsid w:val="007D4330"/>
    <w:rsid w:val="007D4521"/>
    <w:rsid w:val="007D4BBB"/>
    <w:rsid w:val="007D5161"/>
    <w:rsid w:val="007E06FB"/>
    <w:rsid w:val="007E1368"/>
    <w:rsid w:val="007E1397"/>
    <w:rsid w:val="007E3877"/>
    <w:rsid w:val="007E3D92"/>
    <w:rsid w:val="007E4103"/>
    <w:rsid w:val="007E5862"/>
    <w:rsid w:val="007E651D"/>
    <w:rsid w:val="007E6A3E"/>
    <w:rsid w:val="007E6E10"/>
    <w:rsid w:val="007F0A74"/>
    <w:rsid w:val="007F11D5"/>
    <w:rsid w:val="007F1227"/>
    <w:rsid w:val="007F1F0C"/>
    <w:rsid w:val="007F1FDD"/>
    <w:rsid w:val="007F20E5"/>
    <w:rsid w:val="007F35AA"/>
    <w:rsid w:val="007F372E"/>
    <w:rsid w:val="007F3B55"/>
    <w:rsid w:val="007F480B"/>
    <w:rsid w:val="007F4FC8"/>
    <w:rsid w:val="007F520D"/>
    <w:rsid w:val="007F55B6"/>
    <w:rsid w:val="007F76F4"/>
    <w:rsid w:val="00800BBE"/>
    <w:rsid w:val="00800F5F"/>
    <w:rsid w:val="008017C5"/>
    <w:rsid w:val="0080212A"/>
    <w:rsid w:val="00802BA9"/>
    <w:rsid w:val="008039C2"/>
    <w:rsid w:val="008042BE"/>
    <w:rsid w:val="00804334"/>
    <w:rsid w:val="00804701"/>
    <w:rsid w:val="00805111"/>
    <w:rsid w:val="00805B6E"/>
    <w:rsid w:val="0080686B"/>
    <w:rsid w:val="008106E0"/>
    <w:rsid w:val="008108D1"/>
    <w:rsid w:val="00810FA4"/>
    <w:rsid w:val="008119D1"/>
    <w:rsid w:val="00811E9A"/>
    <w:rsid w:val="00812017"/>
    <w:rsid w:val="00812358"/>
    <w:rsid w:val="00813A44"/>
    <w:rsid w:val="00814591"/>
    <w:rsid w:val="00817858"/>
    <w:rsid w:val="00820F5C"/>
    <w:rsid w:val="008224BD"/>
    <w:rsid w:val="00822BDF"/>
    <w:rsid w:val="00822C2B"/>
    <w:rsid w:val="00823FEB"/>
    <w:rsid w:val="0082429B"/>
    <w:rsid w:val="008243A9"/>
    <w:rsid w:val="00824641"/>
    <w:rsid w:val="00825E43"/>
    <w:rsid w:val="00826792"/>
    <w:rsid w:val="008279CD"/>
    <w:rsid w:val="00827B6C"/>
    <w:rsid w:val="008342E9"/>
    <w:rsid w:val="008344D6"/>
    <w:rsid w:val="00835CAC"/>
    <w:rsid w:val="008365FA"/>
    <w:rsid w:val="00836D13"/>
    <w:rsid w:val="00837360"/>
    <w:rsid w:val="008423DC"/>
    <w:rsid w:val="0084476D"/>
    <w:rsid w:val="00845C1B"/>
    <w:rsid w:val="00846756"/>
    <w:rsid w:val="00847210"/>
    <w:rsid w:val="00852289"/>
    <w:rsid w:val="00852BEC"/>
    <w:rsid w:val="0085405F"/>
    <w:rsid w:val="008554E0"/>
    <w:rsid w:val="008557BF"/>
    <w:rsid w:val="0085612E"/>
    <w:rsid w:val="00860AD1"/>
    <w:rsid w:val="00861151"/>
    <w:rsid w:val="008614CE"/>
    <w:rsid w:val="00862EAD"/>
    <w:rsid w:val="00863123"/>
    <w:rsid w:val="008631A0"/>
    <w:rsid w:val="00863E74"/>
    <w:rsid w:val="008674FC"/>
    <w:rsid w:val="008707A8"/>
    <w:rsid w:val="008710AA"/>
    <w:rsid w:val="00871C9E"/>
    <w:rsid w:val="00875509"/>
    <w:rsid w:val="008755FC"/>
    <w:rsid w:val="00877012"/>
    <w:rsid w:val="00877DD0"/>
    <w:rsid w:val="00880150"/>
    <w:rsid w:val="00880200"/>
    <w:rsid w:val="00881DD8"/>
    <w:rsid w:val="00881E5C"/>
    <w:rsid w:val="00883700"/>
    <w:rsid w:val="008838D9"/>
    <w:rsid w:val="00883D43"/>
    <w:rsid w:val="00884429"/>
    <w:rsid w:val="00885E35"/>
    <w:rsid w:val="00886AB4"/>
    <w:rsid w:val="00886EB5"/>
    <w:rsid w:val="00887032"/>
    <w:rsid w:val="00887A13"/>
    <w:rsid w:val="00890094"/>
    <w:rsid w:val="008900A9"/>
    <w:rsid w:val="00891846"/>
    <w:rsid w:val="00891998"/>
    <w:rsid w:val="0089381A"/>
    <w:rsid w:val="0089420D"/>
    <w:rsid w:val="00896A16"/>
    <w:rsid w:val="00897034"/>
    <w:rsid w:val="008A0B51"/>
    <w:rsid w:val="008A251F"/>
    <w:rsid w:val="008A3D79"/>
    <w:rsid w:val="008A472C"/>
    <w:rsid w:val="008A6A1D"/>
    <w:rsid w:val="008A76B8"/>
    <w:rsid w:val="008B07E3"/>
    <w:rsid w:val="008B1734"/>
    <w:rsid w:val="008B182D"/>
    <w:rsid w:val="008B1AD1"/>
    <w:rsid w:val="008B222A"/>
    <w:rsid w:val="008B32B4"/>
    <w:rsid w:val="008B5474"/>
    <w:rsid w:val="008B54BA"/>
    <w:rsid w:val="008B7250"/>
    <w:rsid w:val="008B7505"/>
    <w:rsid w:val="008C10E6"/>
    <w:rsid w:val="008C3FEF"/>
    <w:rsid w:val="008C6C69"/>
    <w:rsid w:val="008C77AD"/>
    <w:rsid w:val="008C788E"/>
    <w:rsid w:val="008D01EE"/>
    <w:rsid w:val="008D1D10"/>
    <w:rsid w:val="008D2B01"/>
    <w:rsid w:val="008D3D50"/>
    <w:rsid w:val="008D4000"/>
    <w:rsid w:val="008D5E9E"/>
    <w:rsid w:val="008D60E3"/>
    <w:rsid w:val="008D7AA6"/>
    <w:rsid w:val="008E1DBC"/>
    <w:rsid w:val="008E2518"/>
    <w:rsid w:val="008E37C3"/>
    <w:rsid w:val="008E7352"/>
    <w:rsid w:val="008E78AA"/>
    <w:rsid w:val="008F057F"/>
    <w:rsid w:val="008F08C4"/>
    <w:rsid w:val="008F1063"/>
    <w:rsid w:val="008F109C"/>
    <w:rsid w:val="008F4880"/>
    <w:rsid w:val="008F54B8"/>
    <w:rsid w:val="008F6435"/>
    <w:rsid w:val="008F6C63"/>
    <w:rsid w:val="008F7FD6"/>
    <w:rsid w:val="0090213B"/>
    <w:rsid w:val="00905B43"/>
    <w:rsid w:val="00905E18"/>
    <w:rsid w:val="00907A93"/>
    <w:rsid w:val="00907EA9"/>
    <w:rsid w:val="009100B5"/>
    <w:rsid w:val="009102D4"/>
    <w:rsid w:val="00911D51"/>
    <w:rsid w:val="00914F6C"/>
    <w:rsid w:val="00916EE0"/>
    <w:rsid w:val="0091709B"/>
    <w:rsid w:val="009171F1"/>
    <w:rsid w:val="009177D9"/>
    <w:rsid w:val="00917844"/>
    <w:rsid w:val="00917F8D"/>
    <w:rsid w:val="00917F95"/>
    <w:rsid w:val="00920688"/>
    <w:rsid w:val="00921ADC"/>
    <w:rsid w:val="00921E28"/>
    <w:rsid w:val="0092364B"/>
    <w:rsid w:val="0092490D"/>
    <w:rsid w:val="00924E54"/>
    <w:rsid w:val="0092508E"/>
    <w:rsid w:val="009263BE"/>
    <w:rsid w:val="00926A7B"/>
    <w:rsid w:val="00926A8A"/>
    <w:rsid w:val="00931151"/>
    <w:rsid w:val="00931D02"/>
    <w:rsid w:val="00933A7E"/>
    <w:rsid w:val="00934E46"/>
    <w:rsid w:val="0093523C"/>
    <w:rsid w:val="0093544D"/>
    <w:rsid w:val="0093587E"/>
    <w:rsid w:val="00935E13"/>
    <w:rsid w:val="00936571"/>
    <w:rsid w:val="00937D70"/>
    <w:rsid w:val="009405E3"/>
    <w:rsid w:val="0094083A"/>
    <w:rsid w:val="00940D8C"/>
    <w:rsid w:val="00941CFE"/>
    <w:rsid w:val="00942FA1"/>
    <w:rsid w:val="009439AA"/>
    <w:rsid w:val="00944855"/>
    <w:rsid w:val="00947974"/>
    <w:rsid w:val="00951947"/>
    <w:rsid w:val="00951E0E"/>
    <w:rsid w:val="00955B8E"/>
    <w:rsid w:val="0095676D"/>
    <w:rsid w:val="00956933"/>
    <w:rsid w:val="00956F93"/>
    <w:rsid w:val="00960BF6"/>
    <w:rsid w:val="009633B2"/>
    <w:rsid w:val="00963C80"/>
    <w:rsid w:val="009653F1"/>
    <w:rsid w:val="00965B76"/>
    <w:rsid w:val="0096630E"/>
    <w:rsid w:val="0096689D"/>
    <w:rsid w:val="00967698"/>
    <w:rsid w:val="00970287"/>
    <w:rsid w:val="009706AD"/>
    <w:rsid w:val="00971C36"/>
    <w:rsid w:val="0097385B"/>
    <w:rsid w:val="009739B4"/>
    <w:rsid w:val="00973CEB"/>
    <w:rsid w:val="00974DB0"/>
    <w:rsid w:val="00974F76"/>
    <w:rsid w:val="00975959"/>
    <w:rsid w:val="00975C05"/>
    <w:rsid w:val="00976AE3"/>
    <w:rsid w:val="00982DA1"/>
    <w:rsid w:val="009869B6"/>
    <w:rsid w:val="00990354"/>
    <w:rsid w:val="009906F1"/>
    <w:rsid w:val="009908C5"/>
    <w:rsid w:val="00992384"/>
    <w:rsid w:val="009925F1"/>
    <w:rsid w:val="00993EC6"/>
    <w:rsid w:val="00995BF7"/>
    <w:rsid w:val="0099632D"/>
    <w:rsid w:val="009963F9"/>
    <w:rsid w:val="00996A3E"/>
    <w:rsid w:val="009A7C08"/>
    <w:rsid w:val="009A7D7D"/>
    <w:rsid w:val="009B0B0B"/>
    <w:rsid w:val="009B0B6F"/>
    <w:rsid w:val="009B2647"/>
    <w:rsid w:val="009C4F7F"/>
    <w:rsid w:val="009C5717"/>
    <w:rsid w:val="009C63A5"/>
    <w:rsid w:val="009C7E57"/>
    <w:rsid w:val="009D2F5A"/>
    <w:rsid w:val="009D4870"/>
    <w:rsid w:val="009D560E"/>
    <w:rsid w:val="009D56E0"/>
    <w:rsid w:val="009D67F9"/>
    <w:rsid w:val="009D6DD0"/>
    <w:rsid w:val="009E19BC"/>
    <w:rsid w:val="009E33AF"/>
    <w:rsid w:val="009E3C28"/>
    <w:rsid w:val="009E4A86"/>
    <w:rsid w:val="009E5F3C"/>
    <w:rsid w:val="009E611D"/>
    <w:rsid w:val="009E64DD"/>
    <w:rsid w:val="009E7F0D"/>
    <w:rsid w:val="009F0051"/>
    <w:rsid w:val="009F1102"/>
    <w:rsid w:val="009F6876"/>
    <w:rsid w:val="009F7388"/>
    <w:rsid w:val="009F7C9B"/>
    <w:rsid w:val="00A015AD"/>
    <w:rsid w:val="00A02374"/>
    <w:rsid w:val="00A04C32"/>
    <w:rsid w:val="00A05F02"/>
    <w:rsid w:val="00A05F55"/>
    <w:rsid w:val="00A073A1"/>
    <w:rsid w:val="00A076F8"/>
    <w:rsid w:val="00A07768"/>
    <w:rsid w:val="00A11B0E"/>
    <w:rsid w:val="00A11C09"/>
    <w:rsid w:val="00A11D20"/>
    <w:rsid w:val="00A12963"/>
    <w:rsid w:val="00A132A7"/>
    <w:rsid w:val="00A1571B"/>
    <w:rsid w:val="00A165F6"/>
    <w:rsid w:val="00A2371F"/>
    <w:rsid w:val="00A24A99"/>
    <w:rsid w:val="00A24FF5"/>
    <w:rsid w:val="00A25FA7"/>
    <w:rsid w:val="00A26326"/>
    <w:rsid w:val="00A2652A"/>
    <w:rsid w:val="00A315AA"/>
    <w:rsid w:val="00A33AF1"/>
    <w:rsid w:val="00A34E9A"/>
    <w:rsid w:val="00A363E8"/>
    <w:rsid w:val="00A36D6A"/>
    <w:rsid w:val="00A40B18"/>
    <w:rsid w:val="00A41B36"/>
    <w:rsid w:val="00A4269E"/>
    <w:rsid w:val="00A42736"/>
    <w:rsid w:val="00A42EA0"/>
    <w:rsid w:val="00A43288"/>
    <w:rsid w:val="00A43B0E"/>
    <w:rsid w:val="00A45652"/>
    <w:rsid w:val="00A46D76"/>
    <w:rsid w:val="00A46DF8"/>
    <w:rsid w:val="00A471EB"/>
    <w:rsid w:val="00A50096"/>
    <w:rsid w:val="00A51CB6"/>
    <w:rsid w:val="00A52ADB"/>
    <w:rsid w:val="00A534CC"/>
    <w:rsid w:val="00A54E31"/>
    <w:rsid w:val="00A55AC5"/>
    <w:rsid w:val="00A605D6"/>
    <w:rsid w:val="00A606E5"/>
    <w:rsid w:val="00A608B6"/>
    <w:rsid w:val="00A62319"/>
    <w:rsid w:val="00A637E2"/>
    <w:rsid w:val="00A63962"/>
    <w:rsid w:val="00A63AEA"/>
    <w:rsid w:val="00A64A2A"/>
    <w:rsid w:val="00A64DE3"/>
    <w:rsid w:val="00A65A04"/>
    <w:rsid w:val="00A6679C"/>
    <w:rsid w:val="00A66E70"/>
    <w:rsid w:val="00A6700C"/>
    <w:rsid w:val="00A70594"/>
    <w:rsid w:val="00A713BA"/>
    <w:rsid w:val="00A7199E"/>
    <w:rsid w:val="00A71E8A"/>
    <w:rsid w:val="00A735AD"/>
    <w:rsid w:val="00A73B88"/>
    <w:rsid w:val="00A73F68"/>
    <w:rsid w:val="00A74A48"/>
    <w:rsid w:val="00A75E29"/>
    <w:rsid w:val="00A761BB"/>
    <w:rsid w:val="00A76987"/>
    <w:rsid w:val="00A80159"/>
    <w:rsid w:val="00A80A8C"/>
    <w:rsid w:val="00A82F51"/>
    <w:rsid w:val="00A843F0"/>
    <w:rsid w:val="00A84ACE"/>
    <w:rsid w:val="00A855C5"/>
    <w:rsid w:val="00A859CF"/>
    <w:rsid w:val="00A86994"/>
    <w:rsid w:val="00A87FB5"/>
    <w:rsid w:val="00A9058A"/>
    <w:rsid w:val="00A9156E"/>
    <w:rsid w:val="00A91AAD"/>
    <w:rsid w:val="00A924FF"/>
    <w:rsid w:val="00A95A49"/>
    <w:rsid w:val="00A9673C"/>
    <w:rsid w:val="00A977A5"/>
    <w:rsid w:val="00AA026D"/>
    <w:rsid w:val="00AA162E"/>
    <w:rsid w:val="00AA1B14"/>
    <w:rsid w:val="00AA1BD0"/>
    <w:rsid w:val="00AA23E3"/>
    <w:rsid w:val="00AA2D39"/>
    <w:rsid w:val="00AA49FF"/>
    <w:rsid w:val="00AA4C4B"/>
    <w:rsid w:val="00AA54D3"/>
    <w:rsid w:val="00AA700B"/>
    <w:rsid w:val="00AA77D1"/>
    <w:rsid w:val="00AA789B"/>
    <w:rsid w:val="00AB0AFF"/>
    <w:rsid w:val="00AB0B02"/>
    <w:rsid w:val="00AB17D8"/>
    <w:rsid w:val="00AB1ABE"/>
    <w:rsid w:val="00AB1BE4"/>
    <w:rsid w:val="00AB471E"/>
    <w:rsid w:val="00AB4E2C"/>
    <w:rsid w:val="00AB508D"/>
    <w:rsid w:val="00AB5317"/>
    <w:rsid w:val="00AB6930"/>
    <w:rsid w:val="00AB6B86"/>
    <w:rsid w:val="00AB6F9B"/>
    <w:rsid w:val="00AB761F"/>
    <w:rsid w:val="00AB7C95"/>
    <w:rsid w:val="00AC120F"/>
    <w:rsid w:val="00AC1DEF"/>
    <w:rsid w:val="00AC3C52"/>
    <w:rsid w:val="00AC67AE"/>
    <w:rsid w:val="00AC7B74"/>
    <w:rsid w:val="00AD0CC9"/>
    <w:rsid w:val="00AD1695"/>
    <w:rsid w:val="00AD1E48"/>
    <w:rsid w:val="00AD2A6D"/>
    <w:rsid w:val="00AD3E98"/>
    <w:rsid w:val="00AD49F6"/>
    <w:rsid w:val="00AD5914"/>
    <w:rsid w:val="00AD64D2"/>
    <w:rsid w:val="00AD6594"/>
    <w:rsid w:val="00AD712A"/>
    <w:rsid w:val="00AD79E2"/>
    <w:rsid w:val="00AE1EF4"/>
    <w:rsid w:val="00AE23BB"/>
    <w:rsid w:val="00AE2F60"/>
    <w:rsid w:val="00AE62BF"/>
    <w:rsid w:val="00AE6CDB"/>
    <w:rsid w:val="00AE7AC3"/>
    <w:rsid w:val="00AF0B66"/>
    <w:rsid w:val="00AF31E4"/>
    <w:rsid w:val="00AF3DEE"/>
    <w:rsid w:val="00AF4D82"/>
    <w:rsid w:val="00B00B93"/>
    <w:rsid w:val="00B01945"/>
    <w:rsid w:val="00B02475"/>
    <w:rsid w:val="00B03A64"/>
    <w:rsid w:val="00B03B30"/>
    <w:rsid w:val="00B03E03"/>
    <w:rsid w:val="00B05BF9"/>
    <w:rsid w:val="00B06613"/>
    <w:rsid w:val="00B06E10"/>
    <w:rsid w:val="00B10F32"/>
    <w:rsid w:val="00B112FD"/>
    <w:rsid w:val="00B1224A"/>
    <w:rsid w:val="00B128B2"/>
    <w:rsid w:val="00B16A69"/>
    <w:rsid w:val="00B17780"/>
    <w:rsid w:val="00B20BB0"/>
    <w:rsid w:val="00B2158F"/>
    <w:rsid w:val="00B21D8E"/>
    <w:rsid w:val="00B24F7C"/>
    <w:rsid w:val="00B253A6"/>
    <w:rsid w:val="00B26BF0"/>
    <w:rsid w:val="00B27947"/>
    <w:rsid w:val="00B27B73"/>
    <w:rsid w:val="00B31724"/>
    <w:rsid w:val="00B31BFC"/>
    <w:rsid w:val="00B31F74"/>
    <w:rsid w:val="00B3203C"/>
    <w:rsid w:val="00B3212C"/>
    <w:rsid w:val="00B35B9C"/>
    <w:rsid w:val="00B41177"/>
    <w:rsid w:val="00B415D1"/>
    <w:rsid w:val="00B41717"/>
    <w:rsid w:val="00B4253B"/>
    <w:rsid w:val="00B42EFB"/>
    <w:rsid w:val="00B43ADA"/>
    <w:rsid w:val="00B44F34"/>
    <w:rsid w:val="00B452A1"/>
    <w:rsid w:val="00B45EFE"/>
    <w:rsid w:val="00B47620"/>
    <w:rsid w:val="00B51D91"/>
    <w:rsid w:val="00B52AE3"/>
    <w:rsid w:val="00B539A5"/>
    <w:rsid w:val="00B545A5"/>
    <w:rsid w:val="00B55B2D"/>
    <w:rsid w:val="00B55BDB"/>
    <w:rsid w:val="00B56C70"/>
    <w:rsid w:val="00B57BEF"/>
    <w:rsid w:val="00B62517"/>
    <w:rsid w:val="00B64C76"/>
    <w:rsid w:val="00B64FD0"/>
    <w:rsid w:val="00B65077"/>
    <w:rsid w:val="00B6593C"/>
    <w:rsid w:val="00B65A75"/>
    <w:rsid w:val="00B6621D"/>
    <w:rsid w:val="00B67091"/>
    <w:rsid w:val="00B672E2"/>
    <w:rsid w:val="00B67787"/>
    <w:rsid w:val="00B67FAE"/>
    <w:rsid w:val="00B70911"/>
    <w:rsid w:val="00B70C07"/>
    <w:rsid w:val="00B714AE"/>
    <w:rsid w:val="00B7162A"/>
    <w:rsid w:val="00B7281E"/>
    <w:rsid w:val="00B7330F"/>
    <w:rsid w:val="00B73476"/>
    <w:rsid w:val="00B746BD"/>
    <w:rsid w:val="00B74776"/>
    <w:rsid w:val="00B760E6"/>
    <w:rsid w:val="00B7617D"/>
    <w:rsid w:val="00B76B04"/>
    <w:rsid w:val="00B8089B"/>
    <w:rsid w:val="00B80CB9"/>
    <w:rsid w:val="00B827AD"/>
    <w:rsid w:val="00B842CE"/>
    <w:rsid w:val="00B8574D"/>
    <w:rsid w:val="00B85C8E"/>
    <w:rsid w:val="00B8653E"/>
    <w:rsid w:val="00B94180"/>
    <w:rsid w:val="00B94991"/>
    <w:rsid w:val="00B95A4F"/>
    <w:rsid w:val="00B971F9"/>
    <w:rsid w:val="00B974D0"/>
    <w:rsid w:val="00BA0352"/>
    <w:rsid w:val="00BA0754"/>
    <w:rsid w:val="00BA16F1"/>
    <w:rsid w:val="00BA31C6"/>
    <w:rsid w:val="00BA31CA"/>
    <w:rsid w:val="00BA4871"/>
    <w:rsid w:val="00BA7178"/>
    <w:rsid w:val="00BB0D31"/>
    <w:rsid w:val="00BB355B"/>
    <w:rsid w:val="00BB37C2"/>
    <w:rsid w:val="00BB63E0"/>
    <w:rsid w:val="00BB661A"/>
    <w:rsid w:val="00BB6CDE"/>
    <w:rsid w:val="00BC0109"/>
    <w:rsid w:val="00BC3918"/>
    <w:rsid w:val="00BC3C12"/>
    <w:rsid w:val="00BC40C2"/>
    <w:rsid w:val="00BC7136"/>
    <w:rsid w:val="00BD0957"/>
    <w:rsid w:val="00BD1213"/>
    <w:rsid w:val="00BD2B97"/>
    <w:rsid w:val="00BD4261"/>
    <w:rsid w:val="00BD5E7C"/>
    <w:rsid w:val="00BD724A"/>
    <w:rsid w:val="00BD7C83"/>
    <w:rsid w:val="00BE073E"/>
    <w:rsid w:val="00BE0DA9"/>
    <w:rsid w:val="00BE12BF"/>
    <w:rsid w:val="00BE309C"/>
    <w:rsid w:val="00BE325C"/>
    <w:rsid w:val="00BE375B"/>
    <w:rsid w:val="00BE442B"/>
    <w:rsid w:val="00BE47FF"/>
    <w:rsid w:val="00BE72E0"/>
    <w:rsid w:val="00BF26F4"/>
    <w:rsid w:val="00BF2A8E"/>
    <w:rsid w:val="00BF32DE"/>
    <w:rsid w:val="00BF34BC"/>
    <w:rsid w:val="00BF36BE"/>
    <w:rsid w:val="00BF5E3B"/>
    <w:rsid w:val="00BF6A1D"/>
    <w:rsid w:val="00BF6DBF"/>
    <w:rsid w:val="00C00023"/>
    <w:rsid w:val="00C007A4"/>
    <w:rsid w:val="00C02341"/>
    <w:rsid w:val="00C02BE4"/>
    <w:rsid w:val="00C03585"/>
    <w:rsid w:val="00C03CDA"/>
    <w:rsid w:val="00C03F31"/>
    <w:rsid w:val="00C04033"/>
    <w:rsid w:val="00C046D8"/>
    <w:rsid w:val="00C04D04"/>
    <w:rsid w:val="00C104F7"/>
    <w:rsid w:val="00C10BCF"/>
    <w:rsid w:val="00C11890"/>
    <w:rsid w:val="00C11E7B"/>
    <w:rsid w:val="00C12394"/>
    <w:rsid w:val="00C12540"/>
    <w:rsid w:val="00C139A3"/>
    <w:rsid w:val="00C13FF7"/>
    <w:rsid w:val="00C142FB"/>
    <w:rsid w:val="00C16515"/>
    <w:rsid w:val="00C16DA4"/>
    <w:rsid w:val="00C171CE"/>
    <w:rsid w:val="00C20644"/>
    <w:rsid w:val="00C20DC2"/>
    <w:rsid w:val="00C21A67"/>
    <w:rsid w:val="00C240A8"/>
    <w:rsid w:val="00C2491B"/>
    <w:rsid w:val="00C24B18"/>
    <w:rsid w:val="00C25827"/>
    <w:rsid w:val="00C25C37"/>
    <w:rsid w:val="00C26F3E"/>
    <w:rsid w:val="00C32380"/>
    <w:rsid w:val="00C3271F"/>
    <w:rsid w:val="00C3295C"/>
    <w:rsid w:val="00C32969"/>
    <w:rsid w:val="00C33536"/>
    <w:rsid w:val="00C35D50"/>
    <w:rsid w:val="00C36646"/>
    <w:rsid w:val="00C36E44"/>
    <w:rsid w:val="00C400E6"/>
    <w:rsid w:val="00C41810"/>
    <w:rsid w:val="00C41BB1"/>
    <w:rsid w:val="00C428F0"/>
    <w:rsid w:val="00C434DF"/>
    <w:rsid w:val="00C439A3"/>
    <w:rsid w:val="00C44787"/>
    <w:rsid w:val="00C45A82"/>
    <w:rsid w:val="00C46BCB"/>
    <w:rsid w:val="00C46D7B"/>
    <w:rsid w:val="00C47AB0"/>
    <w:rsid w:val="00C50660"/>
    <w:rsid w:val="00C519B9"/>
    <w:rsid w:val="00C53433"/>
    <w:rsid w:val="00C538F0"/>
    <w:rsid w:val="00C53F22"/>
    <w:rsid w:val="00C5501D"/>
    <w:rsid w:val="00C556D4"/>
    <w:rsid w:val="00C600F7"/>
    <w:rsid w:val="00C600FE"/>
    <w:rsid w:val="00C6041A"/>
    <w:rsid w:val="00C61B22"/>
    <w:rsid w:val="00C62502"/>
    <w:rsid w:val="00C63B5B"/>
    <w:rsid w:val="00C63F73"/>
    <w:rsid w:val="00C64760"/>
    <w:rsid w:val="00C65523"/>
    <w:rsid w:val="00C65B40"/>
    <w:rsid w:val="00C66C01"/>
    <w:rsid w:val="00C67374"/>
    <w:rsid w:val="00C743F6"/>
    <w:rsid w:val="00C745FA"/>
    <w:rsid w:val="00C75CEA"/>
    <w:rsid w:val="00C80896"/>
    <w:rsid w:val="00C83E6C"/>
    <w:rsid w:val="00C8764F"/>
    <w:rsid w:val="00C87744"/>
    <w:rsid w:val="00C931EA"/>
    <w:rsid w:val="00C949BC"/>
    <w:rsid w:val="00CA04D0"/>
    <w:rsid w:val="00CA0D7B"/>
    <w:rsid w:val="00CA4CEB"/>
    <w:rsid w:val="00CA5612"/>
    <w:rsid w:val="00CA5F65"/>
    <w:rsid w:val="00CA67E8"/>
    <w:rsid w:val="00CA6A4E"/>
    <w:rsid w:val="00CA6D07"/>
    <w:rsid w:val="00CA7FDC"/>
    <w:rsid w:val="00CB03C8"/>
    <w:rsid w:val="00CB0777"/>
    <w:rsid w:val="00CB093F"/>
    <w:rsid w:val="00CB12CB"/>
    <w:rsid w:val="00CB332F"/>
    <w:rsid w:val="00CB4AC0"/>
    <w:rsid w:val="00CB4F5E"/>
    <w:rsid w:val="00CB54DD"/>
    <w:rsid w:val="00CB67A3"/>
    <w:rsid w:val="00CB6B0B"/>
    <w:rsid w:val="00CB7E71"/>
    <w:rsid w:val="00CB7E94"/>
    <w:rsid w:val="00CC09C9"/>
    <w:rsid w:val="00CC09E4"/>
    <w:rsid w:val="00CC0C8E"/>
    <w:rsid w:val="00CC2A34"/>
    <w:rsid w:val="00CC3006"/>
    <w:rsid w:val="00CC33EA"/>
    <w:rsid w:val="00CC4845"/>
    <w:rsid w:val="00CC4C63"/>
    <w:rsid w:val="00CC5767"/>
    <w:rsid w:val="00CC6373"/>
    <w:rsid w:val="00CD02A0"/>
    <w:rsid w:val="00CD0E61"/>
    <w:rsid w:val="00CD2E96"/>
    <w:rsid w:val="00CD307A"/>
    <w:rsid w:val="00CD3D75"/>
    <w:rsid w:val="00CD677E"/>
    <w:rsid w:val="00CD719C"/>
    <w:rsid w:val="00CD7A4E"/>
    <w:rsid w:val="00CE008D"/>
    <w:rsid w:val="00CE0CA0"/>
    <w:rsid w:val="00CE1EDE"/>
    <w:rsid w:val="00CE562C"/>
    <w:rsid w:val="00CE60EC"/>
    <w:rsid w:val="00CF3A13"/>
    <w:rsid w:val="00CF423C"/>
    <w:rsid w:val="00CF63D7"/>
    <w:rsid w:val="00CF6648"/>
    <w:rsid w:val="00D00B23"/>
    <w:rsid w:val="00D04E9C"/>
    <w:rsid w:val="00D05D4C"/>
    <w:rsid w:val="00D0621E"/>
    <w:rsid w:val="00D06344"/>
    <w:rsid w:val="00D063A5"/>
    <w:rsid w:val="00D06424"/>
    <w:rsid w:val="00D069A0"/>
    <w:rsid w:val="00D069EA"/>
    <w:rsid w:val="00D074C5"/>
    <w:rsid w:val="00D07A64"/>
    <w:rsid w:val="00D07A80"/>
    <w:rsid w:val="00D14007"/>
    <w:rsid w:val="00D16EFD"/>
    <w:rsid w:val="00D20390"/>
    <w:rsid w:val="00D20A6E"/>
    <w:rsid w:val="00D22CCD"/>
    <w:rsid w:val="00D23C7A"/>
    <w:rsid w:val="00D2461E"/>
    <w:rsid w:val="00D2497C"/>
    <w:rsid w:val="00D25A4E"/>
    <w:rsid w:val="00D26534"/>
    <w:rsid w:val="00D265AC"/>
    <w:rsid w:val="00D271EB"/>
    <w:rsid w:val="00D27C55"/>
    <w:rsid w:val="00D31098"/>
    <w:rsid w:val="00D33569"/>
    <w:rsid w:val="00D342B8"/>
    <w:rsid w:val="00D4025D"/>
    <w:rsid w:val="00D41DB6"/>
    <w:rsid w:val="00D43C33"/>
    <w:rsid w:val="00D4551C"/>
    <w:rsid w:val="00D46577"/>
    <w:rsid w:val="00D512A5"/>
    <w:rsid w:val="00D51CCC"/>
    <w:rsid w:val="00D53E1D"/>
    <w:rsid w:val="00D547DD"/>
    <w:rsid w:val="00D54DBE"/>
    <w:rsid w:val="00D562DC"/>
    <w:rsid w:val="00D56543"/>
    <w:rsid w:val="00D56D74"/>
    <w:rsid w:val="00D60F33"/>
    <w:rsid w:val="00D63A87"/>
    <w:rsid w:val="00D63E6A"/>
    <w:rsid w:val="00D6464A"/>
    <w:rsid w:val="00D64E58"/>
    <w:rsid w:val="00D663B7"/>
    <w:rsid w:val="00D7095D"/>
    <w:rsid w:val="00D71BFA"/>
    <w:rsid w:val="00D73259"/>
    <w:rsid w:val="00D74872"/>
    <w:rsid w:val="00D75492"/>
    <w:rsid w:val="00D762AD"/>
    <w:rsid w:val="00D76D16"/>
    <w:rsid w:val="00D76FE5"/>
    <w:rsid w:val="00D77888"/>
    <w:rsid w:val="00D819EA"/>
    <w:rsid w:val="00D81EBB"/>
    <w:rsid w:val="00D82E03"/>
    <w:rsid w:val="00D83106"/>
    <w:rsid w:val="00D847F6"/>
    <w:rsid w:val="00D8487D"/>
    <w:rsid w:val="00D851B5"/>
    <w:rsid w:val="00D91C5F"/>
    <w:rsid w:val="00D9223A"/>
    <w:rsid w:val="00D922BC"/>
    <w:rsid w:val="00D9259E"/>
    <w:rsid w:val="00D92FCA"/>
    <w:rsid w:val="00D93579"/>
    <w:rsid w:val="00D9361D"/>
    <w:rsid w:val="00D95E3B"/>
    <w:rsid w:val="00D96317"/>
    <w:rsid w:val="00D974D0"/>
    <w:rsid w:val="00DA0273"/>
    <w:rsid w:val="00DA02E7"/>
    <w:rsid w:val="00DA0AA0"/>
    <w:rsid w:val="00DA0C67"/>
    <w:rsid w:val="00DA1671"/>
    <w:rsid w:val="00DA1E44"/>
    <w:rsid w:val="00DA1F2C"/>
    <w:rsid w:val="00DA24E8"/>
    <w:rsid w:val="00DA2E26"/>
    <w:rsid w:val="00DA37AD"/>
    <w:rsid w:val="00DA4C15"/>
    <w:rsid w:val="00DA6E09"/>
    <w:rsid w:val="00DA7FD9"/>
    <w:rsid w:val="00DB092D"/>
    <w:rsid w:val="00DB1978"/>
    <w:rsid w:val="00DB1E23"/>
    <w:rsid w:val="00DB27FE"/>
    <w:rsid w:val="00DB2E39"/>
    <w:rsid w:val="00DB3D68"/>
    <w:rsid w:val="00DB50CB"/>
    <w:rsid w:val="00DB689E"/>
    <w:rsid w:val="00DB6B85"/>
    <w:rsid w:val="00DC0864"/>
    <w:rsid w:val="00DC0E83"/>
    <w:rsid w:val="00DC1EA9"/>
    <w:rsid w:val="00DC3489"/>
    <w:rsid w:val="00DC39F8"/>
    <w:rsid w:val="00DC3EDD"/>
    <w:rsid w:val="00DC4127"/>
    <w:rsid w:val="00DC4DFD"/>
    <w:rsid w:val="00DC5428"/>
    <w:rsid w:val="00DC670E"/>
    <w:rsid w:val="00DC67CA"/>
    <w:rsid w:val="00DC72E5"/>
    <w:rsid w:val="00DD09F9"/>
    <w:rsid w:val="00DD4121"/>
    <w:rsid w:val="00DD49B3"/>
    <w:rsid w:val="00DD4B0F"/>
    <w:rsid w:val="00DD4C16"/>
    <w:rsid w:val="00DD5A9B"/>
    <w:rsid w:val="00DD5AF6"/>
    <w:rsid w:val="00DD6423"/>
    <w:rsid w:val="00DD67E7"/>
    <w:rsid w:val="00DD6C0C"/>
    <w:rsid w:val="00DE028C"/>
    <w:rsid w:val="00DE044A"/>
    <w:rsid w:val="00DE0452"/>
    <w:rsid w:val="00DE0F8C"/>
    <w:rsid w:val="00DE111B"/>
    <w:rsid w:val="00DE198C"/>
    <w:rsid w:val="00DE1B64"/>
    <w:rsid w:val="00DE6837"/>
    <w:rsid w:val="00DE7BF9"/>
    <w:rsid w:val="00DE7EAC"/>
    <w:rsid w:val="00DF0F05"/>
    <w:rsid w:val="00DF1A9A"/>
    <w:rsid w:val="00DF4CA3"/>
    <w:rsid w:val="00DF52BD"/>
    <w:rsid w:val="00DF5968"/>
    <w:rsid w:val="00DF76C5"/>
    <w:rsid w:val="00DF7A46"/>
    <w:rsid w:val="00E00C93"/>
    <w:rsid w:val="00E0124F"/>
    <w:rsid w:val="00E0354E"/>
    <w:rsid w:val="00E0423B"/>
    <w:rsid w:val="00E042BB"/>
    <w:rsid w:val="00E04CB5"/>
    <w:rsid w:val="00E04DAB"/>
    <w:rsid w:val="00E0574E"/>
    <w:rsid w:val="00E05B5E"/>
    <w:rsid w:val="00E05FDB"/>
    <w:rsid w:val="00E06742"/>
    <w:rsid w:val="00E13027"/>
    <w:rsid w:val="00E13AD4"/>
    <w:rsid w:val="00E15FB6"/>
    <w:rsid w:val="00E2081D"/>
    <w:rsid w:val="00E213B2"/>
    <w:rsid w:val="00E21EFB"/>
    <w:rsid w:val="00E22555"/>
    <w:rsid w:val="00E230F9"/>
    <w:rsid w:val="00E23810"/>
    <w:rsid w:val="00E27052"/>
    <w:rsid w:val="00E30A1B"/>
    <w:rsid w:val="00E30F49"/>
    <w:rsid w:val="00E30F6C"/>
    <w:rsid w:val="00E32D1E"/>
    <w:rsid w:val="00E33C75"/>
    <w:rsid w:val="00E346B0"/>
    <w:rsid w:val="00E35631"/>
    <w:rsid w:val="00E359DA"/>
    <w:rsid w:val="00E366F7"/>
    <w:rsid w:val="00E36EA5"/>
    <w:rsid w:val="00E404D2"/>
    <w:rsid w:val="00E41618"/>
    <w:rsid w:val="00E42281"/>
    <w:rsid w:val="00E422D7"/>
    <w:rsid w:val="00E43940"/>
    <w:rsid w:val="00E4522C"/>
    <w:rsid w:val="00E46D63"/>
    <w:rsid w:val="00E47F7A"/>
    <w:rsid w:val="00E5194C"/>
    <w:rsid w:val="00E54458"/>
    <w:rsid w:val="00E55A1E"/>
    <w:rsid w:val="00E57724"/>
    <w:rsid w:val="00E6061C"/>
    <w:rsid w:val="00E60F22"/>
    <w:rsid w:val="00E61489"/>
    <w:rsid w:val="00E61B12"/>
    <w:rsid w:val="00E6264C"/>
    <w:rsid w:val="00E62EC2"/>
    <w:rsid w:val="00E63077"/>
    <w:rsid w:val="00E63EB7"/>
    <w:rsid w:val="00E6608E"/>
    <w:rsid w:val="00E66298"/>
    <w:rsid w:val="00E66E40"/>
    <w:rsid w:val="00E6768B"/>
    <w:rsid w:val="00E704C6"/>
    <w:rsid w:val="00E72A16"/>
    <w:rsid w:val="00E7356B"/>
    <w:rsid w:val="00E737A2"/>
    <w:rsid w:val="00E73CC7"/>
    <w:rsid w:val="00E73D8F"/>
    <w:rsid w:val="00E76E3C"/>
    <w:rsid w:val="00E77983"/>
    <w:rsid w:val="00E8152C"/>
    <w:rsid w:val="00E8315F"/>
    <w:rsid w:val="00E837F4"/>
    <w:rsid w:val="00E8394D"/>
    <w:rsid w:val="00E83ABD"/>
    <w:rsid w:val="00E856CF"/>
    <w:rsid w:val="00E85B23"/>
    <w:rsid w:val="00E85C1A"/>
    <w:rsid w:val="00E863AD"/>
    <w:rsid w:val="00E86A80"/>
    <w:rsid w:val="00E86F9D"/>
    <w:rsid w:val="00E87AD4"/>
    <w:rsid w:val="00E87C01"/>
    <w:rsid w:val="00E87E8C"/>
    <w:rsid w:val="00E909F2"/>
    <w:rsid w:val="00E90FB0"/>
    <w:rsid w:val="00E93BBD"/>
    <w:rsid w:val="00E9501A"/>
    <w:rsid w:val="00E97D4F"/>
    <w:rsid w:val="00EA0614"/>
    <w:rsid w:val="00EA0E6D"/>
    <w:rsid w:val="00EA1254"/>
    <w:rsid w:val="00EA1884"/>
    <w:rsid w:val="00EA1C28"/>
    <w:rsid w:val="00EA5CEF"/>
    <w:rsid w:val="00EB007E"/>
    <w:rsid w:val="00EB114E"/>
    <w:rsid w:val="00EB3021"/>
    <w:rsid w:val="00EC03A0"/>
    <w:rsid w:val="00EC058A"/>
    <w:rsid w:val="00EC1AA6"/>
    <w:rsid w:val="00EC1C24"/>
    <w:rsid w:val="00EC1FCB"/>
    <w:rsid w:val="00EC29C5"/>
    <w:rsid w:val="00EC3BC0"/>
    <w:rsid w:val="00EC455F"/>
    <w:rsid w:val="00EC5626"/>
    <w:rsid w:val="00EC602A"/>
    <w:rsid w:val="00EC7D11"/>
    <w:rsid w:val="00ED0DFC"/>
    <w:rsid w:val="00ED23A5"/>
    <w:rsid w:val="00ED28B3"/>
    <w:rsid w:val="00ED4763"/>
    <w:rsid w:val="00ED6DCE"/>
    <w:rsid w:val="00ED725F"/>
    <w:rsid w:val="00EE1894"/>
    <w:rsid w:val="00EE1A0B"/>
    <w:rsid w:val="00EE2943"/>
    <w:rsid w:val="00EE52DD"/>
    <w:rsid w:val="00EF0FD8"/>
    <w:rsid w:val="00EF1173"/>
    <w:rsid w:val="00EF1A40"/>
    <w:rsid w:val="00EF240A"/>
    <w:rsid w:val="00EF4288"/>
    <w:rsid w:val="00EF659A"/>
    <w:rsid w:val="00EF7403"/>
    <w:rsid w:val="00EF754A"/>
    <w:rsid w:val="00EF7EA4"/>
    <w:rsid w:val="00F00084"/>
    <w:rsid w:val="00F011A8"/>
    <w:rsid w:val="00F027F0"/>
    <w:rsid w:val="00F02E9F"/>
    <w:rsid w:val="00F03F84"/>
    <w:rsid w:val="00F043FC"/>
    <w:rsid w:val="00F05021"/>
    <w:rsid w:val="00F05222"/>
    <w:rsid w:val="00F065BB"/>
    <w:rsid w:val="00F06606"/>
    <w:rsid w:val="00F0666A"/>
    <w:rsid w:val="00F12B9F"/>
    <w:rsid w:val="00F14BAF"/>
    <w:rsid w:val="00F1511B"/>
    <w:rsid w:val="00F15FC3"/>
    <w:rsid w:val="00F17917"/>
    <w:rsid w:val="00F20551"/>
    <w:rsid w:val="00F20C8D"/>
    <w:rsid w:val="00F21227"/>
    <w:rsid w:val="00F247ED"/>
    <w:rsid w:val="00F24863"/>
    <w:rsid w:val="00F24B1B"/>
    <w:rsid w:val="00F2728A"/>
    <w:rsid w:val="00F27A09"/>
    <w:rsid w:val="00F303E5"/>
    <w:rsid w:val="00F31F20"/>
    <w:rsid w:val="00F334DB"/>
    <w:rsid w:val="00F33F39"/>
    <w:rsid w:val="00F34C94"/>
    <w:rsid w:val="00F37B9B"/>
    <w:rsid w:val="00F37E9A"/>
    <w:rsid w:val="00F42CF5"/>
    <w:rsid w:val="00F434ED"/>
    <w:rsid w:val="00F43885"/>
    <w:rsid w:val="00F43C4E"/>
    <w:rsid w:val="00F43F8E"/>
    <w:rsid w:val="00F44451"/>
    <w:rsid w:val="00F44888"/>
    <w:rsid w:val="00F44EB5"/>
    <w:rsid w:val="00F46752"/>
    <w:rsid w:val="00F50B3E"/>
    <w:rsid w:val="00F514FD"/>
    <w:rsid w:val="00F53333"/>
    <w:rsid w:val="00F54622"/>
    <w:rsid w:val="00F54901"/>
    <w:rsid w:val="00F55907"/>
    <w:rsid w:val="00F56166"/>
    <w:rsid w:val="00F56777"/>
    <w:rsid w:val="00F56D81"/>
    <w:rsid w:val="00F60209"/>
    <w:rsid w:val="00F60702"/>
    <w:rsid w:val="00F60B06"/>
    <w:rsid w:val="00F610DD"/>
    <w:rsid w:val="00F62721"/>
    <w:rsid w:val="00F62B7E"/>
    <w:rsid w:val="00F63C60"/>
    <w:rsid w:val="00F665DA"/>
    <w:rsid w:val="00F668F7"/>
    <w:rsid w:val="00F67709"/>
    <w:rsid w:val="00F74B0C"/>
    <w:rsid w:val="00F74BD5"/>
    <w:rsid w:val="00F74BF6"/>
    <w:rsid w:val="00F74C96"/>
    <w:rsid w:val="00F74E14"/>
    <w:rsid w:val="00F75794"/>
    <w:rsid w:val="00F75D9E"/>
    <w:rsid w:val="00F8152E"/>
    <w:rsid w:val="00F81E2D"/>
    <w:rsid w:val="00F8263A"/>
    <w:rsid w:val="00F82AC2"/>
    <w:rsid w:val="00F8308D"/>
    <w:rsid w:val="00F83A99"/>
    <w:rsid w:val="00F848AC"/>
    <w:rsid w:val="00F8648F"/>
    <w:rsid w:val="00F86ED8"/>
    <w:rsid w:val="00F909FB"/>
    <w:rsid w:val="00F92204"/>
    <w:rsid w:val="00F935A1"/>
    <w:rsid w:val="00F94152"/>
    <w:rsid w:val="00F943E1"/>
    <w:rsid w:val="00F96101"/>
    <w:rsid w:val="00F97A49"/>
    <w:rsid w:val="00FA101E"/>
    <w:rsid w:val="00FA4D27"/>
    <w:rsid w:val="00FA5644"/>
    <w:rsid w:val="00FA5678"/>
    <w:rsid w:val="00FA5BFF"/>
    <w:rsid w:val="00FA71C1"/>
    <w:rsid w:val="00FA72F6"/>
    <w:rsid w:val="00FB0831"/>
    <w:rsid w:val="00FB12BA"/>
    <w:rsid w:val="00FB217B"/>
    <w:rsid w:val="00FB22AE"/>
    <w:rsid w:val="00FB24B7"/>
    <w:rsid w:val="00FB3F18"/>
    <w:rsid w:val="00FB5F0C"/>
    <w:rsid w:val="00FB6908"/>
    <w:rsid w:val="00FB78A3"/>
    <w:rsid w:val="00FC12F5"/>
    <w:rsid w:val="00FC1949"/>
    <w:rsid w:val="00FC1CF1"/>
    <w:rsid w:val="00FC3725"/>
    <w:rsid w:val="00FC61BE"/>
    <w:rsid w:val="00FC6A96"/>
    <w:rsid w:val="00FD3B50"/>
    <w:rsid w:val="00FD3EDE"/>
    <w:rsid w:val="00FD4067"/>
    <w:rsid w:val="00FD438B"/>
    <w:rsid w:val="00FD4891"/>
    <w:rsid w:val="00FD54EA"/>
    <w:rsid w:val="00FD583F"/>
    <w:rsid w:val="00FD6794"/>
    <w:rsid w:val="00FD6C87"/>
    <w:rsid w:val="00FD7CB0"/>
    <w:rsid w:val="00FE01A0"/>
    <w:rsid w:val="00FE1080"/>
    <w:rsid w:val="00FE49C1"/>
    <w:rsid w:val="00FE51CA"/>
    <w:rsid w:val="00FE53E9"/>
    <w:rsid w:val="00FE64F7"/>
    <w:rsid w:val="00FF00CE"/>
    <w:rsid w:val="00FF025B"/>
    <w:rsid w:val="00FF1112"/>
    <w:rsid w:val="00FF1749"/>
    <w:rsid w:val="00FF179B"/>
    <w:rsid w:val="00FF1C29"/>
    <w:rsid w:val="00FF1E01"/>
    <w:rsid w:val="00FF2D01"/>
    <w:rsid w:val="00FF499C"/>
    <w:rsid w:val="00FF4A00"/>
    <w:rsid w:val="00FF6902"/>
    <w:rsid w:val="00FF6F0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ln">
    <w:name w:val="Normal"/>
    <w:qFormat/>
    <w:rsid w:val="006A039E"/>
    <w:pPr>
      <w:spacing w:before="120" w:after="120" w:line="360" w:lineRule="auto"/>
      <w:ind w:firstLine="709"/>
      <w:jc w:val="both"/>
    </w:pPr>
    <w:rPr>
      <w:sz w:val="24"/>
      <w:szCs w:val="24"/>
    </w:rPr>
  </w:style>
  <w:style w:type="paragraph" w:styleId="Nadpis1">
    <w:name w:val="heading 1"/>
    <w:basedOn w:val="Normln"/>
    <w:next w:val="Normln"/>
    <w:link w:val="Nadpis1Char"/>
    <w:uiPriority w:val="99"/>
    <w:qFormat/>
    <w:rsid w:val="003E483C"/>
    <w:pPr>
      <w:keepNext/>
      <w:numPr>
        <w:numId w:val="16"/>
      </w:numPr>
      <w:spacing w:before="240" w:after="60"/>
      <w:ind w:left="0" w:firstLine="0"/>
      <w:jc w:val="left"/>
      <w:outlineLvl w:val="0"/>
    </w:pPr>
    <w:rPr>
      <w:rFonts w:cs="Arial"/>
      <w:b/>
      <w:bCs/>
      <w:kern w:val="32"/>
      <w:sz w:val="32"/>
      <w:szCs w:val="32"/>
    </w:rPr>
  </w:style>
  <w:style w:type="paragraph" w:styleId="Nadpis2">
    <w:name w:val="heading 2"/>
    <w:basedOn w:val="Normln"/>
    <w:next w:val="Normln"/>
    <w:link w:val="Nadpis2Char"/>
    <w:uiPriority w:val="99"/>
    <w:qFormat/>
    <w:rsid w:val="00074A51"/>
    <w:pPr>
      <w:keepNext/>
      <w:numPr>
        <w:ilvl w:val="1"/>
        <w:numId w:val="16"/>
      </w:numPr>
      <w:spacing w:before="360" w:after="240"/>
      <w:ind w:firstLine="0"/>
      <w:jc w:val="left"/>
      <w:outlineLvl w:val="1"/>
    </w:pPr>
    <w:rPr>
      <w:rFonts w:cs="Arial"/>
      <w:b/>
      <w:bCs/>
      <w:i/>
      <w:iCs/>
      <w:sz w:val="28"/>
      <w:szCs w:val="28"/>
    </w:rPr>
  </w:style>
  <w:style w:type="paragraph" w:styleId="Nadpis3">
    <w:name w:val="heading 3"/>
    <w:aliases w:val="tučné 12,Nadpis kapitoly 1. úrovně,tuené 12,Nadpis kapitoly 1. úrovni"/>
    <w:basedOn w:val="Normln"/>
    <w:next w:val="Normln"/>
    <w:link w:val="Nadpis3Char"/>
    <w:uiPriority w:val="99"/>
    <w:qFormat/>
    <w:rsid w:val="0084476D"/>
    <w:pPr>
      <w:keepNext/>
      <w:numPr>
        <w:ilvl w:val="2"/>
        <w:numId w:val="16"/>
      </w:numPr>
      <w:spacing w:before="360" w:after="60"/>
      <w:ind w:left="0" w:firstLine="0"/>
      <w:outlineLvl w:val="2"/>
    </w:pPr>
    <w:rPr>
      <w:rFonts w:cs="Arial"/>
      <w:b/>
      <w:bCs/>
      <w:sz w:val="26"/>
      <w:szCs w:val="26"/>
    </w:rPr>
  </w:style>
  <w:style w:type="paragraph" w:styleId="Nadpis4">
    <w:name w:val="heading 4"/>
    <w:basedOn w:val="Normln"/>
    <w:next w:val="Normln"/>
    <w:link w:val="Nadpis4Char"/>
    <w:uiPriority w:val="99"/>
    <w:qFormat/>
    <w:rsid w:val="0084476D"/>
    <w:pPr>
      <w:keepNext/>
      <w:numPr>
        <w:ilvl w:val="3"/>
        <w:numId w:val="16"/>
      </w:numPr>
      <w:spacing w:before="240" w:after="60"/>
      <w:ind w:left="0" w:firstLine="0"/>
      <w:outlineLvl w:val="3"/>
    </w:pPr>
    <w:rPr>
      <w:b/>
      <w:bCs/>
      <w:szCs w:val="28"/>
    </w:rPr>
  </w:style>
  <w:style w:type="paragraph" w:styleId="Nadpis5">
    <w:name w:val="heading 5"/>
    <w:basedOn w:val="Normln"/>
    <w:next w:val="Normln"/>
    <w:link w:val="Nadpis5Char"/>
    <w:uiPriority w:val="99"/>
    <w:qFormat/>
    <w:rsid w:val="00257A76"/>
    <w:pPr>
      <w:spacing w:before="240" w:after="60"/>
      <w:outlineLvl w:val="4"/>
    </w:pPr>
    <w:rPr>
      <w:b/>
      <w:bCs/>
      <w:i/>
      <w:iCs/>
      <w:sz w:val="26"/>
      <w:szCs w:val="26"/>
    </w:rPr>
  </w:style>
  <w:style w:type="paragraph" w:styleId="Nadpis6">
    <w:name w:val="heading 6"/>
    <w:basedOn w:val="Normln"/>
    <w:next w:val="Normln"/>
    <w:link w:val="Nadpis6Char"/>
    <w:uiPriority w:val="99"/>
    <w:qFormat/>
    <w:rsid w:val="006A039E"/>
    <w:pPr>
      <w:tabs>
        <w:tab w:val="num" w:pos="1152"/>
      </w:tabs>
      <w:spacing w:before="240" w:after="60"/>
      <w:ind w:left="1152" w:hanging="1152"/>
      <w:outlineLvl w:val="5"/>
    </w:pPr>
    <w:rPr>
      <w:b/>
      <w:bCs/>
      <w:sz w:val="22"/>
      <w:szCs w:val="22"/>
    </w:rPr>
  </w:style>
  <w:style w:type="paragraph" w:styleId="Nadpis7">
    <w:name w:val="heading 7"/>
    <w:basedOn w:val="Normln"/>
    <w:next w:val="Normln"/>
    <w:link w:val="Nadpis7Char"/>
    <w:uiPriority w:val="99"/>
    <w:qFormat/>
    <w:rsid w:val="00B70911"/>
    <w:pPr>
      <w:spacing w:before="240" w:after="60"/>
      <w:outlineLvl w:val="6"/>
    </w:pPr>
  </w:style>
  <w:style w:type="paragraph" w:styleId="Nadpis8">
    <w:name w:val="heading 8"/>
    <w:basedOn w:val="Normln"/>
    <w:next w:val="Normln"/>
    <w:link w:val="Nadpis8Char"/>
    <w:uiPriority w:val="99"/>
    <w:qFormat/>
    <w:rsid w:val="006A039E"/>
    <w:pPr>
      <w:tabs>
        <w:tab w:val="num" w:pos="1440"/>
      </w:tabs>
      <w:spacing w:before="240" w:after="60"/>
      <w:ind w:left="1440" w:hanging="1440"/>
      <w:outlineLvl w:val="7"/>
    </w:pPr>
    <w:rPr>
      <w:i/>
      <w:iCs/>
    </w:rPr>
  </w:style>
  <w:style w:type="paragraph" w:styleId="Nadpis9">
    <w:name w:val="heading 9"/>
    <w:basedOn w:val="Normln"/>
    <w:next w:val="Normln"/>
    <w:link w:val="Nadpis9Char"/>
    <w:uiPriority w:val="99"/>
    <w:qFormat/>
    <w:rsid w:val="006C69DB"/>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3E483C"/>
    <w:rPr>
      <w:rFonts w:cs="Arial"/>
      <w:b/>
      <w:bCs/>
      <w:kern w:val="32"/>
      <w:sz w:val="32"/>
      <w:szCs w:val="32"/>
    </w:rPr>
  </w:style>
  <w:style w:type="character" w:customStyle="1" w:styleId="Nadpis2Char">
    <w:name w:val="Nadpis 2 Char"/>
    <w:link w:val="Nadpis2"/>
    <w:uiPriority w:val="99"/>
    <w:locked/>
    <w:rsid w:val="00074A51"/>
    <w:rPr>
      <w:rFonts w:cs="Arial"/>
      <w:b/>
      <w:bCs/>
      <w:i/>
      <w:iCs/>
      <w:sz w:val="28"/>
      <w:szCs w:val="28"/>
    </w:rPr>
  </w:style>
  <w:style w:type="character" w:customStyle="1" w:styleId="Nadpis3Char">
    <w:name w:val="Nadpis 3 Char"/>
    <w:aliases w:val="tučné 12 Char,Nadpis kapitoly 1. úrovně Char,tuené 12 Char,Nadpis kapitoly 1. úrovni Char"/>
    <w:link w:val="Nadpis3"/>
    <w:uiPriority w:val="99"/>
    <w:locked/>
    <w:rsid w:val="0084476D"/>
    <w:rPr>
      <w:rFonts w:cs="Arial"/>
      <w:b/>
      <w:bCs/>
      <w:sz w:val="26"/>
      <w:szCs w:val="26"/>
    </w:rPr>
  </w:style>
  <w:style w:type="character" w:customStyle="1" w:styleId="Nadpis4Char">
    <w:name w:val="Nadpis 4 Char"/>
    <w:link w:val="Nadpis4"/>
    <w:uiPriority w:val="99"/>
    <w:locked/>
    <w:rsid w:val="0084476D"/>
    <w:rPr>
      <w:b/>
      <w:bCs/>
      <w:sz w:val="24"/>
      <w:szCs w:val="28"/>
    </w:rPr>
  </w:style>
  <w:style w:type="character" w:customStyle="1" w:styleId="Nadpis5Char">
    <w:name w:val="Nadpis 5 Char"/>
    <w:link w:val="Nadpis5"/>
    <w:uiPriority w:val="99"/>
    <w:semiHidden/>
    <w:locked/>
    <w:rsid w:val="001A5B68"/>
    <w:rPr>
      <w:rFonts w:ascii="Calibri" w:hAnsi="Calibri" w:cs="Times New Roman"/>
      <w:b/>
      <w:bCs/>
      <w:i/>
      <w:iCs/>
      <w:sz w:val="26"/>
      <w:szCs w:val="26"/>
    </w:rPr>
  </w:style>
  <w:style w:type="character" w:customStyle="1" w:styleId="Nadpis6Char">
    <w:name w:val="Nadpis 6 Char"/>
    <w:link w:val="Nadpis6"/>
    <w:uiPriority w:val="99"/>
    <w:semiHidden/>
    <w:locked/>
    <w:rsid w:val="001A5B68"/>
    <w:rPr>
      <w:rFonts w:ascii="Calibri" w:hAnsi="Calibri" w:cs="Times New Roman"/>
      <w:b/>
      <w:bCs/>
    </w:rPr>
  </w:style>
  <w:style w:type="character" w:customStyle="1" w:styleId="Nadpis7Char">
    <w:name w:val="Nadpis 7 Char"/>
    <w:link w:val="Nadpis7"/>
    <w:uiPriority w:val="99"/>
    <w:semiHidden/>
    <w:locked/>
    <w:rsid w:val="001A5B68"/>
    <w:rPr>
      <w:rFonts w:ascii="Calibri" w:hAnsi="Calibri" w:cs="Times New Roman"/>
      <w:sz w:val="24"/>
      <w:szCs w:val="24"/>
    </w:rPr>
  </w:style>
  <w:style w:type="character" w:customStyle="1" w:styleId="Nadpis8Char">
    <w:name w:val="Nadpis 8 Char"/>
    <w:link w:val="Nadpis8"/>
    <w:uiPriority w:val="99"/>
    <w:semiHidden/>
    <w:locked/>
    <w:rsid w:val="001A5B68"/>
    <w:rPr>
      <w:rFonts w:ascii="Calibri" w:hAnsi="Calibri" w:cs="Times New Roman"/>
      <w:i/>
      <w:iCs/>
      <w:sz w:val="24"/>
      <w:szCs w:val="24"/>
    </w:rPr>
  </w:style>
  <w:style w:type="character" w:customStyle="1" w:styleId="Nadpis9Char">
    <w:name w:val="Nadpis 9 Char"/>
    <w:link w:val="Nadpis9"/>
    <w:uiPriority w:val="99"/>
    <w:semiHidden/>
    <w:locked/>
    <w:rsid w:val="001A5B68"/>
    <w:rPr>
      <w:rFonts w:ascii="Cambria" w:hAnsi="Cambria" w:cs="Times New Roman"/>
    </w:rPr>
  </w:style>
  <w:style w:type="paragraph" w:styleId="Textbubliny">
    <w:name w:val="Balloon Text"/>
    <w:basedOn w:val="Normln"/>
    <w:link w:val="TextbublinyChar"/>
    <w:uiPriority w:val="99"/>
    <w:semiHidden/>
    <w:rsid w:val="00D60F33"/>
    <w:rPr>
      <w:rFonts w:ascii="Tahoma" w:hAnsi="Tahoma" w:cs="Tahoma"/>
      <w:sz w:val="16"/>
      <w:szCs w:val="16"/>
    </w:rPr>
  </w:style>
  <w:style w:type="character" w:customStyle="1" w:styleId="TextbublinyChar">
    <w:name w:val="Text bubliny Char"/>
    <w:link w:val="Textbubliny"/>
    <w:uiPriority w:val="99"/>
    <w:semiHidden/>
    <w:locked/>
    <w:rsid w:val="001A5B68"/>
    <w:rPr>
      <w:rFonts w:cs="Times New Roman"/>
      <w:sz w:val="2"/>
    </w:rPr>
  </w:style>
  <w:style w:type="character" w:customStyle="1" w:styleId="Tuntext">
    <w:name w:val="Tučný text"/>
    <w:rsid w:val="00041E99"/>
    <w:rPr>
      <w:b/>
      <w:sz w:val="24"/>
    </w:rPr>
  </w:style>
  <w:style w:type="paragraph" w:customStyle="1" w:styleId="Nadpishlavnsti">
    <w:name w:val="Nadpis hlavní části"/>
    <w:basedOn w:val="Normln"/>
    <w:next w:val="Nadpis1"/>
    <w:uiPriority w:val="99"/>
    <w:rsid w:val="00E90FB0"/>
    <w:pPr>
      <w:pageBreakBefore/>
      <w:spacing w:before="240" w:after="240"/>
      <w:ind w:firstLine="0"/>
      <w:jc w:val="left"/>
      <w:outlineLvl w:val="0"/>
    </w:pPr>
    <w:rPr>
      <w:b/>
      <w:sz w:val="32"/>
    </w:rPr>
  </w:style>
  <w:style w:type="paragraph" w:styleId="Obsah2">
    <w:name w:val="toc 2"/>
    <w:basedOn w:val="Normln"/>
    <w:next w:val="Normln"/>
    <w:autoRedefine/>
    <w:uiPriority w:val="39"/>
    <w:rsid w:val="00BE073E"/>
    <w:pPr>
      <w:tabs>
        <w:tab w:val="right" w:leader="dot" w:pos="9062"/>
      </w:tabs>
      <w:spacing w:before="80" w:after="40" w:line="240" w:lineRule="auto"/>
      <w:ind w:left="538" w:right="382" w:hanging="357"/>
      <w:outlineLvl w:val="0"/>
    </w:pPr>
    <w:rPr>
      <w:noProof/>
    </w:rPr>
  </w:style>
  <w:style w:type="paragraph" w:styleId="Obsah1">
    <w:name w:val="toc 1"/>
    <w:basedOn w:val="Normln"/>
    <w:next w:val="Normln"/>
    <w:autoRedefine/>
    <w:uiPriority w:val="39"/>
    <w:rsid w:val="003E483C"/>
    <w:pPr>
      <w:tabs>
        <w:tab w:val="right" w:leader="dot" w:pos="9062"/>
      </w:tabs>
      <w:ind w:firstLine="0"/>
    </w:pPr>
    <w:rPr>
      <w:b/>
      <w:noProof/>
    </w:rPr>
  </w:style>
  <w:style w:type="paragraph" w:styleId="Obsah3">
    <w:name w:val="toc 3"/>
    <w:basedOn w:val="Normln"/>
    <w:next w:val="Normln"/>
    <w:autoRedefine/>
    <w:uiPriority w:val="39"/>
    <w:rsid w:val="00911D51"/>
    <w:pPr>
      <w:tabs>
        <w:tab w:val="right" w:leader="dot" w:pos="9062"/>
      </w:tabs>
      <w:spacing w:before="0" w:after="0" w:line="240" w:lineRule="auto"/>
      <w:ind w:left="900" w:hanging="360"/>
    </w:pPr>
  </w:style>
  <w:style w:type="paragraph" w:styleId="Obsah4">
    <w:name w:val="toc 4"/>
    <w:basedOn w:val="Normln"/>
    <w:next w:val="Normln"/>
    <w:autoRedefine/>
    <w:uiPriority w:val="39"/>
    <w:rsid w:val="00BE073E"/>
    <w:pPr>
      <w:tabs>
        <w:tab w:val="right" w:leader="dot" w:pos="9062"/>
      </w:tabs>
      <w:spacing w:before="0" w:after="0" w:line="240" w:lineRule="auto"/>
      <w:ind w:left="1260" w:right="382" w:hanging="720"/>
    </w:pPr>
  </w:style>
  <w:style w:type="character" w:styleId="Hypertextovodkaz">
    <w:name w:val="Hyperlink"/>
    <w:uiPriority w:val="99"/>
    <w:rsid w:val="002D4376"/>
    <w:rPr>
      <w:rFonts w:cs="Times New Roman"/>
      <w:color w:val="0000FF"/>
      <w:u w:val="single"/>
    </w:rPr>
  </w:style>
  <w:style w:type="paragraph" w:styleId="Obsah5">
    <w:name w:val="toc 5"/>
    <w:basedOn w:val="Normln"/>
    <w:next w:val="Normln"/>
    <w:autoRedefine/>
    <w:uiPriority w:val="99"/>
    <w:rsid w:val="008342E9"/>
    <w:pPr>
      <w:ind w:left="958" w:firstLine="0"/>
    </w:pPr>
  </w:style>
  <w:style w:type="paragraph" w:styleId="Titulek">
    <w:name w:val="caption"/>
    <w:basedOn w:val="Normln"/>
    <w:next w:val="Normln"/>
    <w:link w:val="TitulekChar"/>
    <w:qFormat/>
    <w:rsid w:val="00D63E6A"/>
    <w:pPr>
      <w:keepNext/>
      <w:spacing w:before="480" w:after="240" w:line="240" w:lineRule="auto"/>
      <w:ind w:firstLine="0"/>
      <w:jc w:val="center"/>
    </w:pPr>
    <w:rPr>
      <w:b/>
      <w:szCs w:val="20"/>
    </w:rPr>
  </w:style>
  <w:style w:type="paragraph" w:styleId="Zkladntext">
    <w:name w:val="Body Text"/>
    <w:basedOn w:val="Normln"/>
    <w:link w:val="ZkladntextChar"/>
    <w:uiPriority w:val="99"/>
    <w:rsid w:val="00605C58"/>
    <w:pPr>
      <w:overflowPunct w:val="0"/>
      <w:autoSpaceDE w:val="0"/>
      <w:autoSpaceDN w:val="0"/>
      <w:adjustRightInd w:val="0"/>
      <w:spacing w:before="0" w:after="0" w:line="240" w:lineRule="auto"/>
      <w:ind w:firstLine="0"/>
      <w:jc w:val="center"/>
      <w:textAlignment w:val="baseline"/>
    </w:pPr>
    <w:rPr>
      <w:sz w:val="28"/>
      <w:szCs w:val="20"/>
    </w:rPr>
  </w:style>
  <w:style w:type="character" w:customStyle="1" w:styleId="ZkladntextChar">
    <w:name w:val="Základní text Char"/>
    <w:link w:val="Zkladntext"/>
    <w:uiPriority w:val="99"/>
    <w:semiHidden/>
    <w:locked/>
    <w:rsid w:val="001A5B68"/>
    <w:rPr>
      <w:rFonts w:cs="Times New Roman"/>
      <w:sz w:val="24"/>
      <w:szCs w:val="24"/>
    </w:rPr>
  </w:style>
  <w:style w:type="paragraph" w:customStyle="1" w:styleId="Zkladntext21">
    <w:name w:val="Základní text 21"/>
    <w:basedOn w:val="Normln"/>
    <w:uiPriority w:val="99"/>
    <w:rsid w:val="00605C58"/>
    <w:pPr>
      <w:overflowPunct w:val="0"/>
      <w:autoSpaceDE w:val="0"/>
      <w:autoSpaceDN w:val="0"/>
      <w:adjustRightInd w:val="0"/>
      <w:spacing w:before="0" w:after="0"/>
      <w:ind w:firstLine="0"/>
      <w:textAlignment w:val="baseline"/>
    </w:pPr>
    <w:rPr>
      <w:szCs w:val="20"/>
    </w:rPr>
  </w:style>
  <w:style w:type="paragraph" w:customStyle="1" w:styleId="Zkladntextodsazen21">
    <w:name w:val="Základní text odsazený 21"/>
    <w:basedOn w:val="Normln"/>
    <w:uiPriority w:val="99"/>
    <w:rsid w:val="00605C58"/>
    <w:pPr>
      <w:overflowPunct w:val="0"/>
      <w:autoSpaceDE w:val="0"/>
      <w:autoSpaceDN w:val="0"/>
      <w:adjustRightInd w:val="0"/>
      <w:spacing w:before="0" w:after="0" w:line="240" w:lineRule="auto"/>
      <w:ind w:firstLine="540"/>
      <w:textAlignment w:val="baseline"/>
    </w:pPr>
    <w:rPr>
      <w:szCs w:val="20"/>
    </w:rPr>
  </w:style>
  <w:style w:type="paragraph" w:styleId="Zkladntext2">
    <w:name w:val="Body Text 2"/>
    <w:basedOn w:val="Normln"/>
    <w:link w:val="Zkladntext2Char"/>
    <w:uiPriority w:val="99"/>
    <w:rsid w:val="00605C58"/>
    <w:pPr>
      <w:overflowPunct w:val="0"/>
      <w:autoSpaceDE w:val="0"/>
      <w:autoSpaceDN w:val="0"/>
      <w:adjustRightInd w:val="0"/>
      <w:spacing w:before="0" w:line="480" w:lineRule="auto"/>
      <w:ind w:firstLine="0"/>
      <w:jc w:val="left"/>
      <w:textAlignment w:val="baseline"/>
    </w:pPr>
    <w:rPr>
      <w:szCs w:val="20"/>
    </w:rPr>
  </w:style>
  <w:style w:type="character" w:customStyle="1" w:styleId="Zkladntext2Char">
    <w:name w:val="Základní text 2 Char"/>
    <w:link w:val="Zkladntext2"/>
    <w:uiPriority w:val="99"/>
    <w:semiHidden/>
    <w:locked/>
    <w:rsid w:val="001A5B68"/>
    <w:rPr>
      <w:rFonts w:cs="Times New Roman"/>
      <w:sz w:val="24"/>
      <w:szCs w:val="24"/>
    </w:rPr>
  </w:style>
  <w:style w:type="paragraph" w:customStyle="1" w:styleId="Styl1">
    <w:name w:val="Styl1"/>
    <w:basedOn w:val="Normln"/>
    <w:uiPriority w:val="99"/>
    <w:rsid w:val="009F0051"/>
    <w:pPr>
      <w:tabs>
        <w:tab w:val="left" w:pos="7797"/>
        <w:tab w:val="left" w:pos="8080"/>
        <w:tab w:val="left" w:pos="8505"/>
      </w:tabs>
      <w:overflowPunct w:val="0"/>
      <w:autoSpaceDE w:val="0"/>
      <w:autoSpaceDN w:val="0"/>
      <w:adjustRightInd w:val="0"/>
      <w:spacing w:after="0"/>
      <w:ind w:right="-1" w:firstLine="0"/>
      <w:textAlignment w:val="baseline"/>
    </w:pPr>
    <w:rPr>
      <w:szCs w:val="20"/>
    </w:rPr>
  </w:style>
  <w:style w:type="paragraph" w:styleId="Zkladntextodsazen">
    <w:name w:val="Body Text Indent"/>
    <w:basedOn w:val="Normln"/>
    <w:link w:val="ZkladntextodsazenChar"/>
    <w:rsid w:val="00F96101"/>
    <w:pPr>
      <w:ind w:left="283"/>
    </w:pPr>
  </w:style>
  <w:style w:type="character" w:customStyle="1" w:styleId="ZkladntextodsazenChar">
    <w:name w:val="Základní text odsazený Char"/>
    <w:link w:val="Zkladntextodsazen"/>
    <w:semiHidden/>
    <w:locked/>
    <w:rsid w:val="001A5B68"/>
    <w:rPr>
      <w:rFonts w:cs="Times New Roman"/>
      <w:sz w:val="24"/>
      <w:szCs w:val="24"/>
    </w:rPr>
  </w:style>
  <w:style w:type="paragraph" w:styleId="Zhlav">
    <w:name w:val="header"/>
    <w:basedOn w:val="Normln"/>
    <w:link w:val="ZhlavChar"/>
    <w:uiPriority w:val="99"/>
    <w:rsid w:val="00E30F6C"/>
    <w:pPr>
      <w:tabs>
        <w:tab w:val="center" w:pos="4536"/>
        <w:tab w:val="right" w:pos="9072"/>
      </w:tabs>
    </w:pPr>
  </w:style>
  <w:style w:type="character" w:customStyle="1" w:styleId="ZhlavChar">
    <w:name w:val="Záhlaví Char"/>
    <w:link w:val="Zhlav"/>
    <w:uiPriority w:val="99"/>
    <w:semiHidden/>
    <w:locked/>
    <w:rsid w:val="001A5B68"/>
    <w:rPr>
      <w:rFonts w:cs="Times New Roman"/>
      <w:sz w:val="24"/>
      <w:szCs w:val="24"/>
    </w:rPr>
  </w:style>
  <w:style w:type="character" w:customStyle="1" w:styleId="Kurzva">
    <w:name w:val="Kurzíva"/>
    <w:uiPriority w:val="99"/>
    <w:rsid w:val="00B8653E"/>
    <w:rPr>
      <w:i/>
    </w:rPr>
  </w:style>
  <w:style w:type="paragraph" w:customStyle="1" w:styleId="Zkladntext31">
    <w:name w:val="Základní text 31"/>
    <w:basedOn w:val="Normln"/>
    <w:uiPriority w:val="99"/>
    <w:rsid w:val="007B03D5"/>
    <w:pPr>
      <w:overflowPunct w:val="0"/>
      <w:autoSpaceDE w:val="0"/>
      <w:autoSpaceDN w:val="0"/>
      <w:adjustRightInd w:val="0"/>
      <w:spacing w:before="0" w:after="0" w:line="240" w:lineRule="auto"/>
      <w:ind w:firstLine="0"/>
      <w:jc w:val="left"/>
      <w:textAlignment w:val="baseline"/>
    </w:pPr>
    <w:rPr>
      <w:b/>
      <w:sz w:val="28"/>
      <w:szCs w:val="20"/>
      <w:u w:val="single"/>
    </w:rPr>
  </w:style>
  <w:style w:type="paragraph" w:styleId="Rozloendokumentu">
    <w:name w:val="Document Map"/>
    <w:basedOn w:val="Normln"/>
    <w:link w:val="RozloendokumentuChar"/>
    <w:uiPriority w:val="99"/>
    <w:semiHidden/>
    <w:rsid w:val="0045064F"/>
    <w:pPr>
      <w:shd w:val="clear" w:color="auto" w:fill="000080"/>
    </w:pPr>
    <w:rPr>
      <w:rFonts w:ascii="Tahoma" w:hAnsi="Tahoma" w:cs="Tahoma"/>
      <w:sz w:val="20"/>
      <w:szCs w:val="20"/>
    </w:rPr>
  </w:style>
  <w:style w:type="character" w:customStyle="1" w:styleId="RozloendokumentuChar">
    <w:name w:val="Rozložení dokumentu Char"/>
    <w:link w:val="Rozloendokumentu"/>
    <w:uiPriority w:val="99"/>
    <w:semiHidden/>
    <w:locked/>
    <w:rsid w:val="001A5B68"/>
    <w:rPr>
      <w:rFonts w:cs="Times New Roman"/>
      <w:sz w:val="2"/>
    </w:rPr>
  </w:style>
  <w:style w:type="paragraph" w:styleId="Textpoznpodarou">
    <w:name w:val="footnote text"/>
    <w:aliases w:val="Schriftart: 9 pt,Schriftart: 10 pt,Schriftart: 8 pt"/>
    <w:basedOn w:val="Normln"/>
    <w:link w:val="TextpoznpodarouChar"/>
    <w:rsid w:val="009439AA"/>
    <w:pPr>
      <w:spacing w:before="0" w:line="240" w:lineRule="auto"/>
      <w:ind w:firstLine="0"/>
    </w:pPr>
    <w:rPr>
      <w:sz w:val="20"/>
      <w:szCs w:val="20"/>
    </w:rPr>
  </w:style>
  <w:style w:type="character" w:customStyle="1" w:styleId="TextpoznpodarouChar">
    <w:name w:val="Text pozn. pod čarou Char"/>
    <w:aliases w:val="Schriftart: 9 pt Char,Schriftart: 10 pt Char,Schriftart: 8 pt Char"/>
    <w:link w:val="Textpoznpodarou"/>
    <w:locked/>
    <w:rsid w:val="003A752F"/>
    <w:rPr>
      <w:rFonts w:cs="Times New Roman"/>
    </w:rPr>
  </w:style>
  <w:style w:type="character" w:styleId="Znakapoznpodarou">
    <w:name w:val="footnote reference"/>
    <w:rsid w:val="00264DCC"/>
    <w:rPr>
      <w:rFonts w:cs="Times New Roman"/>
      <w:vertAlign w:val="superscript"/>
    </w:rPr>
  </w:style>
  <w:style w:type="paragraph" w:styleId="Zpat">
    <w:name w:val="footer"/>
    <w:basedOn w:val="Normln"/>
    <w:link w:val="ZpatChar"/>
    <w:uiPriority w:val="99"/>
    <w:rsid w:val="005E402B"/>
    <w:pPr>
      <w:tabs>
        <w:tab w:val="center" w:pos="4536"/>
        <w:tab w:val="right" w:pos="9072"/>
      </w:tabs>
    </w:pPr>
  </w:style>
  <w:style w:type="character" w:customStyle="1" w:styleId="ZpatChar">
    <w:name w:val="Zápatí Char"/>
    <w:link w:val="Zpat"/>
    <w:uiPriority w:val="99"/>
    <w:locked/>
    <w:rsid w:val="00B03A64"/>
    <w:rPr>
      <w:rFonts w:cs="Times New Roman"/>
      <w:sz w:val="24"/>
    </w:rPr>
  </w:style>
  <w:style w:type="character" w:styleId="slostrnky">
    <w:name w:val="page number"/>
    <w:uiPriority w:val="99"/>
    <w:rsid w:val="005E402B"/>
    <w:rPr>
      <w:rFonts w:cs="Times New Roman"/>
    </w:rPr>
  </w:style>
  <w:style w:type="paragraph" w:styleId="Zkladntextodsazen3">
    <w:name w:val="Body Text Indent 3"/>
    <w:basedOn w:val="Normln"/>
    <w:link w:val="Zkladntextodsazen3Char"/>
    <w:uiPriority w:val="99"/>
    <w:rsid w:val="007F4FC8"/>
    <w:pPr>
      <w:ind w:left="283"/>
    </w:pPr>
    <w:rPr>
      <w:sz w:val="16"/>
      <w:szCs w:val="16"/>
    </w:rPr>
  </w:style>
  <w:style w:type="character" w:customStyle="1" w:styleId="Zkladntextodsazen3Char">
    <w:name w:val="Základní text odsazený 3 Char"/>
    <w:link w:val="Zkladntextodsazen3"/>
    <w:uiPriority w:val="99"/>
    <w:semiHidden/>
    <w:locked/>
    <w:rsid w:val="001A5B68"/>
    <w:rPr>
      <w:rFonts w:cs="Times New Roman"/>
      <w:sz w:val="16"/>
      <w:szCs w:val="16"/>
    </w:rPr>
  </w:style>
  <w:style w:type="paragraph" w:customStyle="1" w:styleId="StylTitulekPed6bZa0b">
    <w:name w:val="Styl Titulek + Před:  6 b. Za:  0 b."/>
    <w:basedOn w:val="Titulek"/>
    <w:uiPriority w:val="99"/>
    <w:rsid w:val="001F7643"/>
    <w:pPr>
      <w:spacing w:after="0"/>
    </w:pPr>
  </w:style>
  <w:style w:type="table" w:styleId="Mkatabulky">
    <w:name w:val="Table Grid"/>
    <w:basedOn w:val="Normlntabulka"/>
    <w:uiPriority w:val="99"/>
    <w:rsid w:val="001114C9"/>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Char">
    <w:name w:val="Titulek Char"/>
    <w:link w:val="Titulek"/>
    <w:locked/>
    <w:rsid w:val="00D63E6A"/>
    <w:rPr>
      <w:b/>
      <w:sz w:val="24"/>
    </w:rPr>
  </w:style>
  <w:style w:type="paragraph" w:customStyle="1" w:styleId="StylNadpis2nenKurzva1">
    <w:name w:val="Styl Nadpis 2 + není Kurzíva1"/>
    <w:basedOn w:val="Nadpis2"/>
    <w:link w:val="StylNadpis2nenKurzva1CharChar"/>
    <w:uiPriority w:val="99"/>
    <w:rsid w:val="00C171CE"/>
    <w:pPr>
      <w:numPr>
        <w:ilvl w:val="0"/>
        <w:numId w:val="0"/>
      </w:numPr>
      <w:tabs>
        <w:tab w:val="num" w:pos="709"/>
      </w:tabs>
      <w:spacing w:after="60" w:line="240" w:lineRule="auto"/>
      <w:ind w:left="709" w:hanging="709"/>
    </w:pPr>
    <w:rPr>
      <w:rFonts w:cs="Times New Roman"/>
      <w:bCs w:val="0"/>
      <w:i w:val="0"/>
      <w:iCs w:val="0"/>
      <w:szCs w:val="20"/>
    </w:rPr>
  </w:style>
  <w:style w:type="character" w:customStyle="1" w:styleId="StylNadpis2nenKurzva1CharChar">
    <w:name w:val="Styl Nadpis 2 + není Kurzíva1 Char Char"/>
    <w:link w:val="StylNadpis2nenKurzva1"/>
    <w:uiPriority w:val="99"/>
    <w:locked/>
    <w:rsid w:val="00C171CE"/>
    <w:rPr>
      <w:b/>
      <w:sz w:val="28"/>
      <w:lang w:val="cs-CZ" w:eastAsia="cs-CZ"/>
    </w:rPr>
  </w:style>
  <w:style w:type="paragraph" w:customStyle="1" w:styleId="StylTitulekZa0b">
    <w:name w:val="Styl Titulek + Za:  0 b."/>
    <w:basedOn w:val="Titulek"/>
    <w:uiPriority w:val="99"/>
    <w:rsid w:val="00A46DF8"/>
    <w:pPr>
      <w:spacing w:before="0" w:after="0"/>
    </w:pPr>
  </w:style>
  <w:style w:type="paragraph" w:styleId="Normlnweb">
    <w:name w:val="Normal (Web)"/>
    <w:basedOn w:val="Normln"/>
    <w:uiPriority w:val="99"/>
    <w:rsid w:val="006A450A"/>
    <w:pPr>
      <w:spacing w:after="192" w:line="240" w:lineRule="auto"/>
      <w:ind w:firstLine="0"/>
      <w:jc w:val="left"/>
    </w:pPr>
  </w:style>
  <w:style w:type="paragraph" w:styleId="Seznamobrzk">
    <w:name w:val="table of figures"/>
    <w:basedOn w:val="Normln"/>
    <w:next w:val="Normln"/>
    <w:uiPriority w:val="99"/>
    <w:semiHidden/>
    <w:rsid w:val="00A015AD"/>
  </w:style>
  <w:style w:type="paragraph" w:customStyle="1" w:styleId="StylNadpishlavnstiZarovnatdoblokuPrvndek095cm">
    <w:name w:val="Styl Nadpis hlavní části + Zarovnat do bloku První řádek:  095 cm"/>
    <w:basedOn w:val="Nadpishlavnsti"/>
    <w:uiPriority w:val="99"/>
    <w:rsid w:val="00D91C5F"/>
    <w:rPr>
      <w:szCs w:val="20"/>
    </w:rPr>
  </w:style>
  <w:style w:type="paragraph" w:styleId="Nadpisobsahu">
    <w:name w:val="TOC Heading"/>
    <w:basedOn w:val="Nadpis1"/>
    <w:next w:val="Normln"/>
    <w:uiPriority w:val="99"/>
    <w:qFormat/>
    <w:rsid w:val="00D20A6E"/>
    <w:pPr>
      <w:keepLines/>
      <w:numPr>
        <w:numId w:val="0"/>
      </w:numPr>
      <w:spacing w:before="480" w:after="0" w:line="276" w:lineRule="auto"/>
      <w:outlineLvl w:val="9"/>
    </w:pPr>
    <w:rPr>
      <w:rFonts w:ascii="Cambria" w:hAnsi="Cambria" w:cs="Times New Roman"/>
      <w:color w:val="365F91"/>
      <w:kern w:val="0"/>
      <w:sz w:val="28"/>
      <w:szCs w:val="28"/>
    </w:rPr>
  </w:style>
  <w:style w:type="paragraph" w:customStyle="1" w:styleId="odrkynae">
    <w:name w:val="odrážky naše"/>
    <w:basedOn w:val="Normln"/>
    <w:uiPriority w:val="99"/>
    <w:rsid w:val="006A039E"/>
    <w:pPr>
      <w:numPr>
        <w:numId w:val="9"/>
      </w:numPr>
      <w:spacing w:after="0"/>
    </w:pPr>
  </w:style>
  <w:style w:type="paragraph" w:customStyle="1" w:styleId="StylNadpishlavnstiTunNahoebezohranienDole">
    <w:name w:val="Styl Nadpis hlavní části + Tučné Nahoře: (bez ohraničení) Dole: ..."/>
    <w:basedOn w:val="Nadpishlavnsti"/>
    <w:uiPriority w:val="99"/>
    <w:rsid w:val="00DF76C5"/>
    <w:rPr>
      <w:b w:val="0"/>
      <w:bCs/>
      <w:szCs w:val="20"/>
    </w:rPr>
  </w:style>
  <w:style w:type="paragraph" w:customStyle="1" w:styleId="StylNadpishlavnstiTunPrvndek063cmNahoe">
    <w:name w:val="Styl Nadpis hlavní části + Tučné První řádek:  063 cm Nahoře: (..."/>
    <w:basedOn w:val="Nadpishlavnsti"/>
    <w:uiPriority w:val="99"/>
    <w:rsid w:val="00052D9E"/>
    <w:pPr>
      <w:ind w:firstLine="357"/>
    </w:pPr>
    <w:rPr>
      <w:b w:val="0"/>
      <w:bCs/>
      <w:szCs w:val="20"/>
    </w:rPr>
  </w:style>
  <w:style w:type="character" w:customStyle="1" w:styleId="CharChar3">
    <w:name w:val="Char Char3"/>
    <w:uiPriority w:val="99"/>
    <w:rsid w:val="00D82E03"/>
    <w:rPr>
      <w:b/>
      <w:sz w:val="24"/>
      <w:lang w:val="cs-CZ" w:eastAsia="cs-CZ"/>
    </w:rPr>
  </w:style>
  <w:style w:type="character" w:styleId="Odkaznakoment">
    <w:name w:val="annotation reference"/>
    <w:uiPriority w:val="99"/>
    <w:rsid w:val="00C6041A"/>
    <w:rPr>
      <w:rFonts w:cs="Times New Roman"/>
      <w:sz w:val="16"/>
    </w:rPr>
  </w:style>
  <w:style w:type="paragraph" w:styleId="Textkomente">
    <w:name w:val="annotation text"/>
    <w:basedOn w:val="Normln"/>
    <w:link w:val="TextkomenteChar"/>
    <w:uiPriority w:val="99"/>
    <w:rsid w:val="00C6041A"/>
    <w:rPr>
      <w:sz w:val="20"/>
      <w:szCs w:val="20"/>
    </w:rPr>
  </w:style>
  <w:style w:type="character" w:customStyle="1" w:styleId="TextkomenteChar">
    <w:name w:val="Text komentáře Char"/>
    <w:link w:val="Textkomente"/>
    <w:uiPriority w:val="99"/>
    <w:locked/>
    <w:rsid w:val="00C6041A"/>
    <w:rPr>
      <w:rFonts w:cs="Times New Roman"/>
    </w:rPr>
  </w:style>
  <w:style w:type="paragraph" w:styleId="Pedmtkomente">
    <w:name w:val="annotation subject"/>
    <w:basedOn w:val="Textkomente"/>
    <w:next w:val="Textkomente"/>
    <w:link w:val="PedmtkomenteChar"/>
    <w:uiPriority w:val="99"/>
    <w:rsid w:val="00C6041A"/>
    <w:rPr>
      <w:b/>
      <w:bCs/>
    </w:rPr>
  </w:style>
  <w:style w:type="character" w:customStyle="1" w:styleId="PedmtkomenteChar">
    <w:name w:val="Předmět komentáře Char"/>
    <w:link w:val="Pedmtkomente"/>
    <w:uiPriority w:val="99"/>
    <w:locked/>
    <w:rsid w:val="00C6041A"/>
    <w:rPr>
      <w:rFonts w:cs="Times New Roman"/>
      <w:b/>
    </w:rPr>
  </w:style>
  <w:style w:type="paragraph" w:customStyle="1" w:styleId="ZKDvouslopcovpozn">
    <w:name w:val="ZK_Dvouslopcový_pozn."/>
    <w:basedOn w:val="Normln"/>
    <w:link w:val="ZKDvouslopcovpoznChar"/>
    <w:rsid w:val="00E21EFB"/>
    <w:pPr>
      <w:spacing w:before="0" w:after="60" w:line="252" w:lineRule="auto"/>
      <w:ind w:firstLine="0"/>
    </w:pPr>
    <w:rPr>
      <w:rFonts w:ascii="Calibri" w:hAnsi="Calibri"/>
      <w:i/>
      <w:kern w:val="20"/>
      <w:szCs w:val="20"/>
    </w:rPr>
  </w:style>
  <w:style w:type="character" w:customStyle="1" w:styleId="ZKDvouslopcovpoznChar">
    <w:name w:val="ZK_Dvouslopcový_pozn. Char"/>
    <w:link w:val="ZKDvouslopcovpozn"/>
    <w:locked/>
    <w:rsid w:val="00E21EFB"/>
    <w:rPr>
      <w:rFonts w:ascii="Calibri" w:hAnsi="Calibri"/>
      <w:i/>
      <w:kern w:val="20"/>
      <w:sz w:val="24"/>
    </w:rPr>
  </w:style>
  <w:style w:type="paragraph" w:customStyle="1" w:styleId="Styl1mmmmm">
    <w:name w:val="Styl1mmmmm"/>
    <w:basedOn w:val="Normln"/>
    <w:uiPriority w:val="99"/>
    <w:rsid w:val="00094393"/>
    <w:pPr>
      <w:numPr>
        <w:numId w:val="19"/>
      </w:numPr>
      <w:spacing w:before="0" w:after="0"/>
    </w:pPr>
  </w:style>
  <w:style w:type="numbering" w:customStyle="1" w:styleId="Odrky">
    <w:name w:val="Odrážky"/>
    <w:rsid w:val="00380BEF"/>
    <w:pPr>
      <w:numPr>
        <w:numId w:val="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Nadpis1Char">
    <w:name w:val="Odrky"/>
    <w:pPr>
      <w:numPr>
        <w:numId w:val="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709418">
      <w:marLeft w:val="0"/>
      <w:marRight w:val="0"/>
      <w:marTop w:val="0"/>
      <w:marBottom w:val="0"/>
      <w:divBdr>
        <w:top w:val="none" w:sz="0" w:space="0" w:color="auto"/>
        <w:left w:val="none" w:sz="0" w:space="0" w:color="auto"/>
        <w:bottom w:val="none" w:sz="0" w:space="0" w:color="auto"/>
        <w:right w:val="none" w:sz="0" w:space="0" w:color="auto"/>
      </w:divBdr>
    </w:div>
    <w:div w:id="109709419">
      <w:marLeft w:val="0"/>
      <w:marRight w:val="0"/>
      <w:marTop w:val="0"/>
      <w:marBottom w:val="0"/>
      <w:divBdr>
        <w:top w:val="none" w:sz="0" w:space="0" w:color="auto"/>
        <w:left w:val="none" w:sz="0" w:space="0" w:color="auto"/>
        <w:bottom w:val="none" w:sz="0" w:space="0" w:color="auto"/>
        <w:right w:val="none" w:sz="0" w:space="0" w:color="auto"/>
      </w:divBdr>
    </w:div>
    <w:div w:id="109709420">
      <w:marLeft w:val="0"/>
      <w:marRight w:val="0"/>
      <w:marTop w:val="0"/>
      <w:marBottom w:val="0"/>
      <w:divBdr>
        <w:top w:val="none" w:sz="0" w:space="0" w:color="auto"/>
        <w:left w:val="none" w:sz="0" w:space="0" w:color="auto"/>
        <w:bottom w:val="none" w:sz="0" w:space="0" w:color="auto"/>
        <w:right w:val="none" w:sz="0" w:space="0" w:color="auto"/>
      </w:divBdr>
    </w:div>
    <w:div w:id="109709421">
      <w:marLeft w:val="0"/>
      <w:marRight w:val="0"/>
      <w:marTop w:val="0"/>
      <w:marBottom w:val="0"/>
      <w:divBdr>
        <w:top w:val="none" w:sz="0" w:space="0" w:color="auto"/>
        <w:left w:val="none" w:sz="0" w:space="0" w:color="auto"/>
        <w:bottom w:val="none" w:sz="0" w:space="0" w:color="auto"/>
        <w:right w:val="none" w:sz="0" w:space="0" w:color="auto"/>
      </w:divBdr>
    </w:div>
    <w:div w:id="109709422">
      <w:marLeft w:val="0"/>
      <w:marRight w:val="0"/>
      <w:marTop w:val="0"/>
      <w:marBottom w:val="0"/>
      <w:divBdr>
        <w:top w:val="none" w:sz="0" w:space="0" w:color="auto"/>
        <w:left w:val="none" w:sz="0" w:space="0" w:color="auto"/>
        <w:bottom w:val="none" w:sz="0" w:space="0" w:color="auto"/>
        <w:right w:val="none" w:sz="0" w:space="0" w:color="auto"/>
      </w:divBdr>
    </w:div>
    <w:div w:id="109709423">
      <w:marLeft w:val="0"/>
      <w:marRight w:val="0"/>
      <w:marTop w:val="0"/>
      <w:marBottom w:val="0"/>
      <w:divBdr>
        <w:top w:val="none" w:sz="0" w:space="0" w:color="auto"/>
        <w:left w:val="none" w:sz="0" w:space="0" w:color="auto"/>
        <w:bottom w:val="none" w:sz="0" w:space="0" w:color="auto"/>
        <w:right w:val="none" w:sz="0" w:space="0" w:color="auto"/>
      </w:divBdr>
    </w:div>
    <w:div w:id="109709424">
      <w:marLeft w:val="0"/>
      <w:marRight w:val="0"/>
      <w:marTop w:val="0"/>
      <w:marBottom w:val="0"/>
      <w:divBdr>
        <w:top w:val="none" w:sz="0" w:space="0" w:color="auto"/>
        <w:left w:val="none" w:sz="0" w:space="0" w:color="auto"/>
        <w:bottom w:val="none" w:sz="0" w:space="0" w:color="auto"/>
        <w:right w:val="none" w:sz="0" w:space="0" w:color="auto"/>
      </w:divBdr>
    </w:div>
    <w:div w:id="109709425">
      <w:marLeft w:val="0"/>
      <w:marRight w:val="0"/>
      <w:marTop w:val="0"/>
      <w:marBottom w:val="0"/>
      <w:divBdr>
        <w:top w:val="none" w:sz="0" w:space="0" w:color="auto"/>
        <w:left w:val="none" w:sz="0" w:space="0" w:color="auto"/>
        <w:bottom w:val="none" w:sz="0" w:space="0" w:color="auto"/>
        <w:right w:val="none" w:sz="0" w:space="0" w:color="auto"/>
      </w:divBdr>
    </w:div>
    <w:div w:id="109709426">
      <w:marLeft w:val="0"/>
      <w:marRight w:val="0"/>
      <w:marTop w:val="0"/>
      <w:marBottom w:val="0"/>
      <w:divBdr>
        <w:top w:val="none" w:sz="0" w:space="0" w:color="auto"/>
        <w:left w:val="none" w:sz="0" w:space="0" w:color="auto"/>
        <w:bottom w:val="none" w:sz="0" w:space="0" w:color="auto"/>
        <w:right w:val="none" w:sz="0" w:space="0" w:color="auto"/>
      </w:divBdr>
    </w:div>
    <w:div w:id="109709427">
      <w:marLeft w:val="0"/>
      <w:marRight w:val="0"/>
      <w:marTop w:val="0"/>
      <w:marBottom w:val="0"/>
      <w:divBdr>
        <w:top w:val="none" w:sz="0" w:space="0" w:color="auto"/>
        <w:left w:val="none" w:sz="0" w:space="0" w:color="auto"/>
        <w:bottom w:val="none" w:sz="0" w:space="0" w:color="auto"/>
        <w:right w:val="none" w:sz="0" w:space="0" w:color="auto"/>
      </w:divBdr>
    </w:div>
    <w:div w:id="109709428">
      <w:marLeft w:val="0"/>
      <w:marRight w:val="0"/>
      <w:marTop w:val="0"/>
      <w:marBottom w:val="0"/>
      <w:divBdr>
        <w:top w:val="none" w:sz="0" w:space="0" w:color="auto"/>
        <w:left w:val="none" w:sz="0" w:space="0" w:color="auto"/>
        <w:bottom w:val="none" w:sz="0" w:space="0" w:color="auto"/>
        <w:right w:val="none" w:sz="0" w:space="0" w:color="auto"/>
      </w:divBdr>
    </w:div>
    <w:div w:id="109709429">
      <w:marLeft w:val="0"/>
      <w:marRight w:val="0"/>
      <w:marTop w:val="0"/>
      <w:marBottom w:val="0"/>
      <w:divBdr>
        <w:top w:val="none" w:sz="0" w:space="0" w:color="auto"/>
        <w:left w:val="none" w:sz="0" w:space="0" w:color="auto"/>
        <w:bottom w:val="none" w:sz="0" w:space="0" w:color="auto"/>
        <w:right w:val="none" w:sz="0" w:space="0" w:color="auto"/>
      </w:divBdr>
    </w:div>
    <w:div w:id="109709430">
      <w:marLeft w:val="0"/>
      <w:marRight w:val="0"/>
      <w:marTop w:val="0"/>
      <w:marBottom w:val="0"/>
      <w:divBdr>
        <w:top w:val="none" w:sz="0" w:space="0" w:color="auto"/>
        <w:left w:val="none" w:sz="0" w:space="0" w:color="auto"/>
        <w:bottom w:val="none" w:sz="0" w:space="0" w:color="auto"/>
        <w:right w:val="none" w:sz="0" w:space="0" w:color="auto"/>
      </w:divBdr>
    </w:div>
    <w:div w:id="109709431">
      <w:marLeft w:val="0"/>
      <w:marRight w:val="0"/>
      <w:marTop w:val="0"/>
      <w:marBottom w:val="0"/>
      <w:divBdr>
        <w:top w:val="none" w:sz="0" w:space="0" w:color="auto"/>
        <w:left w:val="none" w:sz="0" w:space="0" w:color="auto"/>
        <w:bottom w:val="none" w:sz="0" w:space="0" w:color="auto"/>
        <w:right w:val="none" w:sz="0" w:space="0" w:color="auto"/>
      </w:divBdr>
    </w:div>
    <w:div w:id="109709432">
      <w:marLeft w:val="0"/>
      <w:marRight w:val="0"/>
      <w:marTop w:val="0"/>
      <w:marBottom w:val="0"/>
      <w:divBdr>
        <w:top w:val="none" w:sz="0" w:space="0" w:color="auto"/>
        <w:left w:val="none" w:sz="0" w:space="0" w:color="auto"/>
        <w:bottom w:val="none" w:sz="0" w:space="0" w:color="auto"/>
        <w:right w:val="none" w:sz="0" w:space="0" w:color="auto"/>
      </w:divBdr>
    </w:div>
    <w:div w:id="109709433">
      <w:marLeft w:val="0"/>
      <w:marRight w:val="0"/>
      <w:marTop w:val="0"/>
      <w:marBottom w:val="0"/>
      <w:divBdr>
        <w:top w:val="none" w:sz="0" w:space="0" w:color="auto"/>
        <w:left w:val="none" w:sz="0" w:space="0" w:color="auto"/>
        <w:bottom w:val="none" w:sz="0" w:space="0" w:color="auto"/>
        <w:right w:val="none" w:sz="0" w:space="0" w:color="auto"/>
      </w:divBdr>
    </w:div>
    <w:div w:id="109709434">
      <w:marLeft w:val="0"/>
      <w:marRight w:val="0"/>
      <w:marTop w:val="0"/>
      <w:marBottom w:val="0"/>
      <w:divBdr>
        <w:top w:val="none" w:sz="0" w:space="0" w:color="auto"/>
        <w:left w:val="none" w:sz="0" w:space="0" w:color="auto"/>
        <w:bottom w:val="none" w:sz="0" w:space="0" w:color="auto"/>
        <w:right w:val="none" w:sz="0" w:space="0" w:color="auto"/>
      </w:divBdr>
    </w:div>
    <w:div w:id="109709435">
      <w:marLeft w:val="0"/>
      <w:marRight w:val="0"/>
      <w:marTop w:val="0"/>
      <w:marBottom w:val="0"/>
      <w:divBdr>
        <w:top w:val="none" w:sz="0" w:space="0" w:color="auto"/>
        <w:left w:val="none" w:sz="0" w:space="0" w:color="auto"/>
        <w:bottom w:val="none" w:sz="0" w:space="0" w:color="auto"/>
        <w:right w:val="none" w:sz="0" w:space="0" w:color="auto"/>
      </w:divBdr>
    </w:div>
    <w:div w:id="109709436">
      <w:marLeft w:val="0"/>
      <w:marRight w:val="0"/>
      <w:marTop w:val="0"/>
      <w:marBottom w:val="0"/>
      <w:divBdr>
        <w:top w:val="none" w:sz="0" w:space="0" w:color="auto"/>
        <w:left w:val="none" w:sz="0" w:space="0" w:color="auto"/>
        <w:bottom w:val="none" w:sz="0" w:space="0" w:color="auto"/>
        <w:right w:val="none" w:sz="0" w:space="0" w:color="auto"/>
      </w:divBdr>
    </w:div>
    <w:div w:id="109709437">
      <w:marLeft w:val="0"/>
      <w:marRight w:val="0"/>
      <w:marTop w:val="0"/>
      <w:marBottom w:val="0"/>
      <w:divBdr>
        <w:top w:val="none" w:sz="0" w:space="0" w:color="auto"/>
        <w:left w:val="none" w:sz="0" w:space="0" w:color="auto"/>
        <w:bottom w:val="none" w:sz="0" w:space="0" w:color="auto"/>
        <w:right w:val="none" w:sz="0" w:space="0" w:color="auto"/>
      </w:divBdr>
    </w:div>
    <w:div w:id="109709438">
      <w:marLeft w:val="0"/>
      <w:marRight w:val="0"/>
      <w:marTop w:val="0"/>
      <w:marBottom w:val="0"/>
      <w:divBdr>
        <w:top w:val="none" w:sz="0" w:space="0" w:color="auto"/>
        <w:left w:val="none" w:sz="0" w:space="0" w:color="auto"/>
        <w:bottom w:val="none" w:sz="0" w:space="0" w:color="auto"/>
        <w:right w:val="none" w:sz="0" w:space="0" w:color="auto"/>
      </w:divBdr>
    </w:div>
    <w:div w:id="109709439">
      <w:marLeft w:val="0"/>
      <w:marRight w:val="0"/>
      <w:marTop w:val="0"/>
      <w:marBottom w:val="0"/>
      <w:divBdr>
        <w:top w:val="none" w:sz="0" w:space="0" w:color="auto"/>
        <w:left w:val="none" w:sz="0" w:space="0" w:color="auto"/>
        <w:bottom w:val="none" w:sz="0" w:space="0" w:color="auto"/>
        <w:right w:val="none" w:sz="0" w:space="0" w:color="auto"/>
      </w:divBdr>
    </w:div>
    <w:div w:id="109709440">
      <w:marLeft w:val="0"/>
      <w:marRight w:val="0"/>
      <w:marTop w:val="0"/>
      <w:marBottom w:val="0"/>
      <w:divBdr>
        <w:top w:val="none" w:sz="0" w:space="0" w:color="auto"/>
        <w:left w:val="none" w:sz="0" w:space="0" w:color="auto"/>
        <w:bottom w:val="none" w:sz="0" w:space="0" w:color="auto"/>
        <w:right w:val="none" w:sz="0" w:space="0" w:color="auto"/>
      </w:divBdr>
    </w:div>
    <w:div w:id="109709441">
      <w:marLeft w:val="0"/>
      <w:marRight w:val="0"/>
      <w:marTop w:val="0"/>
      <w:marBottom w:val="0"/>
      <w:divBdr>
        <w:top w:val="none" w:sz="0" w:space="0" w:color="auto"/>
        <w:left w:val="none" w:sz="0" w:space="0" w:color="auto"/>
        <w:bottom w:val="none" w:sz="0" w:space="0" w:color="auto"/>
        <w:right w:val="none" w:sz="0" w:space="0" w:color="auto"/>
      </w:divBdr>
    </w:div>
    <w:div w:id="109709442">
      <w:marLeft w:val="0"/>
      <w:marRight w:val="0"/>
      <w:marTop w:val="0"/>
      <w:marBottom w:val="0"/>
      <w:divBdr>
        <w:top w:val="none" w:sz="0" w:space="0" w:color="auto"/>
        <w:left w:val="none" w:sz="0" w:space="0" w:color="auto"/>
        <w:bottom w:val="none" w:sz="0" w:space="0" w:color="auto"/>
        <w:right w:val="none" w:sz="0" w:space="0" w:color="auto"/>
      </w:divBdr>
    </w:div>
    <w:div w:id="109709443">
      <w:marLeft w:val="0"/>
      <w:marRight w:val="0"/>
      <w:marTop w:val="0"/>
      <w:marBottom w:val="0"/>
      <w:divBdr>
        <w:top w:val="none" w:sz="0" w:space="0" w:color="auto"/>
        <w:left w:val="none" w:sz="0" w:space="0" w:color="auto"/>
        <w:bottom w:val="none" w:sz="0" w:space="0" w:color="auto"/>
        <w:right w:val="none" w:sz="0" w:space="0" w:color="auto"/>
      </w:divBdr>
    </w:div>
    <w:div w:id="109709444">
      <w:marLeft w:val="0"/>
      <w:marRight w:val="0"/>
      <w:marTop w:val="0"/>
      <w:marBottom w:val="0"/>
      <w:divBdr>
        <w:top w:val="none" w:sz="0" w:space="0" w:color="auto"/>
        <w:left w:val="none" w:sz="0" w:space="0" w:color="auto"/>
        <w:bottom w:val="none" w:sz="0" w:space="0" w:color="auto"/>
        <w:right w:val="none" w:sz="0" w:space="0" w:color="auto"/>
      </w:divBdr>
    </w:div>
    <w:div w:id="109709445">
      <w:marLeft w:val="0"/>
      <w:marRight w:val="0"/>
      <w:marTop w:val="0"/>
      <w:marBottom w:val="0"/>
      <w:divBdr>
        <w:top w:val="none" w:sz="0" w:space="0" w:color="auto"/>
        <w:left w:val="none" w:sz="0" w:space="0" w:color="auto"/>
        <w:bottom w:val="none" w:sz="0" w:space="0" w:color="auto"/>
        <w:right w:val="none" w:sz="0" w:space="0" w:color="auto"/>
      </w:divBdr>
    </w:div>
    <w:div w:id="109709446">
      <w:marLeft w:val="0"/>
      <w:marRight w:val="0"/>
      <w:marTop w:val="0"/>
      <w:marBottom w:val="0"/>
      <w:divBdr>
        <w:top w:val="none" w:sz="0" w:space="0" w:color="auto"/>
        <w:left w:val="none" w:sz="0" w:space="0" w:color="auto"/>
        <w:bottom w:val="none" w:sz="0" w:space="0" w:color="auto"/>
        <w:right w:val="none" w:sz="0" w:space="0" w:color="auto"/>
      </w:divBdr>
    </w:div>
    <w:div w:id="109709447">
      <w:marLeft w:val="0"/>
      <w:marRight w:val="0"/>
      <w:marTop w:val="0"/>
      <w:marBottom w:val="0"/>
      <w:divBdr>
        <w:top w:val="none" w:sz="0" w:space="0" w:color="auto"/>
        <w:left w:val="none" w:sz="0" w:space="0" w:color="auto"/>
        <w:bottom w:val="none" w:sz="0" w:space="0" w:color="auto"/>
        <w:right w:val="none" w:sz="0" w:space="0" w:color="auto"/>
      </w:divBdr>
    </w:div>
    <w:div w:id="109709448">
      <w:marLeft w:val="0"/>
      <w:marRight w:val="0"/>
      <w:marTop w:val="0"/>
      <w:marBottom w:val="0"/>
      <w:divBdr>
        <w:top w:val="none" w:sz="0" w:space="0" w:color="auto"/>
        <w:left w:val="none" w:sz="0" w:space="0" w:color="auto"/>
        <w:bottom w:val="none" w:sz="0" w:space="0" w:color="auto"/>
        <w:right w:val="none" w:sz="0" w:space="0" w:color="auto"/>
      </w:divBdr>
    </w:div>
    <w:div w:id="10970944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image" Target="media/image5.emf"/><Relationship Id="rId26" Type="http://schemas.openxmlformats.org/officeDocument/2006/relationships/image" Target="media/image9.emf"/><Relationship Id="rId39" Type="http://schemas.openxmlformats.org/officeDocument/2006/relationships/image" Target="media/image18.emf"/><Relationship Id="rId21" Type="http://schemas.openxmlformats.org/officeDocument/2006/relationships/package" Target="embeddings/Microsoft_Word_Document4.docx"/><Relationship Id="rId34" Type="http://schemas.openxmlformats.org/officeDocument/2006/relationships/image" Target="media/image13.emf"/><Relationship Id="rId42" Type="http://schemas.openxmlformats.org/officeDocument/2006/relationships/image" Target="media/image21.emf"/><Relationship Id="rId47" Type="http://schemas.openxmlformats.org/officeDocument/2006/relationships/footer" Target="footer5.xml"/><Relationship Id="rId50" Type="http://schemas.openxmlformats.org/officeDocument/2006/relationships/image" Target="media/image27.emf"/><Relationship Id="rId55" Type="http://schemas.openxmlformats.org/officeDocument/2006/relationships/image" Target="media/image32.emf"/><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package" Target="embeddings/Microsoft_Word_Document2.docx"/><Relationship Id="rId20" Type="http://schemas.openxmlformats.org/officeDocument/2006/relationships/image" Target="media/image6.emf"/><Relationship Id="rId29" Type="http://schemas.openxmlformats.org/officeDocument/2006/relationships/package" Target="embeddings/Microsoft_Word_Document8.docx"/><Relationship Id="rId41" Type="http://schemas.openxmlformats.org/officeDocument/2006/relationships/image" Target="media/image20.emf"/><Relationship Id="rId54" Type="http://schemas.openxmlformats.org/officeDocument/2006/relationships/image" Target="media/image31.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8.emf"/><Relationship Id="rId32" Type="http://schemas.openxmlformats.org/officeDocument/2006/relationships/image" Target="media/image12.emf"/><Relationship Id="rId37" Type="http://schemas.openxmlformats.org/officeDocument/2006/relationships/image" Target="media/image16.wmf"/><Relationship Id="rId40" Type="http://schemas.openxmlformats.org/officeDocument/2006/relationships/image" Target="media/image19.emf"/><Relationship Id="rId45" Type="http://schemas.openxmlformats.org/officeDocument/2006/relationships/image" Target="media/image24.emf"/><Relationship Id="rId53" Type="http://schemas.openxmlformats.org/officeDocument/2006/relationships/image" Target="media/image30.emf"/><Relationship Id="rId58" Type="http://schemas.openxmlformats.org/officeDocument/2006/relationships/image" Target="media/image35.emf"/><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package" Target="embeddings/Microsoft_Word_Document5.docx"/><Relationship Id="rId28" Type="http://schemas.openxmlformats.org/officeDocument/2006/relationships/image" Target="media/image10.emf"/><Relationship Id="rId36" Type="http://schemas.openxmlformats.org/officeDocument/2006/relationships/image" Target="media/image15.wmf"/><Relationship Id="rId49" Type="http://schemas.openxmlformats.org/officeDocument/2006/relationships/image" Target="media/image26.emf"/><Relationship Id="rId57" Type="http://schemas.openxmlformats.org/officeDocument/2006/relationships/image" Target="media/image34.emf"/><Relationship Id="rId61"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package" Target="embeddings/Microsoft_Excel_Worksheet3.xlsx"/><Relationship Id="rId31" Type="http://schemas.openxmlformats.org/officeDocument/2006/relationships/package" Target="embeddings/Microsoft_Word_Document9.docx"/><Relationship Id="rId44" Type="http://schemas.openxmlformats.org/officeDocument/2006/relationships/image" Target="media/image23.emf"/><Relationship Id="rId52" Type="http://schemas.openxmlformats.org/officeDocument/2006/relationships/image" Target="media/image29.emf"/><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package" Target="embeddings/Microsoft_Word_Document1.docx"/><Relationship Id="rId22" Type="http://schemas.openxmlformats.org/officeDocument/2006/relationships/image" Target="media/image7.emf"/><Relationship Id="rId27" Type="http://schemas.openxmlformats.org/officeDocument/2006/relationships/package" Target="embeddings/Microsoft_Word_Document7.docx"/><Relationship Id="rId30" Type="http://schemas.openxmlformats.org/officeDocument/2006/relationships/image" Target="media/image11.emf"/><Relationship Id="rId35" Type="http://schemas.openxmlformats.org/officeDocument/2006/relationships/image" Target="media/image14.wmf"/><Relationship Id="rId43" Type="http://schemas.openxmlformats.org/officeDocument/2006/relationships/image" Target="media/image22.emf"/><Relationship Id="rId48" Type="http://schemas.openxmlformats.org/officeDocument/2006/relationships/image" Target="media/image25.emf"/><Relationship Id="rId56" Type="http://schemas.openxmlformats.org/officeDocument/2006/relationships/image" Target="media/image33.emf"/><Relationship Id="rId8" Type="http://schemas.openxmlformats.org/officeDocument/2006/relationships/endnotes" Target="endnotes.xml"/><Relationship Id="rId51" Type="http://schemas.openxmlformats.org/officeDocument/2006/relationships/image" Target="media/image28.emf"/><Relationship Id="rId3"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4.png"/><Relationship Id="rId25" Type="http://schemas.openxmlformats.org/officeDocument/2006/relationships/package" Target="embeddings/Microsoft_Word_Document6.docx"/><Relationship Id="rId33" Type="http://schemas.openxmlformats.org/officeDocument/2006/relationships/package" Target="embeddings/Microsoft_Word_Document10.docx"/><Relationship Id="rId38" Type="http://schemas.openxmlformats.org/officeDocument/2006/relationships/image" Target="media/image17.wmf"/><Relationship Id="rId46" Type="http://schemas.openxmlformats.org/officeDocument/2006/relationships/footer" Target="footer4.xml"/><Relationship Id="rId59" Type="http://schemas.openxmlformats.org/officeDocument/2006/relationships/footer" Target="foot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OUJOVAL\Application%20Data\Microsoft\Forms\Osnova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6EBC2C-3BBC-460A-A25A-1C8FDB6CAF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Osnova2.dot</Template>
  <TotalTime>1329</TotalTime>
  <Pages>1</Pages>
  <Words>12704</Words>
  <Characters>74954</Characters>
  <Application>Microsoft Office Word</Application>
  <DocSecurity>0</DocSecurity>
  <Lines>624</Lines>
  <Paragraphs>174</Paragraphs>
  <ScaleCrop>false</ScaleCrop>
  <HeadingPairs>
    <vt:vector size="2" baseType="variant">
      <vt:variant>
        <vt:lpstr>Název</vt:lpstr>
      </vt:variant>
      <vt:variant>
        <vt:i4>1</vt:i4>
      </vt:variant>
    </vt:vector>
  </HeadingPairs>
  <TitlesOfParts>
    <vt:vector size="1" baseType="lpstr">
      <vt:lpstr>Obsah</vt:lpstr>
    </vt:vector>
  </TitlesOfParts>
  <Company>Ministerstvo financí</Company>
  <LinksUpToDate>false</LinksUpToDate>
  <CharactersWithSpaces>87484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Obsah</dc:title>
  <dc:subject/>
  <dc:creator>Lucie Joujová</dc:creator>
  <cp:keywords/>
  <dc:description/>
  <cp:lastModifiedBy>Štika Ondřej Ing.</cp:lastModifiedBy>
  <cp:revision>95</cp:revision>
  <cp:lastPrinted>2014-09-01T15:58:00Z</cp:lastPrinted>
  <dcterms:created xsi:type="dcterms:W3CDTF">2014-06-12T12:04:00Z</dcterms:created>
  <dcterms:modified xsi:type="dcterms:W3CDTF">2014-09-01T16:34:00Z</dcterms:modified>
</cp:coreProperties>
</file>