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43" w:rsidRPr="00214F43" w:rsidRDefault="00214F43" w:rsidP="00214F43">
      <w:pPr>
        <w:jc w:val="right"/>
        <w:rPr>
          <w:rFonts w:cs="Times New Roman"/>
        </w:rPr>
      </w:pPr>
      <w:r w:rsidRPr="00214F43">
        <w:rPr>
          <w:rFonts w:cs="Times New Roman"/>
        </w:rPr>
        <w:t>I</w:t>
      </w:r>
      <w:r w:rsidR="00413E0C">
        <w:rPr>
          <w:rFonts w:cs="Times New Roman"/>
        </w:rPr>
        <w:t>I</w:t>
      </w:r>
      <w:bookmarkStart w:id="0" w:name="_GoBack"/>
      <w:bookmarkEnd w:id="0"/>
      <w:r w:rsidRPr="00214F43">
        <w:rPr>
          <w:rFonts w:cs="Times New Roman"/>
        </w:rPr>
        <w:t>.</w:t>
      </w:r>
    </w:p>
    <w:p w:rsidR="00293DF3" w:rsidRPr="007F345B" w:rsidRDefault="009C46D6" w:rsidP="009C46D6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Informace o publikaci </w:t>
      </w:r>
      <w:proofErr w:type="spellStart"/>
      <w:r>
        <w:rPr>
          <w:rFonts w:cs="Times New Roman"/>
          <w:b/>
        </w:rPr>
        <w:t>Doing</w:t>
      </w:r>
      <w:proofErr w:type="spellEnd"/>
      <w:r>
        <w:rPr>
          <w:rFonts w:cs="Times New Roman"/>
          <w:b/>
        </w:rPr>
        <w:t xml:space="preserve"> Business 2016 a umístění České republiky</w:t>
      </w:r>
    </w:p>
    <w:p w:rsidR="00CD5CAA" w:rsidRDefault="00CD5CAA" w:rsidP="007F345B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Publikace </w:t>
      </w:r>
      <w:proofErr w:type="spellStart"/>
      <w:r>
        <w:rPr>
          <w:rFonts w:cs="Times New Roman"/>
          <w:b/>
        </w:rPr>
        <w:t>Doing</w:t>
      </w:r>
      <w:proofErr w:type="spellEnd"/>
      <w:r>
        <w:rPr>
          <w:rFonts w:cs="Times New Roman"/>
          <w:b/>
        </w:rPr>
        <w:t xml:space="preserve"> Business</w:t>
      </w:r>
      <w:r w:rsidR="008577AF">
        <w:rPr>
          <w:rFonts w:cs="Times New Roman"/>
          <w:b/>
        </w:rPr>
        <w:t xml:space="preserve"> – obecné informace</w:t>
      </w:r>
    </w:p>
    <w:p w:rsidR="00293DF3" w:rsidRDefault="00293DF3" w:rsidP="00EE2887">
      <w:pPr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„</w:t>
      </w:r>
      <w:proofErr w:type="spellStart"/>
      <w:r w:rsidRPr="007F345B">
        <w:rPr>
          <w:rFonts w:cs="Times New Roman"/>
        </w:rPr>
        <w:t>Doing</w:t>
      </w:r>
      <w:proofErr w:type="spellEnd"/>
      <w:r w:rsidRPr="007F345B">
        <w:rPr>
          <w:rFonts w:cs="Times New Roman"/>
        </w:rPr>
        <w:t xml:space="preserve"> Business“ je společná publikace Světové banky (</w:t>
      </w:r>
      <w:proofErr w:type="spellStart"/>
      <w:r w:rsidRPr="007F345B">
        <w:rPr>
          <w:rFonts w:cs="Times New Roman"/>
        </w:rPr>
        <w:t>W</w:t>
      </w:r>
      <w:r w:rsidR="00CD5CAA">
        <w:rPr>
          <w:rFonts w:cs="Times New Roman"/>
        </w:rPr>
        <w:t>orld</w:t>
      </w:r>
      <w:proofErr w:type="spellEnd"/>
      <w:r w:rsidR="00CD5CAA">
        <w:rPr>
          <w:rFonts w:cs="Times New Roman"/>
        </w:rPr>
        <w:t xml:space="preserve"> Bank</w:t>
      </w:r>
      <w:r w:rsidRPr="007F345B">
        <w:rPr>
          <w:rFonts w:cs="Times New Roman"/>
        </w:rPr>
        <w:t>) a Mezinárodní finanční korporace (</w:t>
      </w:r>
      <w:proofErr w:type="spellStart"/>
      <w:r w:rsidRPr="007F345B">
        <w:rPr>
          <w:rFonts w:cs="Times New Roman"/>
        </w:rPr>
        <w:t>I</w:t>
      </w:r>
      <w:r w:rsidR="00CD5CAA">
        <w:rPr>
          <w:rFonts w:cs="Times New Roman"/>
        </w:rPr>
        <w:t>nternation</w:t>
      </w:r>
      <w:r w:rsidR="00966DDC">
        <w:rPr>
          <w:rFonts w:cs="Times New Roman"/>
        </w:rPr>
        <w:t>a</w:t>
      </w:r>
      <w:r w:rsidR="00CD5CAA">
        <w:rPr>
          <w:rFonts w:cs="Times New Roman"/>
        </w:rPr>
        <w:t>l</w:t>
      </w:r>
      <w:proofErr w:type="spellEnd"/>
      <w:r w:rsidR="00CD5CAA">
        <w:rPr>
          <w:rFonts w:cs="Times New Roman"/>
        </w:rPr>
        <w:t xml:space="preserve"> </w:t>
      </w:r>
      <w:proofErr w:type="spellStart"/>
      <w:r w:rsidR="00CD5CAA">
        <w:rPr>
          <w:rFonts w:cs="Times New Roman"/>
        </w:rPr>
        <w:t>Financial</w:t>
      </w:r>
      <w:proofErr w:type="spellEnd"/>
      <w:r w:rsidR="00CD5CAA">
        <w:rPr>
          <w:rFonts w:cs="Times New Roman"/>
        </w:rPr>
        <w:t xml:space="preserve"> </w:t>
      </w:r>
      <w:proofErr w:type="spellStart"/>
      <w:r w:rsidR="00CD5CAA">
        <w:rPr>
          <w:rFonts w:cs="Times New Roman"/>
        </w:rPr>
        <w:t>Corporation</w:t>
      </w:r>
      <w:proofErr w:type="spellEnd"/>
      <w:r w:rsidRPr="007F345B">
        <w:rPr>
          <w:rFonts w:cs="Times New Roman"/>
        </w:rPr>
        <w:t>), která každoročně srovnává a hodnotí právní předpisy upravující podnikání v zemích celého světa se zaměřením na malé a středně velké podniky.</w:t>
      </w:r>
    </w:p>
    <w:p w:rsidR="00EE2887" w:rsidRPr="007F345B" w:rsidRDefault="00EE2887" w:rsidP="00EE2887">
      <w:pPr>
        <w:spacing w:after="0" w:line="312" w:lineRule="auto"/>
        <w:jc w:val="both"/>
        <w:rPr>
          <w:rFonts w:cs="Times New Roman"/>
        </w:rPr>
      </w:pPr>
    </w:p>
    <w:p w:rsidR="00EE2887" w:rsidRDefault="002B7914" w:rsidP="00EE2887">
      <w:pPr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Poprvé byla vydána v roce 2003</w:t>
      </w:r>
      <w:r w:rsidR="00293DF3" w:rsidRPr="007F345B">
        <w:rPr>
          <w:rFonts w:cs="Times New Roman"/>
        </w:rPr>
        <w:t xml:space="preserve"> a leto</w:t>
      </w:r>
      <w:r w:rsidR="005D1B63" w:rsidRPr="007F345B">
        <w:rPr>
          <w:rFonts w:cs="Times New Roman"/>
        </w:rPr>
        <w:t>šní vydání</w:t>
      </w:r>
      <w:r w:rsidR="006E4A9D">
        <w:rPr>
          <w:rFonts w:cs="Times New Roman"/>
        </w:rPr>
        <w:t xml:space="preserve"> </w:t>
      </w:r>
      <w:r w:rsidR="006E4A9D">
        <w:rPr>
          <w:rFonts w:cs="Times New Roman"/>
          <w:lang w:val="en-US"/>
        </w:rPr>
        <w:t>(</w:t>
      </w:r>
      <w:r w:rsidR="006E4A9D">
        <w:rPr>
          <w:rFonts w:cs="Times New Roman"/>
        </w:rPr>
        <w:t>zveřejněno dne 27. října 2015</w:t>
      </w:r>
      <w:r w:rsidR="006E4A9D">
        <w:rPr>
          <w:rFonts w:cs="Times New Roman"/>
          <w:lang w:val="en-US"/>
        </w:rPr>
        <w:t xml:space="preserve">) </w:t>
      </w:r>
      <w:r w:rsidR="005D1B63" w:rsidRPr="007F345B">
        <w:rPr>
          <w:rFonts w:cs="Times New Roman"/>
        </w:rPr>
        <w:t>je tedy již</w:t>
      </w:r>
      <w:r w:rsidRPr="007F345B">
        <w:rPr>
          <w:rFonts w:cs="Times New Roman"/>
        </w:rPr>
        <w:t xml:space="preserve"> 13</w:t>
      </w:r>
      <w:r w:rsidR="00293DF3" w:rsidRPr="007F345B">
        <w:rPr>
          <w:rFonts w:cs="Times New Roman"/>
        </w:rPr>
        <w:t>. Cel</w:t>
      </w:r>
      <w:r w:rsidRPr="007F345B">
        <w:rPr>
          <w:rFonts w:cs="Times New Roman"/>
        </w:rPr>
        <w:t>kem bylo hodnoceno 189 ekonomik.</w:t>
      </w:r>
      <w:r w:rsidR="00293DF3" w:rsidRPr="007F345B">
        <w:rPr>
          <w:rFonts w:cs="Times New Roman"/>
        </w:rPr>
        <w:t xml:space="preserve"> Publikace je zpracovávána na zá</w:t>
      </w:r>
      <w:r w:rsidR="00885D98" w:rsidRPr="007F345B">
        <w:rPr>
          <w:rFonts w:cs="Times New Roman"/>
        </w:rPr>
        <w:t xml:space="preserve">kladě informací od více než </w:t>
      </w:r>
      <w:r w:rsidR="001E6840" w:rsidRPr="007F345B">
        <w:rPr>
          <w:rFonts w:cs="Times New Roman"/>
        </w:rPr>
        <w:t>11 400 odborníků</w:t>
      </w:r>
      <w:r w:rsidR="00293DF3" w:rsidRPr="007F345B">
        <w:rPr>
          <w:rFonts w:cs="Times New Roman"/>
        </w:rPr>
        <w:t>, většinou pracovníků poradenských a právnických firem.</w:t>
      </w:r>
    </w:p>
    <w:p w:rsidR="00EE2887" w:rsidRPr="00EE2887" w:rsidRDefault="00EE2887" w:rsidP="00EE2887">
      <w:pPr>
        <w:spacing w:after="0" w:line="312" w:lineRule="auto"/>
        <w:jc w:val="both"/>
        <w:rPr>
          <w:rFonts w:cs="Times New Roman"/>
        </w:rPr>
      </w:pPr>
    </w:p>
    <w:p w:rsidR="00CD5CAA" w:rsidRDefault="00293DF3" w:rsidP="00EE2887">
      <w:pPr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Data pocházejí ze čtyř informačních zdrojů</w:t>
      </w:r>
      <w:r w:rsidR="00CD5CAA">
        <w:rPr>
          <w:rFonts w:cs="Times New Roman"/>
        </w:rPr>
        <w:t>:</w:t>
      </w:r>
    </w:p>
    <w:p w:rsidR="00CD5CAA" w:rsidRDefault="00293DF3" w:rsidP="00EE2887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cs="Times New Roman"/>
        </w:rPr>
      </w:pPr>
      <w:r w:rsidRPr="00CD5CAA">
        <w:rPr>
          <w:rFonts w:cs="Times New Roman"/>
        </w:rPr>
        <w:t xml:space="preserve">respondenti publikace </w:t>
      </w:r>
      <w:proofErr w:type="spellStart"/>
      <w:r w:rsidRPr="00CD5CAA">
        <w:rPr>
          <w:rFonts w:cs="Times New Roman"/>
        </w:rPr>
        <w:t>Doing</w:t>
      </w:r>
      <w:proofErr w:type="spellEnd"/>
      <w:r w:rsidRPr="00CD5CAA">
        <w:rPr>
          <w:rFonts w:cs="Times New Roman"/>
        </w:rPr>
        <w:t xml:space="preserve"> Business, </w:t>
      </w:r>
    </w:p>
    <w:p w:rsidR="00CD5CAA" w:rsidRDefault="00293DF3" w:rsidP="00EE2887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cs="Times New Roman"/>
        </w:rPr>
      </w:pPr>
      <w:r w:rsidRPr="00CD5CAA">
        <w:rPr>
          <w:rFonts w:cs="Times New Roman"/>
        </w:rPr>
        <w:t>relevantní zákony a regulace,</w:t>
      </w:r>
    </w:p>
    <w:p w:rsidR="00CD5CAA" w:rsidRDefault="00293DF3" w:rsidP="00EE2887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cs="Times New Roman"/>
        </w:rPr>
      </w:pPr>
      <w:r w:rsidRPr="00CD5CAA">
        <w:rPr>
          <w:rFonts w:cs="Times New Roman"/>
        </w:rPr>
        <w:t xml:space="preserve">vlády ekonomik, které </w:t>
      </w:r>
      <w:proofErr w:type="spellStart"/>
      <w:r w:rsidRPr="00CD5CAA">
        <w:rPr>
          <w:rFonts w:cs="Times New Roman"/>
        </w:rPr>
        <w:t>Doing</w:t>
      </w:r>
      <w:proofErr w:type="spellEnd"/>
      <w:r w:rsidRPr="00CD5CAA">
        <w:rPr>
          <w:rFonts w:cs="Times New Roman"/>
        </w:rPr>
        <w:t xml:space="preserve"> Business pokrývá </w:t>
      </w:r>
    </w:p>
    <w:p w:rsidR="00CD5CAA" w:rsidRDefault="00293DF3" w:rsidP="00EE2887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cs="Times New Roman"/>
        </w:rPr>
      </w:pPr>
      <w:r w:rsidRPr="00CD5CAA">
        <w:rPr>
          <w:rFonts w:cs="Times New Roman"/>
        </w:rPr>
        <w:t>regionální pracovníci Světové banky.</w:t>
      </w:r>
    </w:p>
    <w:p w:rsidR="00293DF3" w:rsidRDefault="00293DF3" w:rsidP="00EE2887">
      <w:pPr>
        <w:spacing w:after="0" w:line="312" w:lineRule="auto"/>
        <w:jc w:val="both"/>
        <w:rPr>
          <w:rFonts w:cs="Times New Roman"/>
        </w:rPr>
      </w:pPr>
      <w:r w:rsidRPr="00CD5CAA">
        <w:rPr>
          <w:rFonts w:cs="Times New Roman"/>
        </w:rPr>
        <w:t xml:space="preserve">Respondenty jsou </w:t>
      </w:r>
      <w:r w:rsidR="005D1B63" w:rsidRPr="00CD5CAA">
        <w:rPr>
          <w:rFonts w:cs="Times New Roman"/>
        </w:rPr>
        <w:t>profesionálové, kteří běžně poskytují poradenství</w:t>
      </w:r>
      <w:r w:rsidRPr="00CD5CAA">
        <w:rPr>
          <w:rFonts w:cs="Times New Roman"/>
        </w:rPr>
        <w:t xml:space="preserve"> v oblasti právních a regulatorních požadavků pojednávaných v každém tématu, které </w:t>
      </w:r>
      <w:proofErr w:type="spellStart"/>
      <w:r w:rsidRPr="00CD5CAA">
        <w:rPr>
          <w:rFonts w:cs="Times New Roman"/>
        </w:rPr>
        <w:t>Doing</w:t>
      </w:r>
      <w:proofErr w:type="spellEnd"/>
      <w:r w:rsidRPr="00CD5CAA">
        <w:rPr>
          <w:rFonts w:cs="Times New Roman"/>
        </w:rPr>
        <w:t xml:space="preserve"> </w:t>
      </w:r>
      <w:proofErr w:type="spellStart"/>
      <w:r w:rsidRPr="00CD5CAA">
        <w:rPr>
          <w:rFonts w:cs="Times New Roman"/>
        </w:rPr>
        <w:t>Bussiness</w:t>
      </w:r>
      <w:proofErr w:type="spellEnd"/>
      <w:r w:rsidRPr="00CD5CAA">
        <w:rPr>
          <w:rFonts w:cs="Times New Roman"/>
        </w:rPr>
        <w:t xml:space="preserve"> pokrývá.</w:t>
      </w:r>
      <w:r w:rsidR="005D1B63" w:rsidRPr="00CD5CAA">
        <w:rPr>
          <w:rFonts w:cs="Times New Roman"/>
        </w:rPr>
        <w:t xml:space="preserve"> Uváděná data jsou aktuální vždy k 1. červnu roku vydání.</w:t>
      </w:r>
    </w:p>
    <w:p w:rsidR="001E6840" w:rsidRDefault="001E6840" w:rsidP="007F34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Whitney-Light"/>
          <w:lang w:eastAsia="cs-CZ"/>
        </w:rPr>
      </w:pPr>
    </w:p>
    <w:p w:rsidR="008D7233" w:rsidRDefault="008D7233" w:rsidP="008D7233">
      <w:pPr>
        <w:spacing w:after="0" w:line="312" w:lineRule="auto"/>
        <w:jc w:val="both"/>
        <w:rPr>
          <w:rFonts w:cs="Times New Roman"/>
          <w:b/>
        </w:rPr>
      </w:pPr>
    </w:p>
    <w:p w:rsidR="008D7233" w:rsidRPr="00813FDD" w:rsidRDefault="008D7233" w:rsidP="008D7233">
      <w:pPr>
        <w:spacing w:after="0" w:line="312" w:lineRule="auto"/>
        <w:jc w:val="both"/>
        <w:rPr>
          <w:rFonts w:cs="Times New Roman"/>
          <w:b/>
        </w:rPr>
      </w:pPr>
      <w:r w:rsidRPr="00813FDD">
        <w:rPr>
          <w:rFonts w:cs="Times New Roman"/>
          <w:b/>
        </w:rPr>
        <w:t xml:space="preserve">Struktura publikace </w:t>
      </w:r>
      <w:proofErr w:type="spellStart"/>
      <w:r w:rsidRPr="00813FDD">
        <w:rPr>
          <w:rFonts w:cs="Times New Roman"/>
          <w:b/>
        </w:rPr>
        <w:t>Doing</w:t>
      </w:r>
      <w:proofErr w:type="spellEnd"/>
      <w:r w:rsidRPr="00813FDD">
        <w:rPr>
          <w:rFonts w:cs="Times New Roman"/>
          <w:b/>
        </w:rPr>
        <w:t xml:space="preserve"> Business</w:t>
      </w:r>
    </w:p>
    <w:p w:rsidR="008D7233" w:rsidRPr="00813FDD" w:rsidRDefault="008D7233" w:rsidP="008D7233">
      <w:pPr>
        <w:spacing w:after="0" w:line="312" w:lineRule="auto"/>
        <w:jc w:val="both"/>
        <w:rPr>
          <w:rFonts w:cs="Times New Roman"/>
          <w:b/>
          <w:sz w:val="16"/>
          <w:szCs w:val="16"/>
        </w:rPr>
      </w:pPr>
    </w:p>
    <w:p w:rsidR="008D7233" w:rsidRPr="00813FDD" w:rsidRDefault="008D7233" w:rsidP="008D7233">
      <w:pPr>
        <w:spacing w:after="0" w:line="312" w:lineRule="auto"/>
        <w:jc w:val="both"/>
        <w:rPr>
          <w:rFonts w:cs="Times New Roman"/>
        </w:rPr>
      </w:pPr>
      <w:r w:rsidRPr="00813FDD">
        <w:rPr>
          <w:rFonts w:cs="Times New Roman"/>
        </w:rPr>
        <w:t>V úvodní části publikace je celkový přehled, jehož součástí je i tabulka pořadí jednotlivých států podle toho, jak snadné je v té které zemi založení a fungování a ukončení činnosti firmy.</w:t>
      </w:r>
    </w:p>
    <w:p w:rsidR="008D7233" w:rsidRPr="00813FDD" w:rsidRDefault="008D7233" w:rsidP="008D7233">
      <w:pPr>
        <w:spacing w:after="0" w:line="312" w:lineRule="auto"/>
        <w:jc w:val="both"/>
        <w:rPr>
          <w:rFonts w:cs="Times New Roman"/>
          <w:b/>
        </w:rPr>
      </w:pPr>
    </w:p>
    <w:p w:rsidR="008D7233" w:rsidRPr="00813FDD" w:rsidRDefault="008D7233" w:rsidP="008D7233">
      <w:pPr>
        <w:spacing w:after="0" w:line="312" w:lineRule="auto"/>
        <w:jc w:val="both"/>
        <w:rPr>
          <w:rFonts w:cs="Times New Roman"/>
        </w:rPr>
      </w:pPr>
      <w:r w:rsidRPr="00813FDD">
        <w:rPr>
          <w:rFonts w:cs="Times New Roman"/>
        </w:rPr>
        <w:t>Následují rámcové informace o publikaci, změnách, ke kterým došlo v publikaci a v podnikatelském prostředí.</w:t>
      </w:r>
    </w:p>
    <w:p w:rsidR="008D7233" w:rsidRPr="00813FDD" w:rsidRDefault="008D7233" w:rsidP="008D7233">
      <w:pPr>
        <w:spacing w:after="0" w:line="312" w:lineRule="auto"/>
        <w:jc w:val="both"/>
        <w:rPr>
          <w:rFonts w:cs="Times New Roman"/>
        </w:rPr>
      </w:pPr>
    </w:p>
    <w:p w:rsidR="008D7233" w:rsidRPr="00813FDD" w:rsidRDefault="008D7233" w:rsidP="008D7233">
      <w:p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 xml:space="preserve">Dále je uvedeno sedm případových studií: </w:t>
      </w:r>
    </w:p>
    <w:p w:rsidR="008D7233" w:rsidRPr="00813FDD" w:rsidRDefault="008D7233" w:rsidP="008D72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>Vstup do podnikání – zapojení třetích stran do založení firmy</w:t>
      </w:r>
    </w:p>
    <w:p w:rsidR="008D7233" w:rsidRPr="00813FDD" w:rsidRDefault="008D7233" w:rsidP="008D72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>Získání stavebního povolení – vyhodnocení kontroly kvality a bezpečnostních mechanismů</w:t>
      </w:r>
    </w:p>
    <w:p w:rsidR="008D7233" w:rsidRPr="00813FDD" w:rsidRDefault="008D7233" w:rsidP="008D72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>Náklady na zavedení elektrické energie – měření spolehlivosti, cen a transparentnosti</w:t>
      </w:r>
    </w:p>
    <w:p w:rsidR="008D7233" w:rsidRPr="00813FDD" w:rsidRDefault="008D7233" w:rsidP="008D72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>Zápis do katastru – cesta k digitalizaci</w:t>
      </w:r>
    </w:p>
    <w:p w:rsidR="008D7233" w:rsidRPr="00813FDD" w:rsidRDefault="008D7233" w:rsidP="008D72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>Zahraniční obchod – nový přístup k měření obchodních procesů</w:t>
      </w:r>
    </w:p>
    <w:p w:rsidR="008D7233" w:rsidRPr="00813FDD" w:rsidRDefault="008D7233" w:rsidP="008D72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>Vymahatelnost práva – měření dobrých praktik v soudnictví</w:t>
      </w:r>
    </w:p>
    <w:p w:rsidR="008D7233" w:rsidRPr="00813FDD" w:rsidRDefault="008D7233" w:rsidP="008D72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813FDD">
        <w:rPr>
          <w:rFonts w:cs="Times New Roman"/>
        </w:rPr>
        <w:t xml:space="preserve"> Insolvenční řízení – nové zdroje financování a přežití firmy</w:t>
      </w:r>
    </w:p>
    <w:p w:rsidR="008D7233" w:rsidRPr="00813FDD" w:rsidRDefault="008D7233" w:rsidP="008D7233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813FDD">
        <w:rPr>
          <w:rFonts w:cs="Times New Roman"/>
        </w:rPr>
        <w:lastRenderedPageBreak/>
        <w:t xml:space="preserve">Po kapitolách věnovaných výzkumu regulace podnikání a zákonů, referencím, poznámkám k datům (metodika, její limity a změny) následuje část, která je zaměřena na rozbor jednotlivých ukazatelů, kterými se měří regulace. </w:t>
      </w:r>
    </w:p>
    <w:p w:rsidR="008D7233" w:rsidRPr="00813FDD" w:rsidRDefault="008D7233" w:rsidP="008D7233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</w:p>
    <w:p w:rsidR="008D7233" w:rsidRPr="007F345B" w:rsidRDefault="008D7233" w:rsidP="008D72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13FDD">
        <w:rPr>
          <w:rFonts w:cs="Times New Roman"/>
        </w:rPr>
        <w:t>Závěrečná část zahrnuje i podrobné hodnocení zemí podle jednotlivých indikátorů.</w:t>
      </w:r>
      <w:r>
        <w:rPr>
          <w:rFonts w:cs="Times New Roman"/>
        </w:rPr>
        <w:t xml:space="preserve"> </w:t>
      </w:r>
    </w:p>
    <w:p w:rsidR="008D7233" w:rsidRPr="00FB3B08" w:rsidRDefault="008D7233" w:rsidP="008D7233">
      <w:pPr>
        <w:jc w:val="both"/>
      </w:pPr>
    </w:p>
    <w:p w:rsidR="001E1F50" w:rsidRDefault="00B2312A" w:rsidP="00EE2887">
      <w:pPr>
        <w:spacing w:after="0" w:line="312" w:lineRule="auto"/>
        <w:jc w:val="both"/>
        <w:rPr>
          <w:rFonts w:cs="Times New Roman"/>
          <w:b/>
        </w:rPr>
      </w:pPr>
      <w:r w:rsidRPr="007F345B">
        <w:rPr>
          <w:rFonts w:cs="Times New Roman"/>
          <w:b/>
        </w:rPr>
        <w:t xml:space="preserve">Česká republika se umístila </w:t>
      </w:r>
      <w:r w:rsidR="00BF12AE">
        <w:rPr>
          <w:rFonts w:cs="Times New Roman"/>
          <w:b/>
        </w:rPr>
        <w:t xml:space="preserve">v letošní publikaci </w:t>
      </w:r>
      <w:proofErr w:type="spellStart"/>
      <w:r w:rsidR="00BF12AE">
        <w:rPr>
          <w:rFonts w:cs="Times New Roman"/>
          <w:b/>
        </w:rPr>
        <w:t>Doing</w:t>
      </w:r>
      <w:proofErr w:type="spellEnd"/>
      <w:r w:rsidR="00BF12AE">
        <w:rPr>
          <w:rFonts w:cs="Times New Roman"/>
          <w:b/>
        </w:rPr>
        <w:t xml:space="preserve"> Business 2016 </w:t>
      </w:r>
      <w:r w:rsidRPr="007F345B">
        <w:rPr>
          <w:rFonts w:cs="Times New Roman"/>
          <w:b/>
        </w:rPr>
        <w:t xml:space="preserve">celkově na </w:t>
      </w:r>
      <w:r w:rsidR="00277923">
        <w:rPr>
          <w:rFonts w:cs="Times New Roman"/>
          <w:b/>
        </w:rPr>
        <w:t>36.</w:t>
      </w:r>
      <w:r w:rsidRPr="007F345B">
        <w:rPr>
          <w:rFonts w:cs="Times New Roman"/>
          <w:b/>
        </w:rPr>
        <w:t xml:space="preserve"> pozici, což je oproti </w:t>
      </w:r>
      <w:r w:rsidR="00277923">
        <w:rPr>
          <w:rFonts w:cs="Times New Roman"/>
          <w:b/>
        </w:rPr>
        <w:t xml:space="preserve">v loňském roce publikovanému pořadí </w:t>
      </w:r>
      <w:r w:rsidRPr="007F345B">
        <w:rPr>
          <w:rFonts w:cs="Times New Roman"/>
          <w:b/>
        </w:rPr>
        <w:t xml:space="preserve">zlepšení o osm </w:t>
      </w:r>
      <w:r w:rsidR="00A60339">
        <w:rPr>
          <w:rFonts w:cs="Times New Roman"/>
          <w:b/>
        </w:rPr>
        <w:t>míst</w:t>
      </w:r>
      <w:r w:rsidRPr="007F345B">
        <w:rPr>
          <w:rFonts w:cs="Times New Roman"/>
          <w:b/>
        </w:rPr>
        <w:t>.</w:t>
      </w:r>
      <w:r w:rsidR="00277923">
        <w:rPr>
          <w:rStyle w:val="Znakapoznpodarou"/>
          <w:rFonts w:cs="Times New Roman"/>
          <w:b/>
        </w:rPr>
        <w:footnoteReference w:id="1"/>
      </w:r>
    </w:p>
    <w:p w:rsidR="00B27605" w:rsidRDefault="00B27605" w:rsidP="00EE2887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</w:p>
    <w:p w:rsidR="00B27605" w:rsidRPr="007F345B" w:rsidRDefault="00B27605" w:rsidP="00EE2887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Samotná publikace </w:t>
      </w:r>
      <w:proofErr w:type="spellStart"/>
      <w:r>
        <w:rPr>
          <w:rFonts w:cs="Times New Roman"/>
        </w:rPr>
        <w:t>Doing</w:t>
      </w:r>
      <w:proofErr w:type="spellEnd"/>
      <w:r>
        <w:rPr>
          <w:rFonts w:cs="Times New Roman"/>
        </w:rPr>
        <w:t xml:space="preserve"> Business obsahuje jak souhrnné hodnocení, tak i parciální žebříčky v jednotlivých sledovaných oblastech:</w:t>
      </w:r>
    </w:p>
    <w:p w:rsidR="00293DF3" w:rsidRPr="007F345B" w:rsidRDefault="00293DF3" w:rsidP="00EE2887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Vstup do podnikání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Získání stavebního povolení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Náklady na zavedení elektrické energie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Zápis do katastru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Přístup k úvěrům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Ochrana investorů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Placení daní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Zahraniční obchod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Vymahatelnost práva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Úspěšnost věřitelů v insolvenčním řízení</w:t>
      </w:r>
    </w:p>
    <w:p w:rsidR="00293DF3" w:rsidRPr="007F345B" w:rsidRDefault="00293DF3" w:rsidP="00EE28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Podmínky zaměstnávání pracovníků</w:t>
      </w:r>
      <w:r w:rsidR="00BA6057" w:rsidRPr="007F345B">
        <w:rPr>
          <w:rFonts w:cs="Times New Roman"/>
        </w:rPr>
        <w:t xml:space="preserve"> (tento indikátor není zahrnut do měření)</w:t>
      </w:r>
    </w:p>
    <w:p w:rsidR="00293DF3" w:rsidRPr="007F345B" w:rsidRDefault="00293DF3" w:rsidP="007F3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93DF3" w:rsidRPr="007F345B" w:rsidRDefault="00293DF3" w:rsidP="00EE2887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7F345B">
        <w:rPr>
          <w:rFonts w:cs="Times New Roman"/>
        </w:rPr>
        <w:t>U každého indikátoru je uveden seznam jednotlivých kroků společně s počtem dnů, k</w:t>
      </w:r>
      <w:r w:rsidR="00D13BCA" w:rsidRPr="007F345B">
        <w:rPr>
          <w:rFonts w:cs="Times New Roman"/>
        </w:rPr>
        <w:t>teré ta která procedura zabere,</w:t>
      </w:r>
      <w:r w:rsidRPr="007F345B">
        <w:rPr>
          <w:rFonts w:cs="Times New Roman"/>
        </w:rPr>
        <w:t xml:space="preserve"> finanční náklady </w:t>
      </w:r>
      <w:r w:rsidR="00D13BCA" w:rsidRPr="007F345B">
        <w:rPr>
          <w:rFonts w:cs="Times New Roman"/>
        </w:rPr>
        <w:t xml:space="preserve">a další relevantní údaje </w:t>
      </w:r>
      <w:r w:rsidRPr="007F345B">
        <w:rPr>
          <w:rFonts w:cs="Times New Roman"/>
        </w:rPr>
        <w:t>s těmito operacemi spojené.</w:t>
      </w:r>
      <w:r w:rsidR="00B27605">
        <w:rPr>
          <w:rStyle w:val="Znakapoznpodarou"/>
          <w:rFonts w:cs="Times New Roman"/>
        </w:rPr>
        <w:footnoteReference w:id="2"/>
      </w:r>
      <w:r w:rsidRPr="007F345B">
        <w:rPr>
          <w:rFonts w:cs="Times New Roman"/>
        </w:rPr>
        <w:t xml:space="preserve"> </w:t>
      </w:r>
    </w:p>
    <w:p w:rsidR="008C38B8" w:rsidRPr="007F345B" w:rsidRDefault="008C38B8" w:rsidP="007F3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48DD4" w:themeColor="text2" w:themeTint="99"/>
        </w:rPr>
      </w:pPr>
    </w:p>
    <w:p w:rsidR="00293DF3" w:rsidRPr="007F345B" w:rsidRDefault="00293DF3" w:rsidP="007F3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F345B">
        <w:rPr>
          <w:rFonts w:cs="Times New Roman"/>
        </w:rPr>
        <w:t>Pokud jde o pozici České republiky v jednotlivých ukazatelích,</w:t>
      </w:r>
      <w:r w:rsidR="00B27605">
        <w:rPr>
          <w:rFonts w:cs="Times New Roman"/>
        </w:rPr>
        <w:t xml:space="preserve"> uvádíme nejen vývoj hodnocení v čase, ale také ve srovnání s Německem, Rakouskem a Slovenskem, Dánskem a Estonskem.</w:t>
      </w:r>
      <w:r w:rsidR="00B53639">
        <w:rPr>
          <w:rStyle w:val="Znakapoznpodarou"/>
          <w:rFonts w:cs="Times New Roman"/>
        </w:rPr>
        <w:footnoteReference w:id="3"/>
      </w:r>
      <w:r w:rsidR="00B53639">
        <w:rPr>
          <w:rFonts w:cs="Times New Roman"/>
        </w:rPr>
        <w:t xml:space="preserve"> </w:t>
      </w:r>
    </w:p>
    <w:p w:rsidR="005374A9" w:rsidRDefault="005374A9" w:rsidP="00D33DA1">
      <w:pPr>
        <w:jc w:val="both"/>
        <w:rPr>
          <w:b/>
          <w:sz w:val="24"/>
          <w:szCs w:val="24"/>
        </w:rPr>
      </w:pPr>
    </w:p>
    <w:p w:rsidR="00D33DA1" w:rsidRPr="008D7233" w:rsidRDefault="00D33DA1" w:rsidP="00D33DA1">
      <w:pPr>
        <w:jc w:val="both"/>
        <w:rPr>
          <w:b/>
          <w:sz w:val="24"/>
          <w:szCs w:val="24"/>
        </w:rPr>
      </w:pPr>
      <w:r w:rsidRPr="008D7233">
        <w:rPr>
          <w:b/>
          <w:sz w:val="24"/>
          <w:szCs w:val="24"/>
        </w:rPr>
        <w:t xml:space="preserve">Srovnání indikátorů </w:t>
      </w:r>
      <w:proofErr w:type="spellStart"/>
      <w:r w:rsidRPr="008D7233">
        <w:rPr>
          <w:b/>
          <w:sz w:val="24"/>
          <w:szCs w:val="24"/>
        </w:rPr>
        <w:t>Doing</w:t>
      </w:r>
      <w:proofErr w:type="spellEnd"/>
      <w:r w:rsidRPr="008D7233">
        <w:rPr>
          <w:b/>
          <w:sz w:val="24"/>
          <w:szCs w:val="24"/>
        </w:rPr>
        <w:t xml:space="preserve"> Business Světové banky v čase a s vybranými státy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D33DA1" w:rsidRPr="00725AA9" w:rsidTr="00D33DA1">
        <w:trPr>
          <w:trHeight w:val="683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after="0" w:line="240" w:lineRule="auto"/>
              <w:rPr>
                <w:b/>
              </w:rPr>
            </w:pPr>
          </w:p>
          <w:p w:rsidR="00D33DA1" w:rsidRPr="00725AA9" w:rsidRDefault="00D33DA1" w:rsidP="00D33DA1">
            <w:pPr>
              <w:spacing w:after="0" w:line="240" w:lineRule="auto"/>
              <w:rPr>
                <w:b/>
              </w:rPr>
            </w:pPr>
            <w:r w:rsidRPr="00725AA9">
              <w:rPr>
                <w:b/>
              </w:rPr>
              <w:t>Indikátor (odpovědné ministerstvo v ČR)</w:t>
            </w:r>
          </w:p>
        </w:tc>
        <w:tc>
          <w:tcPr>
            <w:tcW w:w="709" w:type="dxa"/>
          </w:tcPr>
          <w:p w:rsidR="00D33DA1" w:rsidRPr="00725AA9" w:rsidRDefault="00D6766A" w:rsidP="00D33D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rok 2011</w:t>
            </w:r>
          </w:p>
        </w:tc>
        <w:tc>
          <w:tcPr>
            <w:tcW w:w="709" w:type="dxa"/>
          </w:tcPr>
          <w:p w:rsidR="00D33DA1" w:rsidRPr="00725AA9" w:rsidRDefault="00D6766A" w:rsidP="00D33D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rok 2012</w:t>
            </w:r>
          </w:p>
        </w:tc>
        <w:tc>
          <w:tcPr>
            <w:tcW w:w="709" w:type="dxa"/>
          </w:tcPr>
          <w:p w:rsidR="00D33DA1" w:rsidRPr="00725AA9" w:rsidRDefault="00D6766A" w:rsidP="00D33D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rok 2013</w:t>
            </w:r>
          </w:p>
        </w:tc>
        <w:tc>
          <w:tcPr>
            <w:tcW w:w="708" w:type="dxa"/>
          </w:tcPr>
          <w:p w:rsidR="00D33DA1" w:rsidRPr="00725AA9" w:rsidRDefault="00D6766A" w:rsidP="00D33D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rok 2014</w:t>
            </w:r>
          </w:p>
        </w:tc>
        <w:tc>
          <w:tcPr>
            <w:tcW w:w="851" w:type="dxa"/>
          </w:tcPr>
          <w:p w:rsidR="00D33DA1" w:rsidRPr="00725AA9" w:rsidRDefault="00D6766A" w:rsidP="00D33DA1">
            <w:pPr>
              <w:spacing w:after="0" w:line="240" w:lineRule="auto"/>
              <w:jc w:val="center"/>
            </w:pPr>
            <w:r>
              <w:t>CZ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rok 2015*</w:t>
            </w:r>
          </w:p>
          <w:p w:rsidR="00D33DA1" w:rsidRPr="00725AA9" w:rsidRDefault="00D33DA1" w:rsidP="00D33DA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D33DA1" w:rsidRPr="00725AA9" w:rsidRDefault="00D6766A" w:rsidP="00D33DA1">
            <w:pPr>
              <w:spacing w:after="0" w:line="240" w:lineRule="auto"/>
            </w:pPr>
            <w:r>
              <w:t>CZ</w:t>
            </w:r>
          </w:p>
          <w:p w:rsidR="00D33DA1" w:rsidRPr="00725AA9" w:rsidRDefault="00D33DA1" w:rsidP="00D33DA1">
            <w:pPr>
              <w:spacing w:after="0" w:line="240" w:lineRule="auto"/>
            </w:pPr>
            <w:r w:rsidRPr="00725AA9">
              <w:t>rok 2016</w:t>
            </w:r>
          </w:p>
          <w:p w:rsidR="00D33DA1" w:rsidRPr="00725AA9" w:rsidRDefault="00D33DA1" w:rsidP="00D33DA1">
            <w:pPr>
              <w:spacing w:after="0" w:line="240" w:lineRule="auto"/>
            </w:pP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AT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SK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DE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DK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2016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EST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2016</w:t>
            </w:r>
          </w:p>
        </w:tc>
      </w:tr>
      <w:tr w:rsidR="00D33DA1" w:rsidRPr="00725AA9" w:rsidTr="00D33DA1">
        <w:trPr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AA9">
              <w:rPr>
                <w:rFonts w:ascii="Times New Roman" w:hAnsi="Times New Roman"/>
                <w:b/>
                <w:sz w:val="24"/>
                <w:szCs w:val="24"/>
              </w:rPr>
              <w:t>Celkové umístění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63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64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65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75</w:t>
            </w:r>
          </w:p>
        </w:tc>
        <w:tc>
          <w:tcPr>
            <w:tcW w:w="851" w:type="dxa"/>
            <w:vAlign w:val="bottom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25AA9">
              <w:rPr>
                <w:b/>
              </w:rPr>
              <w:t>44/33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25AA9">
              <w:rPr>
                <w:b/>
                <w:color w:val="FF0000"/>
              </w:rPr>
              <w:t>36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29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b/>
              </w:rPr>
            </w:pPr>
            <w:r w:rsidRPr="00725AA9">
              <w:rPr>
                <w:b/>
              </w:rPr>
              <w:t>16</w:t>
            </w:r>
          </w:p>
        </w:tc>
      </w:tr>
      <w:tr w:rsidR="00D33DA1" w:rsidRPr="00725AA9" w:rsidTr="00D33DA1">
        <w:trPr>
          <w:trHeight w:val="775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Vstup do podnikání (MSP)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130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138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140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146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110/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90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93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106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68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107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29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15</w:t>
            </w:r>
          </w:p>
        </w:tc>
      </w:tr>
      <w:tr w:rsidR="00D33DA1" w:rsidRPr="00725AA9" w:rsidTr="00D33DA1">
        <w:trPr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Vyřízení stavebního povolení (MMR)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76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68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74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86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139/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126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127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47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84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13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5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16</w:t>
            </w:r>
          </w:p>
        </w:tc>
      </w:tr>
      <w:tr w:rsidR="00D33DA1" w:rsidRPr="00725AA9" w:rsidTr="00D33DA1">
        <w:trPr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Zavedení elektrické energie (MPO)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-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148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143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146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123/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40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42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17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48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34</w:t>
            </w:r>
          </w:p>
        </w:tc>
      </w:tr>
      <w:tr w:rsidR="00D33DA1" w:rsidRPr="00725AA9" w:rsidTr="00D33DA1">
        <w:trPr>
          <w:trHeight w:val="777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Zápis do katastru (MSP)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47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34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27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37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31/35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37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26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5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62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9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</w:t>
            </w:r>
          </w:p>
        </w:tc>
      </w:tr>
      <w:tr w:rsidR="00D33DA1" w:rsidRPr="00725AA9" w:rsidTr="00D33DA1">
        <w:trPr>
          <w:trHeight w:val="736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Přístup k úvěrům (MF)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46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48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53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55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23/24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28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59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42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28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28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28</w:t>
            </w:r>
          </w:p>
        </w:tc>
      </w:tr>
      <w:tr w:rsidR="00D33DA1" w:rsidRPr="00725AA9" w:rsidTr="00D33DA1">
        <w:trPr>
          <w:trHeight w:val="689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Ochrana investorů (MSP/MF)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93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97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100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98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83/54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57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36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88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49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20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81</w:t>
            </w:r>
          </w:p>
        </w:tc>
      </w:tr>
      <w:tr w:rsidR="00D33DA1" w:rsidRPr="00725AA9" w:rsidTr="00D33DA1">
        <w:trPr>
          <w:trHeight w:val="699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Placení daní (MF/MPSV)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128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119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120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122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119/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123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122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74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73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72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30</w:t>
            </w:r>
          </w:p>
        </w:tc>
      </w:tr>
      <w:tr w:rsidR="00D33DA1" w:rsidRPr="00725AA9" w:rsidTr="00D33DA1">
        <w:trPr>
          <w:trHeight w:val="696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Zahraniční obchod (MPO)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62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70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68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68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58/1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35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24</w:t>
            </w:r>
          </w:p>
        </w:tc>
      </w:tr>
      <w:tr w:rsidR="00D33DA1" w:rsidRPr="00725AA9" w:rsidTr="00D33DA1">
        <w:trPr>
          <w:trHeight w:val="706"/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Vymahatelnost práva (MSP)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78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78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79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75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37/72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72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63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12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37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11</w:t>
            </w:r>
          </w:p>
        </w:tc>
      </w:tr>
      <w:tr w:rsidR="00D33DA1" w:rsidRPr="00725AA9" w:rsidTr="00D33DA1">
        <w:trPr>
          <w:jc w:val="center"/>
        </w:trPr>
        <w:tc>
          <w:tcPr>
            <w:tcW w:w="2263" w:type="dxa"/>
          </w:tcPr>
          <w:p w:rsidR="00D33DA1" w:rsidRPr="00725AA9" w:rsidRDefault="00D33DA1" w:rsidP="00D33DA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A9">
              <w:rPr>
                <w:rFonts w:ascii="Times New Roman" w:hAnsi="Times New Roman"/>
                <w:sz w:val="24"/>
                <w:szCs w:val="24"/>
              </w:rPr>
              <w:t>Úspěšnost věřitelů v insolvenčním řízení (MSP)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32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33</w:t>
            </w: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34</w:t>
            </w:r>
          </w:p>
        </w:tc>
        <w:tc>
          <w:tcPr>
            <w:tcW w:w="708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29</w:t>
            </w:r>
          </w:p>
        </w:tc>
        <w:tc>
          <w:tcPr>
            <w:tcW w:w="851" w:type="dxa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20/20</w:t>
            </w:r>
          </w:p>
          <w:p w:rsidR="00D33DA1" w:rsidRPr="00725AA9" w:rsidRDefault="00D33DA1" w:rsidP="00D33DA1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33DA1" w:rsidRPr="00725AA9" w:rsidRDefault="00D33DA1" w:rsidP="00D33DA1">
            <w:pPr>
              <w:spacing w:after="0" w:line="240" w:lineRule="auto"/>
              <w:jc w:val="center"/>
              <w:rPr>
                <w:color w:val="FF0000"/>
              </w:rPr>
            </w:pPr>
            <w:r w:rsidRPr="00725AA9">
              <w:rPr>
                <w:color w:val="FF0000"/>
              </w:rPr>
              <w:t>22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18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33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3</w:t>
            </w:r>
          </w:p>
        </w:tc>
        <w:tc>
          <w:tcPr>
            <w:tcW w:w="709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9</w:t>
            </w:r>
          </w:p>
        </w:tc>
        <w:tc>
          <w:tcPr>
            <w:tcW w:w="708" w:type="dxa"/>
            <w:vAlign w:val="center"/>
          </w:tcPr>
          <w:p w:rsidR="00D33DA1" w:rsidRPr="00725AA9" w:rsidRDefault="00D33DA1" w:rsidP="00D33DA1">
            <w:pPr>
              <w:spacing w:after="0" w:line="240" w:lineRule="auto"/>
              <w:jc w:val="center"/>
            </w:pPr>
            <w:r w:rsidRPr="00725AA9">
              <w:t>40</w:t>
            </w:r>
          </w:p>
        </w:tc>
      </w:tr>
    </w:tbl>
    <w:p w:rsidR="00D33DA1" w:rsidRDefault="00D33DA1" w:rsidP="00D33DA1"/>
    <w:p w:rsidR="00D33DA1" w:rsidRDefault="00D33DA1" w:rsidP="00D33DA1">
      <w:pPr>
        <w:rPr>
          <w:b/>
        </w:rPr>
      </w:pPr>
      <w:r>
        <w:t xml:space="preserve">Pramen: </w:t>
      </w:r>
      <w:proofErr w:type="spellStart"/>
      <w:r>
        <w:t>Doing</w:t>
      </w:r>
      <w:proofErr w:type="spellEnd"/>
      <w:r>
        <w:t xml:space="preserve"> Business, Světová banka; </w:t>
      </w:r>
      <w:r>
        <w:rPr>
          <w:lang w:val="en-US"/>
        </w:rPr>
        <w:t>*=</w:t>
      </w:r>
      <w:r>
        <w:t xml:space="preserve"> Údaj za lomítkem je přepočtené pořadí za rok 2015 podle metodiky použité pro </w:t>
      </w:r>
      <w:proofErr w:type="spellStart"/>
      <w:r>
        <w:t>Doing</w:t>
      </w:r>
      <w:proofErr w:type="spellEnd"/>
      <w:r>
        <w:t xml:space="preserve"> Business 2016</w:t>
      </w:r>
      <w:r w:rsidRPr="009E3A94">
        <w:rPr>
          <w:b/>
        </w:rPr>
        <w:t xml:space="preserve"> </w:t>
      </w:r>
    </w:p>
    <w:p w:rsidR="00D33DA1" w:rsidRDefault="00D33DA1" w:rsidP="00D33DA1">
      <w:pPr>
        <w:jc w:val="both"/>
      </w:pPr>
    </w:p>
    <w:p w:rsidR="00EF25FE" w:rsidRPr="00481A9B" w:rsidRDefault="00BA6057" w:rsidP="00446D8F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  <w:r w:rsidRPr="00481A9B">
        <w:rPr>
          <w:rFonts w:cs="Times New Roman"/>
        </w:rPr>
        <w:t xml:space="preserve">Jak z přehledu vyplývá, </w:t>
      </w:r>
      <w:r w:rsidR="00B53639">
        <w:rPr>
          <w:rFonts w:cs="Times New Roman"/>
        </w:rPr>
        <w:t xml:space="preserve">výrazné zlepšení v posledních </w:t>
      </w:r>
      <w:r w:rsidR="00D33DA1">
        <w:rPr>
          <w:rFonts w:cs="Times New Roman"/>
        </w:rPr>
        <w:t xml:space="preserve">několika </w:t>
      </w:r>
      <w:r w:rsidR="00B53639">
        <w:rPr>
          <w:rFonts w:cs="Times New Roman"/>
        </w:rPr>
        <w:t>letech</w:t>
      </w:r>
      <w:r w:rsidR="00D33DA1">
        <w:rPr>
          <w:rFonts w:cs="Times New Roman"/>
          <w:b/>
        </w:rPr>
        <w:t xml:space="preserve"> zaznamenala</w:t>
      </w:r>
      <w:r w:rsidRPr="00481A9B">
        <w:rPr>
          <w:rFonts w:cs="Times New Roman"/>
          <w:b/>
        </w:rPr>
        <w:t xml:space="preserve"> Česká republika</w:t>
      </w:r>
      <w:r w:rsidR="00BE1AC8">
        <w:rPr>
          <w:rFonts w:cs="Times New Roman"/>
          <w:b/>
        </w:rPr>
        <w:t xml:space="preserve"> </w:t>
      </w:r>
      <w:r w:rsidRPr="00481A9B">
        <w:rPr>
          <w:rFonts w:cs="Times New Roman"/>
        </w:rPr>
        <w:t>v</w:t>
      </w:r>
      <w:r w:rsidR="00D33DA1">
        <w:rPr>
          <w:rFonts w:cs="Times New Roman"/>
        </w:rPr>
        <w:t>e dvou</w:t>
      </w:r>
      <w:r w:rsidRPr="00481A9B">
        <w:rPr>
          <w:rFonts w:cs="Times New Roman"/>
        </w:rPr>
        <w:t> ukazatelích</w:t>
      </w:r>
      <w:r w:rsidR="00BE1AC8">
        <w:rPr>
          <w:rFonts w:cs="Times New Roman"/>
        </w:rPr>
        <w:t xml:space="preserve"> </w:t>
      </w:r>
      <w:r w:rsidR="00D33DA1">
        <w:rPr>
          <w:rFonts w:cs="Times New Roman"/>
        </w:rPr>
        <w:t>(</w:t>
      </w:r>
      <w:r w:rsidRPr="00481A9B">
        <w:rPr>
          <w:rFonts w:cs="Times New Roman"/>
        </w:rPr>
        <w:t>gesc</w:t>
      </w:r>
      <w:r w:rsidR="00D33DA1">
        <w:rPr>
          <w:rFonts w:cs="Times New Roman"/>
        </w:rPr>
        <w:t>e</w:t>
      </w:r>
      <w:r w:rsidR="00206102" w:rsidRPr="00481A9B">
        <w:rPr>
          <w:rFonts w:cs="Times New Roman"/>
        </w:rPr>
        <w:t xml:space="preserve"> Ministerstva průmyslu a obchodu</w:t>
      </w:r>
      <w:r w:rsidR="00D33DA1">
        <w:rPr>
          <w:rFonts w:cs="Times New Roman"/>
        </w:rPr>
        <w:t>)</w:t>
      </w:r>
      <w:r w:rsidR="00EF25FE" w:rsidRPr="00481A9B">
        <w:rPr>
          <w:rFonts w:cs="Times New Roman"/>
        </w:rPr>
        <w:t>:</w:t>
      </w:r>
    </w:p>
    <w:p w:rsidR="00EF25FE" w:rsidRPr="00481A9B" w:rsidRDefault="00206102" w:rsidP="00446D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</w:rPr>
      </w:pPr>
      <w:r w:rsidRPr="00481A9B">
        <w:rPr>
          <w:rFonts w:cs="Times New Roman"/>
          <w:b/>
        </w:rPr>
        <w:lastRenderedPageBreak/>
        <w:t>Z</w:t>
      </w:r>
      <w:r w:rsidR="00EF25FE" w:rsidRPr="00481A9B">
        <w:rPr>
          <w:rFonts w:cs="Times New Roman"/>
          <w:b/>
        </w:rPr>
        <w:t>a</w:t>
      </w:r>
      <w:r w:rsidRPr="00481A9B">
        <w:rPr>
          <w:rFonts w:cs="Times New Roman"/>
          <w:b/>
        </w:rPr>
        <w:t xml:space="preserve">vedení </w:t>
      </w:r>
      <w:r w:rsidR="007C28B5" w:rsidRPr="00481A9B">
        <w:rPr>
          <w:rFonts w:cs="Times New Roman"/>
          <w:b/>
        </w:rPr>
        <w:t xml:space="preserve">elektrické energie </w:t>
      </w:r>
      <w:r w:rsidR="00EF25FE" w:rsidRPr="00481A9B">
        <w:rPr>
          <w:rFonts w:cs="Times New Roman"/>
          <w:b/>
        </w:rPr>
        <w:t xml:space="preserve">- </w:t>
      </w:r>
      <w:r w:rsidR="007C28B5" w:rsidRPr="00481A9B">
        <w:rPr>
          <w:rFonts w:cs="Times New Roman"/>
          <w:b/>
        </w:rPr>
        <w:t>posun o 81 míst</w:t>
      </w:r>
      <w:r w:rsidR="00E9082F">
        <w:rPr>
          <w:rFonts w:cs="Times New Roman"/>
          <w:b/>
        </w:rPr>
        <w:t xml:space="preserve"> ze 123. na 42. míst</w:t>
      </w:r>
      <w:r w:rsidR="00E160B9">
        <w:rPr>
          <w:rFonts w:cs="Times New Roman"/>
          <w:b/>
        </w:rPr>
        <w:t>o</w:t>
      </w:r>
      <w:r w:rsidR="00AF3E7A">
        <w:rPr>
          <w:rFonts w:cs="Times New Roman"/>
          <w:b/>
        </w:rPr>
        <w:t>.</w:t>
      </w:r>
      <w:r w:rsidR="007C28B5" w:rsidRPr="00481A9B">
        <w:rPr>
          <w:rFonts w:cs="Times New Roman"/>
          <w:b/>
        </w:rPr>
        <w:t xml:space="preserve"> </w:t>
      </w:r>
    </w:p>
    <w:p w:rsidR="00EF25FE" w:rsidRPr="00481A9B" w:rsidRDefault="007C28B5" w:rsidP="00446D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</w:rPr>
      </w:pPr>
      <w:r w:rsidRPr="00481A9B">
        <w:rPr>
          <w:rFonts w:cs="Times New Roman"/>
          <w:b/>
        </w:rPr>
        <w:t>Zahraniční obchod</w:t>
      </w:r>
      <w:r w:rsidR="00EF25FE" w:rsidRPr="00481A9B">
        <w:rPr>
          <w:rFonts w:cs="Times New Roman"/>
          <w:b/>
        </w:rPr>
        <w:t xml:space="preserve"> - </w:t>
      </w:r>
      <w:r w:rsidRPr="00481A9B">
        <w:rPr>
          <w:rFonts w:cs="Times New Roman"/>
          <w:b/>
        </w:rPr>
        <w:t>posun o 57 míst</w:t>
      </w:r>
      <w:r w:rsidR="00E160B9">
        <w:rPr>
          <w:rFonts w:cs="Times New Roman"/>
          <w:b/>
        </w:rPr>
        <w:t xml:space="preserve"> z 58. na 1</w:t>
      </w:r>
      <w:r w:rsidRPr="00481A9B">
        <w:rPr>
          <w:rFonts w:cs="Times New Roman"/>
          <w:b/>
        </w:rPr>
        <w:t>.</w:t>
      </w:r>
      <w:r w:rsidR="00E160B9">
        <w:rPr>
          <w:rFonts w:cs="Times New Roman"/>
          <w:b/>
        </w:rPr>
        <w:t xml:space="preserve"> místo</w:t>
      </w:r>
      <w:r w:rsidR="00206102" w:rsidRPr="00481A9B">
        <w:rPr>
          <w:rFonts w:cs="Times New Roman"/>
          <w:b/>
        </w:rPr>
        <w:t xml:space="preserve"> </w:t>
      </w:r>
    </w:p>
    <w:p w:rsidR="00AF3E7A" w:rsidRDefault="00AF3E7A" w:rsidP="00446D8F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</w:rPr>
      </w:pPr>
    </w:p>
    <w:p w:rsidR="00BA6057" w:rsidRPr="004D2039" w:rsidRDefault="00AF3E7A" w:rsidP="00446D8F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b/>
        </w:rPr>
      </w:pPr>
      <w:r w:rsidRPr="004D2039">
        <w:rPr>
          <w:rFonts w:cs="Times New Roman"/>
          <w:b/>
        </w:rPr>
        <w:t xml:space="preserve">Právě </w:t>
      </w:r>
      <w:r w:rsidR="00B86801">
        <w:rPr>
          <w:rFonts w:cs="Times New Roman"/>
          <w:b/>
        </w:rPr>
        <w:t>na</w:t>
      </w:r>
      <w:r w:rsidRPr="004D2039">
        <w:rPr>
          <w:rFonts w:cs="Times New Roman"/>
          <w:b/>
        </w:rPr>
        <w:t xml:space="preserve"> indikátoru</w:t>
      </w:r>
      <w:r w:rsidR="009F3603">
        <w:rPr>
          <w:rFonts w:cs="Times New Roman"/>
          <w:b/>
        </w:rPr>
        <w:t xml:space="preserve"> </w:t>
      </w:r>
      <w:r w:rsidRPr="004D2039">
        <w:rPr>
          <w:rFonts w:cs="Times New Roman"/>
          <w:b/>
        </w:rPr>
        <w:t>,,zavedení elektrické energie</w:t>
      </w:r>
      <w:r w:rsidRPr="004D2039">
        <w:rPr>
          <w:rFonts w:cs="Times New Roman"/>
          <w:b/>
          <w:lang w:val="en-US"/>
        </w:rPr>
        <w:t>”</w:t>
      </w:r>
      <w:r w:rsidR="00323B0C">
        <w:rPr>
          <w:rFonts w:cs="Times New Roman"/>
          <w:b/>
          <w:lang w:val="en-US"/>
        </w:rPr>
        <w:t xml:space="preserve"> je </w:t>
      </w:r>
      <w:proofErr w:type="spellStart"/>
      <w:r w:rsidR="00323B0C">
        <w:rPr>
          <w:rFonts w:cs="Times New Roman"/>
          <w:b/>
          <w:lang w:val="en-US"/>
        </w:rPr>
        <w:t>vidět</w:t>
      </w:r>
      <w:proofErr w:type="spellEnd"/>
      <w:r w:rsidR="00323B0C">
        <w:rPr>
          <w:rFonts w:cs="Times New Roman"/>
          <w:b/>
          <w:lang w:val="en-US"/>
        </w:rPr>
        <w:t xml:space="preserve"> </w:t>
      </w:r>
      <w:proofErr w:type="spellStart"/>
      <w:r w:rsidR="00323B0C">
        <w:rPr>
          <w:rFonts w:cs="Times New Roman"/>
          <w:b/>
          <w:lang w:val="en-US"/>
        </w:rPr>
        <w:t>přínos</w:t>
      </w:r>
      <w:proofErr w:type="spellEnd"/>
      <w:r w:rsidRPr="004D2039">
        <w:rPr>
          <w:rFonts w:cs="Times New Roman"/>
          <w:b/>
        </w:rPr>
        <w:t xml:space="preserve"> velmi intenzivní spolupráce</w:t>
      </w:r>
      <w:r w:rsidR="00B86801">
        <w:rPr>
          <w:rFonts w:cs="Times New Roman"/>
          <w:b/>
        </w:rPr>
        <w:t xml:space="preserve"> MPO</w:t>
      </w:r>
      <w:r w:rsidRPr="004D2039">
        <w:rPr>
          <w:rFonts w:cs="Times New Roman"/>
          <w:b/>
        </w:rPr>
        <w:t xml:space="preserve"> jak s místními odborníky, tak se zástupci vydavatele. </w:t>
      </w:r>
      <w:r w:rsidR="006A3EBD" w:rsidRPr="004D2039">
        <w:rPr>
          <w:rFonts w:cs="Times New Roman"/>
          <w:b/>
        </w:rPr>
        <w:t xml:space="preserve">Je totiž nutné nejen poskytnout relevantní reálné podklady, ale také </w:t>
      </w:r>
      <w:r w:rsidR="00D33DA1">
        <w:rPr>
          <w:rFonts w:cs="Times New Roman"/>
          <w:b/>
        </w:rPr>
        <w:t>komunikovat s vydavatelem, pokud jde</w:t>
      </w:r>
      <w:r w:rsidR="004D171F">
        <w:rPr>
          <w:rFonts w:cs="Times New Roman"/>
          <w:b/>
        </w:rPr>
        <w:t xml:space="preserve"> </w:t>
      </w:r>
      <w:r w:rsidR="00D33DA1">
        <w:rPr>
          <w:rFonts w:cs="Times New Roman"/>
          <w:b/>
        </w:rPr>
        <w:t>o</w:t>
      </w:r>
      <w:r w:rsidR="004D171F">
        <w:rPr>
          <w:rFonts w:cs="Times New Roman"/>
          <w:b/>
        </w:rPr>
        <w:t xml:space="preserve"> </w:t>
      </w:r>
      <w:r w:rsidR="00D33DA1">
        <w:rPr>
          <w:rFonts w:cs="Times New Roman"/>
          <w:b/>
        </w:rPr>
        <w:t xml:space="preserve">věcně </w:t>
      </w:r>
      <w:r w:rsidR="006A3EBD" w:rsidRPr="004D2039">
        <w:rPr>
          <w:rFonts w:cs="Times New Roman"/>
          <w:b/>
        </w:rPr>
        <w:t>správnou interpretaci</w:t>
      </w:r>
      <w:r w:rsidR="00D4352E" w:rsidRPr="004D2039">
        <w:rPr>
          <w:rFonts w:cs="Times New Roman"/>
          <w:b/>
        </w:rPr>
        <w:t xml:space="preserve"> </w:t>
      </w:r>
      <w:r w:rsidR="00D33DA1">
        <w:rPr>
          <w:rFonts w:cs="Times New Roman"/>
          <w:b/>
        </w:rPr>
        <w:t>zjištěných dat</w:t>
      </w:r>
      <w:r w:rsidR="006A3EBD" w:rsidRPr="004D2039">
        <w:rPr>
          <w:rFonts w:cs="Times New Roman"/>
          <w:b/>
        </w:rPr>
        <w:t>.</w:t>
      </w:r>
      <w:r w:rsidR="006A3EBD" w:rsidRPr="004D2039">
        <w:rPr>
          <w:rFonts w:cs="Times New Roman"/>
          <w:b/>
          <w:color w:val="548DD4" w:themeColor="text2" w:themeTint="99"/>
        </w:rPr>
        <w:t xml:space="preserve"> </w:t>
      </w:r>
      <w:r w:rsidR="00206102" w:rsidRPr="004D2039">
        <w:rPr>
          <w:rFonts w:cs="Times New Roman"/>
          <w:b/>
          <w:color w:val="548DD4" w:themeColor="text2" w:themeTint="99"/>
        </w:rPr>
        <w:t xml:space="preserve"> </w:t>
      </w:r>
      <w:r w:rsidR="006A3EBD" w:rsidRPr="004D2039">
        <w:rPr>
          <w:rFonts w:cs="Times New Roman"/>
          <w:b/>
          <w:color w:val="548DD4" w:themeColor="text2" w:themeTint="99"/>
        </w:rPr>
        <w:t xml:space="preserve"> </w:t>
      </w:r>
    </w:p>
    <w:p w:rsidR="00293DF3" w:rsidRPr="00481A9B" w:rsidRDefault="00293DF3" w:rsidP="00446D8F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color w:val="548DD4" w:themeColor="text2" w:themeTint="99"/>
        </w:rPr>
      </w:pPr>
    </w:p>
    <w:p w:rsidR="00E07E93" w:rsidRPr="007F345B" w:rsidRDefault="008C38B8" w:rsidP="00446D8F">
      <w:pPr>
        <w:spacing w:after="0" w:line="312" w:lineRule="auto"/>
        <w:jc w:val="both"/>
      </w:pPr>
      <w:r w:rsidRPr="007F345B">
        <w:rPr>
          <w:rFonts w:cs="Times New Roman"/>
        </w:rPr>
        <w:t>Naproti tomu tři</w:t>
      </w:r>
      <w:r w:rsidRPr="007F345B">
        <w:t xml:space="preserve"> </w:t>
      </w:r>
      <w:r w:rsidR="00351FD4" w:rsidRPr="007F345B">
        <w:t>indikátory</w:t>
      </w:r>
      <w:r w:rsidR="00D33DA1">
        <w:t xml:space="preserve">, jež </w:t>
      </w:r>
      <w:r w:rsidRPr="007F345B">
        <w:t>mají</w:t>
      </w:r>
      <w:r w:rsidR="00351FD4" w:rsidRPr="007F345B">
        <w:t> nejslabší</w:t>
      </w:r>
      <w:r w:rsidR="00885D98" w:rsidRPr="007F345B">
        <w:t xml:space="preserve"> hodnocení</w:t>
      </w:r>
      <w:r w:rsidR="00F2275E">
        <w:t xml:space="preserve">, </w:t>
      </w:r>
      <w:r w:rsidR="00D33DA1">
        <w:t>jsou</w:t>
      </w:r>
      <w:r w:rsidR="00351FD4" w:rsidRPr="007F345B">
        <w:t>:</w:t>
      </w:r>
    </w:p>
    <w:p w:rsidR="00E07E93" w:rsidRPr="007F345B" w:rsidRDefault="00E07E93" w:rsidP="00446D8F">
      <w:pPr>
        <w:pStyle w:val="Odstavecseseznamem"/>
        <w:numPr>
          <w:ilvl w:val="0"/>
          <w:numId w:val="8"/>
        </w:numPr>
        <w:spacing w:after="0" w:line="312" w:lineRule="auto"/>
        <w:jc w:val="both"/>
      </w:pPr>
      <w:r w:rsidRPr="007F345B">
        <w:t>vstup do podnikání</w:t>
      </w:r>
    </w:p>
    <w:p w:rsidR="00E07E93" w:rsidRPr="007F345B" w:rsidRDefault="00E07E93" w:rsidP="00446D8F">
      <w:pPr>
        <w:pStyle w:val="Odstavecseseznamem"/>
        <w:numPr>
          <w:ilvl w:val="0"/>
          <w:numId w:val="8"/>
        </w:numPr>
        <w:spacing w:after="0" w:line="312" w:lineRule="auto"/>
        <w:jc w:val="both"/>
      </w:pPr>
      <w:r w:rsidRPr="007F345B">
        <w:t>vyřízení stavebního povolení</w:t>
      </w:r>
    </w:p>
    <w:p w:rsidR="00E07E93" w:rsidRDefault="00E07E93" w:rsidP="00446D8F">
      <w:pPr>
        <w:pStyle w:val="Odstavecseseznamem"/>
        <w:numPr>
          <w:ilvl w:val="0"/>
          <w:numId w:val="8"/>
        </w:numPr>
        <w:spacing w:after="0" w:line="312" w:lineRule="auto"/>
        <w:jc w:val="both"/>
      </w:pPr>
      <w:r w:rsidRPr="007F345B">
        <w:t>placení daní</w:t>
      </w:r>
    </w:p>
    <w:p w:rsidR="00EF25FE" w:rsidRPr="007F345B" w:rsidRDefault="00B86801" w:rsidP="00446D8F">
      <w:pPr>
        <w:spacing w:after="0" w:line="312" w:lineRule="auto"/>
        <w:jc w:val="both"/>
      </w:pPr>
      <w:r>
        <w:t xml:space="preserve">Pro ilustraci je uveden základní rozbor rozdílného hodnocení v těchto kategoriích, které však nemohou být plnohodnotnou náhradou důkladné diferenční analýzy, a slouží spíše pro naznačení </w:t>
      </w:r>
      <w:r w:rsidR="00AE6756">
        <w:t>cest</w:t>
      </w:r>
      <w:r>
        <w:t>, jak mohou být administrativní a ekonomické bariéry redukovány.</w:t>
      </w:r>
    </w:p>
    <w:p w:rsidR="00B16E0D" w:rsidRDefault="00B16E0D" w:rsidP="007F345B">
      <w:pPr>
        <w:spacing w:after="160" w:line="256" w:lineRule="auto"/>
        <w:jc w:val="both"/>
        <w:rPr>
          <w:b/>
          <w:u w:val="single"/>
        </w:rPr>
      </w:pPr>
    </w:p>
    <w:p w:rsidR="00D4352E" w:rsidRPr="00B10AD4" w:rsidRDefault="00885D98" w:rsidP="007F345B">
      <w:pPr>
        <w:spacing w:after="160" w:line="256" w:lineRule="auto"/>
        <w:jc w:val="both"/>
        <w:rPr>
          <w:u w:val="single"/>
        </w:rPr>
      </w:pPr>
      <w:r w:rsidRPr="00B10AD4">
        <w:rPr>
          <w:b/>
          <w:u w:val="single"/>
        </w:rPr>
        <w:t>Vstup do podnikání:</w:t>
      </w:r>
      <w:r w:rsidR="00E07E93" w:rsidRPr="00B10AD4">
        <w:rPr>
          <w:u w:val="single"/>
        </w:rPr>
        <w:t xml:space="preserve"> </w:t>
      </w:r>
    </w:p>
    <w:p w:rsidR="00885D98" w:rsidRPr="00B10AD4" w:rsidRDefault="00E07E93" w:rsidP="007F345B">
      <w:pPr>
        <w:spacing w:after="160" w:line="256" w:lineRule="auto"/>
        <w:jc w:val="both"/>
      </w:pPr>
      <w:r w:rsidRPr="00B10AD4">
        <w:t>Česká republika vyžaduje osm</w:t>
      </w:r>
      <w:r w:rsidR="00885D98" w:rsidRPr="00B10AD4">
        <w:t xml:space="preserve"> úko</w:t>
      </w:r>
      <w:r w:rsidRPr="00B10AD4">
        <w:t>nů při zřizování fi</w:t>
      </w:r>
      <w:r w:rsidR="003A0303" w:rsidRPr="00B10AD4">
        <w:t xml:space="preserve">rmy (s.r.o.), zjevně jde </w:t>
      </w:r>
      <w:r w:rsidRPr="00B10AD4">
        <w:t>o inspiraci</w:t>
      </w:r>
      <w:r w:rsidR="00885D98" w:rsidRPr="00B10AD4">
        <w:t xml:space="preserve"> německým a rakouským vzorem</w:t>
      </w:r>
      <w:r w:rsidR="00B86801" w:rsidRPr="00B10AD4">
        <w:t xml:space="preserve"> (</w:t>
      </w:r>
      <w:r w:rsidR="00885D98" w:rsidRPr="00B10AD4">
        <w:t xml:space="preserve">obě země </w:t>
      </w:r>
      <w:r w:rsidR="00B86801" w:rsidRPr="00B10AD4">
        <w:t xml:space="preserve">však </w:t>
      </w:r>
      <w:r w:rsidR="00885D98" w:rsidRPr="00B10AD4">
        <w:t>dopadají v této oblasti v </w:t>
      </w:r>
      <w:proofErr w:type="spellStart"/>
      <w:r w:rsidR="00885D98" w:rsidRPr="00B10AD4">
        <w:t>Do</w:t>
      </w:r>
      <w:r w:rsidRPr="00B10AD4">
        <w:t>ing</w:t>
      </w:r>
      <w:proofErr w:type="spellEnd"/>
      <w:r w:rsidRPr="00B10AD4">
        <w:t xml:space="preserve"> Business ještě hůř</w:t>
      </w:r>
      <w:r w:rsidR="006C5290" w:rsidRPr="00B10AD4">
        <w:t>e</w:t>
      </w:r>
      <w:r w:rsidRPr="00B10AD4">
        <w:t xml:space="preserve"> než Česká republika</w:t>
      </w:r>
      <w:r w:rsidR="00885D98" w:rsidRPr="00B10AD4">
        <w:t>, a vzorem rozhodně být nemohou</w:t>
      </w:r>
      <w:r w:rsidR="00CB4504" w:rsidRPr="00B10AD4">
        <w:rPr>
          <w:lang w:val="en-US"/>
        </w:rPr>
        <w:t>)</w:t>
      </w:r>
      <w:r w:rsidR="00885D98" w:rsidRPr="00B10AD4">
        <w:t>. S</w:t>
      </w:r>
      <w:r w:rsidR="00D33DA1" w:rsidRPr="00B10AD4">
        <w:t> členstvím v</w:t>
      </w:r>
      <w:r w:rsidR="00885D98" w:rsidRPr="00B10AD4">
        <w:t> Evropsk</w:t>
      </w:r>
      <w:r w:rsidR="00D33DA1" w:rsidRPr="00B10AD4">
        <w:t>é</w:t>
      </w:r>
      <w:r w:rsidR="00885D98" w:rsidRPr="00B10AD4">
        <w:t xml:space="preserve"> uni</w:t>
      </w:r>
      <w:r w:rsidR="00F6114C" w:rsidRPr="00B10AD4">
        <w:t>i</w:t>
      </w:r>
      <w:r w:rsidR="00885D98" w:rsidRPr="00B10AD4">
        <w:t xml:space="preserve"> </w:t>
      </w:r>
      <w:r w:rsidR="00D33DA1" w:rsidRPr="00B10AD4">
        <w:t>administrativa</w:t>
      </w:r>
      <w:r w:rsidR="00885D98" w:rsidRPr="00B10AD4">
        <w:t xml:space="preserve"> spojená se založením firmy nijak</w:t>
      </w:r>
      <w:r w:rsidR="003A0303" w:rsidRPr="00B10AD4">
        <w:t xml:space="preserve"> </w:t>
      </w:r>
      <w:r w:rsidR="00885D98" w:rsidRPr="00B10AD4">
        <w:t>nesouvisí</w:t>
      </w:r>
      <w:r w:rsidR="00D33DA1" w:rsidRPr="00B10AD4">
        <w:t>:</w:t>
      </w:r>
      <w:r w:rsidR="00885D98" w:rsidRPr="00B10AD4">
        <w:t xml:space="preserve"> nejlepší hodnocení </w:t>
      </w:r>
      <w:r w:rsidR="00D33DA1" w:rsidRPr="00B10AD4">
        <w:t>v tabulce výše</w:t>
      </w:r>
      <w:r w:rsidR="00885D98" w:rsidRPr="00B10AD4">
        <w:t xml:space="preserve"> má Estonsko, které </w:t>
      </w:r>
      <w:r w:rsidR="00D33DA1" w:rsidRPr="00B10AD4">
        <w:t>požaduje</w:t>
      </w:r>
      <w:r w:rsidR="00885D98" w:rsidRPr="00B10AD4">
        <w:t> tři procedur</w:t>
      </w:r>
      <w:r w:rsidR="00D33DA1" w:rsidRPr="00B10AD4">
        <w:t>y</w:t>
      </w:r>
      <w:r w:rsidR="00885D98" w:rsidRPr="00B10AD4">
        <w:t xml:space="preserve"> oproti českým osmi</w:t>
      </w:r>
      <w:r w:rsidR="00D33DA1" w:rsidRPr="00B10AD4">
        <w:t>, s čímž souvisí</w:t>
      </w:r>
      <w:r w:rsidR="00885D98" w:rsidRPr="00B10AD4">
        <w:t xml:space="preserve"> podstatně nižší časov</w:t>
      </w:r>
      <w:r w:rsidR="00CF1EC1" w:rsidRPr="00B10AD4">
        <w:t xml:space="preserve">á </w:t>
      </w:r>
      <w:r w:rsidR="00885D98" w:rsidRPr="00B10AD4">
        <w:t>i finanční</w:t>
      </w:r>
      <w:r w:rsidR="00D33DA1" w:rsidRPr="00B10AD4">
        <w:t xml:space="preserve"> zátěž pro zakládanou společnost</w:t>
      </w:r>
      <w:r w:rsidR="00885D98" w:rsidRPr="00B10AD4">
        <w:t>.</w:t>
      </w:r>
    </w:p>
    <w:p w:rsidR="00885D98" w:rsidRPr="00B10AD4" w:rsidRDefault="00885D98" w:rsidP="007F345B">
      <w:pPr>
        <w:jc w:val="both"/>
        <w:rPr>
          <w:b/>
        </w:rPr>
      </w:pPr>
      <w:r w:rsidRPr="00B10AD4">
        <w:rPr>
          <w:b/>
        </w:rPr>
        <w:t xml:space="preserve">Příklad Estonska </w:t>
      </w:r>
    </w:p>
    <w:p w:rsidR="00885D98" w:rsidRPr="00B10AD4" w:rsidRDefault="00885D98" w:rsidP="007F345B">
      <w:pPr>
        <w:jc w:val="both"/>
      </w:pPr>
      <w:r w:rsidRPr="00B10AD4">
        <w:t>V Estonsku lze registraci firmy v obchodn</w:t>
      </w:r>
      <w:r w:rsidR="00B8240D" w:rsidRPr="00B10AD4">
        <w:t xml:space="preserve">ím rejstříku </w:t>
      </w:r>
      <w:r w:rsidRPr="00B10AD4">
        <w:t xml:space="preserve">provést elektronicky, přičemž v rámci stejné procedury je možné elektronicky vyřídit i registraci u finančního a celního úřadu. Vzhledem k tomu, že estonský </w:t>
      </w:r>
      <w:r w:rsidR="00B8240D" w:rsidRPr="00B10AD4">
        <w:t xml:space="preserve">finanční úřad </w:t>
      </w:r>
      <w:r w:rsidRPr="00B10AD4">
        <w:t>pracuje se stejným registrem jako orgány sociálního a zdravotního pojištění, není separátní registrace vyžadována. Jedná se tedy o elektronicky dostupné jednotné konta</w:t>
      </w:r>
      <w:r w:rsidR="00B8240D" w:rsidRPr="00B10AD4">
        <w:t>k</w:t>
      </w:r>
      <w:r w:rsidRPr="00B10AD4">
        <w:t>tní místo, kde úkony spojené s registrací firmy lze provést online na základě jednoho různě obsáhlého formuláře, kde se všemi sbíraná data automaticky kopírují, a doplňují se pouze specifické údaje</w:t>
      </w:r>
      <w:r w:rsidR="00B8240D" w:rsidRPr="00B10AD4">
        <w:t xml:space="preserve"> </w:t>
      </w:r>
      <w:r w:rsidRPr="00B10AD4">
        <w:t xml:space="preserve">v případě potřeby (např. DPH po překročení hranice). </w:t>
      </w:r>
    </w:p>
    <w:p w:rsidR="00885D98" w:rsidRPr="00B10AD4" w:rsidRDefault="00885D98" w:rsidP="007F345B">
      <w:pPr>
        <w:pStyle w:val="Odstavecseseznamem"/>
        <w:jc w:val="both"/>
      </w:pPr>
    </w:p>
    <w:p w:rsidR="00885D98" w:rsidRPr="00B10AD4" w:rsidRDefault="00885D98" w:rsidP="007F345B">
      <w:pPr>
        <w:spacing w:after="160" w:line="256" w:lineRule="auto"/>
        <w:jc w:val="both"/>
        <w:rPr>
          <w:b/>
          <w:u w:val="single"/>
        </w:rPr>
      </w:pPr>
      <w:r w:rsidRPr="00B10AD4">
        <w:rPr>
          <w:b/>
          <w:u w:val="single"/>
        </w:rPr>
        <w:t xml:space="preserve">Vyřízení stavebního povolení: </w:t>
      </w:r>
    </w:p>
    <w:p w:rsidR="00885D98" w:rsidRPr="00B10AD4" w:rsidRDefault="00885D98" w:rsidP="007F345B">
      <w:pPr>
        <w:jc w:val="both"/>
      </w:pPr>
      <w:r w:rsidRPr="00B10AD4">
        <w:rPr>
          <w:b/>
        </w:rPr>
        <w:t>Příklad Dánska</w:t>
      </w:r>
      <w:r w:rsidRPr="00B10AD4">
        <w:t xml:space="preserve"> </w:t>
      </w:r>
    </w:p>
    <w:p w:rsidR="00885D98" w:rsidRPr="00B10AD4" w:rsidRDefault="00885D98" w:rsidP="007F345B">
      <w:pPr>
        <w:jc w:val="both"/>
      </w:pPr>
      <w:r w:rsidRPr="00B10AD4">
        <w:t xml:space="preserve">Jako v předchozím případě zakládání firem, i v tomto případě spočívá rozdílné bodové hodnocení ve sdružování mnoha procedur do jednoho procesu v Dánsku, kdy se dokumentace žadatele posílá on-line na jedno místo, vyřizuje se simultánně v jedné správní lhůtě, nikoli sekvenčně a komunikace probíhá elektronicky. Výsledkem je, že administrativa spojená s povolením k výstavbě stejného </w:t>
      </w:r>
      <w:r w:rsidRPr="00B10AD4">
        <w:lastRenderedPageBreak/>
        <w:t>typového objektu trvá v Praze násobně déle než v Kodani (247 dnů oproti 64), i když náklady na vyřízení povo</w:t>
      </w:r>
      <w:r w:rsidR="00D4352E" w:rsidRPr="00B10AD4">
        <w:t xml:space="preserve">lení v poměru k ceně díla </w:t>
      </w:r>
      <w:r w:rsidR="00B8240D" w:rsidRPr="00B10AD4">
        <w:t xml:space="preserve">jsou </w:t>
      </w:r>
      <w:r w:rsidR="00D4352E" w:rsidRPr="00B10AD4">
        <w:t xml:space="preserve">v ČR </w:t>
      </w:r>
      <w:r w:rsidRPr="00B10AD4">
        <w:t>nižší, alespoň podle oficiálních údajů.</w:t>
      </w:r>
    </w:p>
    <w:p w:rsidR="00885D98" w:rsidRPr="00B10AD4" w:rsidRDefault="00885D98" w:rsidP="007F345B">
      <w:pPr>
        <w:spacing w:after="160" w:line="256" w:lineRule="auto"/>
        <w:jc w:val="both"/>
        <w:rPr>
          <w:u w:val="single"/>
        </w:rPr>
      </w:pPr>
      <w:r w:rsidRPr="00B10AD4">
        <w:rPr>
          <w:b/>
          <w:u w:val="single"/>
        </w:rPr>
        <w:t>Placení daní:</w:t>
      </w:r>
    </w:p>
    <w:p w:rsidR="00885D98" w:rsidRPr="00B10AD4" w:rsidRDefault="00885D98" w:rsidP="007F345B">
      <w:pPr>
        <w:jc w:val="both"/>
      </w:pPr>
      <w:r w:rsidRPr="00B10AD4">
        <w:t>Nejlépe ze srovnávaných zemí dopadlo Dánsko, kde jsou sice daně i složená daňová kvóta podstatně vyšší v ČR, ale daňová struktura není přímo srovnatelná. Na placení daní srovnatelná firma s obdobným předmětem činnosti potřebuje pouze 130 hodin ročně, oproti 405 hodinám v Česku, ovšem v Dánsku je jiná konstrukce sociálního a zdravotního pojištění</w:t>
      </w:r>
      <w:r w:rsidR="007A3DA9" w:rsidRPr="00B10AD4">
        <w:t xml:space="preserve"> </w:t>
      </w:r>
      <w:r w:rsidRPr="00B10AD4">
        <w:t xml:space="preserve">- firmy platí kapitační platby (fixní částku peněz za zaměstnance), vypořádávané se správcem daně v jedné proceduře, což je jednoduché. Tady má smysl se podívat na země, které mají sociální pojištění odvozené od mzdy. </w:t>
      </w:r>
    </w:p>
    <w:p w:rsidR="00885D98" w:rsidRPr="00896EAF" w:rsidRDefault="00885D98" w:rsidP="007F345B">
      <w:pPr>
        <w:jc w:val="both"/>
        <w:rPr>
          <w:b/>
        </w:rPr>
      </w:pPr>
      <w:r w:rsidRPr="00896EAF">
        <w:rPr>
          <w:b/>
        </w:rPr>
        <w:t>Administrativa sociálního pojištění je vesměs pracnější než</w:t>
      </w:r>
      <w:r w:rsidR="007A3DA9" w:rsidRPr="00896EAF">
        <w:rPr>
          <w:b/>
        </w:rPr>
        <w:t xml:space="preserve"> v</w:t>
      </w:r>
      <w:r w:rsidRPr="00896EAF">
        <w:rPr>
          <w:b/>
        </w:rPr>
        <w:t xml:space="preserve"> případě DPH a DPPO</w:t>
      </w:r>
    </w:p>
    <w:p w:rsidR="00885D98" w:rsidRPr="00896EAF" w:rsidRDefault="00885D98" w:rsidP="007F345B">
      <w:pPr>
        <w:jc w:val="both"/>
      </w:pPr>
      <w:r w:rsidRPr="00896EAF">
        <w:t xml:space="preserve">V Česku je to časově největší zátěž plátců daně, která zabere 217 hodin ročně, </w:t>
      </w:r>
      <w:r w:rsidRPr="006870D5">
        <w:t>jde o agendu ČSSZ.</w:t>
      </w:r>
      <w:r w:rsidR="006870D5">
        <w:t xml:space="preserve"> </w:t>
      </w:r>
      <w:r w:rsidRPr="00896EAF">
        <w:t>Druhá a třetí největší časová zátěž spočívá v administrativě spojené s příjmovou daní firem a s platbami DPH, které zaberou po 94 hodinách.</w:t>
      </w:r>
    </w:p>
    <w:p w:rsidR="00885D98" w:rsidRPr="000801B0" w:rsidRDefault="00885D98" w:rsidP="007F345B">
      <w:pPr>
        <w:jc w:val="both"/>
      </w:pPr>
      <w:r w:rsidRPr="000801B0">
        <w:t xml:space="preserve">V Německu je obsluha sociálních daní opět náročnější (134 hodin za rok), zatímco DPH zabere 43 a daň z příjmu právnických osob 41 hodin ročně. Ve všech případech je tedy správa daní z hlediska plátce podstatně méně časově náročná, než je tomu v případě ČR; administrativa spojená s výběrem DPH a </w:t>
      </w:r>
      <w:r w:rsidR="00B86801" w:rsidRPr="000801B0">
        <w:t>DPPO nevyžaduje</w:t>
      </w:r>
      <w:r w:rsidRPr="000801B0">
        <w:t xml:space="preserve"> ani polovinu času ve srovnání s ČR.</w:t>
      </w:r>
    </w:p>
    <w:p w:rsidR="00885D98" w:rsidRPr="000801B0" w:rsidRDefault="00885D98" w:rsidP="007F345B">
      <w:pPr>
        <w:jc w:val="both"/>
      </w:pPr>
      <w:r w:rsidRPr="000801B0">
        <w:t>V Estonsku zabere sociální pojištění pouhých 34, a DPH jen 27 hodin, a zdanění rozděleného zisku (</w:t>
      </w:r>
      <w:r w:rsidR="00B86801" w:rsidRPr="000801B0">
        <w:t>odlišný koncept oproti DPPO v ČR</w:t>
      </w:r>
      <w:r w:rsidRPr="000801B0">
        <w:t xml:space="preserve">) 20 hodin ročně. </w:t>
      </w:r>
    </w:p>
    <w:p w:rsidR="00F55512" w:rsidRDefault="00F55512" w:rsidP="007F345B">
      <w:pPr>
        <w:jc w:val="both"/>
      </w:pPr>
    </w:p>
    <w:p w:rsidR="00F55512" w:rsidRPr="00346E0D" w:rsidRDefault="00F55512" w:rsidP="007F345B">
      <w:pPr>
        <w:jc w:val="both"/>
        <w:rPr>
          <w:b/>
          <w:u w:val="single"/>
        </w:rPr>
      </w:pPr>
      <w:r w:rsidRPr="00346E0D">
        <w:rPr>
          <w:b/>
          <w:u w:val="single"/>
        </w:rPr>
        <w:t xml:space="preserve">Závěr </w:t>
      </w:r>
    </w:p>
    <w:p w:rsidR="00C77BE5" w:rsidRDefault="00D25721" w:rsidP="00882A73">
      <w:pPr>
        <w:jc w:val="both"/>
      </w:pPr>
      <w:r>
        <w:t xml:space="preserve">Koordinátorem </w:t>
      </w:r>
      <w:r w:rsidR="00C77BE5" w:rsidRPr="00C77BE5">
        <w:t xml:space="preserve">publikace </w:t>
      </w:r>
      <w:proofErr w:type="spellStart"/>
      <w:r w:rsidR="00C77BE5" w:rsidRPr="00C77BE5">
        <w:t>Doing</w:t>
      </w:r>
      <w:proofErr w:type="spellEnd"/>
      <w:r w:rsidR="00C77BE5" w:rsidRPr="00C77BE5">
        <w:t xml:space="preserve"> Business je v České republice Ministerstvo financí.</w:t>
      </w:r>
    </w:p>
    <w:p w:rsidR="004466EB" w:rsidRDefault="00646FD6" w:rsidP="00882A73">
      <w:pPr>
        <w:jc w:val="both"/>
        <w:rPr>
          <w:b/>
        </w:rPr>
      </w:pPr>
      <w:r>
        <w:rPr>
          <w:b/>
        </w:rPr>
        <w:t>V</w:t>
      </w:r>
      <w:r w:rsidRPr="00895311">
        <w:rPr>
          <w:b/>
        </w:rPr>
        <w:t>zhledem k tomu, že mise Světové banky obvykle přijíždí do ČR v průběhu jara a uzávěrka pro dodání podkladů je, jak již bylo výše uvedeno, 1. června</w:t>
      </w:r>
      <w:r>
        <w:rPr>
          <w:b/>
        </w:rPr>
        <w:t xml:space="preserve">, </w:t>
      </w:r>
      <w:r w:rsidRPr="00646FD6">
        <w:t>je žádoucí</w:t>
      </w:r>
      <w:r w:rsidR="00E07E93" w:rsidRPr="00646FD6">
        <w:t xml:space="preserve">, </w:t>
      </w:r>
      <w:r w:rsidR="00E07E93" w:rsidRPr="007F345B">
        <w:t xml:space="preserve">aby se ministerstva, která </w:t>
      </w:r>
      <w:r w:rsidR="00B86801">
        <w:t>je možno z kompetenčního hlediska považovat za</w:t>
      </w:r>
      <w:r w:rsidR="004466EB">
        <w:t xml:space="preserve"> </w:t>
      </w:r>
      <w:r w:rsidR="00B86801">
        <w:t>„</w:t>
      </w:r>
      <w:r w:rsidR="00E07E93" w:rsidRPr="007F345B">
        <w:t>garanty</w:t>
      </w:r>
      <w:r w:rsidR="00B86801">
        <w:t>“</w:t>
      </w:r>
      <w:r w:rsidR="00E07E93" w:rsidRPr="007F345B">
        <w:t xml:space="preserve"> jednotlivých indikátorů,</w:t>
      </w:r>
      <w:r w:rsidR="00882A73">
        <w:t xml:space="preserve"> </w:t>
      </w:r>
      <w:r w:rsidR="00882A73" w:rsidRPr="007F345B">
        <w:t xml:space="preserve">v následujícím období zaměřila na </w:t>
      </w:r>
      <w:r w:rsidR="000A47F7">
        <w:t>odstranění legislativních, organizačních a věcných překážek, jež podmiňují lepší hodnocení u</w:t>
      </w:r>
      <w:r w:rsidR="00882A73" w:rsidRPr="007F345B">
        <w:t xml:space="preserve"> sledovaných indikátorů a </w:t>
      </w:r>
      <w:r w:rsidR="000A47F7">
        <w:t>podmiňují tak celkové postavení ČR v</w:t>
      </w:r>
      <w:r w:rsidR="00895311">
        <w:t> </w:t>
      </w:r>
      <w:r w:rsidR="000A47F7">
        <w:t>žebříčku</w:t>
      </w:r>
      <w:r w:rsidR="00895311">
        <w:t xml:space="preserve">, a </w:t>
      </w:r>
      <w:r w:rsidR="004466EB">
        <w:t xml:space="preserve">s dostatečným předstihem </w:t>
      </w:r>
      <w:r w:rsidR="00895311" w:rsidRPr="00895311">
        <w:rPr>
          <w:b/>
        </w:rPr>
        <w:t xml:space="preserve">zpracovala diferenční analýzu </w:t>
      </w:r>
      <w:r w:rsidR="004466EB">
        <w:rPr>
          <w:b/>
        </w:rPr>
        <w:t xml:space="preserve">vůči členským zemím EU, které dosáhly v daných indikátorech nejlepšího umístění, včetně zdůvodnění rozdílů a návrhů na zlepšení. </w:t>
      </w:r>
      <w:r w:rsidR="00895311" w:rsidRPr="00895311">
        <w:rPr>
          <w:b/>
        </w:rPr>
        <w:t> </w:t>
      </w:r>
    </w:p>
    <w:p w:rsidR="000A47F7" w:rsidRDefault="000A47F7" w:rsidP="00882A73">
      <w:pPr>
        <w:jc w:val="both"/>
      </w:pPr>
      <w:r>
        <w:t>Vláda ČR zakotvila snahu o snížení administrativních překážek bránících rozvoji podnikání přímo v Programovém prohlášení, a právě omezování byrokracie je oblastí, kde nejen podle mezinárodních analýz, ale i podle hodnocení podnikatelských svazů dosud nebylo dosaženo podstatného zlepšení situace (naposledy například průzkum provedený mezi členy Hospodářské komory ČR</w:t>
      </w:r>
      <w:r w:rsidR="00F347D5">
        <w:t xml:space="preserve"> v říjnu 2015).</w:t>
      </w:r>
    </w:p>
    <w:p w:rsidR="00882A73" w:rsidRPr="007F345B" w:rsidRDefault="003777EB" w:rsidP="00882A73">
      <w:pPr>
        <w:jc w:val="both"/>
      </w:pPr>
      <w:r>
        <w:t xml:space="preserve">Vzhledem ke skutečnosti, že se jedná o průřezovou problematiku spadající do gesce více resortů, </w:t>
      </w:r>
      <w:r w:rsidR="00FE71C4">
        <w:t xml:space="preserve">je bezpodmínečně nutná </w:t>
      </w:r>
      <w:r>
        <w:t>intenzivní a efektivní spoluprác</w:t>
      </w:r>
      <w:r w:rsidR="00FE71C4">
        <w:t xml:space="preserve">e </w:t>
      </w:r>
      <w:r>
        <w:t>a kooperac</w:t>
      </w:r>
      <w:r w:rsidR="00FE71C4">
        <w:t xml:space="preserve">e </w:t>
      </w:r>
      <w:r>
        <w:t>všech dotčených resortů, jejímž společným cílem bude zajistit reáln</w:t>
      </w:r>
      <w:r w:rsidR="00F347D5">
        <w:t xml:space="preserve">é a prokazatelné snížení regulatorní a administrativní zátěže, a to především pro tuzemské malé a střední podniky, na něž dopadá disproporčně nejvíce (jde svého </w:t>
      </w:r>
      <w:r w:rsidR="00F347D5">
        <w:lastRenderedPageBreak/>
        <w:t>druhu o fixní náklad). Přitom v mnoha případech nejde o proces, který by byl spojen s výraznými finančními nároky pro veřejné rozpočty, často jde pouze o organizační změny a legislativní úpravy, jakkoli vyžadují soustředěné úsilí všech zainteresovaných subjektů.</w:t>
      </w:r>
      <w:r w:rsidR="00587F4E">
        <w:t xml:space="preserve"> </w:t>
      </w:r>
      <w:r w:rsidR="00F347D5">
        <w:t>Detailní</w:t>
      </w:r>
      <w:r w:rsidR="00587F4E">
        <w:t xml:space="preserve"> </w:t>
      </w:r>
      <w:r w:rsidR="00F347D5">
        <w:t xml:space="preserve">diferenční analýza podle metodiky používané v publikaci </w:t>
      </w:r>
      <w:proofErr w:type="spellStart"/>
      <w:r w:rsidR="00F347D5">
        <w:t>Doing</w:t>
      </w:r>
      <w:proofErr w:type="spellEnd"/>
      <w:r w:rsidR="00F347D5">
        <w:t xml:space="preserve"> Business představuje nejen cenný hodnotící nástroj, ale i způsob, jak identifikovat relativně „nízko visící ovoce“, tedy změny, které nejsou</w:t>
      </w:r>
      <w:r w:rsidR="00AE6756">
        <w:t xml:space="preserve"> rozpočtově náročné a přitom výrazně přispějí ke snížení administrativní zátěže pro podnikatele a další kultivaci podnikatelského prostředí v ČR s příznivý</w:t>
      </w:r>
      <w:r w:rsidR="00587F4E">
        <w:t xml:space="preserve">m </w:t>
      </w:r>
      <w:r w:rsidR="00AE6756">
        <w:t>efektem pro potenciální růst české ekonomiky.</w:t>
      </w:r>
      <w:r w:rsidR="00882A73" w:rsidRPr="007F345B">
        <w:t xml:space="preserve"> </w:t>
      </w:r>
      <w:r w:rsidR="00AE6756">
        <w:t xml:space="preserve">Měřitelné </w:t>
      </w:r>
      <w:r w:rsidR="00882A73" w:rsidRPr="007F345B">
        <w:t>zlepšení postavení České republiky v</w:t>
      </w:r>
      <w:r w:rsidR="00AE6756">
        <w:t> </w:t>
      </w:r>
      <w:r w:rsidR="00882A73" w:rsidRPr="007F345B">
        <w:t>publikaci</w:t>
      </w:r>
      <w:r w:rsidR="00AE6756">
        <w:t xml:space="preserve">, jež je využívána v </w:t>
      </w:r>
      <w:r w:rsidR="00AE6756" w:rsidRPr="007F345B">
        <w:t>rozhodovací</w:t>
      </w:r>
      <w:r w:rsidR="00AE6756">
        <w:t>m</w:t>
      </w:r>
      <w:r w:rsidR="00AE6756" w:rsidRPr="007F345B">
        <w:t xml:space="preserve"> proces</w:t>
      </w:r>
      <w:r w:rsidR="00AE6756">
        <w:t>u</w:t>
      </w:r>
      <w:r w:rsidR="00AE6756" w:rsidRPr="007F345B">
        <w:t xml:space="preserve"> perspektivních investorů</w:t>
      </w:r>
      <w:r w:rsidR="00AE6756">
        <w:t xml:space="preserve">, rovněž spoluvytváří příznivý mediální obraz ČR jako atraktivní destinace pro podnikání a investice v globálním měřítku. </w:t>
      </w:r>
      <w:r w:rsidR="00882A73" w:rsidRPr="007F345B">
        <w:t xml:space="preserve"> </w:t>
      </w:r>
    </w:p>
    <w:p w:rsidR="00882A73" w:rsidRDefault="00882A73" w:rsidP="007F345B">
      <w:pPr>
        <w:jc w:val="both"/>
      </w:pPr>
    </w:p>
    <w:p w:rsidR="000C6E8D" w:rsidRDefault="000C6E8D" w:rsidP="005D1E0C">
      <w:pPr>
        <w:jc w:val="both"/>
      </w:pPr>
    </w:p>
    <w:sectPr w:rsidR="000C6E8D" w:rsidSect="001D194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26" w:rsidRDefault="00C73C26" w:rsidP="0070530C">
      <w:pPr>
        <w:spacing w:after="0" w:line="240" w:lineRule="auto"/>
      </w:pPr>
      <w:r>
        <w:separator/>
      </w:r>
    </w:p>
  </w:endnote>
  <w:endnote w:type="continuationSeparator" w:id="0">
    <w:p w:rsidR="00C73C26" w:rsidRDefault="00C73C26" w:rsidP="0070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hitney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04910"/>
      <w:docPartObj>
        <w:docPartGallery w:val="Page Numbers (Bottom of Page)"/>
        <w:docPartUnique/>
      </w:docPartObj>
    </w:sdtPr>
    <w:sdtContent>
      <w:p w:rsidR="00B86801" w:rsidRDefault="001D1945">
        <w:pPr>
          <w:pStyle w:val="Zpat"/>
          <w:jc w:val="right"/>
        </w:pPr>
        <w:r>
          <w:fldChar w:fldCharType="begin"/>
        </w:r>
        <w:r w:rsidR="00B86801">
          <w:instrText>PAGE   \* MERGEFORMAT</w:instrText>
        </w:r>
        <w:r>
          <w:fldChar w:fldCharType="separate"/>
        </w:r>
        <w:r w:rsidR="008C4A24">
          <w:rPr>
            <w:noProof/>
          </w:rPr>
          <w:t>6</w:t>
        </w:r>
        <w:r>
          <w:fldChar w:fldCharType="end"/>
        </w:r>
      </w:p>
    </w:sdtContent>
  </w:sdt>
  <w:p w:rsidR="00B86801" w:rsidRDefault="00B868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26" w:rsidRDefault="00C73C26" w:rsidP="0070530C">
      <w:pPr>
        <w:spacing w:after="0" w:line="240" w:lineRule="auto"/>
      </w:pPr>
      <w:r>
        <w:separator/>
      </w:r>
    </w:p>
  </w:footnote>
  <w:footnote w:type="continuationSeparator" w:id="0">
    <w:p w:rsidR="00C73C26" w:rsidRDefault="00C73C26" w:rsidP="0070530C">
      <w:pPr>
        <w:spacing w:after="0" w:line="240" w:lineRule="auto"/>
      </w:pPr>
      <w:r>
        <w:continuationSeparator/>
      </w:r>
    </w:p>
  </w:footnote>
  <w:footnote w:id="1">
    <w:p w:rsidR="00B86801" w:rsidRDefault="00B86801" w:rsidP="00B80786">
      <w:pPr>
        <w:pStyle w:val="Textpoznpodarou"/>
        <w:jc w:val="both"/>
      </w:pPr>
      <w:r w:rsidRPr="005E3C4D">
        <w:rPr>
          <w:rStyle w:val="Znakapoznpodarou"/>
        </w:rPr>
        <w:footnoteRef/>
      </w:r>
      <w:r w:rsidRPr="005E3C4D">
        <w:t xml:space="preserve"> Světová banka výrazně změnila metodiku a zpětně revidovala také umístění v žebříč</w:t>
      </w:r>
      <w:r w:rsidR="006635D8" w:rsidRPr="005E3C4D">
        <w:t xml:space="preserve">ku za rok 2015, kde posunula ČR </w:t>
      </w:r>
      <w:r w:rsidRPr="005E3C4D">
        <w:t>ze 44. na 33.</w:t>
      </w:r>
      <w:r w:rsidR="003A2E23" w:rsidRPr="005E3C4D">
        <w:t xml:space="preserve"> </w:t>
      </w:r>
      <w:r w:rsidRPr="005E3C4D">
        <w:t>místo.</w:t>
      </w:r>
    </w:p>
    <w:p w:rsidR="005E3C4D" w:rsidRPr="005E3C4D" w:rsidRDefault="005E3C4D">
      <w:pPr>
        <w:pStyle w:val="Textpoznpodarou"/>
      </w:pPr>
    </w:p>
  </w:footnote>
  <w:footnote w:id="2">
    <w:p w:rsidR="00B86801" w:rsidRPr="005E3C4D" w:rsidRDefault="00B86801" w:rsidP="005E3C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E3C4D">
        <w:rPr>
          <w:rStyle w:val="Znakapoznpodarou"/>
          <w:sz w:val="20"/>
          <w:szCs w:val="20"/>
        </w:rPr>
        <w:footnoteRef/>
      </w:r>
      <w:r w:rsidRPr="005E3C4D">
        <w:rPr>
          <w:sz w:val="20"/>
          <w:szCs w:val="20"/>
        </w:rPr>
        <w:t xml:space="preserve"> </w:t>
      </w:r>
      <w:r w:rsidRPr="005E3C4D">
        <w:rPr>
          <w:rFonts w:cs="Times New Roman"/>
          <w:sz w:val="20"/>
          <w:szCs w:val="20"/>
        </w:rPr>
        <w:t xml:space="preserve">Zdrojem dat jsou v první řadě platné právní předpisy, většina údajů o nákladech vychází z oficiálních tabulek poplatků. Aby bylo možné výsledky porovnávat na mezinárodní úrovni, zaměřuje se studie na modelový typ firmy a na modelové typy situací (předem definované typizované transakce, úkony, apod.). Jedná se o malou či střední společnost s ručením omezeným obvykle působící v největším městě dané země. </w:t>
      </w:r>
    </w:p>
    <w:p w:rsidR="00B86801" w:rsidRPr="005E3C4D" w:rsidRDefault="00B86801" w:rsidP="002437DD">
      <w:pPr>
        <w:pStyle w:val="Textpoznpodarou"/>
      </w:pPr>
    </w:p>
  </w:footnote>
  <w:footnote w:id="3">
    <w:p w:rsidR="00B86801" w:rsidRPr="00A002CE" w:rsidRDefault="00B86801" w:rsidP="005E3C4D">
      <w:pPr>
        <w:pStyle w:val="Textpoznpodarou"/>
        <w:jc w:val="both"/>
      </w:pPr>
      <w:r w:rsidRPr="005E3C4D">
        <w:rPr>
          <w:rStyle w:val="Znakapoznpodarou"/>
        </w:rPr>
        <w:footnoteRef/>
      </w:r>
      <w:r w:rsidRPr="005E3C4D">
        <w:t xml:space="preserve"> Německo, Rakousko a Slovensko mají v řadě sledovaných oblastí podobn</w:t>
      </w:r>
      <w:r w:rsidR="00D63054" w:rsidRPr="005E3C4D">
        <w:t>ou</w:t>
      </w:r>
      <w:r w:rsidRPr="005E3C4D">
        <w:t xml:space="preserve"> právní </w:t>
      </w:r>
      <w:r w:rsidR="00D63054" w:rsidRPr="005E3C4D">
        <w:t>úpravu</w:t>
      </w:r>
      <w:r w:rsidRPr="005E3C4D">
        <w:t xml:space="preserve">, ale například i daňovou strukturu a </w:t>
      </w:r>
      <w:r w:rsidR="00D63054" w:rsidRPr="005E3C4D">
        <w:t>sociální systém včetně odvodové zátěž</w:t>
      </w:r>
      <w:r w:rsidR="00D63054" w:rsidRPr="00A002CE">
        <w:t>e, atd</w:t>
      </w:r>
      <w:r w:rsidRPr="00A002CE">
        <w:t xml:space="preserve">. </w:t>
      </w:r>
      <w:r w:rsidRPr="00A002CE">
        <w:rPr>
          <w:rFonts w:cs="Times New Roman"/>
        </w:rPr>
        <w:t xml:space="preserve">Dánsko bylo zařazeno </w:t>
      </w:r>
      <w:r w:rsidR="00D63054" w:rsidRPr="00A002CE">
        <w:rPr>
          <w:rFonts w:cs="Times New Roman"/>
        </w:rPr>
        <w:t xml:space="preserve">z důvodu absolutně </w:t>
      </w:r>
      <w:r w:rsidR="00323B0C" w:rsidRPr="00A002CE">
        <w:rPr>
          <w:rFonts w:cs="Times New Roman"/>
        </w:rPr>
        <w:t>nejlepšího dosaženého hodnocení z</w:t>
      </w:r>
      <w:r w:rsidRPr="00A002CE">
        <w:rPr>
          <w:rFonts w:cs="Times New Roman"/>
        </w:rPr>
        <w:t xml:space="preserve"> člensk</w:t>
      </w:r>
      <w:r w:rsidR="00323B0C" w:rsidRPr="00A002CE">
        <w:rPr>
          <w:rFonts w:cs="Times New Roman"/>
        </w:rPr>
        <w:t>ých</w:t>
      </w:r>
      <w:r w:rsidRPr="00A002CE">
        <w:rPr>
          <w:rFonts w:cs="Times New Roman"/>
        </w:rPr>
        <w:t xml:space="preserve"> zem</w:t>
      </w:r>
      <w:r w:rsidR="00323B0C" w:rsidRPr="00A002CE">
        <w:rPr>
          <w:rFonts w:cs="Times New Roman"/>
        </w:rPr>
        <w:t>í EU;</w:t>
      </w:r>
      <w:r w:rsidRPr="00A002CE">
        <w:rPr>
          <w:rFonts w:cs="Times New Roman"/>
        </w:rPr>
        <w:t xml:space="preserve"> Estonsko je </w:t>
      </w:r>
      <w:r w:rsidR="00323B0C" w:rsidRPr="00A002CE">
        <w:rPr>
          <w:rFonts w:cs="Times New Roman"/>
        </w:rPr>
        <w:t xml:space="preserve">pak </w:t>
      </w:r>
      <w:r w:rsidRPr="00A002CE">
        <w:rPr>
          <w:rFonts w:cs="Times New Roman"/>
        </w:rPr>
        <w:t>nejlépe hodnocené z nových členských zemí.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0E5"/>
    <w:multiLevelType w:val="hybridMultilevel"/>
    <w:tmpl w:val="4E24259A"/>
    <w:lvl w:ilvl="0" w:tplc="DB784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2CDB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02B0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46F5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F08C8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C35F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F0E1D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FAD18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AE3DB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3766"/>
    <w:multiLevelType w:val="hybridMultilevel"/>
    <w:tmpl w:val="8034E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F4F"/>
    <w:multiLevelType w:val="hybridMultilevel"/>
    <w:tmpl w:val="325A1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20D4"/>
    <w:multiLevelType w:val="hybridMultilevel"/>
    <w:tmpl w:val="206C4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48DF"/>
    <w:multiLevelType w:val="hybridMultilevel"/>
    <w:tmpl w:val="D1426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1115A"/>
    <w:multiLevelType w:val="hybridMultilevel"/>
    <w:tmpl w:val="B2249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C3EDE"/>
    <w:multiLevelType w:val="hybridMultilevel"/>
    <w:tmpl w:val="D8141AA4"/>
    <w:lvl w:ilvl="0" w:tplc="55726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93DF3"/>
    <w:rsid w:val="00011365"/>
    <w:rsid w:val="00024181"/>
    <w:rsid w:val="000305A5"/>
    <w:rsid w:val="000355A4"/>
    <w:rsid w:val="000730BE"/>
    <w:rsid w:val="000801B0"/>
    <w:rsid w:val="00091061"/>
    <w:rsid w:val="0009248C"/>
    <w:rsid w:val="000A47F7"/>
    <w:rsid w:val="000C1117"/>
    <w:rsid w:val="000C677B"/>
    <w:rsid w:val="000C6E8D"/>
    <w:rsid w:val="000D3BE5"/>
    <w:rsid w:val="000E05AB"/>
    <w:rsid w:val="000E1B66"/>
    <w:rsid w:val="0013508B"/>
    <w:rsid w:val="00144E2F"/>
    <w:rsid w:val="00156AFE"/>
    <w:rsid w:val="00177832"/>
    <w:rsid w:val="00181FAA"/>
    <w:rsid w:val="001946B9"/>
    <w:rsid w:val="001A785D"/>
    <w:rsid w:val="001B1252"/>
    <w:rsid w:val="001B2F88"/>
    <w:rsid w:val="001D1945"/>
    <w:rsid w:val="001E1F50"/>
    <w:rsid w:val="001E6840"/>
    <w:rsid w:val="001F6CFE"/>
    <w:rsid w:val="001F7E4C"/>
    <w:rsid w:val="00206102"/>
    <w:rsid w:val="00214F43"/>
    <w:rsid w:val="00221115"/>
    <w:rsid w:val="002417DC"/>
    <w:rsid w:val="002437DD"/>
    <w:rsid w:val="002650F7"/>
    <w:rsid w:val="00273523"/>
    <w:rsid w:val="00273F4F"/>
    <w:rsid w:val="00277923"/>
    <w:rsid w:val="00287ACA"/>
    <w:rsid w:val="00291F37"/>
    <w:rsid w:val="002925D5"/>
    <w:rsid w:val="00293DF3"/>
    <w:rsid w:val="002B7914"/>
    <w:rsid w:val="002C0C66"/>
    <w:rsid w:val="002C6AD8"/>
    <w:rsid w:val="002C76DF"/>
    <w:rsid w:val="003162EF"/>
    <w:rsid w:val="00323B0C"/>
    <w:rsid w:val="00346E0D"/>
    <w:rsid w:val="00351FD4"/>
    <w:rsid w:val="003777EB"/>
    <w:rsid w:val="00397D08"/>
    <w:rsid w:val="003A0303"/>
    <w:rsid w:val="003A2E23"/>
    <w:rsid w:val="003A43B0"/>
    <w:rsid w:val="003A65D8"/>
    <w:rsid w:val="003E4D1C"/>
    <w:rsid w:val="003F6D93"/>
    <w:rsid w:val="00413E0C"/>
    <w:rsid w:val="0043005F"/>
    <w:rsid w:val="004375C4"/>
    <w:rsid w:val="004466EB"/>
    <w:rsid w:val="00446D8F"/>
    <w:rsid w:val="00481A9B"/>
    <w:rsid w:val="00482A53"/>
    <w:rsid w:val="004D171F"/>
    <w:rsid w:val="004D2039"/>
    <w:rsid w:val="0050184E"/>
    <w:rsid w:val="00522D14"/>
    <w:rsid w:val="005374A9"/>
    <w:rsid w:val="00544927"/>
    <w:rsid w:val="00587F4E"/>
    <w:rsid w:val="00591E62"/>
    <w:rsid w:val="005A3957"/>
    <w:rsid w:val="005D1B63"/>
    <w:rsid w:val="005D1E0C"/>
    <w:rsid w:val="005E3C4D"/>
    <w:rsid w:val="005F3E1E"/>
    <w:rsid w:val="00632C15"/>
    <w:rsid w:val="00635864"/>
    <w:rsid w:val="00646FD6"/>
    <w:rsid w:val="00653976"/>
    <w:rsid w:val="006635D8"/>
    <w:rsid w:val="006870D5"/>
    <w:rsid w:val="006A3EBD"/>
    <w:rsid w:val="006A7EBC"/>
    <w:rsid w:val="006C5290"/>
    <w:rsid w:val="006E4A9D"/>
    <w:rsid w:val="006F4932"/>
    <w:rsid w:val="007019B0"/>
    <w:rsid w:val="00703A9A"/>
    <w:rsid w:val="0070530C"/>
    <w:rsid w:val="00710D38"/>
    <w:rsid w:val="00760241"/>
    <w:rsid w:val="007919F7"/>
    <w:rsid w:val="00793E81"/>
    <w:rsid w:val="007A0F22"/>
    <w:rsid w:val="007A3039"/>
    <w:rsid w:val="007A3DA9"/>
    <w:rsid w:val="007C28B5"/>
    <w:rsid w:val="007F345B"/>
    <w:rsid w:val="0081297D"/>
    <w:rsid w:val="00824E1E"/>
    <w:rsid w:val="008577AF"/>
    <w:rsid w:val="00882A73"/>
    <w:rsid w:val="00885D98"/>
    <w:rsid w:val="00895311"/>
    <w:rsid w:val="00896EAF"/>
    <w:rsid w:val="0089773A"/>
    <w:rsid w:val="008C38B8"/>
    <w:rsid w:val="008C4A24"/>
    <w:rsid w:val="008C5808"/>
    <w:rsid w:val="008D7233"/>
    <w:rsid w:val="008D7941"/>
    <w:rsid w:val="00912842"/>
    <w:rsid w:val="00920844"/>
    <w:rsid w:val="00966DDC"/>
    <w:rsid w:val="009C46D6"/>
    <w:rsid w:val="009E77A6"/>
    <w:rsid w:val="009F3603"/>
    <w:rsid w:val="00A002CE"/>
    <w:rsid w:val="00A2770C"/>
    <w:rsid w:val="00A35793"/>
    <w:rsid w:val="00A36AE4"/>
    <w:rsid w:val="00A42693"/>
    <w:rsid w:val="00A500B0"/>
    <w:rsid w:val="00A60339"/>
    <w:rsid w:val="00A80575"/>
    <w:rsid w:val="00AB13CC"/>
    <w:rsid w:val="00AE6756"/>
    <w:rsid w:val="00AF3E7A"/>
    <w:rsid w:val="00B10AD4"/>
    <w:rsid w:val="00B16E0D"/>
    <w:rsid w:val="00B2312A"/>
    <w:rsid w:val="00B27605"/>
    <w:rsid w:val="00B417A2"/>
    <w:rsid w:val="00B53639"/>
    <w:rsid w:val="00B53B7E"/>
    <w:rsid w:val="00B70189"/>
    <w:rsid w:val="00B80786"/>
    <w:rsid w:val="00B8240D"/>
    <w:rsid w:val="00B8359E"/>
    <w:rsid w:val="00B86801"/>
    <w:rsid w:val="00B94C94"/>
    <w:rsid w:val="00B97DB3"/>
    <w:rsid w:val="00BA59A9"/>
    <w:rsid w:val="00BA6057"/>
    <w:rsid w:val="00BB3B76"/>
    <w:rsid w:val="00BE1AC8"/>
    <w:rsid w:val="00BF12AE"/>
    <w:rsid w:val="00C060F7"/>
    <w:rsid w:val="00C14193"/>
    <w:rsid w:val="00C33DEE"/>
    <w:rsid w:val="00C57040"/>
    <w:rsid w:val="00C611BF"/>
    <w:rsid w:val="00C73C26"/>
    <w:rsid w:val="00C77BE5"/>
    <w:rsid w:val="00CB4504"/>
    <w:rsid w:val="00CD5CAA"/>
    <w:rsid w:val="00CE3DFD"/>
    <w:rsid w:val="00CF1EC1"/>
    <w:rsid w:val="00CF423E"/>
    <w:rsid w:val="00D13BCA"/>
    <w:rsid w:val="00D25721"/>
    <w:rsid w:val="00D27FCC"/>
    <w:rsid w:val="00D33DA1"/>
    <w:rsid w:val="00D4352E"/>
    <w:rsid w:val="00D56469"/>
    <w:rsid w:val="00D6021B"/>
    <w:rsid w:val="00D63054"/>
    <w:rsid w:val="00D6766A"/>
    <w:rsid w:val="00D91333"/>
    <w:rsid w:val="00DA595F"/>
    <w:rsid w:val="00DC53A5"/>
    <w:rsid w:val="00E07E93"/>
    <w:rsid w:val="00E160B9"/>
    <w:rsid w:val="00E23042"/>
    <w:rsid w:val="00E23B78"/>
    <w:rsid w:val="00E2457B"/>
    <w:rsid w:val="00E324FF"/>
    <w:rsid w:val="00E339F6"/>
    <w:rsid w:val="00E803E7"/>
    <w:rsid w:val="00E9082F"/>
    <w:rsid w:val="00ED2AB0"/>
    <w:rsid w:val="00EE0CE5"/>
    <w:rsid w:val="00EE1E29"/>
    <w:rsid w:val="00EE2887"/>
    <w:rsid w:val="00EF25FE"/>
    <w:rsid w:val="00EF2796"/>
    <w:rsid w:val="00F2275E"/>
    <w:rsid w:val="00F27564"/>
    <w:rsid w:val="00F27C31"/>
    <w:rsid w:val="00F347D5"/>
    <w:rsid w:val="00F40825"/>
    <w:rsid w:val="00F55512"/>
    <w:rsid w:val="00F6114C"/>
    <w:rsid w:val="00F61CA8"/>
    <w:rsid w:val="00F66927"/>
    <w:rsid w:val="00F92571"/>
    <w:rsid w:val="00FB3B08"/>
    <w:rsid w:val="00FE71C4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D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3DF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293DF3"/>
    <w:pPr>
      <w:spacing w:after="284" w:line="280" w:lineRule="atLeast"/>
    </w:pPr>
    <w:rPr>
      <w:rFonts w:ascii="Garamond" w:eastAsia="Times New Roman" w:hAnsi="Garamond" w:cs="Arial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DF3"/>
    <w:rPr>
      <w:rFonts w:ascii="Garamond" w:hAnsi="Garamond" w:cs="Arial"/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293D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3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0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3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79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792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779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E5"/>
    <w:rPr>
      <w:rFonts w:ascii="Segoe UI" w:eastAsiaTheme="minorHAns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7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6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66A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6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66A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8114-91D7-40BF-BC41-05915063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Prudký Ladislav</dc:creator>
  <cp:lastModifiedBy>OSPZV3 ospzv3</cp:lastModifiedBy>
  <cp:revision>2</cp:revision>
  <cp:lastPrinted>2015-11-30T07:49:00Z</cp:lastPrinted>
  <dcterms:created xsi:type="dcterms:W3CDTF">2015-11-30T07:50:00Z</dcterms:created>
  <dcterms:modified xsi:type="dcterms:W3CDTF">2015-11-30T07:50:00Z</dcterms:modified>
</cp:coreProperties>
</file>