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4FB" w:rsidRPr="005D6DB7" w:rsidRDefault="00A674FB" w:rsidP="00A674FB">
      <w:pPr>
        <w:jc w:val="center"/>
        <w:rPr>
          <w:rFonts w:ascii="Arial" w:eastAsia="Times New Roman" w:hAnsi="Arial" w:cs="Arial"/>
          <w:b/>
          <w:sz w:val="28"/>
          <w:szCs w:val="28"/>
          <w:u w:val="single"/>
          <w:lang w:eastAsia="cs-CZ"/>
        </w:rPr>
      </w:pPr>
      <w:r w:rsidRPr="005D6DB7">
        <w:rPr>
          <w:rFonts w:ascii="Arial" w:eastAsia="Times New Roman" w:hAnsi="Arial" w:cs="Arial"/>
          <w:b/>
          <w:sz w:val="28"/>
          <w:szCs w:val="28"/>
          <w:u w:val="single"/>
          <w:lang w:eastAsia="cs-CZ"/>
        </w:rPr>
        <w:t>Informace o účinnosti opatření ke zvýšení zaměstnanosti</w:t>
      </w:r>
    </w:p>
    <w:p w:rsidR="00A674FB" w:rsidRDefault="00A674FB" w:rsidP="00A674FB">
      <w:pPr>
        <w:spacing w:after="0" w:line="240" w:lineRule="auto"/>
        <w:ind w:left="30"/>
        <w:rPr>
          <w:rFonts w:ascii="Arial" w:eastAsia="Times New Roman" w:hAnsi="Arial" w:cs="Arial"/>
          <w:b/>
          <w:sz w:val="24"/>
          <w:szCs w:val="24"/>
          <w:lang w:eastAsia="cs-CZ"/>
        </w:rPr>
      </w:pPr>
    </w:p>
    <w:p w:rsidR="00A674FB" w:rsidRPr="005D6DB7" w:rsidRDefault="00A674FB" w:rsidP="00A674FB">
      <w:pPr>
        <w:pStyle w:val="Odstavecseseznamem"/>
        <w:numPr>
          <w:ilvl w:val="0"/>
          <w:numId w:val="3"/>
        </w:numPr>
        <w:spacing w:after="0" w:line="240" w:lineRule="auto"/>
        <w:rPr>
          <w:rFonts w:ascii="Arial" w:eastAsia="Times New Roman" w:hAnsi="Arial" w:cs="Arial"/>
          <w:b/>
          <w:sz w:val="28"/>
          <w:szCs w:val="28"/>
          <w:lang w:eastAsia="cs-CZ"/>
        </w:rPr>
      </w:pPr>
      <w:r w:rsidRPr="005D6DB7">
        <w:rPr>
          <w:rFonts w:ascii="Arial" w:eastAsia="Times New Roman" w:hAnsi="Arial" w:cs="Arial"/>
          <w:b/>
          <w:sz w:val="28"/>
          <w:szCs w:val="28"/>
          <w:lang w:eastAsia="cs-CZ"/>
        </w:rPr>
        <w:t>P</w:t>
      </w:r>
      <w:r w:rsidRPr="005D6DB7">
        <w:rPr>
          <w:rFonts w:ascii="Arial" w:eastAsia="Times New Roman" w:hAnsi="Arial" w:cs="Arial"/>
          <w:b/>
          <w:sz w:val="28"/>
          <w:szCs w:val="28"/>
          <w:lang w:eastAsia="cs-CZ"/>
        </w:rPr>
        <w:t>růběžné hodnocení plánu ke zvýšení zaměstnanosti</w:t>
      </w:r>
    </w:p>
    <w:p w:rsidR="00A674FB" w:rsidRPr="00A674FB" w:rsidRDefault="00A674FB" w:rsidP="00A674FB">
      <w:pPr>
        <w:pStyle w:val="Odstavecseseznamem"/>
        <w:spacing w:after="0" w:line="240" w:lineRule="auto"/>
        <w:ind w:left="390"/>
        <w:rPr>
          <w:rFonts w:ascii="Arial" w:eastAsia="Times New Roman" w:hAnsi="Arial" w:cs="Arial"/>
          <w:b/>
          <w:sz w:val="26"/>
          <w:szCs w:val="26"/>
          <w:u w:val="single"/>
          <w:lang w:eastAsia="cs-CZ"/>
        </w:rPr>
      </w:pPr>
    </w:p>
    <w:p w:rsidR="00A674FB" w:rsidRDefault="00A674FB" w:rsidP="00A674FB">
      <w:pPr>
        <w:spacing w:after="0" w:line="240" w:lineRule="auto"/>
        <w:ind w:left="30"/>
        <w:jc w:val="center"/>
        <w:rPr>
          <w:rFonts w:ascii="Arial" w:eastAsia="Times New Roman" w:hAnsi="Arial" w:cs="Arial"/>
          <w:b/>
          <w:sz w:val="24"/>
          <w:szCs w:val="24"/>
          <w:u w:val="single"/>
          <w:lang w:eastAsia="cs-CZ"/>
        </w:rPr>
      </w:pPr>
    </w:p>
    <w:p w:rsidR="00A674FB" w:rsidRPr="006B6317" w:rsidRDefault="00A674FB" w:rsidP="00A674FB">
      <w:pPr>
        <w:spacing w:after="0" w:line="240" w:lineRule="auto"/>
        <w:ind w:left="30"/>
        <w:rPr>
          <w:rFonts w:ascii="Arial" w:eastAsia="Times New Roman" w:hAnsi="Arial" w:cs="Arial"/>
          <w:b/>
          <w:sz w:val="24"/>
          <w:szCs w:val="24"/>
          <w:lang w:eastAsia="cs-CZ"/>
        </w:rPr>
      </w:pPr>
      <w:r w:rsidRPr="006B6317">
        <w:rPr>
          <w:rFonts w:ascii="Arial" w:eastAsia="Times New Roman" w:hAnsi="Arial" w:cs="Arial"/>
          <w:b/>
          <w:sz w:val="24"/>
          <w:szCs w:val="24"/>
          <w:lang w:eastAsia="cs-CZ"/>
        </w:rPr>
        <w:t>Celkově podpořeno do 3</w:t>
      </w:r>
      <w:r>
        <w:rPr>
          <w:rFonts w:ascii="Arial" w:eastAsia="Times New Roman" w:hAnsi="Arial" w:cs="Arial"/>
          <w:b/>
          <w:sz w:val="24"/>
          <w:szCs w:val="24"/>
          <w:lang w:eastAsia="cs-CZ"/>
        </w:rPr>
        <w:t>0</w:t>
      </w:r>
      <w:r w:rsidRPr="006B6317">
        <w:rPr>
          <w:rFonts w:ascii="Arial" w:eastAsia="Times New Roman" w:hAnsi="Arial" w:cs="Arial"/>
          <w:b/>
          <w:sz w:val="24"/>
          <w:szCs w:val="24"/>
          <w:lang w:eastAsia="cs-CZ"/>
        </w:rPr>
        <w:t xml:space="preserve">. </w:t>
      </w:r>
      <w:r>
        <w:rPr>
          <w:rFonts w:ascii="Arial" w:eastAsia="Times New Roman" w:hAnsi="Arial" w:cs="Arial"/>
          <w:b/>
          <w:sz w:val="24"/>
          <w:szCs w:val="24"/>
          <w:lang w:eastAsia="cs-CZ"/>
        </w:rPr>
        <w:t>9</w:t>
      </w:r>
      <w:r w:rsidRPr="006B6317">
        <w:rPr>
          <w:rFonts w:ascii="Arial" w:eastAsia="Times New Roman" w:hAnsi="Arial" w:cs="Arial"/>
          <w:b/>
          <w:sz w:val="24"/>
          <w:szCs w:val="24"/>
          <w:lang w:eastAsia="cs-CZ"/>
        </w:rPr>
        <w:t xml:space="preserve">. 2013 - </w:t>
      </w:r>
      <w:r>
        <w:rPr>
          <w:rFonts w:ascii="Arial" w:eastAsia="Times New Roman" w:hAnsi="Arial" w:cs="Arial"/>
          <w:b/>
          <w:sz w:val="24"/>
          <w:szCs w:val="24"/>
          <w:lang w:eastAsia="cs-CZ"/>
        </w:rPr>
        <w:t>72</w:t>
      </w:r>
      <w:r w:rsidRPr="00240E37">
        <w:rPr>
          <w:rFonts w:ascii="Arial" w:eastAsia="Times New Roman" w:hAnsi="Arial" w:cs="Arial"/>
          <w:b/>
          <w:sz w:val="24"/>
          <w:szCs w:val="24"/>
          <w:lang w:eastAsia="cs-CZ"/>
        </w:rPr>
        <w:t> </w:t>
      </w:r>
      <w:r>
        <w:rPr>
          <w:rFonts w:ascii="Arial" w:eastAsia="Times New Roman" w:hAnsi="Arial" w:cs="Arial"/>
          <w:b/>
          <w:sz w:val="24"/>
          <w:szCs w:val="24"/>
          <w:lang w:eastAsia="cs-CZ"/>
        </w:rPr>
        <w:t>477</w:t>
      </w:r>
      <w:r w:rsidRPr="006B6317">
        <w:rPr>
          <w:rFonts w:ascii="Arial" w:eastAsia="Times New Roman" w:hAnsi="Arial" w:cs="Arial"/>
          <w:b/>
          <w:sz w:val="24"/>
          <w:szCs w:val="24"/>
          <w:lang w:eastAsia="cs-CZ"/>
        </w:rPr>
        <w:t xml:space="preserve"> osob (uchazečů o zaměstnání)</w:t>
      </w:r>
    </w:p>
    <w:p w:rsidR="00A674FB" w:rsidRPr="006F2BEC" w:rsidRDefault="00A674FB" w:rsidP="00A674FB">
      <w:pPr>
        <w:spacing w:after="0" w:line="240" w:lineRule="auto"/>
        <w:jc w:val="both"/>
        <w:rPr>
          <w:rFonts w:ascii="Arial" w:hAnsi="Arial" w:cs="Arial"/>
          <w:sz w:val="24"/>
          <w:szCs w:val="24"/>
        </w:rPr>
      </w:pPr>
    </w:p>
    <w:p w:rsidR="00A674FB" w:rsidRPr="005D6DB7" w:rsidRDefault="00A674FB" w:rsidP="005D6DB7">
      <w:pPr>
        <w:pStyle w:val="Odstavecseseznamem"/>
        <w:numPr>
          <w:ilvl w:val="0"/>
          <w:numId w:val="4"/>
        </w:numPr>
        <w:spacing w:after="0" w:line="240" w:lineRule="auto"/>
        <w:jc w:val="both"/>
        <w:rPr>
          <w:rFonts w:ascii="Arial" w:hAnsi="Arial" w:cs="Arial"/>
          <w:b/>
          <w:bCs/>
          <w:sz w:val="24"/>
          <w:szCs w:val="24"/>
        </w:rPr>
      </w:pPr>
      <w:r w:rsidRPr="005D6DB7">
        <w:rPr>
          <w:rFonts w:ascii="Arial" w:hAnsi="Arial" w:cs="Arial"/>
          <w:b/>
          <w:bCs/>
          <w:sz w:val="24"/>
          <w:szCs w:val="24"/>
        </w:rPr>
        <w:t>Podpora zaměstnávání mladých uchazečů do 30 let</w:t>
      </w:r>
    </w:p>
    <w:p w:rsidR="005D6DB7" w:rsidRPr="005D6DB7" w:rsidRDefault="005D6DB7" w:rsidP="005D6DB7">
      <w:pPr>
        <w:pStyle w:val="Odstavecseseznamem"/>
        <w:spacing w:after="0" w:line="240" w:lineRule="auto"/>
        <w:jc w:val="both"/>
        <w:rPr>
          <w:rFonts w:ascii="Arial" w:eastAsia="Calibri" w:hAnsi="Arial" w:cs="Arial"/>
          <w:sz w:val="24"/>
          <w:szCs w:val="24"/>
        </w:rPr>
      </w:pPr>
    </w:p>
    <w:p w:rsidR="00A674FB" w:rsidRDefault="00A674FB" w:rsidP="00A674FB">
      <w:pPr>
        <w:widowControl w:val="0"/>
        <w:numPr>
          <w:ilvl w:val="0"/>
          <w:numId w:val="1"/>
        </w:numPr>
        <w:autoSpaceDE w:val="0"/>
        <w:autoSpaceDN w:val="0"/>
        <w:spacing w:after="0" w:line="240" w:lineRule="auto"/>
        <w:jc w:val="both"/>
        <w:rPr>
          <w:rFonts w:ascii="Arial" w:eastAsia="Calibri" w:hAnsi="Arial" w:cs="Arial"/>
          <w:sz w:val="24"/>
          <w:szCs w:val="24"/>
        </w:rPr>
      </w:pPr>
      <w:r w:rsidRPr="006F2BEC">
        <w:rPr>
          <w:rFonts w:ascii="Arial" w:eastAsia="Calibri" w:hAnsi="Arial" w:cs="Arial"/>
          <w:sz w:val="24"/>
          <w:szCs w:val="24"/>
        </w:rPr>
        <w:t xml:space="preserve">Zaměstnavatelé </w:t>
      </w:r>
      <w:r>
        <w:rPr>
          <w:rFonts w:ascii="Arial" w:eastAsia="Calibri" w:hAnsi="Arial" w:cs="Arial"/>
          <w:sz w:val="24"/>
          <w:szCs w:val="24"/>
        </w:rPr>
        <w:t xml:space="preserve">mohou </w:t>
      </w:r>
      <w:r w:rsidRPr="006F2BEC">
        <w:rPr>
          <w:rFonts w:ascii="Arial" w:eastAsia="Calibri" w:hAnsi="Arial" w:cs="Arial"/>
          <w:sz w:val="24"/>
          <w:szCs w:val="24"/>
        </w:rPr>
        <w:t>získat měsíční příspěvek od státu</w:t>
      </w:r>
      <w:r>
        <w:rPr>
          <w:rFonts w:ascii="Arial" w:eastAsia="Calibri" w:hAnsi="Arial" w:cs="Arial"/>
          <w:sz w:val="24"/>
          <w:szCs w:val="24"/>
        </w:rPr>
        <w:t xml:space="preserve"> na tuto skupinu</w:t>
      </w:r>
      <w:r w:rsidRPr="006F2BEC">
        <w:rPr>
          <w:rFonts w:ascii="Arial" w:eastAsia="Calibri" w:hAnsi="Arial" w:cs="Arial"/>
          <w:sz w:val="24"/>
          <w:szCs w:val="24"/>
        </w:rPr>
        <w:t>, a</w:t>
      </w:r>
      <w:r>
        <w:rPr>
          <w:rFonts w:ascii="Arial" w:eastAsia="Calibri" w:hAnsi="Arial" w:cs="Arial"/>
          <w:sz w:val="24"/>
          <w:szCs w:val="24"/>
        </w:rPr>
        <w:t> </w:t>
      </w:r>
      <w:r w:rsidRPr="006F2BEC">
        <w:rPr>
          <w:rFonts w:ascii="Arial" w:eastAsia="Calibri" w:hAnsi="Arial" w:cs="Arial"/>
          <w:sz w:val="24"/>
          <w:szCs w:val="24"/>
        </w:rPr>
        <w:t xml:space="preserve">to až do výše </w:t>
      </w:r>
      <w:r w:rsidRPr="006F2BEC">
        <w:rPr>
          <w:rFonts w:ascii="Arial" w:eastAsia="Calibri" w:hAnsi="Arial" w:cs="Arial"/>
          <w:b/>
          <w:sz w:val="24"/>
          <w:szCs w:val="24"/>
        </w:rPr>
        <w:t>24 000,- Kč</w:t>
      </w:r>
      <w:r>
        <w:rPr>
          <w:rFonts w:ascii="Arial" w:eastAsia="Calibri" w:hAnsi="Arial" w:cs="Arial"/>
          <w:sz w:val="24"/>
          <w:szCs w:val="24"/>
        </w:rPr>
        <w:t xml:space="preserve"> (hrubá mzda plus odvody). </w:t>
      </w:r>
      <w:r w:rsidRPr="006F2BEC">
        <w:rPr>
          <w:rFonts w:ascii="Arial" w:eastAsia="Calibri" w:hAnsi="Arial" w:cs="Arial"/>
          <w:sz w:val="24"/>
          <w:szCs w:val="24"/>
        </w:rPr>
        <w:t>Tento příspěvek může být poskytován až po dobu 12 měsíců. Vždy se musí jednat o nově přijatého mladého zaměstnance z evidence Úřadu práce ČR. Firmy také mohou získat jednorázově peníze na vybavení, které pro zřízení tohoto místa potřebují.</w:t>
      </w:r>
    </w:p>
    <w:p w:rsidR="00A674FB" w:rsidRDefault="00A674FB" w:rsidP="00A674FB">
      <w:pPr>
        <w:widowControl w:val="0"/>
        <w:autoSpaceDE w:val="0"/>
        <w:autoSpaceDN w:val="0"/>
        <w:spacing w:after="0" w:line="240" w:lineRule="auto"/>
        <w:jc w:val="both"/>
        <w:rPr>
          <w:rFonts w:ascii="Arial" w:eastAsia="Calibri" w:hAnsi="Arial" w:cs="Arial"/>
          <w:sz w:val="24"/>
          <w:szCs w:val="24"/>
        </w:rPr>
      </w:pPr>
    </w:p>
    <w:p w:rsidR="00A674FB" w:rsidRPr="00E87930" w:rsidRDefault="00A674FB" w:rsidP="00A674FB">
      <w:pPr>
        <w:widowControl w:val="0"/>
        <w:autoSpaceDE w:val="0"/>
        <w:autoSpaceDN w:val="0"/>
        <w:spacing w:after="0" w:line="240" w:lineRule="auto"/>
        <w:ind w:left="720"/>
        <w:jc w:val="both"/>
        <w:rPr>
          <w:rFonts w:ascii="Arial" w:eastAsia="Calibri" w:hAnsi="Arial" w:cs="Arial"/>
          <w:sz w:val="24"/>
          <w:szCs w:val="24"/>
        </w:rPr>
      </w:pPr>
      <w:r w:rsidRPr="00E87930">
        <w:rPr>
          <w:rFonts w:ascii="Arial" w:eastAsia="Calibri" w:hAnsi="Arial" w:cs="Arial"/>
          <w:b/>
          <w:sz w:val="24"/>
          <w:szCs w:val="24"/>
        </w:rPr>
        <w:t>K 30. 9. 2013</w:t>
      </w:r>
      <w:r w:rsidRPr="00E87930">
        <w:rPr>
          <w:rFonts w:ascii="Arial" w:eastAsia="Calibri" w:hAnsi="Arial" w:cs="Arial"/>
          <w:sz w:val="24"/>
          <w:szCs w:val="24"/>
        </w:rPr>
        <w:t xml:space="preserve"> bylo evidováno na pracovištích Úřadu práce ČR </w:t>
      </w:r>
      <w:r w:rsidRPr="00E87930">
        <w:rPr>
          <w:rFonts w:ascii="Arial" w:eastAsia="Calibri" w:hAnsi="Arial" w:cs="Arial"/>
          <w:b/>
          <w:sz w:val="24"/>
          <w:szCs w:val="24"/>
        </w:rPr>
        <w:t>168,3 tis. uchazečů o zaměstnání do 30 let</w:t>
      </w:r>
      <w:r w:rsidRPr="00E87930">
        <w:rPr>
          <w:rFonts w:ascii="Arial" w:eastAsia="Calibri" w:hAnsi="Arial" w:cs="Arial"/>
          <w:sz w:val="24"/>
          <w:szCs w:val="24"/>
        </w:rPr>
        <w:t xml:space="preserve">, na celkové nezaměstnanosti se podílejí </w:t>
      </w:r>
      <w:r w:rsidRPr="00E87930">
        <w:rPr>
          <w:rFonts w:ascii="Arial" w:eastAsia="Calibri" w:hAnsi="Arial" w:cs="Arial"/>
          <w:b/>
          <w:sz w:val="24"/>
          <w:szCs w:val="24"/>
        </w:rPr>
        <w:t>30,2 %</w:t>
      </w:r>
      <w:r w:rsidRPr="00E87930">
        <w:rPr>
          <w:rFonts w:ascii="Arial" w:eastAsia="Calibri" w:hAnsi="Arial" w:cs="Arial"/>
          <w:sz w:val="24"/>
          <w:szCs w:val="24"/>
        </w:rPr>
        <w:t>.</w:t>
      </w:r>
    </w:p>
    <w:p w:rsidR="00A674FB" w:rsidRDefault="00A674FB" w:rsidP="00A674FB">
      <w:pPr>
        <w:widowControl w:val="0"/>
        <w:autoSpaceDE w:val="0"/>
        <w:autoSpaceDN w:val="0"/>
        <w:spacing w:after="0" w:line="240" w:lineRule="auto"/>
        <w:ind w:left="720"/>
        <w:jc w:val="both"/>
        <w:rPr>
          <w:rFonts w:ascii="Arial" w:eastAsia="Calibri" w:hAnsi="Arial" w:cs="Arial"/>
          <w:sz w:val="24"/>
          <w:szCs w:val="24"/>
        </w:rPr>
      </w:pPr>
    </w:p>
    <w:p w:rsidR="00A674FB" w:rsidRDefault="00A674FB" w:rsidP="00A674FB">
      <w:pPr>
        <w:widowControl w:val="0"/>
        <w:autoSpaceDE w:val="0"/>
        <w:autoSpaceDN w:val="0"/>
        <w:spacing w:after="0" w:line="240" w:lineRule="auto"/>
        <w:ind w:left="720"/>
        <w:jc w:val="both"/>
        <w:rPr>
          <w:rFonts w:ascii="Arial" w:eastAsia="Calibri" w:hAnsi="Arial" w:cs="Arial"/>
          <w:b/>
          <w:sz w:val="24"/>
          <w:szCs w:val="24"/>
        </w:rPr>
      </w:pPr>
      <w:r w:rsidRPr="006F2BEC">
        <w:rPr>
          <w:rFonts w:ascii="Arial" w:eastAsia="Calibri" w:hAnsi="Arial" w:cs="Arial"/>
          <w:b/>
          <w:sz w:val="24"/>
          <w:szCs w:val="24"/>
        </w:rPr>
        <w:t xml:space="preserve">Podpořeno </w:t>
      </w:r>
      <w:r>
        <w:rPr>
          <w:rFonts w:ascii="Arial" w:eastAsia="Calibri" w:hAnsi="Arial" w:cs="Arial"/>
          <w:b/>
          <w:sz w:val="24"/>
          <w:szCs w:val="24"/>
        </w:rPr>
        <w:t>do 30. 9. </w:t>
      </w:r>
      <w:r w:rsidRPr="006F2BEC">
        <w:rPr>
          <w:rFonts w:ascii="Arial" w:eastAsia="Calibri" w:hAnsi="Arial" w:cs="Arial"/>
          <w:b/>
          <w:sz w:val="24"/>
          <w:szCs w:val="24"/>
        </w:rPr>
        <w:t xml:space="preserve">2013 – </w:t>
      </w:r>
      <w:r>
        <w:rPr>
          <w:rFonts w:ascii="Arial" w:eastAsia="Calibri" w:hAnsi="Arial" w:cs="Arial"/>
          <w:b/>
          <w:sz w:val="24"/>
          <w:szCs w:val="24"/>
        </w:rPr>
        <w:t>8 953</w:t>
      </w:r>
      <w:r w:rsidRPr="006F2BEC">
        <w:rPr>
          <w:rFonts w:ascii="Arial" w:eastAsia="Calibri" w:hAnsi="Arial" w:cs="Arial"/>
          <w:b/>
          <w:sz w:val="24"/>
          <w:szCs w:val="24"/>
        </w:rPr>
        <w:t xml:space="preserve"> osob do 30 let (uchazečů o zaměstnání) </w:t>
      </w:r>
    </w:p>
    <w:p w:rsidR="00A674FB" w:rsidRPr="006F2BEC" w:rsidRDefault="00A674FB" w:rsidP="00A674FB">
      <w:pPr>
        <w:widowControl w:val="0"/>
        <w:autoSpaceDE w:val="0"/>
        <w:autoSpaceDN w:val="0"/>
        <w:spacing w:after="0" w:line="240" w:lineRule="auto"/>
        <w:ind w:left="720"/>
        <w:jc w:val="both"/>
        <w:rPr>
          <w:rFonts w:ascii="Arial" w:eastAsia="Calibri" w:hAnsi="Arial" w:cs="Arial"/>
          <w:b/>
          <w:sz w:val="24"/>
          <w:szCs w:val="24"/>
        </w:rPr>
      </w:pPr>
    </w:p>
    <w:p w:rsidR="00A674FB" w:rsidRPr="006F2BEC" w:rsidRDefault="00A674FB" w:rsidP="00A674FB">
      <w:pPr>
        <w:spacing w:after="0" w:line="240" w:lineRule="auto"/>
        <w:jc w:val="both"/>
        <w:rPr>
          <w:rFonts w:ascii="Arial" w:eastAsia="Calibri" w:hAnsi="Arial" w:cs="Arial"/>
          <w:i/>
          <w:sz w:val="24"/>
          <w:szCs w:val="24"/>
        </w:rPr>
      </w:pPr>
      <w:r w:rsidRPr="006F2BEC">
        <w:rPr>
          <w:rFonts w:ascii="Arial" w:eastAsia="Calibri" w:hAnsi="Arial" w:cs="Arial"/>
          <w:i/>
          <w:sz w:val="24"/>
          <w:szCs w:val="24"/>
        </w:rPr>
        <w:t xml:space="preserve">    </w:t>
      </w:r>
      <w:proofErr w:type="gramStart"/>
      <w:r w:rsidRPr="006F2BEC">
        <w:rPr>
          <w:rFonts w:ascii="Arial" w:eastAsia="Calibri" w:hAnsi="Arial" w:cs="Arial"/>
          <w:i/>
          <w:sz w:val="24"/>
          <w:szCs w:val="24"/>
        </w:rPr>
        <w:t>b)</w:t>
      </w:r>
      <w:r>
        <w:rPr>
          <w:rFonts w:ascii="Arial" w:eastAsia="Calibri" w:hAnsi="Arial" w:cs="Arial"/>
          <w:i/>
          <w:sz w:val="24"/>
          <w:szCs w:val="24"/>
        </w:rPr>
        <w:t xml:space="preserve">   mimo</w:t>
      </w:r>
      <w:proofErr w:type="gramEnd"/>
      <w:r>
        <w:rPr>
          <w:rFonts w:ascii="Arial" w:eastAsia="Calibri" w:hAnsi="Arial" w:cs="Arial"/>
          <w:i/>
          <w:sz w:val="24"/>
          <w:szCs w:val="24"/>
        </w:rPr>
        <w:t xml:space="preserve"> tento bod plánu běží zvláštní projekt „Praxe pro mladé do 30 let“ – ten je zaměřen také na mladé do 30 let, ale především formou poradenství a následného zaměstnávání. (měl by podpořit 3 200 osob uchazečů o zaměstnání)</w:t>
      </w:r>
    </w:p>
    <w:p w:rsidR="00A674FB" w:rsidRPr="006F2BEC" w:rsidRDefault="00A674FB" w:rsidP="00A674FB">
      <w:pPr>
        <w:spacing w:after="0" w:line="240" w:lineRule="auto"/>
        <w:jc w:val="both"/>
        <w:rPr>
          <w:rFonts w:ascii="Arial" w:eastAsia="Calibri" w:hAnsi="Arial" w:cs="Arial"/>
          <w:color w:val="000000" w:themeColor="text1"/>
          <w:sz w:val="24"/>
          <w:szCs w:val="24"/>
        </w:rPr>
      </w:pPr>
    </w:p>
    <w:p w:rsidR="00A674FB" w:rsidRPr="006F2BEC" w:rsidRDefault="00A674FB" w:rsidP="00A674FB">
      <w:pPr>
        <w:spacing w:after="0" w:line="240" w:lineRule="auto"/>
        <w:jc w:val="both"/>
        <w:rPr>
          <w:rFonts w:ascii="Arial" w:eastAsia="Calibri" w:hAnsi="Arial" w:cs="Arial"/>
          <w:color w:val="000000" w:themeColor="text1"/>
          <w:sz w:val="24"/>
          <w:szCs w:val="24"/>
        </w:rPr>
      </w:pPr>
    </w:p>
    <w:p w:rsidR="00A674FB" w:rsidRPr="005D6DB7" w:rsidRDefault="00A674FB" w:rsidP="005D6DB7">
      <w:pPr>
        <w:pStyle w:val="Odstavecseseznamem"/>
        <w:numPr>
          <w:ilvl w:val="0"/>
          <w:numId w:val="4"/>
        </w:numPr>
        <w:spacing w:after="0" w:line="240" w:lineRule="auto"/>
        <w:jc w:val="both"/>
        <w:rPr>
          <w:rFonts w:ascii="Arial" w:hAnsi="Arial" w:cs="Arial"/>
          <w:b/>
          <w:bCs/>
          <w:color w:val="000000" w:themeColor="text1"/>
          <w:sz w:val="24"/>
          <w:szCs w:val="24"/>
        </w:rPr>
      </w:pPr>
      <w:r w:rsidRPr="005D6DB7">
        <w:rPr>
          <w:rFonts w:ascii="Arial" w:hAnsi="Arial" w:cs="Arial"/>
          <w:b/>
          <w:bCs/>
          <w:color w:val="000000" w:themeColor="text1"/>
          <w:sz w:val="24"/>
          <w:szCs w:val="24"/>
        </w:rPr>
        <w:t>Zkrácené pracovní úvazky pro rodiče a dlouhodobě nezaměstnané</w:t>
      </w:r>
    </w:p>
    <w:p w:rsidR="005D6DB7" w:rsidRPr="005D6DB7" w:rsidRDefault="005D6DB7" w:rsidP="005D6DB7">
      <w:pPr>
        <w:pStyle w:val="Odstavecseseznamem"/>
        <w:spacing w:after="0" w:line="240" w:lineRule="auto"/>
        <w:jc w:val="both"/>
        <w:rPr>
          <w:rFonts w:ascii="Arial" w:hAnsi="Arial" w:cs="Arial"/>
          <w:b/>
          <w:bCs/>
          <w:color w:val="000000" w:themeColor="text1"/>
          <w:sz w:val="24"/>
          <w:szCs w:val="24"/>
        </w:rPr>
      </w:pPr>
    </w:p>
    <w:p w:rsidR="00A674FB" w:rsidRPr="006F2BEC" w:rsidRDefault="00A674FB" w:rsidP="00A674FB">
      <w:pPr>
        <w:spacing w:after="0" w:line="240" w:lineRule="auto"/>
        <w:jc w:val="both"/>
        <w:rPr>
          <w:rFonts w:ascii="Arial" w:hAnsi="Arial" w:cs="Arial"/>
          <w:color w:val="000000" w:themeColor="text1"/>
          <w:sz w:val="24"/>
          <w:szCs w:val="24"/>
        </w:rPr>
      </w:pPr>
      <w:r w:rsidRPr="006F2BEC">
        <w:rPr>
          <w:rFonts w:ascii="Arial" w:hAnsi="Arial" w:cs="Arial"/>
          <w:color w:val="000000" w:themeColor="text1"/>
          <w:sz w:val="24"/>
          <w:szCs w:val="24"/>
        </w:rPr>
        <w:t>a) rodiče, kteří pečují o malé děti</w:t>
      </w:r>
    </w:p>
    <w:p w:rsidR="00A674FB" w:rsidRDefault="00A674FB" w:rsidP="00A674FB">
      <w:pPr>
        <w:spacing w:after="0" w:line="240" w:lineRule="auto"/>
        <w:jc w:val="both"/>
        <w:rPr>
          <w:rFonts w:ascii="Arial" w:hAnsi="Arial" w:cs="Arial"/>
          <w:color w:val="000000" w:themeColor="text1"/>
          <w:sz w:val="24"/>
          <w:szCs w:val="24"/>
        </w:rPr>
      </w:pPr>
      <w:r w:rsidRPr="006F2BEC">
        <w:rPr>
          <w:rFonts w:ascii="Arial" w:hAnsi="Arial" w:cs="Arial"/>
          <w:color w:val="000000" w:themeColor="text1"/>
          <w:sz w:val="24"/>
          <w:szCs w:val="24"/>
        </w:rPr>
        <w:t xml:space="preserve">b) dlouhodobě nezaměstnaní </w:t>
      </w:r>
      <w:r>
        <w:rPr>
          <w:rFonts w:ascii="Arial" w:hAnsi="Arial" w:cs="Arial"/>
          <w:color w:val="000000" w:themeColor="text1"/>
          <w:sz w:val="24"/>
          <w:szCs w:val="24"/>
        </w:rPr>
        <w:t>(déle než 1 rok v evidenci)</w:t>
      </w:r>
    </w:p>
    <w:p w:rsidR="00A674FB" w:rsidRPr="006F2BEC" w:rsidRDefault="00A674FB" w:rsidP="00A674FB">
      <w:pPr>
        <w:spacing w:after="0" w:line="240" w:lineRule="auto"/>
        <w:jc w:val="both"/>
        <w:rPr>
          <w:rFonts w:ascii="Arial" w:hAnsi="Arial" w:cs="Arial"/>
          <w:color w:val="000000" w:themeColor="text1"/>
          <w:sz w:val="24"/>
          <w:szCs w:val="24"/>
        </w:rPr>
      </w:pPr>
    </w:p>
    <w:p w:rsidR="00A674FB" w:rsidRPr="006F2BEC" w:rsidRDefault="00A674FB" w:rsidP="00A674FB">
      <w:pPr>
        <w:spacing w:after="0" w:line="240" w:lineRule="auto"/>
        <w:jc w:val="both"/>
        <w:rPr>
          <w:rFonts w:ascii="Arial" w:hAnsi="Arial" w:cs="Arial"/>
          <w:color w:val="000000" w:themeColor="text1"/>
          <w:sz w:val="24"/>
          <w:szCs w:val="24"/>
        </w:rPr>
      </w:pPr>
      <w:r w:rsidRPr="006F2BEC">
        <w:rPr>
          <w:rFonts w:ascii="Arial" w:hAnsi="Arial" w:cs="Arial"/>
          <w:color w:val="000000" w:themeColor="text1"/>
          <w:sz w:val="24"/>
          <w:szCs w:val="24"/>
        </w:rPr>
        <w:t xml:space="preserve">Zaměstnavatelé, kteří budou pracovní příležitosti na zkrácené úvazky vytvářet, získají příspěvek až ve výši </w:t>
      </w:r>
      <w:r w:rsidRPr="006F2BEC">
        <w:rPr>
          <w:rFonts w:ascii="Arial" w:hAnsi="Arial" w:cs="Arial"/>
          <w:b/>
          <w:color w:val="000000" w:themeColor="text1"/>
          <w:sz w:val="24"/>
          <w:szCs w:val="24"/>
        </w:rPr>
        <w:t>12 000 Kč.</w:t>
      </w:r>
      <w:r w:rsidRPr="006F2BEC">
        <w:rPr>
          <w:rFonts w:ascii="Arial" w:hAnsi="Arial" w:cs="Arial"/>
          <w:color w:val="000000" w:themeColor="text1"/>
          <w:sz w:val="24"/>
          <w:szCs w:val="24"/>
        </w:rPr>
        <w:t xml:space="preserve"> </w:t>
      </w:r>
    </w:p>
    <w:p w:rsidR="00A674FB" w:rsidRPr="0006111B" w:rsidRDefault="00A674FB" w:rsidP="00A674FB">
      <w:pPr>
        <w:spacing w:after="0" w:line="240" w:lineRule="auto"/>
        <w:jc w:val="both"/>
        <w:rPr>
          <w:rFonts w:ascii="Arial" w:hAnsi="Arial" w:cs="Arial"/>
          <w:sz w:val="24"/>
          <w:szCs w:val="24"/>
        </w:rPr>
      </w:pPr>
      <w:r w:rsidRPr="0006111B">
        <w:rPr>
          <w:rFonts w:ascii="Arial" w:hAnsi="Arial" w:cs="Arial"/>
          <w:b/>
          <w:sz w:val="24"/>
          <w:szCs w:val="24"/>
        </w:rPr>
        <w:t>K 30. 9. 2013</w:t>
      </w:r>
      <w:r w:rsidRPr="0006111B">
        <w:rPr>
          <w:rFonts w:ascii="Arial" w:hAnsi="Arial" w:cs="Arial"/>
          <w:sz w:val="24"/>
          <w:szCs w:val="24"/>
        </w:rPr>
        <w:t xml:space="preserve"> bylo na pracovištích Úřadu práce ČR </w:t>
      </w:r>
      <w:r w:rsidRPr="0006111B">
        <w:rPr>
          <w:rFonts w:ascii="Arial" w:hAnsi="Arial" w:cs="Arial"/>
          <w:b/>
          <w:sz w:val="24"/>
          <w:szCs w:val="24"/>
        </w:rPr>
        <w:t>dlouhodobě nezaměstnaných</w:t>
      </w:r>
      <w:r w:rsidRPr="0006111B">
        <w:rPr>
          <w:rFonts w:ascii="Arial" w:hAnsi="Arial" w:cs="Arial"/>
          <w:sz w:val="24"/>
          <w:szCs w:val="24"/>
        </w:rPr>
        <w:t xml:space="preserve"> evidováno </w:t>
      </w:r>
      <w:r w:rsidRPr="0006111B">
        <w:rPr>
          <w:rFonts w:ascii="Arial" w:hAnsi="Arial" w:cs="Arial"/>
          <w:b/>
          <w:sz w:val="24"/>
          <w:szCs w:val="24"/>
        </w:rPr>
        <w:t>224,8 tis.</w:t>
      </w:r>
      <w:r w:rsidRPr="0006111B">
        <w:rPr>
          <w:rFonts w:ascii="Arial" w:hAnsi="Arial" w:cs="Arial"/>
          <w:sz w:val="24"/>
          <w:szCs w:val="24"/>
        </w:rPr>
        <w:t xml:space="preserve">, tj. </w:t>
      </w:r>
      <w:r w:rsidRPr="0006111B">
        <w:rPr>
          <w:rFonts w:ascii="Arial" w:hAnsi="Arial" w:cs="Arial"/>
          <w:b/>
          <w:sz w:val="24"/>
          <w:szCs w:val="24"/>
        </w:rPr>
        <w:t>40,4 %</w:t>
      </w:r>
      <w:r w:rsidRPr="0006111B">
        <w:rPr>
          <w:rFonts w:ascii="Arial" w:hAnsi="Arial" w:cs="Arial"/>
          <w:sz w:val="24"/>
          <w:szCs w:val="24"/>
        </w:rPr>
        <w:t xml:space="preserve"> všech uchazečů o zaměstnání.</w:t>
      </w:r>
    </w:p>
    <w:p w:rsidR="00A674FB" w:rsidRPr="006F2BEC" w:rsidRDefault="00A674FB" w:rsidP="00A674FB">
      <w:pPr>
        <w:spacing w:after="0" w:line="240" w:lineRule="auto"/>
        <w:jc w:val="both"/>
        <w:rPr>
          <w:rFonts w:ascii="Arial" w:hAnsi="Arial" w:cs="Arial"/>
          <w:color w:val="000000" w:themeColor="text1"/>
          <w:sz w:val="24"/>
          <w:szCs w:val="24"/>
        </w:rPr>
      </w:pPr>
    </w:p>
    <w:p w:rsidR="00A674FB" w:rsidRDefault="00A674FB" w:rsidP="00A674FB">
      <w:pPr>
        <w:widowControl w:val="0"/>
        <w:autoSpaceDE w:val="0"/>
        <w:autoSpaceDN w:val="0"/>
        <w:spacing w:after="0" w:line="240" w:lineRule="auto"/>
        <w:jc w:val="both"/>
        <w:rPr>
          <w:rFonts w:ascii="Arial" w:eastAsia="Calibri" w:hAnsi="Arial" w:cs="Arial"/>
          <w:b/>
          <w:sz w:val="24"/>
          <w:szCs w:val="24"/>
        </w:rPr>
      </w:pPr>
      <w:r w:rsidRPr="006F2BEC">
        <w:rPr>
          <w:rFonts w:ascii="Arial" w:eastAsia="Calibri" w:hAnsi="Arial" w:cs="Arial"/>
          <w:b/>
          <w:sz w:val="24"/>
          <w:szCs w:val="24"/>
        </w:rPr>
        <w:t xml:space="preserve">Podpořeno </w:t>
      </w:r>
      <w:r>
        <w:rPr>
          <w:rFonts w:ascii="Arial" w:eastAsia="Calibri" w:hAnsi="Arial" w:cs="Arial"/>
          <w:b/>
          <w:sz w:val="24"/>
          <w:szCs w:val="24"/>
        </w:rPr>
        <w:t>do 30. 9. </w:t>
      </w:r>
      <w:r w:rsidRPr="006F2BEC">
        <w:rPr>
          <w:rFonts w:ascii="Arial" w:eastAsia="Calibri" w:hAnsi="Arial" w:cs="Arial"/>
          <w:b/>
          <w:sz w:val="24"/>
          <w:szCs w:val="24"/>
        </w:rPr>
        <w:t xml:space="preserve">2013 – </w:t>
      </w:r>
      <w:r>
        <w:rPr>
          <w:rFonts w:ascii="Arial" w:eastAsia="Calibri" w:hAnsi="Arial" w:cs="Arial"/>
          <w:b/>
          <w:sz w:val="24"/>
          <w:szCs w:val="24"/>
        </w:rPr>
        <w:t>1 707</w:t>
      </w:r>
      <w:r w:rsidRPr="006F2BEC">
        <w:rPr>
          <w:rFonts w:ascii="Arial" w:eastAsia="Calibri" w:hAnsi="Arial" w:cs="Arial"/>
          <w:b/>
          <w:sz w:val="24"/>
          <w:szCs w:val="24"/>
        </w:rPr>
        <w:t xml:space="preserve"> osob (uchazečů o zaměstnání) </w:t>
      </w:r>
    </w:p>
    <w:p w:rsidR="00A674FB" w:rsidRDefault="00A674FB" w:rsidP="00A674FB">
      <w:pPr>
        <w:widowControl w:val="0"/>
        <w:autoSpaceDE w:val="0"/>
        <w:autoSpaceDN w:val="0"/>
        <w:spacing w:after="0" w:line="240" w:lineRule="auto"/>
        <w:jc w:val="both"/>
        <w:rPr>
          <w:rFonts w:ascii="Arial" w:eastAsia="Calibri" w:hAnsi="Arial" w:cs="Arial"/>
          <w:b/>
          <w:sz w:val="24"/>
          <w:szCs w:val="24"/>
        </w:rPr>
      </w:pPr>
    </w:p>
    <w:p w:rsidR="00A674FB" w:rsidRPr="006F2BEC" w:rsidRDefault="00A674FB" w:rsidP="00A674FB">
      <w:pPr>
        <w:spacing w:after="0" w:line="240" w:lineRule="auto"/>
        <w:jc w:val="both"/>
        <w:rPr>
          <w:rFonts w:ascii="Arial" w:hAnsi="Arial" w:cs="Arial"/>
          <w:color w:val="000000" w:themeColor="text1"/>
          <w:sz w:val="24"/>
          <w:szCs w:val="24"/>
        </w:rPr>
      </w:pPr>
    </w:p>
    <w:p w:rsidR="00A674FB" w:rsidRPr="005D6DB7" w:rsidRDefault="00A674FB" w:rsidP="005D6DB7">
      <w:pPr>
        <w:pStyle w:val="Odstavecseseznamem"/>
        <w:numPr>
          <w:ilvl w:val="0"/>
          <w:numId w:val="4"/>
        </w:numPr>
        <w:spacing w:after="0" w:line="240" w:lineRule="auto"/>
        <w:jc w:val="both"/>
        <w:rPr>
          <w:rFonts w:ascii="Arial" w:hAnsi="Arial" w:cs="Arial"/>
          <w:b/>
          <w:bCs/>
          <w:color w:val="000000" w:themeColor="text1"/>
          <w:sz w:val="24"/>
          <w:szCs w:val="24"/>
        </w:rPr>
      </w:pPr>
      <w:r w:rsidRPr="005D6DB7">
        <w:rPr>
          <w:rFonts w:ascii="Arial" w:hAnsi="Arial" w:cs="Arial"/>
          <w:b/>
          <w:bCs/>
          <w:color w:val="000000" w:themeColor="text1"/>
          <w:sz w:val="24"/>
          <w:szCs w:val="24"/>
        </w:rPr>
        <w:t>Pomoc obcím a občanskému sektoru</w:t>
      </w:r>
    </w:p>
    <w:p w:rsidR="005D6DB7" w:rsidRPr="005D6DB7" w:rsidRDefault="005D6DB7" w:rsidP="005D6DB7">
      <w:pPr>
        <w:pStyle w:val="Odstavecseseznamem"/>
        <w:spacing w:after="0" w:line="240" w:lineRule="auto"/>
        <w:jc w:val="both"/>
        <w:rPr>
          <w:rFonts w:ascii="Arial" w:hAnsi="Arial" w:cs="Arial"/>
          <w:b/>
          <w:bCs/>
          <w:color w:val="000000" w:themeColor="text1"/>
          <w:sz w:val="24"/>
          <w:szCs w:val="24"/>
        </w:rPr>
      </w:pPr>
    </w:p>
    <w:p w:rsidR="00A674FB" w:rsidRDefault="00A674FB" w:rsidP="00A674FB">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Standardní veřejně prospěšné práce nebo společensky účelná pracovní místa</w:t>
      </w:r>
      <w:r w:rsidRPr="006F2BEC">
        <w:rPr>
          <w:rFonts w:ascii="Arial" w:hAnsi="Arial" w:cs="Arial"/>
          <w:color w:val="000000" w:themeColor="text1"/>
          <w:sz w:val="24"/>
          <w:szCs w:val="24"/>
        </w:rPr>
        <w:t xml:space="preserve">. Příspěvek až do výše </w:t>
      </w:r>
      <w:r w:rsidRPr="006F2BEC">
        <w:rPr>
          <w:rFonts w:ascii="Arial" w:hAnsi="Arial" w:cs="Arial"/>
          <w:b/>
          <w:color w:val="000000" w:themeColor="text1"/>
          <w:sz w:val="24"/>
          <w:szCs w:val="24"/>
        </w:rPr>
        <w:t>15 tisíc korun</w:t>
      </w:r>
      <w:r w:rsidRPr="006F2BEC">
        <w:rPr>
          <w:rFonts w:ascii="Arial" w:hAnsi="Arial" w:cs="Arial"/>
          <w:color w:val="000000" w:themeColor="text1"/>
          <w:sz w:val="24"/>
          <w:szCs w:val="24"/>
        </w:rPr>
        <w:t xml:space="preserve"> (mzda plus odvody) na jednoho nezaměstnaného z evidence.  </w:t>
      </w:r>
    </w:p>
    <w:p w:rsidR="00A674FB" w:rsidRPr="006F2BEC" w:rsidRDefault="00A674FB" w:rsidP="00A674FB">
      <w:pPr>
        <w:spacing w:after="0" w:line="240" w:lineRule="auto"/>
        <w:jc w:val="both"/>
        <w:rPr>
          <w:rFonts w:ascii="Arial" w:hAnsi="Arial" w:cs="Arial"/>
          <w:color w:val="000000" w:themeColor="text1"/>
          <w:sz w:val="24"/>
          <w:szCs w:val="24"/>
        </w:rPr>
      </w:pPr>
    </w:p>
    <w:p w:rsidR="00A674FB" w:rsidRPr="000A32AF" w:rsidRDefault="00A674FB" w:rsidP="00A674FB">
      <w:pPr>
        <w:spacing w:after="0" w:line="240" w:lineRule="auto"/>
        <w:jc w:val="both"/>
        <w:rPr>
          <w:rFonts w:ascii="Arial" w:eastAsia="Calibri" w:hAnsi="Arial" w:cs="Arial"/>
          <w:sz w:val="24"/>
          <w:szCs w:val="24"/>
        </w:rPr>
      </w:pPr>
      <w:r w:rsidRPr="000A32AF">
        <w:rPr>
          <w:rFonts w:ascii="Arial" w:eastAsia="Calibri" w:hAnsi="Arial" w:cs="Arial"/>
          <w:b/>
          <w:sz w:val="24"/>
          <w:szCs w:val="24"/>
        </w:rPr>
        <w:t>K 30. 9. 2013</w:t>
      </w:r>
      <w:r w:rsidRPr="000A32AF">
        <w:rPr>
          <w:rFonts w:ascii="Arial" w:eastAsia="Calibri" w:hAnsi="Arial" w:cs="Arial"/>
          <w:sz w:val="24"/>
          <w:szCs w:val="24"/>
        </w:rPr>
        <w:t xml:space="preserve"> bylo evidováno na pracovištích Úřadu práce ČR </w:t>
      </w:r>
      <w:r w:rsidRPr="000A32AF">
        <w:rPr>
          <w:rFonts w:ascii="Arial" w:eastAsia="Calibri" w:hAnsi="Arial" w:cs="Arial"/>
          <w:b/>
          <w:sz w:val="24"/>
          <w:szCs w:val="24"/>
        </w:rPr>
        <w:t>147,4 tis. uchazečů o zaměstnání starších 50 let</w:t>
      </w:r>
      <w:r w:rsidRPr="000A32AF">
        <w:rPr>
          <w:rFonts w:ascii="Arial" w:eastAsia="Calibri" w:hAnsi="Arial" w:cs="Arial"/>
          <w:sz w:val="24"/>
          <w:szCs w:val="24"/>
        </w:rPr>
        <w:t xml:space="preserve">, na celkové nezaměstnanosti se podílejí </w:t>
      </w:r>
      <w:r w:rsidRPr="000A32AF">
        <w:rPr>
          <w:rFonts w:ascii="Arial" w:eastAsia="Calibri" w:hAnsi="Arial" w:cs="Arial"/>
          <w:b/>
          <w:sz w:val="24"/>
          <w:szCs w:val="24"/>
        </w:rPr>
        <w:t>26,5 %</w:t>
      </w:r>
      <w:r w:rsidRPr="000A32AF">
        <w:rPr>
          <w:rFonts w:ascii="Arial" w:eastAsia="Calibri" w:hAnsi="Arial" w:cs="Arial"/>
          <w:sz w:val="24"/>
          <w:szCs w:val="24"/>
        </w:rPr>
        <w:t>.</w:t>
      </w:r>
    </w:p>
    <w:p w:rsidR="00A674FB" w:rsidRPr="006F2BEC" w:rsidRDefault="00A674FB" w:rsidP="00A674FB">
      <w:pPr>
        <w:spacing w:after="0" w:line="240" w:lineRule="auto"/>
        <w:jc w:val="both"/>
        <w:rPr>
          <w:rFonts w:ascii="Arial" w:eastAsia="Calibri" w:hAnsi="Arial" w:cs="Arial"/>
          <w:color w:val="000000" w:themeColor="text1"/>
          <w:sz w:val="24"/>
          <w:szCs w:val="24"/>
        </w:rPr>
      </w:pPr>
    </w:p>
    <w:p w:rsidR="00A674FB" w:rsidRDefault="00A674FB" w:rsidP="00A674FB">
      <w:pPr>
        <w:widowControl w:val="0"/>
        <w:autoSpaceDE w:val="0"/>
        <w:autoSpaceDN w:val="0"/>
        <w:spacing w:after="0" w:line="240" w:lineRule="auto"/>
        <w:jc w:val="both"/>
        <w:rPr>
          <w:rFonts w:ascii="Arial" w:eastAsia="Calibri" w:hAnsi="Arial" w:cs="Arial"/>
          <w:b/>
          <w:sz w:val="24"/>
          <w:szCs w:val="24"/>
        </w:rPr>
      </w:pPr>
      <w:r w:rsidRPr="006F2BEC">
        <w:rPr>
          <w:rFonts w:ascii="Arial" w:eastAsia="Calibri" w:hAnsi="Arial" w:cs="Arial"/>
          <w:b/>
          <w:sz w:val="24"/>
          <w:szCs w:val="24"/>
        </w:rPr>
        <w:t xml:space="preserve">Podpořeno </w:t>
      </w:r>
      <w:r>
        <w:rPr>
          <w:rFonts w:ascii="Arial" w:eastAsia="Calibri" w:hAnsi="Arial" w:cs="Arial"/>
          <w:b/>
          <w:sz w:val="24"/>
          <w:szCs w:val="24"/>
        </w:rPr>
        <w:t>do 30. 9. 2013</w:t>
      </w:r>
      <w:r w:rsidRPr="006F2BEC">
        <w:rPr>
          <w:rFonts w:ascii="Arial" w:eastAsia="Calibri" w:hAnsi="Arial" w:cs="Arial"/>
          <w:b/>
          <w:sz w:val="24"/>
          <w:szCs w:val="24"/>
        </w:rPr>
        <w:t xml:space="preserve"> – </w:t>
      </w:r>
      <w:r>
        <w:rPr>
          <w:rFonts w:ascii="Arial" w:eastAsia="Calibri" w:hAnsi="Arial" w:cs="Arial"/>
          <w:b/>
          <w:sz w:val="24"/>
          <w:szCs w:val="24"/>
        </w:rPr>
        <w:t>33 174</w:t>
      </w:r>
      <w:r w:rsidRPr="006F2BEC">
        <w:rPr>
          <w:rFonts w:ascii="Arial" w:eastAsia="Calibri" w:hAnsi="Arial" w:cs="Arial"/>
          <w:b/>
          <w:sz w:val="24"/>
          <w:szCs w:val="24"/>
        </w:rPr>
        <w:t xml:space="preserve"> osob (uchazečů o zaměstnání) </w:t>
      </w:r>
    </w:p>
    <w:p w:rsidR="00A674FB" w:rsidRDefault="00A674FB" w:rsidP="00A674FB">
      <w:pPr>
        <w:widowControl w:val="0"/>
        <w:autoSpaceDE w:val="0"/>
        <w:autoSpaceDN w:val="0"/>
        <w:spacing w:after="0" w:line="240" w:lineRule="auto"/>
        <w:jc w:val="both"/>
        <w:rPr>
          <w:rFonts w:ascii="Arial" w:eastAsia="Calibri" w:hAnsi="Arial" w:cs="Arial"/>
          <w:b/>
          <w:sz w:val="24"/>
          <w:szCs w:val="24"/>
        </w:rPr>
      </w:pPr>
    </w:p>
    <w:p w:rsidR="00A674FB" w:rsidRDefault="00A674FB" w:rsidP="005D6DB7">
      <w:pPr>
        <w:pStyle w:val="Odstavecseseznamem"/>
        <w:numPr>
          <w:ilvl w:val="0"/>
          <w:numId w:val="4"/>
        </w:numPr>
        <w:spacing w:after="0" w:line="240" w:lineRule="auto"/>
        <w:jc w:val="both"/>
        <w:rPr>
          <w:rFonts w:ascii="Arial" w:eastAsia="Calibri" w:hAnsi="Arial" w:cs="Arial"/>
          <w:b/>
          <w:bCs/>
          <w:color w:val="000000" w:themeColor="text1"/>
          <w:sz w:val="24"/>
          <w:szCs w:val="24"/>
        </w:rPr>
      </w:pPr>
      <w:r w:rsidRPr="005D6DB7">
        <w:rPr>
          <w:rFonts w:ascii="Arial" w:eastAsia="Calibri" w:hAnsi="Arial" w:cs="Arial"/>
          <w:b/>
          <w:bCs/>
          <w:color w:val="000000" w:themeColor="text1"/>
          <w:sz w:val="24"/>
          <w:szCs w:val="24"/>
        </w:rPr>
        <w:t>Zaměstnej sám sebe. Buď OSVČ</w:t>
      </w:r>
    </w:p>
    <w:p w:rsidR="005D6DB7" w:rsidRPr="005D6DB7" w:rsidRDefault="005D6DB7" w:rsidP="005D6DB7">
      <w:pPr>
        <w:pStyle w:val="Odstavecseseznamem"/>
        <w:spacing w:after="0" w:line="240" w:lineRule="auto"/>
        <w:jc w:val="both"/>
        <w:rPr>
          <w:rFonts w:ascii="Arial" w:eastAsia="Calibri" w:hAnsi="Arial" w:cs="Arial"/>
          <w:b/>
          <w:bCs/>
          <w:color w:val="000000" w:themeColor="text1"/>
          <w:sz w:val="24"/>
          <w:szCs w:val="24"/>
        </w:rPr>
      </w:pPr>
    </w:p>
    <w:p w:rsidR="00A674FB" w:rsidRPr="006F2BEC" w:rsidRDefault="00A674FB" w:rsidP="00A674FB">
      <w:pPr>
        <w:spacing w:after="0" w:line="240" w:lineRule="auto"/>
        <w:jc w:val="both"/>
        <w:rPr>
          <w:rFonts w:ascii="Arial" w:hAnsi="Arial" w:cs="Arial"/>
          <w:color w:val="000000" w:themeColor="text1"/>
          <w:sz w:val="24"/>
          <w:szCs w:val="24"/>
        </w:rPr>
      </w:pPr>
      <w:r w:rsidRPr="006F2BEC">
        <w:rPr>
          <w:rFonts w:ascii="Arial" w:hAnsi="Arial" w:cs="Arial"/>
          <w:b/>
          <w:i/>
          <w:color w:val="000000" w:themeColor="text1"/>
          <w:sz w:val="24"/>
          <w:szCs w:val="24"/>
        </w:rPr>
        <w:t>Budoucímu OSVČ lze poskytnout příspěvek na podnikání v průměru 40 až 80 tisíc korun</w:t>
      </w:r>
      <w:r w:rsidRPr="006F2BEC">
        <w:rPr>
          <w:rFonts w:ascii="Arial" w:hAnsi="Arial" w:cs="Arial"/>
          <w:color w:val="000000" w:themeColor="text1"/>
          <w:sz w:val="24"/>
          <w:szCs w:val="24"/>
        </w:rPr>
        <w:t xml:space="preserve">. Podmínkou poskytnutí peněz, bude závazek, že nezaměstnaný bude svoji živnost provozovat po předem dohodnutou dobu, tj. obvykle 1 až 2 roky.  </w:t>
      </w:r>
    </w:p>
    <w:p w:rsidR="00A674FB" w:rsidRPr="006F2BEC" w:rsidRDefault="00A674FB" w:rsidP="00A674FB">
      <w:pPr>
        <w:spacing w:after="0" w:line="240" w:lineRule="auto"/>
        <w:jc w:val="both"/>
        <w:rPr>
          <w:rFonts w:ascii="Arial" w:hAnsi="Arial" w:cs="Arial"/>
          <w:color w:val="000000" w:themeColor="text1"/>
          <w:sz w:val="24"/>
          <w:szCs w:val="24"/>
        </w:rPr>
      </w:pPr>
    </w:p>
    <w:p w:rsidR="00A674FB" w:rsidRDefault="00A674FB" w:rsidP="00A674FB">
      <w:pPr>
        <w:widowControl w:val="0"/>
        <w:autoSpaceDE w:val="0"/>
        <w:autoSpaceDN w:val="0"/>
        <w:spacing w:after="0" w:line="240" w:lineRule="auto"/>
        <w:jc w:val="both"/>
        <w:rPr>
          <w:rFonts w:ascii="Arial" w:eastAsia="Calibri" w:hAnsi="Arial" w:cs="Arial"/>
          <w:b/>
          <w:sz w:val="24"/>
          <w:szCs w:val="24"/>
        </w:rPr>
      </w:pPr>
      <w:r>
        <w:rPr>
          <w:rFonts w:ascii="Arial" w:eastAsia="Calibri" w:hAnsi="Arial" w:cs="Arial"/>
          <w:b/>
          <w:sz w:val="24"/>
          <w:szCs w:val="24"/>
        </w:rPr>
        <w:t>Podpořeno do 30. 9. 2013</w:t>
      </w:r>
      <w:r w:rsidRPr="006F2BEC">
        <w:rPr>
          <w:rFonts w:ascii="Arial" w:eastAsia="Calibri" w:hAnsi="Arial" w:cs="Arial"/>
          <w:b/>
          <w:sz w:val="24"/>
          <w:szCs w:val="24"/>
        </w:rPr>
        <w:t xml:space="preserve"> – </w:t>
      </w:r>
      <w:r>
        <w:rPr>
          <w:rFonts w:ascii="Arial" w:eastAsia="Calibri" w:hAnsi="Arial" w:cs="Arial"/>
          <w:b/>
          <w:sz w:val="24"/>
          <w:szCs w:val="24"/>
        </w:rPr>
        <w:t>1 696</w:t>
      </w:r>
      <w:r w:rsidRPr="006F2BEC">
        <w:rPr>
          <w:rFonts w:ascii="Arial" w:eastAsia="Calibri" w:hAnsi="Arial" w:cs="Arial"/>
          <w:b/>
          <w:sz w:val="24"/>
          <w:szCs w:val="24"/>
        </w:rPr>
        <w:t xml:space="preserve"> osob (uchazečů o zaměstnání) </w:t>
      </w:r>
      <w:r>
        <w:rPr>
          <w:rFonts w:ascii="Arial" w:eastAsia="Calibri" w:hAnsi="Arial" w:cs="Arial"/>
          <w:b/>
          <w:sz w:val="24"/>
          <w:szCs w:val="24"/>
        </w:rPr>
        <w:t>z toho 459 osob do 30 let</w:t>
      </w:r>
    </w:p>
    <w:p w:rsidR="00A674FB" w:rsidRDefault="00A674FB" w:rsidP="00A674FB">
      <w:pPr>
        <w:spacing w:after="0" w:line="240" w:lineRule="auto"/>
        <w:jc w:val="both"/>
        <w:rPr>
          <w:rFonts w:ascii="Arial" w:hAnsi="Arial" w:cs="Arial"/>
          <w:color w:val="000000" w:themeColor="text1"/>
          <w:sz w:val="24"/>
          <w:szCs w:val="24"/>
        </w:rPr>
      </w:pPr>
    </w:p>
    <w:p w:rsidR="00A674FB" w:rsidRPr="006F2BEC" w:rsidRDefault="00A674FB" w:rsidP="00A674FB">
      <w:pPr>
        <w:spacing w:after="0" w:line="240" w:lineRule="auto"/>
        <w:jc w:val="both"/>
        <w:rPr>
          <w:rFonts w:ascii="Arial" w:hAnsi="Arial" w:cs="Arial"/>
          <w:color w:val="000000" w:themeColor="text1"/>
          <w:sz w:val="24"/>
          <w:szCs w:val="24"/>
        </w:rPr>
      </w:pPr>
    </w:p>
    <w:p w:rsidR="00A674FB" w:rsidRPr="005D6DB7" w:rsidRDefault="00A674FB" w:rsidP="005D6DB7">
      <w:pPr>
        <w:pStyle w:val="Odstavecseseznamem"/>
        <w:numPr>
          <w:ilvl w:val="0"/>
          <w:numId w:val="4"/>
        </w:numPr>
        <w:spacing w:after="0" w:line="240" w:lineRule="auto"/>
        <w:jc w:val="both"/>
        <w:rPr>
          <w:rFonts w:ascii="Arial" w:hAnsi="Arial" w:cs="Arial"/>
          <w:b/>
          <w:bCs/>
          <w:color w:val="000000" w:themeColor="text1"/>
          <w:sz w:val="24"/>
          <w:szCs w:val="24"/>
        </w:rPr>
      </w:pPr>
      <w:r w:rsidRPr="005D6DB7">
        <w:rPr>
          <w:rFonts w:ascii="Arial" w:hAnsi="Arial" w:cs="Arial"/>
          <w:b/>
          <w:bCs/>
          <w:color w:val="000000" w:themeColor="text1"/>
          <w:sz w:val="24"/>
          <w:szCs w:val="24"/>
        </w:rPr>
        <w:t>„</w:t>
      </w:r>
      <w:proofErr w:type="spellStart"/>
      <w:r w:rsidRPr="005D6DB7">
        <w:rPr>
          <w:rFonts w:ascii="Arial" w:hAnsi="Arial" w:cs="Arial"/>
          <w:b/>
          <w:bCs/>
          <w:color w:val="000000" w:themeColor="text1"/>
          <w:sz w:val="24"/>
          <w:szCs w:val="24"/>
        </w:rPr>
        <w:t>Kurzarbeit</w:t>
      </w:r>
      <w:proofErr w:type="spellEnd"/>
      <w:r w:rsidRPr="005D6DB7">
        <w:rPr>
          <w:rFonts w:ascii="Arial" w:hAnsi="Arial" w:cs="Arial"/>
          <w:b/>
          <w:bCs/>
          <w:color w:val="000000" w:themeColor="text1"/>
          <w:sz w:val="24"/>
          <w:szCs w:val="24"/>
        </w:rPr>
        <w:t xml:space="preserve">“ - Projekt Vzdělávejte se pro stabilitu! </w:t>
      </w:r>
    </w:p>
    <w:p w:rsidR="005D6DB7" w:rsidRPr="005D6DB7" w:rsidRDefault="005D6DB7" w:rsidP="005D6DB7">
      <w:pPr>
        <w:pStyle w:val="Odstavecseseznamem"/>
        <w:spacing w:after="0" w:line="240" w:lineRule="auto"/>
        <w:jc w:val="both"/>
        <w:rPr>
          <w:rFonts w:ascii="Arial" w:hAnsi="Arial" w:cs="Arial"/>
          <w:b/>
          <w:bCs/>
          <w:color w:val="000000" w:themeColor="text1"/>
          <w:sz w:val="24"/>
          <w:szCs w:val="24"/>
        </w:rPr>
      </w:pPr>
    </w:p>
    <w:p w:rsidR="00A674FB" w:rsidRDefault="00A674FB" w:rsidP="00A674FB">
      <w:pPr>
        <w:spacing w:after="0" w:line="240" w:lineRule="auto"/>
        <w:jc w:val="both"/>
        <w:rPr>
          <w:rFonts w:ascii="Arial" w:hAnsi="Arial" w:cs="Arial"/>
          <w:i/>
          <w:iCs/>
          <w:color w:val="000000" w:themeColor="text1"/>
          <w:sz w:val="24"/>
          <w:szCs w:val="24"/>
        </w:rPr>
      </w:pPr>
      <w:r w:rsidRPr="006F2BEC">
        <w:rPr>
          <w:rFonts w:ascii="Arial" w:hAnsi="Arial" w:cs="Arial"/>
          <w:color w:val="000000" w:themeColor="text1"/>
          <w:sz w:val="24"/>
          <w:szCs w:val="24"/>
        </w:rPr>
        <w:t>Od září 2012 čerpalo příspěvek 29 firem za celkem 10 milionů korun, rozpočet projektu plánovaného do srpna 2015 je 400 milionů korun.</w:t>
      </w:r>
      <w:r w:rsidRPr="006F2BEC">
        <w:rPr>
          <w:rFonts w:ascii="Arial" w:hAnsi="Arial" w:cs="Arial"/>
          <w:i/>
          <w:iCs/>
          <w:color w:val="000000" w:themeColor="text1"/>
          <w:sz w:val="24"/>
          <w:szCs w:val="24"/>
        </w:rPr>
        <w:t xml:space="preserve"> </w:t>
      </w:r>
    </w:p>
    <w:p w:rsidR="00A674FB" w:rsidRPr="00725F24" w:rsidRDefault="00A674FB" w:rsidP="00A674FB">
      <w:pPr>
        <w:spacing w:after="0" w:line="240" w:lineRule="auto"/>
        <w:jc w:val="both"/>
        <w:rPr>
          <w:rFonts w:ascii="Arial" w:hAnsi="Arial" w:cs="Arial"/>
          <w:sz w:val="24"/>
          <w:szCs w:val="24"/>
        </w:rPr>
      </w:pPr>
    </w:p>
    <w:p w:rsidR="0098461D" w:rsidRPr="00725F24" w:rsidRDefault="0098461D" w:rsidP="00A674FB">
      <w:pPr>
        <w:spacing w:after="0" w:line="240" w:lineRule="auto"/>
        <w:jc w:val="both"/>
        <w:rPr>
          <w:rFonts w:ascii="Arial" w:hAnsi="Arial" w:cs="Arial"/>
          <w:sz w:val="24"/>
          <w:szCs w:val="24"/>
        </w:rPr>
      </w:pPr>
      <w:r w:rsidRPr="00725F24">
        <w:rPr>
          <w:rFonts w:ascii="Arial" w:hAnsi="Arial" w:cs="Arial"/>
          <w:sz w:val="24"/>
          <w:szCs w:val="24"/>
        </w:rPr>
        <w:t>Projekt od samého počátku vykazuje nižší zájem zaměstnavatelů a to z následujících důvodů:</w:t>
      </w:r>
      <w:bookmarkStart w:id="0" w:name="_GoBack"/>
      <w:bookmarkEnd w:id="0"/>
    </w:p>
    <w:p w:rsidR="00404C2D" w:rsidRPr="00725F24" w:rsidRDefault="0098461D" w:rsidP="009A1E8F">
      <w:pPr>
        <w:pStyle w:val="Odstavecseseznamem"/>
        <w:numPr>
          <w:ilvl w:val="0"/>
          <w:numId w:val="5"/>
        </w:numPr>
        <w:spacing w:after="0" w:line="240" w:lineRule="auto"/>
        <w:contextualSpacing w:val="0"/>
        <w:jc w:val="both"/>
        <w:rPr>
          <w:rFonts w:ascii="Arial" w:hAnsi="Arial" w:cs="Arial"/>
          <w:sz w:val="24"/>
          <w:szCs w:val="24"/>
        </w:rPr>
      </w:pPr>
      <w:r w:rsidRPr="00725F24">
        <w:rPr>
          <w:rFonts w:ascii="Arial" w:hAnsi="Arial" w:cs="Arial"/>
          <w:sz w:val="24"/>
          <w:szCs w:val="24"/>
        </w:rPr>
        <w:t xml:space="preserve">U velkých </w:t>
      </w:r>
      <w:r w:rsidR="00404C2D" w:rsidRPr="00725F24">
        <w:rPr>
          <w:rFonts w:ascii="Arial" w:hAnsi="Arial" w:cs="Arial"/>
          <w:sz w:val="24"/>
          <w:szCs w:val="24"/>
        </w:rPr>
        <w:t xml:space="preserve">podniků jsou to pravidla poskytování veřejné podpory. Příspěvek se poskytuje buďto v </w:t>
      </w:r>
      <w:r w:rsidR="00404C2D" w:rsidRPr="00725F24">
        <w:rPr>
          <w:rFonts w:ascii="Arial" w:hAnsi="Arial" w:cs="Arial"/>
          <w:sz w:val="24"/>
          <w:szCs w:val="24"/>
        </w:rPr>
        <w:t>režimu blokové výjimky na vzdělávání, kde je ale nutná finanční spoluúčast zaměstnavatele</w:t>
      </w:r>
      <w:r w:rsidR="00404C2D" w:rsidRPr="00725F24">
        <w:rPr>
          <w:rFonts w:ascii="Arial" w:hAnsi="Arial" w:cs="Arial"/>
          <w:sz w:val="24"/>
          <w:szCs w:val="24"/>
        </w:rPr>
        <w:t xml:space="preserve"> </w:t>
      </w:r>
      <w:r w:rsidR="00E719A4" w:rsidRPr="00725F24">
        <w:rPr>
          <w:rFonts w:ascii="Arial" w:hAnsi="Arial" w:cs="Arial"/>
          <w:sz w:val="24"/>
          <w:szCs w:val="24"/>
        </w:rPr>
        <w:t>a</w:t>
      </w:r>
      <w:r w:rsidR="00404C2D" w:rsidRPr="00725F24">
        <w:rPr>
          <w:rFonts w:ascii="Arial" w:hAnsi="Arial" w:cs="Arial"/>
          <w:sz w:val="24"/>
          <w:szCs w:val="24"/>
        </w:rPr>
        <w:t xml:space="preserve">nebo v režimu de </w:t>
      </w:r>
      <w:proofErr w:type="spellStart"/>
      <w:r w:rsidR="00404C2D" w:rsidRPr="00725F24">
        <w:rPr>
          <w:rFonts w:ascii="Arial" w:hAnsi="Arial" w:cs="Arial"/>
          <w:sz w:val="24"/>
          <w:szCs w:val="24"/>
        </w:rPr>
        <w:t>minimis</w:t>
      </w:r>
      <w:proofErr w:type="spellEnd"/>
      <w:r w:rsidR="00404C2D" w:rsidRPr="00725F24">
        <w:rPr>
          <w:rFonts w:ascii="Arial" w:hAnsi="Arial" w:cs="Arial"/>
          <w:sz w:val="24"/>
          <w:szCs w:val="24"/>
        </w:rPr>
        <w:t xml:space="preserve">, kdy je možné poskytnout sice 100 % nákladů, ale jednomu podniku je v tomto režimu možné poskytnout veřejnou podporu ve výši maximálně 200 000 Eur ve tříletém období. Řada velkých podniků má však limit de </w:t>
      </w:r>
      <w:proofErr w:type="spellStart"/>
      <w:r w:rsidR="00404C2D" w:rsidRPr="00725F24">
        <w:rPr>
          <w:rFonts w:ascii="Arial" w:hAnsi="Arial" w:cs="Arial"/>
          <w:sz w:val="24"/>
          <w:szCs w:val="24"/>
        </w:rPr>
        <w:t>minimis</w:t>
      </w:r>
      <w:proofErr w:type="spellEnd"/>
      <w:r w:rsidR="00404C2D" w:rsidRPr="00725F24">
        <w:rPr>
          <w:rFonts w:ascii="Arial" w:hAnsi="Arial" w:cs="Arial"/>
          <w:sz w:val="24"/>
          <w:szCs w:val="24"/>
        </w:rPr>
        <w:t xml:space="preserve"> již vyčerpán</w:t>
      </w:r>
      <w:r w:rsidR="009A1E8F" w:rsidRPr="00725F24">
        <w:rPr>
          <w:rFonts w:ascii="Arial" w:hAnsi="Arial" w:cs="Arial"/>
          <w:sz w:val="24"/>
          <w:szCs w:val="24"/>
        </w:rPr>
        <w:t>.</w:t>
      </w:r>
      <w:r w:rsidR="00404C2D" w:rsidRPr="00725F24">
        <w:rPr>
          <w:rFonts w:ascii="Arial" w:hAnsi="Arial" w:cs="Arial"/>
          <w:sz w:val="24"/>
          <w:szCs w:val="24"/>
        </w:rPr>
        <w:t xml:space="preserve"> </w:t>
      </w:r>
    </w:p>
    <w:p w:rsidR="00E719A4" w:rsidRPr="00725F24" w:rsidRDefault="009A1E8F" w:rsidP="00E719A4">
      <w:pPr>
        <w:pStyle w:val="Odstavecseseznamem"/>
        <w:numPr>
          <w:ilvl w:val="0"/>
          <w:numId w:val="5"/>
        </w:numPr>
        <w:spacing w:after="0" w:line="240" w:lineRule="auto"/>
        <w:contextualSpacing w:val="0"/>
        <w:jc w:val="both"/>
        <w:rPr>
          <w:rFonts w:ascii="Arial" w:hAnsi="Arial" w:cs="Arial"/>
          <w:sz w:val="24"/>
          <w:szCs w:val="24"/>
        </w:rPr>
      </w:pPr>
      <w:r w:rsidRPr="00725F24">
        <w:rPr>
          <w:rFonts w:ascii="Arial" w:hAnsi="Arial" w:cs="Arial"/>
          <w:sz w:val="24"/>
          <w:szCs w:val="24"/>
        </w:rPr>
        <w:t>D</w:t>
      </w:r>
      <w:r w:rsidRPr="00725F24">
        <w:rPr>
          <w:rFonts w:ascii="Arial" w:hAnsi="Arial" w:cs="Arial"/>
          <w:sz w:val="24"/>
          <w:szCs w:val="24"/>
        </w:rPr>
        <w:t>o 31. 5. 2013</w:t>
      </w:r>
      <w:r w:rsidRPr="00725F24">
        <w:rPr>
          <w:rFonts w:ascii="Arial" w:hAnsi="Arial" w:cs="Arial"/>
          <w:sz w:val="24"/>
          <w:szCs w:val="24"/>
        </w:rPr>
        <w:t xml:space="preserve"> </w:t>
      </w:r>
      <w:r w:rsidR="00E719A4" w:rsidRPr="00725F24">
        <w:rPr>
          <w:rFonts w:ascii="Arial" w:hAnsi="Arial" w:cs="Arial"/>
          <w:sz w:val="24"/>
          <w:szCs w:val="24"/>
        </w:rPr>
        <w:t xml:space="preserve">mohli být </w:t>
      </w:r>
      <w:r w:rsidRPr="00725F24">
        <w:rPr>
          <w:rFonts w:ascii="Arial" w:hAnsi="Arial" w:cs="Arial"/>
          <w:sz w:val="24"/>
          <w:szCs w:val="24"/>
        </w:rPr>
        <w:t>do projektu zapojeni pouze zaměstnanci, u nichž zaměstnavatel po dobu jednoho měsíce před podáním žádosti aplikoval ustanovení § 209 zákoníku práce. Tato podmínka byla sociálními partnery shledána jako výrazně limitující</w:t>
      </w:r>
      <w:r w:rsidRPr="00725F24">
        <w:rPr>
          <w:rFonts w:ascii="Arial" w:hAnsi="Arial" w:cs="Arial"/>
          <w:sz w:val="24"/>
          <w:szCs w:val="24"/>
        </w:rPr>
        <w:t>.</w:t>
      </w:r>
      <w:r w:rsidRPr="00725F24">
        <w:rPr>
          <w:rFonts w:ascii="Arial" w:hAnsi="Arial" w:cs="Arial"/>
          <w:sz w:val="24"/>
          <w:szCs w:val="24"/>
        </w:rPr>
        <w:t xml:space="preserve"> </w:t>
      </w:r>
    </w:p>
    <w:p w:rsidR="0098461D" w:rsidRPr="00725F24" w:rsidRDefault="009A1E8F" w:rsidP="009A1E8F">
      <w:pPr>
        <w:pStyle w:val="Odstavecseseznamem"/>
        <w:numPr>
          <w:ilvl w:val="0"/>
          <w:numId w:val="5"/>
        </w:numPr>
        <w:spacing w:after="0" w:line="240" w:lineRule="auto"/>
        <w:contextualSpacing w:val="0"/>
        <w:jc w:val="both"/>
        <w:rPr>
          <w:rFonts w:ascii="Arial" w:hAnsi="Arial" w:cs="Arial"/>
          <w:sz w:val="24"/>
          <w:szCs w:val="24"/>
        </w:rPr>
      </w:pPr>
      <w:r w:rsidRPr="00725F24">
        <w:rPr>
          <w:rFonts w:ascii="Arial" w:hAnsi="Arial" w:cs="Arial"/>
          <w:sz w:val="24"/>
          <w:szCs w:val="24"/>
        </w:rPr>
        <w:t>V</w:t>
      </w:r>
      <w:r w:rsidRPr="00725F24">
        <w:rPr>
          <w:rFonts w:ascii="Arial" w:hAnsi="Arial" w:cs="Arial"/>
          <w:sz w:val="24"/>
          <w:szCs w:val="24"/>
        </w:rPr>
        <w:t>stupní podmínka nemožnosti přidělit zaměstnancům práci v rozsahu více jak 20 % a méně či rovno 60 % stanovené pracovní doby po dobu jednoho měsíce před podáním žádosti o vstup do projektu. Řada zaměstnavatelů v případě hospodářských potíží přist</w:t>
      </w:r>
      <w:r w:rsidRPr="00725F24">
        <w:rPr>
          <w:rFonts w:ascii="Arial" w:hAnsi="Arial" w:cs="Arial"/>
          <w:sz w:val="24"/>
          <w:szCs w:val="24"/>
        </w:rPr>
        <w:t>upuje</w:t>
      </w:r>
      <w:r w:rsidRPr="00725F24">
        <w:rPr>
          <w:rFonts w:ascii="Arial" w:hAnsi="Arial" w:cs="Arial"/>
          <w:sz w:val="24"/>
          <w:szCs w:val="24"/>
        </w:rPr>
        <w:t xml:space="preserve"> buďto rovnou k ponižování stavu zaměstnanců </w:t>
      </w:r>
      <w:r w:rsidRPr="00725F24">
        <w:rPr>
          <w:rFonts w:ascii="Arial" w:hAnsi="Arial" w:cs="Arial"/>
          <w:sz w:val="24"/>
          <w:szCs w:val="24"/>
        </w:rPr>
        <w:t>a</w:t>
      </w:r>
      <w:r w:rsidRPr="00725F24">
        <w:rPr>
          <w:rFonts w:ascii="Arial" w:hAnsi="Arial" w:cs="Arial"/>
          <w:sz w:val="24"/>
          <w:szCs w:val="24"/>
        </w:rPr>
        <w:t>nebo ke zkracování pracovních úvazků. Zkrácení pracovních úvazků není počítáno do výpadku pracovní doby.</w:t>
      </w:r>
    </w:p>
    <w:p w:rsidR="0098461D" w:rsidRPr="00725F24" w:rsidRDefault="0098461D" w:rsidP="00A674FB">
      <w:pPr>
        <w:spacing w:after="0" w:line="240" w:lineRule="auto"/>
        <w:jc w:val="both"/>
        <w:rPr>
          <w:rFonts w:ascii="Arial" w:hAnsi="Arial" w:cs="Arial"/>
          <w:sz w:val="24"/>
          <w:szCs w:val="24"/>
        </w:rPr>
      </w:pPr>
    </w:p>
    <w:p w:rsidR="00A674FB" w:rsidRPr="00725F24" w:rsidRDefault="00C655EE" w:rsidP="00C655EE">
      <w:pPr>
        <w:spacing w:after="0" w:line="240" w:lineRule="auto"/>
        <w:jc w:val="both"/>
        <w:rPr>
          <w:rFonts w:ascii="Arial" w:hAnsi="Arial" w:cs="Arial"/>
          <w:i/>
          <w:sz w:val="24"/>
          <w:szCs w:val="24"/>
        </w:rPr>
      </w:pPr>
      <w:r w:rsidRPr="00725F24">
        <w:rPr>
          <w:rFonts w:ascii="Arial" w:hAnsi="Arial" w:cs="Arial"/>
          <w:sz w:val="24"/>
          <w:szCs w:val="24"/>
        </w:rPr>
        <w:t>Vzhledem k menšímu zájmu firem o zapojení se do uvedeného projektu došlo od 1.</w:t>
      </w:r>
      <w:r w:rsidR="00E719A4" w:rsidRPr="00725F24">
        <w:rPr>
          <w:rFonts w:ascii="Arial" w:hAnsi="Arial" w:cs="Arial"/>
          <w:sz w:val="24"/>
          <w:szCs w:val="24"/>
        </w:rPr>
        <w:t> </w:t>
      </w:r>
      <w:r w:rsidRPr="00725F24">
        <w:rPr>
          <w:rFonts w:ascii="Arial" w:hAnsi="Arial" w:cs="Arial"/>
          <w:sz w:val="24"/>
          <w:szCs w:val="24"/>
        </w:rPr>
        <w:t xml:space="preserve">6. 2013 ke zjednodušení vstupních podmínek. </w:t>
      </w:r>
      <w:r w:rsidR="00A674FB" w:rsidRPr="00725F24">
        <w:rPr>
          <w:rFonts w:ascii="Arial" w:hAnsi="Arial" w:cs="Arial"/>
          <w:b/>
          <w:i/>
          <w:iCs/>
          <w:sz w:val="24"/>
          <w:szCs w:val="24"/>
        </w:rPr>
        <w:t>Zjednodušení</w:t>
      </w:r>
      <w:r w:rsidR="00A674FB" w:rsidRPr="00725F24">
        <w:rPr>
          <w:rFonts w:ascii="Arial" w:hAnsi="Arial" w:cs="Arial"/>
          <w:iCs/>
          <w:sz w:val="24"/>
          <w:szCs w:val="24"/>
        </w:rPr>
        <w:t xml:space="preserve"> spočívá v tom, že zaměstnavatel </w:t>
      </w:r>
      <w:r w:rsidR="00A674FB" w:rsidRPr="00725F24">
        <w:rPr>
          <w:rFonts w:ascii="Arial" w:hAnsi="Arial" w:cs="Arial"/>
          <w:b/>
          <w:i/>
          <w:iCs/>
          <w:sz w:val="24"/>
          <w:szCs w:val="24"/>
        </w:rPr>
        <w:t>nebude muset prokazovat pokles tržeb za celou společnost (IČ),</w:t>
      </w:r>
      <w:r w:rsidR="00A674FB" w:rsidRPr="00725F24">
        <w:rPr>
          <w:rFonts w:ascii="Arial" w:hAnsi="Arial" w:cs="Arial"/>
          <w:iCs/>
          <w:sz w:val="24"/>
          <w:szCs w:val="24"/>
        </w:rPr>
        <w:t xml:space="preserve"> ale pouze za konkrétní provozovnu, závod apod. Dále nebude nutné, aby zaměstnavatel aplikoval ustanovení § 209 zákoníku práce, tj</w:t>
      </w:r>
      <w:r w:rsidR="00A674FB" w:rsidRPr="00725F24">
        <w:rPr>
          <w:rFonts w:ascii="Arial" w:hAnsi="Arial" w:cs="Arial"/>
          <w:b/>
          <w:i/>
          <w:iCs/>
          <w:sz w:val="24"/>
          <w:szCs w:val="24"/>
        </w:rPr>
        <w:t>. deklaroval, že není schopen přidělovat zaměstnancům práci ve sjednaném rozsahu</w:t>
      </w:r>
      <w:r w:rsidR="00A674FB" w:rsidRPr="00725F24">
        <w:rPr>
          <w:rFonts w:ascii="Arial" w:hAnsi="Arial" w:cs="Arial"/>
          <w:iCs/>
          <w:sz w:val="24"/>
          <w:szCs w:val="24"/>
        </w:rPr>
        <w:t>.</w:t>
      </w:r>
      <w:r w:rsidR="00A674FB" w:rsidRPr="00725F24">
        <w:rPr>
          <w:rFonts w:ascii="Arial" w:hAnsi="Arial" w:cs="Arial"/>
          <w:i/>
          <w:sz w:val="24"/>
          <w:szCs w:val="24"/>
        </w:rPr>
        <w:t xml:space="preserve"> </w:t>
      </w:r>
    </w:p>
    <w:p w:rsidR="00A674FB" w:rsidRPr="00725F24" w:rsidRDefault="00A674FB" w:rsidP="00A674FB">
      <w:pPr>
        <w:autoSpaceDE w:val="0"/>
        <w:autoSpaceDN w:val="0"/>
        <w:adjustRightInd w:val="0"/>
        <w:spacing w:after="0" w:line="240" w:lineRule="auto"/>
        <w:jc w:val="both"/>
        <w:rPr>
          <w:rFonts w:ascii="Arial" w:hAnsi="Arial" w:cs="Arial"/>
          <w:i/>
          <w:sz w:val="24"/>
          <w:szCs w:val="24"/>
        </w:rPr>
      </w:pPr>
    </w:p>
    <w:p w:rsidR="00A674FB" w:rsidRPr="00725F24" w:rsidRDefault="00A674FB" w:rsidP="00A674FB">
      <w:pPr>
        <w:widowControl w:val="0"/>
        <w:autoSpaceDE w:val="0"/>
        <w:autoSpaceDN w:val="0"/>
        <w:spacing w:after="0" w:line="240" w:lineRule="auto"/>
        <w:jc w:val="both"/>
        <w:rPr>
          <w:rFonts w:ascii="Arial" w:eastAsia="Calibri" w:hAnsi="Arial" w:cs="Arial"/>
          <w:b/>
          <w:sz w:val="24"/>
          <w:szCs w:val="24"/>
        </w:rPr>
      </w:pPr>
      <w:r w:rsidRPr="00725F24">
        <w:rPr>
          <w:rFonts w:ascii="Arial" w:eastAsia="Calibri" w:hAnsi="Arial" w:cs="Arial"/>
          <w:b/>
          <w:sz w:val="24"/>
          <w:szCs w:val="24"/>
        </w:rPr>
        <w:t xml:space="preserve">Podpořeno za období do 31. 8. 2013 - 793 zaměstnanců podniků v obtížné ekonomické situaci </w:t>
      </w:r>
    </w:p>
    <w:p w:rsidR="00A674FB" w:rsidRPr="00725F24" w:rsidRDefault="00A674FB" w:rsidP="00A674FB">
      <w:pPr>
        <w:autoSpaceDE w:val="0"/>
        <w:autoSpaceDN w:val="0"/>
        <w:adjustRightInd w:val="0"/>
        <w:spacing w:after="0" w:line="240" w:lineRule="auto"/>
        <w:jc w:val="both"/>
        <w:rPr>
          <w:rFonts w:ascii="Arial" w:hAnsi="Arial" w:cs="Arial"/>
          <w:i/>
          <w:sz w:val="24"/>
          <w:szCs w:val="24"/>
        </w:rPr>
      </w:pPr>
    </w:p>
    <w:p w:rsidR="005D6DB7" w:rsidRPr="00725F24" w:rsidRDefault="005D6DB7" w:rsidP="00A674FB">
      <w:pPr>
        <w:autoSpaceDE w:val="0"/>
        <w:autoSpaceDN w:val="0"/>
        <w:adjustRightInd w:val="0"/>
        <w:spacing w:after="0" w:line="240" w:lineRule="auto"/>
        <w:jc w:val="both"/>
        <w:rPr>
          <w:rFonts w:ascii="Arial" w:hAnsi="Arial" w:cs="Arial"/>
          <w:i/>
          <w:sz w:val="24"/>
          <w:szCs w:val="24"/>
        </w:rPr>
      </w:pPr>
      <w:r w:rsidRPr="00725F24">
        <w:rPr>
          <w:rFonts w:ascii="Arial" w:hAnsi="Arial" w:cs="Arial"/>
          <w:sz w:val="24"/>
          <w:szCs w:val="24"/>
        </w:rPr>
        <w:t xml:space="preserve">Vzhledem k tomu, že absorpční kapacita </w:t>
      </w:r>
      <w:r w:rsidRPr="00725F24">
        <w:rPr>
          <w:rFonts w:ascii="Arial" w:hAnsi="Arial" w:cs="Arial"/>
          <w:sz w:val="24"/>
          <w:szCs w:val="24"/>
        </w:rPr>
        <w:t xml:space="preserve">projektu </w:t>
      </w:r>
      <w:r w:rsidRPr="00725F24">
        <w:rPr>
          <w:rFonts w:ascii="Arial" w:hAnsi="Arial" w:cs="Arial"/>
          <w:sz w:val="24"/>
          <w:szCs w:val="24"/>
        </w:rPr>
        <w:t xml:space="preserve">není ani po úpravě </w:t>
      </w:r>
      <w:r w:rsidRPr="00725F24">
        <w:rPr>
          <w:rFonts w:ascii="Arial" w:hAnsi="Arial" w:cs="Arial"/>
          <w:sz w:val="24"/>
          <w:szCs w:val="24"/>
        </w:rPr>
        <w:t xml:space="preserve">vstupních podmínek </w:t>
      </w:r>
      <w:r w:rsidRPr="00725F24">
        <w:rPr>
          <w:rFonts w:ascii="Arial" w:hAnsi="Arial" w:cs="Arial"/>
          <w:sz w:val="24"/>
          <w:szCs w:val="24"/>
        </w:rPr>
        <w:t xml:space="preserve">dostatečná, </w:t>
      </w:r>
      <w:r w:rsidRPr="00725F24">
        <w:rPr>
          <w:rFonts w:ascii="Arial" w:hAnsi="Arial" w:cs="Arial"/>
          <w:sz w:val="24"/>
          <w:szCs w:val="24"/>
        </w:rPr>
        <w:t xml:space="preserve">bylo rozhodnuto o </w:t>
      </w:r>
      <w:r w:rsidRPr="00725F24">
        <w:rPr>
          <w:rFonts w:ascii="Arial" w:hAnsi="Arial" w:cs="Arial"/>
          <w:sz w:val="24"/>
          <w:szCs w:val="24"/>
        </w:rPr>
        <w:t>prov</w:t>
      </w:r>
      <w:r w:rsidRPr="00725F24">
        <w:rPr>
          <w:rFonts w:ascii="Arial" w:hAnsi="Arial" w:cs="Arial"/>
          <w:sz w:val="24"/>
          <w:szCs w:val="24"/>
        </w:rPr>
        <w:t>edení</w:t>
      </w:r>
      <w:r w:rsidRPr="00725F24">
        <w:rPr>
          <w:rFonts w:ascii="Arial" w:hAnsi="Arial" w:cs="Arial"/>
          <w:sz w:val="24"/>
          <w:szCs w:val="24"/>
        </w:rPr>
        <w:t xml:space="preserve"> průběžn</w:t>
      </w:r>
      <w:r w:rsidRPr="00725F24">
        <w:rPr>
          <w:rFonts w:ascii="Arial" w:hAnsi="Arial" w:cs="Arial"/>
          <w:sz w:val="24"/>
          <w:szCs w:val="24"/>
        </w:rPr>
        <w:t>é</w:t>
      </w:r>
      <w:r w:rsidRPr="00725F24">
        <w:rPr>
          <w:rFonts w:ascii="Arial" w:hAnsi="Arial" w:cs="Arial"/>
          <w:sz w:val="24"/>
          <w:szCs w:val="24"/>
        </w:rPr>
        <w:t xml:space="preserve"> evaluac</w:t>
      </w:r>
      <w:r w:rsidRPr="00725F24">
        <w:rPr>
          <w:rFonts w:ascii="Arial" w:hAnsi="Arial" w:cs="Arial"/>
          <w:sz w:val="24"/>
          <w:szCs w:val="24"/>
        </w:rPr>
        <w:t>e</w:t>
      </w:r>
      <w:r w:rsidRPr="00725F24">
        <w:rPr>
          <w:rFonts w:ascii="Arial" w:hAnsi="Arial" w:cs="Arial"/>
          <w:sz w:val="24"/>
          <w:szCs w:val="24"/>
        </w:rPr>
        <w:t xml:space="preserve"> projektu. Na základě výsledků </w:t>
      </w:r>
      <w:r w:rsidRPr="00725F24">
        <w:rPr>
          <w:rFonts w:ascii="Arial" w:hAnsi="Arial" w:cs="Arial"/>
          <w:sz w:val="24"/>
          <w:szCs w:val="24"/>
        </w:rPr>
        <w:t>bude stanovena</w:t>
      </w:r>
      <w:r w:rsidRPr="00725F24">
        <w:rPr>
          <w:rFonts w:ascii="Arial" w:hAnsi="Arial" w:cs="Arial"/>
          <w:sz w:val="24"/>
          <w:szCs w:val="24"/>
        </w:rPr>
        <w:t xml:space="preserve"> přesn</w:t>
      </w:r>
      <w:r w:rsidRPr="00725F24">
        <w:rPr>
          <w:rFonts w:ascii="Arial" w:hAnsi="Arial" w:cs="Arial"/>
          <w:sz w:val="24"/>
          <w:szCs w:val="24"/>
        </w:rPr>
        <w:t>á</w:t>
      </w:r>
      <w:r w:rsidRPr="00725F24">
        <w:rPr>
          <w:rFonts w:ascii="Arial" w:hAnsi="Arial" w:cs="Arial"/>
          <w:sz w:val="24"/>
          <w:szCs w:val="24"/>
        </w:rPr>
        <w:t xml:space="preserve"> částk</w:t>
      </w:r>
      <w:r w:rsidRPr="00725F24">
        <w:rPr>
          <w:rFonts w:ascii="Arial" w:hAnsi="Arial" w:cs="Arial"/>
          <w:sz w:val="24"/>
          <w:szCs w:val="24"/>
        </w:rPr>
        <w:t>a</w:t>
      </w:r>
      <w:r w:rsidRPr="00725F24">
        <w:rPr>
          <w:rFonts w:ascii="Arial" w:hAnsi="Arial" w:cs="Arial"/>
          <w:sz w:val="24"/>
          <w:szCs w:val="24"/>
        </w:rPr>
        <w:t xml:space="preserve"> finančních prostředků, kter</w:t>
      </w:r>
      <w:r w:rsidRPr="00725F24">
        <w:rPr>
          <w:rFonts w:ascii="Arial" w:hAnsi="Arial" w:cs="Arial"/>
          <w:sz w:val="24"/>
          <w:szCs w:val="24"/>
        </w:rPr>
        <w:t>á</w:t>
      </w:r>
      <w:r w:rsidRPr="00725F24">
        <w:rPr>
          <w:rFonts w:ascii="Arial" w:hAnsi="Arial" w:cs="Arial"/>
          <w:sz w:val="24"/>
          <w:szCs w:val="24"/>
        </w:rPr>
        <w:t xml:space="preserve"> </w:t>
      </w:r>
      <w:r w:rsidRPr="00725F24">
        <w:rPr>
          <w:rFonts w:ascii="Arial" w:hAnsi="Arial" w:cs="Arial"/>
          <w:sz w:val="24"/>
          <w:szCs w:val="24"/>
        </w:rPr>
        <w:t xml:space="preserve">bude </w:t>
      </w:r>
      <w:r w:rsidRPr="00725F24">
        <w:rPr>
          <w:rFonts w:ascii="Arial" w:hAnsi="Arial" w:cs="Arial"/>
          <w:sz w:val="24"/>
          <w:szCs w:val="24"/>
        </w:rPr>
        <w:t>z daného projektu vyvá</w:t>
      </w:r>
      <w:r w:rsidRPr="00725F24">
        <w:rPr>
          <w:rFonts w:ascii="Arial" w:hAnsi="Arial" w:cs="Arial"/>
          <w:sz w:val="24"/>
          <w:szCs w:val="24"/>
        </w:rPr>
        <w:t>zána</w:t>
      </w:r>
      <w:r w:rsidRPr="00725F24">
        <w:rPr>
          <w:rFonts w:ascii="Arial" w:hAnsi="Arial" w:cs="Arial"/>
          <w:sz w:val="24"/>
          <w:szCs w:val="24"/>
        </w:rPr>
        <w:t xml:space="preserve"> a uvoln</w:t>
      </w:r>
      <w:r w:rsidRPr="00725F24">
        <w:rPr>
          <w:rFonts w:ascii="Arial" w:hAnsi="Arial" w:cs="Arial"/>
          <w:sz w:val="24"/>
          <w:szCs w:val="24"/>
        </w:rPr>
        <w:t>ěna</w:t>
      </w:r>
      <w:r w:rsidRPr="00725F24">
        <w:rPr>
          <w:rFonts w:ascii="Arial" w:hAnsi="Arial" w:cs="Arial"/>
          <w:sz w:val="24"/>
          <w:szCs w:val="24"/>
        </w:rPr>
        <w:t xml:space="preserve"> pro jiné aktivity v rámci OP LZZ. Již nyní </w:t>
      </w:r>
      <w:r w:rsidRPr="00725F24">
        <w:rPr>
          <w:rFonts w:ascii="Arial" w:hAnsi="Arial" w:cs="Arial"/>
          <w:sz w:val="24"/>
          <w:szCs w:val="24"/>
        </w:rPr>
        <w:t xml:space="preserve">se </w:t>
      </w:r>
      <w:r w:rsidRPr="00725F24">
        <w:rPr>
          <w:rFonts w:ascii="Arial" w:hAnsi="Arial" w:cs="Arial"/>
          <w:sz w:val="24"/>
          <w:szCs w:val="24"/>
        </w:rPr>
        <w:lastRenderedPageBreak/>
        <w:t>předpokládá, že se bude jednat o částku okolo 200 000 000 Kč. Čerpání finančních prostředků bude i nadále detailně monitorov</w:t>
      </w:r>
      <w:r w:rsidRPr="00725F24">
        <w:rPr>
          <w:rFonts w:ascii="Arial" w:hAnsi="Arial" w:cs="Arial"/>
          <w:sz w:val="24"/>
          <w:szCs w:val="24"/>
        </w:rPr>
        <w:t>áno</w:t>
      </w:r>
      <w:r w:rsidRPr="00725F24">
        <w:rPr>
          <w:rFonts w:ascii="Arial" w:hAnsi="Arial" w:cs="Arial"/>
          <w:sz w:val="24"/>
          <w:szCs w:val="24"/>
        </w:rPr>
        <w:t>.</w:t>
      </w:r>
    </w:p>
    <w:p w:rsidR="0098461D" w:rsidRDefault="0098461D" w:rsidP="00A674FB">
      <w:pPr>
        <w:autoSpaceDE w:val="0"/>
        <w:autoSpaceDN w:val="0"/>
        <w:adjustRightInd w:val="0"/>
        <w:spacing w:after="0" w:line="240" w:lineRule="auto"/>
        <w:jc w:val="both"/>
        <w:rPr>
          <w:rFonts w:ascii="Arial" w:hAnsi="Arial" w:cs="Arial"/>
          <w:i/>
          <w:color w:val="000000" w:themeColor="text1"/>
          <w:sz w:val="24"/>
          <w:szCs w:val="24"/>
        </w:rPr>
      </w:pPr>
    </w:p>
    <w:p w:rsidR="00A674FB" w:rsidRPr="006F2BEC" w:rsidRDefault="00A674FB" w:rsidP="00A674FB">
      <w:pPr>
        <w:autoSpaceDE w:val="0"/>
        <w:autoSpaceDN w:val="0"/>
        <w:adjustRightInd w:val="0"/>
        <w:spacing w:after="0" w:line="240" w:lineRule="auto"/>
        <w:jc w:val="both"/>
        <w:rPr>
          <w:rFonts w:ascii="Arial" w:hAnsi="Arial" w:cs="Arial"/>
          <w:i/>
          <w:color w:val="000000" w:themeColor="text1"/>
          <w:sz w:val="24"/>
          <w:szCs w:val="24"/>
        </w:rPr>
      </w:pPr>
    </w:p>
    <w:p w:rsidR="00A674FB" w:rsidRPr="005D6DB7" w:rsidRDefault="00A674FB" w:rsidP="005D6DB7">
      <w:pPr>
        <w:pStyle w:val="Odstavecseseznamem"/>
        <w:numPr>
          <w:ilvl w:val="0"/>
          <w:numId w:val="4"/>
        </w:numPr>
        <w:spacing w:after="0" w:line="240" w:lineRule="auto"/>
        <w:jc w:val="both"/>
        <w:rPr>
          <w:rFonts w:ascii="Arial" w:hAnsi="Arial" w:cs="Arial"/>
          <w:b/>
          <w:bCs/>
          <w:color w:val="000000" w:themeColor="text1"/>
          <w:sz w:val="24"/>
          <w:szCs w:val="24"/>
        </w:rPr>
      </w:pPr>
      <w:r w:rsidRPr="005D6DB7">
        <w:rPr>
          <w:rFonts w:ascii="Arial" w:hAnsi="Arial" w:cs="Arial"/>
          <w:b/>
          <w:bCs/>
          <w:color w:val="000000" w:themeColor="text1"/>
          <w:sz w:val="24"/>
          <w:szCs w:val="24"/>
        </w:rPr>
        <w:t>Chceš práci. Rekvalifikuj se!</w:t>
      </w:r>
    </w:p>
    <w:p w:rsidR="005D6DB7" w:rsidRPr="005D6DB7" w:rsidRDefault="005D6DB7" w:rsidP="005D6DB7">
      <w:pPr>
        <w:pStyle w:val="Odstavecseseznamem"/>
        <w:spacing w:after="0" w:line="240" w:lineRule="auto"/>
        <w:jc w:val="both"/>
        <w:rPr>
          <w:rFonts w:ascii="Arial" w:hAnsi="Arial" w:cs="Arial"/>
          <w:b/>
          <w:bCs/>
          <w:color w:val="000000" w:themeColor="text1"/>
          <w:sz w:val="24"/>
          <w:szCs w:val="24"/>
        </w:rPr>
      </w:pPr>
    </w:p>
    <w:p w:rsidR="00A674FB" w:rsidRDefault="00A674FB" w:rsidP="00A674FB">
      <w:pPr>
        <w:spacing w:after="0" w:line="240" w:lineRule="auto"/>
        <w:jc w:val="both"/>
        <w:rPr>
          <w:rFonts w:ascii="Arial" w:hAnsi="Arial" w:cs="Arial"/>
          <w:color w:val="000000" w:themeColor="text1"/>
          <w:sz w:val="24"/>
          <w:szCs w:val="24"/>
        </w:rPr>
      </w:pPr>
      <w:r w:rsidRPr="006F2BEC">
        <w:rPr>
          <w:rFonts w:ascii="Arial" w:hAnsi="Arial" w:cs="Arial"/>
          <w:b/>
          <w:i/>
          <w:color w:val="000000" w:themeColor="text1"/>
          <w:sz w:val="24"/>
          <w:szCs w:val="24"/>
        </w:rPr>
        <w:t xml:space="preserve">Úřad práce ČR </w:t>
      </w:r>
      <w:r>
        <w:rPr>
          <w:rFonts w:ascii="Arial" w:hAnsi="Arial" w:cs="Arial"/>
          <w:b/>
          <w:i/>
          <w:color w:val="000000" w:themeColor="text1"/>
          <w:sz w:val="24"/>
          <w:szCs w:val="24"/>
        </w:rPr>
        <w:t>vychází</w:t>
      </w:r>
      <w:r w:rsidRPr="006F2BEC">
        <w:rPr>
          <w:rFonts w:ascii="Arial" w:hAnsi="Arial" w:cs="Arial"/>
          <w:b/>
          <w:i/>
          <w:color w:val="000000" w:themeColor="text1"/>
          <w:sz w:val="24"/>
          <w:szCs w:val="24"/>
        </w:rPr>
        <w:t xml:space="preserve"> při zaměření rekvalifikací zejména z požadavků zaměstnavatelů.</w:t>
      </w:r>
      <w:r w:rsidRPr="006F2BEC">
        <w:rPr>
          <w:rFonts w:ascii="Arial" w:hAnsi="Arial" w:cs="Arial"/>
          <w:color w:val="000000" w:themeColor="text1"/>
          <w:sz w:val="24"/>
          <w:szCs w:val="24"/>
        </w:rPr>
        <w:t xml:space="preserve"> Dalším cílem rekvalifikací </w:t>
      </w:r>
      <w:r>
        <w:rPr>
          <w:rFonts w:ascii="Arial" w:hAnsi="Arial" w:cs="Arial"/>
          <w:color w:val="000000" w:themeColor="text1"/>
          <w:sz w:val="24"/>
          <w:szCs w:val="24"/>
        </w:rPr>
        <w:t xml:space="preserve">je </w:t>
      </w:r>
      <w:r w:rsidRPr="006F2BEC">
        <w:rPr>
          <w:rFonts w:ascii="Arial" w:hAnsi="Arial" w:cs="Arial"/>
          <w:color w:val="000000" w:themeColor="text1"/>
          <w:sz w:val="24"/>
          <w:szCs w:val="24"/>
        </w:rPr>
        <w:t xml:space="preserve">zabezpečení odborně vzdělaných zaměstnanců </w:t>
      </w:r>
      <w:r w:rsidRPr="006F2BEC">
        <w:rPr>
          <w:rFonts w:ascii="Arial" w:hAnsi="Arial" w:cs="Arial"/>
          <w:b/>
          <w:i/>
          <w:color w:val="000000" w:themeColor="text1"/>
          <w:sz w:val="24"/>
          <w:szCs w:val="24"/>
        </w:rPr>
        <w:t>v oborech s dlouhodobým nedostatkem pracovní síly, tj. zejména v technických oborech a profesích.</w:t>
      </w:r>
      <w:r w:rsidRPr="006F2BEC">
        <w:rPr>
          <w:rFonts w:ascii="Arial" w:hAnsi="Arial" w:cs="Arial"/>
          <w:color w:val="000000" w:themeColor="text1"/>
          <w:sz w:val="24"/>
          <w:szCs w:val="24"/>
        </w:rPr>
        <w:t xml:space="preserve"> </w:t>
      </w:r>
    </w:p>
    <w:p w:rsidR="00A674FB" w:rsidRPr="006F2BEC" w:rsidRDefault="00A674FB" w:rsidP="00A674FB">
      <w:pPr>
        <w:spacing w:after="0" w:line="240" w:lineRule="auto"/>
        <w:jc w:val="both"/>
        <w:rPr>
          <w:rFonts w:ascii="Arial" w:hAnsi="Arial" w:cs="Arial"/>
          <w:color w:val="000000" w:themeColor="text1"/>
          <w:sz w:val="24"/>
          <w:szCs w:val="24"/>
        </w:rPr>
      </w:pPr>
    </w:p>
    <w:p w:rsidR="00A674FB" w:rsidRDefault="00A674FB" w:rsidP="00A674FB">
      <w:pPr>
        <w:widowControl w:val="0"/>
        <w:autoSpaceDE w:val="0"/>
        <w:autoSpaceDN w:val="0"/>
        <w:spacing w:after="0" w:line="240" w:lineRule="auto"/>
        <w:jc w:val="both"/>
        <w:rPr>
          <w:rFonts w:ascii="Arial" w:eastAsia="Calibri" w:hAnsi="Arial" w:cs="Arial"/>
          <w:b/>
          <w:sz w:val="24"/>
          <w:szCs w:val="24"/>
        </w:rPr>
      </w:pPr>
      <w:r w:rsidRPr="006F2BEC">
        <w:rPr>
          <w:rFonts w:ascii="Arial" w:eastAsia="Calibri" w:hAnsi="Arial" w:cs="Arial"/>
          <w:b/>
          <w:sz w:val="24"/>
          <w:szCs w:val="24"/>
        </w:rPr>
        <w:t xml:space="preserve">Podpořeno za období </w:t>
      </w:r>
      <w:r>
        <w:rPr>
          <w:rFonts w:ascii="Arial" w:eastAsia="Calibri" w:hAnsi="Arial" w:cs="Arial"/>
          <w:b/>
          <w:sz w:val="24"/>
          <w:szCs w:val="24"/>
        </w:rPr>
        <w:t>do 30. 9. 2013</w:t>
      </w:r>
      <w:r w:rsidRPr="006F2BEC">
        <w:rPr>
          <w:rFonts w:ascii="Arial" w:eastAsia="Calibri" w:hAnsi="Arial" w:cs="Arial"/>
          <w:b/>
          <w:sz w:val="24"/>
          <w:szCs w:val="24"/>
        </w:rPr>
        <w:t xml:space="preserve"> – </w:t>
      </w:r>
      <w:r>
        <w:rPr>
          <w:rFonts w:ascii="Arial" w:eastAsia="Calibri" w:hAnsi="Arial" w:cs="Arial"/>
          <w:b/>
          <w:sz w:val="24"/>
          <w:szCs w:val="24"/>
        </w:rPr>
        <w:t>30 076</w:t>
      </w:r>
      <w:r w:rsidRPr="006F2BEC">
        <w:rPr>
          <w:rFonts w:ascii="Arial" w:eastAsia="Calibri" w:hAnsi="Arial" w:cs="Arial"/>
          <w:b/>
          <w:sz w:val="24"/>
          <w:szCs w:val="24"/>
        </w:rPr>
        <w:t xml:space="preserve"> osob (uchazečů o zaměstnání)</w:t>
      </w:r>
      <w:r>
        <w:rPr>
          <w:rFonts w:ascii="Arial" w:eastAsia="Calibri" w:hAnsi="Arial" w:cs="Arial"/>
          <w:b/>
          <w:sz w:val="24"/>
          <w:szCs w:val="24"/>
        </w:rPr>
        <w:t xml:space="preserve"> z toho 7 471 osob do 30 let</w:t>
      </w:r>
      <w:r w:rsidRPr="006F2BEC">
        <w:rPr>
          <w:rFonts w:ascii="Arial" w:eastAsia="Calibri" w:hAnsi="Arial" w:cs="Arial"/>
          <w:b/>
          <w:sz w:val="24"/>
          <w:szCs w:val="24"/>
        </w:rPr>
        <w:t xml:space="preserve"> </w:t>
      </w:r>
    </w:p>
    <w:p w:rsidR="00A674FB" w:rsidRPr="006F2BEC" w:rsidRDefault="00A674FB" w:rsidP="00A674FB">
      <w:pPr>
        <w:spacing w:after="0" w:line="240" w:lineRule="auto"/>
        <w:jc w:val="both"/>
        <w:rPr>
          <w:rFonts w:ascii="Arial" w:hAnsi="Arial" w:cs="Arial"/>
          <w:color w:val="000000" w:themeColor="text1"/>
          <w:sz w:val="24"/>
          <w:szCs w:val="24"/>
        </w:rPr>
      </w:pPr>
    </w:p>
    <w:p w:rsidR="00A674FB" w:rsidRPr="006F2BEC" w:rsidRDefault="00A674FB" w:rsidP="00A674FB">
      <w:pPr>
        <w:spacing w:after="0" w:line="240" w:lineRule="auto"/>
        <w:jc w:val="both"/>
        <w:rPr>
          <w:rFonts w:ascii="Arial" w:hAnsi="Arial" w:cs="Arial"/>
          <w:color w:val="000000" w:themeColor="text1"/>
          <w:sz w:val="24"/>
          <w:szCs w:val="24"/>
        </w:rPr>
      </w:pPr>
    </w:p>
    <w:p w:rsidR="00A674FB" w:rsidRPr="005D6DB7" w:rsidRDefault="00A674FB" w:rsidP="005D6DB7">
      <w:pPr>
        <w:pStyle w:val="Odstavecseseznamem"/>
        <w:numPr>
          <w:ilvl w:val="0"/>
          <w:numId w:val="4"/>
        </w:numPr>
        <w:spacing w:after="0" w:line="240" w:lineRule="auto"/>
        <w:jc w:val="both"/>
        <w:rPr>
          <w:rFonts w:ascii="Arial" w:eastAsia="Calibri" w:hAnsi="Arial" w:cs="Arial"/>
          <w:b/>
          <w:bCs/>
          <w:color w:val="000000" w:themeColor="text1"/>
          <w:sz w:val="24"/>
          <w:szCs w:val="24"/>
        </w:rPr>
      </w:pPr>
      <w:r w:rsidRPr="005D6DB7">
        <w:rPr>
          <w:rFonts w:ascii="Arial" w:eastAsia="Calibri" w:hAnsi="Arial" w:cs="Arial"/>
          <w:b/>
          <w:bCs/>
          <w:color w:val="000000" w:themeColor="text1"/>
          <w:sz w:val="24"/>
          <w:szCs w:val="24"/>
        </w:rPr>
        <w:t>Lepší rady a pomoc</w:t>
      </w:r>
    </w:p>
    <w:p w:rsidR="005D6DB7" w:rsidRPr="005D6DB7" w:rsidRDefault="005D6DB7" w:rsidP="005D6DB7">
      <w:pPr>
        <w:pStyle w:val="Odstavecseseznamem"/>
        <w:spacing w:after="0" w:line="240" w:lineRule="auto"/>
        <w:jc w:val="both"/>
        <w:rPr>
          <w:rFonts w:ascii="Arial" w:eastAsia="Calibri" w:hAnsi="Arial" w:cs="Arial"/>
          <w:b/>
          <w:bCs/>
          <w:color w:val="000000" w:themeColor="text1"/>
          <w:sz w:val="24"/>
          <w:szCs w:val="24"/>
        </w:rPr>
      </w:pPr>
    </w:p>
    <w:p w:rsidR="00A674FB" w:rsidRPr="006F2BEC" w:rsidRDefault="00A674FB" w:rsidP="00A674FB">
      <w:pPr>
        <w:autoSpaceDE w:val="0"/>
        <w:autoSpaceDN w:val="0"/>
        <w:adjustRightInd w:val="0"/>
        <w:spacing w:after="0" w:line="240" w:lineRule="auto"/>
        <w:jc w:val="both"/>
        <w:rPr>
          <w:rFonts w:ascii="Arial" w:hAnsi="Arial" w:cs="Arial"/>
          <w:b/>
          <w:i/>
          <w:color w:val="000000" w:themeColor="text1"/>
          <w:sz w:val="24"/>
          <w:szCs w:val="24"/>
        </w:rPr>
      </w:pPr>
      <w:r w:rsidRPr="006F2BEC">
        <w:rPr>
          <w:rFonts w:ascii="Arial" w:hAnsi="Arial" w:cs="Arial"/>
          <w:color w:val="000000" w:themeColor="text1"/>
          <w:sz w:val="24"/>
          <w:szCs w:val="24"/>
        </w:rPr>
        <w:t>Úřad práce ČR zabezpečí od dubna 2013 kvalitnější a rozsáhlejší poradenství uchazečům o zaměstnání, zaměstnavatelům, starostům měst a obcí a také sociálním partnerům. Taktéž byla přijata opatření, která vedou ke zlepšení komunikace a</w:t>
      </w:r>
      <w:r>
        <w:rPr>
          <w:rFonts w:ascii="Arial" w:hAnsi="Arial" w:cs="Arial"/>
          <w:color w:val="000000" w:themeColor="text1"/>
          <w:sz w:val="24"/>
          <w:szCs w:val="24"/>
        </w:rPr>
        <w:t> </w:t>
      </w:r>
      <w:r w:rsidRPr="006F2BEC">
        <w:rPr>
          <w:rFonts w:ascii="Arial" w:hAnsi="Arial" w:cs="Arial"/>
          <w:color w:val="000000" w:themeColor="text1"/>
          <w:sz w:val="24"/>
          <w:szCs w:val="24"/>
        </w:rPr>
        <w:t>informovanosti mezi kontaktními a krajskými pracovišti Úřadu práce ČR a</w:t>
      </w:r>
      <w:r>
        <w:rPr>
          <w:rFonts w:ascii="Arial" w:hAnsi="Arial" w:cs="Arial"/>
          <w:color w:val="000000" w:themeColor="text1"/>
          <w:sz w:val="24"/>
          <w:szCs w:val="24"/>
        </w:rPr>
        <w:t> </w:t>
      </w:r>
      <w:r w:rsidRPr="006F2BEC">
        <w:rPr>
          <w:rFonts w:ascii="Arial" w:hAnsi="Arial" w:cs="Arial"/>
          <w:color w:val="000000" w:themeColor="text1"/>
          <w:sz w:val="24"/>
          <w:szCs w:val="24"/>
        </w:rPr>
        <w:t xml:space="preserve">zaměstnavateli. K tomuto opatření dochází zejména proto, že kontaktní pracoviště Úřadu práce ČR jsou základním prvkem struktury služeb zaměstnanosti. </w:t>
      </w:r>
      <w:r w:rsidRPr="006F2BEC">
        <w:rPr>
          <w:rFonts w:ascii="Arial" w:hAnsi="Arial" w:cs="Arial"/>
          <w:b/>
          <w:i/>
          <w:color w:val="000000" w:themeColor="text1"/>
          <w:sz w:val="24"/>
          <w:szCs w:val="24"/>
        </w:rPr>
        <w:t>Jedná se o</w:t>
      </w:r>
      <w:r>
        <w:rPr>
          <w:rFonts w:ascii="Arial" w:hAnsi="Arial" w:cs="Arial"/>
          <w:b/>
          <w:i/>
          <w:color w:val="000000" w:themeColor="text1"/>
          <w:sz w:val="24"/>
          <w:szCs w:val="24"/>
        </w:rPr>
        <w:t> </w:t>
      </w:r>
      <w:r w:rsidRPr="006F2BEC">
        <w:rPr>
          <w:rFonts w:ascii="Arial" w:hAnsi="Arial" w:cs="Arial"/>
          <w:b/>
          <w:i/>
          <w:color w:val="000000" w:themeColor="text1"/>
          <w:sz w:val="24"/>
          <w:szCs w:val="24"/>
        </w:rPr>
        <w:t>výrazné zvýšení kontaktu mezi jednotlivými subjekty na trhu práce, čímž dochází ke stimulaci poptávky po pracovní síle.</w:t>
      </w:r>
    </w:p>
    <w:p w:rsidR="005D6DB7" w:rsidRDefault="005D6DB7" w:rsidP="00A674FB">
      <w:pPr>
        <w:rPr>
          <w:rFonts w:ascii="Arial" w:hAnsi="Arial" w:cs="Arial"/>
          <w:b/>
          <w:sz w:val="24"/>
          <w:szCs w:val="24"/>
        </w:rPr>
      </w:pPr>
    </w:p>
    <w:p w:rsidR="005D6DB7" w:rsidRDefault="00A674FB" w:rsidP="00A674FB">
      <w:pPr>
        <w:rPr>
          <w:rFonts w:ascii="Arial" w:hAnsi="Arial" w:cs="Arial"/>
          <w:b/>
          <w:sz w:val="24"/>
          <w:szCs w:val="24"/>
        </w:rPr>
      </w:pPr>
      <w:r w:rsidRPr="00F47E39">
        <w:rPr>
          <w:rFonts w:ascii="Arial" w:hAnsi="Arial" w:cs="Arial"/>
          <w:b/>
          <w:sz w:val="24"/>
          <w:szCs w:val="24"/>
        </w:rPr>
        <w:t>Posílení personálních kapacit o 700 zaměstnanců ÚP</w:t>
      </w:r>
      <w:r>
        <w:rPr>
          <w:rFonts w:ascii="Arial" w:hAnsi="Arial" w:cs="Arial"/>
          <w:b/>
          <w:sz w:val="24"/>
          <w:szCs w:val="24"/>
        </w:rPr>
        <w:t> </w:t>
      </w:r>
      <w:r w:rsidRPr="00F47E39">
        <w:rPr>
          <w:rFonts w:ascii="Arial" w:hAnsi="Arial" w:cs="Arial"/>
          <w:b/>
          <w:sz w:val="24"/>
          <w:szCs w:val="24"/>
        </w:rPr>
        <w:t>ČR</w:t>
      </w:r>
    </w:p>
    <w:p w:rsidR="005D6DB7" w:rsidRDefault="005D6DB7" w:rsidP="00A674FB">
      <w:pPr>
        <w:rPr>
          <w:rFonts w:ascii="Arial" w:hAnsi="Arial" w:cs="Arial"/>
          <w:b/>
          <w:sz w:val="24"/>
          <w:szCs w:val="24"/>
        </w:rPr>
      </w:pPr>
    </w:p>
    <w:tbl>
      <w:tblPr>
        <w:tblW w:w="7256" w:type="dxa"/>
        <w:tblInd w:w="70" w:type="dxa"/>
        <w:tblCellMar>
          <w:left w:w="70" w:type="dxa"/>
          <w:right w:w="70" w:type="dxa"/>
        </w:tblCellMar>
        <w:tblLook w:val="04A0" w:firstRow="1" w:lastRow="0" w:firstColumn="1" w:lastColumn="0" w:noHBand="0" w:noVBand="1"/>
      </w:tblPr>
      <w:tblGrid>
        <w:gridCol w:w="7496"/>
        <w:gridCol w:w="987"/>
      </w:tblGrid>
      <w:tr w:rsidR="00A674FB" w:rsidRPr="006F2BEC" w:rsidTr="00926937">
        <w:trPr>
          <w:trHeight w:val="315"/>
        </w:trPr>
        <w:tc>
          <w:tcPr>
            <w:tcW w:w="7256" w:type="dxa"/>
            <w:gridSpan w:val="2"/>
            <w:tcBorders>
              <w:top w:val="nil"/>
              <w:left w:val="nil"/>
              <w:bottom w:val="nil"/>
              <w:right w:val="nil"/>
            </w:tcBorders>
            <w:shd w:val="clear" w:color="auto" w:fill="auto"/>
            <w:noWrap/>
            <w:vAlign w:val="bottom"/>
            <w:hideMark/>
          </w:tcPr>
          <w:p w:rsidR="00A674FB" w:rsidRPr="00C655EE" w:rsidRDefault="00A674FB" w:rsidP="00926937">
            <w:pPr>
              <w:spacing w:after="0" w:line="240" w:lineRule="auto"/>
              <w:rPr>
                <w:rFonts w:ascii="Arial" w:eastAsia="Times New Roman" w:hAnsi="Arial" w:cs="Arial"/>
                <w:bCs/>
                <w:i/>
                <w:color w:val="000000"/>
                <w:sz w:val="24"/>
                <w:szCs w:val="24"/>
                <w:lang w:eastAsia="cs-CZ"/>
              </w:rPr>
            </w:pPr>
            <w:r w:rsidRPr="00C655EE">
              <w:rPr>
                <w:rFonts w:ascii="Arial" w:eastAsia="Times New Roman" w:hAnsi="Arial" w:cs="Arial"/>
                <w:bCs/>
                <w:i/>
                <w:color w:val="000000"/>
                <w:sz w:val="24"/>
                <w:szCs w:val="24"/>
                <w:lang w:eastAsia="cs-CZ"/>
              </w:rPr>
              <w:t xml:space="preserve">Vyhodnocení sedmibodového Plánu řešení nezaměstnanosti </w:t>
            </w:r>
          </w:p>
        </w:tc>
      </w:tr>
      <w:tr w:rsidR="00A674FB" w:rsidRPr="00530133" w:rsidTr="00926937">
        <w:trPr>
          <w:trHeight w:val="315"/>
        </w:trPr>
        <w:tc>
          <w:tcPr>
            <w:tcW w:w="6269" w:type="dxa"/>
            <w:tcBorders>
              <w:top w:val="nil"/>
              <w:left w:val="nil"/>
              <w:bottom w:val="nil"/>
              <w:right w:val="nil"/>
            </w:tcBorders>
            <w:shd w:val="clear" w:color="auto" w:fill="auto"/>
            <w:noWrap/>
            <w:vAlign w:val="bottom"/>
            <w:hideMark/>
          </w:tcPr>
          <w:p w:rsidR="00A674FB" w:rsidRPr="00C655EE" w:rsidRDefault="00A674FB" w:rsidP="00926937">
            <w:pPr>
              <w:spacing w:after="0" w:line="240" w:lineRule="auto"/>
              <w:rPr>
                <w:rFonts w:ascii="Arial" w:eastAsia="Times New Roman" w:hAnsi="Arial" w:cs="Arial"/>
                <w:bCs/>
                <w:i/>
                <w:color w:val="000000"/>
                <w:sz w:val="24"/>
                <w:szCs w:val="24"/>
                <w:lang w:eastAsia="cs-CZ"/>
              </w:rPr>
            </w:pPr>
            <w:r w:rsidRPr="00C655EE">
              <w:rPr>
                <w:rFonts w:ascii="Arial" w:eastAsia="Times New Roman" w:hAnsi="Arial" w:cs="Arial"/>
                <w:bCs/>
                <w:i/>
                <w:color w:val="000000"/>
                <w:sz w:val="24"/>
                <w:szCs w:val="24"/>
                <w:lang w:eastAsia="cs-CZ"/>
              </w:rPr>
              <w:t xml:space="preserve">v období do 30. 9. 2013 </w:t>
            </w:r>
          </w:p>
          <w:p w:rsidR="00A674FB" w:rsidRDefault="00A674FB" w:rsidP="00926937">
            <w:pPr>
              <w:spacing w:after="0" w:line="240" w:lineRule="auto"/>
              <w:rPr>
                <w:rFonts w:ascii="Arial" w:eastAsia="Times New Roman" w:hAnsi="Arial" w:cs="Arial"/>
                <w:b/>
                <w:bCs/>
                <w:color w:val="000000"/>
                <w:sz w:val="24"/>
                <w:szCs w:val="24"/>
                <w:lang w:eastAsia="cs-CZ"/>
              </w:rPr>
            </w:pPr>
          </w:p>
          <w:tbl>
            <w:tblPr>
              <w:tblW w:w="7256" w:type="dxa"/>
              <w:tblInd w:w="70" w:type="dxa"/>
              <w:tblCellMar>
                <w:left w:w="70" w:type="dxa"/>
                <w:right w:w="70" w:type="dxa"/>
              </w:tblCellMar>
              <w:tblLook w:val="04A0" w:firstRow="1" w:lastRow="0" w:firstColumn="1" w:lastColumn="0" w:noHBand="0" w:noVBand="1"/>
            </w:tblPr>
            <w:tblGrid>
              <w:gridCol w:w="634"/>
              <w:gridCol w:w="5635"/>
              <w:gridCol w:w="987"/>
            </w:tblGrid>
            <w:tr w:rsidR="00A674FB" w:rsidRPr="00F1518E" w:rsidTr="00926937">
              <w:trPr>
                <w:trHeight w:val="630"/>
              </w:trPr>
              <w:tc>
                <w:tcPr>
                  <w:tcW w:w="634" w:type="dxa"/>
                  <w:tcBorders>
                    <w:top w:val="single" w:sz="12" w:space="0" w:color="auto"/>
                    <w:left w:val="single" w:sz="12" w:space="0" w:color="auto"/>
                    <w:bottom w:val="double" w:sz="6" w:space="0" w:color="auto"/>
                    <w:right w:val="single" w:sz="4" w:space="0" w:color="auto"/>
                  </w:tcBorders>
                  <w:shd w:val="clear" w:color="000000" w:fill="FFFF00"/>
                  <w:vAlign w:val="center"/>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bod č.</w:t>
                  </w:r>
                </w:p>
              </w:tc>
              <w:tc>
                <w:tcPr>
                  <w:tcW w:w="5635" w:type="dxa"/>
                  <w:tcBorders>
                    <w:top w:val="single" w:sz="12" w:space="0" w:color="auto"/>
                    <w:left w:val="nil"/>
                    <w:bottom w:val="double" w:sz="6" w:space="0" w:color="auto"/>
                    <w:right w:val="nil"/>
                  </w:tcBorders>
                  <w:shd w:val="clear" w:color="000000" w:fill="FFFF00"/>
                  <w:vAlign w:val="center"/>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název</w:t>
                  </w:r>
                </w:p>
              </w:tc>
              <w:tc>
                <w:tcPr>
                  <w:tcW w:w="987" w:type="dxa"/>
                  <w:tcBorders>
                    <w:top w:val="single" w:sz="12" w:space="0" w:color="auto"/>
                    <w:left w:val="single" w:sz="8" w:space="0" w:color="auto"/>
                    <w:bottom w:val="double" w:sz="6" w:space="0" w:color="auto"/>
                    <w:right w:val="single" w:sz="12" w:space="0" w:color="auto"/>
                  </w:tcBorders>
                  <w:shd w:val="clear" w:color="000000" w:fill="FFFF00"/>
                  <w:vAlign w:val="center"/>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počet</w:t>
                  </w:r>
                  <w:r w:rsidRPr="00F1518E">
                    <w:rPr>
                      <w:rFonts w:ascii="Calibri" w:eastAsia="Times New Roman" w:hAnsi="Calibri" w:cs="Times New Roman"/>
                      <w:b/>
                      <w:bCs/>
                      <w:color w:val="000000"/>
                      <w:lang w:eastAsia="cs-CZ"/>
                    </w:rPr>
                    <w:br/>
                    <w:t>osob</w:t>
                  </w:r>
                </w:p>
              </w:tc>
            </w:tr>
            <w:tr w:rsidR="00A674FB" w:rsidRPr="00F1518E" w:rsidTr="00926937">
              <w:trPr>
                <w:trHeight w:val="315"/>
              </w:trPr>
              <w:tc>
                <w:tcPr>
                  <w:tcW w:w="634" w:type="dxa"/>
                  <w:tcBorders>
                    <w:top w:val="nil"/>
                    <w:left w:val="single" w:sz="12" w:space="0" w:color="auto"/>
                    <w:bottom w:val="single" w:sz="4" w:space="0" w:color="auto"/>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2</w:t>
                  </w:r>
                </w:p>
              </w:tc>
              <w:tc>
                <w:tcPr>
                  <w:tcW w:w="5635" w:type="dxa"/>
                  <w:tcBorders>
                    <w:top w:val="nil"/>
                    <w:left w:val="nil"/>
                    <w:bottom w:val="single" w:sz="4" w:space="0" w:color="auto"/>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color w:val="000000"/>
                      <w:lang w:eastAsia="cs-CZ"/>
                    </w:rPr>
                  </w:pPr>
                  <w:r w:rsidRPr="00F1518E">
                    <w:rPr>
                      <w:rFonts w:ascii="Calibri" w:eastAsia="Times New Roman" w:hAnsi="Calibri" w:cs="Times New Roman"/>
                      <w:color w:val="000000"/>
                      <w:lang w:eastAsia="cs-CZ"/>
                    </w:rPr>
                    <w:t>Zkrácené pracovní úvazky</w:t>
                  </w:r>
                </w:p>
              </w:tc>
              <w:tc>
                <w:tcPr>
                  <w:tcW w:w="987" w:type="dxa"/>
                  <w:tcBorders>
                    <w:top w:val="single" w:sz="4" w:space="0" w:color="auto"/>
                    <w:left w:val="single" w:sz="8" w:space="0" w:color="auto"/>
                    <w:bottom w:val="single" w:sz="4" w:space="0" w:color="auto"/>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lang w:eastAsia="cs-CZ"/>
                    </w:rPr>
                  </w:pPr>
                  <w:r w:rsidRPr="00F1518E">
                    <w:rPr>
                      <w:rFonts w:ascii="Calibri" w:eastAsia="Times New Roman" w:hAnsi="Calibri" w:cs="Times New Roman"/>
                      <w:lang w:eastAsia="cs-CZ"/>
                    </w:rPr>
                    <w:t>1 707</w:t>
                  </w:r>
                </w:p>
              </w:tc>
            </w:tr>
            <w:tr w:rsidR="00A674FB" w:rsidRPr="00F1518E" w:rsidTr="00926937">
              <w:trPr>
                <w:trHeight w:val="300"/>
              </w:trPr>
              <w:tc>
                <w:tcPr>
                  <w:tcW w:w="634" w:type="dxa"/>
                  <w:tcBorders>
                    <w:top w:val="nil"/>
                    <w:left w:val="single" w:sz="12" w:space="0" w:color="auto"/>
                    <w:bottom w:val="single" w:sz="4" w:space="0" w:color="auto"/>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3</w:t>
                  </w:r>
                </w:p>
              </w:tc>
              <w:tc>
                <w:tcPr>
                  <w:tcW w:w="5635" w:type="dxa"/>
                  <w:tcBorders>
                    <w:top w:val="nil"/>
                    <w:left w:val="nil"/>
                    <w:bottom w:val="single" w:sz="4" w:space="0" w:color="auto"/>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color w:val="000000"/>
                      <w:lang w:eastAsia="cs-CZ"/>
                    </w:rPr>
                  </w:pPr>
                  <w:r w:rsidRPr="00F1518E">
                    <w:rPr>
                      <w:rFonts w:ascii="Calibri" w:eastAsia="Times New Roman" w:hAnsi="Calibri" w:cs="Times New Roman"/>
                      <w:color w:val="000000"/>
                      <w:lang w:eastAsia="cs-CZ"/>
                    </w:rPr>
                    <w:t>„</w:t>
                  </w:r>
                  <w:proofErr w:type="spellStart"/>
                  <w:r w:rsidRPr="00F1518E">
                    <w:rPr>
                      <w:rFonts w:ascii="Calibri" w:eastAsia="Times New Roman" w:hAnsi="Calibri" w:cs="Times New Roman"/>
                      <w:color w:val="000000"/>
                      <w:lang w:eastAsia="cs-CZ"/>
                    </w:rPr>
                    <w:t>Kurzarbeit</w:t>
                  </w:r>
                  <w:proofErr w:type="spellEnd"/>
                  <w:r w:rsidRPr="00F1518E">
                    <w:rPr>
                      <w:rFonts w:ascii="Calibri" w:eastAsia="Times New Roman" w:hAnsi="Calibri" w:cs="Times New Roman"/>
                      <w:color w:val="000000"/>
                      <w:lang w:eastAsia="cs-CZ"/>
                    </w:rPr>
                    <w:t xml:space="preserve">“ - Projekt Vzdělávejte se pro stabilitu! </w:t>
                  </w:r>
                </w:p>
              </w:tc>
              <w:tc>
                <w:tcPr>
                  <w:tcW w:w="987" w:type="dxa"/>
                  <w:tcBorders>
                    <w:top w:val="nil"/>
                    <w:left w:val="single" w:sz="8" w:space="0" w:color="auto"/>
                    <w:bottom w:val="single" w:sz="4" w:space="0" w:color="auto"/>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lang w:eastAsia="cs-CZ"/>
                    </w:rPr>
                  </w:pPr>
                  <w:r w:rsidRPr="00F1518E">
                    <w:rPr>
                      <w:rFonts w:ascii="Calibri" w:eastAsia="Times New Roman" w:hAnsi="Calibri" w:cs="Times New Roman"/>
                      <w:lang w:eastAsia="cs-CZ"/>
                    </w:rPr>
                    <w:t>793</w:t>
                  </w:r>
                </w:p>
              </w:tc>
            </w:tr>
            <w:tr w:rsidR="00A674FB" w:rsidRPr="00F1518E" w:rsidTr="00926937">
              <w:trPr>
                <w:trHeight w:val="300"/>
              </w:trPr>
              <w:tc>
                <w:tcPr>
                  <w:tcW w:w="634" w:type="dxa"/>
                  <w:tcBorders>
                    <w:top w:val="nil"/>
                    <w:left w:val="single" w:sz="12" w:space="0" w:color="auto"/>
                    <w:bottom w:val="single" w:sz="4" w:space="0" w:color="auto"/>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4</w:t>
                  </w:r>
                </w:p>
              </w:tc>
              <w:tc>
                <w:tcPr>
                  <w:tcW w:w="5635" w:type="dxa"/>
                  <w:tcBorders>
                    <w:top w:val="nil"/>
                    <w:left w:val="nil"/>
                    <w:bottom w:val="single" w:sz="4" w:space="0" w:color="auto"/>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color w:val="000000"/>
                      <w:lang w:eastAsia="cs-CZ"/>
                    </w:rPr>
                  </w:pPr>
                  <w:r w:rsidRPr="00F1518E">
                    <w:rPr>
                      <w:rFonts w:ascii="Calibri" w:eastAsia="Times New Roman" w:hAnsi="Calibri" w:cs="Times New Roman"/>
                      <w:color w:val="000000"/>
                      <w:lang w:eastAsia="cs-CZ"/>
                    </w:rPr>
                    <w:t>Poradenské činnosti</w:t>
                  </w:r>
                </w:p>
              </w:tc>
              <w:tc>
                <w:tcPr>
                  <w:tcW w:w="987" w:type="dxa"/>
                  <w:tcBorders>
                    <w:top w:val="nil"/>
                    <w:left w:val="single" w:sz="8" w:space="0" w:color="auto"/>
                    <w:bottom w:val="single" w:sz="4" w:space="0" w:color="auto"/>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lang w:eastAsia="cs-CZ"/>
                    </w:rPr>
                  </w:pPr>
                  <w:r w:rsidRPr="00F1518E">
                    <w:rPr>
                      <w:rFonts w:ascii="Calibri" w:eastAsia="Times New Roman" w:hAnsi="Calibri" w:cs="Times New Roman"/>
                      <w:lang w:eastAsia="cs-CZ"/>
                    </w:rPr>
                    <w:t>5 031</w:t>
                  </w:r>
                </w:p>
              </w:tc>
            </w:tr>
            <w:tr w:rsidR="00A674FB" w:rsidRPr="00F1518E" w:rsidTr="00926937">
              <w:trPr>
                <w:trHeight w:val="300"/>
              </w:trPr>
              <w:tc>
                <w:tcPr>
                  <w:tcW w:w="634" w:type="dxa"/>
                  <w:tcBorders>
                    <w:top w:val="nil"/>
                    <w:left w:val="single" w:sz="12" w:space="0" w:color="auto"/>
                    <w:bottom w:val="nil"/>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5</w:t>
                  </w:r>
                </w:p>
              </w:tc>
              <w:tc>
                <w:tcPr>
                  <w:tcW w:w="5635" w:type="dxa"/>
                  <w:tcBorders>
                    <w:top w:val="nil"/>
                    <w:left w:val="nil"/>
                    <w:bottom w:val="nil"/>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color w:val="000000"/>
                      <w:lang w:eastAsia="cs-CZ"/>
                    </w:rPr>
                  </w:pPr>
                  <w:r w:rsidRPr="00F1518E">
                    <w:rPr>
                      <w:rFonts w:ascii="Calibri" w:eastAsia="Times New Roman" w:hAnsi="Calibri" w:cs="Times New Roman"/>
                      <w:color w:val="000000"/>
                      <w:lang w:eastAsia="cs-CZ"/>
                    </w:rPr>
                    <w:t>SÚPM-SVČ</w:t>
                  </w:r>
                </w:p>
              </w:tc>
              <w:tc>
                <w:tcPr>
                  <w:tcW w:w="987" w:type="dxa"/>
                  <w:tcBorders>
                    <w:top w:val="nil"/>
                    <w:left w:val="single" w:sz="8" w:space="0" w:color="auto"/>
                    <w:bottom w:val="nil"/>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lang w:eastAsia="cs-CZ"/>
                    </w:rPr>
                  </w:pPr>
                  <w:r w:rsidRPr="00F1518E">
                    <w:rPr>
                      <w:rFonts w:ascii="Calibri" w:eastAsia="Times New Roman" w:hAnsi="Calibri" w:cs="Times New Roman"/>
                      <w:lang w:eastAsia="cs-CZ"/>
                    </w:rPr>
                    <w:t>1 696</w:t>
                  </w:r>
                </w:p>
              </w:tc>
            </w:tr>
            <w:tr w:rsidR="00A674FB" w:rsidRPr="00F1518E" w:rsidTr="00926937">
              <w:trPr>
                <w:trHeight w:val="300"/>
              </w:trPr>
              <w:tc>
                <w:tcPr>
                  <w:tcW w:w="634" w:type="dxa"/>
                  <w:tcBorders>
                    <w:top w:val="nil"/>
                    <w:left w:val="single" w:sz="12" w:space="0" w:color="auto"/>
                    <w:bottom w:val="single" w:sz="4" w:space="0" w:color="auto"/>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i/>
                      <w:iCs/>
                      <w:color w:val="000000"/>
                      <w:lang w:eastAsia="cs-CZ"/>
                    </w:rPr>
                  </w:pPr>
                  <w:r w:rsidRPr="00F1518E">
                    <w:rPr>
                      <w:rFonts w:ascii="Calibri" w:eastAsia="Times New Roman" w:hAnsi="Calibri" w:cs="Times New Roman"/>
                      <w:b/>
                      <w:bCs/>
                      <w:i/>
                      <w:iCs/>
                      <w:color w:val="000000"/>
                      <w:lang w:eastAsia="cs-CZ"/>
                    </w:rPr>
                    <w:t>5a</w:t>
                  </w:r>
                </w:p>
              </w:tc>
              <w:tc>
                <w:tcPr>
                  <w:tcW w:w="5635" w:type="dxa"/>
                  <w:tcBorders>
                    <w:top w:val="nil"/>
                    <w:left w:val="nil"/>
                    <w:bottom w:val="single" w:sz="4" w:space="0" w:color="auto"/>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i/>
                      <w:iCs/>
                      <w:color w:val="000000"/>
                      <w:lang w:eastAsia="cs-CZ"/>
                    </w:rPr>
                  </w:pPr>
                  <w:r w:rsidRPr="00F1518E">
                    <w:rPr>
                      <w:rFonts w:ascii="Calibri" w:eastAsia="Times New Roman" w:hAnsi="Calibri" w:cs="Times New Roman"/>
                      <w:i/>
                      <w:iCs/>
                      <w:color w:val="000000"/>
                      <w:lang w:eastAsia="cs-CZ"/>
                    </w:rPr>
                    <w:t xml:space="preserve">   z toho osob do 30 let</w:t>
                  </w:r>
                </w:p>
              </w:tc>
              <w:tc>
                <w:tcPr>
                  <w:tcW w:w="987" w:type="dxa"/>
                  <w:tcBorders>
                    <w:top w:val="nil"/>
                    <w:left w:val="single" w:sz="8" w:space="0" w:color="auto"/>
                    <w:bottom w:val="single" w:sz="4" w:space="0" w:color="auto"/>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i/>
                      <w:iCs/>
                      <w:lang w:eastAsia="cs-CZ"/>
                    </w:rPr>
                  </w:pPr>
                  <w:r w:rsidRPr="00F1518E">
                    <w:rPr>
                      <w:rFonts w:ascii="Calibri" w:eastAsia="Times New Roman" w:hAnsi="Calibri" w:cs="Times New Roman"/>
                      <w:i/>
                      <w:iCs/>
                      <w:lang w:eastAsia="cs-CZ"/>
                    </w:rPr>
                    <w:t>459</w:t>
                  </w:r>
                </w:p>
              </w:tc>
            </w:tr>
            <w:tr w:rsidR="00A674FB" w:rsidRPr="00F1518E" w:rsidTr="00926937">
              <w:trPr>
                <w:trHeight w:val="300"/>
              </w:trPr>
              <w:tc>
                <w:tcPr>
                  <w:tcW w:w="634" w:type="dxa"/>
                  <w:tcBorders>
                    <w:top w:val="nil"/>
                    <w:left w:val="single" w:sz="12" w:space="0" w:color="auto"/>
                    <w:bottom w:val="nil"/>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6</w:t>
                  </w:r>
                </w:p>
              </w:tc>
              <w:tc>
                <w:tcPr>
                  <w:tcW w:w="5635" w:type="dxa"/>
                  <w:tcBorders>
                    <w:top w:val="nil"/>
                    <w:left w:val="nil"/>
                    <w:bottom w:val="nil"/>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color w:val="000000"/>
                      <w:lang w:eastAsia="cs-CZ"/>
                    </w:rPr>
                  </w:pPr>
                  <w:r w:rsidRPr="00F1518E">
                    <w:rPr>
                      <w:rFonts w:ascii="Calibri" w:eastAsia="Times New Roman" w:hAnsi="Calibri" w:cs="Times New Roman"/>
                      <w:color w:val="000000"/>
                      <w:lang w:eastAsia="cs-CZ"/>
                    </w:rPr>
                    <w:t xml:space="preserve">VPP, SÚPM vyhrazená a zřízená </w:t>
                  </w:r>
                </w:p>
              </w:tc>
              <w:tc>
                <w:tcPr>
                  <w:tcW w:w="987" w:type="dxa"/>
                  <w:tcBorders>
                    <w:top w:val="nil"/>
                    <w:left w:val="single" w:sz="8" w:space="0" w:color="auto"/>
                    <w:bottom w:val="nil"/>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lang w:eastAsia="cs-CZ"/>
                    </w:rPr>
                  </w:pPr>
                  <w:r w:rsidRPr="00F1518E">
                    <w:rPr>
                      <w:rFonts w:ascii="Calibri" w:eastAsia="Times New Roman" w:hAnsi="Calibri" w:cs="Times New Roman"/>
                      <w:lang w:eastAsia="cs-CZ"/>
                    </w:rPr>
                    <w:t>33 174</w:t>
                  </w:r>
                </w:p>
              </w:tc>
            </w:tr>
            <w:tr w:rsidR="00A674FB" w:rsidRPr="00F1518E" w:rsidTr="00926937">
              <w:trPr>
                <w:trHeight w:val="300"/>
              </w:trPr>
              <w:tc>
                <w:tcPr>
                  <w:tcW w:w="634" w:type="dxa"/>
                  <w:tcBorders>
                    <w:top w:val="nil"/>
                    <w:left w:val="single" w:sz="12" w:space="0" w:color="auto"/>
                    <w:bottom w:val="single" w:sz="4" w:space="0" w:color="auto"/>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i/>
                      <w:iCs/>
                      <w:color w:val="000000"/>
                      <w:lang w:eastAsia="cs-CZ"/>
                    </w:rPr>
                  </w:pPr>
                  <w:r w:rsidRPr="00F1518E">
                    <w:rPr>
                      <w:rFonts w:ascii="Calibri" w:eastAsia="Times New Roman" w:hAnsi="Calibri" w:cs="Times New Roman"/>
                      <w:b/>
                      <w:bCs/>
                      <w:i/>
                      <w:iCs/>
                      <w:color w:val="000000"/>
                      <w:lang w:eastAsia="cs-CZ"/>
                    </w:rPr>
                    <w:t>6a</w:t>
                  </w:r>
                </w:p>
              </w:tc>
              <w:tc>
                <w:tcPr>
                  <w:tcW w:w="5635" w:type="dxa"/>
                  <w:tcBorders>
                    <w:top w:val="nil"/>
                    <w:left w:val="nil"/>
                    <w:bottom w:val="single" w:sz="4" w:space="0" w:color="auto"/>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i/>
                      <w:iCs/>
                      <w:color w:val="000000"/>
                      <w:lang w:eastAsia="cs-CZ"/>
                    </w:rPr>
                  </w:pPr>
                  <w:r w:rsidRPr="00F1518E">
                    <w:rPr>
                      <w:rFonts w:ascii="Calibri" w:eastAsia="Times New Roman" w:hAnsi="Calibri" w:cs="Times New Roman"/>
                      <w:i/>
                      <w:iCs/>
                      <w:color w:val="000000"/>
                      <w:lang w:eastAsia="cs-CZ"/>
                    </w:rPr>
                    <w:t xml:space="preserve">   z toho osob do 30 let</w:t>
                  </w:r>
                </w:p>
              </w:tc>
              <w:tc>
                <w:tcPr>
                  <w:tcW w:w="987" w:type="dxa"/>
                  <w:tcBorders>
                    <w:top w:val="nil"/>
                    <w:left w:val="single" w:sz="8" w:space="0" w:color="auto"/>
                    <w:bottom w:val="single" w:sz="4" w:space="0" w:color="auto"/>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i/>
                      <w:iCs/>
                      <w:lang w:eastAsia="cs-CZ"/>
                    </w:rPr>
                  </w:pPr>
                  <w:r w:rsidRPr="00F1518E">
                    <w:rPr>
                      <w:rFonts w:ascii="Calibri" w:eastAsia="Times New Roman" w:hAnsi="Calibri" w:cs="Times New Roman"/>
                      <w:i/>
                      <w:iCs/>
                      <w:lang w:eastAsia="cs-CZ"/>
                    </w:rPr>
                    <w:t>8 953</w:t>
                  </w:r>
                </w:p>
              </w:tc>
            </w:tr>
            <w:tr w:rsidR="00A674FB" w:rsidRPr="00F1518E" w:rsidTr="00926937">
              <w:trPr>
                <w:trHeight w:val="300"/>
              </w:trPr>
              <w:tc>
                <w:tcPr>
                  <w:tcW w:w="634" w:type="dxa"/>
                  <w:tcBorders>
                    <w:top w:val="nil"/>
                    <w:left w:val="single" w:sz="12" w:space="0" w:color="auto"/>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7</w:t>
                  </w:r>
                </w:p>
              </w:tc>
              <w:tc>
                <w:tcPr>
                  <w:tcW w:w="5635" w:type="dxa"/>
                  <w:tcBorders>
                    <w:top w:val="nil"/>
                    <w:left w:val="nil"/>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color w:val="000000"/>
                      <w:lang w:eastAsia="cs-CZ"/>
                    </w:rPr>
                  </w:pPr>
                  <w:r w:rsidRPr="00F1518E">
                    <w:rPr>
                      <w:rFonts w:ascii="Calibri" w:eastAsia="Times New Roman" w:hAnsi="Calibri" w:cs="Times New Roman"/>
                      <w:color w:val="000000"/>
                      <w:lang w:eastAsia="cs-CZ"/>
                    </w:rPr>
                    <w:t>Rekvalifikace a zvolené rekvalifikace</w:t>
                  </w:r>
                </w:p>
              </w:tc>
              <w:tc>
                <w:tcPr>
                  <w:tcW w:w="987" w:type="dxa"/>
                  <w:tcBorders>
                    <w:top w:val="nil"/>
                    <w:left w:val="single" w:sz="8" w:space="0" w:color="auto"/>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lang w:eastAsia="cs-CZ"/>
                    </w:rPr>
                  </w:pPr>
                  <w:r w:rsidRPr="00F1518E">
                    <w:rPr>
                      <w:rFonts w:ascii="Calibri" w:eastAsia="Times New Roman" w:hAnsi="Calibri" w:cs="Times New Roman"/>
                      <w:lang w:eastAsia="cs-CZ"/>
                    </w:rPr>
                    <w:t>30 076</w:t>
                  </w:r>
                </w:p>
              </w:tc>
            </w:tr>
            <w:tr w:rsidR="00A674FB" w:rsidRPr="00F1518E" w:rsidTr="00926937">
              <w:trPr>
                <w:trHeight w:val="315"/>
              </w:trPr>
              <w:tc>
                <w:tcPr>
                  <w:tcW w:w="634" w:type="dxa"/>
                  <w:tcBorders>
                    <w:top w:val="nil"/>
                    <w:left w:val="single" w:sz="12" w:space="0" w:color="auto"/>
                    <w:bottom w:val="single" w:sz="12" w:space="0" w:color="auto"/>
                    <w:right w:val="single" w:sz="4" w:space="0" w:color="auto"/>
                  </w:tcBorders>
                  <w:shd w:val="clear" w:color="auto" w:fill="auto"/>
                  <w:noWrap/>
                  <w:vAlign w:val="bottom"/>
                  <w:hideMark/>
                </w:tcPr>
                <w:p w:rsidR="00A674FB" w:rsidRPr="00F1518E" w:rsidRDefault="00A674FB" w:rsidP="00926937">
                  <w:pPr>
                    <w:spacing w:after="0" w:line="240" w:lineRule="auto"/>
                    <w:jc w:val="center"/>
                    <w:rPr>
                      <w:rFonts w:ascii="Calibri" w:eastAsia="Times New Roman" w:hAnsi="Calibri" w:cs="Times New Roman"/>
                      <w:b/>
                      <w:bCs/>
                      <w:i/>
                      <w:iCs/>
                      <w:color w:val="000000"/>
                      <w:lang w:eastAsia="cs-CZ"/>
                    </w:rPr>
                  </w:pPr>
                  <w:r w:rsidRPr="00F1518E">
                    <w:rPr>
                      <w:rFonts w:ascii="Calibri" w:eastAsia="Times New Roman" w:hAnsi="Calibri" w:cs="Times New Roman"/>
                      <w:b/>
                      <w:bCs/>
                      <w:i/>
                      <w:iCs/>
                      <w:color w:val="000000"/>
                      <w:lang w:eastAsia="cs-CZ"/>
                    </w:rPr>
                    <w:t>7a</w:t>
                  </w:r>
                </w:p>
              </w:tc>
              <w:tc>
                <w:tcPr>
                  <w:tcW w:w="5635" w:type="dxa"/>
                  <w:tcBorders>
                    <w:top w:val="nil"/>
                    <w:left w:val="nil"/>
                    <w:bottom w:val="single" w:sz="12" w:space="0" w:color="auto"/>
                    <w:right w:val="nil"/>
                  </w:tcBorders>
                  <w:shd w:val="clear" w:color="auto" w:fill="auto"/>
                  <w:noWrap/>
                  <w:vAlign w:val="bottom"/>
                  <w:hideMark/>
                </w:tcPr>
                <w:p w:rsidR="00A674FB" w:rsidRPr="00F1518E" w:rsidRDefault="00A674FB" w:rsidP="00926937">
                  <w:pPr>
                    <w:spacing w:after="0" w:line="240" w:lineRule="auto"/>
                    <w:rPr>
                      <w:rFonts w:ascii="Calibri" w:eastAsia="Times New Roman" w:hAnsi="Calibri" w:cs="Times New Roman"/>
                      <w:i/>
                      <w:iCs/>
                      <w:color w:val="000000"/>
                      <w:lang w:eastAsia="cs-CZ"/>
                    </w:rPr>
                  </w:pPr>
                  <w:r w:rsidRPr="00F1518E">
                    <w:rPr>
                      <w:rFonts w:ascii="Calibri" w:eastAsia="Times New Roman" w:hAnsi="Calibri" w:cs="Times New Roman"/>
                      <w:i/>
                      <w:iCs/>
                      <w:color w:val="000000"/>
                      <w:lang w:eastAsia="cs-CZ"/>
                    </w:rPr>
                    <w:t xml:space="preserve">   z toho osob do 30 let</w:t>
                  </w:r>
                </w:p>
              </w:tc>
              <w:tc>
                <w:tcPr>
                  <w:tcW w:w="987" w:type="dxa"/>
                  <w:tcBorders>
                    <w:top w:val="nil"/>
                    <w:left w:val="single" w:sz="8" w:space="0" w:color="auto"/>
                    <w:bottom w:val="single" w:sz="12" w:space="0" w:color="auto"/>
                    <w:right w:val="single" w:sz="12" w:space="0" w:color="auto"/>
                  </w:tcBorders>
                  <w:shd w:val="clear" w:color="auto" w:fill="auto"/>
                  <w:noWrap/>
                  <w:vAlign w:val="bottom"/>
                  <w:hideMark/>
                </w:tcPr>
                <w:p w:rsidR="00A674FB" w:rsidRPr="00F1518E" w:rsidRDefault="00A674FB" w:rsidP="00926937">
                  <w:pPr>
                    <w:spacing w:after="0" w:line="240" w:lineRule="auto"/>
                    <w:jc w:val="right"/>
                    <w:rPr>
                      <w:rFonts w:ascii="Calibri" w:eastAsia="Times New Roman" w:hAnsi="Calibri" w:cs="Times New Roman"/>
                      <w:i/>
                      <w:iCs/>
                      <w:lang w:eastAsia="cs-CZ"/>
                    </w:rPr>
                  </w:pPr>
                  <w:r w:rsidRPr="00F1518E">
                    <w:rPr>
                      <w:rFonts w:ascii="Calibri" w:eastAsia="Times New Roman" w:hAnsi="Calibri" w:cs="Times New Roman"/>
                      <w:i/>
                      <w:iCs/>
                      <w:lang w:eastAsia="cs-CZ"/>
                    </w:rPr>
                    <w:t>7 471</w:t>
                  </w:r>
                </w:p>
              </w:tc>
            </w:tr>
            <w:tr w:rsidR="00A674FB" w:rsidRPr="00F1518E" w:rsidTr="00926937">
              <w:trPr>
                <w:trHeight w:val="315"/>
              </w:trPr>
              <w:tc>
                <w:tcPr>
                  <w:tcW w:w="6269" w:type="dxa"/>
                  <w:gridSpan w:val="2"/>
                  <w:tcBorders>
                    <w:top w:val="single" w:sz="12" w:space="0" w:color="auto"/>
                    <w:left w:val="single" w:sz="12" w:space="0" w:color="auto"/>
                    <w:bottom w:val="single" w:sz="12" w:space="0" w:color="auto"/>
                    <w:right w:val="single" w:sz="8" w:space="0" w:color="000000"/>
                  </w:tcBorders>
                  <w:shd w:val="clear" w:color="000000" w:fill="FFFFCC"/>
                  <w:noWrap/>
                  <w:vAlign w:val="bottom"/>
                  <w:hideMark/>
                </w:tcPr>
                <w:p w:rsidR="00A674FB" w:rsidRPr="00F1518E" w:rsidRDefault="00A674FB" w:rsidP="00926937">
                  <w:pPr>
                    <w:spacing w:after="0" w:line="240" w:lineRule="auto"/>
                    <w:rPr>
                      <w:rFonts w:ascii="Calibri" w:eastAsia="Times New Roman" w:hAnsi="Calibri" w:cs="Times New Roman"/>
                      <w:b/>
                      <w:bCs/>
                      <w:color w:val="000000"/>
                      <w:lang w:eastAsia="cs-CZ"/>
                    </w:rPr>
                  </w:pPr>
                  <w:r w:rsidRPr="00F1518E">
                    <w:rPr>
                      <w:rFonts w:ascii="Calibri" w:eastAsia="Times New Roman" w:hAnsi="Calibri" w:cs="Times New Roman"/>
                      <w:b/>
                      <w:bCs/>
                      <w:color w:val="000000"/>
                      <w:lang w:eastAsia="cs-CZ"/>
                    </w:rPr>
                    <w:t>celkem podpořeno osob</w:t>
                  </w:r>
                </w:p>
              </w:tc>
              <w:tc>
                <w:tcPr>
                  <w:tcW w:w="987" w:type="dxa"/>
                  <w:tcBorders>
                    <w:top w:val="single" w:sz="12" w:space="0" w:color="auto"/>
                    <w:left w:val="nil"/>
                    <w:bottom w:val="single" w:sz="12" w:space="0" w:color="auto"/>
                    <w:right w:val="single" w:sz="12" w:space="0" w:color="auto"/>
                  </w:tcBorders>
                  <w:shd w:val="clear" w:color="000000" w:fill="FFFFCC"/>
                  <w:noWrap/>
                  <w:vAlign w:val="bottom"/>
                  <w:hideMark/>
                </w:tcPr>
                <w:p w:rsidR="00A674FB" w:rsidRPr="00F1518E" w:rsidRDefault="00A674FB" w:rsidP="00926937">
                  <w:pPr>
                    <w:spacing w:after="0" w:line="240" w:lineRule="auto"/>
                    <w:jc w:val="right"/>
                    <w:rPr>
                      <w:rFonts w:ascii="Calibri" w:eastAsia="Times New Roman" w:hAnsi="Calibri" w:cs="Times New Roman"/>
                      <w:b/>
                      <w:bCs/>
                      <w:lang w:eastAsia="cs-CZ"/>
                    </w:rPr>
                  </w:pPr>
                  <w:r w:rsidRPr="00F1518E">
                    <w:rPr>
                      <w:rFonts w:ascii="Calibri" w:eastAsia="Times New Roman" w:hAnsi="Calibri" w:cs="Times New Roman"/>
                      <w:b/>
                      <w:bCs/>
                      <w:lang w:eastAsia="cs-CZ"/>
                    </w:rPr>
                    <w:t>72 477</w:t>
                  </w:r>
                </w:p>
              </w:tc>
            </w:tr>
          </w:tbl>
          <w:p w:rsidR="00A674FB" w:rsidRPr="006F2BEC" w:rsidRDefault="00A674FB" w:rsidP="00926937">
            <w:pPr>
              <w:spacing w:after="0" w:line="240" w:lineRule="auto"/>
              <w:rPr>
                <w:rFonts w:ascii="Arial" w:eastAsia="Times New Roman" w:hAnsi="Arial" w:cs="Arial"/>
                <w:b/>
                <w:bCs/>
                <w:color w:val="000000"/>
                <w:sz w:val="24"/>
                <w:szCs w:val="24"/>
                <w:lang w:eastAsia="cs-CZ"/>
              </w:rPr>
            </w:pPr>
          </w:p>
        </w:tc>
        <w:tc>
          <w:tcPr>
            <w:tcW w:w="987" w:type="dxa"/>
            <w:tcBorders>
              <w:top w:val="nil"/>
              <w:left w:val="nil"/>
              <w:bottom w:val="nil"/>
              <w:right w:val="nil"/>
            </w:tcBorders>
            <w:shd w:val="clear" w:color="auto" w:fill="auto"/>
            <w:noWrap/>
            <w:vAlign w:val="bottom"/>
            <w:hideMark/>
          </w:tcPr>
          <w:p w:rsidR="00A674FB" w:rsidRPr="00530133" w:rsidRDefault="00A674FB" w:rsidP="00926937">
            <w:pPr>
              <w:spacing w:after="0" w:line="240" w:lineRule="auto"/>
              <w:rPr>
                <w:rFonts w:ascii="Calibri" w:eastAsia="Times New Roman" w:hAnsi="Calibri" w:cs="Times New Roman"/>
                <w:color w:val="000000"/>
                <w:lang w:eastAsia="cs-CZ"/>
              </w:rPr>
            </w:pPr>
          </w:p>
        </w:tc>
      </w:tr>
      <w:tr w:rsidR="00A674FB" w:rsidRPr="00530133" w:rsidTr="00926937">
        <w:trPr>
          <w:trHeight w:val="300"/>
        </w:trPr>
        <w:tc>
          <w:tcPr>
            <w:tcW w:w="7256" w:type="dxa"/>
            <w:gridSpan w:val="2"/>
            <w:tcBorders>
              <w:top w:val="nil"/>
              <w:left w:val="nil"/>
              <w:bottom w:val="nil"/>
              <w:right w:val="nil"/>
            </w:tcBorders>
            <w:shd w:val="clear" w:color="auto" w:fill="auto"/>
            <w:noWrap/>
            <w:vAlign w:val="bottom"/>
          </w:tcPr>
          <w:p w:rsidR="00A674FB" w:rsidRDefault="00A674FB" w:rsidP="00926937">
            <w:pPr>
              <w:spacing w:after="0" w:line="240" w:lineRule="auto"/>
              <w:rPr>
                <w:rFonts w:ascii="Calibri" w:eastAsia="Times New Roman" w:hAnsi="Calibri" w:cs="Times New Roman"/>
                <w:i/>
                <w:iCs/>
                <w:color w:val="000000"/>
                <w:sz w:val="20"/>
                <w:szCs w:val="20"/>
                <w:lang w:eastAsia="cs-CZ"/>
              </w:rPr>
            </w:pPr>
          </w:p>
          <w:p w:rsidR="00A674FB" w:rsidRPr="00530133" w:rsidRDefault="00A674FB" w:rsidP="00926937">
            <w:pPr>
              <w:spacing w:after="0" w:line="240" w:lineRule="auto"/>
              <w:rPr>
                <w:rFonts w:ascii="Calibri" w:eastAsia="Times New Roman" w:hAnsi="Calibri" w:cs="Times New Roman"/>
                <w:i/>
                <w:iCs/>
                <w:color w:val="000000"/>
                <w:sz w:val="20"/>
                <w:szCs w:val="20"/>
                <w:lang w:eastAsia="cs-CZ"/>
              </w:rPr>
            </w:pPr>
          </w:p>
        </w:tc>
      </w:tr>
    </w:tbl>
    <w:p w:rsidR="00C655EE" w:rsidRDefault="00C655EE" w:rsidP="00A674FB">
      <w:pPr>
        <w:rPr>
          <w:rFonts w:ascii="Arial" w:hAnsi="Arial" w:cs="Arial"/>
          <w:b/>
          <w:sz w:val="24"/>
          <w:szCs w:val="24"/>
        </w:rPr>
      </w:pPr>
    </w:p>
    <w:p w:rsidR="000B7692" w:rsidRPr="005D6DB7" w:rsidRDefault="00A674FB" w:rsidP="006B6317">
      <w:pPr>
        <w:rPr>
          <w:rFonts w:ascii="Arial" w:eastAsia="Times New Roman" w:hAnsi="Arial" w:cs="Arial"/>
          <w:b/>
          <w:sz w:val="28"/>
          <w:szCs w:val="28"/>
          <w:lang w:eastAsia="cs-CZ"/>
        </w:rPr>
      </w:pPr>
      <w:r w:rsidRPr="005D6DB7">
        <w:rPr>
          <w:rFonts w:ascii="Arial" w:eastAsia="Times New Roman" w:hAnsi="Arial" w:cs="Arial"/>
          <w:b/>
          <w:sz w:val="28"/>
          <w:szCs w:val="28"/>
          <w:lang w:eastAsia="cs-CZ"/>
        </w:rPr>
        <w:lastRenderedPageBreak/>
        <w:t>2)</w:t>
      </w:r>
      <w:r w:rsidR="006B6317" w:rsidRPr="005D6DB7">
        <w:rPr>
          <w:rFonts w:ascii="Arial" w:eastAsia="Times New Roman" w:hAnsi="Arial" w:cs="Arial"/>
          <w:b/>
          <w:sz w:val="28"/>
          <w:szCs w:val="28"/>
          <w:lang w:eastAsia="cs-CZ"/>
        </w:rPr>
        <w:t xml:space="preserve"> </w:t>
      </w:r>
      <w:r w:rsidR="000B7692" w:rsidRPr="005D6DB7">
        <w:rPr>
          <w:rFonts w:ascii="Arial" w:eastAsia="Times New Roman" w:hAnsi="Arial" w:cs="Arial"/>
          <w:b/>
          <w:sz w:val="28"/>
          <w:szCs w:val="28"/>
          <w:lang w:eastAsia="cs-CZ"/>
        </w:rPr>
        <w:t>Situace na trhu práce k 3</w:t>
      </w:r>
      <w:r w:rsidR="003451E3" w:rsidRPr="005D6DB7">
        <w:rPr>
          <w:rFonts w:ascii="Arial" w:eastAsia="Times New Roman" w:hAnsi="Arial" w:cs="Arial"/>
          <w:b/>
          <w:sz w:val="28"/>
          <w:szCs w:val="28"/>
          <w:lang w:eastAsia="cs-CZ"/>
        </w:rPr>
        <w:t>0</w:t>
      </w:r>
      <w:r w:rsidR="000B7692" w:rsidRPr="005D6DB7">
        <w:rPr>
          <w:rFonts w:ascii="Arial" w:eastAsia="Times New Roman" w:hAnsi="Arial" w:cs="Arial"/>
          <w:b/>
          <w:sz w:val="28"/>
          <w:szCs w:val="28"/>
          <w:lang w:eastAsia="cs-CZ"/>
        </w:rPr>
        <w:t xml:space="preserve">. </w:t>
      </w:r>
      <w:r w:rsidR="003451E3" w:rsidRPr="005D6DB7">
        <w:rPr>
          <w:rFonts w:ascii="Arial" w:eastAsia="Times New Roman" w:hAnsi="Arial" w:cs="Arial"/>
          <w:b/>
          <w:sz w:val="28"/>
          <w:szCs w:val="28"/>
          <w:lang w:eastAsia="cs-CZ"/>
        </w:rPr>
        <w:t>9</w:t>
      </w:r>
      <w:r w:rsidR="000B7692" w:rsidRPr="005D6DB7">
        <w:rPr>
          <w:rFonts w:ascii="Arial" w:eastAsia="Times New Roman" w:hAnsi="Arial" w:cs="Arial"/>
          <w:b/>
          <w:sz w:val="28"/>
          <w:szCs w:val="28"/>
          <w:lang w:eastAsia="cs-CZ"/>
        </w:rPr>
        <w:t>. 2013</w:t>
      </w:r>
    </w:p>
    <w:p w:rsidR="003451E3" w:rsidRPr="00FD5313" w:rsidRDefault="003451E3" w:rsidP="003451E3">
      <w:pPr>
        <w:jc w:val="both"/>
        <w:rPr>
          <w:rFonts w:ascii="Arial" w:hAnsi="Arial" w:cs="Arial"/>
          <w:b/>
          <w:i/>
          <w:sz w:val="24"/>
          <w:szCs w:val="24"/>
        </w:rPr>
      </w:pPr>
      <w:r w:rsidRPr="00EB2D6B">
        <w:rPr>
          <w:rFonts w:ascii="Arial" w:hAnsi="Arial" w:cs="Arial"/>
          <w:b/>
          <w:i/>
          <w:sz w:val="24"/>
          <w:szCs w:val="24"/>
        </w:rPr>
        <w:t>V </w:t>
      </w:r>
      <w:r>
        <w:rPr>
          <w:rFonts w:ascii="Arial" w:hAnsi="Arial" w:cs="Arial"/>
          <w:b/>
          <w:i/>
          <w:sz w:val="24"/>
          <w:szCs w:val="24"/>
        </w:rPr>
        <w:t>září</w:t>
      </w:r>
      <w:r w:rsidRPr="00EB2D6B">
        <w:rPr>
          <w:rFonts w:ascii="Arial" w:hAnsi="Arial" w:cs="Arial"/>
          <w:b/>
          <w:i/>
          <w:sz w:val="24"/>
          <w:szCs w:val="24"/>
        </w:rPr>
        <w:t xml:space="preserve"> se celkový počet uchazečů o </w:t>
      </w:r>
      <w:r w:rsidRPr="005D6A6A">
        <w:rPr>
          <w:rFonts w:ascii="Arial" w:hAnsi="Arial" w:cs="Arial"/>
          <w:b/>
          <w:i/>
          <w:sz w:val="24"/>
          <w:szCs w:val="24"/>
        </w:rPr>
        <w:t>zaměstnání zvýšil o </w:t>
      </w:r>
      <w:r>
        <w:rPr>
          <w:rFonts w:ascii="Arial" w:hAnsi="Arial" w:cs="Arial"/>
          <w:b/>
          <w:i/>
          <w:sz w:val="24"/>
          <w:szCs w:val="24"/>
        </w:rPr>
        <w:t>1,0</w:t>
      </w:r>
      <w:r w:rsidRPr="005D6A6A">
        <w:rPr>
          <w:rFonts w:ascii="Arial" w:hAnsi="Arial" w:cs="Arial"/>
          <w:b/>
          <w:i/>
          <w:sz w:val="24"/>
          <w:szCs w:val="24"/>
        </w:rPr>
        <w:t> % na</w:t>
      </w:r>
      <w:r w:rsidRPr="00E71881">
        <w:rPr>
          <w:rFonts w:ascii="Arial" w:hAnsi="Arial" w:cs="Arial"/>
          <w:b/>
          <w:i/>
          <w:sz w:val="24"/>
          <w:szCs w:val="24"/>
        </w:rPr>
        <w:t xml:space="preserve"> 5</w:t>
      </w:r>
      <w:r>
        <w:rPr>
          <w:rFonts w:ascii="Arial" w:hAnsi="Arial" w:cs="Arial"/>
          <w:b/>
          <w:i/>
          <w:sz w:val="24"/>
          <w:szCs w:val="24"/>
        </w:rPr>
        <w:t>57</w:t>
      </w:r>
      <w:r w:rsidRPr="00E71881">
        <w:rPr>
          <w:rFonts w:ascii="Arial" w:hAnsi="Arial" w:cs="Times New Roman"/>
          <w:b/>
          <w:bCs/>
          <w:i/>
          <w:sz w:val="24"/>
          <w:szCs w:val="24"/>
        </w:rPr>
        <w:t> </w:t>
      </w:r>
      <w:r>
        <w:rPr>
          <w:rFonts w:ascii="Arial" w:hAnsi="Arial" w:cs="Times New Roman"/>
          <w:b/>
          <w:bCs/>
          <w:i/>
          <w:sz w:val="24"/>
          <w:szCs w:val="24"/>
        </w:rPr>
        <w:t>058</w:t>
      </w:r>
      <w:r w:rsidRPr="00E71881">
        <w:rPr>
          <w:rFonts w:ascii="Arial" w:hAnsi="Arial" w:cs="Times New Roman"/>
          <w:b/>
          <w:bCs/>
          <w:i/>
          <w:sz w:val="24"/>
          <w:szCs w:val="24"/>
        </w:rPr>
        <w:t>,</w:t>
      </w:r>
      <w:r w:rsidRPr="00E71881">
        <w:rPr>
          <w:rFonts w:ascii="Arial" w:hAnsi="Arial" w:cs="Arial"/>
          <w:b/>
          <w:i/>
          <w:sz w:val="24"/>
          <w:szCs w:val="24"/>
        </w:rPr>
        <w:t> po</w:t>
      </w:r>
      <w:r w:rsidRPr="000A073F">
        <w:rPr>
          <w:rFonts w:ascii="Arial" w:hAnsi="Arial" w:cs="Arial"/>
          <w:b/>
          <w:i/>
          <w:sz w:val="24"/>
          <w:szCs w:val="24"/>
        </w:rPr>
        <w:t xml:space="preserve">čet hlášených volných pracovních </w:t>
      </w:r>
      <w:r>
        <w:rPr>
          <w:rFonts w:ascii="Arial" w:hAnsi="Arial" w:cs="Arial"/>
          <w:b/>
          <w:i/>
          <w:sz w:val="24"/>
          <w:szCs w:val="24"/>
        </w:rPr>
        <w:t>míst vzrostl o 2,1 </w:t>
      </w:r>
      <w:r w:rsidRPr="00116DCA">
        <w:rPr>
          <w:rFonts w:ascii="Arial" w:hAnsi="Arial" w:cs="Arial"/>
          <w:b/>
          <w:i/>
          <w:sz w:val="24"/>
          <w:szCs w:val="24"/>
        </w:rPr>
        <w:t>% na 4</w:t>
      </w:r>
      <w:r>
        <w:rPr>
          <w:rFonts w:ascii="Arial" w:hAnsi="Arial" w:cs="Arial"/>
          <w:b/>
          <w:i/>
          <w:sz w:val="24"/>
          <w:szCs w:val="24"/>
        </w:rPr>
        <w:t>1</w:t>
      </w:r>
      <w:r w:rsidRPr="00116DCA">
        <w:rPr>
          <w:rFonts w:ascii="Arial" w:hAnsi="Arial" w:cs="Arial"/>
          <w:b/>
          <w:i/>
          <w:sz w:val="24"/>
          <w:szCs w:val="24"/>
        </w:rPr>
        <w:t> </w:t>
      </w:r>
      <w:r>
        <w:rPr>
          <w:rFonts w:ascii="Arial" w:hAnsi="Arial" w:cs="Arial"/>
          <w:b/>
          <w:i/>
          <w:sz w:val="24"/>
          <w:szCs w:val="24"/>
        </w:rPr>
        <w:t>422</w:t>
      </w:r>
      <w:r w:rsidRPr="009A3A7F">
        <w:rPr>
          <w:rFonts w:ascii="Arial" w:hAnsi="Arial" w:cs="Arial"/>
          <w:b/>
          <w:i/>
          <w:color w:val="548DD4" w:themeColor="text2" w:themeTint="99"/>
          <w:sz w:val="24"/>
          <w:szCs w:val="24"/>
        </w:rPr>
        <w:t xml:space="preserve"> </w:t>
      </w:r>
      <w:r w:rsidRPr="000A073F">
        <w:rPr>
          <w:rFonts w:ascii="Arial" w:hAnsi="Arial" w:cs="Arial"/>
          <w:b/>
          <w:i/>
          <w:sz w:val="24"/>
          <w:szCs w:val="24"/>
        </w:rPr>
        <w:t xml:space="preserve">a podíl nezaměstnaných </w:t>
      </w:r>
      <w:r w:rsidRPr="00FD5313">
        <w:rPr>
          <w:rFonts w:ascii="Arial" w:hAnsi="Arial" w:cs="Arial"/>
          <w:b/>
          <w:i/>
          <w:sz w:val="24"/>
          <w:szCs w:val="24"/>
        </w:rPr>
        <w:t xml:space="preserve">osob </w:t>
      </w:r>
      <w:r>
        <w:rPr>
          <w:rFonts w:ascii="Arial" w:hAnsi="Arial" w:cs="Arial"/>
          <w:b/>
          <w:i/>
          <w:sz w:val="24"/>
          <w:szCs w:val="24"/>
        </w:rPr>
        <w:t>vzrostl o 0,1 p. b. </w:t>
      </w:r>
      <w:proofErr w:type="gramStart"/>
      <w:r>
        <w:rPr>
          <w:rFonts w:ascii="Arial" w:hAnsi="Arial" w:cs="Arial"/>
          <w:b/>
          <w:i/>
          <w:sz w:val="24"/>
          <w:szCs w:val="24"/>
        </w:rPr>
        <w:t>na</w:t>
      </w:r>
      <w:proofErr w:type="gramEnd"/>
      <w:r>
        <w:rPr>
          <w:rFonts w:ascii="Arial" w:hAnsi="Arial" w:cs="Arial"/>
          <w:b/>
          <w:i/>
          <w:sz w:val="24"/>
          <w:szCs w:val="24"/>
        </w:rPr>
        <w:t xml:space="preserve"> 7,6</w:t>
      </w:r>
      <w:r w:rsidRPr="00FD5313">
        <w:rPr>
          <w:rFonts w:ascii="Arial" w:hAnsi="Arial" w:cs="Arial"/>
          <w:b/>
          <w:i/>
          <w:sz w:val="24"/>
          <w:szCs w:val="24"/>
        </w:rPr>
        <w:t xml:space="preserve"> %. </w:t>
      </w:r>
    </w:p>
    <w:p w:rsidR="003451E3" w:rsidRPr="009A3A7F" w:rsidRDefault="003451E3" w:rsidP="003451E3">
      <w:pPr>
        <w:spacing w:after="120"/>
        <w:jc w:val="both"/>
        <w:rPr>
          <w:rFonts w:ascii="Arial" w:hAnsi="Arial" w:cs="Arial"/>
          <w:b/>
          <w:bCs/>
          <w:color w:val="548DD4" w:themeColor="text2" w:themeTint="99"/>
        </w:rPr>
      </w:pPr>
    </w:p>
    <w:p w:rsidR="003451E3" w:rsidRPr="00BD5111" w:rsidRDefault="003451E3" w:rsidP="003451E3">
      <w:pPr>
        <w:spacing w:after="120"/>
        <w:ind w:firstLine="720"/>
        <w:jc w:val="both"/>
        <w:rPr>
          <w:rFonts w:ascii="Arial" w:hAnsi="Arial" w:cs="Arial"/>
        </w:rPr>
      </w:pPr>
      <w:r w:rsidRPr="00610ADE">
        <w:rPr>
          <w:rFonts w:ascii="Arial" w:hAnsi="Arial" w:cs="Arial"/>
          <w:b/>
          <w:bCs/>
        </w:rPr>
        <w:t>K 3</w:t>
      </w:r>
      <w:r>
        <w:rPr>
          <w:rFonts w:ascii="Arial" w:hAnsi="Arial" w:cs="Arial"/>
          <w:b/>
          <w:bCs/>
        </w:rPr>
        <w:t>0</w:t>
      </w:r>
      <w:r w:rsidRPr="00610ADE">
        <w:rPr>
          <w:rFonts w:ascii="Arial" w:hAnsi="Arial" w:cs="Arial"/>
          <w:b/>
          <w:bCs/>
        </w:rPr>
        <w:t>. </w:t>
      </w:r>
      <w:r>
        <w:rPr>
          <w:rFonts w:ascii="Arial" w:hAnsi="Arial" w:cs="Arial"/>
          <w:b/>
          <w:bCs/>
        </w:rPr>
        <w:t>9.</w:t>
      </w:r>
      <w:r w:rsidRPr="00610ADE">
        <w:rPr>
          <w:rFonts w:ascii="Arial" w:hAnsi="Arial" w:cs="Arial"/>
          <w:b/>
          <w:bCs/>
        </w:rPr>
        <w:t xml:space="preserve"> 2013 evidoval Úřad práce </w:t>
      </w:r>
      <w:r>
        <w:rPr>
          <w:rFonts w:ascii="Arial" w:hAnsi="Arial" w:cs="Arial"/>
          <w:b/>
          <w:bCs/>
        </w:rPr>
        <w:t>ČR (ÚP </w:t>
      </w:r>
      <w:r w:rsidRPr="00610ADE">
        <w:rPr>
          <w:rFonts w:ascii="Arial" w:hAnsi="Arial" w:cs="Arial"/>
          <w:b/>
          <w:bCs/>
        </w:rPr>
        <w:t xml:space="preserve">ČR) </w:t>
      </w:r>
      <w:r w:rsidRPr="00610ADE">
        <w:rPr>
          <w:rFonts w:ascii="Arial" w:hAnsi="Arial" w:cs="Arial"/>
          <w:bCs/>
        </w:rPr>
        <w:t xml:space="preserve">na svých krajských pobočkách a jejich kontaktních </w:t>
      </w:r>
      <w:r w:rsidRPr="00D73244">
        <w:rPr>
          <w:rFonts w:ascii="Arial" w:hAnsi="Arial" w:cs="Arial"/>
          <w:bCs/>
        </w:rPr>
        <w:t>pracovištích</w:t>
      </w:r>
      <w:r w:rsidRPr="00D73244">
        <w:rPr>
          <w:rFonts w:ascii="Arial" w:hAnsi="Arial" w:cs="Arial"/>
          <w:b/>
          <w:bCs/>
        </w:rPr>
        <w:t xml:space="preserve"> </w:t>
      </w:r>
      <w:r w:rsidRPr="002D32D5">
        <w:rPr>
          <w:rFonts w:ascii="Arial" w:hAnsi="Arial" w:cs="Arial"/>
          <w:b/>
          <w:bCs/>
        </w:rPr>
        <w:t>celkem 55</w:t>
      </w:r>
      <w:r>
        <w:rPr>
          <w:rFonts w:ascii="Arial" w:hAnsi="Arial" w:cs="Arial"/>
          <w:b/>
          <w:bCs/>
        </w:rPr>
        <w:t>7</w:t>
      </w:r>
      <w:r w:rsidRPr="002D32D5">
        <w:rPr>
          <w:rFonts w:ascii="Arial" w:hAnsi="Arial" w:cs="Arial"/>
          <w:b/>
          <w:bCs/>
        </w:rPr>
        <w:t> </w:t>
      </w:r>
      <w:r>
        <w:rPr>
          <w:rFonts w:ascii="Arial" w:hAnsi="Arial" w:cs="Arial"/>
          <w:b/>
          <w:bCs/>
        </w:rPr>
        <w:t>058</w:t>
      </w:r>
      <w:r w:rsidRPr="002D32D5">
        <w:rPr>
          <w:rFonts w:ascii="Arial" w:hAnsi="Arial" w:cs="Arial"/>
          <w:b/>
          <w:bCs/>
        </w:rPr>
        <w:t xml:space="preserve"> uchazečů</w:t>
      </w:r>
      <w:r w:rsidRPr="000A073F">
        <w:rPr>
          <w:rFonts w:ascii="Arial" w:hAnsi="Arial" w:cs="Arial"/>
          <w:b/>
          <w:bCs/>
        </w:rPr>
        <w:t xml:space="preserve"> o zaměstnání</w:t>
      </w:r>
      <w:r w:rsidRPr="000A073F">
        <w:rPr>
          <w:rFonts w:ascii="Arial" w:hAnsi="Arial" w:cs="Arial"/>
        </w:rPr>
        <w:t>. Jejich počet byl</w:t>
      </w:r>
      <w:r w:rsidRPr="009A3A7F">
        <w:rPr>
          <w:rFonts w:ascii="Arial" w:hAnsi="Arial" w:cs="Arial"/>
          <w:color w:val="548DD4" w:themeColor="text2" w:themeTint="99"/>
        </w:rPr>
        <w:t xml:space="preserve"> </w:t>
      </w:r>
      <w:r w:rsidRPr="002A5D77">
        <w:rPr>
          <w:rFonts w:ascii="Arial" w:hAnsi="Arial" w:cs="Arial"/>
        </w:rPr>
        <w:t xml:space="preserve">o </w:t>
      </w:r>
      <w:r>
        <w:rPr>
          <w:rFonts w:ascii="Arial" w:hAnsi="Arial" w:cs="Arial"/>
        </w:rPr>
        <w:t>5 327</w:t>
      </w:r>
      <w:r w:rsidRPr="002A5D77">
        <w:rPr>
          <w:rFonts w:ascii="Arial" w:hAnsi="Arial" w:cs="Arial"/>
        </w:rPr>
        <w:t xml:space="preserve"> vyšší než</w:t>
      </w:r>
      <w:r w:rsidRPr="000A073F">
        <w:rPr>
          <w:rFonts w:ascii="Arial" w:hAnsi="Arial" w:cs="Arial"/>
        </w:rPr>
        <w:t xml:space="preserve"> na konci předchozího měsíce, ve srovnání se stejným obdobím roku 2012 </w:t>
      </w:r>
      <w:r w:rsidRPr="00827918">
        <w:rPr>
          <w:rFonts w:ascii="Arial" w:hAnsi="Arial" w:cs="Arial"/>
        </w:rPr>
        <w:t>je vyšší o 6</w:t>
      </w:r>
      <w:r>
        <w:rPr>
          <w:rFonts w:ascii="Arial" w:hAnsi="Arial" w:cs="Arial"/>
        </w:rPr>
        <w:t>3</w:t>
      </w:r>
      <w:r w:rsidRPr="00827918">
        <w:rPr>
          <w:rFonts w:ascii="Arial" w:hAnsi="Arial" w:cs="Arial"/>
        </w:rPr>
        <w:t> </w:t>
      </w:r>
      <w:r>
        <w:rPr>
          <w:rFonts w:ascii="Arial" w:hAnsi="Arial" w:cs="Arial"/>
        </w:rPr>
        <w:t>873</w:t>
      </w:r>
      <w:r w:rsidRPr="00827918">
        <w:rPr>
          <w:rFonts w:ascii="Arial" w:hAnsi="Arial" w:cs="Arial"/>
        </w:rPr>
        <w:t> osob.</w:t>
      </w:r>
      <w:r w:rsidRPr="009A3A7F">
        <w:rPr>
          <w:rFonts w:ascii="Arial" w:hAnsi="Arial" w:cs="Arial"/>
          <w:color w:val="548DD4" w:themeColor="text2" w:themeTint="99"/>
        </w:rPr>
        <w:t xml:space="preserve"> </w:t>
      </w:r>
      <w:r w:rsidRPr="000A073F">
        <w:rPr>
          <w:rFonts w:ascii="Arial" w:hAnsi="Arial" w:cs="Arial"/>
        </w:rPr>
        <w:t xml:space="preserve">Z tohoto počtu </w:t>
      </w:r>
      <w:r w:rsidRPr="006818C0">
        <w:rPr>
          <w:rFonts w:ascii="Arial" w:hAnsi="Arial" w:cs="Arial"/>
        </w:rPr>
        <w:t xml:space="preserve">bylo </w:t>
      </w:r>
      <w:r w:rsidRPr="006818C0">
        <w:rPr>
          <w:rFonts w:ascii="Arial" w:hAnsi="Arial" w:cs="Arial"/>
          <w:b/>
        </w:rPr>
        <w:t>5</w:t>
      </w:r>
      <w:r>
        <w:rPr>
          <w:rFonts w:ascii="Arial" w:hAnsi="Arial" w:cs="Arial"/>
          <w:b/>
        </w:rPr>
        <w:t>42</w:t>
      </w:r>
      <w:r w:rsidRPr="006818C0">
        <w:rPr>
          <w:rFonts w:ascii="Arial" w:hAnsi="Arial" w:cs="Arial"/>
          <w:b/>
        </w:rPr>
        <w:t> </w:t>
      </w:r>
      <w:r>
        <w:rPr>
          <w:rFonts w:ascii="Arial" w:hAnsi="Arial" w:cs="Arial"/>
          <w:b/>
        </w:rPr>
        <w:t>438</w:t>
      </w:r>
      <w:r w:rsidRPr="006818C0">
        <w:rPr>
          <w:rFonts w:ascii="Arial" w:hAnsi="Arial" w:cs="Arial"/>
          <w:b/>
        </w:rPr>
        <w:t xml:space="preserve"> </w:t>
      </w:r>
      <w:r w:rsidRPr="006818C0">
        <w:rPr>
          <w:rFonts w:ascii="Arial" w:hAnsi="Arial" w:cs="Arial"/>
          <w:b/>
          <w:bCs/>
        </w:rPr>
        <w:t>dosažitelných</w:t>
      </w:r>
      <w:r w:rsidRPr="000A073F">
        <w:rPr>
          <w:rFonts w:ascii="Arial" w:hAnsi="Arial" w:cs="Arial"/>
          <w:b/>
          <w:bCs/>
        </w:rPr>
        <w:t xml:space="preserve"> uchazečů o zaměstnání </w:t>
      </w:r>
      <w:r w:rsidRPr="000A073F">
        <w:rPr>
          <w:rFonts w:ascii="Arial" w:hAnsi="Arial" w:cs="Arial"/>
          <w:bCs/>
        </w:rPr>
        <w:t xml:space="preserve">(z </w:t>
      </w:r>
      <w:r w:rsidRPr="00E96061">
        <w:rPr>
          <w:rFonts w:ascii="Arial" w:hAnsi="Arial" w:cs="Arial"/>
          <w:bCs/>
        </w:rPr>
        <w:t>toho 5</w:t>
      </w:r>
      <w:r>
        <w:rPr>
          <w:rFonts w:ascii="Arial" w:hAnsi="Arial" w:cs="Arial"/>
          <w:bCs/>
        </w:rPr>
        <w:t>41</w:t>
      </w:r>
      <w:r w:rsidRPr="00E96061">
        <w:rPr>
          <w:rFonts w:ascii="Arial" w:hAnsi="Arial" w:cs="Arial"/>
          <w:bCs/>
        </w:rPr>
        <w:t> </w:t>
      </w:r>
      <w:r>
        <w:rPr>
          <w:rFonts w:ascii="Arial" w:hAnsi="Arial" w:cs="Arial"/>
          <w:bCs/>
        </w:rPr>
        <w:t>847</w:t>
      </w:r>
      <w:r w:rsidRPr="009A3A7F">
        <w:rPr>
          <w:rFonts w:ascii="Arial" w:hAnsi="Arial" w:cs="Arial"/>
          <w:bCs/>
          <w:color w:val="548DD4" w:themeColor="text2" w:themeTint="99"/>
        </w:rPr>
        <w:t xml:space="preserve"> </w:t>
      </w:r>
      <w:r w:rsidRPr="000A073F">
        <w:rPr>
          <w:rFonts w:ascii="Arial" w:hAnsi="Arial" w:cs="Arial"/>
          <w:bCs/>
        </w:rPr>
        <w:t>ve věku 15 – 64 let)</w:t>
      </w:r>
      <w:r w:rsidRPr="000A073F">
        <w:rPr>
          <w:rStyle w:val="Znakapoznpodarou"/>
          <w:rFonts w:ascii="Arial" w:hAnsi="Arial" w:cs="Arial"/>
          <w:b/>
          <w:bCs/>
        </w:rPr>
        <w:footnoteReference w:id="1"/>
      </w:r>
      <w:r w:rsidRPr="000A073F">
        <w:rPr>
          <w:rFonts w:ascii="Arial" w:hAnsi="Arial" w:cs="Arial"/>
        </w:rPr>
        <w:t xml:space="preserve">. Bylo </w:t>
      </w:r>
      <w:r w:rsidRPr="00E96061">
        <w:rPr>
          <w:rFonts w:ascii="Arial" w:hAnsi="Arial" w:cs="Arial"/>
        </w:rPr>
        <w:t>to o </w:t>
      </w:r>
      <w:r>
        <w:rPr>
          <w:rFonts w:ascii="Arial" w:hAnsi="Arial" w:cs="Arial"/>
        </w:rPr>
        <w:t>3</w:t>
      </w:r>
      <w:r w:rsidRPr="00E96061">
        <w:rPr>
          <w:rFonts w:ascii="Arial" w:hAnsi="Arial" w:cs="Arial"/>
        </w:rPr>
        <w:t> </w:t>
      </w:r>
      <w:r>
        <w:rPr>
          <w:rFonts w:ascii="Arial" w:hAnsi="Arial" w:cs="Arial"/>
        </w:rPr>
        <w:t>973</w:t>
      </w:r>
      <w:r w:rsidRPr="00E96061">
        <w:rPr>
          <w:rFonts w:ascii="Arial" w:hAnsi="Arial" w:cs="Arial"/>
        </w:rPr>
        <w:t xml:space="preserve"> více než</w:t>
      </w:r>
      <w:r w:rsidRPr="000A073F">
        <w:rPr>
          <w:rFonts w:ascii="Arial" w:hAnsi="Arial" w:cs="Arial"/>
        </w:rPr>
        <w:t xml:space="preserve"> na konci předchozího měsíce. Ve srovnání se stejným obdobím roku 2012 byl </w:t>
      </w:r>
      <w:r w:rsidRPr="00BD5111">
        <w:rPr>
          <w:rFonts w:ascii="Arial" w:hAnsi="Arial" w:cs="Arial"/>
        </w:rPr>
        <w:t>jejich počet vyšší</w:t>
      </w:r>
      <w:r w:rsidRPr="009A3A7F">
        <w:rPr>
          <w:rFonts w:ascii="Arial" w:hAnsi="Arial" w:cs="Arial"/>
          <w:color w:val="548DD4" w:themeColor="text2" w:themeTint="99"/>
        </w:rPr>
        <w:t xml:space="preserve"> </w:t>
      </w:r>
      <w:r w:rsidRPr="00BD5111">
        <w:rPr>
          <w:rFonts w:ascii="Arial" w:hAnsi="Arial" w:cs="Arial"/>
        </w:rPr>
        <w:t>o 6</w:t>
      </w:r>
      <w:r>
        <w:rPr>
          <w:rFonts w:ascii="Arial" w:hAnsi="Arial" w:cs="Arial"/>
        </w:rPr>
        <w:t>3</w:t>
      </w:r>
      <w:r w:rsidRPr="00BD5111">
        <w:rPr>
          <w:rFonts w:ascii="Arial" w:hAnsi="Arial" w:cs="Arial"/>
        </w:rPr>
        <w:t> </w:t>
      </w:r>
      <w:r>
        <w:rPr>
          <w:rFonts w:ascii="Arial" w:hAnsi="Arial" w:cs="Arial"/>
        </w:rPr>
        <w:t>890</w:t>
      </w:r>
      <w:r w:rsidRPr="00BD5111">
        <w:rPr>
          <w:rFonts w:ascii="Arial" w:hAnsi="Arial" w:cs="Arial"/>
        </w:rPr>
        <w:t xml:space="preserve">. </w:t>
      </w:r>
    </w:p>
    <w:p w:rsidR="003451E3" w:rsidRPr="005279F7" w:rsidRDefault="003451E3" w:rsidP="003451E3">
      <w:pPr>
        <w:spacing w:after="120"/>
        <w:jc w:val="both"/>
        <w:rPr>
          <w:rFonts w:ascii="Arial" w:hAnsi="Arial" w:cs="Arial"/>
        </w:rPr>
      </w:pPr>
      <w:r w:rsidRPr="00610ADE">
        <w:rPr>
          <w:rFonts w:ascii="Arial" w:hAnsi="Arial" w:cs="Arial"/>
        </w:rPr>
        <w:tab/>
      </w:r>
      <w:r w:rsidRPr="00610ADE">
        <w:rPr>
          <w:rFonts w:ascii="Arial" w:hAnsi="Arial" w:cs="Arial"/>
          <w:b/>
          <w:bCs/>
        </w:rPr>
        <w:t xml:space="preserve">V průběhu </w:t>
      </w:r>
      <w:r>
        <w:rPr>
          <w:rFonts w:ascii="Arial" w:hAnsi="Arial" w:cs="Arial"/>
          <w:b/>
          <w:bCs/>
        </w:rPr>
        <w:t>září</w:t>
      </w:r>
      <w:r w:rsidRPr="00610ADE">
        <w:rPr>
          <w:rFonts w:ascii="Arial" w:hAnsi="Arial" w:cs="Arial"/>
          <w:b/>
          <w:bCs/>
        </w:rPr>
        <w:t xml:space="preserve"> </w:t>
      </w:r>
      <w:r w:rsidRPr="00610ADE">
        <w:rPr>
          <w:rFonts w:ascii="Arial" w:hAnsi="Arial" w:cs="Arial"/>
          <w:bCs/>
        </w:rPr>
        <w:t xml:space="preserve">bylo nově </w:t>
      </w:r>
      <w:r w:rsidRPr="00EB2D6B">
        <w:rPr>
          <w:rFonts w:ascii="Arial" w:hAnsi="Arial" w:cs="Arial"/>
          <w:bCs/>
        </w:rPr>
        <w:t>zaevidováno</w:t>
      </w:r>
      <w:r w:rsidRPr="00EB2D6B">
        <w:rPr>
          <w:rFonts w:ascii="Arial" w:hAnsi="Arial" w:cs="Arial"/>
          <w:b/>
          <w:bCs/>
        </w:rPr>
        <w:t xml:space="preserve"> </w:t>
      </w:r>
      <w:r>
        <w:rPr>
          <w:rFonts w:ascii="Arial" w:hAnsi="Arial" w:cs="Arial"/>
          <w:b/>
          <w:bCs/>
        </w:rPr>
        <w:t>65 120</w:t>
      </w:r>
      <w:r w:rsidRPr="00ED7D59">
        <w:rPr>
          <w:rFonts w:ascii="Arial" w:hAnsi="Arial" w:cs="Arial"/>
          <w:b/>
          <w:bCs/>
        </w:rPr>
        <w:t> osob.</w:t>
      </w:r>
      <w:r w:rsidRPr="00256028">
        <w:rPr>
          <w:rFonts w:ascii="Arial" w:hAnsi="Arial" w:cs="Arial"/>
          <w:b/>
          <w:bCs/>
          <w:color w:val="548DD4" w:themeColor="text2" w:themeTint="99"/>
        </w:rPr>
        <w:t xml:space="preserve"> </w:t>
      </w:r>
      <w:r w:rsidRPr="001C4A4B">
        <w:rPr>
          <w:rFonts w:ascii="Arial" w:hAnsi="Arial" w:cs="Arial"/>
          <w:bCs/>
        </w:rPr>
        <w:t xml:space="preserve">Ve srovnání s minulým měsícem to </w:t>
      </w:r>
      <w:r w:rsidRPr="00862C11">
        <w:rPr>
          <w:rFonts w:ascii="Arial" w:hAnsi="Arial" w:cs="Arial"/>
          <w:bCs/>
        </w:rPr>
        <w:t xml:space="preserve">bylo </w:t>
      </w:r>
      <w:r>
        <w:rPr>
          <w:rFonts w:ascii="Arial" w:hAnsi="Arial" w:cs="Arial"/>
          <w:bCs/>
        </w:rPr>
        <w:t>více</w:t>
      </w:r>
      <w:r w:rsidRPr="00862C11">
        <w:rPr>
          <w:rFonts w:ascii="Arial" w:hAnsi="Arial" w:cs="Arial"/>
          <w:bCs/>
        </w:rPr>
        <w:t xml:space="preserve"> o </w:t>
      </w:r>
      <w:r>
        <w:rPr>
          <w:rFonts w:ascii="Arial" w:hAnsi="Arial" w:cs="Arial"/>
          <w:bCs/>
        </w:rPr>
        <w:t>23</w:t>
      </w:r>
      <w:r w:rsidRPr="00862C11">
        <w:rPr>
          <w:rFonts w:ascii="Arial" w:hAnsi="Arial" w:cs="Arial"/>
          <w:bCs/>
        </w:rPr>
        <w:t> </w:t>
      </w:r>
      <w:r>
        <w:rPr>
          <w:rFonts w:ascii="Arial" w:hAnsi="Arial" w:cs="Arial"/>
          <w:bCs/>
        </w:rPr>
        <w:t>286</w:t>
      </w:r>
      <w:r w:rsidRPr="00862C11">
        <w:rPr>
          <w:rFonts w:ascii="Arial" w:hAnsi="Arial" w:cs="Arial"/>
        </w:rPr>
        <w:t> </w:t>
      </w:r>
      <w:r w:rsidRPr="00862C11">
        <w:rPr>
          <w:rFonts w:ascii="Arial" w:hAnsi="Arial" w:cs="Arial"/>
          <w:bCs/>
        </w:rPr>
        <w:t>osob a</w:t>
      </w:r>
      <w:r w:rsidRPr="001C4A4B">
        <w:rPr>
          <w:rFonts w:ascii="Arial" w:hAnsi="Arial" w:cs="Arial"/>
          <w:bCs/>
        </w:rPr>
        <w:t xml:space="preserve"> v porovnání se stejným obdobím předchozího roku</w:t>
      </w:r>
      <w:r w:rsidRPr="00256028">
        <w:rPr>
          <w:rFonts w:ascii="Arial" w:hAnsi="Arial" w:cs="Arial"/>
          <w:bCs/>
          <w:color w:val="548DD4" w:themeColor="text2" w:themeTint="99"/>
        </w:rPr>
        <w:t xml:space="preserve"> </w:t>
      </w:r>
      <w:r>
        <w:rPr>
          <w:rFonts w:ascii="Arial" w:hAnsi="Arial" w:cs="Arial"/>
          <w:bCs/>
        </w:rPr>
        <w:t>více</w:t>
      </w:r>
      <w:r w:rsidRPr="005279F7">
        <w:rPr>
          <w:rFonts w:ascii="Arial" w:hAnsi="Arial" w:cs="Arial"/>
          <w:bCs/>
        </w:rPr>
        <w:t xml:space="preserve"> </w:t>
      </w:r>
      <w:r w:rsidRPr="005279F7">
        <w:rPr>
          <w:rFonts w:ascii="Arial" w:hAnsi="Arial" w:cs="Arial"/>
        </w:rPr>
        <w:t>o </w:t>
      </w:r>
      <w:r>
        <w:rPr>
          <w:rFonts w:ascii="Arial" w:hAnsi="Arial" w:cs="Arial"/>
        </w:rPr>
        <w:t>4 347</w:t>
      </w:r>
      <w:r w:rsidRPr="005279F7">
        <w:rPr>
          <w:rFonts w:ascii="Arial" w:hAnsi="Arial" w:cs="Arial"/>
        </w:rPr>
        <w:t> osob.</w:t>
      </w:r>
    </w:p>
    <w:p w:rsidR="003451E3" w:rsidRPr="001C4A4B" w:rsidRDefault="003451E3" w:rsidP="003451E3">
      <w:pPr>
        <w:spacing w:after="120"/>
        <w:jc w:val="both"/>
        <w:rPr>
          <w:rFonts w:ascii="Arial" w:hAnsi="Arial" w:cs="Arial"/>
        </w:rPr>
      </w:pPr>
      <w:r w:rsidRPr="00517B69">
        <w:rPr>
          <w:rFonts w:ascii="Arial" w:hAnsi="Arial" w:cs="Arial"/>
        </w:rPr>
        <w:t xml:space="preserve"> </w:t>
      </w:r>
      <w:r w:rsidRPr="00517B69">
        <w:rPr>
          <w:rFonts w:ascii="Arial" w:hAnsi="Arial" w:cs="Arial"/>
        </w:rPr>
        <w:tab/>
      </w:r>
      <w:r w:rsidRPr="00610ADE">
        <w:rPr>
          <w:rFonts w:ascii="Arial" w:hAnsi="Arial" w:cs="Arial"/>
          <w:b/>
          <w:bCs/>
        </w:rPr>
        <w:t>Z evidence v </w:t>
      </w:r>
      <w:r>
        <w:rPr>
          <w:rFonts w:ascii="Arial" w:hAnsi="Arial" w:cs="Arial"/>
          <w:b/>
        </w:rPr>
        <w:t>září</w:t>
      </w:r>
      <w:r w:rsidRPr="00610ADE">
        <w:rPr>
          <w:rFonts w:ascii="Arial" w:hAnsi="Arial" w:cs="Arial"/>
          <w:b/>
          <w:bCs/>
        </w:rPr>
        <w:t xml:space="preserve"> odešlo </w:t>
      </w:r>
      <w:r w:rsidRPr="001513EA">
        <w:rPr>
          <w:rFonts w:ascii="Arial" w:hAnsi="Arial" w:cs="Arial"/>
          <w:b/>
          <w:bCs/>
        </w:rPr>
        <w:t xml:space="preserve">celkem </w:t>
      </w:r>
      <w:r>
        <w:rPr>
          <w:rFonts w:ascii="Arial" w:hAnsi="Arial" w:cs="Arial"/>
          <w:b/>
          <w:bCs/>
        </w:rPr>
        <w:t>59</w:t>
      </w:r>
      <w:r w:rsidRPr="001513EA">
        <w:rPr>
          <w:rFonts w:ascii="Arial" w:hAnsi="Arial" w:cs="Arial"/>
          <w:b/>
          <w:bCs/>
        </w:rPr>
        <w:t> </w:t>
      </w:r>
      <w:r>
        <w:rPr>
          <w:rFonts w:ascii="Arial" w:hAnsi="Arial" w:cs="Arial"/>
          <w:b/>
          <w:bCs/>
        </w:rPr>
        <w:t>793</w:t>
      </w:r>
      <w:r w:rsidRPr="001513EA">
        <w:rPr>
          <w:rFonts w:ascii="Arial" w:hAnsi="Arial" w:cs="Arial"/>
          <w:b/>
          <w:bCs/>
        </w:rPr>
        <w:t xml:space="preserve"> uchazečů</w:t>
      </w:r>
      <w:r w:rsidRPr="001C4A4B">
        <w:rPr>
          <w:rFonts w:ascii="Arial" w:hAnsi="Arial" w:cs="Arial"/>
          <w:b/>
          <w:bCs/>
        </w:rPr>
        <w:t xml:space="preserve"> </w:t>
      </w:r>
      <w:r w:rsidRPr="001C4A4B">
        <w:rPr>
          <w:rFonts w:ascii="Arial" w:hAnsi="Arial" w:cs="Arial"/>
        </w:rPr>
        <w:t xml:space="preserve">(ukončená evidence, vyřazení uchazeči). Bylo </w:t>
      </w:r>
      <w:r w:rsidRPr="00166146">
        <w:rPr>
          <w:rFonts w:ascii="Arial" w:hAnsi="Arial" w:cs="Arial"/>
        </w:rPr>
        <w:t xml:space="preserve">to o </w:t>
      </w:r>
      <w:r>
        <w:rPr>
          <w:rFonts w:ascii="Arial" w:hAnsi="Arial" w:cs="Arial"/>
        </w:rPr>
        <w:t>18</w:t>
      </w:r>
      <w:r w:rsidRPr="00166146">
        <w:rPr>
          <w:rFonts w:ascii="Arial" w:hAnsi="Arial" w:cs="Arial"/>
        </w:rPr>
        <w:t> </w:t>
      </w:r>
      <w:r>
        <w:rPr>
          <w:rFonts w:ascii="Arial" w:hAnsi="Arial" w:cs="Arial"/>
        </w:rPr>
        <w:t>594</w:t>
      </w:r>
      <w:r w:rsidRPr="00166146">
        <w:rPr>
          <w:rFonts w:ascii="Arial" w:hAnsi="Arial" w:cs="Arial"/>
        </w:rPr>
        <w:t xml:space="preserve"> osob </w:t>
      </w:r>
      <w:r>
        <w:rPr>
          <w:rFonts w:ascii="Arial" w:hAnsi="Arial" w:cs="Arial"/>
        </w:rPr>
        <w:t>více</w:t>
      </w:r>
      <w:r w:rsidRPr="00166146">
        <w:rPr>
          <w:rFonts w:ascii="Arial" w:hAnsi="Arial" w:cs="Arial"/>
        </w:rPr>
        <w:t xml:space="preserve"> než</w:t>
      </w:r>
      <w:r w:rsidRPr="001C4A4B">
        <w:rPr>
          <w:rFonts w:ascii="Arial" w:hAnsi="Arial" w:cs="Arial"/>
        </w:rPr>
        <w:t xml:space="preserve"> v předchozím měsíci </w:t>
      </w:r>
      <w:r w:rsidRPr="001D0434">
        <w:rPr>
          <w:rFonts w:ascii="Arial" w:hAnsi="Arial" w:cs="Arial"/>
        </w:rPr>
        <w:t>a o </w:t>
      </w:r>
      <w:r>
        <w:rPr>
          <w:rFonts w:ascii="Arial" w:hAnsi="Arial" w:cs="Arial"/>
        </w:rPr>
        <w:t>5 512</w:t>
      </w:r>
      <w:r w:rsidRPr="001D0434">
        <w:rPr>
          <w:rFonts w:ascii="Arial" w:hAnsi="Arial" w:cs="Arial"/>
        </w:rPr>
        <w:t xml:space="preserve"> osob </w:t>
      </w:r>
      <w:r>
        <w:rPr>
          <w:rFonts w:ascii="Arial" w:hAnsi="Arial" w:cs="Arial"/>
        </w:rPr>
        <w:t>více</w:t>
      </w:r>
      <w:r w:rsidRPr="00A97C45">
        <w:rPr>
          <w:rFonts w:ascii="Arial" w:hAnsi="Arial" w:cs="Arial"/>
          <w:color w:val="548DD4" w:themeColor="text2" w:themeTint="99"/>
        </w:rPr>
        <w:t xml:space="preserve"> </w:t>
      </w:r>
      <w:r w:rsidRPr="001C4A4B">
        <w:rPr>
          <w:rFonts w:ascii="Arial" w:hAnsi="Arial" w:cs="Arial"/>
        </w:rPr>
        <w:t xml:space="preserve">než </w:t>
      </w:r>
      <w:r w:rsidRPr="00610ADE">
        <w:rPr>
          <w:rFonts w:ascii="Arial" w:hAnsi="Arial" w:cs="Arial"/>
        </w:rPr>
        <w:t>v </w:t>
      </w:r>
      <w:r>
        <w:rPr>
          <w:rFonts w:ascii="Arial" w:hAnsi="Arial" w:cs="Arial"/>
        </w:rPr>
        <w:t>září</w:t>
      </w:r>
      <w:r w:rsidRPr="00610ADE">
        <w:rPr>
          <w:rFonts w:ascii="Arial" w:hAnsi="Arial" w:cs="Arial"/>
        </w:rPr>
        <w:t xml:space="preserve"> 2012. Do zaměstnání z nich ve sledovaném měsíci </w:t>
      </w:r>
      <w:r w:rsidRPr="002E1C61">
        <w:rPr>
          <w:rFonts w:ascii="Arial" w:hAnsi="Arial" w:cs="Arial"/>
        </w:rPr>
        <w:t xml:space="preserve">nastoupilo </w:t>
      </w:r>
      <w:r>
        <w:rPr>
          <w:rFonts w:ascii="Arial" w:hAnsi="Arial" w:cs="Arial"/>
        </w:rPr>
        <w:t>31</w:t>
      </w:r>
      <w:r w:rsidRPr="002E1C61">
        <w:rPr>
          <w:rFonts w:ascii="Arial" w:hAnsi="Arial" w:cs="Arial"/>
        </w:rPr>
        <w:t> </w:t>
      </w:r>
      <w:r>
        <w:rPr>
          <w:rFonts w:ascii="Arial" w:hAnsi="Arial" w:cs="Arial"/>
        </w:rPr>
        <w:t>698</w:t>
      </w:r>
      <w:r w:rsidRPr="002E1C61">
        <w:rPr>
          <w:rFonts w:ascii="Arial" w:hAnsi="Arial" w:cs="Arial"/>
        </w:rPr>
        <w:t xml:space="preserve"> osob,</w:t>
      </w:r>
      <w:r w:rsidRPr="001C4A4B">
        <w:rPr>
          <w:rFonts w:ascii="Arial" w:hAnsi="Arial" w:cs="Arial"/>
        </w:rPr>
        <w:t xml:space="preserve"> tj. </w:t>
      </w:r>
      <w:r w:rsidRPr="005372C5">
        <w:rPr>
          <w:rFonts w:ascii="Arial" w:hAnsi="Arial" w:cs="Arial"/>
        </w:rPr>
        <w:t>o </w:t>
      </w:r>
      <w:r>
        <w:rPr>
          <w:rFonts w:ascii="Arial" w:hAnsi="Arial" w:cs="Arial"/>
        </w:rPr>
        <w:t>13 934 více</w:t>
      </w:r>
      <w:r w:rsidRPr="005372C5">
        <w:rPr>
          <w:rFonts w:ascii="Arial" w:hAnsi="Arial" w:cs="Arial"/>
        </w:rPr>
        <w:t xml:space="preserve"> než</w:t>
      </w:r>
      <w:r w:rsidRPr="001C4A4B">
        <w:rPr>
          <w:rFonts w:ascii="Arial" w:hAnsi="Arial" w:cs="Arial"/>
        </w:rPr>
        <w:t xml:space="preserve"> v předchozím měsíci </w:t>
      </w:r>
      <w:r w:rsidRPr="00AB7B21">
        <w:rPr>
          <w:rFonts w:ascii="Arial" w:hAnsi="Arial" w:cs="Arial"/>
        </w:rPr>
        <w:t xml:space="preserve">a o </w:t>
      </w:r>
      <w:r>
        <w:rPr>
          <w:rFonts w:ascii="Arial" w:hAnsi="Arial" w:cs="Arial"/>
        </w:rPr>
        <w:t>2</w:t>
      </w:r>
      <w:r w:rsidRPr="00AB7B21">
        <w:rPr>
          <w:rFonts w:ascii="Arial" w:hAnsi="Arial" w:cs="Arial"/>
        </w:rPr>
        <w:t> </w:t>
      </w:r>
      <w:r>
        <w:rPr>
          <w:rFonts w:ascii="Arial" w:hAnsi="Arial" w:cs="Arial"/>
        </w:rPr>
        <w:t>418</w:t>
      </w:r>
      <w:r w:rsidRPr="00AB7B21">
        <w:rPr>
          <w:rFonts w:ascii="Arial" w:hAnsi="Arial" w:cs="Arial"/>
        </w:rPr>
        <w:t xml:space="preserve"> </w:t>
      </w:r>
      <w:r>
        <w:rPr>
          <w:rFonts w:ascii="Arial" w:hAnsi="Arial" w:cs="Arial"/>
        </w:rPr>
        <w:t>více</w:t>
      </w:r>
      <w:r w:rsidRPr="00A97C45">
        <w:rPr>
          <w:rFonts w:ascii="Arial" w:hAnsi="Arial" w:cs="Arial"/>
          <w:color w:val="548DD4" w:themeColor="text2" w:themeTint="99"/>
        </w:rPr>
        <w:t xml:space="preserve"> </w:t>
      </w:r>
      <w:r w:rsidRPr="001C4A4B">
        <w:rPr>
          <w:rFonts w:ascii="Arial" w:hAnsi="Arial" w:cs="Arial"/>
        </w:rPr>
        <w:t>než v</w:t>
      </w:r>
      <w:r w:rsidRPr="00F04160">
        <w:rPr>
          <w:rFonts w:ascii="Arial" w:hAnsi="Arial" w:cs="Arial"/>
        </w:rPr>
        <w:t> </w:t>
      </w:r>
      <w:r>
        <w:rPr>
          <w:rFonts w:ascii="Arial" w:hAnsi="Arial" w:cs="Arial"/>
        </w:rPr>
        <w:t>září</w:t>
      </w:r>
      <w:r w:rsidRPr="00F04160">
        <w:rPr>
          <w:rFonts w:ascii="Arial" w:hAnsi="Arial" w:cs="Arial"/>
        </w:rPr>
        <w:t xml:space="preserve"> 2012</w:t>
      </w:r>
      <w:r w:rsidRPr="00D73244">
        <w:rPr>
          <w:rFonts w:ascii="Arial" w:hAnsi="Arial" w:cs="Arial"/>
        </w:rPr>
        <w:t xml:space="preserve">, </w:t>
      </w:r>
      <w:r w:rsidRPr="00632B7A">
        <w:rPr>
          <w:rFonts w:ascii="Arial" w:hAnsi="Arial" w:cs="Arial"/>
        </w:rPr>
        <w:t>2</w:t>
      </w:r>
      <w:r>
        <w:rPr>
          <w:rFonts w:ascii="Arial" w:hAnsi="Arial" w:cs="Arial"/>
        </w:rPr>
        <w:t>8</w:t>
      </w:r>
      <w:r w:rsidRPr="00632B7A">
        <w:rPr>
          <w:rFonts w:ascii="Arial" w:hAnsi="Arial" w:cs="Arial"/>
        </w:rPr>
        <w:t> </w:t>
      </w:r>
      <w:r>
        <w:rPr>
          <w:rFonts w:ascii="Arial" w:hAnsi="Arial" w:cs="Arial"/>
        </w:rPr>
        <w:t>095</w:t>
      </w:r>
      <w:r w:rsidRPr="00632B7A">
        <w:rPr>
          <w:rFonts w:ascii="Arial" w:hAnsi="Arial" w:cs="Arial"/>
        </w:rPr>
        <w:t> uchazečů</w:t>
      </w:r>
      <w:r w:rsidRPr="001C4A4B">
        <w:rPr>
          <w:rFonts w:ascii="Arial" w:hAnsi="Arial" w:cs="Arial"/>
        </w:rPr>
        <w:t xml:space="preserve"> bylo vyřazeno bez umístění. </w:t>
      </w:r>
    </w:p>
    <w:p w:rsidR="003451E3" w:rsidRPr="002B06BF" w:rsidRDefault="003451E3" w:rsidP="003451E3">
      <w:pPr>
        <w:spacing w:after="120"/>
        <w:jc w:val="both"/>
        <w:rPr>
          <w:rFonts w:ascii="Arial" w:hAnsi="Arial" w:cs="Arial"/>
          <w:bCs/>
        </w:rPr>
      </w:pPr>
      <w:r w:rsidRPr="007E0552">
        <w:rPr>
          <w:rFonts w:ascii="Arial" w:hAnsi="Arial" w:cs="Arial"/>
          <w:b/>
          <w:bCs/>
        </w:rPr>
        <w:tab/>
      </w:r>
      <w:r w:rsidRPr="00EB2D6B">
        <w:rPr>
          <w:rFonts w:ascii="Arial" w:hAnsi="Arial" w:cs="Arial"/>
          <w:b/>
          <w:bCs/>
        </w:rPr>
        <w:t>Meziměsíční</w:t>
      </w:r>
      <w:r w:rsidRPr="004E700C">
        <w:rPr>
          <w:rFonts w:ascii="Arial" w:hAnsi="Arial" w:cs="Arial"/>
          <w:b/>
          <w:bCs/>
        </w:rPr>
        <w:t xml:space="preserve"> nárůst</w:t>
      </w:r>
      <w:r>
        <w:rPr>
          <w:rFonts w:ascii="Arial" w:hAnsi="Arial" w:cs="Arial"/>
          <w:bCs/>
        </w:rPr>
        <w:t xml:space="preserve"> </w:t>
      </w:r>
      <w:r w:rsidRPr="00EB2D6B">
        <w:rPr>
          <w:rFonts w:ascii="Arial" w:hAnsi="Arial" w:cs="Arial"/>
          <w:b/>
          <w:bCs/>
        </w:rPr>
        <w:t>nezaměstnaných</w:t>
      </w:r>
      <w:r>
        <w:rPr>
          <w:rFonts w:ascii="Arial" w:hAnsi="Arial" w:cs="Arial"/>
          <w:bCs/>
        </w:rPr>
        <w:t xml:space="preserve"> byl zaznamenán </w:t>
      </w:r>
      <w:r w:rsidRPr="00147A82">
        <w:rPr>
          <w:rFonts w:ascii="Arial" w:hAnsi="Arial" w:cs="Arial"/>
          <w:b/>
          <w:bCs/>
        </w:rPr>
        <w:t>v </w:t>
      </w:r>
      <w:r>
        <w:rPr>
          <w:rFonts w:ascii="Arial" w:hAnsi="Arial" w:cs="Arial"/>
          <w:b/>
          <w:bCs/>
        </w:rPr>
        <w:t>63</w:t>
      </w:r>
      <w:r w:rsidRPr="00147A82">
        <w:rPr>
          <w:rFonts w:ascii="Arial" w:hAnsi="Arial" w:cs="Arial"/>
          <w:b/>
          <w:bCs/>
        </w:rPr>
        <w:t xml:space="preserve"> okresech</w:t>
      </w:r>
      <w:r>
        <w:rPr>
          <w:rFonts w:ascii="Arial" w:hAnsi="Arial" w:cs="Arial"/>
          <w:bCs/>
        </w:rPr>
        <w:t xml:space="preserve">, </w:t>
      </w:r>
      <w:r w:rsidRPr="004E700C">
        <w:rPr>
          <w:rFonts w:ascii="Arial" w:hAnsi="Arial" w:cs="Arial"/>
          <w:b/>
          <w:bCs/>
        </w:rPr>
        <w:t>největší</w:t>
      </w:r>
      <w:r>
        <w:rPr>
          <w:rFonts w:ascii="Arial" w:hAnsi="Arial" w:cs="Arial"/>
          <w:bCs/>
        </w:rPr>
        <w:t xml:space="preserve"> </w:t>
      </w:r>
      <w:r w:rsidRPr="00147A82">
        <w:rPr>
          <w:rFonts w:ascii="Arial" w:hAnsi="Arial" w:cs="Arial"/>
          <w:b/>
          <w:bCs/>
        </w:rPr>
        <w:t>nárůst</w:t>
      </w:r>
      <w:r>
        <w:rPr>
          <w:rFonts w:ascii="Arial" w:hAnsi="Arial" w:cs="Arial"/>
          <w:bCs/>
        </w:rPr>
        <w:t xml:space="preserve"> byl v okresech Rokycany (o 4,3 %), Benešov (o 4,0 %), Plzeň-sever (o 3,9 %) a Kolín (o 3,7 %). </w:t>
      </w:r>
      <w:r w:rsidRPr="00EB2D6B">
        <w:rPr>
          <w:rFonts w:ascii="Arial" w:hAnsi="Arial" w:cs="Arial"/>
          <w:b/>
          <w:bCs/>
        </w:rPr>
        <w:t>Meziměsíční</w:t>
      </w:r>
      <w:r w:rsidRPr="00EB2D6B">
        <w:rPr>
          <w:rFonts w:ascii="Arial" w:hAnsi="Arial" w:cs="Arial"/>
        </w:rPr>
        <w:t xml:space="preserve"> </w:t>
      </w:r>
      <w:r w:rsidRPr="00EB2D6B">
        <w:rPr>
          <w:rFonts w:ascii="Arial" w:hAnsi="Arial" w:cs="Arial"/>
          <w:b/>
        </w:rPr>
        <w:t>pokles</w:t>
      </w:r>
      <w:r w:rsidRPr="00EB2D6B">
        <w:rPr>
          <w:rFonts w:ascii="Arial" w:hAnsi="Arial" w:cs="Arial"/>
        </w:rPr>
        <w:t xml:space="preserve"> </w:t>
      </w:r>
      <w:r w:rsidRPr="00EB2D6B">
        <w:rPr>
          <w:rFonts w:ascii="Arial" w:hAnsi="Arial" w:cs="Arial"/>
          <w:bCs/>
        </w:rPr>
        <w:t xml:space="preserve">byl </w:t>
      </w:r>
      <w:r w:rsidRPr="002B06BF">
        <w:rPr>
          <w:rFonts w:ascii="Arial" w:hAnsi="Arial" w:cs="Arial"/>
        </w:rPr>
        <w:t xml:space="preserve">zaznamenán </w:t>
      </w:r>
      <w:r w:rsidRPr="002B06BF">
        <w:rPr>
          <w:rFonts w:ascii="Arial" w:hAnsi="Arial" w:cs="Arial"/>
          <w:b/>
        </w:rPr>
        <w:t>v</w:t>
      </w:r>
      <w:r>
        <w:rPr>
          <w:rFonts w:ascii="Arial" w:hAnsi="Arial" w:cs="Arial"/>
          <w:b/>
        </w:rPr>
        <w:t>e 14</w:t>
      </w:r>
      <w:r w:rsidRPr="002B06BF">
        <w:rPr>
          <w:rFonts w:ascii="Arial" w:hAnsi="Arial" w:cs="Arial"/>
          <w:b/>
        </w:rPr>
        <w:t> </w:t>
      </w:r>
      <w:r w:rsidRPr="002B06BF">
        <w:rPr>
          <w:rFonts w:ascii="Arial" w:hAnsi="Arial" w:cs="Arial"/>
          <w:b/>
          <w:bCs/>
        </w:rPr>
        <w:t>okresech</w:t>
      </w:r>
      <w:r>
        <w:rPr>
          <w:rFonts w:ascii="Arial" w:hAnsi="Arial" w:cs="Arial"/>
          <w:b/>
          <w:bCs/>
        </w:rPr>
        <w:t xml:space="preserve">, největší </w:t>
      </w:r>
      <w:r w:rsidRPr="004E700C">
        <w:rPr>
          <w:rFonts w:ascii="Arial" w:hAnsi="Arial" w:cs="Arial"/>
          <w:bCs/>
        </w:rPr>
        <w:t>v okresech</w:t>
      </w:r>
      <w:r w:rsidRPr="002B06BF">
        <w:rPr>
          <w:rFonts w:ascii="Arial" w:hAnsi="Arial" w:cs="Arial"/>
          <w:bCs/>
        </w:rPr>
        <w:t xml:space="preserve"> </w:t>
      </w:r>
      <w:r>
        <w:rPr>
          <w:rFonts w:ascii="Arial" w:hAnsi="Arial" w:cs="Arial"/>
          <w:bCs/>
        </w:rPr>
        <w:t>Jihlava (o 4,5 %), Havlíčkův Brod (o 3,9 </w:t>
      </w:r>
      <w:r w:rsidRPr="002B06BF">
        <w:rPr>
          <w:rFonts w:ascii="Arial" w:hAnsi="Arial" w:cs="Arial"/>
          <w:bCs/>
        </w:rPr>
        <w:t>%)</w:t>
      </w:r>
      <w:r>
        <w:rPr>
          <w:rFonts w:ascii="Arial" w:hAnsi="Arial" w:cs="Arial"/>
          <w:bCs/>
        </w:rPr>
        <w:t xml:space="preserve"> </w:t>
      </w:r>
      <w:r w:rsidRPr="002B06BF">
        <w:rPr>
          <w:rFonts w:ascii="Arial" w:hAnsi="Arial" w:cs="Arial"/>
          <w:bCs/>
        </w:rPr>
        <w:t>a</w:t>
      </w:r>
      <w:r>
        <w:rPr>
          <w:rFonts w:ascii="Arial" w:hAnsi="Arial" w:cs="Arial"/>
          <w:bCs/>
        </w:rPr>
        <w:t xml:space="preserve"> Pardubice</w:t>
      </w:r>
      <w:r w:rsidRPr="002B06BF">
        <w:rPr>
          <w:rFonts w:ascii="Arial" w:hAnsi="Arial" w:cs="Arial"/>
          <w:bCs/>
        </w:rPr>
        <w:t xml:space="preserve"> (o </w:t>
      </w:r>
      <w:r>
        <w:rPr>
          <w:rFonts w:ascii="Arial" w:hAnsi="Arial" w:cs="Arial"/>
          <w:bCs/>
        </w:rPr>
        <w:t>2,5</w:t>
      </w:r>
      <w:r w:rsidRPr="002B06BF">
        <w:rPr>
          <w:rFonts w:ascii="Arial" w:hAnsi="Arial" w:cs="Arial"/>
          <w:bCs/>
        </w:rPr>
        <w:t> </w:t>
      </w:r>
      <w:r w:rsidRPr="004E700C">
        <w:rPr>
          <w:rFonts w:ascii="Arial" w:hAnsi="Arial" w:cs="Arial"/>
          <w:bCs/>
        </w:rPr>
        <w:t>%).</w:t>
      </w:r>
      <w:r w:rsidRPr="004E700C">
        <w:rPr>
          <w:rFonts w:ascii="Arial" w:hAnsi="Arial" w:cs="Arial"/>
          <w:b/>
          <w:bCs/>
        </w:rPr>
        <w:t xml:space="preserve"> </w:t>
      </w:r>
    </w:p>
    <w:p w:rsidR="003451E3" w:rsidRPr="00AB524C" w:rsidRDefault="003451E3" w:rsidP="003451E3">
      <w:pPr>
        <w:spacing w:after="120"/>
        <w:jc w:val="both"/>
        <w:rPr>
          <w:rFonts w:ascii="Arial" w:hAnsi="Arial" w:cs="Arial"/>
          <w:b/>
          <w:bCs/>
        </w:rPr>
      </w:pPr>
      <w:r w:rsidRPr="00261B36">
        <w:rPr>
          <w:rFonts w:ascii="Arial" w:hAnsi="Arial" w:cs="Arial"/>
        </w:rPr>
        <w:tab/>
      </w:r>
      <w:r w:rsidRPr="008A7BB0">
        <w:rPr>
          <w:rFonts w:ascii="Arial" w:hAnsi="Arial" w:cs="Arial"/>
          <w:b/>
          <w:bCs/>
        </w:rPr>
        <w:t xml:space="preserve">Ke konci </w:t>
      </w:r>
      <w:r>
        <w:rPr>
          <w:rFonts w:ascii="Arial" w:hAnsi="Arial" w:cs="Arial"/>
          <w:b/>
          <w:bCs/>
        </w:rPr>
        <w:t>září</w:t>
      </w:r>
      <w:r w:rsidRPr="008A7BB0">
        <w:rPr>
          <w:rFonts w:ascii="Arial" w:hAnsi="Arial" w:cs="Arial"/>
          <w:b/>
          <w:bCs/>
        </w:rPr>
        <w:t xml:space="preserve"> evidoval </w:t>
      </w:r>
      <w:r>
        <w:rPr>
          <w:rFonts w:ascii="Arial" w:hAnsi="Arial" w:cs="Arial"/>
          <w:b/>
          <w:bCs/>
        </w:rPr>
        <w:t>ÚP </w:t>
      </w:r>
      <w:r w:rsidRPr="004A3993">
        <w:rPr>
          <w:rFonts w:ascii="Arial" w:hAnsi="Arial" w:cs="Arial"/>
          <w:b/>
          <w:bCs/>
        </w:rPr>
        <w:t>ČR 2</w:t>
      </w:r>
      <w:r>
        <w:rPr>
          <w:rFonts w:ascii="Arial" w:hAnsi="Arial" w:cs="Arial"/>
          <w:b/>
          <w:bCs/>
        </w:rPr>
        <w:t>83</w:t>
      </w:r>
      <w:r w:rsidRPr="004A3993">
        <w:rPr>
          <w:rFonts w:ascii="Arial" w:hAnsi="Arial" w:cs="Arial"/>
          <w:b/>
          <w:bCs/>
        </w:rPr>
        <w:t> </w:t>
      </w:r>
      <w:r>
        <w:rPr>
          <w:rFonts w:ascii="Arial" w:hAnsi="Arial" w:cs="Arial"/>
          <w:b/>
          <w:bCs/>
        </w:rPr>
        <w:t>386</w:t>
      </w:r>
      <w:r w:rsidRPr="004A3993">
        <w:rPr>
          <w:rFonts w:ascii="Arial" w:hAnsi="Arial" w:cs="Arial"/>
          <w:b/>
          <w:bCs/>
        </w:rPr>
        <w:t xml:space="preserve"> žen</w:t>
      </w:r>
      <w:r w:rsidRPr="00AB524C">
        <w:rPr>
          <w:rFonts w:ascii="Arial" w:hAnsi="Arial" w:cs="Arial"/>
        </w:rPr>
        <w:t xml:space="preserve">. Jejich podíl na celkovém počtu uchazečů </w:t>
      </w:r>
      <w:r w:rsidRPr="00270D3A">
        <w:rPr>
          <w:rFonts w:ascii="Arial" w:hAnsi="Arial" w:cs="Arial"/>
        </w:rPr>
        <w:t>činil 5</w:t>
      </w:r>
      <w:r>
        <w:rPr>
          <w:rFonts w:ascii="Arial" w:hAnsi="Arial" w:cs="Arial"/>
        </w:rPr>
        <w:t>0</w:t>
      </w:r>
      <w:r w:rsidRPr="00270D3A">
        <w:rPr>
          <w:rFonts w:ascii="Arial" w:hAnsi="Arial" w:cs="Arial"/>
        </w:rPr>
        <w:t>,</w:t>
      </w:r>
      <w:r>
        <w:rPr>
          <w:rFonts w:ascii="Arial" w:hAnsi="Arial" w:cs="Arial"/>
        </w:rPr>
        <w:t>9</w:t>
      </w:r>
      <w:r w:rsidRPr="00270D3A">
        <w:rPr>
          <w:rFonts w:ascii="Arial" w:hAnsi="Arial" w:cs="Arial"/>
        </w:rPr>
        <w:t> %. V</w:t>
      </w:r>
      <w:r w:rsidRPr="00AB524C">
        <w:rPr>
          <w:rFonts w:ascii="Arial" w:hAnsi="Arial" w:cs="Arial"/>
        </w:rPr>
        <w:t xml:space="preserve"> evidenci </w:t>
      </w:r>
      <w:r w:rsidRPr="009C55EF">
        <w:rPr>
          <w:rFonts w:ascii="Arial" w:hAnsi="Arial" w:cs="Arial"/>
        </w:rPr>
        <w:t xml:space="preserve">bylo </w:t>
      </w:r>
      <w:r w:rsidRPr="009C55EF">
        <w:rPr>
          <w:rFonts w:ascii="Arial" w:hAnsi="Arial" w:cs="Arial"/>
          <w:b/>
        </w:rPr>
        <w:t>61 </w:t>
      </w:r>
      <w:r>
        <w:rPr>
          <w:rFonts w:ascii="Arial" w:hAnsi="Arial" w:cs="Arial"/>
          <w:b/>
        </w:rPr>
        <w:t>354</w:t>
      </w:r>
      <w:r w:rsidRPr="009C55EF">
        <w:rPr>
          <w:rFonts w:ascii="Arial" w:hAnsi="Arial" w:cs="Arial"/>
          <w:b/>
        </w:rPr>
        <w:t> o</w:t>
      </w:r>
      <w:r w:rsidRPr="009C55EF">
        <w:rPr>
          <w:rFonts w:ascii="Arial" w:hAnsi="Arial" w:cs="Arial"/>
          <w:b/>
          <w:bCs/>
        </w:rPr>
        <w:t>sob</w:t>
      </w:r>
      <w:r w:rsidRPr="00AB524C">
        <w:rPr>
          <w:rFonts w:ascii="Arial" w:hAnsi="Arial" w:cs="Arial"/>
          <w:b/>
          <w:bCs/>
        </w:rPr>
        <w:t xml:space="preserve"> se zdravotním postižením</w:t>
      </w:r>
      <w:r w:rsidRPr="00AB524C">
        <w:rPr>
          <w:rFonts w:ascii="Arial" w:hAnsi="Arial" w:cs="Arial"/>
        </w:rPr>
        <w:t xml:space="preserve">, což </w:t>
      </w:r>
      <w:r w:rsidRPr="0062419F">
        <w:rPr>
          <w:rFonts w:ascii="Arial" w:hAnsi="Arial" w:cs="Arial"/>
        </w:rPr>
        <w:t>představovalo 11,</w:t>
      </w:r>
      <w:r>
        <w:rPr>
          <w:rFonts w:ascii="Arial" w:hAnsi="Arial" w:cs="Arial"/>
        </w:rPr>
        <w:t>0</w:t>
      </w:r>
      <w:r w:rsidRPr="0062419F">
        <w:rPr>
          <w:rFonts w:ascii="Arial" w:hAnsi="Arial" w:cs="Arial"/>
        </w:rPr>
        <w:t> % z celkového</w:t>
      </w:r>
      <w:r w:rsidRPr="00AB524C">
        <w:rPr>
          <w:rFonts w:ascii="Arial" w:hAnsi="Arial" w:cs="Arial"/>
        </w:rPr>
        <w:t xml:space="preserve"> počtu nezaměstnaných.</w:t>
      </w:r>
    </w:p>
    <w:p w:rsidR="003451E3" w:rsidRPr="00BF4549" w:rsidRDefault="003451E3" w:rsidP="003451E3">
      <w:pPr>
        <w:spacing w:after="120"/>
        <w:jc w:val="both"/>
        <w:rPr>
          <w:rFonts w:ascii="Arial" w:hAnsi="Arial" w:cs="Arial"/>
        </w:rPr>
      </w:pPr>
      <w:r w:rsidRPr="004F2D87">
        <w:rPr>
          <w:rFonts w:ascii="Arial" w:hAnsi="Arial" w:cs="Arial"/>
          <w:color w:val="0000FF"/>
        </w:rPr>
        <w:tab/>
      </w:r>
      <w:r w:rsidRPr="004F2D87">
        <w:rPr>
          <w:rFonts w:ascii="Arial" w:hAnsi="Arial" w:cs="Arial"/>
          <w:b/>
          <w:bCs/>
        </w:rPr>
        <w:t>K 3</w:t>
      </w:r>
      <w:r>
        <w:rPr>
          <w:rFonts w:ascii="Arial" w:hAnsi="Arial" w:cs="Arial"/>
          <w:b/>
          <w:bCs/>
        </w:rPr>
        <w:t>0</w:t>
      </w:r>
      <w:r w:rsidRPr="004F2D87">
        <w:rPr>
          <w:rFonts w:ascii="Arial" w:hAnsi="Arial" w:cs="Arial"/>
          <w:b/>
          <w:bCs/>
        </w:rPr>
        <w:t>. </w:t>
      </w:r>
      <w:r>
        <w:rPr>
          <w:rFonts w:ascii="Arial" w:hAnsi="Arial" w:cs="Arial"/>
          <w:b/>
          <w:bCs/>
        </w:rPr>
        <w:t>9.</w:t>
      </w:r>
      <w:r w:rsidRPr="004F2D87">
        <w:rPr>
          <w:rFonts w:ascii="Arial" w:hAnsi="Arial" w:cs="Arial"/>
          <w:b/>
          <w:bCs/>
        </w:rPr>
        <w:t xml:space="preserve"> 2013 bylo </w:t>
      </w:r>
      <w:r w:rsidRPr="00541565">
        <w:rPr>
          <w:rFonts w:ascii="Arial" w:hAnsi="Arial" w:cs="Arial"/>
          <w:b/>
          <w:bCs/>
        </w:rPr>
        <w:t xml:space="preserve">evidováno </w:t>
      </w:r>
      <w:r>
        <w:rPr>
          <w:rFonts w:ascii="Arial" w:hAnsi="Arial" w:cs="Arial"/>
          <w:b/>
          <w:bCs/>
        </w:rPr>
        <w:t>41 181</w:t>
      </w:r>
      <w:r w:rsidRPr="00541565">
        <w:rPr>
          <w:rFonts w:ascii="Arial" w:hAnsi="Arial" w:cs="Arial"/>
          <w:b/>
          <w:bCs/>
        </w:rPr>
        <w:t xml:space="preserve"> absolventů</w:t>
      </w:r>
      <w:r w:rsidRPr="00274D81">
        <w:rPr>
          <w:rFonts w:ascii="Arial" w:hAnsi="Arial" w:cs="Arial"/>
          <w:b/>
          <w:bCs/>
        </w:rPr>
        <w:t xml:space="preserve"> škol</w:t>
      </w:r>
      <w:r w:rsidRPr="00274D81">
        <w:rPr>
          <w:rFonts w:ascii="Arial" w:hAnsi="Arial" w:cs="Arial"/>
        </w:rPr>
        <w:t xml:space="preserve"> všech stupňů vzdělání </w:t>
      </w:r>
      <w:r w:rsidRPr="00274D81">
        <w:rPr>
          <w:rFonts w:ascii="Arial" w:hAnsi="Arial" w:cs="Arial"/>
          <w:b/>
          <w:bCs/>
        </w:rPr>
        <w:t>a mladistvých</w:t>
      </w:r>
      <w:r w:rsidRPr="00274D81">
        <w:rPr>
          <w:rFonts w:ascii="Arial" w:hAnsi="Arial" w:cs="Arial"/>
        </w:rPr>
        <w:t xml:space="preserve">, jejich </w:t>
      </w:r>
      <w:r w:rsidRPr="00905439">
        <w:rPr>
          <w:rFonts w:ascii="Arial" w:hAnsi="Arial" w:cs="Arial"/>
        </w:rPr>
        <w:t>počet vzrostl ve srovnání s předchozím měsícem o </w:t>
      </w:r>
      <w:r>
        <w:rPr>
          <w:rFonts w:ascii="Arial" w:hAnsi="Arial" w:cs="Arial"/>
        </w:rPr>
        <w:t>9</w:t>
      </w:r>
      <w:r w:rsidRPr="00905439">
        <w:rPr>
          <w:rFonts w:ascii="Arial" w:hAnsi="Arial" w:cs="Arial"/>
        </w:rPr>
        <w:t> </w:t>
      </w:r>
      <w:r>
        <w:rPr>
          <w:rFonts w:ascii="Arial" w:hAnsi="Arial" w:cs="Arial"/>
        </w:rPr>
        <w:t>270</w:t>
      </w:r>
      <w:r w:rsidRPr="00905439">
        <w:rPr>
          <w:rFonts w:ascii="Arial" w:hAnsi="Arial" w:cs="Arial"/>
        </w:rPr>
        <w:t> osob</w:t>
      </w:r>
      <w:r w:rsidRPr="00274D81">
        <w:rPr>
          <w:rFonts w:ascii="Arial" w:hAnsi="Arial" w:cs="Arial"/>
        </w:rPr>
        <w:t xml:space="preserve"> a ve srovnání s</w:t>
      </w:r>
      <w:r>
        <w:rPr>
          <w:rFonts w:ascii="Arial" w:hAnsi="Arial" w:cs="Arial"/>
        </w:rPr>
        <w:t> měsícem září</w:t>
      </w:r>
      <w:r w:rsidRPr="00966428">
        <w:rPr>
          <w:rFonts w:ascii="Arial" w:hAnsi="Arial" w:cs="Arial"/>
        </w:rPr>
        <w:t xml:space="preserve"> 2012 </w:t>
      </w:r>
      <w:r w:rsidRPr="00C141EF">
        <w:rPr>
          <w:rFonts w:ascii="Arial" w:hAnsi="Arial" w:cs="Arial"/>
        </w:rPr>
        <w:t>byl vyšší o </w:t>
      </w:r>
      <w:r>
        <w:rPr>
          <w:rFonts w:ascii="Arial" w:hAnsi="Arial" w:cs="Arial"/>
        </w:rPr>
        <w:t>6</w:t>
      </w:r>
      <w:r w:rsidRPr="00C141EF">
        <w:rPr>
          <w:rFonts w:ascii="Arial" w:hAnsi="Arial" w:cs="Arial"/>
        </w:rPr>
        <w:t> </w:t>
      </w:r>
      <w:r>
        <w:rPr>
          <w:rFonts w:ascii="Arial" w:hAnsi="Arial" w:cs="Arial"/>
        </w:rPr>
        <w:t>582</w:t>
      </w:r>
      <w:r w:rsidRPr="00C141EF">
        <w:rPr>
          <w:rFonts w:ascii="Arial" w:hAnsi="Arial" w:cs="Arial"/>
        </w:rPr>
        <w:t xml:space="preserve"> osob. Na</w:t>
      </w:r>
      <w:r w:rsidRPr="00274D81">
        <w:rPr>
          <w:rFonts w:ascii="Arial" w:hAnsi="Arial" w:cs="Arial"/>
        </w:rPr>
        <w:t xml:space="preserve"> celkové nezaměstnanosti se </w:t>
      </w:r>
      <w:r w:rsidRPr="00237D8A">
        <w:rPr>
          <w:rFonts w:ascii="Arial" w:hAnsi="Arial" w:cs="Arial"/>
        </w:rPr>
        <w:t xml:space="preserve">podíleli </w:t>
      </w:r>
      <w:r>
        <w:rPr>
          <w:rFonts w:ascii="Arial" w:hAnsi="Arial" w:cs="Arial"/>
        </w:rPr>
        <w:t>7</w:t>
      </w:r>
      <w:r w:rsidRPr="00237D8A">
        <w:rPr>
          <w:rFonts w:ascii="Arial" w:hAnsi="Arial" w:cs="Arial"/>
        </w:rPr>
        <w:t>,</w:t>
      </w:r>
      <w:r>
        <w:rPr>
          <w:rFonts w:ascii="Arial" w:hAnsi="Arial" w:cs="Arial"/>
        </w:rPr>
        <w:t>4</w:t>
      </w:r>
      <w:r w:rsidRPr="00237D8A">
        <w:rPr>
          <w:rFonts w:ascii="Arial" w:hAnsi="Arial" w:cs="Arial"/>
        </w:rPr>
        <w:t> % (</w:t>
      </w:r>
      <w:r>
        <w:rPr>
          <w:rFonts w:ascii="Arial" w:hAnsi="Arial" w:cs="Arial"/>
        </w:rPr>
        <w:t>srpen</w:t>
      </w:r>
      <w:r w:rsidRPr="00823328">
        <w:rPr>
          <w:rFonts w:ascii="Arial" w:hAnsi="Arial" w:cs="Arial"/>
        </w:rPr>
        <w:t xml:space="preserve"> 2013 – 5,</w:t>
      </w:r>
      <w:r>
        <w:rPr>
          <w:rFonts w:ascii="Arial" w:hAnsi="Arial" w:cs="Arial"/>
        </w:rPr>
        <w:t>8</w:t>
      </w:r>
      <w:r w:rsidRPr="00823328">
        <w:rPr>
          <w:rFonts w:ascii="Arial" w:hAnsi="Arial" w:cs="Arial"/>
        </w:rPr>
        <w:t> </w:t>
      </w:r>
      <w:r w:rsidRPr="00BF4549">
        <w:rPr>
          <w:rFonts w:ascii="Arial" w:hAnsi="Arial" w:cs="Arial"/>
        </w:rPr>
        <w:t xml:space="preserve">%, </w:t>
      </w:r>
      <w:r>
        <w:rPr>
          <w:rFonts w:ascii="Arial" w:hAnsi="Arial" w:cs="Arial"/>
        </w:rPr>
        <w:t>září</w:t>
      </w:r>
      <w:r w:rsidRPr="00BF4549">
        <w:rPr>
          <w:rFonts w:ascii="Arial" w:hAnsi="Arial" w:cs="Arial"/>
        </w:rPr>
        <w:t xml:space="preserve"> 2012 –</w:t>
      </w:r>
      <w:r>
        <w:rPr>
          <w:rFonts w:ascii="Arial" w:hAnsi="Arial" w:cs="Arial"/>
        </w:rPr>
        <w:t xml:space="preserve"> </w:t>
      </w:r>
      <w:r w:rsidRPr="00BF4549">
        <w:rPr>
          <w:rFonts w:ascii="Arial" w:hAnsi="Arial" w:cs="Arial"/>
        </w:rPr>
        <w:t> </w:t>
      </w:r>
      <w:r>
        <w:rPr>
          <w:rFonts w:ascii="Arial" w:hAnsi="Arial" w:cs="Arial"/>
        </w:rPr>
        <w:t>7,0 </w:t>
      </w:r>
      <w:r w:rsidRPr="00BF4549">
        <w:rPr>
          <w:rFonts w:ascii="Arial" w:hAnsi="Arial" w:cs="Arial"/>
        </w:rPr>
        <w:t>%).</w:t>
      </w:r>
    </w:p>
    <w:p w:rsidR="003451E3" w:rsidRPr="00D96FE5" w:rsidRDefault="003451E3" w:rsidP="003451E3">
      <w:pPr>
        <w:spacing w:after="120"/>
        <w:ind w:firstLine="720"/>
        <w:jc w:val="both"/>
        <w:rPr>
          <w:rFonts w:ascii="Arial" w:hAnsi="Arial" w:cs="Arial"/>
        </w:rPr>
      </w:pPr>
      <w:r w:rsidRPr="00EB2D6B">
        <w:rPr>
          <w:rFonts w:ascii="Arial" w:hAnsi="Arial" w:cs="Arial"/>
          <w:b/>
          <w:bCs/>
        </w:rPr>
        <w:t xml:space="preserve">Podporu v nezaměstnanosti </w:t>
      </w:r>
      <w:r w:rsidRPr="00CA592F">
        <w:rPr>
          <w:rFonts w:ascii="Arial" w:hAnsi="Arial" w:cs="Arial"/>
          <w:b/>
          <w:bCs/>
        </w:rPr>
        <w:t>pobíralo 1</w:t>
      </w:r>
      <w:r>
        <w:rPr>
          <w:rFonts w:ascii="Arial" w:hAnsi="Arial" w:cs="Arial"/>
          <w:b/>
          <w:bCs/>
        </w:rPr>
        <w:t>04</w:t>
      </w:r>
      <w:r w:rsidRPr="00CA592F">
        <w:rPr>
          <w:rFonts w:ascii="Arial" w:hAnsi="Arial" w:cs="Arial"/>
          <w:b/>
          <w:bCs/>
        </w:rPr>
        <w:t> </w:t>
      </w:r>
      <w:r>
        <w:rPr>
          <w:rFonts w:ascii="Arial" w:hAnsi="Arial" w:cs="Arial"/>
          <w:b/>
          <w:bCs/>
        </w:rPr>
        <w:t>244</w:t>
      </w:r>
      <w:r w:rsidRPr="00CA592F">
        <w:rPr>
          <w:rFonts w:ascii="Arial" w:hAnsi="Arial" w:cs="Arial"/>
          <w:b/>
          <w:bCs/>
        </w:rPr>
        <w:t xml:space="preserve"> uchazečů</w:t>
      </w:r>
      <w:r w:rsidRPr="00274D81">
        <w:rPr>
          <w:rFonts w:ascii="Arial" w:hAnsi="Arial" w:cs="Arial"/>
        </w:rPr>
        <w:t xml:space="preserve"> </w:t>
      </w:r>
      <w:r w:rsidRPr="00274D81">
        <w:rPr>
          <w:rFonts w:ascii="Arial" w:hAnsi="Arial" w:cs="Arial"/>
          <w:b/>
          <w:bCs/>
        </w:rPr>
        <w:t>o </w:t>
      </w:r>
      <w:r w:rsidRPr="00C37202">
        <w:rPr>
          <w:rFonts w:ascii="Arial" w:hAnsi="Arial" w:cs="Arial"/>
          <w:b/>
          <w:bCs/>
        </w:rPr>
        <w:t>zaměstnání</w:t>
      </w:r>
      <w:r w:rsidRPr="00C37202">
        <w:rPr>
          <w:rFonts w:ascii="Arial" w:hAnsi="Arial" w:cs="Arial"/>
        </w:rPr>
        <w:t>, tj. </w:t>
      </w:r>
      <w:r>
        <w:rPr>
          <w:rFonts w:ascii="Arial" w:hAnsi="Arial" w:cs="Arial"/>
        </w:rPr>
        <w:t>18</w:t>
      </w:r>
      <w:r w:rsidRPr="00C37202">
        <w:rPr>
          <w:rFonts w:ascii="Arial" w:hAnsi="Arial" w:cs="Arial"/>
        </w:rPr>
        <w:t>,</w:t>
      </w:r>
      <w:r>
        <w:rPr>
          <w:rFonts w:ascii="Arial" w:hAnsi="Arial" w:cs="Arial"/>
        </w:rPr>
        <w:t>7</w:t>
      </w:r>
      <w:r w:rsidRPr="00C37202">
        <w:rPr>
          <w:rFonts w:ascii="Arial" w:hAnsi="Arial" w:cs="Arial"/>
        </w:rPr>
        <w:t> %</w:t>
      </w:r>
      <w:r w:rsidRPr="007218AC">
        <w:rPr>
          <w:rFonts w:ascii="Arial" w:hAnsi="Arial" w:cs="Arial"/>
          <w:color w:val="548DD4" w:themeColor="text2" w:themeTint="99"/>
        </w:rPr>
        <w:t xml:space="preserve"> </w:t>
      </w:r>
      <w:r w:rsidRPr="00274D81">
        <w:rPr>
          <w:rFonts w:ascii="Arial" w:hAnsi="Arial" w:cs="Arial"/>
        </w:rPr>
        <w:t>všech uchazečů vedených v evidenci (</w:t>
      </w:r>
      <w:r>
        <w:rPr>
          <w:rFonts w:ascii="Arial" w:hAnsi="Arial" w:cs="Arial"/>
        </w:rPr>
        <w:t>srpen</w:t>
      </w:r>
      <w:r w:rsidRPr="00BA0D80">
        <w:rPr>
          <w:rFonts w:ascii="Arial" w:hAnsi="Arial" w:cs="Arial"/>
        </w:rPr>
        <w:t xml:space="preserve"> </w:t>
      </w:r>
      <w:proofErr w:type="gramStart"/>
      <w:r w:rsidRPr="00BA0D80">
        <w:rPr>
          <w:rFonts w:ascii="Arial" w:hAnsi="Arial" w:cs="Arial"/>
        </w:rPr>
        <w:t xml:space="preserve">2013 – </w:t>
      </w:r>
      <w:r>
        <w:rPr>
          <w:rFonts w:ascii="Arial" w:hAnsi="Arial" w:cs="Arial"/>
        </w:rPr>
        <w:t xml:space="preserve"> 20,3</w:t>
      </w:r>
      <w:proofErr w:type="gramEnd"/>
      <w:r w:rsidRPr="00BA0D80">
        <w:rPr>
          <w:rFonts w:ascii="Arial" w:hAnsi="Arial" w:cs="Arial"/>
        </w:rPr>
        <w:t xml:space="preserve"> %, </w:t>
      </w:r>
      <w:r>
        <w:rPr>
          <w:rFonts w:ascii="Arial" w:hAnsi="Arial" w:cs="Arial"/>
        </w:rPr>
        <w:t>září</w:t>
      </w:r>
      <w:r w:rsidRPr="00BA0D80">
        <w:rPr>
          <w:rFonts w:ascii="Arial" w:hAnsi="Arial" w:cs="Arial"/>
        </w:rPr>
        <w:t xml:space="preserve"> </w:t>
      </w:r>
      <w:r w:rsidRPr="00D96FE5">
        <w:rPr>
          <w:rFonts w:ascii="Arial" w:hAnsi="Arial" w:cs="Arial"/>
        </w:rPr>
        <w:t>2012 –</w:t>
      </w:r>
      <w:r>
        <w:rPr>
          <w:rFonts w:ascii="Arial" w:hAnsi="Arial" w:cs="Arial"/>
        </w:rPr>
        <w:t xml:space="preserve"> 18,1 </w:t>
      </w:r>
      <w:r w:rsidRPr="00D96FE5">
        <w:rPr>
          <w:rFonts w:ascii="Arial" w:hAnsi="Arial" w:cs="Arial"/>
        </w:rPr>
        <w:t>%).</w:t>
      </w:r>
    </w:p>
    <w:p w:rsidR="003451E3" w:rsidRPr="006F6C24" w:rsidRDefault="003451E3" w:rsidP="003451E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jc w:val="both"/>
        <w:rPr>
          <w:rFonts w:ascii="Arial" w:hAnsi="Arial" w:cs="Arial"/>
        </w:rPr>
      </w:pPr>
      <w:r w:rsidRPr="007E0552">
        <w:rPr>
          <w:rFonts w:ascii="Arial" w:hAnsi="Arial" w:cs="Arial"/>
          <w:b/>
          <w:bCs/>
          <w:color w:val="0000FF"/>
        </w:rPr>
        <w:tab/>
      </w:r>
      <w:r w:rsidRPr="00587013">
        <w:rPr>
          <w:rFonts w:ascii="Arial" w:hAnsi="Arial" w:cs="Arial"/>
          <w:b/>
          <w:bCs/>
        </w:rPr>
        <w:t>P</w:t>
      </w:r>
      <w:r w:rsidRPr="00587013">
        <w:rPr>
          <w:rFonts w:ascii="Arial" w:hAnsi="Arial" w:cs="Arial"/>
          <w:b/>
        </w:rPr>
        <w:t>odíl nezaměstnaných osob</w:t>
      </w:r>
      <w:r w:rsidRPr="00587013">
        <w:rPr>
          <w:rFonts w:ascii="Arial" w:hAnsi="Arial" w:cs="Arial"/>
        </w:rPr>
        <w:t>, tj. počet dosažitelných uchazečů o zaměstnání ve věku 15 – 64 let k obyvatelstvu stejného věku (který počínaje lednem 2013 nahradil míru registrované nezaměstnanosti),</w:t>
      </w:r>
      <w:r>
        <w:rPr>
          <w:rFonts w:ascii="Arial" w:hAnsi="Arial" w:cs="Arial"/>
        </w:rPr>
        <w:t xml:space="preserve"> vzrostl </w:t>
      </w:r>
      <w:r w:rsidRPr="00E23A84">
        <w:rPr>
          <w:rFonts w:ascii="Arial" w:hAnsi="Arial" w:cs="Arial"/>
          <w:b/>
          <w:bCs/>
        </w:rPr>
        <w:t>k </w:t>
      </w:r>
      <w:r>
        <w:rPr>
          <w:rFonts w:ascii="Arial" w:hAnsi="Arial" w:cs="Arial"/>
          <w:b/>
          <w:bCs/>
        </w:rPr>
        <w:t>30</w:t>
      </w:r>
      <w:r w:rsidRPr="00E23A84">
        <w:rPr>
          <w:rFonts w:ascii="Arial" w:hAnsi="Arial" w:cs="Arial"/>
          <w:b/>
          <w:bCs/>
        </w:rPr>
        <w:t>. </w:t>
      </w:r>
      <w:r>
        <w:rPr>
          <w:rFonts w:ascii="Arial" w:hAnsi="Arial" w:cs="Arial"/>
          <w:b/>
          <w:bCs/>
        </w:rPr>
        <w:t>9.</w:t>
      </w:r>
      <w:r w:rsidRPr="00E23A84">
        <w:rPr>
          <w:rFonts w:ascii="Arial" w:hAnsi="Arial" w:cs="Arial"/>
          <w:b/>
          <w:bCs/>
        </w:rPr>
        <w:t> </w:t>
      </w:r>
      <w:r w:rsidRPr="0046266C">
        <w:rPr>
          <w:rFonts w:ascii="Arial" w:hAnsi="Arial" w:cs="Arial"/>
          <w:b/>
          <w:bCs/>
        </w:rPr>
        <w:t xml:space="preserve">2013 </w:t>
      </w:r>
      <w:r>
        <w:rPr>
          <w:rFonts w:ascii="Arial" w:hAnsi="Arial" w:cs="Arial"/>
          <w:b/>
          <w:bCs/>
        </w:rPr>
        <w:t xml:space="preserve">na </w:t>
      </w:r>
      <w:r w:rsidRPr="0046266C">
        <w:rPr>
          <w:rFonts w:ascii="Arial" w:hAnsi="Arial" w:cs="Arial"/>
          <w:b/>
          <w:bCs/>
        </w:rPr>
        <w:t>7,</w:t>
      </w:r>
      <w:r>
        <w:rPr>
          <w:rFonts w:ascii="Arial" w:hAnsi="Arial" w:cs="Arial"/>
          <w:b/>
          <w:bCs/>
        </w:rPr>
        <w:t>6</w:t>
      </w:r>
      <w:r w:rsidRPr="0046266C">
        <w:rPr>
          <w:rFonts w:ascii="Arial" w:hAnsi="Arial" w:cs="Arial"/>
          <w:b/>
          <w:bCs/>
        </w:rPr>
        <w:t xml:space="preserve"> % </w:t>
      </w:r>
      <w:r w:rsidRPr="00DC5B59">
        <w:rPr>
          <w:rFonts w:ascii="Arial" w:hAnsi="Arial" w:cs="Arial"/>
          <w:bCs/>
        </w:rPr>
        <w:t>(</w:t>
      </w:r>
      <w:r>
        <w:rPr>
          <w:rFonts w:ascii="Arial" w:hAnsi="Arial" w:cs="Arial"/>
          <w:bCs/>
        </w:rPr>
        <w:t xml:space="preserve">srpen 2013 – 7,5 %, </w:t>
      </w:r>
      <w:r>
        <w:rPr>
          <w:rFonts w:ascii="Arial" w:hAnsi="Arial" w:cs="Arial"/>
        </w:rPr>
        <w:t xml:space="preserve">září </w:t>
      </w:r>
      <w:r w:rsidRPr="00AD6821">
        <w:rPr>
          <w:rFonts w:ascii="Arial" w:hAnsi="Arial" w:cs="Arial"/>
        </w:rPr>
        <w:t>2012</w:t>
      </w:r>
      <w:r>
        <w:rPr>
          <w:rFonts w:ascii="Arial" w:hAnsi="Arial" w:cs="Arial"/>
        </w:rPr>
        <w:t> </w:t>
      </w:r>
      <w:r w:rsidRPr="00AD6821">
        <w:rPr>
          <w:rFonts w:ascii="Arial" w:hAnsi="Arial" w:cs="Arial"/>
        </w:rPr>
        <w:t>–</w:t>
      </w:r>
      <w:r>
        <w:rPr>
          <w:rFonts w:ascii="Arial" w:hAnsi="Arial" w:cs="Arial"/>
        </w:rPr>
        <w:t> 6,6 </w:t>
      </w:r>
      <w:r w:rsidRPr="00AD6821">
        <w:rPr>
          <w:rFonts w:ascii="Arial" w:hAnsi="Arial" w:cs="Arial"/>
        </w:rPr>
        <w:t>%, zpětně</w:t>
      </w:r>
      <w:r w:rsidRPr="00587013">
        <w:rPr>
          <w:rFonts w:ascii="Arial" w:hAnsi="Arial" w:cs="Arial"/>
        </w:rPr>
        <w:t xml:space="preserve"> spočtená časová řada od roku 2005 je na adrese</w:t>
      </w:r>
      <w:r>
        <w:rPr>
          <w:rFonts w:ascii="Arial" w:hAnsi="Arial" w:cs="Arial"/>
        </w:rPr>
        <w:t xml:space="preserve"> </w:t>
      </w:r>
      <w:hyperlink r:id="rId8" w:history="1">
        <w:r w:rsidRPr="00E2156B">
          <w:rPr>
            <w:rStyle w:val="Hypertextovodkaz"/>
            <w:rFonts w:ascii="Arial" w:hAnsi="Arial" w:cs="Arial"/>
          </w:rPr>
          <w:t>http://portal.mpsv.cz/sz/stat/nz/casove_rady</w:t>
        </w:r>
      </w:hyperlink>
      <w:r w:rsidRPr="00587013">
        <w:rPr>
          <w:rFonts w:ascii="Arial" w:hAnsi="Arial" w:cs="Arial"/>
        </w:rPr>
        <w:t xml:space="preserve">). </w:t>
      </w:r>
      <w:r w:rsidRPr="00587013">
        <w:rPr>
          <w:rFonts w:ascii="Arial" w:hAnsi="Arial" w:cs="Arial"/>
          <w:b/>
        </w:rPr>
        <w:t>Podíl nezaměstnaných</w:t>
      </w:r>
      <w:r w:rsidRPr="00587013">
        <w:rPr>
          <w:rFonts w:ascii="Arial" w:hAnsi="Arial" w:cs="Arial"/>
        </w:rPr>
        <w:t xml:space="preserve"> </w:t>
      </w:r>
      <w:r w:rsidRPr="00587013">
        <w:rPr>
          <w:rFonts w:ascii="Arial" w:hAnsi="Arial" w:cs="Arial"/>
          <w:b/>
          <w:bCs/>
        </w:rPr>
        <w:t xml:space="preserve">stejný nebo vyšší než republikový průměr </w:t>
      </w:r>
      <w:r w:rsidRPr="00934CAD">
        <w:rPr>
          <w:rFonts w:ascii="Arial" w:hAnsi="Arial" w:cs="Arial"/>
        </w:rPr>
        <w:t xml:space="preserve">vykázalo </w:t>
      </w:r>
      <w:r w:rsidRPr="00934CAD">
        <w:rPr>
          <w:rFonts w:ascii="Arial" w:hAnsi="Arial" w:cs="Arial"/>
          <w:b/>
        </w:rPr>
        <w:t>3</w:t>
      </w:r>
      <w:r>
        <w:rPr>
          <w:rFonts w:ascii="Arial" w:hAnsi="Arial" w:cs="Arial"/>
          <w:b/>
        </w:rPr>
        <w:t>8</w:t>
      </w:r>
      <w:r w:rsidRPr="00934CAD">
        <w:rPr>
          <w:rFonts w:ascii="Arial" w:hAnsi="Arial" w:cs="Arial"/>
          <w:b/>
        </w:rPr>
        <w:t> okresů</w:t>
      </w:r>
      <w:r w:rsidRPr="00934CAD">
        <w:rPr>
          <w:rFonts w:ascii="Arial" w:hAnsi="Arial" w:cs="Arial"/>
        </w:rPr>
        <w:t>, nejvyšší</w:t>
      </w:r>
      <w:r w:rsidRPr="00587013">
        <w:rPr>
          <w:rFonts w:ascii="Arial" w:hAnsi="Arial" w:cs="Arial"/>
        </w:rPr>
        <w:t xml:space="preserve"> byl v </w:t>
      </w:r>
      <w:r w:rsidRPr="00934CAD">
        <w:rPr>
          <w:rFonts w:ascii="Arial" w:hAnsi="Arial" w:cs="Arial"/>
        </w:rPr>
        <w:t>okresech Most (13,6 %),</w:t>
      </w:r>
      <w:r w:rsidRPr="00D20EF4">
        <w:rPr>
          <w:rFonts w:ascii="Arial" w:hAnsi="Arial" w:cs="Arial"/>
          <w:color w:val="548DD4" w:themeColor="text2" w:themeTint="99"/>
        </w:rPr>
        <w:t xml:space="preserve"> </w:t>
      </w:r>
      <w:r w:rsidRPr="00934CAD">
        <w:rPr>
          <w:rFonts w:ascii="Arial" w:hAnsi="Arial" w:cs="Arial"/>
        </w:rPr>
        <w:t xml:space="preserve">Bruntál </w:t>
      </w:r>
      <w:r>
        <w:rPr>
          <w:rFonts w:ascii="Arial" w:hAnsi="Arial" w:cs="Arial"/>
        </w:rPr>
        <w:t xml:space="preserve">(12,4 %), </w:t>
      </w:r>
      <w:r w:rsidRPr="00934CAD">
        <w:rPr>
          <w:rFonts w:ascii="Arial" w:hAnsi="Arial" w:cs="Arial"/>
        </w:rPr>
        <w:t>Ústí nad Labem (12,</w:t>
      </w:r>
      <w:r>
        <w:rPr>
          <w:rFonts w:ascii="Arial" w:hAnsi="Arial" w:cs="Arial"/>
        </w:rPr>
        <w:t>3</w:t>
      </w:r>
      <w:r w:rsidRPr="004035A6">
        <w:rPr>
          <w:rFonts w:ascii="Arial" w:hAnsi="Arial" w:cs="Arial"/>
        </w:rPr>
        <w:t> %)</w:t>
      </w:r>
      <w:r>
        <w:rPr>
          <w:rFonts w:ascii="Arial" w:hAnsi="Arial" w:cs="Arial"/>
        </w:rPr>
        <w:t xml:space="preserve"> a</w:t>
      </w:r>
      <w:r w:rsidRPr="004035A6">
        <w:rPr>
          <w:rFonts w:ascii="Arial" w:hAnsi="Arial" w:cs="Arial"/>
        </w:rPr>
        <w:t xml:space="preserve"> Karviná (1</w:t>
      </w:r>
      <w:r>
        <w:rPr>
          <w:rFonts w:ascii="Arial" w:hAnsi="Arial" w:cs="Arial"/>
        </w:rPr>
        <w:t>2</w:t>
      </w:r>
      <w:r w:rsidRPr="004035A6">
        <w:rPr>
          <w:rFonts w:ascii="Arial" w:hAnsi="Arial" w:cs="Arial"/>
        </w:rPr>
        <w:t>,</w:t>
      </w:r>
      <w:r>
        <w:rPr>
          <w:rFonts w:ascii="Arial" w:hAnsi="Arial" w:cs="Arial"/>
        </w:rPr>
        <w:t>2 %)</w:t>
      </w:r>
      <w:r w:rsidRPr="004035A6">
        <w:rPr>
          <w:rFonts w:ascii="Arial" w:hAnsi="Arial" w:cs="Arial"/>
        </w:rPr>
        <w:t xml:space="preserve">. </w:t>
      </w:r>
      <w:r w:rsidRPr="004035A6">
        <w:rPr>
          <w:rFonts w:ascii="Arial" w:hAnsi="Arial" w:cs="Arial"/>
          <w:b/>
          <w:bCs/>
        </w:rPr>
        <w:t>Nejnižší</w:t>
      </w:r>
      <w:r w:rsidRPr="00587013">
        <w:rPr>
          <w:rFonts w:ascii="Arial" w:hAnsi="Arial" w:cs="Arial"/>
          <w:b/>
          <w:bCs/>
        </w:rPr>
        <w:t xml:space="preserve"> podíl nezaměstnaných</w:t>
      </w:r>
      <w:r w:rsidRPr="00587013">
        <w:rPr>
          <w:rFonts w:ascii="Arial" w:hAnsi="Arial" w:cs="Arial"/>
        </w:rPr>
        <w:t xml:space="preserve"> byl zaznamenán v </w:t>
      </w:r>
      <w:r w:rsidRPr="007B789E">
        <w:rPr>
          <w:rFonts w:ascii="Arial" w:hAnsi="Arial" w:cs="Arial"/>
        </w:rPr>
        <w:t>okresech Praha-východ (3,4 %), Praha-západ (4,2 </w:t>
      </w:r>
      <w:r w:rsidRPr="005A5957">
        <w:rPr>
          <w:rFonts w:ascii="Arial" w:hAnsi="Arial" w:cs="Arial"/>
        </w:rPr>
        <w:t xml:space="preserve">%), </w:t>
      </w:r>
      <w:r>
        <w:rPr>
          <w:rFonts w:ascii="Arial" w:hAnsi="Arial" w:cs="Arial"/>
        </w:rPr>
        <w:t>Pelhřimov</w:t>
      </w:r>
      <w:r w:rsidRPr="007E7054">
        <w:rPr>
          <w:rFonts w:ascii="Arial" w:hAnsi="Arial" w:cs="Arial"/>
        </w:rPr>
        <w:t xml:space="preserve"> </w:t>
      </w:r>
      <w:r>
        <w:rPr>
          <w:rFonts w:ascii="Arial" w:hAnsi="Arial" w:cs="Arial"/>
        </w:rPr>
        <w:t xml:space="preserve">a </w:t>
      </w:r>
      <w:r w:rsidRPr="007E7054">
        <w:rPr>
          <w:rFonts w:ascii="Arial" w:hAnsi="Arial" w:cs="Arial"/>
        </w:rPr>
        <w:t>Prachatice</w:t>
      </w:r>
      <w:r>
        <w:rPr>
          <w:rFonts w:ascii="Arial" w:hAnsi="Arial" w:cs="Arial"/>
        </w:rPr>
        <w:t xml:space="preserve"> (shodně 4,6 %) a </w:t>
      </w:r>
      <w:r w:rsidRPr="005A5957">
        <w:rPr>
          <w:rFonts w:ascii="Arial" w:hAnsi="Arial" w:cs="Arial"/>
        </w:rPr>
        <w:t>Mladá Boleslav (4,</w:t>
      </w:r>
      <w:r>
        <w:rPr>
          <w:rFonts w:ascii="Arial" w:hAnsi="Arial" w:cs="Arial"/>
        </w:rPr>
        <w:t>8 </w:t>
      </w:r>
      <w:r w:rsidRPr="007E7054">
        <w:rPr>
          <w:rFonts w:ascii="Arial" w:hAnsi="Arial" w:cs="Arial"/>
        </w:rPr>
        <w:t>%)</w:t>
      </w:r>
      <w:r w:rsidRPr="00FF5FAD">
        <w:rPr>
          <w:rFonts w:ascii="Arial" w:hAnsi="Arial" w:cs="Arial"/>
        </w:rPr>
        <w:t xml:space="preserve">. </w:t>
      </w:r>
      <w:r w:rsidRPr="00FF5FAD">
        <w:rPr>
          <w:rFonts w:ascii="Arial" w:hAnsi="Arial" w:cs="Arial"/>
          <w:b/>
          <w:bCs/>
        </w:rPr>
        <w:t xml:space="preserve">Podíl nezaměstnaných žen </w:t>
      </w:r>
      <w:r>
        <w:rPr>
          <w:rFonts w:ascii="Arial" w:hAnsi="Arial" w:cs="Arial"/>
          <w:b/>
          <w:bCs/>
        </w:rPr>
        <w:t xml:space="preserve">zůstal </w:t>
      </w:r>
      <w:r w:rsidRPr="00FF5FAD">
        <w:rPr>
          <w:rFonts w:ascii="Arial" w:hAnsi="Arial" w:cs="Arial"/>
          <w:b/>
          <w:bCs/>
        </w:rPr>
        <w:t xml:space="preserve">na </w:t>
      </w:r>
      <w:r>
        <w:rPr>
          <w:rFonts w:ascii="Arial" w:hAnsi="Arial" w:cs="Arial"/>
          <w:b/>
          <w:bCs/>
        </w:rPr>
        <w:t xml:space="preserve">hodnotě </w:t>
      </w:r>
      <w:r w:rsidRPr="00FF5FAD">
        <w:rPr>
          <w:rFonts w:ascii="Arial" w:hAnsi="Arial" w:cs="Arial"/>
          <w:b/>
          <w:bCs/>
        </w:rPr>
        <w:t>7,</w:t>
      </w:r>
      <w:r>
        <w:rPr>
          <w:rFonts w:ascii="Arial" w:hAnsi="Arial" w:cs="Arial"/>
          <w:b/>
          <w:bCs/>
        </w:rPr>
        <w:t>8</w:t>
      </w:r>
      <w:r w:rsidRPr="00FF5FAD">
        <w:rPr>
          <w:rFonts w:ascii="Arial" w:hAnsi="Arial" w:cs="Arial"/>
          <w:b/>
          <w:bCs/>
        </w:rPr>
        <w:t> %</w:t>
      </w:r>
      <w:r w:rsidRPr="00D20EF4">
        <w:rPr>
          <w:rFonts w:ascii="Arial" w:hAnsi="Arial" w:cs="Arial"/>
          <w:b/>
          <w:bCs/>
          <w:color w:val="548DD4" w:themeColor="text2" w:themeTint="99"/>
        </w:rPr>
        <w:t xml:space="preserve"> </w:t>
      </w:r>
      <w:r w:rsidRPr="006F6C24">
        <w:rPr>
          <w:rFonts w:ascii="Arial" w:hAnsi="Arial" w:cs="Arial"/>
          <w:b/>
          <w:bCs/>
        </w:rPr>
        <w:t xml:space="preserve">a mužů </w:t>
      </w:r>
      <w:r>
        <w:rPr>
          <w:rFonts w:ascii="Arial" w:hAnsi="Arial" w:cs="Arial"/>
          <w:b/>
          <w:bCs/>
        </w:rPr>
        <w:t>se zvýšil</w:t>
      </w:r>
      <w:r w:rsidRPr="006F6C24">
        <w:rPr>
          <w:rFonts w:ascii="Arial" w:hAnsi="Arial" w:cs="Arial"/>
          <w:b/>
          <w:bCs/>
        </w:rPr>
        <w:t xml:space="preserve"> na 7,</w:t>
      </w:r>
      <w:r>
        <w:rPr>
          <w:rFonts w:ascii="Arial" w:hAnsi="Arial" w:cs="Arial"/>
          <w:b/>
          <w:bCs/>
        </w:rPr>
        <w:t>4</w:t>
      </w:r>
      <w:r w:rsidRPr="006F6C24">
        <w:rPr>
          <w:rFonts w:ascii="Arial" w:hAnsi="Arial" w:cs="Arial"/>
          <w:b/>
          <w:bCs/>
        </w:rPr>
        <w:t> %</w:t>
      </w:r>
      <w:r w:rsidRPr="006F6C24">
        <w:rPr>
          <w:rFonts w:ascii="Arial" w:hAnsi="Arial" w:cs="Arial"/>
          <w:bCs/>
        </w:rPr>
        <w:t>.</w:t>
      </w:r>
      <w:r w:rsidRPr="006F6C24">
        <w:rPr>
          <w:rFonts w:ascii="Arial" w:hAnsi="Arial" w:cs="Arial"/>
        </w:rPr>
        <w:t xml:space="preserve"> </w:t>
      </w:r>
    </w:p>
    <w:p w:rsidR="003451E3" w:rsidRPr="00F4192E" w:rsidRDefault="003451E3" w:rsidP="003451E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ind w:firstLine="708"/>
        <w:jc w:val="both"/>
        <w:rPr>
          <w:rFonts w:ascii="Arial" w:hAnsi="Arial" w:cs="Arial"/>
        </w:rPr>
      </w:pPr>
      <w:r w:rsidRPr="004A0248">
        <w:rPr>
          <w:rFonts w:ascii="Arial" w:hAnsi="Arial" w:cs="Arial"/>
        </w:rPr>
        <w:t xml:space="preserve">Podle posledních dostupných údajů </w:t>
      </w:r>
      <w:r w:rsidRPr="00D675C4">
        <w:rPr>
          <w:rFonts w:ascii="Arial" w:hAnsi="Arial" w:cs="Arial"/>
          <w:b/>
        </w:rPr>
        <w:t>míra nezaměstnanosti</w:t>
      </w:r>
      <w:r w:rsidRPr="004A0248">
        <w:rPr>
          <w:rFonts w:ascii="Arial" w:hAnsi="Arial" w:cs="Arial"/>
        </w:rPr>
        <w:t xml:space="preserve"> zpracovávaná </w:t>
      </w:r>
      <w:r w:rsidRPr="004A0248">
        <w:rPr>
          <w:rFonts w:ascii="Arial" w:hAnsi="Arial" w:cs="Arial"/>
          <w:b/>
          <w:bCs/>
        </w:rPr>
        <w:t xml:space="preserve">EUROSTATEM </w:t>
      </w:r>
      <w:r w:rsidRPr="004A0248">
        <w:rPr>
          <w:rFonts w:ascii="Arial" w:hAnsi="Arial" w:cs="Arial"/>
        </w:rPr>
        <w:t>pro mezinárodní srovnání byla</w:t>
      </w:r>
      <w:r w:rsidRPr="004A0248">
        <w:rPr>
          <w:rFonts w:ascii="Arial" w:hAnsi="Arial" w:cs="Arial"/>
          <w:b/>
          <w:bCs/>
        </w:rPr>
        <w:t xml:space="preserve"> v</w:t>
      </w:r>
      <w:r>
        <w:rPr>
          <w:rFonts w:ascii="Arial" w:hAnsi="Arial" w:cs="Arial"/>
          <w:b/>
          <w:bCs/>
        </w:rPr>
        <w:t xml:space="preserve"> srpnu </w:t>
      </w:r>
      <w:r w:rsidRPr="00494F76">
        <w:rPr>
          <w:rFonts w:ascii="Arial" w:hAnsi="Arial" w:cs="Arial"/>
          <w:b/>
          <w:bCs/>
        </w:rPr>
        <w:t xml:space="preserve">2013 </w:t>
      </w:r>
      <w:r w:rsidRPr="00494F76">
        <w:rPr>
          <w:rFonts w:ascii="Arial" w:hAnsi="Arial" w:cs="Arial"/>
        </w:rPr>
        <w:t>v </w:t>
      </w:r>
      <w:r w:rsidRPr="00494F76">
        <w:rPr>
          <w:rFonts w:ascii="Arial" w:hAnsi="Arial" w:cs="Arial"/>
          <w:b/>
          <w:bCs/>
        </w:rPr>
        <w:t xml:space="preserve">ČR </w:t>
      </w:r>
      <w:r>
        <w:rPr>
          <w:rFonts w:ascii="Arial" w:hAnsi="Arial" w:cs="Arial"/>
          <w:b/>
          <w:bCs/>
        </w:rPr>
        <w:t>7</w:t>
      </w:r>
      <w:r w:rsidRPr="00494F76">
        <w:rPr>
          <w:rFonts w:ascii="Arial" w:hAnsi="Arial" w:cs="Arial"/>
          <w:b/>
          <w:bCs/>
        </w:rPr>
        <w:t>,</w:t>
      </w:r>
      <w:r>
        <w:rPr>
          <w:rFonts w:ascii="Arial" w:hAnsi="Arial" w:cs="Arial"/>
          <w:b/>
          <w:bCs/>
        </w:rPr>
        <w:t>3</w:t>
      </w:r>
      <w:r w:rsidRPr="00494F76">
        <w:rPr>
          <w:rFonts w:ascii="Arial" w:hAnsi="Arial" w:cs="Arial"/>
          <w:b/>
          <w:bCs/>
        </w:rPr>
        <w:t> %, v </w:t>
      </w:r>
      <w:r w:rsidRPr="00EE040B">
        <w:rPr>
          <w:rFonts w:ascii="Arial" w:hAnsi="Arial" w:cs="Arial"/>
          <w:b/>
          <w:bCs/>
        </w:rPr>
        <w:t>EU2</w:t>
      </w:r>
      <w:r>
        <w:rPr>
          <w:rFonts w:ascii="Arial" w:hAnsi="Arial" w:cs="Arial"/>
          <w:b/>
          <w:bCs/>
        </w:rPr>
        <w:t>8</w:t>
      </w:r>
      <w:r w:rsidRPr="00EE040B">
        <w:rPr>
          <w:rFonts w:ascii="Arial" w:hAnsi="Arial" w:cs="Arial"/>
          <w:b/>
          <w:bCs/>
        </w:rPr>
        <w:t xml:space="preserve"> 10,</w:t>
      </w:r>
      <w:r>
        <w:rPr>
          <w:rFonts w:ascii="Arial" w:hAnsi="Arial" w:cs="Arial"/>
          <w:b/>
          <w:bCs/>
        </w:rPr>
        <w:t>6</w:t>
      </w:r>
      <w:r w:rsidRPr="00EE040B">
        <w:rPr>
          <w:rFonts w:ascii="Arial" w:hAnsi="Arial" w:cs="Arial"/>
          <w:b/>
          <w:bCs/>
        </w:rPr>
        <w:t> %</w:t>
      </w:r>
      <w:r w:rsidRPr="00EE040B">
        <w:rPr>
          <w:rFonts w:ascii="Arial" w:hAnsi="Arial" w:cs="Arial"/>
          <w:bCs/>
        </w:rPr>
        <w:t>.</w:t>
      </w:r>
      <w:r w:rsidRPr="000A073F">
        <w:rPr>
          <w:rFonts w:ascii="Arial" w:hAnsi="Arial" w:cs="Arial"/>
          <w:b/>
          <w:bCs/>
          <w:color w:val="548DD4" w:themeColor="text2" w:themeTint="99"/>
        </w:rPr>
        <w:t xml:space="preserve">  </w:t>
      </w:r>
      <w:r w:rsidRPr="00DE3284">
        <w:rPr>
          <w:rFonts w:ascii="Arial" w:hAnsi="Arial" w:cs="Arial"/>
          <w:bCs/>
        </w:rPr>
        <w:t xml:space="preserve">Nižší než v ČR byla </w:t>
      </w:r>
      <w:r>
        <w:rPr>
          <w:rFonts w:ascii="Arial" w:hAnsi="Arial" w:cs="Arial"/>
          <w:bCs/>
        </w:rPr>
        <w:t xml:space="preserve">v </w:t>
      </w:r>
      <w:r w:rsidRPr="00A227E3">
        <w:rPr>
          <w:rFonts w:ascii="Arial" w:hAnsi="Arial" w:cs="Arial"/>
          <w:bCs/>
        </w:rPr>
        <w:t>Rakousku (</w:t>
      </w:r>
      <w:r>
        <w:rPr>
          <w:rFonts w:ascii="Arial" w:hAnsi="Arial" w:cs="Arial"/>
          <w:bCs/>
        </w:rPr>
        <w:t>4,7</w:t>
      </w:r>
      <w:r w:rsidRPr="00A227E3">
        <w:rPr>
          <w:rFonts w:ascii="Arial" w:hAnsi="Arial" w:cs="Arial"/>
          <w:bCs/>
        </w:rPr>
        <w:t> %)</w:t>
      </w:r>
      <w:r>
        <w:rPr>
          <w:rFonts w:ascii="Arial" w:hAnsi="Arial" w:cs="Arial"/>
          <w:bCs/>
        </w:rPr>
        <w:t xml:space="preserve">, </w:t>
      </w:r>
      <w:r w:rsidRPr="00A227E3">
        <w:rPr>
          <w:rFonts w:ascii="Arial" w:hAnsi="Arial" w:cs="Arial"/>
          <w:bCs/>
        </w:rPr>
        <w:t>Německu (5,</w:t>
      </w:r>
      <w:r>
        <w:rPr>
          <w:rFonts w:ascii="Arial" w:hAnsi="Arial" w:cs="Arial"/>
          <w:bCs/>
        </w:rPr>
        <w:t>0</w:t>
      </w:r>
      <w:r w:rsidRPr="00A227E3">
        <w:rPr>
          <w:rFonts w:ascii="Arial" w:hAnsi="Arial" w:cs="Arial"/>
          <w:bCs/>
        </w:rPr>
        <w:t> %)</w:t>
      </w:r>
      <w:r>
        <w:rPr>
          <w:rFonts w:ascii="Arial" w:hAnsi="Arial" w:cs="Arial"/>
          <w:bCs/>
        </w:rPr>
        <w:t>,</w:t>
      </w:r>
      <w:r w:rsidRPr="001F5F0E">
        <w:rPr>
          <w:rFonts w:ascii="Arial" w:hAnsi="Arial" w:cs="Arial"/>
          <w:bCs/>
        </w:rPr>
        <w:t xml:space="preserve"> </w:t>
      </w:r>
      <w:r w:rsidRPr="00A227E3">
        <w:rPr>
          <w:rFonts w:ascii="Arial" w:hAnsi="Arial" w:cs="Arial"/>
          <w:bCs/>
        </w:rPr>
        <w:t xml:space="preserve">Lucembursku </w:t>
      </w:r>
      <w:r>
        <w:rPr>
          <w:rFonts w:ascii="Arial" w:hAnsi="Arial" w:cs="Arial"/>
          <w:bCs/>
        </w:rPr>
        <w:t>(5,5</w:t>
      </w:r>
      <w:r w:rsidRPr="00A227E3">
        <w:rPr>
          <w:rFonts w:ascii="Arial" w:hAnsi="Arial" w:cs="Arial"/>
          <w:bCs/>
        </w:rPr>
        <w:t> %)</w:t>
      </w:r>
      <w:r>
        <w:rPr>
          <w:rFonts w:ascii="Arial" w:hAnsi="Arial" w:cs="Arial"/>
          <w:bCs/>
        </w:rPr>
        <w:t>, Dánsku a Nizozemsku (shodně 6,6 %), na Maltě (6,9 %) a ve Finsku (7,1 %)</w:t>
      </w:r>
      <w:r w:rsidRPr="00A227E3">
        <w:rPr>
          <w:rFonts w:ascii="Arial" w:hAnsi="Arial" w:cs="Arial"/>
          <w:bCs/>
        </w:rPr>
        <w:t>.  Vyšší než průměr EU2</w:t>
      </w:r>
      <w:r>
        <w:rPr>
          <w:rFonts w:ascii="Arial" w:hAnsi="Arial" w:cs="Arial"/>
          <w:bCs/>
        </w:rPr>
        <w:t>8</w:t>
      </w:r>
      <w:r w:rsidRPr="00A227E3">
        <w:rPr>
          <w:rFonts w:ascii="Arial" w:hAnsi="Arial" w:cs="Arial"/>
          <w:bCs/>
        </w:rPr>
        <w:t xml:space="preserve"> byla v</w:t>
      </w:r>
      <w:r>
        <w:rPr>
          <w:rFonts w:ascii="Arial" w:hAnsi="Arial" w:cs="Arial"/>
          <w:bCs/>
        </w:rPr>
        <w:t xml:space="preserve">e Francii </w:t>
      </w:r>
      <w:r w:rsidRPr="005A31EC">
        <w:rPr>
          <w:rFonts w:ascii="Arial" w:hAnsi="Arial" w:cs="Arial"/>
          <w:bCs/>
        </w:rPr>
        <w:t>(1</w:t>
      </w:r>
      <w:r>
        <w:rPr>
          <w:rFonts w:ascii="Arial" w:hAnsi="Arial" w:cs="Arial"/>
          <w:bCs/>
        </w:rPr>
        <w:t>0</w:t>
      </w:r>
      <w:r w:rsidRPr="005A31EC">
        <w:rPr>
          <w:rFonts w:ascii="Arial" w:hAnsi="Arial" w:cs="Arial"/>
          <w:bCs/>
        </w:rPr>
        <w:t>,</w:t>
      </w:r>
      <w:r>
        <w:rPr>
          <w:rFonts w:ascii="Arial" w:hAnsi="Arial" w:cs="Arial"/>
          <w:bCs/>
        </w:rPr>
        <w:t>9</w:t>
      </w:r>
      <w:r w:rsidRPr="005A31EC">
        <w:rPr>
          <w:rFonts w:ascii="Arial" w:hAnsi="Arial" w:cs="Arial"/>
          <w:bCs/>
        </w:rPr>
        <w:t> %)</w:t>
      </w:r>
      <w:r>
        <w:rPr>
          <w:rFonts w:ascii="Arial" w:hAnsi="Arial" w:cs="Arial"/>
          <w:bCs/>
        </w:rPr>
        <w:t>, v </w:t>
      </w:r>
      <w:r w:rsidRPr="005A31EC">
        <w:rPr>
          <w:rFonts w:ascii="Arial" w:hAnsi="Arial" w:cs="Arial"/>
          <w:bCs/>
        </w:rPr>
        <w:t>Itálii (11,</w:t>
      </w:r>
      <w:r>
        <w:rPr>
          <w:rFonts w:ascii="Arial" w:hAnsi="Arial" w:cs="Arial"/>
          <w:bCs/>
        </w:rPr>
        <w:t>1</w:t>
      </w:r>
      <w:r w:rsidRPr="005A31EC">
        <w:rPr>
          <w:rFonts w:ascii="Arial" w:hAnsi="Arial" w:cs="Arial"/>
          <w:bCs/>
        </w:rPr>
        <w:t> %),</w:t>
      </w:r>
      <w:r>
        <w:rPr>
          <w:rFonts w:ascii="Arial" w:hAnsi="Arial" w:cs="Arial"/>
        </w:rPr>
        <w:t xml:space="preserve"> </w:t>
      </w:r>
      <w:r w:rsidRPr="005A31EC">
        <w:rPr>
          <w:rFonts w:ascii="Arial" w:hAnsi="Arial" w:cs="Arial"/>
        </w:rPr>
        <w:t>Litvě</w:t>
      </w:r>
      <w:r w:rsidRPr="005A31EC">
        <w:rPr>
          <w:rFonts w:ascii="Arial" w:hAnsi="Arial" w:cs="Arial"/>
          <w:bCs/>
        </w:rPr>
        <w:t xml:space="preserve"> (11,</w:t>
      </w:r>
      <w:r>
        <w:rPr>
          <w:rFonts w:ascii="Arial" w:hAnsi="Arial" w:cs="Arial"/>
          <w:bCs/>
        </w:rPr>
        <w:t>9</w:t>
      </w:r>
      <w:r w:rsidRPr="005A31EC">
        <w:rPr>
          <w:rFonts w:ascii="Arial" w:hAnsi="Arial" w:cs="Arial"/>
          <w:bCs/>
        </w:rPr>
        <w:t> %), Bulharsku (12,</w:t>
      </w:r>
      <w:r>
        <w:rPr>
          <w:rFonts w:ascii="Arial" w:hAnsi="Arial" w:cs="Arial"/>
          <w:bCs/>
        </w:rPr>
        <w:t>2</w:t>
      </w:r>
      <w:r w:rsidRPr="005A31EC">
        <w:rPr>
          <w:rFonts w:ascii="Arial" w:hAnsi="Arial" w:cs="Arial"/>
          <w:bCs/>
        </w:rPr>
        <w:t> %),</w:t>
      </w:r>
      <w:r w:rsidRPr="005A31EC">
        <w:rPr>
          <w:rFonts w:ascii="Arial" w:hAnsi="Arial" w:cs="Arial"/>
        </w:rPr>
        <w:t xml:space="preserve"> </w:t>
      </w:r>
      <w:r w:rsidRPr="005A31EC">
        <w:rPr>
          <w:rFonts w:ascii="Arial" w:hAnsi="Arial" w:cs="Arial"/>
          <w:bCs/>
        </w:rPr>
        <w:t>na Slovensku (1</w:t>
      </w:r>
      <w:r>
        <w:rPr>
          <w:rFonts w:ascii="Arial" w:hAnsi="Arial" w:cs="Arial"/>
          <w:bCs/>
        </w:rPr>
        <w:t>3</w:t>
      </w:r>
      <w:r w:rsidRPr="005A31EC">
        <w:rPr>
          <w:rFonts w:ascii="Arial" w:hAnsi="Arial" w:cs="Arial"/>
          <w:bCs/>
        </w:rPr>
        <w:t>,</w:t>
      </w:r>
      <w:r>
        <w:rPr>
          <w:rFonts w:ascii="Arial" w:hAnsi="Arial" w:cs="Arial"/>
          <w:bCs/>
        </w:rPr>
        <w:t xml:space="preserve">5 %), v </w:t>
      </w:r>
      <w:r w:rsidRPr="005A31EC">
        <w:rPr>
          <w:rFonts w:ascii="Arial" w:hAnsi="Arial" w:cs="Arial"/>
          <w:bCs/>
        </w:rPr>
        <w:t>Irsku (1</w:t>
      </w:r>
      <w:r>
        <w:rPr>
          <w:rFonts w:ascii="Arial" w:hAnsi="Arial" w:cs="Arial"/>
          <w:bCs/>
        </w:rPr>
        <w:t>4,1</w:t>
      </w:r>
      <w:r w:rsidRPr="005A31EC">
        <w:rPr>
          <w:rFonts w:ascii="Arial" w:hAnsi="Arial" w:cs="Arial"/>
          <w:bCs/>
        </w:rPr>
        <w:t xml:space="preserve"> %), </w:t>
      </w:r>
      <w:r>
        <w:rPr>
          <w:rFonts w:ascii="Arial" w:hAnsi="Arial" w:cs="Arial"/>
          <w:bCs/>
        </w:rPr>
        <w:t>Chorvatsku (15,5 %), na Kypru</w:t>
      </w:r>
      <w:r w:rsidRPr="005A31EC">
        <w:rPr>
          <w:rFonts w:ascii="Arial" w:hAnsi="Arial" w:cs="Arial"/>
        </w:rPr>
        <w:t xml:space="preserve"> </w:t>
      </w:r>
      <w:r>
        <w:rPr>
          <w:rFonts w:ascii="Arial" w:hAnsi="Arial" w:cs="Arial"/>
        </w:rPr>
        <w:t>a v </w:t>
      </w:r>
      <w:r>
        <w:rPr>
          <w:rFonts w:ascii="Arial" w:hAnsi="Arial" w:cs="Arial"/>
          <w:bCs/>
        </w:rPr>
        <w:t>Portugalsku (16,3 %) a ve</w:t>
      </w:r>
      <w:r w:rsidRPr="00705FA3">
        <w:rPr>
          <w:rFonts w:ascii="Arial" w:hAnsi="Arial" w:cs="Arial"/>
          <w:bCs/>
        </w:rPr>
        <w:t xml:space="preserve"> Španělsku (25,</w:t>
      </w:r>
      <w:r>
        <w:rPr>
          <w:rFonts w:ascii="Arial" w:hAnsi="Arial" w:cs="Arial"/>
          <w:bCs/>
        </w:rPr>
        <w:t>5</w:t>
      </w:r>
      <w:r w:rsidRPr="00705FA3">
        <w:rPr>
          <w:rFonts w:ascii="Arial" w:hAnsi="Arial" w:cs="Arial"/>
          <w:bCs/>
        </w:rPr>
        <w:t> %)</w:t>
      </w:r>
      <w:r>
        <w:rPr>
          <w:rFonts w:ascii="Arial" w:hAnsi="Arial" w:cs="Arial"/>
          <w:bCs/>
        </w:rPr>
        <w:t>.</w:t>
      </w:r>
      <w:r w:rsidRPr="000A073F">
        <w:rPr>
          <w:rFonts w:ascii="Arial" w:hAnsi="Arial" w:cs="Arial"/>
          <w:bCs/>
          <w:color w:val="548DD4" w:themeColor="text2" w:themeTint="99"/>
        </w:rPr>
        <w:t xml:space="preserve"> </w:t>
      </w:r>
      <w:r w:rsidRPr="00FB2ED8">
        <w:rPr>
          <w:rFonts w:ascii="Arial" w:hAnsi="Arial" w:cs="Arial"/>
          <w:bCs/>
        </w:rPr>
        <w:t>Za</w:t>
      </w:r>
      <w:r w:rsidRPr="00FB2ED8">
        <w:rPr>
          <w:rFonts w:ascii="Arial" w:hAnsi="Arial" w:cs="Arial"/>
        </w:rPr>
        <w:t xml:space="preserve"> Estonsko, Řecko, Lotyšsko, Maďarsko a Velkou Británii údaje </w:t>
      </w:r>
      <w:r>
        <w:rPr>
          <w:rFonts w:ascii="Arial" w:hAnsi="Arial" w:cs="Arial"/>
        </w:rPr>
        <w:t xml:space="preserve">za srpen </w:t>
      </w:r>
      <w:r w:rsidRPr="00FB2ED8">
        <w:rPr>
          <w:rFonts w:ascii="Arial" w:hAnsi="Arial" w:cs="Arial"/>
        </w:rPr>
        <w:t xml:space="preserve">nejsou zatím k dispozici (poslední dostupné údaje </w:t>
      </w:r>
      <w:r w:rsidRPr="00F4192E">
        <w:rPr>
          <w:rFonts w:ascii="Arial" w:hAnsi="Arial" w:cs="Arial"/>
        </w:rPr>
        <w:t xml:space="preserve">za </w:t>
      </w:r>
      <w:r>
        <w:rPr>
          <w:rFonts w:ascii="Arial" w:hAnsi="Arial" w:cs="Arial"/>
        </w:rPr>
        <w:t>červen</w:t>
      </w:r>
      <w:r w:rsidRPr="00F4192E">
        <w:rPr>
          <w:rFonts w:ascii="Arial" w:hAnsi="Arial" w:cs="Arial"/>
        </w:rPr>
        <w:t xml:space="preserve"> </w:t>
      </w:r>
      <w:r>
        <w:rPr>
          <w:rFonts w:ascii="Arial" w:hAnsi="Arial" w:cs="Arial"/>
        </w:rPr>
        <w:t xml:space="preserve">nebo červenec </w:t>
      </w:r>
      <w:r w:rsidRPr="00F4192E">
        <w:rPr>
          <w:rFonts w:ascii="Arial" w:hAnsi="Arial" w:cs="Arial"/>
        </w:rPr>
        <w:t xml:space="preserve">2013 byly vyšší než míra nezaměstnanosti v ČR). </w:t>
      </w:r>
    </w:p>
    <w:p w:rsidR="003451E3" w:rsidRDefault="003451E3" w:rsidP="003451E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jc w:val="both"/>
        <w:rPr>
          <w:rFonts w:ascii="Arial" w:hAnsi="Arial" w:cs="Arial"/>
        </w:rPr>
      </w:pPr>
      <w:r w:rsidRPr="00653890">
        <w:rPr>
          <w:rFonts w:ascii="Arial" w:hAnsi="Arial" w:cs="Arial"/>
        </w:rPr>
        <w:t xml:space="preserve">Podrobněji viz </w:t>
      </w:r>
      <w:hyperlink r:id="rId9" w:history="1">
        <w:r w:rsidRPr="00653890">
          <w:rPr>
            <w:rStyle w:val="Hypertextovodkaz"/>
            <w:rFonts w:ascii="Arial" w:hAnsi="Arial" w:cs="Arial"/>
          </w:rPr>
          <w:t>http://epp.eurostat.ec.europa.eu/portal/page/portal/statistics/search_database</w:t>
        </w:r>
      </w:hyperlink>
      <w:r w:rsidRPr="00653890">
        <w:rPr>
          <w:rFonts w:ascii="Arial" w:hAnsi="Arial" w:cs="Arial"/>
        </w:rPr>
        <w:t>.</w:t>
      </w:r>
      <w:r w:rsidRPr="007E0552">
        <w:rPr>
          <w:rFonts w:ascii="Arial" w:hAnsi="Arial" w:cs="Arial"/>
        </w:rPr>
        <w:t xml:space="preserve"> </w:t>
      </w:r>
    </w:p>
    <w:p w:rsidR="003451E3" w:rsidRPr="00052215" w:rsidRDefault="003451E3" w:rsidP="003451E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jc w:val="both"/>
        <w:rPr>
          <w:rFonts w:ascii="Arial" w:hAnsi="Arial" w:cs="Arial"/>
        </w:rPr>
      </w:pPr>
      <w:r>
        <w:rPr>
          <w:rFonts w:ascii="Arial" w:hAnsi="Arial" w:cs="Arial"/>
        </w:rPr>
        <w:tab/>
      </w:r>
      <w:r>
        <w:rPr>
          <w:rFonts w:ascii="Arial" w:hAnsi="Arial" w:cs="Arial"/>
          <w:b/>
          <w:bCs/>
        </w:rPr>
        <w:t>ÚP </w:t>
      </w:r>
      <w:r w:rsidRPr="00152E91">
        <w:rPr>
          <w:rFonts w:ascii="Arial" w:hAnsi="Arial" w:cs="Arial"/>
          <w:b/>
          <w:bCs/>
        </w:rPr>
        <w:t>ČR evidoval k 3</w:t>
      </w:r>
      <w:r>
        <w:rPr>
          <w:rFonts w:ascii="Arial" w:hAnsi="Arial" w:cs="Arial"/>
          <w:b/>
          <w:bCs/>
        </w:rPr>
        <w:t>0</w:t>
      </w:r>
      <w:r w:rsidRPr="00152E91">
        <w:rPr>
          <w:rFonts w:ascii="Arial" w:hAnsi="Arial" w:cs="Arial"/>
          <w:b/>
          <w:bCs/>
        </w:rPr>
        <w:t>. </w:t>
      </w:r>
      <w:r>
        <w:rPr>
          <w:rFonts w:ascii="Arial" w:hAnsi="Arial" w:cs="Arial"/>
          <w:b/>
          <w:bCs/>
        </w:rPr>
        <w:t>9.</w:t>
      </w:r>
      <w:r w:rsidRPr="00152E91">
        <w:rPr>
          <w:rFonts w:ascii="Arial" w:hAnsi="Arial" w:cs="Arial"/>
          <w:b/>
          <w:bCs/>
        </w:rPr>
        <w:t xml:space="preserve"> 2013 </w:t>
      </w:r>
      <w:r w:rsidRPr="00AE4022">
        <w:rPr>
          <w:rFonts w:ascii="Arial" w:hAnsi="Arial" w:cs="Arial"/>
          <w:b/>
          <w:bCs/>
        </w:rPr>
        <w:t>celkem 4</w:t>
      </w:r>
      <w:r>
        <w:rPr>
          <w:rFonts w:ascii="Arial" w:hAnsi="Arial" w:cs="Arial"/>
          <w:b/>
          <w:bCs/>
        </w:rPr>
        <w:t>1</w:t>
      </w:r>
      <w:r w:rsidRPr="00AE4022">
        <w:rPr>
          <w:rFonts w:ascii="Arial" w:hAnsi="Arial" w:cs="Arial"/>
          <w:b/>
          <w:bCs/>
        </w:rPr>
        <w:t> </w:t>
      </w:r>
      <w:r>
        <w:rPr>
          <w:rFonts w:ascii="Arial" w:hAnsi="Arial" w:cs="Arial"/>
          <w:b/>
          <w:bCs/>
        </w:rPr>
        <w:t>422</w:t>
      </w:r>
      <w:r w:rsidRPr="00AE4022">
        <w:rPr>
          <w:rFonts w:ascii="Arial" w:hAnsi="Arial" w:cs="Arial"/>
          <w:b/>
          <w:bCs/>
        </w:rPr>
        <w:t xml:space="preserve"> volných</w:t>
      </w:r>
      <w:r w:rsidRPr="00052215">
        <w:rPr>
          <w:rFonts w:ascii="Arial" w:hAnsi="Arial" w:cs="Arial"/>
          <w:b/>
          <w:bCs/>
        </w:rPr>
        <w:t xml:space="preserve"> pracovních míst</w:t>
      </w:r>
      <w:r w:rsidRPr="00052215">
        <w:rPr>
          <w:rFonts w:ascii="Arial" w:hAnsi="Arial" w:cs="Arial"/>
        </w:rPr>
        <w:t xml:space="preserve">. Jejich počet </w:t>
      </w:r>
      <w:r w:rsidRPr="00AE4022">
        <w:rPr>
          <w:rFonts w:ascii="Arial" w:hAnsi="Arial" w:cs="Arial"/>
        </w:rPr>
        <w:t xml:space="preserve">byl o </w:t>
      </w:r>
      <w:r>
        <w:rPr>
          <w:rFonts w:ascii="Arial" w:hAnsi="Arial" w:cs="Arial"/>
        </w:rPr>
        <w:t>843</w:t>
      </w:r>
      <w:r w:rsidRPr="00AE4022">
        <w:rPr>
          <w:rFonts w:ascii="Arial" w:hAnsi="Arial" w:cs="Arial"/>
        </w:rPr>
        <w:t xml:space="preserve"> </w:t>
      </w:r>
      <w:r>
        <w:rPr>
          <w:rFonts w:ascii="Arial" w:hAnsi="Arial" w:cs="Arial"/>
        </w:rPr>
        <w:t>vyšší</w:t>
      </w:r>
      <w:r w:rsidRPr="00AE4022">
        <w:rPr>
          <w:rFonts w:ascii="Arial" w:hAnsi="Arial" w:cs="Arial"/>
        </w:rPr>
        <w:t xml:space="preserve"> než</w:t>
      </w:r>
      <w:r w:rsidRPr="00052215">
        <w:rPr>
          <w:rFonts w:ascii="Arial" w:hAnsi="Arial" w:cs="Arial"/>
        </w:rPr>
        <w:t xml:space="preserve"> v předchozím měsíci </w:t>
      </w:r>
      <w:r w:rsidRPr="00EA5266">
        <w:rPr>
          <w:rFonts w:ascii="Arial" w:hAnsi="Arial" w:cs="Arial"/>
        </w:rPr>
        <w:t xml:space="preserve">a o </w:t>
      </w:r>
      <w:r>
        <w:rPr>
          <w:rFonts w:ascii="Arial" w:hAnsi="Arial" w:cs="Arial"/>
        </w:rPr>
        <w:t>613</w:t>
      </w:r>
      <w:r w:rsidRPr="00EA5266">
        <w:rPr>
          <w:rFonts w:ascii="Arial" w:hAnsi="Arial" w:cs="Arial"/>
        </w:rPr>
        <w:t xml:space="preserve"> </w:t>
      </w:r>
      <w:r>
        <w:rPr>
          <w:rFonts w:ascii="Arial" w:hAnsi="Arial" w:cs="Arial"/>
        </w:rPr>
        <w:t>vyšší</w:t>
      </w:r>
      <w:r w:rsidRPr="00EA5266">
        <w:rPr>
          <w:rFonts w:ascii="Arial" w:hAnsi="Arial" w:cs="Arial"/>
        </w:rPr>
        <w:t xml:space="preserve"> než</w:t>
      </w:r>
      <w:r w:rsidRPr="00052215">
        <w:rPr>
          <w:rFonts w:ascii="Arial" w:hAnsi="Arial" w:cs="Arial"/>
        </w:rPr>
        <w:t xml:space="preserve"> v</w:t>
      </w:r>
      <w:r w:rsidRPr="000C1322">
        <w:rPr>
          <w:rFonts w:ascii="Arial" w:hAnsi="Arial" w:cs="Arial"/>
        </w:rPr>
        <w:t> </w:t>
      </w:r>
      <w:r>
        <w:rPr>
          <w:rFonts w:ascii="Arial" w:hAnsi="Arial" w:cs="Arial"/>
        </w:rPr>
        <w:t>září</w:t>
      </w:r>
      <w:r w:rsidRPr="00152E91">
        <w:rPr>
          <w:rFonts w:ascii="Arial" w:hAnsi="Arial" w:cs="Arial"/>
        </w:rPr>
        <w:t xml:space="preserve"> 201</w:t>
      </w:r>
      <w:r w:rsidRPr="00052215">
        <w:rPr>
          <w:rFonts w:ascii="Arial" w:hAnsi="Arial" w:cs="Arial"/>
        </w:rPr>
        <w:t>2. Na jedno volné pracovní místo připadalo v </w:t>
      </w:r>
      <w:r w:rsidRPr="004C5184">
        <w:rPr>
          <w:rFonts w:ascii="Arial" w:hAnsi="Arial" w:cs="Arial"/>
        </w:rPr>
        <w:t>průměru 13,</w:t>
      </w:r>
      <w:r>
        <w:rPr>
          <w:rFonts w:ascii="Arial" w:hAnsi="Arial" w:cs="Arial"/>
        </w:rPr>
        <w:t>4</w:t>
      </w:r>
      <w:r w:rsidRPr="004C5184">
        <w:rPr>
          <w:rFonts w:ascii="Arial" w:hAnsi="Arial" w:cs="Arial"/>
        </w:rPr>
        <w:t xml:space="preserve"> </w:t>
      </w:r>
      <w:r w:rsidRPr="008F5B40">
        <w:rPr>
          <w:rFonts w:ascii="Arial" w:hAnsi="Arial" w:cs="Arial"/>
        </w:rPr>
        <w:t xml:space="preserve">uchazeče, z toho nejvíce v okresech </w:t>
      </w:r>
      <w:r w:rsidRPr="00E8322E">
        <w:rPr>
          <w:rFonts w:ascii="Arial" w:hAnsi="Arial" w:cs="Arial"/>
        </w:rPr>
        <w:t>Karviná (</w:t>
      </w:r>
      <w:r>
        <w:rPr>
          <w:rFonts w:ascii="Arial" w:hAnsi="Arial" w:cs="Arial"/>
        </w:rPr>
        <w:t>58</w:t>
      </w:r>
      <w:r w:rsidRPr="00E8322E">
        <w:rPr>
          <w:rFonts w:ascii="Arial" w:hAnsi="Arial" w:cs="Arial"/>
        </w:rPr>
        <w:t>,</w:t>
      </w:r>
      <w:r>
        <w:rPr>
          <w:rFonts w:ascii="Arial" w:hAnsi="Arial" w:cs="Arial"/>
        </w:rPr>
        <w:t>1</w:t>
      </w:r>
      <w:r w:rsidRPr="00E8322E">
        <w:rPr>
          <w:rFonts w:ascii="Arial" w:hAnsi="Arial" w:cs="Arial"/>
        </w:rPr>
        <w:t>),</w:t>
      </w:r>
      <w:r w:rsidRPr="00FF6E26">
        <w:rPr>
          <w:rFonts w:ascii="Arial" w:hAnsi="Arial" w:cs="Arial"/>
        </w:rPr>
        <w:t xml:space="preserve"> </w:t>
      </w:r>
      <w:r w:rsidRPr="008F5B40">
        <w:rPr>
          <w:rFonts w:ascii="Arial" w:hAnsi="Arial" w:cs="Arial"/>
        </w:rPr>
        <w:t>Bruntál (</w:t>
      </w:r>
      <w:r>
        <w:rPr>
          <w:rFonts w:ascii="Arial" w:hAnsi="Arial" w:cs="Arial"/>
        </w:rPr>
        <w:t>54,4</w:t>
      </w:r>
      <w:r w:rsidRPr="00E8322E">
        <w:rPr>
          <w:rFonts w:ascii="Arial" w:hAnsi="Arial" w:cs="Arial"/>
        </w:rPr>
        <w:t>)</w:t>
      </w:r>
      <w:r w:rsidRPr="00776322">
        <w:rPr>
          <w:rFonts w:ascii="Arial" w:hAnsi="Arial" w:cs="Arial"/>
        </w:rPr>
        <w:t xml:space="preserve"> </w:t>
      </w:r>
      <w:r>
        <w:rPr>
          <w:rFonts w:ascii="Arial" w:hAnsi="Arial" w:cs="Arial"/>
        </w:rPr>
        <w:t>a Ústí nad Labem</w:t>
      </w:r>
      <w:r w:rsidRPr="00E8322E">
        <w:rPr>
          <w:rFonts w:ascii="Arial" w:hAnsi="Arial" w:cs="Arial"/>
        </w:rPr>
        <w:t xml:space="preserve"> (</w:t>
      </w:r>
      <w:r>
        <w:rPr>
          <w:rFonts w:ascii="Arial" w:hAnsi="Arial" w:cs="Arial"/>
        </w:rPr>
        <w:t>42</w:t>
      </w:r>
      <w:r w:rsidRPr="00E8322E">
        <w:rPr>
          <w:rFonts w:ascii="Arial" w:hAnsi="Arial" w:cs="Arial"/>
        </w:rPr>
        <w:t>,</w:t>
      </w:r>
      <w:r>
        <w:rPr>
          <w:rFonts w:ascii="Arial" w:hAnsi="Arial" w:cs="Arial"/>
        </w:rPr>
        <w:t>9)</w:t>
      </w:r>
      <w:r w:rsidRPr="00776322">
        <w:rPr>
          <w:rFonts w:ascii="Arial" w:hAnsi="Arial" w:cs="Arial"/>
        </w:rPr>
        <w:t>.</w:t>
      </w:r>
      <w:r w:rsidRPr="000A073F">
        <w:rPr>
          <w:rFonts w:ascii="Arial" w:hAnsi="Arial" w:cs="Arial"/>
          <w:color w:val="548DD4" w:themeColor="text2" w:themeTint="99"/>
        </w:rPr>
        <w:t xml:space="preserve"> </w:t>
      </w:r>
      <w:r w:rsidRPr="00052215">
        <w:rPr>
          <w:rFonts w:ascii="Arial" w:hAnsi="Arial" w:cs="Arial"/>
        </w:rPr>
        <w:t xml:space="preserve">Z celkového počtu nahlášených volných míst </w:t>
      </w:r>
      <w:r w:rsidRPr="009C0529">
        <w:rPr>
          <w:rFonts w:ascii="Arial" w:hAnsi="Arial" w:cs="Arial"/>
        </w:rPr>
        <w:t>bylo 4 </w:t>
      </w:r>
      <w:r>
        <w:rPr>
          <w:rFonts w:ascii="Arial" w:hAnsi="Arial" w:cs="Arial"/>
        </w:rPr>
        <w:t>696</w:t>
      </w:r>
      <w:r w:rsidRPr="009C0529">
        <w:rPr>
          <w:rFonts w:ascii="Arial" w:hAnsi="Arial" w:cs="Arial"/>
        </w:rPr>
        <w:t xml:space="preserve"> vhodných</w:t>
      </w:r>
      <w:r w:rsidRPr="00052215">
        <w:rPr>
          <w:rFonts w:ascii="Arial" w:hAnsi="Arial" w:cs="Arial"/>
        </w:rPr>
        <w:t xml:space="preserve"> pro osoby se zdravotním postižením (OZP), na jedno volné pracovní místo </w:t>
      </w:r>
      <w:r w:rsidRPr="00BA0546">
        <w:rPr>
          <w:rFonts w:ascii="Arial" w:hAnsi="Arial" w:cs="Arial"/>
        </w:rPr>
        <w:t>připadalo 13,</w:t>
      </w:r>
      <w:r>
        <w:rPr>
          <w:rFonts w:ascii="Arial" w:hAnsi="Arial" w:cs="Arial"/>
        </w:rPr>
        <w:t>1</w:t>
      </w:r>
      <w:r w:rsidRPr="00BA0546">
        <w:rPr>
          <w:rFonts w:ascii="Arial" w:hAnsi="Arial" w:cs="Arial"/>
        </w:rPr>
        <w:t xml:space="preserve"> OZP.</w:t>
      </w:r>
      <w:r w:rsidRPr="000A073F">
        <w:rPr>
          <w:rFonts w:ascii="Arial" w:hAnsi="Arial" w:cs="Arial"/>
          <w:color w:val="548DD4" w:themeColor="text2" w:themeTint="99"/>
        </w:rPr>
        <w:t xml:space="preserve"> </w:t>
      </w:r>
      <w:r w:rsidRPr="00052215">
        <w:rPr>
          <w:rFonts w:ascii="Arial" w:hAnsi="Arial" w:cs="Arial"/>
        </w:rPr>
        <w:t xml:space="preserve">Volných pracovních míst pro absolventy a mladistvé bylo </w:t>
      </w:r>
      <w:r w:rsidRPr="009C0529">
        <w:rPr>
          <w:rFonts w:ascii="Arial" w:hAnsi="Arial" w:cs="Arial"/>
        </w:rPr>
        <w:t>registrováno 9 </w:t>
      </w:r>
      <w:r>
        <w:rPr>
          <w:rFonts w:ascii="Arial" w:hAnsi="Arial" w:cs="Arial"/>
        </w:rPr>
        <w:t>352</w:t>
      </w:r>
      <w:r w:rsidRPr="009C0529">
        <w:rPr>
          <w:rFonts w:ascii="Arial" w:hAnsi="Arial" w:cs="Arial"/>
        </w:rPr>
        <w:t>, na</w:t>
      </w:r>
      <w:r w:rsidRPr="00052215">
        <w:rPr>
          <w:rFonts w:ascii="Arial" w:hAnsi="Arial" w:cs="Arial"/>
        </w:rPr>
        <w:t xml:space="preserve"> jedno volné místo připadalo</w:t>
      </w:r>
      <w:r w:rsidRPr="000A073F">
        <w:rPr>
          <w:rFonts w:ascii="Arial" w:hAnsi="Arial" w:cs="Arial"/>
          <w:color w:val="548DD4" w:themeColor="text2" w:themeTint="99"/>
        </w:rPr>
        <w:t xml:space="preserve"> </w:t>
      </w:r>
      <w:r w:rsidRPr="00AC647B">
        <w:rPr>
          <w:rFonts w:ascii="Arial" w:hAnsi="Arial" w:cs="Arial"/>
        </w:rPr>
        <w:t>4,4</w:t>
      </w:r>
      <w:r w:rsidRPr="006F16D2">
        <w:rPr>
          <w:rFonts w:ascii="Arial" w:hAnsi="Arial" w:cs="Arial"/>
        </w:rPr>
        <w:t> uchazečů</w:t>
      </w:r>
      <w:r w:rsidRPr="00052215">
        <w:rPr>
          <w:rFonts w:ascii="Arial" w:hAnsi="Arial" w:cs="Arial"/>
        </w:rPr>
        <w:t xml:space="preserve"> této kategorie. </w:t>
      </w:r>
    </w:p>
    <w:p w:rsidR="009046AD" w:rsidRPr="00364C8B" w:rsidRDefault="003451E3"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r w:rsidRPr="007E0552">
        <w:rPr>
          <w:sz w:val="22"/>
          <w:szCs w:val="22"/>
        </w:rPr>
        <w:tab/>
        <w:t xml:space="preserve">Informace o vývoji nezaměstnanosti v elektronické formě jsou zveřejněny na internetové </w:t>
      </w:r>
      <w:r w:rsidRPr="00B7319D">
        <w:rPr>
          <w:sz w:val="22"/>
          <w:szCs w:val="22"/>
        </w:rPr>
        <w:t xml:space="preserve">adrese </w:t>
      </w:r>
      <w:hyperlink r:id="rId10" w:history="1">
        <w:r w:rsidRPr="00B7319D">
          <w:rPr>
            <w:rStyle w:val="Hypertextovodkaz"/>
            <w:rFonts w:ascii="Arial" w:hAnsi="Arial" w:cs="Arial"/>
            <w:sz w:val="22"/>
            <w:szCs w:val="22"/>
          </w:rPr>
          <w:t>http://portal.mpsv.cz/sz/stat</w:t>
        </w:r>
      </w:hyperlink>
      <w:r w:rsidRPr="00B7319D">
        <w:rPr>
          <w:color w:val="3366FF"/>
          <w:sz w:val="22"/>
          <w:szCs w:val="22"/>
        </w:rPr>
        <w:t>.</w:t>
      </w:r>
    </w:p>
    <w:p w:rsidR="009046AD" w:rsidRDefault="009046AD"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E719A4" w:rsidRDefault="00E719A4"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A1E8F" w:rsidRPr="00364C8B" w:rsidRDefault="009A1E8F"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046AD" w:rsidRPr="00364C8B" w:rsidRDefault="009046AD"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9046AD" w:rsidRPr="00D00F9D" w:rsidRDefault="009046AD" w:rsidP="003451E3">
      <w:pPr>
        <w:spacing w:line="240" w:lineRule="auto"/>
        <w:ind w:left="-567" w:right="-566"/>
        <w:jc w:val="center"/>
        <w:rPr>
          <w:rFonts w:ascii="Arial" w:eastAsia="Times New Roman" w:hAnsi="Arial" w:cs="Arial"/>
          <w:b/>
          <w:sz w:val="24"/>
          <w:szCs w:val="24"/>
          <w:highlight w:val="yellow"/>
          <w:lang w:eastAsia="cs-CZ"/>
        </w:rPr>
      </w:pPr>
      <w:r w:rsidRPr="00D00F9D">
        <w:rPr>
          <w:rFonts w:ascii="Arial" w:eastAsia="Times New Roman" w:hAnsi="Arial" w:cs="Arial"/>
          <w:b/>
          <w:sz w:val="24"/>
          <w:szCs w:val="24"/>
          <w:lang w:eastAsia="cs-CZ"/>
        </w:rPr>
        <w:lastRenderedPageBreak/>
        <w:t>Počet evidovaných nezaměstnaných, volných pracovních míst a podíl nezaměstnaných*) ke konci sledovaného měsíce</w:t>
      </w:r>
    </w:p>
    <w:tbl>
      <w:tblPr>
        <w:tblW w:w="10512" w:type="dxa"/>
        <w:tblInd w:w="-729" w:type="dxa"/>
        <w:tblCellMar>
          <w:left w:w="70" w:type="dxa"/>
          <w:right w:w="70" w:type="dxa"/>
        </w:tblCellMar>
        <w:tblLook w:val="04A0" w:firstRow="1" w:lastRow="0" w:firstColumn="1" w:lastColumn="0" w:noHBand="0" w:noVBand="1"/>
      </w:tblPr>
      <w:tblGrid>
        <w:gridCol w:w="496"/>
        <w:gridCol w:w="1720"/>
        <w:gridCol w:w="745"/>
        <w:gridCol w:w="580"/>
        <w:gridCol w:w="580"/>
        <w:gridCol w:w="630"/>
        <w:gridCol w:w="585"/>
        <w:gridCol w:w="612"/>
        <w:gridCol w:w="621"/>
        <w:gridCol w:w="790"/>
        <w:gridCol w:w="580"/>
        <w:gridCol w:w="585"/>
        <w:gridCol w:w="580"/>
        <w:gridCol w:w="692"/>
        <w:gridCol w:w="760"/>
      </w:tblGrid>
      <w:tr w:rsidR="009046AD" w:rsidRPr="002433C8" w:rsidTr="00412232">
        <w:trPr>
          <w:trHeight w:val="210"/>
        </w:trPr>
        <w:tc>
          <w:tcPr>
            <w:tcW w:w="496" w:type="dxa"/>
            <w:tcBorders>
              <w:top w:val="double" w:sz="6" w:space="0" w:color="auto"/>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double" w:sz="6" w:space="0" w:color="auto"/>
              <w:left w:val="nil"/>
              <w:bottom w:val="nil"/>
              <w:right w:val="single" w:sz="4" w:space="0" w:color="auto"/>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45" w:type="dxa"/>
            <w:tcBorders>
              <w:top w:val="double" w:sz="6" w:space="0" w:color="auto"/>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30"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5"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12"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21"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90"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41"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double" w:sz="6"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double" w:sz="6" w:space="0" w:color="auto"/>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nil"/>
              <w:bottom w:val="nil"/>
              <w:right w:val="single" w:sz="4" w:space="0" w:color="auto"/>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45" w:type="dxa"/>
            <w:tcBorders>
              <w:top w:val="nil"/>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měrná</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leden</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únor</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březen</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duben</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květen</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červen</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červenec</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srpen</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září</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říjen</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listopad</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prosinec</w:t>
            </w:r>
          </w:p>
        </w:tc>
      </w:tr>
      <w:tr w:rsidR="009046AD" w:rsidRPr="002433C8" w:rsidTr="00412232">
        <w:trPr>
          <w:trHeight w:val="225"/>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nil"/>
              <w:bottom w:val="nil"/>
              <w:right w:val="single" w:sz="4" w:space="0" w:color="auto"/>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45" w:type="dxa"/>
            <w:tcBorders>
              <w:top w:val="nil"/>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jednotka</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105"/>
        </w:trPr>
        <w:tc>
          <w:tcPr>
            <w:tcW w:w="496" w:type="dxa"/>
            <w:tcBorders>
              <w:top w:val="nil"/>
              <w:left w:val="double" w:sz="6"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nil"/>
              <w:bottom w:val="double" w:sz="6" w:space="0" w:color="auto"/>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45"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30"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5"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12"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21"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90"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41"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nil"/>
              <w:left w:val="single" w:sz="4" w:space="0" w:color="auto"/>
              <w:bottom w:val="double" w:sz="6" w:space="0" w:color="auto"/>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nil"/>
              <w:left w:val="single" w:sz="4" w:space="0" w:color="auto"/>
              <w:bottom w:val="double" w:sz="6" w:space="0" w:color="auto"/>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315"/>
        </w:trPr>
        <w:tc>
          <w:tcPr>
            <w:tcW w:w="496" w:type="dxa"/>
            <w:tcBorders>
              <w:top w:val="single" w:sz="4" w:space="0" w:color="auto"/>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45"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3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5"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12"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21"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90" w:type="dxa"/>
            <w:tcBorders>
              <w:top w:val="single" w:sz="4" w:space="0" w:color="auto"/>
              <w:left w:val="single" w:sz="4" w:space="0" w:color="auto"/>
              <w:bottom w:val="nil"/>
              <w:right w:val="single" w:sz="4"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41"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single" w:sz="4" w:space="0" w:color="auto"/>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2011</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nezaměstnanost</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tis. osob</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571,9</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566,9</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547,8</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513,8</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490,0</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478,8</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485,6</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481,5</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475,1</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470,6</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476,4</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508,5</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xml:space="preserve">míra </w:t>
            </w:r>
            <w:proofErr w:type="spellStart"/>
            <w:r w:rsidRPr="002433C8">
              <w:rPr>
                <w:rFonts w:ascii="Arial CE" w:eastAsia="Times New Roman" w:hAnsi="Arial CE" w:cs="Times New Roman"/>
                <w:sz w:val="16"/>
                <w:szCs w:val="16"/>
                <w:lang w:eastAsia="cs-CZ"/>
              </w:rPr>
              <w:t>nezam</w:t>
            </w:r>
            <w:proofErr w:type="spellEnd"/>
            <w:r w:rsidRPr="002433C8">
              <w:rPr>
                <w:rFonts w:ascii="Arial CE" w:eastAsia="Times New Roman" w:hAnsi="Arial CE" w:cs="Times New Roman"/>
                <w:sz w:val="16"/>
                <w:szCs w:val="16"/>
                <w:lang w:eastAsia="cs-CZ"/>
              </w:rPr>
              <w:t>.</w:t>
            </w:r>
          </w:p>
        </w:tc>
        <w:tc>
          <w:tcPr>
            <w:tcW w:w="745" w:type="dxa"/>
            <w:tcBorders>
              <w:top w:val="nil"/>
              <w:left w:val="single" w:sz="4" w:space="0" w:color="auto"/>
              <w:bottom w:val="nil"/>
              <w:right w:val="single" w:sz="4"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w:t>
            </w:r>
          </w:p>
        </w:tc>
        <w:tc>
          <w:tcPr>
            <w:tcW w:w="580" w:type="dxa"/>
            <w:tcBorders>
              <w:top w:val="nil"/>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9,7</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9,6</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9,2</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8,6</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8,2</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8,1</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8,2</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8,2</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8,0</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7,9</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8,0</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8,6</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podíl nezaměstnaných</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7,6</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7,5</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7,2</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6,7</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6,4</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6,3</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6,4</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6,4</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6,3</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6,2</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6,3</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6,8</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volná místa</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tis. míst</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31,4</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32,2</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33,9</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36,1</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37,6</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38,4</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38,9</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40,8</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39,8</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38,7</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36,8</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35,8</w:t>
            </w:r>
          </w:p>
        </w:tc>
      </w:tr>
      <w:tr w:rsidR="009046AD" w:rsidRPr="002433C8" w:rsidTr="00412232">
        <w:trPr>
          <w:trHeight w:val="300"/>
        </w:trPr>
        <w:tc>
          <w:tcPr>
            <w:tcW w:w="496" w:type="dxa"/>
            <w:tcBorders>
              <w:top w:val="single" w:sz="4" w:space="0" w:color="auto"/>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45"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3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5"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12"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21"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90" w:type="dxa"/>
            <w:tcBorders>
              <w:top w:val="single" w:sz="4" w:space="0" w:color="auto"/>
              <w:left w:val="single" w:sz="4" w:space="0" w:color="auto"/>
              <w:bottom w:val="nil"/>
              <w:right w:val="single" w:sz="4"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41"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single" w:sz="4" w:space="0" w:color="auto"/>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2012</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nezaměstnanost</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tis. osob</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534,1</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541,7</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525,2</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497,3</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482,1</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474,6</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485,6</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486,7</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493,2</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496,8</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508,5</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545,3</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xml:space="preserve">míra </w:t>
            </w:r>
            <w:proofErr w:type="spellStart"/>
            <w:r w:rsidRPr="002433C8">
              <w:rPr>
                <w:rFonts w:ascii="Arial CE" w:eastAsia="Times New Roman" w:hAnsi="Arial CE" w:cs="Times New Roman"/>
                <w:sz w:val="16"/>
                <w:szCs w:val="16"/>
                <w:lang w:eastAsia="cs-CZ"/>
              </w:rPr>
              <w:t>nezam</w:t>
            </w:r>
            <w:proofErr w:type="spellEnd"/>
            <w:r w:rsidRPr="002433C8">
              <w:rPr>
                <w:rFonts w:ascii="Arial CE" w:eastAsia="Times New Roman" w:hAnsi="Arial CE" w:cs="Times New Roman"/>
                <w:sz w:val="16"/>
                <w:szCs w:val="16"/>
                <w:lang w:eastAsia="cs-CZ"/>
              </w:rPr>
              <w:t>.</w:t>
            </w:r>
          </w:p>
        </w:tc>
        <w:tc>
          <w:tcPr>
            <w:tcW w:w="745" w:type="dxa"/>
            <w:tcBorders>
              <w:top w:val="nil"/>
              <w:left w:val="single" w:sz="4" w:space="0" w:color="auto"/>
              <w:bottom w:val="nil"/>
              <w:right w:val="single" w:sz="4"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w:t>
            </w:r>
          </w:p>
        </w:tc>
        <w:tc>
          <w:tcPr>
            <w:tcW w:w="580" w:type="dxa"/>
            <w:tcBorders>
              <w:top w:val="nil"/>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9,1</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9,2</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8,9</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8,4</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8,2</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8,1</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8,3</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8,3</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8,4</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8,5</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8,7</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9,4</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podíl nezaměstnaných</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7,1</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7,2</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7,0</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6,6</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6,4</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6,4</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6,5</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6,5</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6,6</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6,7</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6,8</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7,4</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volná místa</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tis. míst</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34,5</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36,7</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39,9</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41,7</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43,7</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42,8</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41,1</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42,6</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40,8</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40,7</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38,8</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34,9</w:t>
            </w:r>
          </w:p>
        </w:tc>
      </w:tr>
      <w:tr w:rsidR="009046AD" w:rsidRPr="002433C8" w:rsidTr="00412232">
        <w:trPr>
          <w:trHeight w:val="300"/>
        </w:trPr>
        <w:tc>
          <w:tcPr>
            <w:tcW w:w="496" w:type="dxa"/>
            <w:tcBorders>
              <w:top w:val="single" w:sz="4" w:space="0" w:color="auto"/>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45"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3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5"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12"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21"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90" w:type="dxa"/>
            <w:tcBorders>
              <w:top w:val="single" w:sz="4" w:space="0" w:color="auto"/>
              <w:left w:val="single" w:sz="4" w:space="0" w:color="auto"/>
              <w:bottom w:val="nil"/>
              <w:right w:val="single" w:sz="4"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nil"/>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41"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580"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single" w:sz="4" w:space="0" w:color="auto"/>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single" w:sz="4" w:space="0" w:color="auto"/>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2013</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nezaměstnanost</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tis. osob</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585,8</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593,7</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587,8</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565,2</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547,5</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540,5</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551,1</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551,7</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r w:rsidR="003451E3">
              <w:rPr>
                <w:rFonts w:ascii="Arial CE" w:eastAsia="Times New Roman" w:hAnsi="Arial CE" w:cs="Times New Roman"/>
                <w:sz w:val="16"/>
                <w:szCs w:val="16"/>
                <w:lang w:eastAsia="cs-CZ"/>
              </w:rPr>
              <w:t>557,1</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podíl nezaměstnaných</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8,0</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8,1</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8,0</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7,7</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7,5</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7,3</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7,5</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7,5</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r w:rsidR="003451E3">
              <w:rPr>
                <w:rFonts w:ascii="Arial CE" w:eastAsia="Times New Roman" w:hAnsi="Arial CE" w:cs="Times New Roman"/>
                <w:sz w:val="16"/>
                <w:szCs w:val="16"/>
                <w:lang w:eastAsia="cs-CZ"/>
              </w:rPr>
              <w:t>7,6</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300"/>
        </w:trPr>
        <w:tc>
          <w:tcPr>
            <w:tcW w:w="496" w:type="dxa"/>
            <w:tcBorders>
              <w:top w:val="nil"/>
              <w:left w:val="double" w:sz="6"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172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volná místa</w:t>
            </w:r>
          </w:p>
        </w:tc>
        <w:tc>
          <w:tcPr>
            <w:tcW w:w="74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tis. míst</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33,8</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34,6</w:t>
            </w:r>
          </w:p>
        </w:tc>
        <w:tc>
          <w:tcPr>
            <w:tcW w:w="63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38,9</w:t>
            </w:r>
          </w:p>
        </w:tc>
        <w:tc>
          <w:tcPr>
            <w:tcW w:w="585"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39,8</w:t>
            </w:r>
          </w:p>
        </w:tc>
        <w:tc>
          <w:tcPr>
            <w:tcW w:w="61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42,6</w:t>
            </w:r>
          </w:p>
        </w:tc>
        <w:tc>
          <w:tcPr>
            <w:tcW w:w="62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44,0</w:t>
            </w:r>
          </w:p>
        </w:tc>
        <w:tc>
          <w:tcPr>
            <w:tcW w:w="79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40,2</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40,6</w:t>
            </w:r>
          </w:p>
        </w:tc>
        <w:tc>
          <w:tcPr>
            <w:tcW w:w="541"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r w:rsidR="003451E3">
              <w:rPr>
                <w:rFonts w:ascii="Arial CE" w:eastAsia="Times New Roman" w:hAnsi="Arial CE" w:cs="Times New Roman"/>
                <w:sz w:val="16"/>
                <w:szCs w:val="16"/>
                <w:lang w:eastAsia="cs-CZ"/>
              </w:rPr>
              <w:t>41,4</w:t>
            </w:r>
          </w:p>
        </w:tc>
        <w:tc>
          <w:tcPr>
            <w:tcW w:w="580"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692" w:type="dxa"/>
            <w:tcBorders>
              <w:top w:val="nil"/>
              <w:left w:val="single" w:sz="4" w:space="0" w:color="auto"/>
              <w:bottom w:val="nil"/>
              <w:right w:val="nil"/>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c>
          <w:tcPr>
            <w:tcW w:w="760" w:type="dxa"/>
            <w:tcBorders>
              <w:top w:val="nil"/>
              <w:left w:val="single" w:sz="4" w:space="0" w:color="auto"/>
              <w:bottom w:val="nil"/>
              <w:right w:val="double" w:sz="6" w:space="0" w:color="auto"/>
            </w:tcBorders>
            <w:shd w:val="clear" w:color="auto" w:fill="auto"/>
            <w:noWrap/>
            <w:vAlign w:val="bottom"/>
            <w:hideMark/>
          </w:tcPr>
          <w:p w:rsidR="009046AD" w:rsidRPr="002433C8" w:rsidRDefault="009046AD" w:rsidP="00412232">
            <w:pPr>
              <w:spacing w:after="0" w:line="240" w:lineRule="auto"/>
              <w:jc w:val="center"/>
              <w:rPr>
                <w:rFonts w:ascii="Arial CE" w:eastAsia="Times New Roman" w:hAnsi="Arial CE" w:cs="Times New Roman"/>
                <w:sz w:val="16"/>
                <w:szCs w:val="16"/>
                <w:lang w:eastAsia="cs-CZ"/>
              </w:rPr>
            </w:pPr>
            <w:r w:rsidRPr="002433C8">
              <w:rPr>
                <w:rFonts w:ascii="Arial CE" w:eastAsia="Times New Roman" w:hAnsi="Arial CE" w:cs="Times New Roman"/>
                <w:sz w:val="16"/>
                <w:szCs w:val="16"/>
                <w:lang w:eastAsia="cs-CZ"/>
              </w:rPr>
              <w:t> </w:t>
            </w:r>
          </w:p>
        </w:tc>
      </w:tr>
      <w:tr w:rsidR="009046AD" w:rsidRPr="002433C8" w:rsidTr="00412232">
        <w:trPr>
          <w:trHeight w:val="165"/>
        </w:trPr>
        <w:tc>
          <w:tcPr>
            <w:tcW w:w="496" w:type="dxa"/>
            <w:tcBorders>
              <w:top w:val="nil"/>
              <w:left w:val="double" w:sz="6" w:space="0" w:color="auto"/>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1720"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745"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580"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580"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630"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585"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612"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621"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790"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580"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541"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580"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692" w:type="dxa"/>
            <w:tcBorders>
              <w:top w:val="nil"/>
              <w:left w:val="nil"/>
              <w:bottom w:val="double" w:sz="6" w:space="0" w:color="auto"/>
              <w:right w:val="single" w:sz="4"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c>
          <w:tcPr>
            <w:tcW w:w="760" w:type="dxa"/>
            <w:tcBorders>
              <w:top w:val="nil"/>
              <w:left w:val="nil"/>
              <w:bottom w:val="double" w:sz="6" w:space="0" w:color="auto"/>
              <w:right w:val="double" w:sz="6" w:space="0" w:color="auto"/>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r w:rsidRPr="002433C8">
              <w:rPr>
                <w:rFonts w:ascii="System" w:eastAsia="Times New Roman" w:hAnsi="System" w:cs="Times New Roman"/>
                <w:sz w:val="16"/>
                <w:szCs w:val="16"/>
                <w:lang w:eastAsia="cs-CZ"/>
              </w:rPr>
              <w:t> </w:t>
            </w:r>
          </w:p>
        </w:tc>
      </w:tr>
      <w:tr w:rsidR="009046AD" w:rsidRPr="002433C8" w:rsidTr="00412232">
        <w:trPr>
          <w:trHeight w:val="495"/>
        </w:trPr>
        <w:tc>
          <w:tcPr>
            <w:tcW w:w="9752" w:type="dxa"/>
            <w:gridSpan w:val="14"/>
            <w:tcBorders>
              <w:top w:val="nil"/>
              <w:left w:val="nil"/>
              <w:bottom w:val="nil"/>
              <w:right w:val="nil"/>
            </w:tcBorders>
            <w:shd w:val="clear" w:color="auto" w:fill="auto"/>
            <w:noWrap/>
            <w:vAlign w:val="bottom"/>
            <w:hideMark/>
          </w:tcPr>
          <w:p w:rsidR="009046AD" w:rsidRPr="002433C8" w:rsidRDefault="009046AD" w:rsidP="00412232">
            <w:pPr>
              <w:spacing w:after="0" w:line="240" w:lineRule="auto"/>
              <w:rPr>
                <w:rFonts w:ascii="Arial" w:eastAsia="Times New Roman" w:hAnsi="Arial" w:cs="Arial"/>
                <w:sz w:val="16"/>
                <w:szCs w:val="16"/>
                <w:lang w:eastAsia="cs-CZ"/>
              </w:rPr>
            </w:pPr>
            <w:r w:rsidRPr="002433C8">
              <w:rPr>
                <w:rFonts w:ascii="Arial" w:eastAsia="Times New Roman" w:hAnsi="Arial" w:cs="Arial"/>
                <w:sz w:val="16"/>
                <w:szCs w:val="16"/>
                <w:vertAlign w:val="superscript"/>
                <w:lang w:eastAsia="cs-CZ"/>
              </w:rPr>
              <w:t>*)</w:t>
            </w:r>
            <w:r w:rsidRPr="002433C8">
              <w:rPr>
                <w:rFonts w:ascii="Arial" w:eastAsia="Times New Roman" w:hAnsi="Arial" w:cs="Arial"/>
                <w:sz w:val="16"/>
                <w:szCs w:val="16"/>
                <w:lang w:eastAsia="cs-CZ"/>
              </w:rPr>
              <w:t xml:space="preserve"> podíl nezaměstnaných osob = počet dosažitelných uchazečů o zaměstnání ve věku 15 – 64 let k obyvatelstvu stejného věku </w:t>
            </w:r>
          </w:p>
        </w:tc>
        <w:tc>
          <w:tcPr>
            <w:tcW w:w="760" w:type="dxa"/>
            <w:tcBorders>
              <w:top w:val="nil"/>
              <w:left w:val="nil"/>
              <w:bottom w:val="nil"/>
              <w:right w:val="nil"/>
            </w:tcBorders>
            <w:shd w:val="clear" w:color="auto" w:fill="auto"/>
            <w:noWrap/>
            <w:vAlign w:val="bottom"/>
            <w:hideMark/>
          </w:tcPr>
          <w:p w:rsidR="009046AD" w:rsidRPr="002433C8" w:rsidRDefault="009046AD" w:rsidP="00412232">
            <w:pPr>
              <w:spacing w:after="0" w:line="240" w:lineRule="auto"/>
              <w:rPr>
                <w:rFonts w:ascii="System" w:eastAsia="Times New Roman" w:hAnsi="System" w:cs="Times New Roman"/>
                <w:sz w:val="16"/>
                <w:szCs w:val="16"/>
                <w:lang w:eastAsia="cs-CZ"/>
              </w:rPr>
            </w:pPr>
          </w:p>
        </w:tc>
      </w:tr>
    </w:tbl>
    <w:p w:rsidR="009046AD" w:rsidRPr="009046AD" w:rsidRDefault="009046AD" w:rsidP="00AA471A">
      <w:pPr>
        <w:pStyle w:val="Zkladnt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autoSpaceDE w:val="0"/>
        <w:autoSpaceDN w:val="0"/>
        <w:spacing w:after="120" w:line="276" w:lineRule="auto"/>
        <w:rPr>
          <w:sz w:val="22"/>
          <w:szCs w:val="22"/>
        </w:rPr>
      </w:pPr>
    </w:p>
    <w:p w:rsidR="00AA471A" w:rsidRDefault="003451E3" w:rsidP="00C62520">
      <w:pPr>
        <w:rPr>
          <w:rFonts w:ascii="Arial" w:eastAsia="Times New Roman" w:hAnsi="Arial" w:cs="Arial"/>
          <w:b/>
          <w:sz w:val="24"/>
          <w:szCs w:val="24"/>
          <w:highlight w:val="yellow"/>
          <w:u w:val="single"/>
          <w:lang w:eastAsia="cs-CZ"/>
        </w:rPr>
      </w:pPr>
      <w:r>
        <w:rPr>
          <w:noProof/>
          <w:lang w:eastAsia="cs-CZ"/>
        </w:rPr>
        <w:drawing>
          <wp:inline distT="0" distB="0" distL="0" distR="0" wp14:anchorId="137705EE" wp14:editId="108EE1C2">
            <wp:extent cx="5761355" cy="3475434"/>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4C8B" w:rsidRDefault="00364C8B" w:rsidP="00C62520">
      <w:pPr>
        <w:rPr>
          <w:rFonts w:ascii="Arial" w:eastAsia="Times New Roman" w:hAnsi="Arial" w:cs="Arial"/>
          <w:b/>
          <w:sz w:val="24"/>
          <w:szCs w:val="24"/>
          <w:highlight w:val="yellow"/>
          <w:u w:val="single"/>
          <w:lang w:eastAsia="cs-CZ"/>
        </w:rPr>
      </w:pPr>
    </w:p>
    <w:p w:rsidR="003451E3" w:rsidRDefault="003451E3" w:rsidP="000B7692">
      <w:pPr>
        <w:spacing w:after="0" w:line="240" w:lineRule="auto"/>
        <w:ind w:left="30"/>
        <w:rPr>
          <w:rFonts w:ascii="Arial" w:eastAsia="Times New Roman" w:hAnsi="Arial" w:cs="Arial"/>
          <w:b/>
          <w:sz w:val="24"/>
          <w:szCs w:val="24"/>
          <w:lang w:eastAsia="cs-CZ"/>
        </w:rPr>
      </w:pPr>
    </w:p>
    <w:p w:rsidR="00C655EE" w:rsidRPr="00C65CBF" w:rsidRDefault="00C655EE" w:rsidP="00C655EE">
      <w:pPr>
        <w:rPr>
          <w:rFonts w:ascii="Arial" w:hAnsi="Arial" w:cs="Arial"/>
          <w:b/>
          <w:sz w:val="28"/>
          <w:szCs w:val="28"/>
        </w:rPr>
      </w:pPr>
      <w:r w:rsidRPr="00C65CBF">
        <w:rPr>
          <w:rFonts w:ascii="Arial" w:hAnsi="Arial" w:cs="Arial"/>
          <w:b/>
          <w:sz w:val="28"/>
          <w:szCs w:val="28"/>
        </w:rPr>
        <w:lastRenderedPageBreak/>
        <w:t>3) Řešení situace v Moravskoslezském kraji (aktuální nabídka investora)</w:t>
      </w:r>
    </w:p>
    <w:p w:rsidR="00C655EE" w:rsidRPr="000B7692" w:rsidRDefault="00C655EE" w:rsidP="00C655EE">
      <w:pPr>
        <w:pStyle w:val="Normlnweb"/>
        <w:spacing w:line="360" w:lineRule="auto"/>
        <w:jc w:val="both"/>
        <w:rPr>
          <w:rFonts w:ascii="Arial" w:hAnsi="Arial" w:cs="Arial"/>
        </w:rPr>
      </w:pPr>
      <w:r w:rsidRPr="000B7692">
        <w:rPr>
          <w:rFonts w:ascii="Arial" w:hAnsi="Arial" w:cs="Arial"/>
        </w:rPr>
        <w:t xml:space="preserve">Společnost </w:t>
      </w:r>
      <w:proofErr w:type="spellStart"/>
      <w:r w:rsidRPr="000B7692">
        <w:rPr>
          <w:rFonts w:ascii="Arial" w:hAnsi="Arial" w:cs="Arial"/>
        </w:rPr>
        <w:t>Mondeléz</w:t>
      </w:r>
      <w:proofErr w:type="spellEnd"/>
      <w:r w:rsidRPr="000B7692">
        <w:rPr>
          <w:rFonts w:ascii="Arial" w:hAnsi="Arial" w:cs="Arial"/>
        </w:rPr>
        <w:t xml:space="preserve"> International - nový závod na výrobu sušenek předpokládá vytvoření až 350 nových pracovních míst. Pokud bude záměr realizován v České republice (okres Opava), vynaloží Ministerstvo práce a sociálních věcí a Úřad práce České republiky veškeré úsilí k zajištění finanční podpory pro umístění uchazečů o</w:t>
      </w:r>
      <w:r>
        <w:rPr>
          <w:rFonts w:ascii="Arial" w:hAnsi="Arial" w:cs="Arial"/>
        </w:rPr>
        <w:t> </w:t>
      </w:r>
      <w:r w:rsidRPr="000B7692">
        <w:rPr>
          <w:rFonts w:ascii="Arial" w:hAnsi="Arial" w:cs="Arial"/>
        </w:rPr>
        <w:t>zaměstnání na vytvořených pracovních místech prostřednictvím nástrojů aktivní politiky zaměstnanosti. Ministerstvo práce a sociálních věcí bude spolupracovat s</w:t>
      </w:r>
      <w:r>
        <w:rPr>
          <w:rFonts w:ascii="Arial" w:hAnsi="Arial" w:cs="Arial"/>
        </w:rPr>
        <w:t> </w:t>
      </w:r>
      <w:r w:rsidRPr="000B7692">
        <w:rPr>
          <w:rFonts w:ascii="Arial" w:hAnsi="Arial" w:cs="Arial"/>
        </w:rPr>
        <w:t>Úřadem práce ČR, který je k poskytování příspěvků aktivní politiky zaměstnanosti kompetentní, a to při současném respektování příslušných právních předpisů a za předpokladu zajištění finančních prostředků na tento účel.</w:t>
      </w:r>
    </w:p>
    <w:p w:rsidR="00C655EE" w:rsidRPr="000B7692" w:rsidRDefault="00C655EE" w:rsidP="00C655EE">
      <w:pPr>
        <w:pStyle w:val="Normlnweb"/>
        <w:spacing w:line="360" w:lineRule="auto"/>
        <w:jc w:val="both"/>
        <w:rPr>
          <w:rFonts w:ascii="Arial" w:hAnsi="Arial" w:cs="Arial"/>
        </w:rPr>
      </w:pPr>
      <w:r w:rsidRPr="000B7692">
        <w:rPr>
          <w:rFonts w:ascii="Arial" w:hAnsi="Arial" w:cs="Arial"/>
        </w:rPr>
        <w:t xml:space="preserve">Finanční podpora společnosti </w:t>
      </w:r>
      <w:proofErr w:type="spellStart"/>
      <w:r w:rsidRPr="000B7692">
        <w:rPr>
          <w:rFonts w:ascii="Arial" w:hAnsi="Arial" w:cs="Arial"/>
        </w:rPr>
        <w:t>Mondeléz</w:t>
      </w:r>
      <w:proofErr w:type="spellEnd"/>
      <w:r w:rsidRPr="000B7692">
        <w:rPr>
          <w:rFonts w:ascii="Arial" w:hAnsi="Arial" w:cs="Arial"/>
        </w:rPr>
        <w:t xml:space="preserve"> International by měla být realizována v</w:t>
      </w:r>
      <w:r>
        <w:rPr>
          <w:rFonts w:ascii="Arial" w:hAnsi="Arial" w:cs="Arial"/>
        </w:rPr>
        <w:t> </w:t>
      </w:r>
      <w:r w:rsidRPr="000B7692">
        <w:rPr>
          <w:rFonts w:ascii="Arial" w:hAnsi="Arial" w:cs="Arial"/>
        </w:rPr>
        <w:t>letech 2014 – 2020.</w:t>
      </w:r>
    </w:p>
    <w:p w:rsidR="00C655EE" w:rsidRPr="000B7692" w:rsidRDefault="00C655EE" w:rsidP="00C655EE">
      <w:pPr>
        <w:pStyle w:val="Normlnweb"/>
        <w:spacing w:line="360" w:lineRule="auto"/>
        <w:jc w:val="both"/>
        <w:rPr>
          <w:rFonts w:ascii="Arial" w:hAnsi="Arial" w:cs="Arial"/>
        </w:rPr>
      </w:pPr>
      <w:r w:rsidRPr="000B7692">
        <w:rPr>
          <w:rFonts w:ascii="Arial" w:hAnsi="Arial" w:cs="Arial"/>
        </w:rPr>
        <w:t xml:space="preserve">Konkrétně se bude jednat o příspěvek na společensky účelná pracovní místa vyhrazená podle ustanovení § 113 odst. 5 zákona č. 435/2004 Sb., o zaměstnanosti, ve znění pozdějších předpisů, tedy mzdový příspěvek, který je poskytován zaměstnavateli na vynaložené prostředky na mzdy nebo platy na zaměstnance přijatého na vyhrazené společensky účelné pracovní místo, včetně pojistného na sociální zabezpečení a pojistného na veřejné zdravotní pojištění, které zaměstnavatel za sebe odvedl ze základu pojistného tohoto zaměstnance. </w:t>
      </w:r>
    </w:p>
    <w:p w:rsidR="00C655EE" w:rsidRPr="000B7692" w:rsidRDefault="00C655EE" w:rsidP="00C655EE">
      <w:pPr>
        <w:pStyle w:val="Normlnweb"/>
        <w:spacing w:line="360" w:lineRule="auto"/>
        <w:jc w:val="both"/>
        <w:rPr>
          <w:rFonts w:ascii="Arial" w:hAnsi="Arial" w:cs="Arial"/>
        </w:rPr>
      </w:pPr>
      <w:r w:rsidRPr="000B7692">
        <w:rPr>
          <w:rFonts w:ascii="Arial" w:hAnsi="Arial" w:cs="Arial"/>
        </w:rPr>
        <w:t>Úřad práce ČR bude se zaměstnavatelem spolupracovat při vyhledávání lidských zdrojů -</w:t>
      </w:r>
      <w:r>
        <w:rPr>
          <w:rFonts w:ascii="Arial" w:hAnsi="Arial" w:cs="Arial"/>
        </w:rPr>
        <w:t xml:space="preserve"> </w:t>
      </w:r>
      <w:r w:rsidRPr="000B7692">
        <w:rPr>
          <w:rFonts w:ascii="Arial" w:hAnsi="Arial" w:cs="Arial"/>
        </w:rPr>
        <w:t xml:space="preserve">uchazečů o zaměstnání, kteří budou umístěni na nově vytvářená pracovní místa. </w:t>
      </w:r>
    </w:p>
    <w:p w:rsidR="000B7692" w:rsidRPr="00F47E39" w:rsidRDefault="000B7692" w:rsidP="00C62520">
      <w:pPr>
        <w:rPr>
          <w:rFonts w:ascii="Arial" w:hAnsi="Arial" w:cs="Arial"/>
          <w:b/>
          <w:sz w:val="24"/>
          <w:szCs w:val="24"/>
        </w:rPr>
      </w:pPr>
    </w:p>
    <w:sectPr w:rsidR="000B7692" w:rsidRPr="00F47E39" w:rsidSect="00364C8B">
      <w:footerReference w:type="default" r:id="rId12"/>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588" w:rsidRDefault="00B07588" w:rsidP="004E23CF">
      <w:pPr>
        <w:spacing w:after="0" w:line="240" w:lineRule="auto"/>
      </w:pPr>
      <w:r>
        <w:separator/>
      </w:r>
    </w:p>
  </w:endnote>
  <w:endnote w:type="continuationSeparator" w:id="0">
    <w:p w:rsidR="00B07588" w:rsidRDefault="00B07588" w:rsidP="004E2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E obyeejné">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00"/>
    <w:family w:val="roman"/>
    <w:notTrueType/>
    <w:pitch w:val="default"/>
  </w:font>
  <w:font w:name="System">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209682"/>
      <w:docPartObj>
        <w:docPartGallery w:val="Page Numbers (Bottom of Page)"/>
        <w:docPartUnique/>
      </w:docPartObj>
    </w:sdtPr>
    <w:sdtEndPr/>
    <w:sdtContent>
      <w:p w:rsidR="00003E53" w:rsidRDefault="00003E53">
        <w:pPr>
          <w:pStyle w:val="Zpat"/>
          <w:jc w:val="center"/>
        </w:pPr>
        <w:r>
          <w:fldChar w:fldCharType="begin"/>
        </w:r>
        <w:r>
          <w:instrText>PAGE   \* MERGEFORMAT</w:instrText>
        </w:r>
        <w:r>
          <w:fldChar w:fldCharType="separate"/>
        </w:r>
        <w:r w:rsidR="00725F24">
          <w:rPr>
            <w:noProof/>
          </w:rPr>
          <w:t>1</w:t>
        </w:r>
        <w:r>
          <w:fldChar w:fldCharType="end"/>
        </w:r>
      </w:p>
    </w:sdtContent>
  </w:sdt>
  <w:p w:rsidR="00003E53" w:rsidRDefault="00003E5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588" w:rsidRDefault="00B07588" w:rsidP="004E23CF">
      <w:pPr>
        <w:spacing w:after="0" w:line="240" w:lineRule="auto"/>
      </w:pPr>
      <w:r>
        <w:separator/>
      </w:r>
    </w:p>
  </w:footnote>
  <w:footnote w:type="continuationSeparator" w:id="0">
    <w:p w:rsidR="00B07588" w:rsidRDefault="00B07588" w:rsidP="004E23CF">
      <w:pPr>
        <w:spacing w:after="0" w:line="240" w:lineRule="auto"/>
      </w:pPr>
      <w:r>
        <w:continuationSeparator/>
      </w:r>
    </w:p>
  </w:footnote>
  <w:footnote w:id="1">
    <w:p w:rsidR="003451E3" w:rsidRDefault="003451E3" w:rsidP="003451E3">
      <w:pPr>
        <w:pStyle w:val="Textpoznpodarou"/>
        <w:jc w:val="both"/>
      </w:pPr>
      <w:r>
        <w:rPr>
          <w:rStyle w:val="Znakapoznpodarou"/>
          <w:rFonts w:ascii="Times New Roman CE obyeejné" w:hAnsi="Times New Roman CE obyeejné" w:cs="Times New Roman CE obyeejné"/>
        </w:rPr>
        <w:footnoteRef/>
      </w:r>
      <w:r>
        <w:t xml:space="preserve"> </w:t>
      </w:r>
      <w:r>
        <w:rPr>
          <w:rFonts w:ascii="Times New Roman" w:hAnsi="Times New Roman" w:cs="Times New Roman"/>
          <w:i/>
          <w:iCs/>
        </w:rPr>
        <w:t>Jedná se o uchazeče o zaměstnání, kteří mohou bezprostředně nastoupit do zaměstnání při nabídce vhodného pracovního místa, tj. evidovaní nezaměstnaní, kteří nemají žádnou objektivní překážku pro přijetí zaměstnání. Za dosažitelné se nepovažují uchazeči o zaměstnání ve vazbě, ve výkonu trestu, uchazeči v pracovní neschopnosti, uchazeči, kteří jsou zařazeni na rekvalifikační kurzy, nebo uchazeči, kteří vykonávají krátkodobé zaměstnání, a dále uchazečky, které pobírají peněžitou pomoc v mateřství nebo kterým je poskytována podpora v nezaměstnanosti po dobu mateřské dovolené.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5DEB"/>
    <w:multiLevelType w:val="hybridMultilevel"/>
    <w:tmpl w:val="379EF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5624C93"/>
    <w:multiLevelType w:val="hybridMultilevel"/>
    <w:tmpl w:val="1534ED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A177E50"/>
    <w:multiLevelType w:val="hybridMultilevel"/>
    <w:tmpl w:val="B016DB2E"/>
    <w:lvl w:ilvl="0" w:tplc="0608BD16">
      <w:start w:val="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CC24828"/>
    <w:multiLevelType w:val="hybridMultilevel"/>
    <w:tmpl w:val="D2C0AD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9464F31"/>
    <w:multiLevelType w:val="hybridMultilevel"/>
    <w:tmpl w:val="9274D462"/>
    <w:lvl w:ilvl="0" w:tplc="794278E6">
      <w:start w:val="1"/>
      <w:numFmt w:val="decimal"/>
      <w:lvlText w:val="%1)"/>
      <w:lvlJc w:val="left"/>
      <w:pPr>
        <w:ind w:left="390" w:hanging="360"/>
      </w:pPr>
      <w:rPr>
        <w:rFonts w:hint="default"/>
      </w:rPr>
    </w:lvl>
    <w:lvl w:ilvl="1" w:tplc="04050019" w:tentative="1">
      <w:start w:val="1"/>
      <w:numFmt w:val="lowerLetter"/>
      <w:lvlText w:val="%2."/>
      <w:lvlJc w:val="left"/>
      <w:pPr>
        <w:ind w:left="1110" w:hanging="360"/>
      </w:pPr>
    </w:lvl>
    <w:lvl w:ilvl="2" w:tplc="0405001B" w:tentative="1">
      <w:start w:val="1"/>
      <w:numFmt w:val="lowerRoman"/>
      <w:lvlText w:val="%3."/>
      <w:lvlJc w:val="right"/>
      <w:pPr>
        <w:ind w:left="1830" w:hanging="180"/>
      </w:pPr>
    </w:lvl>
    <w:lvl w:ilvl="3" w:tplc="0405000F" w:tentative="1">
      <w:start w:val="1"/>
      <w:numFmt w:val="decimal"/>
      <w:lvlText w:val="%4."/>
      <w:lvlJc w:val="left"/>
      <w:pPr>
        <w:ind w:left="2550" w:hanging="360"/>
      </w:pPr>
    </w:lvl>
    <w:lvl w:ilvl="4" w:tplc="04050019" w:tentative="1">
      <w:start w:val="1"/>
      <w:numFmt w:val="lowerLetter"/>
      <w:lvlText w:val="%5."/>
      <w:lvlJc w:val="left"/>
      <w:pPr>
        <w:ind w:left="3270" w:hanging="360"/>
      </w:pPr>
    </w:lvl>
    <w:lvl w:ilvl="5" w:tplc="0405001B" w:tentative="1">
      <w:start w:val="1"/>
      <w:numFmt w:val="lowerRoman"/>
      <w:lvlText w:val="%6."/>
      <w:lvlJc w:val="right"/>
      <w:pPr>
        <w:ind w:left="3990" w:hanging="180"/>
      </w:pPr>
    </w:lvl>
    <w:lvl w:ilvl="6" w:tplc="0405000F" w:tentative="1">
      <w:start w:val="1"/>
      <w:numFmt w:val="decimal"/>
      <w:lvlText w:val="%7."/>
      <w:lvlJc w:val="left"/>
      <w:pPr>
        <w:ind w:left="4710" w:hanging="360"/>
      </w:pPr>
    </w:lvl>
    <w:lvl w:ilvl="7" w:tplc="04050019" w:tentative="1">
      <w:start w:val="1"/>
      <w:numFmt w:val="lowerLetter"/>
      <w:lvlText w:val="%8."/>
      <w:lvlJc w:val="left"/>
      <w:pPr>
        <w:ind w:left="5430" w:hanging="360"/>
      </w:pPr>
    </w:lvl>
    <w:lvl w:ilvl="8" w:tplc="0405001B" w:tentative="1">
      <w:start w:val="1"/>
      <w:numFmt w:val="lowerRoman"/>
      <w:lvlText w:val="%9."/>
      <w:lvlJc w:val="right"/>
      <w:pPr>
        <w:ind w:left="6150" w:hanging="180"/>
      </w:pPr>
    </w:lvl>
  </w:abstractNum>
  <w:abstractNum w:abstractNumId="5">
    <w:nsid w:val="7C162109"/>
    <w:multiLevelType w:val="hybridMultilevel"/>
    <w:tmpl w:val="200A71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5"/>
    <w:lvlOverride w:ilvl="0"/>
    <w:lvlOverride w:ilvl="1"/>
    <w:lvlOverride w:ilvl="2"/>
    <w:lvlOverride w:ilvl="3"/>
    <w:lvlOverride w:ilvl="4"/>
    <w:lvlOverride w:ilvl="5"/>
    <w:lvlOverride w:ilvl="6"/>
    <w:lvlOverride w:ilvl="7"/>
    <w:lvlOverride w:ilvl="8"/>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54D"/>
    <w:rsid w:val="00003E53"/>
    <w:rsid w:val="0006111B"/>
    <w:rsid w:val="000811AF"/>
    <w:rsid w:val="000A32AF"/>
    <w:rsid w:val="000B7692"/>
    <w:rsid w:val="00131C9E"/>
    <w:rsid w:val="00153BD9"/>
    <w:rsid w:val="0016244A"/>
    <w:rsid w:val="002374CB"/>
    <w:rsid w:val="00240E37"/>
    <w:rsid w:val="002512D6"/>
    <w:rsid w:val="002B550A"/>
    <w:rsid w:val="002C0DA5"/>
    <w:rsid w:val="002D6204"/>
    <w:rsid w:val="00334AD2"/>
    <w:rsid w:val="003451E3"/>
    <w:rsid w:val="00352CA4"/>
    <w:rsid w:val="00364C8B"/>
    <w:rsid w:val="003A21DE"/>
    <w:rsid w:val="003E63A4"/>
    <w:rsid w:val="00404C2D"/>
    <w:rsid w:val="004165C8"/>
    <w:rsid w:val="00454D05"/>
    <w:rsid w:val="0046222F"/>
    <w:rsid w:val="004E23CF"/>
    <w:rsid w:val="00530133"/>
    <w:rsid w:val="00541BD3"/>
    <w:rsid w:val="005907B1"/>
    <w:rsid w:val="0059254D"/>
    <w:rsid w:val="005D6DB7"/>
    <w:rsid w:val="00611BD2"/>
    <w:rsid w:val="006421BB"/>
    <w:rsid w:val="006571A2"/>
    <w:rsid w:val="00696E5E"/>
    <w:rsid w:val="006A6015"/>
    <w:rsid w:val="006B6317"/>
    <w:rsid w:val="006F1D33"/>
    <w:rsid w:val="006F2BEC"/>
    <w:rsid w:val="00725F24"/>
    <w:rsid w:val="007839CA"/>
    <w:rsid w:val="007B3371"/>
    <w:rsid w:val="007D6269"/>
    <w:rsid w:val="007D645A"/>
    <w:rsid w:val="0082295A"/>
    <w:rsid w:val="00825105"/>
    <w:rsid w:val="008421A9"/>
    <w:rsid w:val="008518CE"/>
    <w:rsid w:val="0085593F"/>
    <w:rsid w:val="009046AD"/>
    <w:rsid w:val="0098461D"/>
    <w:rsid w:val="009A1E8F"/>
    <w:rsid w:val="00A23131"/>
    <w:rsid w:val="00A331C4"/>
    <w:rsid w:val="00A674FB"/>
    <w:rsid w:val="00A700B7"/>
    <w:rsid w:val="00A73C76"/>
    <w:rsid w:val="00A918FC"/>
    <w:rsid w:val="00AA471A"/>
    <w:rsid w:val="00AC2BC7"/>
    <w:rsid w:val="00AF217C"/>
    <w:rsid w:val="00AF5F30"/>
    <w:rsid w:val="00B07588"/>
    <w:rsid w:val="00B37083"/>
    <w:rsid w:val="00B71301"/>
    <w:rsid w:val="00B7319D"/>
    <w:rsid w:val="00B7322F"/>
    <w:rsid w:val="00BF1D61"/>
    <w:rsid w:val="00C1060A"/>
    <w:rsid w:val="00C11DA9"/>
    <w:rsid w:val="00C139CD"/>
    <w:rsid w:val="00C20DEB"/>
    <w:rsid w:val="00C62520"/>
    <w:rsid w:val="00C655EE"/>
    <w:rsid w:val="00C65CBF"/>
    <w:rsid w:val="00C80340"/>
    <w:rsid w:val="00CB6362"/>
    <w:rsid w:val="00CF1C3F"/>
    <w:rsid w:val="00CF3555"/>
    <w:rsid w:val="00D00F9D"/>
    <w:rsid w:val="00D4064E"/>
    <w:rsid w:val="00D77D66"/>
    <w:rsid w:val="00DB439A"/>
    <w:rsid w:val="00DC2EFD"/>
    <w:rsid w:val="00DD2F9C"/>
    <w:rsid w:val="00DD5D92"/>
    <w:rsid w:val="00E7014D"/>
    <w:rsid w:val="00E719A4"/>
    <w:rsid w:val="00E87930"/>
    <w:rsid w:val="00EA5740"/>
    <w:rsid w:val="00EF0FA7"/>
    <w:rsid w:val="00F05F1A"/>
    <w:rsid w:val="00F12853"/>
    <w:rsid w:val="00F252E4"/>
    <w:rsid w:val="00F47E39"/>
    <w:rsid w:val="00F65217"/>
    <w:rsid w:val="00F77E76"/>
    <w:rsid w:val="00FB48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E23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23CF"/>
  </w:style>
  <w:style w:type="paragraph" w:styleId="Zpat">
    <w:name w:val="footer"/>
    <w:basedOn w:val="Normln"/>
    <w:link w:val="ZpatChar"/>
    <w:uiPriority w:val="99"/>
    <w:unhideWhenUsed/>
    <w:rsid w:val="004E23CF"/>
    <w:pPr>
      <w:tabs>
        <w:tab w:val="center" w:pos="4536"/>
        <w:tab w:val="right" w:pos="9072"/>
      </w:tabs>
      <w:spacing w:after="0" w:line="240" w:lineRule="auto"/>
    </w:pPr>
  </w:style>
  <w:style w:type="character" w:customStyle="1" w:styleId="ZpatChar">
    <w:name w:val="Zápatí Char"/>
    <w:basedOn w:val="Standardnpsmoodstavce"/>
    <w:link w:val="Zpat"/>
    <w:uiPriority w:val="99"/>
    <w:rsid w:val="004E23CF"/>
  </w:style>
  <w:style w:type="paragraph" w:styleId="Normlnweb">
    <w:name w:val="Normal (Web)"/>
    <w:basedOn w:val="Normln"/>
    <w:rsid w:val="000B769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AA471A"/>
    <w:pPr>
      <w:spacing w:after="0" w:line="240" w:lineRule="auto"/>
      <w:jc w:val="both"/>
    </w:pPr>
    <w:rPr>
      <w:rFonts w:ascii="Arial" w:eastAsia="Times New Roman" w:hAnsi="Arial" w:cs="Arial"/>
      <w:sz w:val="24"/>
      <w:szCs w:val="24"/>
      <w:lang w:eastAsia="cs-CZ"/>
    </w:rPr>
  </w:style>
  <w:style w:type="character" w:customStyle="1" w:styleId="ZkladntextChar">
    <w:name w:val="Základní text Char"/>
    <w:basedOn w:val="Standardnpsmoodstavce"/>
    <w:link w:val="Zkladntext"/>
    <w:uiPriority w:val="99"/>
    <w:rsid w:val="00AA471A"/>
    <w:rPr>
      <w:rFonts w:ascii="Arial" w:eastAsia="Times New Roman" w:hAnsi="Arial" w:cs="Arial"/>
      <w:sz w:val="24"/>
      <w:szCs w:val="24"/>
      <w:lang w:eastAsia="cs-CZ"/>
    </w:rPr>
  </w:style>
  <w:style w:type="paragraph" w:styleId="Textpoznpodarou">
    <w:name w:val="footnote text"/>
    <w:basedOn w:val="Normln"/>
    <w:link w:val="TextpoznpodarouChar"/>
    <w:uiPriority w:val="99"/>
    <w:rsid w:val="00AA471A"/>
    <w:pPr>
      <w:widowControl w:val="0"/>
      <w:autoSpaceDE w:val="0"/>
      <w:autoSpaceDN w:val="0"/>
      <w:spacing w:after="0" w:line="240" w:lineRule="auto"/>
    </w:pPr>
    <w:rPr>
      <w:rFonts w:ascii="Times New Roman CE obyeejné" w:eastAsia="Times New Roman" w:hAnsi="Times New Roman CE obyeejné" w:cs="Times New Roman CE obyeejné"/>
      <w:sz w:val="20"/>
      <w:szCs w:val="20"/>
      <w:lang w:eastAsia="cs-CZ"/>
    </w:rPr>
  </w:style>
  <w:style w:type="character" w:customStyle="1" w:styleId="TextpoznpodarouChar">
    <w:name w:val="Text pozn. pod čarou Char"/>
    <w:basedOn w:val="Standardnpsmoodstavce"/>
    <w:link w:val="Textpoznpodarou"/>
    <w:uiPriority w:val="99"/>
    <w:rsid w:val="00AA471A"/>
    <w:rPr>
      <w:rFonts w:ascii="Times New Roman CE obyeejné" w:eastAsia="Times New Roman" w:hAnsi="Times New Roman CE obyeejné" w:cs="Times New Roman CE obyeejné"/>
      <w:sz w:val="20"/>
      <w:szCs w:val="20"/>
      <w:lang w:eastAsia="cs-CZ"/>
    </w:rPr>
  </w:style>
  <w:style w:type="character" w:styleId="Znakapoznpodarou">
    <w:name w:val="footnote reference"/>
    <w:basedOn w:val="Standardnpsmoodstavce"/>
    <w:uiPriority w:val="99"/>
    <w:rsid w:val="00AA471A"/>
    <w:rPr>
      <w:rFonts w:ascii="Times New Roman" w:hAnsi="Times New Roman" w:cs="Times New Roman"/>
      <w:vertAlign w:val="superscript"/>
    </w:rPr>
  </w:style>
  <w:style w:type="character" w:styleId="Hypertextovodkaz">
    <w:name w:val="Hyperlink"/>
    <w:basedOn w:val="Standardnpsmoodstavce"/>
    <w:uiPriority w:val="99"/>
    <w:rsid w:val="00AA471A"/>
    <w:rPr>
      <w:rFonts w:ascii="Times New Roman" w:hAnsi="Times New Roman" w:cs="Times New Roman"/>
      <w:color w:val="0000FF"/>
      <w:u w:val="single"/>
    </w:rPr>
  </w:style>
  <w:style w:type="paragraph" w:styleId="Textbubliny">
    <w:name w:val="Balloon Text"/>
    <w:basedOn w:val="Normln"/>
    <w:link w:val="TextbublinyChar"/>
    <w:uiPriority w:val="99"/>
    <w:semiHidden/>
    <w:unhideWhenUsed/>
    <w:rsid w:val="008421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21A9"/>
    <w:rPr>
      <w:rFonts w:ascii="Tahoma" w:hAnsi="Tahoma" w:cs="Tahoma"/>
      <w:sz w:val="16"/>
      <w:szCs w:val="16"/>
    </w:rPr>
  </w:style>
  <w:style w:type="paragraph" w:styleId="Odstavecseseznamem">
    <w:name w:val="List Paragraph"/>
    <w:basedOn w:val="Normln"/>
    <w:uiPriority w:val="34"/>
    <w:qFormat/>
    <w:rsid w:val="006B63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E23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23CF"/>
  </w:style>
  <w:style w:type="paragraph" w:styleId="Zpat">
    <w:name w:val="footer"/>
    <w:basedOn w:val="Normln"/>
    <w:link w:val="ZpatChar"/>
    <w:uiPriority w:val="99"/>
    <w:unhideWhenUsed/>
    <w:rsid w:val="004E23CF"/>
    <w:pPr>
      <w:tabs>
        <w:tab w:val="center" w:pos="4536"/>
        <w:tab w:val="right" w:pos="9072"/>
      </w:tabs>
      <w:spacing w:after="0" w:line="240" w:lineRule="auto"/>
    </w:pPr>
  </w:style>
  <w:style w:type="character" w:customStyle="1" w:styleId="ZpatChar">
    <w:name w:val="Zápatí Char"/>
    <w:basedOn w:val="Standardnpsmoodstavce"/>
    <w:link w:val="Zpat"/>
    <w:uiPriority w:val="99"/>
    <w:rsid w:val="004E23CF"/>
  </w:style>
  <w:style w:type="paragraph" w:styleId="Normlnweb">
    <w:name w:val="Normal (Web)"/>
    <w:basedOn w:val="Normln"/>
    <w:rsid w:val="000B769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AA471A"/>
    <w:pPr>
      <w:spacing w:after="0" w:line="240" w:lineRule="auto"/>
      <w:jc w:val="both"/>
    </w:pPr>
    <w:rPr>
      <w:rFonts w:ascii="Arial" w:eastAsia="Times New Roman" w:hAnsi="Arial" w:cs="Arial"/>
      <w:sz w:val="24"/>
      <w:szCs w:val="24"/>
      <w:lang w:eastAsia="cs-CZ"/>
    </w:rPr>
  </w:style>
  <w:style w:type="character" w:customStyle="1" w:styleId="ZkladntextChar">
    <w:name w:val="Základní text Char"/>
    <w:basedOn w:val="Standardnpsmoodstavce"/>
    <w:link w:val="Zkladntext"/>
    <w:uiPriority w:val="99"/>
    <w:rsid w:val="00AA471A"/>
    <w:rPr>
      <w:rFonts w:ascii="Arial" w:eastAsia="Times New Roman" w:hAnsi="Arial" w:cs="Arial"/>
      <w:sz w:val="24"/>
      <w:szCs w:val="24"/>
      <w:lang w:eastAsia="cs-CZ"/>
    </w:rPr>
  </w:style>
  <w:style w:type="paragraph" w:styleId="Textpoznpodarou">
    <w:name w:val="footnote text"/>
    <w:basedOn w:val="Normln"/>
    <w:link w:val="TextpoznpodarouChar"/>
    <w:uiPriority w:val="99"/>
    <w:rsid w:val="00AA471A"/>
    <w:pPr>
      <w:widowControl w:val="0"/>
      <w:autoSpaceDE w:val="0"/>
      <w:autoSpaceDN w:val="0"/>
      <w:spacing w:after="0" w:line="240" w:lineRule="auto"/>
    </w:pPr>
    <w:rPr>
      <w:rFonts w:ascii="Times New Roman CE obyeejné" w:eastAsia="Times New Roman" w:hAnsi="Times New Roman CE obyeejné" w:cs="Times New Roman CE obyeejné"/>
      <w:sz w:val="20"/>
      <w:szCs w:val="20"/>
      <w:lang w:eastAsia="cs-CZ"/>
    </w:rPr>
  </w:style>
  <w:style w:type="character" w:customStyle="1" w:styleId="TextpoznpodarouChar">
    <w:name w:val="Text pozn. pod čarou Char"/>
    <w:basedOn w:val="Standardnpsmoodstavce"/>
    <w:link w:val="Textpoznpodarou"/>
    <w:uiPriority w:val="99"/>
    <w:rsid w:val="00AA471A"/>
    <w:rPr>
      <w:rFonts w:ascii="Times New Roman CE obyeejné" w:eastAsia="Times New Roman" w:hAnsi="Times New Roman CE obyeejné" w:cs="Times New Roman CE obyeejné"/>
      <w:sz w:val="20"/>
      <w:szCs w:val="20"/>
      <w:lang w:eastAsia="cs-CZ"/>
    </w:rPr>
  </w:style>
  <w:style w:type="character" w:styleId="Znakapoznpodarou">
    <w:name w:val="footnote reference"/>
    <w:basedOn w:val="Standardnpsmoodstavce"/>
    <w:uiPriority w:val="99"/>
    <w:rsid w:val="00AA471A"/>
    <w:rPr>
      <w:rFonts w:ascii="Times New Roman" w:hAnsi="Times New Roman" w:cs="Times New Roman"/>
      <w:vertAlign w:val="superscript"/>
    </w:rPr>
  </w:style>
  <w:style w:type="character" w:styleId="Hypertextovodkaz">
    <w:name w:val="Hyperlink"/>
    <w:basedOn w:val="Standardnpsmoodstavce"/>
    <w:uiPriority w:val="99"/>
    <w:rsid w:val="00AA471A"/>
    <w:rPr>
      <w:rFonts w:ascii="Times New Roman" w:hAnsi="Times New Roman" w:cs="Times New Roman"/>
      <w:color w:val="0000FF"/>
      <w:u w:val="single"/>
    </w:rPr>
  </w:style>
  <w:style w:type="paragraph" w:styleId="Textbubliny">
    <w:name w:val="Balloon Text"/>
    <w:basedOn w:val="Normln"/>
    <w:link w:val="TextbublinyChar"/>
    <w:uiPriority w:val="99"/>
    <w:semiHidden/>
    <w:unhideWhenUsed/>
    <w:rsid w:val="008421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21A9"/>
    <w:rPr>
      <w:rFonts w:ascii="Tahoma" w:hAnsi="Tahoma" w:cs="Tahoma"/>
      <w:sz w:val="16"/>
      <w:szCs w:val="16"/>
    </w:rPr>
  </w:style>
  <w:style w:type="paragraph" w:styleId="Odstavecseseznamem">
    <w:name w:val="List Paragraph"/>
    <w:basedOn w:val="Normln"/>
    <w:uiPriority w:val="34"/>
    <w:qFormat/>
    <w:rsid w:val="006B6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820150">
      <w:bodyDiv w:val="1"/>
      <w:marLeft w:val="0"/>
      <w:marRight w:val="0"/>
      <w:marTop w:val="0"/>
      <w:marBottom w:val="0"/>
      <w:divBdr>
        <w:top w:val="none" w:sz="0" w:space="0" w:color="auto"/>
        <w:left w:val="none" w:sz="0" w:space="0" w:color="auto"/>
        <w:bottom w:val="none" w:sz="0" w:space="0" w:color="auto"/>
        <w:right w:val="none" w:sz="0" w:space="0" w:color="auto"/>
      </w:divBdr>
    </w:div>
    <w:div w:id="608467668">
      <w:bodyDiv w:val="1"/>
      <w:marLeft w:val="0"/>
      <w:marRight w:val="0"/>
      <w:marTop w:val="0"/>
      <w:marBottom w:val="0"/>
      <w:divBdr>
        <w:top w:val="none" w:sz="0" w:space="0" w:color="auto"/>
        <w:left w:val="none" w:sz="0" w:space="0" w:color="auto"/>
        <w:bottom w:val="none" w:sz="0" w:space="0" w:color="auto"/>
        <w:right w:val="none" w:sz="0" w:space="0" w:color="auto"/>
      </w:divBdr>
    </w:div>
    <w:div w:id="647442031">
      <w:bodyDiv w:val="1"/>
      <w:marLeft w:val="0"/>
      <w:marRight w:val="0"/>
      <w:marTop w:val="0"/>
      <w:marBottom w:val="0"/>
      <w:divBdr>
        <w:top w:val="none" w:sz="0" w:space="0" w:color="auto"/>
        <w:left w:val="none" w:sz="0" w:space="0" w:color="auto"/>
        <w:bottom w:val="none" w:sz="0" w:space="0" w:color="auto"/>
        <w:right w:val="none" w:sz="0" w:space="0" w:color="auto"/>
      </w:divBdr>
    </w:div>
    <w:div w:id="1069228982">
      <w:bodyDiv w:val="1"/>
      <w:marLeft w:val="0"/>
      <w:marRight w:val="0"/>
      <w:marTop w:val="0"/>
      <w:marBottom w:val="0"/>
      <w:divBdr>
        <w:top w:val="none" w:sz="0" w:space="0" w:color="auto"/>
        <w:left w:val="none" w:sz="0" w:space="0" w:color="auto"/>
        <w:bottom w:val="none" w:sz="0" w:space="0" w:color="auto"/>
        <w:right w:val="none" w:sz="0" w:space="0" w:color="auto"/>
      </w:divBdr>
    </w:div>
    <w:div w:id="1153251661">
      <w:bodyDiv w:val="1"/>
      <w:marLeft w:val="0"/>
      <w:marRight w:val="0"/>
      <w:marTop w:val="0"/>
      <w:marBottom w:val="0"/>
      <w:divBdr>
        <w:top w:val="none" w:sz="0" w:space="0" w:color="auto"/>
        <w:left w:val="none" w:sz="0" w:space="0" w:color="auto"/>
        <w:bottom w:val="none" w:sz="0" w:space="0" w:color="auto"/>
        <w:right w:val="none" w:sz="0" w:space="0" w:color="auto"/>
      </w:divBdr>
    </w:div>
    <w:div w:id="1170219173">
      <w:bodyDiv w:val="1"/>
      <w:marLeft w:val="0"/>
      <w:marRight w:val="0"/>
      <w:marTop w:val="0"/>
      <w:marBottom w:val="0"/>
      <w:divBdr>
        <w:top w:val="none" w:sz="0" w:space="0" w:color="auto"/>
        <w:left w:val="none" w:sz="0" w:space="0" w:color="auto"/>
        <w:bottom w:val="none" w:sz="0" w:space="0" w:color="auto"/>
        <w:right w:val="none" w:sz="0" w:space="0" w:color="auto"/>
      </w:divBdr>
    </w:div>
    <w:div w:id="1180435933">
      <w:bodyDiv w:val="1"/>
      <w:marLeft w:val="0"/>
      <w:marRight w:val="0"/>
      <w:marTop w:val="0"/>
      <w:marBottom w:val="0"/>
      <w:divBdr>
        <w:top w:val="none" w:sz="0" w:space="0" w:color="auto"/>
        <w:left w:val="none" w:sz="0" w:space="0" w:color="auto"/>
        <w:bottom w:val="none" w:sz="0" w:space="0" w:color="auto"/>
        <w:right w:val="none" w:sz="0" w:space="0" w:color="auto"/>
      </w:divBdr>
    </w:div>
    <w:div w:id="1221480952">
      <w:bodyDiv w:val="1"/>
      <w:marLeft w:val="0"/>
      <w:marRight w:val="0"/>
      <w:marTop w:val="0"/>
      <w:marBottom w:val="0"/>
      <w:divBdr>
        <w:top w:val="none" w:sz="0" w:space="0" w:color="auto"/>
        <w:left w:val="none" w:sz="0" w:space="0" w:color="auto"/>
        <w:bottom w:val="none" w:sz="0" w:space="0" w:color="auto"/>
        <w:right w:val="none" w:sz="0" w:space="0" w:color="auto"/>
      </w:divBdr>
    </w:div>
    <w:div w:id="1389526400">
      <w:bodyDiv w:val="1"/>
      <w:marLeft w:val="0"/>
      <w:marRight w:val="0"/>
      <w:marTop w:val="0"/>
      <w:marBottom w:val="0"/>
      <w:divBdr>
        <w:top w:val="none" w:sz="0" w:space="0" w:color="auto"/>
        <w:left w:val="none" w:sz="0" w:space="0" w:color="auto"/>
        <w:bottom w:val="none" w:sz="0" w:space="0" w:color="auto"/>
        <w:right w:val="none" w:sz="0" w:space="0" w:color="auto"/>
      </w:divBdr>
    </w:div>
    <w:div w:id="1556502174">
      <w:bodyDiv w:val="1"/>
      <w:marLeft w:val="0"/>
      <w:marRight w:val="0"/>
      <w:marTop w:val="0"/>
      <w:marBottom w:val="0"/>
      <w:divBdr>
        <w:top w:val="none" w:sz="0" w:space="0" w:color="auto"/>
        <w:left w:val="none" w:sz="0" w:space="0" w:color="auto"/>
        <w:bottom w:val="none" w:sz="0" w:space="0" w:color="auto"/>
        <w:right w:val="none" w:sz="0" w:space="0" w:color="auto"/>
      </w:divBdr>
    </w:div>
    <w:div w:id="1583643815">
      <w:bodyDiv w:val="1"/>
      <w:marLeft w:val="0"/>
      <w:marRight w:val="0"/>
      <w:marTop w:val="0"/>
      <w:marBottom w:val="0"/>
      <w:divBdr>
        <w:top w:val="none" w:sz="0" w:space="0" w:color="auto"/>
        <w:left w:val="none" w:sz="0" w:space="0" w:color="auto"/>
        <w:bottom w:val="none" w:sz="0" w:space="0" w:color="auto"/>
        <w:right w:val="none" w:sz="0" w:space="0" w:color="auto"/>
      </w:divBdr>
    </w:div>
    <w:div w:id="161679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mpsv.cz/sz/stat/nz/casove_rad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yperlink" Target="http://portal.mpsv.cz/sz/stat" TargetMode="External"/><Relationship Id="rId4" Type="http://schemas.openxmlformats.org/officeDocument/2006/relationships/settings" Target="settings.xml"/><Relationship Id="rId9" Type="http://schemas.openxmlformats.org/officeDocument/2006/relationships/hyperlink" Target="http://epp.eurostat.ec.europa.eu/portal/page/portal/statistics/search_database"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mpa-cls3-spoldisk\spoldisk\SD_o143_statistiky\45\STATISTIKY\TISKOVE\2013-09\2.%20Nez%202011_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Arial"/>
                <a:ea typeface="Arial"/>
                <a:cs typeface="Arial"/>
              </a:defRPr>
            </a:pPr>
            <a:r>
              <a:rPr lang="cs-CZ" sz="1200" b="1" i="0" u="none" strike="noStrike" baseline="0">
                <a:solidFill>
                  <a:srgbClr val="000000"/>
                </a:solidFill>
                <a:latin typeface="Arial"/>
                <a:cs typeface="Arial"/>
              </a:rPr>
              <a:t>Vývoj počtu uchazečů o zaměstnání</a:t>
            </a:r>
          </a:p>
          <a:p>
            <a:pPr>
              <a:defRPr sz="1400" b="0" i="0" u="none" strike="noStrike" baseline="0">
                <a:solidFill>
                  <a:srgbClr val="000000"/>
                </a:solidFill>
                <a:latin typeface="Arial"/>
                <a:ea typeface="Arial"/>
                <a:cs typeface="Arial"/>
              </a:defRPr>
            </a:pPr>
            <a:r>
              <a:rPr lang="cs-CZ" sz="1200" b="1" i="0" u="none" strike="noStrike" baseline="0">
                <a:solidFill>
                  <a:srgbClr val="000000"/>
                </a:solidFill>
                <a:latin typeface="Arial"/>
                <a:cs typeface="Arial"/>
              </a:rPr>
              <a:t>a volných pracovních míst</a:t>
            </a:r>
          </a:p>
        </c:rich>
      </c:tx>
      <c:layout>
        <c:manualLayout>
          <c:xMode val="edge"/>
          <c:yMode val="edge"/>
          <c:x val="0.27068983319233858"/>
          <c:y val="2.1948836881412109E-2"/>
        </c:manualLayout>
      </c:layout>
      <c:overlay val="0"/>
      <c:spPr>
        <a:noFill/>
        <a:ln w="25400">
          <a:noFill/>
        </a:ln>
      </c:spPr>
    </c:title>
    <c:autoTitleDeleted val="0"/>
    <c:plotArea>
      <c:layout>
        <c:manualLayout>
          <c:layoutTarget val="inner"/>
          <c:xMode val="edge"/>
          <c:yMode val="edge"/>
          <c:x val="9.8746933127924208E-2"/>
          <c:y val="0.14880778416211493"/>
          <c:w val="0.82384286203355017"/>
          <c:h val="0.76185015724385807"/>
        </c:manualLayout>
      </c:layout>
      <c:lineChart>
        <c:grouping val="standard"/>
        <c:varyColors val="0"/>
        <c:ser>
          <c:idx val="0"/>
          <c:order val="0"/>
          <c:tx>
            <c:strRef>
              <c:f>List1!$A$2</c:f>
              <c:strCache>
                <c:ptCount val="1"/>
                <c:pt idx="0">
                  <c:v>uchazeči</c:v>
                </c:pt>
              </c:strCache>
            </c:strRef>
          </c:tx>
          <c:spPr>
            <a:ln w="25400">
              <a:solidFill>
                <a:srgbClr val="000080"/>
              </a:solidFill>
              <a:prstDash val="solid"/>
            </a:ln>
          </c:spPr>
          <c:marker>
            <c:symbol val="none"/>
          </c:marker>
          <c:dPt>
            <c:idx val="217"/>
            <c:bubble3D val="0"/>
            <c:spPr>
              <a:ln w="25400">
                <a:solidFill>
                  <a:srgbClr val="000080"/>
                </a:solidFill>
                <a:prstDash val="solid"/>
              </a:ln>
            </c:spPr>
          </c:dPt>
          <c:cat>
            <c:numRef>
              <c:f>List1!$B$1:$JQ$1</c:f>
              <c:numCache>
                <c:formatCode>General</c:formatCode>
                <c:ptCount val="276"/>
                <c:pt idx="0">
                  <c:v>1991</c:v>
                </c:pt>
                <c:pt idx="12">
                  <c:v>1992</c:v>
                </c:pt>
                <c:pt idx="24">
                  <c:v>1993</c:v>
                </c:pt>
                <c:pt idx="36">
                  <c:v>1994</c:v>
                </c:pt>
                <c:pt idx="48">
                  <c:v>1995</c:v>
                </c:pt>
                <c:pt idx="60">
                  <c:v>1996</c:v>
                </c:pt>
                <c:pt idx="72">
                  <c:v>1997</c:v>
                </c:pt>
                <c:pt idx="84">
                  <c:v>1998</c:v>
                </c:pt>
                <c:pt idx="96">
                  <c:v>1999</c:v>
                </c:pt>
                <c:pt idx="108">
                  <c:v>2000</c:v>
                </c:pt>
                <c:pt idx="120">
                  <c:v>2001</c:v>
                </c:pt>
                <c:pt idx="132">
                  <c:v>2002</c:v>
                </c:pt>
                <c:pt idx="144">
                  <c:v>2003</c:v>
                </c:pt>
                <c:pt idx="156">
                  <c:v>2004</c:v>
                </c:pt>
                <c:pt idx="168">
                  <c:v>2005</c:v>
                </c:pt>
                <c:pt idx="180">
                  <c:v>2006</c:v>
                </c:pt>
                <c:pt idx="192">
                  <c:v>2007</c:v>
                </c:pt>
                <c:pt idx="204">
                  <c:v>2008</c:v>
                </c:pt>
                <c:pt idx="216">
                  <c:v>2009</c:v>
                </c:pt>
                <c:pt idx="228">
                  <c:v>2010</c:v>
                </c:pt>
                <c:pt idx="240">
                  <c:v>2011</c:v>
                </c:pt>
                <c:pt idx="252">
                  <c:v>2012</c:v>
                </c:pt>
                <c:pt idx="264">
                  <c:v>2013</c:v>
                </c:pt>
              </c:numCache>
            </c:numRef>
          </c:cat>
          <c:val>
            <c:numRef>
              <c:f>List1!$B$2:$JQ$2</c:f>
              <c:numCache>
                <c:formatCode>General</c:formatCode>
                <c:ptCount val="276"/>
                <c:pt idx="0">
                  <c:v>58895</c:v>
                </c:pt>
                <c:pt idx="1">
                  <c:v>74753</c:v>
                </c:pt>
                <c:pt idx="2">
                  <c:v>89770</c:v>
                </c:pt>
                <c:pt idx="3">
                  <c:v>106725</c:v>
                </c:pt>
                <c:pt idx="4">
                  <c:v>118280</c:v>
                </c:pt>
                <c:pt idx="5">
                  <c:v>139351</c:v>
                </c:pt>
                <c:pt idx="6">
                  <c:v>165599</c:v>
                </c:pt>
                <c:pt idx="7">
                  <c:v>182805</c:v>
                </c:pt>
                <c:pt idx="8">
                  <c:v>202225</c:v>
                </c:pt>
                <c:pt idx="9">
                  <c:v>211318</c:v>
                </c:pt>
                <c:pt idx="10">
                  <c:v>217525</c:v>
                </c:pt>
                <c:pt idx="11">
                  <c:v>221749</c:v>
                </c:pt>
                <c:pt idx="12">
                  <c:v>231201</c:v>
                </c:pt>
                <c:pt idx="13">
                  <c:v>217554</c:v>
                </c:pt>
                <c:pt idx="14">
                  <c:v>195162</c:v>
                </c:pt>
                <c:pt idx="15">
                  <c:v>168922</c:v>
                </c:pt>
                <c:pt idx="16">
                  <c:v>149665</c:v>
                </c:pt>
                <c:pt idx="17">
                  <c:v>141718</c:v>
                </c:pt>
                <c:pt idx="18">
                  <c:v>140167</c:v>
                </c:pt>
                <c:pt idx="19">
                  <c:v>139253</c:v>
                </c:pt>
                <c:pt idx="20">
                  <c:v>136963</c:v>
                </c:pt>
                <c:pt idx="21">
                  <c:v>131258</c:v>
                </c:pt>
                <c:pt idx="22">
                  <c:v>128904</c:v>
                </c:pt>
                <c:pt idx="23">
                  <c:v>134788</c:v>
                </c:pt>
                <c:pt idx="24">
                  <c:v>158113</c:v>
                </c:pt>
                <c:pt idx="25">
                  <c:v>156176</c:v>
                </c:pt>
                <c:pt idx="26">
                  <c:v>151570</c:v>
                </c:pt>
                <c:pt idx="27">
                  <c:v>142639</c:v>
                </c:pt>
                <c:pt idx="28">
                  <c:v>136136</c:v>
                </c:pt>
                <c:pt idx="29">
                  <c:v>138581</c:v>
                </c:pt>
                <c:pt idx="30">
                  <c:v>148634</c:v>
                </c:pt>
                <c:pt idx="31">
                  <c:v>158612</c:v>
                </c:pt>
                <c:pt idx="32">
                  <c:v>166963</c:v>
                </c:pt>
                <c:pt idx="33">
                  <c:v>169383</c:v>
                </c:pt>
                <c:pt idx="34">
                  <c:v>175756</c:v>
                </c:pt>
                <c:pt idx="35">
                  <c:v>185216</c:v>
                </c:pt>
                <c:pt idx="36">
                  <c:v>198837</c:v>
                </c:pt>
                <c:pt idx="37">
                  <c:v>196569</c:v>
                </c:pt>
                <c:pt idx="38">
                  <c:v>184466</c:v>
                </c:pt>
                <c:pt idx="39">
                  <c:v>171851</c:v>
                </c:pt>
                <c:pt idx="40">
                  <c:v>162490</c:v>
                </c:pt>
                <c:pt idx="41">
                  <c:v>160098</c:v>
                </c:pt>
                <c:pt idx="42">
                  <c:v>165202</c:v>
                </c:pt>
                <c:pt idx="43">
                  <c:v>163794</c:v>
                </c:pt>
                <c:pt idx="44">
                  <c:v>163877</c:v>
                </c:pt>
                <c:pt idx="45">
                  <c:v>160537</c:v>
                </c:pt>
                <c:pt idx="46">
                  <c:v>161197</c:v>
                </c:pt>
                <c:pt idx="47">
                  <c:v>166480</c:v>
                </c:pt>
                <c:pt idx="48">
                  <c:v>177849</c:v>
                </c:pt>
                <c:pt idx="49">
                  <c:v>173678</c:v>
                </c:pt>
                <c:pt idx="50">
                  <c:v>161520</c:v>
                </c:pt>
                <c:pt idx="51">
                  <c:v>151019</c:v>
                </c:pt>
                <c:pt idx="52">
                  <c:v>143225</c:v>
                </c:pt>
                <c:pt idx="53">
                  <c:v>143984</c:v>
                </c:pt>
                <c:pt idx="54">
                  <c:v>152261</c:v>
                </c:pt>
                <c:pt idx="55">
                  <c:v>155324</c:v>
                </c:pt>
                <c:pt idx="56">
                  <c:v>154048</c:v>
                </c:pt>
                <c:pt idx="57">
                  <c:v>146140</c:v>
                </c:pt>
                <c:pt idx="58">
                  <c:v>148042</c:v>
                </c:pt>
                <c:pt idx="59">
                  <c:v>153041</c:v>
                </c:pt>
                <c:pt idx="60">
                  <c:v>164430</c:v>
                </c:pt>
                <c:pt idx="61">
                  <c:v>163982</c:v>
                </c:pt>
                <c:pt idx="62">
                  <c:v>159196</c:v>
                </c:pt>
                <c:pt idx="63">
                  <c:v>148727</c:v>
                </c:pt>
                <c:pt idx="64">
                  <c:v>141236</c:v>
                </c:pt>
                <c:pt idx="65">
                  <c:v>144065</c:v>
                </c:pt>
                <c:pt idx="66">
                  <c:v>158252</c:v>
                </c:pt>
                <c:pt idx="67">
                  <c:v>162970</c:v>
                </c:pt>
                <c:pt idx="68">
                  <c:v>169024</c:v>
                </c:pt>
                <c:pt idx="69">
                  <c:v>170471</c:v>
                </c:pt>
                <c:pt idx="70">
                  <c:v>175842</c:v>
                </c:pt>
                <c:pt idx="71">
                  <c:v>186339</c:v>
                </c:pt>
                <c:pt idx="72">
                  <c:v>205185</c:v>
                </c:pt>
                <c:pt idx="73">
                  <c:v>206658</c:v>
                </c:pt>
                <c:pt idx="74">
                  <c:v>199597</c:v>
                </c:pt>
                <c:pt idx="75">
                  <c:v>195023</c:v>
                </c:pt>
                <c:pt idx="76">
                  <c:v>193442</c:v>
                </c:pt>
                <c:pt idx="77">
                  <c:v>202562</c:v>
                </c:pt>
                <c:pt idx="78">
                  <c:v>222374</c:v>
                </c:pt>
                <c:pt idx="79">
                  <c:v>230301</c:v>
                </c:pt>
                <c:pt idx="80">
                  <c:v>247633</c:v>
                </c:pt>
                <c:pt idx="81">
                  <c:v>249519</c:v>
                </c:pt>
                <c:pt idx="82">
                  <c:v>254106</c:v>
                </c:pt>
                <c:pt idx="83">
                  <c:v>268902</c:v>
                </c:pt>
                <c:pt idx="84">
                  <c:v>287253</c:v>
                </c:pt>
                <c:pt idx="85">
                  <c:v>289222</c:v>
                </c:pt>
                <c:pt idx="86">
                  <c:v>284090</c:v>
                </c:pt>
                <c:pt idx="87">
                  <c:v>277640</c:v>
                </c:pt>
                <c:pt idx="88">
                  <c:v>275322</c:v>
                </c:pt>
                <c:pt idx="89">
                  <c:v>289537</c:v>
                </c:pt>
                <c:pt idx="90">
                  <c:v>313841</c:v>
                </c:pt>
                <c:pt idx="91">
                  <c:v>330024</c:v>
                </c:pt>
                <c:pt idx="92">
                  <c:v>350690</c:v>
                </c:pt>
                <c:pt idx="93">
                  <c:v>351800</c:v>
                </c:pt>
                <c:pt idx="94">
                  <c:v>362795</c:v>
                </c:pt>
                <c:pt idx="95">
                  <c:v>386918</c:v>
                </c:pt>
                <c:pt idx="96">
                  <c:v>416940</c:v>
                </c:pt>
                <c:pt idx="97">
                  <c:v>427994</c:v>
                </c:pt>
                <c:pt idx="98">
                  <c:v>433340</c:v>
                </c:pt>
                <c:pt idx="99">
                  <c:v>423884</c:v>
                </c:pt>
                <c:pt idx="100">
                  <c:v>421574</c:v>
                </c:pt>
                <c:pt idx="101">
                  <c:v>435005</c:v>
                </c:pt>
                <c:pt idx="102">
                  <c:v>456716</c:v>
                </c:pt>
                <c:pt idx="103">
                  <c:v>465454</c:v>
                </c:pt>
                <c:pt idx="104">
                  <c:v>469840</c:v>
                </c:pt>
                <c:pt idx="105">
                  <c:v>464064</c:v>
                </c:pt>
                <c:pt idx="106">
                  <c:v>465965</c:v>
                </c:pt>
                <c:pt idx="107">
                  <c:v>487623</c:v>
                </c:pt>
                <c:pt idx="108">
                  <c:v>508451</c:v>
                </c:pt>
                <c:pt idx="109">
                  <c:v>506111</c:v>
                </c:pt>
                <c:pt idx="110">
                  <c:v>493442</c:v>
                </c:pt>
                <c:pt idx="111">
                  <c:v>471200</c:v>
                </c:pt>
                <c:pt idx="112">
                  <c:v>453843</c:v>
                </c:pt>
                <c:pt idx="113">
                  <c:v>451396</c:v>
                </c:pt>
                <c:pt idx="114">
                  <c:v>469728</c:v>
                </c:pt>
                <c:pt idx="115">
                  <c:v>467264</c:v>
                </c:pt>
                <c:pt idx="116">
                  <c:v>458272</c:v>
                </c:pt>
                <c:pt idx="117">
                  <c:v>445174</c:v>
                </c:pt>
                <c:pt idx="118">
                  <c:v>442232</c:v>
                </c:pt>
                <c:pt idx="119">
                  <c:v>457369</c:v>
                </c:pt>
                <c:pt idx="120">
                  <c:v>474077</c:v>
                </c:pt>
                <c:pt idx="121">
                  <c:v>466120</c:v>
                </c:pt>
                <c:pt idx="122">
                  <c:v>451516</c:v>
                </c:pt>
                <c:pt idx="123">
                  <c:v>433325</c:v>
                </c:pt>
                <c:pt idx="124">
                  <c:v>420578</c:v>
                </c:pt>
                <c:pt idx="125">
                  <c:v>420267</c:v>
                </c:pt>
                <c:pt idx="126">
                  <c:v>439759</c:v>
                </c:pt>
                <c:pt idx="127">
                  <c:v>443637</c:v>
                </c:pt>
                <c:pt idx="128">
                  <c:v>440472</c:v>
                </c:pt>
                <c:pt idx="129">
                  <c:v>437299</c:v>
                </c:pt>
                <c:pt idx="130">
                  <c:v>439164</c:v>
                </c:pt>
                <c:pt idx="131">
                  <c:v>461923</c:v>
                </c:pt>
                <c:pt idx="132">
                  <c:v>488970</c:v>
                </c:pt>
                <c:pt idx="133">
                  <c:v>485219</c:v>
                </c:pt>
                <c:pt idx="134">
                  <c:v>471673</c:v>
                </c:pt>
                <c:pt idx="135">
                  <c:v>456435</c:v>
                </c:pt>
                <c:pt idx="136">
                  <c:v>447877</c:v>
                </c:pt>
                <c:pt idx="137">
                  <c:v>454303</c:v>
                </c:pt>
                <c:pt idx="138">
                  <c:v>479241</c:v>
                </c:pt>
                <c:pt idx="139">
                  <c:v>488309</c:v>
                </c:pt>
                <c:pt idx="140">
                  <c:v>492903</c:v>
                </c:pt>
                <c:pt idx="141">
                  <c:v>486681</c:v>
                </c:pt>
                <c:pt idx="142">
                  <c:v>489797</c:v>
                </c:pt>
                <c:pt idx="143">
                  <c:v>514435</c:v>
                </c:pt>
                <c:pt idx="144">
                  <c:v>539002</c:v>
                </c:pt>
                <c:pt idx="145">
                  <c:v>538099</c:v>
                </c:pt>
                <c:pt idx="146">
                  <c:v>528195</c:v>
                </c:pt>
                <c:pt idx="147">
                  <c:v>509360</c:v>
                </c:pt>
                <c:pt idx="148">
                  <c:v>496778</c:v>
                </c:pt>
                <c:pt idx="149">
                  <c:v>500996</c:v>
                </c:pt>
                <c:pt idx="150">
                  <c:v>520366</c:v>
                </c:pt>
                <c:pt idx="151">
                  <c:v>524980</c:v>
                </c:pt>
                <c:pt idx="152">
                  <c:v>529407</c:v>
                </c:pt>
                <c:pt idx="153">
                  <c:v>522355</c:v>
                </c:pt>
                <c:pt idx="154">
                  <c:v>521035</c:v>
                </c:pt>
                <c:pt idx="155">
                  <c:v>542420</c:v>
                </c:pt>
                <c:pt idx="156">
                  <c:v>569474</c:v>
                </c:pt>
                <c:pt idx="157">
                  <c:v>570787</c:v>
                </c:pt>
                <c:pt idx="158">
                  <c:v>559822</c:v>
                </c:pt>
                <c:pt idx="159">
                  <c:v>535091</c:v>
                </c:pt>
                <c:pt idx="160">
                  <c:v>520442</c:v>
                </c:pt>
                <c:pt idx="161">
                  <c:v>517526</c:v>
                </c:pt>
                <c:pt idx="162">
                  <c:v>532128</c:v>
                </c:pt>
                <c:pt idx="163">
                  <c:v>536012</c:v>
                </c:pt>
                <c:pt idx="164">
                  <c:v>530239</c:v>
                </c:pt>
                <c:pt idx="165">
                  <c:v>517812</c:v>
                </c:pt>
                <c:pt idx="166">
                  <c:v>517726</c:v>
                </c:pt>
                <c:pt idx="167">
                  <c:v>541675</c:v>
                </c:pt>
                <c:pt idx="168">
                  <c:v>561662</c:v>
                </c:pt>
                <c:pt idx="169">
                  <c:v>555046</c:v>
                </c:pt>
                <c:pt idx="170">
                  <c:v>540456</c:v>
                </c:pt>
                <c:pt idx="171">
                  <c:v>512557</c:v>
                </c:pt>
                <c:pt idx="172">
                  <c:v>494576</c:v>
                </c:pt>
                <c:pt idx="173">
                  <c:v>489744</c:v>
                </c:pt>
                <c:pt idx="174">
                  <c:v>500325</c:v>
                </c:pt>
                <c:pt idx="175">
                  <c:v>505254</c:v>
                </c:pt>
                <c:pt idx="176">
                  <c:v>503396</c:v>
                </c:pt>
                <c:pt idx="177">
                  <c:v>491878</c:v>
                </c:pt>
                <c:pt idx="178">
                  <c:v>490779</c:v>
                </c:pt>
                <c:pt idx="179">
                  <c:v>510416</c:v>
                </c:pt>
                <c:pt idx="180">
                  <c:v>531235</c:v>
                </c:pt>
                <c:pt idx="181">
                  <c:v>528154</c:v>
                </c:pt>
                <c:pt idx="182">
                  <c:v>514759</c:v>
                </c:pt>
                <c:pt idx="183">
                  <c:v>486163</c:v>
                </c:pt>
                <c:pt idx="184">
                  <c:v>463042</c:v>
                </c:pt>
                <c:pt idx="185">
                  <c:v>451106</c:v>
                </c:pt>
                <c:pt idx="186">
                  <c:v>458270</c:v>
                </c:pt>
                <c:pt idx="187">
                  <c:v>458729</c:v>
                </c:pt>
                <c:pt idx="188">
                  <c:v>454182</c:v>
                </c:pt>
                <c:pt idx="189">
                  <c:v>439788</c:v>
                </c:pt>
                <c:pt idx="190">
                  <c:v>432573</c:v>
                </c:pt>
                <c:pt idx="191">
                  <c:v>448545</c:v>
                </c:pt>
                <c:pt idx="192">
                  <c:v>465458</c:v>
                </c:pt>
                <c:pt idx="193">
                  <c:v>454737</c:v>
                </c:pt>
                <c:pt idx="194">
                  <c:v>430474</c:v>
                </c:pt>
                <c:pt idx="195">
                  <c:v>402932</c:v>
                </c:pt>
                <c:pt idx="196">
                  <c:v>382599</c:v>
                </c:pt>
                <c:pt idx="197">
                  <c:v>370791</c:v>
                </c:pt>
                <c:pt idx="198">
                  <c:v>376608</c:v>
                </c:pt>
                <c:pt idx="199">
                  <c:v>372759</c:v>
                </c:pt>
                <c:pt idx="200">
                  <c:v>364978</c:v>
                </c:pt>
                <c:pt idx="201">
                  <c:v>348842</c:v>
                </c:pt>
                <c:pt idx="202">
                  <c:v>341438</c:v>
                </c:pt>
                <c:pt idx="203">
                  <c:v>354878</c:v>
                </c:pt>
                <c:pt idx="204">
                  <c:v>364544</c:v>
                </c:pt>
                <c:pt idx="205">
                  <c:v>355033</c:v>
                </c:pt>
                <c:pt idx="206">
                  <c:v>336297</c:v>
                </c:pt>
                <c:pt idx="207">
                  <c:v>316118</c:v>
                </c:pt>
                <c:pt idx="208">
                  <c:v>302507</c:v>
                </c:pt>
                <c:pt idx="209">
                  <c:v>297880</c:v>
                </c:pt>
                <c:pt idx="210">
                  <c:v>310058</c:v>
                </c:pt>
                <c:pt idx="211">
                  <c:v>312333</c:v>
                </c:pt>
                <c:pt idx="212">
                  <c:v>314558</c:v>
                </c:pt>
                <c:pt idx="213">
                  <c:v>311705</c:v>
                </c:pt>
                <c:pt idx="214">
                  <c:v>320299</c:v>
                </c:pt>
                <c:pt idx="215">
                  <c:v>352250</c:v>
                </c:pt>
                <c:pt idx="216">
                  <c:v>398061</c:v>
                </c:pt>
                <c:pt idx="217">
                  <c:v>428848</c:v>
                </c:pt>
                <c:pt idx="218">
                  <c:v>448912</c:v>
                </c:pt>
                <c:pt idx="219">
                  <c:v>456726</c:v>
                </c:pt>
                <c:pt idx="220">
                  <c:v>457561</c:v>
                </c:pt>
                <c:pt idx="221">
                  <c:v>463555</c:v>
                </c:pt>
                <c:pt idx="222">
                  <c:v>485319</c:v>
                </c:pt>
                <c:pt idx="223">
                  <c:v>493751</c:v>
                </c:pt>
                <c:pt idx="224">
                  <c:v>500812</c:v>
                </c:pt>
                <c:pt idx="225">
                  <c:v>498760</c:v>
                </c:pt>
                <c:pt idx="226">
                  <c:v>508909</c:v>
                </c:pt>
                <c:pt idx="227">
                  <c:v>539136</c:v>
                </c:pt>
                <c:pt idx="228">
                  <c:v>574226</c:v>
                </c:pt>
                <c:pt idx="229">
                  <c:v>583135</c:v>
                </c:pt>
                <c:pt idx="230">
                  <c:v>572824</c:v>
                </c:pt>
                <c:pt idx="231">
                  <c:v>540128</c:v>
                </c:pt>
                <c:pt idx="232">
                  <c:v>514779</c:v>
                </c:pt>
                <c:pt idx="233">
                  <c:v>500500</c:v>
                </c:pt>
                <c:pt idx="234">
                  <c:v>505284</c:v>
                </c:pt>
                <c:pt idx="235">
                  <c:v>501494</c:v>
                </c:pt>
                <c:pt idx="236">
                  <c:v>500481</c:v>
                </c:pt>
                <c:pt idx="237">
                  <c:v>495161</c:v>
                </c:pt>
                <c:pt idx="238">
                  <c:v>506640</c:v>
                </c:pt>
                <c:pt idx="239">
                  <c:v>561551</c:v>
                </c:pt>
                <c:pt idx="240">
                  <c:v>571863</c:v>
                </c:pt>
                <c:pt idx="241">
                  <c:v>566896</c:v>
                </c:pt>
                <c:pt idx="242">
                  <c:v>547762</c:v>
                </c:pt>
                <c:pt idx="243">
                  <c:v>513842</c:v>
                </c:pt>
                <c:pt idx="244">
                  <c:v>489956</c:v>
                </c:pt>
                <c:pt idx="245">
                  <c:v>478775</c:v>
                </c:pt>
                <c:pt idx="246">
                  <c:v>485584</c:v>
                </c:pt>
                <c:pt idx="247">
                  <c:v>481535</c:v>
                </c:pt>
                <c:pt idx="248">
                  <c:v>475115</c:v>
                </c:pt>
                <c:pt idx="249">
                  <c:v>470618</c:v>
                </c:pt>
                <c:pt idx="250">
                  <c:v>476404</c:v>
                </c:pt>
                <c:pt idx="251">
                  <c:v>508451</c:v>
                </c:pt>
                <c:pt idx="252">
                  <c:v>534089</c:v>
                </c:pt>
                <c:pt idx="253">
                  <c:v>541685</c:v>
                </c:pt>
                <c:pt idx="254">
                  <c:v>525180</c:v>
                </c:pt>
                <c:pt idx="255">
                  <c:v>497322</c:v>
                </c:pt>
                <c:pt idx="256">
                  <c:v>482099</c:v>
                </c:pt>
                <c:pt idx="257">
                  <c:v>474586</c:v>
                </c:pt>
                <c:pt idx="258">
                  <c:v>485597</c:v>
                </c:pt>
                <c:pt idx="259">
                  <c:v>486693</c:v>
                </c:pt>
                <c:pt idx="260">
                  <c:v>493185</c:v>
                </c:pt>
                <c:pt idx="261">
                  <c:v>496762</c:v>
                </c:pt>
                <c:pt idx="262">
                  <c:v>508498</c:v>
                </c:pt>
                <c:pt idx="263">
                  <c:v>545311</c:v>
                </c:pt>
                <c:pt idx="264">
                  <c:v>545311</c:v>
                </c:pt>
                <c:pt idx="265" formatCode="#,##0">
                  <c:v>585809</c:v>
                </c:pt>
                <c:pt idx="266" formatCode="#,##0">
                  <c:v>593683</c:v>
                </c:pt>
                <c:pt idx="267" formatCode="#,##0">
                  <c:v>587768</c:v>
                </c:pt>
                <c:pt idx="268" formatCode="#,##0">
                  <c:v>565228</c:v>
                </c:pt>
                <c:pt idx="269" formatCode="#,##0">
                  <c:v>547463</c:v>
                </c:pt>
                <c:pt idx="270" formatCode="#,##0">
                  <c:v>540473</c:v>
                </c:pt>
                <c:pt idx="271" formatCode="#,##0">
                  <c:v>551096</c:v>
                </c:pt>
                <c:pt idx="272" formatCode="#,##0">
                  <c:v>551731</c:v>
                </c:pt>
                <c:pt idx="273" formatCode="#,##0">
                  <c:v>557058</c:v>
                </c:pt>
              </c:numCache>
            </c:numRef>
          </c:val>
          <c:smooth val="0"/>
        </c:ser>
        <c:ser>
          <c:idx val="1"/>
          <c:order val="1"/>
          <c:tx>
            <c:strRef>
              <c:f>List1!$A$3</c:f>
              <c:strCache>
                <c:ptCount val="1"/>
                <c:pt idx="0">
                  <c:v>volná pracovní místa</c:v>
                </c:pt>
              </c:strCache>
            </c:strRef>
          </c:tx>
          <c:spPr>
            <a:ln w="25400">
              <a:solidFill>
                <a:srgbClr val="FF00FF"/>
              </a:solidFill>
              <a:prstDash val="solid"/>
            </a:ln>
          </c:spPr>
          <c:marker>
            <c:symbol val="none"/>
          </c:marker>
          <c:cat>
            <c:numRef>
              <c:f>List1!$B$1:$JQ$1</c:f>
              <c:numCache>
                <c:formatCode>General</c:formatCode>
                <c:ptCount val="276"/>
                <c:pt idx="0">
                  <c:v>1991</c:v>
                </c:pt>
                <c:pt idx="12">
                  <c:v>1992</c:v>
                </c:pt>
                <c:pt idx="24">
                  <c:v>1993</c:v>
                </c:pt>
                <c:pt idx="36">
                  <c:v>1994</c:v>
                </c:pt>
                <c:pt idx="48">
                  <c:v>1995</c:v>
                </c:pt>
                <c:pt idx="60">
                  <c:v>1996</c:v>
                </c:pt>
                <c:pt idx="72">
                  <c:v>1997</c:v>
                </c:pt>
                <c:pt idx="84">
                  <c:v>1998</c:v>
                </c:pt>
                <c:pt idx="96">
                  <c:v>1999</c:v>
                </c:pt>
                <c:pt idx="108">
                  <c:v>2000</c:v>
                </c:pt>
                <c:pt idx="120">
                  <c:v>2001</c:v>
                </c:pt>
                <c:pt idx="132">
                  <c:v>2002</c:v>
                </c:pt>
                <c:pt idx="144">
                  <c:v>2003</c:v>
                </c:pt>
                <c:pt idx="156">
                  <c:v>2004</c:v>
                </c:pt>
                <c:pt idx="168">
                  <c:v>2005</c:v>
                </c:pt>
                <c:pt idx="180">
                  <c:v>2006</c:v>
                </c:pt>
                <c:pt idx="192">
                  <c:v>2007</c:v>
                </c:pt>
                <c:pt idx="204">
                  <c:v>2008</c:v>
                </c:pt>
                <c:pt idx="216">
                  <c:v>2009</c:v>
                </c:pt>
                <c:pt idx="228">
                  <c:v>2010</c:v>
                </c:pt>
                <c:pt idx="240">
                  <c:v>2011</c:v>
                </c:pt>
                <c:pt idx="252">
                  <c:v>2012</c:v>
                </c:pt>
                <c:pt idx="264">
                  <c:v>2013</c:v>
                </c:pt>
              </c:numCache>
            </c:numRef>
          </c:cat>
          <c:val>
            <c:numRef>
              <c:f>List1!$B$3:$JQ$3</c:f>
              <c:numCache>
                <c:formatCode>General</c:formatCode>
                <c:ptCount val="276"/>
                <c:pt idx="0">
                  <c:v>48657</c:v>
                </c:pt>
                <c:pt idx="1">
                  <c:v>37978</c:v>
                </c:pt>
                <c:pt idx="2">
                  <c:v>37305</c:v>
                </c:pt>
                <c:pt idx="3">
                  <c:v>36280</c:v>
                </c:pt>
                <c:pt idx="4">
                  <c:v>37129</c:v>
                </c:pt>
                <c:pt idx="5">
                  <c:v>35176</c:v>
                </c:pt>
                <c:pt idx="6">
                  <c:v>37942</c:v>
                </c:pt>
                <c:pt idx="7">
                  <c:v>42153</c:v>
                </c:pt>
                <c:pt idx="8">
                  <c:v>43913</c:v>
                </c:pt>
                <c:pt idx="9">
                  <c:v>44733</c:v>
                </c:pt>
                <c:pt idx="10">
                  <c:v>45517</c:v>
                </c:pt>
                <c:pt idx="11">
                  <c:v>48402</c:v>
                </c:pt>
                <c:pt idx="12">
                  <c:v>52579</c:v>
                </c:pt>
                <c:pt idx="13">
                  <c:v>59838</c:v>
                </c:pt>
                <c:pt idx="14">
                  <c:v>65731</c:v>
                </c:pt>
                <c:pt idx="15">
                  <c:v>71996</c:v>
                </c:pt>
                <c:pt idx="16">
                  <c:v>78306</c:v>
                </c:pt>
                <c:pt idx="17">
                  <c:v>84966</c:v>
                </c:pt>
                <c:pt idx="18">
                  <c:v>88878</c:v>
                </c:pt>
                <c:pt idx="19">
                  <c:v>93656</c:v>
                </c:pt>
                <c:pt idx="20">
                  <c:v>88806</c:v>
                </c:pt>
                <c:pt idx="21">
                  <c:v>84907</c:v>
                </c:pt>
                <c:pt idx="22">
                  <c:v>81338</c:v>
                </c:pt>
                <c:pt idx="23">
                  <c:v>79422</c:v>
                </c:pt>
                <c:pt idx="24">
                  <c:v>74594</c:v>
                </c:pt>
                <c:pt idx="25">
                  <c:v>72402</c:v>
                </c:pt>
                <c:pt idx="26">
                  <c:v>73098</c:v>
                </c:pt>
                <c:pt idx="27">
                  <c:v>71949</c:v>
                </c:pt>
                <c:pt idx="28">
                  <c:v>74441</c:v>
                </c:pt>
                <c:pt idx="29">
                  <c:v>74048</c:v>
                </c:pt>
                <c:pt idx="30">
                  <c:v>72309</c:v>
                </c:pt>
                <c:pt idx="31">
                  <c:v>71920</c:v>
                </c:pt>
                <c:pt idx="32">
                  <c:v>65821</c:v>
                </c:pt>
                <c:pt idx="33">
                  <c:v>60513</c:v>
                </c:pt>
                <c:pt idx="34">
                  <c:v>55067</c:v>
                </c:pt>
                <c:pt idx="35">
                  <c:v>53938</c:v>
                </c:pt>
                <c:pt idx="36">
                  <c:v>56366</c:v>
                </c:pt>
                <c:pt idx="37">
                  <c:v>60737</c:v>
                </c:pt>
                <c:pt idx="38">
                  <c:v>66310</c:v>
                </c:pt>
                <c:pt idx="39">
                  <c:v>69678</c:v>
                </c:pt>
                <c:pt idx="40">
                  <c:v>74128</c:v>
                </c:pt>
                <c:pt idx="41">
                  <c:v>78485</c:v>
                </c:pt>
                <c:pt idx="42">
                  <c:v>81304</c:v>
                </c:pt>
                <c:pt idx="43">
                  <c:v>87025</c:v>
                </c:pt>
                <c:pt idx="44">
                  <c:v>82167</c:v>
                </c:pt>
                <c:pt idx="45">
                  <c:v>79480</c:v>
                </c:pt>
                <c:pt idx="46">
                  <c:v>76561</c:v>
                </c:pt>
                <c:pt idx="47">
                  <c:v>76581</c:v>
                </c:pt>
                <c:pt idx="48">
                  <c:v>75659</c:v>
                </c:pt>
                <c:pt idx="49">
                  <c:v>81242</c:v>
                </c:pt>
                <c:pt idx="50">
                  <c:v>86987</c:v>
                </c:pt>
                <c:pt idx="51">
                  <c:v>89646</c:v>
                </c:pt>
                <c:pt idx="52">
                  <c:v>95198</c:v>
                </c:pt>
                <c:pt idx="53">
                  <c:v>98656</c:v>
                </c:pt>
                <c:pt idx="54">
                  <c:v>100862</c:v>
                </c:pt>
                <c:pt idx="55">
                  <c:v>101432</c:v>
                </c:pt>
                <c:pt idx="56">
                  <c:v>94383</c:v>
                </c:pt>
                <c:pt idx="57">
                  <c:v>92363</c:v>
                </c:pt>
                <c:pt idx="58">
                  <c:v>90503</c:v>
                </c:pt>
                <c:pt idx="59">
                  <c:v>88047</c:v>
                </c:pt>
                <c:pt idx="60">
                  <c:v>89916</c:v>
                </c:pt>
                <c:pt idx="61">
                  <c:v>94325</c:v>
                </c:pt>
                <c:pt idx="62">
                  <c:v>95830</c:v>
                </c:pt>
                <c:pt idx="63">
                  <c:v>100985</c:v>
                </c:pt>
                <c:pt idx="64">
                  <c:v>106605</c:v>
                </c:pt>
                <c:pt idx="65">
                  <c:v>109774</c:v>
                </c:pt>
                <c:pt idx="66">
                  <c:v>107772</c:v>
                </c:pt>
                <c:pt idx="67">
                  <c:v>109426</c:v>
                </c:pt>
                <c:pt idx="68">
                  <c:v>102936</c:v>
                </c:pt>
                <c:pt idx="69">
                  <c:v>95536</c:v>
                </c:pt>
                <c:pt idx="70">
                  <c:v>87649</c:v>
                </c:pt>
                <c:pt idx="71">
                  <c:v>83976</c:v>
                </c:pt>
                <c:pt idx="72">
                  <c:v>81472</c:v>
                </c:pt>
                <c:pt idx="73">
                  <c:v>83598</c:v>
                </c:pt>
                <c:pt idx="74">
                  <c:v>87125</c:v>
                </c:pt>
                <c:pt idx="75">
                  <c:v>84357</c:v>
                </c:pt>
                <c:pt idx="76">
                  <c:v>84893</c:v>
                </c:pt>
                <c:pt idx="77">
                  <c:v>81601</c:v>
                </c:pt>
                <c:pt idx="78">
                  <c:v>77380</c:v>
                </c:pt>
                <c:pt idx="79">
                  <c:v>78367</c:v>
                </c:pt>
                <c:pt idx="80">
                  <c:v>73220</c:v>
                </c:pt>
                <c:pt idx="81">
                  <c:v>68389</c:v>
                </c:pt>
                <c:pt idx="82">
                  <c:v>64141</c:v>
                </c:pt>
                <c:pt idx="83">
                  <c:v>62284</c:v>
                </c:pt>
                <c:pt idx="84">
                  <c:v>62157</c:v>
                </c:pt>
                <c:pt idx="85">
                  <c:v>62546</c:v>
                </c:pt>
                <c:pt idx="86">
                  <c:v>64252</c:v>
                </c:pt>
                <c:pt idx="87">
                  <c:v>65394</c:v>
                </c:pt>
                <c:pt idx="88">
                  <c:v>61457</c:v>
                </c:pt>
                <c:pt idx="89">
                  <c:v>58207</c:v>
                </c:pt>
                <c:pt idx="90">
                  <c:v>56659</c:v>
                </c:pt>
                <c:pt idx="91">
                  <c:v>54530</c:v>
                </c:pt>
                <c:pt idx="92">
                  <c:v>51440</c:v>
                </c:pt>
                <c:pt idx="93">
                  <c:v>46851</c:v>
                </c:pt>
                <c:pt idx="94">
                  <c:v>41517</c:v>
                </c:pt>
                <c:pt idx="95">
                  <c:v>37641</c:v>
                </c:pt>
                <c:pt idx="96">
                  <c:v>36390</c:v>
                </c:pt>
                <c:pt idx="97">
                  <c:v>35207</c:v>
                </c:pt>
                <c:pt idx="98">
                  <c:v>32966</c:v>
                </c:pt>
                <c:pt idx="99">
                  <c:v>32812</c:v>
                </c:pt>
                <c:pt idx="100">
                  <c:v>33531</c:v>
                </c:pt>
                <c:pt idx="101">
                  <c:v>34451</c:v>
                </c:pt>
                <c:pt idx="102">
                  <c:v>36537</c:v>
                </c:pt>
                <c:pt idx="103">
                  <c:v>38647</c:v>
                </c:pt>
                <c:pt idx="104">
                  <c:v>36650</c:v>
                </c:pt>
                <c:pt idx="105">
                  <c:v>37560</c:v>
                </c:pt>
                <c:pt idx="106">
                  <c:v>36892</c:v>
                </c:pt>
                <c:pt idx="107">
                  <c:v>35117</c:v>
                </c:pt>
                <c:pt idx="108">
                  <c:v>34694</c:v>
                </c:pt>
                <c:pt idx="109">
                  <c:v>37122</c:v>
                </c:pt>
                <c:pt idx="110">
                  <c:v>38365</c:v>
                </c:pt>
                <c:pt idx="111">
                  <c:v>41401</c:v>
                </c:pt>
                <c:pt idx="112">
                  <c:v>45044</c:v>
                </c:pt>
                <c:pt idx="113">
                  <c:v>47951</c:v>
                </c:pt>
                <c:pt idx="114">
                  <c:v>49454</c:v>
                </c:pt>
                <c:pt idx="115">
                  <c:v>54578</c:v>
                </c:pt>
                <c:pt idx="116">
                  <c:v>53097</c:v>
                </c:pt>
                <c:pt idx="117">
                  <c:v>54164</c:v>
                </c:pt>
                <c:pt idx="118">
                  <c:v>52476</c:v>
                </c:pt>
                <c:pt idx="119">
                  <c:v>52060</c:v>
                </c:pt>
                <c:pt idx="120">
                  <c:v>53472</c:v>
                </c:pt>
                <c:pt idx="121">
                  <c:v>54900</c:v>
                </c:pt>
                <c:pt idx="122">
                  <c:v>55677</c:v>
                </c:pt>
                <c:pt idx="123">
                  <c:v>58023</c:v>
                </c:pt>
                <c:pt idx="124">
                  <c:v>60003</c:v>
                </c:pt>
                <c:pt idx="125">
                  <c:v>59798</c:v>
                </c:pt>
                <c:pt idx="126">
                  <c:v>60734</c:v>
                </c:pt>
                <c:pt idx="127">
                  <c:v>63576</c:v>
                </c:pt>
                <c:pt idx="128">
                  <c:v>62899</c:v>
                </c:pt>
                <c:pt idx="129">
                  <c:v>60506</c:v>
                </c:pt>
                <c:pt idx="130">
                  <c:v>56458</c:v>
                </c:pt>
                <c:pt idx="131">
                  <c:v>52084</c:v>
                </c:pt>
                <c:pt idx="132">
                  <c:v>51672</c:v>
                </c:pt>
                <c:pt idx="133">
                  <c:v>49448</c:v>
                </c:pt>
                <c:pt idx="134">
                  <c:v>49230</c:v>
                </c:pt>
                <c:pt idx="135">
                  <c:v>48817</c:v>
                </c:pt>
                <c:pt idx="136">
                  <c:v>49470</c:v>
                </c:pt>
                <c:pt idx="137">
                  <c:v>49073</c:v>
                </c:pt>
                <c:pt idx="138">
                  <c:v>50240</c:v>
                </c:pt>
                <c:pt idx="139">
                  <c:v>50933</c:v>
                </c:pt>
                <c:pt idx="140">
                  <c:v>48302</c:v>
                </c:pt>
                <c:pt idx="141">
                  <c:v>46133</c:v>
                </c:pt>
                <c:pt idx="142">
                  <c:v>43436</c:v>
                </c:pt>
                <c:pt idx="143">
                  <c:v>40651</c:v>
                </c:pt>
                <c:pt idx="144">
                  <c:v>40309</c:v>
                </c:pt>
                <c:pt idx="145">
                  <c:v>40161</c:v>
                </c:pt>
                <c:pt idx="146">
                  <c:v>41278</c:v>
                </c:pt>
                <c:pt idx="147">
                  <c:v>41190</c:v>
                </c:pt>
                <c:pt idx="148">
                  <c:v>42344</c:v>
                </c:pt>
                <c:pt idx="149">
                  <c:v>43005</c:v>
                </c:pt>
                <c:pt idx="150">
                  <c:v>43742</c:v>
                </c:pt>
                <c:pt idx="151">
                  <c:v>45542</c:v>
                </c:pt>
                <c:pt idx="152">
                  <c:v>45216</c:v>
                </c:pt>
                <c:pt idx="153">
                  <c:v>44170</c:v>
                </c:pt>
                <c:pt idx="154">
                  <c:v>42717</c:v>
                </c:pt>
                <c:pt idx="155">
                  <c:v>40188</c:v>
                </c:pt>
                <c:pt idx="156">
                  <c:v>41653</c:v>
                </c:pt>
                <c:pt idx="157">
                  <c:v>43917</c:v>
                </c:pt>
                <c:pt idx="158">
                  <c:v>42406</c:v>
                </c:pt>
                <c:pt idx="159">
                  <c:v>42657</c:v>
                </c:pt>
                <c:pt idx="160">
                  <c:v>44660</c:v>
                </c:pt>
                <c:pt idx="161">
                  <c:v>45426</c:v>
                </c:pt>
                <c:pt idx="162">
                  <c:v>45737</c:v>
                </c:pt>
                <c:pt idx="163">
                  <c:v>48543</c:v>
                </c:pt>
                <c:pt idx="164">
                  <c:v>47104</c:v>
                </c:pt>
                <c:pt idx="165">
                  <c:v>49026</c:v>
                </c:pt>
                <c:pt idx="166">
                  <c:v>50316</c:v>
                </c:pt>
                <c:pt idx="167">
                  <c:v>51203</c:v>
                </c:pt>
                <c:pt idx="168">
                  <c:v>54180</c:v>
                </c:pt>
                <c:pt idx="169">
                  <c:v>56037</c:v>
                </c:pt>
                <c:pt idx="170">
                  <c:v>55866</c:v>
                </c:pt>
                <c:pt idx="171">
                  <c:v>55864</c:v>
                </c:pt>
                <c:pt idx="172">
                  <c:v>57172</c:v>
                </c:pt>
                <c:pt idx="173">
                  <c:v>56998</c:v>
                </c:pt>
                <c:pt idx="174">
                  <c:v>56789</c:v>
                </c:pt>
                <c:pt idx="175">
                  <c:v>59296</c:v>
                </c:pt>
                <c:pt idx="176">
                  <c:v>55798</c:v>
                </c:pt>
                <c:pt idx="177">
                  <c:v>55133</c:v>
                </c:pt>
                <c:pt idx="178">
                  <c:v>53006</c:v>
                </c:pt>
                <c:pt idx="179">
                  <c:v>52164</c:v>
                </c:pt>
                <c:pt idx="180">
                  <c:v>59359</c:v>
                </c:pt>
                <c:pt idx="181">
                  <c:v>66487</c:v>
                </c:pt>
                <c:pt idx="182">
                  <c:v>70473</c:v>
                </c:pt>
                <c:pt idx="183">
                  <c:v>74148</c:v>
                </c:pt>
                <c:pt idx="184">
                  <c:v>80902</c:v>
                </c:pt>
                <c:pt idx="185">
                  <c:v>85945</c:v>
                </c:pt>
                <c:pt idx="186">
                  <c:v>88217</c:v>
                </c:pt>
                <c:pt idx="187">
                  <c:v>94217</c:v>
                </c:pt>
                <c:pt idx="188">
                  <c:v>97543</c:v>
                </c:pt>
                <c:pt idx="189">
                  <c:v>101139</c:v>
                </c:pt>
                <c:pt idx="190">
                  <c:v>98966</c:v>
                </c:pt>
                <c:pt idx="191">
                  <c:v>93425</c:v>
                </c:pt>
                <c:pt idx="192">
                  <c:v>97896</c:v>
                </c:pt>
                <c:pt idx="193">
                  <c:v>104877</c:v>
                </c:pt>
                <c:pt idx="194">
                  <c:v>107709</c:v>
                </c:pt>
                <c:pt idx="195">
                  <c:v>113895</c:v>
                </c:pt>
                <c:pt idx="196">
                  <c:v>119492</c:v>
                </c:pt>
                <c:pt idx="197">
                  <c:v>123269</c:v>
                </c:pt>
                <c:pt idx="198">
                  <c:v>123951</c:v>
                </c:pt>
                <c:pt idx="199">
                  <c:v>133407</c:v>
                </c:pt>
                <c:pt idx="200">
                  <c:v>137429</c:v>
                </c:pt>
                <c:pt idx="201">
                  <c:v>143467</c:v>
                </c:pt>
                <c:pt idx="202">
                  <c:v>141280</c:v>
                </c:pt>
                <c:pt idx="203">
                  <c:v>141066</c:v>
                </c:pt>
                <c:pt idx="204">
                  <c:v>145921</c:v>
                </c:pt>
                <c:pt idx="205">
                  <c:v>150328</c:v>
                </c:pt>
                <c:pt idx="206">
                  <c:v>151311</c:v>
                </c:pt>
                <c:pt idx="207">
                  <c:v>152267</c:v>
                </c:pt>
                <c:pt idx="208">
                  <c:v>151344</c:v>
                </c:pt>
                <c:pt idx="209">
                  <c:v>151881</c:v>
                </c:pt>
                <c:pt idx="210">
                  <c:v>150240</c:v>
                </c:pt>
                <c:pt idx="211">
                  <c:v>150907</c:v>
                </c:pt>
                <c:pt idx="212">
                  <c:v>139557</c:v>
                </c:pt>
                <c:pt idx="213">
                  <c:v>130124</c:v>
                </c:pt>
                <c:pt idx="214">
                  <c:v>111307</c:v>
                </c:pt>
                <c:pt idx="215">
                  <c:v>91189</c:v>
                </c:pt>
                <c:pt idx="216">
                  <c:v>68494</c:v>
                </c:pt>
                <c:pt idx="217">
                  <c:v>64881</c:v>
                </c:pt>
                <c:pt idx="218">
                  <c:v>55412</c:v>
                </c:pt>
                <c:pt idx="219">
                  <c:v>50517</c:v>
                </c:pt>
                <c:pt idx="220">
                  <c:v>48254</c:v>
                </c:pt>
                <c:pt idx="221">
                  <c:v>43402</c:v>
                </c:pt>
                <c:pt idx="222">
                  <c:v>41763</c:v>
                </c:pt>
                <c:pt idx="223">
                  <c:v>41297</c:v>
                </c:pt>
                <c:pt idx="224">
                  <c:v>38844</c:v>
                </c:pt>
                <c:pt idx="225">
                  <c:v>35803</c:v>
                </c:pt>
                <c:pt idx="226">
                  <c:v>32924</c:v>
                </c:pt>
                <c:pt idx="227">
                  <c:v>30927</c:v>
                </c:pt>
                <c:pt idx="228">
                  <c:v>31557</c:v>
                </c:pt>
                <c:pt idx="229">
                  <c:v>32119.999999999996</c:v>
                </c:pt>
                <c:pt idx="230">
                  <c:v>33137</c:v>
                </c:pt>
                <c:pt idx="231">
                  <c:v>32913</c:v>
                </c:pt>
                <c:pt idx="232">
                  <c:v>33105</c:v>
                </c:pt>
                <c:pt idx="233">
                  <c:v>32927</c:v>
                </c:pt>
                <c:pt idx="234">
                  <c:v>33479</c:v>
                </c:pt>
                <c:pt idx="235">
                  <c:v>36567</c:v>
                </c:pt>
                <c:pt idx="236">
                  <c:v>35100</c:v>
                </c:pt>
                <c:pt idx="237">
                  <c:v>33651</c:v>
                </c:pt>
                <c:pt idx="238">
                  <c:v>32337.000000000004</c:v>
                </c:pt>
                <c:pt idx="239">
                  <c:v>30803</c:v>
                </c:pt>
                <c:pt idx="240">
                  <c:v>31393</c:v>
                </c:pt>
                <c:pt idx="241">
                  <c:v>32164</c:v>
                </c:pt>
                <c:pt idx="242">
                  <c:v>33931</c:v>
                </c:pt>
                <c:pt idx="243">
                  <c:v>36053</c:v>
                </c:pt>
                <c:pt idx="244">
                  <c:v>37649</c:v>
                </c:pt>
                <c:pt idx="245">
                  <c:v>38416</c:v>
                </c:pt>
                <c:pt idx="246">
                  <c:v>38898</c:v>
                </c:pt>
                <c:pt idx="247">
                  <c:v>40758</c:v>
                </c:pt>
                <c:pt idx="248">
                  <c:v>39795</c:v>
                </c:pt>
                <c:pt idx="249">
                  <c:v>38732</c:v>
                </c:pt>
                <c:pt idx="250">
                  <c:v>36832</c:v>
                </c:pt>
                <c:pt idx="251">
                  <c:v>35784</c:v>
                </c:pt>
                <c:pt idx="252">
                  <c:v>34471</c:v>
                </c:pt>
                <c:pt idx="253">
                  <c:v>36671</c:v>
                </c:pt>
                <c:pt idx="254">
                  <c:v>39906</c:v>
                </c:pt>
                <c:pt idx="255">
                  <c:v>41707</c:v>
                </c:pt>
                <c:pt idx="256">
                  <c:v>43665</c:v>
                </c:pt>
                <c:pt idx="257">
                  <c:v>42779</c:v>
                </c:pt>
                <c:pt idx="258">
                  <c:v>41093</c:v>
                </c:pt>
                <c:pt idx="259">
                  <c:v>42559</c:v>
                </c:pt>
                <c:pt idx="260">
                  <c:v>40809</c:v>
                </c:pt>
                <c:pt idx="261">
                  <c:v>40729</c:v>
                </c:pt>
                <c:pt idx="262">
                  <c:v>38806</c:v>
                </c:pt>
                <c:pt idx="263">
                  <c:v>34893</c:v>
                </c:pt>
                <c:pt idx="264">
                  <c:v>34893</c:v>
                </c:pt>
                <c:pt idx="265" formatCode="#,##0">
                  <c:v>33794</c:v>
                </c:pt>
                <c:pt idx="266" formatCode="#,##0">
                  <c:v>34635</c:v>
                </c:pt>
                <c:pt idx="267" formatCode="#,##0">
                  <c:v>38863</c:v>
                </c:pt>
                <c:pt idx="268" formatCode="#,##0">
                  <c:v>39763</c:v>
                </c:pt>
                <c:pt idx="269" formatCode="#,##0">
                  <c:v>42632</c:v>
                </c:pt>
                <c:pt idx="270" formatCode="#,##0">
                  <c:v>44032</c:v>
                </c:pt>
                <c:pt idx="271" formatCode="#,##0">
                  <c:v>40175</c:v>
                </c:pt>
                <c:pt idx="272" formatCode="#,##0">
                  <c:v>40579</c:v>
                </c:pt>
                <c:pt idx="273" formatCode="#,##0">
                  <c:v>41422</c:v>
                </c:pt>
              </c:numCache>
            </c:numRef>
          </c:val>
          <c:smooth val="0"/>
        </c:ser>
        <c:dLbls>
          <c:showLegendKey val="0"/>
          <c:showVal val="0"/>
          <c:showCatName val="0"/>
          <c:showSerName val="0"/>
          <c:showPercent val="0"/>
          <c:showBubbleSize val="0"/>
        </c:dLbls>
        <c:marker val="1"/>
        <c:smooth val="0"/>
        <c:axId val="127522304"/>
        <c:axId val="124105088"/>
      </c:lineChart>
      <c:catAx>
        <c:axId val="127522304"/>
        <c:scaling>
          <c:orientation val="minMax"/>
        </c:scaling>
        <c:delete val="0"/>
        <c:axPos val="b"/>
        <c:numFmt formatCode="0" sourceLinked="0"/>
        <c:majorTickMark val="none"/>
        <c:minorTickMark val="none"/>
        <c:tickLblPos val="nextTo"/>
        <c:spPr>
          <a:ln w="3175">
            <a:solidFill>
              <a:srgbClr val="000000"/>
            </a:solidFill>
            <a:prstDash val="solid"/>
          </a:ln>
        </c:spPr>
        <c:txPr>
          <a:bodyPr rot="-2580000" vert="horz"/>
          <a:lstStyle/>
          <a:p>
            <a:pPr>
              <a:defRPr sz="600" b="0" i="0" u="none" strike="noStrike" baseline="0">
                <a:solidFill>
                  <a:srgbClr val="000000"/>
                </a:solidFill>
                <a:latin typeface="Arial"/>
                <a:ea typeface="Arial"/>
                <a:cs typeface="Arial"/>
              </a:defRPr>
            </a:pPr>
            <a:endParaRPr lang="cs-CZ"/>
          </a:p>
        </c:txPr>
        <c:crossAx val="124105088"/>
        <c:crosses val="autoZero"/>
        <c:auto val="1"/>
        <c:lblAlgn val="ctr"/>
        <c:lblOffset val="100"/>
        <c:tickLblSkip val="1"/>
        <c:tickMarkSkip val="1"/>
        <c:noMultiLvlLbl val="0"/>
      </c:catAx>
      <c:valAx>
        <c:axId val="124105088"/>
        <c:scaling>
          <c:orientation val="minMax"/>
          <c:max val="600000"/>
        </c:scaling>
        <c:delete val="0"/>
        <c:axPos val="l"/>
        <c:majorGridlines>
          <c:spPr>
            <a:ln w="3175">
              <a:solidFill>
                <a:srgbClr val="000000"/>
              </a:solidFill>
              <a:prstDash val="solid"/>
            </a:ln>
          </c:spPr>
        </c:majorGridlines>
        <c:title>
          <c:tx>
            <c:rich>
              <a:bodyPr/>
              <a:lstStyle/>
              <a:p>
                <a:pPr>
                  <a:defRPr sz="900" b="1" i="0" u="none" strike="noStrike" baseline="0">
                    <a:solidFill>
                      <a:srgbClr val="000000"/>
                    </a:solidFill>
                    <a:latin typeface="Arial"/>
                    <a:ea typeface="Arial"/>
                    <a:cs typeface="Arial"/>
                  </a:defRPr>
                </a:pPr>
                <a:r>
                  <a:rPr lang="cs-CZ" sz="900"/>
                  <a:t>osoby, místa v tis.</a:t>
                </a:r>
              </a:p>
            </c:rich>
          </c:tx>
          <c:layout>
            <c:manualLayout>
              <c:xMode val="edge"/>
              <c:yMode val="edge"/>
              <c:x val="3.4222908314175838E-3"/>
              <c:y val="0.3913543070629687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cs-CZ"/>
          </a:p>
        </c:txPr>
        <c:crossAx val="127522304"/>
        <c:crosses val="autoZero"/>
        <c:crossBetween val="between"/>
        <c:dispUnits>
          <c:builtInUnit val="thousands"/>
        </c:dispUnits>
      </c:valAx>
      <c:spPr>
        <a:noFill/>
        <a:ln w="25400">
          <a:solidFill>
            <a:srgbClr val="000000"/>
          </a:solidFill>
          <a:prstDash val="solid"/>
        </a:ln>
      </c:spPr>
    </c:plotArea>
    <c:plotVisOnly val="1"/>
    <c:dispBlanksAs val="gap"/>
    <c:showDLblsOverMax val="0"/>
  </c:chart>
  <c:spPr>
    <a:solidFill>
      <a:srgbClr val="FFFFFF"/>
    </a:solidFill>
    <a:ln w="9525">
      <a:noFill/>
    </a:ln>
  </c:spPr>
  <c:txPr>
    <a:bodyPr/>
    <a:lstStyle/>
    <a:p>
      <a:pPr>
        <a:defRPr sz="3550" b="0" i="0" u="none" strike="noStrike" baseline="0">
          <a:solidFill>
            <a:srgbClr val="000000"/>
          </a:solidFill>
          <a:latin typeface="Arial"/>
          <a:ea typeface="Arial"/>
          <a:cs typeface="Arial"/>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0.42405</cdr:x>
      <cdr:y>0.43779</cdr:y>
    </cdr:from>
    <cdr:to>
      <cdr:x>0.68619</cdr:x>
      <cdr:y>0.47809</cdr:y>
    </cdr:to>
    <cdr:sp macro="" textlink="">
      <cdr:nvSpPr>
        <cdr:cNvPr id="4099" name="Text Box 3"/>
        <cdr:cNvSpPr txBox="1">
          <a:spLocks xmlns:a="http://schemas.openxmlformats.org/drawingml/2006/main" noChangeArrowheads="1"/>
        </cdr:cNvSpPr>
      </cdr:nvSpPr>
      <cdr:spPr bwMode="auto">
        <a:xfrm xmlns:a="http://schemas.openxmlformats.org/drawingml/2006/main">
          <a:off x="5945526" y="3702915"/>
          <a:ext cx="3675413" cy="340866"/>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45720" tIns="41148" rIns="45720" bIns="41148" anchor="ctr" upright="1"/>
        <a:lstStyle xmlns:a="http://schemas.openxmlformats.org/drawingml/2006/main"/>
        <a:p xmlns:a="http://schemas.openxmlformats.org/drawingml/2006/main">
          <a:pPr algn="ctr" rtl="0">
            <a:defRPr sz="1000"/>
          </a:pPr>
          <a:r>
            <a:rPr lang="cs-CZ" sz="800" b="1" i="0" u="none" strike="noStrike" baseline="0">
              <a:solidFill>
                <a:srgbClr val="000080"/>
              </a:solidFill>
              <a:latin typeface="Arial"/>
              <a:cs typeface="Arial"/>
            </a:rPr>
            <a:t>uchazeči o zaměstnání</a:t>
          </a:r>
        </a:p>
      </cdr:txBody>
    </cdr:sp>
  </cdr:relSizeAnchor>
  <cdr:relSizeAnchor xmlns:cdr="http://schemas.openxmlformats.org/drawingml/2006/chartDrawing">
    <cdr:from>
      <cdr:x>0.47339</cdr:x>
      <cdr:y>0.69301</cdr:y>
    </cdr:from>
    <cdr:to>
      <cdr:x>0.67968</cdr:x>
      <cdr:y>0.73824</cdr:y>
    </cdr:to>
    <cdr:sp macro="" textlink="">
      <cdr:nvSpPr>
        <cdr:cNvPr id="4100" name="Text Box 4"/>
        <cdr:cNvSpPr txBox="1">
          <a:spLocks xmlns:a="http://schemas.openxmlformats.org/drawingml/2006/main" noChangeArrowheads="1"/>
        </cdr:cNvSpPr>
      </cdr:nvSpPr>
      <cdr:spPr bwMode="auto">
        <a:xfrm xmlns:a="http://schemas.openxmlformats.org/drawingml/2006/main">
          <a:off x="6637294" y="5861579"/>
          <a:ext cx="2892351" cy="382564"/>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45720" tIns="41148" rIns="45720" bIns="41148" anchor="ctr" upright="1"/>
        <a:lstStyle xmlns:a="http://schemas.openxmlformats.org/drawingml/2006/main"/>
        <a:p xmlns:a="http://schemas.openxmlformats.org/drawingml/2006/main">
          <a:pPr algn="ctr" rtl="0">
            <a:defRPr sz="1000"/>
          </a:pPr>
          <a:r>
            <a:rPr lang="cs-CZ" sz="800" b="1" i="0" u="none" strike="noStrike" baseline="0">
              <a:solidFill>
                <a:srgbClr val="FF00FF"/>
              </a:solidFill>
              <a:latin typeface="Arial"/>
              <a:cs typeface="Arial"/>
            </a:rPr>
            <a:t>volná pracovní místa</a:t>
          </a:r>
        </a:p>
      </cdr:txBody>
    </cdr:sp>
  </cdr:relSizeAnchor>
</c:userShape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Pages>
  <Words>2033</Words>
  <Characters>11998</Characters>
  <Application>Microsoft Office Word</Application>
  <DocSecurity>0</DocSecurity>
  <Lines>99</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Šebestová Lucie Ing. (MPSV)</dc:creator>
  <cp:lastModifiedBy>Jiříček Petr Ing. (MPSV)</cp:lastModifiedBy>
  <cp:revision>22</cp:revision>
  <cp:lastPrinted>2013-10-02T08:00:00Z</cp:lastPrinted>
  <dcterms:created xsi:type="dcterms:W3CDTF">2013-10-07T13:18:00Z</dcterms:created>
  <dcterms:modified xsi:type="dcterms:W3CDTF">2013-10-09T13:23:00Z</dcterms:modified>
</cp:coreProperties>
</file>