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E4D" w:rsidRPr="003D276A" w:rsidRDefault="002E4804" w:rsidP="00254AB0">
      <w:pPr>
        <w:pStyle w:val="Zkladntext"/>
        <w:rPr>
          <w:rFonts w:ascii="Times New Roman" w:hAnsi="Times New Roman" w:cs="Times New Roman"/>
          <w:b/>
          <w:bCs/>
        </w:rPr>
      </w:pPr>
      <w:r w:rsidRPr="003D276A">
        <w:rPr>
          <w:rFonts w:ascii="Times New Roman" w:hAnsi="Times New Roman" w:cs="Times New Roman"/>
          <w:b/>
          <w:caps/>
        </w:rPr>
        <w:t>Vypořádání připomínek k materiálu s názvem:</w:t>
      </w:r>
      <w:r w:rsidR="00952E4D" w:rsidRPr="003D276A">
        <w:rPr>
          <w:rFonts w:ascii="Times New Roman" w:hAnsi="Times New Roman" w:cs="Times New Roman"/>
          <w:b/>
          <w:bCs/>
        </w:rPr>
        <w:tab/>
      </w:r>
      <w:r w:rsidR="00952E4D" w:rsidRPr="003D276A">
        <w:rPr>
          <w:rFonts w:ascii="Times New Roman" w:hAnsi="Times New Roman" w:cs="Times New Roman"/>
          <w:b/>
          <w:bCs/>
        </w:rPr>
        <w:tab/>
      </w:r>
    </w:p>
    <w:p w:rsidR="002E4804" w:rsidRPr="003D276A" w:rsidRDefault="00952E4D" w:rsidP="00952E4D">
      <w:pPr>
        <w:pStyle w:val="Zkladntext"/>
        <w:jc w:val="right"/>
        <w:rPr>
          <w:rFonts w:ascii="Times New Roman" w:hAnsi="Times New Roman" w:cs="Times New Roman"/>
          <w:b/>
        </w:rPr>
      </w:pPr>
      <w:r w:rsidRPr="003D276A">
        <w:rPr>
          <w:rFonts w:ascii="Times New Roman" w:hAnsi="Times New Roman" w:cs="Times New Roman"/>
          <w:b/>
          <w:bCs/>
        </w:rPr>
        <w:t>Č</w:t>
      </w:r>
      <w:r w:rsidR="00254AB0" w:rsidRPr="003D276A">
        <w:rPr>
          <w:rFonts w:ascii="Times New Roman" w:hAnsi="Times New Roman" w:cs="Times New Roman"/>
          <w:b/>
        </w:rPr>
        <w:t>ást</w:t>
      </w:r>
      <w:r w:rsidR="00E307CD">
        <w:rPr>
          <w:rFonts w:ascii="Times New Roman" w:hAnsi="Times New Roman" w:cs="Times New Roman"/>
          <w:b/>
        </w:rPr>
        <w:t xml:space="preserve"> </w:t>
      </w:r>
      <w:r w:rsidR="00254AB0" w:rsidRPr="003D276A">
        <w:rPr>
          <w:rFonts w:ascii="Times New Roman" w:hAnsi="Times New Roman" w:cs="Times New Roman"/>
          <w:b/>
        </w:rPr>
        <w:t xml:space="preserve">materiálu: </w:t>
      </w:r>
      <w:r w:rsidR="00FC30C8">
        <w:rPr>
          <w:rFonts w:ascii="Times New Roman" w:hAnsi="Times New Roman" w:cs="Times New Roman"/>
          <w:b/>
        </w:rPr>
        <w:t>I</w:t>
      </w:r>
      <w:r w:rsidR="00233DE7">
        <w:rPr>
          <w:rFonts w:ascii="Times New Roman" w:hAnsi="Times New Roman" w:cs="Times New Roman"/>
          <w:b/>
        </w:rPr>
        <w:t>II</w:t>
      </w:r>
      <w:r w:rsidR="00FC30C8">
        <w:rPr>
          <w:rFonts w:ascii="Times New Roman" w:hAnsi="Times New Roman" w:cs="Times New Roman"/>
          <w:b/>
        </w:rPr>
        <w:t>.</w:t>
      </w:r>
    </w:p>
    <w:p w:rsidR="002E4804" w:rsidRDefault="00FC30C8" w:rsidP="00FC30C8">
      <w:pPr>
        <w:jc w:val="both"/>
        <w:rPr>
          <w:rFonts w:ascii="Times New Roman" w:hAnsi="Times New Roman" w:cs="Times New Roman"/>
          <w:b/>
          <w:noProof/>
        </w:rPr>
      </w:pPr>
      <w:r w:rsidRPr="00E725D1">
        <w:rPr>
          <w:rFonts w:ascii="Times New Roman" w:hAnsi="Times New Roman" w:cs="Times New Roman"/>
          <w:b/>
          <w:noProof/>
        </w:rPr>
        <w:t>Zpráva o možných způsobech řešení krizové situace ve vývoji hospodaření klíčových průmyslových podniků a negativního výhledu vývoje zaměstnanosti v</w:t>
      </w:r>
      <w:r>
        <w:rPr>
          <w:rFonts w:ascii="Times New Roman" w:hAnsi="Times New Roman" w:cs="Times New Roman"/>
          <w:b/>
          <w:noProof/>
        </w:rPr>
        <w:t> </w:t>
      </w:r>
      <w:r w:rsidRPr="00E725D1">
        <w:rPr>
          <w:rFonts w:ascii="Times New Roman" w:hAnsi="Times New Roman" w:cs="Times New Roman"/>
          <w:b/>
          <w:noProof/>
        </w:rPr>
        <w:t>Moravskoslezském kraji – návrh</w:t>
      </w:r>
      <w:r>
        <w:rPr>
          <w:rFonts w:ascii="Times New Roman" w:hAnsi="Times New Roman" w:cs="Times New Roman"/>
          <w:b/>
          <w:noProof/>
        </w:rPr>
        <w:t>y</w:t>
      </w:r>
      <w:r w:rsidRPr="00E725D1">
        <w:rPr>
          <w:rFonts w:ascii="Times New Roman" w:hAnsi="Times New Roman" w:cs="Times New Roman"/>
          <w:b/>
          <w:noProof/>
        </w:rPr>
        <w:t xml:space="preserve"> opatření</w:t>
      </w:r>
    </w:p>
    <w:p w:rsidR="00FC30C8" w:rsidRPr="00FC30C8" w:rsidRDefault="00FC30C8" w:rsidP="00FC30C8">
      <w:pPr>
        <w:jc w:val="both"/>
        <w:rPr>
          <w:rFonts w:ascii="Times New Roman" w:hAnsi="Times New Roman" w:cs="Times New Roman"/>
        </w:rPr>
      </w:pPr>
      <w:r>
        <w:rPr>
          <w:rFonts w:ascii="Times New Roman" w:hAnsi="Times New Roman" w:cs="Times New Roman"/>
          <w:noProof/>
        </w:rPr>
        <w:t>Č. j.: 36785/13/31100/01000</w:t>
      </w:r>
    </w:p>
    <w:p w:rsidR="00B81330" w:rsidRDefault="00B81330" w:rsidP="002E4804">
      <w:pPr>
        <w:rPr>
          <w:rFonts w:ascii="Times New Roman" w:hAnsi="Times New Roman" w:cs="Times New Roman"/>
          <w:b/>
        </w:rPr>
      </w:pPr>
    </w:p>
    <w:p w:rsidR="00B81330" w:rsidRPr="00B81330" w:rsidRDefault="00B81330" w:rsidP="00B81330">
      <w:pPr>
        <w:jc w:val="both"/>
        <w:rPr>
          <w:rFonts w:ascii="Times New Roman" w:hAnsi="Times New Roman" w:cs="Times New Roman"/>
        </w:rPr>
      </w:pPr>
      <w:r w:rsidRPr="00B81330">
        <w:rPr>
          <w:rFonts w:ascii="Times New Roman" w:hAnsi="Times New Roman" w:cs="Times New Roman"/>
        </w:rPr>
        <w:t xml:space="preserve">Dle Jednacího řádu vlády byl materiál rozeslán do meziresortního připomínkového řízení dopisem </w:t>
      </w:r>
      <w:r w:rsidR="00FC30C8">
        <w:rPr>
          <w:rFonts w:ascii="Times New Roman" w:hAnsi="Times New Roman" w:cs="Times New Roman"/>
        </w:rPr>
        <w:t>ministra průmyslu a obchodu</w:t>
      </w:r>
      <w:r w:rsidRPr="00B81330">
        <w:rPr>
          <w:rFonts w:ascii="Times New Roman" w:hAnsi="Times New Roman" w:cs="Times New Roman"/>
        </w:rPr>
        <w:t xml:space="preserve"> dne </w:t>
      </w:r>
      <w:r w:rsidR="00FC30C8">
        <w:rPr>
          <w:rFonts w:ascii="Times New Roman" w:hAnsi="Times New Roman" w:cs="Times New Roman"/>
        </w:rPr>
        <w:t>6. září 2013</w:t>
      </w:r>
      <w:r w:rsidRPr="00B81330">
        <w:rPr>
          <w:rFonts w:ascii="Times New Roman" w:hAnsi="Times New Roman" w:cs="Times New Roman"/>
        </w:rPr>
        <w:t xml:space="preserve">, s termínem dodání stanovisek do </w:t>
      </w:r>
      <w:r w:rsidR="00FC30C8">
        <w:rPr>
          <w:rFonts w:ascii="Times New Roman" w:hAnsi="Times New Roman" w:cs="Times New Roman"/>
        </w:rPr>
        <w:t>13. září 2013</w:t>
      </w:r>
      <w:r w:rsidRPr="00B81330">
        <w:rPr>
          <w:rFonts w:ascii="Times New Roman" w:hAnsi="Times New Roman" w:cs="Times New Roman"/>
        </w:rPr>
        <w:t>. Vyhodnocení tohoto řízení je uvedeno v následující tabulce:</w:t>
      </w:r>
    </w:p>
    <w:p w:rsidR="002E4804" w:rsidRPr="003D276A" w:rsidRDefault="002E4804" w:rsidP="001C1BAD">
      <w:pPr>
        <w:rPr>
          <w:rFonts w:ascii="Times New Roman" w:hAnsi="Times New Roman" w:cs="Times New Roman"/>
        </w:rPr>
      </w:pPr>
    </w:p>
    <w:tbl>
      <w:tblPr>
        <w:tblStyle w:val="Mkatabulky"/>
        <w:tblW w:w="14329" w:type="dxa"/>
        <w:tblLook w:val="01E0" w:firstRow="1" w:lastRow="1" w:firstColumn="1" w:lastColumn="1" w:noHBand="0" w:noVBand="0"/>
      </w:tblPr>
      <w:tblGrid>
        <w:gridCol w:w="1463"/>
        <w:gridCol w:w="6080"/>
        <w:gridCol w:w="6786"/>
      </w:tblGrid>
      <w:tr w:rsidR="001C1BAD" w:rsidRPr="003D276A">
        <w:tc>
          <w:tcPr>
            <w:tcW w:w="1463" w:type="dxa"/>
          </w:tcPr>
          <w:p w:rsidR="001C1BAD" w:rsidRPr="003D276A" w:rsidRDefault="001C1BAD" w:rsidP="0012692B">
            <w:pPr>
              <w:rPr>
                <w:rFonts w:ascii="Times New Roman" w:hAnsi="Times New Roman" w:cs="Times New Roman"/>
              </w:rPr>
            </w:pPr>
            <w:r w:rsidRPr="003D276A">
              <w:rPr>
                <w:rFonts w:ascii="Times New Roman" w:hAnsi="Times New Roman" w:cs="Times New Roman"/>
                <w:b/>
                <w:bCs/>
              </w:rPr>
              <w:t>Resort</w:t>
            </w:r>
          </w:p>
        </w:tc>
        <w:tc>
          <w:tcPr>
            <w:tcW w:w="6080" w:type="dxa"/>
          </w:tcPr>
          <w:p w:rsidR="001C1BAD" w:rsidRPr="003D276A" w:rsidRDefault="001C1BAD" w:rsidP="0012692B">
            <w:pPr>
              <w:rPr>
                <w:rFonts w:ascii="Times New Roman" w:hAnsi="Times New Roman" w:cs="Times New Roman"/>
              </w:rPr>
            </w:pPr>
            <w:r w:rsidRPr="003D276A">
              <w:rPr>
                <w:rFonts w:ascii="Times New Roman" w:hAnsi="Times New Roman" w:cs="Times New Roman"/>
                <w:b/>
                <w:bCs/>
              </w:rPr>
              <w:t>Připomínky</w:t>
            </w:r>
          </w:p>
        </w:tc>
        <w:tc>
          <w:tcPr>
            <w:tcW w:w="6786" w:type="dxa"/>
          </w:tcPr>
          <w:p w:rsidR="001C1BAD" w:rsidRPr="003D276A" w:rsidRDefault="001C1BAD" w:rsidP="0012692B">
            <w:pPr>
              <w:rPr>
                <w:rFonts w:ascii="Times New Roman" w:hAnsi="Times New Roman" w:cs="Times New Roman"/>
              </w:rPr>
            </w:pPr>
            <w:r w:rsidRPr="003D276A">
              <w:rPr>
                <w:rFonts w:ascii="Times New Roman" w:hAnsi="Times New Roman" w:cs="Times New Roman"/>
                <w:b/>
                <w:bCs/>
              </w:rPr>
              <w:t>Vypořádání</w:t>
            </w:r>
          </w:p>
        </w:tc>
      </w:tr>
      <w:tr w:rsidR="001035A9" w:rsidRPr="000573D1">
        <w:trPr>
          <w:trHeight w:val="279"/>
        </w:trPr>
        <w:tc>
          <w:tcPr>
            <w:tcW w:w="1463" w:type="dxa"/>
            <w:vMerge w:val="restart"/>
            <w:tcBorders>
              <w:top w:val="single" w:sz="4" w:space="0" w:color="auto"/>
              <w:left w:val="single" w:sz="4" w:space="0" w:color="auto"/>
              <w:right w:val="single" w:sz="4" w:space="0" w:color="auto"/>
            </w:tcBorders>
          </w:tcPr>
          <w:p w:rsidR="001035A9" w:rsidRPr="003D276A" w:rsidRDefault="001035A9" w:rsidP="0012692B">
            <w:pPr>
              <w:rPr>
                <w:rFonts w:ascii="Times New Roman" w:hAnsi="Times New Roman" w:cs="Times New Roman"/>
              </w:rPr>
            </w:pPr>
            <w:r>
              <w:rPr>
                <w:rFonts w:ascii="Times New Roman" w:hAnsi="Times New Roman" w:cs="Times New Roman"/>
              </w:rPr>
              <w:t>Ministerstvo financí</w:t>
            </w:r>
          </w:p>
          <w:p w:rsidR="001035A9" w:rsidRPr="003D276A" w:rsidRDefault="001035A9" w:rsidP="0012692B">
            <w:pPr>
              <w:rPr>
                <w:rFonts w:ascii="Times New Roman" w:hAnsi="Times New Roman" w:cs="Times New Roman"/>
                <w:color w:val="0000FF"/>
              </w:rPr>
            </w:pPr>
          </w:p>
        </w:tc>
        <w:tc>
          <w:tcPr>
            <w:tcW w:w="6080" w:type="dxa"/>
            <w:tcBorders>
              <w:top w:val="single" w:sz="4" w:space="0" w:color="auto"/>
              <w:left w:val="single" w:sz="4" w:space="0" w:color="auto"/>
              <w:bottom w:val="single" w:sz="4" w:space="0" w:color="auto"/>
              <w:right w:val="single" w:sz="4" w:space="0" w:color="auto"/>
            </w:tcBorders>
          </w:tcPr>
          <w:p w:rsidR="001035A9" w:rsidRPr="001035A9" w:rsidRDefault="001035A9" w:rsidP="001035A9">
            <w:pPr>
              <w:jc w:val="both"/>
              <w:rPr>
                <w:rFonts w:ascii="Times New Roman" w:hAnsi="Times New Roman" w:cs="Times New Roman"/>
                <w:b/>
              </w:rPr>
            </w:pPr>
            <w:r w:rsidRPr="001035A9">
              <w:rPr>
                <w:rFonts w:ascii="Times New Roman" w:hAnsi="Times New Roman" w:cs="Times New Roman"/>
                <w:b/>
              </w:rPr>
              <w:t>Zásadní připomínka</w:t>
            </w:r>
          </w:p>
          <w:p w:rsidR="001035A9" w:rsidRPr="001035A9" w:rsidRDefault="001035A9" w:rsidP="001035A9">
            <w:pPr>
              <w:jc w:val="both"/>
              <w:rPr>
                <w:rFonts w:ascii="Times New Roman" w:hAnsi="Times New Roman" w:cs="Times New Roman"/>
              </w:rPr>
            </w:pPr>
            <w:r w:rsidRPr="001035A9">
              <w:rPr>
                <w:rFonts w:ascii="Times New Roman" w:hAnsi="Times New Roman" w:cs="Times New Roman"/>
              </w:rPr>
              <w:t>Nesouhlasíme s návrhem usnesení v bodech III. a IV., kde se schvaluje realizace opatření uvedených v příloze č. 1 a 2 a ukládá se ministru financí a dalším ministrům tato opatření realizovat. Předpokládáme, že některá z opatření budou mít dopady na státní rozpočet. Postrádáme však podrobnější analýzu dopadů na státní rozpočet.  Požadujeme doplnění materiálu o tuto informaci.</w:t>
            </w:r>
          </w:p>
          <w:p w:rsidR="001035A9" w:rsidRPr="001035A9" w:rsidRDefault="001035A9" w:rsidP="001035A9">
            <w:pPr>
              <w:jc w:val="both"/>
              <w:rPr>
                <w:rFonts w:ascii="Times New Roman" w:hAnsi="Times New Roman" w:cs="Times New Roman"/>
              </w:rPr>
            </w:pPr>
          </w:p>
          <w:p w:rsidR="001035A9" w:rsidRPr="001035A9" w:rsidRDefault="001035A9" w:rsidP="001035A9">
            <w:pPr>
              <w:jc w:val="both"/>
              <w:rPr>
                <w:rFonts w:ascii="Times New Roman" w:hAnsi="Times New Roman" w:cs="Times New Roman"/>
              </w:rPr>
            </w:pPr>
            <w:r w:rsidRPr="001035A9">
              <w:rPr>
                <w:rFonts w:ascii="Times New Roman" w:hAnsi="Times New Roman" w:cs="Times New Roman"/>
              </w:rPr>
              <w:t xml:space="preserve">Podotýkáme, že v současné době vláda projednává návrh státního rozpočtu na rok 2014 a střednědobý výhled na léta 2015 a 2016, ve kterém nejsou požadované finanční prostředky zahrnuty.  </w:t>
            </w:r>
          </w:p>
          <w:p w:rsidR="001035A9" w:rsidRPr="001035A9" w:rsidRDefault="001035A9" w:rsidP="001035A9">
            <w:pPr>
              <w:jc w:val="both"/>
              <w:rPr>
                <w:rFonts w:ascii="Times New Roman" w:hAnsi="Times New Roman" w:cs="Times New Roman"/>
              </w:rPr>
            </w:pPr>
          </w:p>
          <w:p w:rsidR="001035A9" w:rsidRPr="003D276A" w:rsidRDefault="001035A9" w:rsidP="001035A9">
            <w:pPr>
              <w:jc w:val="both"/>
              <w:rPr>
                <w:rFonts w:ascii="Times New Roman" w:hAnsi="Times New Roman" w:cs="Times New Roman"/>
                <w:color w:val="0000FF"/>
              </w:rPr>
            </w:pPr>
            <w:r w:rsidRPr="001035A9">
              <w:rPr>
                <w:rFonts w:ascii="Times New Roman" w:hAnsi="Times New Roman" w:cs="Times New Roman"/>
              </w:rPr>
              <w:t xml:space="preserve">Pokud se jedná o prostředky, které by měly být uvolněny ze Zvláštního fondu MF (Fond privatizace), upozorňujeme na fakt, že v rámci Zvláštního účtu MF nejsou k dispozici finanční prostředky pro krytí těchto potřeb, a to jak pro rok letošní, tak pro roky následující. Pro roky 2014 až 2016 jsou plánovány výdaje na odstraňování ekologických škod ve výši pokrývající pouze naprosto nezbytné minimum. Obecně lze říci, že disponibilní prostředky Zvláštního účtu MF jsou velmi omezené s tím, že na přelomu let 2013 a 2014 </w:t>
            </w:r>
            <w:r w:rsidRPr="001035A9">
              <w:rPr>
                <w:rFonts w:ascii="Times New Roman" w:hAnsi="Times New Roman" w:cs="Times New Roman"/>
              </w:rPr>
              <w:lastRenderedPageBreak/>
              <w:t>očekáváme jejich vyčerpání.</w:t>
            </w:r>
          </w:p>
        </w:tc>
        <w:tc>
          <w:tcPr>
            <w:tcW w:w="6786" w:type="dxa"/>
            <w:tcBorders>
              <w:top w:val="single" w:sz="4" w:space="0" w:color="auto"/>
              <w:left w:val="single" w:sz="4" w:space="0" w:color="auto"/>
              <w:right w:val="single" w:sz="4" w:space="0" w:color="auto"/>
            </w:tcBorders>
          </w:tcPr>
          <w:p w:rsidR="001035A9" w:rsidRPr="000573D1" w:rsidRDefault="001035A9" w:rsidP="0012692B">
            <w:pPr>
              <w:rPr>
                <w:rFonts w:ascii="Times New Roman" w:hAnsi="Times New Roman" w:cs="Times New Roman"/>
                <w:color w:val="244061" w:themeColor="accent1" w:themeShade="80"/>
              </w:rPr>
            </w:pPr>
          </w:p>
          <w:p w:rsidR="00634FB5" w:rsidRDefault="002A599B" w:rsidP="009531F8">
            <w:pPr>
              <w:jc w:val="both"/>
              <w:rPr>
                <w:rFonts w:ascii="Times New Roman" w:hAnsi="Times New Roman" w:cs="Times New Roman"/>
                <w:color w:val="244061" w:themeColor="accent1" w:themeShade="80"/>
              </w:rPr>
            </w:pPr>
            <w:r w:rsidRPr="002A599B">
              <w:rPr>
                <w:rFonts w:ascii="Times New Roman" w:hAnsi="Times New Roman" w:cs="Times New Roman"/>
                <w:b/>
                <w:color w:val="244061" w:themeColor="accent1" w:themeShade="80"/>
              </w:rPr>
              <w:t>Vysvětleno</w:t>
            </w:r>
            <w:r>
              <w:rPr>
                <w:rFonts w:ascii="Times New Roman" w:hAnsi="Times New Roman" w:cs="Times New Roman"/>
                <w:color w:val="244061" w:themeColor="accent1" w:themeShade="80"/>
              </w:rPr>
              <w:t xml:space="preserve"> – přímé finanční dopady na státní rozpočet z materiálu neplynou. Bude řešeno samostatnými materiály do vlády, ke kterým vláda bude přijímat jednotlivá stanoviska.</w:t>
            </w: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Default="002A599B" w:rsidP="009531F8">
            <w:pPr>
              <w:jc w:val="both"/>
              <w:rPr>
                <w:rFonts w:ascii="Times New Roman" w:hAnsi="Times New Roman" w:cs="Times New Roman"/>
                <w:color w:val="244061" w:themeColor="accent1" w:themeShade="80"/>
              </w:rPr>
            </w:pPr>
          </w:p>
          <w:p w:rsidR="002A599B" w:rsidRPr="000573D1" w:rsidRDefault="002A599B" w:rsidP="009531F8">
            <w:pPr>
              <w:jc w:val="both"/>
              <w:rPr>
                <w:rFonts w:ascii="Times New Roman" w:hAnsi="Times New Roman" w:cs="Times New Roman"/>
                <w:color w:val="244061" w:themeColor="accent1" w:themeShade="80"/>
              </w:rPr>
            </w:pPr>
            <w:r w:rsidRPr="002A599B">
              <w:rPr>
                <w:rFonts w:ascii="Times New Roman" w:hAnsi="Times New Roman" w:cs="Times New Roman"/>
                <w:b/>
                <w:color w:val="244061" w:themeColor="accent1" w:themeShade="80"/>
              </w:rPr>
              <w:t>Akceptováno</w:t>
            </w:r>
            <w:r>
              <w:rPr>
                <w:rFonts w:ascii="Times New Roman" w:hAnsi="Times New Roman" w:cs="Times New Roman"/>
                <w:color w:val="244061" w:themeColor="accent1" w:themeShade="80"/>
              </w:rPr>
              <w:t xml:space="preserve"> – body přílohy č. 1, týkající se finančních prostředků ze zvláštního účtu, jsou upraveny.</w:t>
            </w:r>
          </w:p>
        </w:tc>
      </w:tr>
      <w:tr w:rsidR="001035A9" w:rsidRPr="003D276A">
        <w:trPr>
          <w:trHeight w:val="661"/>
        </w:trPr>
        <w:tc>
          <w:tcPr>
            <w:tcW w:w="1463" w:type="dxa"/>
            <w:vMerge/>
            <w:tcBorders>
              <w:left w:val="single" w:sz="4" w:space="0" w:color="auto"/>
              <w:right w:val="single" w:sz="4" w:space="0" w:color="auto"/>
            </w:tcBorders>
          </w:tcPr>
          <w:p w:rsidR="001035A9" w:rsidRPr="003D276A" w:rsidRDefault="001035A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1035A9" w:rsidRDefault="001035A9" w:rsidP="008B55BA">
            <w:pPr>
              <w:widowControl w:val="0"/>
              <w:autoSpaceDE w:val="0"/>
              <w:autoSpaceDN w:val="0"/>
              <w:adjustRightInd w:val="0"/>
              <w:jc w:val="both"/>
              <w:rPr>
                <w:rFonts w:ascii="Times New Roman" w:hAnsi="Times New Roman" w:cs="Times New Roman"/>
                <w:b/>
              </w:rPr>
            </w:pPr>
            <w:r w:rsidRPr="001035A9">
              <w:rPr>
                <w:rFonts w:ascii="Times New Roman" w:hAnsi="Times New Roman" w:cs="Times New Roman"/>
                <w:b/>
              </w:rPr>
              <w:t>Zásadní připomínka</w:t>
            </w:r>
          </w:p>
          <w:p w:rsidR="001035A9" w:rsidRPr="001035A9" w:rsidRDefault="001035A9" w:rsidP="001035A9">
            <w:pPr>
              <w:widowControl w:val="0"/>
              <w:autoSpaceDE w:val="0"/>
              <w:autoSpaceDN w:val="0"/>
              <w:adjustRightInd w:val="0"/>
              <w:jc w:val="both"/>
              <w:rPr>
                <w:rFonts w:ascii="Times New Roman" w:hAnsi="Times New Roman" w:cs="Times New Roman"/>
                <w:b/>
              </w:rPr>
            </w:pPr>
            <w:r w:rsidRPr="001035A9">
              <w:rPr>
                <w:rFonts w:ascii="Times New Roman" w:hAnsi="Times New Roman" w:cs="Times New Roman"/>
              </w:rPr>
              <w:t>K bodu 1 přílohy č. 1 návrhu usnesení: Není jasné, z jakých podkladů byla vyvozena částka 3,3 mld. Kč, která má být uvolněna Ministerstvem financí na již schválené projekty v</w:t>
            </w:r>
            <w:r>
              <w:rPr>
                <w:rFonts w:ascii="Times New Roman" w:hAnsi="Times New Roman" w:cs="Times New Roman"/>
              </w:rPr>
              <w:t> </w:t>
            </w:r>
            <w:r w:rsidRPr="001035A9">
              <w:rPr>
                <w:rFonts w:ascii="Times New Roman" w:hAnsi="Times New Roman" w:cs="Times New Roman"/>
              </w:rPr>
              <w:t>rámci již v současnosti procesovaného Programu řešení revitalizace po hornické a hutnické činnosti v</w:t>
            </w:r>
            <w:r>
              <w:rPr>
                <w:rFonts w:ascii="Times New Roman" w:hAnsi="Times New Roman" w:cs="Times New Roman"/>
              </w:rPr>
              <w:t> </w:t>
            </w:r>
            <w:r w:rsidRPr="001035A9">
              <w:rPr>
                <w:rFonts w:ascii="Times New Roman" w:hAnsi="Times New Roman" w:cs="Times New Roman"/>
              </w:rPr>
              <w:t>Moravskoslezském kraji.</w:t>
            </w:r>
          </w:p>
        </w:tc>
        <w:tc>
          <w:tcPr>
            <w:tcW w:w="6786" w:type="dxa"/>
            <w:tcBorders>
              <w:left w:val="single" w:sz="4" w:space="0" w:color="auto"/>
              <w:right w:val="single" w:sz="4" w:space="0" w:color="auto"/>
            </w:tcBorders>
          </w:tcPr>
          <w:p w:rsidR="001035A9" w:rsidRPr="000573D1" w:rsidRDefault="003C6923" w:rsidP="0012692B">
            <w:pPr>
              <w:rPr>
                <w:rFonts w:ascii="Times New Roman" w:hAnsi="Times New Roman" w:cs="Times New Roman"/>
                <w:color w:val="244061" w:themeColor="accent1" w:themeShade="80"/>
              </w:rPr>
            </w:pPr>
            <w:r w:rsidRPr="000573D1">
              <w:rPr>
                <w:rFonts w:ascii="Times New Roman" w:hAnsi="Times New Roman" w:cs="Times New Roman"/>
                <w:b/>
                <w:color w:val="244061" w:themeColor="accent1" w:themeShade="80"/>
              </w:rPr>
              <w:t>Vysvětleno</w:t>
            </w:r>
            <w:r w:rsidRPr="000573D1">
              <w:rPr>
                <w:rFonts w:ascii="Times New Roman" w:hAnsi="Times New Roman" w:cs="Times New Roman"/>
                <w:color w:val="244061" w:themeColor="accent1" w:themeShade="80"/>
              </w:rPr>
              <w:t xml:space="preserve">  -  částka vychází ze součtu odhadovaných nákladů prioritních projektů, které jsou uvedeny v materiálu předkládaném vládě samostatně, ke kterému se již MF v připomínkovém řízení vyjadřovalo</w:t>
            </w:r>
            <w:r w:rsidR="00987DF2">
              <w:rPr>
                <w:rFonts w:ascii="Times New Roman" w:hAnsi="Times New Roman" w:cs="Times New Roman"/>
                <w:color w:val="244061" w:themeColor="accent1" w:themeShade="80"/>
              </w:rPr>
              <w:t xml:space="preserve"> a dále koresponduje s limitem vládou uvolněné čtvrté tranše (4 ml. Kč) dle usnesení vlády č. 879 ze dne 7. 12. 2010</w:t>
            </w:r>
            <w:r w:rsidRPr="000573D1">
              <w:rPr>
                <w:rFonts w:ascii="Times New Roman" w:hAnsi="Times New Roman" w:cs="Times New Roman"/>
                <w:color w:val="244061" w:themeColor="accent1" w:themeShade="80"/>
              </w:rPr>
              <w:t>.</w:t>
            </w:r>
            <w:r w:rsidR="002A599B">
              <w:rPr>
                <w:rFonts w:ascii="Times New Roman" w:hAnsi="Times New Roman" w:cs="Times New Roman"/>
                <w:color w:val="244061" w:themeColor="accent1" w:themeShade="80"/>
              </w:rPr>
              <w:t xml:space="preserve"> Bod 1 přílohy č. 1 upraven.</w:t>
            </w:r>
          </w:p>
          <w:p w:rsidR="001035A9" w:rsidRPr="003D276A" w:rsidRDefault="001035A9" w:rsidP="007E1384">
            <w:pPr>
              <w:rPr>
                <w:rFonts w:ascii="Times New Roman" w:hAnsi="Times New Roman" w:cs="Times New Roman"/>
              </w:rPr>
            </w:pPr>
          </w:p>
        </w:tc>
      </w:tr>
      <w:tr w:rsidR="001035A9" w:rsidRPr="003D276A">
        <w:trPr>
          <w:trHeight w:val="473"/>
        </w:trPr>
        <w:tc>
          <w:tcPr>
            <w:tcW w:w="1463" w:type="dxa"/>
            <w:vMerge/>
            <w:tcBorders>
              <w:left w:val="single" w:sz="4" w:space="0" w:color="auto"/>
              <w:right w:val="single" w:sz="4" w:space="0" w:color="auto"/>
            </w:tcBorders>
          </w:tcPr>
          <w:p w:rsidR="001035A9" w:rsidRPr="003D276A" w:rsidRDefault="001035A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1035A9" w:rsidRPr="001035A9" w:rsidRDefault="001035A9" w:rsidP="00FE084B">
            <w:pPr>
              <w:jc w:val="both"/>
              <w:rPr>
                <w:rFonts w:ascii="Times New Roman" w:hAnsi="Times New Roman" w:cs="Times New Roman"/>
                <w:b/>
              </w:rPr>
            </w:pPr>
            <w:r w:rsidRPr="001035A9">
              <w:rPr>
                <w:rFonts w:ascii="Times New Roman" w:hAnsi="Times New Roman" w:cs="Times New Roman"/>
                <w:b/>
              </w:rPr>
              <w:t>Zásadní připomínka</w:t>
            </w:r>
          </w:p>
          <w:p w:rsidR="001035A9" w:rsidRPr="003D276A" w:rsidRDefault="001035A9" w:rsidP="00FE084B">
            <w:pPr>
              <w:jc w:val="both"/>
              <w:rPr>
                <w:rFonts w:ascii="Times New Roman" w:hAnsi="Times New Roman" w:cs="Times New Roman"/>
              </w:rPr>
            </w:pPr>
            <w:r w:rsidRPr="001035A9">
              <w:rPr>
                <w:rFonts w:ascii="Times New Roman" w:hAnsi="Times New Roman" w:cs="Times New Roman"/>
              </w:rPr>
              <w:t>K bodu 4. a 12. přílohy č. 1 návrhu usnesení: Zmíněná opatření jsou dlouhodobě a podrobně řešena v rámci pracovního pořádku kompetentních rezortů. Nepovažujeme tedy za nutné tato opatření vkládat do předloženého materiálu, neboť předpokládáme, že budou předkládány na jednání vlády jako samostatné materiály.</w:t>
            </w:r>
          </w:p>
        </w:tc>
        <w:tc>
          <w:tcPr>
            <w:tcW w:w="6786" w:type="dxa"/>
            <w:tcBorders>
              <w:left w:val="single" w:sz="4" w:space="0" w:color="auto"/>
              <w:right w:val="single" w:sz="4" w:space="0" w:color="auto"/>
            </w:tcBorders>
          </w:tcPr>
          <w:p w:rsidR="001035A9" w:rsidRPr="000573D1" w:rsidRDefault="002A599B" w:rsidP="0012692B">
            <w:pPr>
              <w:rPr>
                <w:rFonts w:ascii="Times New Roman" w:hAnsi="Times New Roman" w:cs="Times New Roman"/>
                <w:color w:val="244061" w:themeColor="accent1" w:themeShade="80"/>
              </w:rPr>
            </w:pPr>
            <w:r>
              <w:rPr>
                <w:rFonts w:ascii="Times New Roman" w:hAnsi="Times New Roman" w:cs="Times New Roman"/>
                <w:b/>
                <w:color w:val="244061" w:themeColor="accent1" w:themeShade="80"/>
              </w:rPr>
              <w:t>Vysvětleno</w:t>
            </w:r>
            <w:r w:rsidR="003C6923" w:rsidRPr="000573D1">
              <w:rPr>
                <w:rFonts w:ascii="Times New Roman" w:hAnsi="Times New Roman" w:cs="Times New Roman"/>
                <w:b/>
                <w:color w:val="244061" w:themeColor="accent1" w:themeShade="80"/>
              </w:rPr>
              <w:t xml:space="preserve"> </w:t>
            </w:r>
            <w:r w:rsidR="003C6923" w:rsidRPr="000573D1">
              <w:rPr>
                <w:rFonts w:ascii="Times New Roman" w:hAnsi="Times New Roman" w:cs="Times New Roman"/>
                <w:color w:val="244061" w:themeColor="accent1" w:themeShade="80"/>
              </w:rPr>
              <w:t xml:space="preserve"> -  materiál je souborem možných op</w:t>
            </w:r>
            <w:r w:rsidR="009531F8">
              <w:rPr>
                <w:rFonts w:ascii="Times New Roman" w:hAnsi="Times New Roman" w:cs="Times New Roman"/>
                <w:color w:val="244061" w:themeColor="accent1" w:themeShade="80"/>
              </w:rPr>
              <w:t>a</w:t>
            </w:r>
            <w:r w:rsidR="003C6923" w:rsidRPr="000573D1">
              <w:rPr>
                <w:rFonts w:ascii="Times New Roman" w:hAnsi="Times New Roman" w:cs="Times New Roman"/>
                <w:color w:val="244061" w:themeColor="accent1" w:themeShade="80"/>
              </w:rPr>
              <w:t>tření k pomoci MSK a proto je nutné, aby zde byla souhr</w:t>
            </w:r>
            <w:r w:rsidR="009531F8">
              <w:rPr>
                <w:rFonts w:ascii="Times New Roman" w:hAnsi="Times New Roman" w:cs="Times New Roman"/>
                <w:color w:val="244061" w:themeColor="accent1" w:themeShade="80"/>
              </w:rPr>
              <w:t>n</w:t>
            </w:r>
            <w:r w:rsidR="003C6923" w:rsidRPr="000573D1">
              <w:rPr>
                <w:rFonts w:ascii="Times New Roman" w:hAnsi="Times New Roman" w:cs="Times New Roman"/>
                <w:color w:val="244061" w:themeColor="accent1" w:themeShade="80"/>
              </w:rPr>
              <w:t>ně uvedena všechna v úvahu připadající opatření</w:t>
            </w:r>
            <w:r w:rsidR="00E4387C" w:rsidRPr="000573D1">
              <w:rPr>
                <w:rFonts w:ascii="Times New Roman" w:hAnsi="Times New Roman" w:cs="Times New Roman"/>
                <w:color w:val="244061" w:themeColor="accent1" w:themeShade="80"/>
              </w:rPr>
              <w:t>. Téměř všechna navržená opatření budou postupně rozpracována do materiálů, kterými se bude vláda zabývat.</w:t>
            </w:r>
          </w:p>
          <w:p w:rsidR="001035A9" w:rsidRPr="000573D1" w:rsidRDefault="001035A9" w:rsidP="0012692B">
            <w:pPr>
              <w:rPr>
                <w:rFonts w:ascii="Times New Roman" w:hAnsi="Times New Roman" w:cs="Times New Roman"/>
                <w:color w:val="244061" w:themeColor="accent1" w:themeShade="80"/>
              </w:rPr>
            </w:pPr>
          </w:p>
          <w:p w:rsidR="001035A9" w:rsidRPr="003D276A" w:rsidRDefault="001035A9" w:rsidP="007E1384">
            <w:pPr>
              <w:rPr>
                <w:rFonts w:ascii="Times New Roman" w:hAnsi="Times New Roman" w:cs="Times New Roman"/>
              </w:rPr>
            </w:pPr>
          </w:p>
        </w:tc>
      </w:tr>
      <w:tr w:rsidR="001035A9" w:rsidRPr="003D276A" w:rsidTr="00B247BC">
        <w:trPr>
          <w:trHeight w:val="381"/>
        </w:trPr>
        <w:tc>
          <w:tcPr>
            <w:tcW w:w="1463" w:type="dxa"/>
            <w:vMerge/>
            <w:tcBorders>
              <w:left w:val="single" w:sz="4" w:space="0" w:color="auto"/>
              <w:right w:val="single" w:sz="4" w:space="0" w:color="auto"/>
            </w:tcBorders>
          </w:tcPr>
          <w:p w:rsidR="001035A9" w:rsidRPr="003D276A" w:rsidRDefault="001035A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1035A9" w:rsidRPr="001035A9" w:rsidRDefault="001035A9" w:rsidP="00DE6B25">
            <w:pPr>
              <w:widowControl w:val="0"/>
              <w:autoSpaceDE w:val="0"/>
              <w:autoSpaceDN w:val="0"/>
              <w:adjustRightInd w:val="0"/>
              <w:jc w:val="both"/>
              <w:rPr>
                <w:rFonts w:ascii="Times New Roman" w:hAnsi="Times New Roman" w:cs="Times New Roman"/>
                <w:b/>
              </w:rPr>
            </w:pPr>
            <w:r w:rsidRPr="001035A9">
              <w:rPr>
                <w:rFonts w:ascii="Times New Roman" w:hAnsi="Times New Roman" w:cs="Times New Roman"/>
                <w:b/>
              </w:rPr>
              <w:t>Zásadní připomínka</w:t>
            </w:r>
          </w:p>
          <w:p w:rsidR="001035A9" w:rsidRPr="003D276A" w:rsidRDefault="001035A9" w:rsidP="00DE6B25">
            <w:pPr>
              <w:widowControl w:val="0"/>
              <w:autoSpaceDE w:val="0"/>
              <w:autoSpaceDN w:val="0"/>
              <w:adjustRightInd w:val="0"/>
              <w:jc w:val="both"/>
              <w:rPr>
                <w:rFonts w:ascii="Times New Roman" w:hAnsi="Times New Roman" w:cs="Times New Roman"/>
              </w:rPr>
            </w:pPr>
            <w:r w:rsidRPr="001035A9">
              <w:rPr>
                <w:rFonts w:ascii="Times New Roman" w:hAnsi="Times New Roman" w:cs="Times New Roman"/>
              </w:rPr>
              <w:t>K bodu 6. přílohy č. 1 návrhu usnesení: Při řešení problému Dolu Paskov se přikláníme k navrhované variantě č. 1 (viz Předkládací zpráva, bod 3.4. Varianty řešení), tj. ponechat další vývoj na společnosti NWR jako majiteli OKD, a.s. a předpokládat uzavření dolu v 2. pololetí roku 2014. Tato varianta je příznivější pro veřejné rozpočty, s odhadovaným dopadem na úrovni stovek mil. až jedné mld. Kč, a zároveň neprodlužuje období ztrátového hospodaření Dolu Paskov až do roku 2018 (varianta řešení č. 2). Je však třeba současně zdůraznit aktivní úlohu státu při vytváření programů na rekvalifikaci a podporu vzniku nových pracovních míst, které by měly svým načasováním řešit rapidní nárůst nezaměstnaných již v roce 2014.</w:t>
            </w:r>
          </w:p>
        </w:tc>
        <w:tc>
          <w:tcPr>
            <w:tcW w:w="6786" w:type="dxa"/>
            <w:tcBorders>
              <w:left w:val="single" w:sz="4" w:space="0" w:color="auto"/>
              <w:right w:val="single" w:sz="4" w:space="0" w:color="auto"/>
            </w:tcBorders>
          </w:tcPr>
          <w:p w:rsidR="001035A9" w:rsidRPr="00E4387C" w:rsidRDefault="00E4387C" w:rsidP="007E1384">
            <w:pPr>
              <w:rPr>
                <w:rFonts w:ascii="Times New Roman" w:hAnsi="Times New Roman" w:cs="Times New Roman"/>
                <w:color w:val="244061" w:themeColor="accent1" w:themeShade="80"/>
              </w:rPr>
            </w:pPr>
            <w:r w:rsidRPr="000573D1">
              <w:rPr>
                <w:rFonts w:ascii="Times New Roman" w:hAnsi="Times New Roman" w:cs="Times New Roman"/>
                <w:b/>
                <w:color w:val="244061" w:themeColor="accent1" w:themeShade="80"/>
              </w:rPr>
              <w:t xml:space="preserve">Vysvětleno </w:t>
            </w:r>
            <w:r w:rsidRPr="00E4387C">
              <w:rPr>
                <w:rFonts w:ascii="Times New Roman" w:hAnsi="Times New Roman" w:cs="Times New Roman"/>
                <w:color w:val="244061" w:themeColor="accent1" w:themeShade="80"/>
              </w:rPr>
              <w:t xml:space="preserve"> -  </w:t>
            </w:r>
            <w:r>
              <w:rPr>
                <w:rFonts w:ascii="Times New Roman" w:hAnsi="Times New Roman" w:cs="Times New Roman"/>
                <w:color w:val="244061" w:themeColor="accent1" w:themeShade="80"/>
              </w:rPr>
              <w:t>závěr variant uvedených v materiálu doporučuje vládě přijmutí varianty bez přímé finanční pomoci státu na subvencování ztrátové těžby</w:t>
            </w:r>
            <w:r w:rsidR="000573D1">
              <w:rPr>
                <w:rFonts w:ascii="Times New Roman" w:hAnsi="Times New Roman" w:cs="Times New Roman"/>
                <w:color w:val="244061" w:themeColor="accent1" w:themeShade="80"/>
              </w:rPr>
              <w:t>, ale úhradu nákladů spojených s tvorbou programů na podporu vzniku nových pracovních míst</w:t>
            </w:r>
            <w:r w:rsidR="002A599B">
              <w:rPr>
                <w:rFonts w:ascii="Times New Roman" w:hAnsi="Times New Roman" w:cs="Times New Roman"/>
                <w:color w:val="244061" w:themeColor="accent1" w:themeShade="80"/>
              </w:rPr>
              <w:t>. Vláda nebude přímo finančně sanovat náklady OKD.</w:t>
            </w:r>
          </w:p>
        </w:tc>
      </w:tr>
      <w:tr w:rsidR="001035A9" w:rsidRPr="000573D1" w:rsidTr="00B247BC">
        <w:trPr>
          <w:trHeight w:val="381"/>
        </w:trPr>
        <w:tc>
          <w:tcPr>
            <w:tcW w:w="1463" w:type="dxa"/>
            <w:vMerge/>
            <w:tcBorders>
              <w:left w:val="single" w:sz="4" w:space="0" w:color="auto"/>
              <w:right w:val="single" w:sz="4" w:space="0" w:color="auto"/>
            </w:tcBorders>
          </w:tcPr>
          <w:p w:rsidR="001035A9" w:rsidRPr="003D276A" w:rsidRDefault="001035A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1035A9" w:rsidRPr="001035A9" w:rsidRDefault="001035A9" w:rsidP="001035A9">
            <w:pPr>
              <w:rPr>
                <w:rFonts w:ascii="Times New Roman" w:hAnsi="Times New Roman" w:cs="Times New Roman"/>
                <w:b/>
              </w:rPr>
            </w:pPr>
            <w:r w:rsidRPr="001035A9">
              <w:rPr>
                <w:rFonts w:ascii="Times New Roman" w:hAnsi="Times New Roman" w:cs="Times New Roman"/>
                <w:b/>
              </w:rPr>
              <w:t>Zásadní připomínka</w:t>
            </w:r>
          </w:p>
          <w:p w:rsidR="001035A9" w:rsidRPr="003D276A" w:rsidRDefault="001035A9" w:rsidP="001035A9">
            <w:pPr>
              <w:jc w:val="both"/>
              <w:rPr>
                <w:rFonts w:ascii="Times New Roman" w:hAnsi="Times New Roman" w:cs="Times New Roman"/>
              </w:rPr>
            </w:pPr>
            <w:r w:rsidRPr="001035A9">
              <w:rPr>
                <w:rFonts w:ascii="Times New Roman" w:hAnsi="Times New Roman" w:cs="Times New Roman"/>
              </w:rPr>
              <w:t xml:space="preserve">K bodu 8 přílohy č. 1 návrhu usnesení: S návrhem na další snižování poplatků na OZE v ceně elektřiny nesouhlasíme. Chybí jakákoliv analýza dopadů tohoto opatření. </w:t>
            </w:r>
            <w:r w:rsidRPr="001035A9">
              <w:rPr>
                <w:rFonts w:ascii="Times New Roman" w:hAnsi="Times New Roman" w:cs="Times New Roman"/>
              </w:rPr>
              <w:lastRenderedPageBreak/>
              <w:t>Upozorňujeme, že v rámci novely zákona č. 165/2012 Sb. došlo ke kompromisu mezi předkladatelem novely Ministerstvem průmyslu a obchodu a Ministerstvem financí, a poplatek na OZE byl pevně stanoven na částce 495 Kč/</w:t>
            </w:r>
            <w:proofErr w:type="spellStart"/>
            <w:r w:rsidRPr="001035A9">
              <w:rPr>
                <w:rFonts w:ascii="Times New Roman" w:hAnsi="Times New Roman" w:cs="Times New Roman"/>
              </w:rPr>
              <w:t>MWh</w:t>
            </w:r>
            <w:proofErr w:type="spellEnd"/>
            <w:r w:rsidRPr="001035A9">
              <w:rPr>
                <w:rFonts w:ascii="Times New Roman" w:hAnsi="Times New Roman" w:cs="Times New Roman"/>
              </w:rPr>
              <w:t>, což bude mít dopad na státní rozpočet ve výši 4</w:t>
            </w:r>
            <w:r>
              <w:rPr>
                <w:rFonts w:ascii="Times New Roman" w:hAnsi="Times New Roman" w:cs="Times New Roman"/>
              </w:rPr>
              <w:t> </w:t>
            </w:r>
            <w:r w:rsidRPr="001035A9">
              <w:rPr>
                <w:rFonts w:ascii="Times New Roman" w:hAnsi="Times New Roman" w:cs="Times New Roman"/>
              </w:rPr>
              <w:t>mld. Kč. Tato částka byla stanovena na základě výpočtů finančních dopadů jak v příštím roce, tak v budoucích letech. Od úvahy o diferenciaci poplatku Ministerstvo průmyslu a obchodu samo upustilo, pravděpodobně z</w:t>
            </w:r>
            <w:r>
              <w:rPr>
                <w:rFonts w:ascii="Times New Roman" w:hAnsi="Times New Roman" w:cs="Times New Roman"/>
              </w:rPr>
              <w:t> </w:t>
            </w:r>
            <w:r w:rsidRPr="001035A9">
              <w:rPr>
                <w:rFonts w:ascii="Times New Roman" w:hAnsi="Times New Roman" w:cs="Times New Roman"/>
              </w:rPr>
              <w:t>důvodu neprůchodnosti tohoto typu veřejné podpory u</w:t>
            </w:r>
            <w:r>
              <w:rPr>
                <w:rFonts w:ascii="Times New Roman" w:hAnsi="Times New Roman" w:cs="Times New Roman"/>
              </w:rPr>
              <w:t> </w:t>
            </w:r>
            <w:r w:rsidRPr="001035A9">
              <w:rPr>
                <w:rFonts w:ascii="Times New Roman" w:hAnsi="Times New Roman" w:cs="Times New Roman"/>
              </w:rPr>
              <w:t xml:space="preserve">Evropské komise. </w:t>
            </w:r>
          </w:p>
        </w:tc>
        <w:tc>
          <w:tcPr>
            <w:tcW w:w="6786" w:type="dxa"/>
            <w:tcBorders>
              <w:left w:val="single" w:sz="4" w:space="0" w:color="auto"/>
              <w:right w:val="single" w:sz="4" w:space="0" w:color="auto"/>
            </w:tcBorders>
          </w:tcPr>
          <w:p w:rsidR="001035A9" w:rsidRPr="000573D1" w:rsidRDefault="002A599B" w:rsidP="002A599B">
            <w:pPr>
              <w:rPr>
                <w:rFonts w:ascii="Times New Roman" w:hAnsi="Times New Roman" w:cs="Times New Roman"/>
                <w:color w:val="244061" w:themeColor="accent1" w:themeShade="80"/>
              </w:rPr>
            </w:pPr>
            <w:r>
              <w:rPr>
                <w:rFonts w:ascii="Times New Roman" w:hAnsi="Times New Roman" w:cs="Times New Roman"/>
                <w:b/>
                <w:color w:val="244061" w:themeColor="accent1" w:themeShade="80"/>
              </w:rPr>
              <w:lastRenderedPageBreak/>
              <w:t>Vysvětleno</w:t>
            </w:r>
            <w:r w:rsidR="000573D1" w:rsidRPr="000573D1">
              <w:rPr>
                <w:rFonts w:ascii="Times New Roman" w:hAnsi="Times New Roman" w:cs="Times New Roman"/>
                <w:b/>
                <w:color w:val="244061" w:themeColor="accent1" w:themeShade="80"/>
              </w:rPr>
              <w:t xml:space="preserve"> </w:t>
            </w:r>
            <w:r w:rsidR="000573D1" w:rsidRPr="000573D1">
              <w:rPr>
                <w:rFonts w:ascii="Times New Roman" w:hAnsi="Times New Roman" w:cs="Times New Roman"/>
                <w:color w:val="244061" w:themeColor="accent1" w:themeShade="80"/>
              </w:rPr>
              <w:t xml:space="preserve"> -  bod 8 zakládá úkol tuto analýzu připravit</w:t>
            </w:r>
            <w:r w:rsidR="009531F8">
              <w:rPr>
                <w:rFonts w:ascii="Times New Roman" w:hAnsi="Times New Roman" w:cs="Times New Roman"/>
                <w:color w:val="244061" w:themeColor="accent1" w:themeShade="80"/>
              </w:rPr>
              <w:t>,</w:t>
            </w:r>
            <w:r w:rsidR="000573D1" w:rsidRPr="000573D1">
              <w:rPr>
                <w:rFonts w:ascii="Times New Roman" w:hAnsi="Times New Roman" w:cs="Times New Roman"/>
                <w:color w:val="244061" w:themeColor="accent1" w:themeShade="80"/>
              </w:rPr>
              <w:t xml:space="preserve"> až poté se vláda rozhodne, zda koncepci snižování poplatků přijme či nikoliv. Analýza musí samozřejmě obsahovat i finanční dopady.</w:t>
            </w:r>
          </w:p>
        </w:tc>
      </w:tr>
      <w:tr w:rsidR="001035A9" w:rsidRPr="003D276A" w:rsidTr="00B247BC">
        <w:trPr>
          <w:trHeight w:val="381"/>
        </w:trPr>
        <w:tc>
          <w:tcPr>
            <w:tcW w:w="1463" w:type="dxa"/>
            <w:vMerge/>
            <w:tcBorders>
              <w:left w:val="single" w:sz="4" w:space="0" w:color="auto"/>
              <w:right w:val="single" w:sz="4" w:space="0" w:color="auto"/>
            </w:tcBorders>
          </w:tcPr>
          <w:p w:rsidR="001035A9" w:rsidRPr="003D276A" w:rsidRDefault="001035A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1035A9" w:rsidRPr="001035A9" w:rsidRDefault="001035A9" w:rsidP="00DE6B25">
            <w:pPr>
              <w:widowControl w:val="0"/>
              <w:autoSpaceDE w:val="0"/>
              <w:autoSpaceDN w:val="0"/>
              <w:adjustRightInd w:val="0"/>
              <w:jc w:val="both"/>
              <w:rPr>
                <w:rFonts w:ascii="Times New Roman" w:hAnsi="Times New Roman" w:cs="Times New Roman"/>
                <w:b/>
              </w:rPr>
            </w:pPr>
            <w:r w:rsidRPr="001035A9">
              <w:rPr>
                <w:rFonts w:ascii="Times New Roman" w:hAnsi="Times New Roman" w:cs="Times New Roman"/>
                <w:b/>
              </w:rPr>
              <w:t>Zásadní připomínka</w:t>
            </w:r>
          </w:p>
          <w:p w:rsidR="001035A9" w:rsidRPr="003D276A" w:rsidRDefault="001035A9" w:rsidP="00DE6B25">
            <w:pPr>
              <w:widowControl w:val="0"/>
              <w:autoSpaceDE w:val="0"/>
              <w:autoSpaceDN w:val="0"/>
              <w:adjustRightInd w:val="0"/>
              <w:jc w:val="both"/>
              <w:rPr>
                <w:rFonts w:ascii="Times New Roman" w:hAnsi="Times New Roman" w:cs="Times New Roman"/>
              </w:rPr>
            </w:pPr>
            <w:r w:rsidRPr="001035A9">
              <w:rPr>
                <w:rFonts w:ascii="Times New Roman" w:hAnsi="Times New Roman" w:cs="Times New Roman"/>
              </w:rPr>
              <w:t>K příloze č. 2 návrhu usnesení, která obsahuje opatření pro rozpracování podnikatelskými subjekty, Krajským úřadem Moravskoslezského kraje a Hospodářskou komorou ČR uvádíme, že platí naše předchozí připomínka o návrhu na snížení poplatku za OZE a vytvoření diferenciované platby za poplatky OZE. Dále v bodě 8 k návrhu na vytvoření samostatných operačních programů považujeme za nezbytné stanovisko Ministerstva pro místní rozvoj.</w:t>
            </w:r>
          </w:p>
        </w:tc>
        <w:tc>
          <w:tcPr>
            <w:tcW w:w="6786" w:type="dxa"/>
            <w:tcBorders>
              <w:left w:val="single" w:sz="4" w:space="0" w:color="auto"/>
              <w:right w:val="single" w:sz="4" w:space="0" w:color="auto"/>
            </w:tcBorders>
          </w:tcPr>
          <w:p w:rsidR="001035A9" w:rsidRPr="000573D1" w:rsidRDefault="002A599B" w:rsidP="00C34F84">
            <w:pPr>
              <w:rPr>
                <w:rFonts w:ascii="Times New Roman" w:hAnsi="Times New Roman" w:cs="Times New Roman"/>
                <w:color w:val="244061" w:themeColor="accent1" w:themeShade="80"/>
              </w:rPr>
            </w:pPr>
            <w:r>
              <w:rPr>
                <w:rFonts w:ascii="Times New Roman" w:hAnsi="Times New Roman" w:cs="Times New Roman"/>
                <w:b/>
                <w:color w:val="244061" w:themeColor="accent1" w:themeShade="80"/>
              </w:rPr>
              <w:t>Vysvětleno</w:t>
            </w:r>
            <w:r w:rsidR="000573D1" w:rsidRPr="000573D1">
              <w:rPr>
                <w:rFonts w:ascii="Times New Roman" w:hAnsi="Times New Roman" w:cs="Times New Roman"/>
                <w:b/>
                <w:color w:val="244061" w:themeColor="accent1" w:themeShade="80"/>
              </w:rPr>
              <w:t xml:space="preserve"> </w:t>
            </w:r>
            <w:r w:rsidR="000573D1" w:rsidRPr="000573D1">
              <w:rPr>
                <w:rFonts w:ascii="Times New Roman" w:hAnsi="Times New Roman" w:cs="Times New Roman"/>
                <w:color w:val="244061" w:themeColor="accent1" w:themeShade="80"/>
              </w:rPr>
              <w:t>-  viz předchozí bod</w:t>
            </w:r>
          </w:p>
        </w:tc>
      </w:tr>
      <w:tr w:rsidR="00B247BC" w:rsidRPr="003D276A" w:rsidTr="00B247BC">
        <w:trPr>
          <w:trHeight w:val="381"/>
        </w:trPr>
        <w:tc>
          <w:tcPr>
            <w:tcW w:w="1463" w:type="dxa"/>
            <w:tcBorders>
              <w:left w:val="single" w:sz="4" w:space="0" w:color="auto"/>
              <w:right w:val="single" w:sz="4" w:space="0" w:color="auto"/>
            </w:tcBorders>
          </w:tcPr>
          <w:p w:rsidR="00B247BC" w:rsidRPr="003D276A" w:rsidRDefault="00B247BC" w:rsidP="007E1384">
            <w:pPr>
              <w:rPr>
                <w:rFonts w:ascii="Times New Roman" w:hAnsi="Times New Roman" w:cs="Times New Roman"/>
              </w:rPr>
            </w:pPr>
            <w:r>
              <w:rPr>
                <w:rFonts w:ascii="Times New Roman" w:hAnsi="Times New Roman" w:cs="Times New Roman"/>
              </w:rPr>
              <w:t>Ministerstvo dopravy</w:t>
            </w:r>
          </w:p>
        </w:tc>
        <w:tc>
          <w:tcPr>
            <w:tcW w:w="6080" w:type="dxa"/>
            <w:tcBorders>
              <w:top w:val="single" w:sz="4" w:space="0" w:color="auto"/>
              <w:left w:val="single" w:sz="4" w:space="0" w:color="auto"/>
              <w:bottom w:val="single" w:sz="4" w:space="0" w:color="auto"/>
              <w:right w:val="single" w:sz="4" w:space="0" w:color="auto"/>
            </w:tcBorders>
          </w:tcPr>
          <w:p w:rsidR="00C7259F" w:rsidRPr="00C7259F" w:rsidRDefault="00C7259F" w:rsidP="00C7259F">
            <w:pPr>
              <w:widowControl w:val="0"/>
              <w:autoSpaceDE w:val="0"/>
              <w:autoSpaceDN w:val="0"/>
              <w:adjustRightInd w:val="0"/>
              <w:jc w:val="both"/>
              <w:rPr>
                <w:rFonts w:ascii="Times New Roman" w:hAnsi="Times New Roman" w:cs="Times New Roman"/>
                <w:b/>
              </w:rPr>
            </w:pPr>
            <w:r w:rsidRPr="00C7259F">
              <w:rPr>
                <w:rFonts w:ascii="Times New Roman" w:hAnsi="Times New Roman" w:cs="Times New Roman"/>
                <w:b/>
              </w:rPr>
              <w:t>Zásadní připomínka</w:t>
            </w:r>
          </w:p>
          <w:p w:rsidR="00C7259F" w:rsidRDefault="00C7259F" w:rsidP="00C7259F">
            <w:pPr>
              <w:widowControl w:val="0"/>
              <w:autoSpaceDE w:val="0"/>
              <w:autoSpaceDN w:val="0"/>
              <w:adjustRightInd w:val="0"/>
              <w:jc w:val="both"/>
              <w:rPr>
                <w:rFonts w:ascii="Times New Roman" w:hAnsi="Times New Roman" w:cs="Times New Roman"/>
              </w:rPr>
            </w:pPr>
            <w:r w:rsidRPr="00EF1F01">
              <w:rPr>
                <w:rFonts w:ascii="Times New Roman" w:hAnsi="Times New Roman" w:cs="Times New Roman"/>
              </w:rPr>
              <w:t>Příloha č. 1, Opatření pro rozpracování a řešení jednotlivými resorty, bod č. 5:</w:t>
            </w:r>
          </w:p>
          <w:p w:rsidR="00C7259F" w:rsidRPr="00EF1F01" w:rsidRDefault="00C7259F" w:rsidP="00C7259F">
            <w:pPr>
              <w:widowControl w:val="0"/>
              <w:autoSpaceDE w:val="0"/>
              <w:autoSpaceDN w:val="0"/>
              <w:adjustRightInd w:val="0"/>
              <w:jc w:val="both"/>
              <w:rPr>
                <w:rFonts w:ascii="Times New Roman" w:hAnsi="Times New Roman" w:cs="Times New Roman"/>
              </w:rPr>
            </w:pPr>
            <w:r w:rsidRPr="00EF1F01">
              <w:rPr>
                <w:rFonts w:ascii="Times New Roman" w:hAnsi="Times New Roman" w:cs="Times New Roman"/>
              </w:rPr>
              <w:t>Opatření požadujeme přeformulovat následovně:</w:t>
            </w:r>
          </w:p>
          <w:p w:rsidR="00B247BC" w:rsidRDefault="00C7259F" w:rsidP="00C7259F">
            <w:pPr>
              <w:widowControl w:val="0"/>
              <w:autoSpaceDE w:val="0"/>
              <w:autoSpaceDN w:val="0"/>
              <w:adjustRightInd w:val="0"/>
              <w:jc w:val="both"/>
              <w:rPr>
                <w:rFonts w:ascii="Times New Roman" w:hAnsi="Times New Roman" w:cs="Times New Roman"/>
                <w:i/>
              </w:rPr>
            </w:pPr>
            <w:r w:rsidRPr="00EF1F01">
              <w:rPr>
                <w:rFonts w:ascii="Times New Roman" w:hAnsi="Times New Roman" w:cs="Times New Roman"/>
                <w:i/>
              </w:rPr>
              <w:t>Urychlit přípravu a realizaci projektů dopravní infrastruktury majících vztah k dopravní obslužnosti MSK, které jsou ve vlastnictví státu a jsou financovatelné prostřednictvím SFDI. Zpracovat harmonogram přípravy projektů a návrh jejich financování a předložit vládě. Zajistí MD a MF. Termín: 11/2013</w:t>
            </w:r>
          </w:p>
          <w:p w:rsidR="00C7259F" w:rsidRPr="00EF1F01" w:rsidRDefault="00C7259F" w:rsidP="00C7259F">
            <w:pPr>
              <w:widowControl w:val="0"/>
              <w:autoSpaceDE w:val="0"/>
              <w:autoSpaceDN w:val="0"/>
              <w:adjustRightInd w:val="0"/>
              <w:jc w:val="both"/>
              <w:rPr>
                <w:rFonts w:ascii="Times New Roman" w:hAnsi="Times New Roman" w:cs="Times New Roman"/>
                <w:b/>
              </w:rPr>
            </w:pPr>
            <w:r w:rsidRPr="00EF1F01">
              <w:rPr>
                <w:rFonts w:ascii="Times New Roman" w:hAnsi="Times New Roman" w:cs="Times New Roman"/>
                <w:b/>
              </w:rPr>
              <w:t xml:space="preserve">Odůvodnění: </w:t>
            </w:r>
          </w:p>
          <w:p w:rsidR="00C7259F" w:rsidRDefault="00C7259F" w:rsidP="00C7259F">
            <w:pPr>
              <w:widowControl w:val="0"/>
              <w:autoSpaceDE w:val="0"/>
              <w:autoSpaceDN w:val="0"/>
              <w:adjustRightInd w:val="0"/>
              <w:jc w:val="both"/>
              <w:rPr>
                <w:rFonts w:ascii="Times New Roman" w:hAnsi="Times New Roman" w:cs="Times New Roman"/>
              </w:rPr>
            </w:pPr>
            <w:r w:rsidRPr="00EF1F01">
              <w:rPr>
                <w:rFonts w:ascii="Times New Roman" w:hAnsi="Times New Roman" w:cs="Times New Roman"/>
              </w:rPr>
              <w:t xml:space="preserve">a) Má-li být zajištěn rozvoj dopravní infrastruktury pro obsluhu MSK nad rámec plánu rozvoje dopravní </w:t>
            </w:r>
            <w:r w:rsidRPr="00EF1F01">
              <w:rPr>
                <w:rFonts w:ascii="Times New Roman" w:hAnsi="Times New Roman" w:cs="Times New Roman"/>
              </w:rPr>
              <w:lastRenderedPageBreak/>
              <w:t>infrastruktury stanoveném v návrhu Dopravních sektorových strategií, bude nutné zajistit finanční prostředky nad rámec odsouhlasený Vládou ČR usnesení č. 449/2013, ve kterém schvaluje Dopravní politiku ČR pro období 2014 – 2020 s</w:t>
            </w:r>
            <w:r w:rsidR="002520D8">
              <w:rPr>
                <w:rFonts w:ascii="Times New Roman" w:hAnsi="Times New Roman" w:cs="Times New Roman"/>
              </w:rPr>
              <w:t> </w:t>
            </w:r>
            <w:r w:rsidRPr="00EF1F01">
              <w:rPr>
                <w:rFonts w:ascii="Times New Roman" w:hAnsi="Times New Roman" w:cs="Times New Roman"/>
              </w:rPr>
              <w:t>výhledem do r. 2050, ve které bylo dohodnuto zajistit národní prostředky ve výši nejméně 43 mld. Kč ročně. Finančně nepokryté jsou zejména projekty modernizace silnic I. třídy.</w:t>
            </w:r>
          </w:p>
          <w:p w:rsidR="00C7259F" w:rsidRPr="00EF1F01" w:rsidRDefault="00C7259F" w:rsidP="00C7259F">
            <w:pPr>
              <w:widowControl w:val="0"/>
              <w:autoSpaceDE w:val="0"/>
              <w:autoSpaceDN w:val="0"/>
              <w:adjustRightInd w:val="0"/>
              <w:jc w:val="both"/>
              <w:rPr>
                <w:rFonts w:ascii="Times New Roman" w:hAnsi="Times New Roman" w:cs="Times New Roman"/>
              </w:rPr>
            </w:pPr>
          </w:p>
          <w:p w:rsidR="00C7259F" w:rsidRDefault="00C7259F" w:rsidP="00C7259F">
            <w:pPr>
              <w:widowControl w:val="0"/>
              <w:autoSpaceDE w:val="0"/>
              <w:autoSpaceDN w:val="0"/>
              <w:adjustRightInd w:val="0"/>
              <w:jc w:val="both"/>
              <w:rPr>
                <w:rFonts w:ascii="Times New Roman" w:hAnsi="Times New Roman" w:cs="Times New Roman"/>
              </w:rPr>
            </w:pPr>
            <w:r w:rsidRPr="00EF1F01">
              <w:rPr>
                <w:rFonts w:ascii="Times New Roman" w:hAnsi="Times New Roman" w:cs="Times New Roman"/>
              </w:rPr>
              <w:t>b) Pro rozvoj MSK nejsou důležité pouze projekty umístěné na území MSK, ale rovněž tahy, které sice leží na území jiných krajů, ale zajišťují lepší dostupnost MSK (příkladem na silniční síti je silnice R35 Opatovice – Mohelnice, na železniční síti projekty Brno – Přerov nebo Choceň – Ústí n/O). Projektům na území MSK je dlouhodobě věnována významná priorita (do MSK byl dlouhodobě investován v</w:t>
            </w:r>
            <w:r w:rsidR="002520D8">
              <w:rPr>
                <w:rFonts w:ascii="Times New Roman" w:hAnsi="Times New Roman" w:cs="Times New Roman"/>
              </w:rPr>
              <w:t> </w:t>
            </w:r>
            <w:r w:rsidRPr="00EF1F01">
              <w:rPr>
                <w:rFonts w:ascii="Times New Roman" w:hAnsi="Times New Roman" w:cs="Times New Roman"/>
              </w:rPr>
              <w:t>porovnání s ostatními kraji nadprůměrný podíl prostředků ze SFDI a stav dopravní infrastruktury je zde jeden z</w:t>
            </w:r>
            <w:r w:rsidR="002520D8">
              <w:rPr>
                <w:rFonts w:ascii="Times New Roman" w:hAnsi="Times New Roman" w:cs="Times New Roman"/>
              </w:rPr>
              <w:t> </w:t>
            </w:r>
            <w:r w:rsidRPr="00EF1F01">
              <w:rPr>
                <w:rFonts w:ascii="Times New Roman" w:hAnsi="Times New Roman" w:cs="Times New Roman"/>
              </w:rPr>
              <w:t xml:space="preserve">nejlepších v ČR). Všechny důležité projekty jsou již zprovozněny, nebo jsou ve vysokém stupni přípravy. </w:t>
            </w:r>
          </w:p>
          <w:p w:rsidR="00C7259F" w:rsidRPr="00EF1F01" w:rsidRDefault="00C7259F" w:rsidP="00C7259F">
            <w:pPr>
              <w:widowControl w:val="0"/>
              <w:autoSpaceDE w:val="0"/>
              <w:autoSpaceDN w:val="0"/>
              <w:adjustRightInd w:val="0"/>
              <w:jc w:val="both"/>
              <w:rPr>
                <w:rFonts w:ascii="Times New Roman" w:hAnsi="Times New Roman" w:cs="Times New Roman"/>
              </w:rPr>
            </w:pPr>
          </w:p>
          <w:p w:rsidR="00C7259F" w:rsidRDefault="00C7259F" w:rsidP="00C7259F">
            <w:pPr>
              <w:widowControl w:val="0"/>
              <w:autoSpaceDE w:val="0"/>
              <w:autoSpaceDN w:val="0"/>
              <w:adjustRightInd w:val="0"/>
              <w:jc w:val="both"/>
              <w:rPr>
                <w:rFonts w:ascii="Times New Roman" w:hAnsi="Times New Roman" w:cs="Times New Roman"/>
              </w:rPr>
            </w:pPr>
            <w:r w:rsidRPr="00EF1F01">
              <w:rPr>
                <w:rFonts w:ascii="Times New Roman" w:hAnsi="Times New Roman" w:cs="Times New Roman"/>
              </w:rPr>
              <w:t>c) Všechny potřebné projekty na území MSK byly posouzeny a analyzovány v projektu Dopravní sektorové strategie, a to na základě multimodálního dopravního modelu. Všechny potřebné projekty jsou tak zařazeny do plánu přípravy a realizace v pořadí podle jejich důležitosti. Seznam těchto projektů proto nebude rozšiřován, neboť všechny důležité projekty již jsou identifikovány.</w:t>
            </w:r>
          </w:p>
          <w:p w:rsidR="00C7259F" w:rsidRDefault="00C7259F" w:rsidP="00C7259F">
            <w:pPr>
              <w:widowControl w:val="0"/>
              <w:autoSpaceDE w:val="0"/>
              <w:autoSpaceDN w:val="0"/>
              <w:adjustRightInd w:val="0"/>
              <w:jc w:val="both"/>
              <w:rPr>
                <w:rFonts w:ascii="Times New Roman" w:hAnsi="Times New Roman" w:cs="Times New Roman"/>
              </w:rPr>
            </w:pPr>
          </w:p>
          <w:p w:rsidR="00C7259F" w:rsidRPr="003D276A" w:rsidRDefault="00C7259F" w:rsidP="00C7259F">
            <w:pPr>
              <w:widowControl w:val="0"/>
              <w:autoSpaceDE w:val="0"/>
              <w:autoSpaceDN w:val="0"/>
              <w:adjustRightInd w:val="0"/>
              <w:jc w:val="both"/>
              <w:rPr>
                <w:rFonts w:ascii="Times New Roman" w:hAnsi="Times New Roman" w:cs="Times New Roman"/>
              </w:rPr>
            </w:pPr>
            <w:r w:rsidRPr="00EF1F01">
              <w:rPr>
                <w:rFonts w:ascii="Times New Roman" w:hAnsi="Times New Roman" w:cs="Times New Roman"/>
              </w:rPr>
              <w:t>Ve stejném smyslu je nutné upravit i předkládací zprávu.</w:t>
            </w:r>
          </w:p>
        </w:tc>
        <w:tc>
          <w:tcPr>
            <w:tcW w:w="6786" w:type="dxa"/>
            <w:tcBorders>
              <w:left w:val="single" w:sz="4" w:space="0" w:color="auto"/>
              <w:right w:val="single" w:sz="4" w:space="0" w:color="auto"/>
            </w:tcBorders>
          </w:tcPr>
          <w:p w:rsidR="00B247BC" w:rsidRPr="000573D1" w:rsidRDefault="000573D1" w:rsidP="00C34F84">
            <w:pPr>
              <w:rPr>
                <w:rFonts w:ascii="Times New Roman" w:hAnsi="Times New Roman" w:cs="Times New Roman"/>
                <w:color w:val="244061" w:themeColor="accent1" w:themeShade="80"/>
              </w:rPr>
            </w:pPr>
            <w:r w:rsidRPr="000573D1">
              <w:rPr>
                <w:rFonts w:ascii="Times New Roman" w:hAnsi="Times New Roman" w:cs="Times New Roman"/>
                <w:b/>
                <w:color w:val="244061" w:themeColor="accent1" w:themeShade="80"/>
              </w:rPr>
              <w:lastRenderedPageBreak/>
              <w:t>Akceptováno</w:t>
            </w:r>
            <w:r w:rsidRPr="000573D1">
              <w:rPr>
                <w:rFonts w:ascii="Times New Roman" w:hAnsi="Times New Roman" w:cs="Times New Roman"/>
                <w:color w:val="244061" w:themeColor="accent1" w:themeShade="80"/>
              </w:rPr>
              <w:t xml:space="preserve"> - text dle požadavku upraven</w:t>
            </w:r>
          </w:p>
        </w:tc>
      </w:tr>
      <w:tr w:rsidR="00D226B9" w:rsidRPr="003D276A" w:rsidTr="00B247BC">
        <w:trPr>
          <w:trHeight w:val="381"/>
        </w:trPr>
        <w:tc>
          <w:tcPr>
            <w:tcW w:w="1463" w:type="dxa"/>
            <w:vMerge w:val="restart"/>
            <w:tcBorders>
              <w:left w:val="single" w:sz="4" w:space="0" w:color="auto"/>
              <w:right w:val="single" w:sz="4" w:space="0" w:color="auto"/>
            </w:tcBorders>
          </w:tcPr>
          <w:p w:rsidR="00D226B9" w:rsidRPr="003D276A" w:rsidRDefault="00D226B9" w:rsidP="007E1384">
            <w:pPr>
              <w:rPr>
                <w:rFonts w:ascii="Times New Roman" w:hAnsi="Times New Roman" w:cs="Times New Roman"/>
              </w:rPr>
            </w:pPr>
            <w:r>
              <w:rPr>
                <w:rFonts w:ascii="Times New Roman" w:hAnsi="Times New Roman" w:cs="Times New Roman"/>
              </w:rPr>
              <w:lastRenderedPageBreak/>
              <w:t>Ministerstvo životního prostředí</w:t>
            </w:r>
          </w:p>
        </w:tc>
        <w:tc>
          <w:tcPr>
            <w:tcW w:w="6080" w:type="dxa"/>
            <w:tcBorders>
              <w:top w:val="single" w:sz="4" w:space="0" w:color="auto"/>
              <w:left w:val="single" w:sz="4" w:space="0" w:color="auto"/>
              <w:bottom w:val="single" w:sz="4" w:space="0" w:color="auto"/>
              <w:right w:val="single" w:sz="4" w:space="0" w:color="auto"/>
            </w:tcBorders>
          </w:tcPr>
          <w:p w:rsidR="00D226B9" w:rsidRPr="00D226B9" w:rsidRDefault="00D226B9" w:rsidP="00D226B9">
            <w:pPr>
              <w:widowControl w:val="0"/>
              <w:autoSpaceDE w:val="0"/>
              <w:autoSpaceDN w:val="0"/>
              <w:adjustRightInd w:val="0"/>
              <w:jc w:val="both"/>
              <w:rPr>
                <w:rFonts w:ascii="Times New Roman" w:hAnsi="Times New Roman" w:cs="Times New Roman"/>
                <w:b/>
              </w:rPr>
            </w:pPr>
            <w:r w:rsidRPr="00D226B9">
              <w:rPr>
                <w:rFonts w:ascii="Times New Roman" w:hAnsi="Times New Roman" w:cs="Times New Roman"/>
                <w:b/>
              </w:rPr>
              <w:t>Doporučující připomínka</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 xml:space="preserve">Stanovení rozdílné výše příspěvku na podporované zdroje elektřiny dle spotřeby, navrhované v části „Snížení cen </w:t>
            </w:r>
            <w:r w:rsidRPr="00D226B9">
              <w:rPr>
                <w:rFonts w:ascii="Times New Roman" w:hAnsi="Times New Roman" w:cs="Times New Roman"/>
              </w:rPr>
              <w:lastRenderedPageBreak/>
              <w:t>energie“ kapitoly 4.1. předkládací zprávy materiálu a také v bodu 9) přílohy č. 1 návrhu usnesení vlády, může být v rozporu s unijními pravidly veřejné podpory, jak ukazuje Rozhodnutí Komise C 24/2009 z 8. března 2011 o státní podpoře energeticky náročným podnikům dle zákona o podpoře zelené elektřiny v Rakousku. V tomto rozhodnutí označila Evropská komise diferenciaci plateb na podporu OZE za formu státní podpory neslučitelnou s vnitřním trhem EU. Komise taktéž zahájila formální řízení s Německem v obdobné věci.</w:t>
            </w:r>
          </w:p>
          <w:p w:rsidR="00D226B9" w:rsidRPr="003D276A"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 xml:space="preserve">Mimo to by zavedení snížené sazby pro energeticky náročné podniky mělo negativní dopad na státní rozpočet, vzhledem k tomu, že novela zákona č. 165/2012 Sb., o podporovaných zdrojích, počítá se </w:t>
            </w:r>
            <w:proofErr w:type="spellStart"/>
            <w:r w:rsidRPr="00D226B9">
              <w:rPr>
                <w:rFonts w:ascii="Times New Roman" w:hAnsi="Times New Roman" w:cs="Times New Roman"/>
              </w:rPr>
              <w:t>zastropováním</w:t>
            </w:r>
            <w:proofErr w:type="spellEnd"/>
            <w:r w:rsidRPr="00D226B9">
              <w:rPr>
                <w:rFonts w:ascii="Times New Roman" w:hAnsi="Times New Roman" w:cs="Times New Roman"/>
              </w:rPr>
              <w:t xml:space="preserve"> výše příspěvku na 495 Kč/</w:t>
            </w:r>
            <w:proofErr w:type="spellStart"/>
            <w:r w:rsidRPr="00D226B9">
              <w:rPr>
                <w:rFonts w:ascii="Times New Roman" w:hAnsi="Times New Roman" w:cs="Times New Roman"/>
              </w:rPr>
              <w:t>MWh</w:t>
            </w:r>
            <w:proofErr w:type="spellEnd"/>
            <w:r w:rsidRPr="00D226B9">
              <w:rPr>
                <w:rFonts w:ascii="Times New Roman" w:hAnsi="Times New Roman" w:cs="Times New Roman"/>
              </w:rPr>
              <w:t xml:space="preserve"> s tím, že rozdíl mezi vybranými prostředky a celkovou výší vícenákladů podpory je hrazen ze státního rozpočtu.</w:t>
            </w:r>
          </w:p>
        </w:tc>
        <w:tc>
          <w:tcPr>
            <w:tcW w:w="6786" w:type="dxa"/>
            <w:tcBorders>
              <w:left w:val="single" w:sz="4" w:space="0" w:color="auto"/>
              <w:right w:val="single" w:sz="4" w:space="0" w:color="auto"/>
            </w:tcBorders>
          </w:tcPr>
          <w:p w:rsidR="00D226B9" w:rsidRPr="009531F8" w:rsidRDefault="009531F8" w:rsidP="00C34F84">
            <w:pPr>
              <w:jc w:val="both"/>
              <w:rPr>
                <w:rFonts w:ascii="Times New Roman" w:hAnsi="Times New Roman" w:cs="Times New Roman"/>
                <w:color w:val="365F91" w:themeColor="accent1" w:themeShade="BF"/>
              </w:rPr>
            </w:pPr>
            <w:r w:rsidRPr="00C34F84">
              <w:rPr>
                <w:rFonts w:ascii="Times New Roman" w:hAnsi="Times New Roman" w:cs="Times New Roman"/>
                <w:b/>
                <w:color w:val="365F91" w:themeColor="accent1" w:themeShade="BF"/>
              </w:rPr>
              <w:lastRenderedPageBreak/>
              <w:t>Vysvětleno</w:t>
            </w:r>
            <w:r w:rsidRPr="009531F8">
              <w:rPr>
                <w:rFonts w:ascii="Times New Roman" w:hAnsi="Times New Roman" w:cs="Times New Roman"/>
                <w:b/>
                <w:color w:val="365F91" w:themeColor="accent1" w:themeShade="BF"/>
              </w:rPr>
              <w:t xml:space="preserve"> - </w:t>
            </w:r>
            <w:r>
              <w:rPr>
                <w:rFonts w:ascii="Times New Roman" w:hAnsi="Times New Roman" w:cs="Times New Roman"/>
                <w:color w:val="365F91" w:themeColor="accent1" w:themeShade="BF"/>
              </w:rPr>
              <w:t xml:space="preserve">skutečnost o negativním pohledu Evropské komise na diferenciaci plateb si uvědomujeme, nicméně právě s ohledem na skutečnost, že Německo řeší stejný problém a není jasný výsledek </w:t>
            </w:r>
            <w:r>
              <w:rPr>
                <w:rFonts w:ascii="Times New Roman" w:hAnsi="Times New Roman" w:cs="Times New Roman"/>
                <w:color w:val="365F91" w:themeColor="accent1" w:themeShade="BF"/>
              </w:rPr>
              <w:lastRenderedPageBreak/>
              <w:t>jeho vyjednávání s EK neměli bychom tuto myšlenku ještě definitivně opouštět. Jsme si nicméně vědomi, že každá další úprava příspěvku směrem dolů bude mít negativní dopad na státní rozpočet. Analýze do vlády by tedy měla obsahovat různé modely včetně jejich finančního dopadu.</w:t>
            </w:r>
          </w:p>
        </w:tc>
      </w:tr>
      <w:tr w:rsidR="00D226B9" w:rsidRPr="003D276A" w:rsidTr="00B247BC">
        <w:trPr>
          <w:trHeight w:val="381"/>
        </w:trPr>
        <w:tc>
          <w:tcPr>
            <w:tcW w:w="1463" w:type="dxa"/>
            <w:vMerge/>
            <w:tcBorders>
              <w:left w:val="single" w:sz="4" w:space="0" w:color="auto"/>
              <w:right w:val="single" w:sz="4" w:space="0" w:color="auto"/>
            </w:tcBorders>
          </w:tcPr>
          <w:p w:rsidR="00D226B9" w:rsidRDefault="00D226B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D226B9" w:rsidRDefault="00D226B9" w:rsidP="00D226B9">
            <w:pPr>
              <w:widowControl w:val="0"/>
              <w:autoSpaceDE w:val="0"/>
              <w:autoSpaceDN w:val="0"/>
              <w:adjustRightInd w:val="0"/>
              <w:jc w:val="both"/>
              <w:rPr>
                <w:rFonts w:ascii="Times New Roman" w:hAnsi="Times New Roman" w:cs="Times New Roman"/>
                <w:b/>
              </w:rPr>
            </w:pPr>
            <w:r>
              <w:rPr>
                <w:rFonts w:ascii="Times New Roman" w:hAnsi="Times New Roman" w:cs="Times New Roman"/>
                <w:b/>
              </w:rPr>
              <w:t>Doporučující připomínka</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 xml:space="preserve">Část „Ekologické limity“ kapitoly 4.1. předkládací zprávy materiálu a také bod 9) přílohy č. 1 návrhu usnesení vlády a bod 5) přílohy č. 2 návrhu usnesení vlády neberou do úvahy platnou evropskou legislativu, konkrétně směrnici 2010/75/EU o průmyslových emisích (a její národní transpozici), ve vztahu k emisním limitům. Z hlediska platné legislativy, zejména zákona č. 76/2002 Sb. o integrované prevenci, v platném znění, není předpoklad generálního odkladu existujících termínů zpřísnění relevantní, protože uložené emisní limity i jejich budoucí zpřísnění jsou ukládány individuálními správními akty (tzv. integrovaná povolení a jejich změny, které vydává příslušný krajský úřad). V rámci změn integrovaných povolení a udělování výjimek z aplikace nejlepších dostupných technik nicméně existuje určitý prostor pro zohlednění ekonomických </w:t>
            </w:r>
            <w:r w:rsidRPr="00D226B9">
              <w:rPr>
                <w:rFonts w:ascii="Times New Roman" w:hAnsi="Times New Roman" w:cs="Times New Roman"/>
              </w:rPr>
              <w:lastRenderedPageBreak/>
              <w:t>požadavků ekologizačních opatření. Záměr obsažený v předloženém materiálu nelze řešit navrženým jednoduchým způsobem.</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Je také nutné zdůraznit, že MŽP není ve vztahu k integrovaným povolením povolujícím úřadem, ale provádí metodickou činnost a rozhoduje o odvolání. Nemůže tedy navržená opatření uskutečnit.</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Materiál také nijak nezmiňuje vysokou míru finanční podpory na některá ekologizační opatření poskytnutou ze strany státu a EU za účelem jejich rychlé realizace. Efekt takto vynaložených prostředků by byl odsunutím požadavku na dodržování zpřísněných emisních limitů částečně mařen, nehledě na potenciální problémy s orgány EU z pohledu neplnění požadavků zmiňované směrnice.</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Dále není řešen potenciální rozpor se strategickými dokumenty, které se vztahují ke kvalitě ovzduší v dotčeném regionu. Zejména se jedná o materiály:</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w:t>
            </w:r>
            <w:r w:rsidRPr="00D226B9">
              <w:rPr>
                <w:rFonts w:ascii="Times New Roman" w:hAnsi="Times New Roman" w:cs="Times New Roman"/>
              </w:rPr>
              <w:tab/>
              <w:t xml:space="preserve">Zpráva o způsobech řešení nevhodné situace z hlediska životního prostředí v Moravskoslezském kraji, zpracovaná MŽP na základě usnesení Poslanecké sněmovny č. 1531 ze dne 28. ledna 2010. (Zpráva byla vzata na vědomí usnesením vlády č. 260 ze dne 9. dubna 2010.) </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w:t>
            </w:r>
            <w:r w:rsidRPr="00D226B9">
              <w:rPr>
                <w:rFonts w:ascii="Times New Roman" w:hAnsi="Times New Roman" w:cs="Times New Roman"/>
              </w:rPr>
              <w:tab/>
              <w:t>Akční plán Ministerstva životního prostředí pro Moravskoslezský kraj na rok 2013.</w:t>
            </w:r>
          </w:p>
          <w:p w:rsidR="00D226B9" w:rsidRPr="00D226B9" w:rsidRDefault="00D226B9" w:rsidP="00D226B9">
            <w:pPr>
              <w:widowControl w:val="0"/>
              <w:autoSpaceDE w:val="0"/>
              <w:autoSpaceDN w:val="0"/>
              <w:adjustRightInd w:val="0"/>
              <w:jc w:val="both"/>
              <w:rPr>
                <w:rFonts w:ascii="Times New Roman" w:hAnsi="Times New Roman" w:cs="Times New Roman"/>
                <w:b/>
              </w:rPr>
            </w:pPr>
            <w:r w:rsidRPr="00D226B9">
              <w:rPr>
                <w:rFonts w:ascii="Times New Roman" w:hAnsi="Times New Roman" w:cs="Times New Roman"/>
              </w:rPr>
              <w:t xml:space="preserve">U bodů 3) a 12) přílohy č. 1 návrhu usnesení vlády a u bodu 6) přílohy č. 2 návrhu usnesení vlády je proto nutné zohlednit vliv chystaných projektů na kvalitu ovzduší v Moravskoslezském kraji, která již v současné době nesplňuje požadavky EU, ani české legislativy. Dlouhodobě dochází k překračování imisních limitů pro prachové částice, </w:t>
            </w:r>
            <w:proofErr w:type="spellStart"/>
            <w:r w:rsidRPr="00D226B9">
              <w:rPr>
                <w:rFonts w:ascii="Times New Roman" w:hAnsi="Times New Roman" w:cs="Times New Roman"/>
              </w:rPr>
              <w:t>benzo</w:t>
            </w:r>
            <w:proofErr w:type="spellEnd"/>
            <w:r w:rsidRPr="00D226B9">
              <w:rPr>
                <w:rFonts w:ascii="Times New Roman" w:hAnsi="Times New Roman" w:cs="Times New Roman"/>
              </w:rPr>
              <w:t xml:space="preserve">(a)pyren a benzen. Při neplnění imisních limitů stanovených Evropskou komisí hrozí členským států vysoké sankce. Díky těmto překročeným imisním limitům je </w:t>
            </w:r>
            <w:r w:rsidRPr="00D226B9">
              <w:rPr>
                <w:rFonts w:ascii="Times New Roman" w:hAnsi="Times New Roman" w:cs="Times New Roman"/>
              </w:rPr>
              <w:lastRenderedPageBreak/>
              <w:t>obyvatelstvo již nyní vystaveno velmi vysoké zdravotní zátěži. Podporovány by proto měly být pouze takové projekty, které nepovedou k dalšímu zhoršování kvality ovzduší.</w:t>
            </w:r>
          </w:p>
        </w:tc>
        <w:tc>
          <w:tcPr>
            <w:tcW w:w="6786" w:type="dxa"/>
            <w:tcBorders>
              <w:left w:val="single" w:sz="4" w:space="0" w:color="auto"/>
              <w:right w:val="single" w:sz="4" w:space="0" w:color="auto"/>
            </w:tcBorders>
          </w:tcPr>
          <w:p w:rsidR="00D226B9" w:rsidRPr="005B304D" w:rsidRDefault="002A599B" w:rsidP="00C34F84">
            <w:pPr>
              <w:jc w:val="both"/>
              <w:rPr>
                <w:rFonts w:ascii="Times New Roman" w:hAnsi="Times New Roman" w:cs="Times New Roman"/>
                <w:color w:val="365F91" w:themeColor="accent1" w:themeShade="BF"/>
              </w:rPr>
            </w:pPr>
            <w:r w:rsidRPr="00C34F84">
              <w:rPr>
                <w:rFonts w:ascii="Times New Roman" w:hAnsi="Times New Roman" w:cs="Times New Roman"/>
                <w:b/>
                <w:color w:val="365F91" w:themeColor="accent1" w:themeShade="BF"/>
              </w:rPr>
              <w:lastRenderedPageBreak/>
              <w:t>Akceptováno</w:t>
            </w:r>
            <w:r w:rsidR="005B304D" w:rsidRPr="005B304D">
              <w:rPr>
                <w:rFonts w:ascii="Times New Roman" w:hAnsi="Times New Roman" w:cs="Times New Roman"/>
                <w:color w:val="365F91" w:themeColor="accent1" w:themeShade="BF"/>
              </w:rPr>
              <w:t xml:space="preserve"> – jsme si vědomi, že r</w:t>
            </w:r>
            <w:r>
              <w:rPr>
                <w:rFonts w:ascii="Times New Roman" w:hAnsi="Times New Roman" w:cs="Times New Roman"/>
                <w:color w:val="365F91" w:themeColor="accent1" w:themeShade="BF"/>
              </w:rPr>
              <w:t>ozhodujícím v tomto procesu je k</w:t>
            </w:r>
            <w:r w:rsidR="005B304D" w:rsidRPr="005B304D">
              <w:rPr>
                <w:rFonts w:ascii="Times New Roman" w:hAnsi="Times New Roman" w:cs="Times New Roman"/>
                <w:color w:val="365F91" w:themeColor="accent1" w:themeShade="BF"/>
              </w:rPr>
              <w:t>rajský úřad, MŽP je zde uvedeno jen z důvodu jeho metodické funkce</w:t>
            </w:r>
            <w:r w:rsidR="005B304D">
              <w:rPr>
                <w:rFonts w:ascii="Times New Roman" w:hAnsi="Times New Roman" w:cs="Times New Roman"/>
                <w:color w:val="365F91" w:themeColor="accent1" w:themeShade="BF"/>
              </w:rPr>
              <w:t>. Rovněž si uvědomujeme rozpor s některými strategickými dokumenty – je však nutno si uvědomit, že situace v kraji může být natolik kritická, že pokud se na první pohled možná nesystémově nepřijmou některá protikrizová opatření</w:t>
            </w:r>
            <w:r w:rsidR="00C34F84">
              <w:rPr>
                <w:rFonts w:ascii="Times New Roman" w:hAnsi="Times New Roman" w:cs="Times New Roman"/>
                <w:color w:val="365F91" w:themeColor="accent1" w:themeShade="BF"/>
              </w:rPr>
              <w:t>,</w:t>
            </w:r>
            <w:bookmarkStart w:id="0" w:name="_GoBack"/>
            <w:bookmarkEnd w:id="0"/>
            <w:r w:rsidR="005B304D">
              <w:rPr>
                <w:rFonts w:ascii="Times New Roman" w:hAnsi="Times New Roman" w:cs="Times New Roman"/>
                <w:color w:val="365F91" w:themeColor="accent1" w:themeShade="BF"/>
              </w:rPr>
              <w:t xml:space="preserve"> může</w:t>
            </w:r>
            <w:r>
              <w:rPr>
                <w:rFonts w:ascii="Times New Roman" w:hAnsi="Times New Roman" w:cs="Times New Roman"/>
                <w:color w:val="365F91" w:themeColor="accent1" w:themeShade="BF"/>
              </w:rPr>
              <w:t xml:space="preserve"> </w:t>
            </w:r>
            <w:r w:rsidR="005B304D">
              <w:rPr>
                <w:rFonts w:ascii="Times New Roman" w:hAnsi="Times New Roman" w:cs="Times New Roman"/>
                <w:color w:val="365F91" w:themeColor="accent1" w:themeShade="BF"/>
              </w:rPr>
              <w:t>dojít k totálnímu ekonomickému a sociálnímu rozvratu v kraji a potom půjdou všechny strategie „k šípku“</w:t>
            </w:r>
            <w:r>
              <w:rPr>
                <w:rFonts w:ascii="Times New Roman" w:hAnsi="Times New Roman" w:cs="Times New Roman"/>
                <w:color w:val="365F91" w:themeColor="accent1" w:themeShade="BF"/>
              </w:rPr>
              <w:t>. Příloha č. 1 upravena dle požadavku MŽP.</w:t>
            </w:r>
          </w:p>
        </w:tc>
      </w:tr>
      <w:tr w:rsidR="00D226B9" w:rsidRPr="003D276A" w:rsidTr="00B247BC">
        <w:trPr>
          <w:trHeight w:val="381"/>
        </w:trPr>
        <w:tc>
          <w:tcPr>
            <w:tcW w:w="1463" w:type="dxa"/>
            <w:vMerge/>
            <w:tcBorders>
              <w:left w:val="single" w:sz="4" w:space="0" w:color="auto"/>
              <w:right w:val="single" w:sz="4" w:space="0" w:color="auto"/>
            </w:tcBorders>
          </w:tcPr>
          <w:p w:rsidR="00D226B9" w:rsidRDefault="00D226B9"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D226B9" w:rsidRPr="00D226B9" w:rsidRDefault="00D226B9" w:rsidP="00D226B9">
            <w:pPr>
              <w:widowControl w:val="0"/>
              <w:autoSpaceDE w:val="0"/>
              <w:autoSpaceDN w:val="0"/>
              <w:adjustRightInd w:val="0"/>
              <w:jc w:val="both"/>
              <w:rPr>
                <w:rFonts w:ascii="Times New Roman" w:hAnsi="Times New Roman" w:cs="Times New Roman"/>
                <w:b/>
              </w:rPr>
            </w:pPr>
            <w:r w:rsidRPr="00D226B9">
              <w:rPr>
                <w:rFonts w:ascii="Times New Roman" w:hAnsi="Times New Roman" w:cs="Times New Roman"/>
                <w:b/>
              </w:rPr>
              <w:t>Doporučující připomínka</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V souladu s výše uvedenými připomínkami navrhujeme z důvodu možných rozporů s platnou legislativou, strategickými dokumenty v oblasti ochrany ovzduší a z důvodu možného maření finanční podpory k ochraně životního prostředí z přílohy č. 2 návrhu usnesení vlády vypustit bod 5) a v příloze č. 1 návrhu usnesení vlády nahradit bod 9) následovně:</w:t>
            </w:r>
          </w:p>
          <w:p w:rsidR="00D226B9" w:rsidRPr="00D226B9" w:rsidRDefault="00D226B9" w:rsidP="00D226B9">
            <w:pPr>
              <w:widowControl w:val="0"/>
              <w:autoSpaceDE w:val="0"/>
              <w:autoSpaceDN w:val="0"/>
              <w:adjustRightInd w:val="0"/>
              <w:jc w:val="both"/>
              <w:rPr>
                <w:rFonts w:ascii="Times New Roman" w:hAnsi="Times New Roman" w:cs="Times New Roman"/>
              </w:rPr>
            </w:pPr>
            <w:r w:rsidRPr="00D226B9">
              <w:rPr>
                <w:rFonts w:ascii="Times New Roman" w:hAnsi="Times New Roman" w:cs="Times New Roman"/>
              </w:rPr>
              <w:t xml:space="preserve">„V rámci legislativních možností v maximální možné míře akcentovat ekonomickou náročnost u dalších zpřísnění ekologických průmyslových emisních limitů.“ </w:t>
            </w:r>
          </w:p>
          <w:p w:rsidR="00D226B9" w:rsidRDefault="00D226B9" w:rsidP="00D226B9">
            <w:pPr>
              <w:widowControl w:val="0"/>
              <w:autoSpaceDE w:val="0"/>
              <w:autoSpaceDN w:val="0"/>
              <w:adjustRightInd w:val="0"/>
              <w:jc w:val="both"/>
              <w:rPr>
                <w:rFonts w:ascii="Times New Roman" w:hAnsi="Times New Roman" w:cs="Times New Roman"/>
                <w:b/>
              </w:rPr>
            </w:pPr>
            <w:r w:rsidRPr="00D226B9">
              <w:rPr>
                <w:rFonts w:ascii="Times New Roman" w:hAnsi="Times New Roman" w:cs="Times New Roman"/>
              </w:rPr>
              <w:t>Zajistí: MSK, MŽP; Termín: 12/2013.</w:t>
            </w:r>
          </w:p>
        </w:tc>
        <w:tc>
          <w:tcPr>
            <w:tcW w:w="6786" w:type="dxa"/>
            <w:tcBorders>
              <w:left w:val="single" w:sz="4" w:space="0" w:color="auto"/>
              <w:right w:val="single" w:sz="4" w:space="0" w:color="auto"/>
            </w:tcBorders>
          </w:tcPr>
          <w:p w:rsidR="00D226B9" w:rsidRPr="005B304D" w:rsidRDefault="002A599B" w:rsidP="002A599B">
            <w:pPr>
              <w:rPr>
                <w:rFonts w:ascii="Times New Roman" w:hAnsi="Times New Roman" w:cs="Times New Roman"/>
                <w:color w:val="365F91" w:themeColor="accent1" w:themeShade="BF"/>
              </w:rPr>
            </w:pPr>
            <w:r>
              <w:rPr>
                <w:rFonts w:ascii="Times New Roman" w:hAnsi="Times New Roman" w:cs="Times New Roman"/>
                <w:b/>
                <w:color w:val="365F91" w:themeColor="accent1" w:themeShade="BF"/>
              </w:rPr>
              <w:t>Akceptováno</w:t>
            </w:r>
            <w:r w:rsidRPr="002A599B">
              <w:rPr>
                <w:rFonts w:ascii="Times New Roman" w:hAnsi="Times New Roman" w:cs="Times New Roman"/>
                <w:color w:val="365F91" w:themeColor="accent1" w:themeShade="BF"/>
              </w:rPr>
              <w:t xml:space="preserve"> – upraveno dle požadavku MŽP.</w:t>
            </w:r>
          </w:p>
        </w:tc>
      </w:tr>
      <w:tr w:rsidR="002520D8" w:rsidRPr="003D276A" w:rsidTr="00B247BC">
        <w:trPr>
          <w:trHeight w:val="381"/>
        </w:trPr>
        <w:tc>
          <w:tcPr>
            <w:tcW w:w="1463" w:type="dxa"/>
            <w:vMerge w:val="restart"/>
            <w:tcBorders>
              <w:left w:val="single" w:sz="4" w:space="0" w:color="auto"/>
              <w:right w:val="single" w:sz="4" w:space="0" w:color="auto"/>
            </w:tcBorders>
          </w:tcPr>
          <w:p w:rsidR="002520D8" w:rsidRPr="003D276A" w:rsidRDefault="002520D8" w:rsidP="007E1384">
            <w:pPr>
              <w:rPr>
                <w:rFonts w:ascii="Times New Roman" w:hAnsi="Times New Roman" w:cs="Times New Roman"/>
              </w:rPr>
            </w:pPr>
            <w:r>
              <w:rPr>
                <w:rFonts w:ascii="Times New Roman" w:hAnsi="Times New Roman" w:cs="Times New Roman"/>
              </w:rPr>
              <w:t>Ministerstvo pro místní rozvoj</w:t>
            </w:r>
          </w:p>
        </w:tc>
        <w:tc>
          <w:tcPr>
            <w:tcW w:w="6080" w:type="dxa"/>
            <w:tcBorders>
              <w:top w:val="single" w:sz="4" w:space="0" w:color="auto"/>
              <w:left w:val="single" w:sz="4" w:space="0" w:color="auto"/>
              <w:bottom w:val="single" w:sz="4" w:space="0" w:color="auto"/>
              <w:right w:val="single" w:sz="4" w:space="0" w:color="auto"/>
            </w:tcBorders>
          </w:tcPr>
          <w:p w:rsidR="002520D8" w:rsidRPr="002520D8" w:rsidRDefault="002520D8" w:rsidP="002520D8">
            <w:pPr>
              <w:spacing w:line="280" w:lineRule="exact"/>
              <w:jc w:val="both"/>
              <w:rPr>
                <w:rFonts w:ascii="Times New Roman" w:eastAsia="Arial" w:hAnsi="Times New Roman" w:cs="Times New Roman"/>
                <w:b/>
                <w:lang w:eastAsia="en-US"/>
              </w:rPr>
            </w:pPr>
            <w:r w:rsidRPr="002520D8">
              <w:rPr>
                <w:rFonts w:ascii="Times New Roman" w:eastAsia="Arial" w:hAnsi="Times New Roman" w:cs="Times New Roman"/>
                <w:b/>
                <w:lang w:eastAsia="en-US"/>
              </w:rPr>
              <w:t>Zásadní připomínka</w:t>
            </w:r>
          </w:p>
          <w:p w:rsidR="002520D8" w:rsidRPr="003D276A" w:rsidRDefault="002520D8" w:rsidP="002520D8">
            <w:pPr>
              <w:spacing w:line="280" w:lineRule="exact"/>
              <w:jc w:val="both"/>
              <w:rPr>
                <w:rFonts w:ascii="Times New Roman" w:hAnsi="Times New Roman" w:cs="Times New Roman"/>
              </w:rPr>
            </w:pPr>
            <w:r>
              <w:rPr>
                <w:rFonts w:ascii="Times New Roman" w:eastAsia="Arial" w:hAnsi="Times New Roman" w:cs="Times New Roman"/>
                <w:lang w:eastAsia="en-US"/>
              </w:rPr>
              <w:t>B</w:t>
            </w:r>
            <w:r w:rsidRPr="002520D8">
              <w:rPr>
                <w:rFonts w:ascii="Times New Roman" w:eastAsia="Arial" w:hAnsi="Times New Roman" w:cs="Times New Roman"/>
                <w:lang w:eastAsia="en-US"/>
              </w:rPr>
              <w:t>od 10 z Opatření pro zpracování a řešení jednotlivými rezorty (příloha č. 1), u kterého požaduj</w:t>
            </w:r>
            <w:r>
              <w:rPr>
                <w:rFonts w:ascii="Times New Roman" w:eastAsia="Arial" w:hAnsi="Times New Roman" w:cs="Times New Roman"/>
                <w:lang w:eastAsia="en-US"/>
              </w:rPr>
              <w:t>í</w:t>
            </w:r>
            <w:r w:rsidRPr="002520D8">
              <w:rPr>
                <w:rFonts w:ascii="Times New Roman" w:eastAsia="Arial" w:hAnsi="Times New Roman" w:cs="Times New Roman"/>
                <w:lang w:eastAsia="en-US"/>
              </w:rPr>
              <w:t>, aby MMR nebylo gestorem tohoto úkolu. Dle kompetenčního zákona MMR nemá působnost v podpoře podnikání nebo v oblasti vytváření pracovních míst.</w:t>
            </w:r>
          </w:p>
        </w:tc>
        <w:tc>
          <w:tcPr>
            <w:tcW w:w="6786" w:type="dxa"/>
            <w:tcBorders>
              <w:left w:val="single" w:sz="4" w:space="0" w:color="auto"/>
              <w:right w:val="single" w:sz="4" w:space="0" w:color="auto"/>
            </w:tcBorders>
          </w:tcPr>
          <w:p w:rsidR="002520D8" w:rsidRPr="000573D1" w:rsidRDefault="000573D1" w:rsidP="007E1384">
            <w:pPr>
              <w:rPr>
                <w:rFonts w:ascii="Times New Roman" w:hAnsi="Times New Roman" w:cs="Times New Roman"/>
                <w:color w:val="244061" w:themeColor="accent1" w:themeShade="80"/>
              </w:rPr>
            </w:pPr>
            <w:r w:rsidRPr="000573D1">
              <w:rPr>
                <w:rFonts w:ascii="Times New Roman" w:hAnsi="Times New Roman" w:cs="Times New Roman"/>
                <w:b/>
                <w:color w:val="244061" w:themeColor="accent1" w:themeShade="80"/>
              </w:rPr>
              <w:t>Akceptováno</w:t>
            </w:r>
            <w:r w:rsidRPr="000573D1">
              <w:rPr>
                <w:rFonts w:ascii="Times New Roman" w:hAnsi="Times New Roman" w:cs="Times New Roman"/>
                <w:color w:val="244061" w:themeColor="accent1" w:themeShade="80"/>
              </w:rPr>
              <w:t xml:space="preserve">  - upraveno v textu opatření</w:t>
            </w:r>
          </w:p>
        </w:tc>
      </w:tr>
      <w:tr w:rsidR="002520D8" w:rsidRPr="00E07E54" w:rsidTr="00B247BC">
        <w:trPr>
          <w:trHeight w:val="381"/>
        </w:trPr>
        <w:tc>
          <w:tcPr>
            <w:tcW w:w="1463" w:type="dxa"/>
            <w:vMerge/>
            <w:tcBorders>
              <w:left w:val="single" w:sz="4" w:space="0" w:color="auto"/>
              <w:right w:val="single" w:sz="4" w:space="0" w:color="auto"/>
            </w:tcBorders>
          </w:tcPr>
          <w:p w:rsidR="002520D8" w:rsidRDefault="002520D8" w:rsidP="007E1384">
            <w:pPr>
              <w:rPr>
                <w:rFonts w:ascii="Times New Roman" w:hAnsi="Times New Roman" w:cs="Times New Roman"/>
              </w:rPr>
            </w:pPr>
          </w:p>
        </w:tc>
        <w:tc>
          <w:tcPr>
            <w:tcW w:w="6080" w:type="dxa"/>
            <w:tcBorders>
              <w:top w:val="single" w:sz="4" w:space="0" w:color="auto"/>
              <w:left w:val="single" w:sz="4" w:space="0" w:color="auto"/>
              <w:bottom w:val="single" w:sz="4" w:space="0" w:color="auto"/>
              <w:right w:val="single" w:sz="4" w:space="0" w:color="auto"/>
            </w:tcBorders>
          </w:tcPr>
          <w:p w:rsidR="002520D8" w:rsidRPr="002520D8" w:rsidRDefault="002520D8" w:rsidP="002520D8">
            <w:pPr>
              <w:spacing w:line="280" w:lineRule="exact"/>
              <w:jc w:val="both"/>
              <w:rPr>
                <w:rFonts w:ascii="Times New Roman" w:eastAsia="Arial" w:hAnsi="Times New Roman" w:cs="Times New Roman"/>
                <w:b/>
                <w:lang w:eastAsia="en-US"/>
              </w:rPr>
            </w:pPr>
            <w:r w:rsidRPr="002520D8">
              <w:rPr>
                <w:rFonts w:ascii="Times New Roman" w:eastAsia="Arial" w:hAnsi="Times New Roman" w:cs="Times New Roman"/>
                <w:b/>
                <w:lang w:eastAsia="en-US"/>
              </w:rPr>
              <w:t>Zásadní připomínka</w:t>
            </w:r>
          </w:p>
          <w:p w:rsidR="002520D8" w:rsidRPr="002520D8" w:rsidRDefault="002520D8" w:rsidP="002520D8">
            <w:pPr>
              <w:spacing w:line="280" w:lineRule="exact"/>
              <w:jc w:val="both"/>
              <w:rPr>
                <w:rFonts w:ascii="Times New Roman" w:eastAsia="Arial" w:hAnsi="Times New Roman" w:cs="Times New Roman"/>
                <w:lang w:eastAsia="en-US"/>
              </w:rPr>
            </w:pPr>
            <w:r>
              <w:rPr>
                <w:rFonts w:ascii="Times New Roman" w:eastAsia="Arial" w:hAnsi="Times New Roman" w:cs="Times New Roman"/>
                <w:lang w:eastAsia="en-US"/>
              </w:rPr>
              <w:t>T</w:t>
            </w:r>
            <w:r w:rsidRPr="002520D8">
              <w:rPr>
                <w:rFonts w:ascii="Times New Roman" w:eastAsia="Arial" w:hAnsi="Times New Roman" w:cs="Times New Roman"/>
                <w:lang w:eastAsia="en-US"/>
              </w:rPr>
              <w:t xml:space="preserve">ýká </w:t>
            </w:r>
            <w:r>
              <w:rPr>
                <w:rFonts w:ascii="Times New Roman" w:eastAsia="Arial" w:hAnsi="Times New Roman" w:cs="Times New Roman"/>
                <w:lang w:eastAsia="en-US"/>
              </w:rPr>
              <w:t xml:space="preserve">se </w:t>
            </w:r>
            <w:r w:rsidRPr="002520D8">
              <w:rPr>
                <w:rFonts w:ascii="Times New Roman" w:eastAsia="Arial" w:hAnsi="Times New Roman" w:cs="Times New Roman"/>
                <w:lang w:eastAsia="en-US"/>
              </w:rPr>
              <w:t>vypuštění bodu 13 z Opatření pro zpracování a</w:t>
            </w:r>
            <w:r>
              <w:rPr>
                <w:rFonts w:ascii="Times New Roman" w:eastAsia="Arial" w:hAnsi="Times New Roman" w:cs="Times New Roman"/>
                <w:lang w:eastAsia="en-US"/>
              </w:rPr>
              <w:t> </w:t>
            </w:r>
            <w:r w:rsidRPr="002520D8">
              <w:rPr>
                <w:rFonts w:ascii="Times New Roman" w:eastAsia="Arial" w:hAnsi="Times New Roman" w:cs="Times New Roman"/>
                <w:lang w:eastAsia="en-US"/>
              </w:rPr>
              <w:t>řešení jednotlivými rezorty (příloha č. 1) a vypuštění posledního odstavce v části 4.2 bodu „Investiční pobídky“ v</w:t>
            </w:r>
            <w:r>
              <w:rPr>
                <w:rFonts w:ascii="Times New Roman" w:eastAsia="Arial" w:hAnsi="Times New Roman" w:cs="Times New Roman"/>
                <w:lang w:eastAsia="en-US"/>
              </w:rPr>
              <w:t> </w:t>
            </w:r>
            <w:r w:rsidRPr="002520D8">
              <w:rPr>
                <w:rFonts w:ascii="Times New Roman" w:eastAsia="Arial" w:hAnsi="Times New Roman" w:cs="Times New Roman"/>
                <w:lang w:eastAsia="en-US"/>
              </w:rPr>
              <w:t>Předkládací zprávě.</w:t>
            </w:r>
          </w:p>
          <w:p w:rsidR="002520D8" w:rsidRPr="002520D8" w:rsidRDefault="002520D8" w:rsidP="002520D8">
            <w:pPr>
              <w:spacing w:line="280" w:lineRule="exact"/>
              <w:jc w:val="both"/>
              <w:rPr>
                <w:rFonts w:ascii="Times New Roman" w:eastAsia="Arial" w:hAnsi="Times New Roman" w:cs="Times New Roman"/>
                <w:b/>
                <w:lang w:eastAsia="en-US"/>
              </w:rPr>
            </w:pPr>
            <w:r w:rsidRPr="002520D8">
              <w:rPr>
                <w:rFonts w:ascii="Times New Roman" w:eastAsia="Arial" w:hAnsi="Times New Roman" w:cs="Times New Roman"/>
                <w:lang w:eastAsia="en-US"/>
              </w:rPr>
              <w:t>Nepovažuj</w:t>
            </w:r>
            <w:r>
              <w:rPr>
                <w:rFonts w:ascii="Times New Roman" w:eastAsia="Arial" w:hAnsi="Times New Roman" w:cs="Times New Roman"/>
                <w:lang w:eastAsia="en-US"/>
              </w:rPr>
              <w:t>í</w:t>
            </w:r>
            <w:r w:rsidRPr="002520D8">
              <w:rPr>
                <w:rFonts w:ascii="Times New Roman" w:eastAsia="Arial" w:hAnsi="Times New Roman" w:cs="Times New Roman"/>
                <w:lang w:eastAsia="en-US"/>
              </w:rPr>
              <w:t xml:space="preserve"> za odůvodněné prosazení kratší termínů pro vydání rozhodnutí o umístění stavby nebo rozhodnutí o</w:t>
            </w:r>
            <w:r>
              <w:rPr>
                <w:rFonts w:ascii="Times New Roman" w:eastAsia="Arial" w:hAnsi="Times New Roman" w:cs="Times New Roman"/>
                <w:lang w:eastAsia="en-US"/>
              </w:rPr>
              <w:t> </w:t>
            </w:r>
            <w:r w:rsidRPr="002520D8">
              <w:rPr>
                <w:rFonts w:ascii="Times New Roman" w:eastAsia="Arial" w:hAnsi="Times New Roman" w:cs="Times New Roman"/>
                <w:lang w:eastAsia="en-US"/>
              </w:rPr>
              <w:t>změně využití území, což je v daném materiálu požadováno. Stavební zákon obsahuje řadu postupů a</w:t>
            </w:r>
            <w:r>
              <w:rPr>
                <w:rFonts w:ascii="Times New Roman" w:eastAsia="Arial" w:hAnsi="Times New Roman" w:cs="Times New Roman"/>
                <w:lang w:eastAsia="en-US"/>
              </w:rPr>
              <w:t> </w:t>
            </w:r>
            <w:r w:rsidRPr="002520D8">
              <w:rPr>
                <w:rFonts w:ascii="Times New Roman" w:eastAsia="Arial" w:hAnsi="Times New Roman" w:cs="Times New Roman"/>
                <w:lang w:eastAsia="en-US"/>
              </w:rPr>
              <w:t xml:space="preserve">institutů, které splňují požadavek krátké lhůty pro umístění konkrétního záměru. V rámci územního řízení by měly </w:t>
            </w:r>
            <w:r w:rsidRPr="002520D8">
              <w:rPr>
                <w:rFonts w:ascii="Times New Roman" w:eastAsia="Arial" w:hAnsi="Times New Roman" w:cs="Times New Roman"/>
                <w:lang w:eastAsia="en-US"/>
              </w:rPr>
              <w:lastRenderedPageBreak/>
              <w:t>zůstat lhůty v nastaveném časovém určení.</w:t>
            </w:r>
          </w:p>
        </w:tc>
        <w:tc>
          <w:tcPr>
            <w:tcW w:w="6786" w:type="dxa"/>
            <w:tcBorders>
              <w:left w:val="single" w:sz="4" w:space="0" w:color="auto"/>
              <w:right w:val="single" w:sz="4" w:space="0" w:color="auto"/>
            </w:tcBorders>
          </w:tcPr>
          <w:p w:rsidR="002520D8" w:rsidRPr="00E07E54" w:rsidRDefault="00EB425C" w:rsidP="00EB425C">
            <w:pPr>
              <w:rPr>
                <w:rFonts w:ascii="Times New Roman" w:hAnsi="Times New Roman" w:cs="Times New Roman"/>
                <w:color w:val="244061" w:themeColor="accent1" w:themeShade="80"/>
              </w:rPr>
            </w:pPr>
            <w:r>
              <w:rPr>
                <w:rFonts w:ascii="Times New Roman" w:hAnsi="Times New Roman" w:cs="Times New Roman"/>
                <w:b/>
                <w:color w:val="244061" w:themeColor="accent1" w:themeShade="80"/>
              </w:rPr>
              <w:lastRenderedPageBreak/>
              <w:t>Vysvětleno</w:t>
            </w:r>
            <w:r w:rsidR="00E07E54" w:rsidRPr="00E07E54">
              <w:rPr>
                <w:rFonts w:ascii="Times New Roman" w:hAnsi="Times New Roman" w:cs="Times New Roman"/>
                <w:color w:val="244061" w:themeColor="accent1" w:themeShade="80"/>
              </w:rPr>
              <w:t xml:space="preserve">  -  neúměrně dlouhé schvalovací procedury jsou i pro MMR známou skutečností, zabývá se jimi mimo jiné i pracovní skupina Rady vlády pro surovinovou a energetickou strategii</w:t>
            </w:r>
            <w:r>
              <w:rPr>
                <w:rFonts w:ascii="Times New Roman" w:hAnsi="Times New Roman" w:cs="Times New Roman"/>
                <w:color w:val="244061" w:themeColor="accent1" w:themeShade="80"/>
              </w:rPr>
              <w:t xml:space="preserve">. Jde o dlouhodobý proces úpravy legislativy, červenec příští rok je pouze dílčím kontrolním termínem. </w:t>
            </w:r>
          </w:p>
        </w:tc>
      </w:tr>
      <w:tr w:rsidR="00B247BC" w:rsidRPr="003D276A">
        <w:trPr>
          <w:trHeight w:val="381"/>
        </w:trPr>
        <w:tc>
          <w:tcPr>
            <w:tcW w:w="1463" w:type="dxa"/>
            <w:tcBorders>
              <w:left w:val="single" w:sz="4" w:space="0" w:color="auto"/>
              <w:bottom w:val="single" w:sz="4" w:space="0" w:color="auto"/>
              <w:right w:val="single" w:sz="4" w:space="0" w:color="auto"/>
            </w:tcBorders>
          </w:tcPr>
          <w:p w:rsidR="00B247BC" w:rsidRPr="003D276A" w:rsidRDefault="00B247BC" w:rsidP="007E1384">
            <w:pPr>
              <w:rPr>
                <w:rFonts w:ascii="Times New Roman" w:hAnsi="Times New Roman" w:cs="Times New Roman"/>
              </w:rPr>
            </w:pPr>
            <w:r>
              <w:rPr>
                <w:rFonts w:ascii="Times New Roman" w:hAnsi="Times New Roman" w:cs="Times New Roman"/>
              </w:rPr>
              <w:lastRenderedPageBreak/>
              <w:t>Ministerstvo práce a sociálních věcí</w:t>
            </w:r>
          </w:p>
        </w:tc>
        <w:tc>
          <w:tcPr>
            <w:tcW w:w="6080" w:type="dxa"/>
            <w:tcBorders>
              <w:top w:val="single" w:sz="4" w:space="0" w:color="auto"/>
              <w:left w:val="single" w:sz="4" w:space="0" w:color="auto"/>
              <w:bottom w:val="single" w:sz="4" w:space="0" w:color="auto"/>
              <w:right w:val="single" w:sz="4" w:space="0" w:color="auto"/>
            </w:tcBorders>
          </w:tcPr>
          <w:p w:rsidR="00B247BC" w:rsidRPr="007F623D" w:rsidRDefault="007F623D" w:rsidP="00DE6B25">
            <w:pPr>
              <w:widowControl w:val="0"/>
              <w:autoSpaceDE w:val="0"/>
              <w:autoSpaceDN w:val="0"/>
              <w:adjustRightInd w:val="0"/>
              <w:jc w:val="both"/>
              <w:rPr>
                <w:rFonts w:ascii="Times New Roman" w:hAnsi="Times New Roman" w:cs="Times New Roman"/>
                <w:color w:val="8DB3E2" w:themeColor="text2" w:themeTint="66"/>
              </w:rPr>
            </w:pPr>
            <w:r w:rsidRPr="007F623D">
              <w:rPr>
                <w:rFonts w:ascii="Times New Roman" w:hAnsi="Times New Roman" w:cs="Times New Roman"/>
                <w:color w:val="0070C0"/>
              </w:rPr>
              <w:t>Bez připomínek.</w:t>
            </w:r>
          </w:p>
        </w:tc>
        <w:tc>
          <w:tcPr>
            <w:tcW w:w="6786" w:type="dxa"/>
            <w:tcBorders>
              <w:left w:val="single" w:sz="4" w:space="0" w:color="auto"/>
              <w:bottom w:val="single" w:sz="4" w:space="0" w:color="auto"/>
              <w:right w:val="single" w:sz="4" w:space="0" w:color="auto"/>
            </w:tcBorders>
          </w:tcPr>
          <w:p w:rsidR="00B247BC" w:rsidRPr="003D276A" w:rsidRDefault="00B247BC" w:rsidP="007E1384">
            <w:pPr>
              <w:rPr>
                <w:rFonts w:ascii="Times New Roman" w:hAnsi="Times New Roman" w:cs="Times New Roman"/>
              </w:rPr>
            </w:pPr>
          </w:p>
        </w:tc>
      </w:tr>
    </w:tbl>
    <w:p w:rsidR="00A1761E" w:rsidRPr="003D276A" w:rsidRDefault="00A1761E" w:rsidP="002E4804">
      <w:pPr>
        <w:rPr>
          <w:rFonts w:ascii="Times New Roman" w:hAnsi="Times New Roman" w:cs="Times New Roman"/>
        </w:rPr>
      </w:pPr>
    </w:p>
    <w:p w:rsidR="00062C44" w:rsidRPr="003D276A" w:rsidRDefault="00062C44" w:rsidP="002E4804">
      <w:pPr>
        <w:rPr>
          <w:rFonts w:ascii="Times New Roman" w:hAnsi="Times New Roman" w:cs="Times New Roman"/>
        </w:rPr>
      </w:pPr>
    </w:p>
    <w:p w:rsidR="00062C44" w:rsidRPr="003D276A" w:rsidRDefault="00062C44" w:rsidP="00062C44">
      <w:pPr>
        <w:autoSpaceDE w:val="0"/>
        <w:autoSpaceDN w:val="0"/>
        <w:adjustRightInd w:val="0"/>
        <w:spacing w:line="240" w:lineRule="atLeast"/>
        <w:rPr>
          <w:rFonts w:ascii="Times New Roman" w:hAnsi="Times New Roman" w:cs="Times New Roman"/>
        </w:rPr>
      </w:pPr>
      <w:r w:rsidRPr="003D276A">
        <w:rPr>
          <w:rFonts w:ascii="Times New Roman" w:hAnsi="Times New Roman" w:cs="Times New Roman"/>
        </w:rPr>
        <w:t>V</w:t>
      </w:r>
      <w:r w:rsidR="00F01046">
        <w:rPr>
          <w:rFonts w:ascii="Times New Roman" w:hAnsi="Times New Roman" w:cs="Times New Roman"/>
        </w:rPr>
        <w:t> </w:t>
      </w:r>
      <w:r w:rsidR="00FC30C8">
        <w:rPr>
          <w:rFonts w:ascii="Times New Roman" w:hAnsi="Times New Roman" w:cs="Times New Roman"/>
        </w:rPr>
        <w:t>Praze</w:t>
      </w:r>
      <w:r w:rsidR="00F01046">
        <w:rPr>
          <w:rFonts w:ascii="Times New Roman" w:hAnsi="Times New Roman" w:cs="Times New Roman"/>
        </w:rPr>
        <w:t xml:space="preserve"> </w:t>
      </w:r>
      <w:r w:rsidRPr="003D276A">
        <w:rPr>
          <w:rFonts w:ascii="Times New Roman" w:hAnsi="Times New Roman" w:cs="Times New Roman"/>
        </w:rPr>
        <w:t xml:space="preserve">dne </w:t>
      </w:r>
      <w:r w:rsidR="00243618" w:rsidRPr="003D276A">
        <w:rPr>
          <w:rFonts w:ascii="Times New Roman" w:hAnsi="Times New Roman" w:cs="Times New Roman"/>
        </w:rPr>
        <w:fldChar w:fldCharType="begin"/>
      </w:r>
      <w:r w:rsidR="00952E4D" w:rsidRPr="003D276A">
        <w:rPr>
          <w:rFonts w:ascii="Times New Roman" w:hAnsi="Times New Roman" w:cs="Times New Roman"/>
        </w:rPr>
        <w:instrText xml:space="preserve"> TIME \@ "d. MMMM yyyy" </w:instrText>
      </w:r>
      <w:r w:rsidR="00243618" w:rsidRPr="003D276A">
        <w:rPr>
          <w:rFonts w:ascii="Times New Roman" w:hAnsi="Times New Roman" w:cs="Times New Roman"/>
        </w:rPr>
        <w:fldChar w:fldCharType="separate"/>
      </w:r>
      <w:r w:rsidR="006965E2">
        <w:rPr>
          <w:rFonts w:ascii="Times New Roman" w:hAnsi="Times New Roman" w:cs="Times New Roman"/>
          <w:noProof/>
        </w:rPr>
        <w:t>19. září 2013</w:t>
      </w:r>
      <w:r w:rsidR="00243618" w:rsidRPr="003D276A">
        <w:rPr>
          <w:rFonts w:ascii="Times New Roman" w:hAnsi="Times New Roman" w:cs="Times New Roman"/>
        </w:rPr>
        <w:fldChar w:fldCharType="end"/>
      </w:r>
    </w:p>
    <w:p w:rsidR="00062C44" w:rsidRPr="003D276A" w:rsidRDefault="00062C44" w:rsidP="00062C44">
      <w:pPr>
        <w:autoSpaceDE w:val="0"/>
        <w:autoSpaceDN w:val="0"/>
        <w:adjustRightInd w:val="0"/>
        <w:spacing w:line="240" w:lineRule="atLeast"/>
        <w:rPr>
          <w:rFonts w:ascii="Times New Roman" w:hAnsi="Times New Roman" w:cs="Times New Roman"/>
        </w:rPr>
      </w:pPr>
    </w:p>
    <w:p w:rsidR="00062C44" w:rsidRPr="003D276A" w:rsidRDefault="00062C44" w:rsidP="00062C44">
      <w:pPr>
        <w:autoSpaceDE w:val="0"/>
        <w:autoSpaceDN w:val="0"/>
        <w:adjustRightInd w:val="0"/>
        <w:spacing w:line="240" w:lineRule="atLeast"/>
        <w:rPr>
          <w:rFonts w:ascii="Times New Roman" w:hAnsi="Times New Roman" w:cs="Times New Roman"/>
        </w:rPr>
      </w:pPr>
      <w:r w:rsidRPr="003D276A">
        <w:rPr>
          <w:rFonts w:ascii="Times New Roman" w:hAnsi="Times New Roman" w:cs="Times New Roman"/>
        </w:rPr>
        <w:t xml:space="preserve">Vypracoval: </w:t>
      </w:r>
      <w:r w:rsidR="00FC30C8">
        <w:rPr>
          <w:rFonts w:ascii="Times New Roman" w:hAnsi="Times New Roman" w:cs="Times New Roman"/>
        </w:rPr>
        <w:t>Ing. Zbyšek Sochor, Ph.D.</w:t>
      </w:r>
      <w:r w:rsidRPr="003D276A">
        <w:rPr>
          <w:rFonts w:ascii="Times New Roman" w:hAnsi="Times New Roman" w:cs="Times New Roman"/>
        </w:rPr>
        <w:tab/>
      </w:r>
      <w:r w:rsidRPr="003D276A">
        <w:rPr>
          <w:rFonts w:ascii="Times New Roman" w:hAnsi="Times New Roman" w:cs="Times New Roman"/>
        </w:rPr>
        <w:tab/>
      </w:r>
      <w:r w:rsidRPr="003D276A">
        <w:rPr>
          <w:rFonts w:ascii="Times New Roman" w:hAnsi="Times New Roman" w:cs="Times New Roman"/>
        </w:rPr>
        <w:tab/>
      </w:r>
      <w:r w:rsidRPr="003D276A">
        <w:rPr>
          <w:rFonts w:ascii="Times New Roman" w:hAnsi="Times New Roman" w:cs="Times New Roman"/>
        </w:rPr>
        <w:tab/>
      </w:r>
      <w:r w:rsidR="00952E4D" w:rsidRPr="003D276A">
        <w:rPr>
          <w:rFonts w:ascii="Times New Roman" w:hAnsi="Times New Roman" w:cs="Times New Roman"/>
        </w:rPr>
        <w:tab/>
      </w:r>
      <w:r w:rsidR="00952E4D" w:rsidRPr="003D276A">
        <w:rPr>
          <w:rFonts w:ascii="Times New Roman" w:hAnsi="Times New Roman" w:cs="Times New Roman"/>
        </w:rPr>
        <w:tab/>
      </w:r>
      <w:r w:rsidR="00952E4D" w:rsidRPr="003D276A">
        <w:rPr>
          <w:rFonts w:ascii="Times New Roman" w:hAnsi="Times New Roman" w:cs="Times New Roman"/>
        </w:rPr>
        <w:tab/>
      </w:r>
      <w:r w:rsidR="00952E4D" w:rsidRPr="003D276A">
        <w:rPr>
          <w:rFonts w:ascii="Times New Roman" w:hAnsi="Times New Roman" w:cs="Times New Roman"/>
        </w:rPr>
        <w:tab/>
      </w:r>
      <w:r w:rsidRPr="003D276A">
        <w:rPr>
          <w:rFonts w:ascii="Times New Roman" w:hAnsi="Times New Roman" w:cs="Times New Roman"/>
        </w:rPr>
        <w:t>Podpis: ……………………………</w:t>
      </w:r>
    </w:p>
    <w:sectPr w:rsidR="00062C44" w:rsidRPr="003D276A" w:rsidSect="00D06F4E">
      <w:footerReference w:type="default" r:id="rId8"/>
      <w:pgSz w:w="16838" w:h="11906" w:orient="landscape"/>
      <w:pgMar w:top="125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99B" w:rsidRDefault="002A599B">
      <w:r>
        <w:separator/>
      </w:r>
    </w:p>
  </w:endnote>
  <w:endnote w:type="continuationSeparator" w:id="0">
    <w:p w:rsidR="002A599B" w:rsidRDefault="002A5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171930"/>
      <w:docPartObj>
        <w:docPartGallery w:val="Page Numbers (Bottom of Page)"/>
        <w:docPartUnique/>
      </w:docPartObj>
    </w:sdtPr>
    <w:sdtContent>
      <w:p w:rsidR="002A599B" w:rsidRDefault="002A599B">
        <w:pPr>
          <w:pStyle w:val="Zpat"/>
          <w:jc w:val="center"/>
        </w:pPr>
        <w:r>
          <w:fldChar w:fldCharType="begin"/>
        </w:r>
        <w:r>
          <w:instrText>PAGE   \* MERGEFORMAT</w:instrText>
        </w:r>
        <w:r>
          <w:fldChar w:fldCharType="separate"/>
        </w:r>
        <w:r w:rsidR="006965E2">
          <w:rPr>
            <w:noProof/>
          </w:rPr>
          <w:t>6</w:t>
        </w:r>
        <w:r>
          <w:fldChar w:fldCharType="end"/>
        </w:r>
      </w:p>
    </w:sdtContent>
  </w:sdt>
  <w:p w:rsidR="002A599B" w:rsidRDefault="002A599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99B" w:rsidRDefault="002A599B">
      <w:r>
        <w:separator/>
      </w:r>
    </w:p>
  </w:footnote>
  <w:footnote w:type="continuationSeparator" w:id="0">
    <w:p w:rsidR="002A599B" w:rsidRDefault="002A5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2"/>
  </w:num>
  <w:num w:numId="4">
    <w:abstractNumId w:val="0"/>
  </w:num>
  <w:num w:numId="5">
    <w:abstractNumId w:val="8"/>
  </w:num>
  <w:num w:numId="6">
    <w:abstractNumId w:val="11"/>
  </w:num>
  <w:num w:numId="7">
    <w:abstractNumId w:val="9"/>
  </w:num>
  <w:num w:numId="8">
    <w:abstractNumId w:val="4"/>
  </w:num>
  <w:num w:numId="9">
    <w:abstractNumId w:val="1"/>
  </w:num>
  <w:num w:numId="10">
    <w:abstractNumId w:val="5"/>
  </w:num>
  <w:num w:numId="11">
    <w:abstractNumId w:val="10"/>
  </w:num>
  <w:num w:numId="12">
    <w:abstractNumId w:val="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C8"/>
    <w:rsid w:val="0001676C"/>
    <w:rsid w:val="000335F7"/>
    <w:rsid w:val="000573D1"/>
    <w:rsid w:val="00062C44"/>
    <w:rsid w:val="0007307A"/>
    <w:rsid w:val="000A7FF0"/>
    <w:rsid w:val="000C7F33"/>
    <w:rsid w:val="001035A9"/>
    <w:rsid w:val="00110AAF"/>
    <w:rsid w:val="0012692B"/>
    <w:rsid w:val="00145705"/>
    <w:rsid w:val="0014667B"/>
    <w:rsid w:val="001848D8"/>
    <w:rsid w:val="00195697"/>
    <w:rsid w:val="001B2EDE"/>
    <w:rsid w:val="001C1BAD"/>
    <w:rsid w:val="001D4832"/>
    <w:rsid w:val="001F33A5"/>
    <w:rsid w:val="00212ADB"/>
    <w:rsid w:val="002132CD"/>
    <w:rsid w:val="00233DE7"/>
    <w:rsid w:val="0023649A"/>
    <w:rsid w:val="00241C0B"/>
    <w:rsid w:val="00243618"/>
    <w:rsid w:val="002520D8"/>
    <w:rsid w:val="00254415"/>
    <w:rsid w:val="00254AB0"/>
    <w:rsid w:val="0027082B"/>
    <w:rsid w:val="00287369"/>
    <w:rsid w:val="00291F07"/>
    <w:rsid w:val="002A26E9"/>
    <w:rsid w:val="002A599B"/>
    <w:rsid w:val="002C6EC1"/>
    <w:rsid w:val="002E4804"/>
    <w:rsid w:val="002F055A"/>
    <w:rsid w:val="003430B7"/>
    <w:rsid w:val="003C3A84"/>
    <w:rsid w:val="003C6923"/>
    <w:rsid w:val="003D276A"/>
    <w:rsid w:val="0040041F"/>
    <w:rsid w:val="00406325"/>
    <w:rsid w:val="004111C8"/>
    <w:rsid w:val="00417825"/>
    <w:rsid w:val="00420190"/>
    <w:rsid w:val="004A3B5C"/>
    <w:rsid w:val="004B5E9F"/>
    <w:rsid w:val="004F00D3"/>
    <w:rsid w:val="00506235"/>
    <w:rsid w:val="005213A9"/>
    <w:rsid w:val="00522DBE"/>
    <w:rsid w:val="00556ED7"/>
    <w:rsid w:val="00597FEB"/>
    <w:rsid w:val="005A278E"/>
    <w:rsid w:val="005A325F"/>
    <w:rsid w:val="005B1037"/>
    <w:rsid w:val="005B304D"/>
    <w:rsid w:val="005C610B"/>
    <w:rsid w:val="005D5146"/>
    <w:rsid w:val="005E7888"/>
    <w:rsid w:val="005F77BA"/>
    <w:rsid w:val="00633AD7"/>
    <w:rsid w:val="00634FB5"/>
    <w:rsid w:val="006418D9"/>
    <w:rsid w:val="00641AB8"/>
    <w:rsid w:val="006707E2"/>
    <w:rsid w:val="006965E2"/>
    <w:rsid w:val="006D6FEC"/>
    <w:rsid w:val="006F1E98"/>
    <w:rsid w:val="007952FD"/>
    <w:rsid w:val="007A3FC1"/>
    <w:rsid w:val="007C2824"/>
    <w:rsid w:val="007E1384"/>
    <w:rsid w:val="007E6DCF"/>
    <w:rsid w:val="007F0C8F"/>
    <w:rsid w:val="007F623D"/>
    <w:rsid w:val="007F6497"/>
    <w:rsid w:val="00804406"/>
    <w:rsid w:val="008275AF"/>
    <w:rsid w:val="0085141E"/>
    <w:rsid w:val="00864230"/>
    <w:rsid w:val="008777EA"/>
    <w:rsid w:val="008A46C8"/>
    <w:rsid w:val="008B55BA"/>
    <w:rsid w:val="008D1D31"/>
    <w:rsid w:val="008F7AA8"/>
    <w:rsid w:val="008F7EBD"/>
    <w:rsid w:val="00942FA3"/>
    <w:rsid w:val="00952E4D"/>
    <w:rsid w:val="009531F8"/>
    <w:rsid w:val="00987DF2"/>
    <w:rsid w:val="009945AB"/>
    <w:rsid w:val="009A2376"/>
    <w:rsid w:val="009B1CD8"/>
    <w:rsid w:val="009B2879"/>
    <w:rsid w:val="009B435F"/>
    <w:rsid w:val="009B66D5"/>
    <w:rsid w:val="009C61AA"/>
    <w:rsid w:val="009E1556"/>
    <w:rsid w:val="009E1CBD"/>
    <w:rsid w:val="009E44F6"/>
    <w:rsid w:val="00A00C0A"/>
    <w:rsid w:val="00A1699D"/>
    <w:rsid w:val="00A17317"/>
    <w:rsid w:val="00A1761E"/>
    <w:rsid w:val="00A34246"/>
    <w:rsid w:val="00A964FB"/>
    <w:rsid w:val="00AC469B"/>
    <w:rsid w:val="00B028CF"/>
    <w:rsid w:val="00B03196"/>
    <w:rsid w:val="00B2252C"/>
    <w:rsid w:val="00B247BC"/>
    <w:rsid w:val="00B62844"/>
    <w:rsid w:val="00B75488"/>
    <w:rsid w:val="00B754CD"/>
    <w:rsid w:val="00B81330"/>
    <w:rsid w:val="00BA7DC0"/>
    <w:rsid w:val="00BD5685"/>
    <w:rsid w:val="00BF6B3F"/>
    <w:rsid w:val="00C201D2"/>
    <w:rsid w:val="00C31F3B"/>
    <w:rsid w:val="00C34F84"/>
    <w:rsid w:val="00C7259F"/>
    <w:rsid w:val="00C7306B"/>
    <w:rsid w:val="00CC297A"/>
    <w:rsid w:val="00D00D44"/>
    <w:rsid w:val="00D06F4E"/>
    <w:rsid w:val="00D226B9"/>
    <w:rsid w:val="00D53649"/>
    <w:rsid w:val="00D80871"/>
    <w:rsid w:val="00DB4166"/>
    <w:rsid w:val="00DB7A85"/>
    <w:rsid w:val="00DE3EF8"/>
    <w:rsid w:val="00DE5945"/>
    <w:rsid w:val="00DE6B25"/>
    <w:rsid w:val="00DF3F5B"/>
    <w:rsid w:val="00E07E54"/>
    <w:rsid w:val="00E111E0"/>
    <w:rsid w:val="00E13CF6"/>
    <w:rsid w:val="00E235D5"/>
    <w:rsid w:val="00E307CD"/>
    <w:rsid w:val="00E364F6"/>
    <w:rsid w:val="00E4387C"/>
    <w:rsid w:val="00E47DEE"/>
    <w:rsid w:val="00EA3AAA"/>
    <w:rsid w:val="00EB0F86"/>
    <w:rsid w:val="00EB21CE"/>
    <w:rsid w:val="00EB425C"/>
    <w:rsid w:val="00F01046"/>
    <w:rsid w:val="00F40AA2"/>
    <w:rsid w:val="00FC30C8"/>
    <w:rsid w:val="00FD49B5"/>
    <w:rsid w:val="00FE084B"/>
    <w:rsid w:val="00FE1A7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basedOn w:val="Standardnpsmoodstavce"/>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basedOn w:val="Standardnpsmoodstav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pat">
    <w:name w:val="footer"/>
    <w:basedOn w:val="Normln"/>
    <w:link w:val="ZpatChar"/>
    <w:uiPriority w:val="99"/>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character" w:customStyle="1" w:styleId="ZpatChar">
    <w:name w:val="Zápatí Char"/>
    <w:basedOn w:val="Standardnpsmoodstavce"/>
    <w:link w:val="Zpat"/>
    <w:uiPriority w:val="99"/>
    <w:rsid w:val="00D06F4E"/>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basedOn w:val="Standardnpsmoodstavce"/>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basedOn w:val="Standardnpsmoodstav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pat">
    <w:name w:val="footer"/>
    <w:basedOn w:val="Normln"/>
    <w:link w:val="ZpatChar"/>
    <w:uiPriority w:val="99"/>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character" w:customStyle="1" w:styleId="ZpatChar">
    <w:name w:val="Zápatí Char"/>
    <w:basedOn w:val="Standardnpsmoodstavce"/>
    <w:link w:val="Zpat"/>
    <w:uiPriority w:val="99"/>
    <w:rsid w:val="00D06F4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07%20Vypo&#345;&#225;d&#225;n&#237;%20p&#345;ipom&#237;nek.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P-07 Vypořádání připomínek.dot</Template>
  <TotalTime>28</TotalTime>
  <Pages>8</Pages>
  <Words>2098</Words>
  <Characters>12385</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ÚŘAD VLÁDY ČR</vt:lpstr>
    </vt:vector>
  </TitlesOfParts>
  <Company>UVIS</Company>
  <LinksUpToDate>false</LinksUpToDate>
  <CharactersWithSpaces>14455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creator>Trnková Kateřina</dc:creator>
  <cp:lastModifiedBy>Trnková Kateřina</cp:lastModifiedBy>
  <cp:revision>13</cp:revision>
  <cp:lastPrinted>2013-09-19T10:30:00Z</cp:lastPrinted>
  <dcterms:created xsi:type="dcterms:W3CDTF">2013-09-16T08:55:00Z</dcterms:created>
  <dcterms:modified xsi:type="dcterms:W3CDTF">2013-09-19T10:30:00Z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